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54F" w:rsidRPr="00482D3C" w:rsidRDefault="00482D3C" w:rsidP="001D754F">
      <w:pPr>
        <w:jc w:val="center"/>
        <w:rPr>
          <w:rFonts w:ascii="Garamond" w:eastAsia="Times New Roman" w:hAnsi="Garamond" w:cs="Times New Roman"/>
          <w:b/>
          <w:sz w:val="36"/>
          <w:szCs w:val="36"/>
          <w:lang w:eastAsia="it-IT"/>
        </w:rPr>
      </w:pPr>
      <w:r w:rsidRPr="00482D3C">
        <w:rPr>
          <w:rFonts w:ascii="Garamond" w:eastAsia="Times New Roman" w:hAnsi="Garamond" w:cs="Times New Roman"/>
          <w:b/>
          <w:sz w:val="36"/>
          <w:szCs w:val="36"/>
          <w:lang w:eastAsia="it-IT"/>
        </w:rPr>
        <w:t>Danno da occupazione</w:t>
      </w:r>
      <w:r>
        <w:rPr>
          <w:rStyle w:val="Rimandonotaapidipagina"/>
          <w:rFonts w:ascii="Garamond" w:eastAsia="Times New Roman" w:hAnsi="Garamond" w:cs="Times New Roman"/>
          <w:b/>
          <w:sz w:val="36"/>
          <w:szCs w:val="36"/>
          <w:lang w:eastAsia="it-IT"/>
        </w:rPr>
        <w:footnoteReference w:id="1"/>
      </w:r>
    </w:p>
    <w:p w:rsidR="001D754F" w:rsidRPr="005B3C1E" w:rsidRDefault="00482D3C" w:rsidP="001D754F">
      <w:pPr>
        <w:jc w:val="center"/>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 xml:space="preserve"> </w:t>
      </w:r>
    </w:p>
    <w:p w:rsidR="007C7ABD" w:rsidRPr="005B3C1E" w:rsidRDefault="007C7ABD"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Ringrazio il Presidente Patroni Griffi per l’ospitalità e l’Ufficio Studi per l’invito, che mi onora in maniera particolare.</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Il mio intervento si articolerà in tre parti: </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1) la prima, relativa ad alcune considerazioni generali per un corretto inquadramento del tema del danno da occupazione;</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2) la seconda, relativa agli orientamenti della giurisprudenza amministrativa e, in particolare, alla natura del danno da occupazione;</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3) la terza, relativa all’attualità della sentenza n. 500/1999, vero nucleo tematico di una giornata di studi che non voglia essere soltanto una – pur giusta – celebrazione.</w:t>
      </w:r>
    </w:p>
    <w:p w:rsidR="001D754F" w:rsidRPr="005B3C1E" w:rsidRDefault="001D754F" w:rsidP="001D754F">
      <w:pPr>
        <w:jc w:val="both"/>
        <w:rPr>
          <w:rFonts w:ascii="Garamond" w:eastAsia="Times New Roman" w:hAnsi="Garamond" w:cs="Times New Roman"/>
          <w:sz w:val="30"/>
          <w:szCs w:val="30"/>
          <w:lang w:eastAsia="it-IT"/>
        </w:rPr>
      </w:pPr>
    </w:p>
    <w:p w:rsidR="001D754F" w:rsidRPr="005B3C1E" w:rsidRDefault="001D754F" w:rsidP="001D754F">
      <w:pPr>
        <w:jc w:val="both"/>
        <w:rPr>
          <w:rFonts w:ascii="Garamond" w:eastAsia="Times New Roman" w:hAnsi="Garamond" w:cs="Times New Roman"/>
          <w:b/>
          <w:i/>
          <w:sz w:val="30"/>
          <w:szCs w:val="30"/>
          <w:lang w:eastAsia="it-IT"/>
        </w:rPr>
      </w:pPr>
      <w:r w:rsidRPr="005B3C1E">
        <w:rPr>
          <w:rFonts w:ascii="Garamond" w:eastAsia="Times New Roman" w:hAnsi="Garamond" w:cs="Times New Roman"/>
          <w:b/>
          <w:i/>
          <w:sz w:val="30"/>
          <w:szCs w:val="30"/>
          <w:lang w:eastAsia="it-IT"/>
        </w:rPr>
        <w:t>1. Considerazioni generali.</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1.1.) Il tema del danno da occupazione evoca, in prima battuta e alla luce dell’odierno confronto tra giudici civili e giudici amministrativi, un</w:t>
      </w:r>
      <w:r w:rsidR="00015433">
        <w:rPr>
          <w:rFonts w:ascii="Garamond" w:eastAsia="Times New Roman" w:hAnsi="Garamond" w:cs="Times New Roman"/>
          <w:sz w:val="30"/>
          <w:szCs w:val="30"/>
          <w:lang w:eastAsia="it-IT"/>
        </w:rPr>
        <w:t>a</w:t>
      </w:r>
      <w:r w:rsidRPr="005B3C1E">
        <w:rPr>
          <w:rFonts w:ascii="Garamond" w:eastAsia="Times New Roman" w:hAnsi="Garamond" w:cs="Times New Roman"/>
          <w:sz w:val="30"/>
          <w:szCs w:val="30"/>
          <w:lang w:eastAsia="it-IT"/>
        </w:rPr>
        <w:t xml:space="preserve"> breve ri</w:t>
      </w:r>
      <w:r w:rsidR="007C7ABD" w:rsidRPr="005B3C1E">
        <w:rPr>
          <w:rFonts w:ascii="Garamond" w:eastAsia="Times New Roman" w:hAnsi="Garamond" w:cs="Times New Roman"/>
          <w:sz w:val="30"/>
          <w:szCs w:val="30"/>
          <w:lang w:eastAsia="it-IT"/>
        </w:rPr>
        <w:t xml:space="preserve">flessione sulle </w:t>
      </w:r>
      <w:r w:rsidRPr="005B3C1E">
        <w:rPr>
          <w:rFonts w:ascii="Garamond" w:eastAsia="Times New Roman" w:hAnsi="Garamond" w:cs="Times New Roman"/>
          <w:sz w:val="30"/>
          <w:szCs w:val="30"/>
          <w:lang w:eastAsia="it-IT"/>
        </w:rPr>
        <w:t xml:space="preserve">difficoltà che talvolta si registrano nel dialogo tra le giurisdizioni: questione non </w:t>
      </w:r>
      <w:r w:rsidRPr="005B3C1E">
        <w:rPr>
          <w:rFonts w:ascii="Garamond" w:eastAsia="Times New Roman" w:hAnsi="Garamond" w:cs="Times New Roman"/>
          <w:sz w:val="30"/>
          <w:szCs w:val="30"/>
          <w:lang w:eastAsia="it-IT"/>
        </w:rPr>
        <w:lastRenderedPageBreak/>
        <w:t xml:space="preserve">nuova, sulla quale </w:t>
      </w:r>
      <w:r w:rsidR="007C7ABD" w:rsidRPr="005B3C1E">
        <w:rPr>
          <w:rFonts w:ascii="Garamond" w:eastAsia="Times New Roman" w:hAnsi="Garamond" w:cs="Times New Roman"/>
          <w:sz w:val="30"/>
          <w:szCs w:val="30"/>
          <w:lang w:eastAsia="it-IT"/>
        </w:rPr>
        <w:t xml:space="preserve">mi pare appropriato richiamare la sentenza della </w:t>
      </w:r>
      <w:r w:rsidRPr="005B3C1E">
        <w:rPr>
          <w:rFonts w:ascii="Garamond" w:eastAsia="Times New Roman" w:hAnsi="Garamond" w:cs="Times New Roman"/>
          <w:sz w:val="30"/>
          <w:szCs w:val="30"/>
          <w:lang w:eastAsia="it-IT"/>
        </w:rPr>
        <w:t xml:space="preserve">Corte Costituzionale </w:t>
      </w:r>
      <w:r w:rsidR="007C7ABD" w:rsidRPr="005B3C1E">
        <w:rPr>
          <w:rFonts w:ascii="Garamond" w:eastAsia="Times New Roman" w:hAnsi="Garamond" w:cs="Times New Roman"/>
          <w:sz w:val="30"/>
          <w:szCs w:val="30"/>
          <w:lang w:eastAsia="it-IT"/>
        </w:rPr>
        <w:t xml:space="preserve">n. </w:t>
      </w:r>
      <w:r w:rsidRPr="005B3C1E">
        <w:rPr>
          <w:rFonts w:ascii="Garamond" w:eastAsia="Times New Roman" w:hAnsi="Garamond" w:cs="Times New Roman"/>
          <w:sz w:val="30"/>
          <w:szCs w:val="30"/>
          <w:lang w:eastAsia="it-IT"/>
        </w:rPr>
        <w:t>6/2018</w:t>
      </w:r>
      <w:r w:rsidR="007C7ABD" w:rsidRPr="005B3C1E">
        <w:rPr>
          <w:rFonts w:ascii="Garamond" w:eastAsia="Times New Roman" w:hAnsi="Garamond" w:cs="Times New Roman"/>
          <w:sz w:val="30"/>
          <w:szCs w:val="30"/>
          <w:lang w:eastAsia="it-IT"/>
        </w:rPr>
        <w:t xml:space="preserve">, riguardante </w:t>
      </w:r>
      <w:r w:rsidRPr="005B3C1E">
        <w:rPr>
          <w:rFonts w:ascii="Garamond" w:eastAsia="Times New Roman" w:hAnsi="Garamond" w:cs="Times New Roman"/>
          <w:sz w:val="30"/>
          <w:szCs w:val="30"/>
          <w:lang w:eastAsia="it-IT"/>
        </w:rPr>
        <w:t>i “</w:t>
      </w:r>
      <w:r w:rsidRPr="005B3C1E">
        <w:rPr>
          <w:rFonts w:ascii="Garamond" w:eastAsia="Times New Roman" w:hAnsi="Garamond" w:cs="Times New Roman"/>
          <w:i/>
          <w:sz w:val="30"/>
          <w:szCs w:val="30"/>
          <w:lang w:eastAsia="it-IT"/>
        </w:rPr>
        <w:t>motivi inerenti alla giurisdizione</w:t>
      </w:r>
      <w:r w:rsidRPr="005B3C1E">
        <w:rPr>
          <w:rFonts w:ascii="Garamond" w:eastAsia="Times New Roman" w:hAnsi="Garamond" w:cs="Times New Roman"/>
          <w:sz w:val="30"/>
          <w:szCs w:val="30"/>
          <w:lang w:eastAsia="it-IT"/>
        </w:rPr>
        <w:t>” (ossia le condizioni per la sindacabilità, da parte della Corte di Cassazione, delle sentenze del Consiglio di Stato)</w:t>
      </w:r>
      <w:r w:rsidR="007C7ABD" w:rsidRPr="005B3C1E">
        <w:rPr>
          <w:rFonts w:ascii="Garamond" w:eastAsia="Times New Roman" w:hAnsi="Garamond" w:cs="Times New Roman"/>
          <w:sz w:val="30"/>
          <w:szCs w:val="30"/>
          <w:lang w:eastAsia="it-IT"/>
        </w:rPr>
        <w:t xml:space="preserve">. In tale sentenza </w:t>
      </w:r>
      <w:r w:rsidRPr="005B3C1E">
        <w:rPr>
          <w:rFonts w:ascii="Garamond" w:eastAsia="Times New Roman" w:hAnsi="Garamond" w:cs="Times New Roman"/>
          <w:sz w:val="30"/>
          <w:szCs w:val="30"/>
          <w:lang w:eastAsia="it-IT"/>
        </w:rPr>
        <w:t xml:space="preserve">il Giudice delle Leggi ha, in particolare, ripreso un passaggio fondamentale di uno degli interventi di Costantino Mortati nel corso dell’assemblea costituente, </w:t>
      </w:r>
      <w:r w:rsidR="00015433">
        <w:rPr>
          <w:rFonts w:ascii="Garamond" w:eastAsia="Times New Roman" w:hAnsi="Garamond" w:cs="Times New Roman"/>
          <w:sz w:val="30"/>
          <w:szCs w:val="30"/>
          <w:lang w:eastAsia="it-IT"/>
        </w:rPr>
        <w:t xml:space="preserve">incentrato sulla </w:t>
      </w:r>
      <w:r w:rsidRPr="005B3C1E">
        <w:rPr>
          <w:rFonts w:ascii="Garamond" w:eastAsia="Times New Roman" w:hAnsi="Garamond" w:cs="Times New Roman"/>
          <w:sz w:val="30"/>
          <w:szCs w:val="30"/>
          <w:lang w:eastAsia="it-IT"/>
        </w:rPr>
        <w:t>convinta asserzione dell’unità “</w:t>
      </w:r>
      <w:r w:rsidRPr="005B3C1E">
        <w:rPr>
          <w:rFonts w:ascii="Garamond" w:eastAsia="Times New Roman" w:hAnsi="Garamond" w:cs="Times New Roman"/>
          <w:i/>
          <w:sz w:val="30"/>
          <w:szCs w:val="30"/>
          <w:lang w:eastAsia="it-IT"/>
        </w:rPr>
        <w:t>non organica, ma funzio</w:t>
      </w:r>
      <w:r w:rsidRPr="005B3C1E">
        <w:rPr>
          <w:rFonts w:ascii="Garamond" w:eastAsia="Times New Roman" w:hAnsi="Garamond" w:cs="Times New Roman"/>
          <w:i/>
          <w:sz w:val="30"/>
          <w:szCs w:val="30"/>
          <w:lang w:eastAsia="it-IT"/>
        </w:rPr>
        <w:softHyphen/>
        <w:t>nale di giurisdizione, che non esclude, anzi implica, una divisione dei vari ordini di giudici in sistemi diversi, in sistemi autonomi, ognuno dei quali fa parte a sé</w:t>
      </w:r>
      <w:r w:rsidRPr="005B3C1E">
        <w:rPr>
          <w:rFonts w:ascii="Garamond" w:eastAsia="Times New Roman" w:hAnsi="Garamond" w:cs="Times New Roman"/>
          <w:sz w:val="30"/>
          <w:szCs w:val="30"/>
          <w:lang w:eastAsia="it-IT"/>
        </w:rPr>
        <w:t>”.</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Occasioni come quella odierna sono, perciò, quanto mai opportune per ristabilire un necessario collegamento, e non soltanto un confronto. </w:t>
      </w:r>
    </w:p>
    <w:p w:rsidR="007C7ABD"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Soprattutto si tratta di capire se vi sia comunanza o distanza</w:t>
      </w:r>
      <w:r w:rsidR="007C7ABD" w:rsidRPr="005B3C1E">
        <w:rPr>
          <w:rFonts w:ascii="Garamond" w:eastAsia="Times New Roman" w:hAnsi="Garamond" w:cs="Times New Roman"/>
          <w:sz w:val="30"/>
          <w:szCs w:val="30"/>
          <w:lang w:eastAsia="it-IT"/>
        </w:rPr>
        <w:t xml:space="preserve"> tra queste due “comunità”</w:t>
      </w:r>
      <w:r w:rsidRPr="005B3C1E">
        <w:rPr>
          <w:rFonts w:ascii="Garamond" w:eastAsia="Times New Roman" w:hAnsi="Garamond" w:cs="Times New Roman"/>
          <w:sz w:val="30"/>
          <w:szCs w:val="30"/>
          <w:lang w:eastAsia="it-IT"/>
        </w:rPr>
        <w:t xml:space="preserve">, tenendo conto, nel caso della GA, del rischio di derubricare l’importanza del principio di legalità a causa del “fascino” esercitato dalla c.d. giurisdizione oggettiva (una specie di evoluzione distorta del giudizio di spettanza), che oggi contribuisce a concepire il giudice amministrativo come un mediatore di pubblici interessi e non come un geloso custode dell’applicazione rigorosa delle norme. </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1.2.) Il tema dell’occupazione evoca, inoltre, una rimeditazione sullo statuto giuridico della proprietà e, nel contempo, sull’attività </w:t>
      </w:r>
      <w:proofErr w:type="spellStart"/>
      <w:r w:rsidRPr="005B3C1E">
        <w:rPr>
          <w:rFonts w:ascii="Garamond" w:eastAsia="Times New Roman" w:hAnsi="Garamond" w:cs="Times New Roman"/>
          <w:sz w:val="30"/>
          <w:szCs w:val="30"/>
          <w:lang w:eastAsia="it-IT"/>
        </w:rPr>
        <w:t>provvedimentale</w:t>
      </w:r>
      <w:proofErr w:type="spellEnd"/>
      <w:r w:rsidRPr="005B3C1E">
        <w:rPr>
          <w:rFonts w:ascii="Garamond" w:eastAsia="Times New Roman" w:hAnsi="Garamond" w:cs="Times New Roman"/>
          <w:sz w:val="30"/>
          <w:szCs w:val="30"/>
          <w:lang w:eastAsia="it-IT"/>
        </w:rPr>
        <w:t xml:space="preserve"> e materiale della PA, il tutto lungo tre, fondamentali, direttrici:</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lastRenderedPageBreak/>
        <w:t>a) l’innesto dell’interesse pubblico nella proprietà privata;</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b) il rapporto tra proprietà e interesse pubblico tra logica dell’appartenenza e logica della destinazione;</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c) il senso attuale sulla relazione tra proprietà-diritto e proprietà-dovere come precipitato della funzione sociale della proprietà privata, declamata dall’art. 42 della Costituzione.</w:t>
      </w:r>
    </w:p>
    <w:p w:rsidR="001D754F" w:rsidRPr="005B3C1E" w:rsidRDefault="007C7ABD"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Mi pare importante</w:t>
      </w:r>
      <w:r w:rsidR="0048597B">
        <w:rPr>
          <w:rFonts w:ascii="Garamond" w:eastAsia="Times New Roman" w:hAnsi="Garamond" w:cs="Times New Roman"/>
          <w:sz w:val="30"/>
          <w:szCs w:val="30"/>
          <w:lang w:eastAsia="it-IT"/>
        </w:rPr>
        <w:t xml:space="preserve"> che si approfondisca, </w:t>
      </w:r>
      <w:r w:rsidR="001D754F" w:rsidRPr="005B3C1E">
        <w:rPr>
          <w:rFonts w:ascii="Garamond" w:eastAsia="Times New Roman" w:hAnsi="Garamond" w:cs="Times New Roman"/>
          <w:sz w:val="30"/>
          <w:szCs w:val="30"/>
          <w:lang w:eastAsia="it-IT"/>
        </w:rPr>
        <w:t>in sostanza, se l’interesse pubblico oper</w:t>
      </w:r>
      <w:r w:rsidRPr="005B3C1E">
        <w:rPr>
          <w:rFonts w:ascii="Garamond" w:eastAsia="Times New Roman" w:hAnsi="Garamond" w:cs="Times New Roman"/>
          <w:sz w:val="30"/>
          <w:szCs w:val="30"/>
          <w:lang w:eastAsia="it-IT"/>
        </w:rPr>
        <w:t>i</w:t>
      </w:r>
      <w:r w:rsidR="001D754F" w:rsidRPr="005B3C1E">
        <w:rPr>
          <w:rFonts w:ascii="Garamond" w:eastAsia="Times New Roman" w:hAnsi="Garamond" w:cs="Times New Roman"/>
          <w:sz w:val="30"/>
          <w:szCs w:val="30"/>
          <w:lang w:eastAsia="it-IT"/>
        </w:rPr>
        <w:t xml:space="preserve"> </w:t>
      </w:r>
      <w:r w:rsidRPr="005B3C1E">
        <w:rPr>
          <w:rFonts w:ascii="Garamond" w:eastAsia="Times New Roman" w:hAnsi="Garamond" w:cs="Times New Roman"/>
          <w:sz w:val="30"/>
          <w:szCs w:val="30"/>
          <w:lang w:eastAsia="it-IT"/>
        </w:rPr>
        <w:t xml:space="preserve">ancora </w:t>
      </w:r>
      <w:r w:rsidR="001D754F" w:rsidRPr="005B3C1E">
        <w:rPr>
          <w:rFonts w:ascii="Garamond" w:eastAsia="Times New Roman" w:hAnsi="Garamond" w:cs="Times New Roman"/>
          <w:sz w:val="30"/>
          <w:szCs w:val="30"/>
          <w:lang w:eastAsia="it-IT"/>
        </w:rPr>
        <w:t xml:space="preserve">come </w:t>
      </w:r>
      <w:r w:rsidRPr="005B3C1E">
        <w:rPr>
          <w:rFonts w:ascii="Garamond" w:eastAsia="Times New Roman" w:hAnsi="Garamond" w:cs="Times New Roman"/>
          <w:sz w:val="30"/>
          <w:szCs w:val="30"/>
          <w:lang w:eastAsia="it-IT"/>
        </w:rPr>
        <w:t xml:space="preserve">un </w:t>
      </w:r>
      <w:r w:rsidR="001D754F" w:rsidRPr="005B3C1E">
        <w:rPr>
          <w:rFonts w:ascii="Garamond" w:eastAsia="Times New Roman" w:hAnsi="Garamond" w:cs="Times New Roman"/>
          <w:sz w:val="30"/>
          <w:szCs w:val="30"/>
          <w:lang w:eastAsia="it-IT"/>
        </w:rPr>
        <w:t xml:space="preserve">vincolo di scopo della proprietà privata e come strumento di attuazione dell’interesse pubblico e, soprattutto, in quale misura tale configurazione sia “accettabile”.  </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Se, come teorizzò </w:t>
      </w:r>
      <w:proofErr w:type="spellStart"/>
      <w:r w:rsidRPr="005B3C1E">
        <w:rPr>
          <w:rFonts w:ascii="Garamond" w:eastAsia="Times New Roman" w:hAnsi="Garamond" w:cs="Times New Roman"/>
          <w:sz w:val="30"/>
          <w:szCs w:val="30"/>
          <w:lang w:eastAsia="it-IT"/>
        </w:rPr>
        <w:t>Sandulli</w:t>
      </w:r>
      <w:proofErr w:type="spellEnd"/>
      <w:r w:rsidR="0048597B">
        <w:rPr>
          <w:rFonts w:ascii="Garamond" w:eastAsia="Times New Roman" w:hAnsi="Garamond" w:cs="Times New Roman"/>
          <w:sz w:val="30"/>
          <w:szCs w:val="30"/>
          <w:lang w:eastAsia="it-IT"/>
        </w:rPr>
        <w:t xml:space="preserve"> (</w:t>
      </w:r>
      <w:r w:rsidR="0048597B" w:rsidRPr="0048597B">
        <w:rPr>
          <w:rFonts w:ascii="Garamond" w:eastAsia="Times New Roman" w:hAnsi="Garamond" w:cs="Times New Roman"/>
          <w:i/>
          <w:sz w:val="30"/>
          <w:szCs w:val="30"/>
          <w:lang w:eastAsia="it-IT"/>
        </w:rPr>
        <w:t>Beni pubblici</w:t>
      </w:r>
      <w:r w:rsidR="0048597B" w:rsidRPr="0048597B">
        <w:rPr>
          <w:rFonts w:ascii="Garamond" w:eastAsia="Times New Roman" w:hAnsi="Garamond" w:cs="Times New Roman"/>
          <w:sz w:val="30"/>
          <w:szCs w:val="30"/>
          <w:lang w:eastAsia="it-IT"/>
        </w:rPr>
        <w:t>, in </w:t>
      </w:r>
      <w:proofErr w:type="spellStart"/>
      <w:r w:rsidR="0048597B" w:rsidRPr="0048597B">
        <w:rPr>
          <w:rFonts w:ascii="Garamond" w:eastAsia="Times New Roman" w:hAnsi="Garamond" w:cs="Times New Roman"/>
          <w:i/>
          <w:sz w:val="30"/>
          <w:szCs w:val="30"/>
          <w:lang w:eastAsia="it-IT"/>
        </w:rPr>
        <w:t>Enc</w:t>
      </w:r>
      <w:proofErr w:type="spellEnd"/>
      <w:r w:rsidR="0048597B" w:rsidRPr="0048597B">
        <w:rPr>
          <w:rFonts w:ascii="Garamond" w:eastAsia="Times New Roman" w:hAnsi="Garamond" w:cs="Times New Roman"/>
          <w:i/>
          <w:sz w:val="30"/>
          <w:szCs w:val="30"/>
          <w:lang w:eastAsia="it-IT"/>
        </w:rPr>
        <w:t>. </w:t>
      </w:r>
      <w:proofErr w:type="gramStart"/>
      <w:r w:rsidR="0048597B" w:rsidRPr="0048597B">
        <w:rPr>
          <w:rFonts w:ascii="Garamond" w:eastAsia="Times New Roman" w:hAnsi="Garamond" w:cs="Times New Roman"/>
          <w:i/>
          <w:sz w:val="30"/>
          <w:szCs w:val="30"/>
          <w:lang w:eastAsia="it-IT"/>
        </w:rPr>
        <w:t>dir</w:t>
      </w:r>
      <w:r w:rsidR="0048597B" w:rsidRPr="0048597B">
        <w:rPr>
          <w:rFonts w:ascii="Garamond" w:eastAsia="Times New Roman" w:hAnsi="Garamond" w:cs="Times New Roman"/>
          <w:sz w:val="30"/>
          <w:szCs w:val="30"/>
          <w:lang w:eastAsia="it-IT"/>
        </w:rPr>
        <w:t>.,</w:t>
      </w:r>
      <w:proofErr w:type="gramEnd"/>
      <w:r w:rsidR="0048597B" w:rsidRPr="0048597B">
        <w:rPr>
          <w:rFonts w:ascii="Garamond" w:eastAsia="Times New Roman" w:hAnsi="Garamond" w:cs="Times New Roman"/>
          <w:sz w:val="30"/>
          <w:szCs w:val="30"/>
          <w:lang w:eastAsia="it-IT"/>
        </w:rPr>
        <w:t> 1959</w:t>
      </w:r>
      <w:r w:rsidR="0048597B">
        <w:rPr>
          <w:rFonts w:ascii="Garamond" w:eastAsia="Times New Roman" w:hAnsi="Garamond" w:cs="Times New Roman"/>
          <w:sz w:val="30"/>
          <w:szCs w:val="30"/>
          <w:lang w:eastAsia="it-IT"/>
        </w:rPr>
        <w:t>)</w:t>
      </w:r>
      <w:r w:rsidR="0048597B" w:rsidRPr="0048597B">
        <w:rPr>
          <w:rFonts w:ascii="Garamond" w:eastAsia="Times New Roman" w:hAnsi="Garamond" w:cs="Times New Roman"/>
          <w:sz w:val="30"/>
          <w:szCs w:val="30"/>
          <w:lang w:eastAsia="it-IT"/>
        </w:rPr>
        <w:t>, </w:t>
      </w:r>
      <w:r w:rsidRPr="005B3C1E">
        <w:rPr>
          <w:rFonts w:ascii="Garamond" w:eastAsia="Times New Roman" w:hAnsi="Garamond" w:cs="Times New Roman"/>
          <w:sz w:val="30"/>
          <w:szCs w:val="30"/>
          <w:lang w:eastAsia="it-IT"/>
        </w:rPr>
        <w:t xml:space="preserve">l’imposizione di limiti alla proprietà </w:t>
      </w:r>
      <w:r w:rsidR="00015433">
        <w:rPr>
          <w:rFonts w:ascii="Garamond" w:eastAsia="Times New Roman" w:hAnsi="Garamond" w:cs="Times New Roman"/>
          <w:sz w:val="30"/>
          <w:szCs w:val="30"/>
          <w:lang w:eastAsia="it-IT"/>
        </w:rPr>
        <w:t xml:space="preserve">possa essere </w:t>
      </w:r>
      <w:r w:rsidRPr="005B3C1E">
        <w:rPr>
          <w:rFonts w:ascii="Garamond" w:eastAsia="Times New Roman" w:hAnsi="Garamond" w:cs="Times New Roman"/>
          <w:sz w:val="30"/>
          <w:szCs w:val="30"/>
          <w:lang w:eastAsia="it-IT"/>
        </w:rPr>
        <w:t xml:space="preserve">ancora </w:t>
      </w:r>
      <w:r w:rsidR="00015433">
        <w:rPr>
          <w:rFonts w:ascii="Garamond" w:eastAsia="Times New Roman" w:hAnsi="Garamond" w:cs="Times New Roman"/>
          <w:sz w:val="30"/>
          <w:szCs w:val="30"/>
          <w:lang w:eastAsia="it-IT"/>
        </w:rPr>
        <w:t xml:space="preserve">considerata </w:t>
      </w:r>
      <w:r w:rsidRPr="005B3C1E">
        <w:rPr>
          <w:rFonts w:ascii="Garamond" w:eastAsia="Times New Roman" w:hAnsi="Garamond" w:cs="Times New Roman"/>
          <w:sz w:val="30"/>
          <w:szCs w:val="30"/>
          <w:lang w:eastAsia="it-IT"/>
        </w:rPr>
        <w:t>una soluzione ottimale e condivisa per realizzare un compromesso soddisfacente tra l’interesse del proprietario e un interesse “diverso”, eppure meritevole di tutela.</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Se, quindi, abbia senso riconoscere la proprietà non solo come espressione di una libertà individuale (il potere di disposizione), ma anche come strumento di realizzazione di un principio solidaristico (</w:t>
      </w:r>
      <w:r w:rsidR="00015433">
        <w:rPr>
          <w:rFonts w:ascii="Garamond" w:eastAsia="Times New Roman" w:hAnsi="Garamond" w:cs="Times New Roman"/>
          <w:sz w:val="30"/>
          <w:szCs w:val="30"/>
          <w:lang w:eastAsia="it-IT"/>
        </w:rPr>
        <w:t xml:space="preserve">la </w:t>
      </w:r>
      <w:r w:rsidRPr="005B3C1E">
        <w:rPr>
          <w:rFonts w:ascii="Garamond" w:eastAsia="Times New Roman" w:hAnsi="Garamond" w:cs="Times New Roman"/>
          <w:sz w:val="30"/>
          <w:szCs w:val="30"/>
          <w:lang w:eastAsia="it-IT"/>
        </w:rPr>
        <w:t>funzione sociale per l’equità, la giustizia e l’uguaglianza).</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1.3.) Per approfondire tali aspetti bis</w:t>
      </w:r>
      <w:r w:rsidR="007C7ABD" w:rsidRPr="005B3C1E">
        <w:rPr>
          <w:rFonts w:ascii="Garamond" w:eastAsia="Times New Roman" w:hAnsi="Garamond" w:cs="Times New Roman"/>
          <w:sz w:val="30"/>
          <w:szCs w:val="30"/>
          <w:lang w:eastAsia="it-IT"/>
        </w:rPr>
        <w:t>ogna soffermarsi su alcuni prodromi della teoria generale</w:t>
      </w:r>
      <w:r w:rsidRPr="005B3C1E">
        <w:rPr>
          <w:rFonts w:ascii="Garamond" w:eastAsia="Times New Roman" w:hAnsi="Garamond" w:cs="Times New Roman"/>
          <w:sz w:val="30"/>
          <w:szCs w:val="30"/>
          <w:lang w:eastAsia="it-IT"/>
        </w:rPr>
        <w:t>:</w:t>
      </w:r>
    </w:p>
    <w:p w:rsidR="007D280B"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a) il dibattito – profondamente “politico” – sviluppatosi in sede di assemblea costituente, ove è prevalsa la formulazione di cui al comma 2 dell’art. 42 (“</w:t>
      </w:r>
      <w:r w:rsidRPr="005B3C1E">
        <w:rPr>
          <w:rFonts w:ascii="Garamond" w:eastAsia="Times New Roman" w:hAnsi="Garamond" w:cs="Times New Roman"/>
          <w:i/>
          <w:sz w:val="30"/>
          <w:szCs w:val="30"/>
          <w:lang w:eastAsia="it-IT"/>
        </w:rPr>
        <w:t>la proprietà privata è riconosciuta e garantita dalla legge</w:t>
      </w:r>
      <w:r w:rsidRPr="005B3C1E">
        <w:rPr>
          <w:rFonts w:ascii="Garamond" w:eastAsia="Times New Roman" w:hAnsi="Garamond" w:cs="Times New Roman"/>
          <w:sz w:val="30"/>
          <w:szCs w:val="30"/>
          <w:lang w:eastAsia="it-IT"/>
        </w:rPr>
        <w:t>”), che in apparenza prospetta una massimizzazione della tutela, lasciando pensare ad un diritto che preesiste all’ordinamento positivo</w:t>
      </w:r>
      <w:r w:rsidR="007D280B" w:rsidRPr="005B3C1E">
        <w:rPr>
          <w:rFonts w:ascii="Garamond" w:eastAsia="Times New Roman" w:hAnsi="Garamond" w:cs="Times New Roman"/>
          <w:sz w:val="30"/>
          <w:szCs w:val="30"/>
          <w:lang w:eastAsia="it-IT"/>
        </w:rPr>
        <w:t xml:space="preserve"> (un diritto non “creato” ex novo, ma più banalmente riconosciuto);</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b) la questione del “contenuto minimo” della proprietà;</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c) </w:t>
      </w:r>
      <w:r w:rsidR="007D280B" w:rsidRPr="005B3C1E">
        <w:rPr>
          <w:rFonts w:ascii="Garamond" w:eastAsia="Times New Roman" w:hAnsi="Garamond" w:cs="Times New Roman"/>
          <w:sz w:val="30"/>
          <w:szCs w:val="30"/>
          <w:lang w:eastAsia="it-IT"/>
        </w:rPr>
        <w:t xml:space="preserve">il dilemma </w:t>
      </w:r>
      <w:r w:rsidRPr="005B3C1E">
        <w:rPr>
          <w:rFonts w:ascii="Garamond" w:eastAsia="Times New Roman" w:hAnsi="Garamond" w:cs="Times New Roman"/>
          <w:sz w:val="30"/>
          <w:szCs w:val="30"/>
          <w:lang w:eastAsia="it-IT"/>
        </w:rPr>
        <w:t>se sia scindibile la facoltà di godimento della proprietà (la libertà dell’individuo è funzione di ciò che egli possiede) dal potere di disposizione (</w:t>
      </w:r>
      <w:r w:rsidR="007D280B" w:rsidRPr="005B3C1E">
        <w:rPr>
          <w:rFonts w:ascii="Garamond" w:eastAsia="Times New Roman" w:hAnsi="Garamond" w:cs="Times New Roman"/>
          <w:sz w:val="30"/>
          <w:szCs w:val="30"/>
          <w:lang w:eastAsia="it-IT"/>
        </w:rPr>
        <w:t xml:space="preserve">il che dovrebbe condurre ad </w:t>
      </w:r>
      <w:r w:rsidRPr="005B3C1E">
        <w:rPr>
          <w:rFonts w:ascii="Garamond" w:eastAsia="Times New Roman" w:hAnsi="Garamond" w:cs="Times New Roman"/>
          <w:sz w:val="30"/>
          <w:szCs w:val="30"/>
          <w:lang w:eastAsia="it-IT"/>
        </w:rPr>
        <w:t xml:space="preserve">accettare la “dura” realtà della funzione sociale che frantuma la struttura del diritto di proprietà, consentendo che il legislatore ordinario possa determinare i </w:t>
      </w:r>
      <w:r w:rsidR="00015433">
        <w:rPr>
          <w:rFonts w:ascii="Garamond" w:eastAsia="Times New Roman" w:hAnsi="Garamond" w:cs="Times New Roman"/>
          <w:sz w:val="30"/>
          <w:szCs w:val="30"/>
          <w:lang w:eastAsia="it-IT"/>
        </w:rPr>
        <w:t xml:space="preserve">suoi </w:t>
      </w:r>
      <w:r w:rsidRPr="005B3C1E">
        <w:rPr>
          <w:rFonts w:ascii="Garamond" w:eastAsia="Times New Roman" w:hAnsi="Garamond" w:cs="Times New Roman"/>
          <w:sz w:val="30"/>
          <w:szCs w:val="30"/>
          <w:lang w:eastAsia="it-IT"/>
        </w:rPr>
        <w:t xml:space="preserve">modi di acquisto e le </w:t>
      </w:r>
      <w:r w:rsidR="00015433">
        <w:rPr>
          <w:rFonts w:ascii="Garamond" w:eastAsia="Times New Roman" w:hAnsi="Garamond" w:cs="Times New Roman"/>
          <w:sz w:val="30"/>
          <w:szCs w:val="30"/>
          <w:lang w:eastAsia="it-IT"/>
        </w:rPr>
        <w:t xml:space="preserve">sue </w:t>
      </w:r>
      <w:r w:rsidRPr="005B3C1E">
        <w:rPr>
          <w:rFonts w:ascii="Garamond" w:eastAsia="Times New Roman" w:hAnsi="Garamond" w:cs="Times New Roman"/>
          <w:sz w:val="30"/>
          <w:szCs w:val="30"/>
          <w:lang w:eastAsia="it-IT"/>
        </w:rPr>
        <w:t>limitazioni).</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d) </w:t>
      </w:r>
      <w:r w:rsidR="007D280B" w:rsidRPr="005B3C1E">
        <w:rPr>
          <w:rFonts w:ascii="Garamond" w:eastAsia="Times New Roman" w:hAnsi="Garamond" w:cs="Times New Roman"/>
          <w:sz w:val="30"/>
          <w:szCs w:val="30"/>
          <w:lang w:eastAsia="it-IT"/>
        </w:rPr>
        <w:t xml:space="preserve">soprattutto accertare </w:t>
      </w:r>
      <w:r w:rsidRPr="005B3C1E">
        <w:rPr>
          <w:rFonts w:ascii="Garamond" w:eastAsia="Times New Roman" w:hAnsi="Garamond" w:cs="Times New Roman"/>
          <w:sz w:val="30"/>
          <w:szCs w:val="30"/>
          <w:lang w:eastAsia="it-IT"/>
        </w:rPr>
        <w:t>se la proprietà privata definita dal codice civile è davvero, nel diritto vivente, la stessa proprietà privata tutelata dalla Costituzione.</w:t>
      </w:r>
    </w:p>
    <w:p w:rsidR="00B67EA8"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Questi interrogativi </w:t>
      </w:r>
      <w:r w:rsidR="00B67EA8" w:rsidRPr="005B3C1E">
        <w:rPr>
          <w:rFonts w:ascii="Garamond" w:eastAsia="Times New Roman" w:hAnsi="Garamond" w:cs="Times New Roman"/>
          <w:sz w:val="30"/>
          <w:szCs w:val="30"/>
          <w:lang w:eastAsia="it-IT"/>
        </w:rPr>
        <w:t>sembrano ben sintetizzati nell</w:t>
      </w:r>
      <w:r w:rsidRPr="005B3C1E">
        <w:rPr>
          <w:rFonts w:ascii="Garamond" w:eastAsia="Times New Roman" w:hAnsi="Garamond" w:cs="Times New Roman"/>
          <w:sz w:val="30"/>
          <w:szCs w:val="30"/>
          <w:lang w:eastAsia="it-IT"/>
        </w:rPr>
        <w:t>’osservazione secondo cui</w:t>
      </w:r>
      <w:r w:rsidR="00B67EA8" w:rsidRPr="005B3C1E">
        <w:rPr>
          <w:rFonts w:ascii="Garamond" w:eastAsia="Times New Roman" w:hAnsi="Garamond" w:cs="Times New Roman"/>
          <w:sz w:val="30"/>
          <w:szCs w:val="30"/>
          <w:lang w:eastAsia="it-IT"/>
        </w:rPr>
        <w:t xml:space="preserve"> “</w:t>
      </w:r>
      <w:r w:rsidR="00B67EA8" w:rsidRPr="005B3C1E">
        <w:rPr>
          <w:rFonts w:ascii="Garamond" w:eastAsia="Times New Roman" w:hAnsi="Garamond" w:cs="Times New Roman"/>
          <w:i/>
          <w:sz w:val="30"/>
          <w:szCs w:val="30"/>
          <w:lang w:eastAsia="it-IT"/>
        </w:rPr>
        <w:t>all’occhio di chi guarda il panorama che offre il diritto di proprietà nella sua specifica disciplina giuridica, tendente alla realizzazione di interessi pubblici o privati diversi e talvolta contrastanti con quelli del proprietario, non si offre certo come una zona monotona e monocroma, ma piuttosto come un paesaggio ricco e vario</w:t>
      </w:r>
      <w:r w:rsidR="00B67EA8" w:rsidRPr="005B3C1E">
        <w:rPr>
          <w:rFonts w:ascii="Garamond" w:eastAsia="Times New Roman" w:hAnsi="Garamond" w:cs="Times New Roman"/>
          <w:sz w:val="30"/>
          <w:szCs w:val="30"/>
          <w:lang w:eastAsia="it-IT"/>
        </w:rPr>
        <w:t>” (</w:t>
      </w:r>
      <w:proofErr w:type="spellStart"/>
      <w:r w:rsidR="00B67EA8" w:rsidRPr="005B3C1E">
        <w:rPr>
          <w:rFonts w:ascii="Garamond" w:eastAsia="Times New Roman" w:hAnsi="Garamond" w:cs="Times New Roman"/>
          <w:sz w:val="30"/>
          <w:szCs w:val="30"/>
          <w:lang w:eastAsia="it-IT"/>
        </w:rPr>
        <w:t>Pugliatti</w:t>
      </w:r>
      <w:proofErr w:type="spellEnd"/>
      <w:r w:rsidR="00B67EA8" w:rsidRPr="005B3C1E">
        <w:rPr>
          <w:rFonts w:ascii="Garamond" w:eastAsia="Times New Roman" w:hAnsi="Garamond" w:cs="Times New Roman"/>
          <w:sz w:val="30"/>
          <w:szCs w:val="30"/>
          <w:lang w:eastAsia="it-IT"/>
        </w:rPr>
        <w:t xml:space="preserve">, </w:t>
      </w:r>
      <w:r w:rsidR="00B67EA8" w:rsidRPr="005B3C1E">
        <w:rPr>
          <w:rFonts w:ascii="Garamond" w:eastAsia="Times New Roman" w:hAnsi="Garamond" w:cs="Times New Roman"/>
          <w:i/>
          <w:sz w:val="30"/>
          <w:szCs w:val="30"/>
          <w:lang w:eastAsia="it-IT"/>
        </w:rPr>
        <w:t>Strumenti tecnico-giuridici per la tutela dell’interesse pubblico nella proprietà</w:t>
      </w:r>
      <w:r w:rsidR="00B67EA8" w:rsidRPr="005B3C1E">
        <w:rPr>
          <w:rFonts w:ascii="Garamond" w:eastAsia="Times New Roman" w:hAnsi="Garamond" w:cs="Times New Roman"/>
          <w:sz w:val="30"/>
          <w:szCs w:val="30"/>
          <w:lang w:eastAsia="it-IT"/>
        </w:rPr>
        <w:t xml:space="preserve">, in </w:t>
      </w:r>
      <w:r w:rsidR="00B67EA8" w:rsidRPr="005B3C1E">
        <w:rPr>
          <w:rFonts w:ascii="Garamond" w:eastAsia="Times New Roman" w:hAnsi="Garamond" w:cs="Times New Roman"/>
          <w:i/>
          <w:sz w:val="30"/>
          <w:szCs w:val="30"/>
          <w:lang w:eastAsia="it-IT"/>
        </w:rPr>
        <w:t>La proprietà nel nuovo diritto</w:t>
      </w:r>
      <w:r w:rsidR="00B67EA8" w:rsidRPr="005B3C1E">
        <w:rPr>
          <w:rFonts w:ascii="Garamond" w:eastAsia="Times New Roman" w:hAnsi="Garamond" w:cs="Times New Roman"/>
          <w:sz w:val="30"/>
          <w:szCs w:val="30"/>
          <w:lang w:eastAsia="it-IT"/>
        </w:rPr>
        <w:t>, Milano, 1964).</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1.4.) Non si può, infine, prescindere, sempre sul piano metodologico, dalla necessità di umanizzare la vicenda contenziosa: un tratto ben presente nel </w:t>
      </w:r>
      <w:r w:rsidR="00B67EA8" w:rsidRPr="005B3C1E">
        <w:rPr>
          <w:rFonts w:ascii="Garamond" w:eastAsia="Times New Roman" w:hAnsi="Garamond" w:cs="Times New Roman"/>
          <w:sz w:val="30"/>
          <w:szCs w:val="30"/>
          <w:lang w:eastAsia="it-IT"/>
        </w:rPr>
        <w:t xml:space="preserve">patrimonio genetico </w:t>
      </w:r>
      <w:r w:rsidRPr="005B3C1E">
        <w:rPr>
          <w:rFonts w:ascii="Garamond" w:eastAsia="Times New Roman" w:hAnsi="Garamond" w:cs="Times New Roman"/>
          <w:sz w:val="30"/>
          <w:szCs w:val="30"/>
          <w:lang w:eastAsia="it-IT"/>
        </w:rPr>
        <w:t>del giudice amministrativo, soprattutto</w:t>
      </w:r>
      <w:r w:rsidR="00B67EA8" w:rsidRPr="005B3C1E">
        <w:rPr>
          <w:rFonts w:ascii="Garamond" w:eastAsia="Times New Roman" w:hAnsi="Garamond" w:cs="Times New Roman"/>
          <w:sz w:val="30"/>
          <w:szCs w:val="30"/>
          <w:lang w:eastAsia="it-IT"/>
        </w:rPr>
        <w:t xml:space="preserve"> – </w:t>
      </w:r>
      <w:r w:rsidRPr="005B3C1E">
        <w:rPr>
          <w:rFonts w:ascii="Garamond" w:eastAsia="Times New Roman" w:hAnsi="Garamond" w:cs="Times New Roman"/>
          <w:sz w:val="30"/>
          <w:szCs w:val="30"/>
          <w:lang w:eastAsia="it-IT"/>
        </w:rPr>
        <w:t>per ovvie ragioni</w:t>
      </w:r>
      <w:r w:rsidR="00B67EA8" w:rsidRPr="005B3C1E">
        <w:rPr>
          <w:rFonts w:ascii="Garamond" w:eastAsia="Times New Roman" w:hAnsi="Garamond" w:cs="Times New Roman"/>
          <w:sz w:val="30"/>
          <w:szCs w:val="30"/>
          <w:lang w:eastAsia="it-IT"/>
        </w:rPr>
        <w:t xml:space="preserve"> di prossimità ai fatti – </w:t>
      </w:r>
      <w:r w:rsidRPr="005B3C1E">
        <w:rPr>
          <w:rFonts w:ascii="Garamond" w:eastAsia="Times New Roman" w:hAnsi="Garamond" w:cs="Times New Roman"/>
          <w:sz w:val="30"/>
          <w:szCs w:val="30"/>
          <w:lang w:eastAsia="it-IT"/>
        </w:rPr>
        <w:t>di quello di primo grado, il quale molto spesso è vicinissimo alle questioni, conosce i luoghi e gli aspetti di contorno, matura, insomma, una sensibilità del tutto particolare.</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L’umanizzazione </w:t>
      </w:r>
      <w:r w:rsidR="00B67EA8" w:rsidRPr="005B3C1E">
        <w:rPr>
          <w:rFonts w:ascii="Garamond" w:eastAsia="Times New Roman" w:hAnsi="Garamond" w:cs="Times New Roman"/>
          <w:sz w:val="30"/>
          <w:szCs w:val="30"/>
          <w:lang w:eastAsia="it-IT"/>
        </w:rPr>
        <w:t xml:space="preserve">– beninteso – </w:t>
      </w:r>
      <w:r w:rsidRPr="005B3C1E">
        <w:rPr>
          <w:rFonts w:ascii="Garamond" w:eastAsia="Times New Roman" w:hAnsi="Garamond" w:cs="Times New Roman"/>
          <w:sz w:val="30"/>
          <w:szCs w:val="30"/>
          <w:lang w:eastAsia="it-IT"/>
        </w:rPr>
        <w:t>non come alibi per una giu</w:t>
      </w:r>
      <w:r w:rsidR="00B67EA8" w:rsidRPr="005B3C1E">
        <w:rPr>
          <w:rFonts w:ascii="Garamond" w:eastAsia="Times New Roman" w:hAnsi="Garamond" w:cs="Times New Roman"/>
          <w:sz w:val="30"/>
          <w:szCs w:val="30"/>
          <w:lang w:eastAsia="it-IT"/>
        </w:rPr>
        <w:t>risdizione oggettiva che svaluti</w:t>
      </w:r>
      <w:r w:rsidRPr="005B3C1E">
        <w:rPr>
          <w:rFonts w:ascii="Garamond" w:eastAsia="Times New Roman" w:hAnsi="Garamond" w:cs="Times New Roman"/>
          <w:sz w:val="30"/>
          <w:szCs w:val="30"/>
          <w:lang w:eastAsia="it-IT"/>
        </w:rPr>
        <w:t xml:space="preserve"> il principio di legalità, ma come consapevolezza che per temi “sensibili” come l’occupazione della proprietà da parte della pubblica Amministrazione il cittadino percepisce il potere e le sue ripercussioni in (più banali, ma fondamentali) termini di torto/ragione.</w:t>
      </w:r>
    </w:p>
    <w:p w:rsidR="00B67EA8" w:rsidRPr="005B3C1E" w:rsidRDefault="00B67EA8" w:rsidP="001D754F">
      <w:pPr>
        <w:jc w:val="both"/>
        <w:rPr>
          <w:rFonts w:ascii="Garamond" w:eastAsia="Times New Roman" w:hAnsi="Garamond" w:cs="Times New Roman"/>
          <w:sz w:val="30"/>
          <w:szCs w:val="30"/>
          <w:lang w:eastAsia="it-IT"/>
        </w:rPr>
      </w:pPr>
    </w:p>
    <w:p w:rsidR="001D754F" w:rsidRPr="005B3C1E" w:rsidRDefault="001D754F" w:rsidP="001D754F">
      <w:pPr>
        <w:jc w:val="both"/>
        <w:rPr>
          <w:rFonts w:ascii="Garamond" w:eastAsia="Times New Roman" w:hAnsi="Garamond" w:cs="Times New Roman"/>
          <w:b/>
          <w:i/>
          <w:sz w:val="30"/>
          <w:szCs w:val="30"/>
          <w:lang w:eastAsia="it-IT"/>
        </w:rPr>
      </w:pPr>
      <w:r w:rsidRPr="005B3C1E">
        <w:rPr>
          <w:rFonts w:ascii="Garamond" w:eastAsia="Times New Roman" w:hAnsi="Garamond" w:cs="Times New Roman"/>
          <w:b/>
          <w:i/>
          <w:sz w:val="30"/>
          <w:szCs w:val="30"/>
          <w:lang w:eastAsia="it-IT"/>
        </w:rPr>
        <w:t>2. Lo stato dell’arte della giurisprudenza amministrativa.</w:t>
      </w:r>
    </w:p>
    <w:p w:rsidR="00B67EA8" w:rsidRPr="005B3C1E" w:rsidRDefault="00B103FE"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2.1) </w:t>
      </w:r>
      <w:r w:rsidR="00B67EA8" w:rsidRPr="005B3C1E">
        <w:rPr>
          <w:rFonts w:ascii="Garamond" w:eastAsia="Times New Roman" w:hAnsi="Garamond" w:cs="Times New Roman"/>
          <w:sz w:val="30"/>
          <w:szCs w:val="30"/>
          <w:lang w:eastAsia="it-IT"/>
        </w:rPr>
        <w:t xml:space="preserve">Per brevità </w:t>
      </w:r>
      <w:r w:rsidRPr="005B3C1E">
        <w:rPr>
          <w:rFonts w:ascii="Garamond" w:eastAsia="Times New Roman" w:hAnsi="Garamond" w:cs="Times New Roman"/>
          <w:sz w:val="30"/>
          <w:szCs w:val="30"/>
          <w:lang w:eastAsia="it-IT"/>
        </w:rPr>
        <w:t xml:space="preserve">si possono, </w:t>
      </w:r>
      <w:r w:rsidR="00B67EA8" w:rsidRPr="005B3C1E">
        <w:rPr>
          <w:rFonts w:ascii="Garamond" w:eastAsia="Times New Roman" w:hAnsi="Garamond" w:cs="Times New Roman"/>
          <w:sz w:val="30"/>
          <w:szCs w:val="30"/>
          <w:lang w:eastAsia="it-IT"/>
        </w:rPr>
        <w:t xml:space="preserve">anzitutto, </w:t>
      </w:r>
      <w:r w:rsidRPr="005B3C1E">
        <w:rPr>
          <w:rFonts w:ascii="Garamond" w:eastAsia="Times New Roman" w:hAnsi="Garamond" w:cs="Times New Roman"/>
          <w:sz w:val="30"/>
          <w:szCs w:val="30"/>
          <w:lang w:eastAsia="it-IT"/>
        </w:rPr>
        <w:t xml:space="preserve">riepilogare </w:t>
      </w:r>
      <w:r w:rsidR="00B67EA8" w:rsidRPr="005B3C1E">
        <w:rPr>
          <w:rFonts w:ascii="Garamond" w:eastAsia="Times New Roman" w:hAnsi="Garamond" w:cs="Times New Roman"/>
          <w:sz w:val="30"/>
          <w:szCs w:val="30"/>
          <w:lang w:eastAsia="it-IT"/>
        </w:rPr>
        <w:t>le acquisizioni sostanzialmente</w:t>
      </w:r>
      <w:r w:rsidR="005B3C1E">
        <w:rPr>
          <w:rFonts w:ascii="Garamond" w:eastAsia="Times New Roman" w:hAnsi="Garamond" w:cs="Times New Roman"/>
          <w:sz w:val="30"/>
          <w:szCs w:val="30"/>
          <w:lang w:eastAsia="it-IT"/>
        </w:rPr>
        <w:t xml:space="preserve"> pacifiche</w:t>
      </w:r>
      <w:r w:rsidR="00B67EA8" w:rsidRPr="005B3C1E">
        <w:rPr>
          <w:rFonts w:ascii="Garamond" w:eastAsia="Times New Roman" w:hAnsi="Garamond" w:cs="Times New Roman"/>
          <w:sz w:val="30"/>
          <w:szCs w:val="30"/>
          <w:lang w:eastAsia="it-IT"/>
        </w:rPr>
        <w:t>.</w:t>
      </w:r>
    </w:p>
    <w:p w:rsidR="001D754F" w:rsidRPr="005B3C1E" w:rsidRDefault="00B67EA8" w:rsidP="00F45A9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È, in primo luogo, assodata la giurisdizione esclusiva del giudice amministrativo in base al </w:t>
      </w:r>
      <w:r w:rsidR="001D754F" w:rsidRPr="005B3C1E">
        <w:rPr>
          <w:rFonts w:ascii="Garamond" w:eastAsia="Times New Roman" w:hAnsi="Garamond" w:cs="Times New Roman"/>
          <w:sz w:val="30"/>
          <w:szCs w:val="30"/>
          <w:lang w:eastAsia="it-IT"/>
        </w:rPr>
        <w:t xml:space="preserve">consolidato orientamento delle Sezioni Unite della Cassazione (ribadito con sentenza 28 marzo 2019, n. 8675; id., 29 gennaio 2018, n. 2145; id., 16 aprile 2018, n. 9334; id., 25 luglio 2016, n. 15284), </w:t>
      </w:r>
      <w:r w:rsidR="00015433">
        <w:rPr>
          <w:rFonts w:ascii="Garamond" w:eastAsia="Times New Roman" w:hAnsi="Garamond" w:cs="Times New Roman"/>
          <w:sz w:val="30"/>
          <w:szCs w:val="30"/>
          <w:lang w:eastAsia="it-IT"/>
        </w:rPr>
        <w:t xml:space="preserve">sia </w:t>
      </w:r>
      <w:r w:rsidR="001D754F" w:rsidRPr="005B3C1E">
        <w:rPr>
          <w:rFonts w:ascii="Garamond" w:eastAsia="Times New Roman" w:hAnsi="Garamond" w:cs="Times New Roman"/>
          <w:sz w:val="30"/>
          <w:szCs w:val="30"/>
          <w:lang w:eastAsia="it-IT"/>
        </w:rPr>
        <w:t>per le</w:t>
      </w:r>
      <w:r w:rsidRPr="005B3C1E">
        <w:rPr>
          <w:rFonts w:ascii="Garamond" w:eastAsia="Times New Roman" w:hAnsi="Garamond" w:cs="Times New Roman"/>
          <w:sz w:val="30"/>
          <w:szCs w:val="30"/>
          <w:lang w:eastAsia="it-IT"/>
        </w:rPr>
        <w:t xml:space="preserve"> controversie aventi ad oggetto </w:t>
      </w:r>
      <w:r w:rsidR="001D754F" w:rsidRPr="005B3C1E">
        <w:rPr>
          <w:rFonts w:ascii="Garamond" w:eastAsia="Times New Roman" w:hAnsi="Garamond" w:cs="Times New Roman"/>
          <w:sz w:val="30"/>
          <w:szCs w:val="30"/>
          <w:lang w:eastAsia="it-IT"/>
        </w:rPr>
        <w:t>la restituzione di un suolo (con qualche pronuncia di segno opposto</w:t>
      </w:r>
      <w:r w:rsidR="00F45A9F" w:rsidRPr="005B3C1E">
        <w:rPr>
          <w:rFonts w:ascii="Garamond" w:eastAsia="Times New Roman" w:hAnsi="Garamond" w:cs="Times New Roman"/>
          <w:sz w:val="30"/>
          <w:szCs w:val="30"/>
          <w:lang w:eastAsia="it-IT"/>
        </w:rPr>
        <w:t xml:space="preserve">: cfr. Corte di Cassazione, sez. II, 17 ottobre 2017, n. 24485 in tema di domanda di retrocessione totale del fondo che sia dissociata dalla proposizione di una domanda di retrocessione parziale), </w:t>
      </w:r>
      <w:r w:rsidR="00015433">
        <w:rPr>
          <w:rFonts w:ascii="Garamond" w:eastAsia="Times New Roman" w:hAnsi="Garamond" w:cs="Times New Roman"/>
          <w:sz w:val="30"/>
          <w:szCs w:val="30"/>
          <w:lang w:eastAsia="it-IT"/>
        </w:rPr>
        <w:t>sia</w:t>
      </w:r>
      <w:r w:rsidR="00F45A9F" w:rsidRPr="005B3C1E">
        <w:rPr>
          <w:rFonts w:ascii="Garamond" w:eastAsia="Times New Roman" w:hAnsi="Garamond" w:cs="Times New Roman"/>
          <w:sz w:val="30"/>
          <w:szCs w:val="30"/>
          <w:lang w:eastAsia="it-IT"/>
        </w:rPr>
        <w:t xml:space="preserve"> per il</w:t>
      </w:r>
      <w:r w:rsidR="001D754F" w:rsidRPr="005B3C1E">
        <w:rPr>
          <w:rFonts w:ascii="Garamond" w:eastAsia="Times New Roman" w:hAnsi="Garamond" w:cs="Times New Roman"/>
          <w:sz w:val="30"/>
          <w:szCs w:val="30"/>
          <w:lang w:eastAsia="it-IT"/>
        </w:rPr>
        <w:t xml:space="preserve"> risarcimento del danno per la perdita della proprietà del</w:t>
      </w:r>
      <w:r w:rsidR="00F45A9F" w:rsidRPr="005B3C1E">
        <w:rPr>
          <w:rFonts w:ascii="Garamond" w:eastAsia="Times New Roman" w:hAnsi="Garamond" w:cs="Times New Roman"/>
          <w:sz w:val="30"/>
          <w:szCs w:val="30"/>
          <w:lang w:eastAsia="it-IT"/>
        </w:rPr>
        <w:t xml:space="preserve">l’immobile </w:t>
      </w:r>
      <w:r w:rsidR="001D754F" w:rsidRPr="005B3C1E">
        <w:rPr>
          <w:rFonts w:ascii="Garamond" w:eastAsia="Times New Roman" w:hAnsi="Garamond" w:cs="Times New Roman"/>
          <w:sz w:val="30"/>
          <w:szCs w:val="30"/>
          <w:lang w:eastAsia="it-IT"/>
        </w:rPr>
        <w:t>occupato d’urgenza</w:t>
      </w:r>
      <w:r w:rsidR="00F45A9F" w:rsidRPr="005B3C1E">
        <w:rPr>
          <w:rFonts w:ascii="Garamond" w:eastAsia="Times New Roman" w:hAnsi="Garamond" w:cs="Times New Roman"/>
          <w:sz w:val="30"/>
          <w:szCs w:val="30"/>
          <w:lang w:eastAsia="it-IT"/>
        </w:rPr>
        <w:t xml:space="preserve"> o</w:t>
      </w:r>
      <w:r w:rsidR="001D754F" w:rsidRPr="005B3C1E">
        <w:rPr>
          <w:rFonts w:ascii="Garamond" w:eastAsia="Times New Roman" w:hAnsi="Garamond" w:cs="Times New Roman"/>
          <w:sz w:val="30"/>
          <w:szCs w:val="30"/>
          <w:lang w:eastAsia="it-IT"/>
        </w:rPr>
        <w:t xml:space="preserve"> in forza di una dichiarazione di pubblica utilità e/o di indifferibilità e urgenza, ancorché illegittima perché priva dei termini iniziale e finale dei lavori.</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Il pr</w:t>
      </w:r>
      <w:r w:rsidR="00F45A9F" w:rsidRPr="005B3C1E">
        <w:rPr>
          <w:rFonts w:ascii="Garamond" w:eastAsia="Times New Roman" w:hAnsi="Garamond" w:cs="Times New Roman"/>
          <w:sz w:val="30"/>
          <w:szCs w:val="30"/>
          <w:lang w:eastAsia="it-IT"/>
        </w:rPr>
        <w:t xml:space="preserve">ofilo unificante, in questi casi, sarebbe rappresentato dall’affermazione che </w:t>
      </w:r>
      <w:r w:rsidRPr="005B3C1E">
        <w:rPr>
          <w:rFonts w:ascii="Garamond" w:eastAsia="Times New Roman" w:hAnsi="Garamond" w:cs="Times New Roman"/>
          <w:sz w:val="30"/>
          <w:szCs w:val="30"/>
          <w:lang w:eastAsia="it-IT"/>
        </w:rPr>
        <w:t xml:space="preserve">il comportamento della </w:t>
      </w:r>
      <w:r w:rsidR="00F45A9F" w:rsidRPr="005B3C1E">
        <w:rPr>
          <w:rFonts w:ascii="Garamond" w:eastAsia="Times New Roman" w:hAnsi="Garamond" w:cs="Times New Roman"/>
          <w:sz w:val="30"/>
          <w:szCs w:val="30"/>
          <w:lang w:eastAsia="it-IT"/>
        </w:rPr>
        <w:t xml:space="preserve">pubblica Amministrazione che </w:t>
      </w:r>
      <w:r w:rsidRPr="005B3C1E">
        <w:rPr>
          <w:rFonts w:ascii="Garamond" w:eastAsia="Times New Roman" w:hAnsi="Garamond" w:cs="Times New Roman"/>
          <w:sz w:val="30"/>
          <w:szCs w:val="30"/>
          <w:lang w:eastAsia="it-IT"/>
        </w:rPr>
        <w:t xml:space="preserve">genera la lesione </w:t>
      </w:r>
      <w:r w:rsidR="00F45A9F" w:rsidRPr="005B3C1E">
        <w:rPr>
          <w:rFonts w:ascii="Garamond" w:eastAsia="Times New Roman" w:hAnsi="Garamond" w:cs="Times New Roman"/>
          <w:sz w:val="30"/>
          <w:szCs w:val="30"/>
          <w:lang w:eastAsia="it-IT"/>
        </w:rPr>
        <w:t xml:space="preserve">sarebbe, pur sempre, </w:t>
      </w:r>
      <w:r w:rsidRPr="005B3C1E">
        <w:rPr>
          <w:rFonts w:ascii="Garamond" w:eastAsia="Times New Roman" w:hAnsi="Garamond" w:cs="Times New Roman"/>
          <w:sz w:val="30"/>
          <w:szCs w:val="30"/>
          <w:lang w:eastAsia="it-IT"/>
        </w:rPr>
        <w:t xml:space="preserve">la conseguenza di un assetto di interessi </w:t>
      </w:r>
      <w:r w:rsidR="00F45A9F" w:rsidRPr="005B3C1E">
        <w:rPr>
          <w:rFonts w:ascii="Garamond" w:eastAsia="Times New Roman" w:hAnsi="Garamond" w:cs="Times New Roman"/>
          <w:sz w:val="30"/>
          <w:szCs w:val="30"/>
          <w:lang w:eastAsia="it-IT"/>
        </w:rPr>
        <w:t xml:space="preserve">originato dall’esercizio di un </w:t>
      </w:r>
      <w:r w:rsidRPr="005B3C1E">
        <w:rPr>
          <w:rFonts w:ascii="Garamond" w:eastAsia="Times New Roman" w:hAnsi="Garamond" w:cs="Times New Roman"/>
          <w:sz w:val="30"/>
          <w:szCs w:val="30"/>
          <w:lang w:eastAsia="it-IT"/>
        </w:rPr>
        <w:t xml:space="preserve">potere amministrativo </w:t>
      </w:r>
      <w:r w:rsidR="00F45A9F" w:rsidRPr="005B3C1E">
        <w:rPr>
          <w:rFonts w:ascii="Garamond" w:eastAsia="Times New Roman" w:hAnsi="Garamond" w:cs="Times New Roman"/>
          <w:sz w:val="30"/>
          <w:szCs w:val="30"/>
          <w:lang w:eastAsia="it-IT"/>
        </w:rPr>
        <w:t>“</w:t>
      </w:r>
      <w:r w:rsidRPr="005B3C1E">
        <w:rPr>
          <w:rFonts w:ascii="Garamond" w:eastAsia="Times New Roman" w:hAnsi="Garamond" w:cs="Times New Roman"/>
          <w:i/>
          <w:sz w:val="30"/>
          <w:szCs w:val="30"/>
          <w:lang w:eastAsia="it-IT"/>
        </w:rPr>
        <w:t>in concreto esistente, riguardante l’individuazione e la configurazione dell’opera pubblica sul territorio, cui la condotta successiva, anche se illegittima, si ricollega in senso causale</w:t>
      </w:r>
      <w:r w:rsidRPr="005B3C1E">
        <w:rPr>
          <w:rFonts w:ascii="Garamond" w:eastAsia="Times New Roman" w:hAnsi="Garamond" w:cs="Times New Roman"/>
          <w:sz w:val="30"/>
          <w:szCs w:val="30"/>
          <w:lang w:eastAsia="it-IT"/>
        </w:rPr>
        <w:t>”.</w:t>
      </w:r>
    </w:p>
    <w:p w:rsidR="001D754F" w:rsidRPr="005B3C1E" w:rsidRDefault="00F45A9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Altre, sostanziali, certezze si registrano</w:t>
      </w:r>
      <w:r w:rsidR="00015433">
        <w:rPr>
          <w:rFonts w:ascii="Garamond" w:eastAsia="Times New Roman" w:hAnsi="Garamond" w:cs="Times New Roman"/>
          <w:sz w:val="30"/>
          <w:szCs w:val="30"/>
          <w:lang w:eastAsia="it-IT"/>
        </w:rPr>
        <w:t>,</w:t>
      </w:r>
      <w:r w:rsidR="00B103FE" w:rsidRPr="005B3C1E">
        <w:rPr>
          <w:rFonts w:ascii="Garamond" w:eastAsia="Times New Roman" w:hAnsi="Garamond" w:cs="Times New Roman"/>
          <w:sz w:val="30"/>
          <w:szCs w:val="30"/>
          <w:lang w:eastAsia="it-IT"/>
        </w:rPr>
        <w:t xml:space="preserve"> poi,</w:t>
      </w:r>
      <w:r w:rsidRPr="005B3C1E">
        <w:rPr>
          <w:rFonts w:ascii="Garamond" w:eastAsia="Times New Roman" w:hAnsi="Garamond" w:cs="Times New Roman"/>
          <w:sz w:val="30"/>
          <w:szCs w:val="30"/>
          <w:lang w:eastAsia="it-IT"/>
        </w:rPr>
        <w:t xml:space="preserve"> in riferimento alla </w:t>
      </w:r>
      <w:r w:rsidR="001D754F" w:rsidRPr="005B3C1E">
        <w:rPr>
          <w:rFonts w:ascii="Garamond" w:eastAsia="Times New Roman" w:hAnsi="Garamond" w:cs="Times New Roman"/>
          <w:sz w:val="30"/>
          <w:szCs w:val="30"/>
          <w:lang w:eastAsia="it-IT"/>
        </w:rPr>
        <w:t>giurispr</w:t>
      </w:r>
      <w:r w:rsidRPr="005B3C1E">
        <w:rPr>
          <w:rFonts w:ascii="Garamond" w:eastAsia="Times New Roman" w:hAnsi="Garamond" w:cs="Times New Roman"/>
          <w:sz w:val="30"/>
          <w:szCs w:val="30"/>
          <w:lang w:eastAsia="it-IT"/>
        </w:rPr>
        <w:t>udenza della Corte Europea dei D</w:t>
      </w:r>
      <w:r w:rsidR="001D754F" w:rsidRPr="005B3C1E">
        <w:rPr>
          <w:rFonts w:ascii="Garamond" w:eastAsia="Times New Roman" w:hAnsi="Garamond" w:cs="Times New Roman"/>
          <w:sz w:val="30"/>
          <w:szCs w:val="30"/>
          <w:lang w:eastAsia="it-IT"/>
        </w:rPr>
        <w:t>iritti dell’Uomo</w:t>
      </w:r>
      <w:r w:rsidR="00D031DC" w:rsidRPr="005B3C1E">
        <w:rPr>
          <w:rFonts w:ascii="Garamond" w:eastAsia="Times New Roman" w:hAnsi="Garamond" w:cs="Times New Roman"/>
          <w:sz w:val="30"/>
          <w:szCs w:val="30"/>
          <w:lang w:eastAsia="it-IT"/>
        </w:rPr>
        <w:t xml:space="preserve"> (cfr. Carbonara &amp; Ventura c. Italia, 30 maggio 2000, ma non solo)</w:t>
      </w:r>
      <w:r w:rsidRPr="005B3C1E">
        <w:rPr>
          <w:rFonts w:ascii="Garamond" w:eastAsia="Times New Roman" w:hAnsi="Garamond" w:cs="Times New Roman"/>
          <w:sz w:val="30"/>
          <w:szCs w:val="30"/>
          <w:lang w:eastAsia="it-IT"/>
        </w:rPr>
        <w:t xml:space="preserve">, la quale ha escluso </w:t>
      </w:r>
      <w:r w:rsidR="001D754F" w:rsidRPr="005B3C1E">
        <w:rPr>
          <w:rFonts w:ascii="Garamond" w:eastAsia="Times New Roman" w:hAnsi="Garamond" w:cs="Times New Roman"/>
          <w:sz w:val="30"/>
          <w:szCs w:val="30"/>
          <w:lang w:eastAsia="it-IT"/>
        </w:rPr>
        <w:t>che l’istituto dell’accessione invertita (in tutte le sue sfumature e variabili giurisprudenziali) possa consentire che d</w:t>
      </w:r>
      <w:r w:rsidR="00015433">
        <w:rPr>
          <w:rFonts w:ascii="Garamond" w:eastAsia="Times New Roman" w:hAnsi="Garamond" w:cs="Times New Roman"/>
          <w:sz w:val="30"/>
          <w:szCs w:val="30"/>
          <w:lang w:eastAsia="it-IT"/>
        </w:rPr>
        <w:t>a una attività illecita della PA</w:t>
      </w:r>
      <w:r w:rsidR="001D754F" w:rsidRPr="005B3C1E">
        <w:rPr>
          <w:rFonts w:ascii="Garamond" w:eastAsia="Times New Roman" w:hAnsi="Garamond" w:cs="Times New Roman"/>
          <w:sz w:val="30"/>
          <w:szCs w:val="30"/>
          <w:lang w:eastAsia="it-IT"/>
        </w:rPr>
        <w:t xml:space="preserve"> possa derivare la perdita del diritto di proprietà da parte del privato: si applica, quindi, lo schema generale degli artt. 2043 e 2058 </w:t>
      </w:r>
      <w:r w:rsidRPr="005B3C1E">
        <w:rPr>
          <w:rFonts w:ascii="Garamond" w:eastAsia="Times New Roman" w:hAnsi="Garamond" w:cs="Times New Roman"/>
          <w:sz w:val="30"/>
          <w:szCs w:val="30"/>
          <w:lang w:eastAsia="it-IT"/>
        </w:rPr>
        <w:t>del codice civile</w:t>
      </w:r>
      <w:r w:rsidR="001D754F" w:rsidRPr="005B3C1E">
        <w:rPr>
          <w:rFonts w:ascii="Garamond" w:eastAsia="Times New Roman" w:hAnsi="Garamond" w:cs="Times New Roman"/>
          <w:sz w:val="30"/>
          <w:szCs w:val="30"/>
          <w:lang w:eastAsia="it-IT"/>
        </w:rPr>
        <w:t>.</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Il che </w:t>
      </w:r>
      <w:r w:rsidR="00F45A9F" w:rsidRPr="005B3C1E">
        <w:rPr>
          <w:rFonts w:ascii="Garamond" w:eastAsia="Times New Roman" w:hAnsi="Garamond" w:cs="Times New Roman"/>
          <w:sz w:val="30"/>
          <w:szCs w:val="30"/>
          <w:lang w:eastAsia="it-IT"/>
        </w:rPr>
        <w:t xml:space="preserve">– a mio modesto avviso – </w:t>
      </w:r>
      <w:r w:rsidRPr="005B3C1E">
        <w:rPr>
          <w:rFonts w:ascii="Garamond" w:eastAsia="Times New Roman" w:hAnsi="Garamond" w:cs="Times New Roman"/>
          <w:sz w:val="30"/>
          <w:szCs w:val="30"/>
          <w:lang w:eastAsia="it-IT"/>
        </w:rPr>
        <w:t>compendia le statuizioni dell’Adunanza plenaria n. 2/2016</w:t>
      </w:r>
      <w:r w:rsidR="005B3C1E">
        <w:rPr>
          <w:rFonts w:ascii="Garamond" w:eastAsia="Times New Roman" w:hAnsi="Garamond" w:cs="Times New Roman"/>
          <w:sz w:val="30"/>
          <w:szCs w:val="30"/>
          <w:lang w:eastAsia="it-IT"/>
        </w:rPr>
        <w:t xml:space="preserve">, secondo cui </w:t>
      </w:r>
      <w:r w:rsidRPr="005B3C1E">
        <w:rPr>
          <w:rFonts w:ascii="Garamond" w:eastAsia="Times New Roman" w:hAnsi="Garamond" w:cs="Times New Roman"/>
          <w:sz w:val="30"/>
          <w:szCs w:val="30"/>
          <w:lang w:eastAsia="it-IT"/>
        </w:rPr>
        <w:t>“</w:t>
      </w:r>
      <w:r w:rsidRPr="005B3C1E">
        <w:rPr>
          <w:rFonts w:ascii="Garamond" w:eastAsia="Times New Roman" w:hAnsi="Garamond" w:cs="Times New Roman"/>
          <w:i/>
          <w:sz w:val="30"/>
          <w:szCs w:val="30"/>
          <w:lang w:eastAsia="it-IT"/>
        </w:rPr>
        <w:t>quale che sia la sua forma di manifestazione (vie di fatto, occupazione usurpativa, occupazione acquisitiva), la condotta illecita dell’amministrazione incidente sul diritto di proprietà non può comportare l’acquisizione del fondo e configura un illecito permanente ex art. 2043 c.c.</w:t>
      </w:r>
      <w:r w:rsidRPr="005B3C1E">
        <w:rPr>
          <w:rFonts w:ascii="Garamond" w:eastAsia="Times New Roman" w:hAnsi="Garamond" w:cs="Times New Roman"/>
          <w:sz w:val="30"/>
          <w:szCs w:val="30"/>
          <w:lang w:eastAsia="it-IT"/>
        </w:rPr>
        <w:t>”</w:t>
      </w:r>
      <w:r w:rsidR="00F45A9F" w:rsidRPr="005B3C1E">
        <w:rPr>
          <w:rFonts w:ascii="Garamond" w:eastAsia="Times New Roman" w:hAnsi="Garamond" w:cs="Times New Roman"/>
          <w:sz w:val="30"/>
          <w:szCs w:val="30"/>
          <w:lang w:eastAsia="it-IT"/>
        </w:rPr>
        <w:t>, senza</w:t>
      </w:r>
      <w:r w:rsidR="005B3C1E">
        <w:rPr>
          <w:rFonts w:ascii="Garamond" w:eastAsia="Times New Roman" w:hAnsi="Garamond" w:cs="Times New Roman"/>
          <w:sz w:val="30"/>
          <w:szCs w:val="30"/>
          <w:lang w:eastAsia="it-IT"/>
        </w:rPr>
        <w:t>, peraltro,</w:t>
      </w:r>
      <w:r w:rsidR="00F45A9F" w:rsidRPr="005B3C1E">
        <w:rPr>
          <w:rFonts w:ascii="Garamond" w:eastAsia="Times New Roman" w:hAnsi="Garamond" w:cs="Times New Roman"/>
          <w:sz w:val="30"/>
          <w:szCs w:val="30"/>
          <w:lang w:eastAsia="it-IT"/>
        </w:rPr>
        <w:t xml:space="preserve"> pregiudizio della possibilità che l’</w:t>
      </w:r>
      <w:r w:rsidRPr="005B3C1E">
        <w:rPr>
          <w:rFonts w:ascii="Garamond" w:eastAsia="Times New Roman" w:hAnsi="Garamond" w:cs="Times New Roman"/>
          <w:sz w:val="30"/>
          <w:szCs w:val="30"/>
          <w:lang w:eastAsia="it-IT"/>
        </w:rPr>
        <w:t xml:space="preserve">illecito </w:t>
      </w:r>
      <w:r w:rsidR="00F45A9F" w:rsidRPr="005B3C1E">
        <w:rPr>
          <w:rFonts w:ascii="Garamond" w:eastAsia="Times New Roman" w:hAnsi="Garamond" w:cs="Times New Roman"/>
          <w:sz w:val="30"/>
          <w:szCs w:val="30"/>
          <w:lang w:eastAsia="it-IT"/>
        </w:rPr>
        <w:t xml:space="preserve">venga meno per </w:t>
      </w:r>
      <w:r w:rsidR="00015433">
        <w:rPr>
          <w:rFonts w:ascii="Garamond" w:eastAsia="Times New Roman" w:hAnsi="Garamond" w:cs="Times New Roman"/>
          <w:sz w:val="30"/>
          <w:szCs w:val="30"/>
          <w:lang w:eastAsia="it-IT"/>
        </w:rPr>
        <w:t xml:space="preserve">effetto dell’applicazione di rimedi ormai tipizzati, </w:t>
      </w:r>
      <w:r w:rsidR="00F45A9F" w:rsidRPr="005B3C1E">
        <w:rPr>
          <w:rFonts w:ascii="Garamond" w:eastAsia="Times New Roman" w:hAnsi="Garamond" w:cs="Times New Roman"/>
          <w:sz w:val="30"/>
          <w:szCs w:val="30"/>
          <w:lang w:eastAsia="it-IT"/>
        </w:rPr>
        <w:t xml:space="preserve">quali la </w:t>
      </w:r>
      <w:r w:rsidRPr="005B3C1E">
        <w:rPr>
          <w:rFonts w:ascii="Garamond" w:eastAsia="Times New Roman" w:hAnsi="Garamond" w:cs="Times New Roman"/>
          <w:sz w:val="30"/>
          <w:szCs w:val="30"/>
          <w:lang w:eastAsia="it-IT"/>
        </w:rPr>
        <w:t>restituzione del fondo</w:t>
      </w:r>
      <w:r w:rsidR="00F45A9F" w:rsidRPr="005B3C1E">
        <w:rPr>
          <w:rFonts w:ascii="Garamond" w:eastAsia="Times New Roman" w:hAnsi="Garamond" w:cs="Times New Roman"/>
          <w:sz w:val="30"/>
          <w:szCs w:val="30"/>
          <w:lang w:eastAsia="it-IT"/>
        </w:rPr>
        <w:t>, l’</w:t>
      </w:r>
      <w:r w:rsidRPr="005B3C1E">
        <w:rPr>
          <w:rFonts w:ascii="Garamond" w:eastAsia="Times New Roman" w:hAnsi="Garamond" w:cs="Times New Roman"/>
          <w:sz w:val="30"/>
          <w:szCs w:val="30"/>
          <w:lang w:eastAsia="it-IT"/>
        </w:rPr>
        <w:t>accordo transattivo</w:t>
      </w:r>
      <w:r w:rsidR="00F45A9F" w:rsidRPr="005B3C1E">
        <w:rPr>
          <w:rFonts w:ascii="Garamond" w:eastAsia="Times New Roman" w:hAnsi="Garamond" w:cs="Times New Roman"/>
          <w:sz w:val="30"/>
          <w:szCs w:val="30"/>
          <w:lang w:eastAsia="it-IT"/>
        </w:rPr>
        <w:t xml:space="preserve">, la </w:t>
      </w:r>
      <w:r w:rsidRPr="005B3C1E">
        <w:rPr>
          <w:rFonts w:ascii="Garamond" w:eastAsia="Times New Roman" w:hAnsi="Garamond" w:cs="Times New Roman"/>
          <w:sz w:val="30"/>
          <w:szCs w:val="30"/>
          <w:lang w:eastAsia="it-IT"/>
        </w:rPr>
        <w:t>rinunzia abdicativa da parte del proprietario implicita nella richiesta di risarcimento del danno per equivalente monetario a fronte della irreversibile trasformazione del fondo</w:t>
      </w:r>
      <w:r w:rsidR="00F45A9F" w:rsidRPr="005B3C1E">
        <w:rPr>
          <w:rFonts w:ascii="Garamond" w:eastAsia="Times New Roman" w:hAnsi="Garamond" w:cs="Times New Roman"/>
          <w:sz w:val="30"/>
          <w:szCs w:val="30"/>
          <w:lang w:eastAsia="it-IT"/>
        </w:rPr>
        <w:t xml:space="preserve">, la </w:t>
      </w:r>
      <w:r w:rsidRPr="005B3C1E">
        <w:rPr>
          <w:rFonts w:ascii="Garamond" w:eastAsia="Times New Roman" w:hAnsi="Garamond" w:cs="Times New Roman"/>
          <w:sz w:val="30"/>
          <w:szCs w:val="30"/>
          <w:lang w:eastAsia="it-IT"/>
        </w:rPr>
        <w:t>compiuta usucapione</w:t>
      </w:r>
      <w:r w:rsidR="00F45A9F" w:rsidRPr="005B3C1E">
        <w:rPr>
          <w:rFonts w:ascii="Garamond" w:eastAsia="Times New Roman" w:hAnsi="Garamond" w:cs="Times New Roman"/>
          <w:sz w:val="30"/>
          <w:szCs w:val="30"/>
          <w:lang w:eastAsia="it-IT"/>
        </w:rPr>
        <w:t xml:space="preserve"> (</w:t>
      </w:r>
      <w:r w:rsidRPr="005B3C1E">
        <w:rPr>
          <w:rFonts w:ascii="Garamond" w:eastAsia="Times New Roman" w:hAnsi="Garamond" w:cs="Times New Roman"/>
          <w:sz w:val="30"/>
          <w:szCs w:val="30"/>
          <w:lang w:eastAsia="it-IT"/>
        </w:rPr>
        <w:t>ma solo nei ristretti limiti individuati dal Consiglio di Stato</w:t>
      </w:r>
      <w:r w:rsidR="00F45A9F" w:rsidRPr="005B3C1E">
        <w:rPr>
          <w:rFonts w:ascii="Garamond" w:eastAsia="Times New Roman" w:hAnsi="Garamond" w:cs="Times New Roman"/>
          <w:sz w:val="30"/>
          <w:szCs w:val="30"/>
          <w:lang w:eastAsia="it-IT"/>
        </w:rPr>
        <w:t xml:space="preserve">, vale a dire sulla base del </w:t>
      </w:r>
      <w:r w:rsidRPr="005B3C1E">
        <w:rPr>
          <w:rFonts w:ascii="Garamond" w:eastAsia="Times New Roman" w:hAnsi="Garamond" w:cs="Times New Roman"/>
          <w:sz w:val="30"/>
          <w:szCs w:val="30"/>
          <w:lang w:eastAsia="it-IT"/>
        </w:rPr>
        <w:t>carattere non violento della condotta</w:t>
      </w:r>
      <w:r w:rsidR="00015433">
        <w:rPr>
          <w:rFonts w:ascii="Garamond" w:eastAsia="Times New Roman" w:hAnsi="Garamond" w:cs="Times New Roman"/>
          <w:sz w:val="30"/>
          <w:szCs w:val="30"/>
          <w:lang w:eastAsia="it-IT"/>
        </w:rPr>
        <w:t xml:space="preserve"> e</w:t>
      </w:r>
      <w:r w:rsidR="00F45A9F" w:rsidRPr="005B3C1E">
        <w:rPr>
          <w:rFonts w:ascii="Garamond" w:eastAsia="Times New Roman" w:hAnsi="Garamond" w:cs="Times New Roman"/>
          <w:sz w:val="30"/>
          <w:szCs w:val="30"/>
          <w:lang w:eastAsia="it-IT"/>
        </w:rPr>
        <w:t xml:space="preserve"> dell’</w:t>
      </w:r>
      <w:proofErr w:type="spellStart"/>
      <w:r w:rsidR="00F45A9F" w:rsidRPr="005B3C1E">
        <w:rPr>
          <w:rFonts w:ascii="Garamond" w:eastAsia="Times New Roman" w:hAnsi="Garamond" w:cs="Times New Roman"/>
          <w:i/>
          <w:sz w:val="30"/>
          <w:szCs w:val="30"/>
          <w:lang w:eastAsia="it-IT"/>
        </w:rPr>
        <w:t>in</w:t>
      </w:r>
      <w:r w:rsidRPr="005B3C1E">
        <w:rPr>
          <w:rFonts w:ascii="Garamond" w:eastAsia="Times New Roman" w:hAnsi="Garamond" w:cs="Times New Roman"/>
          <w:i/>
          <w:sz w:val="30"/>
          <w:szCs w:val="30"/>
          <w:lang w:eastAsia="it-IT"/>
        </w:rPr>
        <w:t>terversio</w:t>
      </w:r>
      <w:proofErr w:type="spellEnd"/>
      <w:r w:rsidRPr="005B3C1E">
        <w:rPr>
          <w:rFonts w:ascii="Garamond" w:eastAsia="Times New Roman" w:hAnsi="Garamond" w:cs="Times New Roman"/>
          <w:i/>
          <w:sz w:val="30"/>
          <w:szCs w:val="30"/>
          <w:lang w:eastAsia="it-IT"/>
        </w:rPr>
        <w:t xml:space="preserve"> </w:t>
      </w:r>
      <w:proofErr w:type="spellStart"/>
      <w:r w:rsidRPr="005B3C1E">
        <w:rPr>
          <w:rFonts w:ascii="Garamond" w:eastAsia="Times New Roman" w:hAnsi="Garamond" w:cs="Times New Roman"/>
          <w:i/>
          <w:sz w:val="30"/>
          <w:szCs w:val="30"/>
          <w:lang w:eastAsia="it-IT"/>
        </w:rPr>
        <w:t>possessionis</w:t>
      </w:r>
      <w:proofErr w:type="spellEnd"/>
      <w:r w:rsidR="00F45A9F" w:rsidRPr="005B3C1E">
        <w:rPr>
          <w:rFonts w:ascii="Garamond" w:eastAsia="Times New Roman" w:hAnsi="Garamond" w:cs="Times New Roman"/>
          <w:sz w:val="30"/>
          <w:szCs w:val="30"/>
          <w:lang w:eastAsia="it-IT"/>
        </w:rPr>
        <w:t>), oltre che, naturalmente, a seguito dell’</w:t>
      </w:r>
      <w:r w:rsidRPr="005B3C1E">
        <w:rPr>
          <w:rFonts w:ascii="Garamond" w:eastAsia="Times New Roman" w:hAnsi="Garamond" w:cs="Times New Roman"/>
          <w:sz w:val="30"/>
          <w:szCs w:val="30"/>
          <w:lang w:eastAsia="it-IT"/>
        </w:rPr>
        <w:t>acqu</w:t>
      </w:r>
      <w:r w:rsidR="00F45A9F" w:rsidRPr="005B3C1E">
        <w:rPr>
          <w:rFonts w:ascii="Garamond" w:eastAsia="Times New Roman" w:hAnsi="Garamond" w:cs="Times New Roman"/>
          <w:sz w:val="30"/>
          <w:szCs w:val="30"/>
          <w:lang w:eastAsia="it-IT"/>
        </w:rPr>
        <w:t>isizione sanante ex art. 42-bis del testo unico sulle espropriazioni.</w:t>
      </w:r>
    </w:p>
    <w:p w:rsidR="001D754F" w:rsidRPr="005B3C1E" w:rsidRDefault="00B103FE"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Insomma, non vi è dubbio che l</w:t>
      </w:r>
      <w:r w:rsidR="001D754F" w:rsidRPr="005B3C1E">
        <w:rPr>
          <w:rFonts w:ascii="Garamond" w:eastAsia="Times New Roman" w:hAnsi="Garamond" w:cs="Times New Roman"/>
          <w:sz w:val="30"/>
          <w:szCs w:val="30"/>
          <w:lang w:eastAsia="it-IT"/>
        </w:rPr>
        <w:t>’illecito spossessamento de</w:t>
      </w:r>
      <w:r w:rsidRPr="005B3C1E">
        <w:rPr>
          <w:rFonts w:ascii="Garamond" w:eastAsia="Times New Roman" w:hAnsi="Garamond" w:cs="Times New Roman"/>
          <w:sz w:val="30"/>
          <w:szCs w:val="30"/>
          <w:lang w:eastAsia="it-IT"/>
        </w:rPr>
        <w:t>l privato da parte della PA e l’</w:t>
      </w:r>
      <w:r w:rsidR="001D754F" w:rsidRPr="005B3C1E">
        <w:rPr>
          <w:rFonts w:ascii="Garamond" w:eastAsia="Times New Roman" w:hAnsi="Garamond" w:cs="Times New Roman"/>
          <w:sz w:val="30"/>
          <w:szCs w:val="30"/>
          <w:lang w:eastAsia="it-IT"/>
        </w:rPr>
        <w:t>irreversibile trasformazione del suo terreno per la costruzione di un'opera pubblica non d</w:t>
      </w:r>
      <w:r w:rsidRPr="005B3C1E">
        <w:rPr>
          <w:rFonts w:ascii="Garamond" w:eastAsia="Times New Roman" w:hAnsi="Garamond" w:cs="Times New Roman"/>
          <w:sz w:val="30"/>
          <w:szCs w:val="30"/>
          <w:lang w:eastAsia="it-IT"/>
        </w:rPr>
        <w:t>iano</w:t>
      </w:r>
      <w:r w:rsidR="001D754F" w:rsidRPr="005B3C1E">
        <w:rPr>
          <w:rFonts w:ascii="Garamond" w:eastAsia="Times New Roman" w:hAnsi="Garamond" w:cs="Times New Roman"/>
          <w:sz w:val="30"/>
          <w:szCs w:val="30"/>
          <w:lang w:eastAsia="it-IT"/>
        </w:rPr>
        <w:t xml:space="preserve"> luogo, anche quando vi sia stata dichiarazione di pubb</w:t>
      </w:r>
      <w:r w:rsidRPr="005B3C1E">
        <w:rPr>
          <w:rFonts w:ascii="Garamond" w:eastAsia="Times New Roman" w:hAnsi="Garamond" w:cs="Times New Roman"/>
          <w:sz w:val="30"/>
          <w:szCs w:val="30"/>
          <w:lang w:eastAsia="it-IT"/>
        </w:rPr>
        <w:t>lica utilità, all'acquisto dell’</w:t>
      </w:r>
      <w:r w:rsidR="001D754F" w:rsidRPr="005B3C1E">
        <w:rPr>
          <w:rFonts w:ascii="Garamond" w:eastAsia="Times New Roman" w:hAnsi="Garamond" w:cs="Times New Roman"/>
          <w:sz w:val="30"/>
          <w:szCs w:val="30"/>
          <w:lang w:eastAsia="it-IT"/>
        </w:rPr>
        <w:t>area da parte dell'Amministrazione</w:t>
      </w:r>
      <w:r w:rsidRPr="005B3C1E">
        <w:rPr>
          <w:rFonts w:ascii="Garamond" w:eastAsia="Times New Roman" w:hAnsi="Garamond" w:cs="Times New Roman"/>
          <w:sz w:val="30"/>
          <w:szCs w:val="30"/>
          <w:lang w:eastAsia="it-IT"/>
        </w:rPr>
        <w:t xml:space="preserve">, restando integro il diritto del </w:t>
      </w:r>
      <w:r w:rsidR="001D754F" w:rsidRPr="005B3C1E">
        <w:rPr>
          <w:rFonts w:ascii="Garamond" w:eastAsia="Times New Roman" w:hAnsi="Garamond" w:cs="Times New Roman"/>
          <w:sz w:val="30"/>
          <w:szCs w:val="30"/>
          <w:lang w:eastAsia="it-IT"/>
        </w:rPr>
        <w:t xml:space="preserve">privato </w:t>
      </w:r>
      <w:r w:rsidRPr="005B3C1E">
        <w:rPr>
          <w:rFonts w:ascii="Garamond" w:eastAsia="Times New Roman" w:hAnsi="Garamond" w:cs="Times New Roman"/>
          <w:sz w:val="30"/>
          <w:szCs w:val="30"/>
          <w:lang w:eastAsia="it-IT"/>
        </w:rPr>
        <w:t xml:space="preserve">di </w:t>
      </w:r>
      <w:r w:rsidR="001D754F" w:rsidRPr="005B3C1E">
        <w:rPr>
          <w:rFonts w:ascii="Garamond" w:eastAsia="Times New Roman" w:hAnsi="Garamond" w:cs="Times New Roman"/>
          <w:sz w:val="30"/>
          <w:szCs w:val="30"/>
          <w:lang w:eastAsia="it-IT"/>
        </w:rPr>
        <w:t xml:space="preserve">chiederne la restituzione salvo che non decida di abdicare al suo diritto e chiedere il risarcimento del danno. </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Il privato, inoltre, </w:t>
      </w:r>
      <w:r w:rsidR="00B103FE" w:rsidRPr="005B3C1E">
        <w:rPr>
          <w:rFonts w:ascii="Garamond" w:eastAsia="Times New Roman" w:hAnsi="Garamond" w:cs="Times New Roman"/>
          <w:sz w:val="30"/>
          <w:szCs w:val="30"/>
          <w:lang w:eastAsia="it-IT"/>
        </w:rPr>
        <w:t xml:space="preserve">è legittimato a chiedere il </w:t>
      </w:r>
      <w:r w:rsidRPr="005B3C1E">
        <w:rPr>
          <w:rFonts w:ascii="Garamond" w:eastAsia="Times New Roman" w:hAnsi="Garamond" w:cs="Times New Roman"/>
          <w:sz w:val="30"/>
          <w:szCs w:val="30"/>
          <w:lang w:eastAsia="it-IT"/>
        </w:rPr>
        <w:t xml:space="preserve">risarcimento dei danni per il periodo, non coperto dall'eventuale occupazione legittima, durante il quale </w:t>
      </w:r>
      <w:r w:rsidR="00B103FE" w:rsidRPr="005B3C1E">
        <w:rPr>
          <w:rFonts w:ascii="Garamond" w:eastAsia="Times New Roman" w:hAnsi="Garamond" w:cs="Times New Roman"/>
          <w:sz w:val="30"/>
          <w:szCs w:val="30"/>
          <w:lang w:eastAsia="it-IT"/>
        </w:rPr>
        <w:t xml:space="preserve">alleghi di aver </w:t>
      </w:r>
      <w:r w:rsidRPr="005B3C1E">
        <w:rPr>
          <w:rFonts w:ascii="Garamond" w:eastAsia="Times New Roman" w:hAnsi="Garamond" w:cs="Times New Roman"/>
          <w:sz w:val="30"/>
          <w:szCs w:val="30"/>
          <w:lang w:eastAsia="it-IT"/>
        </w:rPr>
        <w:t xml:space="preserve">subìto la perdita delle utilità ricavabili dal </w:t>
      </w:r>
      <w:r w:rsidR="00B103FE" w:rsidRPr="005B3C1E">
        <w:rPr>
          <w:rFonts w:ascii="Garamond" w:eastAsia="Times New Roman" w:hAnsi="Garamond" w:cs="Times New Roman"/>
          <w:sz w:val="30"/>
          <w:szCs w:val="30"/>
          <w:lang w:eastAsia="it-IT"/>
        </w:rPr>
        <w:t>terreno, e</w:t>
      </w:r>
      <w:r w:rsidRPr="005B3C1E">
        <w:rPr>
          <w:rFonts w:ascii="Garamond" w:eastAsia="Times New Roman" w:hAnsi="Garamond" w:cs="Times New Roman"/>
          <w:sz w:val="30"/>
          <w:szCs w:val="30"/>
          <w:lang w:eastAsia="it-IT"/>
        </w:rPr>
        <w:t xml:space="preserve"> ciò</w:t>
      </w:r>
      <w:r w:rsidR="00B103FE" w:rsidRPr="005B3C1E">
        <w:rPr>
          <w:rFonts w:ascii="Garamond" w:eastAsia="Times New Roman" w:hAnsi="Garamond" w:cs="Times New Roman"/>
          <w:sz w:val="30"/>
          <w:szCs w:val="30"/>
          <w:lang w:eastAsia="it-IT"/>
        </w:rPr>
        <w:t xml:space="preserve"> sino al momento della restituzione </w:t>
      </w:r>
      <w:r w:rsidRPr="005B3C1E">
        <w:rPr>
          <w:rFonts w:ascii="Garamond" w:eastAsia="Times New Roman" w:hAnsi="Garamond" w:cs="Times New Roman"/>
          <w:sz w:val="30"/>
          <w:szCs w:val="30"/>
          <w:lang w:eastAsia="it-IT"/>
        </w:rPr>
        <w:t xml:space="preserve">ovvero sino al momento in cui </w:t>
      </w:r>
      <w:r w:rsidR="00B103FE" w:rsidRPr="005B3C1E">
        <w:rPr>
          <w:rFonts w:ascii="Garamond" w:eastAsia="Times New Roman" w:hAnsi="Garamond" w:cs="Times New Roman"/>
          <w:sz w:val="30"/>
          <w:szCs w:val="30"/>
          <w:lang w:eastAsia="it-IT"/>
        </w:rPr>
        <w:t xml:space="preserve">abbia </w:t>
      </w:r>
      <w:r w:rsidRPr="005B3C1E">
        <w:rPr>
          <w:rFonts w:ascii="Garamond" w:eastAsia="Times New Roman" w:hAnsi="Garamond" w:cs="Times New Roman"/>
          <w:sz w:val="30"/>
          <w:szCs w:val="30"/>
          <w:lang w:eastAsia="it-IT"/>
        </w:rPr>
        <w:t>chiesto il risarcimento del danno per equivalente, abdicando alla proprietà del terreno</w:t>
      </w:r>
      <w:r w:rsidR="00B103FE" w:rsidRPr="005B3C1E">
        <w:rPr>
          <w:rFonts w:ascii="Garamond" w:eastAsia="Times New Roman" w:hAnsi="Garamond" w:cs="Times New Roman"/>
          <w:sz w:val="30"/>
          <w:szCs w:val="30"/>
          <w:lang w:eastAsia="it-IT"/>
        </w:rPr>
        <w:t xml:space="preserve"> (cfr. Corte di </w:t>
      </w:r>
      <w:r w:rsidRPr="005B3C1E">
        <w:rPr>
          <w:rFonts w:ascii="Garamond" w:eastAsia="Times New Roman" w:hAnsi="Garamond" w:cs="Times New Roman"/>
          <w:sz w:val="30"/>
          <w:szCs w:val="30"/>
          <w:lang w:eastAsia="it-IT"/>
        </w:rPr>
        <w:t>Cassazione, sezioni unite,</w:t>
      </w:r>
      <w:r w:rsidR="00B103FE" w:rsidRPr="005B3C1E">
        <w:rPr>
          <w:rFonts w:ascii="Garamond" w:eastAsia="Times New Roman" w:hAnsi="Garamond" w:cs="Times New Roman"/>
          <w:sz w:val="30"/>
          <w:szCs w:val="30"/>
          <w:lang w:eastAsia="it-IT"/>
        </w:rPr>
        <w:t xml:space="preserve"> </w:t>
      </w:r>
      <w:r w:rsidRPr="005B3C1E">
        <w:rPr>
          <w:rFonts w:ascii="Garamond" w:eastAsia="Times New Roman" w:hAnsi="Garamond" w:cs="Times New Roman"/>
          <w:sz w:val="30"/>
          <w:szCs w:val="30"/>
          <w:lang w:eastAsia="it-IT"/>
        </w:rPr>
        <w:t>19 gennaio 2015, n. 735).</w:t>
      </w:r>
    </w:p>
    <w:p w:rsidR="001D754F" w:rsidRPr="005B3C1E" w:rsidRDefault="00B103FE"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2.2.) Venendo, invece, al cuore delle questioni giurisprudenziali più dibattute, aiuta </w:t>
      </w:r>
      <w:r w:rsidR="001D754F" w:rsidRPr="005B3C1E">
        <w:rPr>
          <w:rFonts w:ascii="Garamond" w:eastAsia="Times New Roman" w:hAnsi="Garamond" w:cs="Times New Roman"/>
          <w:sz w:val="30"/>
          <w:szCs w:val="30"/>
          <w:lang w:eastAsia="it-IT"/>
        </w:rPr>
        <w:t>molto l’analisi una pronuncia recente del Consiglio di Stato (sez. IV, n. 3428 del 27 maggio 2019)</w:t>
      </w:r>
      <w:r w:rsidRPr="005B3C1E">
        <w:rPr>
          <w:rFonts w:ascii="Garamond" w:eastAsia="Times New Roman" w:hAnsi="Garamond" w:cs="Times New Roman"/>
          <w:sz w:val="30"/>
          <w:szCs w:val="30"/>
          <w:lang w:eastAsia="it-IT"/>
        </w:rPr>
        <w:t xml:space="preserve">, la quale ha, indubbiamente, affrontato in modo </w:t>
      </w:r>
      <w:r w:rsidR="001D754F" w:rsidRPr="005B3C1E">
        <w:rPr>
          <w:rFonts w:ascii="Garamond" w:eastAsia="Times New Roman" w:hAnsi="Garamond" w:cs="Times New Roman"/>
          <w:sz w:val="30"/>
          <w:szCs w:val="30"/>
          <w:lang w:eastAsia="it-IT"/>
        </w:rPr>
        <w:t xml:space="preserve">diretto le questioni </w:t>
      </w:r>
      <w:r w:rsidRPr="005B3C1E">
        <w:rPr>
          <w:rFonts w:ascii="Garamond" w:eastAsia="Times New Roman" w:hAnsi="Garamond" w:cs="Times New Roman"/>
          <w:sz w:val="30"/>
          <w:szCs w:val="30"/>
          <w:lang w:eastAsia="it-IT"/>
        </w:rPr>
        <w:t>che sottendono il tema del danno da occupazione.</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Occorre premettere che tale pronuncia, favorevole alla teoria del riconoscimento del danno </w:t>
      </w:r>
      <w:r w:rsidRPr="00015433">
        <w:rPr>
          <w:rFonts w:ascii="Garamond" w:eastAsia="Times New Roman" w:hAnsi="Garamond" w:cs="Times New Roman"/>
          <w:i/>
          <w:sz w:val="30"/>
          <w:szCs w:val="30"/>
          <w:lang w:eastAsia="it-IT"/>
        </w:rPr>
        <w:t xml:space="preserve">in re </w:t>
      </w:r>
      <w:proofErr w:type="spellStart"/>
      <w:r w:rsidRPr="00015433">
        <w:rPr>
          <w:rFonts w:ascii="Garamond" w:eastAsia="Times New Roman" w:hAnsi="Garamond" w:cs="Times New Roman"/>
          <w:i/>
          <w:sz w:val="30"/>
          <w:szCs w:val="30"/>
          <w:lang w:eastAsia="it-IT"/>
        </w:rPr>
        <w:t>ipsa</w:t>
      </w:r>
      <w:proofErr w:type="spellEnd"/>
      <w:r w:rsidRPr="005B3C1E">
        <w:rPr>
          <w:rFonts w:ascii="Garamond" w:eastAsia="Times New Roman" w:hAnsi="Garamond" w:cs="Times New Roman"/>
          <w:sz w:val="30"/>
          <w:szCs w:val="30"/>
          <w:lang w:eastAsia="it-IT"/>
        </w:rPr>
        <w:t>, è stata preceduta da altre pronunce di merito fondate sull’opposto indirizzo del danno-conseguenza</w:t>
      </w:r>
      <w:r w:rsidR="00D031DC" w:rsidRPr="005B3C1E">
        <w:rPr>
          <w:rFonts w:ascii="Garamond" w:eastAsia="Times New Roman" w:hAnsi="Garamond" w:cs="Times New Roman"/>
          <w:sz w:val="30"/>
          <w:szCs w:val="30"/>
          <w:lang w:eastAsia="it-IT"/>
        </w:rPr>
        <w:t xml:space="preserve"> (</w:t>
      </w:r>
      <w:r w:rsidRPr="005B3C1E">
        <w:rPr>
          <w:rFonts w:ascii="Garamond" w:eastAsia="Times New Roman" w:hAnsi="Garamond" w:cs="Times New Roman"/>
          <w:sz w:val="30"/>
          <w:szCs w:val="30"/>
          <w:lang w:eastAsia="it-IT"/>
        </w:rPr>
        <w:t xml:space="preserve">TAR Puglia – Bari, </w:t>
      </w:r>
      <w:r w:rsidR="00D031DC" w:rsidRPr="005B3C1E">
        <w:rPr>
          <w:rFonts w:ascii="Garamond" w:eastAsia="Times New Roman" w:hAnsi="Garamond" w:cs="Times New Roman"/>
          <w:sz w:val="30"/>
          <w:szCs w:val="30"/>
          <w:lang w:eastAsia="it-IT"/>
        </w:rPr>
        <w:t xml:space="preserve">4 gennaio 2016, n. 1), così come, </w:t>
      </w:r>
      <w:r w:rsidRPr="005B3C1E">
        <w:rPr>
          <w:rFonts w:ascii="Garamond" w:eastAsia="Times New Roman" w:hAnsi="Garamond" w:cs="Times New Roman"/>
          <w:sz w:val="30"/>
          <w:szCs w:val="30"/>
          <w:lang w:eastAsia="it-IT"/>
        </w:rPr>
        <w:t xml:space="preserve">in tempi più recenti, si individuano altre pronunce che, sempre, paiono avvalorare l’indirizzo favorevole a </w:t>
      </w:r>
      <w:r w:rsidR="009C7D6A">
        <w:rPr>
          <w:rFonts w:ascii="Garamond" w:eastAsia="Times New Roman" w:hAnsi="Garamond" w:cs="Times New Roman"/>
          <w:sz w:val="30"/>
          <w:szCs w:val="30"/>
          <w:lang w:eastAsia="it-IT"/>
        </w:rPr>
        <w:t xml:space="preserve">richiedere l’assolvimento di </w:t>
      </w:r>
      <w:r w:rsidRPr="005B3C1E">
        <w:rPr>
          <w:rFonts w:ascii="Garamond" w:eastAsia="Times New Roman" w:hAnsi="Garamond" w:cs="Times New Roman"/>
          <w:sz w:val="30"/>
          <w:szCs w:val="30"/>
          <w:lang w:eastAsia="it-IT"/>
        </w:rPr>
        <w:t>un ordinario onere probatorio (TAR Lazio – Roma</w:t>
      </w:r>
      <w:r w:rsidR="00D031DC" w:rsidRPr="005B3C1E">
        <w:rPr>
          <w:rFonts w:ascii="Garamond" w:eastAsia="Times New Roman" w:hAnsi="Garamond" w:cs="Times New Roman"/>
          <w:sz w:val="30"/>
          <w:szCs w:val="30"/>
          <w:lang w:eastAsia="it-IT"/>
        </w:rPr>
        <w:t xml:space="preserve">, 19 novembre 2019, </w:t>
      </w:r>
      <w:r w:rsidRPr="005B3C1E">
        <w:rPr>
          <w:rFonts w:ascii="Garamond" w:eastAsia="Times New Roman" w:hAnsi="Garamond" w:cs="Times New Roman"/>
          <w:sz w:val="30"/>
          <w:szCs w:val="30"/>
          <w:lang w:eastAsia="it-IT"/>
        </w:rPr>
        <w:t xml:space="preserve">n. 13285). </w:t>
      </w:r>
    </w:p>
    <w:p w:rsidR="00D031DC" w:rsidRPr="005B3C1E" w:rsidRDefault="00D031DC"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Quali i termini della questione decisa </w:t>
      </w:r>
      <w:r w:rsidR="0007370D" w:rsidRPr="005B3C1E">
        <w:rPr>
          <w:rFonts w:ascii="Garamond" w:eastAsia="Times New Roman" w:hAnsi="Garamond" w:cs="Times New Roman"/>
          <w:sz w:val="30"/>
          <w:szCs w:val="30"/>
          <w:lang w:eastAsia="it-IT"/>
        </w:rPr>
        <w:t>dal Consiglio di Stato.</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La fattispecie: due proprietari chied</w:t>
      </w:r>
      <w:r w:rsidR="0007370D" w:rsidRPr="005B3C1E">
        <w:rPr>
          <w:rFonts w:ascii="Garamond" w:eastAsia="Times New Roman" w:hAnsi="Garamond" w:cs="Times New Roman"/>
          <w:sz w:val="30"/>
          <w:szCs w:val="30"/>
          <w:lang w:eastAsia="it-IT"/>
        </w:rPr>
        <w:t>evano</w:t>
      </w:r>
      <w:r w:rsidRPr="005B3C1E">
        <w:rPr>
          <w:rFonts w:ascii="Garamond" w:eastAsia="Times New Roman" w:hAnsi="Garamond" w:cs="Times New Roman"/>
          <w:sz w:val="30"/>
          <w:szCs w:val="30"/>
          <w:lang w:eastAsia="it-IT"/>
        </w:rPr>
        <w:t xml:space="preserve"> il risarcimento del danno subìto per effetto dell</w:t>
      </w:r>
      <w:r w:rsidR="0007370D" w:rsidRPr="005B3C1E">
        <w:rPr>
          <w:rFonts w:ascii="Garamond" w:eastAsia="Times New Roman" w:hAnsi="Garamond" w:cs="Times New Roman"/>
          <w:sz w:val="30"/>
          <w:szCs w:val="30"/>
          <w:lang w:eastAsia="it-IT"/>
        </w:rPr>
        <w:t>’</w:t>
      </w:r>
      <w:r w:rsidRPr="005B3C1E">
        <w:rPr>
          <w:rFonts w:ascii="Garamond" w:eastAsia="Times New Roman" w:hAnsi="Garamond" w:cs="Times New Roman"/>
          <w:sz w:val="30"/>
          <w:szCs w:val="30"/>
          <w:lang w:eastAsia="it-IT"/>
        </w:rPr>
        <w:t>occupazione illegittima di una parte della loro proprietà (</w:t>
      </w:r>
      <w:r w:rsidR="005B3C1E">
        <w:rPr>
          <w:rFonts w:ascii="Garamond" w:eastAsia="Times New Roman" w:hAnsi="Garamond" w:cs="Times New Roman"/>
          <w:sz w:val="30"/>
          <w:szCs w:val="30"/>
          <w:lang w:eastAsia="it-IT"/>
        </w:rPr>
        <w:t xml:space="preserve">circa </w:t>
      </w:r>
      <w:r w:rsidRPr="005B3C1E">
        <w:rPr>
          <w:rFonts w:ascii="Garamond" w:eastAsia="Times New Roman" w:hAnsi="Garamond" w:cs="Times New Roman"/>
          <w:sz w:val="30"/>
          <w:szCs w:val="30"/>
          <w:lang w:eastAsia="it-IT"/>
        </w:rPr>
        <w:t>750 metri</w:t>
      </w:r>
      <w:r w:rsidR="005B3C1E">
        <w:rPr>
          <w:rFonts w:ascii="Garamond" w:eastAsia="Times New Roman" w:hAnsi="Garamond" w:cs="Times New Roman"/>
          <w:sz w:val="30"/>
          <w:szCs w:val="30"/>
          <w:lang w:eastAsia="it-IT"/>
        </w:rPr>
        <w:t xml:space="preserve"> quadri</w:t>
      </w:r>
      <w:r w:rsidRPr="005B3C1E">
        <w:rPr>
          <w:rFonts w:ascii="Garamond" w:eastAsia="Times New Roman" w:hAnsi="Garamond" w:cs="Times New Roman"/>
          <w:sz w:val="30"/>
          <w:szCs w:val="30"/>
          <w:lang w:eastAsia="it-IT"/>
        </w:rPr>
        <w:t>) ai fini della realizzazione della viabili</w:t>
      </w:r>
      <w:r w:rsidR="0007370D" w:rsidRPr="005B3C1E">
        <w:rPr>
          <w:rFonts w:ascii="Garamond" w:eastAsia="Times New Roman" w:hAnsi="Garamond" w:cs="Times New Roman"/>
          <w:sz w:val="30"/>
          <w:szCs w:val="30"/>
          <w:lang w:eastAsia="it-IT"/>
        </w:rPr>
        <w:t>tà di collegamento autostradale, il tutto in conseguenza: di una prima</w:t>
      </w:r>
      <w:r w:rsidRPr="005B3C1E">
        <w:rPr>
          <w:rFonts w:ascii="Garamond" w:eastAsia="Times New Roman" w:hAnsi="Garamond" w:cs="Times New Roman"/>
          <w:sz w:val="30"/>
          <w:szCs w:val="30"/>
          <w:lang w:eastAsia="it-IT"/>
        </w:rPr>
        <w:t xml:space="preserve"> occupazione </w:t>
      </w:r>
      <w:r w:rsidR="0007370D" w:rsidRPr="005B3C1E">
        <w:rPr>
          <w:rFonts w:ascii="Garamond" w:eastAsia="Times New Roman" w:hAnsi="Garamond" w:cs="Times New Roman"/>
          <w:sz w:val="30"/>
          <w:szCs w:val="30"/>
          <w:lang w:eastAsia="it-IT"/>
        </w:rPr>
        <w:t xml:space="preserve">alla quale era seguita l’immissione; di una sospensione dei lavori e di una riapprovazione del progetto; dell’emissione di un secondo decreto dei occupazione e di una seconda immissione in possesso; della mancata realizzazione dell’opera pubblica e della </w:t>
      </w:r>
      <w:r w:rsidRPr="005B3C1E">
        <w:rPr>
          <w:rFonts w:ascii="Garamond" w:eastAsia="Times New Roman" w:hAnsi="Garamond" w:cs="Times New Roman"/>
          <w:sz w:val="30"/>
          <w:szCs w:val="30"/>
          <w:lang w:eastAsia="it-IT"/>
        </w:rPr>
        <w:t>restitu</w:t>
      </w:r>
      <w:r w:rsidR="0007370D" w:rsidRPr="005B3C1E">
        <w:rPr>
          <w:rFonts w:ascii="Garamond" w:eastAsia="Times New Roman" w:hAnsi="Garamond" w:cs="Times New Roman"/>
          <w:sz w:val="30"/>
          <w:szCs w:val="30"/>
          <w:lang w:eastAsia="it-IT"/>
        </w:rPr>
        <w:t xml:space="preserve">zione dell’area ai predetti proprietari </w:t>
      </w:r>
      <w:r w:rsidRPr="005B3C1E">
        <w:rPr>
          <w:rFonts w:ascii="Garamond" w:eastAsia="Times New Roman" w:hAnsi="Garamond" w:cs="Times New Roman"/>
          <w:sz w:val="30"/>
          <w:szCs w:val="30"/>
          <w:lang w:eastAsia="it-IT"/>
        </w:rPr>
        <w:t>dopo oltre tre</w:t>
      </w:r>
      <w:r w:rsidR="0007370D" w:rsidRPr="005B3C1E">
        <w:rPr>
          <w:rFonts w:ascii="Garamond" w:eastAsia="Times New Roman" w:hAnsi="Garamond" w:cs="Times New Roman"/>
          <w:sz w:val="30"/>
          <w:szCs w:val="30"/>
          <w:lang w:eastAsia="it-IT"/>
        </w:rPr>
        <w:t xml:space="preserve"> anni dalla seconda occupazione</w:t>
      </w:r>
      <w:r w:rsidRPr="005B3C1E">
        <w:rPr>
          <w:rFonts w:ascii="Garamond" w:eastAsia="Times New Roman" w:hAnsi="Garamond" w:cs="Times New Roman"/>
          <w:sz w:val="30"/>
          <w:szCs w:val="30"/>
          <w:lang w:eastAsia="it-IT"/>
        </w:rPr>
        <w:t>.</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Da premettere</w:t>
      </w:r>
      <w:r w:rsidR="0007370D" w:rsidRPr="005B3C1E">
        <w:rPr>
          <w:rFonts w:ascii="Garamond" w:eastAsia="Times New Roman" w:hAnsi="Garamond" w:cs="Times New Roman"/>
          <w:sz w:val="30"/>
          <w:szCs w:val="30"/>
          <w:lang w:eastAsia="it-IT"/>
        </w:rPr>
        <w:t>, inoltre,</w:t>
      </w:r>
      <w:r w:rsidRPr="005B3C1E">
        <w:rPr>
          <w:rFonts w:ascii="Garamond" w:eastAsia="Times New Roman" w:hAnsi="Garamond" w:cs="Times New Roman"/>
          <w:sz w:val="30"/>
          <w:szCs w:val="30"/>
          <w:lang w:eastAsia="it-IT"/>
        </w:rPr>
        <w:t xml:space="preserve"> che i ricorrenti avevano proposto due domande: una per il risarcimento dei danni subiti per perdita del godimento del bene per tre anni (da liquidare in base all’art. 42 bis del testo unico espropriazioni) e l’altra per il risarcimento del danno per non aver potuto utilizzare le porzioni non occupate del proprio terreno, il quale avrebbe costituito – a loro dire – un “</w:t>
      </w:r>
      <w:r w:rsidRPr="005B3C1E">
        <w:rPr>
          <w:rFonts w:ascii="Garamond" w:eastAsia="Times New Roman" w:hAnsi="Garamond" w:cs="Times New Roman"/>
          <w:i/>
          <w:sz w:val="30"/>
          <w:szCs w:val="30"/>
          <w:lang w:eastAsia="it-IT"/>
        </w:rPr>
        <w:t>unicum funzionale ed economico</w:t>
      </w:r>
      <w:r w:rsidRPr="005B3C1E">
        <w:rPr>
          <w:rFonts w:ascii="Garamond" w:eastAsia="Times New Roman" w:hAnsi="Garamond" w:cs="Times New Roman"/>
          <w:sz w:val="30"/>
          <w:szCs w:val="30"/>
          <w:lang w:eastAsia="it-IT"/>
        </w:rPr>
        <w:t>”.</w:t>
      </w:r>
    </w:p>
    <w:p w:rsidR="0007370D" w:rsidRPr="005B3C1E" w:rsidRDefault="009C7D6A" w:rsidP="0007370D">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Nella sentenza di primo grado</w:t>
      </w:r>
      <w:r w:rsidR="001D754F" w:rsidRPr="005B3C1E">
        <w:rPr>
          <w:rFonts w:ascii="Garamond" w:eastAsia="Times New Roman" w:hAnsi="Garamond" w:cs="Times New Roman"/>
          <w:sz w:val="30"/>
          <w:szCs w:val="30"/>
          <w:lang w:eastAsia="it-IT"/>
        </w:rPr>
        <w:t xml:space="preserve"> </w:t>
      </w:r>
      <w:r>
        <w:rPr>
          <w:rFonts w:ascii="Garamond" w:eastAsia="Times New Roman" w:hAnsi="Garamond" w:cs="Times New Roman"/>
          <w:sz w:val="30"/>
          <w:szCs w:val="30"/>
          <w:lang w:eastAsia="it-IT"/>
        </w:rPr>
        <w:t>(</w:t>
      </w:r>
      <w:r w:rsidR="0007370D" w:rsidRPr="005B3C1E">
        <w:rPr>
          <w:rFonts w:ascii="Garamond" w:eastAsia="Times New Roman" w:hAnsi="Garamond" w:cs="Times New Roman"/>
          <w:sz w:val="30"/>
          <w:szCs w:val="30"/>
          <w:lang w:eastAsia="it-IT"/>
        </w:rPr>
        <w:t>TAR Abruzzo</w:t>
      </w:r>
      <w:r>
        <w:rPr>
          <w:rFonts w:ascii="Garamond" w:eastAsia="Times New Roman" w:hAnsi="Garamond" w:cs="Times New Roman"/>
          <w:sz w:val="30"/>
          <w:szCs w:val="30"/>
          <w:lang w:eastAsia="it-IT"/>
        </w:rPr>
        <w:t xml:space="preserve">, </w:t>
      </w:r>
      <w:r w:rsidR="0007370D" w:rsidRPr="005B3C1E">
        <w:rPr>
          <w:rFonts w:ascii="Garamond" w:eastAsia="Times New Roman" w:hAnsi="Garamond" w:cs="Times New Roman"/>
          <w:sz w:val="30"/>
          <w:szCs w:val="30"/>
          <w:lang w:eastAsia="it-IT"/>
        </w:rPr>
        <w:t xml:space="preserve">27 novembre 2017, n. 494) </w:t>
      </w:r>
      <w:r>
        <w:rPr>
          <w:rFonts w:ascii="Garamond" w:eastAsia="Times New Roman" w:hAnsi="Garamond" w:cs="Times New Roman"/>
          <w:sz w:val="30"/>
          <w:szCs w:val="30"/>
          <w:lang w:eastAsia="it-IT"/>
        </w:rPr>
        <w:t xml:space="preserve">si </w:t>
      </w:r>
      <w:r w:rsidR="0007370D" w:rsidRPr="005B3C1E">
        <w:rPr>
          <w:rFonts w:ascii="Garamond" w:eastAsia="Times New Roman" w:hAnsi="Garamond" w:cs="Times New Roman"/>
          <w:sz w:val="30"/>
          <w:szCs w:val="30"/>
          <w:lang w:eastAsia="it-IT"/>
        </w:rPr>
        <w:t xml:space="preserve">reputava ammissibile la </w:t>
      </w:r>
      <w:r w:rsidR="001D754F" w:rsidRPr="005B3C1E">
        <w:rPr>
          <w:rFonts w:ascii="Garamond" w:eastAsia="Times New Roman" w:hAnsi="Garamond" w:cs="Times New Roman"/>
          <w:sz w:val="30"/>
          <w:szCs w:val="30"/>
          <w:lang w:eastAsia="it-IT"/>
        </w:rPr>
        <w:t>domanda di risarcimento solo relativamente alla seconda occupazione, la quale av</w:t>
      </w:r>
      <w:r w:rsidR="0007370D" w:rsidRPr="005B3C1E">
        <w:rPr>
          <w:rFonts w:ascii="Garamond" w:eastAsia="Times New Roman" w:hAnsi="Garamond" w:cs="Times New Roman"/>
          <w:sz w:val="30"/>
          <w:szCs w:val="30"/>
          <w:lang w:eastAsia="it-IT"/>
        </w:rPr>
        <w:t xml:space="preserve">rebbe </w:t>
      </w:r>
      <w:r w:rsidR="001D754F" w:rsidRPr="005B3C1E">
        <w:rPr>
          <w:rFonts w:ascii="Garamond" w:eastAsia="Times New Roman" w:hAnsi="Garamond" w:cs="Times New Roman"/>
          <w:sz w:val="30"/>
          <w:szCs w:val="30"/>
          <w:lang w:eastAsia="it-IT"/>
        </w:rPr>
        <w:t>costituito il superamento dei precedenti atti ablatori, ma non anche la loro cadu</w:t>
      </w:r>
      <w:r w:rsidR="0007370D" w:rsidRPr="005B3C1E">
        <w:rPr>
          <w:rFonts w:ascii="Garamond" w:eastAsia="Times New Roman" w:hAnsi="Garamond" w:cs="Times New Roman"/>
          <w:sz w:val="30"/>
          <w:szCs w:val="30"/>
          <w:lang w:eastAsia="it-IT"/>
        </w:rPr>
        <w:t>cazione con effetti retroattivi</w:t>
      </w:r>
      <w:r w:rsidR="001D754F" w:rsidRPr="005B3C1E">
        <w:rPr>
          <w:rFonts w:ascii="Garamond" w:eastAsia="Times New Roman" w:hAnsi="Garamond" w:cs="Times New Roman"/>
          <w:sz w:val="30"/>
          <w:szCs w:val="30"/>
          <w:lang w:eastAsia="it-IT"/>
        </w:rPr>
        <w:t xml:space="preserve"> (</w:t>
      </w:r>
      <w:r w:rsidR="0007370D" w:rsidRPr="005B3C1E">
        <w:rPr>
          <w:rFonts w:ascii="Garamond" w:eastAsia="Times New Roman" w:hAnsi="Garamond" w:cs="Times New Roman"/>
          <w:sz w:val="30"/>
          <w:szCs w:val="30"/>
          <w:lang w:eastAsia="it-IT"/>
        </w:rPr>
        <w:t>dunque la prima occupazione, in quanto legittima, non avrebbe potuto fondare una domanda di risarcimento</w:t>
      </w:r>
      <w:r w:rsidR="001D754F" w:rsidRPr="005B3C1E">
        <w:rPr>
          <w:rFonts w:ascii="Garamond" w:eastAsia="Times New Roman" w:hAnsi="Garamond" w:cs="Times New Roman"/>
          <w:sz w:val="30"/>
          <w:szCs w:val="30"/>
          <w:lang w:eastAsia="it-IT"/>
        </w:rPr>
        <w:t>).</w:t>
      </w:r>
      <w:r w:rsidR="0007370D" w:rsidRPr="005B3C1E">
        <w:rPr>
          <w:rFonts w:ascii="Garamond" w:eastAsia="Times New Roman" w:hAnsi="Garamond" w:cs="Times New Roman"/>
          <w:sz w:val="30"/>
          <w:szCs w:val="30"/>
          <w:lang w:eastAsia="it-IT"/>
        </w:rPr>
        <w:t xml:space="preserve"> La domanda, tuttavia, veniva respinta sul sostanziale presupposto, coerente con la </w:t>
      </w:r>
      <w:r w:rsidR="001D754F" w:rsidRPr="005B3C1E">
        <w:rPr>
          <w:rFonts w:ascii="Garamond" w:eastAsia="Times New Roman" w:hAnsi="Garamond" w:cs="Times New Roman"/>
          <w:sz w:val="30"/>
          <w:szCs w:val="30"/>
          <w:lang w:eastAsia="it-IT"/>
        </w:rPr>
        <w:t>teoria del danno</w:t>
      </w:r>
      <w:r w:rsidR="0007370D" w:rsidRPr="005B3C1E">
        <w:rPr>
          <w:rFonts w:ascii="Garamond" w:eastAsia="Times New Roman" w:hAnsi="Garamond" w:cs="Times New Roman"/>
          <w:sz w:val="30"/>
          <w:szCs w:val="30"/>
          <w:lang w:eastAsia="it-IT"/>
        </w:rPr>
        <w:t>-</w:t>
      </w:r>
      <w:r w:rsidR="001D754F" w:rsidRPr="005B3C1E">
        <w:rPr>
          <w:rFonts w:ascii="Garamond" w:eastAsia="Times New Roman" w:hAnsi="Garamond" w:cs="Times New Roman"/>
          <w:sz w:val="30"/>
          <w:szCs w:val="30"/>
          <w:lang w:eastAsia="it-IT"/>
        </w:rPr>
        <w:t xml:space="preserve">conseguenza, </w:t>
      </w:r>
      <w:r w:rsidR="0007370D" w:rsidRPr="005B3C1E">
        <w:rPr>
          <w:rFonts w:ascii="Garamond" w:eastAsia="Times New Roman" w:hAnsi="Garamond" w:cs="Times New Roman"/>
          <w:sz w:val="30"/>
          <w:szCs w:val="30"/>
          <w:lang w:eastAsia="it-IT"/>
        </w:rPr>
        <w:t xml:space="preserve">che non fosse stata </w:t>
      </w:r>
      <w:r w:rsidR="001D754F" w:rsidRPr="005B3C1E">
        <w:rPr>
          <w:rFonts w:ascii="Garamond" w:eastAsia="Times New Roman" w:hAnsi="Garamond" w:cs="Times New Roman"/>
          <w:sz w:val="30"/>
          <w:szCs w:val="30"/>
          <w:lang w:eastAsia="it-IT"/>
        </w:rPr>
        <w:t>provata in modo adeguato la perdita di successive occasioni di adibire il bene ad un diverso utilizzo</w:t>
      </w:r>
      <w:r w:rsidR="0007370D" w:rsidRPr="005B3C1E">
        <w:rPr>
          <w:rFonts w:ascii="Garamond" w:eastAsia="Times New Roman" w:hAnsi="Garamond" w:cs="Times New Roman"/>
          <w:sz w:val="30"/>
          <w:szCs w:val="30"/>
          <w:lang w:eastAsia="it-IT"/>
        </w:rPr>
        <w:t xml:space="preserve">, risultando, in particolare, non adeguata la produzione di una </w:t>
      </w:r>
      <w:r w:rsidR="001D754F" w:rsidRPr="005B3C1E">
        <w:rPr>
          <w:rFonts w:ascii="Garamond" w:eastAsia="Times New Roman" w:hAnsi="Garamond" w:cs="Times New Roman"/>
          <w:sz w:val="30"/>
          <w:szCs w:val="30"/>
          <w:lang w:eastAsia="it-IT"/>
        </w:rPr>
        <w:t>consulenza</w:t>
      </w:r>
      <w:r w:rsidR="0007370D" w:rsidRPr="005B3C1E">
        <w:rPr>
          <w:rFonts w:ascii="Garamond" w:eastAsia="Times New Roman" w:hAnsi="Garamond" w:cs="Times New Roman"/>
          <w:sz w:val="30"/>
          <w:szCs w:val="30"/>
          <w:lang w:eastAsia="it-IT"/>
        </w:rPr>
        <w:t xml:space="preserve"> di parte riferita al valore venale del bene al momento dell’occupazione.</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In sostanza, ad avviso del TAR “</w:t>
      </w:r>
      <w:r w:rsidRPr="005B3C1E">
        <w:rPr>
          <w:rFonts w:ascii="Garamond" w:eastAsia="Times New Roman" w:hAnsi="Garamond" w:cs="Times New Roman"/>
          <w:i/>
          <w:sz w:val="30"/>
          <w:szCs w:val="30"/>
          <w:lang w:eastAsia="it-IT"/>
        </w:rPr>
        <w:t>il danneggiato non può ottenerne il risarcimento per il sol fatto che vi sia stata l'occupazione abusiva altrui, occorrendo fornire la prova di una effettiva lesione del suo patrimonio, quantomeno allegando le situazioni fattuali dimostrative dell'esistenza del danno conseguenza</w:t>
      </w:r>
      <w:r w:rsidRPr="005B3C1E">
        <w:rPr>
          <w:rFonts w:ascii="Garamond" w:eastAsia="Times New Roman" w:hAnsi="Garamond" w:cs="Times New Roman"/>
          <w:sz w:val="30"/>
          <w:szCs w:val="30"/>
          <w:lang w:eastAsia="it-IT"/>
        </w:rPr>
        <w:t>”</w:t>
      </w:r>
      <w:r w:rsidR="00913EFD" w:rsidRPr="005B3C1E">
        <w:rPr>
          <w:rFonts w:ascii="Garamond" w:eastAsia="Times New Roman" w:hAnsi="Garamond" w:cs="Times New Roman"/>
          <w:sz w:val="30"/>
          <w:szCs w:val="30"/>
          <w:lang w:eastAsia="it-IT"/>
        </w:rPr>
        <w:t xml:space="preserve">; né ritenendosi preclusa la possibilità di far valere </w:t>
      </w:r>
      <w:r w:rsidRPr="005B3C1E">
        <w:rPr>
          <w:rFonts w:ascii="Garamond" w:eastAsia="Times New Roman" w:hAnsi="Garamond" w:cs="Times New Roman"/>
          <w:sz w:val="30"/>
          <w:szCs w:val="30"/>
          <w:lang w:eastAsia="it-IT"/>
        </w:rPr>
        <w:t xml:space="preserve">presunzioni in accoglimento di una successiva giurisprudenza </w:t>
      </w:r>
      <w:r w:rsidR="00913EFD" w:rsidRPr="005B3C1E">
        <w:rPr>
          <w:rFonts w:ascii="Garamond" w:eastAsia="Times New Roman" w:hAnsi="Garamond" w:cs="Times New Roman"/>
          <w:sz w:val="30"/>
          <w:szCs w:val="30"/>
          <w:lang w:eastAsia="it-IT"/>
        </w:rPr>
        <w:t xml:space="preserve">favorevole a configurare </w:t>
      </w:r>
      <w:r w:rsidRPr="005B3C1E">
        <w:rPr>
          <w:rFonts w:ascii="Garamond" w:eastAsia="Times New Roman" w:hAnsi="Garamond" w:cs="Times New Roman"/>
          <w:sz w:val="30"/>
          <w:szCs w:val="30"/>
          <w:lang w:eastAsia="it-IT"/>
        </w:rPr>
        <w:t xml:space="preserve">il danno da occupazione abusiva </w:t>
      </w:r>
      <w:r w:rsidR="00913EFD" w:rsidRPr="005B3C1E">
        <w:rPr>
          <w:rFonts w:ascii="Garamond" w:eastAsia="Times New Roman" w:hAnsi="Garamond" w:cs="Times New Roman"/>
          <w:sz w:val="30"/>
          <w:szCs w:val="30"/>
          <w:lang w:eastAsia="it-IT"/>
        </w:rPr>
        <w:t>come “danno figurativo”.</w:t>
      </w:r>
    </w:p>
    <w:p w:rsidR="001D754F" w:rsidRPr="005B3C1E" w:rsidRDefault="009C7D6A" w:rsidP="00913EFD">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 xml:space="preserve">In appello </w:t>
      </w:r>
      <w:r w:rsidR="00913EFD" w:rsidRPr="005B3C1E">
        <w:rPr>
          <w:rFonts w:ascii="Garamond" w:eastAsia="Times New Roman" w:hAnsi="Garamond" w:cs="Times New Roman"/>
          <w:sz w:val="30"/>
          <w:szCs w:val="30"/>
          <w:lang w:eastAsia="it-IT"/>
        </w:rPr>
        <w:t xml:space="preserve">il Consiglio di Stato, pur dando atto dell’orientamento giurisprudenziale sul quale era stata radicata la pronuncia di prime cure, riformava la </w:t>
      </w:r>
      <w:r>
        <w:rPr>
          <w:rFonts w:ascii="Garamond" w:eastAsia="Times New Roman" w:hAnsi="Garamond" w:cs="Times New Roman"/>
          <w:sz w:val="30"/>
          <w:szCs w:val="30"/>
          <w:lang w:eastAsia="it-IT"/>
        </w:rPr>
        <w:t xml:space="preserve">predetta </w:t>
      </w:r>
      <w:r w:rsidR="00913EFD" w:rsidRPr="005B3C1E">
        <w:rPr>
          <w:rFonts w:ascii="Garamond" w:eastAsia="Times New Roman" w:hAnsi="Garamond" w:cs="Times New Roman"/>
          <w:sz w:val="30"/>
          <w:szCs w:val="30"/>
          <w:lang w:eastAsia="it-IT"/>
        </w:rPr>
        <w:t xml:space="preserve">sentenza eleggendo la teoria del danno </w:t>
      </w:r>
      <w:r w:rsidR="00913EFD" w:rsidRPr="009C7D6A">
        <w:rPr>
          <w:rFonts w:ascii="Garamond" w:eastAsia="Times New Roman" w:hAnsi="Garamond" w:cs="Times New Roman"/>
          <w:i/>
          <w:sz w:val="30"/>
          <w:szCs w:val="30"/>
          <w:lang w:eastAsia="it-IT"/>
        </w:rPr>
        <w:t xml:space="preserve">in re </w:t>
      </w:r>
      <w:proofErr w:type="spellStart"/>
      <w:r w:rsidR="00913EFD" w:rsidRPr="009C7D6A">
        <w:rPr>
          <w:rFonts w:ascii="Garamond" w:eastAsia="Times New Roman" w:hAnsi="Garamond" w:cs="Times New Roman"/>
          <w:i/>
          <w:sz w:val="30"/>
          <w:szCs w:val="30"/>
          <w:lang w:eastAsia="it-IT"/>
        </w:rPr>
        <w:t>ipsa</w:t>
      </w:r>
      <w:proofErr w:type="spellEnd"/>
      <w:r w:rsidR="00913EFD" w:rsidRPr="005B3C1E">
        <w:rPr>
          <w:rFonts w:ascii="Garamond" w:eastAsia="Times New Roman" w:hAnsi="Garamond" w:cs="Times New Roman"/>
          <w:sz w:val="30"/>
          <w:szCs w:val="30"/>
          <w:lang w:eastAsia="it-IT"/>
        </w:rPr>
        <w:t xml:space="preserve">, e ciò </w:t>
      </w:r>
      <w:r w:rsidR="001D754F" w:rsidRPr="005B3C1E">
        <w:rPr>
          <w:rFonts w:ascii="Garamond" w:eastAsia="Times New Roman" w:hAnsi="Garamond" w:cs="Times New Roman"/>
          <w:sz w:val="30"/>
          <w:szCs w:val="30"/>
          <w:lang w:eastAsia="it-IT"/>
        </w:rPr>
        <w:t xml:space="preserve">non soltanto in relazione al danno da occupazione illegittima </w:t>
      </w:r>
      <w:r w:rsidR="00913EFD" w:rsidRPr="005B3C1E">
        <w:rPr>
          <w:rFonts w:ascii="Garamond" w:eastAsia="Times New Roman" w:hAnsi="Garamond" w:cs="Times New Roman"/>
          <w:sz w:val="30"/>
          <w:szCs w:val="30"/>
          <w:lang w:eastAsia="it-IT"/>
        </w:rPr>
        <w:t>(</w:t>
      </w:r>
      <w:r w:rsidR="001D754F" w:rsidRPr="005B3C1E">
        <w:rPr>
          <w:rFonts w:ascii="Garamond" w:eastAsia="Times New Roman" w:hAnsi="Garamond" w:cs="Times New Roman"/>
          <w:sz w:val="30"/>
          <w:szCs w:val="30"/>
          <w:lang w:eastAsia="it-IT"/>
        </w:rPr>
        <w:t>nella misura – forfettizzata con richiamo all’art. 42 bis del testo unico sulle espropriazioni – del 5% annuo</w:t>
      </w:r>
      <w:r w:rsidR="00913EFD" w:rsidRPr="005B3C1E">
        <w:rPr>
          <w:rFonts w:ascii="Garamond" w:eastAsia="Times New Roman" w:hAnsi="Garamond" w:cs="Times New Roman"/>
          <w:sz w:val="30"/>
          <w:szCs w:val="30"/>
          <w:lang w:eastAsia="it-IT"/>
        </w:rPr>
        <w:t xml:space="preserve"> del valore del terreno</w:t>
      </w:r>
      <w:r w:rsidR="001D754F" w:rsidRPr="005B3C1E">
        <w:rPr>
          <w:rFonts w:ascii="Garamond" w:eastAsia="Times New Roman" w:hAnsi="Garamond" w:cs="Times New Roman"/>
          <w:sz w:val="30"/>
          <w:szCs w:val="30"/>
          <w:lang w:eastAsia="it-IT"/>
        </w:rPr>
        <w:t>)</w:t>
      </w:r>
      <w:r w:rsidR="00913EFD" w:rsidRPr="005B3C1E">
        <w:rPr>
          <w:rFonts w:ascii="Garamond" w:eastAsia="Times New Roman" w:hAnsi="Garamond" w:cs="Times New Roman"/>
          <w:sz w:val="30"/>
          <w:szCs w:val="30"/>
          <w:lang w:eastAsia="it-IT"/>
        </w:rPr>
        <w:t xml:space="preserve">, ma, </w:t>
      </w:r>
      <w:r w:rsidR="001D754F" w:rsidRPr="005B3C1E">
        <w:rPr>
          <w:rFonts w:ascii="Garamond" w:eastAsia="Times New Roman" w:hAnsi="Garamond" w:cs="Times New Roman"/>
          <w:sz w:val="30"/>
          <w:szCs w:val="30"/>
          <w:lang w:eastAsia="it-IT"/>
        </w:rPr>
        <w:t>per quel che più interessa, per la domanda di risarcimento per la perdita del potere di disposizione del bene, ossia per una compressione illecita del diritto di proprietà.</w:t>
      </w:r>
    </w:p>
    <w:p w:rsidR="005323BE" w:rsidRPr="005B3C1E" w:rsidRDefault="005323BE" w:rsidP="00913EFD">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È interessante analizzare il percorso motivazionale.</w:t>
      </w:r>
    </w:p>
    <w:p w:rsidR="001D754F" w:rsidRPr="005B3C1E" w:rsidRDefault="005323BE" w:rsidP="005B3C1E">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Vi è un primo richiamo ad un precedente della Sezione IV (27 febbraio 2017, n. 897) nel quale </w:t>
      </w:r>
      <w:r w:rsidR="009C7D6A">
        <w:rPr>
          <w:rFonts w:ascii="Garamond" w:eastAsia="Times New Roman" w:hAnsi="Garamond" w:cs="Times New Roman"/>
          <w:sz w:val="30"/>
          <w:szCs w:val="30"/>
          <w:lang w:eastAsia="it-IT"/>
        </w:rPr>
        <w:t>era stato fatto cenno all</w:t>
      </w:r>
      <w:r w:rsidRPr="005B3C1E">
        <w:rPr>
          <w:rFonts w:ascii="Garamond" w:eastAsia="Times New Roman" w:hAnsi="Garamond" w:cs="Times New Roman"/>
          <w:sz w:val="30"/>
          <w:szCs w:val="30"/>
          <w:lang w:eastAsia="it-IT"/>
        </w:rPr>
        <w:t xml:space="preserve">’orientamento </w:t>
      </w:r>
      <w:r w:rsidR="005B3C1E" w:rsidRPr="005B3C1E">
        <w:rPr>
          <w:rFonts w:ascii="Garamond" w:eastAsia="Times New Roman" w:hAnsi="Garamond" w:cs="Times New Roman"/>
          <w:sz w:val="30"/>
          <w:szCs w:val="30"/>
          <w:lang w:eastAsia="it-IT"/>
        </w:rPr>
        <w:t xml:space="preserve">favorevole al collegamento del </w:t>
      </w:r>
      <w:r w:rsidR="001D754F" w:rsidRPr="005B3C1E">
        <w:rPr>
          <w:rFonts w:ascii="Garamond" w:eastAsia="Times New Roman" w:hAnsi="Garamond" w:cs="Times New Roman"/>
          <w:sz w:val="30"/>
          <w:szCs w:val="30"/>
          <w:lang w:eastAsia="it-IT"/>
        </w:rPr>
        <w:t>danno alla perdita di disponibilità del bene, la cui natura è naturalmente fruttifera, e alla impossibilità di conseguire l’utilità da esso ricavabile nell’esercizio delle facoltà di godimento e disponibilità</w:t>
      </w:r>
      <w:r w:rsidR="005B3C1E" w:rsidRPr="005B3C1E">
        <w:rPr>
          <w:rFonts w:ascii="Garamond" w:eastAsia="Times New Roman" w:hAnsi="Garamond" w:cs="Times New Roman"/>
          <w:sz w:val="30"/>
          <w:szCs w:val="30"/>
          <w:lang w:eastAsia="it-IT"/>
        </w:rPr>
        <w:t xml:space="preserve">: in altri termini l’esistenza del danno sarebbe oggetto di una </w:t>
      </w:r>
      <w:r w:rsidR="001D754F" w:rsidRPr="005B3C1E">
        <w:rPr>
          <w:rFonts w:ascii="Garamond" w:eastAsia="Times New Roman" w:hAnsi="Garamond" w:cs="Times New Roman"/>
          <w:sz w:val="30"/>
          <w:szCs w:val="30"/>
          <w:lang w:eastAsia="it-IT"/>
        </w:rPr>
        <w:t xml:space="preserve">presunzione </w:t>
      </w:r>
      <w:proofErr w:type="spellStart"/>
      <w:r w:rsidR="001D754F" w:rsidRPr="005B3C1E">
        <w:rPr>
          <w:rFonts w:ascii="Garamond" w:eastAsia="Times New Roman" w:hAnsi="Garamond" w:cs="Times New Roman"/>
          <w:i/>
          <w:sz w:val="30"/>
          <w:szCs w:val="30"/>
          <w:lang w:eastAsia="it-IT"/>
        </w:rPr>
        <w:t>iuris</w:t>
      </w:r>
      <w:proofErr w:type="spellEnd"/>
      <w:r w:rsidR="001D754F" w:rsidRPr="005B3C1E">
        <w:rPr>
          <w:rFonts w:ascii="Garamond" w:eastAsia="Times New Roman" w:hAnsi="Garamond" w:cs="Times New Roman"/>
          <w:i/>
          <w:sz w:val="30"/>
          <w:szCs w:val="30"/>
          <w:lang w:eastAsia="it-IT"/>
        </w:rPr>
        <w:t xml:space="preserve"> tantum</w:t>
      </w:r>
      <w:r w:rsidR="009C7D6A">
        <w:rPr>
          <w:rFonts w:ascii="Garamond" w:eastAsia="Times New Roman" w:hAnsi="Garamond" w:cs="Times New Roman"/>
          <w:sz w:val="30"/>
          <w:szCs w:val="30"/>
          <w:lang w:eastAsia="it-IT"/>
        </w:rPr>
        <w:t xml:space="preserve"> superabile ove si accertasse</w:t>
      </w:r>
      <w:r w:rsidR="001D754F" w:rsidRPr="005B3C1E">
        <w:rPr>
          <w:rFonts w:ascii="Garamond" w:eastAsia="Times New Roman" w:hAnsi="Garamond" w:cs="Times New Roman"/>
          <w:sz w:val="30"/>
          <w:szCs w:val="30"/>
          <w:lang w:eastAsia="it-IT"/>
        </w:rPr>
        <w:t xml:space="preserve"> che il proprietario si </w:t>
      </w:r>
      <w:r w:rsidR="009C7D6A">
        <w:rPr>
          <w:rFonts w:ascii="Garamond" w:eastAsia="Times New Roman" w:hAnsi="Garamond" w:cs="Times New Roman"/>
          <w:sz w:val="30"/>
          <w:szCs w:val="30"/>
          <w:lang w:eastAsia="it-IT"/>
        </w:rPr>
        <w:t>fosse</w:t>
      </w:r>
      <w:r w:rsidR="001D754F" w:rsidRPr="005B3C1E">
        <w:rPr>
          <w:rFonts w:ascii="Garamond" w:eastAsia="Times New Roman" w:hAnsi="Garamond" w:cs="Times New Roman"/>
          <w:sz w:val="30"/>
          <w:szCs w:val="30"/>
          <w:lang w:eastAsia="it-IT"/>
        </w:rPr>
        <w:t xml:space="preserve"> intenzionalmen</w:t>
      </w:r>
      <w:r w:rsidR="005B3C1E" w:rsidRPr="005B3C1E">
        <w:rPr>
          <w:rFonts w:ascii="Garamond" w:eastAsia="Times New Roman" w:hAnsi="Garamond" w:cs="Times New Roman"/>
          <w:sz w:val="30"/>
          <w:szCs w:val="30"/>
          <w:lang w:eastAsia="it-IT"/>
        </w:rPr>
        <w:t>te disinteressato dell’immobile</w:t>
      </w:r>
      <w:r w:rsidR="001D754F" w:rsidRPr="005B3C1E">
        <w:rPr>
          <w:rFonts w:ascii="Garamond" w:eastAsia="Times New Roman" w:hAnsi="Garamond" w:cs="Times New Roman"/>
          <w:sz w:val="30"/>
          <w:szCs w:val="30"/>
          <w:lang w:eastAsia="it-IT"/>
        </w:rPr>
        <w:t>.</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I passaggi giustificativi d</w:t>
      </w:r>
      <w:r w:rsidR="005B3C1E" w:rsidRPr="005B3C1E">
        <w:rPr>
          <w:rFonts w:ascii="Garamond" w:eastAsia="Times New Roman" w:hAnsi="Garamond" w:cs="Times New Roman"/>
          <w:sz w:val="30"/>
          <w:szCs w:val="30"/>
          <w:lang w:eastAsia="it-IT"/>
        </w:rPr>
        <w:t xml:space="preserve">ella </w:t>
      </w:r>
      <w:r w:rsidRPr="005B3C1E">
        <w:rPr>
          <w:rFonts w:ascii="Garamond" w:eastAsia="Times New Roman" w:hAnsi="Garamond" w:cs="Times New Roman"/>
          <w:sz w:val="30"/>
          <w:szCs w:val="30"/>
          <w:lang w:eastAsia="it-IT"/>
        </w:rPr>
        <w:t xml:space="preserve">posizione </w:t>
      </w:r>
      <w:r w:rsidR="005B3C1E" w:rsidRPr="005B3C1E">
        <w:rPr>
          <w:rFonts w:ascii="Garamond" w:eastAsia="Times New Roman" w:hAnsi="Garamond" w:cs="Times New Roman"/>
          <w:sz w:val="30"/>
          <w:szCs w:val="30"/>
          <w:lang w:eastAsia="it-IT"/>
        </w:rPr>
        <w:t>assunta dal giudice di seconde cure paiono, s</w:t>
      </w:r>
      <w:r w:rsidRPr="005B3C1E">
        <w:rPr>
          <w:rFonts w:ascii="Garamond" w:eastAsia="Times New Roman" w:hAnsi="Garamond" w:cs="Times New Roman"/>
          <w:sz w:val="30"/>
          <w:szCs w:val="30"/>
          <w:lang w:eastAsia="it-IT"/>
        </w:rPr>
        <w:t>ostanzialmente, tre:</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A) il richiamo alla nozione di danno-evento, con particolare riferimento alla distinzione tra danno biologico e danno morale (non patrimoniale);</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B) la valorizzazione dell’assunto</w:t>
      </w:r>
      <w:r w:rsidR="005B3C1E" w:rsidRPr="005B3C1E">
        <w:rPr>
          <w:rFonts w:ascii="Garamond" w:eastAsia="Times New Roman" w:hAnsi="Garamond" w:cs="Times New Roman"/>
          <w:sz w:val="30"/>
          <w:szCs w:val="30"/>
          <w:lang w:eastAsia="it-IT"/>
        </w:rPr>
        <w:t>, confortato da giurisprudenza costituzionale (</w:t>
      </w:r>
      <w:r w:rsidR="005B3C1E" w:rsidRPr="00946C3A">
        <w:rPr>
          <w:rFonts w:ascii="Garamond" w:eastAsia="Times New Roman" w:hAnsi="Garamond" w:cs="Times New Roman"/>
          <w:sz w:val="30"/>
          <w:szCs w:val="30"/>
          <w:lang w:eastAsia="it-IT"/>
        </w:rPr>
        <w:t>27 luglio 1994 n. 372</w:t>
      </w:r>
      <w:r w:rsidR="005B3C1E">
        <w:rPr>
          <w:rFonts w:ascii="Garamond" w:eastAsia="Times New Roman" w:hAnsi="Garamond" w:cs="Times New Roman"/>
          <w:sz w:val="30"/>
          <w:szCs w:val="30"/>
          <w:lang w:eastAsia="it-IT"/>
        </w:rPr>
        <w:t>)</w:t>
      </w:r>
      <w:r w:rsidR="005B3C1E" w:rsidRPr="005B3C1E">
        <w:rPr>
          <w:rFonts w:ascii="Garamond" w:eastAsia="Times New Roman" w:hAnsi="Garamond" w:cs="Times New Roman"/>
          <w:sz w:val="30"/>
          <w:szCs w:val="30"/>
          <w:lang w:eastAsia="it-IT"/>
        </w:rPr>
        <w:t xml:space="preserve">, </w:t>
      </w:r>
      <w:r w:rsidRPr="005B3C1E">
        <w:rPr>
          <w:rFonts w:ascii="Garamond" w:eastAsia="Times New Roman" w:hAnsi="Garamond" w:cs="Times New Roman"/>
          <w:sz w:val="30"/>
          <w:szCs w:val="30"/>
          <w:lang w:eastAsia="it-IT"/>
        </w:rPr>
        <w:t>secondo cui l’oggetto del risarcimento consiste</w:t>
      </w:r>
      <w:r w:rsidR="005B3C1E" w:rsidRPr="005B3C1E">
        <w:rPr>
          <w:rFonts w:ascii="Garamond" w:eastAsia="Times New Roman" w:hAnsi="Garamond" w:cs="Times New Roman"/>
          <w:sz w:val="30"/>
          <w:szCs w:val="30"/>
          <w:lang w:eastAsia="it-IT"/>
        </w:rPr>
        <w:t>rebbe</w:t>
      </w:r>
      <w:r w:rsidRPr="005B3C1E">
        <w:rPr>
          <w:rFonts w:ascii="Garamond" w:eastAsia="Times New Roman" w:hAnsi="Garamond" w:cs="Times New Roman"/>
          <w:sz w:val="30"/>
          <w:szCs w:val="30"/>
          <w:lang w:eastAsia="it-IT"/>
        </w:rPr>
        <w:t xml:space="preserve"> sufficientemente “</w:t>
      </w:r>
      <w:r w:rsidRPr="005B3C1E">
        <w:rPr>
          <w:rFonts w:ascii="Garamond" w:eastAsia="Times New Roman" w:hAnsi="Garamond" w:cs="Times New Roman"/>
          <w:i/>
          <w:sz w:val="30"/>
          <w:szCs w:val="30"/>
          <w:lang w:eastAsia="it-IT"/>
        </w:rPr>
        <w:t>in una perdita cagionata dalla lesione di una situazione giuridica soggettiva</w:t>
      </w:r>
      <w:r w:rsidRPr="005B3C1E">
        <w:rPr>
          <w:rFonts w:ascii="Garamond" w:eastAsia="Times New Roman" w:hAnsi="Garamond" w:cs="Times New Roman"/>
          <w:sz w:val="30"/>
          <w:szCs w:val="30"/>
          <w:lang w:eastAsia="it-IT"/>
        </w:rPr>
        <w:t>”;</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C) l’a</w:t>
      </w:r>
      <w:r w:rsidR="005B3C1E">
        <w:rPr>
          <w:rFonts w:ascii="Garamond" w:eastAsia="Times New Roman" w:hAnsi="Garamond" w:cs="Times New Roman"/>
          <w:sz w:val="30"/>
          <w:szCs w:val="30"/>
          <w:lang w:eastAsia="it-IT"/>
        </w:rPr>
        <w:t xml:space="preserve">ffermazione </w:t>
      </w:r>
      <w:r w:rsidRPr="005B3C1E">
        <w:rPr>
          <w:rFonts w:ascii="Garamond" w:eastAsia="Times New Roman" w:hAnsi="Garamond" w:cs="Times New Roman"/>
          <w:sz w:val="30"/>
          <w:szCs w:val="30"/>
          <w:lang w:eastAsia="it-IT"/>
        </w:rPr>
        <w:t xml:space="preserve">secondo cui il compito del giudice </w:t>
      </w:r>
      <w:r w:rsidR="009C7D6A">
        <w:rPr>
          <w:rFonts w:ascii="Garamond" w:eastAsia="Times New Roman" w:hAnsi="Garamond" w:cs="Times New Roman"/>
          <w:sz w:val="30"/>
          <w:szCs w:val="30"/>
          <w:lang w:eastAsia="it-IT"/>
        </w:rPr>
        <w:t>dovrebbe essere</w:t>
      </w:r>
      <w:r w:rsidRPr="005B3C1E">
        <w:rPr>
          <w:rFonts w:ascii="Garamond" w:eastAsia="Times New Roman" w:hAnsi="Garamond" w:cs="Times New Roman"/>
          <w:sz w:val="30"/>
          <w:szCs w:val="30"/>
          <w:lang w:eastAsia="it-IT"/>
        </w:rPr>
        <w:t xml:space="preserve"> quello di verificare la lesione (diminuzione o perdita delle facoltà/poteri oggetto) della situazione attiva e sanzionare, in tal caso, le condotte della PA nel segno del danno </w:t>
      </w:r>
      <w:r w:rsidRPr="005B3C1E">
        <w:rPr>
          <w:rFonts w:ascii="Garamond" w:eastAsia="Times New Roman" w:hAnsi="Garamond" w:cs="Times New Roman"/>
          <w:i/>
          <w:sz w:val="30"/>
          <w:szCs w:val="30"/>
          <w:lang w:eastAsia="it-IT"/>
        </w:rPr>
        <w:t xml:space="preserve">in re </w:t>
      </w:r>
      <w:proofErr w:type="spellStart"/>
      <w:r w:rsidRPr="005B3C1E">
        <w:rPr>
          <w:rFonts w:ascii="Garamond" w:eastAsia="Times New Roman" w:hAnsi="Garamond" w:cs="Times New Roman"/>
          <w:i/>
          <w:sz w:val="30"/>
          <w:szCs w:val="30"/>
          <w:lang w:eastAsia="it-IT"/>
        </w:rPr>
        <w:t>ipsa</w:t>
      </w:r>
      <w:proofErr w:type="spellEnd"/>
      <w:r w:rsidRPr="005B3C1E">
        <w:rPr>
          <w:rFonts w:ascii="Garamond" w:eastAsia="Times New Roman" w:hAnsi="Garamond" w:cs="Times New Roman"/>
          <w:sz w:val="30"/>
          <w:szCs w:val="30"/>
          <w:lang w:eastAsia="it-IT"/>
        </w:rPr>
        <w:t>.</w:t>
      </w:r>
    </w:p>
    <w:p w:rsid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La sentenza del C</w:t>
      </w:r>
      <w:r w:rsidR="005B3C1E">
        <w:rPr>
          <w:rFonts w:ascii="Garamond" w:eastAsia="Times New Roman" w:hAnsi="Garamond" w:cs="Times New Roman"/>
          <w:sz w:val="30"/>
          <w:szCs w:val="30"/>
          <w:lang w:eastAsia="it-IT"/>
        </w:rPr>
        <w:t>onsiglio di Stato</w:t>
      </w:r>
      <w:r w:rsidRPr="005B3C1E">
        <w:rPr>
          <w:rFonts w:ascii="Garamond" w:eastAsia="Times New Roman" w:hAnsi="Garamond" w:cs="Times New Roman"/>
          <w:sz w:val="30"/>
          <w:szCs w:val="30"/>
          <w:lang w:eastAsia="it-IT"/>
        </w:rPr>
        <w:t xml:space="preserve"> non si </w:t>
      </w:r>
      <w:r w:rsidR="009C7D6A">
        <w:rPr>
          <w:rFonts w:ascii="Garamond" w:eastAsia="Times New Roman" w:hAnsi="Garamond" w:cs="Times New Roman"/>
          <w:sz w:val="30"/>
          <w:szCs w:val="30"/>
          <w:lang w:eastAsia="it-IT"/>
        </w:rPr>
        <w:t xml:space="preserve">è sottratta, </w:t>
      </w:r>
      <w:r w:rsidRPr="005B3C1E">
        <w:rPr>
          <w:rFonts w:ascii="Garamond" w:eastAsia="Times New Roman" w:hAnsi="Garamond" w:cs="Times New Roman"/>
          <w:sz w:val="30"/>
          <w:szCs w:val="30"/>
          <w:lang w:eastAsia="it-IT"/>
        </w:rPr>
        <w:t>però, dal confronto con gli orientamenti di segno contrario (cioè quelli favorevoli</w:t>
      </w:r>
      <w:r w:rsidR="005B3C1E">
        <w:rPr>
          <w:rFonts w:ascii="Garamond" w:eastAsia="Times New Roman" w:hAnsi="Garamond" w:cs="Times New Roman"/>
          <w:sz w:val="30"/>
          <w:szCs w:val="30"/>
          <w:lang w:eastAsia="it-IT"/>
        </w:rPr>
        <w:t xml:space="preserve"> al danno-conseguenza), i quali, visti nei loro più stringenti termini, </w:t>
      </w:r>
      <w:r w:rsidRPr="005B3C1E">
        <w:rPr>
          <w:rFonts w:ascii="Garamond" w:eastAsia="Times New Roman" w:hAnsi="Garamond" w:cs="Times New Roman"/>
          <w:sz w:val="30"/>
          <w:szCs w:val="30"/>
          <w:lang w:eastAsia="it-IT"/>
        </w:rPr>
        <w:t>postulano che</w:t>
      </w:r>
      <w:r w:rsidR="005B3C1E">
        <w:rPr>
          <w:rFonts w:ascii="Garamond" w:eastAsia="Times New Roman" w:hAnsi="Garamond" w:cs="Times New Roman"/>
          <w:sz w:val="30"/>
          <w:szCs w:val="30"/>
          <w:lang w:eastAsia="it-IT"/>
        </w:rPr>
        <w:t>:</w:t>
      </w:r>
    </w:p>
    <w:p w:rsidR="007C248C" w:rsidRDefault="007C248C"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a</w:t>
      </w:r>
      <w:r w:rsidR="005B3C1E">
        <w:rPr>
          <w:rFonts w:ascii="Garamond" w:eastAsia="Times New Roman" w:hAnsi="Garamond" w:cs="Times New Roman"/>
          <w:sz w:val="30"/>
          <w:szCs w:val="30"/>
          <w:lang w:eastAsia="it-IT"/>
        </w:rPr>
        <w:t>)</w:t>
      </w:r>
      <w:r w:rsidR="001D754F" w:rsidRPr="005B3C1E">
        <w:rPr>
          <w:rFonts w:ascii="Garamond" w:eastAsia="Times New Roman" w:hAnsi="Garamond" w:cs="Times New Roman"/>
          <w:sz w:val="30"/>
          <w:szCs w:val="30"/>
          <w:lang w:eastAsia="it-IT"/>
        </w:rPr>
        <w:t xml:space="preserve"> “</w:t>
      </w:r>
      <w:r w:rsidR="001D754F" w:rsidRPr="007C248C">
        <w:rPr>
          <w:rFonts w:ascii="Garamond" w:eastAsia="Times New Roman" w:hAnsi="Garamond" w:cs="Times New Roman"/>
          <w:i/>
          <w:sz w:val="30"/>
          <w:szCs w:val="30"/>
          <w:lang w:eastAsia="it-IT"/>
        </w:rPr>
        <w:t>il danneggiato (…) è tenuto a provare di aver subito un'effettiva lesione del proprio patrimonio per non aver potuto ad esempio locare o altrimenti direttamente e tempestivamente utilizzare il bene, ovvero per aver perso l'occasione di venderlo a prezzo conveniente o per aver sofferto altre situazioni pregiudizievoli, con valutazione rimessa al giudice del merito, che può al riguardo peraltro pur sempre avvalersi di presunzioni gravi, precise e concordanti</w:t>
      </w:r>
      <w:r w:rsidR="001D754F" w:rsidRPr="005B3C1E">
        <w:rPr>
          <w:rFonts w:ascii="Garamond" w:eastAsia="Times New Roman" w:hAnsi="Garamond" w:cs="Times New Roman"/>
          <w:sz w:val="30"/>
          <w:szCs w:val="30"/>
          <w:lang w:eastAsia="it-IT"/>
        </w:rPr>
        <w:t xml:space="preserve">” </w:t>
      </w:r>
      <w:r>
        <w:rPr>
          <w:rFonts w:ascii="Garamond" w:eastAsia="Times New Roman" w:hAnsi="Garamond" w:cs="Times New Roman"/>
          <w:sz w:val="30"/>
          <w:szCs w:val="30"/>
          <w:lang w:eastAsia="it-IT"/>
        </w:rPr>
        <w:t xml:space="preserve">(Corte di Cassazione, </w:t>
      </w:r>
      <w:r w:rsidRPr="007C248C">
        <w:rPr>
          <w:rFonts w:ascii="Garamond" w:eastAsia="Times New Roman" w:hAnsi="Garamond" w:cs="Times New Roman"/>
          <w:sz w:val="30"/>
          <w:szCs w:val="30"/>
          <w:lang w:eastAsia="it-IT"/>
        </w:rPr>
        <w:t>sez. III, 17 giugno 2013, n. 15111</w:t>
      </w:r>
      <w:r>
        <w:rPr>
          <w:rFonts w:ascii="Garamond" w:eastAsia="Times New Roman" w:hAnsi="Garamond" w:cs="Times New Roman"/>
          <w:sz w:val="30"/>
          <w:szCs w:val="30"/>
          <w:lang w:eastAsia="it-IT"/>
        </w:rPr>
        <w:t>);</w:t>
      </w:r>
    </w:p>
    <w:p w:rsidR="001D754F" w:rsidRPr="005B3C1E" w:rsidRDefault="005B3C1E"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b)</w:t>
      </w:r>
      <w:r w:rsidR="001D754F" w:rsidRPr="005B3C1E">
        <w:rPr>
          <w:rFonts w:ascii="Garamond" w:eastAsia="Times New Roman" w:hAnsi="Garamond" w:cs="Times New Roman"/>
          <w:sz w:val="30"/>
          <w:szCs w:val="30"/>
          <w:lang w:eastAsia="it-IT"/>
        </w:rPr>
        <w:t xml:space="preserve"> il danno </w:t>
      </w:r>
      <w:r w:rsidR="001D754F" w:rsidRPr="009C7D6A">
        <w:rPr>
          <w:rFonts w:ascii="Garamond" w:eastAsia="Times New Roman" w:hAnsi="Garamond" w:cs="Times New Roman"/>
          <w:i/>
          <w:sz w:val="30"/>
          <w:szCs w:val="30"/>
          <w:lang w:eastAsia="it-IT"/>
        </w:rPr>
        <w:t xml:space="preserve">in re </w:t>
      </w:r>
      <w:proofErr w:type="spellStart"/>
      <w:r w:rsidR="001D754F" w:rsidRPr="009C7D6A">
        <w:rPr>
          <w:rFonts w:ascii="Garamond" w:eastAsia="Times New Roman" w:hAnsi="Garamond" w:cs="Times New Roman"/>
          <w:i/>
          <w:sz w:val="30"/>
          <w:szCs w:val="30"/>
          <w:lang w:eastAsia="it-IT"/>
        </w:rPr>
        <w:t>ipsa</w:t>
      </w:r>
      <w:proofErr w:type="spellEnd"/>
      <w:r w:rsidR="001D754F" w:rsidRPr="005B3C1E">
        <w:rPr>
          <w:rFonts w:ascii="Garamond" w:eastAsia="Times New Roman" w:hAnsi="Garamond" w:cs="Times New Roman"/>
          <w:sz w:val="30"/>
          <w:szCs w:val="30"/>
          <w:lang w:eastAsia="it-IT"/>
        </w:rPr>
        <w:t xml:space="preserve"> integrerebbe un illegittimo esonero dall’onere della prova (C</w:t>
      </w:r>
      <w:r>
        <w:rPr>
          <w:rFonts w:ascii="Garamond" w:eastAsia="Times New Roman" w:hAnsi="Garamond" w:cs="Times New Roman"/>
          <w:sz w:val="30"/>
          <w:szCs w:val="30"/>
          <w:lang w:eastAsia="it-IT"/>
        </w:rPr>
        <w:t xml:space="preserve">orte di Cassazione, </w:t>
      </w:r>
      <w:r w:rsidR="001D754F" w:rsidRPr="005B3C1E">
        <w:rPr>
          <w:rFonts w:ascii="Garamond" w:eastAsia="Times New Roman" w:hAnsi="Garamond" w:cs="Times New Roman"/>
          <w:sz w:val="30"/>
          <w:szCs w:val="30"/>
          <w:lang w:eastAsia="it-IT"/>
        </w:rPr>
        <w:t xml:space="preserve">sez. II, 22 settembre 2017, n. 22201; </w:t>
      </w:r>
      <w:r w:rsidR="007C248C">
        <w:rPr>
          <w:rFonts w:ascii="Garamond" w:eastAsia="Times New Roman" w:hAnsi="Garamond" w:cs="Times New Roman"/>
          <w:sz w:val="30"/>
          <w:szCs w:val="30"/>
          <w:lang w:eastAsia="it-IT"/>
        </w:rPr>
        <w:t xml:space="preserve">id., </w:t>
      </w:r>
      <w:r w:rsidR="001D754F" w:rsidRPr="005B3C1E">
        <w:rPr>
          <w:rFonts w:ascii="Garamond" w:eastAsia="Times New Roman" w:hAnsi="Garamond" w:cs="Times New Roman"/>
          <w:sz w:val="30"/>
          <w:szCs w:val="30"/>
          <w:lang w:eastAsia="it-IT"/>
        </w:rPr>
        <w:t xml:space="preserve">sez. III, 13 ottobre 2016, n. 20643; </w:t>
      </w:r>
      <w:r w:rsidR="007C248C">
        <w:rPr>
          <w:rFonts w:ascii="Garamond" w:eastAsia="Times New Roman" w:hAnsi="Garamond" w:cs="Times New Roman"/>
          <w:sz w:val="30"/>
          <w:szCs w:val="30"/>
          <w:lang w:eastAsia="it-IT"/>
        </w:rPr>
        <w:t xml:space="preserve">id., </w:t>
      </w:r>
      <w:r w:rsidR="001D754F" w:rsidRPr="005B3C1E">
        <w:rPr>
          <w:rFonts w:ascii="Garamond" w:eastAsia="Times New Roman" w:hAnsi="Garamond" w:cs="Times New Roman"/>
          <w:sz w:val="30"/>
          <w:szCs w:val="30"/>
          <w:lang w:eastAsia="it-IT"/>
        </w:rPr>
        <w:t xml:space="preserve">sez. I, 23 dicembre 2015, n. 25921; </w:t>
      </w:r>
      <w:r w:rsidR="007C248C">
        <w:rPr>
          <w:rFonts w:ascii="Garamond" w:eastAsia="Times New Roman" w:hAnsi="Garamond" w:cs="Times New Roman"/>
          <w:sz w:val="30"/>
          <w:szCs w:val="30"/>
          <w:lang w:eastAsia="it-IT"/>
        </w:rPr>
        <w:t xml:space="preserve">id., </w:t>
      </w:r>
      <w:r w:rsidR="001D754F" w:rsidRPr="005B3C1E">
        <w:rPr>
          <w:rFonts w:ascii="Garamond" w:eastAsia="Times New Roman" w:hAnsi="Garamond" w:cs="Times New Roman"/>
          <w:sz w:val="30"/>
          <w:szCs w:val="30"/>
          <w:lang w:eastAsia="it-IT"/>
        </w:rPr>
        <w:t xml:space="preserve">sez. III, 18 novembre 2014, n. 24474; </w:t>
      </w:r>
      <w:r w:rsidR="007C248C">
        <w:rPr>
          <w:rFonts w:ascii="Garamond" w:eastAsia="Times New Roman" w:hAnsi="Garamond" w:cs="Times New Roman"/>
          <w:sz w:val="30"/>
          <w:szCs w:val="30"/>
          <w:lang w:eastAsia="it-IT"/>
        </w:rPr>
        <w:t xml:space="preserve">id., </w:t>
      </w:r>
      <w:r w:rsidR="001D754F" w:rsidRPr="005B3C1E">
        <w:rPr>
          <w:rFonts w:ascii="Garamond" w:eastAsia="Times New Roman" w:hAnsi="Garamond" w:cs="Times New Roman"/>
          <w:sz w:val="30"/>
          <w:szCs w:val="30"/>
          <w:lang w:eastAsia="it-IT"/>
        </w:rPr>
        <w:t xml:space="preserve">sez. III, 3 luglio 2014, n. 15240; </w:t>
      </w:r>
      <w:r w:rsidR="007C248C">
        <w:rPr>
          <w:rFonts w:ascii="Garamond" w:eastAsia="Times New Roman" w:hAnsi="Garamond" w:cs="Times New Roman"/>
          <w:sz w:val="30"/>
          <w:szCs w:val="30"/>
          <w:lang w:eastAsia="it-IT"/>
        </w:rPr>
        <w:t xml:space="preserve">id., </w:t>
      </w:r>
      <w:r w:rsidR="001D754F" w:rsidRPr="005B3C1E">
        <w:rPr>
          <w:rFonts w:ascii="Garamond" w:eastAsia="Times New Roman" w:hAnsi="Garamond" w:cs="Times New Roman"/>
          <w:sz w:val="30"/>
          <w:szCs w:val="30"/>
          <w:lang w:eastAsia="it-IT"/>
        </w:rPr>
        <w:t xml:space="preserve">sez. I, 3 giugno 2014, n. 12370; </w:t>
      </w:r>
      <w:r w:rsidR="007C248C">
        <w:rPr>
          <w:rFonts w:ascii="Garamond" w:eastAsia="Times New Roman" w:hAnsi="Garamond" w:cs="Times New Roman"/>
          <w:sz w:val="30"/>
          <w:szCs w:val="30"/>
          <w:lang w:eastAsia="it-IT"/>
        </w:rPr>
        <w:t xml:space="preserve">id., </w:t>
      </w:r>
      <w:r w:rsidR="001D754F" w:rsidRPr="005B3C1E">
        <w:rPr>
          <w:rFonts w:ascii="Garamond" w:eastAsia="Times New Roman" w:hAnsi="Garamond" w:cs="Times New Roman"/>
          <w:sz w:val="30"/>
          <w:szCs w:val="30"/>
          <w:lang w:eastAsia="it-IT"/>
        </w:rPr>
        <w:t xml:space="preserve">sez. I, 10 settembre 2013, n. 20695). </w:t>
      </w:r>
    </w:p>
    <w:p w:rsidR="001D754F" w:rsidRPr="005B3C1E" w:rsidRDefault="001D754F" w:rsidP="007C248C">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Soprattutto, </w:t>
      </w:r>
      <w:r w:rsidR="007C248C">
        <w:rPr>
          <w:rFonts w:ascii="Garamond" w:eastAsia="Times New Roman" w:hAnsi="Garamond" w:cs="Times New Roman"/>
          <w:sz w:val="30"/>
          <w:szCs w:val="30"/>
          <w:lang w:eastAsia="it-IT"/>
        </w:rPr>
        <w:t xml:space="preserve">la sentenza in questione non ha eluso il </w:t>
      </w:r>
      <w:r w:rsidRPr="005B3C1E">
        <w:rPr>
          <w:rFonts w:ascii="Garamond" w:eastAsia="Times New Roman" w:hAnsi="Garamond" w:cs="Times New Roman"/>
          <w:sz w:val="30"/>
          <w:szCs w:val="30"/>
          <w:lang w:eastAsia="it-IT"/>
        </w:rPr>
        <w:t xml:space="preserve">confronto con </w:t>
      </w:r>
      <w:r w:rsidR="007C248C">
        <w:rPr>
          <w:rFonts w:ascii="Garamond" w:eastAsia="Times New Roman" w:hAnsi="Garamond" w:cs="Times New Roman"/>
          <w:sz w:val="30"/>
          <w:szCs w:val="30"/>
          <w:lang w:eastAsia="it-IT"/>
        </w:rPr>
        <w:t xml:space="preserve">una recente pronuncia </w:t>
      </w:r>
      <w:r w:rsidRPr="005B3C1E">
        <w:rPr>
          <w:rFonts w:ascii="Garamond" w:eastAsia="Times New Roman" w:hAnsi="Garamond" w:cs="Times New Roman"/>
          <w:sz w:val="30"/>
          <w:szCs w:val="30"/>
          <w:lang w:eastAsia="it-IT"/>
        </w:rPr>
        <w:t xml:space="preserve">della Cassazione </w:t>
      </w:r>
      <w:r w:rsidR="007C248C">
        <w:rPr>
          <w:rFonts w:ascii="Garamond" w:eastAsia="Times New Roman" w:hAnsi="Garamond" w:cs="Times New Roman"/>
          <w:sz w:val="30"/>
          <w:szCs w:val="30"/>
          <w:lang w:eastAsia="it-IT"/>
        </w:rPr>
        <w:t>(</w:t>
      </w:r>
      <w:r w:rsidR="007C248C" w:rsidRPr="007C248C">
        <w:rPr>
          <w:rFonts w:ascii="Garamond" w:eastAsia="Times New Roman" w:hAnsi="Garamond" w:cs="Times New Roman"/>
          <w:sz w:val="30"/>
          <w:szCs w:val="30"/>
          <w:lang w:eastAsia="it-IT"/>
        </w:rPr>
        <w:t>sez. III, 25 maggio 2018, n. 13071</w:t>
      </w:r>
      <w:r w:rsidR="007C248C">
        <w:rPr>
          <w:rFonts w:ascii="Garamond" w:eastAsia="Times New Roman" w:hAnsi="Garamond" w:cs="Times New Roman"/>
          <w:sz w:val="30"/>
          <w:szCs w:val="30"/>
          <w:lang w:eastAsia="it-IT"/>
        </w:rPr>
        <w:t xml:space="preserve">), pure questa </w:t>
      </w:r>
      <w:r w:rsidRPr="005B3C1E">
        <w:rPr>
          <w:rFonts w:ascii="Garamond" w:eastAsia="Times New Roman" w:hAnsi="Garamond" w:cs="Times New Roman"/>
          <w:sz w:val="30"/>
          <w:szCs w:val="30"/>
          <w:lang w:eastAsia="it-IT"/>
        </w:rPr>
        <w:t xml:space="preserve">orientata ad affermare la tesi del danno-conseguenza, nella quale si è statuito che il danno da occupazione non possa essere considerato </w:t>
      </w:r>
      <w:r w:rsidRPr="007C248C">
        <w:rPr>
          <w:rFonts w:ascii="Garamond" w:eastAsia="Times New Roman" w:hAnsi="Garamond" w:cs="Times New Roman"/>
          <w:i/>
          <w:sz w:val="30"/>
          <w:szCs w:val="30"/>
          <w:lang w:eastAsia="it-IT"/>
        </w:rPr>
        <w:t xml:space="preserve">in re </w:t>
      </w:r>
      <w:proofErr w:type="spellStart"/>
      <w:r w:rsidRPr="007C248C">
        <w:rPr>
          <w:rFonts w:ascii="Garamond" w:eastAsia="Times New Roman" w:hAnsi="Garamond" w:cs="Times New Roman"/>
          <w:i/>
          <w:sz w:val="30"/>
          <w:szCs w:val="30"/>
          <w:lang w:eastAsia="it-IT"/>
        </w:rPr>
        <w:t>ipsa</w:t>
      </w:r>
      <w:proofErr w:type="spellEnd"/>
      <w:r w:rsidRPr="005B3C1E">
        <w:rPr>
          <w:rFonts w:ascii="Garamond" w:eastAsia="Times New Roman" w:hAnsi="Garamond" w:cs="Times New Roman"/>
          <w:sz w:val="30"/>
          <w:szCs w:val="30"/>
          <w:lang w:eastAsia="it-IT"/>
        </w:rPr>
        <w:t xml:space="preserve"> perché tale concetto</w:t>
      </w:r>
      <w:r w:rsidR="007C248C">
        <w:rPr>
          <w:rFonts w:ascii="Garamond" w:eastAsia="Times New Roman" w:hAnsi="Garamond" w:cs="Times New Roman"/>
          <w:sz w:val="30"/>
          <w:szCs w:val="30"/>
          <w:lang w:eastAsia="it-IT"/>
        </w:rPr>
        <w:t xml:space="preserve"> condurrebbe</w:t>
      </w:r>
      <w:r w:rsidR="00D16543">
        <w:rPr>
          <w:rFonts w:ascii="Garamond" w:eastAsia="Times New Roman" w:hAnsi="Garamond" w:cs="Times New Roman"/>
          <w:sz w:val="30"/>
          <w:szCs w:val="30"/>
          <w:lang w:eastAsia="it-IT"/>
        </w:rPr>
        <w:t xml:space="preserve"> </w:t>
      </w:r>
      <w:r w:rsidRPr="005B3C1E">
        <w:rPr>
          <w:rFonts w:ascii="Garamond" w:eastAsia="Times New Roman" w:hAnsi="Garamond" w:cs="Times New Roman"/>
          <w:sz w:val="30"/>
          <w:szCs w:val="30"/>
          <w:lang w:eastAsia="it-IT"/>
        </w:rPr>
        <w:t>ad identificare il danno con l’evento dannoso e</w:t>
      </w:r>
      <w:r w:rsidR="00D16543">
        <w:rPr>
          <w:rFonts w:ascii="Garamond" w:eastAsia="Times New Roman" w:hAnsi="Garamond" w:cs="Times New Roman"/>
          <w:sz w:val="30"/>
          <w:szCs w:val="30"/>
          <w:lang w:eastAsia="it-IT"/>
        </w:rPr>
        <w:t xml:space="preserve">, quindi, </w:t>
      </w:r>
      <w:r w:rsidRPr="005B3C1E">
        <w:rPr>
          <w:rFonts w:ascii="Garamond" w:eastAsia="Times New Roman" w:hAnsi="Garamond" w:cs="Times New Roman"/>
          <w:sz w:val="30"/>
          <w:szCs w:val="30"/>
          <w:lang w:eastAsia="it-IT"/>
        </w:rPr>
        <w:t xml:space="preserve">a configurare </w:t>
      </w:r>
      <w:r w:rsidR="00D16543">
        <w:rPr>
          <w:rFonts w:ascii="Garamond" w:eastAsia="Times New Roman" w:hAnsi="Garamond" w:cs="Times New Roman"/>
          <w:sz w:val="30"/>
          <w:szCs w:val="30"/>
          <w:lang w:eastAsia="it-IT"/>
        </w:rPr>
        <w:t>“</w:t>
      </w:r>
      <w:r w:rsidRPr="00D16543">
        <w:rPr>
          <w:rFonts w:ascii="Garamond" w:eastAsia="Times New Roman" w:hAnsi="Garamond" w:cs="Times New Roman"/>
          <w:i/>
          <w:sz w:val="30"/>
          <w:szCs w:val="30"/>
          <w:lang w:eastAsia="it-IT"/>
        </w:rPr>
        <w:t>un vero e proprio danno punitivo</w:t>
      </w:r>
      <w:r w:rsidRPr="005B3C1E">
        <w:rPr>
          <w:rFonts w:ascii="Garamond" w:eastAsia="Times New Roman" w:hAnsi="Garamond" w:cs="Times New Roman"/>
          <w:sz w:val="30"/>
          <w:szCs w:val="30"/>
          <w:lang w:eastAsia="it-IT"/>
        </w:rPr>
        <w:t>”.</w:t>
      </w:r>
    </w:p>
    <w:p w:rsidR="00D16543"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Una sentenza, quest’ultima della Cassazione del 2018, che però </w:t>
      </w:r>
      <w:r w:rsidR="00D16543">
        <w:rPr>
          <w:rFonts w:ascii="Garamond" w:eastAsia="Times New Roman" w:hAnsi="Garamond" w:cs="Times New Roman"/>
          <w:sz w:val="30"/>
          <w:szCs w:val="30"/>
          <w:lang w:eastAsia="it-IT"/>
        </w:rPr>
        <w:t xml:space="preserve">non </w:t>
      </w:r>
      <w:r w:rsidRPr="005B3C1E">
        <w:rPr>
          <w:rFonts w:ascii="Garamond" w:eastAsia="Times New Roman" w:hAnsi="Garamond" w:cs="Times New Roman"/>
          <w:sz w:val="30"/>
          <w:szCs w:val="30"/>
          <w:lang w:eastAsia="it-IT"/>
        </w:rPr>
        <w:t>ha riguardato una occupazione di terreno da parte della PA, bensì una fattispecie assai più singolare: un litigio tra due coniugi separati</w:t>
      </w:r>
      <w:r w:rsidR="00D16543">
        <w:rPr>
          <w:rFonts w:ascii="Garamond" w:eastAsia="Times New Roman" w:hAnsi="Garamond" w:cs="Times New Roman"/>
          <w:sz w:val="30"/>
          <w:szCs w:val="30"/>
          <w:lang w:eastAsia="it-IT"/>
        </w:rPr>
        <w:t>, nell’ambito del quale</w:t>
      </w:r>
      <w:r w:rsidRPr="005B3C1E">
        <w:rPr>
          <w:rFonts w:ascii="Garamond" w:eastAsia="Times New Roman" w:hAnsi="Garamond" w:cs="Times New Roman"/>
          <w:sz w:val="30"/>
          <w:szCs w:val="30"/>
          <w:lang w:eastAsia="it-IT"/>
        </w:rPr>
        <w:t xml:space="preserve"> l’ex marito aveva chiesto alla ex moglie il rilascio di un immobile di sua proprietà (oltre </w:t>
      </w:r>
      <w:r w:rsidR="00D16543">
        <w:rPr>
          <w:rFonts w:ascii="Garamond" w:eastAsia="Times New Roman" w:hAnsi="Garamond" w:cs="Times New Roman"/>
          <w:sz w:val="30"/>
          <w:szCs w:val="30"/>
          <w:lang w:eastAsia="it-IT"/>
        </w:rPr>
        <w:t>che il pagamento di altre spese</w:t>
      </w:r>
      <w:r w:rsidRPr="005B3C1E">
        <w:rPr>
          <w:rFonts w:ascii="Garamond" w:eastAsia="Times New Roman" w:hAnsi="Garamond" w:cs="Times New Roman"/>
          <w:sz w:val="30"/>
          <w:szCs w:val="30"/>
          <w:lang w:eastAsia="it-IT"/>
        </w:rPr>
        <w:t xml:space="preserve"> derivanti dal mancato godimento di tale immobile</w:t>
      </w:r>
      <w:r w:rsidR="00D16543">
        <w:rPr>
          <w:rFonts w:ascii="Garamond" w:eastAsia="Times New Roman" w:hAnsi="Garamond" w:cs="Times New Roman"/>
          <w:sz w:val="30"/>
          <w:szCs w:val="30"/>
          <w:lang w:eastAsia="it-IT"/>
        </w:rPr>
        <w:t>, in precedenza concesso in comodato d’uso al figlio della coppia).</w:t>
      </w:r>
    </w:p>
    <w:p w:rsidR="00D16543" w:rsidRDefault="00D16543"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Ciò che, nell’immediato, colpisce è la giustapposizione</w:t>
      </w:r>
      <w:r w:rsidR="009C7D6A">
        <w:rPr>
          <w:rFonts w:ascii="Garamond" w:eastAsia="Times New Roman" w:hAnsi="Garamond" w:cs="Times New Roman"/>
          <w:sz w:val="30"/>
          <w:szCs w:val="30"/>
          <w:lang w:eastAsia="it-IT"/>
        </w:rPr>
        <w:t xml:space="preserve"> – nel contesto di un tentativo, non privo di vocazione sistematica, finalizzato all’</w:t>
      </w:r>
      <w:r>
        <w:rPr>
          <w:rFonts w:ascii="Garamond" w:eastAsia="Times New Roman" w:hAnsi="Garamond" w:cs="Times New Roman"/>
          <w:sz w:val="30"/>
          <w:szCs w:val="30"/>
          <w:lang w:eastAsia="it-IT"/>
        </w:rPr>
        <w:t>elaborazione di un orientamento sul danno da occupazione – di fattispecie profondamente eterogenee, ove sembra pervenirsi ad un’impropria assimilazione tra l’occupazione da parte della pubblica Amministrazione e quella perpetrata da un privato.</w:t>
      </w:r>
    </w:p>
    <w:p w:rsidR="001D754F" w:rsidRPr="005B3C1E" w:rsidRDefault="00D16543"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Ma ci sono altri passaggi degni di nota.</w:t>
      </w:r>
    </w:p>
    <w:p w:rsidR="009C3A26" w:rsidRPr="009C3A26" w:rsidRDefault="001D754F" w:rsidP="009C3A26">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La sentenza del </w:t>
      </w:r>
      <w:r w:rsidR="00D16543">
        <w:rPr>
          <w:rFonts w:ascii="Garamond" w:eastAsia="Times New Roman" w:hAnsi="Garamond" w:cs="Times New Roman"/>
          <w:sz w:val="30"/>
          <w:szCs w:val="30"/>
          <w:lang w:eastAsia="it-IT"/>
        </w:rPr>
        <w:t>Consiglio di Stato h</w:t>
      </w:r>
      <w:r w:rsidRPr="005B3C1E">
        <w:rPr>
          <w:rFonts w:ascii="Garamond" w:eastAsia="Times New Roman" w:hAnsi="Garamond" w:cs="Times New Roman"/>
          <w:sz w:val="30"/>
          <w:szCs w:val="30"/>
          <w:lang w:eastAsia="it-IT"/>
        </w:rPr>
        <w:t>a ribadito con fermezza che “</w:t>
      </w:r>
      <w:r w:rsidRPr="00D16543">
        <w:rPr>
          <w:rFonts w:ascii="Garamond" w:eastAsia="Times New Roman" w:hAnsi="Garamond" w:cs="Times New Roman"/>
          <w:i/>
          <w:sz w:val="30"/>
          <w:szCs w:val="30"/>
          <w:lang w:eastAsia="it-IT"/>
        </w:rPr>
        <w:t>il problema, dunque, non consiste nella configurazione ontologica del danno (…), ma attiene alla natura della situazione soggettiva ed al rapporto che intercorre tra questa e l’evento lesivo</w:t>
      </w:r>
      <w:r w:rsidRPr="005B3C1E">
        <w:rPr>
          <w:rFonts w:ascii="Garamond" w:eastAsia="Times New Roman" w:hAnsi="Garamond" w:cs="Times New Roman"/>
          <w:sz w:val="30"/>
          <w:szCs w:val="30"/>
          <w:lang w:eastAsia="it-IT"/>
        </w:rPr>
        <w:t xml:space="preserve">”. Ragione per cui il “problema”, o meno, della prova </w:t>
      </w:r>
      <w:r w:rsidR="009C3A26">
        <w:rPr>
          <w:rFonts w:ascii="Garamond" w:eastAsia="Times New Roman" w:hAnsi="Garamond" w:cs="Times New Roman"/>
          <w:sz w:val="30"/>
          <w:szCs w:val="30"/>
          <w:lang w:eastAsia="it-IT"/>
        </w:rPr>
        <w:t>“</w:t>
      </w:r>
      <w:r w:rsidR="009C3A26" w:rsidRPr="009C3A26">
        <w:rPr>
          <w:rFonts w:ascii="Garamond" w:eastAsia="Times New Roman" w:hAnsi="Garamond" w:cs="Times New Roman"/>
          <w:i/>
          <w:sz w:val="30"/>
          <w:szCs w:val="30"/>
          <w:lang w:eastAsia="it-IT"/>
        </w:rPr>
        <w:t>non discende dalla natura del danno (danno-evento o danno-conseguenza), ma che si propone come strettamente connesso alla sussistenza/conformazione e titolarità di una posizione soggettiva che si assume lesa</w:t>
      </w:r>
      <w:r w:rsidR="009C3A26">
        <w:rPr>
          <w:rFonts w:ascii="Garamond" w:eastAsia="Times New Roman" w:hAnsi="Garamond" w:cs="Times New Roman"/>
          <w:sz w:val="30"/>
          <w:szCs w:val="30"/>
          <w:lang w:eastAsia="it-IT"/>
        </w:rPr>
        <w:t>”</w:t>
      </w:r>
      <w:r w:rsidR="009C3A26" w:rsidRPr="009C3A26">
        <w:rPr>
          <w:rFonts w:ascii="Garamond" w:eastAsia="Times New Roman" w:hAnsi="Garamond" w:cs="Times New Roman"/>
          <w:sz w:val="30"/>
          <w:szCs w:val="30"/>
          <w:lang w:eastAsia="it-IT"/>
        </w:rPr>
        <w:t>.</w:t>
      </w:r>
    </w:p>
    <w:p w:rsidR="009C3A26" w:rsidRDefault="009C3A26"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Non solo.</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La configurazione del risarcimento </w:t>
      </w:r>
      <w:r w:rsidRPr="009C3A26">
        <w:rPr>
          <w:rFonts w:ascii="Garamond" w:eastAsia="Times New Roman" w:hAnsi="Garamond" w:cs="Times New Roman"/>
          <w:i/>
          <w:sz w:val="30"/>
          <w:szCs w:val="30"/>
          <w:lang w:eastAsia="it-IT"/>
        </w:rPr>
        <w:t xml:space="preserve">in re </w:t>
      </w:r>
      <w:proofErr w:type="spellStart"/>
      <w:r w:rsidRPr="009C3A26">
        <w:rPr>
          <w:rFonts w:ascii="Garamond" w:eastAsia="Times New Roman" w:hAnsi="Garamond" w:cs="Times New Roman"/>
          <w:i/>
          <w:sz w:val="30"/>
          <w:szCs w:val="30"/>
          <w:lang w:eastAsia="it-IT"/>
        </w:rPr>
        <w:t>ipsa</w:t>
      </w:r>
      <w:proofErr w:type="spellEnd"/>
      <w:r w:rsidRPr="005B3C1E">
        <w:rPr>
          <w:rFonts w:ascii="Garamond" w:eastAsia="Times New Roman" w:hAnsi="Garamond" w:cs="Times New Roman"/>
          <w:sz w:val="30"/>
          <w:szCs w:val="30"/>
          <w:lang w:eastAsia="it-IT"/>
        </w:rPr>
        <w:t xml:space="preserve"> </w:t>
      </w:r>
      <w:r w:rsidR="009C3A26">
        <w:rPr>
          <w:rFonts w:ascii="Garamond" w:eastAsia="Times New Roman" w:hAnsi="Garamond" w:cs="Times New Roman"/>
          <w:sz w:val="30"/>
          <w:szCs w:val="30"/>
          <w:lang w:eastAsia="it-IT"/>
        </w:rPr>
        <w:t>sarebbe</w:t>
      </w:r>
      <w:r w:rsidRPr="005B3C1E">
        <w:rPr>
          <w:rFonts w:ascii="Garamond" w:eastAsia="Times New Roman" w:hAnsi="Garamond" w:cs="Times New Roman"/>
          <w:sz w:val="30"/>
          <w:szCs w:val="30"/>
          <w:lang w:eastAsia="it-IT"/>
        </w:rPr>
        <w:t xml:space="preserve"> funzionale ad evitare un “risultato paradossale”, “</w:t>
      </w:r>
      <w:r w:rsidRPr="009C3A26">
        <w:rPr>
          <w:rFonts w:ascii="Garamond" w:eastAsia="Times New Roman" w:hAnsi="Garamond" w:cs="Times New Roman"/>
          <w:i/>
          <w:sz w:val="30"/>
          <w:szCs w:val="30"/>
          <w:lang w:eastAsia="it-IT"/>
        </w:rPr>
        <w:t xml:space="preserve">certamente non coerente con il dettato dell’art. 42 </w:t>
      </w:r>
      <w:proofErr w:type="spellStart"/>
      <w:proofErr w:type="gramStart"/>
      <w:r w:rsidRPr="009C3A26">
        <w:rPr>
          <w:rFonts w:ascii="Garamond" w:eastAsia="Times New Roman" w:hAnsi="Garamond" w:cs="Times New Roman"/>
          <w:i/>
          <w:sz w:val="30"/>
          <w:szCs w:val="30"/>
          <w:lang w:eastAsia="it-IT"/>
        </w:rPr>
        <w:t>Cost</w:t>
      </w:r>
      <w:proofErr w:type="spellEnd"/>
      <w:r w:rsidRPr="009C3A26">
        <w:rPr>
          <w:rFonts w:ascii="Garamond" w:eastAsia="Times New Roman" w:hAnsi="Garamond" w:cs="Times New Roman"/>
          <w:i/>
          <w:sz w:val="30"/>
          <w:szCs w:val="30"/>
          <w:lang w:eastAsia="it-IT"/>
        </w:rPr>
        <w:t>..</w:t>
      </w:r>
      <w:proofErr w:type="gramEnd"/>
      <w:r w:rsidRPr="009C3A26">
        <w:rPr>
          <w:rFonts w:ascii="Garamond" w:eastAsia="Times New Roman" w:hAnsi="Garamond" w:cs="Times New Roman"/>
          <w:i/>
          <w:sz w:val="30"/>
          <w:szCs w:val="30"/>
          <w:lang w:eastAsia="it-IT"/>
        </w:rPr>
        <w:t>e dell’art. 17 della Carta dei diritti fondamentali dell’Unione Europea</w:t>
      </w:r>
      <w:r w:rsidRPr="005B3C1E">
        <w:rPr>
          <w:rFonts w:ascii="Garamond" w:eastAsia="Times New Roman" w:hAnsi="Garamond" w:cs="Times New Roman"/>
          <w:sz w:val="30"/>
          <w:szCs w:val="30"/>
          <w:lang w:eastAsia="it-IT"/>
        </w:rPr>
        <w:t>”, ossia riconoscere la tutela della proprietà “</w:t>
      </w:r>
      <w:r w:rsidRPr="009C3A26">
        <w:rPr>
          <w:rFonts w:ascii="Garamond" w:eastAsia="Times New Roman" w:hAnsi="Garamond" w:cs="Times New Roman"/>
          <w:i/>
          <w:sz w:val="30"/>
          <w:szCs w:val="30"/>
          <w:lang w:eastAsia="it-IT"/>
        </w:rPr>
        <w:t>solo nei casi in cui (e nella misura in cui) il proprietario sia in grado di dimostrare un “uso attivo” della facoltà di godimento. Ma quest’ultima conclusione riduce fortemente (ed a monte della tematica del risarcimento) l’ambito ontologico del diritto di proprietà, poiché questo finirebbe per configurarsi solo come “posizione dinamica”, potendo essere percepito (e dunque tutelato) dall’ordinamento solo nel momento in cui esso si esercita: precisamente, nei momenti “dinamici” del potere di disposizione e dell’esercizio “in concreto” della facoltà di godimento</w:t>
      </w:r>
      <w:r w:rsidRPr="005B3C1E">
        <w:rPr>
          <w:rFonts w:ascii="Garamond" w:eastAsia="Times New Roman" w:hAnsi="Garamond" w:cs="Times New Roman"/>
          <w:sz w:val="30"/>
          <w:szCs w:val="30"/>
          <w:lang w:eastAsia="it-IT"/>
        </w:rPr>
        <w:t>”.</w:t>
      </w:r>
    </w:p>
    <w:p w:rsidR="009C3A26" w:rsidRDefault="009C3A26"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È stato</w:t>
      </w:r>
      <w:r w:rsidR="001D754F" w:rsidRPr="005B3C1E">
        <w:rPr>
          <w:rFonts w:ascii="Garamond" w:eastAsia="Times New Roman" w:hAnsi="Garamond" w:cs="Times New Roman"/>
          <w:sz w:val="30"/>
          <w:szCs w:val="30"/>
          <w:lang w:eastAsia="it-IT"/>
        </w:rPr>
        <w:t>, cioè, riaffermato il nucleo essenziale del diritto di proprietà (</w:t>
      </w:r>
      <w:r>
        <w:rPr>
          <w:rFonts w:ascii="Garamond" w:eastAsia="Times New Roman" w:hAnsi="Garamond" w:cs="Times New Roman"/>
          <w:sz w:val="30"/>
          <w:szCs w:val="30"/>
          <w:lang w:eastAsia="it-IT"/>
        </w:rPr>
        <w:t xml:space="preserve">connaturato alla sottolineatura della rilevanza – </w:t>
      </w:r>
      <w:r w:rsidR="001D754F" w:rsidRPr="005B3C1E">
        <w:rPr>
          <w:rFonts w:ascii="Garamond" w:eastAsia="Times New Roman" w:hAnsi="Garamond" w:cs="Times New Roman"/>
          <w:sz w:val="30"/>
          <w:szCs w:val="30"/>
          <w:lang w:eastAsia="it-IT"/>
        </w:rPr>
        <w:t>anche</w:t>
      </w:r>
      <w:r>
        <w:rPr>
          <w:rFonts w:ascii="Garamond" w:eastAsia="Times New Roman" w:hAnsi="Garamond" w:cs="Times New Roman"/>
          <w:sz w:val="30"/>
          <w:szCs w:val="30"/>
          <w:lang w:eastAsia="it-IT"/>
        </w:rPr>
        <w:t xml:space="preserve"> – del profilo</w:t>
      </w:r>
      <w:r w:rsidR="001D754F" w:rsidRPr="005B3C1E">
        <w:rPr>
          <w:rFonts w:ascii="Garamond" w:eastAsia="Times New Roman" w:hAnsi="Garamond" w:cs="Times New Roman"/>
          <w:sz w:val="30"/>
          <w:szCs w:val="30"/>
          <w:lang w:eastAsia="it-IT"/>
        </w:rPr>
        <w:t xml:space="preserve"> “statico”</w:t>
      </w:r>
      <w:r>
        <w:rPr>
          <w:rFonts w:ascii="Garamond" w:eastAsia="Times New Roman" w:hAnsi="Garamond" w:cs="Times New Roman"/>
          <w:sz w:val="30"/>
          <w:szCs w:val="30"/>
          <w:lang w:eastAsia="it-IT"/>
        </w:rPr>
        <w:t xml:space="preserve"> del regime proprietario</w:t>
      </w:r>
      <w:r w:rsidR="001D754F" w:rsidRPr="005B3C1E">
        <w:rPr>
          <w:rFonts w:ascii="Garamond" w:eastAsia="Times New Roman" w:hAnsi="Garamond" w:cs="Times New Roman"/>
          <w:sz w:val="30"/>
          <w:szCs w:val="30"/>
          <w:lang w:eastAsia="it-IT"/>
        </w:rPr>
        <w:t>).</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Ma non è tutto.</w:t>
      </w:r>
    </w:p>
    <w:p w:rsidR="009C3A26"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Il </w:t>
      </w:r>
      <w:r w:rsidR="009C3A26">
        <w:rPr>
          <w:rFonts w:ascii="Garamond" w:eastAsia="Times New Roman" w:hAnsi="Garamond" w:cs="Times New Roman"/>
          <w:sz w:val="30"/>
          <w:szCs w:val="30"/>
          <w:lang w:eastAsia="it-IT"/>
        </w:rPr>
        <w:t xml:space="preserve">Consiglio di Stato </w:t>
      </w:r>
      <w:r w:rsidRPr="005B3C1E">
        <w:rPr>
          <w:rFonts w:ascii="Garamond" w:eastAsia="Times New Roman" w:hAnsi="Garamond" w:cs="Times New Roman"/>
          <w:sz w:val="30"/>
          <w:szCs w:val="30"/>
          <w:lang w:eastAsia="it-IT"/>
        </w:rPr>
        <w:t>non ha assolutizzato il dogma per cui “</w:t>
      </w:r>
      <w:r w:rsidRPr="009C3A26">
        <w:rPr>
          <w:rFonts w:ascii="Garamond" w:eastAsia="Times New Roman" w:hAnsi="Garamond" w:cs="Times New Roman"/>
          <w:i/>
          <w:sz w:val="30"/>
          <w:szCs w:val="30"/>
          <w:lang w:eastAsia="it-IT"/>
        </w:rPr>
        <w:t>la facoltà di godimento ottenga tutela sempre e comunque per il solo fatto di essere aspetto connaturato al diritto di proprietà</w:t>
      </w:r>
      <w:r w:rsidRPr="005B3C1E">
        <w:rPr>
          <w:rFonts w:ascii="Garamond" w:eastAsia="Times New Roman" w:hAnsi="Garamond" w:cs="Times New Roman"/>
          <w:sz w:val="30"/>
          <w:szCs w:val="30"/>
          <w:lang w:eastAsia="it-IT"/>
        </w:rPr>
        <w:t xml:space="preserve">”: il principio sposato, piuttosto, </w:t>
      </w:r>
      <w:r w:rsidR="009C3A26">
        <w:rPr>
          <w:rFonts w:ascii="Garamond" w:eastAsia="Times New Roman" w:hAnsi="Garamond" w:cs="Times New Roman"/>
          <w:sz w:val="30"/>
          <w:szCs w:val="30"/>
          <w:lang w:eastAsia="it-IT"/>
        </w:rPr>
        <w:t xml:space="preserve">è stato fondato sulla </w:t>
      </w:r>
      <w:r w:rsidRPr="005B3C1E">
        <w:rPr>
          <w:rFonts w:ascii="Garamond" w:eastAsia="Times New Roman" w:hAnsi="Garamond" w:cs="Times New Roman"/>
          <w:sz w:val="30"/>
          <w:szCs w:val="30"/>
          <w:lang w:eastAsia="it-IT"/>
        </w:rPr>
        <w:t xml:space="preserve">presunzione </w:t>
      </w:r>
      <w:proofErr w:type="spellStart"/>
      <w:r w:rsidRPr="009C3A26">
        <w:rPr>
          <w:rFonts w:ascii="Garamond" w:eastAsia="Times New Roman" w:hAnsi="Garamond" w:cs="Times New Roman"/>
          <w:i/>
          <w:sz w:val="30"/>
          <w:szCs w:val="30"/>
          <w:lang w:eastAsia="it-IT"/>
        </w:rPr>
        <w:t>iuris</w:t>
      </w:r>
      <w:proofErr w:type="spellEnd"/>
      <w:r w:rsidRPr="009C3A26">
        <w:rPr>
          <w:rFonts w:ascii="Garamond" w:eastAsia="Times New Roman" w:hAnsi="Garamond" w:cs="Times New Roman"/>
          <w:i/>
          <w:sz w:val="30"/>
          <w:szCs w:val="30"/>
          <w:lang w:eastAsia="it-IT"/>
        </w:rPr>
        <w:t xml:space="preserve"> tantum</w:t>
      </w:r>
      <w:r w:rsidRPr="005B3C1E">
        <w:rPr>
          <w:rFonts w:ascii="Garamond" w:eastAsia="Times New Roman" w:hAnsi="Garamond" w:cs="Times New Roman"/>
          <w:sz w:val="30"/>
          <w:szCs w:val="30"/>
          <w:lang w:eastAsia="it-IT"/>
        </w:rPr>
        <w:t xml:space="preserve"> di lesione, nel senso che la via d’uscita per la pubblica Amministrazione </w:t>
      </w:r>
      <w:r w:rsidR="009C3A26">
        <w:rPr>
          <w:rFonts w:ascii="Garamond" w:eastAsia="Times New Roman" w:hAnsi="Garamond" w:cs="Times New Roman"/>
          <w:sz w:val="30"/>
          <w:szCs w:val="30"/>
          <w:lang w:eastAsia="it-IT"/>
        </w:rPr>
        <w:t xml:space="preserve">non potrebbe – a questo punto – che sostanziarsi nella </w:t>
      </w:r>
      <w:r w:rsidRPr="005B3C1E">
        <w:rPr>
          <w:rFonts w:ascii="Garamond" w:eastAsia="Times New Roman" w:hAnsi="Garamond" w:cs="Times New Roman"/>
          <w:sz w:val="30"/>
          <w:szCs w:val="30"/>
          <w:lang w:eastAsia="it-IT"/>
        </w:rPr>
        <w:t xml:space="preserve">prova del “disinteresse” del proprietario, </w:t>
      </w:r>
      <w:r w:rsidR="009C3A26">
        <w:rPr>
          <w:rFonts w:ascii="Garamond" w:eastAsia="Times New Roman" w:hAnsi="Garamond" w:cs="Times New Roman"/>
          <w:sz w:val="30"/>
          <w:szCs w:val="30"/>
          <w:lang w:eastAsia="it-IT"/>
        </w:rPr>
        <w:t xml:space="preserve">tenuto conto che </w:t>
      </w:r>
      <w:r w:rsidRPr="005B3C1E">
        <w:rPr>
          <w:rFonts w:ascii="Garamond" w:eastAsia="Times New Roman" w:hAnsi="Garamond" w:cs="Times New Roman"/>
          <w:sz w:val="30"/>
          <w:szCs w:val="30"/>
          <w:lang w:eastAsia="it-IT"/>
        </w:rPr>
        <w:t>“</w:t>
      </w:r>
      <w:r w:rsidRPr="009C3A26">
        <w:rPr>
          <w:rFonts w:ascii="Garamond" w:eastAsia="Times New Roman" w:hAnsi="Garamond" w:cs="Times New Roman"/>
          <w:i/>
          <w:sz w:val="30"/>
          <w:szCs w:val="30"/>
          <w:lang w:eastAsia="it-IT"/>
        </w:rPr>
        <w:t>in tali casi è del tutto evidente come l’onere della prova incombe sul soggetto virtualmente tenuto al risarcimento</w:t>
      </w:r>
      <w:r w:rsidRPr="005B3C1E">
        <w:rPr>
          <w:rFonts w:ascii="Garamond" w:eastAsia="Times New Roman" w:hAnsi="Garamond" w:cs="Times New Roman"/>
          <w:sz w:val="30"/>
          <w:szCs w:val="30"/>
          <w:lang w:eastAsia="it-IT"/>
        </w:rPr>
        <w:t xml:space="preserve">”. </w:t>
      </w:r>
    </w:p>
    <w:p w:rsidR="009C3A26" w:rsidRDefault="009C3A26"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 xml:space="preserve">E, sempre per restare in tema di paradossi, nella pronuncia si </w:t>
      </w:r>
      <w:r w:rsidR="009C7D6A">
        <w:rPr>
          <w:rFonts w:ascii="Garamond" w:eastAsia="Times New Roman" w:hAnsi="Garamond" w:cs="Times New Roman"/>
          <w:sz w:val="30"/>
          <w:szCs w:val="30"/>
          <w:lang w:eastAsia="it-IT"/>
        </w:rPr>
        <w:t xml:space="preserve">è pure </w:t>
      </w:r>
      <w:r>
        <w:rPr>
          <w:rFonts w:ascii="Garamond" w:eastAsia="Times New Roman" w:hAnsi="Garamond" w:cs="Times New Roman"/>
          <w:sz w:val="30"/>
          <w:szCs w:val="30"/>
          <w:lang w:eastAsia="it-IT"/>
        </w:rPr>
        <w:t>afferma</w:t>
      </w:r>
      <w:r w:rsidR="009C7D6A">
        <w:rPr>
          <w:rFonts w:ascii="Garamond" w:eastAsia="Times New Roman" w:hAnsi="Garamond" w:cs="Times New Roman"/>
          <w:sz w:val="30"/>
          <w:szCs w:val="30"/>
          <w:lang w:eastAsia="it-IT"/>
        </w:rPr>
        <w:t>to</w:t>
      </w:r>
      <w:r>
        <w:rPr>
          <w:rFonts w:ascii="Garamond" w:eastAsia="Times New Roman" w:hAnsi="Garamond" w:cs="Times New Roman"/>
          <w:sz w:val="30"/>
          <w:szCs w:val="30"/>
          <w:lang w:eastAsia="it-IT"/>
        </w:rPr>
        <w:t xml:space="preserve"> che </w:t>
      </w:r>
      <w:r w:rsidR="001D754F" w:rsidRPr="005B3C1E">
        <w:rPr>
          <w:rFonts w:ascii="Garamond" w:eastAsia="Times New Roman" w:hAnsi="Garamond" w:cs="Times New Roman"/>
          <w:sz w:val="30"/>
          <w:szCs w:val="30"/>
          <w:lang w:eastAsia="it-IT"/>
        </w:rPr>
        <w:t>l’indennità per occupazione legittima (cioè quella di cui all’art. 22 bis, comma 5 del DPR 327/2001, secondo cui “</w:t>
      </w:r>
      <w:r w:rsidR="001D754F" w:rsidRPr="009C3A26">
        <w:rPr>
          <w:rFonts w:ascii="Garamond" w:eastAsia="Times New Roman" w:hAnsi="Garamond" w:cs="Times New Roman"/>
          <w:i/>
          <w:sz w:val="30"/>
          <w:szCs w:val="30"/>
          <w:lang w:eastAsia="it-IT"/>
        </w:rPr>
        <w:t>per il periodo intercorrente tra la data di immissione in possesso e la data di corresponsione dell'indennità di espropriazione o del corrispettivo, stabilito per l'atto di cessione volontaria è dovuta l'indennità di occupazione</w:t>
      </w:r>
      <w:r w:rsidR="001D754F" w:rsidRPr="005B3C1E">
        <w:rPr>
          <w:rFonts w:ascii="Garamond" w:eastAsia="Times New Roman" w:hAnsi="Garamond" w:cs="Times New Roman"/>
          <w:sz w:val="30"/>
          <w:szCs w:val="30"/>
          <w:lang w:eastAsia="it-IT"/>
        </w:rPr>
        <w:t xml:space="preserve">”) e il risarcimento del danno per perdita del godimento del bene a causa di occupazione illegittima </w:t>
      </w:r>
      <w:r>
        <w:rPr>
          <w:rFonts w:ascii="Garamond" w:eastAsia="Times New Roman" w:hAnsi="Garamond" w:cs="Times New Roman"/>
          <w:sz w:val="30"/>
          <w:szCs w:val="30"/>
          <w:lang w:eastAsia="it-IT"/>
        </w:rPr>
        <w:t xml:space="preserve">avrebbero un medesimo </w:t>
      </w:r>
      <w:r w:rsidR="001D754F" w:rsidRPr="005B3C1E">
        <w:rPr>
          <w:rFonts w:ascii="Garamond" w:eastAsia="Times New Roman" w:hAnsi="Garamond" w:cs="Times New Roman"/>
          <w:sz w:val="30"/>
          <w:szCs w:val="30"/>
          <w:lang w:eastAsia="it-IT"/>
        </w:rPr>
        <w:t>fondamento giuridico</w:t>
      </w:r>
      <w:r>
        <w:rPr>
          <w:rFonts w:ascii="Garamond" w:eastAsia="Times New Roman" w:hAnsi="Garamond" w:cs="Times New Roman"/>
          <w:sz w:val="30"/>
          <w:szCs w:val="30"/>
          <w:lang w:eastAsia="it-IT"/>
        </w:rPr>
        <w:t xml:space="preserve">, ossia la compressione </w:t>
      </w:r>
      <w:r w:rsidR="001D754F" w:rsidRPr="005B3C1E">
        <w:rPr>
          <w:rFonts w:ascii="Garamond" w:eastAsia="Times New Roman" w:hAnsi="Garamond" w:cs="Times New Roman"/>
          <w:sz w:val="30"/>
          <w:szCs w:val="30"/>
          <w:lang w:eastAsia="it-IT"/>
        </w:rPr>
        <w:t xml:space="preserve">del diritto </w:t>
      </w:r>
      <w:r>
        <w:rPr>
          <w:rFonts w:ascii="Garamond" w:eastAsia="Times New Roman" w:hAnsi="Garamond" w:cs="Times New Roman"/>
          <w:sz w:val="30"/>
          <w:szCs w:val="30"/>
          <w:lang w:eastAsia="it-IT"/>
        </w:rPr>
        <w:t>di proprietà.</w:t>
      </w:r>
    </w:p>
    <w:p w:rsidR="009C3A26" w:rsidRDefault="009C3A26" w:rsidP="001D754F">
      <w:pPr>
        <w:jc w:val="both"/>
        <w:rPr>
          <w:rFonts w:ascii="Garamond" w:eastAsia="Times New Roman" w:hAnsi="Garamond" w:cs="Times New Roman"/>
          <w:sz w:val="30"/>
          <w:szCs w:val="30"/>
          <w:lang w:eastAsia="it-IT"/>
        </w:rPr>
      </w:pPr>
    </w:p>
    <w:p w:rsidR="001D754F" w:rsidRPr="009C3A26" w:rsidRDefault="001D754F" w:rsidP="001D754F">
      <w:pPr>
        <w:jc w:val="both"/>
        <w:rPr>
          <w:rFonts w:ascii="Garamond" w:eastAsia="Times New Roman" w:hAnsi="Garamond" w:cs="Times New Roman"/>
          <w:b/>
          <w:i/>
          <w:sz w:val="30"/>
          <w:szCs w:val="30"/>
          <w:lang w:eastAsia="it-IT"/>
        </w:rPr>
      </w:pPr>
      <w:r w:rsidRPr="009C3A26">
        <w:rPr>
          <w:rFonts w:ascii="Garamond" w:eastAsia="Times New Roman" w:hAnsi="Garamond" w:cs="Times New Roman"/>
          <w:b/>
          <w:i/>
          <w:sz w:val="30"/>
          <w:szCs w:val="30"/>
          <w:lang w:eastAsia="it-IT"/>
        </w:rPr>
        <w:t>3. Osservazioni finali sull’attualità della sentenza 500/1999.</w:t>
      </w:r>
    </w:p>
    <w:p w:rsidR="001D754F"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A valle di una disamina – per forza di cose sommaria</w:t>
      </w:r>
      <w:r w:rsidR="009C3A26">
        <w:rPr>
          <w:rFonts w:ascii="Garamond" w:eastAsia="Times New Roman" w:hAnsi="Garamond" w:cs="Times New Roman"/>
          <w:sz w:val="30"/>
          <w:szCs w:val="30"/>
          <w:lang w:eastAsia="it-IT"/>
        </w:rPr>
        <w:t xml:space="preserve"> – sulla giurisprudenza in tema </w:t>
      </w:r>
      <w:r w:rsidRPr="005B3C1E">
        <w:rPr>
          <w:rFonts w:ascii="Garamond" w:eastAsia="Times New Roman" w:hAnsi="Garamond" w:cs="Times New Roman"/>
          <w:sz w:val="30"/>
          <w:szCs w:val="30"/>
          <w:lang w:eastAsia="it-IT"/>
        </w:rPr>
        <w:t xml:space="preserve">di danno da occupazione, si possono isolare </w:t>
      </w:r>
      <w:r w:rsidR="00E56750">
        <w:rPr>
          <w:rFonts w:ascii="Garamond" w:eastAsia="Times New Roman" w:hAnsi="Garamond" w:cs="Times New Roman"/>
          <w:sz w:val="30"/>
          <w:szCs w:val="30"/>
          <w:lang w:eastAsia="it-IT"/>
        </w:rPr>
        <w:t xml:space="preserve">due considerazioni conclusive, </w:t>
      </w:r>
      <w:r w:rsidRPr="005B3C1E">
        <w:rPr>
          <w:rFonts w:ascii="Garamond" w:eastAsia="Times New Roman" w:hAnsi="Garamond" w:cs="Times New Roman"/>
          <w:sz w:val="30"/>
          <w:szCs w:val="30"/>
          <w:lang w:eastAsia="it-IT"/>
        </w:rPr>
        <w:t>tutte sollecitate dalla sentenza in questione.</w:t>
      </w:r>
    </w:p>
    <w:p w:rsidR="001D754F" w:rsidRPr="005B3C1E" w:rsidRDefault="009C3A26"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 xml:space="preserve">La prima è data dal </w:t>
      </w:r>
      <w:r w:rsidR="001D754F" w:rsidRPr="005B3C1E">
        <w:rPr>
          <w:rFonts w:ascii="Garamond" w:eastAsia="Times New Roman" w:hAnsi="Garamond" w:cs="Times New Roman"/>
          <w:sz w:val="30"/>
          <w:szCs w:val="30"/>
          <w:lang w:eastAsia="it-IT"/>
        </w:rPr>
        <w:t xml:space="preserve">rischio di avallare un danno punitivo o un danno </w:t>
      </w:r>
      <w:r>
        <w:rPr>
          <w:rFonts w:ascii="Garamond" w:eastAsia="Times New Roman" w:hAnsi="Garamond" w:cs="Times New Roman"/>
          <w:sz w:val="30"/>
          <w:szCs w:val="30"/>
          <w:lang w:eastAsia="it-IT"/>
        </w:rPr>
        <w:t>suscettibile di una tutela per così dire “privilegiata</w:t>
      </w:r>
      <w:r w:rsidR="001D754F" w:rsidRPr="005B3C1E">
        <w:rPr>
          <w:rFonts w:ascii="Garamond" w:eastAsia="Times New Roman" w:hAnsi="Garamond" w:cs="Times New Roman"/>
          <w:sz w:val="30"/>
          <w:szCs w:val="30"/>
          <w:lang w:eastAsia="it-IT"/>
        </w:rPr>
        <w:t>”</w:t>
      </w:r>
      <w:r w:rsidR="007C383C">
        <w:rPr>
          <w:rFonts w:ascii="Garamond" w:eastAsia="Times New Roman" w:hAnsi="Garamond" w:cs="Times New Roman"/>
          <w:sz w:val="30"/>
          <w:szCs w:val="30"/>
          <w:lang w:eastAsia="it-IT"/>
        </w:rPr>
        <w:t>.</w:t>
      </w:r>
    </w:p>
    <w:p w:rsidR="001D754F" w:rsidRDefault="009C3A26"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Se</w:t>
      </w:r>
      <w:r w:rsidR="007C383C">
        <w:rPr>
          <w:rFonts w:ascii="Garamond" w:eastAsia="Times New Roman" w:hAnsi="Garamond" w:cs="Times New Roman"/>
          <w:sz w:val="30"/>
          <w:szCs w:val="30"/>
          <w:lang w:eastAsia="it-IT"/>
        </w:rPr>
        <w:t xml:space="preserve"> (mi sia permesso di </w:t>
      </w:r>
      <w:r>
        <w:rPr>
          <w:rFonts w:ascii="Garamond" w:eastAsia="Times New Roman" w:hAnsi="Garamond" w:cs="Times New Roman"/>
          <w:sz w:val="30"/>
          <w:szCs w:val="30"/>
          <w:lang w:eastAsia="it-IT"/>
        </w:rPr>
        <w:t>richiama</w:t>
      </w:r>
      <w:r w:rsidR="007C383C">
        <w:rPr>
          <w:rFonts w:ascii="Garamond" w:eastAsia="Times New Roman" w:hAnsi="Garamond" w:cs="Times New Roman"/>
          <w:sz w:val="30"/>
          <w:szCs w:val="30"/>
          <w:lang w:eastAsia="it-IT"/>
        </w:rPr>
        <w:t>re</w:t>
      </w:r>
      <w:r>
        <w:rPr>
          <w:rFonts w:ascii="Garamond" w:eastAsia="Times New Roman" w:hAnsi="Garamond" w:cs="Times New Roman"/>
          <w:sz w:val="30"/>
          <w:szCs w:val="30"/>
          <w:lang w:eastAsia="it-IT"/>
        </w:rPr>
        <w:t xml:space="preserve"> una </w:t>
      </w:r>
      <w:r w:rsidR="007C383C">
        <w:rPr>
          <w:rFonts w:ascii="Garamond" w:eastAsia="Times New Roman" w:hAnsi="Garamond" w:cs="Times New Roman"/>
          <w:sz w:val="30"/>
          <w:szCs w:val="30"/>
          <w:lang w:eastAsia="it-IT"/>
        </w:rPr>
        <w:t xml:space="preserve">posizione del </w:t>
      </w:r>
      <w:r>
        <w:rPr>
          <w:rFonts w:ascii="Garamond" w:eastAsia="Times New Roman" w:hAnsi="Garamond" w:cs="Times New Roman"/>
          <w:sz w:val="30"/>
          <w:szCs w:val="30"/>
          <w:lang w:eastAsia="it-IT"/>
        </w:rPr>
        <w:t>prof. Bianca, maestro del diritto civile presente oggi in quest</w:t>
      </w:r>
      <w:r w:rsidR="007C383C">
        <w:rPr>
          <w:rFonts w:ascii="Garamond" w:eastAsia="Times New Roman" w:hAnsi="Garamond" w:cs="Times New Roman"/>
          <w:sz w:val="30"/>
          <w:szCs w:val="30"/>
          <w:lang w:eastAsia="it-IT"/>
        </w:rPr>
        <w:t xml:space="preserve">a sala) </w:t>
      </w:r>
      <w:r w:rsidR="001D754F" w:rsidRPr="005B3C1E">
        <w:rPr>
          <w:rFonts w:ascii="Garamond" w:eastAsia="Times New Roman" w:hAnsi="Garamond" w:cs="Times New Roman"/>
          <w:sz w:val="30"/>
          <w:szCs w:val="30"/>
          <w:lang w:eastAsia="it-IT"/>
        </w:rPr>
        <w:t>la funzione punitiv</w:t>
      </w:r>
      <w:r w:rsidR="007C383C">
        <w:rPr>
          <w:rFonts w:ascii="Garamond" w:eastAsia="Times New Roman" w:hAnsi="Garamond" w:cs="Times New Roman"/>
          <w:sz w:val="30"/>
          <w:szCs w:val="30"/>
          <w:lang w:eastAsia="it-IT"/>
        </w:rPr>
        <w:t xml:space="preserve">a è estranea </w:t>
      </w:r>
      <w:r w:rsidR="009C7D6A">
        <w:rPr>
          <w:rFonts w:ascii="Garamond" w:eastAsia="Times New Roman" w:hAnsi="Garamond" w:cs="Times New Roman"/>
          <w:sz w:val="30"/>
          <w:szCs w:val="30"/>
          <w:lang w:eastAsia="it-IT"/>
        </w:rPr>
        <w:t>al diritto privato, occorre</w:t>
      </w:r>
      <w:r w:rsidR="007C383C">
        <w:rPr>
          <w:rFonts w:ascii="Garamond" w:eastAsia="Times New Roman" w:hAnsi="Garamond" w:cs="Times New Roman"/>
          <w:sz w:val="30"/>
          <w:szCs w:val="30"/>
          <w:lang w:eastAsia="it-IT"/>
        </w:rPr>
        <w:t xml:space="preserve"> rimarcare, con altrettanta convinzione, che la funzione punitiva non possa appartenere neppure al </w:t>
      </w:r>
      <w:r w:rsidR="001D754F" w:rsidRPr="005B3C1E">
        <w:rPr>
          <w:rFonts w:ascii="Garamond" w:eastAsia="Times New Roman" w:hAnsi="Garamond" w:cs="Times New Roman"/>
          <w:sz w:val="30"/>
          <w:szCs w:val="30"/>
          <w:lang w:eastAsia="it-IT"/>
        </w:rPr>
        <w:t xml:space="preserve">diritto amministrativo. </w:t>
      </w:r>
    </w:p>
    <w:p w:rsidR="001D754F" w:rsidRPr="005B3C1E" w:rsidRDefault="007C383C" w:rsidP="007C383C">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 xml:space="preserve">Ora, ad avviso del Consiglio di Stato </w:t>
      </w:r>
      <w:r w:rsidR="001D754F" w:rsidRPr="005B3C1E">
        <w:rPr>
          <w:rFonts w:ascii="Garamond" w:eastAsia="Times New Roman" w:hAnsi="Garamond" w:cs="Times New Roman"/>
          <w:sz w:val="30"/>
          <w:szCs w:val="30"/>
          <w:lang w:eastAsia="it-IT"/>
        </w:rPr>
        <w:t>la distinzione tra danno-evento e danno-conseguenza riguard</w:t>
      </w:r>
      <w:r>
        <w:rPr>
          <w:rFonts w:ascii="Garamond" w:eastAsia="Times New Roman" w:hAnsi="Garamond" w:cs="Times New Roman"/>
          <w:sz w:val="30"/>
          <w:szCs w:val="30"/>
          <w:lang w:eastAsia="it-IT"/>
        </w:rPr>
        <w:t>erebbe</w:t>
      </w:r>
      <w:r w:rsidR="001D754F" w:rsidRPr="005B3C1E">
        <w:rPr>
          <w:rFonts w:ascii="Garamond" w:eastAsia="Times New Roman" w:hAnsi="Garamond" w:cs="Times New Roman"/>
          <w:sz w:val="30"/>
          <w:szCs w:val="30"/>
          <w:lang w:eastAsia="it-IT"/>
        </w:rPr>
        <w:t xml:space="preserve"> per lo più il risarcimento del danno non patrimoniale; mentre non occorrerebbe prova del danno patrimoniale perché “</w:t>
      </w:r>
      <w:r w:rsidR="001D754F" w:rsidRPr="007C383C">
        <w:rPr>
          <w:rFonts w:ascii="Garamond" w:eastAsia="Times New Roman" w:hAnsi="Garamond" w:cs="Times New Roman"/>
          <w:i/>
          <w:sz w:val="30"/>
          <w:szCs w:val="30"/>
          <w:lang w:eastAsia="it-IT"/>
        </w:rPr>
        <w:t>la diminuzione o la privazione, in tutto o in parte, della posizione soggettiva nel suo lato interno (in relazione cioè al bene protetto) è già ex se lesione comprovata e che, come tale, postula risarcimento</w:t>
      </w:r>
      <w:r w:rsidR="001D754F" w:rsidRPr="005B3C1E">
        <w:rPr>
          <w:rFonts w:ascii="Garamond" w:eastAsia="Times New Roman" w:hAnsi="Garamond" w:cs="Times New Roman"/>
          <w:sz w:val="30"/>
          <w:szCs w:val="30"/>
          <w:lang w:eastAsia="it-IT"/>
        </w:rPr>
        <w:t>”.</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Si tratta, indubbiamente, di un’affermazione “forte”</w:t>
      </w:r>
      <w:r w:rsidR="007C383C">
        <w:rPr>
          <w:rFonts w:ascii="Garamond" w:eastAsia="Times New Roman" w:hAnsi="Garamond" w:cs="Times New Roman"/>
          <w:sz w:val="30"/>
          <w:szCs w:val="30"/>
          <w:lang w:eastAsia="it-IT"/>
        </w:rPr>
        <w:t>,</w:t>
      </w:r>
      <w:r w:rsidRPr="005B3C1E">
        <w:rPr>
          <w:rFonts w:ascii="Garamond" w:eastAsia="Times New Roman" w:hAnsi="Garamond" w:cs="Times New Roman"/>
          <w:sz w:val="30"/>
          <w:szCs w:val="30"/>
          <w:lang w:eastAsia="it-IT"/>
        </w:rPr>
        <w:t xml:space="preserve"> che </w:t>
      </w:r>
      <w:r w:rsidR="007C383C">
        <w:rPr>
          <w:rFonts w:ascii="Garamond" w:eastAsia="Times New Roman" w:hAnsi="Garamond" w:cs="Times New Roman"/>
          <w:sz w:val="30"/>
          <w:szCs w:val="30"/>
          <w:lang w:eastAsia="it-IT"/>
        </w:rPr>
        <w:t xml:space="preserve">tende a relegare in secondo piano la teoria </w:t>
      </w:r>
      <w:r w:rsidRPr="005B3C1E">
        <w:rPr>
          <w:rFonts w:ascii="Garamond" w:eastAsia="Times New Roman" w:hAnsi="Garamond" w:cs="Times New Roman"/>
          <w:sz w:val="30"/>
          <w:szCs w:val="30"/>
          <w:lang w:eastAsia="it-IT"/>
        </w:rPr>
        <w:t xml:space="preserve">secondo cui il c.d. danno-evento </w:t>
      </w:r>
      <w:r w:rsidR="007C383C">
        <w:rPr>
          <w:rFonts w:ascii="Garamond" w:eastAsia="Times New Roman" w:hAnsi="Garamond" w:cs="Times New Roman"/>
          <w:sz w:val="30"/>
          <w:szCs w:val="30"/>
          <w:lang w:eastAsia="it-IT"/>
        </w:rPr>
        <w:t xml:space="preserve">non potrebbe che atteggiarsi </w:t>
      </w:r>
      <w:r w:rsidR="009C7D6A">
        <w:rPr>
          <w:rFonts w:ascii="Garamond" w:eastAsia="Times New Roman" w:hAnsi="Garamond" w:cs="Times New Roman"/>
          <w:sz w:val="30"/>
          <w:szCs w:val="30"/>
          <w:lang w:eastAsia="it-IT"/>
        </w:rPr>
        <w:t xml:space="preserve">(solo) </w:t>
      </w:r>
      <w:r w:rsidR="007C383C">
        <w:rPr>
          <w:rFonts w:ascii="Garamond" w:eastAsia="Times New Roman" w:hAnsi="Garamond" w:cs="Times New Roman"/>
          <w:sz w:val="30"/>
          <w:szCs w:val="30"/>
          <w:lang w:eastAsia="it-IT"/>
        </w:rPr>
        <w:t xml:space="preserve">come un </w:t>
      </w:r>
      <w:r w:rsidRPr="005B3C1E">
        <w:rPr>
          <w:rFonts w:ascii="Garamond" w:eastAsia="Times New Roman" w:hAnsi="Garamond" w:cs="Times New Roman"/>
          <w:sz w:val="30"/>
          <w:szCs w:val="30"/>
          <w:lang w:eastAsia="it-IT"/>
        </w:rPr>
        <w:t>presupposto del risarcimento</w:t>
      </w:r>
      <w:r w:rsidR="007C383C">
        <w:rPr>
          <w:rFonts w:ascii="Garamond" w:eastAsia="Times New Roman" w:hAnsi="Garamond" w:cs="Times New Roman"/>
          <w:sz w:val="30"/>
          <w:szCs w:val="30"/>
          <w:lang w:eastAsia="it-IT"/>
        </w:rPr>
        <w:t>, meglio sarebbe dire come un elemento che consolida la fonte del danno e del successivo risarcimento</w:t>
      </w:r>
      <w:r w:rsidRPr="005B3C1E">
        <w:rPr>
          <w:rFonts w:ascii="Garamond" w:eastAsia="Times New Roman" w:hAnsi="Garamond" w:cs="Times New Roman"/>
          <w:sz w:val="30"/>
          <w:szCs w:val="30"/>
          <w:lang w:eastAsia="it-IT"/>
        </w:rPr>
        <w:t xml:space="preserve">, </w:t>
      </w:r>
      <w:r w:rsidR="007C383C">
        <w:rPr>
          <w:rFonts w:ascii="Garamond" w:eastAsia="Times New Roman" w:hAnsi="Garamond" w:cs="Times New Roman"/>
          <w:sz w:val="30"/>
          <w:szCs w:val="30"/>
          <w:lang w:eastAsia="it-IT"/>
        </w:rPr>
        <w:t xml:space="preserve">quest’ultimo da ricondurre ad una </w:t>
      </w:r>
      <w:r w:rsidRPr="005B3C1E">
        <w:rPr>
          <w:rFonts w:ascii="Garamond" w:eastAsia="Times New Roman" w:hAnsi="Garamond" w:cs="Times New Roman"/>
          <w:sz w:val="30"/>
          <w:szCs w:val="30"/>
          <w:lang w:eastAsia="it-IT"/>
        </w:rPr>
        <w:t>diminuzione patrimoniale o ad altra conseguenza negativa sul piano dello sviluppo della persona</w:t>
      </w:r>
      <w:r w:rsidR="007C383C">
        <w:rPr>
          <w:rFonts w:ascii="Garamond" w:eastAsia="Times New Roman" w:hAnsi="Garamond" w:cs="Times New Roman"/>
          <w:sz w:val="30"/>
          <w:szCs w:val="30"/>
          <w:lang w:eastAsia="it-IT"/>
        </w:rPr>
        <w:t xml:space="preserve">: ma pur sempre – il predetto presupposto – insufficiente ai </w:t>
      </w:r>
      <w:r w:rsidRPr="005B3C1E">
        <w:rPr>
          <w:rFonts w:ascii="Garamond" w:eastAsia="Times New Roman" w:hAnsi="Garamond" w:cs="Times New Roman"/>
          <w:sz w:val="30"/>
          <w:szCs w:val="30"/>
          <w:lang w:eastAsia="it-IT"/>
        </w:rPr>
        <w:t>fini del ristoro.</w:t>
      </w:r>
    </w:p>
    <w:p w:rsidR="001D754F" w:rsidRPr="005B3C1E" w:rsidRDefault="007C383C"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 xml:space="preserve">Mi sembra, perciò, che l’orientamento espresso dal Consiglio di Stato finisca per far </w:t>
      </w:r>
      <w:r w:rsidR="001D754F" w:rsidRPr="005B3C1E">
        <w:rPr>
          <w:rFonts w:ascii="Garamond" w:eastAsia="Times New Roman" w:hAnsi="Garamond" w:cs="Times New Roman"/>
          <w:sz w:val="30"/>
          <w:szCs w:val="30"/>
          <w:lang w:eastAsia="it-IT"/>
        </w:rPr>
        <w:t>riecheggiare il passaggio della sentenza n. 500 nella parte in cui ha dato conto del “</w:t>
      </w:r>
      <w:r w:rsidR="001D754F" w:rsidRPr="007C383C">
        <w:rPr>
          <w:rFonts w:ascii="Garamond" w:eastAsia="Times New Roman" w:hAnsi="Garamond" w:cs="Times New Roman"/>
          <w:i/>
          <w:sz w:val="30"/>
          <w:szCs w:val="30"/>
          <w:lang w:eastAsia="it-IT"/>
        </w:rPr>
        <w:t>radicale dissenso sempre manifestato dalla quasi unanime dottrina, che ha criticato i presupposti dell'affermazione, individuati nella tradizionale lettura dell'art. 2043 c.c. e denunciato come iniqua la sostanziale immunità della P.A. per l'esercizio illegittimo della funzione pubblica che essa determina</w:t>
      </w:r>
      <w:r w:rsidR="001D754F" w:rsidRPr="005B3C1E">
        <w:rPr>
          <w:rFonts w:ascii="Garamond" w:eastAsia="Times New Roman" w:hAnsi="Garamond" w:cs="Times New Roman"/>
          <w:sz w:val="30"/>
          <w:szCs w:val="30"/>
          <w:lang w:eastAsia="it-IT"/>
        </w:rPr>
        <w:t>”.</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Però </w:t>
      </w:r>
      <w:r w:rsidR="009C7D6A">
        <w:rPr>
          <w:rFonts w:ascii="Garamond" w:eastAsia="Times New Roman" w:hAnsi="Garamond" w:cs="Times New Roman"/>
          <w:sz w:val="30"/>
          <w:szCs w:val="30"/>
          <w:lang w:eastAsia="it-IT"/>
        </w:rPr>
        <w:t xml:space="preserve">vanno tenuti in conto </w:t>
      </w:r>
      <w:r w:rsidRPr="005B3C1E">
        <w:rPr>
          <w:rFonts w:ascii="Garamond" w:eastAsia="Times New Roman" w:hAnsi="Garamond" w:cs="Times New Roman"/>
          <w:sz w:val="30"/>
          <w:szCs w:val="30"/>
          <w:lang w:eastAsia="it-IT"/>
        </w:rPr>
        <w:t xml:space="preserve">due aspetti di non secondario rilievo </w:t>
      </w:r>
      <w:r w:rsidR="009C7D6A">
        <w:rPr>
          <w:rFonts w:ascii="Garamond" w:eastAsia="Times New Roman" w:hAnsi="Garamond" w:cs="Times New Roman"/>
          <w:sz w:val="30"/>
          <w:szCs w:val="30"/>
          <w:lang w:eastAsia="it-IT"/>
        </w:rPr>
        <w:t xml:space="preserve">prima di mettere davvero </w:t>
      </w:r>
      <w:r w:rsidRPr="005B3C1E">
        <w:rPr>
          <w:rFonts w:ascii="Garamond" w:eastAsia="Times New Roman" w:hAnsi="Garamond" w:cs="Times New Roman"/>
          <w:sz w:val="30"/>
          <w:szCs w:val="30"/>
          <w:lang w:eastAsia="it-IT"/>
        </w:rPr>
        <w:t xml:space="preserve">in soffitta </w:t>
      </w:r>
      <w:r w:rsidR="007C383C">
        <w:rPr>
          <w:rFonts w:ascii="Garamond" w:eastAsia="Times New Roman" w:hAnsi="Garamond" w:cs="Times New Roman"/>
          <w:sz w:val="30"/>
          <w:szCs w:val="30"/>
          <w:lang w:eastAsia="it-IT"/>
        </w:rPr>
        <w:t>il pregresso orientamento.</w:t>
      </w:r>
    </w:p>
    <w:p w:rsidR="007C383C" w:rsidRDefault="007C383C"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 xml:space="preserve">Un primo aspetto è teorico e si ricollega alla </w:t>
      </w:r>
      <w:r w:rsidR="001D754F" w:rsidRPr="005B3C1E">
        <w:rPr>
          <w:rFonts w:ascii="Garamond" w:eastAsia="Times New Roman" w:hAnsi="Garamond" w:cs="Times New Roman"/>
          <w:sz w:val="30"/>
          <w:szCs w:val="30"/>
          <w:lang w:eastAsia="it-IT"/>
        </w:rPr>
        <w:t>funzione sociale della proprietà</w:t>
      </w:r>
      <w:r>
        <w:rPr>
          <w:rFonts w:ascii="Garamond" w:eastAsia="Times New Roman" w:hAnsi="Garamond" w:cs="Times New Roman"/>
          <w:sz w:val="30"/>
          <w:szCs w:val="30"/>
          <w:lang w:eastAsia="it-IT"/>
        </w:rPr>
        <w:t>.</w:t>
      </w:r>
    </w:p>
    <w:p w:rsidR="007C383C" w:rsidRPr="005B3C1E" w:rsidRDefault="007C383C"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Come ha osservato B</w:t>
      </w:r>
      <w:r w:rsidR="001D754F" w:rsidRPr="005B3C1E">
        <w:rPr>
          <w:rFonts w:ascii="Garamond" w:eastAsia="Times New Roman" w:hAnsi="Garamond" w:cs="Times New Roman"/>
          <w:sz w:val="30"/>
          <w:szCs w:val="30"/>
          <w:lang w:eastAsia="it-IT"/>
        </w:rPr>
        <w:t>arcellona nel digesto discipline p</w:t>
      </w:r>
      <w:r>
        <w:rPr>
          <w:rFonts w:ascii="Garamond" w:eastAsia="Times New Roman" w:hAnsi="Garamond" w:cs="Times New Roman"/>
          <w:sz w:val="30"/>
          <w:szCs w:val="30"/>
          <w:lang w:eastAsia="it-IT"/>
        </w:rPr>
        <w:t xml:space="preserve">rivatistiche </w:t>
      </w:r>
      <w:r w:rsidR="001D754F" w:rsidRPr="005B3C1E">
        <w:rPr>
          <w:rFonts w:ascii="Garamond" w:eastAsia="Times New Roman" w:hAnsi="Garamond" w:cs="Times New Roman"/>
          <w:sz w:val="30"/>
          <w:szCs w:val="30"/>
          <w:lang w:eastAsia="it-IT"/>
        </w:rPr>
        <w:t>“</w:t>
      </w:r>
      <w:r w:rsidR="001D754F" w:rsidRPr="007C383C">
        <w:rPr>
          <w:rFonts w:ascii="Garamond" w:eastAsia="Times New Roman" w:hAnsi="Garamond" w:cs="Times New Roman"/>
          <w:i/>
          <w:sz w:val="30"/>
          <w:szCs w:val="30"/>
          <w:lang w:eastAsia="it-IT"/>
        </w:rPr>
        <w:t>è legittimo porre il problema dell’ambito e dei limiti della tutela costituzionale della proprietà privata in una prospettiva che non sia soltanto quella della storia interna dell’esperienza giuridica</w:t>
      </w:r>
      <w:r w:rsidR="001D754F" w:rsidRPr="005B3C1E">
        <w:rPr>
          <w:rFonts w:ascii="Garamond" w:eastAsia="Times New Roman" w:hAnsi="Garamond" w:cs="Times New Roman"/>
          <w:sz w:val="30"/>
          <w:szCs w:val="30"/>
          <w:lang w:eastAsia="it-IT"/>
        </w:rPr>
        <w:t xml:space="preserve">”. </w:t>
      </w:r>
    </w:p>
    <w:p w:rsidR="00471365"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È come dire che il diritto moderno è una forma di oggettivizzazione che chiede un costante compromesso tra </w:t>
      </w:r>
      <w:r w:rsidR="007C383C">
        <w:rPr>
          <w:rFonts w:ascii="Garamond" w:eastAsia="Times New Roman" w:hAnsi="Garamond" w:cs="Times New Roman"/>
          <w:sz w:val="30"/>
          <w:szCs w:val="30"/>
          <w:lang w:eastAsia="it-IT"/>
        </w:rPr>
        <w:t xml:space="preserve">il </w:t>
      </w:r>
      <w:r w:rsidRPr="005B3C1E">
        <w:rPr>
          <w:rFonts w:ascii="Garamond" w:eastAsia="Times New Roman" w:hAnsi="Garamond" w:cs="Times New Roman"/>
          <w:sz w:val="30"/>
          <w:szCs w:val="30"/>
          <w:lang w:eastAsia="it-IT"/>
        </w:rPr>
        <w:t>potere individuale, da una parte, e le li</w:t>
      </w:r>
      <w:r w:rsidR="009C7D6A">
        <w:rPr>
          <w:rFonts w:ascii="Garamond" w:eastAsia="Times New Roman" w:hAnsi="Garamond" w:cs="Times New Roman"/>
          <w:sz w:val="30"/>
          <w:szCs w:val="30"/>
          <w:lang w:eastAsia="it-IT"/>
        </w:rPr>
        <w:t>mitazioni (sui modi di acquisto e</w:t>
      </w:r>
      <w:r w:rsidRPr="005B3C1E">
        <w:rPr>
          <w:rFonts w:ascii="Garamond" w:eastAsia="Times New Roman" w:hAnsi="Garamond" w:cs="Times New Roman"/>
          <w:sz w:val="30"/>
          <w:szCs w:val="30"/>
          <w:lang w:eastAsia="it-IT"/>
        </w:rPr>
        <w:t xml:space="preserve"> di godimento, con legge ordinaria</w:t>
      </w:r>
      <w:r w:rsidR="007C383C">
        <w:rPr>
          <w:rFonts w:ascii="Garamond" w:eastAsia="Times New Roman" w:hAnsi="Garamond" w:cs="Times New Roman"/>
          <w:sz w:val="30"/>
          <w:szCs w:val="30"/>
          <w:lang w:eastAsia="it-IT"/>
        </w:rPr>
        <w:t>)</w:t>
      </w:r>
      <w:r w:rsidR="00471365">
        <w:rPr>
          <w:rFonts w:ascii="Garamond" w:eastAsia="Times New Roman" w:hAnsi="Garamond" w:cs="Times New Roman"/>
          <w:sz w:val="30"/>
          <w:szCs w:val="30"/>
          <w:lang w:eastAsia="it-IT"/>
        </w:rPr>
        <w:t>,</w:t>
      </w:r>
      <w:r w:rsidRPr="005B3C1E">
        <w:rPr>
          <w:rFonts w:ascii="Garamond" w:eastAsia="Times New Roman" w:hAnsi="Garamond" w:cs="Times New Roman"/>
          <w:sz w:val="30"/>
          <w:szCs w:val="30"/>
          <w:lang w:eastAsia="it-IT"/>
        </w:rPr>
        <w:t xml:space="preserve"> dall’altra, </w:t>
      </w:r>
      <w:r w:rsidR="00471365">
        <w:rPr>
          <w:rFonts w:ascii="Garamond" w:eastAsia="Times New Roman" w:hAnsi="Garamond" w:cs="Times New Roman"/>
          <w:sz w:val="30"/>
          <w:szCs w:val="30"/>
          <w:lang w:eastAsia="it-IT"/>
        </w:rPr>
        <w:t>in entrambi i casi senza poter prescindere dalla funzione sociale della proprietà privata.</w:t>
      </w:r>
    </w:p>
    <w:p w:rsidR="001D754F" w:rsidRDefault="00471365"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 xml:space="preserve">Sotto tale aspetto, </w:t>
      </w:r>
      <w:r w:rsidR="001D754F" w:rsidRPr="005B3C1E">
        <w:rPr>
          <w:rFonts w:ascii="Garamond" w:eastAsia="Times New Roman" w:hAnsi="Garamond" w:cs="Times New Roman"/>
          <w:sz w:val="30"/>
          <w:szCs w:val="30"/>
          <w:lang w:eastAsia="it-IT"/>
        </w:rPr>
        <w:t>utili elementi di ricostruzione si ricavano indirettamente dalla giurisprudenza costituzionale (</w:t>
      </w:r>
      <w:r>
        <w:rPr>
          <w:rFonts w:ascii="Garamond" w:eastAsia="Times New Roman" w:hAnsi="Garamond" w:cs="Times New Roman"/>
          <w:sz w:val="30"/>
          <w:szCs w:val="30"/>
          <w:lang w:eastAsia="it-IT"/>
        </w:rPr>
        <w:t xml:space="preserve">30 aprile 2015, </w:t>
      </w:r>
      <w:r w:rsidR="001D754F" w:rsidRPr="005B3C1E">
        <w:rPr>
          <w:rFonts w:ascii="Garamond" w:eastAsia="Times New Roman" w:hAnsi="Garamond" w:cs="Times New Roman"/>
          <w:sz w:val="30"/>
          <w:szCs w:val="30"/>
          <w:lang w:eastAsia="it-IT"/>
        </w:rPr>
        <w:t xml:space="preserve">n. 71) </w:t>
      </w:r>
      <w:r>
        <w:rPr>
          <w:rFonts w:ascii="Garamond" w:eastAsia="Times New Roman" w:hAnsi="Garamond" w:cs="Times New Roman"/>
          <w:sz w:val="30"/>
          <w:szCs w:val="30"/>
          <w:lang w:eastAsia="it-IT"/>
        </w:rPr>
        <w:t xml:space="preserve">che si è pronunciata </w:t>
      </w:r>
      <w:r w:rsidR="001D754F" w:rsidRPr="005B3C1E">
        <w:rPr>
          <w:rFonts w:ascii="Garamond" w:eastAsia="Times New Roman" w:hAnsi="Garamond" w:cs="Times New Roman"/>
          <w:sz w:val="30"/>
          <w:szCs w:val="30"/>
          <w:lang w:eastAsia="it-IT"/>
        </w:rPr>
        <w:t>sull’art. 42 bis</w:t>
      </w:r>
      <w:r>
        <w:rPr>
          <w:rFonts w:ascii="Garamond" w:eastAsia="Times New Roman" w:hAnsi="Garamond" w:cs="Times New Roman"/>
          <w:sz w:val="30"/>
          <w:szCs w:val="30"/>
          <w:lang w:eastAsia="it-IT"/>
        </w:rPr>
        <w:t>, evidenziando</w:t>
      </w:r>
      <w:r w:rsidR="009C7D6A">
        <w:rPr>
          <w:rFonts w:ascii="Garamond" w:eastAsia="Times New Roman" w:hAnsi="Garamond" w:cs="Times New Roman"/>
          <w:sz w:val="30"/>
          <w:szCs w:val="30"/>
          <w:lang w:eastAsia="it-IT"/>
        </w:rPr>
        <w:t>si</w:t>
      </w:r>
      <w:r>
        <w:rPr>
          <w:rFonts w:ascii="Garamond" w:eastAsia="Times New Roman" w:hAnsi="Garamond" w:cs="Times New Roman"/>
          <w:sz w:val="30"/>
          <w:szCs w:val="30"/>
          <w:lang w:eastAsia="it-IT"/>
        </w:rPr>
        <w:t xml:space="preserve"> come </w:t>
      </w:r>
      <w:r w:rsidR="001D754F" w:rsidRPr="005B3C1E">
        <w:rPr>
          <w:rFonts w:ascii="Garamond" w:eastAsia="Times New Roman" w:hAnsi="Garamond" w:cs="Times New Roman"/>
          <w:sz w:val="30"/>
          <w:szCs w:val="30"/>
          <w:lang w:eastAsia="it-IT"/>
        </w:rPr>
        <w:t>la pubblica Amministrazione, con “</w:t>
      </w:r>
      <w:r w:rsidR="001D754F" w:rsidRPr="00471365">
        <w:rPr>
          <w:rFonts w:ascii="Garamond" w:eastAsia="Times New Roman" w:hAnsi="Garamond" w:cs="Times New Roman"/>
          <w:i/>
          <w:sz w:val="30"/>
          <w:szCs w:val="30"/>
          <w:lang w:eastAsia="it-IT"/>
        </w:rPr>
        <w:t xml:space="preserve">l’adozione dell’atto acquisitivo, con effetti non retroattivi (…) riprende a muoversi nell’alveo della legalità amministrativa, esercitando una funzione amministrativa ritenuta meritevole di tutela privilegiata, in funzione degli scopi di pubblica utilità perseguiti, sebbene emersi successivamente alla consumazione di un illecito </w:t>
      </w:r>
      <w:r w:rsidRPr="00471365">
        <w:rPr>
          <w:rFonts w:ascii="Garamond" w:eastAsia="Times New Roman" w:hAnsi="Garamond" w:cs="Times New Roman"/>
          <w:i/>
          <w:sz w:val="30"/>
          <w:szCs w:val="30"/>
          <w:lang w:eastAsia="it-IT"/>
        </w:rPr>
        <w:t>ai danni del privato cittadino</w:t>
      </w:r>
      <w:r>
        <w:rPr>
          <w:rFonts w:ascii="Garamond" w:eastAsia="Times New Roman" w:hAnsi="Garamond" w:cs="Times New Roman"/>
          <w:sz w:val="30"/>
          <w:szCs w:val="30"/>
          <w:lang w:eastAsia="it-IT"/>
        </w:rPr>
        <w:t>”</w:t>
      </w:r>
      <w:r w:rsidR="001D754F" w:rsidRPr="005B3C1E">
        <w:rPr>
          <w:rFonts w:ascii="Garamond" w:eastAsia="Times New Roman" w:hAnsi="Garamond" w:cs="Times New Roman"/>
          <w:sz w:val="30"/>
          <w:szCs w:val="30"/>
          <w:lang w:eastAsia="it-IT"/>
        </w:rPr>
        <w:t>.</w:t>
      </w:r>
    </w:p>
    <w:p w:rsidR="00471365" w:rsidRPr="005B3C1E" w:rsidRDefault="00471365"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Entra in gioco, cioè, una ponderazione del</w:t>
      </w:r>
      <w:r w:rsidR="00D33878">
        <w:rPr>
          <w:rFonts w:ascii="Garamond" w:eastAsia="Times New Roman" w:hAnsi="Garamond" w:cs="Times New Roman"/>
          <w:sz w:val="30"/>
          <w:szCs w:val="30"/>
          <w:lang w:eastAsia="it-IT"/>
        </w:rPr>
        <w:t>l’interesse connesso a</w:t>
      </w:r>
      <w:r>
        <w:rPr>
          <w:rFonts w:ascii="Garamond" w:eastAsia="Times New Roman" w:hAnsi="Garamond" w:cs="Times New Roman"/>
          <w:sz w:val="30"/>
          <w:szCs w:val="30"/>
          <w:lang w:eastAsia="it-IT"/>
        </w:rPr>
        <w:t>ll’esercizio della funzione amministrativa.</w:t>
      </w:r>
    </w:p>
    <w:p w:rsidR="001D754F" w:rsidRPr="005B3C1E" w:rsidRDefault="00471365"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 xml:space="preserve">Un profilo ben articolato nella sentenza n. </w:t>
      </w:r>
      <w:r w:rsidR="001D754F" w:rsidRPr="005B3C1E">
        <w:rPr>
          <w:rFonts w:ascii="Garamond" w:eastAsia="Times New Roman" w:hAnsi="Garamond" w:cs="Times New Roman"/>
          <w:sz w:val="30"/>
          <w:szCs w:val="30"/>
          <w:lang w:eastAsia="it-IT"/>
        </w:rPr>
        <w:t>500/1999</w:t>
      </w:r>
      <w:r>
        <w:rPr>
          <w:rFonts w:ascii="Garamond" w:eastAsia="Times New Roman" w:hAnsi="Garamond" w:cs="Times New Roman"/>
          <w:sz w:val="30"/>
          <w:szCs w:val="30"/>
          <w:lang w:eastAsia="it-IT"/>
        </w:rPr>
        <w:t>, che quindi rivela la sua modernità soprattutto nel passaggio in cui ha statuito che “</w:t>
      </w:r>
      <w:r w:rsidRPr="00471365">
        <w:rPr>
          <w:rFonts w:ascii="Garamond" w:eastAsia="Times New Roman" w:hAnsi="Garamond" w:cs="Times New Roman"/>
          <w:i/>
          <w:sz w:val="30"/>
          <w:szCs w:val="30"/>
          <w:lang w:eastAsia="it-IT"/>
        </w:rPr>
        <w:t>c</w:t>
      </w:r>
      <w:r w:rsidR="001D754F" w:rsidRPr="00471365">
        <w:rPr>
          <w:rFonts w:ascii="Garamond" w:eastAsia="Times New Roman" w:hAnsi="Garamond" w:cs="Times New Roman"/>
          <w:i/>
          <w:sz w:val="30"/>
          <w:szCs w:val="30"/>
          <w:lang w:eastAsia="it-IT"/>
        </w:rPr>
        <w:t>ompito del giudice, chiamato ad attuare la tutela ex art. 2043 c.c., è (…) quello di procedere ad una selezione degli interessi giuridicamente rilevanti, poiché solo la lesione di un interesse siffatto può dare luogo ad un "danno ingiusto", ed a tanto provvederà istituendo un giudizio di comparazione degli interessi in conflitto, e cioè dell'interesse effettivo del soggetto che si afferma danneggiato, e dell'interesse che il comportamento lesivo dell'autore del fatto è volto a perseguire, al fine di accertare se il sacrificio dell'interesse del soggetto danneggiato trovi o meno giustificazione nella realizzazione del contrapposto interesse dell'autore della condotta, in ragione della sua prevalenza</w:t>
      </w:r>
      <w:r w:rsidR="001D754F" w:rsidRPr="005B3C1E">
        <w:rPr>
          <w:rFonts w:ascii="Garamond" w:eastAsia="Times New Roman" w:hAnsi="Garamond" w:cs="Times New Roman"/>
          <w:sz w:val="30"/>
          <w:szCs w:val="30"/>
          <w:lang w:eastAsia="it-IT"/>
        </w:rPr>
        <w:t xml:space="preserve">”. </w:t>
      </w:r>
    </w:p>
    <w:p w:rsidR="00471365" w:rsidRDefault="00FD48BD"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Ma se le Sezioni Unite hanno così lucidamente riqualificato la ponderazione in sede giudiziale s</w:t>
      </w:r>
      <w:r w:rsidR="00471365">
        <w:rPr>
          <w:rFonts w:ascii="Garamond" w:eastAsia="Times New Roman" w:hAnsi="Garamond" w:cs="Times New Roman"/>
          <w:sz w:val="30"/>
          <w:szCs w:val="30"/>
          <w:lang w:eastAsia="it-IT"/>
        </w:rPr>
        <w:t xml:space="preserve">i può essere del tutto certi, allora, </w:t>
      </w:r>
      <w:r w:rsidR="001D754F" w:rsidRPr="005B3C1E">
        <w:rPr>
          <w:rFonts w:ascii="Garamond" w:eastAsia="Times New Roman" w:hAnsi="Garamond" w:cs="Times New Roman"/>
          <w:sz w:val="30"/>
          <w:szCs w:val="30"/>
          <w:lang w:eastAsia="it-IT"/>
        </w:rPr>
        <w:t xml:space="preserve">della necessità di intonare il </w:t>
      </w:r>
      <w:r w:rsidR="001D754F" w:rsidRPr="00471365">
        <w:rPr>
          <w:rFonts w:ascii="Garamond" w:eastAsia="Times New Roman" w:hAnsi="Garamond" w:cs="Times New Roman"/>
          <w:i/>
          <w:sz w:val="30"/>
          <w:szCs w:val="30"/>
          <w:lang w:eastAsia="it-IT"/>
        </w:rPr>
        <w:t>de profundis</w:t>
      </w:r>
      <w:r w:rsidR="001D754F" w:rsidRPr="005B3C1E">
        <w:rPr>
          <w:rFonts w:ascii="Garamond" w:eastAsia="Times New Roman" w:hAnsi="Garamond" w:cs="Times New Roman"/>
          <w:sz w:val="30"/>
          <w:szCs w:val="30"/>
          <w:lang w:eastAsia="it-IT"/>
        </w:rPr>
        <w:t xml:space="preserve"> alla contrapposizione tra proprietà-diritto e proprietà-</w:t>
      </w:r>
      <w:proofErr w:type="gramStart"/>
      <w:r w:rsidR="001D754F" w:rsidRPr="005B3C1E">
        <w:rPr>
          <w:rFonts w:ascii="Garamond" w:eastAsia="Times New Roman" w:hAnsi="Garamond" w:cs="Times New Roman"/>
          <w:sz w:val="30"/>
          <w:szCs w:val="30"/>
          <w:lang w:eastAsia="it-IT"/>
        </w:rPr>
        <w:t>dovere ?</w:t>
      </w:r>
      <w:proofErr w:type="gramEnd"/>
      <w:r w:rsidR="001D754F" w:rsidRPr="005B3C1E">
        <w:rPr>
          <w:rFonts w:ascii="Garamond" w:eastAsia="Times New Roman" w:hAnsi="Garamond" w:cs="Times New Roman"/>
          <w:sz w:val="30"/>
          <w:szCs w:val="30"/>
          <w:lang w:eastAsia="it-IT"/>
        </w:rPr>
        <w:t xml:space="preserve"> </w:t>
      </w:r>
    </w:p>
    <w:p w:rsidR="001D754F" w:rsidRPr="00D33878" w:rsidRDefault="001D754F" w:rsidP="00D33878">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La sentenza 500/1999, con ragguardevole sensib</w:t>
      </w:r>
      <w:r w:rsidR="00D33878">
        <w:rPr>
          <w:rFonts w:ascii="Garamond" w:eastAsia="Times New Roman" w:hAnsi="Garamond" w:cs="Times New Roman"/>
          <w:sz w:val="30"/>
          <w:szCs w:val="30"/>
          <w:lang w:eastAsia="it-IT"/>
        </w:rPr>
        <w:t xml:space="preserve">ilità pubblicistica, mostra che </w:t>
      </w:r>
      <w:r w:rsidRPr="00D33878">
        <w:rPr>
          <w:rFonts w:ascii="Garamond" w:eastAsia="Times New Roman" w:hAnsi="Garamond" w:cs="Times New Roman"/>
          <w:sz w:val="30"/>
          <w:szCs w:val="30"/>
          <w:lang w:eastAsia="it-IT"/>
        </w:rPr>
        <w:t xml:space="preserve">la tutela del diritto, anche del diritto di proprietà, </w:t>
      </w:r>
      <w:r w:rsidR="00471365" w:rsidRPr="00D33878">
        <w:rPr>
          <w:rFonts w:ascii="Garamond" w:eastAsia="Times New Roman" w:hAnsi="Garamond" w:cs="Times New Roman"/>
          <w:sz w:val="30"/>
          <w:szCs w:val="30"/>
          <w:lang w:eastAsia="it-IT"/>
        </w:rPr>
        <w:t>non</w:t>
      </w:r>
      <w:r w:rsidRPr="00D33878">
        <w:rPr>
          <w:rFonts w:ascii="Garamond" w:eastAsia="Times New Roman" w:hAnsi="Garamond" w:cs="Times New Roman"/>
          <w:sz w:val="30"/>
          <w:szCs w:val="30"/>
          <w:lang w:eastAsia="it-IT"/>
        </w:rPr>
        <w:t xml:space="preserve"> è chiusa, ma dialoga con il potere amministrativo; non si tratta, perciò, di mettere in discussione la difesa del nucleo essenziale (o contenuto minimo)</w:t>
      </w:r>
      <w:r w:rsidR="00471365" w:rsidRPr="00D33878">
        <w:rPr>
          <w:rFonts w:ascii="Garamond" w:eastAsia="Times New Roman" w:hAnsi="Garamond" w:cs="Times New Roman"/>
          <w:sz w:val="30"/>
          <w:szCs w:val="30"/>
          <w:lang w:eastAsia="it-IT"/>
        </w:rPr>
        <w:t xml:space="preserve"> del diritto di proprietà (o, se si preferisce, della </w:t>
      </w:r>
      <w:r w:rsidRPr="00D33878">
        <w:rPr>
          <w:rFonts w:ascii="Garamond" w:eastAsia="Times New Roman" w:hAnsi="Garamond" w:cs="Times New Roman"/>
          <w:sz w:val="30"/>
          <w:szCs w:val="30"/>
          <w:lang w:eastAsia="it-IT"/>
        </w:rPr>
        <w:t xml:space="preserve"> proprietà-diritto</w:t>
      </w:r>
      <w:r w:rsidR="00471365" w:rsidRPr="00D33878">
        <w:rPr>
          <w:rFonts w:ascii="Garamond" w:eastAsia="Times New Roman" w:hAnsi="Garamond" w:cs="Times New Roman"/>
          <w:sz w:val="30"/>
          <w:szCs w:val="30"/>
          <w:lang w:eastAsia="it-IT"/>
        </w:rPr>
        <w:t>)</w:t>
      </w:r>
      <w:r w:rsidRPr="00D33878">
        <w:rPr>
          <w:rFonts w:ascii="Garamond" w:eastAsia="Times New Roman" w:hAnsi="Garamond" w:cs="Times New Roman"/>
          <w:sz w:val="30"/>
          <w:szCs w:val="30"/>
          <w:lang w:eastAsia="it-IT"/>
        </w:rPr>
        <w:t>; forse occorrerebbe approfondire la relazione tra le prerogative dominicali e l’interesse sotteso ad una condotta pubblica che, per quanto sbagliata, anzi illecita, è pur sempre espressione di una pro</w:t>
      </w:r>
      <w:r w:rsidR="00471365" w:rsidRPr="00D33878">
        <w:rPr>
          <w:rFonts w:ascii="Garamond" w:eastAsia="Times New Roman" w:hAnsi="Garamond" w:cs="Times New Roman"/>
          <w:sz w:val="30"/>
          <w:szCs w:val="30"/>
          <w:lang w:eastAsia="it-IT"/>
        </w:rPr>
        <w:t>prietà-dovere (funzionalizzata).</w:t>
      </w:r>
    </w:p>
    <w:p w:rsidR="001D754F" w:rsidRPr="00471365" w:rsidRDefault="00D33878" w:rsidP="00471365">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 xml:space="preserve">Una rimeditazione sul senso attuale della missione pubblica potrebbe valere, se non altro, a favorire un ispessimento della consapevolezza di noi magistrati di </w:t>
      </w:r>
      <w:r w:rsidR="001D754F" w:rsidRPr="00471365">
        <w:rPr>
          <w:rFonts w:ascii="Garamond" w:eastAsia="Times New Roman" w:hAnsi="Garamond" w:cs="Times New Roman"/>
          <w:sz w:val="30"/>
          <w:szCs w:val="30"/>
          <w:lang w:eastAsia="it-IT"/>
        </w:rPr>
        <w:t xml:space="preserve">garantire, con competenza e responsabilità, il dettato costituzionale in materia di proprietà. </w:t>
      </w:r>
    </w:p>
    <w:p w:rsidR="001D754F" w:rsidRPr="005B3C1E" w:rsidRDefault="00D33878"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Il secondo aspetto, invece, è pratico.</w:t>
      </w:r>
    </w:p>
    <w:p w:rsidR="001D754F" w:rsidRPr="005B3C1E" w:rsidRDefault="00FD48BD"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 xml:space="preserve">La giurisprudenza sul </w:t>
      </w:r>
      <w:r w:rsidR="001D754F" w:rsidRPr="005B3C1E">
        <w:rPr>
          <w:rFonts w:ascii="Garamond" w:eastAsia="Times New Roman" w:hAnsi="Garamond" w:cs="Times New Roman"/>
          <w:sz w:val="30"/>
          <w:szCs w:val="30"/>
          <w:lang w:eastAsia="it-IT"/>
        </w:rPr>
        <w:t xml:space="preserve">danno </w:t>
      </w:r>
      <w:r w:rsidR="001D754F" w:rsidRPr="00D33878">
        <w:rPr>
          <w:rFonts w:ascii="Garamond" w:eastAsia="Times New Roman" w:hAnsi="Garamond" w:cs="Times New Roman"/>
          <w:i/>
          <w:sz w:val="30"/>
          <w:szCs w:val="30"/>
          <w:lang w:eastAsia="it-IT"/>
        </w:rPr>
        <w:t xml:space="preserve">in re </w:t>
      </w:r>
      <w:proofErr w:type="spellStart"/>
      <w:r w:rsidR="001D754F" w:rsidRPr="00D33878">
        <w:rPr>
          <w:rFonts w:ascii="Garamond" w:eastAsia="Times New Roman" w:hAnsi="Garamond" w:cs="Times New Roman"/>
          <w:i/>
          <w:sz w:val="30"/>
          <w:szCs w:val="30"/>
          <w:lang w:eastAsia="it-IT"/>
        </w:rPr>
        <w:t>ipsa</w:t>
      </w:r>
      <w:proofErr w:type="spellEnd"/>
      <w:r w:rsidR="001D754F" w:rsidRPr="005B3C1E">
        <w:rPr>
          <w:rFonts w:ascii="Garamond" w:eastAsia="Times New Roman" w:hAnsi="Garamond" w:cs="Times New Roman"/>
          <w:sz w:val="30"/>
          <w:szCs w:val="30"/>
          <w:lang w:eastAsia="it-IT"/>
        </w:rPr>
        <w:t xml:space="preserve"> esprime senz’altro un’applicazione rigorosa del principio di legalità, ma – temo – possa alla lunga frustrare il disegno pubblico di incentivazione de</w:t>
      </w:r>
      <w:r w:rsidR="00D33878">
        <w:rPr>
          <w:rFonts w:ascii="Garamond" w:eastAsia="Times New Roman" w:hAnsi="Garamond" w:cs="Times New Roman"/>
          <w:sz w:val="30"/>
          <w:szCs w:val="30"/>
          <w:lang w:eastAsia="it-IT"/>
        </w:rPr>
        <w:t xml:space="preserve">lle opere </w:t>
      </w:r>
      <w:r>
        <w:rPr>
          <w:rFonts w:ascii="Garamond" w:eastAsia="Times New Roman" w:hAnsi="Garamond" w:cs="Times New Roman"/>
          <w:sz w:val="30"/>
          <w:szCs w:val="30"/>
          <w:lang w:eastAsia="it-IT"/>
        </w:rPr>
        <w:t xml:space="preserve">pubbliche e, </w:t>
      </w:r>
      <w:r w:rsidR="00D33878">
        <w:rPr>
          <w:rFonts w:ascii="Garamond" w:eastAsia="Times New Roman" w:hAnsi="Garamond" w:cs="Times New Roman"/>
          <w:sz w:val="30"/>
          <w:szCs w:val="30"/>
          <w:lang w:eastAsia="it-IT"/>
        </w:rPr>
        <w:t>non secondariamente</w:t>
      </w:r>
      <w:r>
        <w:rPr>
          <w:rFonts w:ascii="Garamond" w:eastAsia="Times New Roman" w:hAnsi="Garamond" w:cs="Times New Roman"/>
          <w:sz w:val="30"/>
          <w:szCs w:val="30"/>
          <w:lang w:eastAsia="it-IT"/>
        </w:rPr>
        <w:t>,</w:t>
      </w:r>
      <w:r w:rsidR="00D33878">
        <w:rPr>
          <w:rFonts w:ascii="Garamond" w:eastAsia="Times New Roman" w:hAnsi="Garamond" w:cs="Times New Roman"/>
          <w:sz w:val="30"/>
          <w:szCs w:val="30"/>
          <w:lang w:eastAsia="it-IT"/>
        </w:rPr>
        <w:t xml:space="preserve"> </w:t>
      </w:r>
      <w:r>
        <w:rPr>
          <w:rFonts w:ascii="Garamond" w:eastAsia="Times New Roman" w:hAnsi="Garamond" w:cs="Times New Roman"/>
          <w:sz w:val="30"/>
          <w:szCs w:val="30"/>
          <w:lang w:eastAsia="it-IT"/>
        </w:rPr>
        <w:t xml:space="preserve">alimentare l’immobilismo dei </w:t>
      </w:r>
      <w:r w:rsidR="001D754F" w:rsidRPr="005B3C1E">
        <w:rPr>
          <w:rFonts w:ascii="Garamond" w:eastAsia="Times New Roman" w:hAnsi="Garamond" w:cs="Times New Roman"/>
          <w:sz w:val="30"/>
          <w:szCs w:val="30"/>
          <w:lang w:eastAsia="it-IT"/>
        </w:rPr>
        <w:t>funzionari pubblici.</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Mi scuso anticipatamente per la banalizzazione, ma le storie delle occupazioni sono, anzitutto, storie di inerzia o di indecisione amministrativa.</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Quindi la responsabilità sottesa all’esercizio della funzione giurisdizionale </w:t>
      </w:r>
      <w:r w:rsidR="00FD48BD">
        <w:rPr>
          <w:rFonts w:ascii="Garamond" w:eastAsia="Times New Roman" w:hAnsi="Garamond" w:cs="Times New Roman"/>
          <w:sz w:val="30"/>
          <w:szCs w:val="30"/>
          <w:lang w:eastAsia="it-IT"/>
        </w:rPr>
        <w:t xml:space="preserve">non può che essere </w:t>
      </w:r>
      <w:r w:rsidRPr="005B3C1E">
        <w:rPr>
          <w:rFonts w:ascii="Garamond" w:eastAsia="Times New Roman" w:hAnsi="Garamond" w:cs="Times New Roman"/>
          <w:sz w:val="30"/>
          <w:szCs w:val="30"/>
          <w:lang w:eastAsia="it-IT"/>
        </w:rPr>
        <w:t xml:space="preserve">quella di concepire (se non </w:t>
      </w:r>
      <w:r w:rsidR="00D33878">
        <w:rPr>
          <w:rFonts w:ascii="Garamond" w:eastAsia="Times New Roman" w:hAnsi="Garamond" w:cs="Times New Roman"/>
          <w:sz w:val="30"/>
          <w:szCs w:val="30"/>
          <w:lang w:eastAsia="it-IT"/>
        </w:rPr>
        <w:t xml:space="preserve">addirittura </w:t>
      </w:r>
      <w:r w:rsidRPr="005B3C1E">
        <w:rPr>
          <w:rFonts w:ascii="Garamond" w:eastAsia="Times New Roman" w:hAnsi="Garamond" w:cs="Times New Roman"/>
          <w:sz w:val="30"/>
          <w:szCs w:val="30"/>
          <w:lang w:eastAsia="it-IT"/>
        </w:rPr>
        <w:t>sospingere) un rapporto giuridico amministrato che favorisca l’esercizio della funzione amministrativa, non il suo sotterramento.</w:t>
      </w:r>
    </w:p>
    <w:p w:rsidR="001D754F" w:rsidRPr="005B3C1E" w:rsidRDefault="00D33878"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 xml:space="preserve">Non meno rilevante è, poi, il </w:t>
      </w:r>
      <w:r w:rsidR="001D754F" w:rsidRPr="005B3C1E">
        <w:rPr>
          <w:rFonts w:ascii="Garamond" w:eastAsia="Times New Roman" w:hAnsi="Garamond" w:cs="Times New Roman"/>
          <w:sz w:val="30"/>
          <w:szCs w:val="30"/>
          <w:lang w:eastAsia="it-IT"/>
        </w:rPr>
        <w:t>peso specifico del diritto di proprietà</w:t>
      </w:r>
      <w:r>
        <w:rPr>
          <w:rFonts w:ascii="Garamond" w:eastAsia="Times New Roman" w:hAnsi="Garamond" w:cs="Times New Roman"/>
          <w:sz w:val="30"/>
          <w:szCs w:val="30"/>
          <w:lang w:eastAsia="it-IT"/>
        </w:rPr>
        <w:t>.</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Il superamento sostanziale dell’onere probatorio </w:t>
      </w:r>
      <w:r w:rsidR="00FD48BD">
        <w:rPr>
          <w:rFonts w:ascii="Garamond" w:eastAsia="Times New Roman" w:hAnsi="Garamond" w:cs="Times New Roman"/>
          <w:sz w:val="30"/>
          <w:szCs w:val="30"/>
          <w:lang w:eastAsia="it-IT"/>
        </w:rPr>
        <w:t>insito nell</w:t>
      </w:r>
      <w:r w:rsidRPr="005B3C1E">
        <w:rPr>
          <w:rFonts w:ascii="Garamond" w:eastAsia="Times New Roman" w:hAnsi="Garamond" w:cs="Times New Roman"/>
          <w:sz w:val="30"/>
          <w:szCs w:val="30"/>
          <w:lang w:eastAsia="it-IT"/>
        </w:rPr>
        <w:t>’accettazione del</w:t>
      </w:r>
      <w:r w:rsidR="00D33878">
        <w:rPr>
          <w:rFonts w:ascii="Garamond" w:eastAsia="Times New Roman" w:hAnsi="Garamond" w:cs="Times New Roman"/>
          <w:sz w:val="30"/>
          <w:szCs w:val="30"/>
          <w:lang w:eastAsia="it-IT"/>
        </w:rPr>
        <w:t>la teoria del</w:t>
      </w:r>
      <w:r w:rsidRPr="005B3C1E">
        <w:rPr>
          <w:rFonts w:ascii="Garamond" w:eastAsia="Times New Roman" w:hAnsi="Garamond" w:cs="Times New Roman"/>
          <w:sz w:val="30"/>
          <w:szCs w:val="30"/>
          <w:lang w:eastAsia="it-IT"/>
        </w:rPr>
        <w:t xml:space="preserve"> danno </w:t>
      </w:r>
      <w:r w:rsidRPr="00D33878">
        <w:rPr>
          <w:rFonts w:ascii="Garamond" w:eastAsia="Times New Roman" w:hAnsi="Garamond" w:cs="Times New Roman"/>
          <w:i/>
          <w:sz w:val="30"/>
          <w:szCs w:val="30"/>
          <w:lang w:eastAsia="it-IT"/>
        </w:rPr>
        <w:t xml:space="preserve">in re </w:t>
      </w:r>
      <w:proofErr w:type="spellStart"/>
      <w:r w:rsidRPr="00D33878">
        <w:rPr>
          <w:rFonts w:ascii="Garamond" w:eastAsia="Times New Roman" w:hAnsi="Garamond" w:cs="Times New Roman"/>
          <w:i/>
          <w:sz w:val="30"/>
          <w:szCs w:val="30"/>
          <w:lang w:eastAsia="it-IT"/>
        </w:rPr>
        <w:t>ipsa</w:t>
      </w:r>
      <w:proofErr w:type="spellEnd"/>
      <w:r w:rsidRPr="005B3C1E">
        <w:rPr>
          <w:rFonts w:ascii="Garamond" w:eastAsia="Times New Roman" w:hAnsi="Garamond" w:cs="Times New Roman"/>
          <w:sz w:val="30"/>
          <w:szCs w:val="30"/>
          <w:lang w:eastAsia="it-IT"/>
        </w:rPr>
        <w:t xml:space="preserve"> sembra presupporre un’assimilazione, dal punto di vista della rilevanza, della lesione del diritto di proprietà alla lesione del diritto alla vita o all’integrità della persona (danno biologico).</w:t>
      </w:r>
    </w:p>
    <w:p w:rsidR="001D3907"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Ma l’art. 17 della Carta dei diritti fondamentali dell’Unione Europea</w:t>
      </w:r>
      <w:r w:rsidR="00FD48BD">
        <w:rPr>
          <w:rFonts w:ascii="Garamond" w:eastAsia="Times New Roman" w:hAnsi="Garamond" w:cs="Times New Roman"/>
          <w:sz w:val="30"/>
          <w:szCs w:val="30"/>
          <w:lang w:eastAsia="it-IT"/>
        </w:rPr>
        <w:t>,</w:t>
      </w:r>
      <w:r w:rsidRPr="005B3C1E">
        <w:rPr>
          <w:rFonts w:ascii="Garamond" w:eastAsia="Times New Roman" w:hAnsi="Garamond" w:cs="Times New Roman"/>
          <w:sz w:val="30"/>
          <w:szCs w:val="30"/>
          <w:lang w:eastAsia="it-IT"/>
        </w:rPr>
        <w:t xml:space="preserve"> pur ammettendo l’assolutezza del diritto, precisa anche che la privazione di tale diritto può essere giustificata da una “</w:t>
      </w:r>
      <w:r w:rsidRPr="00D33878">
        <w:rPr>
          <w:rFonts w:ascii="Garamond" w:eastAsia="Times New Roman" w:hAnsi="Garamond" w:cs="Times New Roman"/>
          <w:i/>
          <w:sz w:val="30"/>
          <w:szCs w:val="30"/>
          <w:lang w:eastAsia="it-IT"/>
        </w:rPr>
        <w:t>causa di pubblico interesse</w:t>
      </w:r>
      <w:r w:rsidRPr="005B3C1E">
        <w:rPr>
          <w:rFonts w:ascii="Garamond" w:eastAsia="Times New Roman" w:hAnsi="Garamond" w:cs="Times New Roman"/>
          <w:sz w:val="30"/>
          <w:szCs w:val="30"/>
          <w:lang w:eastAsia="it-IT"/>
        </w:rPr>
        <w:t>”.</w:t>
      </w:r>
      <w:r w:rsidR="001D3907">
        <w:rPr>
          <w:rFonts w:ascii="Garamond" w:eastAsia="Times New Roman" w:hAnsi="Garamond" w:cs="Times New Roman"/>
          <w:sz w:val="30"/>
          <w:szCs w:val="30"/>
          <w:lang w:eastAsia="it-IT"/>
        </w:rPr>
        <w:t xml:space="preserve"> </w:t>
      </w:r>
      <w:r w:rsidR="00FD48BD">
        <w:rPr>
          <w:rFonts w:ascii="Garamond" w:eastAsia="Times New Roman" w:hAnsi="Garamond" w:cs="Times New Roman"/>
          <w:sz w:val="30"/>
          <w:szCs w:val="30"/>
          <w:lang w:eastAsia="it-IT"/>
        </w:rPr>
        <w:t>Ed a</w:t>
      </w:r>
      <w:r w:rsidR="001D3907">
        <w:rPr>
          <w:rFonts w:ascii="Garamond" w:eastAsia="Times New Roman" w:hAnsi="Garamond" w:cs="Times New Roman"/>
          <w:sz w:val="30"/>
          <w:szCs w:val="30"/>
          <w:lang w:eastAsia="it-IT"/>
        </w:rPr>
        <w:t xml:space="preserve">naloghe indicazioni provengono dalla giurisprudenza della CEDU (6 giugno 2019, </w:t>
      </w:r>
      <w:r w:rsidR="001D3907" w:rsidRPr="001D3907">
        <w:rPr>
          <w:rFonts w:ascii="Garamond" w:eastAsia="Times New Roman" w:hAnsi="Garamond" w:cs="Times New Roman"/>
          <w:sz w:val="30"/>
          <w:szCs w:val="30"/>
          <w:lang w:eastAsia="it-IT"/>
        </w:rPr>
        <w:t>Condominio Porta Rufina c/ Italia)</w:t>
      </w:r>
      <w:r w:rsidR="001D3907">
        <w:rPr>
          <w:rFonts w:ascii="Garamond" w:eastAsia="Times New Roman" w:hAnsi="Garamond" w:cs="Times New Roman"/>
          <w:sz w:val="30"/>
          <w:szCs w:val="30"/>
          <w:lang w:eastAsia="it-IT"/>
        </w:rPr>
        <w:t xml:space="preserve">, ad avviso della quale il diritto </w:t>
      </w:r>
      <w:r w:rsidR="001D3907" w:rsidRPr="001D3907">
        <w:rPr>
          <w:rFonts w:ascii="Garamond" w:eastAsia="Times New Roman" w:hAnsi="Garamond" w:cs="Times New Roman"/>
          <w:sz w:val="30"/>
          <w:szCs w:val="30"/>
          <w:lang w:eastAsia="it-IT"/>
        </w:rPr>
        <w:t xml:space="preserve">di proprietà </w:t>
      </w:r>
      <w:r w:rsidR="001D3907">
        <w:rPr>
          <w:rFonts w:ascii="Garamond" w:eastAsia="Times New Roman" w:hAnsi="Garamond" w:cs="Times New Roman"/>
          <w:sz w:val="30"/>
          <w:szCs w:val="30"/>
          <w:lang w:eastAsia="it-IT"/>
        </w:rPr>
        <w:t xml:space="preserve">sarebbe </w:t>
      </w:r>
      <w:r w:rsidR="00FD48BD">
        <w:rPr>
          <w:rFonts w:ascii="Garamond" w:eastAsia="Times New Roman" w:hAnsi="Garamond" w:cs="Times New Roman"/>
          <w:sz w:val="30"/>
          <w:szCs w:val="30"/>
          <w:lang w:eastAsia="it-IT"/>
        </w:rPr>
        <w:t xml:space="preserve">sì </w:t>
      </w:r>
      <w:r w:rsidR="001D3907" w:rsidRPr="001D3907">
        <w:rPr>
          <w:rFonts w:ascii="Garamond" w:eastAsia="Times New Roman" w:hAnsi="Garamond" w:cs="Times New Roman"/>
          <w:sz w:val="30"/>
          <w:szCs w:val="30"/>
          <w:lang w:eastAsia="it-IT"/>
        </w:rPr>
        <w:t>un diritto inviolabile della persona</w:t>
      </w:r>
      <w:r w:rsidR="001D3907">
        <w:rPr>
          <w:rFonts w:ascii="Garamond" w:eastAsia="Times New Roman" w:hAnsi="Garamond" w:cs="Times New Roman"/>
          <w:sz w:val="30"/>
          <w:szCs w:val="30"/>
          <w:lang w:eastAsia="it-IT"/>
        </w:rPr>
        <w:t xml:space="preserve"> </w:t>
      </w:r>
      <w:r w:rsidR="00FD48BD">
        <w:rPr>
          <w:rFonts w:ascii="Garamond" w:eastAsia="Times New Roman" w:hAnsi="Garamond" w:cs="Times New Roman"/>
          <w:sz w:val="30"/>
          <w:szCs w:val="30"/>
          <w:lang w:eastAsia="it-IT"/>
        </w:rPr>
        <w:t xml:space="preserve">ma, nondimeno, </w:t>
      </w:r>
      <w:r w:rsidR="001D3907">
        <w:rPr>
          <w:rFonts w:ascii="Garamond" w:eastAsia="Times New Roman" w:hAnsi="Garamond" w:cs="Times New Roman"/>
          <w:sz w:val="30"/>
          <w:szCs w:val="30"/>
          <w:lang w:eastAsia="it-IT"/>
        </w:rPr>
        <w:t>“</w:t>
      </w:r>
      <w:r w:rsidR="001D3907" w:rsidRPr="001D3907">
        <w:rPr>
          <w:rFonts w:ascii="Garamond" w:eastAsia="Times New Roman" w:hAnsi="Garamond" w:cs="Times New Roman"/>
          <w:sz w:val="30"/>
          <w:szCs w:val="30"/>
          <w:lang w:eastAsia="it-IT"/>
        </w:rPr>
        <w:t>comprimibile</w:t>
      </w:r>
      <w:r w:rsidR="001D3907">
        <w:rPr>
          <w:rFonts w:ascii="Garamond" w:eastAsia="Times New Roman" w:hAnsi="Garamond" w:cs="Times New Roman"/>
          <w:sz w:val="30"/>
          <w:szCs w:val="30"/>
          <w:lang w:eastAsia="it-IT"/>
        </w:rPr>
        <w:t>”</w:t>
      </w:r>
      <w:r w:rsidR="001D3907" w:rsidRPr="001D3907">
        <w:rPr>
          <w:rFonts w:ascii="Garamond" w:eastAsia="Times New Roman" w:hAnsi="Garamond" w:cs="Times New Roman"/>
          <w:sz w:val="30"/>
          <w:szCs w:val="30"/>
          <w:lang w:eastAsia="it-IT"/>
        </w:rPr>
        <w:t xml:space="preserve"> per causa di pubblico interesse e all’esito di una proc</w:t>
      </w:r>
      <w:r w:rsidR="001D3907">
        <w:rPr>
          <w:rFonts w:ascii="Garamond" w:eastAsia="Times New Roman" w:hAnsi="Garamond" w:cs="Times New Roman"/>
          <w:sz w:val="30"/>
          <w:szCs w:val="30"/>
          <w:lang w:eastAsia="it-IT"/>
        </w:rPr>
        <w:t>edura disciplinata dalla legge: il punto di non ritorno</w:t>
      </w:r>
      <w:r w:rsidR="00FD48BD">
        <w:rPr>
          <w:rFonts w:ascii="Garamond" w:eastAsia="Times New Roman" w:hAnsi="Garamond" w:cs="Times New Roman"/>
          <w:sz w:val="30"/>
          <w:szCs w:val="30"/>
          <w:lang w:eastAsia="it-IT"/>
        </w:rPr>
        <w:t xml:space="preserve"> e di aperta sottoscrizione</w:t>
      </w:r>
      <w:r w:rsidR="001D3907">
        <w:rPr>
          <w:rFonts w:ascii="Garamond" w:eastAsia="Times New Roman" w:hAnsi="Garamond" w:cs="Times New Roman"/>
          <w:sz w:val="30"/>
          <w:szCs w:val="30"/>
          <w:lang w:eastAsia="it-IT"/>
        </w:rPr>
        <w:t xml:space="preserve"> è</w:t>
      </w:r>
      <w:r w:rsidR="00FD48BD">
        <w:rPr>
          <w:rFonts w:ascii="Garamond" w:eastAsia="Times New Roman" w:hAnsi="Garamond" w:cs="Times New Roman"/>
          <w:sz w:val="30"/>
          <w:szCs w:val="30"/>
          <w:lang w:eastAsia="it-IT"/>
        </w:rPr>
        <w:t>, dunque,</w:t>
      </w:r>
      <w:r w:rsidR="001D3907">
        <w:rPr>
          <w:rFonts w:ascii="Garamond" w:eastAsia="Times New Roman" w:hAnsi="Garamond" w:cs="Times New Roman"/>
          <w:sz w:val="30"/>
          <w:szCs w:val="30"/>
          <w:lang w:eastAsia="it-IT"/>
        </w:rPr>
        <w:t xml:space="preserve"> </w:t>
      </w:r>
      <w:r w:rsidR="00FD48BD">
        <w:rPr>
          <w:rFonts w:ascii="Garamond" w:eastAsia="Times New Roman" w:hAnsi="Garamond" w:cs="Times New Roman"/>
          <w:sz w:val="30"/>
          <w:szCs w:val="30"/>
          <w:lang w:eastAsia="it-IT"/>
        </w:rPr>
        <w:t xml:space="preserve">(più sommessamente) </w:t>
      </w:r>
      <w:r w:rsidR="001D3907">
        <w:rPr>
          <w:rFonts w:ascii="Garamond" w:eastAsia="Times New Roman" w:hAnsi="Garamond" w:cs="Times New Roman"/>
          <w:sz w:val="30"/>
          <w:szCs w:val="30"/>
          <w:lang w:eastAsia="it-IT"/>
        </w:rPr>
        <w:t>la convinta espunzione delle espropriazioni indirette quale modalità perdonabile dell’azione amministrativa.</w:t>
      </w:r>
    </w:p>
    <w:p w:rsidR="001D754F" w:rsidRPr="005B3C1E" w:rsidRDefault="001D3907"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Ma se</w:t>
      </w:r>
      <w:r w:rsidR="001D754F" w:rsidRPr="005B3C1E">
        <w:rPr>
          <w:rFonts w:ascii="Garamond" w:eastAsia="Times New Roman" w:hAnsi="Garamond" w:cs="Times New Roman"/>
          <w:sz w:val="30"/>
          <w:szCs w:val="30"/>
          <w:lang w:eastAsia="it-IT"/>
        </w:rPr>
        <w:t xml:space="preserve">, dunque, il peso specifico del diritto di proprietà </w:t>
      </w:r>
      <w:r>
        <w:rPr>
          <w:rFonts w:ascii="Garamond" w:eastAsia="Times New Roman" w:hAnsi="Garamond" w:cs="Times New Roman"/>
          <w:sz w:val="30"/>
          <w:szCs w:val="30"/>
          <w:lang w:eastAsia="it-IT"/>
        </w:rPr>
        <w:t>non</w:t>
      </w:r>
      <w:r w:rsidR="001D754F" w:rsidRPr="005B3C1E">
        <w:rPr>
          <w:rFonts w:ascii="Garamond" w:eastAsia="Times New Roman" w:hAnsi="Garamond" w:cs="Times New Roman"/>
          <w:sz w:val="30"/>
          <w:szCs w:val="30"/>
          <w:lang w:eastAsia="it-IT"/>
        </w:rPr>
        <w:t xml:space="preserve"> fosse pari a quello dei diritti inviolabili, allora si rischierebbe</w:t>
      </w:r>
      <w:r>
        <w:rPr>
          <w:rFonts w:ascii="Garamond" w:eastAsia="Times New Roman" w:hAnsi="Garamond" w:cs="Times New Roman"/>
          <w:sz w:val="30"/>
          <w:szCs w:val="30"/>
          <w:lang w:eastAsia="it-IT"/>
        </w:rPr>
        <w:t>, forse,</w:t>
      </w:r>
      <w:r w:rsidR="001D754F" w:rsidRPr="005B3C1E">
        <w:rPr>
          <w:rFonts w:ascii="Garamond" w:eastAsia="Times New Roman" w:hAnsi="Garamond" w:cs="Times New Roman"/>
          <w:sz w:val="30"/>
          <w:szCs w:val="30"/>
          <w:lang w:eastAsia="it-IT"/>
        </w:rPr>
        <w:t xml:space="preserve"> di riconoscere un “privilegio” al danno da occupazione</w:t>
      </w:r>
      <w:r>
        <w:rPr>
          <w:rFonts w:ascii="Garamond" w:eastAsia="Times New Roman" w:hAnsi="Garamond" w:cs="Times New Roman"/>
          <w:sz w:val="30"/>
          <w:szCs w:val="30"/>
          <w:lang w:eastAsia="it-IT"/>
        </w:rPr>
        <w:t xml:space="preserve"> ristorato in assenza di riscontri di carattere probatorio.</w:t>
      </w:r>
    </w:p>
    <w:p w:rsidR="001D754F" w:rsidRPr="005B3C1E" w:rsidRDefault="001D3907"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 xml:space="preserve">La seconda </w:t>
      </w:r>
      <w:r w:rsidR="00E56750">
        <w:rPr>
          <w:rFonts w:ascii="Garamond" w:eastAsia="Times New Roman" w:hAnsi="Garamond" w:cs="Times New Roman"/>
          <w:sz w:val="30"/>
          <w:szCs w:val="30"/>
          <w:lang w:eastAsia="it-IT"/>
        </w:rPr>
        <w:t>considerazione conclusiva riguarda la questione dell’ovvietà o non ovvietà del danno da occupazione.</w:t>
      </w:r>
    </w:p>
    <w:p w:rsidR="001D754F" w:rsidRPr="005B3C1E"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Nel</w:t>
      </w:r>
      <w:r w:rsidR="00FD48BD">
        <w:rPr>
          <w:rFonts w:ascii="Garamond" w:eastAsia="Times New Roman" w:hAnsi="Garamond" w:cs="Times New Roman"/>
          <w:sz w:val="30"/>
          <w:szCs w:val="30"/>
          <w:lang w:eastAsia="it-IT"/>
        </w:rPr>
        <w:t xml:space="preserve">la sentenza del </w:t>
      </w:r>
      <w:r w:rsidR="00E56750">
        <w:rPr>
          <w:rFonts w:ascii="Garamond" w:eastAsia="Times New Roman" w:hAnsi="Garamond" w:cs="Times New Roman"/>
          <w:sz w:val="30"/>
          <w:szCs w:val="30"/>
          <w:lang w:eastAsia="it-IT"/>
        </w:rPr>
        <w:t xml:space="preserve">Consiglio di Stato </w:t>
      </w:r>
      <w:r w:rsidR="00FD48BD">
        <w:rPr>
          <w:rFonts w:ascii="Garamond" w:eastAsia="Times New Roman" w:hAnsi="Garamond" w:cs="Times New Roman"/>
          <w:sz w:val="30"/>
          <w:szCs w:val="30"/>
          <w:lang w:eastAsia="it-IT"/>
        </w:rPr>
        <w:t xml:space="preserve">è stato ribadito che </w:t>
      </w:r>
      <w:r w:rsidRPr="005B3C1E">
        <w:rPr>
          <w:rFonts w:ascii="Garamond" w:eastAsia="Times New Roman" w:hAnsi="Garamond" w:cs="Times New Roman"/>
          <w:sz w:val="30"/>
          <w:szCs w:val="30"/>
          <w:lang w:eastAsia="it-IT"/>
        </w:rPr>
        <w:t>la proprietà fondiaria è un bene fruttifero</w:t>
      </w:r>
      <w:r w:rsidR="00E56750">
        <w:rPr>
          <w:rFonts w:ascii="Garamond" w:eastAsia="Times New Roman" w:hAnsi="Garamond" w:cs="Times New Roman"/>
          <w:sz w:val="30"/>
          <w:szCs w:val="30"/>
          <w:lang w:eastAsia="it-IT"/>
        </w:rPr>
        <w:t>, da ciò inferendosi che</w:t>
      </w:r>
      <w:r w:rsidRPr="005B3C1E">
        <w:rPr>
          <w:rFonts w:ascii="Garamond" w:eastAsia="Times New Roman" w:hAnsi="Garamond" w:cs="Times New Roman"/>
          <w:sz w:val="30"/>
          <w:szCs w:val="30"/>
          <w:lang w:eastAsia="it-IT"/>
        </w:rPr>
        <w:t xml:space="preserve"> il mancato godimento causato dall'illecito altrui produ</w:t>
      </w:r>
      <w:r w:rsidR="00E56750">
        <w:rPr>
          <w:rFonts w:ascii="Garamond" w:eastAsia="Times New Roman" w:hAnsi="Garamond" w:cs="Times New Roman"/>
          <w:sz w:val="30"/>
          <w:szCs w:val="30"/>
          <w:lang w:eastAsia="it-IT"/>
        </w:rPr>
        <w:t>rrebbe</w:t>
      </w:r>
      <w:r w:rsidRPr="005B3C1E">
        <w:rPr>
          <w:rFonts w:ascii="Garamond" w:eastAsia="Times New Roman" w:hAnsi="Garamond" w:cs="Times New Roman"/>
          <w:sz w:val="30"/>
          <w:szCs w:val="30"/>
          <w:lang w:eastAsia="it-IT"/>
        </w:rPr>
        <w:t xml:space="preserve"> un mancato introito (più o meno elevato)</w:t>
      </w:r>
      <w:r w:rsidR="00E56750">
        <w:rPr>
          <w:rFonts w:ascii="Garamond" w:eastAsia="Times New Roman" w:hAnsi="Garamond" w:cs="Times New Roman"/>
          <w:sz w:val="30"/>
          <w:szCs w:val="30"/>
          <w:lang w:eastAsia="it-IT"/>
        </w:rPr>
        <w:t xml:space="preserve">; e per questa ragione </w:t>
      </w:r>
      <w:r w:rsidRPr="005B3C1E">
        <w:rPr>
          <w:rFonts w:ascii="Garamond" w:eastAsia="Times New Roman" w:hAnsi="Garamond" w:cs="Times New Roman"/>
          <w:sz w:val="30"/>
          <w:szCs w:val="30"/>
          <w:lang w:eastAsia="it-IT"/>
        </w:rPr>
        <w:t>il danno e quindi il risarcimento si sostanzi</w:t>
      </w:r>
      <w:r w:rsidR="00E56750">
        <w:rPr>
          <w:rFonts w:ascii="Garamond" w:eastAsia="Times New Roman" w:hAnsi="Garamond" w:cs="Times New Roman"/>
          <w:sz w:val="30"/>
          <w:szCs w:val="30"/>
          <w:lang w:eastAsia="it-IT"/>
        </w:rPr>
        <w:t xml:space="preserve">erebbero </w:t>
      </w:r>
      <w:r w:rsidRPr="005B3C1E">
        <w:rPr>
          <w:rFonts w:ascii="Garamond" w:eastAsia="Times New Roman" w:hAnsi="Garamond" w:cs="Times New Roman"/>
          <w:sz w:val="30"/>
          <w:szCs w:val="30"/>
          <w:lang w:eastAsia="it-IT"/>
        </w:rPr>
        <w:t xml:space="preserve">anche senza una particolare prova. </w:t>
      </w:r>
    </w:p>
    <w:p w:rsidR="001D754F" w:rsidRDefault="001D754F" w:rsidP="001D754F">
      <w:pPr>
        <w:jc w:val="both"/>
        <w:rPr>
          <w:rFonts w:ascii="Garamond" w:eastAsia="Times New Roman" w:hAnsi="Garamond" w:cs="Times New Roman"/>
          <w:sz w:val="30"/>
          <w:szCs w:val="30"/>
          <w:lang w:eastAsia="it-IT"/>
        </w:rPr>
      </w:pPr>
      <w:r w:rsidRPr="005B3C1E">
        <w:rPr>
          <w:rFonts w:ascii="Garamond" w:eastAsia="Times New Roman" w:hAnsi="Garamond" w:cs="Times New Roman"/>
          <w:sz w:val="30"/>
          <w:szCs w:val="30"/>
          <w:lang w:eastAsia="it-IT"/>
        </w:rPr>
        <w:t xml:space="preserve">Ma si può, forse, ritenere che </w:t>
      </w:r>
      <w:r w:rsidR="00FD48BD">
        <w:rPr>
          <w:rFonts w:ascii="Garamond" w:eastAsia="Times New Roman" w:hAnsi="Garamond" w:cs="Times New Roman"/>
          <w:sz w:val="30"/>
          <w:szCs w:val="30"/>
          <w:lang w:eastAsia="it-IT"/>
        </w:rPr>
        <w:t xml:space="preserve">– concependo la complessità della tutela risarcitoria e, di riflesso, segmentando i passaggi logico-giuridici che ne scandiscono l’affermazione – </w:t>
      </w:r>
      <w:r w:rsidRPr="005B3C1E">
        <w:rPr>
          <w:rFonts w:ascii="Garamond" w:eastAsia="Times New Roman" w:hAnsi="Garamond" w:cs="Times New Roman"/>
          <w:sz w:val="30"/>
          <w:szCs w:val="30"/>
          <w:lang w:eastAsia="it-IT"/>
        </w:rPr>
        <w:t xml:space="preserve">una prova rigorosa possa/debba richiedersi </w:t>
      </w:r>
      <w:r w:rsidR="00E56750">
        <w:rPr>
          <w:rFonts w:ascii="Garamond" w:eastAsia="Times New Roman" w:hAnsi="Garamond" w:cs="Times New Roman"/>
          <w:sz w:val="30"/>
          <w:szCs w:val="30"/>
          <w:lang w:eastAsia="it-IT"/>
        </w:rPr>
        <w:t xml:space="preserve">almeno </w:t>
      </w:r>
      <w:r w:rsidRPr="005B3C1E">
        <w:rPr>
          <w:rFonts w:ascii="Garamond" w:eastAsia="Times New Roman" w:hAnsi="Garamond" w:cs="Times New Roman"/>
          <w:sz w:val="30"/>
          <w:szCs w:val="30"/>
          <w:lang w:eastAsia="it-IT"/>
        </w:rPr>
        <w:t>per determinare l’entità del danno</w:t>
      </w:r>
      <w:r w:rsidR="00E56750">
        <w:rPr>
          <w:rFonts w:ascii="Garamond" w:eastAsia="Times New Roman" w:hAnsi="Garamond" w:cs="Times New Roman"/>
          <w:sz w:val="30"/>
          <w:szCs w:val="30"/>
          <w:lang w:eastAsia="it-IT"/>
        </w:rPr>
        <w:t xml:space="preserve">, cioè collegandola alla </w:t>
      </w:r>
      <w:r w:rsidRPr="005B3C1E">
        <w:rPr>
          <w:rFonts w:ascii="Garamond" w:eastAsia="Times New Roman" w:hAnsi="Garamond" w:cs="Times New Roman"/>
          <w:sz w:val="30"/>
          <w:szCs w:val="30"/>
          <w:lang w:eastAsia="it-IT"/>
        </w:rPr>
        <w:t xml:space="preserve">liquidazione del risarcimento, che </w:t>
      </w:r>
      <w:r w:rsidR="00FD48BD">
        <w:rPr>
          <w:rFonts w:ascii="Garamond" w:eastAsia="Times New Roman" w:hAnsi="Garamond" w:cs="Times New Roman"/>
          <w:sz w:val="30"/>
          <w:szCs w:val="30"/>
          <w:lang w:eastAsia="it-IT"/>
        </w:rPr>
        <w:t>è momento logico successivo all’</w:t>
      </w:r>
      <w:r w:rsidRPr="005B3C1E">
        <w:rPr>
          <w:rFonts w:ascii="Garamond" w:eastAsia="Times New Roman" w:hAnsi="Garamond" w:cs="Times New Roman"/>
          <w:sz w:val="30"/>
          <w:szCs w:val="30"/>
          <w:lang w:eastAsia="it-IT"/>
        </w:rPr>
        <w:t>accertamento</w:t>
      </w:r>
      <w:r w:rsidR="00E56750">
        <w:rPr>
          <w:rFonts w:ascii="Garamond" w:eastAsia="Times New Roman" w:hAnsi="Garamond" w:cs="Times New Roman"/>
          <w:sz w:val="30"/>
          <w:szCs w:val="30"/>
          <w:lang w:eastAsia="it-IT"/>
        </w:rPr>
        <w:t xml:space="preserve"> della diminuzione patrimoniale</w:t>
      </w:r>
      <w:r w:rsidRPr="005B3C1E">
        <w:rPr>
          <w:rFonts w:ascii="Garamond" w:eastAsia="Times New Roman" w:hAnsi="Garamond" w:cs="Times New Roman"/>
          <w:sz w:val="30"/>
          <w:szCs w:val="30"/>
          <w:lang w:eastAsia="it-IT"/>
        </w:rPr>
        <w:t>.</w:t>
      </w:r>
    </w:p>
    <w:p w:rsidR="00FD48BD" w:rsidRPr="005B3C1E" w:rsidRDefault="00FD48BD" w:rsidP="001D754F">
      <w:pPr>
        <w:jc w:val="both"/>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 xml:space="preserve">Potrebbe giovarsene la qualità della giurisdizione e fuggirsi un modo </w:t>
      </w:r>
      <w:r w:rsidR="009403DE">
        <w:rPr>
          <w:rFonts w:ascii="Garamond" w:eastAsia="Times New Roman" w:hAnsi="Garamond" w:cs="Times New Roman"/>
          <w:sz w:val="30"/>
          <w:szCs w:val="30"/>
          <w:lang w:eastAsia="it-IT"/>
        </w:rPr>
        <w:t xml:space="preserve">troppo drastico </w:t>
      </w:r>
      <w:r>
        <w:rPr>
          <w:rFonts w:ascii="Garamond" w:eastAsia="Times New Roman" w:hAnsi="Garamond" w:cs="Times New Roman"/>
          <w:sz w:val="30"/>
          <w:szCs w:val="30"/>
          <w:lang w:eastAsia="it-IT"/>
        </w:rPr>
        <w:t xml:space="preserve">di intendere le </w:t>
      </w:r>
      <w:r w:rsidR="009403DE">
        <w:rPr>
          <w:rFonts w:ascii="Garamond" w:eastAsia="Times New Roman" w:hAnsi="Garamond" w:cs="Times New Roman"/>
          <w:sz w:val="30"/>
          <w:szCs w:val="30"/>
          <w:lang w:eastAsia="it-IT"/>
        </w:rPr>
        <w:t>disfunzioni – quasi mai intenzionali – dell’Amministrazione.</w:t>
      </w:r>
      <w:r>
        <w:rPr>
          <w:rFonts w:ascii="Garamond" w:eastAsia="Times New Roman" w:hAnsi="Garamond" w:cs="Times New Roman"/>
          <w:sz w:val="30"/>
          <w:szCs w:val="30"/>
          <w:lang w:eastAsia="it-IT"/>
        </w:rPr>
        <w:t xml:space="preserve">  </w:t>
      </w:r>
    </w:p>
    <w:p w:rsidR="001D754F" w:rsidRPr="005B3C1E" w:rsidRDefault="00483094" w:rsidP="001D754F">
      <w:pPr>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Vi ringrazio per l’attenzione.</w:t>
      </w:r>
    </w:p>
    <w:p w:rsidR="00871FC4" w:rsidRPr="00482D3C" w:rsidRDefault="00871FC4">
      <w:pPr>
        <w:rPr>
          <w:rFonts w:ascii="Garamond" w:eastAsia="Times New Roman" w:hAnsi="Garamond" w:cs="Times New Roman"/>
          <w:b/>
          <w:sz w:val="30"/>
          <w:szCs w:val="30"/>
          <w:lang w:eastAsia="it-IT"/>
        </w:rPr>
      </w:pPr>
    </w:p>
    <w:p w:rsidR="00482D3C" w:rsidRPr="00482D3C" w:rsidRDefault="00482D3C" w:rsidP="00482D3C">
      <w:pPr>
        <w:jc w:val="right"/>
        <w:rPr>
          <w:rFonts w:ascii="Garamond" w:eastAsia="Times New Roman" w:hAnsi="Garamond" w:cs="Times New Roman"/>
          <w:b/>
          <w:sz w:val="30"/>
          <w:szCs w:val="30"/>
          <w:lang w:eastAsia="it-IT"/>
        </w:rPr>
      </w:pPr>
      <w:r w:rsidRPr="00482D3C">
        <w:rPr>
          <w:rFonts w:ascii="Garamond" w:eastAsia="Times New Roman" w:hAnsi="Garamond" w:cs="Times New Roman"/>
          <w:b/>
          <w:sz w:val="30"/>
          <w:szCs w:val="30"/>
          <w:lang w:eastAsia="it-IT"/>
        </w:rPr>
        <w:t xml:space="preserve">Angelo </w:t>
      </w:r>
      <w:proofErr w:type="spellStart"/>
      <w:r w:rsidRPr="00482D3C">
        <w:rPr>
          <w:rFonts w:ascii="Garamond" w:eastAsia="Times New Roman" w:hAnsi="Garamond" w:cs="Times New Roman"/>
          <w:b/>
          <w:sz w:val="30"/>
          <w:szCs w:val="30"/>
          <w:lang w:eastAsia="it-IT"/>
        </w:rPr>
        <w:t>Fanizza</w:t>
      </w:r>
      <w:proofErr w:type="spellEnd"/>
      <w:r w:rsidRPr="00482D3C">
        <w:rPr>
          <w:rFonts w:ascii="Garamond" w:eastAsia="Times New Roman" w:hAnsi="Garamond" w:cs="Times New Roman"/>
          <w:b/>
          <w:sz w:val="30"/>
          <w:szCs w:val="30"/>
          <w:lang w:eastAsia="it-IT"/>
        </w:rPr>
        <w:t xml:space="preserve"> </w:t>
      </w:r>
    </w:p>
    <w:p w:rsidR="00482D3C" w:rsidRPr="00482D3C" w:rsidRDefault="00D81CA5" w:rsidP="00482D3C">
      <w:pPr>
        <w:jc w:val="right"/>
        <w:rPr>
          <w:rFonts w:ascii="Garamond" w:eastAsia="Times New Roman" w:hAnsi="Garamond" w:cs="Times New Roman"/>
          <w:b/>
          <w:sz w:val="30"/>
          <w:szCs w:val="30"/>
          <w:lang w:eastAsia="it-IT"/>
        </w:rPr>
      </w:pPr>
      <w:r w:rsidRPr="00D81CA5">
        <w:rPr>
          <w:rFonts w:ascii="Garamond" w:eastAsia="Times New Roman" w:hAnsi="Garamond" w:cs="Times New Roman"/>
          <w:b/>
          <w:sz w:val="30"/>
          <w:szCs w:val="30"/>
          <w:lang w:eastAsia="it-IT"/>
        </w:rPr>
        <w:t xml:space="preserve">Primo referendario </w:t>
      </w:r>
      <w:bookmarkStart w:id="0" w:name="_GoBack"/>
      <w:bookmarkEnd w:id="0"/>
      <w:r w:rsidR="00482D3C" w:rsidRPr="00482D3C">
        <w:rPr>
          <w:rFonts w:ascii="Garamond" w:eastAsia="Times New Roman" w:hAnsi="Garamond" w:cs="Times New Roman"/>
          <w:b/>
          <w:sz w:val="30"/>
          <w:szCs w:val="30"/>
          <w:lang w:eastAsia="it-IT"/>
        </w:rPr>
        <w:t>Tar Bari</w:t>
      </w:r>
    </w:p>
    <w:p w:rsidR="00482D3C" w:rsidRDefault="00482D3C" w:rsidP="00482D3C">
      <w:pPr>
        <w:jc w:val="right"/>
        <w:rPr>
          <w:rFonts w:ascii="Garamond" w:eastAsia="Times New Roman" w:hAnsi="Garamond" w:cs="Times New Roman"/>
          <w:sz w:val="30"/>
          <w:szCs w:val="30"/>
          <w:lang w:eastAsia="it-IT"/>
        </w:rPr>
      </w:pPr>
    </w:p>
    <w:p w:rsidR="00482D3C" w:rsidRPr="005B3C1E" w:rsidRDefault="00482D3C" w:rsidP="00482D3C">
      <w:pPr>
        <w:jc w:val="right"/>
        <w:rPr>
          <w:rFonts w:ascii="Garamond" w:eastAsia="Times New Roman" w:hAnsi="Garamond" w:cs="Times New Roman"/>
          <w:sz w:val="30"/>
          <w:szCs w:val="30"/>
          <w:lang w:eastAsia="it-IT"/>
        </w:rPr>
      </w:pPr>
      <w:r>
        <w:rPr>
          <w:rFonts w:ascii="Garamond" w:eastAsia="Times New Roman" w:hAnsi="Garamond" w:cs="Times New Roman"/>
          <w:sz w:val="30"/>
          <w:szCs w:val="30"/>
          <w:lang w:eastAsia="it-IT"/>
        </w:rPr>
        <w:t>Pubblicato il 23 dicembre 2019</w:t>
      </w:r>
    </w:p>
    <w:sectPr w:rsidR="00482D3C" w:rsidRPr="005B3C1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D3C" w:rsidRDefault="00482D3C" w:rsidP="00482D3C">
      <w:pPr>
        <w:spacing w:after="0" w:line="240" w:lineRule="auto"/>
      </w:pPr>
      <w:r>
        <w:separator/>
      </w:r>
    </w:p>
  </w:endnote>
  <w:endnote w:type="continuationSeparator" w:id="0">
    <w:p w:rsidR="00482D3C" w:rsidRDefault="00482D3C" w:rsidP="0048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D3C" w:rsidRDefault="00482D3C" w:rsidP="00482D3C">
      <w:pPr>
        <w:spacing w:after="0" w:line="240" w:lineRule="auto"/>
      </w:pPr>
      <w:r>
        <w:separator/>
      </w:r>
    </w:p>
  </w:footnote>
  <w:footnote w:type="continuationSeparator" w:id="0">
    <w:p w:rsidR="00482D3C" w:rsidRDefault="00482D3C" w:rsidP="00482D3C">
      <w:pPr>
        <w:spacing w:after="0" w:line="240" w:lineRule="auto"/>
      </w:pPr>
      <w:r>
        <w:continuationSeparator/>
      </w:r>
    </w:p>
  </w:footnote>
  <w:footnote w:id="1">
    <w:p w:rsidR="005D1231" w:rsidRDefault="00482D3C" w:rsidP="005D1231">
      <w:pPr>
        <w:pStyle w:val="Testonotaapidipagina"/>
        <w:jc w:val="both"/>
      </w:pPr>
      <w:r>
        <w:rPr>
          <w:rStyle w:val="Rimandonotaapidipagina"/>
        </w:rPr>
        <w:footnoteRef/>
      </w:r>
      <w:r>
        <w:t xml:space="preserve"> </w:t>
      </w:r>
      <w:r w:rsidR="005D1231" w:rsidRPr="00D74C13">
        <w:t>Relazione svolta al Convegno organizzato dall’Ufficio studi e massimario della Giustizia amministrativa “A 20 anni dalla sentenza n. 500/1999: attività amministr</w:t>
      </w:r>
      <w:r w:rsidR="005D1231">
        <w:t>ativa e risarcimento del danno</w:t>
      </w:r>
      <w:proofErr w:type="gramStart"/>
      <w:r w:rsidR="005D1231">
        <w:t xml:space="preserve">”, </w:t>
      </w:r>
      <w:r w:rsidR="005D1231" w:rsidRPr="00D74C13">
        <w:t xml:space="preserve"> tenutosi</w:t>
      </w:r>
      <w:proofErr w:type="gramEnd"/>
      <w:r w:rsidR="005D1231" w:rsidRPr="00D74C13">
        <w:t xml:space="preserve"> a Roma, 16 dicembre 2019 (Consiglio di Stato, Piazza Capo di Ferro, 13 - Roma).</w:t>
      </w:r>
    </w:p>
    <w:p w:rsidR="00482D3C" w:rsidRPr="005D1231" w:rsidRDefault="00482D3C">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41C9"/>
    <w:multiLevelType w:val="hybridMultilevel"/>
    <w:tmpl w:val="9578A2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CE2DA3"/>
    <w:multiLevelType w:val="hybridMultilevel"/>
    <w:tmpl w:val="273A54CA"/>
    <w:lvl w:ilvl="0" w:tplc="41AA8C70">
      <w:start w:val="2"/>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A9"/>
    <w:rsid w:val="00015433"/>
    <w:rsid w:val="0007370D"/>
    <w:rsid w:val="001D3907"/>
    <w:rsid w:val="001D754F"/>
    <w:rsid w:val="00471365"/>
    <w:rsid w:val="00482D3C"/>
    <w:rsid w:val="00483094"/>
    <w:rsid w:val="0048597B"/>
    <w:rsid w:val="005323BE"/>
    <w:rsid w:val="005B3C1E"/>
    <w:rsid w:val="005D1231"/>
    <w:rsid w:val="007C248C"/>
    <w:rsid w:val="007C383C"/>
    <w:rsid w:val="007C7ABD"/>
    <w:rsid w:val="007D280B"/>
    <w:rsid w:val="00871FC4"/>
    <w:rsid w:val="00913EFD"/>
    <w:rsid w:val="009403DE"/>
    <w:rsid w:val="009C3A26"/>
    <w:rsid w:val="009C7D6A"/>
    <w:rsid w:val="00B103FE"/>
    <w:rsid w:val="00B521A9"/>
    <w:rsid w:val="00B67EA8"/>
    <w:rsid w:val="00D031DC"/>
    <w:rsid w:val="00D16543"/>
    <w:rsid w:val="00D33878"/>
    <w:rsid w:val="00D81CA5"/>
    <w:rsid w:val="00E56750"/>
    <w:rsid w:val="00F45A9F"/>
    <w:rsid w:val="00FD48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09EAD-1854-48F0-A1BF-16297D68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754F"/>
    <w:pPr>
      <w:spacing w:line="48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D754F"/>
    <w:pPr>
      <w:ind w:left="720"/>
      <w:contextualSpacing/>
    </w:pPr>
  </w:style>
  <w:style w:type="paragraph" w:styleId="Testonotaapidipagina">
    <w:name w:val="footnote text"/>
    <w:aliases w:val="Testo nota a piè di pagina Carattere Carattere Carattere Carattere Carattere,Testo nota a piè di pagina Carattere Carattere Carattere Carattere Carattere Carattere Carattere Carattere Carattere Carattere Carattere Carattere"/>
    <w:basedOn w:val="Normale"/>
    <w:link w:val="TestonotaapidipaginaCarattere"/>
    <w:unhideWhenUsed/>
    <w:rsid w:val="00482D3C"/>
    <w:pPr>
      <w:spacing w:after="0" w:line="240" w:lineRule="auto"/>
    </w:pPr>
    <w:rPr>
      <w:sz w:val="20"/>
      <w:szCs w:val="20"/>
    </w:rPr>
  </w:style>
  <w:style w:type="character" w:customStyle="1" w:styleId="TestonotaapidipaginaCarattere">
    <w:name w:val="Testo nota a piè di pagina Carattere"/>
    <w:aliases w:val="Testo nota a piè di pagina Carattere Carattere Carattere Carattere Carattere Carattere"/>
    <w:basedOn w:val="Carpredefinitoparagrafo"/>
    <w:link w:val="Testonotaapidipagina"/>
    <w:rsid w:val="00482D3C"/>
    <w:rPr>
      <w:sz w:val="20"/>
      <w:szCs w:val="20"/>
    </w:rPr>
  </w:style>
  <w:style w:type="character" w:styleId="Rimandonotaapidipagina">
    <w:name w:val="footnote reference"/>
    <w:basedOn w:val="Carpredefinitoparagrafo"/>
    <w:unhideWhenUsed/>
    <w:rsid w:val="00482D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3B5C-C387-4909-A8F9-7200ED8A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4384</Words>
  <Characters>24995</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FANIZZA Angelo</dc:creator>
  <cp:keywords/>
  <dc:description/>
  <cp:lastModifiedBy>FERRARI Giulia</cp:lastModifiedBy>
  <cp:revision>3</cp:revision>
  <dcterms:created xsi:type="dcterms:W3CDTF">2019-12-21T16:37:00Z</dcterms:created>
  <dcterms:modified xsi:type="dcterms:W3CDTF">2019-12-21T16:52:00Z</dcterms:modified>
</cp:coreProperties>
</file>