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64" w:rsidRPr="002C4F71" w:rsidRDefault="00DF5DA6" w:rsidP="00801401">
      <w:pPr>
        <w:spacing w:after="0" w:line="360" w:lineRule="auto"/>
        <w:jc w:val="center"/>
        <w:rPr>
          <w:rFonts w:ascii="Times New Roman" w:hAnsi="Times New Roman" w:cs="Times New Roman"/>
          <w:b/>
          <w:sz w:val="28"/>
          <w:szCs w:val="28"/>
        </w:rPr>
      </w:pPr>
      <w:r w:rsidRPr="002C4F71">
        <w:rPr>
          <w:rFonts w:ascii="Times New Roman" w:hAnsi="Times New Roman" w:cs="Times New Roman"/>
          <w:b/>
          <w:sz w:val="28"/>
          <w:szCs w:val="28"/>
        </w:rPr>
        <w:t>I provvedimenti tipici dell’ARERA; la loro classificazione e i riflessi sull’ambito del sindacato giurisdizionale</w:t>
      </w:r>
    </w:p>
    <w:p w:rsidR="00732890" w:rsidRPr="002C4F71" w:rsidRDefault="00732890" w:rsidP="002C4F71">
      <w:pPr>
        <w:spacing w:after="0" w:line="360" w:lineRule="auto"/>
        <w:jc w:val="both"/>
        <w:rPr>
          <w:rFonts w:ascii="Times New Roman" w:hAnsi="Times New Roman" w:cs="Times New Roman"/>
          <w:i/>
          <w:sz w:val="28"/>
          <w:szCs w:val="28"/>
        </w:rPr>
      </w:pPr>
    </w:p>
    <w:p w:rsidR="00732890" w:rsidRPr="002C4F71" w:rsidRDefault="00732890" w:rsidP="002C4F71">
      <w:pPr>
        <w:spacing w:after="0" w:line="360" w:lineRule="auto"/>
        <w:jc w:val="both"/>
        <w:rPr>
          <w:rFonts w:ascii="Times New Roman" w:hAnsi="Times New Roman" w:cs="Times New Roman"/>
          <w:i/>
          <w:sz w:val="28"/>
          <w:szCs w:val="28"/>
        </w:rPr>
      </w:pPr>
      <w:r w:rsidRPr="002C4F71">
        <w:rPr>
          <w:rFonts w:ascii="Times New Roman" w:hAnsi="Times New Roman" w:cs="Times New Roman"/>
          <w:i/>
          <w:sz w:val="28"/>
          <w:szCs w:val="28"/>
        </w:rPr>
        <w:t>Sommario: 1. Premesse generali sulle autorità indipendenti. 2. La classificazione dei provvedimenti dell’ARERA. 3. Il sindacato giurisdizionale sugli atti dell’ARERA. 4. P</w:t>
      </w:r>
      <w:r w:rsidRPr="002C4F71">
        <w:rPr>
          <w:rFonts w:ascii="Times New Roman" w:hAnsi="Times New Roman" w:cs="Times New Roman"/>
          <w:i/>
          <w:sz w:val="28"/>
          <w:szCs w:val="28"/>
          <w:shd w:val="clear" w:color="auto" w:fill="FFFFFF"/>
        </w:rPr>
        <w:t xml:space="preserve">otere </w:t>
      </w:r>
      <w:proofErr w:type="spellStart"/>
      <w:r w:rsidRPr="002C4F71">
        <w:rPr>
          <w:rFonts w:ascii="Times New Roman" w:hAnsi="Times New Roman" w:cs="Times New Roman"/>
          <w:i/>
          <w:sz w:val="28"/>
          <w:szCs w:val="28"/>
          <w:shd w:val="clear" w:color="auto" w:fill="FFFFFF"/>
        </w:rPr>
        <w:t>regolatorio</w:t>
      </w:r>
      <w:proofErr w:type="spellEnd"/>
      <w:r w:rsidR="009B58D0" w:rsidRPr="002C4F71">
        <w:rPr>
          <w:rFonts w:ascii="Times New Roman" w:hAnsi="Times New Roman" w:cs="Times New Roman"/>
          <w:i/>
          <w:sz w:val="28"/>
          <w:szCs w:val="28"/>
          <w:shd w:val="clear" w:color="auto" w:fill="FFFFFF"/>
        </w:rPr>
        <w:t xml:space="preserve">, principio di legalità </w:t>
      </w:r>
      <w:r w:rsidRPr="002C4F71">
        <w:rPr>
          <w:rFonts w:ascii="Times New Roman" w:hAnsi="Times New Roman" w:cs="Times New Roman"/>
          <w:i/>
          <w:sz w:val="28"/>
          <w:szCs w:val="28"/>
          <w:shd w:val="clear" w:color="auto" w:fill="FFFFFF"/>
        </w:rPr>
        <w:t>e autonomia contrattuale.</w:t>
      </w:r>
      <w:r w:rsidRPr="002C4F71">
        <w:rPr>
          <w:rFonts w:ascii="Times New Roman" w:hAnsi="Times New Roman" w:cs="Times New Roman"/>
          <w:i/>
          <w:sz w:val="28"/>
          <w:szCs w:val="28"/>
        </w:rPr>
        <w:t xml:space="preserve"> </w:t>
      </w:r>
    </w:p>
    <w:p w:rsidR="00F45064" w:rsidRPr="002C4F71" w:rsidRDefault="00F45064" w:rsidP="002C4F71">
      <w:pPr>
        <w:spacing w:after="0" w:line="360" w:lineRule="auto"/>
        <w:jc w:val="both"/>
        <w:rPr>
          <w:rFonts w:ascii="Times New Roman" w:hAnsi="Times New Roman" w:cs="Times New Roman"/>
          <w:b/>
          <w:sz w:val="28"/>
          <w:szCs w:val="28"/>
        </w:rPr>
      </w:pPr>
    </w:p>
    <w:p w:rsidR="00732890" w:rsidRPr="002C4F71" w:rsidRDefault="00732890" w:rsidP="002C4F71">
      <w:pPr>
        <w:spacing w:after="0" w:line="360" w:lineRule="auto"/>
        <w:jc w:val="both"/>
        <w:rPr>
          <w:rFonts w:ascii="Times New Roman" w:hAnsi="Times New Roman" w:cs="Times New Roman"/>
          <w:b/>
          <w:sz w:val="28"/>
          <w:szCs w:val="28"/>
        </w:rPr>
      </w:pPr>
      <w:r w:rsidRPr="002C4F71">
        <w:rPr>
          <w:rFonts w:ascii="Times New Roman" w:hAnsi="Times New Roman" w:cs="Times New Roman"/>
          <w:b/>
          <w:sz w:val="28"/>
          <w:szCs w:val="28"/>
        </w:rPr>
        <w:t>1. Premesse generali sulle autorità indipendenti.</w:t>
      </w:r>
    </w:p>
    <w:p w:rsidR="001E15CD" w:rsidRPr="002C4F71" w:rsidRDefault="003943A3" w:rsidP="002C4F71">
      <w:pPr>
        <w:pStyle w:val="Default"/>
        <w:spacing w:line="360" w:lineRule="auto"/>
        <w:jc w:val="both"/>
        <w:rPr>
          <w:rFonts w:ascii="Times New Roman" w:hAnsi="Times New Roman" w:cs="Times New Roman"/>
          <w:color w:val="auto"/>
          <w:sz w:val="28"/>
          <w:szCs w:val="28"/>
        </w:rPr>
      </w:pPr>
      <w:r w:rsidRPr="002C4F71">
        <w:rPr>
          <w:rFonts w:ascii="Times New Roman" w:hAnsi="Times New Roman" w:cs="Times New Roman"/>
          <w:color w:val="auto"/>
          <w:sz w:val="28"/>
          <w:szCs w:val="28"/>
        </w:rPr>
        <w:t>Le aut</w:t>
      </w:r>
      <w:r w:rsidR="00DF5DA6" w:rsidRPr="002C4F71">
        <w:rPr>
          <w:rFonts w:ascii="Times New Roman" w:hAnsi="Times New Roman" w:cs="Times New Roman"/>
          <w:color w:val="auto"/>
          <w:sz w:val="28"/>
          <w:szCs w:val="28"/>
        </w:rPr>
        <w:t xml:space="preserve">orità indipendenti </w:t>
      </w:r>
      <w:r w:rsidRPr="002C4F71">
        <w:rPr>
          <w:rFonts w:ascii="Times New Roman" w:hAnsi="Times New Roman" w:cs="Times New Roman"/>
          <w:color w:val="auto"/>
          <w:sz w:val="28"/>
          <w:szCs w:val="28"/>
        </w:rPr>
        <w:t>costituiscono una delle risposte al bisogno di evoluzione delle forme dell’azione pubblica e dei principi di organizzazione dello Stato, il riflesso della tendenza a sottrarre determinate funzioni pubbliche all’indirizzo politico di maggioranza in relazione al mutamento delle esigenze sempre più specifiche e tecniche della società.</w:t>
      </w:r>
    </w:p>
    <w:p w:rsidR="00D37565" w:rsidRPr="002C4F71" w:rsidRDefault="003943A3" w:rsidP="002C4F71">
      <w:pPr>
        <w:pStyle w:val="Default"/>
        <w:spacing w:line="360" w:lineRule="auto"/>
        <w:jc w:val="both"/>
        <w:rPr>
          <w:rStyle w:val="Enfasicorsivo"/>
          <w:rFonts w:ascii="Times New Roman" w:hAnsi="Times New Roman" w:cs="Times New Roman"/>
          <w:i w:val="0"/>
          <w:color w:val="auto"/>
          <w:sz w:val="28"/>
          <w:szCs w:val="28"/>
        </w:rPr>
      </w:pPr>
      <w:r w:rsidRPr="002C4F71">
        <w:rPr>
          <w:rFonts w:ascii="Times New Roman" w:hAnsi="Times New Roman" w:cs="Times New Roman"/>
          <w:color w:val="auto"/>
          <w:sz w:val="28"/>
          <w:szCs w:val="28"/>
        </w:rPr>
        <w:t>In conformità al modello di origine statunitense (</w:t>
      </w:r>
      <w:proofErr w:type="spellStart"/>
      <w:r w:rsidRPr="002C4F71">
        <w:rPr>
          <w:rFonts w:ascii="Times New Roman" w:hAnsi="Times New Roman" w:cs="Times New Roman"/>
          <w:color w:val="auto"/>
          <w:sz w:val="28"/>
          <w:szCs w:val="28"/>
        </w:rPr>
        <w:t>A</w:t>
      </w:r>
      <w:r w:rsidRPr="002C4F71">
        <w:rPr>
          <w:rStyle w:val="Enfasicorsivo"/>
          <w:rFonts w:ascii="Times New Roman" w:hAnsi="Times New Roman" w:cs="Times New Roman"/>
          <w:i w:val="0"/>
          <w:color w:val="auto"/>
          <w:sz w:val="28"/>
          <w:szCs w:val="28"/>
        </w:rPr>
        <w:t>dministrative</w:t>
      </w:r>
      <w:proofErr w:type="spellEnd"/>
      <w:r w:rsidRPr="002C4F71">
        <w:rPr>
          <w:rStyle w:val="Enfasicorsivo"/>
          <w:rFonts w:ascii="Times New Roman" w:hAnsi="Times New Roman" w:cs="Times New Roman"/>
          <w:i w:val="0"/>
          <w:color w:val="auto"/>
          <w:sz w:val="28"/>
          <w:szCs w:val="28"/>
        </w:rPr>
        <w:t xml:space="preserve"> Procedure </w:t>
      </w:r>
      <w:proofErr w:type="spellStart"/>
      <w:r w:rsidRPr="002C4F71">
        <w:rPr>
          <w:rStyle w:val="Enfasicorsivo"/>
          <w:rFonts w:ascii="Times New Roman" w:hAnsi="Times New Roman" w:cs="Times New Roman"/>
          <w:i w:val="0"/>
          <w:color w:val="auto"/>
          <w:sz w:val="28"/>
          <w:szCs w:val="28"/>
        </w:rPr>
        <w:t>Act</w:t>
      </w:r>
      <w:proofErr w:type="spellEnd"/>
      <w:r w:rsidRPr="002C4F71">
        <w:rPr>
          <w:rFonts w:ascii="Times New Roman" w:hAnsi="Times New Roman" w:cs="Times New Roman"/>
          <w:i/>
          <w:color w:val="auto"/>
          <w:sz w:val="28"/>
          <w:szCs w:val="28"/>
        </w:rPr>
        <w:t xml:space="preserve"> </w:t>
      </w:r>
      <w:r w:rsidRPr="002C4F71">
        <w:rPr>
          <w:rFonts w:ascii="Times New Roman" w:hAnsi="Times New Roman" w:cs="Times New Roman"/>
          <w:color w:val="auto"/>
          <w:sz w:val="28"/>
          <w:szCs w:val="28"/>
        </w:rPr>
        <w:t xml:space="preserve">del 1946) le </w:t>
      </w:r>
      <w:proofErr w:type="spellStart"/>
      <w:r w:rsidRPr="002C4F71">
        <w:rPr>
          <w:rFonts w:ascii="Times New Roman" w:hAnsi="Times New Roman" w:cs="Times New Roman"/>
          <w:color w:val="auto"/>
          <w:sz w:val="28"/>
          <w:szCs w:val="28"/>
        </w:rPr>
        <w:t>aut</w:t>
      </w:r>
      <w:r w:rsidR="00DF5DA6" w:rsidRPr="002C4F71">
        <w:rPr>
          <w:rFonts w:ascii="Times New Roman" w:hAnsi="Times New Roman" w:cs="Times New Roman"/>
          <w:color w:val="auto"/>
          <w:sz w:val="28"/>
          <w:szCs w:val="28"/>
        </w:rPr>
        <w:t>horities</w:t>
      </w:r>
      <w:proofErr w:type="spellEnd"/>
      <w:r w:rsidR="00D37565" w:rsidRPr="002C4F71">
        <w:rPr>
          <w:rFonts w:ascii="Times New Roman" w:hAnsi="Times New Roman" w:cs="Times New Roman"/>
          <w:color w:val="auto"/>
          <w:sz w:val="28"/>
          <w:szCs w:val="28"/>
        </w:rPr>
        <w:t>, mediante i loro atti di regolazione,</w:t>
      </w:r>
      <w:r w:rsidRPr="002C4F71">
        <w:rPr>
          <w:rFonts w:ascii="Times New Roman" w:hAnsi="Times New Roman" w:cs="Times New Roman"/>
          <w:color w:val="auto"/>
          <w:sz w:val="28"/>
          <w:szCs w:val="28"/>
        </w:rPr>
        <w:t xml:space="preserve"> rispondono sempre di più alle richieste di maggiore garanzia ed efficacia dell’azione amministrativa</w:t>
      </w:r>
      <w:r w:rsidR="00D37565" w:rsidRPr="002C4F71">
        <w:rPr>
          <w:rFonts w:ascii="Times New Roman" w:hAnsi="Times New Roman" w:cs="Times New Roman"/>
          <w:color w:val="auto"/>
          <w:sz w:val="28"/>
          <w:szCs w:val="28"/>
        </w:rPr>
        <w:t>, applicando procedure di</w:t>
      </w:r>
      <w:r w:rsidR="00D37565" w:rsidRPr="002C4F71">
        <w:rPr>
          <w:rStyle w:val="Enfasicorsivo"/>
          <w:rFonts w:ascii="Times New Roman" w:hAnsi="Times New Roman" w:cs="Times New Roman"/>
          <w:i w:val="0"/>
          <w:color w:val="auto"/>
          <w:sz w:val="28"/>
          <w:szCs w:val="28"/>
        </w:rPr>
        <w:t xml:space="preserve"> </w:t>
      </w:r>
      <w:proofErr w:type="spellStart"/>
      <w:r w:rsidR="00D37565" w:rsidRPr="002C4F71">
        <w:rPr>
          <w:rStyle w:val="Enfasicorsivo"/>
          <w:rFonts w:ascii="Times New Roman" w:hAnsi="Times New Roman" w:cs="Times New Roman"/>
          <w:i w:val="0"/>
          <w:color w:val="auto"/>
          <w:sz w:val="28"/>
          <w:szCs w:val="28"/>
        </w:rPr>
        <w:t>notice</w:t>
      </w:r>
      <w:proofErr w:type="spellEnd"/>
      <w:r w:rsidR="00D37565" w:rsidRPr="002C4F71">
        <w:rPr>
          <w:rStyle w:val="Enfasicorsivo"/>
          <w:rFonts w:ascii="Times New Roman" w:hAnsi="Times New Roman" w:cs="Times New Roman"/>
          <w:i w:val="0"/>
          <w:color w:val="auto"/>
          <w:sz w:val="28"/>
          <w:szCs w:val="28"/>
        </w:rPr>
        <w:t xml:space="preserve"> and </w:t>
      </w:r>
      <w:proofErr w:type="spellStart"/>
      <w:r w:rsidR="00D37565" w:rsidRPr="002C4F71">
        <w:rPr>
          <w:rStyle w:val="Enfasicorsivo"/>
          <w:rFonts w:ascii="Times New Roman" w:hAnsi="Times New Roman" w:cs="Times New Roman"/>
          <w:i w:val="0"/>
          <w:color w:val="auto"/>
          <w:sz w:val="28"/>
          <w:szCs w:val="28"/>
        </w:rPr>
        <w:t>comment</w:t>
      </w:r>
      <w:proofErr w:type="spellEnd"/>
      <w:r w:rsidR="00D37565" w:rsidRPr="002C4F71">
        <w:rPr>
          <w:rStyle w:val="Enfasicorsivo"/>
          <w:rFonts w:ascii="Times New Roman" w:hAnsi="Times New Roman" w:cs="Times New Roman"/>
          <w:i w:val="0"/>
          <w:color w:val="auto"/>
          <w:sz w:val="28"/>
          <w:szCs w:val="28"/>
        </w:rPr>
        <w:t xml:space="preserve">, mediante le quali viene resa pubblica la proposta di delibera al fine di permettere ai soggetti interessati, sia pubblici che privati, nel rispetto del pieno e paritario contraddittorio fra </w:t>
      </w:r>
      <w:r w:rsidR="00414592">
        <w:rPr>
          <w:rStyle w:val="Enfasicorsivo"/>
          <w:rFonts w:ascii="Times New Roman" w:hAnsi="Times New Roman" w:cs="Times New Roman"/>
          <w:i w:val="0"/>
          <w:color w:val="auto"/>
          <w:sz w:val="28"/>
          <w:szCs w:val="28"/>
        </w:rPr>
        <w:t>i medesimi</w:t>
      </w:r>
      <w:r w:rsidR="00D37565" w:rsidRPr="002C4F71">
        <w:rPr>
          <w:rStyle w:val="Enfasicorsivo"/>
          <w:rFonts w:ascii="Times New Roman" w:hAnsi="Times New Roman" w:cs="Times New Roman"/>
          <w:i w:val="0"/>
          <w:color w:val="auto"/>
          <w:sz w:val="28"/>
          <w:szCs w:val="28"/>
        </w:rPr>
        <w:t xml:space="preserve">, la partecipazione al procedimento di adozione della stessa con la produzione di osservazioni e documentazione di cui si terrà conto al momento della definitiva </w:t>
      </w:r>
      <w:r w:rsidR="00414592">
        <w:rPr>
          <w:rStyle w:val="Enfasicorsivo"/>
          <w:rFonts w:ascii="Times New Roman" w:hAnsi="Times New Roman" w:cs="Times New Roman"/>
          <w:i w:val="0"/>
          <w:color w:val="auto"/>
          <w:sz w:val="28"/>
          <w:szCs w:val="28"/>
        </w:rPr>
        <w:t>emanazione</w:t>
      </w:r>
      <w:r w:rsidR="00D37565" w:rsidRPr="002C4F71">
        <w:rPr>
          <w:rStyle w:val="Enfasicorsivo"/>
          <w:rFonts w:ascii="Times New Roman" w:hAnsi="Times New Roman" w:cs="Times New Roman"/>
          <w:i w:val="0"/>
          <w:color w:val="auto"/>
          <w:sz w:val="28"/>
          <w:szCs w:val="28"/>
        </w:rPr>
        <w:t xml:space="preserve"> dell’atto di regolazione.</w:t>
      </w:r>
    </w:p>
    <w:p w:rsidR="00FE5CE5" w:rsidRPr="002C4F71" w:rsidRDefault="00D37565" w:rsidP="002C4F71">
      <w:pPr>
        <w:pStyle w:val="Default"/>
        <w:spacing w:line="360" w:lineRule="auto"/>
        <w:jc w:val="both"/>
        <w:rPr>
          <w:rStyle w:val="Enfasicorsivo"/>
          <w:rFonts w:ascii="Times New Roman" w:hAnsi="Times New Roman" w:cs="Times New Roman"/>
          <w:i w:val="0"/>
          <w:color w:val="auto"/>
          <w:sz w:val="28"/>
          <w:szCs w:val="28"/>
        </w:rPr>
      </w:pPr>
      <w:r w:rsidRPr="002C4F71">
        <w:rPr>
          <w:rStyle w:val="Enfasicorsivo"/>
          <w:rFonts w:ascii="Times New Roman" w:hAnsi="Times New Roman" w:cs="Times New Roman"/>
          <w:i w:val="0"/>
          <w:color w:val="auto"/>
          <w:sz w:val="28"/>
          <w:szCs w:val="28"/>
        </w:rPr>
        <w:t xml:space="preserve">Tali schemi procedimentali connaturano in particolar modo le autorità che </w:t>
      </w:r>
      <w:r w:rsidR="00FE5CE5" w:rsidRPr="002C4F71">
        <w:rPr>
          <w:rStyle w:val="Enfasicorsivo"/>
          <w:rFonts w:ascii="Times New Roman" w:hAnsi="Times New Roman" w:cs="Times New Roman"/>
          <w:i w:val="0"/>
          <w:color w:val="auto"/>
          <w:sz w:val="28"/>
          <w:szCs w:val="28"/>
        </w:rPr>
        <w:t xml:space="preserve">compendiano nell’ambito della loro attività funzioni di amministrazione pura, funzioni </w:t>
      </w:r>
      <w:proofErr w:type="spellStart"/>
      <w:r w:rsidR="00FE5CE5" w:rsidRPr="002C4F71">
        <w:rPr>
          <w:rStyle w:val="Enfasicorsivo"/>
          <w:rFonts w:ascii="Times New Roman" w:hAnsi="Times New Roman" w:cs="Times New Roman"/>
          <w:i w:val="0"/>
          <w:color w:val="auto"/>
          <w:sz w:val="28"/>
          <w:szCs w:val="28"/>
        </w:rPr>
        <w:t>regolatorie</w:t>
      </w:r>
      <w:proofErr w:type="spellEnd"/>
      <w:r w:rsidR="00FE5CE5" w:rsidRPr="002C4F71">
        <w:rPr>
          <w:rStyle w:val="Enfasicorsivo"/>
          <w:rFonts w:ascii="Times New Roman" w:hAnsi="Times New Roman" w:cs="Times New Roman"/>
          <w:i w:val="0"/>
          <w:color w:val="auto"/>
          <w:sz w:val="28"/>
          <w:szCs w:val="28"/>
        </w:rPr>
        <w:t xml:space="preserve"> - e dunque, normative - e funzioni di vigilanza e sanzionatorie (queste ultime però, </w:t>
      </w:r>
      <w:r w:rsidR="00414592">
        <w:rPr>
          <w:rStyle w:val="Enfasicorsivo"/>
          <w:rFonts w:ascii="Times New Roman" w:hAnsi="Times New Roman" w:cs="Times New Roman"/>
          <w:i w:val="0"/>
          <w:color w:val="auto"/>
          <w:sz w:val="28"/>
          <w:szCs w:val="28"/>
        </w:rPr>
        <w:t>esplicate</w:t>
      </w:r>
      <w:r w:rsidR="00FE5CE5" w:rsidRPr="002C4F71">
        <w:rPr>
          <w:rStyle w:val="Enfasicorsivo"/>
          <w:rFonts w:ascii="Times New Roman" w:hAnsi="Times New Roman" w:cs="Times New Roman"/>
          <w:i w:val="0"/>
          <w:color w:val="auto"/>
          <w:sz w:val="28"/>
          <w:szCs w:val="28"/>
        </w:rPr>
        <w:t xml:space="preserve"> sempre nel rispetto della necessaria distinzione tra attività preliminare istruttoria e attività finale decisoria, ai sensi dell’art. 6 della Convenzione europea dei diritti dell’uomo).</w:t>
      </w:r>
    </w:p>
    <w:p w:rsidR="001C5592" w:rsidRPr="002C4F71" w:rsidRDefault="00772C8B" w:rsidP="002C4F71">
      <w:pPr>
        <w:pStyle w:val="Default"/>
        <w:spacing w:line="360" w:lineRule="auto"/>
        <w:jc w:val="both"/>
        <w:rPr>
          <w:rFonts w:ascii="Times New Roman" w:hAnsi="Times New Roman" w:cs="Times New Roman"/>
          <w:color w:val="auto"/>
          <w:sz w:val="28"/>
          <w:szCs w:val="28"/>
          <w:shd w:val="clear" w:color="auto" w:fill="FFFFFF"/>
        </w:rPr>
      </w:pPr>
      <w:r w:rsidRPr="002C4F71">
        <w:rPr>
          <w:rFonts w:ascii="Times New Roman" w:hAnsi="Times New Roman" w:cs="Times New Roman"/>
          <w:color w:val="auto"/>
          <w:sz w:val="28"/>
          <w:szCs w:val="28"/>
          <w:shd w:val="clear" w:color="auto" w:fill="FFFFFF"/>
        </w:rPr>
        <w:t xml:space="preserve">Come </w:t>
      </w:r>
      <w:r w:rsidR="00DF5DA6" w:rsidRPr="002C4F71">
        <w:rPr>
          <w:rFonts w:ascii="Times New Roman" w:hAnsi="Times New Roman" w:cs="Times New Roman"/>
          <w:color w:val="auto"/>
          <w:sz w:val="28"/>
          <w:szCs w:val="28"/>
          <w:shd w:val="clear" w:color="auto" w:fill="FFFFFF"/>
        </w:rPr>
        <w:t xml:space="preserve">appena </w:t>
      </w:r>
      <w:r w:rsidRPr="002C4F71">
        <w:rPr>
          <w:rFonts w:ascii="Times New Roman" w:hAnsi="Times New Roman" w:cs="Times New Roman"/>
          <w:color w:val="auto"/>
          <w:sz w:val="28"/>
          <w:szCs w:val="28"/>
          <w:shd w:val="clear" w:color="auto" w:fill="FFFFFF"/>
        </w:rPr>
        <w:t>osservato, l’</w:t>
      </w:r>
      <w:r w:rsidR="005956A8" w:rsidRPr="002C4F71">
        <w:rPr>
          <w:rFonts w:ascii="Times New Roman" w:hAnsi="Times New Roman" w:cs="Times New Roman"/>
          <w:color w:val="auto"/>
          <w:sz w:val="28"/>
          <w:szCs w:val="28"/>
          <w:shd w:val="clear" w:color="auto" w:fill="FFFFFF"/>
        </w:rPr>
        <w:t>attività delle autorità indipendenti</w:t>
      </w:r>
      <w:r w:rsidRPr="002C4F71">
        <w:rPr>
          <w:rFonts w:ascii="Times New Roman" w:hAnsi="Times New Roman" w:cs="Times New Roman"/>
          <w:color w:val="auto"/>
          <w:sz w:val="28"/>
          <w:szCs w:val="28"/>
          <w:shd w:val="clear" w:color="auto" w:fill="FFFFFF"/>
        </w:rPr>
        <w:t xml:space="preserve"> si connatura per rivestire diverse funzioni</w:t>
      </w:r>
      <w:r w:rsidR="005956A8" w:rsidRPr="002C4F71">
        <w:rPr>
          <w:rFonts w:ascii="Times New Roman" w:hAnsi="Times New Roman" w:cs="Times New Roman"/>
          <w:color w:val="auto"/>
          <w:sz w:val="28"/>
          <w:szCs w:val="28"/>
          <w:shd w:val="clear" w:color="auto" w:fill="FFFFFF"/>
        </w:rPr>
        <w:t xml:space="preserve">: </w:t>
      </w:r>
      <w:r w:rsidRPr="002C4F71">
        <w:rPr>
          <w:rFonts w:ascii="Times New Roman" w:hAnsi="Times New Roman" w:cs="Times New Roman"/>
          <w:color w:val="auto"/>
          <w:sz w:val="28"/>
          <w:szCs w:val="28"/>
          <w:shd w:val="clear" w:color="auto" w:fill="FFFFFF"/>
        </w:rPr>
        <w:t xml:space="preserve">oltre agli atti di amministrazione pura e a quelli di vigilanza e </w:t>
      </w:r>
      <w:r w:rsidRPr="002C4F71">
        <w:rPr>
          <w:rFonts w:ascii="Times New Roman" w:hAnsi="Times New Roman" w:cs="Times New Roman"/>
          <w:color w:val="auto"/>
          <w:sz w:val="28"/>
          <w:szCs w:val="28"/>
          <w:shd w:val="clear" w:color="auto" w:fill="FFFFFF"/>
        </w:rPr>
        <w:lastRenderedPageBreak/>
        <w:t>sanzionatori, le stesse emettono, invero,</w:t>
      </w:r>
      <w:r w:rsidR="005956A8" w:rsidRPr="002C4F71">
        <w:rPr>
          <w:rFonts w:ascii="Times New Roman" w:hAnsi="Times New Roman" w:cs="Times New Roman"/>
          <w:color w:val="auto"/>
          <w:sz w:val="28"/>
          <w:szCs w:val="28"/>
          <w:shd w:val="clear" w:color="auto" w:fill="FFFFFF"/>
        </w:rPr>
        <w:t xml:space="preserve"> atti di regolazione</w:t>
      </w:r>
      <w:r w:rsidRPr="002C4F71">
        <w:rPr>
          <w:rFonts w:ascii="Times New Roman" w:hAnsi="Times New Roman" w:cs="Times New Roman"/>
          <w:color w:val="auto"/>
          <w:sz w:val="28"/>
          <w:szCs w:val="28"/>
          <w:shd w:val="clear" w:color="auto" w:fill="FFFFFF"/>
        </w:rPr>
        <w:t xml:space="preserve">, che costituirebbero, </w:t>
      </w:r>
      <w:r w:rsidR="001C73E3" w:rsidRPr="002C4F71">
        <w:rPr>
          <w:rFonts w:ascii="Times New Roman" w:hAnsi="Times New Roman" w:cs="Times New Roman"/>
          <w:color w:val="auto"/>
          <w:sz w:val="28"/>
          <w:szCs w:val="28"/>
          <w:shd w:val="clear" w:color="auto" w:fill="FFFFFF"/>
        </w:rPr>
        <w:t xml:space="preserve">per la dottrina più innovativa, </w:t>
      </w:r>
      <w:r w:rsidRPr="002C4F71">
        <w:rPr>
          <w:rFonts w:ascii="Times New Roman" w:hAnsi="Times New Roman" w:cs="Times New Roman"/>
          <w:color w:val="auto"/>
          <w:sz w:val="28"/>
          <w:szCs w:val="28"/>
          <w:shd w:val="clear" w:color="auto" w:fill="FFFFFF"/>
        </w:rPr>
        <w:t xml:space="preserve">una </w:t>
      </w:r>
      <w:r w:rsidR="005956A8" w:rsidRPr="002C4F71">
        <w:rPr>
          <w:rFonts w:ascii="Times New Roman" w:hAnsi="Times New Roman" w:cs="Times New Roman"/>
          <w:color w:val="auto"/>
          <w:sz w:val="28"/>
          <w:szCs w:val="28"/>
          <w:shd w:val="clear" w:color="auto" w:fill="FFFFFF"/>
        </w:rPr>
        <w:t>fonte del diritto</w:t>
      </w:r>
      <w:r w:rsidRPr="002C4F71">
        <w:rPr>
          <w:rFonts w:ascii="Times New Roman" w:hAnsi="Times New Roman" w:cs="Times New Roman"/>
          <w:color w:val="auto"/>
          <w:sz w:val="28"/>
          <w:szCs w:val="28"/>
          <w:shd w:val="clear" w:color="auto" w:fill="FFFFFF"/>
        </w:rPr>
        <w:t xml:space="preserve"> da equiparare agli </w:t>
      </w:r>
      <w:r w:rsidR="001C73E3" w:rsidRPr="002C4F71">
        <w:rPr>
          <w:rFonts w:ascii="Times New Roman" w:hAnsi="Times New Roman" w:cs="Times New Roman"/>
          <w:color w:val="auto"/>
          <w:sz w:val="28"/>
          <w:szCs w:val="28"/>
          <w:shd w:val="clear" w:color="auto" w:fill="FFFFFF"/>
        </w:rPr>
        <w:t xml:space="preserve">atti di normazione </w:t>
      </w:r>
      <w:r w:rsidR="005956A8" w:rsidRPr="002C4F71">
        <w:rPr>
          <w:rFonts w:ascii="Times New Roman" w:hAnsi="Times New Roman" w:cs="Times New Roman"/>
          <w:color w:val="auto"/>
          <w:sz w:val="28"/>
          <w:szCs w:val="28"/>
          <w:shd w:val="clear" w:color="auto" w:fill="FFFFFF"/>
        </w:rPr>
        <w:t>secondaria</w:t>
      </w:r>
      <w:r w:rsidR="00E424FA" w:rsidRPr="002C4F71">
        <w:rPr>
          <w:rStyle w:val="Rimandonotaapidipagina"/>
          <w:rFonts w:ascii="Times New Roman" w:hAnsi="Times New Roman" w:cs="Times New Roman"/>
          <w:color w:val="auto"/>
          <w:sz w:val="28"/>
          <w:szCs w:val="28"/>
          <w:shd w:val="clear" w:color="auto" w:fill="FFFFFF"/>
        </w:rPr>
        <w:footnoteReference w:id="1"/>
      </w:r>
      <w:r w:rsidR="005956A8" w:rsidRPr="002C4F71">
        <w:rPr>
          <w:rFonts w:ascii="Times New Roman" w:hAnsi="Times New Roman" w:cs="Times New Roman"/>
          <w:color w:val="auto"/>
          <w:sz w:val="28"/>
          <w:szCs w:val="28"/>
          <w:shd w:val="clear" w:color="auto" w:fill="FFFFFF"/>
        </w:rPr>
        <w:t>: le autorità non possono</w:t>
      </w:r>
      <w:r w:rsidRPr="002C4F71">
        <w:rPr>
          <w:rFonts w:ascii="Times New Roman" w:hAnsi="Times New Roman" w:cs="Times New Roman"/>
          <w:color w:val="auto"/>
          <w:sz w:val="28"/>
          <w:szCs w:val="28"/>
          <w:shd w:val="clear" w:color="auto" w:fill="FFFFFF"/>
        </w:rPr>
        <w:t>, quindi,</w:t>
      </w:r>
      <w:r w:rsidR="005956A8" w:rsidRPr="002C4F71">
        <w:rPr>
          <w:rFonts w:ascii="Times New Roman" w:hAnsi="Times New Roman" w:cs="Times New Roman"/>
          <w:color w:val="auto"/>
          <w:sz w:val="28"/>
          <w:szCs w:val="28"/>
          <w:shd w:val="clear" w:color="auto" w:fill="FFFFFF"/>
        </w:rPr>
        <w:t xml:space="preserve"> effettuare anche la </w:t>
      </w:r>
      <w:r w:rsidRPr="002C4F71">
        <w:rPr>
          <w:rFonts w:ascii="Times New Roman" w:hAnsi="Times New Roman" w:cs="Times New Roman"/>
          <w:color w:val="auto"/>
          <w:sz w:val="28"/>
          <w:szCs w:val="28"/>
          <w:shd w:val="clear" w:color="auto" w:fill="FFFFFF"/>
        </w:rPr>
        <w:t xml:space="preserve">pura </w:t>
      </w:r>
      <w:r w:rsidR="005956A8" w:rsidRPr="002C4F71">
        <w:rPr>
          <w:rFonts w:ascii="Times New Roman" w:hAnsi="Times New Roman" w:cs="Times New Roman"/>
          <w:color w:val="auto"/>
          <w:sz w:val="28"/>
          <w:szCs w:val="28"/>
          <w:shd w:val="clear" w:color="auto" w:fill="FFFFFF"/>
        </w:rPr>
        <w:t>funzione giurisdizionale</w:t>
      </w:r>
      <w:r w:rsidRPr="002C4F71">
        <w:rPr>
          <w:rFonts w:ascii="Times New Roman" w:hAnsi="Times New Roman" w:cs="Times New Roman"/>
          <w:color w:val="auto"/>
          <w:sz w:val="28"/>
          <w:szCs w:val="28"/>
          <w:shd w:val="clear" w:color="auto" w:fill="FFFFFF"/>
        </w:rPr>
        <w:t xml:space="preserve"> di sindacato sugli atti dalle stesse emessi</w:t>
      </w:r>
      <w:r w:rsidR="005956A8" w:rsidRPr="002C4F71">
        <w:rPr>
          <w:rFonts w:ascii="Times New Roman" w:hAnsi="Times New Roman" w:cs="Times New Roman"/>
          <w:color w:val="auto"/>
          <w:sz w:val="28"/>
          <w:szCs w:val="28"/>
          <w:shd w:val="clear" w:color="auto" w:fill="FFFFFF"/>
        </w:rPr>
        <w:t>, ma solo quella latamente giustiziale</w:t>
      </w:r>
      <w:r w:rsidR="001C5592" w:rsidRPr="002C4F71">
        <w:rPr>
          <w:rFonts w:ascii="Times New Roman" w:hAnsi="Times New Roman" w:cs="Times New Roman"/>
          <w:color w:val="auto"/>
          <w:sz w:val="28"/>
          <w:szCs w:val="28"/>
          <w:shd w:val="clear" w:color="auto" w:fill="FFFFFF"/>
        </w:rPr>
        <w:t xml:space="preserve">, perché chi </w:t>
      </w:r>
      <w:r w:rsidRPr="002C4F71">
        <w:rPr>
          <w:rFonts w:ascii="Times New Roman" w:hAnsi="Times New Roman" w:cs="Times New Roman"/>
          <w:color w:val="auto"/>
          <w:sz w:val="28"/>
          <w:szCs w:val="28"/>
          <w:shd w:val="clear" w:color="auto" w:fill="FFFFFF"/>
        </w:rPr>
        <w:t>crea</w:t>
      </w:r>
      <w:r w:rsidR="001C5592" w:rsidRPr="002C4F71">
        <w:rPr>
          <w:rFonts w:ascii="Times New Roman" w:hAnsi="Times New Roman" w:cs="Times New Roman"/>
          <w:color w:val="auto"/>
          <w:sz w:val="28"/>
          <w:szCs w:val="28"/>
          <w:shd w:val="clear" w:color="auto" w:fill="FFFFFF"/>
        </w:rPr>
        <w:t xml:space="preserve"> le norme non può poi accertarne la corretta applicazione nel caso concreto.</w:t>
      </w:r>
    </w:p>
    <w:p w:rsidR="00082AE3" w:rsidRPr="002C4F71" w:rsidRDefault="001C73E3" w:rsidP="002C4F71">
      <w:pPr>
        <w:pStyle w:val="Default"/>
        <w:spacing w:line="360" w:lineRule="auto"/>
        <w:jc w:val="both"/>
        <w:rPr>
          <w:rFonts w:ascii="Times New Roman" w:hAnsi="Times New Roman" w:cs="Times New Roman"/>
          <w:color w:val="auto"/>
          <w:sz w:val="28"/>
          <w:szCs w:val="28"/>
        </w:rPr>
      </w:pPr>
      <w:r w:rsidRPr="002C4F71">
        <w:rPr>
          <w:rFonts w:ascii="Times New Roman" w:hAnsi="Times New Roman" w:cs="Times New Roman"/>
          <w:color w:val="auto"/>
          <w:sz w:val="28"/>
          <w:szCs w:val="28"/>
        </w:rPr>
        <w:t>Secondo un’opinione più recente, in particolare,</w:t>
      </w:r>
      <w:r w:rsidR="00082AE3" w:rsidRPr="002C4F71">
        <w:rPr>
          <w:rFonts w:ascii="Times New Roman" w:hAnsi="Times New Roman" w:cs="Times New Roman"/>
          <w:color w:val="auto"/>
          <w:sz w:val="28"/>
          <w:szCs w:val="28"/>
        </w:rPr>
        <w:t xml:space="preserve"> il principio di separazione dei poteri </w:t>
      </w:r>
      <w:r w:rsidRPr="002C4F71">
        <w:rPr>
          <w:rFonts w:ascii="Times New Roman" w:hAnsi="Times New Roman" w:cs="Times New Roman"/>
          <w:color w:val="auto"/>
          <w:sz w:val="28"/>
          <w:szCs w:val="28"/>
        </w:rPr>
        <w:t xml:space="preserve">avrebbe </w:t>
      </w:r>
      <w:r w:rsidR="00082AE3" w:rsidRPr="002C4F71">
        <w:rPr>
          <w:rFonts w:ascii="Times New Roman" w:hAnsi="Times New Roman" w:cs="Times New Roman"/>
          <w:color w:val="auto"/>
          <w:sz w:val="28"/>
          <w:szCs w:val="28"/>
        </w:rPr>
        <w:t xml:space="preserve">perso capacità ordinante e l’applicazione rigida di esso </w:t>
      </w:r>
      <w:r w:rsidRPr="002C4F71">
        <w:rPr>
          <w:rFonts w:ascii="Times New Roman" w:hAnsi="Times New Roman" w:cs="Times New Roman"/>
          <w:color w:val="auto"/>
          <w:sz w:val="28"/>
          <w:szCs w:val="28"/>
        </w:rPr>
        <w:t>sarebbe</w:t>
      </w:r>
      <w:r w:rsidR="00082AE3" w:rsidRPr="002C4F71">
        <w:rPr>
          <w:rFonts w:ascii="Times New Roman" w:hAnsi="Times New Roman" w:cs="Times New Roman"/>
          <w:color w:val="auto"/>
          <w:sz w:val="28"/>
          <w:szCs w:val="28"/>
        </w:rPr>
        <w:t xml:space="preserve"> stata abbandonata in </w:t>
      </w:r>
      <w:r w:rsidR="00771FB7">
        <w:rPr>
          <w:rFonts w:ascii="Times New Roman" w:hAnsi="Times New Roman" w:cs="Times New Roman"/>
          <w:color w:val="auto"/>
          <w:sz w:val="28"/>
          <w:szCs w:val="28"/>
        </w:rPr>
        <w:t xml:space="preserve">molti </w:t>
      </w:r>
      <w:r w:rsidR="00082AE3" w:rsidRPr="002C4F71">
        <w:rPr>
          <w:rFonts w:ascii="Times New Roman" w:hAnsi="Times New Roman" w:cs="Times New Roman"/>
          <w:color w:val="auto"/>
          <w:sz w:val="28"/>
          <w:szCs w:val="28"/>
        </w:rPr>
        <w:t xml:space="preserve">ordinamenti, </w:t>
      </w:r>
      <w:r w:rsidRPr="002C4F71">
        <w:rPr>
          <w:rFonts w:ascii="Times New Roman" w:hAnsi="Times New Roman" w:cs="Times New Roman"/>
          <w:color w:val="auto"/>
          <w:sz w:val="28"/>
          <w:szCs w:val="28"/>
        </w:rPr>
        <w:t xml:space="preserve">affermandosi </w:t>
      </w:r>
      <w:r w:rsidR="00082AE3" w:rsidRPr="002C4F71">
        <w:rPr>
          <w:rFonts w:ascii="Times New Roman" w:hAnsi="Times New Roman" w:cs="Times New Roman"/>
          <w:color w:val="auto"/>
          <w:sz w:val="28"/>
          <w:szCs w:val="28"/>
        </w:rPr>
        <w:t xml:space="preserve">la convinzione che la </w:t>
      </w:r>
      <w:r w:rsidR="00771FB7">
        <w:rPr>
          <w:rFonts w:ascii="Times New Roman" w:hAnsi="Times New Roman" w:cs="Times New Roman"/>
          <w:color w:val="auto"/>
          <w:sz w:val="28"/>
          <w:szCs w:val="28"/>
        </w:rPr>
        <w:t xml:space="preserve">legalità sostanziale </w:t>
      </w:r>
      <w:r w:rsidR="00082AE3" w:rsidRPr="002C4F71">
        <w:rPr>
          <w:rFonts w:ascii="Times New Roman" w:hAnsi="Times New Roman" w:cs="Times New Roman"/>
          <w:color w:val="auto"/>
          <w:sz w:val="28"/>
          <w:szCs w:val="28"/>
        </w:rPr>
        <w:t xml:space="preserve">è </w:t>
      </w:r>
      <w:r w:rsidR="00771FB7">
        <w:rPr>
          <w:rFonts w:ascii="Times New Roman" w:hAnsi="Times New Roman" w:cs="Times New Roman"/>
          <w:color w:val="auto"/>
          <w:sz w:val="28"/>
          <w:szCs w:val="28"/>
        </w:rPr>
        <w:t xml:space="preserve">comunque </w:t>
      </w:r>
      <w:r w:rsidR="00082AE3" w:rsidRPr="002C4F71">
        <w:rPr>
          <w:rFonts w:ascii="Times New Roman" w:hAnsi="Times New Roman" w:cs="Times New Roman"/>
          <w:color w:val="auto"/>
          <w:sz w:val="28"/>
          <w:szCs w:val="28"/>
        </w:rPr>
        <w:t>fatta salva qualora l’azione amministrativa sia ampiamente determinata da regole poste previamente ed il giudice possa esercitare su di essa un sindacato penetrante.</w:t>
      </w:r>
    </w:p>
    <w:p w:rsidR="00732890" w:rsidRPr="002C4F71" w:rsidRDefault="00414592" w:rsidP="002C4F71">
      <w:pPr>
        <w:pStyle w:val="Default"/>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I</w:t>
      </w:r>
      <w:r w:rsidRPr="002C4F71">
        <w:rPr>
          <w:rFonts w:ascii="Times New Roman" w:hAnsi="Times New Roman" w:cs="Times New Roman"/>
          <w:color w:val="auto"/>
          <w:sz w:val="28"/>
          <w:szCs w:val="28"/>
        </w:rPr>
        <w:t xml:space="preserve">l giudice amministrativo ha affermato </w:t>
      </w:r>
      <w:r w:rsidR="001C73E3" w:rsidRPr="002C4F71">
        <w:rPr>
          <w:rFonts w:ascii="Times New Roman" w:hAnsi="Times New Roman" w:cs="Times New Roman"/>
          <w:color w:val="auto"/>
          <w:sz w:val="28"/>
          <w:szCs w:val="28"/>
        </w:rPr>
        <w:t>ad esempio,</w:t>
      </w:r>
      <w:r w:rsidR="00082AE3" w:rsidRPr="002C4F71">
        <w:rPr>
          <w:rFonts w:ascii="Times New Roman" w:hAnsi="Times New Roman" w:cs="Times New Roman"/>
          <w:color w:val="auto"/>
          <w:sz w:val="28"/>
          <w:szCs w:val="28"/>
        </w:rPr>
        <w:t xml:space="preserve"> </w:t>
      </w:r>
      <w:r>
        <w:rPr>
          <w:rFonts w:ascii="Times New Roman" w:hAnsi="Times New Roman" w:cs="Times New Roman"/>
          <w:color w:val="auto"/>
          <w:sz w:val="28"/>
          <w:szCs w:val="28"/>
        </w:rPr>
        <w:t>i</w:t>
      </w:r>
      <w:r w:rsidRPr="002C4F71">
        <w:rPr>
          <w:rFonts w:ascii="Times New Roman" w:hAnsi="Times New Roman" w:cs="Times New Roman"/>
          <w:color w:val="auto"/>
          <w:sz w:val="28"/>
          <w:szCs w:val="28"/>
        </w:rPr>
        <w:t>n questa direzione</w:t>
      </w:r>
      <w:r>
        <w:rPr>
          <w:rFonts w:ascii="Times New Roman" w:hAnsi="Times New Roman" w:cs="Times New Roman"/>
          <w:color w:val="auto"/>
          <w:sz w:val="28"/>
          <w:szCs w:val="28"/>
        </w:rPr>
        <w:t xml:space="preserve">, </w:t>
      </w:r>
      <w:r w:rsidR="00082AE3" w:rsidRPr="002C4F71">
        <w:rPr>
          <w:rFonts w:ascii="Times New Roman" w:hAnsi="Times New Roman" w:cs="Times New Roman"/>
          <w:color w:val="auto"/>
          <w:sz w:val="28"/>
          <w:szCs w:val="28"/>
        </w:rPr>
        <w:t xml:space="preserve">la necessità del giusto procedimento e della motivazione degli atti delle autorità </w:t>
      </w:r>
      <w:r w:rsidR="001C73E3" w:rsidRPr="002C4F71">
        <w:rPr>
          <w:rFonts w:ascii="Times New Roman" w:hAnsi="Times New Roman" w:cs="Times New Roman"/>
          <w:color w:val="auto"/>
          <w:sz w:val="28"/>
          <w:szCs w:val="28"/>
        </w:rPr>
        <w:t xml:space="preserve">indipendenti </w:t>
      </w:r>
      <w:r w:rsidR="00082AE3" w:rsidRPr="002C4F71">
        <w:rPr>
          <w:rFonts w:ascii="Times New Roman" w:hAnsi="Times New Roman" w:cs="Times New Roman"/>
          <w:color w:val="auto"/>
          <w:sz w:val="28"/>
          <w:szCs w:val="28"/>
        </w:rPr>
        <w:t xml:space="preserve">e si è orientato ad assicurare l’effettività della tutela giurisdizionale nei confronti delle autorità escludendo ambiti di attività </w:t>
      </w:r>
      <w:r w:rsidR="001C73E3" w:rsidRPr="002C4F71">
        <w:rPr>
          <w:rFonts w:ascii="Times New Roman" w:hAnsi="Times New Roman" w:cs="Times New Roman"/>
          <w:color w:val="auto"/>
          <w:sz w:val="28"/>
          <w:szCs w:val="28"/>
        </w:rPr>
        <w:t xml:space="preserve">non sindacabili alle stesse </w:t>
      </w:r>
      <w:r w:rsidR="00082AE3" w:rsidRPr="002C4F71">
        <w:rPr>
          <w:rFonts w:ascii="Times New Roman" w:hAnsi="Times New Roman" w:cs="Times New Roman"/>
          <w:color w:val="auto"/>
          <w:sz w:val="28"/>
          <w:szCs w:val="28"/>
        </w:rPr>
        <w:t>riservati (</w:t>
      </w:r>
      <w:proofErr w:type="spellStart"/>
      <w:r w:rsidR="00082AE3" w:rsidRPr="002C4F71">
        <w:rPr>
          <w:rFonts w:ascii="Times New Roman" w:hAnsi="Times New Roman" w:cs="Times New Roman"/>
          <w:color w:val="auto"/>
          <w:sz w:val="28"/>
          <w:szCs w:val="28"/>
        </w:rPr>
        <w:t>Cons</w:t>
      </w:r>
      <w:proofErr w:type="spellEnd"/>
      <w:r w:rsidR="00082AE3" w:rsidRPr="002C4F71">
        <w:rPr>
          <w:rFonts w:ascii="Times New Roman" w:hAnsi="Times New Roman" w:cs="Times New Roman"/>
          <w:color w:val="auto"/>
          <w:sz w:val="28"/>
          <w:szCs w:val="28"/>
        </w:rPr>
        <w:t>. St</w:t>
      </w:r>
      <w:r w:rsidR="001C73E3" w:rsidRPr="002C4F71">
        <w:rPr>
          <w:rFonts w:ascii="Times New Roman" w:hAnsi="Times New Roman" w:cs="Times New Roman"/>
          <w:color w:val="auto"/>
          <w:sz w:val="28"/>
          <w:szCs w:val="28"/>
        </w:rPr>
        <w:t>ato</w:t>
      </w:r>
      <w:r w:rsidR="00082AE3" w:rsidRPr="002C4F71">
        <w:rPr>
          <w:rFonts w:ascii="Times New Roman" w:hAnsi="Times New Roman" w:cs="Times New Roman"/>
          <w:color w:val="auto"/>
          <w:sz w:val="28"/>
          <w:szCs w:val="28"/>
        </w:rPr>
        <w:t>, sez. VI, 3</w:t>
      </w:r>
      <w:r w:rsidR="001C73E3" w:rsidRPr="002C4F71">
        <w:rPr>
          <w:rFonts w:ascii="Times New Roman" w:hAnsi="Times New Roman" w:cs="Times New Roman"/>
          <w:color w:val="auto"/>
          <w:sz w:val="28"/>
          <w:szCs w:val="28"/>
        </w:rPr>
        <w:t xml:space="preserve"> giugno </w:t>
      </w:r>
      <w:r w:rsidR="00082AE3" w:rsidRPr="002C4F71">
        <w:rPr>
          <w:rFonts w:ascii="Times New Roman" w:hAnsi="Times New Roman" w:cs="Times New Roman"/>
          <w:color w:val="auto"/>
          <w:sz w:val="28"/>
          <w:szCs w:val="28"/>
        </w:rPr>
        <w:t xml:space="preserve">2004, n. 926; </w:t>
      </w:r>
      <w:proofErr w:type="spellStart"/>
      <w:proofErr w:type="gramStart"/>
      <w:r w:rsidR="00082AE3" w:rsidRPr="002C4F71">
        <w:rPr>
          <w:rFonts w:ascii="Times New Roman" w:hAnsi="Times New Roman" w:cs="Times New Roman"/>
          <w:color w:val="auto"/>
          <w:sz w:val="28"/>
          <w:szCs w:val="28"/>
        </w:rPr>
        <w:t>Cass</w:t>
      </w:r>
      <w:proofErr w:type="spellEnd"/>
      <w:r w:rsidR="00082AE3" w:rsidRPr="002C4F71">
        <w:rPr>
          <w:rFonts w:ascii="Times New Roman" w:hAnsi="Times New Roman" w:cs="Times New Roman"/>
          <w:color w:val="auto"/>
          <w:sz w:val="28"/>
          <w:szCs w:val="28"/>
        </w:rPr>
        <w:t>.,</w:t>
      </w:r>
      <w:proofErr w:type="gramEnd"/>
      <w:r w:rsidR="00082AE3" w:rsidRPr="002C4F71">
        <w:rPr>
          <w:rFonts w:ascii="Times New Roman" w:hAnsi="Times New Roman" w:cs="Times New Roman"/>
          <w:color w:val="auto"/>
          <w:sz w:val="28"/>
          <w:szCs w:val="28"/>
        </w:rPr>
        <w:t xml:space="preserve"> S.U., 20</w:t>
      </w:r>
      <w:r w:rsidR="001C73E3" w:rsidRPr="002C4F71">
        <w:rPr>
          <w:rFonts w:ascii="Times New Roman" w:hAnsi="Times New Roman" w:cs="Times New Roman"/>
          <w:color w:val="auto"/>
          <w:sz w:val="28"/>
          <w:szCs w:val="28"/>
        </w:rPr>
        <w:t xml:space="preserve"> gennaio </w:t>
      </w:r>
      <w:r w:rsidR="00082AE3" w:rsidRPr="002C4F71">
        <w:rPr>
          <w:rFonts w:ascii="Times New Roman" w:hAnsi="Times New Roman" w:cs="Times New Roman"/>
          <w:color w:val="auto"/>
          <w:sz w:val="28"/>
          <w:szCs w:val="28"/>
        </w:rPr>
        <w:t>2014, n. 1013). Nella giurisprudenza del Consiglio di Stato diretta ad affermare il giusto procedimento ha, inoltre, assunto ruolo centrale l</w:t>
      </w:r>
      <w:r>
        <w:rPr>
          <w:rFonts w:ascii="Times New Roman" w:hAnsi="Times New Roman" w:cs="Times New Roman"/>
          <w:color w:val="auto"/>
          <w:sz w:val="28"/>
          <w:szCs w:val="28"/>
        </w:rPr>
        <w:t xml:space="preserve">a </w:t>
      </w:r>
      <w:r w:rsidR="00082AE3" w:rsidRPr="002C4F71">
        <w:rPr>
          <w:rFonts w:ascii="Times New Roman" w:hAnsi="Times New Roman" w:cs="Times New Roman"/>
          <w:color w:val="auto"/>
          <w:sz w:val="28"/>
          <w:szCs w:val="28"/>
        </w:rPr>
        <w:t xml:space="preserve">convinzione del valore </w:t>
      </w:r>
      <w:r>
        <w:rPr>
          <w:rFonts w:ascii="Times New Roman" w:hAnsi="Times New Roman" w:cs="Times New Roman"/>
          <w:color w:val="auto"/>
          <w:sz w:val="28"/>
          <w:szCs w:val="28"/>
        </w:rPr>
        <w:t xml:space="preserve">di legittimazione democratica </w:t>
      </w:r>
      <w:r w:rsidR="00082AE3" w:rsidRPr="002C4F71">
        <w:rPr>
          <w:rFonts w:ascii="Times New Roman" w:hAnsi="Times New Roman" w:cs="Times New Roman"/>
          <w:color w:val="auto"/>
          <w:sz w:val="28"/>
          <w:szCs w:val="28"/>
        </w:rPr>
        <w:t>delle regole del contraddittorio e della partecipazione dei privati all’esercizio dei poteri regolatori (</w:t>
      </w:r>
      <w:r w:rsidR="001C73E3" w:rsidRPr="002C4F71">
        <w:rPr>
          <w:rFonts w:ascii="Times New Roman" w:hAnsi="Times New Roman" w:cs="Times New Roman"/>
          <w:color w:val="auto"/>
          <w:sz w:val="28"/>
          <w:szCs w:val="28"/>
        </w:rPr>
        <w:t xml:space="preserve">cfr., per tutte, </w:t>
      </w:r>
      <w:proofErr w:type="spellStart"/>
      <w:r w:rsidR="00082AE3" w:rsidRPr="002C4F71">
        <w:rPr>
          <w:rFonts w:ascii="Times New Roman" w:hAnsi="Times New Roman" w:cs="Times New Roman"/>
          <w:color w:val="auto"/>
          <w:sz w:val="28"/>
          <w:szCs w:val="28"/>
        </w:rPr>
        <w:t>Cons</w:t>
      </w:r>
      <w:proofErr w:type="spellEnd"/>
      <w:r w:rsidR="00082AE3" w:rsidRPr="002C4F71">
        <w:rPr>
          <w:rFonts w:ascii="Times New Roman" w:hAnsi="Times New Roman" w:cs="Times New Roman"/>
          <w:color w:val="auto"/>
          <w:sz w:val="28"/>
          <w:szCs w:val="28"/>
        </w:rPr>
        <w:t>. St</w:t>
      </w:r>
      <w:r w:rsidR="001C73E3" w:rsidRPr="002C4F71">
        <w:rPr>
          <w:rFonts w:ascii="Times New Roman" w:hAnsi="Times New Roman" w:cs="Times New Roman"/>
          <w:color w:val="auto"/>
          <w:sz w:val="28"/>
          <w:szCs w:val="28"/>
        </w:rPr>
        <w:t>ato,</w:t>
      </w:r>
      <w:r w:rsidR="00082AE3" w:rsidRPr="002C4F71">
        <w:rPr>
          <w:rFonts w:ascii="Times New Roman" w:hAnsi="Times New Roman" w:cs="Times New Roman"/>
          <w:color w:val="auto"/>
          <w:sz w:val="28"/>
          <w:szCs w:val="28"/>
        </w:rPr>
        <w:t xml:space="preserve"> sez. VI, 27</w:t>
      </w:r>
      <w:r w:rsidR="001C73E3" w:rsidRPr="002C4F71">
        <w:rPr>
          <w:rFonts w:ascii="Times New Roman" w:hAnsi="Times New Roman" w:cs="Times New Roman"/>
          <w:color w:val="auto"/>
          <w:sz w:val="28"/>
          <w:szCs w:val="28"/>
        </w:rPr>
        <w:t xml:space="preserve"> dicembre </w:t>
      </w:r>
      <w:r w:rsidR="00082AE3" w:rsidRPr="002C4F71">
        <w:rPr>
          <w:rFonts w:ascii="Times New Roman" w:hAnsi="Times New Roman" w:cs="Times New Roman"/>
          <w:color w:val="auto"/>
          <w:sz w:val="28"/>
          <w:szCs w:val="28"/>
        </w:rPr>
        <w:t xml:space="preserve">2006, n. 7972). </w:t>
      </w:r>
    </w:p>
    <w:p w:rsidR="00732890" w:rsidRPr="002C4F71" w:rsidRDefault="00732890" w:rsidP="002C4F71">
      <w:pPr>
        <w:pStyle w:val="Default"/>
        <w:spacing w:line="360" w:lineRule="auto"/>
        <w:jc w:val="both"/>
        <w:rPr>
          <w:rFonts w:ascii="Times New Roman" w:hAnsi="Times New Roman" w:cs="Times New Roman"/>
          <w:color w:val="auto"/>
          <w:sz w:val="28"/>
          <w:szCs w:val="28"/>
        </w:rPr>
      </w:pPr>
    </w:p>
    <w:p w:rsidR="00732890" w:rsidRPr="002C4F71" w:rsidRDefault="00732890" w:rsidP="002C4F71">
      <w:pPr>
        <w:pStyle w:val="Default"/>
        <w:spacing w:line="360" w:lineRule="auto"/>
        <w:jc w:val="both"/>
        <w:rPr>
          <w:rFonts w:ascii="Times New Roman" w:hAnsi="Times New Roman" w:cs="Times New Roman"/>
          <w:color w:val="auto"/>
          <w:sz w:val="28"/>
          <w:szCs w:val="28"/>
        </w:rPr>
      </w:pPr>
      <w:r w:rsidRPr="002C4F71">
        <w:rPr>
          <w:rFonts w:ascii="Times New Roman" w:hAnsi="Times New Roman" w:cs="Times New Roman"/>
          <w:color w:val="auto"/>
          <w:sz w:val="28"/>
          <w:szCs w:val="28"/>
        </w:rPr>
        <w:t xml:space="preserve">2. </w:t>
      </w:r>
      <w:r w:rsidRPr="002C4F71">
        <w:rPr>
          <w:rFonts w:ascii="Times New Roman" w:hAnsi="Times New Roman" w:cs="Times New Roman"/>
          <w:b/>
          <w:sz w:val="28"/>
          <w:szCs w:val="28"/>
        </w:rPr>
        <w:t>La classificazione dei provvedimenti dell’ARERA.</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L’Autorità di regolazione per energia reti e ambiente (ARERA), come si evince dalla stessa denominazione, esplica la rilevante funzione di regolazione nei settori dell’energia elettrica, del gas, del sistema idrico e ora anche dei rifiuti</w:t>
      </w:r>
      <w:r w:rsidRPr="002C4F71">
        <w:rPr>
          <w:rStyle w:val="Rimandonotaapidipagina"/>
          <w:rFonts w:ascii="Times New Roman" w:hAnsi="Times New Roman" w:cs="Times New Roman"/>
          <w:sz w:val="28"/>
          <w:szCs w:val="28"/>
          <w:shd w:val="clear" w:color="auto" w:fill="FFFFFF"/>
        </w:rPr>
        <w:footnoteReference w:id="2"/>
      </w:r>
      <w:r w:rsidRPr="002C4F71">
        <w:rPr>
          <w:rFonts w:ascii="Times New Roman" w:hAnsi="Times New Roman" w:cs="Times New Roman"/>
          <w:sz w:val="28"/>
          <w:szCs w:val="28"/>
          <w:shd w:val="clear" w:color="auto" w:fill="FFFFFF"/>
        </w:rPr>
        <w:t>.</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Volendo operare una classificazione dei provvedimenti che la stessa ARERA emana nell’ambito della sua attività, devono, innanzitutto, citarsi gli atti di regolazione generale, che hanno come destinatari i soggetti che operano nel settore che costituisce oggetto della regolazione, e che si suddividono, a loro volta, in atti di regolazione tariffaria e atti di regolazione non tariffaria.</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Gli atti di regolazione tariffaria non regolano un mercato libero, ma un servizio pubblico (ad esempio l’intera filiera idrica), al fine di individuare la tariffa applicabile come controprestazione della fornitura del servizio medesimo.</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Costituisce peculiarità di questa tipologia di atti quella di riconoscere nell’ambito della tariffa, oltre ai costi per la fornitura del servizio, anche la qualità della prestazione (la cosiddetta voce “Q” come componente tariffaria), mirando, dunque, l’atto di regolazione ad incentivare un servizio sempre più performante</w:t>
      </w:r>
      <w:r w:rsidRPr="002C4F71">
        <w:rPr>
          <w:rStyle w:val="Rimandonotaapidipagina"/>
          <w:rFonts w:ascii="Times New Roman" w:hAnsi="Times New Roman" w:cs="Times New Roman"/>
          <w:sz w:val="28"/>
          <w:szCs w:val="28"/>
          <w:shd w:val="clear" w:color="auto" w:fill="FFFFFF"/>
        </w:rPr>
        <w:footnoteReference w:id="3"/>
      </w:r>
      <w:r w:rsidRPr="002C4F71">
        <w:rPr>
          <w:rFonts w:ascii="Times New Roman" w:hAnsi="Times New Roman" w:cs="Times New Roman"/>
          <w:sz w:val="28"/>
          <w:szCs w:val="28"/>
          <w:shd w:val="clear" w:color="auto" w:fill="FFFFFF"/>
        </w:rPr>
        <w:t>.</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Nell’ambito della componente dei costi, invece, più di quello dei costi operativi costituisce tipico tema tariffario – senza dubbio più problematico del primo – quello delle modalità di riconoscimento del costo del capitale (ad esempio mediante le stratificazioni, le immobilizzazioni, l’ammortamento, ecc.).</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Nell’ambito del servizio elettrico costituiscono, dunque, oggetto di regolazione la trasmissione, la distribuzione e il dispacciamento dell’energia elettrica attraverso la rete.</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 xml:space="preserve">Nell’ambito del servizio gas, invece, lo stoccaggio, il trasporto, la distribuzione e la </w:t>
      </w:r>
      <w:proofErr w:type="spellStart"/>
      <w:r w:rsidRPr="002C4F71">
        <w:rPr>
          <w:rFonts w:ascii="Times New Roman" w:hAnsi="Times New Roman" w:cs="Times New Roman"/>
          <w:sz w:val="28"/>
          <w:szCs w:val="28"/>
          <w:shd w:val="clear" w:color="auto" w:fill="FFFFFF"/>
        </w:rPr>
        <w:t>rigassificazione</w:t>
      </w:r>
      <w:proofErr w:type="spellEnd"/>
      <w:r w:rsidRPr="002C4F71">
        <w:rPr>
          <w:rFonts w:ascii="Times New Roman" w:hAnsi="Times New Roman" w:cs="Times New Roman"/>
          <w:sz w:val="28"/>
          <w:szCs w:val="28"/>
          <w:shd w:val="clear" w:color="auto" w:fill="FFFFFF"/>
        </w:rPr>
        <w:t xml:space="preserve"> (GNL), oltre al mercato di tutela</w:t>
      </w:r>
      <w:r w:rsidRPr="002C4F71">
        <w:rPr>
          <w:rStyle w:val="Rimandonotaapidipagina"/>
          <w:rFonts w:ascii="Times New Roman" w:hAnsi="Times New Roman" w:cs="Times New Roman"/>
          <w:sz w:val="28"/>
          <w:szCs w:val="28"/>
          <w:shd w:val="clear" w:color="auto" w:fill="FFFFFF"/>
        </w:rPr>
        <w:footnoteReference w:id="4"/>
      </w:r>
      <w:r w:rsidRPr="002C4F71">
        <w:rPr>
          <w:rFonts w:ascii="Times New Roman" w:hAnsi="Times New Roman" w:cs="Times New Roman"/>
          <w:sz w:val="28"/>
          <w:szCs w:val="28"/>
          <w:shd w:val="clear" w:color="auto" w:fill="FFFFFF"/>
        </w:rPr>
        <w:t>.</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Gli atti di regolazione non tariffaria si occupano, invece, della regolazione economica e contrattuale del mercato, tipicamente del mercato elettrico e del gas.</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Nell’ambito del mercato elettrico, deve precisarsi, innanzitutto, che ARERA non si occupa del disegno del mercato libero, che è adottato, invece, dal Ministero dello Sviluppo Economico, dietro parere dell’Autorità. La gestione della c.d. borsa elettrica è affidata al GME (gestore del mercato elettrico), mentre l’autorità detta le regole del mercato “in tempo reale” chiamato MSD, cioè il mercato dei servizi del dispacciamento</w:t>
      </w:r>
      <w:r w:rsidRPr="002C4F71">
        <w:rPr>
          <w:rStyle w:val="Rimandonotaapidipagina"/>
          <w:rFonts w:ascii="Times New Roman" w:hAnsi="Times New Roman" w:cs="Times New Roman"/>
          <w:sz w:val="28"/>
          <w:szCs w:val="28"/>
          <w:shd w:val="clear" w:color="auto" w:fill="FFFFFF"/>
        </w:rPr>
        <w:footnoteReference w:id="5"/>
      </w:r>
      <w:r w:rsidRPr="002C4F71">
        <w:rPr>
          <w:rFonts w:ascii="Times New Roman" w:hAnsi="Times New Roman" w:cs="Times New Roman"/>
          <w:sz w:val="28"/>
          <w:szCs w:val="28"/>
          <w:shd w:val="clear" w:color="auto" w:fill="FFFFFF"/>
        </w:rPr>
        <w:t>.</w:t>
      </w:r>
    </w:p>
    <w:p w:rsidR="00732890" w:rsidRPr="002C4F71" w:rsidRDefault="00732890" w:rsidP="00771FB7">
      <w:pPr>
        <w:autoSpaceDE w:val="0"/>
        <w:autoSpaceDN w:val="0"/>
        <w:adjustRightInd w:val="0"/>
        <w:spacing w:after="0"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 xml:space="preserve">Nel settore del gas, invece, ARERA si occupa della regolazione del mercato del </w:t>
      </w:r>
      <w:r w:rsidR="00771FB7">
        <w:rPr>
          <w:rFonts w:ascii="Times New Roman" w:hAnsi="Times New Roman" w:cs="Times New Roman"/>
          <w:sz w:val="28"/>
          <w:szCs w:val="28"/>
          <w:shd w:val="clear" w:color="auto" w:fill="FFFFFF"/>
        </w:rPr>
        <w:t>b</w:t>
      </w:r>
      <w:r w:rsidRPr="002C4F71">
        <w:rPr>
          <w:rFonts w:ascii="Times New Roman" w:hAnsi="Times New Roman" w:cs="Times New Roman"/>
          <w:sz w:val="28"/>
          <w:szCs w:val="28"/>
          <w:shd w:val="clear" w:color="auto" w:fill="FFFFFF"/>
        </w:rPr>
        <w:t>ilanciamento</w:t>
      </w:r>
      <w:r w:rsidRPr="002C4F71">
        <w:rPr>
          <w:rStyle w:val="Rimandonotaapidipagina"/>
          <w:rFonts w:ascii="Times New Roman" w:hAnsi="Times New Roman" w:cs="Times New Roman"/>
          <w:sz w:val="28"/>
          <w:szCs w:val="28"/>
          <w:shd w:val="clear" w:color="auto" w:fill="FFFFFF"/>
        </w:rPr>
        <w:footnoteReference w:id="6"/>
      </w:r>
      <w:r w:rsidRPr="002C4F71">
        <w:rPr>
          <w:rFonts w:ascii="Times New Roman" w:hAnsi="Times New Roman" w:cs="Times New Roman"/>
          <w:sz w:val="28"/>
          <w:szCs w:val="28"/>
          <w:shd w:val="clear" w:color="auto" w:fill="FFFFFF"/>
        </w:rPr>
        <w:t xml:space="preserve">, chiamato MB. </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Notevole rilievo riveste anche il tema delle aste per la capacità di stoccaggio, che costituisce un tipico esempio di concorrenza per il mercato. Grazie alle stesse, invero, i venditori si assicurano maggiore capacità di stoccaggio, e ne consegue un aumento dell’offerta di gas</w:t>
      </w:r>
      <w:r w:rsidRPr="002C4F71">
        <w:rPr>
          <w:rStyle w:val="Rimandonotaapidipagina"/>
          <w:rFonts w:ascii="Times New Roman" w:hAnsi="Times New Roman" w:cs="Times New Roman"/>
          <w:sz w:val="28"/>
          <w:szCs w:val="28"/>
          <w:shd w:val="clear" w:color="auto" w:fill="FFFFFF"/>
        </w:rPr>
        <w:footnoteReference w:id="7"/>
      </w:r>
      <w:r w:rsidRPr="002C4F71">
        <w:rPr>
          <w:rFonts w:ascii="Times New Roman" w:hAnsi="Times New Roman" w:cs="Times New Roman"/>
          <w:sz w:val="28"/>
          <w:szCs w:val="28"/>
          <w:shd w:val="clear" w:color="auto" w:fill="FFFFFF"/>
        </w:rPr>
        <w:t>.</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Il sindacato sugli atti di regolazione generale tariffaria e non tariffaria concerne, soprattutto, la metodologia economica adottata e, quindi, in concreto, anche le formule matematiche</w:t>
      </w:r>
      <w:r w:rsidRPr="002C4F71">
        <w:rPr>
          <w:rStyle w:val="Rimandonotaapidipagina"/>
          <w:rFonts w:ascii="Times New Roman" w:hAnsi="Times New Roman" w:cs="Times New Roman"/>
          <w:sz w:val="28"/>
          <w:szCs w:val="28"/>
          <w:shd w:val="clear" w:color="auto" w:fill="FFFFFF"/>
        </w:rPr>
        <w:footnoteReference w:id="8"/>
      </w:r>
      <w:r w:rsidRPr="002C4F71">
        <w:rPr>
          <w:rFonts w:ascii="Times New Roman" w:hAnsi="Times New Roman" w:cs="Times New Roman"/>
          <w:sz w:val="28"/>
          <w:szCs w:val="28"/>
          <w:shd w:val="clear" w:color="auto" w:fill="FFFFFF"/>
        </w:rPr>
        <w:t xml:space="preserve">. </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Oltre ai provvedimenti di regolazione generale l’Autorità provvede, altresì, all’emissione di provvedimenti individuali, che hanno, cioè, singoli destinatari determinati.</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Rientrano in tale categoria di provvedimenti quelli di approvazione tariffaria, quelli prescrittivi, quelli sanzionatori ed, infine, quelli di cosiddetta moral suasion</w:t>
      </w:r>
      <w:r w:rsidRPr="002C4F71">
        <w:rPr>
          <w:rStyle w:val="Rimandonotaapidipagina"/>
          <w:rFonts w:ascii="Times New Roman" w:hAnsi="Times New Roman" w:cs="Times New Roman"/>
          <w:sz w:val="28"/>
          <w:szCs w:val="28"/>
          <w:shd w:val="clear" w:color="auto" w:fill="FFFFFF"/>
        </w:rPr>
        <w:footnoteReference w:id="9"/>
      </w:r>
      <w:r w:rsidRPr="002C4F71">
        <w:rPr>
          <w:rFonts w:ascii="Times New Roman" w:hAnsi="Times New Roman" w:cs="Times New Roman"/>
          <w:sz w:val="28"/>
          <w:szCs w:val="28"/>
          <w:shd w:val="clear" w:color="auto" w:fill="FFFFFF"/>
        </w:rPr>
        <w:t>.</w:t>
      </w:r>
    </w:p>
    <w:p w:rsidR="00732890" w:rsidRPr="002C4F71" w:rsidRDefault="00732890"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In particolare, i secondi (prescrittivi), costituiscono una tipologia di provvedimenti che viene utilizzata dall’ARERA con una certa ampiezza, in ragione del carattere atipico degli stessi; quelli sanzionatori</w:t>
      </w:r>
      <w:r w:rsidRPr="002C4F71">
        <w:rPr>
          <w:rStyle w:val="Rimandonotaapidipagina"/>
          <w:rFonts w:ascii="Times New Roman" w:hAnsi="Times New Roman" w:cs="Times New Roman"/>
          <w:sz w:val="28"/>
          <w:szCs w:val="28"/>
          <w:shd w:val="clear" w:color="auto" w:fill="FFFFFF"/>
        </w:rPr>
        <w:footnoteReference w:id="10"/>
      </w:r>
      <w:r w:rsidRPr="002C4F71">
        <w:rPr>
          <w:rFonts w:ascii="Times New Roman" w:hAnsi="Times New Roman" w:cs="Times New Roman"/>
          <w:sz w:val="28"/>
          <w:szCs w:val="28"/>
          <w:shd w:val="clear" w:color="auto" w:fill="FFFFFF"/>
        </w:rPr>
        <w:t>, invece (ad esempio gli impegni), costituiscono atti simili alle norme penali in bianco, cioè vengono costruiti in relazione alla singola fattispecie da regolare.</w:t>
      </w:r>
    </w:p>
    <w:p w:rsidR="00046B2D" w:rsidRPr="002C4F71" w:rsidRDefault="00FE5CE5" w:rsidP="002C4F71">
      <w:pPr>
        <w:pStyle w:val="Default"/>
        <w:spacing w:line="360" w:lineRule="auto"/>
        <w:jc w:val="both"/>
        <w:rPr>
          <w:rFonts w:ascii="Times New Roman" w:hAnsi="Times New Roman" w:cs="Times New Roman"/>
          <w:color w:val="auto"/>
          <w:sz w:val="28"/>
          <w:szCs w:val="28"/>
        </w:rPr>
      </w:pPr>
      <w:r w:rsidRPr="002C4F71">
        <w:rPr>
          <w:rFonts w:ascii="Times New Roman" w:hAnsi="Times New Roman" w:cs="Times New Roman"/>
          <w:color w:val="auto"/>
          <w:sz w:val="28"/>
          <w:szCs w:val="28"/>
        </w:rPr>
        <w:t>In relazione all’attività giustiziale, le autorità indipendenti svolgono anche attività arbitrale</w:t>
      </w:r>
      <w:r w:rsidR="00046B2D" w:rsidRPr="002C4F71">
        <w:rPr>
          <w:rFonts w:ascii="Times New Roman" w:hAnsi="Times New Roman" w:cs="Times New Roman"/>
          <w:color w:val="auto"/>
          <w:sz w:val="28"/>
          <w:szCs w:val="28"/>
        </w:rPr>
        <w:t xml:space="preserve">. Le stesse sono, infatti, </w:t>
      </w:r>
      <w:r w:rsidRPr="002C4F71">
        <w:rPr>
          <w:rFonts w:ascii="Times New Roman" w:hAnsi="Times New Roman" w:cs="Times New Roman"/>
          <w:color w:val="auto"/>
          <w:sz w:val="28"/>
          <w:szCs w:val="28"/>
        </w:rPr>
        <w:t>tenute</w:t>
      </w:r>
      <w:r w:rsidR="00046B2D" w:rsidRPr="002C4F71">
        <w:rPr>
          <w:rFonts w:ascii="Times New Roman" w:hAnsi="Times New Roman" w:cs="Times New Roman"/>
          <w:color w:val="auto"/>
          <w:sz w:val="28"/>
          <w:szCs w:val="28"/>
        </w:rPr>
        <w:t xml:space="preserve">, come tutte le altre amministrazioni, al rispetto del principio di imparzialità, perseguendo il pubblico </w:t>
      </w:r>
      <w:r w:rsidRPr="002C4F71">
        <w:rPr>
          <w:rFonts w:ascii="Times New Roman" w:hAnsi="Times New Roman" w:cs="Times New Roman"/>
          <w:color w:val="auto"/>
          <w:sz w:val="28"/>
          <w:szCs w:val="28"/>
        </w:rPr>
        <w:t xml:space="preserve">interesse </w:t>
      </w:r>
      <w:r w:rsidR="00046B2D" w:rsidRPr="002C4F71">
        <w:rPr>
          <w:rFonts w:ascii="Times New Roman" w:hAnsi="Times New Roman" w:cs="Times New Roman"/>
          <w:color w:val="auto"/>
          <w:sz w:val="28"/>
          <w:szCs w:val="28"/>
        </w:rPr>
        <w:t xml:space="preserve">nella </w:t>
      </w:r>
      <w:r w:rsidRPr="002C4F71">
        <w:rPr>
          <w:rFonts w:ascii="Times New Roman" w:hAnsi="Times New Roman" w:cs="Times New Roman"/>
          <w:color w:val="auto"/>
          <w:sz w:val="28"/>
          <w:szCs w:val="28"/>
        </w:rPr>
        <w:t>compara</w:t>
      </w:r>
      <w:r w:rsidR="00046B2D" w:rsidRPr="002C4F71">
        <w:rPr>
          <w:rFonts w:ascii="Times New Roman" w:hAnsi="Times New Roman" w:cs="Times New Roman"/>
          <w:color w:val="auto"/>
          <w:sz w:val="28"/>
          <w:szCs w:val="28"/>
        </w:rPr>
        <w:t xml:space="preserve">zione </w:t>
      </w:r>
      <w:r w:rsidRPr="002C4F71">
        <w:rPr>
          <w:rFonts w:ascii="Times New Roman" w:hAnsi="Times New Roman" w:cs="Times New Roman"/>
          <w:color w:val="auto"/>
          <w:sz w:val="28"/>
          <w:szCs w:val="28"/>
        </w:rPr>
        <w:t>equitativa</w:t>
      </w:r>
      <w:r w:rsidR="00046B2D" w:rsidRPr="002C4F71">
        <w:rPr>
          <w:rFonts w:ascii="Times New Roman" w:hAnsi="Times New Roman" w:cs="Times New Roman"/>
          <w:color w:val="auto"/>
          <w:sz w:val="28"/>
          <w:szCs w:val="28"/>
        </w:rPr>
        <w:t xml:space="preserve"> di</w:t>
      </w:r>
      <w:r w:rsidRPr="002C4F71">
        <w:rPr>
          <w:rFonts w:ascii="Times New Roman" w:hAnsi="Times New Roman" w:cs="Times New Roman"/>
          <w:color w:val="auto"/>
          <w:sz w:val="28"/>
          <w:szCs w:val="28"/>
        </w:rPr>
        <w:t xml:space="preserve"> </w:t>
      </w:r>
      <w:r w:rsidR="00046B2D" w:rsidRPr="002C4F71">
        <w:rPr>
          <w:rFonts w:ascii="Times New Roman" w:hAnsi="Times New Roman" w:cs="Times New Roman"/>
          <w:color w:val="auto"/>
          <w:sz w:val="28"/>
          <w:szCs w:val="28"/>
        </w:rPr>
        <w:t>quelli degli altri soggetti coinvolti nel procedimento.</w:t>
      </w:r>
    </w:p>
    <w:p w:rsidR="00046B2D" w:rsidRPr="002C4F71" w:rsidRDefault="00046B2D" w:rsidP="002C4F71">
      <w:pPr>
        <w:pStyle w:val="Default"/>
        <w:spacing w:line="360" w:lineRule="auto"/>
        <w:jc w:val="both"/>
        <w:rPr>
          <w:rFonts w:ascii="Times New Roman" w:hAnsi="Times New Roman" w:cs="Times New Roman"/>
          <w:color w:val="auto"/>
          <w:sz w:val="28"/>
          <w:szCs w:val="28"/>
          <w:shd w:val="clear" w:color="auto" w:fill="FFFFFF"/>
        </w:rPr>
      </w:pPr>
      <w:r w:rsidRPr="002C4F71">
        <w:rPr>
          <w:rFonts w:ascii="Times New Roman" w:hAnsi="Times New Roman" w:cs="Times New Roman"/>
          <w:color w:val="auto"/>
          <w:sz w:val="28"/>
          <w:szCs w:val="28"/>
        </w:rPr>
        <w:t xml:space="preserve">Riguardo, invece, alla neutralità, cioè </w:t>
      </w:r>
      <w:r w:rsidR="00FE5CE5" w:rsidRPr="002C4F71">
        <w:rPr>
          <w:rFonts w:ascii="Times New Roman" w:hAnsi="Times New Roman" w:cs="Times New Roman"/>
          <w:color w:val="auto"/>
          <w:sz w:val="28"/>
          <w:szCs w:val="28"/>
        </w:rPr>
        <w:t>all’indifferenza verso gli interessi delle parti in conflitto,</w:t>
      </w:r>
      <w:r w:rsidR="00FE5CE5" w:rsidRPr="002C4F71">
        <w:rPr>
          <w:rFonts w:ascii="Times New Roman" w:hAnsi="Times New Roman" w:cs="Times New Roman"/>
          <w:i/>
          <w:color w:val="auto"/>
          <w:sz w:val="28"/>
          <w:szCs w:val="28"/>
        </w:rPr>
        <w:t xml:space="preserve"> </w:t>
      </w:r>
      <w:r w:rsidR="008B742F" w:rsidRPr="002C4F71">
        <w:rPr>
          <w:rFonts w:ascii="Times New Roman" w:hAnsi="Times New Roman" w:cs="Times New Roman"/>
          <w:color w:val="auto"/>
          <w:sz w:val="28"/>
          <w:szCs w:val="28"/>
        </w:rPr>
        <w:t>i</w:t>
      </w:r>
      <w:r w:rsidR="001C5592" w:rsidRPr="002C4F71">
        <w:rPr>
          <w:rFonts w:ascii="Times New Roman" w:hAnsi="Times New Roman" w:cs="Times New Roman"/>
          <w:color w:val="auto"/>
          <w:sz w:val="28"/>
          <w:szCs w:val="28"/>
          <w:shd w:val="clear" w:color="auto" w:fill="FFFFFF"/>
        </w:rPr>
        <w:t>n realtà, in considerazione delle funzioni svolte dalle autorità indipendenti, risulta evidente come le stesse non possano risultare del tutto insensibili agli interessi ch</w:t>
      </w:r>
      <w:r w:rsidR="00BF6132" w:rsidRPr="002C4F71">
        <w:rPr>
          <w:rFonts w:ascii="Times New Roman" w:hAnsi="Times New Roman" w:cs="Times New Roman"/>
          <w:color w:val="auto"/>
          <w:sz w:val="28"/>
          <w:szCs w:val="28"/>
          <w:shd w:val="clear" w:color="auto" w:fill="FFFFFF"/>
        </w:rPr>
        <w:t>e costituiscono il substrato</w:t>
      </w:r>
      <w:r w:rsidRPr="002C4F71">
        <w:rPr>
          <w:rFonts w:ascii="Times New Roman" w:hAnsi="Times New Roman" w:cs="Times New Roman"/>
          <w:color w:val="auto"/>
          <w:sz w:val="28"/>
          <w:szCs w:val="28"/>
          <w:shd w:val="clear" w:color="auto" w:fill="FFFFFF"/>
        </w:rPr>
        <w:t xml:space="preserve"> della loro azione</w:t>
      </w:r>
      <w:r w:rsidR="00BF6132" w:rsidRPr="002C4F71">
        <w:rPr>
          <w:rFonts w:ascii="Times New Roman" w:hAnsi="Times New Roman" w:cs="Times New Roman"/>
          <w:color w:val="auto"/>
          <w:sz w:val="28"/>
          <w:szCs w:val="28"/>
          <w:shd w:val="clear" w:color="auto" w:fill="FFFFFF"/>
        </w:rPr>
        <w:t>, perseguendo, dunque, precise politiche che rendono, per questo, più sfumata la neutralità che le con</w:t>
      </w:r>
      <w:r w:rsidRPr="002C4F71">
        <w:rPr>
          <w:rFonts w:ascii="Times New Roman" w:hAnsi="Times New Roman" w:cs="Times New Roman"/>
          <w:color w:val="auto"/>
          <w:sz w:val="28"/>
          <w:szCs w:val="28"/>
          <w:shd w:val="clear" w:color="auto" w:fill="FFFFFF"/>
        </w:rPr>
        <w:t>traddistingue</w:t>
      </w:r>
      <w:r w:rsidRPr="002C4F71">
        <w:rPr>
          <w:rStyle w:val="Rimandonotaapidipagina"/>
          <w:rFonts w:ascii="Times New Roman" w:hAnsi="Times New Roman" w:cs="Times New Roman"/>
          <w:color w:val="auto"/>
          <w:sz w:val="28"/>
          <w:szCs w:val="28"/>
          <w:shd w:val="clear" w:color="auto" w:fill="FFFFFF"/>
        </w:rPr>
        <w:footnoteReference w:id="11"/>
      </w:r>
      <w:r w:rsidRPr="002C4F71">
        <w:rPr>
          <w:rFonts w:ascii="Times New Roman" w:hAnsi="Times New Roman" w:cs="Times New Roman"/>
          <w:color w:val="auto"/>
          <w:sz w:val="28"/>
          <w:szCs w:val="28"/>
          <w:shd w:val="clear" w:color="auto" w:fill="FFFFFF"/>
        </w:rPr>
        <w:t>.</w:t>
      </w:r>
    </w:p>
    <w:p w:rsidR="00BF6132" w:rsidRPr="002C4F71" w:rsidRDefault="00BF6132" w:rsidP="002C4F71">
      <w:pPr>
        <w:pStyle w:val="Default"/>
        <w:spacing w:line="360" w:lineRule="auto"/>
        <w:jc w:val="both"/>
        <w:rPr>
          <w:rFonts w:ascii="Times New Roman" w:hAnsi="Times New Roman" w:cs="Times New Roman"/>
          <w:color w:val="auto"/>
          <w:sz w:val="28"/>
          <w:szCs w:val="28"/>
          <w:shd w:val="clear" w:color="auto" w:fill="FFFFFF"/>
        </w:rPr>
      </w:pPr>
      <w:r w:rsidRPr="002C4F71">
        <w:rPr>
          <w:rFonts w:ascii="Times New Roman" w:hAnsi="Times New Roman" w:cs="Times New Roman"/>
          <w:color w:val="auto"/>
          <w:sz w:val="28"/>
          <w:szCs w:val="28"/>
          <w:shd w:val="clear" w:color="auto" w:fill="FFFFFF"/>
        </w:rPr>
        <w:t>La funzione giustiziale si distingue, invero, da quella giurisdizionale, perché nella prima l’autorità</w:t>
      </w:r>
      <w:r w:rsidR="00623482" w:rsidRPr="002C4F71">
        <w:rPr>
          <w:rFonts w:ascii="Times New Roman" w:hAnsi="Times New Roman" w:cs="Times New Roman"/>
          <w:color w:val="auto"/>
          <w:sz w:val="28"/>
          <w:szCs w:val="28"/>
          <w:shd w:val="clear" w:color="auto" w:fill="FFFFFF"/>
        </w:rPr>
        <w:t>, che resta sempre un’amministrazione,</w:t>
      </w:r>
      <w:r w:rsidRPr="002C4F71">
        <w:rPr>
          <w:rFonts w:ascii="Times New Roman" w:hAnsi="Times New Roman" w:cs="Times New Roman"/>
          <w:color w:val="auto"/>
          <w:sz w:val="28"/>
          <w:szCs w:val="28"/>
          <w:shd w:val="clear" w:color="auto" w:fill="FFFFFF"/>
        </w:rPr>
        <w:t xml:space="preserve"> persegue, in realtà, un interesse sempre connesso all’attività amministrativa dalla stessa esercitata, mentre solo nella seconda il giudice</w:t>
      </w:r>
      <w:r w:rsidR="00623482" w:rsidRPr="002C4F71">
        <w:rPr>
          <w:rFonts w:ascii="Times New Roman" w:hAnsi="Times New Roman" w:cs="Times New Roman"/>
          <w:color w:val="auto"/>
          <w:sz w:val="28"/>
          <w:szCs w:val="28"/>
          <w:shd w:val="clear" w:color="auto" w:fill="FFFFFF"/>
        </w:rPr>
        <w:t>, nella sua individualità,</w:t>
      </w:r>
      <w:r w:rsidRPr="002C4F71">
        <w:rPr>
          <w:rFonts w:ascii="Times New Roman" w:hAnsi="Times New Roman" w:cs="Times New Roman"/>
          <w:color w:val="auto"/>
          <w:sz w:val="28"/>
          <w:szCs w:val="28"/>
          <w:shd w:val="clear" w:color="auto" w:fill="FFFFFF"/>
        </w:rPr>
        <w:t xml:space="preserve"> è totalmente indipendente</w:t>
      </w:r>
      <w:r w:rsidR="00623482" w:rsidRPr="002C4F71">
        <w:rPr>
          <w:rFonts w:ascii="Times New Roman" w:hAnsi="Times New Roman" w:cs="Times New Roman"/>
          <w:color w:val="auto"/>
          <w:sz w:val="28"/>
          <w:szCs w:val="28"/>
          <w:shd w:val="clear" w:color="auto" w:fill="FFFFFF"/>
        </w:rPr>
        <w:t xml:space="preserve">, nel senso che non </w:t>
      </w:r>
      <w:r w:rsidR="00771FB7">
        <w:rPr>
          <w:rFonts w:ascii="Times New Roman" w:hAnsi="Times New Roman" w:cs="Times New Roman"/>
          <w:color w:val="auto"/>
          <w:sz w:val="28"/>
          <w:szCs w:val="28"/>
          <w:shd w:val="clear" w:color="auto" w:fill="FFFFFF"/>
        </w:rPr>
        <w:t xml:space="preserve">ha </w:t>
      </w:r>
      <w:r w:rsidR="00623482" w:rsidRPr="002C4F71">
        <w:rPr>
          <w:rFonts w:ascii="Times New Roman" w:hAnsi="Times New Roman" w:cs="Times New Roman"/>
          <w:color w:val="auto"/>
          <w:sz w:val="28"/>
          <w:szCs w:val="28"/>
        </w:rPr>
        <w:t>altro scopo che quello di effettuare una corretta interpretazione della legge, pur in chiave evolutiva</w:t>
      </w:r>
      <w:r w:rsidRPr="002C4F71">
        <w:rPr>
          <w:rFonts w:ascii="Times New Roman" w:hAnsi="Times New Roman" w:cs="Times New Roman"/>
          <w:color w:val="auto"/>
          <w:sz w:val="28"/>
          <w:szCs w:val="28"/>
          <w:shd w:val="clear" w:color="auto" w:fill="FFFFFF"/>
        </w:rPr>
        <w:t>.</w:t>
      </w:r>
      <w:r w:rsidR="00623482" w:rsidRPr="002C4F71">
        <w:rPr>
          <w:rFonts w:ascii="Times New Roman" w:hAnsi="Times New Roman" w:cs="Times New Roman"/>
          <w:color w:val="auto"/>
          <w:sz w:val="28"/>
          <w:szCs w:val="28"/>
          <w:shd w:val="clear" w:color="auto" w:fill="FFFFFF"/>
        </w:rPr>
        <w:t xml:space="preserve"> E</w:t>
      </w:r>
      <w:r w:rsidR="00623482" w:rsidRPr="002C4F71">
        <w:rPr>
          <w:rFonts w:ascii="Times New Roman" w:hAnsi="Times New Roman" w:cs="Times New Roman"/>
          <w:color w:val="auto"/>
          <w:sz w:val="28"/>
          <w:szCs w:val="28"/>
        </w:rPr>
        <w:t xml:space="preserve"> l’art. 103 </w:t>
      </w:r>
      <w:proofErr w:type="spellStart"/>
      <w:r w:rsidR="00623482" w:rsidRPr="002C4F71">
        <w:rPr>
          <w:rFonts w:ascii="Times New Roman" w:hAnsi="Times New Roman" w:cs="Times New Roman"/>
          <w:color w:val="auto"/>
          <w:sz w:val="28"/>
          <w:szCs w:val="28"/>
        </w:rPr>
        <w:t>Cost</w:t>
      </w:r>
      <w:proofErr w:type="spellEnd"/>
      <w:r w:rsidR="00623482" w:rsidRPr="002C4F71">
        <w:rPr>
          <w:rFonts w:ascii="Times New Roman" w:hAnsi="Times New Roman" w:cs="Times New Roman"/>
          <w:color w:val="auto"/>
          <w:sz w:val="28"/>
          <w:szCs w:val="28"/>
        </w:rPr>
        <w:t xml:space="preserve">. </w:t>
      </w:r>
      <w:proofErr w:type="gramStart"/>
      <w:r w:rsidR="00623482" w:rsidRPr="002C4F71">
        <w:rPr>
          <w:rFonts w:ascii="Times New Roman" w:hAnsi="Times New Roman" w:cs="Times New Roman"/>
          <w:color w:val="auto"/>
          <w:sz w:val="28"/>
          <w:szCs w:val="28"/>
        </w:rPr>
        <w:t>indica</w:t>
      </w:r>
      <w:proofErr w:type="gramEnd"/>
      <w:r w:rsidR="00623482" w:rsidRPr="002C4F71">
        <w:rPr>
          <w:rFonts w:ascii="Times New Roman" w:hAnsi="Times New Roman" w:cs="Times New Roman"/>
          <w:color w:val="auto"/>
          <w:sz w:val="28"/>
          <w:szCs w:val="28"/>
        </w:rPr>
        <w:t>, infatti, chiaramente una terzietà tra giudice amministrativo e amministrazioni.</w:t>
      </w:r>
    </w:p>
    <w:p w:rsidR="00BF6132" w:rsidRPr="002C4F71" w:rsidRDefault="005956A8" w:rsidP="002C4F71">
      <w:pPr>
        <w:pStyle w:val="Default"/>
        <w:spacing w:line="360" w:lineRule="auto"/>
        <w:jc w:val="both"/>
        <w:rPr>
          <w:rFonts w:ascii="Times New Roman" w:hAnsi="Times New Roman" w:cs="Times New Roman"/>
          <w:color w:val="auto"/>
          <w:sz w:val="28"/>
          <w:szCs w:val="28"/>
          <w:shd w:val="clear" w:color="auto" w:fill="FFFFFF"/>
        </w:rPr>
      </w:pPr>
      <w:r w:rsidRPr="002C4F71">
        <w:rPr>
          <w:rFonts w:ascii="Times New Roman" w:hAnsi="Times New Roman" w:cs="Times New Roman"/>
          <w:color w:val="auto"/>
          <w:sz w:val="28"/>
          <w:szCs w:val="28"/>
          <w:shd w:val="clear" w:color="auto" w:fill="FFFFFF"/>
        </w:rPr>
        <w:t>Ci deve essere</w:t>
      </w:r>
      <w:r w:rsidR="00BF6132" w:rsidRPr="002C4F71">
        <w:rPr>
          <w:rFonts w:ascii="Times New Roman" w:hAnsi="Times New Roman" w:cs="Times New Roman"/>
          <w:color w:val="auto"/>
          <w:sz w:val="28"/>
          <w:szCs w:val="28"/>
          <w:shd w:val="clear" w:color="auto" w:fill="FFFFFF"/>
        </w:rPr>
        <w:t>, quindi,</w:t>
      </w:r>
      <w:r w:rsidRPr="002C4F71">
        <w:rPr>
          <w:rFonts w:ascii="Times New Roman" w:hAnsi="Times New Roman" w:cs="Times New Roman"/>
          <w:color w:val="auto"/>
          <w:sz w:val="28"/>
          <w:szCs w:val="28"/>
          <w:shd w:val="clear" w:color="auto" w:fill="FFFFFF"/>
        </w:rPr>
        <w:t xml:space="preserve"> sempre un giudice titolare della potestà di sindacato sugli atti delle autorità, anche se le modalità di esplicazione del sindacato giurisdizionale sugli atti delle </w:t>
      </w:r>
      <w:proofErr w:type="spellStart"/>
      <w:r w:rsidRPr="002C4F71">
        <w:rPr>
          <w:rFonts w:ascii="Times New Roman" w:hAnsi="Times New Roman" w:cs="Times New Roman"/>
          <w:color w:val="auto"/>
          <w:sz w:val="28"/>
          <w:szCs w:val="28"/>
          <w:shd w:val="clear" w:color="auto" w:fill="FFFFFF"/>
        </w:rPr>
        <w:t>aut</w:t>
      </w:r>
      <w:r w:rsidR="00BF6132" w:rsidRPr="002C4F71">
        <w:rPr>
          <w:rFonts w:ascii="Times New Roman" w:hAnsi="Times New Roman" w:cs="Times New Roman"/>
          <w:color w:val="auto"/>
          <w:sz w:val="28"/>
          <w:szCs w:val="28"/>
          <w:shd w:val="clear" w:color="auto" w:fill="FFFFFF"/>
        </w:rPr>
        <w:t>h</w:t>
      </w:r>
      <w:r w:rsidRPr="002C4F71">
        <w:rPr>
          <w:rFonts w:ascii="Times New Roman" w:hAnsi="Times New Roman" w:cs="Times New Roman"/>
          <w:color w:val="auto"/>
          <w:sz w:val="28"/>
          <w:szCs w:val="28"/>
          <w:shd w:val="clear" w:color="auto" w:fill="FFFFFF"/>
        </w:rPr>
        <w:t>orit</w:t>
      </w:r>
      <w:r w:rsidR="00BF6132" w:rsidRPr="002C4F71">
        <w:rPr>
          <w:rFonts w:ascii="Times New Roman" w:hAnsi="Times New Roman" w:cs="Times New Roman"/>
          <w:color w:val="auto"/>
          <w:sz w:val="28"/>
          <w:szCs w:val="28"/>
          <w:shd w:val="clear" w:color="auto" w:fill="FFFFFF"/>
        </w:rPr>
        <w:t>ies</w:t>
      </w:r>
      <w:proofErr w:type="spellEnd"/>
      <w:r w:rsidRPr="002C4F71">
        <w:rPr>
          <w:rFonts w:ascii="Times New Roman" w:hAnsi="Times New Roman" w:cs="Times New Roman"/>
          <w:color w:val="auto"/>
          <w:sz w:val="28"/>
          <w:szCs w:val="28"/>
          <w:shd w:val="clear" w:color="auto" w:fill="FFFFFF"/>
        </w:rPr>
        <w:t xml:space="preserve"> sono peculiari</w:t>
      </w:r>
      <w:r w:rsidR="00BF6132" w:rsidRPr="002C4F71">
        <w:rPr>
          <w:rFonts w:ascii="Times New Roman" w:hAnsi="Times New Roman" w:cs="Times New Roman"/>
          <w:color w:val="auto"/>
          <w:sz w:val="28"/>
          <w:szCs w:val="28"/>
          <w:shd w:val="clear" w:color="auto" w:fill="FFFFFF"/>
        </w:rPr>
        <w:t>.</w:t>
      </w:r>
    </w:p>
    <w:p w:rsidR="00623482" w:rsidRPr="002C4F71" w:rsidRDefault="00BF6132" w:rsidP="002C4F71">
      <w:pPr>
        <w:pStyle w:val="Default"/>
        <w:spacing w:line="360" w:lineRule="auto"/>
        <w:jc w:val="both"/>
        <w:rPr>
          <w:rFonts w:ascii="Times New Roman" w:hAnsi="Times New Roman" w:cs="Times New Roman"/>
          <w:color w:val="auto"/>
          <w:sz w:val="28"/>
          <w:szCs w:val="28"/>
        </w:rPr>
      </w:pPr>
      <w:r w:rsidRPr="002C4F71">
        <w:rPr>
          <w:rFonts w:ascii="Times New Roman" w:hAnsi="Times New Roman" w:cs="Times New Roman"/>
          <w:color w:val="auto"/>
          <w:sz w:val="28"/>
          <w:szCs w:val="28"/>
        </w:rPr>
        <w:t>S</w:t>
      </w:r>
      <w:r w:rsidR="004B3BEB" w:rsidRPr="002C4F71">
        <w:rPr>
          <w:rFonts w:ascii="Times New Roman" w:hAnsi="Times New Roman" w:cs="Times New Roman"/>
          <w:color w:val="auto"/>
          <w:sz w:val="28"/>
          <w:szCs w:val="28"/>
        </w:rPr>
        <w:t xml:space="preserve">ottrarre al controllo giurisdizionale gli atti delle </w:t>
      </w:r>
      <w:r w:rsidRPr="002C4F71">
        <w:rPr>
          <w:rFonts w:ascii="Times New Roman" w:hAnsi="Times New Roman" w:cs="Times New Roman"/>
          <w:color w:val="auto"/>
          <w:sz w:val="28"/>
          <w:szCs w:val="28"/>
        </w:rPr>
        <w:t xml:space="preserve">autorità indipendenti </w:t>
      </w:r>
      <w:r w:rsidR="004B3BEB" w:rsidRPr="002C4F71">
        <w:rPr>
          <w:rFonts w:ascii="Times New Roman" w:hAnsi="Times New Roman" w:cs="Times New Roman"/>
          <w:color w:val="auto"/>
          <w:sz w:val="28"/>
          <w:szCs w:val="28"/>
        </w:rPr>
        <w:t>contrasterebbe</w:t>
      </w:r>
      <w:r w:rsidRPr="002C4F71">
        <w:rPr>
          <w:rFonts w:ascii="Times New Roman" w:hAnsi="Times New Roman" w:cs="Times New Roman"/>
          <w:color w:val="auto"/>
          <w:sz w:val="28"/>
          <w:szCs w:val="28"/>
        </w:rPr>
        <w:t>, invero,</w:t>
      </w:r>
      <w:r w:rsidR="004B3BEB" w:rsidRPr="002C4F71">
        <w:rPr>
          <w:rFonts w:ascii="Times New Roman" w:hAnsi="Times New Roman" w:cs="Times New Roman"/>
          <w:color w:val="auto"/>
          <w:sz w:val="28"/>
          <w:szCs w:val="28"/>
        </w:rPr>
        <w:t xml:space="preserve"> con le norme costituzionali</w:t>
      </w:r>
      <w:r w:rsidRPr="002C4F71">
        <w:rPr>
          <w:rFonts w:ascii="Times New Roman" w:hAnsi="Times New Roman" w:cs="Times New Roman"/>
          <w:color w:val="auto"/>
          <w:sz w:val="28"/>
          <w:szCs w:val="28"/>
        </w:rPr>
        <w:t>, sia perché si conferirebbe ad un’amministrazione,</w:t>
      </w:r>
      <w:r w:rsidR="00623482" w:rsidRPr="002C4F71">
        <w:rPr>
          <w:rFonts w:ascii="Times New Roman" w:hAnsi="Times New Roman" w:cs="Times New Roman"/>
          <w:i/>
          <w:color w:val="auto"/>
          <w:sz w:val="28"/>
          <w:szCs w:val="28"/>
        </w:rPr>
        <w:t xml:space="preserve"> </w:t>
      </w:r>
      <w:r w:rsidR="00623482" w:rsidRPr="002C4F71">
        <w:rPr>
          <w:rFonts w:ascii="Times New Roman" w:hAnsi="Times New Roman" w:cs="Times New Roman"/>
          <w:color w:val="auto"/>
          <w:sz w:val="28"/>
          <w:szCs w:val="28"/>
        </w:rPr>
        <w:t>pur dotata di poteri e funzioni straordinarie e di una particolare indipendenza, ma</w:t>
      </w:r>
      <w:r w:rsidRPr="002C4F71">
        <w:rPr>
          <w:rFonts w:ascii="Times New Roman" w:hAnsi="Times New Roman" w:cs="Times New Roman"/>
          <w:color w:val="auto"/>
          <w:sz w:val="28"/>
          <w:szCs w:val="28"/>
        </w:rPr>
        <w:t xml:space="preserve"> che non è un giudice</w:t>
      </w:r>
      <w:r w:rsidR="00623482" w:rsidRPr="002C4F71">
        <w:rPr>
          <w:rFonts w:ascii="Times New Roman" w:hAnsi="Times New Roman" w:cs="Times New Roman"/>
          <w:color w:val="auto"/>
          <w:sz w:val="28"/>
          <w:szCs w:val="28"/>
        </w:rPr>
        <w:t>,</w:t>
      </w:r>
      <w:r w:rsidRPr="002C4F71">
        <w:rPr>
          <w:rFonts w:ascii="Times New Roman" w:hAnsi="Times New Roman" w:cs="Times New Roman"/>
          <w:color w:val="auto"/>
          <w:sz w:val="28"/>
          <w:szCs w:val="28"/>
        </w:rPr>
        <w:t xml:space="preserve"> il sindacato su atti che possono incidere negativamente sull</w:t>
      </w:r>
      <w:r w:rsidR="00C51856" w:rsidRPr="002C4F71">
        <w:rPr>
          <w:rFonts w:ascii="Times New Roman" w:hAnsi="Times New Roman" w:cs="Times New Roman"/>
          <w:color w:val="auto"/>
          <w:sz w:val="28"/>
          <w:szCs w:val="28"/>
        </w:rPr>
        <w:t>a</w:t>
      </w:r>
      <w:r w:rsidRPr="002C4F71">
        <w:rPr>
          <w:rFonts w:ascii="Times New Roman" w:hAnsi="Times New Roman" w:cs="Times New Roman"/>
          <w:color w:val="auto"/>
          <w:sz w:val="28"/>
          <w:szCs w:val="28"/>
        </w:rPr>
        <w:t xml:space="preserve"> sfer</w:t>
      </w:r>
      <w:r w:rsidR="00C51856" w:rsidRPr="002C4F71">
        <w:rPr>
          <w:rFonts w:ascii="Times New Roman" w:hAnsi="Times New Roman" w:cs="Times New Roman"/>
          <w:color w:val="auto"/>
          <w:sz w:val="28"/>
          <w:szCs w:val="28"/>
        </w:rPr>
        <w:t>a</w:t>
      </w:r>
      <w:r w:rsidRPr="002C4F71">
        <w:rPr>
          <w:rFonts w:ascii="Times New Roman" w:hAnsi="Times New Roman" w:cs="Times New Roman"/>
          <w:color w:val="auto"/>
          <w:sz w:val="28"/>
          <w:szCs w:val="28"/>
        </w:rPr>
        <w:t xml:space="preserve"> giuridic</w:t>
      </w:r>
      <w:r w:rsidR="00C51856" w:rsidRPr="002C4F71">
        <w:rPr>
          <w:rFonts w:ascii="Times New Roman" w:hAnsi="Times New Roman" w:cs="Times New Roman"/>
          <w:color w:val="auto"/>
          <w:sz w:val="28"/>
          <w:szCs w:val="28"/>
        </w:rPr>
        <w:t>a di altri soggetti</w:t>
      </w:r>
      <w:r w:rsidRPr="002C4F71">
        <w:rPr>
          <w:rFonts w:ascii="Times New Roman" w:hAnsi="Times New Roman" w:cs="Times New Roman"/>
          <w:color w:val="auto"/>
          <w:sz w:val="28"/>
          <w:szCs w:val="28"/>
        </w:rPr>
        <w:t>,</w:t>
      </w:r>
      <w:r w:rsidR="00623482" w:rsidRPr="002C4F71">
        <w:rPr>
          <w:rFonts w:ascii="Times New Roman" w:hAnsi="Times New Roman" w:cs="Times New Roman"/>
          <w:color w:val="auto"/>
          <w:sz w:val="28"/>
          <w:szCs w:val="28"/>
        </w:rPr>
        <w:t xml:space="preserve"> sia perché le stesse acquisirebbero la funzione sostanziale di giudici speciali.</w:t>
      </w:r>
    </w:p>
    <w:p w:rsidR="000D24A5" w:rsidRPr="002C4F71" w:rsidRDefault="000D24A5" w:rsidP="002C4F71">
      <w:pPr>
        <w:pStyle w:val="Default"/>
        <w:spacing w:line="360" w:lineRule="auto"/>
        <w:jc w:val="both"/>
        <w:rPr>
          <w:rFonts w:ascii="Times New Roman" w:hAnsi="Times New Roman" w:cs="Times New Roman"/>
          <w:color w:val="auto"/>
          <w:sz w:val="28"/>
          <w:szCs w:val="28"/>
        </w:rPr>
      </w:pPr>
    </w:p>
    <w:p w:rsidR="000D24A5" w:rsidRPr="002C4F71" w:rsidRDefault="000D24A5" w:rsidP="002C4F71">
      <w:pPr>
        <w:pStyle w:val="Default"/>
        <w:spacing w:line="360" w:lineRule="auto"/>
        <w:jc w:val="both"/>
        <w:rPr>
          <w:rFonts w:ascii="Times New Roman" w:hAnsi="Times New Roman" w:cs="Times New Roman"/>
          <w:b/>
          <w:sz w:val="28"/>
          <w:szCs w:val="28"/>
          <w:shd w:val="clear" w:color="auto" w:fill="FFFFFF"/>
        </w:rPr>
      </w:pPr>
      <w:r w:rsidRPr="002C4F71">
        <w:rPr>
          <w:rFonts w:ascii="Times New Roman" w:hAnsi="Times New Roman" w:cs="Times New Roman"/>
          <w:b/>
          <w:sz w:val="28"/>
          <w:szCs w:val="28"/>
        </w:rPr>
        <w:t>3. Il sindacato giurisdizionale sugli atti dell’ARERA.</w:t>
      </w:r>
    </w:p>
    <w:p w:rsidR="000D24A5" w:rsidRPr="002C4F71" w:rsidRDefault="000D24A5"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In relazione alle modalità di esplicazione della giurisdizione nell’ambito degli atti di regolazione dell’A</w:t>
      </w:r>
      <w:r w:rsidR="00771FB7">
        <w:rPr>
          <w:rFonts w:ascii="Times New Roman" w:hAnsi="Times New Roman" w:cs="Times New Roman"/>
          <w:sz w:val="28"/>
          <w:szCs w:val="28"/>
          <w:shd w:val="clear" w:color="auto" w:fill="FFFFFF"/>
        </w:rPr>
        <w:t>RERA</w:t>
      </w:r>
      <w:r w:rsidRPr="002C4F71">
        <w:rPr>
          <w:rFonts w:ascii="Times New Roman" w:hAnsi="Times New Roman" w:cs="Times New Roman"/>
          <w:sz w:val="28"/>
          <w:szCs w:val="28"/>
          <w:shd w:val="clear" w:color="auto" w:fill="FFFFFF"/>
        </w:rPr>
        <w:t>, che comporta di certo il sindacato sulla discrezionalità tecnica posta in essere dall’Autorità medesima, si è registrata e tutt’ora si registra una notevole evoluzione, come reso evident</w:t>
      </w:r>
      <w:r w:rsidR="00771FB7">
        <w:rPr>
          <w:rFonts w:ascii="Times New Roman" w:hAnsi="Times New Roman" w:cs="Times New Roman"/>
          <w:sz w:val="28"/>
          <w:szCs w:val="28"/>
          <w:shd w:val="clear" w:color="auto" w:fill="FFFFFF"/>
        </w:rPr>
        <w:t>e</w:t>
      </w:r>
      <w:r w:rsidRPr="002C4F71">
        <w:rPr>
          <w:rFonts w:ascii="Times New Roman" w:hAnsi="Times New Roman" w:cs="Times New Roman"/>
          <w:sz w:val="28"/>
          <w:szCs w:val="28"/>
          <w:shd w:val="clear" w:color="auto" w:fill="FFFFFF"/>
        </w:rPr>
        <w:t xml:space="preserve"> dalle molteplici pronunce rese in questo ambito.</w:t>
      </w:r>
    </w:p>
    <w:p w:rsidR="000D24A5" w:rsidRPr="002C4F71" w:rsidRDefault="000D24A5" w:rsidP="002C4F71">
      <w:pPr>
        <w:pStyle w:val="Default"/>
        <w:spacing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Premessa la comune riserva centrale al tema della discrezionalità tecnica, in giurisprudenza e in dottrina si sono contrapposti, originariamente, due orientamenti in ordine alle forme e all’intensità del sindacato giurisdizionale.</w:t>
      </w:r>
    </w:p>
    <w:p w:rsidR="000D24A5" w:rsidRPr="002C4F71" w:rsidRDefault="000D24A5" w:rsidP="002C4F71">
      <w:pPr>
        <w:autoSpaceDE w:val="0"/>
        <w:autoSpaceDN w:val="0"/>
        <w:adjustRightInd w:val="0"/>
        <w:spacing w:after="0" w:line="360" w:lineRule="auto"/>
        <w:jc w:val="both"/>
        <w:rPr>
          <w:rFonts w:ascii="Times New Roman" w:hAnsi="Times New Roman" w:cs="Times New Roman"/>
          <w:color w:val="000000"/>
          <w:sz w:val="28"/>
          <w:szCs w:val="28"/>
        </w:rPr>
      </w:pPr>
      <w:r w:rsidRPr="002C4F71">
        <w:rPr>
          <w:rFonts w:ascii="Times New Roman" w:hAnsi="Times New Roman" w:cs="Times New Roman"/>
          <w:color w:val="000000"/>
          <w:sz w:val="28"/>
          <w:szCs w:val="28"/>
        </w:rPr>
        <w:t>Secondo l’indirizzo iniziale del cosiddetto sindacato estrinseco, ormai da tempo superato, al giudice amministrativo era permesso solo di verificare la legittimità dell’iter logico seguito dall’autorità, potendo lo stesso esclusivamente rilevare i vizi di manifesta illogicità e incongruenza, senza entrare nel merito della decisione.</w:t>
      </w:r>
    </w:p>
    <w:p w:rsidR="000D24A5" w:rsidRPr="002C4F71" w:rsidRDefault="000D24A5" w:rsidP="002C4F71">
      <w:pPr>
        <w:autoSpaceDE w:val="0"/>
        <w:autoSpaceDN w:val="0"/>
        <w:adjustRightInd w:val="0"/>
        <w:spacing w:after="0" w:line="360" w:lineRule="auto"/>
        <w:jc w:val="both"/>
        <w:rPr>
          <w:rFonts w:ascii="Times New Roman" w:hAnsi="Times New Roman" w:cs="Times New Roman"/>
          <w:color w:val="000000"/>
          <w:sz w:val="28"/>
          <w:szCs w:val="28"/>
        </w:rPr>
      </w:pPr>
      <w:r w:rsidRPr="002C4F71">
        <w:rPr>
          <w:rFonts w:ascii="Times New Roman" w:hAnsi="Times New Roman" w:cs="Times New Roman"/>
          <w:color w:val="000000"/>
          <w:sz w:val="28"/>
          <w:szCs w:val="28"/>
        </w:rPr>
        <w:t>Secondo la teoria del cosiddetto sindacato intrinseco, invece, inaugurata con la storica decisione della quarta sezione del Consiglio di Stato 9 aprile 1999, n. 601, grazie all’introduzione nel processo amministrativo della consulenza tecnica d’ufficio, ai sensi dell’art. 16, della legge 21 luglio 2000, n. 205</w:t>
      </w:r>
      <w:r w:rsidRPr="002C4F71">
        <w:rPr>
          <w:rStyle w:val="Rimandonotaapidipagina"/>
          <w:rFonts w:ascii="Times New Roman" w:hAnsi="Times New Roman" w:cs="Times New Roman"/>
          <w:color w:val="000000"/>
          <w:sz w:val="28"/>
          <w:szCs w:val="28"/>
        </w:rPr>
        <w:footnoteReference w:id="12"/>
      </w:r>
      <w:r w:rsidRPr="002C4F71">
        <w:rPr>
          <w:rFonts w:ascii="Times New Roman" w:hAnsi="Times New Roman" w:cs="Times New Roman"/>
          <w:color w:val="000000"/>
          <w:sz w:val="28"/>
          <w:szCs w:val="28"/>
        </w:rPr>
        <w:t>, il giudice amministrativo, avvalendosi delle stesse conoscenze tecniche dell’autorità, potrebbe verificare direttamente l’attendibilità del criterio tecnico adoperato dall’amministrazione e del procedimento applicativo seguito.</w:t>
      </w:r>
    </w:p>
    <w:p w:rsidR="000D24A5" w:rsidRPr="002C4F71" w:rsidRDefault="000D24A5" w:rsidP="002C4F71">
      <w:pPr>
        <w:autoSpaceDE w:val="0"/>
        <w:autoSpaceDN w:val="0"/>
        <w:adjustRightInd w:val="0"/>
        <w:spacing w:after="0" w:line="360" w:lineRule="auto"/>
        <w:jc w:val="both"/>
        <w:rPr>
          <w:rFonts w:ascii="Times New Roman" w:hAnsi="Times New Roman" w:cs="Times New Roman"/>
          <w:color w:val="000000"/>
          <w:sz w:val="28"/>
          <w:szCs w:val="28"/>
        </w:rPr>
      </w:pPr>
      <w:r w:rsidRPr="002C4F71">
        <w:rPr>
          <w:rFonts w:ascii="Times New Roman" w:hAnsi="Times New Roman" w:cs="Times New Roman"/>
          <w:color w:val="000000"/>
          <w:sz w:val="28"/>
          <w:szCs w:val="28"/>
        </w:rPr>
        <w:t>In relazione, invece, all’intensità del controllo, ci si è chiesti se il sindacato giurisdizionale potesse essere sostitutivo dell’azione amministrativa (cosiddetto sindacato forte), o se invece dovesse arrestarsi al mero annullamento della decisione, senza poter sovrapporre una autonoma valutazione degli interessi in gioco rispetto a quella in precedenza svolta dall’autorità (cosiddetto sindacato debole). La giurisprudenza, in conformità alle regole imposte dal principio di separazione dei poteri, ha condiviso con decisione il secondo orientamento, ritenendo che al giudice amministrativo sia permesso di riesaminare la valutazione compiuta dall’autorità, potendo sindacarla fino a mettere in discussione i criteri tecnici opinabili dalla stessa adottati, ma non di sostituirla con una propria</w:t>
      </w:r>
      <w:r w:rsidRPr="002C4F71">
        <w:rPr>
          <w:rStyle w:val="Rimandonotaapidipagina"/>
          <w:rFonts w:ascii="Times New Roman" w:hAnsi="Times New Roman" w:cs="Times New Roman"/>
          <w:color w:val="000000"/>
          <w:sz w:val="28"/>
          <w:szCs w:val="28"/>
        </w:rPr>
        <w:footnoteReference w:id="13"/>
      </w:r>
      <w:r w:rsidRPr="002C4F71">
        <w:rPr>
          <w:rFonts w:ascii="Times New Roman" w:hAnsi="Times New Roman" w:cs="Times New Roman"/>
          <w:color w:val="000000"/>
          <w:sz w:val="28"/>
          <w:szCs w:val="28"/>
        </w:rPr>
        <w:t>.</w:t>
      </w:r>
    </w:p>
    <w:p w:rsidR="000D24A5" w:rsidRPr="002C4F71" w:rsidRDefault="000D24A5" w:rsidP="002C4F71">
      <w:pPr>
        <w:autoSpaceDE w:val="0"/>
        <w:autoSpaceDN w:val="0"/>
        <w:adjustRightInd w:val="0"/>
        <w:spacing w:after="0" w:line="360" w:lineRule="auto"/>
        <w:jc w:val="both"/>
        <w:rPr>
          <w:rFonts w:ascii="Times New Roman" w:hAnsi="Times New Roman" w:cs="Times New Roman"/>
          <w:color w:val="000000"/>
          <w:sz w:val="28"/>
          <w:szCs w:val="28"/>
        </w:rPr>
      </w:pPr>
      <w:r w:rsidRPr="002C4F71">
        <w:rPr>
          <w:rFonts w:ascii="Times New Roman" w:hAnsi="Times New Roman" w:cs="Times New Roman"/>
          <w:sz w:val="28"/>
          <w:szCs w:val="28"/>
          <w:shd w:val="clear" w:color="auto" w:fill="FFFFFF"/>
        </w:rPr>
        <w:t xml:space="preserve"> “</w:t>
      </w:r>
      <w:r w:rsidRPr="002C4F71">
        <w:rPr>
          <w:rFonts w:ascii="Times New Roman" w:hAnsi="Times New Roman" w:cs="Times New Roman"/>
          <w:i/>
          <w:color w:val="272B33"/>
          <w:sz w:val="28"/>
          <w:szCs w:val="28"/>
          <w:shd w:val="clear" w:color="auto" w:fill="F8FBFD"/>
        </w:rPr>
        <w:t>Gli atti dell'Autorità per l'energia elettrica e il gas sono normalmente espressione di valutazioni tecniche e conseguentemente suscettibili di sindacato giurisdizionale, in applicazione di criteri intrinseci al settore che viene in rilievo, esclusivamente nel caso in cui l'Autorità abbia effettuato scelte che si pongono in contrasto con quello che può essere definito principio di ragionevolezza tecnica. Non è sufficiente che la determinazione assunta sia, sul piano del metodo e del procedimento seguito, meramente opinabile; non è consentito, infatti, al giudice amministrativo - in attuazione del principio costituzionale di separazione dei poteri - sostituire proprie valutazioni a quelle effettuate dall'Autorità. In definitiva, è, pertanto, necessario che le parti interessate deducano l'esistenza di specifiche figure sintomatiche dell'eccesso di potere mediante le quali dimostrare che la determinazione assunta dall'Autorità si pone in contrasto con il suddetto principio di ragionevolezza tecnica</w:t>
      </w:r>
      <w:r w:rsidRPr="002C4F71">
        <w:rPr>
          <w:rFonts w:ascii="Times New Roman" w:hAnsi="Times New Roman" w:cs="Times New Roman"/>
          <w:color w:val="272B33"/>
          <w:sz w:val="28"/>
          <w:szCs w:val="28"/>
          <w:shd w:val="clear" w:color="auto" w:fill="F8FBFD"/>
        </w:rPr>
        <w:t>”</w:t>
      </w:r>
      <w:r w:rsidRPr="002C4F71">
        <w:rPr>
          <w:rStyle w:val="Rimandonotaapidipagina"/>
          <w:rFonts w:ascii="Times New Roman" w:hAnsi="Times New Roman" w:cs="Times New Roman"/>
          <w:color w:val="272B33"/>
          <w:sz w:val="28"/>
          <w:szCs w:val="28"/>
          <w:shd w:val="clear" w:color="auto" w:fill="F8FBFD"/>
        </w:rPr>
        <w:footnoteReference w:id="14"/>
      </w:r>
      <w:r w:rsidRPr="002C4F71">
        <w:rPr>
          <w:rFonts w:ascii="Times New Roman" w:hAnsi="Times New Roman" w:cs="Times New Roman"/>
          <w:color w:val="272B33"/>
          <w:sz w:val="28"/>
          <w:szCs w:val="28"/>
          <w:shd w:val="clear" w:color="auto" w:fill="F8FBFD"/>
        </w:rPr>
        <w:t xml:space="preserve">. </w:t>
      </w:r>
    </w:p>
    <w:p w:rsidR="000D24A5" w:rsidRPr="002C4F71" w:rsidRDefault="000D24A5" w:rsidP="002C4F71">
      <w:pPr>
        <w:autoSpaceDE w:val="0"/>
        <w:autoSpaceDN w:val="0"/>
        <w:adjustRightInd w:val="0"/>
        <w:spacing w:after="0" w:line="360" w:lineRule="auto"/>
        <w:jc w:val="both"/>
        <w:rPr>
          <w:rFonts w:ascii="Times New Roman" w:hAnsi="Times New Roman" w:cs="Times New Roman"/>
          <w:color w:val="000000"/>
          <w:sz w:val="28"/>
          <w:szCs w:val="28"/>
        </w:rPr>
      </w:pPr>
      <w:r w:rsidRPr="002C4F71">
        <w:rPr>
          <w:rFonts w:ascii="Times New Roman" w:hAnsi="Times New Roman" w:cs="Times New Roman"/>
          <w:color w:val="000000"/>
          <w:sz w:val="28"/>
          <w:szCs w:val="28"/>
        </w:rPr>
        <w:t>La dicotomia sindacato forte/debole è stata superata con forza anche nella decisione con la quale il Consiglio di Stato ha evidenziato, oltre ogni formula definitoria, l’importanza di realizzare un sindacato tendente a un modello comune al livello europeo, in cui il principio di effettività della tutela giurisdizionale sia coniugato con la specificità delle controversie, e in cui sia attribuito al giudice il compito non di esercitare un potere assegnato dalla legge a un’autorità, ma di verificare se quest’ultimo sia stato correttamente esercitato</w:t>
      </w:r>
      <w:r w:rsidRPr="002C4F71">
        <w:rPr>
          <w:rStyle w:val="Rimandonotaapidipagina"/>
          <w:rFonts w:ascii="Times New Roman" w:hAnsi="Times New Roman" w:cs="Times New Roman"/>
          <w:color w:val="000000"/>
          <w:sz w:val="28"/>
          <w:szCs w:val="28"/>
        </w:rPr>
        <w:footnoteReference w:id="15"/>
      </w:r>
      <w:r w:rsidRPr="002C4F71">
        <w:rPr>
          <w:rFonts w:ascii="Times New Roman" w:hAnsi="Times New Roman" w:cs="Times New Roman"/>
          <w:color w:val="000000"/>
          <w:sz w:val="28"/>
          <w:szCs w:val="28"/>
        </w:rPr>
        <w:t>.</w:t>
      </w:r>
    </w:p>
    <w:p w:rsidR="000D24A5" w:rsidRPr="002C4F71" w:rsidRDefault="000D24A5" w:rsidP="002C4F71">
      <w:pPr>
        <w:autoSpaceDE w:val="0"/>
        <w:autoSpaceDN w:val="0"/>
        <w:adjustRightInd w:val="0"/>
        <w:spacing w:after="0"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rPr>
        <w:t xml:space="preserve"> “</w:t>
      </w:r>
      <w:r w:rsidRPr="002C4F71">
        <w:rPr>
          <w:rFonts w:ascii="Times New Roman" w:hAnsi="Times New Roman" w:cs="Times New Roman"/>
          <w:i/>
          <w:sz w:val="28"/>
          <w:szCs w:val="28"/>
          <w:shd w:val="clear" w:color="auto" w:fill="FFFFFF"/>
        </w:rPr>
        <w:t>Relativamente ai provvedimenti tecnici delle Autorità amministrative indipendenti, pur non potendo il giudice sostituirsi all'Amministrazione in ciò che è ad essa riservato, in ordine al merito della funzione amministrativa, il sindacato giurisdizionale non può limitarsi ad un esame estrinseco della valutazione discrezionale (secondo i noti parametri di logicità, congruità e completezza dell'istruttoria) ma deve estendersi, invece, dall'esatta rappresentazione dei fatti all'attendibilità delle operazioni tecniche, sotto il profilo della correttezza dei criteri applicati, secondo i parametri della disciplina nella fattispecie rilevante: quanto sopra in coerenza con il principio - costituzionale e comunitario - di effettività della tutela giurisdizionale. Tale principio impone che l'esercizio della discrezionalità tecnica sia verificabile nel giudizio di legittimità, sotto i profili della coerente applicazione delle regole tecniche, rilevanti per il settore, nonché della corrispondenza degli atti emessi ai dati concreti, in modo logico e non arbitrario; sia l'apprezzamento dei fatti che i profili tecnici, sottostanti al provvedimento, sono quindi censurabili, quando risulti superato il margine oggettivo di opinabilità delle scelte</w:t>
      </w:r>
      <w:r w:rsidRPr="002C4F71">
        <w:rPr>
          <w:rFonts w:ascii="Times New Roman" w:hAnsi="Times New Roman" w:cs="Times New Roman"/>
          <w:sz w:val="28"/>
          <w:szCs w:val="28"/>
          <w:shd w:val="clear" w:color="auto" w:fill="FFFFFF"/>
        </w:rPr>
        <w:t>”</w:t>
      </w:r>
      <w:r w:rsidRPr="002C4F71">
        <w:rPr>
          <w:rStyle w:val="Rimandonotaapidipagina"/>
          <w:rFonts w:ascii="Times New Roman" w:hAnsi="Times New Roman" w:cs="Times New Roman"/>
          <w:sz w:val="28"/>
          <w:szCs w:val="28"/>
          <w:shd w:val="clear" w:color="auto" w:fill="FFFFFF"/>
        </w:rPr>
        <w:footnoteReference w:id="16"/>
      </w:r>
      <w:r w:rsidRPr="002C4F71">
        <w:rPr>
          <w:rFonts w:ascii="Times New Roman" w:hAnsi="Times New Roman" w:cs="Times New Roman"/>
          <w:sz w:val="28"/>
          <w:szCs w:val="28"/>
          <w:shd w:val="clear" w:color="auto" w:fill="FFFFFF"/>
        </w:rPr>
        <w:t>.</w:t>
      </w:r>
    </w:p>
    <w:p w:rsidR="000D24A5" w:rsidRPr="002C4F71" w:rsidRDefault="000D24A5" w:rsidP="002C4F71">
      <w:pPr>
        <w:shd w:val="clear" w:color="auto" w:fill="F8FBFD"/>
        <w:spacing w:after="0" w:line="360" w:lineRule="auto"/>
        <w:jc w:val="both"/>
        <w:textAlignment w:val="baseline"/>
        <w:rPr>
          <w:rFonts w:ascii="Times New Roman" w:eastAsia="Times New Roman" w:hAnsi="Times New Roman" w:cs="Times New Roman"/>
          <w:color w:val="272B33"/>
          <w:sz w:val="28"/>
          <w:szCs w:val="28"/>
          <w:lang w:eastAsia="it-IT"/>
        </w:rPr>
      </w:pPr>
      <w:r w:rsidRPr="002C4F71">
        <w:rPr>
          <w:rFonts w:ascii="Times New Roman" w:eastAsia="Times New Roman" w:hAnsi="Times New Roman" w:cs="Times New Roman"/>
          <w:color w:val="272B33"/>
          <w:sz w:val="28"/>
          <w:szCs w:val="28"/>
          <w:lang w:eastAsia="it-IT"/>
        </w:rPr>
        <w:t>“</w:t>
      </w:r>
      <w:r w:rsidRPr="002C4F71">
        <w:rPr>
          <w:rFonts w:ascii="Times New Roman" w:eastAsia="Times New Roman" w:hAnsi="Times New Roman" w:cs="Times New Roman"/>
          <w:i/>
          <w:color w:val="272B33"/>
          <w:sz w:val="28"/>
          <w:szCs w:val="28"/>
          <w:lang w:eastAsia="it-IT"/>
        </w:rPr>
        <w:t xml:space="preserve">Le scelte </w:t>
      </w:r>
      <w:proofErr w:type="spellStart"/>
      <w:r w:rsidRPr="002C4F71">
        <w:rPr>
          <w:rFonts w:ascii="Times New Roman" w:eastAsia="Times New Roman" w:hAnsi="Times New Roman" w:cs="Times New Roman"/>
          <w:i/>
          <w:color w:val="272B33"/>
          <w:sz w:val="28"/>
          <w:szCs w:val="28"/>
          <w:lang w:eastAsia="it-IT"/>
        </w:rPr>
        <w:t>regolatorie</w:t>
      </w:r>
      <w:proofErr w:type="spellEnd"/>
      <w:r w:rsidRPr="002C4F71">
        <w:rPr>
          <w:rFonts w:ascii="Times New Roman" w:eastAsia="Times New Roman" w:hAnsi="Times New Roman" w:cs="Times New Roman"/>
          <w:i/>
          <w:color w:val="272B33"/>
          <w:sz w:val="28"/>
          <w:szCs w:val="28"/>
          <w:lang w:eastAsia="it-IT"/>
        </w:rPr>
        <w:t xml:space="preserve"> compiute dall'Autorità per l'Energia Elettrica ed il Gas (AEEG), specie quelle che incidono sui meccanismi tariffari, sono spesso caratterizzate da un elevato tasso di complessità tecnica, in quanto normalmente presuppongono o sottendono questioni specialistiche la cui risoluzione richiede l'impiego di concetti e nozioni appartenenti a discipline di settore, di carattere prevalentemente economico e finanziario. A fronte di valutazioni tecnicamente complesse il sindacato giurisdizionale deve avvenire «con gli occhi dell'esperto», ovvero riutilizzando le stesse regole tecniche impiegate dall'Autorità: il giudice deve valutare se, da un punto di vista tecnico-specialistico, la scelta dell'Autorità risulti attendibile e ragionevole, senza confondere il piano della difficile intelligibilità (che è il riflesso fisiologico della complessità tecnica della materia regolata) con quello della irragionevolezza o dell'inadeguatezza motivazione. La necessità di un sindacato intrinseco e forte sotto questo profilo rappresenta allora una forma di garanzia non solo per il privato, ma anche e prima ancora per l'Autorità, onde evitare che scelte </w:t>
      </w:r>
      <w:proofErr w:type="spellStart"/>
      <w:r w:rsidRPr="002C4F71">
        <w:rPr>
          <w:rFonts w:ascii="Times New Roman" w:eastAsia="Times New Roman" w:hAnsi="Times New Roman" w:cs="Times New Roman"/>
          <w:i/>
          <w:color w:val="272B33"/>
          <w:sz w:val="28"/>
          <w:szCs w:val="28"/>
          <w:lang w:eastAsia="it-IT"/>
        </w:rPr>
        <w:t>regolatorie</w:t>
      </w:r>
      <w:proofErr w:type="spellEnd"/>
      <w:r w:rsidRPr="002C4F71">
        <w:rPr>
          <w:rFonts w:ascii="Times New Roman" w:eastAsia="Times New Roman" w:hAnsi="Times New Roman" w:cs="Times New Roman"/>
          <w:i/>
          <w:color w:val="272B33"/>
          <w:sz w:val="28"/>
          <w:szCs w:val="28"/>
          <w:lang w:eastAsia="it-IT"/>
        </w:rPr>
        <w:t xml:space="preserve"> supportate da una adeguata motivazione tecnica possano essere censurate solo perché risultano, se guardate dall'esterno, di difficile comprensione</w:t>
      </w:r>
      <w:r w:rsidRPr="002C4F71">
        <w:rPr>
          <w:rFonts w:ascii="Times New Roman" w:eastAsia="Times New Roman" w:hAnsi="Times New Roman" w:cs="Times New Roman"/>
          <w:color w:val="272B33"/>
          <w:sz w:val="28"/>
          <w:szCs w:val="28"/>
          <w:lang w:eastAsia="it-IT"/>
        </w:rPr>
        <w:t>”</w:t>
      </w:r>
      <w:r w:rsidRPr="002C4F71">
        <w:rPr>
          <w:rStyle w:val="Rimandonotaapidipagina"/>
          <w:rFonts w:ascii="Times New Roman" w:eastAsia="Times New Roman" w:hAnsi="Times New Roman" w:cs="Times New Roman"/>
          <w:color w:val="272B33"/>
          <w:sz w:val="28"/>
          <w:szCs w:val="28"/>
          <w:lang w:eastAsia="it-IT"/>
        </w:rPr>
        <w:footnoteReference w:id="17"/>
      </w:r>
      <w:r w:rsidRPr="002C4F71">
        <w:rPr>
          <w:rFonts w:ascii="Times New Roman" w:eastAsia="Times New Roman" w:hAnsi="Times New Roman" w:cs="Times New Roman"/>
          <w:color w:val="272B33"/>
          <w:sz w:val="28"/>
          <w:szCs w:val="28"/>
          <w:lang w:eastAsia="it-IT"/>
        </w:rPr>
        <w:t>.</w:t>
      </w:r>
    </w:p>
    <w:p w:rsidR="000D24A5" w:rsidRPr="002C4F71" w:rsidRDefault="000D24A5" w:rsidP="002C4F71">
      <w:pPr>
        <w:autoSpaceDE w:val="0"/>
        <w:autoSpaceDN w:val="0"/>
        <w:adjustRightInd w:val="0"/>
        <w:spacing w:after="0" w:line="360" w:lineRule="auto"/>
        <w:jc w:val="both"/>
        <w:rPr>
          <w:rFonts w:ascii="Times New Roman" w:hAnsi="Times New Roman" w:cs="Times New Roman"/>
          <w:color w:val="000000"/>
          <w:sz w:val="28"/>
          <w:szCs w:val="28"/>
        </w:rPr>
      </w:pPr>
      <w:r w:rsidRPr="002C4F71">
        <w:rPr>
          <w:rFonts w:ascii="Times New Roman" w:hAnsi="Times New Roman" w:cs="Times New Roman"/>
          <w:color w:val="000000"/>
          <w:sz w:val="28"/>
          <w:szCs w:val="28"/>
        </w:rPr>
        <w:t>Sul punto sono intervenute anche le Sezioni unite della Corte di Cassazione</w:t>
      </w:r>
      <w:r w:rsidRPr="002C4F71">
        <w:rPr>
          <w:rStyle w:val="Rimandonotaapidipagina"/>
          <w:rFonts w:ascii="Times New Roman" w:hAnsi="Times New Roman" w:cs="Times New Roman"/>
          <w:color w:val="000000"/>
          <w:sz w:val="28"/>
          <w:szCs w:val="28"/>
        </w:rPr>
        <w:footnoteReference w:id="18"/>
      </w:r>
      <w:r w:rsidRPr="002C4F71">
        <w:rPr>
          <w:rFonts w:ascii="Times New Roman" w:hAnsi="Times New Roman" w:cs="Times New Roman"/>
          <w:color w:val="000000"/>
          <w:sz w:val="28"/>
          <w:szCs w:val="28"/>
        </w:rPr>
        <w:t xml:space="preserve"> che, riprendendo alcuni precedenti</w:t>
      </w:r>
      <w:r w:rsidRPr="002C4F71">
        <w:rPr>
          <w:rStyle w:val="Rimandonotaapidipagina"/>
          <w:rFonts w:ascii="Times New Roman" w:hAnsi="Times New Roman" w:cs="Times New Roman"/>
          <w:color w:val="000000"/>
          <w:sz w:val="28"/>
          <w:szCs w:val="28"/>
        </w:rPr>
        <w:footnoteReference w:id="19"/>
      </w:r>
      <w:r w:rsidRPr="002C4F71">
        <w:rPr>
          <w:rFonts w:ascii="Times New Roman" w:hAnsi="Times New Roman" w:cs="Times New Roman"/>
          <w:color w:val="000000"/>
          <w:sz w:val="28"/>
          <w:szCs w:val="28"/>
        </w:rPr>
        <w:t>, hanno confermato la tesi secondo cui il sindacato di legittimità del giudice amministrativo sui provvedimenti delle autorità indipendenti comporta la verifica diretta dei fatti posti a fondamento del provvedimento impugnato e si estende anche ai profili tecnici. Ove tali valutazioni però includano apprezzamenti che abbiano un oggettivo margine di opinabilità, il sindacato, oltre che in un controllo di ragionevolezza, logicità e coerenza della motivazione del provvedimento impugnato, è limitato alla verifica della non e</w:t>
      </w:r>
      <w:r w:rsidR="00F80E9A">
        <w:rPr>
          <w:rFonts w:ascii="Times New Roman" w:hAnsi="Times New Roman" w:cs="Times New Roman"/>
          <w:color w:val="000000"/>
          <w:sz w:val="28"/>
          <w:szCs w:val="28"/>
        </w:rPr>
        <w:t xml:space="preserve">ccedenza </w:t>
      </w:r>
      <w:r w:rsidRPr="002C4F71">
        <w:rPr>
          <w:rFonts w:ascii="Times New Roman" w:hAnsi="Times New Roman" w:cs="Times New Roman"/>
          <w:color w:val="000000"/>
          <w:sz w:val="28"/>
          <w:szCs w:val="28"/>
        </w:rPr>
        <w:t xml:space="preserve">dai suddetti margini di opinabilità, non potendo il giudice sostituire il proprio apprezzamento a quello dell’autorità. </w:t>
      </w:r>
    </w:p>
    <w:p w:rsidR="007B70D0" w:rsidRPr="002C4F71" w:rsidRDefault="00DD676C" w:rsidP="002C4F71">
      <w:pPr>
        <w:autoSpaceDE w:val="0"/>
        <w:autoSpaceDN w:val="0"/>
        <w:adjustRightInd w:val="0"/>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L</w:t>
      </w:r>
      <w:r w:rsidR="001B4158" w:rsidRPr="002C4F71">
        <w:rPr>
          <w:rFonts w:ascii="Times New Roman" w:hAnsi="Times New Roman" w:cs="Times New Roman"/>
          <w:sz w:val="28"/>
          <w:szCs w:val="28"/>
        </w:rPr>
        <w:t xml:space="preserve">a giurisprudenza </w:t>
      </w:r>
      <w:r w:rsidRPr="002C4F71">
        <w:rPr>
          <w:rFonts w:ascii="Times New Roman" w:hAnsi="Times New Roman" w:cs="Times New Roman"/>
          <w:sz w:val="28"/>
          <w:szCs w:val="28"/>
        </w:rPr>
        <w:t>europea è giunta ai medesimi risultati</w:t>
      </w:r>
      <w:r w:rsidR="001B4158" w:rsidRPr="002C4F71">
        <w:rPr>
          <w:rFonts w:ascii="Times New Roman" w:hAnsi="Times New Roman" w:cs="Times New Roman"/>
          <w:sz w:val="28"/>
          <w:szCs w:val="28"/>
        </w:rPr>
        <w:t xml:space="preserve"> </w:t>
      </w:r>
      <w:r w:rsidRPr="002C4F71">
        <w:rPr>
          <w:rFonts w:ascii="Times New Roman" w:hAnsi="Times New Roman" w:cs="Times New Roman"/>
          <w:sz w:val="28"/>
          <w:szCs w:val="28"/>
        </w:rPr>
        <w:t xml:space="preserve">riguardo </w:t>
      </w:r>
      <w:r w:rsidR="001B4158" w:rsidRPr="002C4F71">
        <w:rPr>
          <w:rFonts w:ascii="Times New Roman" w:hAnsi="Times New Roman" w:cs="Times New Roman"/>
          <w:sz w:val="28"/>
          <w:szCs w:val="28"/>
        </w:rPr>
        <w:t>alle valutazioni economiche complesse compiute dalla Commissione europea</w:t>
      </w:r>
      <w:r w:rsidR="007B70D0" w:rsidRPr="002C4F71">
        <w:rPr>
          <w:rStyle w:val="Rimandonotaapidipagina"/>
          <w:rFonts w:ascii="Times New Roman" w:hAnsi="Times New Roman" w:cs="Times New Roman"/>
          <w:sz w:val="28"/>
          <w:szCs w:val="28"/>
        </w:rPr>
        <w:footnoteReference w:id="20"/>
      </w:r>
      <w:r w:rsidR="007B70D0" w:rsidRPr="002C4F71">
        <w:rPr>
          <w:rFonts w:ascii="Times New Roman" w:hAnsi="Times New Roman" w:cs="Times New Roman"/>
          <w:sz w:val="28"/>
          <w:szCs w:val="28"/>
        </w:rPr>
        <w:t>.</w:t>
      </w:r>
    </w:p>
    <w:p w:rsidR="00F4347B" w:rsidRPr="002C4F71" w:rsidRDefault="009B171F" w:rsidP="002C4F71">
      <w:pPr>
        <w:spacing w:after="0"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A</w:t>
      </w:r>
      <w:r w:rsidR="00F4347B" w:rsidRPr="002C4F71">
        <w:rPr>
          <w:rFonts w:ascii="Times New Roman" w:hAnsi="Times New Roman" w:cs="Times New Roman"/>
          <w:sz w:val="28"/>
          <w:szCs w:val="28"/>
          <w:shd w:val="clear" w:color="auto" w:fill="FFFFFF"/>
        </w:rPr>
        <w:t>l fine di migliorare l’efficacia dell’azione della giurisdizione</w:t>
      </w:r>
      <w:r w:rsidRPr="002C4F71">
        <w:rPr>
          <w:rFonts w:ascii="Times New Roman" w:hAnsi="Times New Roman" w:cs="Times New Roman"/>
          <w:sz w:val="28"/>
          <w:szCs w:val="28"/>
          <w:shd w:val="clear" w:color="auto" w:fill="FFFFFF"/>
        </w:rPr>
        <w:t xml:space="preserve"> amministrativa in tema di discrezionalità tecnica</w:t>
      </w:r>
      <w:r w:rsidR="00F4347B" w:rsidRPr="002C4F71">
        <w:rPr>
          <w:rFonts w:ascii="Times New Roman" w:hAnsi="Times New Roman" w:cs="Times New Roman"/>
          <w:sz w:val="28"/>
          <w:szCs w:val="28"/>
          <w:shd w:val="clear" w:color="auto" w:fill="FFFFFF"/>
        </w:rPr>
        <w:t xml:space="preserve">, sussistono </w:t>
      </w:r>
      <w:r w:rsidR="005956A8" w:rsidRPr="002C4F71">
        <w:rPr>
          <w:rFonts w:ascii="Times New Roman" w:hAnsi="Times New Roman" w:cs="Times New Roman"/>
          <w:sz w:val="28"/>
          <w:szCs w:val="28"/>
          <w:shd w:val="clear" w:color="auto" w:fill="FFFFFF"/>
        </w:rPr>
        <w:t xml:space="preserve">possibilità di evoluzione </w:t>
      </w:r>
      <w:r w:rsidR="00F4347B" w:rsidRPr="002C4F71">
        <w:rPr>
          <w:rFonts w:ascii="Times New Roman" w:hAnsi="Times New Roman" w:cs="Times New Roman"/>
          <w:sz w:val="28"/>
          <w:szCs w:val="28"/>
          <w:shd w:val="clear" w:color="auto" w:fill="FFFFFF"/>
        </w:rPr>
        <w:t xml:space="preserve">delle modalità di esplicazione della funzione giurisdizionale </w:t>
      </w:r>
      <w:r w:rsidR="005956A8" w:rsidRPr="002C4F71">
        <w:rPr>
          <w:rFonts w:ascii="Times New Roman" w:hAnsi="Times New Roman" w:cs="Times New Roman"/>
          <w:sz w:val="28"/>
          <w:szCs w:val="28"/>
          <w:shd w:val="clear" w:color="auto" w:fill="FFFFFF"/>
        </w:rPr>
        <w:t>per il futuro</w:t>
      </w:r>
      <w:r w:rsidR="00F4347B" w:rsidRPr="002C4F71">
        <w:rPr>
          <w:rFonts w:ascii="Times New Roman" w:hAnsi="Times New Roman" w:cs="Times New Roman"/>
          <w:sz w:val="28"/>
          <w:szCs w:val="28"/>
          <w:shd w:val="clear" w:color="auto" w:fill="FFFFFF"/>
        </w:rPr>
        <w:t>.</w:t>
      </w:r>
    </w:p>
    <w:p w:rsidR="00DD5F07" w:rsidRPr="002C4F71" w:rsidRDefault="00F4347B" w:rsidP="002C4F71">
      <w:pPr>
        <w:spacing w:after="0"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 xml:space="preserve">Una proposta </w:t>
      </w:r>
      <w:r w:rsidR="009B171F" w:rsidRPr="002C4F71">
        <w:rPr>
          <w:rFonts w:ascii="Times New Roman" w:hAnsi="Times New Roman" w:cs="Times New Roman"/>
          <w:sz w:val="28"/>
          <w:szCs w:val="28"/>
          <w:shd w:val="clear" w:color="auto" w:fill="FFFFFF"/>
        </w:rPr>
        <w:t xml:space="preserve">potrebbe </w:t>
      </w:r>
      <w:r w:rsidRPr="002C4F71">
        <w:rPr>
          <w:rFonts w:ascii="Times New Roman" w:hAnsi="Times New Roman" w:cs="Times New Roman"/>
          <w:sz w:val="28"/>
          <w:szCs w:val="28"/>
          <w:shd w:val="clear" w:color="auto" w:fill="FFFFFF"/>
        </w:rPr>
        <w:t>riguarda</w:t>
      </w:r>
      <w:r w:rsidR="009B171F" w:rsidRPr="002C4F71">
        <w:rPr>
          <w:rFonts w:ascii="Times New Roman" w:hAnsi="Times New Roman" w:cs="Times New Roman"/>
          <w:sz w:val="28"/>
          <w:szCs w:val="28"/>
          <w:shd w:val="clear" w:color="auto" w:fill="FFFFFF"/>
        </w:rPr>
        <w:t>re</w:t>
      </w:r>
      <w:r w:rsidRPr="002C4F71">
        <w:rPr>
          <w:rFonts w:ascii="Times New Roman" w:hAnsi="Times New Roman" w:cs="Times New Roman"/>
          <w:sz w:val="28"/>
          <w:szCs w:val="28"/>
          <w:shd w:val="clear" w:color="auto" w:fill="FFFFFF"/>
        </w:rPr>
        <w:t xml:space="preserve"> la possibilità di </w:t>
      </w:r>
      <w:r w:rsidR="005956A8" w:rsidRPr="002C4F71">
        <w:rPr>
          <w:rFonts w:ascii="Times New Roman" w:hAnsi="Times New Roman" w:cs="Times New Roman"/>
          <w:sz w:val="28"/>
          <w:szCs w:val="28"/>
          <w:shd w:val="clear" w:color="auto" w:fill="FFFFFF"/>
        </w:rPr>
        <w:t>integrazione dei collegi giudicanti con tecnici laici</w:t>
      </w:r>
      <w:r w:rsidRPr="002C4F71">
        <w:rPr>
          <w:rFonts w:ascii="Times New Roman" w:hAnsi="Times New Roman" w:cs="Times New Roman"/>
          <w:sz w:val="28"/>
          <w:szCs w:val="28"/>
          <w:shd w:val="clear" w:color="auto" w:fill="FFFFFF"/>
        </w:rPr>
        <w:t xml:space="preserve">. </w:t>
      </w:r>
    </w:p>
    <w:p w:rsidR="00DD5F07" w:rsidRPr="002C4F71" w:rsidRDefault="00F4347B" w:rsidP="002C4F71">
      <w:pPr>
        <w:spacing w:after="0"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P</w:t>
      </w:r>
      <w:r w:rsidR="00DD5F07" w:rsidRPr="002C4F71">
        <w:rPr>
          <w:rFonts w:ascii="Times New Roman" w:hAnsi="Times New Roman" w:cs="Times New Roman"/>
          <w:sz w:val="28"/>
          <w:szCs w:val="28"/>
          <w:shd w:val="clear" w:color="auto" w:fill="FFFFFF"/>
        </w:rPr>
        <w:t>iù specificamente, nell’ipotesi di controversie che concernono materie di particolare tecnicità e che richiedono, dunque, per la loro definizione, anche la competenza tecnica di professionisti del settore, come la materia degli appalti pubblici o quella delle autorità indipendenti, il giudice amministrativo è obbligato a ricorrere agli strumenti della verificazione o della consulenza tecnica d’ufficio.</w:t>
      </w:r>
    </w:p>
    <w:p w:rsidR="00DD5F07" w:rsidRPr="002C4F71" w:rsidRDefault="00DD5F07" w:rsidP="002C4F71">
      <w:pPr>
        <w:spacing w:after="0"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Questo comporta, oltre ad una notevole estensione della durata del giudizio, anche un rilevante aumento delle spese processuali che dovranno essere poste a carico della parte soccombente, spese che ricomprender</w:t>
      </w:r>
      <w:r w:rsidR="00E2033C" w:rsidRPr="002C4F71">
        <w:rPr>
          <w:rFonts w:ascii="Times New Roman" w:hAnsi="Times New Roman" w:cs="Times New Roman"/>
          <w:sz w:val="28"/>
          <w:szCs w:val="28"/>
          <w:shd w:val="clear" w:color="auto" w:fill="FFFFFF"/>
        </w:rPr>
        <w:t>anno</w:t>
      </w:r>
      <w:r w:rsidRPr="002C4F71">
        <w:rPr>
          <w:rFonts w:ascii="Times New Roman" w:hAnsi="Times New Roman" w:cs="Times New Roman"/>
          <w:sz w:val="28"/>
          <w:szCs w:val="28"/>
          <w:shd w:val="clear" w:color="auto" w:fill="FFFFFF"/>
        </w:rPr>
        <w:t xml:space="preserve"> anche la parcella del consulente tecnico di ufficio nominato dal collegio giudicante, nonché, per tutte le parti, anche quelle dei rispettivi consulenti tecnici nominati per l’esplicazione dell’incombente istruttorio.</w:t>
      </w:r>
    </w:p>
    <w:p w:rsidR="00DD5F07" w:rsidRPr="002C4F71" w:rsidRDefault="00DD5F07" w:rsidP="002C4F71">
      <w:pPr>
        <w:spacing w:after="0" w:line="360" w:lineRule="auto"/>
        <w:jc w:val="both"/>
        <w:rPr>
          <w:rFonts w:ascii="Times New Roman" w:hAnsi="Times New Roman" w:cs="Times New Roman"/>
          <w:sz w:val="28"/>
          <w:szCs w:val="28"/>
          <w:shd w:val="clear" w:color="auto" w:fill="FFFFFF"/>
        </w:rPr>
      </w:pPr>
      <w:r w:rsidRPr="002C4F71">
        <w:rPr>
          <w:rFonts w:ascii="Times New Roman" w:hAnsi="Times New Roman" w:cs="Times New Roman"/>
          <w:sz w:val="28"/>
          <w:szCs w:val="28"/>
          <w:shd w:val="clear" w:color="auto" w:fill="FFFFFF"/>
        </w:rPr>
        <w:t xml:space="preserve">Sussiste, inoltre, in questi casi, il pericolo della </w:t>
      </w:r>
      <w:r w:rsidR="00C51856" w:rsidRPr="002C4F71">
        <w:rPr>
          <w:rFonts w:ascii="Times New Roman" w:hAnsi="Times New Roman" w:cs="Times New Roman"/>
          <w:sz w:val="28"/>
          <w:szCs w:val="28"/>
          <w:shd w:val="clear" w:color="auto" w:fill="FFFFFF"/>
        </w:rPr>
        <w:t xml:space="preserve">cosiddetta </w:t>
      </w:r>
      <w:r w:rsidRPr="002C4F71">
        <w:rPr>
          <w:rFonts w:ascii="Times New Roman" w:hAnsi="Times New Roman" w:cs="Times New Roman"/>
          <w:sz w:val="28"/>
          <w:szCs w:val="28"/>
          <w:shd w:val="clear" w:color="auto" w:fill="FFFFFF"/>
        </w:rPr>
        <w:t xml:space="preserve">“cattura” del consulente, il quale, pur essendo vincolato dagli obblighi connessi all’espletamento della sua professione, resta </w:t>
      </w:r>
      <w:r w:rsidR="00E2033C" w:rsidRPr="002C4F71">
        <w:rPr>
          <w:rFonts w:ascii="Times New Roman" w:hAnsi="Times New Roman" w:cs="Times New Roman"/>
          <w:sz w:val="28"/>
          <w:szCs w:val="28"/>
          <w:shd w:val="clear" w:color="auto" w:fill="FFFFFF"/>
        </w:rPr>
        <w:t xml:space="preserve">pur </w:t>
      </w:r>
      <w:r w:rsidRPr="002C4F71">
        <w:rPr>
          <w:rFonts w:ascii="Times New Roman" w:hAnsi="Times New Roman" w:cs="Times New Roman"/>
          <w:sz w:val="28"/>
          <w:szCs w:val="28"/>
          <w:shd w:val="clear" w:color="auto" w:fill="FFFFFF"/>
        </w:rPr>
        <w:t>sempre un privato.</w:t>
      </w:r>
    </w:p>
    <w:p w:rsidR="001F6808" w:rsidRPr="002C4F71" w:rsidRDefault="001F6808" w:rsidP="002C4F71">
      <w:pPr>
        <w:spacing w:after="0" w:line="360" w:lineRule="auto"/>
        <w:jc w:val="both"/>
        <w:rPr>
          <w:rStyle w:val="s12"/>
          <w:rFonts w:ascii="Times New Roman" w:hAnsi="Times New Roman" w:cs="Times New Roman"/>
          <w:sz w:val="28"/>
          <w:szCs w:val="28"/>
        </w:rPr>
      </w:pPr>
      <w:r w:rsidRPr="002C4F71">
        <w:rPr>
          <w:rFonts w:ascii="Times New Roman" w:hAnsi="Times New Roman" w:cs="Times New Roman"/>
          <w:sz w:val="28"/>
          <w:szCs w:val="28"/>
          <w:shd w:val="clear" w:color="auto" w:fill="FFFFFF"/>
        </w:rPr>
        <w:t>Per evitare i su</w:t>
      </w:r>
      <w:r w:rsidR="00C51856" w:rsidRPr="002C4F71">
        <w:rPr>
          <w:rFonts w:ascii="Times New Roman" w:hAnsi="Times New Roman" w:cs="Times New Roman"/>
          <w:sz w:val="28"/>
          <w:szCs w:val="28"/>
          <w:shd w:val="clear" w:color="auto" w:fill="FFFFFF"/>
        </w:rPr>
        <w:t>ccitati</w:t>
      </w:r>
      <w:r w:rsidRPr="002C4F71">
        <w:rPr>
          <w:rFonts w:ascii="Times New Roman" w:hAnsi="Times New Roman" w:cs="Times New Roman"/>
          <w:sz w:val="28"/>
          <w:szCs w:val="28"/>
          <w:shd w:val="clear" w:color="auto" w:fill="FFFFFF"/>
        </w:rPr>
        <w:t xml:space="preserve"> rilevanti inconvenienti, si potrebbe introdurre una modifica al codice del processo amministrativo che contempli, per i casi di controversie concernenti particolari materie, la possibilità di decisione del collegio giudicante in composizione allargata, </w:t>
      </w:r>
      <w:r w:rsidRPr="002C4F71">
        <w:rPr>
          <w:rStyle w:val="s12"/>
          <w:rFonts w:ascii="Times New Roman" w:hAnsi="Times New Roman" w:cs="Times New Roman"/>
          <w:sz w:val="28"/>
          <w:szCs w:val="28"/>
        </w:rPr>
        <w:t>cioè comprensiva di membri laici.</w:t>
      </w:r>
    </w:p>
    <w:p w:rsidR="001F6808" w:rsidRPr="002C4F71" w:rsidRDefault="001F6808" w:rsidP="002C4F71">
      <w:pPr>
        <w:spacing w:after="0" w:line="360" w:lineRule="auto"/>
        <w:jc w:val="both"/>
        <w:rPr>
          <w:rStyle w:val="s12"/>
          <w:rFonts w:ascii="Times New Roman" w:hAnsi="Times New Roman" w:cs="Times New Roman"/>
          <w:sz w:val="28"/>
          <w:szCs w:val="28"/>
        </w:rPr>
      </w:pPr>
      <w:r w:rsidRPr="002C4F71">
        <w:rPr>
          <w:rStyle w:val="s12"/>
          <w:rFonts w:ascii="Times New Roman" w:hAnsi="Times New Roman" w:cs="Times New Roman"/>
          <w:sz w:val="28"/>
          <w:szCs w:val="28"/>
        </w:rPr>
        <w:t>Tali soggetti svolgerebbero, dunque, una funzione coadiuvante per i giudici togati, risolvendo le problematiche di rilievo tecnico che si presentano in certe circostanze nell’ambito della stessa camera di consiglio, permettendo, quindi, una sollecita decisione della causa senza ulteriori rinvii e senza spese aggiuntive, se non quelle connesse ad un’indennità fissa ai medesimi spettante.</w:t>
      </w:r>
    </w:p>
    <w:p w:rsidR="00E2033C" w:rsidRPr="002C4F71" w:rsidRDefault="00E2033C" w:rsidP="002C4F71">
      <w:pPr>
        <w:spacing w:after="0" w:line="360" w:lineRule="auto"/>
        <w:jc w:val="both"/>
        <w:rPr>
          <w:rStyle w:val="s12"/>
          <w:rFonts w:ascii="Times New Roman" w:hAnsi="Times New Roman" w:cs="Times New Roman"/>
          <w:sz w:val="28"/>
          <w:szCs w:val="28"/>
        </w:rPr>
      </w:pPr>
      <w:r w:rsidRPr="002C4F71">
        <w:rPr>
          <w:rStyle w:val="s12"/>
          <w:rFonts w:ascii="Times New Roman" w:hAnsi="Times New Roman" w:cs="Times New Roman"/>
          <w:sz w:val="28"/>
          <w:szCs w:val="28"/>
        </w:rPr>
        <w:t>Tale soluzione vincolerebbe, inoltre, i tecnici in maniera molto più forte al rispetto della segretezza e dell’imparzialità, come tutti gli altri membri del collegio giudicante, e sarebbe conforme al disposto dell’art. 102, comma 2, della Costituzione.</w:t>
      </w:r>
    </w:p>
    <w:p w:rsidR="009B171F" w:rsidRPr="002C4F71" w:rsidRDefault="009B171F" w:rsidP="002C4F71">
      <w:pPr>
        <w:pStyle w:val="Default"/>
        <w:spacing w:line="360" w:lineRule="auto"/>
        <w:jc w:val="center"/>
        <w:rPr>
          <w:rFonts w:ascii="Times New Roman" w:hAnsi="Times New Roman" w:cs="Times New Roman"/>
          <w:color w:val="auto"/>
          <w:sz w:val="28"/>
          <w:szCs w:val="28"/>
          <w:shd w:val="clear" w:color="auto" w:fill="FFFFFF"/>
        </w:rPr>
      </w:pPr>
    </w:p>
    <w:p w:rsidR="000D24A5" w:rsidRPr="002C4F71" w:rsidRDefault="000D24A5" w:rsidP="002C4F71">
      <w:pPr>
        <w:pStyle w:val="Default"/>
        <w:spacing w:line="360" w:lineRule="auto"/>
        <w:jc w:val="both"/>
        <w:rPr>
          <w:rFonts w:ascii="Times New Roman" w:hAnsi="Times New Roman" w:cs="Times New Roman"/>
          <w:color w:val="auto"/>
          <w:sz w:val="28"/>
          <w:szCs w:val="28"/>
          <w:shd w:val="clear" w:color="auto" w:fill="FFFFFF"/>
        </w:rPr>
      </w:pPr>
      <w:r w:rsidRPr="002C4F71">
        <w:rPr>
          <w:rFonts w:ascii="Times New Roman" w:hAnsi="Times New Roman" w:cs="Times New Roman"/>
          <w:b/>
          <w:sz w:val="28"/>
          <w:szCs w:val="28"/>
        </w:rPr>
        <w:t>4. P</w:t>
      </w:r>
      <w:r w:rsidRPr="002C4F71">
        <w:rPr>
          <w:rFonts w:ascii="Times New Roman" w:hAnsi="Times New Roman" w:cs="Times New Roman"/>
          <w:b/>
          <w:sz w:val="28"/>
          <w:szCs w:val="28"/>
          <w:shd w:val="clear" w:color="auto" w:fill="FFFFFF"/>
        </w:rPr>
        <w:t xml:space="preserve">otere </w:t>
      </w:r>
      <w:proofErr w:type="spellStart"/>
      <w:r w:rsidRPr="002C4F71">
        <w:rPr>
          <w:rFonts w:ascii="Times New Roman" w:hAnsi="Times New Roman" w:cs="Times New Roman"/>
          <w:b/>
          <w:sz w:val="28"/>
          <w:szCs w:val="28"/>
          <w:shd w:val="clear" w:color="auto" w:fill="FFFFFF"/>
        </w:rPr>
        <w:t>regolatorio</w:t>
      </w:r>
      <w:proofErr w:type="spellEnd"/>
      <w:r w:rsidR="009B58D0" w:rsidRPr="002C4F71">
        <w:rPr>
          <w:rFonts w:ascii="Times New Roman" w:hAnsi="Times New Roman" w:cs="Times New Roman"/>
          <w:b/>
          <w:sz w:val="28"/>
          <w:szCs w:val="28"/>
          <w:shd w:val="clear" w:color="auto" w:fill="FFFFFF"/>
        </w:rPr>
        <w:t xml:space="preserve">, principio di legalità e </w:t>
      </w:r>
      <w:r w:rsidRPr="002C4F71">
        <w:rPr>
          <w:rFonts w:ascii="Times New Roman" w:hAnsi="Times New Roman" w:cs="Times New Roman"/>
          <w:b/>
          <w:sz w:val="28"/>
          <w:szCs w:val="28"/>
          <w:shd w:val="clear" w:color="auto" w:fill="FFFFFF"/>
        </w:rPr>
        <w:t>autonomia contrattuale.</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E’ progressivamente maturato un ampio dibattito in dottrina e giurisprudenza in ordine alla sussistenza o meno, nell’ambito dell’esplicazione della potestà di regolazione delle Autorità Amministrative Indipendenti, del potere di intervenire </w:t>
      </w:r>
      <w:r w:rsidRPr="002C4F71">
        <w:rPr>
          <w:rFonts w:ascii="Times New Roman" w:hAnsi="Times New Roman" w:cs="Times New Roman"/>
          <w:color w:val="000000"/>
          <w:sz w:val="28"/>
          <w:szCs w:val="28"/>
        </w:rPr>
        <w:t xml:space="preserve">con effetti conformativi </w:t>
      </w:r>
      <w:r w:rsidRPr="002C4F71">
        <w:rPr>
          <w:rFonts w:ascii="Times New Roman" w:hAnsi="Times New Roman" w:cs="Times New Roman"/>
          <w:sz w:val="28"/>
          <w:szCs w:val="28"/>
        </w:rPr>
        <w:t>sugli assetti contrattuali preesistenti e, dunque, di incidere in via eteronoma sul contenuto sostanziale dell’autonomia negoziale delle parti.</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Il tema è di notevole rilevanza e sotto diversi profili involve, altresì, la nota tematica dei poteri impliciti, da lungo tempo approfondita dai migliori esponenti dell’accademia.</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Sotto quest’ultimo profilo ci si è chiesti, in particolare, se le Autorità alle quali compete la potestà di regolazione siano dotate dei soli poteri conferitigli espressamente dalla legge oppure se alle stesse sia attribuita, altresì, la possibilità di esercitare potestà comunque finalizzate al perseguimento della funzione istituzionale che le caratterizza, anche se non esplicitamente previsti da disposizioni normative.</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La risposta al quesito è, come noto, strettamente connessa all’approccio ermeneutico che si vuole attribuire al principio di legalità: se, cioè, lo si vuole intendere come connaturato da valenza sostanziale, di modo che ciascuna potestà autoritativa della pubblica amministrazione non può che ricevere il proprio fondamento in una specifica ed espressa disposizione di legge formale, non potrebbero mai configurarsi poteri impliciti; se, al contrario, il principio di legalità viene interpretato, per come applicato all’esplicazione del potere </w:t>
      </w:r>
      <w:proofErr w:type="spellStart"/>
      <w:r w:rsidRPr="002C4F71">
        <w:rPr>
          <w:rFonts w:ascii="Times New Roman" w:hAnsi="Times New Roman" w:cs="Times New Roman"/>
          <w:sz w:val="28"/>
          <w:szCs w:val="28"/>
        </w:rPr>
        <w:t>regolatorio</w:t>
      </w:r>
      <w:proofErr w:type="spellEnd"/>
      <w:r w:rsidRPr="002C4F71">
        <w:rPr>
          <w:rFonts w:ascii="Times New Roman" w:hAnsi="Times New Roman" w:cs="Times New Roman"/>
          <w:sz w:val="28"/>
          <w:szCs w:val="28"/>
        </w:rPr>
        <w:t xml:space="preserve">, in senso formale, meno rigoroso, o, come più comunemente detto, secondo un’accezione “debole”, al fine di conseguire al contempo finalità di tutela dei privati ed un’efficace funzionalizzazione dell’attività amministrativa </w:t>
      </w:r>
      <w:proofErr w:type="spellStart"/>
      <w:r w:rsidRPr="002C4F71">
        <w:rPr>
          <w:rFonts w:ascii="Times New Roman" w:hAnsi="Times New Roman" w:cs="Times New Roman"/>
          <w:sz w:val="28"/>
          <w:szCs w:val="28"/>
        </w:rPr>
        <w:t>regolatoria</w:t>
      </w:r>
      <w:proofErr w:type="spellEnd"/>
      <w:r w:rsidRPr="002C4F71">
        <w:rPr>
          <w:rFonts w:ascii="Times New Roman" w:hAnsi="Times New Roman" w:cs="Times New Roman"/>
          <w:sz w:val="28"/>
          <w:szCs w:val="28"/>
        </w:rPr>
        <w:t xml:space="preserve">, potrebbero sussistere poteri impliciti, </w:t>
      </w:r>
      <w:proofErr w:type="spellStart"/>
      <w:r w:rsidRPr="002C4F71">
        <w:rPr>
          <w:rFonts w:ascii="Times New Roman" w:hAnsi="Times New Roman" w:cs="Times New Roman"/>
          <w:sz w:val="28"/>
          <w:szCs w:val="28"/>
        </w:rPr>
        <w:t>purchè</w:t>
      </w:r>
      <w:proofErr w:type="spellEnd"/>
      <w:r w:rsidRPr="002C4F71">
        <w:rPr>
          <w:rFonts w:ascii="Times New Roman" w:hAnsi="Times New Roman" w:cs="Times New Roman"/>
          <w:sz w:val="28"/>
          <w:szCs w:val="28"/>
        </w:rPr>
        <w:t xml:space="preserve"> da configurarsi alla luce dei principi di proporzionalità e ragionevolezza in funzione degli interessi da tutelare e nel pedissequo rispetto della partecipazione procedimentale e dell’obbligo di motivazione.</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Al fine della difficoltosa risoluzione delle questioni controverse, pare utile cercare un filo conduttore che permetta di pervenire al risultato più vantaggioso per gli interessi sottesi alla funzione di regolazione delle Autorità Indipendenti.</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Senza dubbio, infatti, i soggetti coinvolti non rivestono esclusivamente natura imprenditoriale o di soggetti pubblici, atteso che, oltre agli operatori del settore e alle Amministrazioni dotate del potere </w:t>
      </w:r>
      <w:proofErr w:type="spellStart"/>
      <w:r w:rsidRPr="002C4F71">
        <w:rPr>
          <w:rFonts w:ascii="Times New Roman" w:hAnsi="Times New Roman" w:cs="Times New Roman"/>
          <w:sz w:val="28"/>
          <w:szCs w:val="28"/>
        </w:rPr>
        <w:t>regolatorio</w:t>
      </w:r>
      <w:proofErr w:type="spellEnd"/>
      <w:r w:rsidRPr="002C4F71">
        <w:rPr>
          <w:rFonts w:ascii="Times New Roman" w:hAnsi="Times New Roman" w:cs="Times New Roman"/>
          <w:sz w:val="28"/>
          <w:szCs w:val="28"/>
        </w:rPr>
        <w:t>, gli effetti finali dell’azione delle Autorità Amministrative Indipendenti in questo campo interessano anche i singoli utenti dei servizi e, quindi, i cosiddetti clienti deboli.</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La prospettiva muterà, dunque, in relazione alla posizione che risulti più utile da tutelare.</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Non molto distante da tale modus operandi pare, del resto, essere stato anche quello sposato dalle pronunce giurisprudenziali che si sono registrate sul tema, ed in particolar modo di quelle della Suprema Corte di Cassazione, la quale diverse volte si è espressa, come vedremo subito, in senso funzionalmente orientato, cioè per la sussistenza della possibilità di incidere sul contenuto dei contratti preesistenti nell’esplicazione del potere </w:t>
      </w:r>
      <w:proofErr w:type="spellStart"/>
      <w:r w:rsidRPr="002C4F71">
        <w:rPr>
          <w:rFonts w:ascii="Times New Roman" w:hAnsi="Times New Roman" w:cs="Times New Roman"/>
          <w:sz w:val="28"/>
          <w:szCs w:val="28"/>
        </w:rPr>
        <w:t>regolatorio</w:t>
      </w:r>
      <w:proofErr w:type="spellEnd"/>
      <w:r w:rsidRPr="002C4F71">
        <w:rPr>
          <w:rFonts w:ascii="Times New Roman" w:hAnsi="Times New Roman" w:cs="Times New Roman"/>
          <w:sz w:val="28"/>
          <w:szCs w:val="28"/>
        </w:rPr>
        <w:t xml:space="preserve"> da parte delle Autorità Amministrative Indipendenti, </w:t>
      </w:r>
      <w:proofErr w:type="spellStart"/>
      <w:r w:rsidRPr="002C4F71">
        <w:rPr>
          <w:rFonts w:ascii="Times New Roman" w:hAnsi="Times New Roman" w:cs="Times New Roman"/>
          <w:sz w:val="28"/>
          <w:szCs w:val="28"/>
        </w:rPr>
        <w:t>purchè</w:t>
      </w:r>
      <w:proofErr w:type="spellEnd"/>
      <w:r w:rsidRPr="002C4F71">
        <w:rPr>
          <w:rFonts w:ascii="Times New Roman" w:hAnsi="Times New Roman" w:cs="Times New Roman"/>
          <w:sz w:val="28"/>
          <w:szCs w:val="28"/>
        </w:rPr>
        <w:t xml:space="preserve"> tale incidenza non si traduca nella deroga a disposizioni normative di carattere imperativo e sia sempre finalizzata a procurare un vantaggio all’utente del servizio.  </w:t>
      </w:r>
    </w:p>
    <w:p w:rsidR="00D365D8" w:rsidRPr="002C4F71" w:rsidRDefault="00D365D8" w:rsidP="002C4F71">
      <w:pPr>
        <w:spacing w:after="0" w:line="360" w:lineRule="auto"/>
        <w:jc w:val="both"/>
        <w:rPr>
          <w:rFonts w:ascii="Times New Roman" w:eastAsia="Calibri" w:hAnsi="Times New Roman" w:cs="Times New Roman"/>
          <w:sz w:val="28"/>
          <w:szCs w:val="28"/>
        </w:rPr>
      </w:pPr>
      <w:r w:rsidRPr="002C4F71">
        <w:rPr>
          <w:rFonts w:ascii="Times New Roman" w:eastAsia="Calibri" w:hAnsi="Times New Roman" w:cs="Times New Roman"/>
          <w:sz w:val="28"/>
          <w:szCs w:val="28"/>
        </w:rPr>
        <w:t xml:space="preserve">La tesi contraria, invece, ravvisa un difetto di attribuzione dell’Autorità ogni qual volta non si rinvenga una specifica norma che conferisca a quest’ultima il potere di incidere sull’oggetto e sugli effetti dei contratti di utenza, senza indagare il merito delle modalità di esercizio del potere </w:t>
      </w:r>
      <w:proofErr w:type="spellStart"/>
      <w:r w:rsidRPr="002C4F71">
        <w:rPr>
          <w:rFonts w:ascii="Times New Roman" w:eastAsia="Calibri" w:hAnsi="Times New Roman" w:cs="Times New Roman"/>
          <w:sz w:val="28"/>
          <w:szCs w:val="28"/>
        </w:rPr>
        <w:t>regolatorio</w:t>
      </w:r>
      <w:proofErr w:type="spellEnd"/>
      <w:r w:rsidRPr="002C4F71">
        <w:rPr>
          <w:rFonts w:ascii="Times New Roman" w:eastAsia="Calibri" w:hAnsi="Times New Roman" w:cs="Times New Roman"/>
          <w:sz w:val="28"/>
          <w:szCs w:val="28"/>
        </w:rPr>
        <w:t xml:space="preserve"> e, soprattutto, le finalità e, dunque, l’effetto finale dell’effettivo funzionamento del sistema </w:t>
      </w:r>
      <w:proofErr w:type="spellStart"/>
      <w:r w:rsidRPr="002C4F71">
        <w:rPr>
          <w:rFonts w:ascii="Times New Roman" w:eastAsia="Calibri" w:hAnsi="Times New Roman" w:cs="Times New Roman"/>
          <w:sz w:val="28"/>
          <w:szCs w:val="28"/>
        </w:rPr>
        <w:t>regolatorio</w:t>
      </w:r>
      <w:proofErr w:type="spellEnd"/>
      <w:r w:rsidRPr="002C4F71">
        <w:rPr>
          <w:rFonts w:ascii="Times New Roman" w:eastAsia="Calibri" w:hAnsi="Times New Roman" w:cs="Times New Roman"/>
          <w:sz w:val="28"/>
          <w:szCs w:val="28"/>
        </w:rPr>
        <w:t xml:space="preserve">. </w:t>
      </w:r>
    </w:p>
    <w:p w:rsidR="00D365D8" w:rsidRPr="002C4F71" w:rsidRDefault="00D365D8" w:rsidP="002C4F71">
      <w:pPr>
        <w:spacing w:after="0" w:line="360" w:lineRule="auto"/>
        <w:jc w:val="both"/>
        <w:rPr>
          <w:rFonts w:ascii="Times New Roman" w:hAnsi="Times New Roman" w:cs="Times New Roman"/>
          <w:color w:val="000000"/>
          <w:sz w:val="28"/>
          <w:szCs w:val="28"/>
        </w:rPr>
      </w:pPr>
      <w:r w:rsidRPr="002C4F71">
        <w:rPr>
          <w:rFonts w:ascii="Times New Roman" w:hAnsi="Times New Roman" w:cs="Times New Roman"/>
          <w:color w:val="000000"/>
          <w:sz w:val="28"/>
          <w:szCs w:val="28"/>
        </w:rPr>
        <w:t>In presenza di una norma sull’integrazione del contratto come l’art. 1374 c.c., secondo cui “</w:t>
      </w:r>
      <w:r w:rsidRPr="00F80E9A">
        <w:rPr>
          <w:rFonts w:ascii="Times New Roman" w:hAnsi="Times New Roman" w:cs="Times New Roman"/>
          <w:i/>
          <w:sz w:val="28"/>
          <w:szCs w:val="28"/>
        </w:rPr>
        <w:t>Il contratto obbliga le parti non solo a quanto è nel medesimo espresso, ma anche a tutte le conseguenze che ne derivano secondo la legge, o, in mancanza, secondo gli usi e l'equità</w:t>
      </w:r>
      <w:r w:rsidRPr="002C4F71">
        <w:rPr>
          <w:rFonts w:ascii="Times New Roman" w:hAnsi="Times New Roman" w:cs="Times New Roman"/>
          <w:sz w:val="28"/>
          <w:szCs w:val="28"/>
        </w:rPr>
        <w:t>”</w:t>
      </w:r>
      <w:r w:rsidRPr="002C4F71">
        <w:rPr>
          <w:rFonts w:ascii="Times New Roman" w:hAnsi="Times New Roman" w:cs="Times New Roman"/>
          <w:color w:val="000000"/>
          <w:sz w:val="28"/>
          <w:szCs w:val="28"/>
        </w:rPr>
        <w:t xml:space="preserve">, tutto si gioca, allora, sul difficile equilibrio tra l’efficace esplicazione della potestà </w:t>
      </w:r>
      <w:proofErr w:type="spellStart"/>
      <w:r w:rsidRPr="002C4F71">
        <w:rPr>
          <w:rFonts w:ascii="Times New Roman" w:hAnsi="Times New Roman" w:cs="Times New Roman"/>
          <w:color w:val="000000"/>
          <w:sz w:val="28"/>
          <w:szCs w:val="28"/>
        </w:rPr>
        <w:t>regolatoria</w:t>
      </w:r>
      <w:proofErr w:type="spellEnd"/>
      <w:r w:rsidRPr="002C4F71">
        <w:rPr>
          <w:rFonts w:ascii="Times New Roman" w:hAnsi="Times New Roman" w:cs="Times New Roman"/>
          <w:color w:val="000000"/>
          <w:sz w:val="28"/>
          <w:szCs w:val="28"/>
        </w:rPr>
        <w:t xml:space="preserve"> attribuita alle Autorità </w:t>
      </w:r>
      <w:r w:rsidR="00F80E9A">
        <w:rPr>
          <w:rFonts w:ascii="Times New Roman" w:hAnsi="Times New Roman" w:cs="Times New Roman"/>
          <w:color w:val="000000"/>
          <w:sz w:val="28"/>
          <w:szCs w:val="28"/>
        </w:rPr>
        <w:t>a</w:t>
      </w:r>
      <w:r w:rsidRPr="002C4F71">
        <w:rPr>
          <w:rFonts w:ascii="Times New Roman" w:hAnsi="Times New Roman" w:cs="Times New Roman"/>
          <w:color w:val="000000"/>
          <w:sz w:val="28"/>
          <w:szCs w:val="28"/>
        </w:rPr>
        <w:t xml:space="preserve">mministrative </w:t>
      </w:r>
      <w:r w:rsidR="00F80E9A">
        <w:rPr>
          <w:rFonts w:ascii="Times New Roman" w:hAnsi="Times New Roman" w:cs="Times New Roman"/>
          <w:color w:val="000000"/>
          <w:sz w:val="28"/>
          <w:szCs w:val="28"/>
        </w:rPr>
        <w:t>i</w:t>
      </w:r>
      <w:r w:rsidRPr="002C4F71">
        <w:rPr>
          <w:rFonts w:ascii="Times New Roman" w:hAnsi="Times New Roman" w:cs="Times New Roman"/>
          <w:color w:val="000000"/>
          <w:sz w:val="28"/>
          <w:szCs w:val="28"/>
        </w:rPr>
        <w:t>ndipendenti e la vincolatività del preesistente potere di autoregolamentazione attributo ai privati ai sensi dell’art. 1372 c.c. e, dunque, sull’ammissibilità o meno della modifica "in via amministrativa" dell'assetto negoziale prefissato dalle parti.</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L’art. 2, commi 12, </w:t>
      </w:r>
      <w:proofErr w:type="spellStart"/>
      <w:r w:rsidRPr="002C4F71">
        <w:rPr>
          <w:rFonts w:ascii="Times New Roman" w:hAnsi="Times New Roman" w:cs="Times New Roman"/>
          <w:sz w:val="28"/>
          <w:szCs w:val="28"/>
        </w:rPr>
        <w:t>lett</w:t>
      </w:r>
      <w:proofErr w:type="spellEnd"/>
      <w:r w:rsidRPr="002C4F71">
        <w:rPr>
          <w:rFonts w:ascii="Times New Roman" w:hAnsi="Times New Roman" w:cs="Times New Roman"/>
          <w:sz w:val="28"/>
          <w:szCs w:val="28"/>
        </w:rPr>
        <w:t xml:space="preserve">. h e 37, della legge 14 novembre 1995 n. 481, prevede espressamente </w:t>
      </w:r>
      <w:r w:rsidRPr="002C4F71">
        <w:rPr>
          <w:rFonts w:ascii="Times New Roman" w:eastAsia="Calibri" w:hAnsi="Times New Roman" w:cs="Times New Roman"/>
          <w:sz w:val="28"/>
          <w:szCs w:val="28"/>
        </w:rPr>
        <w:t>il potere dell’A</w:t>
      </w:r>
      <w:r w:rsidR="00F80E9A">
        <w:rPr>
          <w:rFonts w:ascii="Times New Roman" w:eastAsia="Calibri" w:hAnsi="Times New Roman" w:cs="Times New Roman"/>
          <w:sz w:val="28"/>
          <w:szCs w:val="28"/>
        </w:rPr>
        <w:t>RERA</w:t>
      </w:r>
      <w:r w:rsidRPr="002C4F71">
        <w:rPr>
          <w:rFonts w:ascii="Times New Roman" w:eastAsia="Calibri" w:hAnsi="Times New Roman" w:cs="Times New Roman"/>
          <w:sz w:val="28"/>
          <w:szCs w:val="28"/>
        </w:rPr>
        <w:t xml:space="preserve"> di incidere, con gli effetti tipici dell’art. 1339 c.c., sulle obbligazioni che caratterizzano lo svolgimento dei</w:t>
      </w:r>
      <w:r w:rsidRPr="002C4F71">
        <w:rPr>
          <w:rFonts w:ascii="Times New Roman" w:hAnsi="Times New Roman" w:cs="Times New Roman"/>
          <w:sz w:val="28"/>
          <w:szCs w:val="28"/>
        </w:rPr>
        <w:t xml:space="preserve"> contratti di utenza.</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La sussistenza di tale peculiare potere è stata ribadita a più riprese dalla Suprema Corte di Cassazione.</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In particolare, con la sentenza della sezione terza, 27 luglio 2011, n. 16401, le cui statuizioni sono state ripetutamente confermate (cfr., tra le tante, Cassazione Civile, sezione sesta, 13 luglio 2012, n. 11992, nonché la più recente ordinanza, sempre della sezione sesta, 8 novembre 2012, n. 19333), </w:t>
      </w:r>
      <w:smartTag w:uri="urn:schemas-microsoft-com:office:smarttags" w:element="PersonName">
        <w:smartTagPr>
          <w:attr w:name="ProductID" w:val="la Corte"/>
        </w:smartTagPr>
        <w:r w:rsidRPr="002C4F71">
          <w:rPr>
            <w:rFonts w:ascii="Times New Roman" w:hAnsi="Times New Roman" w:cs="Times New Roman"/>
            <w:sz w:val="28"/>
            <w:szCs w:val="28"/>
          </w:rPr>
          <w:t>la Corte</w:t>
        </w:r>
      </w:smartTag>
      <w:r w:rsidRPr="002C4F71">
        <w:rPr>
          <w:rFonts w:ascii="Times New Roman" w:hAnsi="Times New Roman" w:cs="Times New Roman"/>
          <w:sz w:val="28"/>
          <w:szCs w:val="28"/>
        </w:rPr>
        <w:t xml:space="preserve"> di Cassazione ha chiarito che “Il potere normativo secondario (o, altrimenti, il potere di emanazione di atti amministrativi precettivi collettivi) dell'Autorità per l'Energia Elettrica ed il Gas (A.E.E.G.) ai sensi dell'art. 2, comma 12, </w:t>
      </w:r>
      <w:proofErr w:type="spellStart"/>
      <w:r w:rsidRPr="002C4F71">
        <w:rPr>
          <w:rFonts w:ascii="Times New Roman" w:hAnsi="Times New Roman" w:cs="Times New Roman"/>
          <w:sz w:val="28"/>
          <w:szCs w:val="28"/>
        </w:rPr>
        <w:t>lett</w:t>
      </w:r>
      <w:proofErr w:type="spellEnd"/>
      <w:r w:rsidRPr="002C4F71">
        <w:rPr>
          <w:rFonts w:ascii="Times New Roman" w:hAnsi="Times New Roman" w:cs="Times New Roman"/>
          <w:sz w:val="28"/>
          <w:szCs w:val="28"/>
        </w:rPr>
        <w:t xml:space="preserve">. h, l. 14 novembre 1995 n. 481, si può concretare anche nella previsione di prescrizioni specifiche, che non lascino al destinatario margini di scelta sul quando e sul </w:t>
      </w:r>
      <w:proofErr w:type="spellStart"/>
      <w:r w:rsidRPr="002C4F71">
        <w:rPr>
          <w:rFonts w:ascii="Times New Roman" w:hAnsi="Times New Roman" w:cs="Times New Roman"/>
          <w:sz w:val="28"/>
          <w:szCs w:val="28"/>
        </w:rPr>
        <w:t>quomodo</w:t>
      </w:r>
      <w:proofErr w:type="spellEnd"/>
      <w:r w:rsidRPr="002C4F71">
        <w:rPr>
          <w:rFonts w:ascii="Times New Roman" w:hAnsi="Times New Roman" w:cs="Times New Roman"/>
          <w:sz w:val="28"/>
          <w:szCs w:val="28"/>
        </w:rPr>
        <w:t>, le quali, tramite l'integrazione del regolamento di servizio, di cui al comma 37 dello stesso art. 2 citato, possono in via riflessa integrare, ai sensi dell'art. 1339 c.c., il contenuto dei rapporti di utenza individuali pendenti anche in via derogatoria delle norme di legge”.</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Confermando, dunque, espressamente la sussistenza del potere di integrazione dei contratti di utenza, con gli effetti dell’art. 1339 c.c., </w:t>
      </w:r>
      <w:smartTag w:uri="urn:schemas-microsoft-com:office:smarttags" w:element="PersonName">
        <w:smartTagPr>
          <w:attr w:name="ProductID" w:val="la Corte"/>
        </w:smartTagPr>
        <w:r w:rsidRPr="002C4F71">
          <w:rPr>
            <w:rFonts w:ascii="Times New Roman" w:hAnsi="Times New Roman" w:cs="Times New Roman"/>
            <w:sz w:val="28"/>
            <w:szCs w:val="28"/>
          </w:rPr>
          <w:t>la Corte</w:t>
        </w:r>
      </w:smartTag>
      <w:r w:rsidRPr="002C4F71">
        <w:rPr>
          <w:rFonts w:ascii="Times New Roman" w:hAnsi="Times New Roman" w:cs="Times New Roman"/>
          <w:sz w:val="28"/>
          <w:szCs w:val="28"/>
        </w:rPr>
        <w:t xml:space="preserve"> di Cassazione ha individuato, in proposito, due specifiche condizioni per l’esercizio del medesimo. Secondo il Supremo consesso civile, infatti, il riferito potere può essere esercitato dall’Autorità a condizione che le norme di legge eventualmente derogate rivestano natura meramente dispositiva, essendo, dunque, derogabili dalle stesse parti, e che la deroga sia posta in essere dall’Autorità al fine di tutelare l’interesse dell’utente o consumatore, non essendo in nessun caso possibile</w:t>
      </w:r>
      <w:r w:rsidRPr="002C4F71">
        <w:rPr>
          <w:rFonts w:ascii="Times New Roman" w:hAnsi="Times New Roman" w:cs="Times New Roman"/>
          <w:i/>
          <w:sz w:val="28"/>
          <w:szCs w:val="28"/>
        </w:rPr>
        <w:t xml:space="preserve"> - </w:t>
      </w:r>
      <w:r w:rsidRPr="002C4F71">
        <w:rPr>
          <w:rFonts w:ascii="Times New Roman" w:hAnsi="Times New Roman" w:cs="Times New Roman"/>
          <w:sz w:val="28"/>
          <w:szCs w:val="28"/>
        </w:rPr>
        <w:t>salvo che una previsione speciale di legge o di una fonte comunitaria ad efficacia diretta non la consenta - la deroga a disposizioni di legge di contenuto imperativo o a disposizioni normative dispositive ma con finalità contrarie all’interesse dell’utente e consumatore.</w:t>
      </w:r>
    </w:p>
    <w:p w:rsidR="00D365D8" w:rsidRPr="002C4F71" w:rsidRDefault="00D365D8" w:rsidP="002C4F71">
      <w:pPr>
        <w:spacing w:after="0" w:line="360" w:lineRule="auto"/>
        <w:jc w:val="both"/>
        <w:rPr>
          <w:rFonts w:ascii="Times New Roman" w:eastAsia="Calibri" w:hAnsi="Times New Roman" w:cs="Times New Roman"/>
          <w:sz w:val="28"/>
          <w:szCs w:val="28"/>
        </w:rPr>
      </w:pPr>
      <w:r w:rsidRPr="002C4F71">
        <w:rPr>
          <w:rFonts w:ascii="Times New Roman" w:eastAsia="Calibri" w:hAnsi="Times New Roman" w:cs="Times New Roman"/>
          <w:sz w:val="28"/>
          <w:szCs w:val="28"/>
        </w:rPr>
        <w:t xml:space="preserve">Dalle summenzionate pronunce si ricaverebbe, dunque, che la questione che ci occupa non concerne, forse, la sussistenza o meno del potere </w:t>
      </w:r>
      <w:proofErr w:type="spellStart"/>
      <w:r w:rsidRPr="002C4F71">
        <w:rPr>
          <w:rFonts w:ascii="Times New Roman" w:eastAsia="Calibri" w:hAnsi="Times New Roman" w:cs="Times New Roman"/>
          <w:sz w:val="28"/>
          <w:szCs w:val="28"/>
        </w:rPr>
        <w:t>regolatorio</w:t>
      </w:r>
      <w:proofErr w:type="spellEnd"/>
      <w:r w:rsidRPr="002C4F71">
        <w:rPr>
          <w:rFonts w:ascii="Times New Roman" w:eastAsia="Calibri" w:hAnsi="Times New Roman" w:cs="Times New Roman"/>
          <w:sz w:val="28"/>
          <w:szCs w:val="28"/>
        </w:rPr>
        <w:t xml:space="preserve"> di intervento sui contratti di fornitura – potere che sarebbe previsto dalla legge (art. 2, commi 12, </w:t>
      </w:r>
      <w:proofErr w:type="spellStart"/>
      <w:r w:rsidRPr="002C4F71">
        <w:rPr>
          <w:rFonts w:ascii="Times New Roman" w:eastAsia="Calibri" w:hAnsi="Times New Roman" w:cs="Times New Roman"/>
          <w:sz w:val="28"/>
          <w:szCs w:val="28"/>
        </w:rPr>
        <w:t>lett</w:t>
      </w:r>
      <w:proofErr w:type="spellEnd"/>
      <w:r w:rsidRPr="002C4F71">
        <w:rPr>
          <w:rFonts w:ascii="Times New Roman" w:eastAsia="Calibri" w:hAnsi="Times New Roman" w:cs="Times New Roman"/>
          <w:sz w:val="28"/>
          <w:szCs w:val="28"/>
        </w:rPr>
        <w:t>. h) e 37 della legge n. 481/95), come  confermato dalla succitata giurisprudenza della Corte di Cassazione – quanto, semmai, alle sue modalità di esercizio, ed in particolare al rispetto dei riferiti requisiti individuati dalla Suprema Corte di Cassazione.</w:t>
      </w:r>
    </w:p>
    <w:p w:rsidR="00D365D8" w:rsidRPr="002C4F71" w:rsidRDefault="00D365D8" w:rsidP="002C4F71">
      <w:pPr>
        <w:autoSpaceDE w:val="0"/>
        <w:autoSpaceDN w:val="0"/>
        <w:adjustRightInd w:val="0"/>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Ai sensi dell’art. 1 della legge n. 481/95, è compito dell’Autorità promuovere la concorrenza e la tutela degli utenti nel settore dell’energia elettrica mediante interventi di regolazione anche incidenti sulle fasi liberalizzate della filiera, perché la liberalizzazione del mercato non si esaurisce nel definire idonei tutti i clienti finali.</w:t>
      </w:r>
    </w:p>
    <w:p w:rsidR="00D365D8" w:rsidRPr="002C4F71" w:rsidRDefault="00D365D8" w:rsidP="002C4F71">
      <w:pPr>
        <w:autoSpaceDE w:val="0"/>
        <w:autoSpaceDN w:val="0"/>
        <w:adjustRightInd w:val="0"/>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Al riguardo, il Consiglio di Stato, nella sentenza della sezione sesta 5 giugno 2006 n. </w:t>
      </w:r>
      <w:smartTag w:uri="urn:schemas-microsoft-com:office:smarttags" w:element="metricconverter">
        <w:smartTagPr>
          <w:attr w:name="ProductID" w:val="3352, ha"/>
        </w:smartTagPr>
        <w:r w:rsidRPr="002C4F71">
          <w:rPr>
            <w:rFonts w:ascii="Times New Roman" w:hAnsi="Times New Roman" w:cs="Times New Roman"/>
            <w:sz w:val="28"/>
            <w:szCs w:val="28"/>
          </w:rPr>
          <w:t>3352, ha</w:t>
        </w:r>
      </w:smartTag>
      <w:r w:rsidRPr="002C4F71">
        <w:rPr>
          <w:rFonts w:ascii="Times New Roman" w:hAnsi="Times New Roman" w:cs="Times New Roman"/>
          <w:sz w:val="28"/>
          <w:szCs w:val="28"/>
        </w:rPr>
        <w:t xml:space="preserve"> chiarito che “L’Autorità è titolare di poteri di regolazione anche nei settori liberalizzati, affinché siano salvaguardate le dinamiche concorrenziali, a tutela dell’utenza. Infatti, la liberalizzazione di un mercato non comporta automaticamente il passaggio ad una situazione di concorrenza, la cui promozione rientra tra le competenze dell’Autorità (..). I poteri di regolazione per favorire la concorrenza sono stati previsti dalle disposizioni fondamentali della legge n. 481 del 1995;(..); consentono all’Autorità di regolare ogni segmento della filiera delle attività dei settori energetici; possono essere esercitati indipendentemente dal regime giuridico che caratterizza tali attività e anche quando esse siano liberalizzate; non coincidono con quelli tariffari, poiché comprendono anche il potere di determinare i comportamenti tali da consentire una effettiva concorrenza (col conseguente contenimento dei prezzi), a tutela degli utenti e dei consumatori. (..) nella fase iniziale di liberalizzazione è del tutto consono al sistema che l’Autorità vigili sull’andamento del mercato e indichi ex ante quali siano le regole in assenza delle quali possano verificarsi (o aggravarsi) effetti distorsivi. In altri termini, la </w:t>
      </w:r>
      <w:proofErr w:type="spellStart"/>
      <w:r w:rsidRPr="002C4F71">
        <w:rPr>
          <w:rFonts w:ascii="Times New Roman" w:hAnsi="Times New Roman" w:cs="Times New Roman"/>
          <w:sz w:val="28"/>
          <w:szCs w:val="28"/>
        </w:rPr>
        <w:t>voluntas</w:t>
      </w:r>
      <w:proofErr w:type="spellEnd"/>
      <w:r w:rsidRPr="002C4F71">
        <w:rPr>
          <w:rFonts w:ascii="Times New Roman" w:hAnsi="Times New Roman" w:cs="Times New Roman"/>
          <w:sz w:val="28"/>
          <w:szCs w:val="28"/>
        </w:rPr>
        <w:t xml:space="preserve"> </w:t>
      </w:r>
      <w:proofErr w:type="spellStart"/>
      <w:r w:rsidRPr="002C4F71">
        <w:rPr>
          <w:rFonts w:ascii="Times New Roman" w:hAnsi="Times New Roman" w:cs="Times New Roman"/>
          <w:sz w:val="28"/>
          <w:szCs w:val="28"/>
        </w:rPr>
        <w:t>legis</w:t>
      </w:r>
      <w:proofErr w:type="spellEnd"/>
      <w:r w:rsidRPr="002C4F71">
        <w:rPr>
          <w:rFonts w:ascii="Times New Roman" w:hAnsi="Times New Roman" w:cs="Times New Roman"/>
          <w:sz w:val="28"/>
          <w:szCs w:val="28"/>
        </w:rPr>
        <w:t xml:space="preserve"> di liberalizzare un settore (..) implica il potere-dovere dell’Autorità di disporre tutte le misure volte a favorire l’affermarsi di un mercato caratterizzato da una effettiva concorrenza, anche nell’interesse dell’utenza, non solo con azioni repressive ex post, ma anche imponendo comportamenti che ex ante possano rimuovere o prevenire effetti distorsivi.”</w:t>
      </w:r>
    </w:p>
    <w:p w:rsidR="00D365D8" w:rsidRPr="002C4F71" w:rsidRDefault="00D365D8" w:rsidP="002C4F71">
      <w:pPr>
        <w:autoSpaceDE w:val="0"/>
        <w:autoSpaceDN w:val="0"/>
        <w:adjustRightInd w:val="0"/>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I riferiti principi relativi al rapporto tra liberalizzazione e poteri di regolazione, affermati e ribaditi costantemente dal Supremo consesso amministrativo anche nelle sentenze della sezione sesta 27 ottobre 2003, n. 6628, 24 settembre 2007 </w:t>
      </w:r>
      <w:proofErr w:type="spellStart"/>
      <w:r w:rsidRPr="002C4F71">
        <w:rPr>
          <w:rFonts w:ascii="Times New Roman" w:hAnsi="Times New Roman" w:cs="Times New Roman"/>
          <w:sz w:val="28"/>
          <w:szCs w:val="28"/>
        </w:rPr>
        <w:t>nn</w:t>
      </w:r>
      <w:proofErr w:type="spellEnd"/>
      <w:r w:rsidRPr="002C4F71">
        <w:rPr>
          <w:rFonts w:ascii="Times New Roman" w:hAnsi="Times New Roman" w:cs="Times New Roman"/>
          <w:sz w:val="28"/>
          <w:szCs w:val="28"/>
        </w:rPr>
        <w:t>. 4895, 4896, 4897, 4898, 4899, 4900, 4901, 4902, 4903,  4904, 4905, 4906 e, più di recente, nella decisione 28 settembre 2012, n. 5149, sono stati recepiti espressamente dal legislatore che, con l’art. 28 della legge n. 99/09, ha chiarito, mediante l’integrazione dell’art. 2, comma 5, della legge n. 481/95, che “Per i settori dell’energia elettrica e del gas, al fine di tutelare i clienti finali e di garantire mercati effettivamente concorrenziali, le competenze ricomprendono tutte le attività della relativa filiera”.</w:t>
      </w:r>
    </w:p>
    <w:p w:rsidR="00D365D8" w:rsidRPr="002C4F71" w:rsidRDefault="00D365D8" w:rsidP="002C4F71">
      <w:pPr>
        <w:autoSpaceDE w:val="0"/>
        <w:autoSpaceDN w:val="0"/>
        <w:adjustRightInd w:val="0"/>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In tale contesto, la legge n. 481/95 affida, dunque, all’Autorità la funzione di garantire – come visto con riferimento a tutte le attività della filiera energetica - la promozione della concorrenza e dell’efficienza nel settore energetico, assicurando adeguati livelli di qualità nei servizi in condizioni di economicità e di redditività. A tal fine, attribuisce all’Autorità (v. art. 2) il potere di intervenire per modificare le condizioni tecniche, giuridiche ed economiche relative allo svolgimento o all’erogazione dei servizi; promuovere iniziative volte a migliorare le modalità di erogazione dei servizi; emanare direttive con cui definire anche i livelli di qualità generali e specifici riferiti rispettivamente al complesso delle prestazioni e al singolo rapporto di utenza; diffondere la conoscenza delle condizioni di svolgimento dei servizi al fine di garantire la massima trasparenza, la concorrenzialità dell’offerta e la possibilità di migliori scelte da parte degli utenti intermedi o finali.</w:t>
      </w:r>
    </w:p>
    <w:p w:rsidR="00D365D8" w:rsidRPr="002C4F71" w:rsidRDefault="00D365D8" w:rsidP="002C4F71">
      <w:pPr>
        <w:autoSpaceDE w:val="0"/>
        <w:autoSpaceDN w:val="0"/>
        <w:adjustRightInd w:val="0"/>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L’art. 36 della Direttiva 2009/72/CE, recante “</w:t>
      </w:r>
      <w:r w:rsidRPr="002C4F71">
        <w:rPr>
          <w:rFonts w:ascii="Times New Roman" w:hAnsi="Times New Roman" w:cs="Times New Roman"/>
          <w:i/>
          <w:sz w:val="28"/>
          <w:szCs w:val="28"/>
        </w:rPr>
        <w:t>norme comuni per il mercato interno dell'energia elettrica”</w:t>
      </w:r>
      <w:r w:rsidRPr="002C4F71">
        <w:rPr>
          <w:rFonts w:ascii="Times New Roman" w:hAnsi="Times New Roman" w:cs="Times New Roman"/>
          <w:sz w:val="28"/>
          <w:szCs w:val="28"/>
        </w:rPr>
        <w:t xml:space="preserve">, sul punto ripreso pedissequamente dall’art. 42, comma 1, del d.lgs. n. 93/11 - di recepimento della Direttiva medesima – sancisce, inoltre, che: “l’autorità di regolamentazione adotta tutte le misure ragionevoli idonee al perseguimento dei seguenti obiettivi (..): a) promuovere (..) un mercato interno dell’energia elettrica concorrenziale, sicuro e ecologicamente sostenibile nella Comunità, nonché l’efficace apertura del mercato per tutti i clienti e i fornitori della Comunità e garantire condizioni appropriate per il funzionamento efficace e affidabile delle reti dell’elettricità, tenendo conto di obiettivi a lungo termine;(..) d) contribuire a conseguire, nel modo più efficace sotto il profilo dei costi, lo sviluppo di sistemi non discriminatori sicuri, affidabili ed efficienti orientati al consumatore e promuovere l’adeguatezza dei sistemi e, in linea con gli obiettivi generali in materia di politica energetica, l’efficienza energetica nonché l’integrazione della produzione su larga scala e su scala ridotta di energia elettrica da fonti di energia rinnovabili e la produzione decentrata nelle reti di trasmissione e di distribuzione; (..) g) provvedere a che i clienti beneficino del funzionamento efficiente del proprio mercato nazionale, promuovere una concorrenza effettiva e contribuire a garantire la tutela dei consumatori; h) contribuire a conseguire un servizio universale e pubblico di elevata qualità nel settore dell’approvvigionamento di energia elettrica, contribuire alla tutela dei clienti vulnerabili e alla compatibilità dei processi di scambio dei dati necessari per il cambio di fornitore da parte degli utenti”. </w:t>
      </w:r>
    </w:p>
    <w:p w:rsidR="00D365D8" w:rsidRPr="002C4F71" w:rsidRDefault="00D365D8" w:rsidP="002C4F71">
      <w:pPr>
        <w:autoSpaceDE w:val="0"/>
        <w:autoSpaceDN w:val="0"/>
        <w:adjustRightInd w:val="0"/>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Il menzionato art. 46 del d.lgs. 93/11, nel recepire </w:t>
      </w:r>
      <w:smartTag w:uri="urn:schemas-microsoft-com:office:smarttags" w:element="PersonName">
        <w:smartTagPr>
          <w:attr w:name="ProductID" w:val="la Direttiva"/>
        </w:smartTagPr>
        <w:r w:rsidRPr="002C4F71">
          <w:rPr>
            <w:rFonts w:ascii="Times New Roman" w:hAnsi="Times New Roman" w:cs="Times New Roman"/>
            <w:sz w:val="28"/>
            <w:szCs w:val="28"/>
          </w:rPr>
          <w:t>la Direttiva</w:t>
        </w:r>
      </w:smartTag>
      <w:r w:rsidRPr="002C4F71">
        <w:rPr>
          <w:rFonts w:ascii="Times New Roman" w:hAnsi="Times New Roman" w:cs="Times New Roman"/>
          <w:sz w:val="28"/>
          <w:szCs w:val="28"/>
        </w:rPr>
        <w:t xml:space="preserve"> 2009/72/CE testé citata, ha poi precisato che “nel quadro dei compiti e delle funzioni attribuiti dalla vigente normativa, l'Autorità per l'energia elettrica e il gas adotta tutte le misure ragionevoli e idonee al perseguimento delle seguenti finalità, che integrano quelle previste dalla legge 14 novembre 1995, n. 481: a)  promuovere (..) mercati interni dell'energia elettrica e del gas naturale concorrenziali, sicuri e ecologicamente sostenibili, nonché l'efficace apertura del mercato per tutti i clienti e i fornitori dell'Unione europea; c)  contribuire a conseguire, nel modo più efficace sotto il profilo dei costi, lo sviluppo di sistemi non discriminatori sicuri, affidabili ed efficienti orientati al consumatore e promuovere l'adeguatezza dei sistemi (..)”.</w:t>
      </w:r>
    </w:p>
    <w:p w:rsidR="00D365D8" w:rsidRPr="002C4F71" w:rsidRDefault="00D365D8" w:rsidP="002C4F71">
      <w:pPr>
        <w:widowControl w:val="0"/>
        <w:autoSpaceDE w:val="0"/>
        <w:autoSpaceDN w:val="0"/>
        <w:adjustRightInd w:val="0"/>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Con riferimento alla questione che ci occupa, occorre in particolare sottolineare che, ai sensi dell’art. 2, commi 12, lettera h) e 37 della legge n. 481/95, all’Autorità è riconosciuta la “</w:t>
      </w:r>
      <w:r w:rsidRPr="002C4F71">
        <w:rPr>
          <w:rFonts w:ascii="Times New Roman" w:hAnsi="Times New Roman" w:cs="Times New Roman"/>
          <w:iCs/>
          <w:sz w:val="28"/>
          <w:szCs w:val="28"/>
        </w:rPr>
        <w:t>possibilità di integrare il contenuto del rapporto obbligatorio</w:t>
      </w:r>
      <w:r w:rsidRPr="002C4F71">
        <w:rPr>
          <w:rFonts w:ascii="Times New Roman" w:hAnsi="Times New Roman" w:cs="Times New Roman"/>
          <w:sz w:val="28"/>
          <w:szCs w:val="28"/>
        </w:rPr>
        <w:t>”, costituendo “</w:t>
      </w:r>
      <w:r w:rsidRPr="002C4F71">
        <w:rPr>
          <w:rFonts w:ascii="Times New Roman" w:hAnsi="Times New Roman" w:cs="Times New Roman"/>
          <w:iCs/>
          <w:sz w:val="28"/>
          <w:szCs w:val="28"/>
        </w:rPr>
        <w:t>esercizio del potere di regolazione “non tariffaria” che la legge riconosce all’Autorità con riferimento ai servizi di pubblica utilità, potere la cui sussistenza è stata ravvisata anche nelle ipotesi di attività liberalizzate (..) non potendo un’attività avente rilevanza pubblica…sia pure gestita in forma libera … ritenersi del tutto svincolata dal potere o di regolazione non tariffaria previsto e disciplinato dalla legge n. 481/95 (sentenza 13 aprile 2001, n. 3116)</w:t>
      </w:r>
      <w:r w:rsidRPr="002C4F71">
        <w:rPr>
          <w:rFonts w:ascii="Times New Roman" w:hAnsi="Times New Roman" w:cs="Times New Roman"/>
          <w:sz w:val="28"/>
          <w:szCs w:val="28"/>
        </w:rPr>
        <w:t xml:space="preserve">” (cfr. Tar Lombardia, 19 dicembre 2002, n. 5281). </w:t>
      </w:r>
    </w:p>
    <w:p w:rsidR="00D365D8" w:rsidRPr="002C4F71" w:rsidRDefault="00D365D8" w:rsidP="002C4F71">
      <w:pPr>
        <w:widowControl w:val="0"/>
        <w:autoSpaceDE w:val="0"/>
        <w:autoSpaceDN w:val="0"/>
        <w:adjustRightInd w:val="0"/>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Inoltre, sulla base dell’art. 2, commi 12, lettera h) e 37 della legge n. 481/95 “nell’ambito delle direttive concernenti la produzione ed erogazione dei servizi, direttive con cui possono essere definiti anche i “livelli di qualità” generali e specifici (riferiti rispettivamente al “complesso delle prestazioni” e al singolo rapporto di utenza), possono rientrare anche prescrizioni che incidono precipuamente sulle obbligazioni caratterizzanti lo svolgimento dei singoli rapporti di utenza. Prescrizioni attinenti alla “produzione”, alla “erogazione” o a “livelli di qualità” del servizio sono, infatti, per loro natura chiamate a tradursi, se traguardate sotto il profilo dell’esecuzione delle prestazioni del rapporto obbligatorio, in comportamenti attuativi del contratto individuale di utenza (i.e. contratto di somministrazione)” (Consiglio di Stato, sezione sesta, 27 ottobre 2003, n. 6628).</w:t>
      </w:r>
    </w:p>
    <w:p w:rsidR="00D365D8" w:rsidRPr="002C4F71" w:rsidRDefault="00D365D8" w:rsidP="002C4F71">
      <w:pPr>
        <w:spacing w:after="0" w:line="360" w:lineRule="auto"/>
        <w:jc w:val="both"/>
        <w:rPr>
          <w:rFonts w:ascii="Times New Roman" w:eastAsia="Calibri" w:hAnsi="Times New Roman" w:cs="Times New Roman"/>
          <w:sz w:val="28"/>
          <w:szCs w:val="28"/>
        </w:rPr>
      </w:pPr>
      <w:r w:rsidRPr="002C4F71">
        <w:rPr>
          <w:rFonts w:ascii="Times New Roman" w:eastAsia="Calibri" w:hAnsi="Times New Roman" w:cs="Times New Roman"/>
          <w:sz w:val="28"/>
          <w:szCs w:val="28"/>
        </w:rPr>
        <w:t>Riguardo, in particolare, all’impostazione interpretativa del principio di legalità in connessione con l’esercizio dei poteri di regolazione dell’AEEG, il Consiglio di Stato ha in numerose occasioni chiarito l’esigenza di abbracciare, con riferimento agli atti di regolazione dell’AEEG, una accezione elastica del principio di legalità, che tenga conto della peculiare necessità di assicurare il raggiungimento delle finalità stabilite dalla legge (con particolare riferimento alla tutela della concorrenza e alla protezione degli utenti) in settori caratterizzati dalla continua evoluzione tecnologica e dei mercati.</w:t>
      </w:r>
    </w:p>
    <w:p w:rsidR="00D365D8" w:rsidRPr="002C4F71" w:rsidRDefault="00D365D8" w:rsidP="002C4F71">
      <w:pPr>
        <w:spacing w:after="0" w:line="360" w:lineRule="auto"/>
        <w:jc w:val="both"/>
        <w:rPr>
          <w:rFonts w:ascii="Times New Roman" w:hAnsi="Times New Roman" w:cs="Times New Roman"/>
          <w:sz w:val="28"/>
          <w:szCs w:val="28"/>
        </w:rPr>
      </w:pPr>
      <w:r w:rsidRPr="002C4F71">
        <w:rPr>
          <w:rFonts w:ascii="Times New Roman" w:hAnsi="Times New Roman" w:cs="Times New Roman"/>
          <w:sz w:val="28"/>
          <w:szCs w:val="28"/>
        </w:rPr>
        <w:t xml:space="preserve">In proposito, con la sentenza della sezione sesta 17 ottobre 2005 n. 5827, con riferimento ad una fattispecie di imposizione a tutti gli utenti civili, con provvedimento di regolazione dell’Autorità, di una garanzia assicurativa per gli infortuni derivanti dall’uso del gas fornito da un impianto di distribuzione, il Consiglio di Stato ha chiarito che “quanto alla dedotta mancanza di copertura legislativa all’operato dell’Autorità occorre rilevare che, nella specie, il mercato elettrico e del gas è regolato dall’azione dell’Autorità e che la legge n. 481/95, come molte leggi istitutive d’Amministrazioni indipendenti è una legge d’indirizzo che poggia su prognosi incerte, rinvii in bianco all’esercizio futuro del potere, inscritto in clausole generali o concetti indeterminati che spetta all’Autorità concretizzare. La natura della copertura legislativa è adeguata alla peculiarità dei poteri dell’Amministrazione indipendente quale amministrazione che si “autoprogramma” secondo le finalità stabilite dal legislatore. Se così è, allora non può lamentarsi alcuna carenza di </w:t>
      </w:r>
      <w:proofErr w:type="spellStart"/>
      <w:r w:rsidRPr="002C4F71">
        <w:rPr>
          <w:rFonts w:ascii="Times New Roman" w:hAnsi="Times New Roman" w:cs="Times New Roman"/>
          <w:sz w:val="28"/>
          <w:szCs w:val="28"/>
        </w:rPr>
        <w:t>prescrittività</w:t>
      </w:r>
      <w:proofErr w:type="spellEnd"/>
      <w:r w:rsidRPr="002C4F71">
        <w:rPr>
          <w:rFonts w:ascii="Times New Roman" w:hAnsi="Times New Roman" w:cs="Times New Roman"/>
          <w:sz w:val="28"/>
          <w:szCs w:val="28"/>
        </w:rPr>
        <w:t xml:space="preserve"> del dettato normativo, che, stabiliti i poteri e le finalità dell’Autorità, secondo la tecnica del “programma legislativo aperto”, rinvia, al procedimento ed alle garanzie di partecipazione per fare emergere la regola, che dopo l’intervento degli interessati, appaia, tecnicamente, la più idonea a regolare la fattispecie.”</w:t>
      </w:r>
      <w:r w:rsidRPr="002C4F71">
        <w:rPr>
          <w:rStyle w:val="Rimandonotaapidipagina"/>
          <w:rFonts w:ascii="Times New Roman" w:eastAsia="Calibri" w:hAnsi="Times New Roman" w:cs="Times New Roman"/>
          <w:sz w:val="28"/>
          <w:szCs w:val="28"/>
        </w:rPr>
        <w:t xml:space="preserve"> </w:t>
      </w:r>
    </w:p>
    <w:p w:rsidR="00D365D8" w:rsidRPr="002C4F71" w:rsidRDefault="00D365D8" w:rsidP="002C4F71">
      <w:pPr>
        <w:pStyle w:val="Corpodeltesto2"/>
        <w:rPr>
          <w:rFonts w:eastAsia="Calibri"/>
          <w:sz w:val="28"/>
          <w:szCs w:val="28"/>
          <w:lang w:eastAsia="en-US"/>
        </w:rPr>
      </w:pPr>
      <w:r w:rsidRPr="002C4F71">
        <w:rPr>
          <w:rFonts w:eastAsia="Calibri"/>
          <w:sz w:val="28"/>
          <w:szCs w:val="28"/>
          <w:lang w:eastAsia="en-US"/>
        </w:rPr>
        <w:t xml:space="preserve">Del resto, anche con recentissime decisioni, il Supremo consesso amministrativo ha ribadito che “Nel caso degli atti regolamentari [dell’AEEG] la legge normalmente non indica nei dettagli il loro contenuto. La parziale deroga al principio di legalità sostanziale si giustifica in ragione dell’esigenza di assicurare il perseguimento di fini che la stessa legge predetermina: il particolare tecnicismo del settore impone, infatti, di assegnare alle Autorità il compito di prevedere e adeguare costantemente il contenuto delle regole tecniche all’evoluzione del sistema. Una predeterminazione legislativa rigida sarebbe di ostacolo al perseguimento di tali scopi: da qui la conformità a Costituzione, in relazione agli atti regolatori in esame, dei poteri impliciti. La </w:t>
      </w:r>
      <w:proofErr w:type="spellStart"/>
      <w:r w:rsidRPr="002C4F71">
        <w:rPr>
          <w:rFonts w:eastAsia="Calibri"/>
          <w:sz w:val="28"/>
          <w:szCs w:val="28"/>
          <w:lang w:eastAsia="en-US"/>
        </w:rPr>
        <w:t>dequotazione</w:t>
      </w:r>
      <w:proofErr w:type="spellEnd"/>
      <w:r w:rsidRPr="002C4F71">
        <w:rPr>
          <w:rFonts w:eastAsia="Calibri"/>
          <w:sz w:val="28"/>
          <w:szCs w:val="28"/>
          <w:lang w:eastAsia="en-US"/>
        </w:rPr>
        <w:t xml:space="preserve"> del principio di legalità sostanziale – giustificata, come detto, dalla valorizzazione degli scopi pubblici da perseguire in particolari settori – impone, inoltre, il rafforzamento del principio di legalità procedimentale che si sostanzia, tra l’altro, nella previsione di rafforzate forme di partecipazione</w:t>
      </w:r>
      <w:r w:rsidRPr="002C4F71">
        <w:rPr>
          <w:rFonts w:eastAsia="Calibri"/>
          <w:sz w:val="28"/>
          <w:szCs w:val="28"/>
          <w:u w:val="single"/>
          <w:lang w:eastAsia="en-US"/>
        </w:rPr>
        <w:t xml:space="preserve"> </w:t>
      </w:r>
      <w:r w:rsidRPr="002C4F71">
        <w:rPr>
          <w:rFonts w:eastAsia="Calibri"/>
          <w:sz w:val="28"/>
          <w:szCs w:val="28"/>
          <w:lang w:eastAsia="en-US"/>
        </w:rPr>
        <w:t>degli operatori del settore al procedimento di formazione degli atti regolamentari”</w:t>
      </w:r>
      <w:r w:rsidR="00FF2AF8">
        <w:rPr>
          <w:rFonts w:eastAsia="Calibri"/>
          <w:sz w:val="28"/>
          <w:szCs w:val="28"/>
          <w:lang w:eastAsia="en-US"/>
        </w:rPr>
        <w:t xml:space="preserve"> </w:t>
      </w:r>
      <w:r w:rsidRPr="002C4F71">
        <w:rPr>
          <w:rFonts w:eastAsia="Calibri"/>
          <w:sz w:val="28"/>
          <w:szCs w:val="28"/>
          <w:lang w:eastAsia="en-US"/>
        </w:rPr>
        <w:t>(Consiglio di Stato, sez. VI, 2 maggio 2012 n. 2521).</w:t>
      </w:r>
    </w:p>
    <w:p w:rsidR="00D365D8" w:rsidRPr="002C4F71" w:rsidRDefault="00D365D8" w:rsidP="002C4F71">
      <w:pPr>
        <w:pStyle w:val="Corpodeltesto2"/>
        <w:rPr>
          <w:rFonts w:eastAsia="Calibri"/>
          <w:sz w:val="28"/>
          <w:szCs w:val="28"/>
          <w:lang w:eastAsia="en-US"/>
        </w:rPr>
      </w:pPr>
      <w:r w:rsidRPr="002C4F71">
        <w:rPr>
          <w:rFonts w:eastAsia="Calibri"/>
          <w:sz w:val="28"/>
          <w:szCs w:val="28"/>
          <w:lang w:eastAsia="en-US"/>
        </w:rPr>
        <w:t>Occorre inoltre rilevare come tale impostazione interpretativa, da tempo prospettata anche nelle sentenze della sezione</w:t>
      </w:r>
      <w:r w:rsidRPr="002C4F71">
        <w:rPr>
          <w:sz w:val="28"/>
          <w:szCs w:val="28"/>
        </w:rPr>
        <w:t xml:space="preserve"> sesta 10 maggio 2007, n. 2247, 14 giugno 2006, n. 2501, 5 giugno 2006, n. 3352, 14 giugno 2006, n. 3503, 24 giugno 2005, n. 5827 e 2 maggio 2012, n. 2521</w:t>
      </w:r>
      <w:r w:rsidRPr="002C4F71">
        <w:rPr>
          <w:rFonts w:eastAsia="Calibri"/>
          <w:sz w:val="28"/>
          <w:szCs w:val="28"/>
          <w:lang w:eastAsia="en-US"/>
        </w:rPr>
        <w:t>, trovi chiara ed espressa conferma nelle prescrizioni del diritto dell’Unione europea: come già  accennato, infatti, l’a</w:t>
      </w:r>
      <w:r w:rsidRPr="002C4F71">
        <w:rPr>
          <w:sz w:val="28"/>
          <w:szCs w:val="28"/>
        </w:rPr>
        <w:t>rt. 36 della Direttiva 2009/72/CE sancisce che “</w:t>
      </w:r>
      <w:r w:rsidRPr="00F80E9A">
        <w:rPr>
          <w:i/>
          <w:sz w:val="28"/>
          <w:szCs w:val="28"/>
        </w:rPr>
        <w:t>Nell’esercitare le funzioni di regolatore specificate dalla presente direttiva, l’autorità di regolamentazione adotta tutte le misure ragionevoli idonee al perseguimento dei seguenti obiettivi</w:t>
      </w:r>
      <w:r w:rsidRPr="002C4F71">
        <w:rPr>
          <w:sz w:val="28"/>
          <w:szCs w:val="28"/>
        </w:rPr>
        <w:t>..</w:t>
      </w:r>
      <w:r w:rsidRPr="002C4F71">
        <w:rPr>
          <w:rStyle w:val="Rimandonotaapidipagina"/>
          <w:rFonts w:eastAsia="Calibri"/>
          <w:sz w:val="28"/>
          <w:szCs w:val="28"/>
          <w:lang w:eastAsia="en-US"/>
        </w:rPr>
        <w:footnoteReference w:id="21"/>
      </w:r>
      <w:r w:rsidRPr="002C4F71">
        <w:rPr>
          <w:rFonts w:eastAsia="Calibri"/>
          <w:sz w:val="28"/>
          <w:szCs w:val="28"/>
          <w:lang w:eastAsia="en-US"/>
        </w:rPr>
        <w:t>”, ribadendo dunque lo stretto legame tra finalità istituzionali e poteri esercitabili dall’Autorità e indicando la necessità, per le peculiari caratteristiche che connaturano l’azione istituzionale dell’Autorità medesima, di ricorrere ad una accezione ampia ed elastica delle clausole attributive dei poteri alla stessa, in coerenza con i principi da tempo affermati dal Consiglio di Stato.</w:t>
      </w:r>
    </w:p>
    <w:p w:rsidR="00D365D8" w:rsidRPr="002C4F71" w:rsidRDefault="00D365D8" w:rsidP="002C4F71">
      <w:pPr>
        <w:pStyle w:val="Corpodeltesto2"/>
        <w:rPr>
          <w:rFonts w:eastAsia="Calibri"/>
          <w:i/>
          <w:sz w:val="28"/>
          <w:szCs w:val="28"/>
          <w:lang w:eastAsia="en-US"/>
        </w:rPr>
      </w:pPr>
      <w:r w:rsidRPr="002C4F71">
        <w:rPr>
          <w:rFonts w:eastAsia="Calibri"/>
          <w:sz w:val="28"/>
          <w:szCs w:val="28"/>
          <w:lang w:eastAsia="en-US"/>
        </w:rPr>
        <w:t xml:space="preserve">Con riferimento ai poteri di regolazione delle Autorità </w:t>
      </w:r>
      <w:r w:rsidR="00F80E9A">
        <w:rPr>
          <w:rFonts w:eastAsia="Calibri"/>
          <w:sz w:val="28"/>
          <w:szCs w:val="28"/>
          <w:lang w:eastAsia="en-US"/>
        </w:rPr>
        <w:t>i</w:t>
      </w:r>
      <w:r w:rsidRPr="002C4F71">
        <w:rPr>
          <w:rFonts w:eastAsia="Calibri"/>
          <w:sz w:val="28"/>
          <w:szCs w:val="28"/>
          <w:lang w:eastAsia="en-US"/>
        </w:rPr>
        <w:t>ndipendenti sembra, dunque, preferibile sposare – alla luce delle recenti prescrizioni del diritto nazionale ed europeo, nonché della costante giurisprudenza del Consiglio di Stato – un’accezione elastica del principio di legalità (in cui peraltro, come chiarito dalla giurisprudenza</w:t>
      </w:r>
      <w:r w:rsidRPr="002C4F71">
        <w:rPr>
          <w:rStyle w:val="Rimandonotaapidipagina"/>
          <w:rFonts w:eastAsia="Calibri"/>
          <w:sz w:val="28"/>
          <w:szCs w:val="28"/>
          <w:lang w:eastAsia="en-US"/>
        </w:rPr>
        <w:footnoteReference w:id="22"/>
      </w:r>
      <w:r w:rsidRPr="002C4F71">
        <w:rPr>
          <w:rFonts w:eastAsia="Calibri"/>
          <w:sz w:val="28"/>
          <w:szCs w:val="28"/>
          <w:lang w:eastAsia="en-US"/>
        </w:rPr>
        <w:t>, l’eventuale “deficit” di legalità sostanziale è “compensato” da un rafforzamento della legalità procedurale, grazie alla previsione di forme di partecipazione procedimentale particolarmente avanzate e obbligatorie anche per gli atti normativi o a carattere generale), che tenga conto della necessità di garantire il perseguimento delle finalità stabilite dalla legge, costituite soprattutto dalla tutela della concorrenza e dalla protezione degli utenti, in settori connaturati dalla continua evoluzione tecnologica e dei mercati</w:t>
      </w:r>
      <w:r w:rsidRPr="002C4F71">
        <w:rPr>
          <w:rFonts w:eastAsia="Calibri"/>
          <w:i/>
          <w:sz w:val="28"/>
          <w:szCs w:val="28"/>
          <w:lang w:eastAsia="en-US"/>
        </w:rPr>
        <w:t>.</w:t>
      </w:r>
    </w:p>
    <w:p w:rsidR="00D365D8" w:rsidRPr="002C4F71" w:rsidRDefault="00D365D8" w:rsidP="002C4F71">
      <w:pPr>
        <w:pStyle w:val="Corpodeltesto2"/>
        <w:rPr>
          <w:rFonts w:eastAsia="Calibri"/>
          <w:sz w:val="28"/>
          <w:szCs w:val="28"/>
          <w:lang w:eastAsia="en-US"/>
        </w:rPr>
      </w:pPr>
      <w:r w:rsidRPr="002C4F71">
        <w:rPr>
          <w:rFonts w:eastAsia="Calibri"/>
          <w:sz w:val="28"/>
          <w:szCs w:val="28"/>
          <w:lang w:eastAsia="en-US"/>
        </w:rPr>
        <w:t xml:space="preserve">Come più volte affermato dai migliori studiosi, infatti, la ragione dell’esistenza del Regolatore, che ne costituisce, altresì, l’essenza stessa, consiste nel correggere le conseguenze che deriverebbero dal fallimento del mercato lasciato a sé stesso, sia in considerazione delle diverse posizioni di forza degli operatori coinvolti, che dell’indiscussa situazione di disparità sussistente tra esercente il servizio e cliente finale. </w:t>
      </w:r>
    </w:p>
    <w:p w:rsidR="00D365D8" w:rsidRPr="002C4F71" w:rsidRDefault="00D365D8" w:rsidP="00801401">
      <w:pPr>
        <w:pStyle w:val="Corpodeltesto2"/>
        <w:rPr>
          <w:sz w:val="28"/>
          <w:szCs w:val="28"/>
        </w:rPr>
      </w:pPr>
      <w:r w:rsidRPr="002C4F71">
        <w:rPr>
          <w:rFonts w:eastAsia="Calibri"/>
          <w:sz w:val="28"/>
          <w:szCs w:val="28"/>
          <w:lang w:eastAsia="en-US"/>
        </w:rPr>
        <w:t>Pare, dunque, pienamente da condividere l’approdo cui è pervenuta la giurisprudenza sul tema del rapporto tra p</w:t>
      </w:r>
      <w:r w:rsidRPr="002C4F71">
        <w:rPr>
          <w:sz w:val="28"/>
          <w:szCs w:val="28"/>
        </w:rPr>
        <w:t xml:space="preserve">otere </w:t>
      </w:r>
      <w:proofErr w:type="spellStart"/>
      <w:r w:rsidRPr="002C4F71">
        <w:rPr>
          <w:sz w:val="28"/>
          <w:szCs w:val="28"/>
        </w:rPr>
        <w:t>regolatorio</w:t>
      </w:r>
      <w:proofErr w:type="spellEnd"/>
      <w:r w:rsidR="00E146A4">
        <w:rPr>
          <w:sz w:val="28"/>
          <w:szCs w:val="28"/>
        </w:rPr>
        <w:t>, principio di legalità e</w:t>
      </w:r>
      <w:r w:rsidRPr="002C4F71">
        <w:rPr>
          <w:sz w:val="28"/>
          <w:szCs w:val="28"/>
        </w:rPr>
        <w:t xml:space="preserve"> autonomia contrattuale,</w:t>
      </w:r>
      <w:r w:rsidRPr="002C4F71">
        <w:rPr>
          <w:rFonts w:eastAsia="Calibri"/>
          <w:sz w:val="28"/>
          <w:szCs w:val="28"/>
          <w:lang w:eastAsia="en-US"/>
        </w:rPr>
        <w:t xml:space="preserve"> perché maggiormente rispondente ai principi di ragionevolezza e proporzionalità, che da sempre devono connotare l’esercizio della funzione amministrativa. </w:t>
      </w:r>
    </w:p>
    <w:p w:rsidR="00F45064" w:rsidRPr="00801401" w:rsidRDefault="00F45064" w:rsidP="00801401">
      <w:pPr>
        <w:pStyle w:val="Default"/>
        <w:spacing w:line="360" w:lineRule="auto"/>
        <w:jc w:val="right"/>
        <w:rPr>
          <w:rFonts w:ascii="Times New Roman" w:hAnsi="Times New Roman" w:cs="Times New Roman"/>
          <w:b/>
          <w:color w:val="auto"/>
          <w:sz w:val="28"/>
          <w:szCs w:val="28"/>
          <w:shd w:val="clear" w:color="auto" w:fill="FFFFFF"/>
        </w:rPr>
      </w:pPr>
      <w:bookmarkStart w:id="0" w:name="_GoBack"/>
      <w:r w:rsidRPr="00801401">
        <w:rPr>
          <w:rFonts w:ascii="Times New Roman" w:hAnsi="Times New Roman" w:cs="Times New Roman"/>
          <w:b/>
          <w:color w:val="auto"/>
          <w:sz w:val="28"/>
          <w:szCs w:val="28"/>
          <w:shd w:val="clear" w:color="auto" w:fill="FFFFFF"/>
        </w:rPr>
        <w:t>Elena Quadri</w:t>
      </w:r>
    </w:p>
    <w:bookmarkEnd w:id="0"/>
    <w:p w:rsidR="00801401" w:rsidRDefault="00801401" w:rsidP="00801401">
      <w:pPr>
        <w:pStyle w:val="Default"/>
        <w:spacing w:line="360" w:lineRule="auto"/>
        <w:jc w:val="right"/>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Consigliere di Stato</w:t>
      </w:r>
    </w:p>
    <w:p w:rsidR="00801401" w:rsidRDefault="00801401" w:rsidP="00801401">
      <w:pPr>
        <w:pStyle w:val="Default"/>
        <w:spacing w:line="360" w:lineRule="auto"/>
        <w:jc w:val="right"/>
        <w:rPr>
          <w:rFonts w:ascii="Times New Roman" w:hAnsi="Times New Roman" w:cs="Times New Roman"/>
          <w:color w:val="auto"/>
          <w:sz w:val="28"/>
          <w:szCs w:val="28"/>
          <w:shd w:val="clear" w:color="auto" w:fill="FFFFFF"/>
        </w:rPr>
      </w:pPr>
    </w:p>
    <w:p w:rsidR="00801401" w:rsidRPr="008B742F" w:rsidRDefault="00801401" w:rsidP="00801401">
      <w:pPr>
        <w:pStyle w:val="Default"/>
        <w:spacing w:line="360" w:lineRule="auto"/>
        <w:jc w:val="right"/>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Pubblicato l’11 marzo 2019</w:t>
      </w:r>
    </w:p>
    <w:p w:rsidR="00221FD3" w:rsidRPr="00E424FA" w:rsidRDefault="00221FD3" w:rsidP="00965EC5">
      <w:pPr>
        <w:spacing w:after="0" w:line="360" w:lineRule="auto"/>
        <w:jc w:val="both"/>
        <w:rPr>
          <w:rFonts w:ascii="Times New Roman" w:hAnsi="Times New Roman" w:cs="Times New Roman"/>
          <w:sz w:val="28"/>
          <w:szCs w:val="28"/>
        </w:rPr>
      </w:pPr>
    </w:p>
    <w:sectPr w:rsidR="00221FD3" w:rsidRPr="00E424FA">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B7D" w:rsidRDefault="00C66B7D" w:rsidP="008650A2">
      <w:pPr>
        <w:spacing w:after="0" w:line="240" w:lineRule="auto"/>
      </w:pPr>
      <w:r>
        <w:separator/>
      </w:r>
    </w:p>
  </w:endnote>
  <w:endnote w:type="continuationSeparator" w:id="0">
    <w:p w:rsidR="00C66B7D" w:rsidRDefault="00C66B7D" w:rsidP="0086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82559"/>
      <w:docPartObj>
        <w:docPartGallery w:val="Page Numbers (Bottom of Page)"/>
        <w:docPartUnique/>
      </w:docPartObj>
    </w:sdtPr>
    <w:sdtEndPr/>
    <w:sdtContent>
      <w:p w:rsidR="008650A2" w:rsidRDefault="008650A2">
        <w:pPr>
          <w:pStyle w:val="Pidipagina"/>
          <w:jc w:val="center"/>
        </w:pPr>
        <w:r>
          <w:fldChar w:fldCharType="begin"/>
        </w:r>
        <w:r>
          <w:instrText>PAGE   \* MERGEFORMAT</w:instrText>
        </w:r>
        <w:r>
          <w:fldChar w:fldCharType="separate"/>
        </w:r>
        <w:r w:rsidR="00801401">
          <w:rPr>
            <w:noProof/>
          </w:rPr>
          <w:t>20</w:t>
        </w:r>
        <w:r>
          <w:fldChar w:fldCharType="end"/>
        </w:r>
      </w:p>
    </w:sdtContent>
  </w:sdt>
  <w:p w:rsidR="008650A2" w:rsidRDefault="008650A2">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B7D" w:rsidRDefault="00C66B7D" w:rsidP="008650A2">
      <w:pPr>
        <w:spacing w:after="0" w:line="240" w:lineRule="auto"/>
      </w:pPr>
      <w:r>
        <w:separator/>
      </w:r>
    </w:p>
  </w:footnote>
  <w:footnote w:type="continuationSeparator" w:id="0">
    <w:p w:rsidR="00C66B7D" w:rsidRDefault="00C66B7D" w:rsidP="008650A2">
      <w:pPr>
        <w:spacing w:after="0" w:line="240" w:lineRule="auto"/>
      </w:pPr>
      <w:r>
        <w:continuationSeparator/>
      </w:r>
    </w:p>
  </w:footnote>
  <w:footnote w:id="1">
    <w:p w:rsidR="00E424FA" w:rsidRPr="00E424FA" w:rsidRDefault="00E424FA" w:rsidP="00180C73">
      <w:pPr>
        <w:pStyle w:val="Testonotaapidipagina"/>
        <w:jc w:val="both"/>
        <w:rPr>
          <w:rFonts w:ascii="Times New Roman" w:hAnsi="Times New Roman" w:cs="Times New Roman"/>
          <w:sz w:val="24"/>
          <w:szCs w:val="24"/>
        </w:rPr>
      </w:pPr>
      <w:r w:rsidRPr="00180C73">
        <w:rPr>
          <w:rStyle w:val="Rimandonotaapidipagina"/>
          <w:rFonts w:ascii="Times New Roman" w:hAnsi="Times New Roman" w:cs="Times New Roman"/>
          <w:sz w:val="24"/>
          <w:szCs w:val="24"/>
        </w:rPr>
        <w:footnoteRef/>
      </w:r>
      <w:r w:rsidRPr="00180C73">
        <w:rPr>
          <w:rFonts w:ascii="Times New Roman" w:hAnsi="Times New Roman" w:cs="Times New Roman"/>
          <w:sz w:val="24"/>
          <w:szCs w:val="24"/>
        </w:rPr>
        <w:t xml:space="preserve"> </w:t>
      </w:r>
      <w:r w:rsidR="00772C8B" w:rsidRPr="000D24A5">
        <w:rPr>
          <w:rFonts w:ascii="Times New Roman" w:hAnsi="Times New Roman" w:cs="Times New Roman"/>
        </w:rPr>
        <w:t>Secondo la giurisprudenza del giudice amministrativo</w:t>
      </w:r>
      <w:r w:rsidR="00DF5DA6" w:rsidRPr="000D24A5">
        <w:rPr>
          <w:rFonts w:ascii="Times New Roman" w:hAnsi="Times New Roman" w:cs="Times New Roman"/>
        </w:rPr>
        <w:t>:</w:t>
      </w:r>
      <w:r w:rsidR="00732890" w:rsidRPr="000D24A5">
        <w:rPr>
          <w:rFonts w:ascii="Times New Roman" w:hAnsi="Times New Roman" w:cs="Times New Roman"/>
        </w:rPr>
        <w:t xml:space="preserve"> </w:t>
      </w:r>
      <w:r w:rsidR="00772C8B" w:rsidRPr="000D24A5">
        <w:rPr>
          <w:rFonts w:ascii="Times New Roman" w:hAnsi="Times New Roman" w:cs="Times New Roman"/>
        </w:rPr>
        <w:t>“</w:t>
      </w:r>
      <w:r w:rsidRPr="000D24A5">
        <w:rPr>
          <w:rFonts w:ascii="Times New Roman" w:hAnsi="Times New Roman" w:cs="Times New Roman"/>
          <w:color w:val="272B33"/>
          <w:shd w:val="clear" w:color="auto" w:fill="F8FBFD"/>
        </w:rPr>
        <w:t>I caratteri che, sul piano del contenuto sostanziale, valgono a differenziare i regolamenti dagli atti e provvedimenti amministrativi generali, vanno individuati in ciò, che quest'ultimi costituiscono espressione di una semplice potestà amministrativa e sono diretti alla cura concreta di interessi pubblici, con effetti diretti nei confronti di una pluralità di destinatari non necessariamente determinati nel provvedimento, ma determinabili. I regolamenti, invece, sono espressione di una potestà normativa attribuita all'Amministrazione, secondaria rispetto alla potestà legislativa, e disciplinano in astratto tipi di rapporti giuridici mediante una regolazione attuativa o integrativa della legge, ma ugualmente innovativa rispetto all'ordinamento giuridico esistente, con precetti che presentano appunto i caratteri della generalità e dell'astrattezza, intesi essenzialmente come ripetibilità nel tempo dell'applicazione delle norme e non determinabilità dei soggetti cui si riferiscono. Inoltre, ai sensi dell'art. 17, l. 23 agosto 1988, n. 400, l'esercizio della potestà normativa attribuita all'esecutivo, quando sia necessario e consentito, deve svolgersi con l'osservanza di un particolare modello procedimentale, secondo cui per i regolamenti di competenza ministeriale sono richiesti il parere del Consiglio di Stato, la preventiva comunicazione al Presidente del Consiglio dei ministri, il visto e la pubblicazione nella Gazzetta Ufficiale</w:t>
      </w:r>
      <w:r w:rsidR="00772C8B" w:rsidRPr="000D24A5">
        <w:rPr>
          <w:rFonts w:ascii="Times New Roman" w:hAnsi="Times New Roman" w:cs="Times New Roman"/>
          <w:color w:val="272B33"/>
          <w:shd w:val="clear" w:color="auto" w:fill="F8FBFD"/>
        </w:rPr>
        <w:t>”</w:t>
      </w:r>
      <w:r w:rsidRPr="000D24A5">
        <w:rPr>
          <w:rFonts w:ascii="Times New Roman" w:hAnsi="Times New Roman" w:cs="Times New Roman"/>
        </w:rPr>
        <w:t xml:space="preserve"> (</w:t>
      </w:r>
      <w:proofErr w:type="spellStart"/>
      <w:r w:rsidRPr="000D24A5">
        <w:rPr>
          <w:rFonts w:ascii="Times New Roman" w:hAnsi="Times New Roman" w:cs="Times New Roman"/>
        </w:rPr>
        <w:t>Cons</w:t>
      </w:r>
      <w:proofErr w:type="spellEnd"/>
      <w:r w:rsidRPr="000D24A5">
        <w:rPr>
          <w:rFonts w:ascii="Times New Roman" w:hAnsi="Times New Roman" w:cs="Times New Roman"/>
        </w:rPr>
        <w:t>. Stato, sez. VI, 18 febbraio 2015, n. 823).</w:t>
      </w:r>
    </w:p>
  </w:footnote>
  <w:footnote w:id="2">
    <w:p w:rsidR="00732890" w:rsidRPr="00FB0B22" w:rsidRDefault="00732890" w:rsidP="00732890">
      <w:pPr>
        <w:pStyle w:val="provvr0"/>
        <w:shd w:val="clear" w:color="auto" w:fill="FFFFFF"/>
        <w:spacing w:before="0" w:beforeAutospacing="0" w:after="45" w:afterAutospacing="0"/>
        <w:jc w:val="both"/>
        <w:textAlignment w:val="baseline"/>
        <w:rPr>
          <w:sz w:val="20"/>
          <w:szCs w:val="20"/>
        </w:rPr>
      </w:pPr>
      <w:r w:rsidRPr="00FB0B22">
        <w:rPr>
          <w:rStyle w:val="Rimandonotaapidipagina"/>
          <w:sz w:val="20"/>
          <w:szCs w:val="20"/>
        </w:rPr>
        <w:footnoteRef/>
      </w:r>
      <w:r w:rsidRPr="00FB0B22">
        <w:rPr>
          <w:sz w:val="20"/>
          <w:szCs w:val="20"/>
        </w:rPr>
        <w:t xml:space="preserve"> Cfr. art. 1, comma 527, l. n. 205/2017: “Al fine di migliorare il sistema di regolazione del ciclo dei rifiuti, anche differenziati, urbani e assimilati, per garantire accessibilità, fruibilità e diffusione omogenee sull'intero territorio nazionale nonché adeguati livelli di qualità in condizioni di efficienza ed economicità della gestione, armonizzando gli obiettivi economico-finanziari con quelli generali di carattere sociale, ambientale e di impiego appropriato delle risorse, nonché di garantire l'adeguamento infrastrutturale agli obiettivi imposti dalla normativa europea, superando così le procedure di infrazione già avviate con conseguenti benefici economici a favore degli enti locali interessati da dette procedure, sono attribuite all'Autorità per l'energia elettrica, il gas e il sistema idrico, come </w:t>
      </w:r>
      <w:proofErr w:type="spellStart"/>
      <w:r w:rsidRPr="00FB0B22">
        <w:rPr>
          <w:sz w:val="20"/>
          <w:szCs w:val="20"/>
        </w:rPr>
        <w:t>ridenominata</w:t>
      </w:r>
      <w:proofErr w:type="spellEnd"/>
      <w:r w:rsidRPr="00FB0B22">
        <w:rPr>
          <w:sz w:val="20"/>
          <w:szCs w:val="20"/>
        </w:rPr>
        <w:t xml:space="preserve"> ai sensi del comma 528, con i medesimi poteri e nel quadro dei princìpi, delle finalità e delle attribuzioni, anche di natura sanzionatoria, stabiliti dalla </w:t>
      </w:r>
      <w:hyperlink r:id="rId1" w:anchor="id=10LX0000119862ART0,__m=document" w:history="1">
        <w:r w:rsidRPr="00FB0B22">
          <w:rPr>
            <w:iCs/>
            <w:sz w:val="20"/>
            <w:szCs w:val="20"/>
          </w:rPr>
          <w:t>legge 14 novembre 1995, n. 481</w:t>
        </w:r>
      </w:hyperlink>
      <w:r w:rsidRPr="00FB0B22">
        <w:rPr>
          <w:sz w:val="20"/>
          <w:szCs w:val="20"/>
        </w:rPr>
        <w:t>, le seguenti funzioni di regolazione e controllo, in particolare in materia di:</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a) emanazione di direttive per la separazione contabile e amministrativa della gestione, la valutazione dei costi delle singole prestazioni, anche ai fini della corretta disaggregazione per funzioni, per area geografica e per categorie di utenze, e definizione di indici di valutazione dell'efficienza e dell'economicità delle gestioni a fronte dei servizi resi;</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b) definizione dei livelli di qualità dei servizi, sentiti le regioni, i gestori e le associazioni dei consumatori, nonché vigilanza sulle modalità di erogazione dei servizi;</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c) diffusione della conoscenza e della trasparenza delle condizioni di svolgimento dei servizi a beneficio dell'utenza;</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d) tutela dei diritti degli utenti, anche tramite la valutazione di reclami, istanze e segnalazioni presentati dagli utenti e dai consumatori, singoli o associati;</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e) definizione di schemi tipo dei contratti di servizio di cui all'</w:t>
      </w:r>
      <w:hyperlink r:id="rId2" w:anchor="id=10LX0000401022ART204,__m=document" w:history="1">
        <w:r w:rsidRPr="00FB0B22">
          <w:rPr>
            <w:rFonts w:ascii="Times New Roman" w:eastAsia="Times New Roman" w:hAnsi="Times New Roman" w:cs="Times New Roman"/>
            <w:iCs/>
            <w:sz w:val="20"/>
            <w:szCs w:val="20"/>
            <w:lang w:eastAsia="it-IT"/>
          </w:rPr>
          <w:t>articolo 203 del decreto legislativo 3 aprile 2006, n. 152</w:t>
        </w:r>
      </w:hyperlink>
      <w:r w:rsidRPr="00FB0B22">
        <w:rPr>
          <w:rFonts w:ascii="Times New Roman" w:eastAsia="Times New Roman" w:hAnsi="Times New Roman" w:cs="Times New Roman"/>
          <w:sz w:val="20"/>
          <w:szCs w:val="20"/>
          <w:lang w:eastAsia="it-IT"/>
        </w:rPr>
        <w:t>;</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 xml:space="preserve">f) predisposizione ed aggiornamento del metodo tariffario per la determinazione dei corrispettivi del servizio integrato dei rifiuti e dei singoli servizi che costituiscono attività di gestione, a copertura dei costi di esercizio e di investimento, compresa la remunerazione dei capitali, sulla base della valutazione dei costi efficienti e del principio </w:t>
      </w:r>
      <w:proofErr w:type="gramStart"/>
      <w:r w:rsidRPr="00FB0B22">
        <w:rPr>
          <w:rFonts w:ascii="Times New Roman" w:eastAsia="Times New Roman" w:hAnsi="Times New Roman" w:cs="Times New Roman"/>
          <w:sz w:val="20"/>
          <w:szCs w:val="20"/>
          <w:lang w:eastAsia="it-IT"/>
        </w:rPr>
        <w:t>« chi</w:t>
      </w:r>
      <w:proofErr w:type="gramEnd"/>
      <w:r w:rsidRPr="00FB0B22">
        <w:rPr>
          <w:rFonts w:ascii="Times New Roman" w:eastAsia="Times New Roman" w:hAnsi="Times New Roman" w:cs="Times New Roman"/>
          <w:sz w:val="20"/>
          <w:szCs w:val="20"/>
          <w:lang w:eastAsia="it-IT"/>
        </w:rPr>
        <w:t xml:space="preserve"> inquina paga »;</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g) fissazione dei criteri per la definizione delle tariffe di accesso agli impianti di trattamento;</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h) approvazione delle tariffe definite, ai sensi della legislazione vigente, dall'ente di governo dell'ambito territoriale ottimale per il servizio integrato e dai gestori degli impianti di trattamento;</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i) verifica della corretta redazione dei piani di ambito esprimendo osservazioni e rilievi;</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l) formulazione di proposte relativamente alle attività comprese nel sistema integrato di gestione dei rifiuti da assoggettare a regime di concessione o autorizzazione in relazione alle condizioni di concorrenza dei mercati;</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m) formulazione di proposte di revisione della disciplina vigente, segnalandone altresì i casi di gravi inadempienze e di non corretta applicazione;</w:t>
      </w:r>
    </w:p>
    <w:p w:rsidR="00732890" w:rsidRPr="00FB0B22" w:rsidRDefault="00732890" w:rsidP="00732890">
      <w:pPr>
        <w:shd w:val="clear" w:color="auto" w:fill="FFFFFF"/>
        <w:spacing w:after="0" w:line="240" w:lineRule="auto"/>
        <w:ind w:firstLine="400"/>
        <w:jc w:val="both"/>
        <w:rPr>
          <w:rFonts w:ascii="Times New Roman" w:eastAsia="Times New Roman" w:hAnsi="Times New Roman" w:cs="Times New Roman"/>
          <w:sz w:val="20"/>
          <w:szCs w:val="20"/>
          <w:lang w:eastAsia="it-IT"/>
        </w:rPr>
      </w:pPr>
      <w:r w:rsidRPr="00FB0B22">
        <w:rPr>
          <w:rFonts w:ascii="Times New Roman" w:eastAsia="Times New Roman" w:hAnsi="Times New Roman" w:cs="Times New Roman"/>
          <w:sz w:val="20"/>
          <w:szCs w:val="20"/>
          <w:lang w:eastAsia="it-IT"/>
        </w:rPr>
        <w:t>n) predisposizione di una relazione annuale alle Camere sull'attività svolta”.</w:t>
      </w:r>
    </w:p>
    <w:p w:rsidR="00732890" w:rsidRPr="00FB0B22" w:rsidRDefault="00732890" w:rsidP="00732890">
      <w:pPr>
        <w:pStyle w:val="Testonotaapidipagina"/>
        <w:rPr>
          <w:rFonts w:ascii="Times New Roman" w:hAnsi="Times New Roman" w:cs="Times New Roman"/>
        </w:rPr>
      </w:pPr>
      <w:r w:rsidRPr="00FB0B22">
        <w:rPr>
          <w:rFonts w:ascii="Times New Roman" w:hAnsi="Times New Roman" w:cs="Times New Roman"/>
        </w:rPr>
        <w:t>.</w:t>
      </w:r>
    </w:p>
  </w:footnote>
  <w:footnote w:id="3">
    <w:p w:rsidR="00732890" w:rsidRPr="00FB0B22" w:rsidRDefault="00732890" w:rsidP="00732890">
      <w:pPr>
        <w:pStyle w:val="Testonotaapidipagina"/>
        <w:jc w:val="both"/>
        <w:rPr>
          <w:rFonts w:ascii="Times New Roman" w:hAnsi="Times New Roman" w:cs="Times New Roman"/>
        </w:rPr>
      </w:pPr>
      <w:r w:rsidRPr="00FB0B22">
        <w:rPr>
          <w:rStyle w:val="Rimandonotaapidipagina"/>
          <w:rFonts w:ascii="Times New Roman" w:hAnsi="Times New Roman" w:cs="Times New Roman"/>
        </w:rPr>
        <w:footnoteRef/>
      </w:r>
      <w:r w:rsidRPr="00FB0B22">
        <w:rPr>
          <w:rFonts w:ascii="Times New Roman" w:hAnsi="Times New Roman" w:cs="Times New Roman"/>
        </w:rPr>
        <w:t xml:space="preserve"> Cfr. art. 1, comma 1, l. 481/1995: “</w:t>
      </w:r>
      <w:r w:rsidRPr="00FB0B22">
        <w:rPr>
          <w:rFonts w:ascii="Times New Roman" w:hAnsi="Times New Roman" w:cs="Times New Roman"/>
          <w:shd w:val="clear" w:color="auto" w:fill="FFFFFF"/>
        </w:rPr>
        <w:t>Le disposizioni della presente legge hanno la finalità di garantire la promozione della concorrenza e dell'efficienza nel settore dei servizi di pubblica utilità, di seguito denominati «servizi» nonché adeguati livelli di qualità nei servizi medesimi in condizioni di economicità e di redditività, assicurandone la fruibilità e la diffusione in modo omogeneo sull'intero territorio nazionale, definendo un sistema tariffario certo, trasparente e basato su criteri predefiniti, promuovendo la tutela degli interessi di utenti e consumatori, tenuto conto della normativa comunitaria in materia e degli indirizzi di politica generale formulati dal Governo. Il sistema tariffario deve altresì armonizzare gli obiettivi economico-finanziari dei soggetti esercenti il servizio con gli obiettivi generali di carattere sociale, di tutela ambientale e di uso efficiente delle risorse”</w:t>
      </w:r>
      <w:r w:rsidRPr="00FB0B22">
        <w:rPr>
          <w:rFonts w:ascii="Times New Roman" w:hAnsi="Times New Roman" w:cs="Times New Roman"/>
        </w:rPr>
        <w:t>.</w:t>
      </w:r>
    </w:p>
  </w:footnote>
  <w:footnote w:id="4">
    <w:p w:rsidR="00732890" w:rsidRPr="00C3192C" w:rsidRDefault="00732890" w:rsidP="00732890">
      <w:pPr>
        <w:pStyle w:val="Default"/>
        <w:jc w:val="both"/>
        <w:rPr>
          <w:rFonts w:ascii="Times New Roman" w:hAnsi="Times New Roman" w:cs="Times New Roman"/>
          <w:sz w:val="20"/>
          <w:szCs w:val="20"/>
        </w:rPr>
      </w:pPr>
      <w:r w:rsidRPr="00FB0B22">
        <w:rPr>
          <w:rStyle w:val="Rimandonotaapidipagina"/>
          <w:rFonts w:ascii="Times New Roman" w:hAnsi="Times New Roman" w:cs="Times New Roman"/>
          <w:color w:val="auto"/>
          <w:sz w:val="20"/>
          <w:szCs w:val="20"/>
        </w:rPr>
        <w:footnoteRef/>
      </w:r>
      <w:r w:rsidRPr="00FB0B22">
        <w:rPr>
          <w:rFonts w:ascii="Times New Roman" w:hAnsi="Times New Roman" w:cs="Times New Roman"/>
          <w:color w:val="auto"/>
          <w:sz w:val="20"/>
          <w:szCs w:val="20"/>
        </w:rPr>
        <w:t xml:space="preserve"> </w:t>
      </w:r>
      <w:r w:rsidRPr="00FB0B22">
        <w:rPr>
          <w:rFonts w:ascii="Times New Roman" w:hAnsi="Times New Roman" w:cs="Times New Roman"/>
          <w:color w:val="auto"/>
          <w:sz w:val="20"/>
          <w:szCs w:val="20"/>
          <w:shd w:val="clear" w:color="auto" w:fill="FFFFFF"/>
        </w:rPr>
        <w:t xml:space="preserve">Riguardo a quest’ultimo, pare utile citare un importante contenzioso che ha coinvolto l’Autorità in tema di condizioni </w:t>
      </w:r>
      <w:r w:rsidRPr="00C3192C">
        <w:rPr>
          <w:rFonts w:ascii="Times New Roman" w:hAnsi="Times New Roman" w:cs="Times New Roman"/>
          <w:sz w:val="20"/>
          <w:szCs w:val="20"/>
          <w:shd w:val="clear" w:color="auto" w:fill="FFFFFF"/>
        </w:rPr>
        <w:t xml:space="preserve">economiche di fornitura gas. Cfr. Tar </w:t>
      </w:r>
      <w:r>
        <w:rPr>
          <w:rFonts w:ascii="Times New Roman" w:hAnsi="Times New Roman" w:cs="Times New Roman"/>
          <w:sz w:val="20"/>
          <w:szCs w:val="20"/>
          <w:shd w:val="clear" w:color="auto" w:fill="FFFFFF"/>
        </w:rPr>
        <w:t>L</w:t>
      </w:r>
      <w:r w:rsidRPr="00C3192C">
        <w:rPr>
          <w:rFonts w:ascii="Times New Roman" w:hAnsi="Times New Roman" w:cs="Times New Roman"/>
          <w:sz w:val="20"/>
          <w:szCs w:val="20"/>
          <w:shd w:val="clear" w:color="auto" w:fill="FFFFFF"/>
        </w:rPr>
        <w:t>ombardia, sez. II, 16 aprile 2014, n. 978.</w:t>
      </w:r>
    </w:p>
  </w:footnote>
  <w:footnote w:id="5">
    <w:p w:rsidR="00732890" w:rsidRPr="00D83133" w:rsidRDefault="00732890" w:rsidP="00732890">
      <w:pPr>
        <w:pStyle w:val="Testonotaapidipagina"/>
        <w:jc w:val="both"/>
        <w:rPr>
          <w:rFonts w:ascii="Times New Roman" w:hAnsi="Times New Roman" w:cs="Times New Roman"/>
        </w:rPr>
      </w:pPr>
      <w:r w:rsidRPr="00D83133">
        <w:rPr>
          <w:rStyle w:val="Rimandonotaapidipagina"/>
          <w:rFonts w:ascii="Times New Roman" w:hAnsi="Times New Roman" w:cs="Times New Roman"/>
        </w:rPr>
        <w:footnoteRef/>
      </w:r>
      <w:r w:rsidRPr="00D83133">
        <w:rPr>
          <w:rFonts w:ascii="Times New Roman" w:hAnsi="Times New Roman" w:cs="Times New Roman"/>
        </w:rPr>
        <w:t xml:space="preserve"> L’energia elettrica non si può immagazzinare. E’ quindi necessario produrre, istante per istante, la quantità di energia richiesta dall‘insieme dei consumatori (famiglie e aziende) e gestirne la trasmissione in modo che l’offerta e la domanda siano sempre in equilibrio, garantendo così la continuità e la sicurezza della fornitura del servizio. La gestione di questi flussi di energia sulla rete si chiama dispacciamento. Tale attività, svolta da Terna, richiede il monitoraggio dei flussi elettrici e l’applicazione delle disposizioni necessarie per l’esercizio coordinato degli elementi del sistema, cioè</w:t>
      </w:r>
      <w:r w:rsidRPr="00D83133">
        <w:rPr>
          <w:rFonts w:ascii="Times New Roman" w:hAnsi="Times New Roman" w:cs="Times New Roman"/>
          <w:b/>
          <w:bCs/>
        </w:rPr>
        <w:t xml:space="preserve"> </w:t>
      </w:r>
      <w:r w:rsidRPr="00D83133">
        <w:rPr>
          <w:rFonts w:ascii="Times New Roman" w:hAnsi="Times New Roman" w:cs="Times New Roman"/>
          <w:bCs/>
        </w:rPr>
        <w:t>gli impianti di produzione, la rete di trasmissione e i servizi ausiliari.</w:t>
      </w:r>
      <w:r w:rsidRPr="00D83133">
        <w:rPr>
          <w:rFonts w:ascii="Times New Roman" w:hAnsi="Times New Roman" w:cs="Times New Roman"/>
        </w:rPr>
        <w:t xml:space="preserve"> </w:t>
      </w:r>
    </w:p>
  </w:footnote>
  <w:footnote w:id="6">
    <w:p w:rsidR="00732890" w:rsidRPr="00C3192C" w:rsidRDefault="00732890" w:rsidP="00732890">
      <w:pPr>
        <w:autoSpaceDE w:val="0"/>
        <w:autoSpaceDN w:val="0"/>
        <w:adjustRightInd w:val="0"/>
        <w:spacing w:after="0" w:line="240" w:lineRule="auto"/>
        <w:jc w:val="both"/>
        <w:rPr>
          <w:rFonts w:ascii="Times New Roman" w:hAnsi="Times New Roman" w:cs="Times New Roman"/>
          <w:sz w:val="20"/>
          <w:szCs w:val="20"/>
        </w:rPr>
      </w:pPr>
      <w:r w:rsidRPr="00C3192C">
        <w:rPr>
          <w:rStyle w:val="Rimandonotaapidipagina"/>
          <w:rFonts w:ascii="Times New Roman" w:hAnsi="Times New Roman" w:cs="Times New Roman"/>
          <w:sz w:val="20"/>
          <w:szCs w:val="20"/>
        </w:rPr>
        <w:footnoteRef/>
      </w:r>
      <w:r w:rsidRPr="00C3192C">
        <w:rPr>
          <w:rFonts w:ascii="Times New Roman" w:hAnsi="Times New Roman" w:cs="Times New Roman"/>
          <w:sz w:val="20"/>
          <w:szCs w:val="20"/>
        </w:rPr>
        <w:t xml:space="preserve"> Il bilanciamento è diretto ad assicurare il mantenimento dell’equilibrio tra immissioni e prelievi all’interno della rete, onde garantire la sicurezza del sistema e la continuità delle forniture.</w:t>
      </w:r>
    </w:p>
    <w:p w:rsidR="00732890" w:rsidRPr="00C3192C" w:rsidRDefault="00732890" w:rsidP="00732890">
      <w:pPr>
        <w:autoSpaceDE w:val="0"/>
        <w:autoSpaceDN w:val="0"/>
        <w:adjustRightInd w:val="0"/>
        <w:spacing w:after="0" w:line="240" w:lineRule="auto"/>
        <w:jc w:val="both"/>
        <w:rPr>
          <w:rFonts w:ascii="Times New Roman" w:hAnsi="Times New Roman" w:cs="Times New Roman"/>
          <w:sz w:val="20"/>
          <w:szCs w:val="20"/>
        </w:rPr>
      </w:pPr>
      <w:r w:rsidRPr="00C3192C">
        <w:rPr>
          <w:rFonts w:ascii="Times New Roman" w:hAnsi="Times New Roman" w:cs="Times New Roman"/>
          <w:sz w:val="20"/>
          <w:szCs w:val="20"/>
        </w:rPr>
        <w:t>In sostanza, il gestore del servizio del servizio di bilanciamento deve immettere gas nella rete o prelevarlo, qualora rilevi che non via sia equilibrio fra immissioni, da parte dei venditori, e prelievi, da parte dei clienti finali.</w:t>
      </w:r>
      <w:r w:rsidRPr="00C3192C">
        <w:rPr>
          <w:rFonts w:ascii="Times New Roman" w:hAnsi="Times New Roman" w:cs="Times New Roman"/>
          <w:sz w:val="20"/>
          <w:szCs w:val="20"/>
          <w:shd w:val="clear" w:color="auto" w:fill="FFFFFF"/>
        </w:rPr>
        <w:t xml:space="preserve"> In tale contesto, pare opportuno accennare al contenzioso sul tema della diligenza di </w:t>
      </w:r>
      <w:r w:rsidRPr="00C3192C">
        <w:rPr>
          <w:rFonts w:ascii="Times New Roman" w:hAnsi="Times New Roman" w:cs="Times New Roman"/>
          <w:sz w:val="20"/>
          <w:szCs w:val="20"/>
        </w:rPr>
        <w:t xml:space="preserve">Snam Rete Gas, l’impresa maggiore di trasporto del gas naturale, ossia l’impresa </w:t>
      </w:r>
      <w:r w:rsidRPr="00C3192C">
        <w:rPr>
          <w:rFonts w:ascii="Times New Roman" w:hAnsi="Times New Roman" w:cs="Times New Roman"/>
          <w:iCs/>
          <w:sz w:val="20"/>
          <w:szCs w:val="20"/>
        </w:rPr>
        <w:t>che avendo la disponibilità della rete nazionale di gasdotti svolge l'attività di trasporto sulla maggior parte della medesima.</w:t>
      </w:r>
      <w:r>
        <w:rPr>
          <w:rFonts w:ascii="Times New Roman" w:hAnsi="Times New Roman" w:cs="Times New Roman"/>
          <w:iCs/>
          <w:sz w:val="20"/>
          <w:szCs w:val="20"/>
        </w:rPr>
        <w:t xml:space="preserve"> Cfr. Tar Lombardia, sez. II, 21 aprile 2017, n. 942.</w:t>
      </w:r>
    </w:p>
  </w:footnote>
  <w:footnote w:id="7">
    <w:p w:rsidR="00732890" w:rsidRPr="00C3192C" w:rsidRDefault="00732890" w:rsidP="00732890">
      <w:pPr>
        <w:pStyle w:val="Testonotaapidipagina"/>
        <w:rPr>
          <w:rFonts w:ascii="Times New Roman" w:hAnsi="Times New Roman" w:cs="Times New Roman"/>
        </w:rPr>
      </w:pPr>
      <w:r w:rsidRPr="00C3192C">
        <w:rPr>
          <w:rStyle w:val="Rimandonotaapidipagina"/>
          <w:rFonts w:ascii="Times New Roman" w:hAnsi="Times New Roman" w:cs="Times New Roman"/>
        </w:rPr>
        <w:footnoteRef/>
      </w:r>
      <w:r w:rsidRPr="00C3192C">
        <w:rPr>
          <w:rFonts w:ascii="Times New Roman" w:hAnsi="Times New Roman" w:cs="Times New Roman"/>
        </w:rPr>
        <w:t xml:space="preserve"> Cfr. Tar Lombardia, sez. II, 20 marzo 2014, n. 737.</w:t>
      </w:r>
    </w:p>
  </w:footnote>
  <w:footnote w:id="8">
    <w:p w:rsidR="00732890" w:rsidRPr="00C3192C" w:rsidRDefault="00732890" w:rsidP="00732890">
      <w:pPr>
        <w:pStyle w:val="Testonotaapidipagina"/>
        <w:jc w:val="both"/>
        <w:rPr>
          <w:rFonts w:ascii="Times New Roman" w:hAnsi="Times New Roman" w:cs="Times New Roman"/>
        </w:rPr>
      </w:pPr>
      <w:r w:rsidRPr="00C3192C">
        <w:rPr>
          <w:rStyle w:val="Rimandonotaapidipagina"/>
          <w:rFonts w:ascii="Times New Roman" w:hAnsi="Times New Roman" w:cs="Times New Roman"/>
        </w:rPr>
        <w:footnoteRef/>
      </w:r>
      <w:r w:rsidRPr="00C3192C">
        <w:rPr>
          <w:rFonts w:ascii="Times New Roman" w:hAnsi="Times New Roman" w:cs="Times New Roman"/>
        </w:rPr>
        <w:t xml:space="preserve"> </w:t>
      </w:r>
      <w:r w:rsidRPr="00C3192C">
        <w:rPr>
          <w:rFonts w:ascii="Times New Roman" w:hAnsi="Times New Roman" w:cs="Times New Roman"/>
          <w:shd w:val="clear" w:color="auto" w:fill="FFFFFF"/>
        </w:rPr>
        <w:t xml:space="preserve">Può citarsi, ad esempio, nell’ambito della regolazione non tariffaria, la problematica del </w:t>
      </w:r>
      <w:proofErr w:type="spellStart"/>
      <w:r w:rsidRPr="00C3192C">
        <w:rPr>
          <w:rFonts w:ascii="Times New Roman" w:hAnsi="Times New Roman" w:cs="Times New Roman"/>
          <w:shd w:val="clear" w:color="auto" w:fill="FFFFFF"/>
        </w:rPr>
        <w:t>capacity</w:t>
      </w:r>
      <w:proofErr w:type="spellEnd"/>
      <w:r w:rsidRPr="00C3192C">
        <w:rPr>
          <w:rFonts w:ascii="Times New Roman" w:hAnsi="Times New Roman" w:cs="Times New Roman"/>
          <w:shd w:val="clear" w:color="auto" w:fill="FFFFFF"/>
        </w:rPr>
        <w:t xml:space="preserve"> </w:t>
      </w:r>
      <w:proofErr w:type="spellStart"/>
      <w:r w:rsidRPr="00C3192C">
        <w:rPr>
          <w:rFonts w:ascii="Times New Roman" w:hAnsi="Times New Roman" w:cs="Times New Roman"/>
          <w:shd w:val="clear" w:color="auto" w:fill="FFFFFF"/>
        </w:rPr>
        <w:t>payment</w:t>
      </w:r>
      <w:proofErr w:type="spellEnd"/>
      <w:r w:rsidRPr="00C3192C">
        <w:rPr>
          <w:rFonts w:ascii="Times New Roman" w:hAnsi="Times New Roman" w:cs="Times New Roman"/>
          <w:shd w:val="clear" w:color="auto" w:fill="FFFFFF"/>
        </w:rPr>
        <w:t xml:space="preserve">, che costituisce un meccanismo </w:t>
      </w:r>
      <w:proofErr w:type="spellStart"/>
      <w:r w:rsidRPr="00C3192C">
        <w:rPr>
          <w:rFonts w:ascii="Times New Roman" w:hAnsi="Times New Roman" w:cs="Times New Roman"/>
          <w:shd w:val="clear" w:color="auto" w:fill="FFFFFF"/>
        </w:rPr>
        <w:t>regolatorio</w:t>
      </w:r>
      <w:proofErr w:type="spellEnd"/>
      <w:r w:rsidRPr="00C3192C">
        <w:rPr>
          <w:rFonts w:ascii="Times New Roman" w:hAnsi="Times New Roman" w:cs="Times New Roman"/>
          <w:shd w:val="clear" w:color="auto" w:fill="FFFFFF"/>
        </w:rPr>
        <w:t xml:space="preserve"> istituito al fine di garantire la copertura della domanda nazionale di energia con i necessari margini di riserva. Cfr. </w:t>
      </w:r>
      <w:proofErr w:type="spellStart"/>
      <w:r w:rsidRPr="00C3192C">
        <w:rPr>
          <w:rFonts w:ascii="Times New Roman" w:hAnsi="Times New Roman" w:cs="Times New Roman"/>
          <w:shd w:val="clear" w:color="auto" w:fill="FFFFFF"/>
        </w:rPr>
        <w:t>Cons</w:t>
      </w:r>
      <w:proofErr w:type="spellEnd"/>
      <w:r w:rsidRPr="00C3192C">
        <w:rPr>
          <w:rFonts w:ascii="Times New Roman" w:hAnsi="Times New Roman" w:cs="Times New Roman"/>
          <w:shd w:val="clear" w:color="auto" w:fill="FFFFFF"/>
        </w:rPr>
        <w:t>. Stato, sez. VI, 28 dicembre 2017, n. 6143.</w:t>
      </w:r>
    </w:p>
  </w:footnote>
  <w:footnote w:id="9">
    <w:p w:rsidR="00732890" w:rsidRPr="00D83133" w:rsidRDefault="00732890" w:rsidP="00732890">
      <w:pPr>
        <w:pStyle w:val="Default"/>
        <w:jc w:val="both"/>
        <w:rPr>
          <w:rFonts w:ascii="Times New Roman" w:hAnsi="Times New Roman" w:cs="Times New Roman"/>
          <w:sz w:val="20"/>
          <w:szCs w:val="20"/>
        </w:rPr>
      </w:pPr>
      <w:r w:rsidRPr="00D83133">
        <w:rPr>
          <w:rStyle w:val="Rimandonotaapidipagina"/>
          <w:rFonts w:ascii="Times New Roman" w:hAnsi="Times New Roman" w:cs="Times New Roman"/>
          <w:sz w:val="20"/>
          <w:szCs w:val="20"/>
        </w:rPr>
        <w:footnoteRef/>
      </w:r>
      <w:r w:rsidRPr="00D83133">
        <w:rPr>
          <w:rFonts w:ascii="Times New Roman" w:hAnsi="Times New Roman" w:cs="Times New Roman"/>
          <w:sz w:val="20"/>
          <w:szCs w:val="20"/>
        </w:rPr>
        <w:t xml:space="preserve"> </w:t>
      </w:r>
      <w:r w:rsidRPr="00D83133">
        <w:rPr>
          <w:rFonts w:ascii="Times New Roman" w:hAnsi="Times New Roman" w:cs="Times New Roman"/>
          <w:sz w:val="20"/>
          <w:szCs w:val="20"/>
          <w:shd w:val="clear" w:color="auto" w:fill="FFFFFF"/>
        </w:rPr>
        <w:t xml:space="preserve">A proposito dei provvedimenti di moral suasion può citarsi la delibera 342, con la quale si </w:t>
      </w:r>
      <w:r w:rsidRPr="00D83133">
        <w:rPr>
          <w:rFonts w:ascii="Times New Roman" w:hAnsi="Times New Roman" w:cs="Times New Roman"/>
          <w:sz w:val="20"/>
          <w:szCs w:val="20"/>
        </w:rPr>
        <w:t xml:space="preserve">intima agli utenti del dispacciamento di cessare, da subito, ogni condotta finalizzata all’adozione di strategie di programmazione non coerenti con i principi di diligenza, prudenza, perizia e previdenza, che dovrebbero caratterizzare il comportamento di un operatore nell’ambito del servizio di dispacciamento e potenzialmente configurabili come manipolazione del mercato. </w:t>
      </w:r>
    </w:p>
  </w:footnote>
  <w:footnote w:id="10">
    <w:p w:rsidR="00732890" w:rsidRPr="000D24A5" w:rsidRDefault="00732890" w:rsidP="00732890">
      <w:pPr>
        <w:pStyle w:val="Default"/>
        <w:jc w:val="both"/>
        <w:rPr>
          <w:rFonts w:ascii="Times New Roman" w:hAnsi="Times New Roman" w:cs="Times New Roman"/>
          <w:sz w:val="20"/>
          <w:szCs w:val="20"/>
        </w:rPr>
      </w:pPr>
      <w:r w:rsidRPr="00D83133">
        <w:rPr>
          <w:rStyle w:val="Rimandonotaapidipagina"/>
          <w:rFonts w:ascii="Times New Roman" w:hAnsi="Times New Roman" w:cs="Times New Roman"/>
          <w:sz w:val="20"/>
          <w:szCs w:val="20"/>
        </w:rPr>
        <w:footnoteRef/>
      </w:r>
      <w:r w:rsidRPr="00D83133">
        <w:rPr>
          <w:rFonts w:ascii="Times New Roman" w:hAnsi="Times New Roman" w:cs="Times New Roman"/>
          <w:sz w:val="20"/>
          <w:szCs w:val="20"/>
        </w:rPr>
        <w:t xml:space="preserve"> </w:t>
      </w:r>
      <w:r w:rsidRPr="000D24A5">
        <w:rPr>
          <w:rFonts w:ascii="Times New Roman" w:hAnsi="Times New Roman" w:cs="Times New Roman"/>
          <w:sz w:val="20"/>
          <w:szCs w:val="20"/>
        </w:rPr>
        <w:t xml:space="preserve">Il potere di regolazione dell’Autorità è assistito da una potestà sanzionatoria di carattere generale attribuitale dall’art. 2, comma 20, </w:t>
      </w:r>
      <w:proofErr w:type="spellStart"/>
      <w:r w:rsidRPr="000D24A5">
        <w:rPr>
          <w:rFonts w:ascii="Times New Roman" w:hAnsi="Times New Roman" w:cs="Times New Roman"/>
          <w:sz w:val="20"/>
          <w:szCs w:val="20"/>
        </w:rPr>
        <w:t>lett</w:t>
      </w:r>
      <w:proofErr w:type="spellEnd"/>
      <w:r w:rsidRPr="000D24A5">
        <w:rPr>
          <w:rFonts w:ascii="Times New Roman" w:hAnsi="Times New Roman" w:cs="Times New Roman"/>
          <w:sz w:val="20"/>
          <w:szCs w:val="20"/>
        </w:rPr>
        <w:t>. c) della legge 14 novembre 1995 n. 481.</w:t>
      </w:r>
      <w:r w:rsidRPr="000D24A5">
        <w:rPr>
          <w:rFonts w:ascii="Times New Roman" w:hAnsi="Times New Roman" w:cs="Times New Roman"/>
          <w:sz w:val="20"/>
          <w:szCs w:val="20"/>
          <w:shd w:val="clear" w:color="auto" w:fill="FFFFFF"/>
        </w:rPr>
        <w:t xml:space="preserve"> Nell’ambito dei provvedimenti sanzionatori può farsi, ad esempio, l’ipotesi del contenzioso sulle Royalties che ha viste contrapposte l’Autorità ed Edison. Cfr. Tar Lombardia, sez. III, 25 gennaio 2010, n. 156, con la quale è stato respinto il </w:t>
      </w:r>
      <w:r w:rsidRPr="000D24A5">
        <w:rPr>
          <w:rFonts w:ascii="Times New Roman" w:hAnsi="Times New Roman" w:cs="Times New Roman"/>
          <w:sz w:val="20"/>
          <w:szCs w:val="20"/>
        </w:rPr>
        <w:t xml:space="preserve">ricorso proposto contro la deliberazione n. VIS 49/09 del 18 maggio 2009, con la quale l’Autorità ha comminato ad Edison S.p.a. una sanzione pecuniaria ammontante ad euro 659.000,00. </w:t>
      </w:r>
    </w:p>
  </w:footnote>
  <w:footnote w:id="11">
    <w:p w:rsidR="00046B2D" w:rsidRPr="000D24A5" w:rsidRDefault="00046B2D" w:rsidP="007B70D0">
      <w:pPr>
        <w:pStyle w:val="Default"/>
        <w:jc w:val="both"/>
        <w:rPr>
          <w:rFonts w:ascii="Times New Roman" w:hAnsi="Times New Roman" w:cs="Times New Roman"/>
          <w:sz w:val="20"/>
          <w:szCs w:val="20"/>
        </w:rPr>
      </w:pPr>
      <w:r w:rsidRPr="000D24A5">
        <w:rPr>
          <w:rStyle w:val="Rimandonotaapidipagina"/>
          <w:sz w:val="20"/>
          <w:szCs w:val="20"/>
        </w:rPr>
        <w:footnoteRef/>
      </w:r>
      <w:r w:rsidRPr="000D24A5">
        <w:rPr>
          <w:sz w:val="20"/>
          <w:szCs w:val="20"/>
        </w:rPr>
        <w:t xml:space="preserve"> </w:t>
      </w:r>
      <w:r w:rsidRPr="000D24A5">
        <w:rPr>
          <w:rFonts w:ascii="Times New Roman" w:hAnsi="Times New Roman" w:cs="Times New Roman"/>
          <w:sz w:val="20"/>
          <w:szCs w:val="20"/>
        </w:rPr>
        <w:t xml:space="preserve">Ciò appare chiaro </w:t>
      </w:r>
      <w:r w:rsidR="008B742F" w:rsidRPr="000D24A5">
        <w:rPr>
          <w:rFonts w:ascii="Times New Roman" w:hAnsi="Times New Roman" w:cs="Times New Roman"/>
          <w:sz w:val="20"/>
          <w:szCs w:val="20"/>
        </w:rPr>
        <w:t xml:space="preserve">anche </w:t>
      </w:r>
      <w:r w:rsidRPr="000D24A5">
        <w:rPr>
          <w:rFonts w:ascii="Times New Roman" w:hAnsi="Times New Roman" w:cs="Times New Roman"/>
          <w:sz w:val="20"/>
          <w:szCs w:val="20"/>
        </w:rPr>
        <w:t>dall’esame della sentenza della Corte di giustizia (seconda sezione) 28 luglio 2016, nella causa C</w:t>
      </w:r>
      <w:r w:rsidRPr="000D24A5">
        <w:rPr>
          <w:rFonts w:ascii="MS Mincho" w:eastAsia="MS Mincho" w:hAnsi="MS Mincho" w:cs="MS Mincho" w:hint="eastAsia"/>
          <w:sz w:val="20"/>
          <w:szCs w:val="20"/>
        </w:rPr>
        <w:t>‑</w:t>
      </w:r>
      <w:r w:rsidRPr="000D24A5">
        <w:rPr>
          <w:rFonts w:ascii="Times New Roman" w:hAnsi="Times New Roman" w:cs="Times New Roman"/>
          <w:sz w:val="20"/>
          <w:szCs w:val="20"/>
        </w:rPr>
        <w:t>240/15</w:t>
      </w:r>
      <w:r w:rsidR="008B742F" w:rsidRPr="000D24A5">
        <w:rPr>
          <w:rFonts w:ascii="Times New Roman" w:hAnsi="Times New Roman" w:cs="Times New Roman"/>
          <w:sz w:val="20"/>
          <w:szCs w:val="20"/>
        </w:rPr>
        <w:t xml:space="preserve"> (</w:t>
      </w:r>
      <w:r w:rsidRPr="000D24A5">
        <w:rPr>
          <w:rFonts w:ascii="Times New Roman" w:hAnsi="Times New Roman" w:cs="Times New Roman"/>
          <w:color w:val="444444"/>
          <w:sz w:val="20"/>
          <w:szCs w:val="20"/>
        </w:rPr>
        <w:t>Autorità per le Garanzie nelle Comunicazioni contro Istituto Nazionale di Statistica - ISTAT e altri</w:t>
      </w:r>
      <w:r w:rsidRPr="000D24A5">
        <w:rPr>
          <w:rFonts w:ascii="Times New Roman" w:hAnsi="Times New Roman" w:cs="Times New Roman"/>
          <w:color w:val="444444"/>
          <w:sz w:val="20"/>
          <w:szCs w:val="20"/>
        </w:rPr>
        <w:br/>
        <w:t>Domanda di pronuncia pregiudiziale proposta da Consiglio di Stato.</w:t>
      </w:r>
      <w:r w:rsidRPr="000D24A5">
        <w:rPr>
          <w:rFonts w:ascii="Times New Roman" w:hAnsi="Times New Roman" w:cs="Times New Roman"/>
          <w:color w:val="444444"/>
          <w:sz w:val="20"/>
          <w:szCs w:val="20"/>
        </w:rPr>
        <w:br/>
        <w:t>Rinvio pregiudiziale – Reti e servizi di comunicazione elettronica – Direttiva 2002/21/CE – Articolo 3 – Imparzialità e indipendenza delle autorità nazionali di regolamentazione – Direttiva 2002/20/CE – Articolo 12 – Diritti amministrativi – Assoggettamento di un’autorità nazionale di regolamentazione alle disposizioni applicabili in materia di finanza pubblica nonché a talune disposizioni sul contenimento e la razionalizzazione delle spese delle amministrazioni pubbliche</w:t>
      </w:r>
      <w:r w:rsidR="008B742F" w:rsidRPr="000D24A5">
        <w:rPr>
          <w:rFonts w:ascii="Times New Roman" w:hAnsi="Times New Roman" w:cs="Times New Roman"/>
          <w:color w:val="444444"/>
          <w:sz w:val="20"/>
          <w:szCs w:val="20"/>
        </w:rPr>
        <w:t>) che ha concluso per l’assoggettamento anche delle autorità indipendenti alle disposizioni applicabili in materia di finanza pubblica nonché a talune disposizioni sul contenimento e la razionalizzazione delle spese delle amministrazioni pubbliche includendole negli elenchi ISTAT</w:t>
      </w:r>
      <w:r w:rsidRPr="000D24A5">
        <w:rPr>
          <w:rFonts w:ascii="Times New Roman" w:hAnsi="Times New Roman" w:cs="Times New Roman"/>
          <w:color w:val="444444"/>
          <w:sz w:val="20"/>
          <w:szCs w:val="20"/>
        </w:rPr>
        <w:t>.</w:t>
      </w:r>
    </w:p>
  </w:footnote>
  <w:footnote w:id="12">
    <w:p w:rsidR="000D24A5" w:rsidRPr="00110CF6" w:rsidRDefault="000D24A5" w:rsidP="000D24A5">
      <w:pPr>
        <w:pStyle w:val="Testonotaapidipagina"/>
        <w:jc w:val="both"/>
        <w:rPr>
          <w:rFonts w:ascii="Times New Roman" w:hAnsi="Times New Roman" w:cs="Times New Roman"/>
        </w:rPr>
      </w:pPr>
      <w:r w:rsidRPr="00110CF6">
        <w:rPr>
          <w:rStyle w:val="Rimandonotaapidipagina"/>
          <w:rFonts w:ascii="Times New Roman" w:hAnsi="Times New Roman" w:cs="Times New Roman"/>
        </w:rPr>
        <w:footnoteRef/>
      </w:r>
      <w:r w:rsidRPr="00110CF6">
        <w:rPr>
          <w:rFonts w:ascii="Times New Roman" w:hAnsi="Times New Roman" w:cs="Times New Roman"/>
        </w:rPr>
        <w:t xml:space="preserve"> </w:t>
      </w:r>
      <w:r>
        <w:rPr>
          <w:rFonts w:ascii="Times New Roman" w:hAnsi="Times New Roman" w:cs="Times New Roman"/>
        </w:rPr>
        <w:t>A</w:t>
      </w:r>
      <w:r w:rsidRPr="00110CF6">
        <w:rPr>
          <w:rFonts w:ascii="Times New Roman" w:hAnsi="Times New Roman" w:cs="Times New Roman"/>
          <w:shd w:val="clear" w:color="auto" w:fill="FFFFFF"/>
        </w:rPr>
        <w:t>brogato dal numero 23) del comma 1 dell'art. 4 dell'allegato 4 al d.lgs. 2 luglio 2010, n. 104, come modificato dal numero 8) della lettera </w:t>
      </w:r>
      <w:r w:rsidRPr="00110CF6">
        <w:rPr>
          <w:rFonts w:ascii="Times New Roman" w:hAnsi="Times New Roman" w:cs="Times New Roman"/>
          <w:i/>
          <w:iCs/>
          <w:shd w:val="clear" w:color="auto" w:fill="FFFFFF"/>
        </w:rPr>
        <w:t>b</w:t>
      </w:r>
      <w:r w:rsidRPr="00110CF6">
        <w:rPr>
          <w:rFonts w:ascii="Times New Roman" w:hAnsi="Times New Roman" w:cs="Times New Roman"/>
          <w:shd w:val="clear" w:color="auto" w:fill="FFFFFF"/>
        </w:rPr>
        <w:t>) del comma 3 dell'art. </w:t>
      </w:r>
      <w:hyperlink r:id="rId3" w:anchor="id=10LX0000760905ART13,__m=document" w:history="1">
        <w:r w:rsidRPr="00110CF6">
          <w:rPr>
            <w:rStyle w:val="Collegamentoipertestuale"/>
            <w:rFonts w:ascii="Times New Roman" w:hAnsi="Times New Roman" w:cs="Times New Roman"/>
            <w:shd w:val="clear" w:color="auto" w:fill="FFFFFF"/>
          </w:rPr>
          <w:t>1</w:t>
        </w:r>
      </w:hyperlink>
      <w:r w:rsidRPr="00110CF6">
        <w:rPr>
          <w:rFonts w:ascii="Times New Roman" w:hAnsi="Times New Roman" w:cs="Times New Roman"/>
          <w:shd w:val="clear" w:color="auto" w:fill="FFFFFF"/>
        </w:rPr>
        <w:t>, d.lgs. 15 novembre 2011, n. 195.</w:t>
      </w:r>
      <w:r>
        <w:rPr>
          <w:rFonts w:ascii="Times New Roman" w:hAnsi="Times New Roman" w:cs="Times New Roman"/>
          <w:shd w:val="clear" w:color="auto" w:fill="FFFFFF"/>
        </w:rPr>
        <w:t xml:space="preserve"> Vedi, ora, gli artt. 63 e ss. del </w:t>
      </w:r>
      <w:r w:rsidRPr="00110CF6">
        <w:rPr>
          <w:rFonts w:ascii="Times New Roman" w:hAnsi="Times New Roman" w:cs="Times New Roman"/>
          <w:shd w:val="clear" w:color="auto" w:fill="FFFFFF"/>
        </w:rPr>
        <w:t>d.lgs. 2 luglio 2010, n. 104</w:t>
      </w:r>
      <w:r>
        <w:rPr>
          <w:rFonts w:ascii="Times New Roman" w:hAnsi="Times New Roman" w:cs="Times New Roman"/>
          <w:shd w:val="clear" w:color="auto" w:fill="FFFFFF"/>
        </w:rPr>
        <w:t>.</w:t>
      </w:r>
    </w:p>
  </w:footnote>
  <w:footnote w:id="13">
    <w:p w:rsidR="000D24A5" w:rsidRPr="00110CF6" w:rsidRDefault="000D24A5" w:rsidP="000D24A5">
      <w:pPr>
        <w:pStyle w:val="Testonotaapidipagina"/>
        <w:jc w:val="both"/>
        <w:rPr>
          <w:rFonts w:ascii="Times New Roman" w:hAnsi="Times New Roman" w:cs="Times New Roman"/>
        </w:rPr>
      </w:pPr>
      <w:r w:rsidRPr="00110CF6">
        <w:rPr>
          <w:rStyle w:val="Rimandonotaapidipagina"/>
          <w:rFonts w:ascii="Times New Roman" w:hAnsi="Times New Roman" w:cs="Times New Roman"/>
        </w:rPr>
        <w:footnoteRef/>
      </w:r>
      <w:r w:rsidRPr="00110CF6">
        <w:rPr>
          <w:rFonts w:ascii="Times New Roman" w:hAnsi="Times New Roman" w:cs="Times New Roman"/>
          <w:color w:val="000000"/>
        </w:rPr>
        <w:t xml:space="preserve"> Cfr., sul punto, </w:t>
      </w:r>
      <w:proofErr w:type="spellStart"/>
      <w:r w:rsidRPr="00267039">
        <w:rPr>
          <w:rFonts w:ascii="Times New Roman" w:hAnsi="Times New Roman" w:cs="Times New Roman"/>
          <w:color w:val="000000"/>
        </w:rPr>
        <w:t>Cons</w:t>
      </w:r>
      <w:proofErr w:type="spellEnd"/>
      <w:r w:rsidRPr="00267039">
        <w:rPr>
          <w:rFonts w:ascii="Times New Roman" w:hAnsi="Times New Roman" w:cs="Times New Roman"/>
          <w:color w:val="000000"/>
        </w:rPr>
        <w:t xml:space="preserve">. Stato, </w:t>
      </w:r>
      <w:r w:rsidRPr="00110CF6">
        <w:rPr>
          <w:rFonts w:ascii="Times New Roman" w:hAnsi="Times New Roman" w:cs="Times New Roman"/>
          <w:color w:val="000000"/>
        </w:rPr>
        <w:t>s</w:t>
      </w:r>
      <w:r w:rsidRPr="00267039">
        <w:rPr>
          <w:rFonts w:ascii="Times New Roman" w:hAnsi="Times New Roman" w:cs="Times New Roman"/>
          <w:color w:val="000000"/>
        </w:rPr>
        <w:t>ez. VI, 15 maggio 2015, n. 2479; 15 dicembre 2014, n. 6154; 10 dicembre 2014, n. 6041; 11 settembre 2014, n. 4629; 8 agosto 2014, n. 4228; 21 maggio 2013, n. 2722; 28 settembre 2012, n. 5140</w:t>
      </w:r>
      <w:r w:rsidRPr="00110CF6">
        <w:rPr>
          <w:rFonts w:ascii="Times New Roman" w:hAnsi="Times New Roman" w:cs="Times New Roman"/>
          <w:color w:val="000000"/>
        </w:rPr>
        <w:t xml:space="preserve">; </w:t>
      </w:r>
      <w:r w:rsidRPr="00267039">
        <w:rPr>
          <w:rFonts w:ascii="Times New Roman" w:hAnsi="Times New Roman" w:cs="Times New Roman"/>
          <w:color w:val="000000"/>
        </w:rPr>
        <w:t>4 luglio 2012, n. 2901; 11 marzo 2012, n. 1192</w:t>
      </w:r>
      <w:r w:rsidRPr="00110CF6">
        <w:rPr>
          <w:rFonts w:ascii="Times New Roman" w:hAnsi="Times New Roman" w:cs="Times New Roman"/>
        </w:rPr>
        <w:t xml:space="preserve"> </w:t>
      </w:r>
    </w:p>
  </w:footnote>
  <w:footnote w:id="14">
    <w:p w:rsidR="000D24A5" w:rsidRPr="00110CF6" w:rsidRDefault="000D24A5" w:rsidP="000D24A5">
      <w:pPr>
        <w:pStyle w:val="Testonotaapidipagina"/>
        <w:jc w:val="both"/>
        <w:rPr>
          <w:rFonts w:ascii="Times New Roman" w:hAnsi="Times New Roman" w:cs="Times New Roman"/>
        </w:rPr>
      </w:pPr>
      <w:r w:rsidRPr="00110CF6">
        <w:rPr>
          <w:rStyle w:val="Rimandonotaapidipagina"/>
          <w:rFonts w:ascii="Times New Roman" w:hAnsi="Times New Roman" w:cs="Times New Roman"/>
        </w:rPr>
        <w:footnoteRef/>
      </w:r>
      <w:r w:rsidRPr="00110CF6">
        <w:rPr>
          <w:rFonts w:ascii="Times New Roman" w:hAnsi="Times New Roman" w:cs="Times New Roman"/>
        </w:rPr>
        <w:t xml:space="preserve"> </w:t>
      </w:r>
      <w:proofErr w:type="spellStart"/>
      <w:r w:rsidRPr="00110CF6">
        <w:rPr>
          <w:rFonts w:ascii="Times New Roman" w:hAnsi="Times New Roman" w:cs="Times New Roman"/>
          <w:shd w:val="clear" w:color="auto" w:fill="F8FBFD"/>
        </w:rPr>
        <w:t>Cons</w:t>
      </w:r>
      <w:proofErr w:type="spellEnd"/>
      <w:r w:rsidRPr="00110CF6">
        <w:rPr>
          <w:rFonts w:ascii="Times New Roman" w:hAnsi="Times New Roman" w:cs="Times New Roman"/>
          <w:shd w:val="clear" w:color="auto" w:fill="F8FBFD"/>
        </w:rPr>
        <w:t>. Stato, sez. VI, 2 maggio 2012, n. 2521.</w:t>
      </w:r>
    </w:p>
  </w:footnote>
  <w:footnote w:id="15">
    <w:p w:rsidR="000D24A5" w:rsidRPr="00110CF6" w:rsidRDefault="000D24A5" w:rsidP="000D24A5">
      <w:pPr>
        <w:pStyle w:val="Testonotaapidipagina"/>
        <w:jc w:val="both"/>
        <w:rPr>
          <w:rFonts w:ascii="Times New Roman" w:hAnsi="Times New Roman" w:cs="Times New Roman"/>
        </w:rPr>
      </w:pPr>
      <w:r w:rsidRPr="00110CF6">
        <w:rPr>
          <w:rStyle w:val="Rimandonotaapidipagina"/>
          <w:rFonts w:ascii="Times New Roman" w:hAnsi="Times New Roman" w:cs="Times New Roman"/>
        </w:rPr>
        <w:footnoteRef/>
      </w:r>
      <w:r w:rsidRPr="00110CF6">
        <w:rPr>
          <w:rFonts w:ascii="Times New Roman" w:hAnsi="Times New Roman" w:cs="Times New Roman"/>
        </w:rPr>
        <w:t xml:space="preserve"> Cfr.</w:t>
      </w:r>
      <w:r w:rsidRPr="00110CF6">
        <w:rPr>
          <w:rFonts w:ascii="Times New Roman" w:hAnsi="Times New Roman" w:cs="Times New Roman"/>
          <w:color w:val="000000"/>
        </w:rPr>
        <w:t xml:space="preserve"> </w:t>
      </w:r>
      <w:proofErr w:type="spellStart"/>
      <w:r w:rsidRPr="000E7773">
        <w:rPr>
          <w:rFonts w:ascii="Times New Roman" w:hAnsi="Times New Roman" w:cs="Times New Roman"/>
          <w:color w:val="000000"/>
        </w:rPr>
        <w:t>Cons</w:t>
      </w:r>
      <w:proofErr w:type="spellEnd"/>
      <w:r w:rsidRPr="000E7773">
        <w:rPr>
          <w:rFonts w:ascii="Times New Roman" w:hAnsi="Times New Roman" w:cs="Times New Roman"/>
          <w:color w:val="000000"/>
        </w:rPr>
        <w:t xml:space="preserve">. Stato, </w:t>
      </w:r>
      <w:r w:rsidRPr="00110CF6">
        <w:rPr>
          <w:rFonts w:ascii="Times New Roman" w:hAnsi="Times New Roman" w:cs="Times New Roman"/>
          <w:color w:val="000000"/>
        </w:rPr>
        <w:t>s</w:t>
      </w:r>
      <w:r w:rsidRPr="000E7773">
        <w:rPr>
          <w:rFonts w:ascii="Times New Roman" w:hAnsi="Times New Roman" w:cs="Times New Roman"/>
          <w:color w:val="000000"/>
        </w:rPr>
        <w:t>ez. VI, 16 dicembre 2014, n. 6050</w:t>
      </w:r>
      <w:r w:rsidRPr="00110CF6">
        <w:rPr>
          <w:rFonts w:ascii="Times New Roman" w:hAnsi="Times New Roman" w:cs="Times New Roman"/>
          <w:color w:val="000000"/>
        </w:rPr>
        <w:t>; s</w:t>
      </w:r>
      <w:r w:rsidRPr="000E7773">
        <w:rPr>
          <w:rFonts w:ascii="Times New Roman" w:hAnsi="Times New Roman" w:cs="Times New Roman"/>
          <w:color w:val="000000"/>
        </w:rPr>
        <w:t>ez. III, 2 aprile 2013, n. 1856</w:t>
      </w:r>
      <w:r w:rsidRPr="00110CF6">
        <w:rPr>
          <w:rFonts w:ascii="Times New Roman" w:hAnsi="Times New Roman" w:cs="Times New Roman"/>
          <w:color w:val="000000"/>
        </w:rPr>
        <w:t>.</w:t>
      </w:r>
      <w:r w:rsidRPr="00110CF6">
        <w:rPr>
          <w:rFonts w:ascii="Times New Roman" w:hAnsi="Times New Roman" w:cs="Times New Roman"/>
        </w:rPr>
        <w:t xml:space="preserve"> </w:t>
      </w:r>
    </w:p>
  </w:footnote>
  <w:footnote w:id="16">
    <w:p w:rsidR="000D24A5" w:rsidRPr="00110CF6" w:rsidRDefault="000D24A5" w:rsidP="000D24A5">
      <w:pPr>
        <w:pStyle w:val="Testonotaapidipagina"/>
        <w:jc w:val="both"/>
        <w:rPr>
          <w:rFonts w:ascii="Times New Roman" w:hAnsi="Times New Roman" w:cs="Times New Roman"/>
        </w:rPr>
      </w:pPr>
      <w:r w:rsidRPr="00110CF6">
        <w:rPr>
          <w:rStyle w:val="Rimandonotaapidipagina"/>
          <w:rFonts w:ascii="Times New Roman" w:hAnsi="Times New Roman" w:cs="Times New Roman"/>
        </w:rPr>
        <w:footnoteRef/>
      </w:r>
      <w:r w:rsidRPr="00110CF6">
        <w:rPr>
          <w:rFonts w:ascii="Times New Roman" w:hAnsi="Times New Roman" w:cs="Times New Roman"/>
        </w:rPr>
        <w:t xml:space="preserve"> Cfr. </w:t>
      </w:r>
      <w:proofErr w:type="spellStart"/>
      <w:r w:rsidRPr="00110CF6">
        <w:rPr>
          <w:rFonts w:ascii="Times New Roman" w:hAnsi="Times New Roman" w:cs="Times New Roman"/>
          <w:shd w:val="clear" w:color="auto" w:fill="FFFFFF"/>
        </w:rPr>
        <w:t>Cons</w:t>
      </w:r>
      <w:proofErr w:type="spellEnd"/>
      <w:r w:rsidRPr="00110CF6">
        <w:rPr>
          <w:rFonts w:ascii="Times New Roman" w:hAnsi="Times New Roman" w:cs="Times New Roman"/>
          <w:shd w:val="clear" w:color="auto" w:fill="FFFFFF"/>
        </w:rPr>
        <w:t>. Stato, sez. VI, 12 giugno 2015, n. 2888.</w:t>
      </w:r>
    </w:p>
  </w:footnote>
  <w:footnote w:id="17">
    <w:p w:rsidR="000D24A5" w:rsidRPr="00110CF6" w:rsidRDefault="000D24A5" w:rsidP="000D24A5">
      <w:pPr>
        <w:pStyle w:val="Testonotaapidipagina"/>
        <w:jc w:val="both"/>
        <w:rPr>
          <w:rFonts w:ascii="Times New Roman" w:hAnsi="Times New Roman" w:cs="Times New Roman"/>
        </w:rPr>
      </w:pPr>
      <w:r w:rsidRPr="00110CF6">
        <w:rPr>
          <w:rStyle w:val="Rimandonotaapidipagina"/>
          <w:rFonts w:ascii="Times New Roman" w:hAnsi="Times New Roman" w:cs="Times New Roman"/>
        </w:rPr>
        <w:footnoteRef/>
      </w:r>
      <w:r w:rsidRPr="00110CF6">
        <w:rPr>
          <w:rFonts w:ascii="Times New Roman" w:hAnsi="Times New Roman" w:cs="Times New Roman"/>
        </w:rPr>
        <w:t xml:space="preserve"> Cfr. </w:t>
      </w:r>
      <w:proofErr w:type="spellStart"/>
      <w:r w:rsidRPr="000E7773">
        <w:rPr>
          <w:rFonts w:ascii="Times New Roman" w:eastAsia="Times New Roman" w:hAnsi="Times New Roman" w:cs="Times New Roman"/>
          <w:color w:val="272B33"/>
          <w:lang w:eastAsia="it-IT"/>
        </w:rPr>
        <w:t>Cons</w:t>
      </w:r>
      <w:proofErr w:type="spellEnd"/>
      <w:r w:rsidRPr="000E7773">
        <w:rPr>
          <w:rFonts w:ascii="Times New Roman" w:eastAsia="Times New Roman" w:hAnsi="Times New Roman" w:cs="Times New Roman"/>
          <w:color w:val="272B33"/>
          <w:lang w:eastAsia="it-IT"/>
        </w:rPr>
        <w:t>. Stato, sez. VI, 19 gennaio 2016, n. 162</w:t>
      </w:r>
      <w:r w:rsidRPr="00110CF6">
        <w:rPr>
          <w:rFonts w:ascii="Times New Roman" w:eastAsia="Times New Roman" w:hAnsi="Times New Roman" w:cs="Times New Roman"/>
          <w:color w:val="272B33"/>
          <w:lang w:eastAsia="it-IT"/>
        </w:rPr>
        <w:t>.</w:t>
      </w:r>
    </w:p>
  </w:footnote>
  <w:footnote w:id="18">
    <w:p w:rsidR="000D24A5" w:rsidRPr="00110CF6" w:rsidRDefault="000D24A5" w:rsidP="000D24A5">
      <w:pPr>
        <w:pStyle w:val="Testonotaapidipagina"/>
        <w:jc w:val="both"/>
        <w:rPr>
          <w:rFonts w:ascii="Times New Roman" w:hAnsi="Times New Roman" w:cs="Times New Roman"/>
        </w:rPr>
      </w:pPr>
      <w:r w:rsidRPr="00110CF6">
        <w:rPr>
          <w:rStyle w:val="Rimandonotaapidipagina"/>
          <w:rFonts w:ascii="Times New Roman" w:hAnsi="Times New Roman" w:cs="Times New Roman"/>
        </w:rPr>
        <w:footnoteRef/>
      </w:r>
      <w:r w:rsidRPr="00110CF6">
        <w:rPr>
          <w:rFonts w:ascii="Times New Roman" w:hAnsi="Times New Roman" w:cs="Times New Roman"/>
        </w:rPr>
        <w:t xml:space="preserve"> Cfr. </w:t>
      </w:r>
      <w:proofErr w:type="spellStart"/>
      <w:r w:rsidRPr="00110CF6">
        <w:rPr>
          <w:rFonts w:ascii="Times New Roman" w:hAnsi="Times New Roman" w:cs="Times New Roman"/>
        </w:rPr>
        <w:t>Cass</w:t>
      </w:r>
      <w:proofErr w:type="spellEnd"/>
      <w:r w:rsidRPr="00110CF6">
        <w:rPr>
          <w:rFonts w:ascii="Times New Roman" w:hAnsi="Times New Roman" w:cs="Times New Roman"/>
        </w:rPr>
        <w:t xml:space="preserve">. </w:t>
      </w:r>
      <w:proofErr w:type="spellStart"/>
      <w:proofErr w:type="gramStart"/>
      <w:r w:rsidRPr="00110CF6">
        <w:rPr>
          <w:rFonts w:ascii="Times New Roman" w:hAnsi="Times New Roman" w:cs="Times New Roman"/>
        </w:rPr>
        <w:t>Civ</w:t>
      </w:r>
      <w:proofErr w:type="spellEnd"/>
      <w:r w:rsidRPr="00110CF6">
        <w:rPr>
          <w:rFonts w:ascii="Times New Roman" w:hAnsi="Times New Roman" w:cs="Times New Roman"/>
        </w:rPr>
        <w:t>.,</w:t>
      </w:r>
      <w:proofErr w:type="gramEnd"/>
      <w:r w:rsidRPr="00110CF6">
        <w:rPr>
          <w:rFonts w:ascii="Times New Roman" w:hAnsi="Times New Roman" w:cs="Times New Roman"/>
        </w:rPr>
        <w:t xml:space="preserve"> S.U., </w:t>
      </w:r>
      <w:r w:rsidRPr="000E7773">
        <w:rPr>
          <w:rFonts w:ascii="Times New Roman" w:hAnsi="Times New Roman" w:cs="Times New Roman"/>
          <w:color w:val="000000"/>
        </w:rPr>
        <w:t>20 gennaio 2014, n. 1013</w:t>
      </w:r>
      <w:r w:rsidRPr="00110CF6">
        <w:rPr>
          <w:rFonts w:ascii="Times New Roman" w:hAnsi="Times New Roman" w:cs="Times New Roman"/>
          <w:color w:val="000000"/>
        </w:rPr>
        <w:t>.</w:t>
      </w:r>
    </w:p>
  </w:footnote>
  <w:footnote w:id="19">
    <w:p w:rsidR="000D24A5" w:rsidRPr="00110CF6" w:rsidRDefault="000D24A5" w:rsidP="000D24A5">
      <w:pPr>
        <w:pStyle w:val="Testonotaapidipagina"/>
        <w:jc w:val="both"/>
        <w:rPr>
          <w:rFonts w:ascii="Times New Roman" w:hAnsi="Times New Roman" w:cs="Times New Roman"/>
        </w:rPr>
      </w:pPr>
      <w:r w:rsidRPr="00110CF6">
        <w:rPr>
          <w:rStyle w:val="Rimandonotaapidipagina"/>
          <w:rFonts w:ascii="Times New Roman" w:hAnsi="Times New Roman" w:cs="Times New Roman"/>
        </w:rPr>
        <w:footnoteRef/>
      </w:r>
      <w:r w:rsidRPr="00110CF6">
        <w:rPr>
          <w:rFonts w:ascii="Times New Roman" w:hAnsi="Times New Roman" w:cs="Times New Roman"/>
        </w:rPr>
        <w:t xml:space="preserve"> Cfr. </w:t>
      </w:r>
      <w:proofErr w:type="spellStart"/>
      <w:proofErr w:type="gramStart"/>
      <w:r w:rsidRPr="000E7773">
        <w:rPr>
          <w:rFonts w:ascii="Times New Roman" w:hAnsi="Times New Roman" w:cs="Times New Roman"/>
          <w:color w:val="000000"/>
        </w:rPr>
        <w:t>Cass</w:t>
      </w:r>
      <w:proofErr w:type="spellEnd"/>
      <w:r w:rsidRPr="000E7773">
        <w:rPr>
          <w:rFonts w:ascii="Times New Roman" w:hAnsi="Times New Roman" w:cs="Times New Roman"/>
          <w:color w:val="000000"/>
        </w:rPr>
        <w:t>.,</w:t>
      </w:r>
      <w:proofErr w:type="gramEnd"/>
      <w:r w:rsidRPr="000E7773">
        <w:rPr>
          <w:rFonts w:ascii="Times New Roman" w:hAnsi="Times New Roman" w:cs="Times New Roman"/>
          <w:color w:val="000000"/>
        </w:rPr>
        <w:t xml:space="preserve"> S.U., 29 aprile 2005, n. 8882; 17 marzo 2008, n. 7063; 13 maggio 2013, n. 11345</w:t>
      </w:r>
      <w:r w:rsidRPr="00110CF6">
        <w:rPr>
          <w:rFonts w:ascii="Times New Roman" w:hAnsi="Times New Roman" w:cs="Times New Roman"/>
          <w:color w:val="000000"/>
        </w:rPr>
        <w:t>.</w:t>
      </w:r>
    </w:p>
  </w:footnote>
  <w:footnote w:id="20">
    <w:p w:rsidR="007B70D0" w:rsidRPr="000D24A5" w:rsidRDefault="007B70D0" w:rsidP="007B70D0">
      <w:pPr>
        <w:autoSpaceDE w:val="0"/>
        <w:autoSpaceDN w:val="0"/>
        <w:adjustRightInd w:val="0"/>
        <w:spacing w:after="0" w:line="240" w:lineRule="auto"/>
        <w:jc w:val="both"/>
        <w:rPr>
          <w:rFonts w:ascii="Times New Roman" w:hAnsi="Times New Roman" w:cs="Times New Roman"/>
          <w:sz w:val="20"/>
          <w:szCs w:val="20"/>
        </w:rPr>
      </w:pPr>
      <w:r>
        <w:rPr>
          <w:rStyle w:val="Rimandonotaapidipagina"/>
        </w:rPr>
        <w:footnoteRef/>
      </w:r>
      <w:r>
        <w:t xml:space="preserve"> </w:t>
      </w:r>
      <w:r w:rsidRPr="000D24A5">
        <w:rPr>
          <w:rFonts w:ascii="Times New Roman" w:hAnsi="Times New Roman" w:cs="Times New Roman"/>
          <w:sz w:val="20"/>
          <w:szCs w:val="20"/>
        </w:rPr>
        <w:t>Corte di Giustizia, 21 luglio 2011, C- 506/08; Id., 16 luglio 2009, C-440/07; Id., 10 luglio 2008, C-413/06. Il giudice comunitario ha ammesso che alla Commissione è concesso uno spazio riservato nelle attività di valutazione tecnica, ma allo stesso tempo ha chiarito che ciò non implica l’assenza o la limitazione del controllo giurisdizionale. La Corte di Giustizia (3 maggio 2012, C-285/11; Id., 18 luglio 2013, C-501/11) ha dichiarato che il sindacato del giudice non si limita a un controllo formale, ma si spinge fino a una piena verifica dei fatti e dei criteri tecnici adoperati, non potendo però assumere un carattere sostitutivo delle valutazioni tecniche compiute dalla Commissione. Il giudice comunitario eserciterebbe un sindacato di legittimità assimilabile a quello affermatosi nella giurisprudenza italiana, cioè un sindacato pieno, penetrante, ma non sostitutivo (Tribunale di primo grado, 29 marzo 2012, T- 336/07). Anche la Corte europea dei diritti dell’uomo si è espressa sulla questione con la nota sentenza Menarini (27 settembre 2011, n. 43509). I giudici di Strasburgo hanno affermato che in astratto il sindacato offerto dal modello giurisdizionale italiano, concedendo al giudice un accesso totale al fatto, agli elementi di prova raccolti, potendo giudicare da vicino la correttezza dei criteri tecnici utilizzati, anche grazie alla consulenza tecnica d’ufficio, appare in linea con le garanzie tracciate dalla Convenzione. I giudici europei hanno osservato che nel caso di specie il sindacato non si era limitato a un mero controllo di legittimità, in quanto il giudice ha potuto verificare se l’autorità aveva fatto uso appropriato dei suoi poteri, aveva utilizzato criteri tecnici adeguati e ragionevoli, ed aveva inflitto una sanzione proporzionalmente corretta.</w:t>
      </w:r>
    </w:p>
    <w:p w:rsidR="000D24A5" w:rsidRPr="000D24A5" w:rsidRDefault="000D24A5" w:rsidP="000D24A5">
      <w:pPr>
        <w:autoSpaceDE w:val="0"/>
        <w:autoSpaceDN w:val="0"/>
        <w:adjustRightInd w:val="0"/>
        <w:spacing w:after="0" w:line="240" w:lineRule="auto"/>
        <w:jc w:val="both"/>
        <w:rPr>
          <w:rFonts w:ascii="Times New Roman" w:hAnsi="Times New Roman" w:cs="Times New Roman"/>
          <w:sz w:val="20"/>
          <w:szCs w:val="20"/>
        </w:rPr>
      </w:pPr>
      <w:r w:rsidRPr="000D24A5">
        <w:rPr>
          <w:rFonts w:ascii="Times New Roman" w:hAnsi="Times New Roman" w:cs="Times New Roman"/>
          <w:sz w:val="20"/>
          <w:szCs w:val="20"/>
        </w:rPr>
        <w:t xml:space="preserve">La posizione appena espressa è stata confermata da altre pronunce della Corte europea dei diritti dell’uomo (21 luglio 2011, n. 32181/04; Id., 21 gennaio 2014, n. 48754). Pertanto, il sindacato giurisdizionale sui provvedimenti delle autorità indipendenti espressivi di valutazioni tecniche è un sindacato di legittimità che non si estende al merito, salvo per quanto attiene al profilo sanzionatorio. Sotto quest’ultimo aspetto, ai sensi dell’art. 134, comma 1, </w:t>
      </w:r>
      <w:proofErr w:type="spellStart"/>
      <w:r w:rsidRPr="000D24A5">
        <w:rPr>
          <w:rFonts w:ascii="Times New Roman" w:hAnsi="Times New Roman" w:cs="Times New Roman"/>
          <w:sz w:val="20"/>
          <w:szCs w:val="20"/>
        </w:rPr>
        <w:t>lett</w:t>
      </w:r>
      <w:proofErr w:type="spellEnd"/>
      <w:r w:rsidRPr="000D24A5">
        <w:rPr>
          <w:rFonts w:ascii="Times New Roman" w:hAnsi="Times New Roman" w:cs="Times New Roman"/>
          <w:sz w:val="20"/>
          <w:szCs w:val="20"/>
        </w:rPr>
        <w:t xml:space="preserve">. c), </w:t>
      </w:r>
      <w:proofErr w:type="spellStart"/>
      <w:r w:rsidRPr="000D24A5">
        <w:rPr>
          <w:rFonts w:ascii="Times New Roman" w:hAnsi="Times New Roman" w:cs="Times New Roman"/>
          <w:sz w:val="20"/>
          <w:szCs w:val="20"/>
        </w:rPr>
        <w:t>c.p.a</w:t>
      </w:r>
      <w:proofErr w:type="spellEnd"/>
      <w:r w:rsidRPr="000D24A5">
        <w:rPr>
          <w:rFonts w:ascii="Times New Roman" w:hAnsi="Times New Roman" w:cs="Times New Roman"/>
          <w:sz w:val="20"/>
          <w:szCs w:val="20"/>
        </w:rPr>
        <w:t>., la cognizione giudiziale non si ferma alla fase rescindente, ma si estende alla rideterminazione della sanzione nell’esercizio della giurisdizione di merito (</w:t>
      </w:r>
      <w:proofErr w:type="spellStart"/>
      <w:r w:rsidRPr="000D24A5">
        <w:rPr>
          <w:rFonts w:ascii="Times New Roman" w:hAnsi="Times New Roman" w:cs="Times New Roman"/>
          <w:sz w:val="20"/>
          <w:szCs w:val="20"/>
        </w:rPr>
        <w:t>Cons</w:t>
      </w:r>
      <w:proofErr w:type="spellEnd"/>
      <w:r w:rsidRPr="000D24A5">
        <w:rPr>
          <w:rFonts w:ascii="Times New Roman" w:hAnsi="Times New Roman" w:cs="Times New Roman"/>
          <w:sz w:val="20"/>
          <w:szCs w:val="20"/>
        </w:rPr>
        <w:t>. Stato, Sez. VI, 5 agosto 2013, n. 4085; Id., 7 settembre 2012, n. 4753; Id., 16 settembre 2011, n. 5171).</w:t>
      </w:r>
    </w:p>
    <w:p w:rsidR="000D24A5" w:rsidRPr="000D24A5" w:rsidRDefault="000D24A5" w:rsidP="007B70D0">
      <w:pPr>
        <w:autoSpaceDE w:val="0"/>
        <w:autoSpaceDN w:val="0"/>
        <w:adjustRightInd w:val="0"/>
        <w:spacing w:after="0" w:line="240" w:lineRule="auto"/>
        <w:jc w:val="both"/>
        <w:rPr>
          <w:rFonts w:ascii="Times New Roman" w:hAnsi="Times New Roman" w:cs="Times New Roman"/>
          <w:sz w:val="20"/>
          <w:szCs w:val="20"/>
        </w:rPr>
      </w:pPr>
    </w:p>
    <w:p w:rsidR="007B70D0" w:rsidRPr="000D24A5" w:rsidRDefault="007B70D0">
      <w:pPr>
        <w:pStyle w:val="Testonotaapidipagina"/>
      </w:pPr>
    </w:p>
  </w:footnote>
  <w:footnote w:id="21">
    <w:p w:rsidR="00D365D8" w:rsidRPr="0019483D" w:rsidRDefault="00D365D8" w:rsidP="002C4F71">
      <w:pPr>
        <w:pStyle w:val="Testonotaapidipagina"/>
        <w:jc w:val="both"/>
        <w:rPr>
          <w:i/>
        </w:rPr>
      </w:pPr>
      <w:r>
        <w:rPr>
          <w:rStyle w:val="Rimandonotaapidipagina"/>
        </w:rPr>
        <w:footnoteRef/>
      </w:r>
      <w:r>
        <w:t xml:space="preserve"> </w:t>
      </w:r>
      <w:r w:rsidRPr="0019483D">
        <w:rPr>
          <w:rFonts w:ascii="Times New Roman" w:hAnsi="Times New Roman"/>
        </w:rPr>
        <w:t>Art. 36 Direttiva: “</w:t>
      </w:r>
      <w:r w:rsidRPr="0019483D">
        <w:rPr>
          <w:rFonts w:ascii="Times New Roman" w:hAnsi="Times New Roman"/>
          <w:i/>
        </w:rPr>
        <w:t xml:space="preserve">Nell’esercitare le funzioni di regolatore specificate dalla presente direttiva, l’autorità di </w:t>
      </w:r>
      <w:r w:rsidRPr="005B5203">
        <w:rPr>
          <w:rFonts w:ascii="Times New Roman" w:hAnsi="Times New Roman"/>
          <w:i/>
        </w:rPr>
        <w:t>regolamentazione adotta tutte le misure ragionevoli idonee al perseguimento dei seguenti obiettivi, nel quadro dei</w:t>
      </w:r>
      <w:r w:rsidRPr="0019483D">
        <w:rPr>
          <w:rFonts w:ascii="Times New Roman" w:hAnsi="Times New Roman"/>
          <w:i/>
        </w:rPr>
        <w:t xml:space="preserve"> compiti e delle competenze di cui all’articolo </w:t>
      </w:r>
      <w:smartTag w:uri="urn:schemas-microsoft-com:office:smarttags" w:element="metricconverter">
        <w:smartTagPr>
          <w:attr w:name="ProductID" w:val="37, in"/>
        </w:smartTagPr>
        <w:r w:rsidRPr="0019483D">
          <w:rPr>
            <w:rFonts w:ascii="Times New Roman" w:hAnsi="Times New Roman"/>
            <w:i/>
          </w:rPr>
          <w:t>37, in</w:t>
        </w:r>
      </w:smartTag>
      <w:r w:rsidRPr="0019483D">
        <w:rPr>
          <w:rFonts w:ascii="Times New Roman" w:hAnsi="Times New Roman"/>
          <w:i/>
        </w:rPr>
        <w:t xml:space="preserve"> stretta consultazione con altre autorità nazionali pertinenti, incluse le autorità garanti della concorrenza, se del caso, e fatte</w:t>
      </w:r>
      <w:r>
        <w:rPr>
          <w:rFonts w:ascii="Times New Roman" w:hAnsi="Times New Roman"/>
          <w:i/>
        </w:rPr>
        <w:t xml:space="preserve"> </w:t>
      </w:r>
      <w:r w:rsidRPr="0019483D">
        <w:rPr>
          <w:rFonts w:ascii="Times New Roman" w:hAnsi="Times New Roman"/>
          <w:i/>
        </w:rPr>
        <w:t>salve le rispettive competenze: a) promuovere, in stretta cooperazione con l’Agenzia, con le</w:t>
      </w:r>
      <w:r>
        <w:rPr>
          <w:rFonts w:ascii="Times New Roman" w:hAnsi="Times New Roman"/>
          <w:i/>
        </w:rPr>
        <w:t xml:space="preserve"> </w:t>
      </w:r>
      <w:r w:rsidRPr="0019483D">
        <w:rPr>
          <w:rFonts w:ascii="Times New Roman" w:hAnsi="Times New Roman"/>
          <w:i/>
        </w:rPr>
        <w:t xml:space="preserve">autorità di regolamentazione degli altri Stati membri e con </w:t>
      </w:r>
      <w:smartTag w:uri="urn:schemas-microsoft-com:office:smarttags" w:element="PersonName">
        <w:smartTagPr>
          <w:attr w:name="ProductID" w:val="la Commissione"/>
        </w:smartTagPr>
        <w:r w:rsidRPr="0019483D">
          <w:rPr>
            <w:rFonts w:ascii="Times New Roman" w:hAnsi="Times New Roman"/>
            <w:i/>
          </w:rPr>
          <w:t>la</w:t>
        </w:r>
        <w:r>
          <w:rPr>
            <w:rFonts w:ascii="Times New Roman" w:hAnsi="Times New Roman"/>
            <w:i/>
          </w:rPr>
          <w:t xml:space="preserve"> </w:t>
        </w:r>
        <w:r w:rsidRPr="0019483D">
          <w:rPr>
            <w:rFonts w:ascii="Times New Roman" w:hAnsi="Times New Roman"/>
            <w:i/>
          </w:rPr>
          <w:t>Commissione</w:t>
        </w:r>
      </w:smartTag>
      <w:r w:rsidRPr="0019483D">
        <w:rPr>
          <w:rFonts w:ascii="Times New Roman" w:hAnsi="Times New Roman"/>
          <w:i/>
        </w:rPr>
        <w:t>, un mercato interno dell’energia elettrica concorrenziale, sicuro e ecologicamente sostenibile nella Comunità, nonché l’efficace apertura del mercato per tutti i clienti</w:t>
      </w:r>
      <w:r>
        <w:rPr>
          <w:rFonts w:ascii="Times New Roman" w:hAnsi="Times New Roman"/>
          <w:i/>
        </w:rPr>
        <w:t xml:space="preserve"> </w:t>
      </w:r>
      <w:r w:rsidRPr="0019483D">
        <w:rPr>
          <w:rFonts w:ascii="Times New Roman" w:hAnsi="Times New Roman"/>
          <w:i/>
        </w:rPr>
        <w:t>e i fornitori della Comunità e garantire condizioni appropriate per il funzionamento efficace e affidabile delle reti</w:t>
      </w:r>
      <w:r>
        <w:rPr>
          <w:rFonts w:ascii="Times New Roman" w:hAnsi="Times New Roman"/>
          <w:i/>
        </w:rPr>
        <w:t xml:space="preserve"> </w:t>
      </w:r>
      <w:r w:rsidRPr="0019483D">
        <w:rPr>
          <w:rFonts w:ascii="Times New Roman" w:hAnsi="Times New Roman"/>
          <w:i/>
        </w:rPr>
        <w:t>dell’elettricità, tenendo conto di obiettivi a lungo termine; b) sviluppare mercati regionali concorrenziali e adeguatamente</w:t>
      </w:r>
      <w:r>
        <w:rPr>
          <w:rFonts w:ascii="Times New Roman" w:hAnsi="Times New Roman"/>
          <w:i/>
        </w:rPr>
        <w:t xml:space="preserve"> </w:t>
      </w:r>
      <w:r w:rsidRPr="0019483D">
        <w:rPr>
          <w:rFonts w:ascii="Times New Roman" w:hAnsi="Times New Roman"/>
          <w:i/>
        </w:rPr>
        <w:t>funzionanti all’interno della Comunità, allo scopo di conseguire gli obiettivi di cui alla lettera a); c) eliminare le restrizioni agli scambi di energia elettrica tra gli Stati membri e sviluppare adeguate capacità di trasmissione</w:t>
      </w:r>
      <w:r>
        <w:rPr>
          <w:rFonts w:ascii="Times New Roman" w:hAnsi="Times New Roman"/>
          <w:i/>
        </w:rPr>
        <w:t xml:space="preserve"> t</w:t>
      </w:r>
      <w:r w:rsidRPr="0019483D">
        <w:rPr>
          <w:rFonts w:ascii="Times New Roman" w:hAnsi="Times New Roman"/>
          <w:i/>
        </w:rPr>
        <w:t>ransfrontaliere per soddisfare la domanda e migliorare l’integrazione dei mercati nazionali che potrebbe agevolare la</w:t>
      </w:r>
      <w:r>
        <w:rPr>
          <w:rFonts w:ascii="Times New Roman" w:hAnsi="Times New Roman"/>
          <w:i/>
        </w:rPr>
        <w:t xml:space="preserve"> </w:t>
      </w:r>
      <w:r w:rsidRPr="0019483D">
        <w:rPr>
          <w:rFonts w:ascii="Times New Roman" w:hAnsi="Times New Roman"/>
          <w:i/>
        </w:rPr>
        <w:t xml:space="preserve">circolazione dell’energia elettrica attraverso </w:t>
      </w:r>
      <w:smartTag w:uri="urn:schemas-microsoft-com:office:smarttags" w:element="PersonName">
        <w:smartTagPr>
          <w:attr w:name="ProductID" w:val="la Comunit￠"/>
        </w:smartTagPr>
        <w:r w:rsidRPr="0019483D">
          <w:rPr>
            <w:rFonts w:ascii="Times New Roman" w:hAnsi="Times New Roman"/>
            <w:i/>
          </w:rPr>
          <w:t>la Comunità</w:t>
        </w:r>
      </w:smartTag>
      <w:r w:rsidRPr="0019483D">
        <w:rPr>
          <w:rFonts w:ascii="Times New Roman" w:hAnsi="Times New Roman"/>
          <w:i/>
        </w:rPr>
        <w:t>; d) contribuire a conseguire, nel modo più efficace sotto il profilo dei costi, lo sviluppo di sistemi non discriminatori sicuri,</w:t>
      </w:r>
      <w:r>
        <w:rPr>
          <w:rFonts w:ascii="Times New Roman" w:hAnsi="Times New Roman"/>
          <w:i/>
        </w:rPr>
        <w:t xml:space="preserve"> </w:t>
      </w:r>
      <w:r w:rsidRPr="0019483D">
        <w:rPr>
          <w:rFonts w:ascii="Times New Roman" w:hAnsi="Times New Roman"/>
          <w:i/>
        </w:rPr>
        <w:t>affidabili ed efficienti orientati al consumatore e promuovere</w:t>
      </w:r>
      <w:r>
        <w:rPr>
          <w:rFonts w:ascii="Times New Roman" w:hAnsi="Times New Roman"/>
          <w:i/>
        </w:rPr>
        <w:t xml:space="preserve"> </w:t>
      </w:r>
      <w:r w:rsidRPr="0019483D">
        <w:rPr>
          <w:rFonts w:ascii="Times New Roman" w:hAnsi="Times New Roman"/>
          <w:i/>
        </w:rPr>
        <w:t>l’adeguatezza dei sistemi e, in linea con gli obiettivi generali</w:t>
      </w:r>
      <w:r>
        <w:rPr>
          <w:rFonts w:ascii="Times New Roman" w:hAnsi="Times New Roman"/>
          <w:i/>
        </w:rPr>
        <w:t xml:space="preserve"> </w:t>
      </w:r>
      <w:r w:rsidRPr="0019483D">
        <w:rPr>
          <w:rFonts w:ascii="Times New Roman" w:hAnsi="Times New Roman"/>
          <w:i/>
        </w:rPr>
        <w:t>in materia di politica energetica, l’efficienza energetica nonché l’integrazione della produzione su larga scala e su scala</w:t>
      </w:r>
      <w:r>
        <w:rPr>
          <w:rFonts w:ascii="Times New Roman" w:hAnsi="Times New Roman"/>
          <w:i/>
        </w:rPr>
        <w:t xml:space="preserve"> </w:t>
      </w:r>
      <w:r w:rsidRPr="0019483D">
        <w:rPr>
          <w:rFonts w:ascii="Times New Roman" w:hAnsi="Times New Roman"/>
          <w:i/>
        </w:rPr>
        <w:t>ridotta di energia elettrica da fonti di energia rinnovabili e la</w:t>
      </w:r>
      <w:r>
        <w:rPr>
          <w:rFonts w:ascii="Times New Roman" w:hAnsi="Times New Roman"/>
          <w:i/>
        </w:rPr>
        <w:t xml:space="preserve"> </w:t>
      </w:r>
      <w:r w:rsidRPr="0019483D">
        <w:rPr>
          <w:rFonts w:ascii="Times New Roman" w:hAnsi="Times New Roman"/>
          <w:i/>
        </w:rPr>
        <w:t>produzione decentrata nelle reti di trasmissione e di</w:t>
      </w:r>
      <w:r>
        <w:rPr>
          <w:rFonts w:ascii="Times New Roman" w:hAnsi="Times New Roman"/>
          <w:i/>
        </w:rPr>
        <w:t xml:space="preserve"> </w:t>
      </w:r>
      <w:r w:rsidRPr="0019483D">
        <w:rPr>
          <w:rFonts w:ascii="Times New Roman" w:hAnsi="Times New Roman"/>
          <w:i/>
        </w:rPr>
        <w:t>distribuzione; e) agevolare l’accesso alla rete di nuove capacità di generazione,</w:t>
      </w:r>
      <w:r>
        <w:rPr>
          <w:rFonts w:ascii="Times New Roman" w:hAnsi="Times New Roman"/>
          <w:i/>
        </w:rPr>
        <w:t xml:space="preserve"> </w:t>
      </w:r>
      <w:r w:rsidRPr="0019483D">
        <w:rPr>
          <w:rFonts w:ascii="Times New Roman" w:hAnsi="Times New Roman"/>
          <w:i/>
        </w:rPr>
        <w:t>in particolare eliminando gli ostacoli che potrebbero impedire l’accesso di nuovi operatori del mercato e dell’energia</w:t>
      </w:r>
      <w:r>
        <w:rPr>
          <w:rFonts w:ascii="Times New Roman" w:hAnsi="Times New Roman"/>
          <w:i/>
        </w:rPr>
        <w:t xml:space="preserve"> </w:t>
      </w:r>
      <w:r w:rsidRPr="0019483D">
        <w:rPr>
          <w:rFonts w:ascii="Times New Roman" w:hAnsi="Times New Roman"/>
          <w:i/>
        </w:rPr>
        <w:t>elettrica da fonti di energia rinnovabili; f)assicurare che ai gestori del sistema e agli utenti del sistema</w:t>
      </w:r>
      <w:r>
        <w:rPr>
          <w:rFonts w:ascii="Times New Roman" w:hAnsi="Times New Roman"/>
          <w:i/>
        </w:rPr>
        <w:t xml:space="preserve"> </w:t>
      </w:r>
      <w:r w:rsidRPr="0019483D">
        <w:rPr>
          <w:rFonts w:ascii="Times New Roman" w:hAnsi="Times New Roman"/>
          <w:i/>
        </w:rPr>
        <w:t>siano offerti incentivi adeguati, sia a breve che a lungo termine, per migliorare l’efficienza delle prestazioni del sistema</w:t>
      </w:r>
      <w:r>
        <w:rPr>
          <w:rFonts w:ascii="Times New Roman" w:hAnsi="Times New Roman"/>
          <w:i/>
        </w:rPr>
        <w:t xml:space="preserve"> </w:t>
      </w:r>
      <w:r w:rsidRPr="0019483D">
        <w:rPr>
          <w:rFonts w:ascii="Times New Roman" w:hAnsi="Times New Roman"/>
          <w:i/>
        </w:rPr>
        <w:t>e promuovere l’integrazione del mercato; g) provvedere a che i clienti beneficino del funzionamento efficiente del proprio mercato nazionale, promuovere una concorrenza effettiva e contribuire a garantire la tutela dei</w:t>
      </w:r>
      <w:r>
        <w:rPr>
          <w:rFonts w:ascii="Times New Roman" w:hAnsi="Times New Roman"/>
          <w:i/>
        </w:rPr>
        <w:t xml:space="preserve"> </w:t>
      </w:r>
      <w:r w:rsidRPr="0019483D">
        <w:rPr>
          <w:rFonts w:ascii="Times New Roman" w:hAnsi="Times New Roman"/>
          <w:i/>
        </w:rPr>
        <w:t>consumatori; h) contribuire a conseguire un servizio universale e pubblico di</w:t>
      </w:r>
      <w:r>
        <w:rPr>
          <w:rFonts w:ascii="Times New Roman" w:hAnsi="Times New Roman"/>
          <w:i/>
        </w:rPr>
        <w:t xml:space="preserve"> </w:t>
      </w:r>
      <w:r w:rsidRPr="0019483D">
        <w:rPr>
          <w:rFonts w:ascii="Times New Roman" w:hAnsi="Times New Roman"/>
          <w:i/>
        </w:rPr>
        <w:t>elevata qualità nel settore dell’approvvigionamento di energia elettrica, contribuire alla tutela dei clienti vulnerabili e alla</w:t>
      </w:r>
      <w:r>
        <w:rPr>
          <w:rFonts w:ascii="Times New Roman" w:hAnsi="Times New Roman"/>
          <w:i/>
        </w:rPr>
        <w:t xml:space="preserve"> </w:t>
      </w:r>
      <w:r w:rsidRPr="0019483D">
        <w:rPr>
          <w:rFonts w:ascii="Times New Roman" w:hAnsi="Times New Roman"/>
          <w:i/>
        </w:rPr>
        <w:t>compatibilità dei processi di scambio dei dati necessari per il</w:t>
      </w:r>
      <w:r>
        <w:rPr>
          <w:rFonts w:ascii="Times New Roman" w:hAnsi="Times New Roman"/>
          <w:i/>
        </w:rPr>
        <w:t xml:space="preserve"> </w:t>
      </w:r>
      <w:r w:rsidRPr="0019483D">
        <w:rPr>
          <w:rFonts w:ascii="Times New Roman" w:hAnsi="Times New Roman"/>
          <w:i/>
        </w:rPr>
        <w:t>cambio di fornitore da parte degli utenti”</w:t>
      </w:r>
      <w:r>
        <w:rPr>
          <w:rFonts w:ascii="Times New Roman" w:hAnsi="Times New Roman"/>
          <w:i/>
        </w:rPr>
        <w:t>.</w:t>
      </w:r>
    </w:p>
  </w:footnote>
  <w:footnote w:id="22">
    <w:p w:rsidR="00D365D8" w:rsidRPr="00ED6201" w:rsidRDefault="00D365D8" w:rsidP="00D365D8">
      <w:pPr>
        <w:pStyle w:val="Testonotaapidipagina"/>
      </w:pPr>
      <w:r>
        <w:rPr>
          <w:rStyle w:val="Rimandonotaapidipagina"/>
        </w:rPr>
        <w:footnoteRef/>
      </w:r>
      <w:r>
        <w:t xml:space="preserve"> </w:t>
      </w:r>
      <w:r w:rsidRPr="00DF78D0">
        <w:rPr>
          <w:rFonts w:ascii="Times New Roman" w:hAnsi="Times New Roman"/>
        </w:rPr>
        <w:t>V. Consiglio di Stato</w:t>
      </w:r>
      <w:r w:rsidR="00F80E9A">
        <w:rPr>
          <w:rFonts w:ascii="Times New Roman" w:hAnsi="Times New Roman"/>
        </w:rPr>
        <w:t>, sez. VI,</w:t>
      </w:r>
      <w:r w:rsidRPr="00DF78D0">
        <w:rPr>
          <w:rFonts w:ascii="Times New Roman" w:hAnsi="Times New Roman"/>
        </w:rPr>
        <w:t xml:space="preserve"> 27 dicembre 2006 n. 7972.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A2" w:rsidRDefault="008650A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BB"/>
    <w:rsid w:val="00046B2D"/>
    <w:rsid w:val="000566B1"/>
    <w:rsid w:val="000623D4"/>
    <w:rsid w:val="00082AE3"/>
    <w:rsid w:val="000D24A5"/>
    <w:rsid w:val="00117421"/>
    <w:rsid w:val="00180C73"/>
    <w:rsid w:val="001B4158"/>
    <w:rsid w:val="001C5592"/>
    <w:rsid w:val="001C73E3"/>
    <w:rsid w:val="001E15CD"/>
    <w:rsid w:val="001F6808"/>
    <w:rsid w:val="002033B3"/>
    <w:rsid w:val="00206909"/>
    <w:rsid w:val="00221FD3"/>
    <w:rsid w:val="0022633B"/>
    <w:rsid w:val="0022735E"/>
    <w:rsid w:val="002916ED"/>
    <w:rsid w:val="002C3525"/>
    <w:rsid w:val="002C4F71"/>
    <w:rsid w:val="002D10B1"/>
    <w:rsid w:val="002D574F"/>
    <w:rsid w:val="003943A3"/>
    <w:rsid w:val="003B16B3"/>
    <w:rsid w:val="003E4A5A"/>
    <w:rsid w:val="00414592"/>
    <w:rsid w:val="00416A80"/>
    <w:rsid w:val="0043215D"/>
    <w:rsid w:val="004B3BEB"/>
    <w:rsid w:val="004B4329"/>
    <w:rsid w:val="004C6302"/>
    <w:rsid w:val="005366F5"/>
    <w:rsid w:val="00561981"/>
    <w:rsid w:val="005744B0"/>
    <w:rsid w:val="005956A8"/>
    <w:rsid w:val="005E510D"/>
    <w:rsid w:val="00602BD3"/>
    <w:rsid w:val="006114A6"/>
    <w:rsid w:val="00623482"/>
    <w:rsid w:val="006457BB"/>
    <w:rsid w:val="00663E21"/>
    <w:rsid w:val="00686FB8"/>
    <w:rsid w:val="006B46D9"/>
    <w:rsid w:val="006E67BD"/>
    <w:rsid w:val="006F3472"/>
    <w:rsid w:val="00732890"/>
    <w:rsid w:val="00744F7C"/>
    <w:rsid w:val="00752974"/>
    <w:rsid w:val="00756260"/>
    <w:rsid w:val="007644A7"/>
    <w:rsid w:val="00771FB7"/>
    <w:rsid w:val="00772C8B"/>
    <w:rsid w:val="00774C97"/>
    <w:rsid w:val="007B70D0"/>
    <w:rsid w:val="00801401"/>
    <w:rsid w:val="00821BC3"/>
    <w:rsid w:val="008650A2"/>
    <w:rsid w:val="008805BD"/>
    <w:rsid w:val="00893DC5"/>
    <w:rsid w:val="008B742F"/>
    <w:rsid w:val="00901FD0"/>
    <w:rsid w:val="00965EC5"/>
    <w:rsid w:val="00976A61"/>
    <w:rsid w:val="009A5AE1"/>
    <w:rsid w:val="009B171F"/>
    <w:rsid w:val="009B58D0"/>
    <w:rsid w:val="00A27EEC"/>
    <w:rsid w:val="00A64830"/>
    <w:rsid w:val="00AD1D83"/>
    <w:rsid w:val="00B27838"/>
    <w:rsid w:val="00BD5508"/>
    <w:rsid w:val="00BF6132"/>
    <w:rsid w:val="00C124B0"/>
    <w:rsid w:val="00C138DE"/>
    <w:rsid w:val="00C51856"/>
    <w:rsid w:val="00C53D91"/>
    <w:rsid w:val="00C66B7D"/>
    <w:rsid w:val="00C87C1D"/>
    <w:rsid w:val="00CB7C18"/>
    <w:rsid w:val="00D365D8"/>
    <w:rsid w:val="00D37565"/>
    <w:rsid w:val="00DB690A"/>
    <w:rsid w:val="00DD5F07"/>
    <w:rsid w:val="00DD676C"/>
    <w:rsid w:val="00DF5DA6"/>
    <w:rsid w:val="00E146A4"/>
    <w:rsid w:val="00E2033C"/>
    <w:rsid w:val="00E424FA"/>
    <w:rsid w:val="00E457ED"/>
    <w:rsid w:val="00ED77BD"/>
    <w:rsid w:val="00EE33E4"/>
    <w:rsid w:val="00F4347B"/>
    <w:rsid w:val="00F45064"/>
    <w:rsid w:val="00F80E9A"/>
    <w:rsid w:val="00F855ED"/>
    <w:rsid w:val="00FE5CE5"/>
    <w:rsid w:val="00FF2A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6AD228-A4E2-447D-BE2D-DC01902C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1FD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oc-ti">
    <w:name w:val="doc-ti"/>
    <w:basedOn w:val="Normale"/>
    <w:rsid w:val="00221FD3"/>
    <w:pPr>
      <w:spacing w:before="240" w:after="120" w:line="240" w:lineRule="auto"/>
      <w:jc w:val="center"/>
    </w:pPr>
    <w:rPr>
      <w:rFonts w:ascii="Times New Roman" w:eastAsia="Times New Roman" w:hAnsi="Times New Roman" w:cs="Times New Roman"/>
      <w:b/>
      <w:bCs/>
      <w:sz w:val="24"/>
      <w:szCs w:val="24"/>
      <w:lang w:eastAsia="it-IT"/>
    </w:rPr>
  </w:style>
  <w:style w:type="paragraph" w:customStyle="1" w:styleId="Default">
    <w:name w:val="Default"/>
    <w:rsid w:val="006114A6"/>
    <w:pPr>
      <w:autoSpaceDE w:val="0"/>
      <w:autoSpaceDN w:val="0"/>
      <w:adjustRightInd w:val="0"/>
      <w:spacing w:after="0" w:line="240" w:lineRule="auto"/>
    </w:pPr>
    <w:rPr>
      <w:rFonts w:ascii="Garamond" w:hAnsi="Garamond" w:cs="Garamond"/>
      <w:color w:val="000000"/>
      <w:sz w:val="24"/>
      <w:szCs w:val="24"/>
    </w:rPr>
  </w:style>
  <w:style w:type="character" w:customStyle="1" w:styleId="linkneltesto">
    <w:name w:val="link_nel_testo"/>
    <w:basedOn w:val="Carpredefinitoparagrafo"/>
    <w:rsid w:val="006114A6"/>
    <w:rPr>
      <w:i/>
      <w:iCs/>
    </w:rPr>
  </w:style>
  <w:style w:type="paragraph" w:styleId="Paragrafoelenco">
    <w:name w:val="List Paragraph"/>
    <w:basedOn w:val="Normale"/>
    <w:uiPriority w:val="34"/>
    <w:qFormat/>
    <w:rsid w:val="00ED77BD"/>
    <w:pPr>
      <w:ind w:left="720"/>
      <w:contextualSpacing/>
    </w:pPr>
  </w:style>
  <w:style w:type="paragraph" w:customStyle="1" w:styleId="provvr01">
    <w:name w:val="provv_r01"/>
    <w:basedOn w:val="Normale"/>
    <w:rsid w:val="00EE33E4"/>
    <w:pPr>
      <w:spacing w:before="100" w:beforeAutospacing="1" w:after="45"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EE33E4"/>
  </w:style>
  <w:style w:type="paragraph" w:styleId="Intestazione">
    <w:name w:val="header"/>
    <w:basedOn w:val="Normale"/>
    <w:link w:val="IntestazioneCarattere"/>
    <w:uiPriority w:val="99"/>
    <w:unhideWhenUsed/>
    <w:rsid w:val="008650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50A2"/>
  </w:style>
  <w:style w:type="paragraph" w:styleId="Pidipagina">
    <w:name w:val="footer"/>
    <w:basedOn w:val="Normale"/>
    <w:link w:val="PidipaginaCarattere"/>
    <w:uiPriority w:val="99"/>
    <w:unhideWhenUsed/>
    <w:rsid w:val="008650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50A2"/>
  </w:style>
  <w:style w:type="paragraph" w:styleId="Testonotaapidipagina">
    <w:name w:val="footnote text"/>
    <w:basedOn w:val="Normale"/>
    <w:link w:val="TestonotaapidipaginaCarattere"/>
    <w:semiHidden/>
    <w:unhideWhenUsed/>
    <w:rsid w:val="002D10B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2D10B1"/>
    <w:rPr>
      <w:sz w:val="20"/>
      <w:szCs w:val="20"/>
    </w:rPr>
  </w:style>
  <w:style w:type="character" w:styleId="Rimandonotaapidipagina">
    <w:name w:val="footnote reference"/>
    <w:basedOn w:val="Carpredefinitoparagrafo"/>
    <w:semiHidden/>
    <w:unhideWhenUsed/>
    <w:rsid w:val="002D10B1"/>
    <w:rPr>
      <w:vertAlign w:val="superscript"/>
    </w:rPr>
  </w:style>
  <w:style w:type="character" w:styleId="Enfasicorsivo">
    <w:name w:val="Emphasis"/>
    <w:basedOn w:val="Carpredefinitoparagrafo"/>
    <w:uiPriority w:val="20"/>
    <w:qFormat/>
    <w:rsid w:val="00082AE3"/>
    <w:rPr>
      <w:i/>
      <w:iCs/>
    </w:rPr>
  </w:style>
  <w:style w:type="character" w:customStyle="1" w:styleId="apple-converted-space">
    <w:name w:val="apple-converted-space"/>
    <w:basedOn w:val="Carpredefinitoparagrafo"/>
    <w:rsid w:val="00F4347B"/>
  </w:style>
  <w:style w:type="character" w:customStyle="1" w:styleId="s12">
    <w:name w:val="s12"/>
    <w:basedOn w:val="Carpredefinitoparagrafo"/>
    <w:rsid w:val="00F4347B"/>
  </w:style>
  <w:style w:type="character" w:styleId="Rimandocommento">
    <w:name w:val="annotation reference"/>
    <w:basedOn w:val="Carpredefinitoparagrafo"/>
    <w:uiPriority w:val="99"/>
    <w:semiHidden/>
    <w:unhideWhenUsed/>
    <w:rsid w:val="004C6302"/>
    <w:rPr>
      <w:sz w:val="16"/>
      <w:szCs w:val="16"/>
    </w:rPr>
  </w:style>
  <w:style w:type="paragraph" w:styleId="Testocommento">
    <w:name w:val="annotation text"/>
    <w:basedOn w:val="Normale"/>
    <w:link w:val="TestocommentoCarattere"/>
    <w:uiPriority w:val="99"/>
    <w:semiHidden/>
    <w:unhideWhenUsed/>
    <w:rsid w:val="004C630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6302"/>
    <w:rPr>
      <w:sz w:val="20"/>
      <w:szCs w:val="20"/>
    </w:rPr>
  </w:style>
  <w:style w:type="paragraph" w:styleId="Soggettocommento">
    <w:name w:val="annotation subject"/>
    <w:basedOn w:val="Testocommento"/>
    <w:next w:val="Testocommento"/>
    <w:link w:val="SoggettocommentoCarattere"/>
    <w:uiPriority w:val="99"/>
    <w:semiHidden/>
    <w:unhideWhenUsed/>
    <w:rsid w:val="004C6302"/>
    <w:rPr>
      <w:b/>
      <w:bCs/>
    </w:rPr>
  </w:style>
  <w:style w:type="character" w:customStyle="1" w:styleId="SoggettocommentoCarattere">
    <w:name w:val="Soggetto commento Carattere"/>
    <w:basedOn w:val="TestocommentoCarattere"/>
    <w:link w:val="Soggettocommento"/>
    <w:uiPriority w:val="99"/>
    <w:semiHidden/>
    <w:rsid w:val="004C6302"/>
    <w:rPr>
      <w:b/>
      <w:bCs/>
      <w:sz w:val="20"/>
      <w:szCs w:val="20"/>
    </w:rPr>
  </w:style>
  <w:style w:type="paragraph" w:styleId="Testofumetto">
    <w:name w:val="Balloon Text"/>
    <w:basedOn w:val="Normale"/>
    <w:link w:val="TestofumettoCarattere"/>
    <w:uiPriority w:val="99"/>
    <w:semiHidden/>
    <w:unhideWhenUsed/>
    <w:rsid w:val="004C63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6302"/>
    <w:rPr>
      <w:rFonts w:ascii="Segoe UI" w:hAnsi="Segoe UI" w:cs="Segoe UI"/>
      <w:sz w:val="18"/>
      <w:szCs w:val="18"/>
    </w:rPr>
  </w:style>
  <w:style w:type="paragraph" w:customStyle="1" w:styleId="provvr0">
    <w:name w:val="provv_r0"/>
    <w:basedOn w:val="Normale"/>
    <w:rsid w:val="0073289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D24A5"/>
    <w:rPr>
      <w:color w:val="0000FF"/>
      <w:u w:val="single"/>
    </w:rPr>
  </w:style>
  <w:style w:type="paragraph" w:styleId="Corpodeltesto2">
    <w:name w:val="Body Text 2"/>
    <w:basedOn w:val="Normale"/>
    <w:link w:val="Corpodeltesto2Carattere"/>
    <w:semiHidden/>
    <w:rsid w:val="00D365D8"/>
    <w:pPr>
      <w:spacing w:after="0" w:line="360" w:lineRule="auto"/>
      <w:jc w:val="both"/>
    </w:pPr>
    <w:rPr>
      <w:rFonts w:ascii="Times New Roman" w:eastAsia="Times New Roman" w:hAnsi="Times New Roman" w:cs="Times New Roman"/>
      <w:sz w:val="26"/>
      <w:szCs w:val="24"/>
      <w:lang w:eastAsia="it-IT"/>
    </w:rPr>
  </w:style>
  <w:style w:type="character" w:customStyle="1" w:styleId="Corpodeltesto2Carattere">
    <w:name w:val="Corpo del testo 2 Carattere"/>
    <w:basedOn w:val="Carpredefinitoparagrafo"/>
    <w:link w:val="Corpodeltesto2"/>
    <w:semiHidden/>
    <w:rsid w:val="00D365D8"/>
    <w:rPr>
      <w:rFonts w:ascii="Times New Roman" w:eastAsia="Times New Roman" w:hAnsi="Times New Roman" w:cs="Times New Roman"/>
      <w:sz w:val="26"/>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0617">
      <w:bodyDiv w:val="1"/>
      <w:marLeft w:val="0"/>
      <w:marRight w:val="0"/>
      <w:marTop w:val="0"/>
      <w:marBottom w:val="0"/>
      <w:divBdr>
        <w:top w:val="none" w:sz="0" w:space="0" w:color="auto"/>
        <w:left w:val="none" w:sz="0" w:space="0" w:color="auto"/>
        <w:bottom w:val="none" w:sz="0" w:space="0" w:color="auto"/>
        <w:right w:val="none" w:sz="0" w:space="0" w:color="auto"/>
      </w:divBdr>
    </w:div>
    <w:div w:id="21268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a.leggiditalia.it/" TargetMode="External"/><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A6629-6301-47FC-84FC-062B1C7A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6091</Words>
  <Characters>34722</Characters>
  <Application>Microsoft Office Word</Application>
  <DocSecurity>4</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Elena</dc:creator>
  <cp:keywords/>
  <dc:description/>
  <cp:lastModifiedBy>FERRARI Giulia</cp:lastModifiedBy>
  <cp:revision>2</cp:revision>
  <dcterms:created xsi:type="dcterms:W3CDTF">2019-03-09T15:19:00Z</dcterms:created>
  <dcterms:modified xsi:type="dcterms:W3CDTF">2019-03-09T15:19:00Z</dcterms:modified>
</cp:coreProperties>
</file>