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66B" w:rsidRPr="00A17989" w:rsidRDefault="00F54317" w:rsidP="00CC1C0A">
      <w:pPr>
        <w:pStyle w:val="Subtitle"/>
        <w:ind w:left="426" w:right="424"/>
        <w:jc w:val="center"/>
        <w:rPr>
          <w:rFonts w:ascii="Times New Roman" w:eastAsia="Times New Roman" w:hAnsi="Times New Roman" w:cs="Times New Roman"/>
          <w:b/>
          <w:color w:val="auto"/>
          <w:sz w:val="24"/>
          <w:szCs w:val="24"/>
          <w:u w:val="single"/>
          <w:lang w:eastAsia="it-IT"/>
        </w:rPr>
      </w:pPr>
      <w:bookmarkStart w:id="0" w:name="_GoBack"/>
      <w:bookmarkEnd w:id="0"/>
      <w:r w:rsidRPr="00510B2D">
        <w:rPr>
          <w:rFonts w:ascii="Times New Roman" w:eastAsia="Times New Roman" w:hAnsi="Times New Roman" w:cs="Times New Roman"/>
          <w:b/>
          <w:color w:val="auto"/>
          <w:sz w:val="36"/>
          <w:szCs w:val="36"/>
          <w:lang w:eastAsia="it-IT"/>
        </w:rPr>
        <w:t>Riflessioni</w:t>
      </w:r>
      <w:r w:rsidR="00CC1C0A" w:rsidRPr="00510B2D">
        <w:rPr>
          <w:rFonts w:ascii="Times New Roman" w:eastAsia="Times New Roman" w:hAnsi="Times New Roman" w:cs="Times New Roman"/>
          <w:b/>
          <w:color w:val="auto"/>
          <w:sz w:val="36"/>
          <w:szCs w:val="36"/>
          <w:lang w:eastAsia="it-IT"/>
        </w:rPr>
        <w:t xml:space="preserve"> sulla legittimazione </w:t>
      </w:r>
      <w:r w:rsidRPr="00510B2D">
        <w:rPr>
          <w:rFonts w:ascii="Times New Roman" w:eastAsia="Times New Roman" w:hAnsi="Times New Roman" w:cs="Times New Roman"/>
          <w:b/>
          <w:color w:val="auto"/>
          <w:sz w:val="36"/>
          <w:szCs w:val="36"/>
          <w:lang w:eastAsia="it-IT"/>
        </w:rPr>
        <w:t xml:space="preserve">a ricorrere </w:t>
      </w:r>
      <w:r w:rsidR="00CC1C0A" w:rsidRPr="00510B2D">
        <w:rPr>
          <w:rFonts w:ascii="Times New Roman" w:eastAsia="Times New Roman" w:hAnsi="Times New Roman" w:cs="Times New Roman"/>
          <w:b/>
          <w:color w:val="auto"/>
          <w:sz w:val="36"/>
          <w:szCs w:val="36"/>
          <w:lang w:eastAsia="it-IT"/>
        </w:rPr>
        <w:t>delle a</w:t>
      </w:r>
      <w:r w:rsidR="0034566B" w:rsidRPr="00510B2D">
        <w:rPr>
          <w:rFonts w:ascii="Times New Roman" w:eastAsia="Times New Roman" w:hAnsi="Times New Roman" w:cs="Times New Roman"/>
          <w:b/>
          <w:color w:val="auto"/>
          <w:sz w:val="36"/>
          <w:szCs w:val="36"/>
          <w:lang w:eastAsia="it-IT"/>
        </w:rPr>
        <w:t xml:space="preserve">utorità </w:t>
      </w:r>
      <w:r w:rsidR="00CC1C0A" w:rsidRPr="00510B2D">
        <w:rPr>
          <w:rFonts w:ascii="Times New Roman" w:eastAsia="Times New Roman" w:hAnsi="Times New Roman" w:cs="Times New Roman"/>
          <w:b/>
          <w:color w:val="auto"/>
          <w:sz w:val="36"/>
          <w:szCs w:val="36"/>
          <w:lang w:eastAsia="it-IT"/>
        </w:rPr>
        <w:t>indipendenti</w:t>
      </w:r>
      <w:r w:rsidRPr="00510B2D">
        <w:rPr>
          <w:rFonts w:ascii="Times New Roman" w:eastAsia="Times New Roman" w:hAnsi="Times New Roman" w:cs="Times New Roman"/>
          <w:b/>
          <w:color w:val="auto"/>
          <w:sz w:val="36"/>
          <w:szCs w:val="36"/>
          <w:lang w:eastAsia="it-IT"/>
        </w:rPr>
        <w:t xml:space="preserve">, alla luce della sentenza della Corte costituzionale n. </w:t>
      </w:r>
      <w:r w:rsidR="00877C71" w:rsidRPr="00510B2D">
        <w:rPr>
          <w:rFonts w:ascii="Times New Roman" w:eastAsia="Times New Roman" w:hAnsi="Times New Roman" w:cs="Times New Roman"/>
          <w:b/>
          <w:color w:val="auto"/>
          <w:sz w:val="36"/>
          <w:szCs w:val="36"/>
          <w:lang w:eastAsia="it-IT"/>
        </w:rPr>
        <w:t>13</w:t>
      </w:r>
      <w:r w:rsidRPr="00510B2D">
        <w:rPr>
          <w:rFonts w:ascii="Times New Roman" w:eastAsia="Times New Roman" w:hAnsi="Times New Roman" w:cs="Times New Roman"/>
          <w:b/>
          <w:color w:val="auto"/>
          <w:sz w:val="36"/>
          <w:szCs w:val="36"/>
          <w:lang w:eastAsia="it-IT"/>
        </w:rPr>
        <w:t>/2019</w:t>
      </w:r>
      <w:r w:rsidR="00EB4AE6" w:rsidRPr="00A17989">
        <w:rPr>
          <w:rFonts w:ascii="Times New Roman" w:eastAsia="Times New Roman" w:hAnsi="Times New Roman" w:cs="Times New Roman"/>
          <w:b/>
          <w:color w:val="auto"/>
          <w:sz w:val="24"/>
          <w:szCs w:val="24"/>
          <w:lang w:eastAsia="it-IT"/>
        </w:rPr>
        <w:t xml:space="preserve"> (*)</w:t>
      </w:r>
    </w:p>
    <w:p w:rsidR="00EB4AE6" w:rsidRPr="00A17989" w:rsidRDefault="00EB4AE6" w:rsidP="00EB4AE6">
      <w:pPr>
        <w:ind w:left="426" w:right="424"/>
        <w:rPr>
          <w:rFonts w:ascii="Times New Roman" w:hAnsi="Times New Roman" w:cs="Times New Roman"/>
          <w:sz w:val="24"/>
          <w:szCs w:val="24"/>
          <w:lang w:eastAsia="it-IT"/>
        </w:rPr>
      </w:pPr>
    </w:p>
    <w:p w:rsidR="00EB4AE6" w:rsidRPr="00A17989" w:rsidRDefault="00EB4AE6" w:rsidP="00EB4AE6">
      <w:pPr>
        <w:pStyle w:val="Subtitle"/>
        <w:ind w:left="426" w:right="424"/>
        <w:jc w:val="both"/>
        <w:rPr>
          <w:rStyle w:val="Strong"/>
          <w:rFonts w:ascii="Times New Roman" w:hAnsi="Times New Roman" w:cs="Times New Roman"/>
          <w:b w:val="0"/>
          <w:i/>
          <w:color w:val="auto"/>
          <w:sz w:val="24"/>
          <w:szCs w:val="24"/>
        </w:rPr>
      </w:pPr>
      <w:r w:rsidRPr="00A17989">
        <w:rPr>
          <w:rFonts w:ascii="Times New Roman" w:eastAsia="Times New Roman" w:hAnsi="Times New Roman" w:cs="Times New Roman"/>
          <w:b/>
          <w:i/>
          <w:color w:val="auto"/>
          <w:sz w:val="24"/>
          <w:szCs w:val="24"/>
          <w:lang w:eastAsia="it-IT"/>
        </w:rPr>
        <w:t xml:space="preserve">(*) </w:t>
      </w:r>
      <w:r w:rsidRPr="00A17989">
        <w:rPr>
          <w:rStyle w:val="Strong"/>
          <w:rFonts w:ascii="Times New Roman" w:hAnsi="Times New Roman" w:cs="Times New Roman"/>
          <w:b w:val="0"/>
          <w:i/>
          <w:color w:val="auto"/>
          <w:sz w:val="24"/>
          <w:szCs w:val="24"/>
        </w:rPr>
        <w:t>Intervento al convegno sul tema “La tutela dei diritti tra giurisdizione e Autorità indipendenti”, organizzato dall’Università di Catanzaro il 28 giugno 2019</w:t>
      </w:r>
    </w:p>
    <w:p w:rsidR="00EB4AE6" w:rsidRPr="00A17989" w:rsidRDefault="00EB4AE6" w:rsidP="00577CE0">
      <w:pPr>
        <w:pStyle w:val="Subtitle"/>
        <w:ind w:left="426" w:right="424"/>
        <w:jc w:val="both"/>
        <w:rPr>
          <w:rStyle w:val="Strong"/>
          <w:rFonts w:ascii="Times New Roman" w:hAnsi="Times New Roman" w:cs="Times New Roman"/>
          <w:b w:val="0"/>
          <w:color w:val="auto"/>
          <w:sz w:val="24"/>
          <w:szCs w:val="24"/>
        </w:rPr>
      </w:pPr>
    </w:p>
    <w:p w:rsidR="00CC1C0A" w:rsidRPr="00A17989" w:rsidRDefault="00877C71" w:rsidP="004E5891">
      <w:pPr>
        <w:pStyle w:val="Subtitle"/>
        <w:ind w:left="426" w:right="424" w:firstLine="567"/>
        <w:jc w:val="both"/>
        <w:rPr>
          <w:rStyle w:val="Strong"/>
          <w:rFonts w:ascii="Times New Roman" w:hAnsi="Times New Roman" w:cs="Times New Roman"/>
          <w:b w:val="0"/>
          <w:color w:val="auto"/>
          <w:sz w:val="24"/>
          <w:szCs w:val="24"/>
        </w:rPr>
      </w:pPr>
      <w:r w:rsidRPr="00A17989">
        <w:rPr>
          <w:rStyle w:val="Strong"/>
          <w:rFonts w:ascii="Times New Roman" w:hAnsi="Times New Roman" w:cs="Times New Roman"/>
          <w:b w:val="0"/>
          <w:color w:val="auto"/>
          <w:sz w:val="24"/>
          <w:szCs w:val="24"/>
        </w:rPr>
        <w:t>T</w:t>
      </w:r>
      <w:r w:rsidR="00CC1C0A" w:rsidRPr="00A17989">
        <w:rPr>
          <w:rStyle w:val="Strong"/>
          <w:rFonts w:ascii="Times New Roman" w:hAnsi="Times New Roman" w:cs="Times New Roman"/>
          <w:b w:val="0"/>
          <w:color w:val="auto"/>
          <w:sz w:val="24"/>
          <w:szCs w:val="24"/>
        </w:rPr>
        <w:t xml:space="preserve">re </w:t>
      </w:r>
      <w:r w:rsidRPr="00A17989">
        <w:rPr>
          <w:rStyle w:val="Strong"/>
          <w:rFonts w:ascii="Times New Roman" w:hAnsi="Times New Roman" w:cs="Times New Roman"/>
          <w:b w:val="0"/>
          <w:color w:val="auto"/>
          <w:sz w:val="24"/>
          <w:szCs w:val="24"/>
        </w:rPr>
        <w:t xml:space="preserve">disposizioni </w:t>
      </w:r>
      <w:r w:rsidR="00CC1C0A" w:rsidRPr="00A17989">
        <w:rPr>
          <w:rStyle w:val="Strong"/>
          <w:rFonts w:ascii="Times New Roman" w:hAnsi="Times New Roman" w:cs="Times New Roman"/>
          <w:b w:val="0"/>
          <w:color w:val="auto"/>
          <w:sz w:val="24"/>
          <w:szCs w:val="24"/>
        </w:rPr>
        <w:t>legislativ</w:t>
      </w:r>
      <w:r w:rsidRPr="00A17989">
        <w:rPr>
          <w:rStyle w:val="Strong"/>
          <w:rFonts w:ascii="Times New Roman" w:hAnsi="Times New Roman" w:cs="Times New Roman"/>
          <w:b w:val="0"/>
          <w:color w:val="auto"/>
          <w:sz w:val="24"/>
          <w:szCs w:val="24"/>
        </w:rPr>
        <w:t>e r</w:t>
      </w:r>
      <w:r w:rsidR="00254B75" w:rsidRPr="00A17989">
        <w:rPr>
          <w:rStyle w:val="Strong"/>
          <w:rFonts w:ascii="Times New Roman" w:hAnsi="Times New Roman" w:cs="Times New Roman"/>
          <w:b w:val="0"/>
          <w:color w:val="auto"/>
          <w:sz w:val="24"/>
          <w:szCs w:val="24"/>
        </w:rPr>
        <w:t>egola</w:t>
      </w:r>
      <w:r w:rsidRPr="00A17989">
        <w:rPr>
          <w:rStyle w:val="Strong"/>
          <w:rFonts w:ascii="Times New Roman" w:hAnsi="Times New Roman" w:cs="Times New Roman"/>
          <w:b w:val="0"/>
          <w:color w:val="auto"/>
          <w:sz w:val="24"/>
          <w:szCs w:val="24"/>
        </w:rPr>
        <w:t xml:space="preserve">no </w:t>
      </w:r>
      <w:r w:rsidR="00CC1C0A" w:rsidRPr="00A17989">
        <w:rPr>
          <w:rStyle w:val="Strong"/>
          <w:rFonts w:ascii="Times New Roman" w:hAnsi="Times New Roman" w:cs="Times New Roman"/>
          <w:b w:val="0"/>
          <w:color w:val="auto"/>
          <w:sz w:val="24"/>
          <w:szCs w:val="24"/>
        </w:rPr>
        <w:t>espressamente</w:t>
      </w:r>
      <w:r w:rsidR="00254B75" w:rsidRPr="00A17989">
        <w:rPr>
          <w:rStyle w:val="Strong"/>
          <w:rFonts w:ascii="Times New Roman" w:hAnsi="Times New Roman" w:cs="Times New Roman"/>
          <w:b w:val="0"/>
          <w:color w:val="auto"/>
          <w:sz w:val="24"/>
          <w:szCs w:val="24"/>
        </w:rPr>
        <w:t xml:space="preserve"> il potere di</w:t>
      </w:r>
      <w:r w:rsidR="005F63B6" w:rsidRPr="00A17989">
        <w:rPr>
          <w:rStyle w:val="Strong"/>
          <w:rFonts w:ascii="Times New Roman" w:hAnsi="Times New Roman" w:cs="Times New Roman"/>
          <w:b w:val="0"/>
          <w:color w:val="auto"/>
          <w:sz w:val="24"/>
          <w:szCs w:val="24"/>
        </w:rPr>
        <w:t xml:space="preserve"> altrettante autorità indipendenti</w:t>
      </w:r>
      <w:r w:rsidR="00254B75" w:rsidRPr="00A17989">
        <w:rPr>
          <w:rStyle w:val="Strong"/>
          <w:rFonts w:ascii="Times New Roman" w:hAnsi="Times New Roman" w:cs="Times New Roman"/>
          <w:b w:val="0"/>
          <w:color w:val="auto"/>
          <w:sz w:val="24"/>
          <w:szCs w:val="24"/>
        </w:rPr>
        <w:t xml:space="preserve"> di</w:t>
      </w:r>
      <w:r w:rsidR="005F63B6" w:rsidRPr="00A17989">
        <w:rPr>
          <w:rStyle w:val="Strong"/>
          <w:rFonts w:ascii="Times New Roman" w:hAnsi="Times New Roman" w:cs="Times New Roman"/>
          <w:b w:val="0"/>
          <w:color w:val="auto"/>
          <w:sz w:val="24"/>
          <w:szCs w:val="24"/>
        </w:rPr>
        <w:t xml:space="preserve"> </w:t>
      </w:r>
      <w:r w:rsidRPr="00A17989">
        <w:rPr>
          <w:rStyle w:val="Strong"/>
          <w:rFonts w:ascii="Times New Roman" w:hAnsi="Times New Roman" w:cs="Times New Roman"/>
          <w:b w:val="0"/>
          <w:color w:val="auto"/>
          <w:sz w:val="24"/>
          <w:szCs w:val="24"/>
        </w:rPr>
        <w:t>ricorrere dinanzi al giudice amministrativo</w:t>
      </w:r>
      <w:r w:rsidR="00555186" w:rsidRPr="00A17989">
        <w:rPr>
          <w:rStyle w:val="Strong"/>
          <w:rFonts w:ascii="Times New Roman" w:hAnsi="Times New Roman" w:cs="Times New Roman"/>
          <w:b w:val="0"/>
          <w:color w:val="auto"/>
          <w:sz w:val="24"/>
          <w:szCs w:val="24"/>
        </w:rPr>
        <w:t>.</w:t>
      </w:r>
    </w:p>
    <w:p w:rsidR="00C57ED4" w:rsidRPr="00A17989" w:rsidRDefault="00CC1C0A" w:rsidP="004E5891">
      <w:pPr>
        <w:pStyle w:val="Subtitle"/>
        <w:ind w:left="426" w:right="424" w:firstLine="567"/>
        <w:jc w:val="both"/>
        <w:rPr>
          <w:rFonts w:ascii="Times New Roman" w:hAnsi="Times New Roman" w:cs="Times New Roman"/>
          <w:color w:val="auto"/>
          <w:sz w:val="24"/>
          <w:szCs w:val="24"/>
        </w:rPr>
      </w:pPr>
      <w:r w:rsidRPr="00A17989">
        <w:rPr>
          <w:rStyle w:val="Strong"/>
          <w:rFonts w:ascii="Times New Roman" w:hAnsi="Times New Roman" w:cs="Times New Roman"/>
          <w:b w:val="0"/>
          <w:color w:val="auto"/>
          <w:sz w:val="24"/>
          <w:szCs w:val="24"/>
        </w:rPr>
        <w:t xml:space="preserve">La </w:t>
      </w:r>
      <w:r w:rsidR="00C53ED5" w:rsidRPr="00A17989">
        <w:rPr>
          <w:rStyle w:val="Strong"/>
          <w:rFonts w:ascii="Times New Roman" w:hAnsi="Times New Roman" w:cs="Times New Roman"/>
          <w:b w:val="0"/>
          <w:color w:val="auto"/>
          <w:sz w:val="24"/>
          <w:szCs w:val="24"/>
        </w:rPr>
        <w:t xml:space="preserve">più risalente </w:t>
      </w:r>
      <w:r w:rsidR="005C2EB7" w:rsidRPr="00A17989">
        <w:rPr>
          <w:rStyle w:val="Strong"/>
          <w:rFonts w:ascii="Times New Roman" w:hAnsi="Times New Roman" w:cs="Times New Roman"/>
          <w:b w:val="0"/>
          <w:color w:val="auto"/>
          <w:sz w:val="24"/>
          <w:szCs w:val="24"/>
        </w:rPr>
        <w:t xml:space="preserve">e più utilizzata </w:t>
      </w:r>
      <w:r w:rsidRPr="00A17989">
        <w:rPr>
          <w:rStyle w:val="Strong"/>
          <w:rFonts w:ascii="Times New Roman" w:hAnsi="Times New Roman" w:cs="Times New Roman"/>
          <w:b w:val="0"/>
          <w:color w:val="auto"/>
          <w:sz w:val="24"/>
          <w:szCs w:val="24"/>
        </w:rPr>
        <w:t xml:space="preserve">è </w:t>
      </w:r>
      <w:r w:rsidR="00C53ED5" w:rsidRPr="00A17989">
        <w:rPr>
          <w:rStyle w:val="Strong"/>
          <w:rFonts w:ascii="Times New Roman" w:hAnsi="Times New Roman" w:cs="Times New Roman"/>
          <w:b w:val="0"/>
          <w:color w:val="auto"/>
          <w:sz w:val="24"/>
          <w:szCs w:val="24"/>
        </w:rPr>
        <w:t>l’art. 21</w:t>
      </w:r>
      <w:r w:rsidR="00C53ED5" w:rsidRPr="00A17989">
        <w:rPr>
          <w:rStyle w:val="Strong"/>
          <w:rFonts w:ascii="Times New Roman" w:hAnsi="Times New Roman" w:cs="Times New Roman"/>
          <w:b w:val="0"/>
          <w:bCs w:val="0"/>
          <w:i/>
          <w:iCs/>
          <w:sz w:val="24"/>
          <w:szCs w:val="24"/>
        </w:rPr>
        <w:t>-</w:t>
      </w:r>
      <w:r w:rsidR="00C53ED5" w:rsidRPr="00A17989">
        <w:rPr>
          <w:rStyle w:val="Emphasis"/>
          <w:rFonts w:ascii="Times New Roman" w:hAnsi="Times New Roman" w:cs="Times New Roman"/>
          <w:bCs/>
          <w:color w:val="auto"/>
          <w:sz w:val="24"/>
          <w:szCs w:val="24"/>
        </w:rPr>
        <w:t>bis</w:t>
      </w:r>
      <w:r w:rsidR="00C53ED5" w:rsidRPr="00A17989">
        <w:rPr>
          <w:rStyle w:val="Strong"/>
          <w:rFonts w:ascii="Times New Roman" w:hAnsi="Times New Roman" w:cs="Times New Roman"/>
          <w:b w:val="0"/>
          <w:color w:val="auto"/>
          <w:sz w:val="24"/>
          <w:szCs w:val="24"/>
        </w:rPr>
        <w:t xml:space="preserve"> </w:t>
      </w:r>
      <w:r w:rsidR="00C53ED5" w:rsidRPr="00A17989">
        <w:rPr>
          <w:rStyle w:val="Emphasis"/>
          <w:rFonts w:ascii="Times New Roman" w:hAnsi="Times New Roman" w:cs="Times New Roman"/>
          <w:bCs/>
          <w:i w:val="0"/>
          <w:color w:val="auto"/>
          <w:sz w:val="24"/>
          <w:szCs w:val="24"/>
        </w:rPr>
        <w:t>della</w:t>
      </w:r>
      <w:r w:rsidR="00C53ED5" w:rsidRPr="00A17989">
        <w:rPr>
          <w:rStyle w:val="Emphasis"/>
          <w:rFonts w:ascii="Times New Roman" w:hAnsi="Times New Roman" w:cs="Times New Roman"/>
          <w:bCs/>
          <w:color w:val="auto"/>
          <w:sz w:val="24"/>
          <w:szCs w:val="24"/>
        </w:rPr>
        <w:t xml:space="preserve"> </w:t>
      </w:r>
      <w:r w:rsidR="00C53ED5" w:rsidRPr="00A17989">
        <w:rPr>
          <w:rFonts w:ascii="Times New Roman" w:hAnsi="Times New Roman" w:cs="Times New Roman"/>
          <w:color w:val="auto"/>
          <w:sz w:val="24"/>
          <w:szCs w:val="24"/>
        </w:rPr>
        <w:t>legge 10 ottobre 1990 n. 287 (introdotto da</w:t>
      </w:r>
      <w:r w:rsidRPr="00A17989">
        <w:rPr>
          <w:rStyle w:val="Strong"/>
          <w:rFonts w:ascii="Times New Roman" w:hAnsi="Times New Roman" w:cs="Times New Roman"/>
          <w:b w:val="0"/>
          <w:color w:val="auto"/>
          <w:sz w:val="24"/>
          <w:szCs w:val="24"/>
        </w:rPr>
        <w:t>l</w:t>
      </w:r>
      <w:r w:rsidR="00C53ED5" w:rsidRPr="00A17989">
        <w:rPr>
          <w:rStyle w:val="Strong"/>
          <w:rFonts w:ascii="Times New Roman" w:hAnsi="Times New Roman" w:cs="Times New Roman"/>
          <w:b w:val="0"/>
          <w:color w:val="auto"/>
          <w:sz w:val="24"/>
          <w:szCs w:val="24"/>
        </w:rPr>
        <w:t>l</w:t>
      </w:r>
      <w:r w:rsidRPr="00A17989">
        <w:rPr>
          <w:rStyle w:val="Strong"/>
          <w:rFonts w:ascii="Times New Roman" w:hAnsi="Times New Roman" w:cs="Times New Roman"/>
          <w:b w:val="0"/>
          <w:color w:val="auto"/>
          <w:sz w:val="24"/>
          <w:szCs w:val="24"/>
        </w:rPr>
        <w:t>’art. 35 del d.l. 6 dicembre 2011 n. 201</w:t>
      </w:r>
      <w:r w:rsidR="00C53ED5" w:rsidRPr="00A17989">
        <w:rPr>
          <w:rStyle w:val="Strong"/>
          <w:rFonts w:ascii="Times New Roman" w:hAnsi="Times New Roman" w:cs="Times New Roman"/>
          <w:b w:val="0"/>
          <w:color w:val="auto"/>
          <w:sz w:val="24"/>
          <w:szCs w:val="24"/>
        </w:rPr>
        <w:t>)</w:t>
      </w:r>
      <w:r w:rsidRPr="00A17989">
        <w:rPr>
          <w:rFonts w:ascii="Times New Roman" w:hAnsi="Times New Roman" w:cs="Times New Roman"/>
          <w:color w:val="auto"/>
          <w:sz w:val="24"/>
          <w:szCs w:val="24"/>
        </w:rPr>
        <w:t>, a mente del quale «l’Autorità garante della concorrenza e del mercato è legittimata ad agire in giudizio contro gli atti amministrativi generali, i regolamenti ed i provvedimenti di qualsiasi amministrazione pubblica che violino le norme a tutela della concorrenza e del mercato»</w:t>
      </w:r>
      <w:r w:rsidR="0034566B" w:rsidRPr="00A17989">
        <w:rPr>
          <w:rFonts w:ascii="Times New Roman" w:hAnsi="Times New Roman" w:cs="Times New Roman"/>
          <w:color w:val="auto"/>
          <w:sz w:val="24"/>
          <w:szCs w:val="24"/>
        </w:rPr>
        <w:t>.</w:t>
      </w:r>
    </w:p>
    <w:p w:rsidR="00CC1C0A" w:rsidRPr="00A17989" w:rsidRDefault="005C2EB7" w:rsidP="004E5891">
      <w:pPr>
        <w:pStyle w:val="Subtitle"/>
        <w:ind w:left="426" w:right="424" w:firstLine="567"/>
        <w:jc w:val="both"/>
        <w:rPr>
          <w:rFonts w:ascii="Times New Roman" w:hAnsi="Times New Roman" w:cs="Times New Roman"/>
          <w:color w:val="auto"/>
          <w:sz w:val="24"/>
          <w:szCs w:val="24"/>
        </w:rPr>
      </w:pPr>
      <w:r w:rsidRPr="00A17989">
        <w:rPr>
          <w:rFonts w:ascii="Times New Roman" w:hAnsi="Times New Roman" w:cs="Times New Roman"/>
          <w:color w:val="auto"/>
          <w:sz w:val="24"/>
          <w:szCs w:val="24"/>
        </w:rPr>
        <w:t xml:space="preserve">Tale potere di azione si colloca a valle di un </w:t>
      </w:r>
      <w:r w:rsidR="00CC1C0A" w:rsidRPr="00A17989">
        <w:rPr>
          <w:rFonts w:ascii="Times New Roman" w:hAnsi="Times New Roman" w:cs="Times New Roman"/>
          <w:color w:val="auto"/>
          <w:sz w:val="24"/>
          <w:szCs w:val="24"/>
        </w:rPr>
        <w:t>articolato procedim</w:t>
      </w:r>
      <w:r w:rsidR="007C6424" w:rsidRPr="00A17989">
        <w:rPr>
          <w:rFonts w:ascii="Times New Roman" w:hAnsi="Times New Roman" w:cs="Times New Roman"/>
          <w:color w:val="auto"/>
          <w:sz w:val="24"/>
          <w:szCs w:val="24"/>
        </w:rPr>
        <w:t>ento amministrativo, in base al quale l’Autorità</w:t>
      </w:r>
      <w:r w:rsidR="005F63B6" w:rsidRPr="00A17989">
        <w:rPr>
          <w:rFonts w:ascii="Times New Roman" w:hAnsi="Times New Roman" w:cs="Times New Roman"/>
          <w:color w:val="auto"/>
          <w:sz w:val="24"/>
          <w:szCs w:val="24"/>
        </w:rPr>
        <w:t xml:space="preserve"> è tenuta ad emettere un parere motivato</w:t>
      </w:r>
      <w:r w:rsidR="007C6424" w:rsidRPr="00A17989">
        <w:rPr>
          <w:rFonts w:ascii="Times New Roman" w:hAnsi="Times New Roman" w:cs="Times New Roman"/>
          <w:color w:val="auto"/>
          <w:sz w:val="24"/>
          <w:szCs w:val="24"/>
        </w:rPr>
        <w:t xml:space="preserve"> entro sessanta giorni</w:t>
      </w:r>
      <w:r w:rsidR="007C6424" w:rsidRPr="00A17989">
        <w:rPr>
          <w:rStyle w:val="FootnoteReference"/>
          <w:rFonts w:ascii="Times New Roman" w:hAnsi="Times New Roman" w:cs="Times New Roman"/>
          <w:color w:val="auto"/>
          <w:sz w:val="24"/>
          <w:szCs w:val="24"/>
        </w:rPr>
        <w:footnoteReference w:id="1"/>
      </w:r>
      <w:r w:rsidR="005F63B6" w:rsidRPr="00A17989">
        <w:rPr>
          <w:rFonts w:ascii="Times New Roman" w:hAnsi="Times New Roman" w:cs="Times New Roman"/>
          <w:color w:val="auto"/>
          <w:sz w:val="24"/>
          <w:szCs w:val="24"/>
        </w:rPr>
        <w:t>,</w:t>
      </w:r>
      <w:r w:rsidR="007C6424" w:rsidRPr="00A17989">
        <w:rPr>
          <w:rFonts w:ascii="Times New Roman" w:hAnsi="Times New Roman" w:cs="Times New Roman"/>
          <w:color w:val="auto"/>
          <w:sz w:val="24"/>
          <w:szCs w:val="24"/>
        </w:rPr>
        <w:t xml:space="preserve"> indica</w:t>
      </w:r>
      <w:r w:rsidR="005F63B6" w:rsidRPr="00A17989">
        <w:rPr>
          <w:rFonts w:ascii="Times New Roman" w:hAnsi="Times New Roman" w:cs="Times New Roman"/>
          <w:color w:val="auto"/>
          <w:sz w:val="24"/>
          <w:szCs w:val="24"/>
        </w:rPr>
        <w:t>ndo</w:t>
      </w:r>
      <w:r w:rsidR="007C6424" w:rsidRPr="00A17989">
        <w:rPr>
          <w:rFonts w:ascii="Times New Roman" w:hAnsi="Times New Roman" w:cs="Times New Roman"/>
          <w:color w:val="auto"/>
          <w:sz w:val="24"/>
          <w:szCs w:val="24"/>
        </w:rPr>
        <w:t xml:space="preserve"> gli specifici profili delle violazioni riscontrate e, solo se la pubblica amministrazione</w:t>
      </w:r>
      <w:r w:rsidR="004E5891" w:rsidRPr="00A17989">
        <w:rPr>
          <w:rFonts w:ascii="Times New Roman" w:hAnsi="Times New Roman" w:cs="Times New Roman"/>
          <w:color w:val="auto"/>
          <w:sz w:val="24"/>
          <w:szCs w:val="24"/>
        </w:rPr>
        <w:t xml:space="preserve"> non si conforma</w:t>
      </w:r>
      <w:r w:rsidR="007C6424" w:rsidRPr="00A17989">
        <w:rPr>
          <w:rFonts w:ascii="Times New Roman" w:hAnsi="Times New Roman" w:cs="Times New Roman"/>
          <w:color w:val="auto"/>
          <w:sz w:val="24"/>
          <w:szCs w:val="24"/>
        </w:rPr>
        <w:t xml:space="preserve"> nei sessanta giorni successivi, può presentare il ricorso, tramite l’Avvocatura dello Stato</w:t>
      </w:r>
      <w:r w:rsidR="004E5891" w:rsidRPr="00A17989">
        <w:rPr>
          <w:rFonts w:ascii="Times New Roman" w:hAnsi="Times New Roman" w:cs="Times New Roman"/>
          <w:color w:val="auto"/>
          <w:sz w:val="24"/>
          <w:szCs w:val="24"/>
        </w:rPr>
        <w:t>, entro i successivi trenta giorni</w:t>
      </w:r>
      <w:r w:rsidR="007C6424" w:rsidRPr="00A17989">
        <w:rPr>
          <w:rFonts w:ascii="Times New Roman" w:hAnsi="Times New Roman" w:cs="Times New Roman"/>
          <w:color w:val="auto"/>
          <w:sz w:val="24"/>
          <w:szCs w:val="24"/>
        </w:rPr>
        <w:t>.</w:t>
      </w:r>
    </w:p>
    <w:p w:rsidR="0034566B" w:rsidRPr="00A17989" w:rsidRDefault="005C2EB7" w:rsidP="004E5891">
      <w:pPr>
        <w:pStyle w:val="Subtitle"/>
        <w:ind w:left="426" w:right="424" w:firstLine="567"/>
        <w:jc w:val="both"/>
        <w:rPr>
          <w:rFonts w:ascii="Times New Roman" w:hAnsi="Times New Roman" w:cs="Times New Roman"/>
          <w:color w:val="auto"/>
          <w:sz w:val="24"/>
          <w:szCs w:val="24"/>
        </w:rPr>
      </w:pPr>
      <w:r w:rsidRPr="00A17989">
        <w:rPr>
          <w:rFonts w:ascii="Times New Roman" w:hAnsi="Times New Roman" w:cs="Times New Roman"/>
          <w:color w:val="auto"/>
          <w:sz w:val="24"/>
          <w:szCs w:val="24"/>
        </w:rPr>
        <w:t>A</w:t>
      </w:r>
      <w:r w:rsidR="0034566B" w:rsidRPr="00A17989">
        <w:rPr>
          <w:rFonts w:ascii="Times New Roman" w:hAnsi="Times New Roman" w:cs="Times New Roman"/>
          <w:color w:val="auto"/>
          <w:sz w:val="24"/>
          <w:szCs w:val="24"/>
        </w:rPr>
        <w:t xml:space="preserve">i giudizi </w:t>
      </w:r>
      <w:r w:rsidRPr="00A17989">
        <w:rPr>
          <w:rFonts w:ascii="Times New Roman" w:hAnsi="Times New Roman" w:cs="Times New Roman"/>
          <w:color w:val="auto"/>
          <w:sz w:val="24"/>
          <w:szCs w:val="24"/>
        </w:rPr>
        <w:t>così instaurati</w:t>
      </w:r>
      <w:r w:rsidR="0034566B" w:rsidRPr="00A17989">
        <w:rPr>
          <w:rFonts w:ascii="Times New Roman" w:hAnsi="Times New Roman" w:cs="Times New Roman"/>
          <w:color w:val="auto"/>
          <w:sz w:val="24"/>
          <w:szCs w:val="24"/>
        </w:rPr>
        <w:t xml:space="preserve"> si applica </w:t>
      </w:r>
      <w:r w:rsidR="007C6424" w:rsidRPr="00A17989">
        <w:rPr>
          <w:rFonts w:ascii="Times New Roman" w:hAnsi="Times New Roman" w:cs="Times New Roman"/>
          <w:color w:val="auto"/>
          <w:sz w:val="24"/>
          <w:szCs w:val="24"/>
        </w:rPr>
        <w:t xml:space="preserve">il rito speciale </w:t>
      </w:r>
      <w:r w:rsidR="0034566B" w:rsidRPr="00A17989">
        <w:rPr>
          <w:rFonts w:ascii="Times New Roman" w:hAnsi="Times New Roman" w:cs="Times New Roman"/>
          <w:color w:val="auto"/>
          <w:sz w:val="24"/>
          <w:szCs w:val="24"/>
        </w:rPr>
        <w:t xml:space="preserve">di cui al </w:t>
      </w:r>
      <w:r w:rsidR="005F63B6" w:rsidRPr="00A17989">
        <w:rPr>
          <w:rFonts w:ascii="Times New Roman" w:hAnsi="Times New Roman" w:cs="Times New Roman"/>
          <w:color w:val="auto"/>
          <w:sz w:val="24"/>
          <w:szCs w:val="24"/>
        </w:rPr>
        <w:t xml:space="preserve">Titolo V del </w:t>
      </w:r>
      <w:r w:rsidR="0034566B" w:rsidRPr="00A17989">
        <w:rPr>
          <w:rFonts w:ascii="Times New Roman" w:hAnsi="Times New Roman" w:cs="Times New Roman"/>
          <w:color w:val="auto"/>
          <w:sz w:val="24"/>
          <w:szCs w:val="24"/>
        </w:rPr>
        <w:t xml:space="preserve">Libro IV del </w:t>
      </w:r>
      <w:r w:rsidR="007C6424" w:rsidRPr="00A17989">
        <w:rPr>
          <w:rFonts w:ascii="Times New Roman" w:hAnsi="Times New Roman" w:cs="Times New Roman"/>
          <w:color w:val="auto"/>
          <w:sz w:val="24"/>
          <w:szCs w:val="24"/>
        </w:rPr>
        <w:t>codice del processo amministrativo</w:t>
      </w:r>
      <w:r w:rsidR="0034566B" w:rsidRPr="00A17989">
        <w:rPr>
          <w:rFonts w:ascii="Times New Roman" w:hAnsi="Times New Roman" w:cs="Times New Roman"/>
          <w:color w:val="auto"/>
          <w:sz w:val="24"/>
          <w:szCs w:val="24"/>
        </w:rPr>
        <w:t>.</w:t>
      </w:r>
    </w:p>
    <w:p w:rsidR="003808F2" w:rsidRPr="00A17989" w:rsidRDefault="007C6424"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bCs/>
          <w:color w:val="auto"/>
          <w:sz w:val="24"/>
          <w:szCs w:val="24"/>
          <w:lang w:eastAsia="it-IT"/>
        </w:rPr>
        <w:t xml:space="preserve">L’art. </w:t>
      </w:r>
      <w:r w:rsidR="003808F2" w:rsidRPr="00A17989">
        <w:rPr>
          <w:rFonts w:ascii="Times New Roman" w:eastAsia="Times New Roman" w:hAnsi="Times New Roman" w:cs="Times New Roman"/>
          <w:bCs/>
          <w:color w:val="auto"/>
          <w:sz w:val="24"/>
          <w:szCs w:val="24"/>
          <w:lang w:eastAsia="it-IT"/>
        </w:rPr>
        <w:t xml:space="preserve">37 del </w:t>
      </w:r>
      <w:r w:rsidRPr="00A17989">
        <w:rPr>
          <w:rFonts w:ascii="Times New Roman" w:eastAsia="Times New Roman" w:hAnsi="Times New Roman" w:cs="Times New Roman"/>
          <w:color w:val="auto"/>
          <w:sz w:val="24"/>
          <w:szCs w:val="24"/>
          <w:lang w:eastAsia="it-IT"/>
        </w:rPr>
        <w:t>d.l.</w:t>
      </w:r>
      <w:r w:rsidR="003808F2" w:rsidRPr="00A17989">
        <w:rPr>
          <w:rFonts w:ascii="Times New Roman" w:eastAsia="Times New Roman" w:hAnsi="Times New Roman" w:cs="Times New Roman"/>
          <w:color w:val="auto"/>
          <w:sz w:val="24"/>
          <w:szCs w:val="24"/>
          <w:lang w:eastAsia="it-IT"/>
        </w:rPr>
        <w:t xml:space="preserve"> 6 dicembre 2011 n. 201</w:t>
      </w:r>
      <w:r w:rsidR="005C2EB7"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attribui</w:t>
      </w:r>
      <w:r w:rsidR="005C2EB7" w:rsidRPr="00A17989">
        <w:rPr>
          <w:rFonts w:ascii="Times New Roman" w:eastAsia="Times New Roman" w:hAnsi="Times New Roman" w:cs="Times New Roman"/>
          <w:color w:val="auto"/>
          <w:sz w:val="24"/>
          <w:szCs w:val="24"/>
          <w:lang w:eastAsia="it-IT"/>
        </w:rPr>
        <w:t>sce</w:t>
      </w:r>
      <w:r w:rsidRPr="00A17989">
        <w:rPr>
          <w:rFonts w:ascii="Times New Roman" w:eastAsia="Times New Roman" w:hAnsi="Times New Roman" w:cs="Times New Roman"/>
          <w:color w:val="auto"/>
          <w:sz w:val="24"/>
          <w:szCs w:val="24"/>
          <w:lang w:eastAsia="it-IT"/>
        </w:rPr>
        <w:t xml:space="preserve"> all’Autorità di regolazione dei trasporti il diritto di ricorrere al T.A.R. del Lazio contro i provvedimenti amministrativi lesivi del diritto di mobilità degli utenti con riferimento al servizio di trasporto su taxi.</w:t>
      </w:r>
    </w:p>
    <w:p w:rsidR="005F63B6" w:rsidRPr="00A17989" w:rsidRDefault="005F63B6"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A differenza dell’altra norma, non si prevedono modalità procedurali.</w:t>
      </w:r>
    </w:p>
    <w:p w:rsidR="0034566B" w:rsidRPr="00A17989" w:rsidRDefault="005F63B6"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L</w:t>
      </w:r>
      <w:r w:rsidR="007C6424" w:rsidRPr="00A17989">
        <w:rPr>
          <w:rFonts w:ascii="Times New Roman" w:eastAsia="Times New Roman" w:hAnsi="Times New Roman" w:cs="Times New Roman"/>
          <w:color w:val="auto"/>
          <w:sz w:val="24"/>
          <w:szCs w:val="24"/>
          <w:lang w:eastAsia="it-IT"/>
        </w:rPr>
        <w:t>’a</w:t>
      </w:r>
      <w:r w:rsidR="0034566B" w:rsidRPr="00A17989">
        <w:rPr>
          <w:rFonts w:ascii="Times New Roman" w:eastAsia="Times New Roman" w:hAnsi="Times New Roman" w:cs="Times New Roman"/>
          <w:bCs/>
          <w:color w:val="auto"/>
          <w:sz w:val="24"/>
          <w:szCs w:val="24"/>
          <w:lang w:eastAsia="it-IT"/>
        </w:rPr>
        <w:t>rt. 211</w:t>
      </w:r>
      <w:r w:rsidR="003808F2" w:rsidRPr="00A17989">
        <w:rPr>
          <w:rFonts w:ascii="Times New Roman" w:eastAsia="Times New Roman" w:hAnsi="Times New Roman" w:cs="Times New Roman"/>
          <w:color w:val="auto"/>
          <w:sz w:val="24"/>
          <w:szCs w:val="24"/>
          <w:lang w:eastAsia="it-IT"/>
        </w:rPr>
        <w:t xml:space="preserve"> del </w:t>
      </w:r>
      <w:r w:rsidR="005D04F2" w:rsidRPr="00A17989">
        <w:rPr>
          <w:rFonts w:ascii="Times New Roman" w:eastAsia="Times New Roman" w:hAnsi="Times New Roman" w:cs="Times New Roman"/>
          <w:color w:val="auto"/>
          <w:sz w:val="24"/>
          <w:szCs w:val="24"/>
          <w:lang w:eastAsia="it-IT"/>
        </w:rPr>
        <w:t>D.lgs.</w:t>
      </w:r>
      <w:r w:rsidRPr="00A17989">
        <w:rPr>
          <w:rFonts w:ascii="Times New Roman" w:eastAsia="Times New Roman" w:hAnsi="Times New Roman" w:cs="Times New Roman"/>
          <w:color w:val="auto"/>
          <w:sz w:val="24"/>
          <w:szCs w:val="24"/>
          <w:lang w:eastAsia="it-IT"/>
        </w:rPr>
        <w:t xml:space="preserve"> 18 aprile 2016</w:t>
      </w:r>
      <w:r w:rsidR="003808F2" w:rsidRPr="00A17989">
        <w:rPr>
          <w:rFonts w:ascii="Times New Roman" w:eastAsia="Times New Roman" w:hAnsi="Times New Roman" w:cs="Times New Roman"/>
          <w:color w:val="auto"/>
          <w:sz w:val="24"/>
          <w:szCs w:val="24"/>
          <w:lang w:eastAsia="it-IT"/>
        </w:rPr>
        <w:t xml:space="preserve"> n. 50</w:t>
      </w:r>
      <w:r w:rsidR="00804ECF" w:rsidRPr="00A17989">
        <w:rPr>
          <w:rFonts w:ascii="Times New Roman" w:eastAsia="Times New Roman" w:hAnsi="Times New Roman" w:cs="Times New Roman"/>
          <w:color w:val="auto"/>
          <w:sz w:val="24"/>
          <w:szCs w:val="24"/>
          <w:lang w:eastAsia="it-IT"/>
        </w:rPr>
        <w:t xml:space="preserve">, come modificato </w:t>
      </w:r>
      <w:r w:rsidR="008461C3" w:rsidRPr="00A17989">
        <w:rPr>
          <w:rFonts w:ascii="Times New Roman" w:eastAsia="Times New Roman" w:hAnsi="Times New Roman" w:cs="Times New Roman"/>
          <w:color w:val="auto"/>
          <w:sz w:val="24"/>
          <w:szCs w:val="24"/>
          <w:lang w:eastAsia="it-IT"/>
        </w:rPr>
        <w:t>co</w:t>
      </w:r>
      <w:r w:rsidR="00804ECF" w:rsidRPr="00A17989">
        <w:rPr>
          <w:rFonts w:ascii="Times New Roman" w:eastAsia="Times New Roman" w:hAnsi="Times New Roman" w:cs="Times New Roman"/>
          <w:color w:val="auto"/>
          <w:sz w:val="24"/>
          <w:szCs w:val="24"/>
          <w:lang w:eastAsia="it-IT"/>
        </w:rPr>
        <w:t>l</w:t>
      </w:r>
      <w:r w:rsidR="008461C3" w:rsidRPr="00A17989">
        <w:rPr>
          <w:rFonts w:ascii="Times New Roman" w:eastAsia="Times New Roman" w:hAnsi="Times New Roman" w:cs="Times New Roman"/>
          <w:color w:val="auto"/>
          <w:sz w:val="24"/>
          <w:szCs w:val="24"/>
          <w:lang w:eastAsia="it-IT"/>
        </w:rPr>
        <w:t xml:space="preserve"> correttivo del</w:t>
      </w:r>
      <w:r w:rsidR="00804ECF" w:rsidRPr="00A17989">
        <w:rPr>
          <w:rFonts w:ascii="Times New Roman" w:eastAsia="Times New Roman" w:hAnsi="Times New Roman" w:cs="Times New Roman"/>
          <w:color w:val="auto"/>
          <w:sz w:val="24"/>
          <w:szCs w:val="24"/>
          <w:lang w:eastAsia="it-IT"/>
        </w:rPr>
        <w:t xml:space="preserve"> 2017, </w:t>
      </w:r>
      <w:r w:rsidR="005C2EB7" w:rsidRPr="00A17989">
        <w:rPr>
          <w:rFonts w:ascii="Times New Roman" w:eastAsia="Times New Roman" w:hAnsi="Times New Roman" w:cs="Times New Roman"/>
          <w:color w:val="auto"/>
          <w:sz w:val="24"/>
          <w:szCs w:val="24"/>
          <w:lang w:eastAsia="it-IT"/>
        </w:rPr>
        <w:t>assegna</w:t>
      </w:r>
      <w:r w:rsidR="00804ECF" w:rsidRPr="00A17989">
        <w:rPr>
          <w:rFonts w:ascii="Times New Roman" w:eastAsia="Times New Roman" w:hAnsi="Times New Roman" w:cs="Times New Roman"/>
          <w:color w:val="auto"/>
          <w:sz w:val="24"/>
          <w:szCs w:val="24"/>
          <w:lang w:eastAsia="it-IT"/>
        </w:rPr>
        <w:t xml:space="preserve"> a</w:t>
      </w:r>
      <w:r w:rsidR="005D04F2" w:rsidRPr="00A17989">
        <w:rPr>
          <w:rFonts w:ascii="Times New Roman" w:eastAsia="Times New Roman" w:hAnsi="Times New Roman" w:cs="Times New Roman"/>
          <w:color w:val="auto"/>
          <w:sz w:val="24"/>
          <w:szCs w:val="24"/>
          <w:lang w:eastAsia="it-IT"/>
        </w:rPr>
        <w:t>ll’</w:t>
      </w:r>
      <w:r w:rsidR="0034566B" w:rsidRPr="00A17989">
        <w:rPr>
          <w:rFonts w:ascii="Times New Roman" w:eastAsia="Times New Roman" w:hAnsi="Times New Roman" w:cs="Times New Roman"/>
          <w:color w:val="auto"/>
          <w:sz w:val="24"/>
          <w:szCs w:val="24"/>
          <w:lang w:eastAsia="it-IT"/>
        </w:rPr>
        <w:t xml:space="preserve">ANAC </w:t>
      </w:r>
      <w:r w:rsidR="00804ECF" w:rsidRPr="00A17989">
        <w:rPr>
          <w:rFonts w:ascii="Times New Roman" w:eastAsia="Times New Roman" w:hAnsi="Times New Roman" w:cs="Times New Roman"/>
          <w:color w:val="auto"/>
          <w:sz w:val="24"/>
          <w:szCs w:val="24"/>
          <w:lang w:eastAsia="it-IT"/>
        </w:rPr>
        <w:t>la</w:t>
      </w:r>
      <w:r w:rsidR="0034566B" w:rsidRPr="00A17989">
        <w:rPr>
          <w:rFonts w:ascii="Times New Roman" w:eastAsia="Times New Roman" w:hAnsi="Times New Roman" w:cs="Times New Roman"/>
          <w:color w:val="auto"/>
          <w:sz w:val="24"/>
          <w:szCs w:val="24"/>
          <w:lang w:eastAsia="it-IT"/>
        </w:rPr>
        <w:t xml:space="preserve"> legittima</w:t>
      </w:r>
      <w:r w:rsidR="00804ECF" w:rsidRPr="00A17989">
        <w:rPr>
          <w:rFonts w:ascii="Times New Roman" w:eastAsia="Times New Roman" w:hAnsi="Times New Roman" w:cs="Times New Roman"/>
          <w:color w:val="auto"/>
          <w:sz w:val="24"/>
          <w:szCs w:val="24"/>
          <w:lang w:eastAsia="it-IT"/>
        </w:rPr>
        <w:t>zione</w:t>
      </w:r>
      <w:r w:rsidR="0034566B" w:rsidRPr="00A17989">
        <w:rPr>
          <w:rFonts w:ascii="Times New Roman" w:eastAsia="Times New Roman" w:hAnsi="Times New Roman" w:cs="Times New Roman"/>
          <w:color w:val="auto"/>
          <w:sz w:val="24"/>
          <w:szCs w:val="24"/>
          <w:lang w:eastAsia="it-IT"/>
        </w:rPr>
        <w:t xml:space="preserve"> ad agire in giudizio </w:t>
      </w:r>
      <w:r w:rsidR="00804ECF" w:rsidRPr="00A17989">
        <w:rPr>
          <w:rFonts w:ascii="Times New Roman" w:hAnsi="Times New Roman" w:cs="Times New Roman"/>
          <w:color w:val="auto"/>
          <w:sz w:val="24"/>
          <w:szCs w:val="24"/>
        </w:rPr>
        <w:t>«</w:t>
      </w:r>
      <w:r w:rsidR="0034566B" w:rsidRPr="00A17989">
        <w:rPr>
          <w:rFonts w:ascii="Times New Roman" w:eastAsia="Times New Roman" w:hAnsi="Times New Roman" w:cs="Times New Roman"/>
          <w:color w:val="auto"/>
          <w:sz w:val="24"/>
          <w:szCs w:val="24"/>
          <w:lang w:eastAsia="it-IT"/>
        </w:rPr>
        <w:t>per l</w:t>
      </w:r>
      <w:r w:rsidR="00804ECF" w:rsidRPr="00A17989">
        <w:rPr>
          <w:rFonts w:ascii="Times New Roman" w:eastAsia="Times New Roman" w:hAnsi="Times New Roman" w:cs="Times New Roman"/>
          <w:color w:val="auto"/>
          <w:sz w:val="24"/>
          <w:szCs w:val="24"/>
          <w:lang w:eastAsia="it-IT"/>
        </w:rPr>
        <w:t>’</w:t>
      </w:r>
      <w:r w:rsidR="0034566B" w:rsidRPr="00A17989">
        <w:rPr>
          <w:rFonts w:ascii="Times New Roman" w:eastAsia="Times New Roman" w:hAnsi="Times New Roman" w:cs="Times New Roman"/>
          <w:color w:val="auto"/>
          <w:sz w:val="24"/>
          <w:szCs w:val="24"/>
          <w:lang w:eastAsia="it-IT"/>
        </w:rPr>
        <w:t>impugnazione dei bandi, degli altri atti generali e dei provvedimenti relativi a contratti di rilevante impatto, emessi da qualsiasi stazione appaltante, qualora ritenga che essi violino le norme in materia di contratti pubblici relativi a lavori, servizi e forniture</w:t>
      </w:r>
      <w:r w:rsidR="00804ECF" w:rsidRPr="00A17989">
        <w:rPr>
          <w:rFonts w:ascii="Times New Roman" w:hAnsi="Times New Roman" w:cs="Times New Roman"/>
          <w:color w:val="auto"/>
          <w:sz w:val="24"/>
          <w:szCs w:val="24"/>
        </w:rPr>
        <w:t>»</w:t>
      </w:r>
      <w:r w:rsidR="0034566B" w:rsidRPr="00A17989">
        <w:rPr>
          <w:rFonts w:ascii="Times New Roman" w:eastAsia="Times New Roman" w:hAnsi="Times New Roman" w:cs="Times New Roman"/>
          <w:color w:val="auto"/>
          <w:sz w:val="24"/>
          <w:szCs w:val="24"/>
          <w:lang w:eastAsia="it-IT"/>
        </w:rPr>
        <w:t>.</w:t>
      </w:r>
    </w:p>
    <w:p w:rsidR="004D1673" w:rsidRDefault="005F63B6"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P</w:t>
      </w:r>
      <w:r w:rsidR="005C2EB7" w:rsidRPr="00A17989">
        <w:rPr>
          <w:rFonts w:ascii="Times New Roman" w:eastAsia="Times New Roman" w:hAnsi="Times New Roman" w:cs="Times New Roman"/>
          <w:color w:val="auto"/>
          <w:sz w:val="24"/>
          <w:szCs w:val="24"/>
          <w:lang w:eastAsia="it-IT"/>
        </w:rPr>
        <w:t xml:space="preserve">er </w:t>
      </w:r>
      <w:r w:rsidRPr="00A17989">
        <w:rPr>
          <w:rFonts w:ascii="Times New Roman" w:eastAsia="Times New Roman" w:hAnsi="Times New Roman" w:cs="Times New Roman"/>
          <w:color w:val="auto"/>
          <w:sz w:val="24"/>
          <w:szCs w:val="24"/>
          <w:lang w:eastAsia="it-IT"/>
        </w:rPr>
        <w:t xml:space="preserve">i </w:t>
      </w:r>
      <w:r w:rsidR="00804ECF" w:rsidRPr="00A17989">
        <w:rPr>
          <w:rFonts w:ascii="Times New Roman" w:eastAsia="Times New Roman" w:hAnsi="Times New Roman" w:cs="Times New Roman"/>
          <w:color w:val="auto"/>
          <w:sz w:val="24"/>
          <w:szCs w:val="24"/>
          <w:lang w:eastAsia="it-IT"/>
        </w:rPr>
        <w:t xml:space="preserve">provvedimenti </w:t>
      </w:r>
      <w:r w:rsidR="004D1673">
        <w:rPr>
          <w:rFonts w:ascii="Times New Roman" w:eastAsia="Times New Roman" w:hAnsi="Times New Roman" w:cs="Times New Roman"/>
          <w:color w:val="auto"/>
          <w:sz w:val="24"/>
          <w:szCs w:val="24"/>
          <w:lang w:eastAsia="it-IT"/>
        </w:rPr>
        <w:t xml:space="preserve">di diverso genere, </w:t>
      </w:r>
      <w:r w:rsidR="00804ECF" w:rsidRPr="00A17989">
        <w:rPr>
          <w:rFonts w:ascii="Times New Roman" w:eastAsia="Times New Roman" w:hAnsi="Times New Roman" w:cs="Times New Roman"/>
          <w:color w:val="auto"/>
          <w:sz w:val="24"/>
          <w:szCs w:val="24"/>
          <w:lang w:eastAsia="it-IT"/>
        </w:rPr>
        <w:t xml:space="preserve">adottati in violazione delle norme sui contratti pubblici, </w:t>
      </w:r>
      <w:r w:rsidR="005D04F2" w:rsidRPr="00A17989">
        <w:rPr>
          <w:rFonts w:ascii="Times New Roman" w:eastAsia="Times New Roman" w:hAnsi="Times New Roman" w:cs="Times New Roman"/>
          <w:color w:val="auto"/>
          <w:sz w:val="24"/>
          <w:szCs w:val="24"/>
          <w:lang w:eastAsia="it-IT"/>
        </w:rPr>
        <w:t>l’</w:t>
      </w:r>
      <w:r w:rsidR="0034566B" w:rsidRPr="00A17989">
        <w:rPr>
          <w:rFonts w:ascii="Times New Roman" w:eastAsia="Times New Roman" w:hAnsi="Times New Roman" w:cs="Times New Roman"/>
          <w:color w:val="auto"/>
          <w:sz w:val="24"/>
          <w:szCs w:val="24"/>
          <w:lang w:eastAsia="it-IT"/>
        </w:rPr>
        <w:t>ANAC</w:t>
      </w:r>
      <w:r w:rsidR="005C2EB7" w:rsidRPr="00A17989">
        <w:rPr>
          <w:rFonts w:ascii="Times New Roman" w:eastAsia="Times New Roman" w:hAnsi="Times New Roman" w:cs="Times New Roman"/>
          <w:color w:val="auto"/>
          <w:sz w:val="24"/>
          <w:szCs w:val="24"/>
          <w:lang w:eastAsia="it-IT"/>
        </w:rPr>
        <w:t xml:space="preserve"> può emettere</w:t>
      </w:r>
      <w:r w:rsidR="0034566B" w:rsidRPr="00A17989">
        <w:rPr>
          <w:rFonts w:ascii="Times New Roman" w:eastAsia="Times New Roman" w:hAnsi="Times New Roman" w:cs="Times New Roman"/>
          <w:color w:val="auto"/>
          <w:sz w:val="24"/>
          <w:szCs w:val="24"/>
          <w:lang w:eastAsia="it-IT"/>
        </w:rPr>
        <w:t>, entro sessanta giorni dalla notizia della violazione, un parere motivato</w:t>
      </w:r>
      <w:r w:rsidR="008461C3" w:rsidRPr="00A17989">
        <w:rPr>
          <w:rFonts w:ascii="Times New Roman" w:eastAsia="Times New Roman" w:hAnsi="Times New Roman" w:cs="Times New Roman"/>
          <w:color w:val="auto"/>
          <w:sz w:val="24"/>
          <w:szCs w:val="24"/>
          <w:lang w:eastAsia="it-IT"/>
        </w:rPr>
        <w:t>,</w:t>
      </w:r>
      <w:r w:rsidR="0034566B" w:rsidRPr="00A17989">
        <w:rPr>
          <w:rFonts w:ascii="Times New Roman" w:eastAsia="Times New Roman" w:hAnsi="Times New Roman" w:cs="Times New Roman"/>
          <w:color w:val="auto"/>
          <w:sz w:val="24"/>
          <w:szCs w:val="24"/>
          <w:lang w:eastAsia="it-IT"/>
        </w:rPr>
        <w:t xml:space="preserve"> specifica</w:t>
      </w:r>
      <w:r w:rsidR="008461C3" w:rsidRPr="00A17989">
        <w:rPr>
          <w:rFonts w:ascii="Times New Roman" w:eastAsia="Times New Roman" w:hAnsi="Times New Roman" w:cs="Times New Roman"/>
          <w:color w:val="auto"/>
          <w:sz w:val="24"/>
          <w:szCs w:val="24"/>
          <w:lang w:eastAsia="it-IT"/>
        </w:rPr>
        <w:t>ndo</w:t>
      </w:r>
      <w:r w:rsidR="0034566B" w:rsidRPr="00A17989">
        <w:rPr>
          <w:rFonts w:ascii="Times New Roman" w:eastAsia="Times New Roman" w:hAnsi="Times New Roman" w:cs="Times New Roman"/>
          <w:color w:val="auto"/>
          <w:sz w:val="24"/>
          <w:szCs w:val="24"/>
          <w:lang w:eastAsia="it-IT"/>
        </w:rPr>
        <w:t xml:space="preserve"> i v</w:t>
      </w:r>
      <w:r w:rsidR="004D1673">
        <w:rPr>
          <w:rFonts w:ascii="Times New Roman" w:eastAsia="Times New Roman" w:hAnsi="Times New Roman" w:cs="Times New Roman"/>
          <w:color w:val="auto"/>
          <w:sz w:val="24"/>
          <w:szCs w:val="24"/>
          <w:lang w:eastAsia="it-IT"/>
        </w:rPr>
        <w:t>izi di legittimità riscontrati.</w:t>
      </w:r>
    </w:p>
    <w:p w:rsidR="00804ECF" w:rsidRPr="00A17989" w:rsidRDefault="00804ECF"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S</w:t>
      </w:r>
      <w:r w:rsidR="0034566B" w:rsidRPr="00A17989">
        <w:rPr>
          <w:rFonts w:ascii="Times New Roman" w:eastAsia="Times New Roman" w:hAnsi="Times New Roman" w:cs="Times New Roman"/>
          <w:color w:val="auto"/>
          <w:sz w:val="24"/>
          <w:szCs w:val="24"/>
          <w:lang w:eastAsia="it-IT"/>
        </w:rPr>
        <w:t xml:space="preserve">e la stazione appaltante non vi si conforma </w:t>
      </w:r>
      <w:r w:rsidR="004E5891" w:rsidRPr="00A17989">
        <w:rPr>
          <w:rFonts w:ascii="Times New Roman" w:eastAsia="Times New Roman" w:hAnsi="Times New Roman" w:cs="Times New Roman"/>
          <w:color w:val="auto"/>
          <w:sz w:val="24"/>
          <w:szCs w:val="24"/>
          <w:lang w:eastAsia="it-IT"/>
        </w:rPr>
        <w:t>ne</w:t>
      </w:r>
      <w:r w:rsidR="0034566B" w:rsidRPr="00A17989">
        <w:rPr>
          <w:rFonts w:ascii="Times New Roman" w:eastAsia="Times New Roman" w:hAnsi="Times New Roman" w:cs="Times New Roman"/>
          <w:color w:val="auto"/>
          <w:sz w:val="24"/>
          <w:szCs w:val="24"/>
          <w:lang w:eastAsia="it-IT"/>
        </w:rPr>
        <w:t>l termine assegnato</w:t>
      </w:r>
      <w:r w:rsidRPr="00A17989">
        <w:rPr>
          <w:rFonts w:ascii="Times New Roman" w:eastAsia="Times New Roman" w:hAnsi="Times New Roman" w:cs="Times New Roman"/>
          <w:color w:val="auto"/>
          <w:sz w:val="24"/>
          <w:szCs w:val="24"/>
          <w:lang w:eastAsia="it-IT"/>
        </w:rPr>
        <w:t>,</w:t>
      </w:r>
      <w:r w:rsidR="0034566B" w:rsidRPr="00A17989">
        <w:rPr>
          <w:rFonts w:ascii="Times New Roman" w:eastAsia="Times New Roman" w:hAnsi="Times New Roman" w:cs="Times New Roman"/>
          <w:color w:val="auto"/>
          <w:sz w:val="24"/>
          <w:szCs w:val="24"/>
          <w:lang w:eastAsia="it-IT"/>
        </w:rPr>
        <w:t xml:space="preserve"> </w:t>
      </w:r>
      <w:r w:rsidR="008461C3" w:rsidRPr="00A17989">
        <w:rPr>
          <w:rFonts w:ascii="Times New Roman" w:eastAsia="Times New Roman" w:hAnsi="Times New Roman" w:cs="Times New Roman"/>
          <w:color w:val="auto"/>
          <w:sz w:val="24"/>
          <w:szCs w:val="24"/>
          <w:lang w:eastAsia="it-IT"/>
        </w:rPr>
        <w:t>l</w:t>
      </w:r>
      <w:r w:rsidR="004D1673">
        <w:rPr>
          <w:rFonts w:ascii="Times New Roman" w:eastAsia="Times New Roman" w:hAnsi="Times New Roman" w:cs="Times New Roman"/>
          <w:color w:val="auto"/>
          <w:sz w:val="24"/>
          <w:szCs w:val="24"/>
          <w:lang w:eastAsia="it-IT"/>
        </w:rPr>
        <w:t>’</w:t>
      </w:r>
      <w:r w:rsidR="0034566B" w:rsidRPr="00A17989">
        <w:rPr>
          <w:rFonts w:ascii="Times New Roman" w:eastAsia="Times New Roman" w:hAnsi="Times New Roman" w:cs="Times New Roman"/>
          <w:color w:val="auto"/>
          <w:sz w:val="24"/>
          <w:szCs w:val="24"/>
          <w:lang w:eastAsia="it-IT"/>
        </w:rPr>
        <w:t>ANAC</w:t>
      </w:r>
      <w:r w:rsidR="004D1673" w:rsidRPr="00A17989">
        <w:rPr>
          <w:rFonts w:ascii="Times New Roman" w:eastAsia="Times New Roman" w:hAnsi="Times New Roman" w:cs="Times New Roman"/>
          <w:color w:val="auto"/>
          <w:sz w:val="24"/>
          <w:szCs w:val="24"/>
          <w:lang w:eastAsia="it-IT"/>
        </w:rPr>
        <w:t>, entro i successivi trenta giorni</w:t>
      </w:r>
      <w:r w:rsidR="004D1673">
        <w:rPr>
          <w:rFonts w:ascii="Times New Roman" w:eastAsia="Times New Roman" w:hAnsi="Times New Roman" w:cs="Times New Roman"/>
          <w:color w:val="auto"/>
          <w:sz w:val="24"/>
          <w:szCs w:val="24"/>
          <w:lang w:eastAsia="it-IT"/>
        </w:rPr>
        <w:t>,</w:t>
      </w:r>
      <w:r w:rsidR="0034566B" w:rsidRPr="00A17989">
        <w:rPr>
          <w:rFonts w:ascii="Times New Roman" w:eastAsia="Times New Roman" w:hAnsi="Times New Roman" w:cs="Times New Roman"/>
          <w:color w:val="auto"/>
          <w:sz w:val="24"/>
          <w:szCs w:val="24"/>
          <w:lang w:eastAsia="it-IT"/>
        </w:rPr>
        <w:t xml:space="preserve"> può presentare ricorso</w:t>
      </w:r>
      <w:r w:rsidRPr="00A17989">
        <w:rPr>
          <w:rFonts w:ascii="Times New Roman" w:eastAsia="Times New Roman" w:hAnsi="Times New Roman" w:cs="Times New Roman"/>
          <w:color w:val="auto"/>
          <w:sz w:val="24"/>
          <w:szCs w:val="24"/>
          <w:lang w:eastAsia="it-IT"/>
        </w:rPr>
        <w:t xml:space="preserve"> innanzi al giudice amministrativo</w:t>
      </w:r>
      <w:r w:rsidR="0034566B" w:rsidRPr="00A17989">
        <w:rPr>
          <w:rFonts w:ascii="Times New Roman" w:eastAsia="Times New Roman" w:hAnsi="Times New Roman" w:cs="Times New Roman"/>
          <w:color w:val="auto"/>
          <w:sz w:val="24"/>
          <w:szCs w:val="24"/>
          <w:lang w:eastAsia="it-IT"/>
        </w:rPr>
        <w:t>,</w:t>
      </w:r>
      <w:r w:rsidR="008461C3" w:rsidRPr="00A17989">
        <w:rPr>
          <w:rFonts w:ascii="Times New Roman" w:eastAsia="Times New Roman" w:hAnsi="Times New Roman" w:cs="Times New Roman"/>
          <w:color w:val="auto"/>
          <w:sz w:val="24"/>
          <w:szCs w:val="24"/>
          <w:lang w:eastAsia="it-IT"/>
        </w:rPr>
        <w:t xml:space="preserve"> secondo</w:t>
      </w:r>
      <w:r w:rsidR="0034566B" w:rsidRPr="00A17989">
        <w:rPr>
          <w:rFonts w:ascii="Times New Roman" w:eastAsia="Times New Roman" w:hAnsi="Times New Roman" w:cs="Times New Roman"/>
          <w:color w:val="auto"/>
          <w:sz w:val="24"/>
          <w:szCs w:val="24"/>
          <w:lang w:eastAsia="it-IT"/>
        </w:rPr>
        <w:t xml:space="preserve"> </w:t>
      </w:r>
      <w:r w:rsidR="008461C3" w:rsidRPr="00A17989">
        <w:rPr>
          <w:rFonts w:ascii="Times New Roman" w:eastAsia="Times New Roman" w:hAnsi="Times New Roman" w:cs="Times New Roman"/>
          <w:color w:val="auto"/>
          <w:sz w:val="24"/>
          <w:szCs w:val="24"/>
          <w:lang w:eastAsia="it-IT"/>
        </w:rPr>
        <w:t xml:space="preserve">il rito super-speciale </w:t>
      </w:r>
      <w:r w:rsidR="004D1673">
        <w:rPr>
          <w:rFonts w:ascii="Times New Roman" w:eastAsia="Times New Roman" w:hAnsi="Times New Roman" w:cs="Times New Roman"/>
          <w:color w:val="auto"/>
          <w:sz w:val="24"/>
          <w:szCs w:val="24"/>
          <w:lang w:eastAsia="it-IT"/>
        </w:rPr>
        <w:t>su</w:t>
      </w:r>
      <w:r w:rsidR="008461C3" w:rsidRPr="00A17989">
        <w:rPr>
          <w:rFonts w:ascii="Times New Roman" w:eastAsia="Times New Roman" w:hAnsi="Times New Roman" w:cs="Times New Roman"/>
          <w:color w:val="auto"/>
          <w:sz w:val="24"/>
          <w:szCs w:val="24"/>
          <w:lang w:eastAsia="it-IT"/>
        </w:rPr>
        <w:t>gli appalti</w:t>
      </w:r>
      <w:r w:rsidR="0034566B" w:rsidRPr="00A17989">
        <w:rPr>
          <w:rFonts w:ascii="Times New Roman" w:eastAsia="Times New Roman" w:hAnsi="Times New Roman" w:cs="Times New Roman"/>
          <w:color w:val="auto"/>
          <w:sz w:val="24"/>
          <w:szCs w:val="24"/>
          <w:lang w:eastAsia="it-IT"/>
        </w:rPr>
        <w:t>.</w:t>
      </w:r>
    </w:p>
    <w:p w:rsidR="00804ECF" w:rsidRPr="00A17989" w:rsidRDefault="005C2EB7"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La stessa legge attribuisce</w:t>
      </w:r>
      <w:r w:rsidR="00804ECF" w:rsidRPr="00A17989">
        <w:rPr>
          <w:rFonts w:ascii="Times New Roman" w:eastAsia="Times New Roman" w:hAnsi="Times New Roman" w:cs="Times New Roman"/>
          <w:color w:val="auto"/>
          <w:sz w:val="24"/>
          <w:szCs w:val="24"/>
          <w:lang w:eastAsia="it-IT"/>
        </w:rPr>
        <w:t xml:space="preserve"> </w:t>
      </w:r>
      <w:r w:rsidR="008461C3" w:rsidRPr="00A17989">
        <w:rPr>
          <w:rFonts w:ascii="Times New Roman" w:eastAsia="Times New Roman" w:hAnsi="Times New Roman" w:cs="Times New Roman"/>
          <w:color w:val="auto"/>
          <w:sz w:val="24"/>
          <w:szCs w:val="24"/>
          <w:lang w:eastAsia="it-IT"/>
        </w:rPr>
        <w:t>all’ANAC</w:t>
      </w:r>
      <w:r w:rsidRPr="00A17989">
        <w:rPr>
          <w:rFonts w:ascii="Times New Roman" w:eastAsia="Times New Roman" w:hAnsi="Times New Roman" w:cs="Times New Roman"/>
          <w:color w:val="auto"/>
          <w:sz w:val="24"/>
          <w:szCs w:val="24"/>
          <w:lang w:eastAsia="it-IT"/>
        </w:rPr>
        <w:t xml:space="preserve"> il potere di</w:t>
      </w:r>
      <w:r w:rsidR="00804ECF" w:rsidRPr="00A17989">
        <w:rPr>
          <w:rFonts w:ascii="Times New Roman" w:eastAsia="Times New Roman" w:hAnsi="Times New Roman" w:cs="Times New Roman"/>
          <w:color w:val="auto"/>
          <w:sz w:val="24"/>
          <w:szCs w:val="24"/>
          <w:lang w:eastAsia="it-IT"/>
        </w:rPr>
        <w:t xml:space="preserve"> regolamentare i casi o le tipologie di provvedimenti in relazione ai quali esercita</w:t>
      </w:r>
      <w:r w:rsidR="008461C3" w:rsidRPr="00A17989">
        <w:rPr>
          <w:rFonts w:ascii="Times New Roman" w:eastAsia="Times New Roman" w:hAnsi="Times New Roman" w:cs="Times New Roman"/>
          <w:color w:val="auto"/>
          <w:sz w:val="24"/>
          <w:szCs w:val="24"/>
          <w:lang w:eastAsia="it-IT"/>
        </w:rPr>
        <w:t>re</w:t>
      </w:r>
      <w:r w:rsidR="00804ECF" w:rsidRPr="00A17989">
        <w:rPr>
          <w:rFonts w:ascii="Times New Roman" w:eastAsia="Times New Roman" w:hAnsi="Times New Roman" w:cs="Times New Roman"/>
          <w:color w:val="auto"/>
          <w:sz w:val="24"/>
          <w:szCs w:val="24"/>
          <w:lang w:eastAsia="it-IT"/>
        </w:rPr>
        <w:t xml:space="preserve"> i predetti poteri.</w:t>
      </w:r>
    </w:p>
    <w:p w:rsidR="00804ECF" w:rsidRPr="00A17989" w:rsidRDefault="00804ECF"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hAnsi="Times New Roman" w:cs="Times New Roman"/>
          <w:color w:val="auto"/>
          <w:sz w:val="24"/>
          <w:szCs w:val="24"/>
        </w:rPr>
        <w:t>Q</w:t>
      </w:r>
      <w:r w:rsidRPr="00A17989">
        <w:rPr>
          <w:rFonts w:ascii="Times New Roman" w:eastAsia="Times New Roman" w:hAnsi="Times New Roman" w:cs="Times New Roman"/>
          <w:color w:val="auto"/>
          <w:sz w:val="24"/>
          <w:szCs w:val="24"/>
          <w:lang w:eastAsia="it-IT"/>
        </w:rPr>
        <w:t xml:space="preserve">uelle descritte non sono </w:t>
      </w:r>
      <w:r w:rsidR="004D1673" w:rsidRPr="00A17989">
        <w:rPr>
          <w:rFonts w:ascii="Times New Roman" w:eastAsia="Times New Roman" w:hAnsi="Times New Roman" w:cs="Times New Roman"/>
          <w:color w:val="auto"/>
          <w:sz w:val="24"/>
          <w:szCs w:val="24"/>
          <w:lang w:eastAsia="it-IT"/>
        </w:rPr>
        <w:t xml:space="preserve">le uniche norme che </w:t>
      </w:r>
      <w:r w:rsidR="004D1673">
        <w:rPr>
          <w:rFonts w:ascii="Times New Roman" w:eastAsia="Times New Roman" w:hAnsi="Times New Roman" w:cs="Times New Roman"/>
          <w:color w:val="auto"/>
          <w:sz w:val="24"/>
          <w:szCs w:val="24"/>
          <w:lang w:eastAsia="it-IT"/>
        </w:rPr>
        <w:t>regolan</w:t>
      </w:r>
      <w:r w:rsidR="004D1673" w:rsidRPr="00A17989">
        <w:rPr>
          <w:rFonts w:ascii="Times New Roman" w:eastAsia="Times New Roman" w:hAnsi="Times New Roman" w:cs="Times New Roman"/>
          <w:color w:val="auto"/>
          <w:sz w:val="24"/>
          <w:szCs w:val="24"/>
          <w:lang w:eastAsia="it-IT"/>
        </w:rPr>
        <w:t>o il potere di agire in giudizio d</w:t>
      </w:r>
      <w:r w:rsidR="004D1673">
        <w:rPr>
          <w:rFonts w:ascii="Times New Roman" w:eastAsia="Times New Roman" w:hAnsi="Times New Roman" w:cs="Times New Roman"/>
          <w:color w:val="auto"/>
          <w:sz w:val="24"/>
          <w:szCs w:val="24"/>
          <w:lang w:eastAsia="it-IT"/>
        </w:rPr>
        <w:t>i</w:t>
      </w:r>
      <w:r w:rsidR="004D1673" w:rsidRPr="00A17989">
        <w:rPr>
          <w:rFonts w:ascii="Times New Roman" w:eastAsia="Times New Roman" w:hAnsi="Times New Roman" w:cs="Times New Roman"/>
          <w:color w:val="auto"/>
          <w:sz w:val="24"/>
          <w:szCs w:val="24"/>
          <w:lang w:eastAsia="it-IT"/>
        </w:rPr>
        <w:t xml:space="preserve"> un’autorità indipendente</w:t>
      </w:r>
      <w:r w:rsidRPr="00A17989">
        <w:rPr>
          <w:rFonts w:ascii="Times New Roman" w:eastAsia="Times New Roman" w:hAnsi="Times New Roman" w:cs="Times New Roman"/>
          <w:color w:val="auto"/>
          <w:sz w:val="24"/>
          <w:szCs w:val="24"/>
          <w:lang w:eastAsia="it-IT"/>
        </w:rPr>
        <w:t>.</w:t>
      </w:r>
    </w:p>
    <w:p w:rsidR="0065583B" w:rsidRPr="00A17989" w:rsidRDefault="00804ECF"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La </w:t>
      </w:r>
      <w:r w:rsidR="0065583B" w:rsidRPr="00A17989">
        <w:rPr>
          <w:rFonts w:ascii="Times New Roman" w:eastAsia="Times New Roman" w:hAnsi="Times New Roman" w:cs="Times New Roman"/>
          <w:color w:val="auto"/>
          <w:sz w:val="24"/>
          <w:szCs w:val="24"/>
          <w:lang w:eastAsia="it-IT"/>
        </w:rPr>
        <w:t>Banca d</w:t>
      </w:r>
      <w:r w:rsidR="002A615C" w:rsidRPr="00A17989">
        <w:rPr>
          <w:rFonts w:ascii="Times New Roman" w:eastAsia="Times New Roman" w:hAnsi="Times New Roman" w:cs="Times New Roman"/>
          <w:color w:val="auto"/>
          <w:sz w:val="24"/>
          <w:szCs w:val="24"/>
          <w:lang w:eastAsia="it-IT"/>
        </w:rPr>
        <w:t>’</w:t>
      </w:r>
      <w:r w:rsidR="0065583B" w:rsidRPr="00A17989">
        <w:rPr>
          <w:rFonts w:ascii="Times New Roman" w:eastAsia="Times New Roman" w:hAnsi="Times New Roman" w:cs="Times New Roman"/>
          <w:color w:val="auto"/>
          <w:sz w:val="24"/>
          <w:szCs w:val="24"/>
          <w:lang w:eastAsia="it-IT"/>
        </w:rPr>
        <w:t>Italia e la C</w:t>
      </w:r>
      <w:r w:rsidR="00093F0C" w:rsidRPr="00A17989">
        <w:rPr>
          <w:rFonts w:ascii="Times New Roman" w:eastAsia="Times New Roman" w:hAnsi="Times New Roman" w:cs="Times New Roman"/>
          <w:color w:val="auto"/>
          <w:sz w:val="24"/>
          <w:szCs w:val="24"/>
          <w:lang w:eastAsia="it-IT"/>
        </w:rPr>
        <w:t>ONSOB</w:t>
      </w:r>
      <w:r w:rsidR="0065583B" w:rsidRPr="00A17989">
        <w:rPr>
          <w:rFonts w:ascii="Times New Roman" w:eastAsia="Times New Roman" w:hAnsi="Times New Roman" w:cs="Times New Roman"/>
          <w:color w:val="auto"/>
          <w:sz w:val="24"/>
          <w:szCs w:val="24"/>
          <w:lang w:eastAsia="it-IT"/>
        </w:rPr>
        <w:t xml:space="preserve"> sono </w:t>
      </w:r>
      <w:r w:rsidR="004D1673">
        <w:rPr>
          <w:rFonts w:ascii="Times New Roman" w:eastAsia="Times New Roman" w:hAnsi="Times New Roman" w:cs="Times New Roman"/>
          <w:color w:val="auto"/>
          <w:sz w:val="24"/>
          <w:szCs w:val="24"/>
          <w:lang w:eastAsia="it-IT"/>
        </w:rPr>
        <w:t xml:space="preserve">infatti </w:t>
      </w:r>
      <w:r w:rsidR="0065583B" w:rsidRPr="00A17989">
        <w:rPr>
          <w:rFonts w:ascii="Times New Roman" w:eastAsia="Times New Roman" w:hAnsi="Times New Roman" w:cs="Times New Roman"/>
          <w:color w:val="auto"/>
          <w:sz w:val="24"/>
          <w:szCs w:val="24"/>
          <w:lang w:eastAsia="it-IT"/>
        </w:rPr>
        <w:t xml:space="preserve">legittimate ad impugnare dinanzi al </w:t>
      </w:r>
      <w:r w:rsidR="005C2EB7" w:rsidRPr="00A17989">
        <w:rPr>
          <w:rFonts w:ascii="Times New Roman" w:eastAsia="Times New Roman" w:hAnsi="Times New Roman" w:cs="Times New Roman"/>
          <w:color w:val="auto"/>
          <w:sz w:val="24"/>
          <w:szCs w:val="24"/>
          <w:lang w:eastAsia="it-IT"/>
        </w:rPr>
        <w:t>giudice ordinario</w:t>
      </w:r>
      <w:r w:rsidR="0065583B" w:rsidRPr="00A17989">
        <w:rPr>
          <w:rFonts w:ascii="Times New Roman" w:eastAsia="Times New Roman" w:hAnsi="Times New Roman" w:cs="Times New Roman"/>
          <w:color w:val="auto"/>
          <w:sz w:val="24"/>
          <w:szCs w:val="24"/>
          <w:lang w:eastAsia="it-IT"/>
        </w:rPr>
        <w:t xml:space="preserve"> le deliberazioni o gli atti delle società vigilate adottati in violazione di alcune disposizioni sul diritto di voto in materia di intermediazione finanziaria (artt. 14, 62, 110, 121 e 157 del D.lgs. n. 58 del 1998)</w:t>
      </w:r>
      <w:r w:rsidR="004B1930" w:rsidRPr="00A17989">
        <w:rPr>
          <w:rStyle w:val="FootnoteReference"/>
          <w:rFonts w:ascii="Times New Roman" w:eastAsia="Times New Roman" w:hAnsi="Times New Roman" w:cs="Times New Roman"/>
          <w:color w:val="auto"/>
          <w:sz w:val="24"/>
          <w:szCs w:val="24"/>
          <w:lang w:eastAsia="it-IT"/>
        </w:rPr>
        <w:footnoteReference w:id="2"/>
      </w:r>
      <w:r w:rsidR="0065583B" w:rsidRPr="00A17989">
        <w:rPr>
          <w:rFonts w:ascii="Times New Roman" w:eastAsia="Times New Roman" w:hAnsi="Times New Roman" w:cs="Times New Roman"/>
          <w:color w:val="auto"/>
          <w:sz w:val="24"/>
          <w:szCs w:val="24"/>
          <w:lang w:eastAsia="it-IT"/>
        </w:rPr>
        <w:t>.</w:t>
      </w:r>
    </w:p>
    <w:p w:rsidR="00804ECF" w:rsidRPr="00A17989" w:rsidRDefault="00804ECF"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Il problema </w:t>
      </w:r>
      <w:r w:rsidR="003823F3" w:rsidRPr="00A17989">
        <w:rPr>
          <w:rFonts w:ascii="Times New Roman" w:eastAsia="Times New Roman" w:hAnsi="Times New Roman" w:cs="Times New Roman"/>
          <w:color w:val="auto"/>
          <w:sz w:val="24"/>
          <w:szCs w:val="24"/>
          <w:lang w:eastAsia="it-IT"/>
        </w:rPr>
        <w:t xml:space="preserve">teorico </w:t>
      </w:r>
      <w:r w:rsidR="00037B73" w:rsidRPr="00A17989">
        <w:rPr>
          <w:rFonts w:ascii="Times New Roman" w:eastAsia="Times New Roman" w:hAnsi="Times New Roman" w:cs="Times New Roman"/>
          <w:color w:val="auto"/>
          <w:sz w:val="24"/>
          <w:szCs w:val="24"/>
          <w:lang w:eastAsia="it-IT"/>
        </w:rPr>
        <w:t>più</w:t>
      </w:r>
      <w:r w:rsidRPr="00A17989">
        <w:rPr>
          <w:rFonts w:ascii="Times New Roman" w:eastAsia="Times New Roman" w:hAnsi="Times New Roman" w:cs="Times New Roman"/>
          <w:color w:val="auto"/>
          <w:sz w:val="24"/>
          <w:szCs w:val="24"/>
          <w:lang w:eastAsia="it-IT"/>
        </w:rPr>
        <w:t xml:space="preserve"> affrontato</w:t>
      </w:r>
      <w:r w:rsidR="00461085" w:rsidRPr="00A17989">
        <w:rPr>
          <w:rFonts w:ascii="Times New Roman" w:eastAsia="Times New Roman" w:hAnsi="Times New Roman" w:cs="Times New Roman"/>
          <w:color w:val="auto"/>
          <w:sz w:val="24"/>
          <w:szCs w:val="24"/>
          <w:lang w:eastAsia="it-IT"/>
        </w:rPr>
        <w:t xml:space="preserve"> in </w:t>
      </w:r>
      <w:r w:rsidR="004D1673" w:rsidRPr="004D1673">
        <w:rPr>
          <w:rFonts w:ascii="Times New Roman" w:eastAsia="Times New Roman" w:hAnsi="Times New Roman" w:cs="Times New Roman"/>
          <w:i/>
          <w:color w:val="auto"/>
          <w:sz w:val="24"/>
          <w:szCs w:val="24"/>
          <w:lang w:eastAsia="it-IT"/>
        </w:rPr>
        <w:t>subiecta</w:t>
      </w:r>
      <w:r w:rsidR="004D1673">
        <w:rPr>
          <w:rFonts w:ascii="Times New Roman" w:eastAsia="Times New Roman" w:hAnsi="Times New Roman" w:cs="Times New Roman"/>
          <w:color w:val="auto"/>
          <w:sz w:val="24"/>
          <w:szCs w:val="24"/>
          <w:lang w:eastAsia="it-IT"/>
        </w:rPr>
        <w:t xml:space="preserve"> </w:t>
      </w:r>
      <w:r w:rsidR="00461085" w:rsidRPr="00A17989">
        <w:rPr>
          <w:rFonts w:ascii="Times New Roman" w:eastAsia="Times New Roman" w:hAnsi="Times New Roman" w:cs="Times New Roman"/>
          <w:color w:val="auto"/>
          <w:sz w:val="24"/>
          <w:szCs w:val="24"/>
          <w:lang w:eastAsia="it-IT"/>
        </w:rPr>
        <w:t xml:space="preserve">materia </w:t>
      </w:r>
      <w:r w:rsidR="00037B73" w:rsidRPr="00A17989">
        <w:rPr>
          <w:rFonts w:ascii="Times New Roman" w:eastAsia="Times New Roman" w:hAnsi="Times New Roman" w:cs="Times New Roman"/>
          <w:color w:val="auto"/>
          <w:sz w:val="24"/>
          <w:szCs w:val="24"/>
          <w:lang w:eastAsia="it-IT"/>
        </w:rPr>
        <w:t>riguarda</w:t>
      </w:r>
      <w:r w:rsidRPr="00A17989">
        <w:rPr>
          <w:rFonts w:ascii="Times New Roman" w:eastAsia="Times New Roman" w:hAnsi="Times New Roman" w:cs="Times New Roman"/>
          <w:color w:val="auto"/>
          <w:sz w:val="24"/>
          <w:szCs w:val="24"/>
          <w:lang w:eastAsia="it-IT"/>
        </w:rPr>
        <w:t xml:space="preserve"> la natura della legittimazione processuale d</w:t>
      </w:r>
      <w:r w:rsidR="00461085" w:rsidRPr="00A17989">
        <w:rPr>
          <w:rFonts w:ascii="Times New Roman" w:eastAsia="Times New Roman" w:hAnsi="Times New Roman" w:cs="Times New Roman"/>
          <w:color w:val="auto"/>
          <w:sz w:val="24"/>
          <w:szCs w:val="24"/>
          <w:lang w:eastAsia="it-IT"/>
        </w:rPr>
        <w:t>e</w:t>
      </w:r>
      <w:r w:rsidRPr="00A17989">
        <w:rPr>
          <w:rFonts w:ascii="Times New Roman" w:eastAsia="Times New Roman" w:hAnsi="Times New Roman" w:cs="Times New Roman"/>
          <w:color w:val="auto"/>
          <w:sz w:val="24"/>
          <w:szCs w:val="24"/>
          <w:lang w:eastAsia="it-IT"/>
        </w:rPr>
        <w:t>ll’autorità indipendente.</w:t>
      </w:r>
    </w:p>
    <w:p w:rsidR="004765CE" w:rsidRPr="00A17989" w:rsidRDefault="00804ECF"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Secondo una </w:t>
      </w:r>
      <w:r w:rsidR="003823F3" w:rsidRPr="00A17989">
        <w:rPr>
          <w:rFonts w:ascii="Times New Roman" w:eastAsia="Times New Roman" w:hAnsi="Times New Roman" w:cs="Times New Roman"/>
          <w:color w:val="auto"/>
          <w:sz w:val="24"/>
          <w:szCs w:val="24"/>
          <w:lang w:eastAsia="it-IT"/>
        </w:rPr>
        <w:t>tesi</w:t>
      </w:r>
      <w:r w:rsidR="00461085" w:rsidRPr="00A17989">
        <w:rPr>
          <w:rFonts w:ascii="Times New Roman" w:eastAsia="Times New Roman" w:hAnsi="Times New Roman" w:cs="Times New Roman"/>
          <w:color w:val="auto"/>
          <w:sz w:val="24"/>
          <w:szCs w:val="24"/>
          <w:lang w:eastAsia="it-IT"/>
        </w:rPr>
        <w:t xml:space="preserve"> </w:t>
      </w:r>
      <w:r w:rsidR="008461C3" w:rsidRPr="00A17989">
        <w:rPr>
          <w:rFonts w:ascii="Times New Roman" w:eastAsia="Times New Roman" w:hAnsi="Times New Roman" w:cs="Times New Roman"/>
          <w:color w:val="auto"/>
          <w:sz w:val="24"/>
          <w:szCs w:val="24"/>
          <w:lang w:eastAsia="it-IT"/>
        </w:rPr>
        <w:t xml:space="preserve">minoritaria, </w:t>
      </w:r>
      <w:r w:rsidR="00461085" w:rsidRPr="00A17989">
        <w:rPr>
          <w:rFonts w:ascii="Times New Roman" w:eastAsia="Times New Roman" w:hAnsi="Times New Roman" w:cs="Times New Roman"/>
          <w:color w:val="auto"/>
          <w:sz w:val="24"/>
          <w:szCs w:val="24"/>
          <w:lang w:eastAsia="it-IT"/>
        </w:rPr>
        <w:t xml:space="preserve">si </w:t>
      </w:r>
      <w:r w:rsidR="00461085" w:rsidRPr="00A17989">
        <w:rPr>
          <w:rFonts w:ascii="Times New Roman" w:eastAsia="Times New Roman" w:hAnsi="Times New Roman" w:cs="Times New Roman"/>
          <w:color w:val="auto"/>
          <w:sz w:val="24"/>
          <w:szCs w:val="24"/>
        </w:rPr>
        <w:t>tratt</w:t>
      </w:r>
      <w:r w:rsidR="004E5891" w:rsidRPr="00A17989">
        <w:rPr>
          <w:rFonts w:ascii="Times New Roman" w:eastAsia="Times New Roman" w:hAnsi="Times New Roman" w:cs="Times New Roman"/>
          <w:color w:val="auto"/>
          <w:sz w:val="24"/>
          <w:szCs w:val="24"/>
        </w:rPr>
        <w:t>a</w:t>
      </w:r>
      <w:r w:rsidR="00461085" w:rsidRPr="00A17989">
        <w:rPr>
          <w:rFonts w:ascii="Times New Roman" w:eastAsia="Times New Roman" w:hAnsi="Times New Roman" w:cs="Times New Roman"/>
          <w:color w:val="auto"/>
          <w:sz w:val="24"/>
          <w:szCs w:val="24"/>
        </w:rPr>
        <w:t xml:space="preserve"> di un</w:t>
      </w:r>
      <w:r w:rsidR="00037B73" w:rsidRPr="00A17989">
        <w:rPr>
          <w:rFonts w:ascii="Times New Roman" w:eastAsia="Times New Roman" w:hAnsi="Times New Roman" w:cs="Times New Roman"/>
          <w:color w:val="auto"/>
          <w:sz w:val="24"/>
          <w:szCs w:val="24"/>
        </w:rPr>
        <w:t xml:space="preserve"> potere</w:t>
      </w:r>
      <w:r w:rsidR="00461085" w:rsidRPr="00A17989">
        <w:rPr>
          <w:rFonts w:ascii="Times New Roman" w:eastAsia="Times New Roman" w:hAnsi="Times New Roman" w:cs="Times New Roman"/>
          <w:color w:val="auto"/>
          <w:sz w:val="24"/>
          <w:szCs w:val="24"/>
        </w:rPr>
        <w:t xml:space="preserve"> giurisdizion</w:t>
      </w:r>
      <w:r w:rsidR="00037B73" w:rsidRPr="00A17989">
        <w:rPr>
          <w:rFonts w:ascii="Times New Roman" w:eastAsia="Times New Roman" w:hAnsi="Times New Roman" w:cs="Times New Roman"/>
          <w:color w:val="auto"/>
          <w:sz w:val="24"/>
          <w:szCs w:val="24"/>
        </w:rPr>
        <w:t>al</w:t>
      </w:r>
      <w:r w:rsidR="00461085" w:rsidRPr="00A17989">
        <w:rPr>
          <w:rFonts w:ascii="Times New Roman" w:eastAsia="Times New Roman" w:hAnsi="Times New Roman" w:cs="Times New Roman"/>
          <w:color w:val="auto"/>
          <w:sz w:val="24"/>
          <w:szCs w:val="24"/>
        </w:rPr>
        <w:t>e di diritto oggettivo</w:t>
      </w:r>
      <w:r w:rsidR="00037B73" w:rsidRPr="00A17989">
        <w:rPr>
          <w:rFonts w:ascii="Times New Roman" w:eastAsia="Times New Roman" w:hAnsi="Times New Roman" w:cs="Times New Roman"/>
          <w:color w:val="auto"/>
          <w:sz w:val="24"/>
          <w:szCs w:val="24"/>
        </w:rPr>
        <w:t xml:space="preserve">, </w:t>
      </w:r>
      <w:r w:rsidR="00AA7005" w:rsidRPr="00A17989">
        <w:rPr>
          <w:rFonts w:ascii="Times New Roman" w:eastAsia="Times New Roman" w:hAnsi="Times New Roman" w:cs="Times New Roman"/>
          <w:color w:val="auto"/>
          <w:sz w:val="24"/>
          <w:szCs w:val="24"/>
        </w:rPr>
        <w:t xml:space="preserve">posto </w:t>
      </w:r>
      <w:r w:rsidR="00037B73" w:rsidRPr="00A17989">
        <w:rPr>
          <w:rFonts w:ascii="Times New Roman" w:eastAsia="Times New Roman" w:hAnsi="Times New Roman" w:cs="Times New Roman"/>
          <w:color w:val="auto"/>
          <w:sz w:val="24"/>
          <w:szCs w:val="24"/>
        </w:rPr>
        <w:t>a salvaguardia di un interesse generale</w:t>
      </w:r>
      <w:r w:rsidR="00461085" w:rsidRPr="00A17989">
        <w:rPr>
          <w:rFonts w:ascii="Times New Roman" w:eastAsia="Times New Roman" w:hAnsi="Times New Roman" w:cs="Times New Roman"/>
          <w:color w:val="auto"/>
          <w:sz w:val="24"/>
          <w:szCs w:val="24"/>
        </w:rPr>
        <w:t>,</w:t>
      </w:r>
      <w:r w:rsidR="00461085" w:rsidRPr="00A17989">
        <w:rPr>
          <w:rFonts w:ascii="Times New Roman" w:eastAsia="Times New Roman" w:hAnsi="Times New Roman" w:cs="Times New Roman"/>
          <w:color w:val="auto"/>
          <w:sz w:val="24"/>
          <w:szCs w:val="24"/>
          <w:lang w:eastAsia="it-IT"/>
        </w:rPr>
        <w:t xml:space="preserve"> </w:t>
      </w:r>
      <w:r w:rsidR="00037B73" w:rsidRPr="00A17989">
        <w:rPr>
          <w:rFonts w:ascii="Times New Roman" w:eastAsia="Times New Roman" w:hAnsi="Times New Roman" w:cs="Times New Roman"/>
          <w:color w:val="auto"/>
          <w:sz w:val="24"/>
          <w:szCs w:val="24"/>
          <w:lang w:eastAsia="it-IT"/>
        </w:rPr>
        <w:t>al quale non corrisponde</w:t>
      </w:r>
      <w:r w:rsidR="004D1673" w:rsidRPr="004D1673">
        <w:rPr>
          <w:rFonts w:ascii="Times New Roman" w:eastAsia="Times New Roman" w:hAnsi="Times New Roman" w:cs="Times New Roman"/>
          <w:color w:val="auto"/>
          <w:sz w:val="24"/>
          <w:szCs w:val="24"/>
        </w:rPr>
        <w:t xml:space="preserve"> </w:t>
      </w:r>
      <w:r w:rsidR="004D1673" w:rsidRPr="00A17989">
        <w:rPr>
          <w:rFonts w:ascii="Times New Roman" w:eastAsia="Times New Roman" w:hAnsi="Times New Roman" w:cs="Times New Roman"/>
          <w:color w:val="auto"/>
          <w:sz w:val="24"/>
          <w:szCs w:val="24"/>
        </w:rPr>
        <w:t>la titolarità</w:t>
      </w:r>
      <w:r w:rsidR="004D1673">
        <w:rPr>
          <w:rFonts w:ascii="Times New Roman" w:eastAsia="Times New Roman" w:hAnsi="Times New Roman" w:cs="Times New Roman"/>
          <w:color w:val="auto"/>
          <w:sz w:val="24"/>
          <w:szCs w:val="24"/>
          <w:lang w:eastAsia="it-IT"/>
        </w:rPr>
        <w:t>, in capo al ricorrente,</w:t>
      </w:r>
      <w:r w:rsidR="0065583B" w:rsidRPr="00A17989">
        <w:rPr>
          <w:rFonts w:ascii="Times New Roman" w:eastAsia="Times New Roman" w:hAnsi="Times New Roman" w:cs="Times New Roman"/>
          <w:color w:val="auto"/>
          <w:sz w:val="24"/>
          <w:szCs w:val="24"/>
        </w:rPr>
        <w:t xml:space="preserve"> di una posizione giuridica soggettiva</w:t>
      </w:r>
      <w:r w:rsidR="00461085" w:rsidRPr="00A17989">
        <w:rPr>
          <w:rStyle w:val="FootnoteReference"/>
          <w:rFonts w:ascii="Times New Roman" w:eastAsia="Times New Roman" w:hAnsi="Times New Roman" w:cs="Times New Roman"/>
          <w:color w:val="auto"/>
          <w:sz w:val="24"/>
          <w:szCs w:val="24"/>
        </w:rPr>
        <w:footnoteReference w:id="3"/>
      </w:r>
      <w:r w:rsidR="00037B73" w:rsidRPr="00A17989">
        <w:rPr>
          <w:rFonts w:ascii="Times New Roman" w:eastAsia="Times New Roman" w:hAnsi="Times New Roman" w:cs="Times New Roman"/>
          <w:color w:val="auto"/>
          <w:sz w:val="24"/>
          <w:szCs w:val="24"/>
        </w:rPr>
        <w:t xml:space="preserve"> e</w:t>
      </w:r>
      <w:r w:rsidR="004E5891" w:rsidRPr="00A17989">
        <w:rPr>
          <w:rFonts w:ascii="Times New Roman" w:eastAsia="Times New Roman" w:hAnsi="Times New Roman" w:cs="Times New Roman"/>
          <w:color w:val="auto"/>
          <w:sz w:val="24"/>
          <w:szCs w:val="24"/>
        </w:rPr>
        <w:t xml:space="preserve"> che è</w:t>
      </w:r>
      <w:r w:rsidR="00037B73" w:rsidRPr="00A17989">
        <w:rPr>
          <w:rFonts w:ascii="Times New Roman" w:eastAsia="Times New Roman" w:hAnsi="Times New Roman" w:cs="Times New Roman"/>
          <w:color w:val="auto"/>
          <w:sz w:val="24"/>
          <w:szCs w:val="24"/>
        </w:rPr>
        <w:t xml:space="preserve"> </w:t>
      </w:r>
      <w:r w:rsidR="00461085" w:rsidRPr="00A17989">
        <w:rPr>
          <w:rFonts w:ascii="Times New Roman" w:eastAsia="Times New Roman" w:hAnsi="Times New Roman" w:cs="Times New Roman"/>
          <w:color w:val="auto"/>
          <w:sz w:val="24"/>
          <w:szCs w:val="24"/>
        </w:rPr>
        <w:t xml:space="preserve">in qualche modo </w:t>
      </w:r>
      <w:r w:rsidR="004765CE" w:rsidRPr="00A17989">
        <w:rPr>
          <w:rFonts w:ascii="Times New Roman" w:eastAsia="Times New Roman" w:hAnsi="Times New Roman" w:cs="Times New Roman"/>
          <w:color w:val="auto"/>
          <w:sz w:val="24"/>
          <w:szCs w:val="24"/>
        </w:rPr>
        <w:t xml:space="preserve">assimilabile </w:t>
      </w:r>
      <w:r w:rsidR="0067473A" w:rsidRPr="00A17989">
        <w:rPr>
          <w:rFonts w:ascii="Times New Roman" w:eastAsia="Times New Roman" w:hAnsi="Times New Roman" w:cs="Times New Roman"/>
          <w:color w:val="auto"/>
          <w:sz w:val="24"/>
          <w:szCs w:val="24"/>
        </w:rPr>
        <w:t>a</w:t>
      </w:r>
      <w:r w:rsidR="00037B73" w:rsidRPr="00A17989">
        <w:rPr>
          <w:rFonts w:ascii="Times New Roman" w:eastAsia="Times New Roman" w:hAnsi="Times New Roman" w:cs="Times New Roman"/>
          <w:color w:val="auto"/>
          <w:sz w:val="24"/>
          <w:szCs w:val="24"/>
        </w:rPr>
        <w:t xml:space="preserve"> quello </w:t>
      </w:r>
      <w:r w:rsidR="004765CE" w:rsidRPr="00A17989">
        <w:rPr>
          <w:rFonts w:ascii="Times New Roman" w:eastAsia="Times New Roman" w:hAnsi="Times New Roman" w:cs="Times New Roman"/>
          <w:color w:val="auto"/>
          <w:sz w:val="24"/>
          <w:szCs w:val="24"/>
        </w:rPr>
        <w:t>de</w:t>
      </w:r>
      <w:r w:rsidR="004765CE" w:rsidRPr="00A17989">
        <w:rPr>
          <w:rFonts w:ascii="Times New Roman" w:eastAsia="Times New Roman" w:hAnsi="Times New Roman" w:cs="Times New Roman"/>
          <w:color w:val="auto"/>
          <w:sz w:val="24"/>
          <w:szCs w:val="24"/>
          <w:lang w:eastAsia="it-IT"/>
        </w:rPr>
        <w:t>l pubblico ministero, che agisce nell</w:t>
      </w:r>
      <w:r w:rsidR="002A615C" w:rsidRPr="00A17989">
        <w:rPr>
          <w:rFonts w:ascii="Times New Roman" w:eastAsia="Times New Roman" w:hAnsi="Times New Roman" w:cs="Times New Roman"/>
          <w:color w:val="auto"/>
          <w:sz w:val="24"/>
          <w:szCs w:val="24"/>
          <w:lang w:eastAsia="it-IT"/>
        </w:rPr>
        <w:t>’</w:t>
      </w:r>
      <w:r w:rsidR="004765CE" w:rsidRPr="00A17989">
        <w:rPr>
          <w:rFonts w:ascii="Times New Roman" w:eastAsia="Times New Roman" w:hAnsi="Times New Roman" w:cs="Times New Roman"/>
          <w:color w:val="auto"/>
          <w:sz w:val="24"/>
          <w:szCs w:val="24"/>
          <w:lang w:eastAsia="it-IT"/>
        </w:rPr>
        <w:t xml:space="preserve">interesse della legge, senza </w:t>
      </w:r>
      <w:r w:rsidR="0067473A" w:rsidRPr="00A17989">
        <w:rPr>
          <w:rFonts w:ascii="Times New Roman" w:eastAsia="Times New Roman" w:hAnsi="Times New Roman" w:cs="Times New Roman"/>
          <w:color w:val="auto"/>
          <w:sz w:val="24"/>
          <w:szCs w:val="24"/>
          <w:lang w:eastAsia="it-IT"/>
        </w:rPr>
        <w:t>essere</w:t>
      </w:r>
      <w:r w:rsidR="004765CE" w:rsidRPr="00A17989">
        <w:rPr>
          <w:rFonts w:ascii="Times New Roman" w:eastAsia="Times New Roman" w:hAnsi="Times New Roman" w:cs="Times New Roman"/>
          <w:color w:val="auto"/>
          <w:sz w:val="24"/>
          <w:szCs w:val="24"/>
          <w:lang w:eastAsia="it-IT"/>
        </w:rPr>
        <w:t xml:space="preserve"> portatore di un interesse particolare.</w:t>
      </w:r>
    </w:p>
    <w:p w:rsidR="00131A9D" w:rsidRPr="00A17989" w:rsidRDefault="00131A9D"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Detto in altre parole, </w:t>
      </w:r>
      <w:r w:rsidR="004D1673"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lang w:eastAsia="it-IT"/>
        </w:rPr>
        <w:t>non è possibile ritenere che l’</w:t>
      </w:r>
      <w:r w:rsidR="00883A22" w:rsidRPr="00A17989">
        <w:rPr>
          <w:rFonts w:ascii="Times New Roman" w:eastAsia="Times New Roman" w:hAnsi="Times New Roman" w:cs="Times New Roman"/>
          <w:color w:val="auto"/>
          <w:sz w:val="24"/>
          <w:szCs w:val="24"/>
          <w:lang w:eastAsia="it-IT"/>
        </w:rPr>
        <w:t>a</w:t>
      </w:r>
      <w:r w:rsidRPr="00A17989">
        <w:rPr>
          <w:rFonts w:ascii="Times New Roman" w:eastAsia="Times New Roman" w:hAnsi="Times New Roman" w:cs="Times New Roman"/>
          <w:color w:val="auto"/>
          <w:sz w:val="24"/>
          <w:szCs w:val="24"/>
          <w:lang w:eastAsia="it-IT"/>
        </w:rPr>
        <w:t>utorità, in quanto tale, sia titolare di un interesse legittimo in senso proprio, potendo (e dovendo) attivarsi per la tutela e realizzazione di un interesse generale alla concorrenza che, per un verso, finisce per coincidere con una sommatoria di interessi di mero fatto ascrivibili alla collettività e, per altro verso, restando così generico, non soddisfa di certo i caratteri di una situazione soggettiva imputabile ad un soggetto di diritto</w:t>
      </w:r>
      <w:r w:rsidR="004D1673" w:rsidRPr="00A17989">
        <w:rPr>
          <w:rFonts w:ascii="Times New Roman" w:hAnsi="Times New Roman" w:cs="Times New Roman"/>
          <w:color w:val="auto"/>
          <w:sz w:val="24"/>
          <w:szCs w:val="24"/>
        </w:rPr>
        <w:t>»</w:t>
      </w:r>
      <w:r w:rsidRPr="00A17989">
        <w:rPr>
          <w:rStyle w:val="FootnoteReference"/>
          <w:rFonts w:ascii="Times New Roman" w:eastAsia="Times New Roman" w:hAnsi="Times New Roman" w:cs="Times New Roman"/>
          <w:color w:val="auto"/>
          <w:sz w:val="24"/>
          <w:szCs w:val="24"/>
          <w:lang w:eastAsia="it-IT"/>
        </w:rPr>
        <w:footnoteReference w:id="4"/>
      </w:r>
      <w:r w:rsidRPr="00A17989">
        <w:rPr>
          <w:rFonts w:ascii="Times New Roman" w:eastAsia="Times New Roman" w:hAnsi="Times New Roman" w:cs="Times New Roman"/>
          <w:color w:val="auto"/>
          <w:sz w:val="24"/>
          <w:szCs w:val="24"/>
          <w:lang w:eastAsia="it-IT"/>
        </w:rPr>
        <w:t>.</w:t>
      </w:r>
    </w:p>
    <w:p w:rsidR="00A67D1B" w:rsidRPr="00A17989" w:rsidRDefault="00A67D1B" w:rsidP="00A67D1B">
      <w:pPr>
        <w:pStyle w:val="Subtitle"/>
        <w:ind w:left="426" w:right="424" w:firstLine="567"/>
        <w:jc w:val="both"/>
        <w:rPr>
          <w:rFonts w:ascii="Times New Roman" w:hAnsi="Times New Roman" w:cs="Times New Roman"/>
          <w:lang w:eastAsia="it-IT"/>
        </w:rPr>
      </w:pPr>
      <w:r w:rsidRPr="00A17989">
        <w:rPr>
          <w:rFonts w:ascii="Times New Roman" w:eastAsia="Times New Roman" w:hAnsi="Times New Roman" w:cs="Times New Roman"/>
          <w:color w:val="auto"/>
          <w:sz w:val="24"/>
          <w:szCs w:val="24"/>
          <w:lang w:eastAsia="it-IT"/>
        </w:rPr>
        <w:t xml:space="preserve">L’origine di questa impostazione va ricercata nel parere reso all’Adunanza generale del Consiglio di Stato </w:t>
      </w:r>
      <w:r w:rsidRPr="00A17989">
        <w:rPr>
          <w:rFonts w:ascii="Times New Roman" w:eastAsia="Times New Roman" w:hAnsi="Times New Roman" w:cs="Times New Roman"/>
          <w:color w:val="auto"/>
          <w:sz w:val="24"/>
          <w:szCs w:val="24"/>
        </w:rPr>
        <w:t xml:space="preserve">sul futuro regolamento n. 500 del 1999, di attuazione della legge quadro in materia di lavori pubblici, nella parte in cui, </w:t>
      </w:r>
      <w:r w:rsidR="004D1673">
        <w:rPr>
          <w:rFonts w:ascii="Times New Roman" w:eastAsia="Times New Roman" w:hAnsi="Times New Roman" w:cs="Times New Roman"/>
          <w:color w:val="auto"/>
          <w:sz w:val="24"/>
          <w:szCs w:val="24"/>
        </w:rPr>
        <w:t>in merito a</w:t>
      </w:r>
      <w:r w:rsidRPr="00A17989">
        <w:rPr>
          <w:rFonts w:ascii="Times New Roman" w:eastAsia="Times New Roman" w:hAnsi="Times New Roman" w:cs="Times New Roman"/>
          <w:color w:val="auto"/>
          <w:sz w:val="24"/>
          <w:szCs w:val="24"/>
        </w:rPr>
        <w:t xml:space="preserve">lla </w:t>
      </w:r>
      <w:r w:rsidR="004D1673">
        <w:rPr>
          <w:rFonts w:ascii="Times New Roman" w:eastAsia="Times New Roman" w:hAnsi="Times New Roman" w:cs="Times New Roman"/>
          <w:color w:val="auto"/>
          <w:sz w:val="24"/>
          <w:szCs w:val="24"/>
        </w:rPr>
        <w:t>propo</w:t>
      </w:r>
      <w:r w:rsidRPr="00A17989">
        <w:rPr>
          <w:rFonts w:ascii="Times New Roman" w:eastAsia="Times New Roman" w:hAnsi="Times New Roman" w:cs="Times New Roman"/>
          <w:color w:val="auto"/>
          <w:sz w:val="24"/>
          <w:szCs w:val="24"/>
        </w:rPr>
        <w:t xml:space="preserve">sta dell’Autorità di vigilanza per i lavori pubblici di </w:t>
      </w:r>
      <w:r w:rsidR="004D1673">
        <w:rPr>
          <w:rFonts w:ascii="Times New Roman" w:eastAsia="Times New Roman" w:hAnsi="Times New Roman" w:cs="Times New Roman"/>
          <w:color w:val="auto"/>
          <w:sz w:val="24"/>
          <w:szCs w:val="24"/>
        </w:rPr>
        <w:t>essere legittimata a ricorrere dinanzi al giudice amministrativo avverso</w:t>
      </w:r>
      <w:r w:rsidRPr="00A17989">
        <w:rPr>
          <w:rFonts w:ascii="Times New Roman" w:eastAsia="Times New Roman" w:hAnsi="Times New Roman" w:cs="Times New Roman"/>
          <w:color w:val="auto"/>
          <w:sz w:val="24"/>
          <w:szCs w:val="24"/>
        </w:rPr>
        <w:t xml:space="preserve"> gli affidament</w:t>
      </w:r>
      <w:r w:rsidR="004D1673">
        <w:rPr>
          <w:rFonts w:ascii="Times New Roman" w:eastAsia="Times New Roman" w:hAnsi="Times New Roman" w:cs="Times New Roman"/>
          <w:color w:val="auto"/>
          <w:sz w:val="24"/>
          <w:szCs w:val="24"/>
        </w:rPr>
        <w:t>i</w:t>
      </w:r>
      <w:r w:rsidRPr="00A17989">
        <w:rPr>
          <w:rFonts w:ascii="Times New Roman" w:eastAsia="Times New Roman" w:hAnsi="Times New Roman" w:cs="Times New Roman"/>
          <w:color w:val="auto"/>
          <w:sz w:val="24"/>
          <w:szCs w:val="24"/>
        </w:rPr>
        <w:t xml:space="preserve"> illegittimi, </w:t>
      </w:r>
      <w:r w:rsidR="004D1673">
        <w:rPr>
          <w:rFonts w:ascii="Times New Roman" w:eastAsia="Times New Roman" w:hAnsi="Times New Roman" w:cs="Times New Roman"/>
          <w:color w:val="auto"/>
          <w:sz w:val="24"/>
          <w:szCs w:val="24"/>
        </w:rPr>
        <w:t>è st</w:t>
      </w:r>
      <w:r w:rsidRPr="00A17989">
        <w:rPr>
          <w:rFonts w:ascii="Times New Roman" w:eastAsia="Times New Roman" w:hAnsi="Times New Roman" w:cs="Times New Roman"/>
          <w:color w:val="auto"/>
          <w:sz w:val="24"/>
          <w:szCs w:val="24"/>
        </w:rPr>
        <w:t>a</w:t>
      </w:r>
      <w:r w:rsidR="004D1673">
        <w:rPr>
          <w:rFonts w:ascii="Times New Roman" w:eastAsia="Times New Roman" w:hAnsi="Times New Roman" w:cs="Times New Roman"/>
          <w:color w:val="auto"/>
          <w:sz w:val="24"/>
          <w:szCs w:val="24"/>
        </w:rPr>
        <w:t>to</w:t>
      </w:r>
      <w:r w:rsidRPr="00A17989">
        <w:rPr>
          <w:rFonts w:ascii="Times New Roman" w:eastAsia="Times New Roman" w:hAnsi="Times New Roman" w:cs="Times New Roman"/>
          <w:color w:val="auto"/>
          <w:sz w:val="24"/>
          <w:szCs w:val="24"/>
        </w:rPr>
        <w:t xml:space="preserve"> rilevato c</w:t>
      </w:r>
      <w:r w:rsidR="004D1673">
        <w:rPr>
          <w:rFonts w:ascii="Times New Roman" w:eastAsia="Times New Roman" w:hAnsi="Times New Roman" w:cs="Times New Roman"/>
          <w:color w:val="auto"/>
          <w:sz w:val="24"/>
          <w:szCs w:val="24"/>
        </w:rPr>
        <w:t>om</w:t>
      </w:r>
      <w:r w:rsidRPr="00A17989">
        <w:rPr>
          <w:rFonts w:ascii="Times New Roman" w:eastAsia="Times New Roman" w:hAnsi="Times New Roman" w:cs="Times New Roman"/>
          <w:color w:val="auto"/>
          <w:sz w:val="24"/>
          <w:szCs w:val="24"/>
        </w:rPr>
        <w:t xml:space="preserve">e </w:t>
      </w:r>
      <w:r w:rsidR="004D1673"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rPr>
        <w:t>l’attribuzione di un generale potere di legittimazione ad impugnare gli atti delle stazioni appaltanti verrebbe a configurare una sorta di azione pubblica nell’interesse della legge, in contrasto con i principî generali del nostro ordinamento che richiedono – a parte i settori della giurisdizione penale e contabile – che l’azione giudiziaria trovi comunque un collegamento, sia pure amplissimo, con un interesse del soggetto agente protetto sia direttamente (diritto soggettivo) sia occasionalmente (interesse legittimo)</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rPr>
        <w:t xml:space="preserve">, concludendosi che </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rPr>
        <w:t>una simile azione non può che essere disposta per legge</w:t>
      </w:r>
      <w:r w:rsidR="004D1673" w:rsidRPr="00A17989">
        <w:rPr>
          <w:rFonts w:ascii="Times New Roman" w:hAnsi="Times New Roman" w:cs="Times New Roman"/>
          <w:color w:val="auto"/>
          <w:sz w:val="24"/>
          <w:szCs w:val="24"/>
        </w:rPr>
        <w:t>»</w:t>
      </w:r>
      <w:r w:rsidRPr="00A17989">
        <w:rPr>
          <w:rStyle w:val="FootnoteReference"/>
          <w:rFonts w:ascii="Times New Roman" w:eastAsia="Times New Roman" w:hAnsi="Times New Roman" w:cs="Times New Roman"/>
          <w:color w:val="auto"/>
          <w:sz w:val="24"/>
          <w:szCs w:val="24"/>
        </w:rPr>
        <w:footnoteReference w:id="5"/>
      </w:r>
      <w:r w:rsidRPr="00A17989">
        <w:rPr>
          <w:rFonts w:ascii="Times New Roman" w:eastAsia="Times New Roman" w:hAnsi="Times New Roman" w:cs="Times New Roman"/>
          <w:color w:val="auto"/>
          <w:sz w:val="24"/>
          <w:szCs w:val="24"/>
        </w:rPr>
        <w:t>.</w:t>
      </w:r>
    </w:p>
    <w:p w:rsidR="004765CE" w:rsidRPr="00A17989" w:rsidRDefault="008970C4" w:rsidP="004E5891">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 xml:space="preserve">La tesi </w:t>
      </w:r>
      <w:r w:rsidR="005F22AF">
        <w:rPr>
          <w:rFonts w:ascii="Times New Roman" w:eastAsia="Times New Roman" w:hAnsi="Times New Roman" w:cs="Times New Roman"/>
          <w:color w:val="auto"/>
          <w:sz w:val="24"/>
          <w:szCs w:val="24"/>
        </w:rPr>
        <w:t xml:space="preserve">oggi </w:t>
      </w:r>
      <w:r w:rsidRPr="00A17989">
        <w:rPr>
          <w:rFonts w:ascii="Times New Roman" w:eastAsia="Times New Roman" w:hAnsi="Times New Roman" w:cs="Times New Roman"/>
          <w:color w:val="auto"/>
          <w:sz w:val="24"/>
          <w:szCs w:val="24"/>
        </w:rPr>
        <w:t>maggioritaria ritiene, v</w:t>
      </w:r>
      <w:r w:rsidR="003823F3" w:rsidRPr="00A17989">
        <w:rPr>
          <w:rFonts w:ascii="Times New Roman" w:eastAsia="Times New Roman" w:hAnsi="Times New Roman" w:cs="Times New Roman"/>
          <w:color w:val="auto"/>
          <w:sz w:val="24"/>
          <w:szCs w:val="24"/>
        </w:rPr>
        <w:t xml:space="preserve">iceversa, </w:t>
      </w:r>
      <w:r w:rsidR="00037B73" w:rsidRPr="00A17989">
        <w:rPr>
          <w:rFonts w:ascii="Times New Roman" w:eastAsia="Times New Roman" w:hAnsi="Times New Roman" w:cs="Times New Roman"/>
          <w:color w:val="auto"/>
          <w:sz w:val="24"/>
          <w:szCs w:val="24"/>
        </w:rPr>
        <w:t>che il potere processuale sia stato conferito per la miglior</w:t>
      </w:r>
      <w:r w:rsidR="00883A22" w:rsidRPr="00A17989">
        <w:rPr>
          <w:rFonts w:ascii="Times New Roman" w:eastAsia="Times New Roman" w:hAnsi="Times New Roman" w:cs="Times New Roman"/>
          <w:color w:val="auto"/>
          <w:sz w:val="24"/>
          <w:szCs w:val="24"/>
        </w:rPr>
        <w:t>e</w:t>
      </w:r>
      <w:r w:rsidR="00037B73" w:rsidRPr="00A17989">
        <w:rPr>
          <w:rFonts w:ascii="Times New Roman" w:eastAsia="Times New Roman" w:hAnsi="Times New Roman" w:cs="Times New Roman"/>
          <w:color w:val="auto"/>
          <w:sz w:val="24"/>
          <w:szCs w:val="24"/>
        </w:rPr>
        <w:t xml:space="preserve"> tutela delle</w:t>
      </w:r>
      <w:r w:rsidR="00461085" w:rsidRPr="00A17989">
        <w:rPr>
          <w:rFonts w:ascii="Times New Roman" w:eastAsia="Times New Roman" w:hAnsi="Times New Roman" w:cs="Times New Roman"/>
          <w:color w:val="auto"/>
          <w:sz w:val="24"/>
          <w:szCs w:val="24"/>
        </w:rPr>
        <w:t xml:space="preserve"> </w:t>
      </w:r>
      <w:r w:rsidR="00037B73" w:rsidRPr="00A17989">
        <w:rPr>
          <w:rFonts w:ascii="Times New Roman" w:eastAsia="Times New Roman" w:hAnsi="Times New Roman" w:cs="Times New Roman"/>
          <w:color w:val="auto"/>
          <w:sz w:val="24"/>
          <w:szCs w:val="24"/>
        </w:rPr>
        <w:t>situazioni giuridiche differenziate e qualificate attribuite all’autorità</w:t>
      </w:r>
      <w:r w:rsidR="00461085" w:rsidRPr="00A17989">
        <w:rPr>
          <w:rStyle w:val="FootnoteReference"/>
          <w:rFonts w:ascii="Times New Roman" w:eastAsia="Times New Roman" w:hAnsi="Times New Roman" w:cs="Times New Roman"/>
          <w:color w:val="auto"/>
          <w:sz w:val="24"/>
          <w:szCs w:val="24"/>
        </w:rPr>
        <w:footnoteReference w:id="6"/>
      </w:r>
      <w:r w:rsidR="0065583B" w:rsidRPr="00A17989">
        <w:rPr>
          <w:rFonts w:ascii="Times New Roman" w:eastAsia="Times New Roman" w:hAnsi="Times New Roman" w:cs="Times New Roman"/>
          <w:color w:val="auto"/>
          <w:sz w:val="24"/>
          <w:szCs w:val="24"/>
        </w:rPr>
        <w:t>.</w:t>
      </w:r>
    </w:p>
    <w:p w:rsidR="006E0AF6" w:rsidRPr="00A17989" w:rsidRDefault="00037B73" w:rsidP="004E5891">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Quando a</w:t>
      </w:r>
      <w:r w:rsidR="006E0AF6" w:rsidRPr="00A17989">
        <w:rPr>
          <w:rFonts w:ascii="Times New Roman" w:eastAsia="Times New Roman" w:hAnsi="Times New Roman" w:cs="Times New Roman"/>
          <w:color w:val="auto"/>
          <w:sz w:val="24"/>
          <w:szCs w:val="24"/>
        </w:rPr>
        <w:t>ll’</w:t>
      </w:r>
      <w:r w:rsidR="003823F3" w:rsidRPr="00A17989">
        <w:rPr>
          <w:rFonts w:ascii="Times New Roman" w:eastAsia="Times New Roman" w:hAnsi="Times New Roman" w:cs="Times New Roman"/>
          <w:color w:val="auto"/>
          <w:sz w:val="24"/>
          <w:szCs w:val="24"/>
        </w:rPr>
        <w:t>AGCM,</w:t>
      </w:r>
      <w:r w:rsidR="00AA6EF0" w:rsidRPr="00A17989">
        <w:rPr>
          <w:rFonts w:ascii="Times New Roman" w:eastAsia="Times New Roman" w:hAnsi="Times New Roman" w:cs="Times New Roman"/>
          <w:color w:val="auto"/>
          <w:sz w:val="24"/>
          <w:szCs w:val="24"/>
        </w:rPr>
        <w:t xml:space="preserve"> </w:t>
      </w:r>
      <w:r w:rsidRPr="00A17989">
        <w:rPr>
          <w:rFonts w:ascii="Times New Roman" w:eastAsia="Times New Roman" w:hAnsi="Times New Roman" w:cs="Times New Roman"/>
          <w:color w:val="auto"/>
          <w:sz w:val="24"/>
          <w:szCs w:val="24"/>
        </w:rPr>
        <w:t xml:space="preserve">è stato sottolineato come </w:t>
      </w:r>
      <w:r w:rsidR="00AA6EF0" w:rsidRPr="00A17989">
        <w:rPr>
          <w:rFonts w:ascii="Times New Roman" w:eastAsia="Times New Roman" w:hAnsi="Times New Roman" w:cs="Times New Roman"/>
          <w:color w:val="auto"/>
          <w:sz w:val="24"/>
          <w:szCs w:val="24"/>
        </w:rPr>
        <w:t>i</w:t>
      </w:r>
      <w:r w:rsidR="00093F0C" w:rsidRPr="00A17989">
        <w:rPr>
          <w:rFonts w:ascii="Times New Roman" w:eastAsia="Times New Roman" w:hAnsi="Times New Roman" w:cs="Times New Roman"/>
          <w:color w:val="auto"/>
          <w:sz w:val="24"/>
          <w:szCs w:val="24"/>
        </w:rPr>
        <w:t>l bene giuridico della concorrenza</w:t>
      </w:r>
      <w:r w:rsidR="006E0AF6" w:rsidRPr="00A17989">
        <w:rPr>
          <w:rFonts w:ascii="Times New Roman" w:eastAsia="Times New Roman" w:hAnsi="Times New Roman" w:cs="Times New Roman"/>
          <w:color w:val="auto"/>
          <w:sz w:val="24"/>
          <w:szCs w:val="24"/>
        </w:rPr>
        <w:t>, per la sua particolare rilevanza, non può rimanere al</w:t>
      </w:r>
      <w:r w:rsidR="007E7C9E" w:rsidRPr="00A17989">
        <w:rPr>
          <w:rFonts w:ascii="Times New Roman" w:eastAsia="Times New Roman" w:hAnsi="Times New Roman" w:cs="Times New Roman"/>
          <w:color w:val="auto"/>
          <w:sz w:val="24"/>
          <w:szCs w:val="24"/>
        </w:rPr>
        <w:t xml:space="preserve"> </w:t>
      </w:r>
      <w:r w:rsidR="006E0AF6" w:rsidRPr="00A17989">
        <w:rPr>
          <w:rFonts w:ascii="Times New Roman" w:eastAsia="Times New Roman" w:hAnsi="Times New Roman" w:cs="Times New Roman"/>
          <w:color w:val="auto"/>
          <w:sz w:val="24"/>
          <w:szCs w:val="24"/>
        </w:rPr>
        <w:t>l</w:t>
      </w:r>
      <w:r w:rsidR="007E7C9E" w:rsidRPr="00A17989">
        <w:rPr>
          <w:rFonts w:ascii="Times New Roman" w:eastAsia="Times New Roman" w:hAnsi="Times New Roman" w:cs="Times New Roman"/>
          <w:color w:val="auto"/>
          <w:sz w:val="24"/>
          <w:szCs w:val="24"/>
        </w:rPr>
        <w:t xml:space="preserve">ivello </w:t>
      </w:r>
      <w:r w:rsidR="006E0AF6" w:rsidRPr="00A17989">
        <w:rPr>
          <w:rFonts w:ascii="Times New Roman" w:eastAsia="Times New Roman" w:hAnsi="Times New Roman" w:cs="Times New Roman"/>
          <w:color w:val="auto"/>
          <w:sz w:val="24"/>
          <w:szCs w:val="24"/>
        </w:rPr>
        <w:t>di un</w:t>
      </w:r>
      <w:r w:rsidR="007E7C9E" w:rsidRPr="00A17989">
        <w:rPr>
          <w:rFonts w:ascii="Times New Roman" w:eastAsia="Times New Roman" w:hAnsi="Times New Roman" w:cs="Times New Roman"/>
          <w:color w:val="auto"/>
          <w:sz w:val="24"/>
          <w:szCs w:val="24"/>
        </w:rPr>
        <w:t>a congerie di</w:t>
      </w:r>
      <w:r w:rsidR="006E0AF6" w:rsidRPr="00A17989">
        <w:rPr>
          <w:rFonts w:ascii="Times New Roman" w:eastAsia="Times New Roman" w:hAnsi="Times New Roman" w:cs="Times New Roman"/>
          <w:color w:val="auto"/>
          <w:sz w:val="24"/>
          <w:szCs w:val="24"/>
        </w:rPr>
        <w:t xml:space="preserve"> interess</w:t>
      </w:r>
      <w:r w:rsidR="007E7C9E" w:rsidRPr="00A17989">
        <w:rPr>
          <w:rFonts w:ascii="Times New Roman" w:eastAsia="Times New Roman" w:hAnsi="Times New Roman" w:cs="Times New Roman"/>
          <w:color w:val="auto"/>
          <w:sz w:val="24"/>
          <w:szCs w:val="24"/>
        </w:rPr>
        <w:t>i</w:t>
      </w:r>
      <w:r w:rsidR="006E0AF6" w:rsidRPr="00A17989">
        <w:rPr>
          <w:rFonts w:ascii="Times New Roman" w:eastAsia="Times New Roman" w:hAnsi="Times New Roman" w:cs="Times New Roman"/>
          <w:color w:val="auto"/>
          <w:sz w:val="24"/>
          <w:szCs w:val="24"/>
        </w:rPr>
        <w:t xml:space="preserve"> debol</w:t>
      </w:r>
      <w:r w:rsidR="007E7C9E" w:rsidRPr="00A17989">
        <w:rPr>
          <w:rFonts w:ascii="Times New Roman" w:eastAsia="Times New Roman" w:hAnsi="Times New Roman" w:cs="Times New Roman"/>
          <w:color w:val="auto"/>
          <w:sz w:val="24"/>
          <w:szCs w:val="24"/>
        </w:rPr>
        <w:t>i</w:t>
      </w:r>
      <w:r w:rsidR="006E0AF6" w:rsidRPr="00A17989">
        <w:rPr>
          <w:rFonts w:ascii="Times New Roman" w:eastAsia="Times New Roman" w:hAnsi="Times New Roman" w:cs="Times New Roman"/>
          <w:color w:val="auto"/>
          <w:sz w:val="24"/>
          <w:szCs w:val="24"/>
        </w:rPr>
        <w:t xml:space="preserve"> perché diffus</w:t>
      </w:r>
      <w:r w:rsidR="007E7C9E" w:rsidRPr="00A17989">
        <w:rPr>
          <w:rFonts w:ascii="Times New Roman" w:eastAsia="Times New Roman" w:hAnsi="Times New Roman" w:cs="Times New Roman"/>
          <w:color w:val="auto"/>
          <w:sz w:val="24"/>
          <w:szCs w:val="24"/>
        </w:rPr>
        <w:t>i</w:t>
      </w:r>
      <w:r w:rsidR="00093F0C" w:rsidRPr="00A17989">
        <w:rPr>
          <w:rStyle w:val="FootnoteReference"/>
          <w:rFonts w:ascii="Times New Roman" w:eastAsia="Times New Roman" w:hAnsi="Times New Roman" w:cs="Times New Roman"/>
          <w:color w:val="auto"/>
          <w:sz w:val="24"/>
          <w:szCs w:val="24"/>
        </w:rPr>
        <w:footnoteReference w:id="7"/>
      </w:r>
      <w:r w:rsidR="006E0AF6" w:rsidRPr="00A17989">
        <w:rPr>
          <w:rFonts w:ascii="Times New Roman" w:eastAsia="Times New Roman" w:hAnsi="Times New Roman" w:cs="Times New Roman"/>
          <w:color w:val="auto"/>
          <w:sz w:val="24"/>
          <w:szCs w:val="24"/>
        </w:rPr>
        <w:t>.</w:t>
      </w:r>
    </w:p>
    <w:p w:rsidR="00326A26" w:rsidRPr="00A17989" w:rsidRDefault="006E0AF6" w:rsidP="004E5891">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Donde, l</w:t>
      </w:r>
      <w:r w:rsidR="00326A26" w:rsidRPr="00A17989">
        <w:rPr>
          <w:rFonts w:ascii="Times New Roman" w:eastAsia="Times New Roman" w:hAnsi="Times New Roman" w:cs="Times New Roman"/>
          <w:color w:val="auto"/>
          <w:sz w:val="24"/>
          <w:szCs w:val="24"/>
        </w:rPr>
        <w:t xml:space="preserve">a scelta </w:t>
      </w:r>
      <w:r w:rsidR="007E7C9E" w:rsidRPr="00A17989">
        <w:rPr>
          <w:rFonts w:ascii="Times New Roman" w:eastAsia="Times New Roman" w:hAnsi="Times New Roman" w:cs="Times New Roman"/>
          <w:color w:val="auto"/>
          <w:sz w:val="24"/>
          <w:szCs w:val="24"/>
        </w:rPr>
        <w:t xml:space="preserve">legislativa </w:t>
      </w:r>
      <w:r w:rsidR="00326A26" w:rsidRPr="00A17989">
        <w:rPr>
          <w:rFonts w:ascii="Times New Roman" w:eastAsia="Times New Roman" w:hAnsi="Times New Roman" w:cs="Times New Roman"/>
          <w:color w:val="auto"/>
          <w:sz w:val="24"/>
          <w:szCs w:val="24"/>
        </w:rPr>
        <w:t>di soggettivizzarlo in capo ad un’autorità indipendente</w:t>
      </w:r>
      <w:r w:rsidRPr="00A17989">
        <w:rPr>
          <w:rFonts w:ascii="Times New Roman" w:eastAsia="Times New Roman" w:hAnsi="Times New Roman" w:cs="Times New Roman"/>
          <w:color w:val="auto"/>
          <w:sz w:val="24"/>
          <w:szCs w:val="24"/>
        </w:rPr>
        <w:t>, che</w:t>
      </w:r>
      <w:r w:rsidR="00326A26" w:rsidRPr="00A17989">
        <w:rPr>
          <w:rFonts w:ascii="Times New Roman" w:eastAsia="Times New Roman" w:hAnsi="Times New Roman" w:cs="Times New Roman"/>
          <w:color w:val="auto"/>
          <w:sz w:val="24"/>
          <w:szCs w:val="24"/>
        </w:rPr>
        <w:t xml:space="preserve"> si giustifica con l’esigenza di porre un argine ad una </w:t>
      </w:r>
      <w:r w:rsidR="00325676" w:rsidRPr="00A17989">
        <w:rPr>
          <w:rFonts w:ascii="Times New Roman" w:hAnsi="Times New Roman" w:cs="Times New Roman"/>
          <w:color w:val="auto"/>
          <w:sz w:val="24"/>
          <w:szCs w:val="24"/>
        </w:rPr>
        <w:t>«</w:t>
      </w:r>
      <w:r w:rsidR="00326A26" w:rsidRPr="00A17989">
        <w:rPr>
          <w:rFonts w:ascii="Times New Roman" w:eastAsia="Times New Roman" w:hAnsi="Times New Roman" w:cs="Times New Roman"/>
          <w:color w:val="auto"/>
          <w:sz w:val="24"/>
          <w:szCs w:val="24"/>
        </w:rPr>
        <w:t>frequente dinamica amministrativa, che induce molte amministrazioni pubbliche a porre ostacoli al libero dispiegarsi della concorrenza, piuttosto che a una sovrordinazione dell’interesse alla concorrenza rispetto ad altri interessi pubblici</w:t>
      </w:r>
      <w:r w:rsidR="00325676" w:rsidRPr="00A17989">
        <w:rPr>
          <w:rFonts w:ascii="Times New Roman" w:hAnsi="Times New Roman" w:cs="Times New Roman"/>
          <w:color w:val="auto"/>
          <w:sz w:val="24"/>
          <w:szCs w:val="24"/>
        </w:rPr>
        <w:t>»</w:t>
      </w:r>
      <w:r w:rsidR="00326A26" w:rsidRPr="00A17989">
        <w:rPr>
          <w:rStyle w:val="FootnoteReference"/>
          <w:rFonts w:ascii="Times New Roman" w:eastAsia="Times New Roman" w:hAnsi="Times New Roman" w:cs="Times New Roman"/>
          <w:color w:val="auto"/>
          <w:sz w:val="24"/>
          <w:szCs w:val="24"/>
        </w:rPr>
        <w:footnoteReference w:id="8"/>
      </w:r>
      <w:r w:rsidR="00326A26" w:rsidRPr="00A17989">
        <w:rPr>
          <w:rFonts w:ascii="Times New Roman" w:eastAsia="Times New Roman" w:hAnsi="Times New Roman" w:cs="Times New Roman"/>
          <w:color w:val="auto"/>
          <w:sz w:val="24"/>
          <w:szCs w:val="24"/>
        </w:rPr>
        <w:t>.</w:t>
      </w:r>
    </w:p>
    <w:p w:rsidR="006E0AF6" w:rsidRPr="00A17989" w:rsidRDefault="006E0AF6" w:rsidP="006E0AF6">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 xml:space="preserve">E’ la teoria della “mutazione genetica” dell’interesse </w:t>
      </w:r>
      <w:r w:rsidR="007E7C9E" w:rsidRPr="00A17989">
        <w:rPr>
          <w:rFonts w:ascii="Times New Roman" w:eastAsia="Times New Roman" w:hAnsi="Times New Roman" w:cs="Times New Roman"/>
          <w:color w:val="auto"/>
          <w:sz w:val="24"/>
          <w:szCs w:val="24"/>
        </w:rPr>
        <w:t>adespota</w:t>
      </w:r>
      <w:r w:rsidRPr="00A17989">
        <w:rPr>
          <w:rFonts w:ascii="Times New Roman" w:eastAsia="Times New Roman" w:hAnsi="Times New Roman" w:cs="Times New Roman"/>
          <w:color w:val="auto"/>
          <w:sz w:val="24"/>
          <w:szCs w:val="24"/>
        </w:rPr>
        <w:t xml:space="preserve">, la cui cura, preclusa al singolo, </w:t>
      </w:r>
      <w:r w:rsidR="007E7C9E" w:rsidRPr="00A17989">
        <w:rPr>
          <w:rFonts w:ascii="Times New Roman" w:eastAsia="Times New Roman" w:hAnsi="Times New Roman" w:cs="Times New Roman"/>
          <w:color w:val="auto"/>
          <w:sz w:val="24"/>
          <w:szCs w:val="24"/>
        </w:rPr>
        <w:t>è</w:t>
      </w:r>
      <w:r w:rsidRPr="00A17989">
        <w:rPr>
          <w:rFonts w:ascii="Times New Roman" w:eastAsia="Times New Roman" w:hAnsi="Times New Roman" w:cs="Times New Roman"/>
          <w:color w:val="auto"/>
          <w:sz w:val="24"/>
          <w:szCs w:val="24"/>
        </w:rPr>
        <w:t xml:space="preserve"> affidata all’ente esponenziale</w:t>
      </w:r>
      <w:r w:rsidRPr="00A17989">
        <w:rPr>
          <w:rStyle w:val="FootnoteReference"/>
          <w:rFonts w:ascii="Times New Roman" w:eastAsia="Times New Roman" w:hAnsi="Times New Roman" w:cs="Times New Roman"/>
          <w:color w:val="auto"/>
          <w:sz w:val="24"/>
          <w:szCs w:val="24"/>
        </w:rPr>
        <w:footnoteReference w:id="9"/>
      </w:r>
      <w:r w:rsidRPr="00A17989">
        <w:rPr>
          <w:rFonts w:ascii="Times New Roman" w:eastAsia="Times New Roman" w:hAnsi="Times New Roman" w:cs="Times New Roman"/>
          <w:color w:val="auto"/>
          <w:sz w:val="24"/>
          <w:szCs w:val="24"/>
        </w:rPr>
        <w:t>.</w:t>
      </w:r>
    </w:p>
    <w:p w:rsidR="00934687" w:rsidRPr="00A17989" w:rsidRDefault="007E7C9E" w:rsidP="004E5891">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Quanto, invece,</w:t>
      </w:r>
      <w:r w:rsidR="00934687" w:rsidRPr="00A17989">
        <w:rPr>
          <w:rFonts w:ascii="Times New Roman" w:eastAsia="Times New Roman" w:hAnsi="Times New Roman" w:cs="Times New Roman"/>
          <w:color w:val="auto"/>
          <w:sz w:val="24"/>
          <w:szCs w:val="24"/>
        </w:rPr>
        <w:t xml:space="preserve"> alla </w:t>
      </w:r>
      <w:r w:rsidRPr="00A17989">
        <w:rPr>
          <w:rFonts w:ascii="Times New Roman" w:eastAsia="Times New Roman" w:hAnsi="Times New Roman" w:cs="Times New Roman"/>
          <w:color w:val="auto"/>
          <w:sz w:val="24"/>
          <w:szCs w:val="24"/>
        </w:rPr>
        <w:t>volontà di dotare l’ANAC di una propria legittimazione processuale</w:t>
      </w:r>
      <w:r w:rsidR="00934687" w:rsidRPr="00A17989">
        <w:rPr>
          <w:rFonts w:ascii="Times New Roman" w:eastAsia="Times New Roman" w:hAnsi="Times New Roman" w:cs="Times New Roman"/>
          <w:color w:val="auto"/>
          <w:sz w:val="24"/>
          <w:szCs w:val="24"/>
        </w:rPr>
        <w:t xml:space="preserve">, si è </w:t>
      </w:r>
      <w:r w:rsidR="002D7A5A" w:rsidRPr="00A17989">
        <w:rPr>
          <w:rFonts w:ascii="Times New Roman" w:eastAsia="Times New Roman" w:hAnsi="Times New Roman" w:cs="Times New Roman"/>
          <w:color w:val="auto"/>
          <w:sz w:val="24"/>
          <w:szCs w:val="24"/>
        </w:rPr>
        <w:t xml:space="preserve">fatto </w:t>
      </w:r>
      <w:r w:rsidR="00934687" w:rsidRPr="00A17989">
        <w:rPr>
          <w:rFonts w:ascii="Times New Roman" w:eastAsia="Times New Roman" w:hAnsi="Times New Roman" w:cs="Times New Roman"/>
          <w:color w:val="auto"/>
          <w:sz w:val="24"/>
          <w:szCs w:val="24"/>
        </w:rPr>
        <w:t>acutamente notare c</w:t>
      </w:r>
      <w:r w:rsidR="00325676">
        <w:rPr>
          <w:rFonts w:ascii="Times New Roman" w:eastAsia="Times New Roman" w:hAnsi="Times New Roman" w:cs="Times New Roman"/>
          <w:color w:val="auto"/>
          <w:sz w:val="24"/>
          <w:szCs w:val="24"/>
        </w:rPr>
        <w:t>om</w:t>
      </w:r>
      <w:r w:rsidR="00934687" w:rsidRPr="00A17989">
        <w:rPr>
          <w:rFonts w:ascii="Times New Roman" w:eastAsia="Times New Roman" w:hAnsi="Times New Roman" w:cs="Times New Roman"/>
          <w:color w:val="auto"/>
          <w:sz w:val="24"/>
          <w:szCs w:val="24"/>
        </w:rPr>
        <w:t>e</w:t>
      </w:r>
      <w:r w:rsidRPr="00A17989">
        <w:rPr>
          <w:rFonts w:ascii="Times New Roman" w:eastAsia="Times New Roman" w:hAnsi="Times New Roman" w:cs="Times New Roman"/>
          <w:color w:val="auto"/>
          <w:sz w:val="24"/>
          <w:szCs w:val="24"/>
        </w:rPr>
        <w:t xml:space="preserve"> </w:t>
      </w:r>
      <w:r w:rsidR="00325676" w:rsidRPr="00A17989">
        <w:rPr>
          <w:rFonts w:ascii="Times New Roman" w:hAnsi="Times New Roman" w:cs="Times New Roman"/>
          <w:color w:val="auto"/>
          <w:sz w:val="24"/>
          <w:szCs w:val="24"/>
        </w:rPr>
        <w:t>«</w:t>
      </w:r>
      <w:r w:rsidR="00934687" w:rsidRPr="00A17989">
        <w:rPr>
          <w:rFonts w:ascii="Times New Roman" w:eastAsia="Times New Roman" w:hAnsi="Times New Roman" w:cs="Times New Roman"/>
          <w:color w:val="auto"/>
          <w:sz w:val="24"/>
          <w:szCs w:val="24"/>
        </w:rPr>
        <w:t xml:space="preserve">è difficile ipotizzare l’esistenza di numerosi interessi totalmente adespoti, non giustiziabili attraverso le vie ordinarie. Semmai, uno dei </w:t>
      </w:r>
      <w:r w:rsidR="00325676">
        <w:rPr>
          <w:rFonts w:ascii="Times New Roman" w:eastAsia="Times New Roman" w:hAnsi="Times New Roman" w:cs="Times New Roman"/>
          <w:color w:val="auto"/>
          <w:sz w:val="24"/>
          <w:szCs w:val="24"/>
        </w:rPr>
        <w:t>“</w:t>
      </w:r>
      <w:r w:rsidR="00934687" w:rsidRPr="00325676">
        <w:rPr>
          <w:rFonts w:ascii="Times New Roman" w:eastAsia="Times New Roman" w:hAnsi="Times New Roman" w:cs="Times New Roman"/>
          <w:color w:val="auto"/>
          <w:sz w:val="24"/>
          <w:szCs w:val="24"/>
        </w:rPr>
        <w:t>mali</w:t>
      </w:r>
      <w:r w:rsidR="00325676">
        <w:rPr>
          <w:rFonts w:ascii="Times New Roman" w:eastAsia="Times New Roman" w:hAnsi="Times New Roman" w:cs="Times New Roman"/>
          <w:color w:val="auto"/>
          <w:sz w:val="24"/>
          <w:szCs w:val="24"/>
        </w:rPr>
        <w:t>”</w:t>
      </w:r>
      <w:r w:rsidR="00934687" w:rsidRPr="00A17989">
        <w:rPr>
          <w:rFonts w:ascii="Times New Roman" w:eastAsia="Times New Roman" w:hAnsi="Times New Roman" w:cs="Times New Roman"/>
          <w:color w:val="auto"/>
          <w:sz w:val="24"/>
          <w:szCs w:val="24"/>
        </w:rPr>
        <w:t xml:space="preserve"> del settore dei contratti è costituito proprio dall’eccesso di contenzioso. Pertanto, la legittimazione speciale dell’ANAC potrebbe determinare, in numerosi casi concreti, un fenomeno di </w:t>
      </w:r>
      <w:r w:rsidR="00325676">
        <w:rPr>
          <w:rFonts w:ascii="Times New Roman" w:eastAsia="Times New Roman" w:hAnsi="Times New Roman" w:cs="Times New Roman"/>
          <w:color w:val="auto"/>
          <w:sz w:val="24"/>
          <w:szCs w:val="24"/>
        </w:rPr>
        <w:t>“</w:t>
      </w:r>
      <w:r w:rsidR="00934687" w:rsidRPr="00325676">
        <w:rPr>
          <w:rFonts w:ascii="Times New Roman" w:eastAsia="Times New Roman" w:hAnsi="Times New Roman" w:cs="Times New Roman"/>
          <w:color w:val="auto"/>
          <w:sz w:val="24"/>
          <w:szCs w:val="24"/>
        </w:rPr>
        <w:t>sostituzione processuale</w:t>
      </w:r>
      <w:r w:rsidR="00325676">
        <w:rPr>
          <w:rFonts w:ascii="Times New Roman" w:eastAsia="Times New Roman" w:hAnsi="Times New Roman" w:cs="Times New Roman"/>
          <w:color w:val="auto"/>
          <w:sz w:val="24"/>
          <w:szCs w:val="24"/>
        </w:rPr>
        <w:t>”</w:t>
      </w:r>
      <w:r w:rsidR="00934687" w:rsidRPr="00A17989">
        <w:rPr>
          <w:rFonts w:ascii="Times New Roman" w:eastAsia="Times New Roman" w:hAnsi="Times New Roman" w:cs="Times New Roman"/>
          <w:color w:val="auto"/>
          <w:sz w:val="24"/>
          <w:szCs w:val="24"/>
        </w:rPr>
        <w:t>, piuttosto che di personificazione di interessi diffusi. Spetterà all’Autorità verificare se restringere l’esercizio del proprio potere di azione, escludendolo nei casi in cui la proposizione del ricorso potre</w:t>
      </w:r>
      <w:r w:rsidR="006E0AF6" w:rsidRPr="00A17989">
        <w:rPr>
          <w:rFonts w:ascii="Times New Roman" w:eastAsia="Times New Roman" w:hAnsi="Times New Roman" w:cs="Times New Roman"/>
          <w:color w:val="auto"/>
          <w:sz w:val="24"/>
          <w:szCs w:val="24"/>
        </w:rPr>
        <w:t xml:space="preserve">bbe apparire come una forma di </w:t>
      </w:r>
      <w:r w:rsidR="00325676">
        <w:rPr>
          <w:rFonts w:ascii="Times New Roman" w:eastAsia="Times New Roman" w:hAnsi="Times New Roman" w:cs="Times New Roman"/>
          <w:color w:val="auto"/>
          <w:sz w:val="24"/>
          <w:szCs w:val="24"/>
        </w:rPr>
        <w:t>“</w:t>
      </w:r>
      <w:r w:rsidR="00934687" w:rsidRPr="00325676">
        <w:rPr>
          <w:rFonts w:ascii="Times New Roman" w:eastAsia="Times New Roman" w:hAnsi="Times New Roman" w:cs="Times New Roman"/>
          <w:color w:val="auto"/>
          <w:sz w:val="24"/>
          <w:szCs w:val="24"/>
        </w:rPr>
        <w:t>supplenza</w:t>
      </w:r>
      <w:r w:rsidR="00325676">
        <w:rPr>
          <w:rFonts w:ascii="Times New Roman" w:eastAsia="Times New Roman" w:hAnsi="Times New Roman" w:cs="Times New Roman"/>
          <w:color w:val="auto"/>
          <w:sz w:val="24"/>
          <w:szCs w:val="24"/>
        </w:rPr>
        <w:t>”</w:t>
      </w:r>
      <w:r w:rsidR="00934687" w:rsidRPr="00A17989">
        <w:rPr>
          <w:rFonts w:ascii="Times New Roman" w:eastAsia="Times New Roman" w:hAnsi="Times New Roman" w:cs="Times New Roman"/>
          <w:color w:val="auto"/>
          <w:sz w:val="24"/>
          <w:szCs w:val="24"/>
        </w:rPr>
        <w:t xml:space="preserve"> all</w:t>
      </w:r>
      <w:r w:rsidR="006E0AF6" w:rsidRPr="00A17989">
        <w:rPr>
          <w:rFonts w:ascii="Times New Roman" w:eastAsia="Times New Roman" w:hAnsi="Times New Roman" w:cs="Times New Roman"/>
          <w:color w:val="auto"/>
          <w:sz w:val="24"/>
          <w:szCs w:val="24"/>
        </w:rPr>
        <w:t>’</w:t>
      </w:r>
      <w:r w:rsidR="00934687" w:rsidRPr="00A17989">
        <w:rPr>
          <w:rFonts w:ascii="Times New Roman" w:eastAsia="Times New Roman" w:hAnsi="Times New Roman" w:cs="Times New Roman"/>
          <w:color w:val="auto"/>
          <w:sz w:val="24"/>
          <w:szCs w:val="24"/>
        </w:rPr>
        <w:t>inerzia delle iniziative spettanti ai soggetti direttamente interessati</w:t>
      </w:r>
      <w:r w:rsidR="00325676" w:rsidRPr="00A17989">
        <w:rPr>
          <w:rFonts w:ascii="Times New Roman" w:hAnsi="Times New Roman" w:cs="Times New Roman"/>
          <w:color w:val="auto"/>
          <w:sz w:val="24"/>
          <w:szCs w:val="24"/>
        </w:rPr>
        <w:t>»</w:t>
      </w:r>
      <w:r w:rsidR="00934687" w:rsidRPr="00A17989">
        <w:rPr>
          <w:rStyle w:val="FootnoteReference"/>
          <w:rFonts w:ascii="Times New Roman" w:eastAsia="Times New Roman" w:hAnsi="Times New Roman" w:cs="Times New Roman"/>
          <w:color w:val="auto"/>
          <w:sz w:val="24"/>
          <w:szCs w:val="24"/>
        </w:rPr>
        <w:footnoteReference w:id="10"/>
      </w:r>
      <w:r w:rsidR="00934687" w:rsidRPr="00A17989">
        <w:rPr>
          <w:rFonts w:ascii="Times New Roman" w:eastAsia="Times New Roman" w:hAnsi="Times New Roman" w:cs="Times New Roman"/>
          <w:color w:val="auto"/>
          <w:sz w:val="24"/>
          <w:szCs w:val="24"/>
        </w:rPr>
        <w:t>.</w:t>
      </w:r>
    </w:p>
    <w:p w:rsidR="002D7A5A" w:rsidRPr="00A17989" w:rsidRDefault="002D7A5A" w:rsidP="002D7A5A">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Anche la Corte costituzionale ha escluso che l’iniziativa processuale dell’AGCM rappresenti un </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lang w:eastAsia="it-IT"/>
        </w:rPr>
        <w:t>nuovo e generalizzato controllo di legittimità</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lang w:eastAsia="it-IT"/>
        </w:rPr>
        <w:t xml:space="preserve">, proprio perché essa è circoscritta a particolari atti amministrativi, quelli cioè </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lang w:eastAsia="it-IT"/>
        </w:rPr>
        <w:t>che violino le norme a tutela della concorrenza e del mercato</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lang w:eastAsia="it-IT"/>
        </w:rPr>
        <w:t xml:space="preserve"> ed è finalizzata ad una più completa tutela di quell’interesse</w:t>
      </w:r>
      <w:r w:rsidRPr="00A17989">
        <w:rPr>
          <w:rStyle w:val="FootnoteReference"/>
          <w:rFonts w:ascii="Times New Roman" w:eastAsia="Times New Roman" w:hAnsi="Times New Roman" w:cs="Times New Roman"/>
          <w:color w:val="auto"/>
          <w:sz w:val="24"/>
          <w:szCs w:val="24"/>
          <w:lang w:eastAsia="it-IT"/>
        </w:rPr>
        <w:footnoteReference w:id="11"/>
      </w:r>
      <w:r w:rsidRPr="00A17989">
        <w:rPr>
          <w:rFonts w:ascii="Times New Roman" w:eastAsia="Times New Roman" w:hAnsi="Times New Roman" w:cs="Times New Roman"/>
          <w:color w:val="auto"/>
          <w:sz w:val="24"/>
          <w:szCs w:val="24"/>
          <w:lang w:eastAsia="it-IT"/>
        </w:rPr>
        <w:t>.</w:t>
      </w:r>
    </w:p>
    <w:p w:rsidR="0059745D" w:rsidRPr="00A17989" w:rsidRDefault="002D7A5A" w:rsidP="004E5891">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Comunque sia, l’e</w:t>
      </w:r>
      <w:r w:rsidR="0059745D" w:rsidRPr="00A17989">
        <w:rPr>
          <w:rFonts w:ascii="Times New Roman" w:eastAsia="Times New Roman" w:hAnsi="Times New Roman" w:cs="Times New Roman"/>
          <w:color w:val="auto"/>
          <w:sz w:val="24"/>
          <w:szCs w:val="24"/>
        </w:rPr>
        <w:t xml:space="preserve">lemento </w:t>
      </w:r>
      <w:r w:rsidRPr="00A17989">
        <w:rPr>
          <w:rFonts w:ascii="Times New Roman" w:eastAsia="Times New Roman" w:hAnsi="Times New Roman" w:cs="Times New Roman"/>
          <w:color w:val="auto"/>
          <w:sz w:val="24"/>
          <w:szCs w:val="24"/>
        </w:rPr>
        <w:t>che ac</w:t>
      </w:r>
      <w:r w:rsidR="0059745D" w:rsidRPr="00A17989">
        <w:rPr>
          <w:rFonts w:ascii="Times New Roman" w:eastAsia="Times New Roman" w:hAnsi="Times New Roman" w:cs="Times New Roman"/>
          <w:color w:val="auto"/>
          <w:sz w:val="24"/>
          <w:szCs w:val="24"/>
        </w:rPr>
        <w:t>comun</w:t>
      </w:r>
      <w:r w:rsidRPr="00A17989">
        <w:rPr>
          <w:rFonts w:ascii="Times New Roman" w:eastAsia="Times New Roman" w:hAnsi="Times New Roman" w:cs="Times New Roman"/>
          <w:color w:val="auto"/>
          <w:sz w:val="24"/>
          <w:szCs w:val="24"/>
        </w:rPr>
        <w:t>a</w:t>
      </w:r>
      <w:r w:rsidR="0059745D" w:rsidRPr="00A17989">
        <w:rPr>
          <w:rFonts w:ascii="Times New Roman" w:eastAsia="Times New Roman" w:hAnsi="Times New Roman" w:cs="Times New Roman"/>
          <w:color w:val="auto"/>
          <w:sz w:val="24"/>
          <w:szCs w:val="24"/>
        </w:rPr>
        <w:t xml:space="preserve"> entrambe le tesi</w:t>
      </w:r>
      <w:r w:rsidRPr="00A17989">
        <w:rPr>
          <w:rFonts w:ascii="Times New Roman" w:eastAsia="Times New Roman" w:hAnsi="Times New Roman" w:cs="Times New Roman"/>
          <w:color w:val="auto"/>
          <w:sz w:val="24"/>
          <w:szCs w:val="24"/>
        </w:rPr>
        <w:t>, minoritaria e maggioritaria,</w:t>
      </w:r>
      <w:r w:rsidR="0059745D" w:rsidRPr="00A17989">
        <w:rPr>
          <w:rFonts w:ascii="Times New Roman" w:eastAsia="Times New Roman" w:hAnsi="Times New Roman" w:cs="Times New Roman"/>
          <w:color w:val="auto"/>
          <w:sz w:val="24"/>
          <w:szCs w:val="24"/>
        </w:rPr>
        <w:t xml:space="preserve"> è che solo una legge speciale </w:t>
      </w:r>
      <w:r w:rsidR="00F12D64" w:rsidRPr="00A17989">
        <w:rPr>
          <w:rFonts w:ascii="Times New Roman" w:eastAsia="Times New Roman" w:hAnsi="Times New Roman" w:cs="Times New Roman"/>
          <w:color w:val="auto"/>
          <w:sz w:val="24"/>
          <w:szCs w:val="24"/>
        </w:rPr>
        <w:t xml:space="preserve">può attribuire ad un’autorità </w:t>
      </w:r>
      <w:r w:rsidR="0059745D" w:rsidRPr="00A17989">
        <w:rPr>
          <w:rFonts w:ascii="Times New Roman" w:eastAsia="Times New Roman" w:hAnsi="Times New Roman" w:cs="Times New Roman"/>
          <w:color w:val="auto"/>
          <w:sz w:val="24"/>
          <w:szCs w:val="24"/>
        </w:rPr>
        <w:t>indipendente il potere di ricor</w:t>
      </w:r>
      <w:r w:rsidR="00F12D64" w:rsidRPr="00A17989">
        <w:rPr>
          <w:rFonts w:ascii="Times New Roman" w:eastAsia="Times New Roman" w:hAnsi="Times New Roman" w:cs="Times New Roman"/>
          <w:color w:val="auto"/>
          <w:sz w:val="24"/>
          <w:szCs w:val="24"/>
        </w:rPr>
        <w:t>rere</w:t>
      </w:r>
      <w:r w:rsidR="0059745D" w:rsidRPr="00A17989">
        <w:rPr>
          <w:rFonts w:ascii="Times New Roman" w:eastAsia="Times New Roman" w:hAnsi="Times New Roman" w:cs="Times New Roman"/>
          <w:color w:val="auto"/>
          <w:sz w:val="24"/>
          <w:szCs w:val="24"/>
        </w:rPr>
        <w:t xml:space="preserve"> dinanzi al giudice amministrativo.</w:t>
      </w:r>
    </w:p>
    <w:p w:rsidR="00A67D1B" w:rsidRPr="00A17989" w:rsidRDefault="006E7416" w:rsidP="00814A24">
      <w:pPr>
        <w:pStyle w:val="Subtitle"/>
        <w:ind w:left="426" w:right="424" w:firstLine="567"/>
        <w:jc w:val="both"/>
        <w:rPr>
          <w:rFonts w:ascii="Times New Roman" w:eastAsia="Times New Roman" w:hAnsi="Times New Roman" w:cs="Times New Roman"/>
          <w:color w:val="auto"/>
          <w:sz w:val="24"/>
          <w:szCs w:val="24"/>
        </w:rPr>
      </w:pPr>
      <w:r w:rsidRPr="00A17989">
        <w:rPr>
          <w:rFonts w:ascii="Times New Roman" w:eastAsia="Times New Roman" w:hAnsi="Times New Roman" w:cs="Times New Roman"/>
          <w:color w:val="auto"/>
          <w:sz w:val="24"/>
          <w:szCs w:val="24"/>
        </w:rPr>
        <w:t xml:space="preserve">Non a caso, è </w:t>
      </w:r>
      <w:r w:rsidR="00325676">
        <w:rPr>
          <w:rFonts w:ascii="Times New Roman" w:eastAsia="Times New Roman" w:hAnsi="Times New Roman" w:cs="Times New Roman"/>
          <w:color w:val="auto"/>
          <w:sz w:val="24"/>
          <w:szCs w:val="24"/>
        </w:rPr>
        <w:t>stato</w:t>
      </w:r>
      <w:r w:rsidR="00325676" w:rsidRPr="00A17989">
        <w:rPr>
          <w:rFonts w:ascii="Times New Roman" w:eastAsia="Times New Roman" w:hAnsi="Times New Roman" w:cs="Times New Roman"/>
          <w:color w:val="auto"/>
          <w:sz w:val="24"/>
          <w:szCs w:val="24"/>
        </w:rPr>
        <w:t xml:space="preserve"> </w:t>
      </w:r>
      <w:r w:rsidR="00325676">
        <w:rPr>
          <w:rFonts w:ascii="Times New Roman" w:eastAsia="Times New Roman" w:hAnsi="Times New Roman" w:cs="Times New Roman"/>
          <w:color w:val="auto"/>
          <w:sz w:val="24"/>
          <w:szCs w:val="24"/>
        </w:rPr>
        <w:t>f</w:t>
      </w:r>
      <w:r w:rsidRPr="00A17989">
        <w:rPr>
          <w:rFonts w:ascii="Times New Roman" w:eastAsia="Times New Roman" w:hAnsi="Times New Roman" w:cs="Times New Roman"/>
          <w:color w:val="auto"/>
          <w:sz w:val="24"/>
          <w:szCs w:val="24"/>
        </w:rPr>
        <w:t>a</w:t>
      </w:r>
      <w:r w:rsidR="00325676">
        <w:rPr>
          <w:rFonts w:ascii="Times New Roman" w:eastAsia="Times New Roman" w:hAnsi="Times New Roman" w:cs="Times New Roman"/>
          <w:color w:val="auto"/>
          <w:sz w:val="24"/>
          <w:szCs w:val="24"/>
        </w:rPr>
        <w:t>t</w:t>
      </w:r>
      <w:r w:rsidRPr="00A17989">
        <w:rPr>
          <w:rFonts w:ascii="Times New Roman" w:eastAsia="Times New Roman" w:hAnsi="Times New Roman" w:cs="Times New Roman"/>
          <w:color w:val="auto"/>
          <w:sz w:val="24"/>
          <w:szCs w:val="24"/>
        </w:rPr>
        <w:t>to</w:t>
      </w:r>
      <w:r w:rsidR="00325676">
        <w:rPr>
          <w:rFonts w:ascii="Times New Roman" w:eastAsia="Times New Roman" w:hAnsi="Times New Roman" w:cs="Times New Roman"/>
          <w:color w:val="auto"/>
          <w:sz w:val="24"/>
          <w:szCs w:val="24"/>
        </w:rPr>
        <w:t xml:space="preserve"> notare</w:t>
      </w:r>
      <w:r w:rsidRPr="00A17989">
        <w:rPr>
          <w:rFonts w:ascii="Times New Roman" w:eastAsia="Times New Roman" w:hAnsi="Times New Roman" w:cs="Times New Roman"/>
          <w:color w:val="auto"/>
          <w:sz w:val="24"/>
          <w:szCs w:val="24"/>
        </w:rPr>
        <w:t xml:space="preserve"> c</w:t>
      </w:r>
      <w:r w:rsidR="00325676">
        <w:rPr>
          <w:rFonts w:ascii="Times New Roman" w:eastAsia="Times New Roman" w:hAnsi="Times New Roman" w:cs="Times New Roman"/>
          <w:color w:val="auto"/>
          <w:sz w:val="24"/>
          <w:szCs w:val="24"/>
        </w:rPr>
        <w:t>om</w:t>
      </w:r>
      <w:r w:rsidRPr="00A17989">
        <w:rPr>
          <w:rFonts w:ascii="Times New Roman" w:eastAsia="Times New Roman" w:hAnsi="Times New Roman" w:cs="Times New Roman"/>
          <w:color w:val="auto"/>
          <w:sz w:val="24"/>
          <w:szCs w:val="24"/>
        </w:rPr>
        <w:t xml:space="preserve">e </w:t>
      </w:r>
      <w:r w:rsidR="00325676" w:rsidRPr="00A17989">
        <w:rPr>
          <w:rFonts w:ascii="Times New Roman" w:hAnsi="Times New Roman" w:cs="Times New Roman"/>
          <w:color w:val="auto"/>
          <w:sz w:val="24"/>
          <w:szCs w:val="24"/>
        </w:rPr>
        <w:t>«</w:t>
      </w:r>
      <w:r w:rsidRPr="00A17989">
        <w:rPr>
          <w:rFonts w:ascii="Times New Roman" w:eastAsia="Times New Roman" w:hAnsi="Times New Roman" w:cs="Times New Roman"/>
          <w:color w:val="auto"/>
          <w:sz w:val="24"/>
          <w:szCs w:val="24"/>
        </w:rPr>
        <w:t xml:space="preserve">l’attribuzione </w:t>
      </w:r>
      <w:r w:rsidRPr="00A17989">
        <w:rPr>
          <w:rFonts w:ascii="Times New Roman" w:eastAsia="Times New Roman" w:hAnsi="Times New Roman" w:cs="Times New Roman"/>
          <w:i/>
          <w:color w:val="auto"/>
          <w:sz w:val="24"/>
          <w:szCs w:val="24"/>
        </w:rPr>
        <w:t>ex lege</w:t>
      </w:r>
      <w:r w:rsidRPr="00A17989">
        <w:rPr>
          <w:rFonts w:ascii="Times New Roman" w:eastAsia="Times New Roman" w:hAnsi="Times New Roman" w:cs="Times New Roman"/>
          <w:color w:val="auto"/>
          <w:sz w:val="24"/>
          <w:szCs w:val="24"/>
        </w:rPr>
        <w:t xml:space="preserve"> ad un’autorità pubblica del potere (e forse dovere) di ricorrere dinanzi al giudice amministrativo a tutela di un interesse di valenza generale è stata avvertita come una novità sensazionale nel nostro sistema, che, come era prevedibile, ha destato immediatamente l’attenzione degli studiosi</w:t>
      </w:r>
      <w:r w:rsidR="00325676" w:rsidRPr="00A17989">
        <w:rPr>
          <w:rFonts w:ascii="Times New Roman" w:hAnsi="Times New Roman" w:cs="Times New Roman"/>
          <w:color w:val="auto"/>
          <w:sz w:val="24"/>
          <w:szCs w:val="24"/>
        </w:rPr>
        <w:t>»</w:t>
      </w:r>
      <w:r w:rsidRPr="00A17989">
        <w:rPr>
          <w:rStyle w:val="FootnoteReference"/>
          <w:rFonts w:ascii="Times New Roman" w:eastAsia="Times New Roman" w:hAnsi="Times New Roman" w:cs="Times New Roman"/>
          <w:color w:val="auto"/>
          <w:sz w:val="24"/>
          <w:szCs w:val="24"/>
        </w:rPr>
        <w:footnoteReference w:id="12"/>
      </w:r>
      <w:r w:rsidRPr="00A17989">
        <w:rPr>
          <w:rFonts w:ascii="Times New Roman" w:eastAsia="Times New Roman" w:hAnsi="Times New Roman" w:cs="Times New Roman"/>
          <w:color w:val="auto"/>
          <w:sz w:val="24"/>
          <w:szCs w:val="24"/>
        </w:rPr>
        <w:t>.</w:t>
      </w:r>
    </w:p>
    <w:p w:rsidR="00830D9F" w:rsidRPr="00A17989" w:rsidRDefault="00325676" w:rsidP="004E5891">
      <w:pPr>
        <w:pStyle w:val="Subtitle"/>
        <w:ind w:left="426" w:right="424" w:firstLine="567"/>
        <w:jc w:val="both"/>
        <w:rPr>
          <w:rFonts w:ascii="Times New Roman" w:eastAsia="Times New Roman" w:hAnsi="Times New Roman" w:cs="Times New Roman"/>
          <w:color w:val="auto"/>
          <w:sz w:val="24"/>
          <w:szCs w:val="24"/>
          <w:lang w:eastAsia="it-IT"/>
        </w:rPr>
      </w:pPr>
      <w:r>
        <w:rPr>
          <w:rFonts w:ascii="Times New Roman" w:eastAsia="Times New Roman" w:hAnsi="Times New Roman" w:cs="Times New Roman"/>
          <w:color w:val="auto"/>
          <w:sz w:val="24"/>
          <w:szCs w:val="24"/>
          <w:lang w:eastAsia="it-IT"/>
        </w:rPr>
        <w:t>T</w:t>
      </w:r>
      <w:r w:rsidRPr="00A17989">
        <w:rPr>
          <w:rFonts w:ascii="Times New Roman" w:eastAsia="Times New Roman" w:hAnsi="Times New Roman" w:cs="Times New Roman"/>
          <w:color w:val="auto"/>
          <w:sz w:val="24"/>
          <w:szCs w:val="24"/>
          <w:lang w:eastAsia="it-IT"/>
        </w:rPr>
        <w:t xml:space="preserve">uttavia, </w:t>
      </w:r>
      <w:r>
        <w:rPr>
          <w:rFonts w:ascii="Times New Roman" w:eastAsia="Times New Roman" w:hAnsi="Times New Roman" w:cs="Times New Roman"/>
          <w:color w:val="auto"/>
          <w:sz w:val="24"/>
          <w:szCs w:val="24"/>
          <w:lang w:eastAsia="it-IT"/>
        </w:rPr>
        <w:t>s</w:t>
      </w:r>
      <w:r w:rsidR="0087410D" w:rsidRPr="00A17989">
        <w:rPr>
          <w:rFonts w:ascii="Times New Roman" w:eastAsia="Times New Roman" w:hAnsi="Times New Roman" w:cs="Times New Roman"/>
          <w:color w:val="auto"/>
          <w:sz w:val="24"/>
          <w:szCs w:val="24"/>
          <w:lang w:eastAsia="it-IT"/>
        </w:rPr>
        <w:t>otto quest’aspetto</w:t>
      </w:r>
      <w:r w:rsidR="0001565A" w:rsidRPr="00A17989">
        <w:rPr>
          <w:rFonts w:ascii="Times New Roman" w:eastAsia="Times New Roman" w:hAnsi="Times New Roman" w:cs="Times New Roman"/>
          <w:color w:val="auto"/>
          <w:sz w:val="24"/>
          <w:szCs w:val="24"/>
          <w:lang w:eastAsia="it-IT"/>
        </w:rPr>
        <w:t xml:space="preserve">, </w:t>
      </w:r>
      <w:r w:rsidR="0087410D" w:rsidRPr="00A17989">
        <w:rPr>
          <w:rFonts w:ascii="Times New Roman" w:eastAsia="Times New Roman" w:hAnsi="Times New Roman" w:cs="Times New Roman"/>
          <w:color w:val="auto"/>
          <w:sz w:val="24"/>
          <w:szCs w:val="24"/>
          <w:lang w:eastAsia="it-IT"/>
        </w:rPr>
        <w:t xml:space="preserve">va </w:t>
      </w:r>
      <w:r>
        <w:rPr>
          <w:rFonts w:ascii="Times New Roman" w:eastAsia="Times New Roman" w:hAnsi="Times New Roman" w:cs="Times New Roman"/>
          <w:color w:val="auto"/>
          <w:sz w:val="24"/>
          <w:szCs w:val="24"/>
          <w:lang w:eastAsia="it-IT"/>
        </w:rPr>
        <w:t>considera</w:t>
      </w:r>
      <w:r w:rsidR="0087410D" w:rsidRPr="00A17989">
        <w:rPr>
          <w:rFonts w:ascii="Times New Roman" w:eastAsia="Times New Roman" w:hAnsi="Times New Roman" w:cs="Times New Roman"/>
          <w:color w:val="auto"/>
          <w:sz w:val="24"/>
          <w:szCs w:val="24"/>
          <w:lang w:eastAsia="it-IT"/>
        </w:rPr>
        <w:t xml:space="preserve">to che, </w:t>
      </w:r>
      <w:r w:rsidR="003A5B9C">
        <w:rPr>
          <w:rFonts w:ascii="Times New Roman" w:eastAsia="Times New Roman" w:hAnsi="Times New Roman" w:cs="Times New Roman"/>
          <w:color w:val="auto"/>
          <w:sz w:val="24"/>
          <w:szCs w:val="24"/>
          <w:lang w:eastAsia="it-IT"/>
        </w:rPr>
        <w:t>più</w:t>
      </w:r>
      <w:r w:rsidR="009A1DA9" w:rsidRPr="00A17989">
        <w:rPr>
          <w:rFonts w:ascii="Times New Roman" w:eastAsia="Times New Roman" w:hAnsi="Times New Roman" w:cs="Times New Roman"/>
          <w:color w:val="auto"/>
          <w:sz w:val="24"/>
          <w:szCs w:val="24"/>
          <w:lang w:eastAsia="it-IT"/>
        </w:rPr>
        <w:t xml:space="preserve"> </w:t>
      </w:r>
      <w:r w:rsidR="00AA6EF0" w:rsidRPr="00A17989">
        <w:rPr>
          <w:rFonts w:ascii="Times New Roman" w:eastAsia="Times New Roman" w:hAnsi="Times New Roman" w:cs="Times New Roman"/>
          <w:color w:val="auto"/>
          <w:sz w:val="24"/>
          <w:szCs w:val="24"/>
          <w:lang w:eastAsia="it-IT"/>
        </w:rPr>
        <w:t>di recente</w:t>
      </w:r>
      <w:r w:rsidR="0001565A" w:rsidRPr="00A17989">
        <w:rPr>
          <w:rFonts w:ascii="Times New Roman" w:eastAsia="Times New Roman" w:hAnsi="Times New Roman" w:cs="Times New Roman"/>
          <w:color w:val="auto"/>
          <w:sz w:val="24"/>
          <w:szCs w:val="24"/>
          <w:lang w:eastAsia="it-IT"/>
        </w:rPr>
        <w:t>, è intervenuta un’</w:t>
      </w:r>
      <w:r w:rsidR="005F023F" w:rsidRPr="00A17989">
        <w:rPr>
          <w:rFonts w:ascii="Times New Roman" w:eastAsia="Times New Roman" w:hAnsi="Times New Roman" w:cs="Times New Roman"/>
          <w:color w:val="auto"/>
          <w:sz w:val="24"/>
          <w:szCs w:val="24"/>
          <w:lang w:eastAsia="it-IT"/>
        </w:rPr>
        <w:t xml:space="preserve">importante </w:t>
      </w:r>
      <w:r w:rsidR="0001565A" w:rsidRPr="00A17989">
        <w:rPr>
          <w:rFonts w:ascii="Times New Roman" w:eastAsia="Times New Roman" w:hAnsi="Times New Roman" w:cs="Times New Roman"/>
          <w:color w:val="auto"/>
          <w:sz w:val="24"/>
          <w:szCs w:val="24"/>
          <w:lang w:eastAsia="it-IT"/>
        </w:rPr>
        <w:t>decisione della Consulta</w:t>
      </w:r>
      <w:r>
        <w:rPr>
          <w:rFonts w:ascii="Times New Roman" w:eastAsia="Times New Roman" w:hAnsi="Times New Roman" w:cs="Times New Roman"/>
          <w:color w:val="auto"/>
          <w:sz w:val="24"/>
          <w:szCs w:val="24"/>
          <w:lang w:eastAsia="it-IT"/>
        </w:rPr>
        <w:t>,</w:t>
      </w:r>
      <w:r w:rsidR="0001565A" w:rsidRPr="00A17989">
        <w:rPr>
          <w:rFonts w:ascii="Times New Roman" w:eastAsia="Times New Roman" w:hAnsi="Times New Roman" w:cs="Times New Roman"/>
          <w:color w:val="auto"/>
          <w:sz w:val="24"/>
          <w:szCs w:val="24"/>
          <w:lang w:eastAsia="it-IT"/>
        </w:rPr>
        <w:t xml:space="preserve"> su cui merita soffermarsi</w:t>
      </w:r>
      <w:r w:rsidR="005A6B98" w:rsidRPr="00A17989">
        <w:rPr>
          <w:rFonts w:ascii="Times New Roman" w:eastAsia="Times New Roman" w:hAnsi="Times New Roman" w:cs="Times New Roman"/>
          <w:color w:val="auto"/>
          <w:sz w:val="24"/>
          <w:szCs w:val="24"/>
          <w:lang w:eastAsia="it-IT"/>
        </w:rPr>
        <w:t>,</w:t>
      </w:r>
      <w:r w:rsidR="00AA6EF0" w:rsidRPr="00A17989">
        <w:rPr>
          <w:rFonts w:ascii="Times New Roman" w:eastAsia="Times New Roman" w:hAnsi="Times New Roman" w:cs="Times New Roman"/>
          <w:color w:val="auto"/>
          <w:sz w:val="24"/>
          <w:szCs w:val="24"/>
          <w:lang w:eastAsia="it-IT"/>
        </w:rPr>
        <w:t xml:space="preserve"> nella quale </w:t>
      </w:r>
      <w:r w:rsidR="00F12D64" w:rsidRPr="00A17989">
        <w:rPr>
          <w:rFonts w:ascii="Times New Roman" w:eastAsia="Times New Roman" w:hAnsi="Times New Roman" w:cs="Times New Roman"/>
          <w:color w:val="auto"/>
          <w:sz w:val="24"/>
          <w:szCs w:val="24"/>
          <w:lang w:eastAsia="it-IT"/>
        </w:rPr>
        <w:t xml:space="preserve">si </w:t>
      </w:r>
      <w:r w:rsidR="00AA6EF0" w:rsidRPr="00A17989">
        <w:rPr>
          <w:rFonts w:ascii="Times New Roman" w:eastAsia="Times New Roman" w:hAnsi="Times New Roman" w:cs="Times New Roman"/>
          <w:color w:val="auto"/>
          <w:sz w:val="24"/>
          <w:szCs w:val="24"/>
          <w:lang w:eastAsia="it-IT"/>
        </w:rPr>
        <w:t>è affrontata l</w:t>
      </w:r>
      <w:r w:rsidR="00F12D64" w:rsidRPr="00A17989">
        <w:rPr>
          <w:rFonts w:ascii="Times New Roman" w:eastAsia="Times New Roman" w:hAnsi="Times New Roman" w:cs="Times New Roman"/>
          <w:color w:val="auto"/>
          <w:sz w:val="24"/>
          <w:szCs w:val="24"/>
          <w:lang w:eastAsia="it-IT"/>
        </w:rPr>
        <w:t>’</w:t>
      </w:r>
      <w:r w:rsidR="00AA6EF0" w:rsidRPr="00A17989">
        <w:rPr>
          <w:rFonts w:ascii="Times New Roman" w:eastAsia="Times New Roman" w:hAnsi="Times New Roman" w:cs="Times New Roman"/>
          <w:color w:val="auto"/>
          <w:sz w:val="24"/>
          <w:szCs w:val="24"/>
          <w:lang w:eastAsia="it-IT"/>
        </w:rPr>
        <w:t>a</w:t>
      </w:r>
      <w:r w:rsidR="00F12D64" w:rsidRPr="00A17989">
        <w:rPr>
          <w:rFonts w:ascii="Times New Roman" w:eastAsia="Times New Roman" w:hAnsi="Times New Roman" w:cs="Times New Roman"/>
          <w:color w:val="auto"/>
          <w:sz w:val="24"/>
          <w:szCs w:val="24"/>
          <w:lang w:eastAsia="it-IT"/>
        </w:rPr>
        <w:t>pparentemente</w:t>
      </w:r>
      <w:r w:rsidR="00AA6EF0" w:rsidRPr="00A17989">
        <w:rPr>
          <w:rFonts w:ascii="Times New Roman" w:eastAsia="Times New Roman" w:hAnsi="Times New Roman" w:cs="Times New Roman"/>
          <w:color w:val="auto"/>
          <w:sz w:val="24"/>
          <w:szCs w:val="24"/>
          <w:lang w:eastAsia="it-IT"/>
        </w:rPr>
        <w:t xml:space="preserve"> </w:t>
      </w:r>
      <w:r w:rsidR="005A6B98" w:rsidRPr="00A17989">
        <w:rPr>
          <w:rFonts w:ascii="Times New Roman" w:eastAsia="Times New Roman" w:hAnsi="Times New Roman" w:cs="Times New Roman"/>
          <w:color w:val="auto"/>
          <w:sz w:val="24"/>
          <w:szCs w:val="24"/>
          <w:lang w:eastAsia="it-IT"/>
        </w:rPr>
        <w:t>di</w:t>
      </w:r>
      <w:r w:rsidR="00F12D64" w:rsidRPr="00A17989">
        <w:rPr>
          <w:rFonts w:ascii="Times New Roman" w:eastAsia="Times New Roman" w:hAnsi="Times New Roman" w:cs="Times New Roman"/>
          <w:color w:val="auto"/>
          <w:sz w:val="24"/>
          <w:szCs w:val="24"/>
          <w:lang w:eastAsia="it-IT"/>
        </w:rPr>
        <w:t xml:space="preserve">versa </w:t>
      </w:r>
      <w:r w:rsidR="00AA6EF0" w:rsidRPr="00A17989">
        <w:rPr>
          <w:rFonts w:ascii="Times New Roman" w:eastAsia="Times New Roman" w:hAnsi="Times New Roman" w:cs="Times New Roman"/>
          <w:color w:val="auto"/>
          <w:sz w:val="24"/>
          <w:szCs w:val="24"/>
          <w:lang w:eastAsia="it-IT"/>
        </w:rPr>
        <w:t xml:space="preserve">tematica della </w:t>
      </w:r>
      <w:r w:rsidR="00F12D64" w:rsidRPr="00A17989">
        <w:rPr>
          <w:rFonts w:ascii="Times New Roman" w:eastAsia="Times New Roman" w:hAnsi="Times New Roman" w:cs="Times New Roman"/>
          <w:color w:val="auto"/>
          <w:sz w:val="24"/>
          <w:szCs w:val="24"/>
          <w:lang w:eastAsia="it-IT"/>
        </w:rPr>
        <w:t>possibil</w:t>
      </w:r>
      <w:r w:rsidR="00AA6EF0" w:rsidRPr="00A17989">
        <w:rPr>
          <w:rFonts w:ascii="Times New Roman" w:eastAsia="Times New Roman" w:hAnsi="Times New Roman" w:cs="Times New Roman"/>
          <w:color w:val="auto"/>
          <w:sz w:val="24"/>
          <w:szCs w:val="24"/>
          <w:lang w:eastAsia="it-IT"/>
        </w:rPr>
        <w:t>ità</w:t>
      </w:r>
      <w:r w:rsidR="00F12D64" w:rsidRPr="00A17989">
        <w:rPr>
          <w:rFonts w:ascii="Times New Roman" w:eastAsia="Times New Roman" w:hAnsi="Times New Roman" w:cs="Times New Roman"/>
          <w:color w:val="auto"/>
          <w:sz w:val="24"/>
          <w:szCs w:val="24"/>
          <w:lang w:eastAsia="it-IT"/>
        </w:rPr>
        <w:t>,</w:t>
      </w:r>
      <w:r w:rsidR="00AA6EF0" w:rsidRPr="00A17989">
        <w:rPr>
          <w:rFonts w:ascii="Times New Roman" w:eastAsia="Times New Roman" w:hAnsi="Times New Roman" w:cs="Times New Roman"/>
          <w:color w:val="auto"/>
          <w:sz w:val="24"/>
          <w:szCs w:val="24"/>
          <w:lang w:eastAsia="it-IT"/>
        </w:rPr>
        <w:t xml:space="preserve"> </w:t>
      </w:r>
      <w:r w:rsidR="00F12D64" w:rsidRPr="00A17989">
        <w:rPr>
          <w:rFonts w:ascii="Times New Roman" w:eastAsia="Times New Roman" w:hAnsi="Times New Roman" w:cs="Times New Roman"/>
          <w:color w:val="auto"/>
          <w:sz w:val="24"/>
          <w:szCs w:val="24"/>
          <w:lang w:eastAsia="it-IT"/>
        </w:rPr>
        <w:t xml:space="preserve">da parte dell’AGCM e più in generale delle altre autorità indipendenti, </w:t>
      </w:r>
      <w:r w:rsidR="00AA6EF0" w:rsidRPr="00A17989">
        <w:rPr>
          <w:rFonts w:ascii="Times New Roman" w:eastAsia="Times New Roman" w:hAnsi="Times New Roman" w:cs="Times New Roman"/>
          <w:color w:val="auto"/>
          <w:sz w:val="24"/>
          <w:szCs w:val="24"/>
          <w:lang w:eastAsia="it-IT"/>
        </w:rPr>
        <w:t>di sollevare question</w:t>
      </w:r>
      <w:r w:rsidR="00F12D64" w:rsidRPr="00A17989">
        <w:rPr>
          <w:rFonts w:ascii="Times New Roman" w:eastAsia="Times New Roman" w:hAnsi="Times New Roman" w:cs="Times New Roman"/>
          <w:color w:val="auto"/>
          <w:sz w:val="24"/>
          <w:szCs w:val="24"/>
          <w:lang w:eastAsia="it-IT"/>
        </w:rPr>
        <w:t>i</w:t>
      </w:r>
      <w:r w:rsidR="00AA6EF0" w:rsidRPr="00A17989">
        <w:rPr>
          <w:rFonts w:ascii="Times New Roman" w:eastAsia="Times New Roman" w:hAnsi="Times New Roman" w:cs="Times New Roman"/>
          <w:color w:val="auto"/>
          <w:sz w:val="24"/>
          <w:szCs w:val="24"/>
          <w:lang w:eastAsia="it-IT"/>
        </w:rPr>
        <w:t xml:space="preserve"> di legittimità costituzionale in via incidentale</w:t>
      </w:r>
      <w:r w:rsidR="00AA6EF0" w:rsidRPr="00A17989">
        <w:rPr>
          <w:rStyle w:val="FootnoteReference"/>
          <w:rFonts w:ascii="Times New Roman" w:eastAsia="Times New Roman" w:hAnsi="Times New Roman" w:cs="Times New Roman"/>
          <w:color w:val="auto"/>
          <w:sz w:val="24"/>
          <w:szCs w:val="24"/>
          <w:lang w:eastAsia="it-IT"/>
        </w:rPr>
        <w:footnoteReference w:id="13"/>
      </w:r>
      <w:r w:rsidR="0001565A" w:rsidRPr="00A17989">
        <w:rPr>
          <w:rFonts w:ascii="Times New Roman" w:eastAsia="Times New Roman" w:hAnsi="Times New Roman" w:cs="Times New Roman"/>
          <w:color w:val="auto"/>
          <w:sz w:val="24"/>
          <w:szCs w:val="24"/>
          <w:lang w:eastAsia="it-IT"/>
        </w:rPr>
        <w:t>.</w:t>
      </w:r>
    </w:p>
    <w:p w:rsidR="001F2A1E" w:rsidRPr="00A17989" w:rsidRDefault="006701F4"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Nello sciogliere il quesito in senso negativo</w:t>
      </w:r>
      <w:r w:rsidR="001F2A1E" w:rsidRPr="00A17989">
        <w:rPr>
          <w:rFonts w:ascii="Times New Roman" w:eastAsia="Times New Roman" w:hAnsi="Times New Roman" w:cs="Times New Roman"/>
          <w:color w:val="auto"/>
          <w:sz w:val="24"/>
          <w:szCs w:val="24"/>
          <w:lang w:eastAsia="it-IT"/>
        </w:rPr>
        <w:t xml:space="preserve">, la Corte </w:t>
      </w:r>
      <w:r w:rsidR="00AA6EF0" w:rsidRPr="00A17989">
        <w:rPr>
          <w:rFonts w:ascii="Times New Roman" w:eastAsia="Times New Roman" w:hAnsi="Times New Roman" w:cs="Times New Roman"/>
          <w:color w:val="auto"/>
          <w:sz w:val="24"/>
          <w:szCs w:val="24"/>
          <w:lang w:eastAsia="it-IT"/>
        </w:rPr>
        <w:t>h</w:t>
      </w:r>
      <w:r w:rsidR="001F2A1E" w:rsidRPr="00A17989">
        <w:rPr>
          <w:rFonts w:ascii="Times New Roman" w:eastAsia="Times New Roman" w:hAnsi="Times New Roman" w:cs="Times New Roman"/>
          <w:color w:val="auto"/>
          <w:sz w:val="24"/>
          <w:szCs w:val="24"/>
          <w:lang w:eastAsia="it-IT"/>
        </w:rPr>
        <w:t xml:space="preserve">a </w:t>
      </w:r>
      <w:r w:rsidR="007A093B" w:rsidRPr="00A17989">
        <w:rPr>
          <w:rFonts w:ascii="Times New Roman" w:eastAsia="Times New Roman" w:hAnsi="Times New Roman" w:cs="Times New Roman"/>
          <w:color w:val="auto"/>
          <w:sz w:val="24"/>
          <w:szCs w:val="24"/>
          <w:lang w:eastAsia="it-IT"/>
        </w:rPr>
        <w:t>ramment</w:t>
      </w:r>
      <w:r w:rsidR="001F2A1E" w:rsidRPr="00A17989">
        <w:rPr>
          <w:rFonts w:ascii="Times New Roman" w:eastAsia="Times New Roman" w:hAnsi="Times New Roman" w:cs="Times New Roman"/>
          <w:color w:val="auto"/>
          <w:sz w:val="24"/>
          <w:szCs w:val="24"/>
          <w:lang w:eastAsia="it-IT"/>
        </w:rPr>
        <w:t xml:space="preserve">ato come la legittimazione a promuovere il sindacato di costituzionalità </w:t>
      </w:r>
      <w:r w:rsidR="005A6B98" w:rsidRPr="00A17989">
        <w:rPr>
          <w:rFonts w:ascii="Times New Roman" w:eastAsia="Times New Roman" w:hAnsi="Times New Roman" w:cs="Times New Roman"/>
          <w:color w:val="auto"/>
          <w:sz w:val="24"/>
          <w:szCs w:val="24"/>
          <w:lang w:eastAsia="it-IT"/>
        </w:rPr>
        <w:t>può</w:t>
      </w:r>
      <w:r w:rsidR="001F2A1E" w:rsidRPr="00A17989">
        <w:rPr>
          <w:rFonts w:ascii="Times New Roman" w:eastAsia="Times New Roman" w:hAnsi="Times New Roman" w:cs="Times New Roman"/>
          <w:color w:val="auto"/>
          <w:sz w:val="24"/>
          <w:szCs w:val="24"/>
          <w:lang w:eastAsia="it-IT"/>
        </w:rPr>
        <w:t xml:space="preserve"> riconosc</w:t>
      </w:r>
      <w:r w:rsidR="005A6B98" w:rsidRPr="00A17989">
        <w:rPr>
          <w:rFonts w:ascii="Times New Roman" w:eastAsia="Times New Roman" w:hAnsi="Times New Roman" w:cs="Times New Roman"/>
          <w:color w:val="auto"/>
          <w:sz w:val="24"/>
          <w:szCs w:val="24"/>
          <w:lang w:eastAsia="it-IT"/>
        </w:rPr>
        <w:t>ersi</w:t>
      </w:r>
      <w:r w:rsidR="001F2A1E" w:rsidRPr="00A17989">
        <w:rPr>
          <w:rFonts w:ascii="Times New Roman" w:eastAsia="Times New Roman" w:hAnsi="Times New Roman" w:cs="Times New Roman"/>
          <w:color w:val="auto"/>
          <w:sz w:val="24"/>
          <w:szCs w:val="24"/>
          <w:lang w:eastAsia="it-IT"/>
        </w:rPr>
        <w:t xml:space="preserve"> anche ad organi non incardinati in un ordine giudiziario</w:t>
      </w:r>
      <w:r w:rsidR="004E66EF" w:rsidRPr="00A17989">
        <w:rPr>
          <w:rFonts w:ascii="Times New Roman" w:eastAsia="Times New Roman" w:hAnsi="Times New Roman" w:cs="Times New Roman"/>
          <w:color w:val="auto"/>
          <w:sz w:val="24"/>
          <w:szCs w:val="24"/>
          <w:lang w:eastAsia="it-IT"/>
        </w:rPr>
        <w:t>,</w:t>
      </w:r>
      <w:r w:rsidR="001F2A1E" w:rsidRPr="00A17989">
        <w:rPr>
          <w:rFonts w:ascii="Times New Roman" w:eastAsia="Times New Roman" w:hAnsi="Times New Roman" w:cs="Times New Roman"/>
          <w:color w:val="auto"/>
          <w:sz w:val="24"/>
          <w:szCs w:val="24"/>
          <w:lang w:eastAsia="it-IT"/>
        </w:rPr>
        <w:t xml:space="preserve"> </w:t>
      </w:r>
      <w:r w:rsidR="00325676" w:rsidRPr="00A17989">
        <w:rPr>
          <w:rFonts w:ascii="Times New Roman" w:hAnsi="Times New Roman" w:cs="Times New Roman"/>
          <w:color w:val="auto"/>
          <w:sz w:val="24"/>
          <w:szCs w:val="24"/>
        </w:rPr>
        <w:t>«</w:t>
      </w:r>
      <w:r w:rsidR="001F2A1E" w:rsidRPr="00A17989">
        <w:rPr>
          <w:rFonts w:ascii="Times New Roman" w:eastAsia="Times New Roman" w:hAnsi="Times New Roman" w:cs="Times New Roman"/>
          <w:color w:val="auto"/>
          <w:sz w:val="24"/>
          <w:szCs w:val="24"/>
          <w:lang w:eastAsia="it-IT"/>
        </w:rPr>
        <w:t>ma sempre in presenza dell</w:t>
      </w:r>
      <w:r w:rsidR="002A615C" w:rsidRPr="00A17989">
        <w:rPr>
          <w:rFonts w:ascii="Times New Roman" w:eastAsia="Times New Roman" w:hAnsi="Times New Roman" w:cs="Times New Roman"/>
          <w:color w:val="auto"/>
          <w:sz w:val="24"/>
          <w:szCs w:val="24"/>
          <w:lang w:eastAsia="it-IT"/>
        </w:rPr>
        <w:t>’</w:t>
      </w:r>
      <w:r w:rsidR="001F2A1E" w:rsidRPr="00A17989">
        <w:rPr>
          <w:rFonts w:ascii="Times New Roman" w:eastAsia="Times New Roman" w:hAnsi="Times New Roman" w:cs="Times New Roman"/>
          <w:color w:val="auto"/>
          <w:sz w:val="24"/>
          <w:szCs w:val="24"/>
          <w:lang w:eastAsia="it-IT"/>
        </w:rPr>
        <w:t>essenziale requisito della terzietà</w:t>
      </w:r>
      <w:r w:rsidR="00325676" w:rsidRPr="00A17989">
        <w:rPr>
          <w:rFonts w:ascii="Times New Roman" w:hAnsi="Times New Roman" w:cs="Times New Roman"/>
          <w:color w:val="auto"/>
          <w:sz w:val="24"/>
          <w:szCs w:val="24"/>
        </w:rPr>
        <w:t>»</w:t>
      </w:r>
      <w:r w:rsidR="001F2A1E" w:rsidRPr="00A17989">
        <w:rPr>
          <w:rFonts w:ascii="Times New Roman" w:eastAsia="Times New Roman" w:hAnsi="Times New Roman" w:cs="Times New Roman"/>
          <w:color w:val="auto"/>
          <w:sz w:val="24"/>
          <w:szCs w:val="24"/>
          <w:lang w:eastAsia="it-IT"/>
        </w:rPr>
        <w:t>.</w:t>
      </w:r>
    </w:p>
    <w:p w:rsidR="001F2A1E" w:rsidRPr="00A17989" w:rsidRDefault="00AA6EF0"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Nondimeno</w:t>
      </w:r>
      <w:r w:rsidR="00916C37" w:rsidRPr="00A17989">
        <w:rPr>
          <w:rFonts w:ascii="Times New Roman" w:eastAsia="Times New Roman" w:hAnsi="Times New Roman" w:cs="Times New Roman"/>
          <w:color w:val="auto"/>
          <w:sz w:val="24"/>
          <w:szCs w:val="24"/>
          <w:lang w:eastAsia="it-IT"/>
        </w:rPr>
        <w:t>, n</w:t>
      </w:r>
      <w:r w:rsidR="001F2A1E" w:rsidRPr="00A17989">
        <w:rPr>
          <w:rFonts w:ascii="Times New Roman" w:eastAsia="Times New Roman" w:hAnsi="Times New Roman" w:cs="Times New Roman"/>
          <w:color w:val="auto"/>
          <w:sz w:val="24"/>
          <w:szCs w:val="24"/>
          <w:lang w:eastAsia="it-IT"/>
        </w:rPr>
        <w:t>el caso</w:t>
      </w:r>
      <w:r w:rsidR="006701F4" w:rsidRPr="00A17989">
        <w:rPr>
          <w:rFonts w:ascii="Times New Roman" w:eastAsia="Times New Roman" w:hAnsi="Times New Roman" w:cs="Times New Roman"/>
          <w:color w:val="auto"/>
          <w:sz w:val="24"/>
          <w:szCs w:val="24"/>
          <w:lang w:eastAsia="it-IT"/>
        </w:rPr>
        <w:t xml:space="preserve"> in esame</w:t>
      </w:r>
      <w:r w:rsidR="001F2A1E" w:rsidRPr="00A17989">
        <w:rPr>
          <w:rFonts w:ascii="Times New Roman" w:eastAsia="Times New Roman" w:hAnsi="Times New Roman" w:cs="Times New Roman"/>
          <w:color w:val="auto"/>
          <w:sz w:val="24"/>
          <w:szCs w:val="24"/>
          <w:lang w:eastAsia="it-IT"/>
        </w:rPr>
        <w:t xml:space="preserve">, </w:t>
      </w:r>
      <w:r w:rsidR="003A5B9C" w:rsidRPr="00A17989">
        <w:rPr>
          <w:rFonts w:ascii="Times New Roman" w:hAnsi="Times New Roman" w:cs="Times New Roman"/>
          <w:color w:val="auto"/>
          <w:sz w:val="24"/>
          <w:szCs w:val="24"/>
        </w:rPr>
        <w:t>«</w:t>
      </w:r>
      <w:r w:rsidR="001F2A1E" w:rsidRPr="00A17989">
        <w:rPr>
          <w:rFonts w:ascii="Times New Roman" w:eastAsia="Times New Roman" w:hAnsi="Times New Roman" w:cs="Times New Roman"/>
          <w:color w:val="auto"/>
          <w:sz w:val="24"/>
          <w:szCs w:val="24"/>
          <w:lang w:eastAsia="it-IT"/>
        </w:rPr>
        <w:t>tale requisito manca</w:t>
      </w:r>
      <w:r w:rsidR="003A5B9C" w:rsidRPr="00A17989">
        <w:rPr>
          <w:rFonts w:ascii="Times New Roman" w:hAnsi="Times New Roman" w:cs="Times New Roman"/>
          <w:color w:val="auto"/>
          <w:sz w:val="24"/>
          <w:szCs w:val="24"/>
        </w:rPr>
        <w:t>»</w:t>
      </w:r>
      <w:r w:rsidR="004E66EF" w:rsidRPr="00A17989">
        <w:rPr>
          <w:rFonts w:ascii="Times New Roman" w:eastAsia="Times New Roman" w:hAnsi="Times New Roman" w:cs="Times New Roman"/>
          <w:color w:val="auto"/>
          <w:sz w:val="24"/>
          <w:szCs w:val="24"/>
          <w:lang w:eastAsia="it-IT"/>
        </w:rPr>
        <w:t>,</w:t>
      </w:r>
      <w:r w:rsidR="001F2A1E" w:rsidRPr="00A17989">
        <w:rPr>
          <w:rFonts w:ascii="Times New Roman" w:eastAsia="Times New Roman" w:hAnsi="Times New Roman" w:cs="Times New Roman"/>
          <w:color w:val="auto"/>
          <w:sz w:val="24"/>
          <w:szCs w:val="24"/>
          <w:lang w:eastAsia="it-IT"/>
        </w:rPr>
        <w:t xml:space="preserve"> </w:t>
      </w:r>
      <w:r w:rsidR="006701F4" w:rsidRPr="00A17989">
        <w:rPr>
          <w:rFonts w:ascii="Times New Roman" w:eastAsia="Times New Roman" w:hAnsi="Times New Roman" w:cs="Times New Roman"/>
          <w:color w:val="auto"/>
          <w:sz w:val="24"/>
          <w:szCs w:val="24"/>
          <w:lang w:eastAsia="it-IT"/>
        </w:rPr>
        <w:t xml:space="preserve">principalmente </w:t>
      </w:r>
      <w:r w:rsidR="001F2A1E" w:rsidRPr="00A17989">
        <w:rPr>
          <w:rFonts w:ascii="Times New Roman" w:eastAsia="Times New Roman" w:hAnsi="Times New Roman" w:cs="Times New Roman"/>
          <w:color w:val="auto"/>
          <w:sz w:val="24"/>
          <w:szCs w:val="24"/>
          <w:lang w:eastAsia="it-IT"/>
        </w:rPr>
        <w:t xml:space="preserve">in ragione del fatto che </w:t>
      </w:r>
      <w:r w:rsidR="006701F4" w:rsidRPr="00A17989">
        <w:rPr>
          <w:rFonts w:ascii="Times New Roman" w:eastAsia="Times New Roman" w:hAnsi="Times New Roman" w:cs="Times New Roman"/>
          <w:color w:val="auto"/>
          <w:sz w:val="24"/>
          <w:szCs w:val="24"/>
          <w:lang w:eastAsia="it-IT"/>
        </w:rPr>
        <w:t>l’autorità indipendente</w:t>
      </w:r>
      <w:r w:rsidR="001F2A1E" w:rsidRPr="00A17989">
        <w:rPr>
          <w:rFonts w:ascii="Times New Roman" w:eastAsia="Times New Roman" w:hAnsi="Times New Roman" w:cs="Times New Roman"/>
          <w:color w:val="auto"/>
          <w:sz w:val="24"/>
          <w:szCs w:val="24"/>
          <w:lang w:eastAsia="it-IT"/>
        </w:rPr>
        <w:t xml:space="preserve"> assume la posizione di parte nel processo amministrativo avverso i suoi provvedimenti</w:t>
      </w:r>
      <w:r w:rsidR="006701F4" w:rsidRPr="00A17989">
        <w:rPr>
          <w:rFonts w:ascii="Times New Roman" w:eastAsia="Times New Roman" w:hAnsi="Times New Roman" w:cs="Times New Roman"/>
          <w:color w:val="auto"/>
          <w:sz w:val="24"/>
          <w:szCs w:val="24"/>
          <w:lang w:eastAsia="it-IT"/>
        </w:rPr>
        <w:t>, cosa</w:t>
      </w:r>
      <w:r w:rsidR="001F2A1E" w:rsidRPr="00A17989">
        <w:rPr>
          <w:rFonts w:ascii="Times New Roman" w:eastAsia="Times New Roman" w:hAnsi="Times New Roman" w:cs="Times New Roman"/>
          <w:color w:val="auto"/>
          <w:sz w:val="24"/>
          <w:szCs w:val="24"/>
          <w:lang w:eastAsia="it-IT"/>
        </w:rPr>
        <w:t xml:space="preserve"> </w:t>
      </w:r>
      <w:r w:rsidR="006701F4" w:rsidRPr="00A17989">
        <w:rPr>
          <w:rFonts w:ascii="Times New Roman" w:eastAsia="Times New Roman" w:hAnsi="Times New Roman" w:cs="Times New Roman"/>
          <w:color w:val="auto"/>
          <w:sz w:val="24"/>
          <w:szCs w:val="24"/>
          <w:lang w:eastAsia="it-IT"/>
        </w:rPr>
        <w:t>ch</w:t>
      </w:r>
      <w:r w:rsidR="001F2A1E" w:rsidRPr="00A17989">
        <w:rPr>
          <w:rFonts w:ascii="Times New Roman" w:eastAsia="Times New Roman" w:hAnsi="Times New Roman" w:cs="Times New Roman"/>
          <w:color w:val="auto"/>
          <w:sz w:val="24"/>
          <w:szCs w:val="24"/>
          <w:lang w:eastAsia="it-IT"/>
        </w:rPr>
        <w:t>e appare ontologicamente incompatibile con la posizione di giudice.</w:t>
      </w:r>
    </w:p>
    <w:p w:rsidR="006701F4" w:rsidRDefault="002A615C"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L’</w:t>
      </w:r>
      <w:r w:rsidR="001F2A1E" w:rsidRPr="00A17989">
        <w:rPr>
          <w:rFonts w:ascii="Times New Roman" w:eastAsia="Times New Roman" w:hAnsi="Times New Roman" w:cs="Times New Roman"/>
          <w:color w:val="auto"/>
          <w:sz w:val="24"/>
          <w:szCs w:val="24"/>
          <w:lang w:eastAsia="it-IT"/>
        </w:rPr>
        <w:t>AGCM</w:t>
      </w:r>
      <w:r w:rsidRPr="00A17989">
        <w:rPr>
          <w:rFonts w:ascii="Times New Roman" w:eastAsia="Times New Roman" w:hAnsi="Times New Roman" w:cs="Times New Roman"/>
          <w:color w:val="auto"/>
          <w:sz w:val="24"/>
          <w:szCs w:val="24"/>
          <w:lang w:eastAsia="it-IT"/>
        </w:rPr>
        <w:t>,</w:t>
      </w:r>
      <w:r w:rsidR="001F2A1E"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 xml:space="preserve">infatti, </w:t>
      </w:r>
      <w:r w:rsidR="00325676" w:rsidRPr="00A17989">
        <w:rPr>
          <w:rFonts w:ascii="Times New Roman" w:hAnsi="Times New Roman" w:cs="Times New Roman"/>
          <w:color w:val="auto"/>
          <w:sz w:val="24"/>
          <w:szCs w:val="24"/>
        </w:rPr>
        <w:t>«</w:t>
      </w:r>
      <w:r w:rsidR="001F2A1E" w:rsidRPr="00A17989">
        <w:rPr>
          <w:rFonts w:ascii="Times New Roman" w:eastAsia="Times New Roman" w:hAnsi="Times New Roman" w:cs="Times New Roman"/>
          <w:color w:val="auto"/>
          <w:sz w:val="24"/>
          <w:szCs w:val="24"/>
          <w:lang w:eastAsia="it-IT"/>
        </w:rPr>
        <w:t>al pari di tutte le amministrazioni, è portatrice di un interesse pubblico specifico, che è quello alla tutela della concorrenza e del mercato (.</w:t>
      </w:r>
      <w:r w:rsidRPr="00A17989">
        <w:rPr>
          <w:rFonts w:ascii="Times New Roman" w:eastAsia="Times New Roman" w:hAnsi="Times New Roman" w:cs="Times New Roman"/>
          <w:color w:val="auto"/>
          <w:sz w:val="24"/>
          <w:szCs w:val="24"/>
          <w:lang w:eastAsia="it-IT"/>
        </w:rPr>
        <w:t>.</w:t>
      </w:r>
      <w:r w:rsidR="001F2A1E" w:rsidRPr="00A17989">
        <w:rPr>
          <w:rFonts w:ascii="Times New Roman" w:eastAsia="Times New Roman" w:hAnsi="Times New Roman" w:cs="Times New Roman"/>
          <w:color w:val="auto"/>
          <w:sz w:val="24"/>
          <w:szCs w:val="24"/>
          <w:lang w:eastAsia="it-IT"/>
        </w:rPr>
        <w:t>.), e quindi non è in posizione di indifferenza e neutralità rispetto agli interessi e alle posizioni soggettive che vengono in rilievo nello svolgimento della sua attività istituzionale</w:t>
      </w:r>
      <w:r w:rsidR="00325676" w:rsidRPr="00A17989">
        <w:rPr>
          <w:rFonts w:ascii="Times New Roman" w:hAnsi="Times New Roman" w:cs="Times New Roman"/>
          <w:color w:val="auto"/>
          <w:sz w:val="24"/>
          <w:szCs w:val="24"/>
        </w:rPr>
        <w:t>»</w:t>
      </w:r>
      <w:r w:rsidR="001F2A1E" w:rsidRPr="00A17989">
        <w:rPr>
          <w:rFonts w:ascii="Times New Roman" w:eastAsia="Times New Roman" w:hAnsi="Times New Roman" w:cs="Times New Roman"/>
          <w:color w:val="auto"/>
          <w:sz w:val="24"/>
          <w:szCs w:val="24"/>
          <w:lang w:eastAsia="it-IT"/>
        </w:rPr>
        <w:t>.</w:t>
      </w:r>
    </w:p>
    <w:p w:rsidR="0039588E" w:rsidRPr="0039588E" w:rsidRDefault="003A5B9C" w:rsidP="0039588E">
      <w:pPr>
        <w:pStyle w:val="Subtitle"/>
        <w:ind w:left="426" w:right="424" w:firstLine="567"/>
        <w:jc w:val="both"/>
        <w:rPr>
          <w:rFonts w:ascii="Times New Roman" w:eastAsia="Times New Roman" w:hAnsi="Times New Roman" w:cs="Times New Roman"/>
          <w:color w:val="auto"/>
          <w:sz w:val="24"/>
          <w:szCs w:val="24"/>
          <w:lang w:eastAsia="it-IT"/>
        </w:rPr>
      </w:pPr>
      <w:r>
        <w:rPr>
          <w:rFonts w:ascii="Times New Roman" w:eastAsia="Times New Roman" w:hAnsi="Times New Roman" w:cs="Times New Roman"/>
          <w:color w:val="auto"/>
          <w:sz w:val="24"/>
          <w:szCs w:val="24"/>
          <w:lang w:eastAsia="it-IT"/>
        </w:rPr>
        <w:t>I</w:t>
      </w:r>
      <w:r w:rsidR="0039588E" w:rsidRPr="0039588E">
        <w:rPr>
          <w:rFonts w:ascii="Times New Roman" w:eastAsia="Times New Roman" w:hAnsi="Times New Roman" w:cs="Times New Roman"/>
          <w:color w:val="auto"/>
          <w:sz w:val="24"/>
          <w:szCs w:val="24"/>
          <w:lang w:eastAsia="it-IT"/>
        </w:rPr>
        <w:t>n</w:t>
      </w:r>
      <w:r w:rsidR="0039588E">
        <w:rPr>
          <w:rFonts w:ascii="Times New Roman" w:eastAsia="Times New Roman" w:hAnsi="Times New Roman" w:cs="Times New Roman"/>
          <w:color w:val="auto"/>
          <w:sz w:val="24"/>
          <w:szCs w:val="24"/>
          <w:lang w:eastAsia="it-IT"/>
        </w:rPr>
        <w:t>fin</w:t>
      </w:r>
      <w:r w:rsidR="0039588E" w:rsidRPr="0039588E">
        <w:rPr>
          <w:rFonts w:ascii="Times New Roman" w:eastAsia="Times New Roman" w:hAnsi="Times New Roman" w:cs="Times New Roman"/>
          <w:color w:val="auto"/>
          <w:sz w:val="24"/>
          <w:szCs w:val="24"/>
          <w:lang w:eastAsia="it-IT"/>
        </w:rPr>
        <w:t xml:space="preserve">e, </w:t>
      </w:r>
      <w:r w:rsidR="0039588E" w:rsidRPr="00A17989">
        <w:rPr>
          <w:rFonts w:ascii="Times New Roman" w:hAnsi="Times New Roman" w:cs="Times New Roman"/>
          <w:color w:val="auto"/>
          <w:sz w:val="24"/>
          <w:szCs w:val="24"/>
        </w:rPr>
        <w:t>«</w:t>
      </w:r>
      <w:r w:rsidR="0039588E" w:rsidRPr="0039588E">
        <w:rPr>
          <w:rFonts w:ascii="Times New Roman" w:eastAsia="Times New Roman" w:hAnsi="Times New Roman" w:cs="Times New Roman"/>
          <w:color w:val="auto"/>
          <w:sz w:val="24"/>
          <w:szCs w:val="24"/>
          <w:lang w:eastAsia="it-IT"/>
        </w:rPr>
        <w:t>l’attività dell’</w:t>
      </w:r>
      <w:r w:rsidR="005F22AF">
        <w:rPr>
          <w:rFonts w:ascii="Times New Roman" w:eastAsia="Times New Roman" w:hAnsi="Times New Roman" w:cs="Times New Roman"/>
          <w:color w:val="auto"/>
          <w:sz w:val="24"/>
          <w:szCs w:val="24"/>
          <w:lang w:eastAsia="it-IT"/>
        </w:rPr>
        <w:t>a</w:t>
      </w:r>
      <w:r w:rsidR="0039588E" w:rsidRPr="0039588E">
        <w:rPr>
          <w:rFonts w:ascii="Times New Roman" w:eastAsia="Times New Roman" w:hAnsi="Times New Roman" w:cs="Times New Roman"/>
          <w:color w:val="auto"/>
          <w:sz w:val="24"/>
          <w:szCs w:val="24"/>
          <w:lang w:eastAsia="it-IT"/>
        </w:rPr>
        <w:t>utorità garante si sviluppa nell’ambito di un contraddittorio che non si differenzia – se non per la sua intensità – da quello procedimentale classico e che resta di natura verticale, proprio perché il privato si confronta con un soggetto che, nell’irrogazione della sanzione, in quanto titolare di un ben definito interesse pubblico, non è in posizione di parità</w:t>
      </w:r>
      <w:r w:rsidR="0039588E" w:rsidRPr="00A17989">
        <w:rPr>
          <w:rFonts w:ascii="Times New Roman" w:hAnsi="Times New Roman" w:cs="Times New Roman"/>
          <w:color w:val="auto"/>
          <w:sz w:val="24"/>
          <w:szCs w:val="24"/>
        </w:rPr>
        <w:t>»</w:t>
      </w:r>
      <w:r w:rsidR="0039588E">
        <w:rPr>
          <w:rStyle w:val="FootnoteReference"/>
          <w:rFonts w:ascii="Times New Roman" w:hAnsi="Times New Roman" w:cs="Times New Roman"/>
          <w:color w:val="auto"/>
          <w:sz w:val="24"/>
          <w:szCs w:val="24"/>
        </w:rPr>
        <w:footnoteReference w:id="14"/>
      </w:r>
      <w:r w:rsidR="0039588E">
        <w:rPr>
          <w:rFonts w:ascii="Times New Roman" w:hAnsi="Times New Roman" w:cs="Times New Roman"/>
          <w:color w:val="auto"/>
          <w:sz w:val="24"/>
          <w:szCs w:val="24"/>
        </w:rPr>
        <w:t>.</w:t>
      </w:r>
    </w:p>
    <w:p w:rsidR="004E66EF" w:rsidRPr="00A17989" w:rsidRDefault="004E66EF" w:rsidP="008E7872">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Viene </w:t>
      </w:r>
      <w:r w:rsidR="00AA6EF0" w:rsidRPr="00A17989">
        <w:rPr>
          <w:rFonts w:ascii="Times New Roman" w:eastAsia="Times New Roman" w:hAnsi="Times New Roman" w:cs="Times New Roman"/>
          <w:color w:val="auto"/>
          <w:sz w:val="24"/>
          <w:szCs w:val="24"/>
          <w:lang w:eastAsia="it-IT"/>
        </w:rPr>
        <w:t>così</w:t>
      </w:r>
      <w:r w:rsidRPr="00A17989">
        <w:rPr>
          <w:rFonts w:ascii="Times New Roman" w:eastAsia="Times New Roman" w:hAnsi="Times New Roman" w:cs="Times New Roman"/>
          <w:color w:val="auto"/>
          <w:sz w:val="24"/>
          <w:szCs w:val="24"/>
          <w:lang w:eastAsia="it-IT"/>
        </w:rPr>
        <w:t xml:space="preserve"> esclusa la natura </w:t>
      </w:r>
      <w:r w:rsidR="0043194A" w:rsidRPr="00A17989">
        <w:rPr>
          <w:rFonts w:ascii="Times New Roman" w:eastAsia="Times New Roman" w:hAnsi="Times New Roman" w:cs="Times New Roman"/>
          <w:color w:val="auto"/>
          <w:sz w:val="24"/>
          <w:szCs w:val="24"/>
          <w:lang w:eastAsia="it-IT"/>
        </w:rPr>
        <w:t xml:space="preserve">di organismo </w:t>
      </w:r>
      <w:r w:rsidRPr="00A17989">
        <w:rPr>
          <w:rFonts w:ascii="Times New Roman" w:eastAsia="Times New Roman" w:hAnsi="Times New Roman" w:cs="Times New Roman"/>
          <w:color w:val="auto"/>
          <w:sz w:val="24"/>
          <w:szCs w:val="24"/>
          <w:lang w:eastAsia="it-IT"/>
        </w:rPr>
        <w:t>para</w:t>
      </w:r>
      <w:r w:rsidR="006701F4" w:rsidRPr="00A17989">
        <w:rPr>
          <w:rFonts w:ascii="Times New Roman" w:eastAsia="Times New Roman" w:hAnsi="Times New Roman" w:cs="Times New Roman"/>
          <w:color w:val="auto"/>
          <w:sz w:val="24"/>
          <w:szCs w:val="24"/>
          <w:lang w:eastAsia="it-IT"/>
        </w:rPr>
        <w:t>-</w:t>
      </w:r>
      <w:r w:rsidRPr="00A17989">
        <w:rPr>
          <w:rFonts w:ascii="Times New Roman" w:eastAsia="Times New Roman" w:hAnsi="Times New Roman" w:cs="Times New Roman"/>
          <w:color w:val="auto"/>
          <w:sz w:val="24"/>
          <w:szCs w:val="24"/>
          <w:lang w:eastAsia="it-IT"/>
        </w:rPr>
        <w:t>giurisdizionale</w:t>
      </w:r>
      <w:r w:rsidR="002175C4">
        <w:rPr>
          <w:rStyle w:val="FootnoteReference"/>
          <w:rFonts w:ascii="Times New Roman" w:eastAsia="Times New Roman" w:hAnsi="Times New Roman" w:cs="Times New Roman"/>
          <w:color w:val="auto"/>
          <w:sz w:val="24"/>
          <w:szCs w:val="24"/>
          <w:lang w:eastAsia="it-IT"/>
        </w:rPr>
        <w:footnoteReference w:id="15"/>
      </w:r>
      <w:r w:rsidR="0043194A">
        <w:rPr>
          <w:rFonts w:ascii="Times New Roman" w:eastAsia="Times New Roman" w:hAnsi="Times New Roman" w:cs="Times New Roman"/>
          <w:color w:val="auto"/>
          <w:sz w:val="24"/>
          <w:szCs w:val="24"/>
          <w:lang w:eastAsia="it-IT"/>
        </w:rPr>
        <w:t>,</w:t>
      </w:r>
      <w:r w:rsidRPr="00A17989">
        <w:rPr>
          <w:rFonts w:ascii="Times New Roman" w:eastAsia="Times New Roman" w:hAnsi="Times New Roman" w:cs="Times New Roman"/>
          <w:color w:val="auto"/>
          <w:sz w:val="24"/>
          <w:szCs w:val="24"/>
          <w:lang w:eastAsia="it-IT"/>
        </w:rPr>
        <w:t xml:space="preserve"> </w:t>
      </w:r>
      <w:r w:rsidR="0043194A">
        <w:rPr>
          <w:rFonts w:ascii="Times New Roman" w:eastAsia="Times New Roman" w:hAnsi="Times New Roman" w:cs="Times New Roman"/>
          <w:color w:val="auto"/>
          <w:sz w:val="24"/>
          <w:szCs w:val="24"/>
          <w:lang w:eastAsia="it-IT"/>
        </w:rPr>
        <w:t xml:space="preserve">ovvero </w:t>
      </w:r>
      <w:r w:rsidR="005330D2" w:rsidRPr="00A17989">
        <w:rPr>
          <w:rFonts w:ascii="Times New Roman" w:eastAsia="Times New Roman" w:hAnsi="Times New Roman" w:cs="Times New Roman"/>
          <w:color w:val="auto"/>
          <w:sz w:val="24"/>
          <w:szCs w:val="24"/>
          <w:lang w:eastAsia="it-IT"/>
        </w:rPr>
        <w:t xml:space="preserve">di terzo genere tra </w:t>
      </w:r>
      <w:r w:rsidR="00ED3AE3" w:rsidRPr="00A17989">
        <w:rPr>
          <w:rFonts w:ascii="Times New Roman" w:eastAsia="Times New Roman" w:hAnsi="Times New Roman" w:cs="Times New Roman"/>
          <w:color w:val="auto"/>
          <w:sz w:val="24"/>
          <w:szCs w:val="24"/>
          <w:lang w:eastAsia="it-IT"/>
        </w:rPr>
        <w:t xml:space="preserve">amministrazione e </w:t>
      </w:r>
      <w:r w:rsidR="005330D2" w:rsidRPr="00A17989">
        <w:rPr>
          <w:rFonts w:ascii="Times New Roman" w:eastAsia="Times New Roman" w:hAnsi="Times New Roman" w:cs="Times New Roman"/>
          <w:color w:val="auto"/>
          <w:sz w:val="24"/>
          <w:szCs w:val="24"/>
          <w:lang w:eastAsia="it-IT"/>
        </w:rPr>
        <w:t>giu</w:t>
      </w:r>
      <w:r w:rsidR="00ED3AE3" w:rsidRPr="00A17989">
        <w:rPr>
          <w:rFonts w:ascii="Times New Roman" w:eastAsia="Times New Roman" w:hAnsi="Times New Roman" w:cs="Times New Roman"/>
          <w:color w:val="auto"/>
          <w:sz w:val="24"/>
          <w:szCs w:val="24"/>
          <w:lang w:eastAsia="it-IT"/>
        </w:rPr>
        <w:t>ris</w:t>
      </w:r>
      <w:r w:rsidR="005330D2" w:rsidRPr="00A17989">
        <w:rPr>
          <w:rFonts w:ascii="Times New Roman" w:eastAsia="Times New Roman" w:hAnsi="Times New Roman" w:cs="Times New Roman"/>
          <w:color w:val="auto"/>
          <w:sz w:val="24"/>
          <w:szCs w:val="24"/>
          <w:lang w:eastAsia="it-IT"/>
        </w:rPr>
        <w:t>diz</w:t>
      </w:r>
      <w:r w:rsidR="00ED3AE3" w:rsidRPr="00A17989">
        <w:rPr>
          <w:rFonts w:ascii="Times New Roman" w:eastAsia="Times New Roman" w:hAnsi="Times New Roman" w:cs="Times New Roman"/>
          <w:color w:val="auto"/>
          <w:sz w:val="24"/>
          <w:szCs w:val="24"/>
          <w:lang w:eastAsia="it-IT"/>
        </w:rPr>
        <w:t>ione</w:t>
      </w:r>
      <w:r w:rsidR="002175C4">
        <w:rPr>
          <w:rStyle w:val="FootnoteReference"/>
          <w:rFonts w:ascii="Times New Roman" w:eastAsia="Times New Roman" w:hAnsi="Times New Roman" w:cs="Times New Roman"/>
          <w:color w:val="auto"/>
          <w:sz w:val="24"/>
          <w:szCs w:val="24"/>
          <w:lang w:eastAsia="it-IT"/>
        </w:rPr>
        <w:footnoteReference w:id="16"/>
      </w:r>
      <w:r w:rsidR="0043194A">
        <w:rPr>
          <w:rFonts w:ascii="Times New Roman" w:eastAsia="Times New Roman" w:hAnsi="Times New Roman" w:cs="Times New Roman"/>
          <w:color w:val="auto"/>
          <w:sz w:val="24"/>
          <w:szCs w:val="24"/>
          <w:lang w:eastAsia="it-IT"/>
        </w:rPr>
        <w:t>,</w:t>
      </w:r>
      <w:r w:rsidR="005330D2" w:rsidRPr="00A17989">
        <w:rPr>
          <w:rFonts w:ascii="Times New Roman" w:eastAsia="Times New Roman" w:hAnsi="Times New Roman" w:cs="Times New Roman"/>
          <w:color w:val="auto"/>
          <w:sz w:val="24"/>
          <w:szCs w:val="24"/>
          <w:lang w:eastAsia="it-IT"/>
        </w:rPr>
        <w:t xml:space="preserve"> </w:t>
      </w:r>
      <w:r w:rsidR="0043194A" w:rsidRPr="00A17989">
        <w:rPr>
          <w:rFonts w:ascii="Times New Roman" w:eastAsia="Times New Roman" w:hAnsi="Times New Roman" w:cs="Times New Roman"/>
          <w:color w:val="auto"/>
          <w:sz w:val="24"/>
          <w:szCs w:val="24"/>
          <w:lang w:eastAsia="it-IT"/>
        </w:rPr>
        <w:t xml:space="preserve">dell’autorità indipendente, </w:t>
      </w:r>
      <w:r w:rsidRPr="00A17989">
        <w:rPr>
          <w:rFonts w:ascii="Times New Roman" w:eastAsia="Times New Roman" w:hAnsi="Times New Roman" w:cs="Times New Roman"/>
          <w:color w:val="auto"/>
          <w:sz w:val="24"/>
          <w:szCs w:val="24"/>
          <w:lang w:eastAsia="it-IT"/>
        </w:rPr>
        <w:t>d</w:t>
      </w:r>
      <w:r w:rsidR="00F12D64" w:rsidRPr="00A17989">
        <w:rPr>
          <w:rFonts w:ascii="Times New Roman" w:eastAsia="Times New Roman" w:hAnsi="Times New Roman" w:cs="Times New Roman"/>
          <w:color w:val="auto"/>
          <w:sz w:val="24"/>
          <w:szCs w:val="24"/>
          <w:lang w:eastAsia="it-IT"/>
        </w:rPr>
        <w:t xml:space="preserve">ella quale </w:t>
      </w:r>
      <w:r w:rsidR="00666FD9" w:rsidRPr="00A17989">
        <w:rPr>
          <w:rFonts w:ascii="Times New Roman" w:eastAsia="Times New Roman" w:hAnsi="Times New Roman" w:cs="Times New Roman"/>
          <w:color w:val="auto"/>
          <w:sz w:val="24"/>
          <w:szCs w:val="24"/>
          <w:lang w:eastAsia="it-IT"/>
        </w:rPr>
        <w:t>è</w:t>
      </w:r>
      <w:r w:rsidRPr="00A17989">
        <w:rPr>
          <w:rFonts w:ascii="Times New Roman" w:eastAsia="Times New Roman" w:hAnsi="Times New Roman" w:cs="Times New Roman"/>
          <w:color w:val="auto"/>
          <w:sz w:val="24"/>
          <w:szCs w:val="24"/>
          <w:lang w:eastAsia="it-IT"/>
        </w:rPr>
        <w:t xml:space="preserve"> </w:t>
      </w:r>
      <w:r w:rsidR="00325676">
        <w:rPr>
          <w:rFonts w:ascii="Times New Roman" w:eastAsia="Times New Roman" w:hAnsi="Times New Roman" w:cs="Times New Roman"/>
          <w:color w:val="auto"/>
          <w:sz w:val="24"/>
          <w:szCs w:val="24"/>
          <w:lang w:eastAsia="it-IT"/>
        </w:rPr>
        <w:t xml:space="preserve">irritrattabilmente </w:t>
      </w:r>
      <w:r w:rsidRPr="00A17989">
        <w:rPr>
          <w:rFonts w:ascii="Times New Roman" w:eastAsia="Times New Roman" w:hAnsi="Times New Roman" w:cs="Times New Roman"/>
          <w:color w:val="auto"/>
          <w:sz w:val="24"/>
          <w:szCs w:val="24"/>
          <w:lang w:eastAsia="it-IT"/>
        </w:rPr>
        <w:t xml:space="preserve">affermata la natura di </w:t>
      </w:r>
      <w:r w:rsidR="0043194A" w:rsidRPr="00A17989">
        <w:rPr>
          <w:rFonts w:ascii="Times New Roman" w:eastAsia="Times New Roman" w:hAnsi="Times New Roman" w:cs="Times New Roman"/>
          <w:color w:val="auto"/>
          <w:sz w:val="24"/>
          <w:szCs w:val="24"/>
          <w:lang w:eastAsia="it-IT"/>
        </w:rPr>
        <w:t xml:space="preserve">pubblica </w:t>
      </w:r>
      <w:r w:rsidRPr="00A17989">
        <w:rPr>
          <w:rFonts w:ascii="Times New Roman" w:eastAsia="Times New Roman" w:hAnsi="Times New Roman" w:cs="Times New Roman"/>
          <w:color w:val="auto"/>
          <w:sz w:val="24"/>
          <w:szCs w:val="24"/>
          <w:lang w:eastAsia="it-IT"/>
        </w:rPr>
        <w:t>amministrazione portatrice di interessi</w:t>
      </w:r>
      <w:r w:rsidR="008E7872">
        <w:rPr>
          <w:rFonts w:ascii="Times New Roman" w:eastAsia="Times New Roman" w:hAnsi="Times New Roman" w:cs="Times New Roman"/>
          <w:color w:val="auto"/>
          <w:sz w:val="24"/>
          <w:szCs w:val="24"/>
          <w:lang w:eastAsia="it-IT"/>
        </w:rPr>
        <w:t>.</w:t>
      </w:r>
    </w:p>
    <w:p w:rsidR="004E66EF" w:rsidRPr="00A17989" w:rsidRDefault="00325676" w:rsidP="004E5891">
      <w:pPr>
        <w:pStyle w:val="Subtitle"/>
        <w:ind w:left="426" w:right="424" w:firstLine="567"/>
        <w:jc w:val="both"/>
        <w:rPr>
          <w:rFonts w:ascii="Times New Roman" w:eastAsia="Times New Roman" w:hAnsi="Times New Roman" w:cs="Times New Roman"/>
          <w:color w:val="auto"/>
          <w:sz w:val="24"/>
          <w:szCs w:val="24"/>
          <w:lang w:eastAsia="it-IT"/>
        </w:rPr>
      </w:pPr>
      <w:r>
        <w:rPr>
          <w:rFonts w:ascii="Times New Roman" w:eastAsia="Times New Roman" w:hAnsi="Times New Roman" w:cs="Times New Roman"/>
          <w:color w:val="auto"/>
          <w:sz w:val="24"/>
          <w:szCs w:val="24"/>
          <w:lang w:eastAsia="it-IT"/>
        </w:rPr>
        <w:t>Ad avviso di chi scrive, q</w:t>
      </w:r>
      <w:r w:rsidR="00666FD9" w:rsidRPr="00A17989">
        <w:rPr>
          <w:rFonts w:ascii="Times New Roman" w:eastAsia="Times New Roman" w:hAnsi="Times New Roman" w:cs="Times New Roman"/>
          <w:color w:val="auto"/>
          <w:sz w:val="24"/>
          <w:szCs w:val="24"/>
          <w:lang w:eastAsia="it-IT"/>
        </w:rPr>
        <w:t>uesta</w:t>
      </w:r>
      <w:r w:rsidR="00A3755A" w:rsidRPr="00A17989">
        <w:rPr>
          <w:rFonts w:ascii="Times New Roman" w:eastAsia="Times New Roman" w:hAnsi="Times New Roman" w:cs="Times New Roman"/>
          <w:color w:val="auto"/>
          <w:sz w:val="24"/>
          <w:szCs w:val="24"/>
          <w:lang w:eastAsia="it-IT"/>
        </w:rPr>
        <w:t xml:space="preserve"> ricostruzione </w:t>
      </w:r>
      <w:r w:rsidR="00F12D64" w:rsidRPr="00A17989">
        <w:rPr>
          <w:rFonts w:ascii="Times New Roman" w:eastAsia="Times New Roman" w:hAnsi="Times New Roman" w:cs="Times New Roman"/>
          <w:color w:val="auto"/>
          <w:sz w:val="24"/>
          <w:szCs w:val="24"/>
          <w:lang w:eastAsia="it-IT"/>
        </w:rPr>
        <w:t xml:space="preserve">potrebbe </w:t>
      </w:r>
      <w:r w:rsidR="00A3755A" w:rsidRPr="00A17989">
        <w:rPr>
          <w:rFonts w:ascii="Times New Roman" w:eastAsia="Times New Roman" w:hAnsi="Times New Roman" w:cs="Times New Roman"/>
          <w:color w:val="auto"/>
          <w:sz w:val="24"/>
          <w:szCs w:val="24"/>
          <w:lang w:eastAsia="it-IT"/>
        </w:rPr>
        <w:t>ri</w:t>
      </w:r>
      <w:r w:rsidR="0059745D" w:rsidRPr="00A17989">
        <w:rPr>
          <w:rFonts w:ascii="Times New Roman" w:eastAsia="Times New Roman" w:hAnsi="Times New Roman" w:cs="Times New Roman"/>
          <w:color w:val="auto"/>
          <w:sz w:val="24"/>
          <w:szCs w:val="24"/>
          <w:lang w:eastAsia="it-IT"/>
        </w:rPr>
        <w:t>balta</w:t>
      </w:r>
      <w:r w:rsidR="00A3755A" w:rsidRPr="00A17989">
        <w:rPr>
          <w:rFonts w:ascii="Times New Roman" w:eastAsia="Times New Roman" w:hAnsi="Times New Roman" w:cs="Times New Roman"/>
          <w:color w:val="auto"/>
          <w:sz w:val="24"/>
          <w:szCs w:val="24"/>
          <w:lang w:eastAsia="it-IT"/>
        </w:rPr>
        <w:t xml:space="preserve">re </w:t>
      </w:r>
      <w:r w:rsidR="005A6B98" w:rsidRPr="00A17989">
        <w:rPr>
          <w:rFonts w:ascii="Times New Roman" w:eastAsia="Times New Roman" w:hAnsi="Times New Roman" w:cs="Times New Roman"/>
          <w:color w:val="auto"/>
          <w:sz w:val="24"/>
          <w:szCs w:val="24"/>
          <w:lang w:eastAsia="it-IT"/>
        </w:rPr>
        <w:t xml:space="preserve">il dogma </w:t>
      </w:r>
      <w:r w:rsidR="004E66EF" w:rsidRPr="00A17989">
        <w:rPr>
          <w:rFonts w:ascii="Times New Roman" w:eastAsia="Times New Roman" w:hAnsi="Times New Roman" w:cs="Times New Roman"/>
          <w:color w:val="auto"/>
          <w:sz w:val="24"/>
          <w:szCs w:val="24"/>
          <w:lang w:eastAsia="it-IT"/>
        </w:rPr>
        <w:t xml:space="preserve">della </w:t>
      </w:r>
      <w:r w:rsidR="0059745D" w:rsidRPr="00A17989">
        <w:rPr>
          <w:rFonts w:ascii="Times New Roman" w:eastAsia="Times New Roman" w:hAnsi="Times New Roman" w:cs="Times New Roman"/>
          <w:color w:val="auto"/>
          <w:sz w:val="24"/>
          <w:szCs w:val="24"/>
          <w:lang w:eastAsia="it-IT"/>
        </w:rPr>
        <w:t xml:space="preserve">necessità di una </w:t>
      </w:r>
      <w:r w:rsidR="00F12D64" w:rsidRPr="00A17989">
        <w:rPr>
          <w:rFonts w:ascii="Times New Roman" w:eastAsia="Times New Roman" w:hAnsi="Times New Roman" w:cs="Times New Roman"/>
          <w:color w:val="auto"/>
          <w:sz w:val="24"/>
          <w:szCs w:val="24"/>
          <w:lang w:eastAsia="it-IT"/>
        </w:rPr>
        <w:t xml:space="preserve">previa </w:t>
      </w:r>
      <w:r w:rsidR="0059745D" w:rsidRPr="00A17989">
        <w:rPr>
          <w:rFonts w:ascii="Times New Roman" w:eastAsia="Times New Roman" w:hAnsi="Times New Roman" w:cs="Times New Roman"/>
          <w:color w:val="auto"/>
          <w:sz w:val="24"/>
          <w:szCs w:val="24"/>
          <w:lang w:eastAsia="it-IT"/>
        </w:rPr>
        <w:t>disposizione di legge</w:t>
      </w:r>
      <w:r w:rsidR="00F12D64" w:rsidRPr="00A17989">
        <w:rPr>
          <w:rFonts w:ascii="Times New Roman" w:eastAsia="Times New Roman" w:hAnsi="Times New Roman" w:cs="Times New Roman"/>
          <w:color w:val="auto"/>
          <w:sz w:val="24"/>
          <w:szCs w:val="24"/>
          <w:lang w:eastAsia="it-IT"/>
        </w:rPr>
        <w:t>,</w:t>
      </w:r>
      <w:r w:rsidR="0059745D" w:rsidRPr="00A17989">
        <w:rPr>
          <w:rFonts w:ascii="Times New Roman" w:eastAsia="Times New Roman" w:hAnsi="Times New Roman" w:cs="Times New Roman"/>
          <w:color w:val="auto"/>
          <w:sz w:val="24"/>
          <w:szCs w:val="24"/>
          <w:lang w:eastAsia="it-IT"/>
        </w:rPr>
        <w:t xml:space="preserve"> che </w:t>
      </w:r>
      <w:r w:rsidR="00F12D64" w:rsidRPr="00A17989">
        <w:rPr>
          <w:rFonts w:ascii="Times New Roman" w:eastAsia="Times New Roman" w:hAnsi="Times New Roman" w:cs="Times New Roman"/>
          <w:color w:val="auto"/>
          <w:sz w:val="24"/>
          <w:szCs w:val="24"/>
          <w:lang w:eastAsia="it-IT"/>
        </w:rPr>
        <w:t>attr</w:t>
      </w:r>
      <w:r w:rsidR="0059745D" w:rsidRPr="00A17989">
        <w:rPr>
          <w:rFonts w:ascii="Times New Roman" w:eastAsia="Times New Roman" w:hAnsi="Times New Roman" w:cs="Times New Roman"/>
          <w:color w:val="auto"/>
          <w:sz w:val="24"/>
          <w:szCs w:val="24"/>
          <w:lang w:eastAsia="it-IT"/>
        </w:rPr>
        <w:t>i</w:t>
      </w:r>
      <w:r w:rsidR="00F12D64" w:rsidRPr="00A17989">
        <w:rPr>
          <w:rFonts w:ascii="Times New Roman" w:eastAsia="Times New Roman" w:hAnsi="Times New Roman" w:cs="Times New Roman"/>
          <w:color w:val="auto"/>
          <w:sz w:val="24"/>
          <w:szCs w:val="24"/>
          <w:lang w:eastAsia="it-IT"/>
        </w:rPr>
        <w:t>buisca</w:t>
      </w:r>
      <w:r w:rsidR="0059745D" w:rsidRPr="00A17989">
        <w:rPr>
          <w:rFonts w:ascii="Times New Roman" w:eastAsia="Times New Roman" w:hAnsi="Times New Roman" w:cs="Times New Roman"/>
          <w:color w:val="auto"/>
          <w:sz w:val="24"/>
          <w:szCs w:val="24"/>
          <w:lang w:eastAsia="it-IT"/>
        </w:rPr>
        <w:t xml:space="preserve"> </w:t>
      </w:r>
      <w:r w:rsidR="00F12D64" w:rsidRPr="00A17989">
        <w:rPr>
          <w:rFonts w:ascii="Times New Roman" w:eastAsia="Times New Roman" w:hAnsi="Times New Roman" w:cs="Times New Roman"/>
          <w:color w:val="auto"/>
          <w:sz w:val="24"/>
          <w:szCs w:val="24"/>
          <w:lang w:eastAsia="it-IT"/>
        </w:rPr>
        <w:t>al</w:t>
      </w:r>
      <w:r w:rsidR="0059745D" w:rsidRPr="00A17989">
        <w:rPr>
          <w:rFonts w:ascii="Times New Roman" w:eastAsia="Times New Roman" w:hAnsi="Times New Roman" w:cs="Times New Roman"/>
          <w:color w:val="auto"/>
          <w:sz w:val="24"/>
          <w:szCs w:val="24"/>
          <w:lang w:eastAsia="it-IT"/>
        </w:rPr>
        <w:t xml:space="preserve">l’autorità </w:t>
      </w:r>
      <w:r w:rsidR="00F12D64" w:rsidRPr="00A17989">
        <w:rPr>
          <w:rFonts w:ascii="Times New Roman" w:eastAsia="Times New Roman" w:hAnsi="Times New Roman" w:cs="Times New Roman"/>
          <w:color w:val="auto"/>
          <w:sz w:val="24"/>
          <w:szCs w:val="24"/>
          <w:lang w:eastAsia="it-IT"/>
        </w:rPr>
        <w:t>il potere di</w:t>
      </w:r>
      <w:r w:rsidR="0059745D" w:rsidRPr="00A17989">
        <w:rPr>
          <w:rFonts w:ascii="Times New Roman" w:eastAsia="Times New Roman" w:hAnsi="Times New Roman" w:cs="Times New Roman"/>
          <w:color w:val="auto"/>
          <w:sz w:val="24"/>
          <w:szCs w:val="24"/>
          <w:lang w:eastAsia="it-IT"/>
        </w:rPr>
        <w:t xml:space="preserve"> proporre ricorso</w:t>
      </w:r>
      <w:r w:rsidR="009137F7" w:rsidRPr="00A17989">
        <w:rPr>
          <w:rFonts w:ascii="Times New Roman" w:eastAsia="Times New Roman" w:hAnsi="Times New Roman" w:cs="Times New Roman"/>
          <w:color w:val="auto"/>
          <w:sz w:val="24"/>
          <w:szCs w:val="24"/>
          <w:lang w:eastAsia="it-IT"/>
        </w:rPr>
        <w:t>.</w:t>
      </w:r>
    </w:p>
    <w:p w:rsidR="00DB3EFB" w:rsidRPr="00A17989" w:rsidRDefault="0059745D"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Invero, </w:t>
      </w:r>
      <w:r w:rsidR="0043194A">
        <w:rPr>
          <w:rFonts w:ascii="Times New Roman" w:eastAsia="Times New Roman" w:hAnsi="Times New Roman" w:cs="Times New Roman"/>
          <w:color w:val="auto"/>
          <w:sz w:val="24"/>
          <w:szCs w:val="24"/>
          <w:lang w:eastAsia="it-IT"/>
        </w:rPr>
        <w:t xml:space="preserve">una volta </w:t>
      </w:r>
      <w:r w:rsidR="00994341" w:rsidRPr="00A17989">
        <w:rPr>
          <w:rFonts w:ascii="Times New Roman" w:eastAsia="Times New Roman" w:hAnsi="Times New Roman" w:cs="Times New Roman"/>
          <w:color w:val="auto"/>
          <w:sz w:val="24"/>
          <w:szCs w:val="24"/>
          <w:lang w:eastAsia="it-IT"/>
        </w:rPr>
        <w:t>tramon</w:t>
      </w:r>
      <w:r w:rsidR="008769A7" w:rsidRPr="00A17989">
        <w:rPr>
          <w:rFonts w:ascii="Times New Roman" w:eastAsia="Times New Roman" w:hAnsi="Times New Roman" w:cs="Times New Roman"/>
          <w:color w:val="auto"/>
          <w:sz w:val="24"/>
          <w:szCs w:val="24"/>
          <w:lang w:eastAsia="it-IT"/>
        </w:rPr>
        <w:t>tata</w:t>
      </w:r>
      <w:r w:rsidR="005A6B98" w:rsidRPr="00A17989">
        <w:rPr>
          <w:rFonts w:ascii="Times New Roman" w:eastAsia="Times New Roman" w:hAnsi="Times New Roman" w:cs="Times New Roman"/>
          <w:color w:val="auto"/>
          <w:sz w:val="24"/>
          <w:szCs w:val="24"/>
          <w:lang w:eastAsia="it-IT"/>
        </w:rPr>
        <w:t xml:space="preserve"> </w:t>
      </w:r>
      <w:r w:rsidR="0082010D" w:rsidRPr="00A17989">
        <w:rPr>
          <w:rFonts w:ascii="Times New Roman" w:eastAsia="Times New Roman" w:hAnsi="Times New Roman" w:cs="Times New Roman"/>
          <w:color w:val="auto"/>
          <w:sz w:val="24"/>
          <w:szCs w:val="24"/>
          <w:lang w:eastAsia="it-IT"/>
        </w:rPr>
        <w:t xml:space="preserve">la possibilità di qualificare l’autorità indipendente </w:t>
      </w:r>
      <w:r w:rsidR="000015E6" w:rsidRPr="00A17989">
        <w:rPr>
          <w:rFonts w:ascii="Times New Roman" w:eastAsia="Times New Roman" w:hAnsi="Times New Roman" w:cs="Times New Roman"/>
          <w:color w:val="auto"/>
          <w:sz w:val="24"/>
          <w:szCs w:val="24"/>
          <w:lang w:eastAsia="it-IT"/>
        </w:rPr>
        <w:t>secondo</w:t>
      </w:r>
      <w:r w:rsidR="00F12D64" w:rsidRPr="00A17989">
        <w:rPr>
          <w:rFonts w:ascii="Times New Roman" w:eastAsia="Times New Roman" w:hAnsi="Times New Roman" w:cs="Times New Roman"/>
          <w:color w:val="auto"/>
          <w:sz w:val="24"/>
          <w:szCs w:val="24"/>
          <w:lang w:eastAsia="it-IT"/>
        </w:rPr>
        <w:t xml:space="preserve"> </w:t>
      </w:r>
      <w:r w:rsidR="000015E6" w:rsidRPr="00A17989">
        <w:rPr>
          <w:rFonts w:ascii="Times New Roman" w:eastAsia="Times New Roman" w:hAnsi="Times New Roman" w:cs="Times New Roman"/>
          <w:color w:val="auto"/>
          <w:sz w:val="24"/>
          <w:szCs w:val="24"/>
          <w:lang w:eastAsia="it-IT"/>
        </w:rPr>
        <w:t>form</w:t>
      </w:r>
      <w:r w:rsidR="00994341" w:rsidRPr="00A17989">
        <w:rPr>
          <w:rFonts w:ascii="Times New Roman" w:eastAsia="Times New Roman" w:hAnsi="Times New Roman" w:cs="Times New Roman"/>
          <w:color w:val="auto"/>
          <w:sz w:val="24"/>
          <w:szCs w:val="24"/>
          <w:lang w:eastAsia="it-IT"/>
        </w:rPr>
        <w:t>e</w:t>
      </w:r>
      <w:r w:rsidR="0082010D" w:rsidRPr="00A17989">
        <w:rPr>
          <w:rFonts w:ascii="Times New Roman" w:eastAsia="Times New Roman" w:hAnsi="Times New Roman" w:cs="Times New Roman"/>
          <w:color w:val="auto"/>
          <w:sz w:val="24"/>
          <w:szCs w:val="24"/>
          <w:lang w:eastAsia="it-IT"/>
        </w:rPr>
        <w:t xml:space="preserve"> </w:t>
      </w:r>
      <w:r w:rsidR="000015E6" w:rsidRPr="00A17989">
        <w:rPr>
          <w:rFonts w:ascii="Times New Roman" w:eastAsia="Times New Roman" w:hAnsi="Times New Roman" w:cs="Times New Roman"/>
          <w:color w:val="auto"/>
          <w:sz w:val="24"/>
          <w:szCs w:val="24"/>
          <w:lang w:eastAsia="it-IT"/>
        </w:rPr>
        <w:t xml:space="preserve">ontologicamente </w:t>
      </w:r>
      <w:r w:rsidR="0082010D" w:rsidRPr="00A17989">
        <w:rPr>
          <w:rFonts w:ascii="Times New Roman" w:eastAsia="Times New Roman" w:hAnsi="Times New Roman" w:cs="Times New Roman"/>
          <w:color w:val="auto"/>
          <w:sz w:val="24"/>
          <w:szCs w:val="24"/>
          <w:lang w:eastAsia="it-IT"/>
        </w:rPr>
        <w:t>di</w:t>
      </w:r>
      <w:r w:rsidR="00F12D64" w:rsidRPr="00A17989">
        <w:rPr>
          <w:rFonts w:ascii="Times New Roman" w:eastAsia="Times New Roman" w:hAnsi="Times New Roman" w:cs="Times New Roman"/>
          <w:color w:val="auto"/>
          <w:sz w:val="24"/>
          <w:szCs w:val="24"/>
          <w:lang w:eastAsia="it-IT"/>
        </w:rPr>
        <w:t>ff</w:t>
      </w:r>
      <w:r w:rsidR="000015E6" w:rsidRPr="00A17989">
        <w:rPr>
          <w:rFonts w:ascii="Times New Roman" w:eastAsia="Times New Roman" w:hAnsi="Times New Roman" w:cs="Times New Roman"/>
          <w:color w:val="auto"/>
          <w:sz w:val="24"/>
          <w:szCs w:val="24"/>
          <w:lang w:eastAsia="it-IT"/>
        </w:rPr>
        <w:t>e</w:t>
      </w:r>
      <w:r w:rsidR="00F12D64" w:rsidRPr="00A17989">
        <w:rPr>
          <w:rFonts w:ascii="Times New Roman" w:eastAsia="Times New Roman" w:hAnsi="Times New Roman" w:cs="Times New Roman"/>
          <w:color w:val="auto"/>
          <w:sz w:val="24"/>
          <w:szCs w:val="24"/>
          <w:lang w:eastAsia="it-IT"/>
        </w:rPr>
        <w:t>rent</w:t>
      </w:r>
      <w:r w:rsidR="00994341" w:rsidRPr="00A17989">
        <w:rPr>
          <w:rFonts w:ascii="Times New Roman" w:eastAsia="Times New Roman" w:hAnsi="Times New Roman" w:cs="Times New Roman"/>
          <w:color w:val="auto"/>
          <w:sz w:val="24"/>
          <w:szCs w:val="24"/>
          <w:lang w:eastAsia="it-IT"/>
        </w:rPr>
        <w:t>i</w:t>
      </w:r>
      <w:r w:rsidR="0082010D" w:rsidRPr="00A17989">
        <w:rPr>
          <w:rFonts w:ascii="Times New Roman" w:eastAsia="Times New Roman" w:hAnsi="Times New Roman" w:cs="Times New Roman"/>
          <w:color w:val="auto"/>
          <w:sz w:val="24"/>
          <w:szCs w:val="24"/>
          <w:lang w:eastAsia="it-IT"/>
        </w:rPr>
        <w:t xml:space="preserve"> </w:t>
      </w:r>
      <w:r w:rsidR="005A6B98" w:rsidRPr="00A17989">
        <w:rPr>
          <w:rFonts w:ascii="Times New Roman" w:eastAsia="Times New Roman" w:hAnsi="Times New Roman" w:cs="Times New Roman"/>
          <w:color w:val="auto"/>
          <w:sz w:val="24"/>
          <w:szCs w:val="24"/>
          <w:lang w:eastAsia="it-IT"/>
        </w:rPr>
        <w:t>d</w:t>
      </w:r>
      <w:r w:rsidR="000015E6" w:rsidRPr="00A17989">
        <w:rPr>
          <w:rFonts w:ascii="Times New Roman" w:eastAsia="Times New Roman" w:hAnsi="Times New Roman" w:cs="Times New Roman"/>
          <w:color w:val="auto"/>
          <w:sz w:val="24"/>
          <w:szCs w:val="24"/>
          <w:lang w:eastAsia="it-IT"/>
        </w:rPr>
        <w:t>a</w:t>
      </w:r>
      <w:r w:rsidR="0082010D" w:rsidRPr="00A17989">
        <w:rPr>
          <w:rFonts w:ascii="Times New Roman" w:eastAsia="Times New Roman" w:hAnsi="Times New Roman" w:cs="Times New Roman"/>
          <w:color w:val="auto"/>
          <w:sz w:val="24"/>
          <w:szCs w:val="24"/>
          <w:lang w:eastAsia="it-IT"/>
        </w:rPr>
        <w:t>ll’ente pubblico affidatario di interessi</w:t>
      </w:r>
      <w:r w:rsidR="00666FD9" w:rsidRPr="00A17989">
        <w:rPr>
          <w:rFonts w:ascii="Times New Roman" w:eastAsia="Times New Roman" w:hAnsi="Times New Roman" w:cs="Times New Roman"/>
          <w:color w:val="auto"/>
          <w:sz w:val="24"/>
          <w:szCs w:val="24"/>
          <w:lang w:eastAsia="it-IT"/>
        </w:rPr>
        <w:t xml:space="preserve"> diversamente adespoti</w:t>
      </w:r>
      <w:r w:rsidR="0082010D" w:rsidRPr="00A17989">
        <w:rPr>
          <w:rFonts w:ascii="Times New Roman" w:eastAsia="Times New Roman" w:hAnsi="Times New Roman" w:cs="Times New Roman"/>
          <w:color w:val="auto"/>
          <w:sz w:val="24"/>
          <w:szCs w:val="24"/>
          <w:lang w:eastAsia="it-IT"/>
        </w:rPr>
        <w:t xml:space="preserve">, </w:t>
      </w:r>
      <w:r w:rsidR="005A6B98" w:rsidRPr="00A17989">
        <w:rPr>
          <w:rFonts w:ascii="Times New Roman" w:eastAsia="Times New Roman" w:hAnsi="Times New Roman" w:cs="Times New Roman"/>
          <w:color w:val="auto"/>
          <w:sz w:val="24"/>
          <w:szCs w:val="24"/>
          <w:lang w:eastAsia="it-IT"/>
        </w:rPr>
        <w:t>l’</w:t>
      </w:r>
      <w:r w:rsidR="0082010D" w:rsidRPr="00A17989">
        <w:rPr>
          <w:rFonts w:ascii="Times New Roman" w:eastAsia="Times New Roman" w:hAnsi="Times New Roman" w:cs="Times New Roman"/>
          <w:color w:val="auto"/>
          <w:sz w:val="24"/>
          <w:szCs w:val="24"/>
          <w:lang w:eastAsia="it-IT"/>
        </w:rPr>
        <w:t>applica</w:t>
      </w:r>
      <w:r w:rsidR="005A6B98" w:rsidRPr="00A17989">
        <w:rPr>
          <w:rFonts w:ascii="Times New Roman" w:eastAsia="Times New Roman" w:hAnsi="Times New Roman" w:cs="Times New Roman"/>
          <w:color w:val="auto"/>
          <w:sz w:val="24"/>
          <w:szCs w:val="24"/>
          <w:lang w:eastAsia="it-IT"/>
        </w:rPr>
        <w:t>zione</w:t>
      </w:r>
      <w:r w:rsidR="0082010D" w:rsidRPr="00A17989">
        <w:rPr>
          <w:rFonts w:ascii="Times New Roman" w:eastAsia="Times New Roman" w:hAnsi="Times New Roman" w:cs="Times New Roman"/>
          <w:color w:val="auto"/>
          <w:sz w:val="24"/>
          <w:szCs w:val="24"/>
          <w:lang w:eastAsia="it-IT"/>
        </w:rPr>
        <w:t xml:space="preserve"> </w:t>
      </w:r>
      <w:r w:rsidR="005A6B98" w:rsidRPr="00A17989">
        <w:rPr>
          <w:rFonts w:ascii="Times New Roman" w:eastAsia="Times New Roman" w:hAnsi="Times New Roman" w:cs="Times New Roman"/>
          <w:color w:val="auto"/>
          <w:sz w:val="24"/>
          <w:szCs w:val="24"/>
          <w:lang w:eastAsia="it-IT"/>
        </w:rPr>
        <w:t>de</w:t>
      </w:r>
      <w:r w:rsidRPr="00A17989">
        <w:rPr>
          <w:rFonts w:ascii="Times New Roman" w:eastAsia="Times New Roman" w:hAnsi="Times New Roman" w:cs="Times New Roman"/>
          <w:color w:val="auto"/>
          <w:sz w:val="24"/>
          <w:szCs w:val="24"/>
          <w:lang w:eastAsia="it-IT"/>
        </w:rPr>
        <w:t>i princip</w:t>
      </w:r>
      <w:r w:rsidR="00F12D64" w:rsidRPr="00A17989">
        <w:rPr>
          <w:rFonts w:ascii="Times New Roman" w:eastAsia="Times New Roman" w:hAnsi="Times New Roman" w:cs="Times New Roman"/>
          <w:color w:val="auto"/>
          <w:sz w:val="24"/>
          <w:szCs w:val="24"/>
          <w:lang w:eastAsia="it-IT"/>
        </w:rPr>
        <w:t>î</w:t>
      </w:r>
      <w:r w:rsidRPr="00A17989">
        <w:rPr>
          <w:rFonts w:ascii="Times New Roman" w:eastAsia="Times New Roman" w:hAnsi="Times New Roman" w:cs="Times New Roman"/>
          <w:color w:val="auto"/>
          <w:sz w:val="24"/>
          <w:szCs w:val="24"/>
          <w:lang w:eastAsia="it-IT"/>
        </w:rPr>
        <w:t xml:space="preserve"> generali </w:t>
      </w:r>
      <w:r w:rsidR="00F12D64" w:rsidRPr="00A17989">
        <w:rPr>
          <w:rFonts w:ascii="Times New Roman" w:eastAsia="Times New Roman" w:hAnsi="Times New Roman" w:cs="Times New Roman"/>
          <w:color w:val="auto"/>
          <w:sz w:val="24"/>
          <w:szCs w:val="24"/>
          <w:lang w:eastAsia="it-IT"/>
        </w:rPr>
        <w:t>deve far</w:t>
      </w:r>
      <w:r w:rsidR="005A6B98" w:rsidRPr="00A17989">
        <w:rPr>
          <w:rFonts w:ascii="Times New Roman" w:eastAsia="Times New Roman" w:hAnsi="Times New Roman" w:cs="Times New Roman"/>
          <w:color w:val="auto"/>
          <w:sz w:val="24"/>
          <w:szCs w:val="24"/>
          <w:lang w:eastAsia="it-IT"/>
        </w:rPr>
        <w:t xml:space="preserve">ci </w:t>
      </w:r>
      <w:r w:rsidR="00F12D64" w:rsidRPr="00A17989">
        <w:rPr>
          <w:rFonts w:ascii="Times New Roman" w:eastAsia="Times New Roman" w:hAnsi="Times New Roman" w:cs="Times New Roman"/>
          <w:color w:val="auto"/>
          <w:sz w:val="24"/>
          <w:szCs w:val="24"/>
          <w:lang w:eastAsia="it-IT"/>
        </w:rPr>
        <w:t>consider</w:t>
      </w:r>
      <w:r w:rsidR="005A6B98" w:rsidRPr="00A17989">
        <w:rPr>
          <w:rFonts w:ascii="Times New Roman" w:eastAsia="Times New Roman" w:hAnsi="Times New Roman" w:cs="Times New Roman"/>
          <w:color w:val="auto"/>
          <w:sz w:val="24"/>
          <w:szCs w:val="24"/>
          <w:lang w:eastAsia="it-IT"/>
        </w:rPr>
        <w:t>are c</w:t>
      </w:r>
      <w:r w:rsidR="00F12D64" w:rsidRPr="00A17989">
        <w:rPr>
          <w:rFonts w:ascii="Times New Roman" w:eastAsia="Times New Roman" w:hAnsi="Times New Roman" w:cs="Times New Roman"/>
          <w:color w:val="auto"/>
          <w:sz w:val="24"/>
          <w:szCs w:val="24"/>
          <w:lang w:eastAsia="it-IT"/>
        </w:rPr>
        <w:t>om</w:t>
      </w:r>
      <w:r w:rsidR="005A6B98" w:rsidRPr="00A17989">
        <w:rPr>
          <w:rFonts w:ascii="Times New Roman" w:eastAsia="Times New Roman" w:hAnsi="Times New Roman" w:cs="Times New Roman"/>
          <w:color w:val="auto"/>
          <w:sz w:val="24"/>
          <w:szCs w:val="24"/>
          <w:lang w:eastAsia="it-IT"/>
        </w:rPr>
        <w:t xml:space="preserve">e </w:t>
      </w:r>
      <w:r w:rsidR="00666FD9" w:rsidRPr="00A17989">
        <w:rPr>
          <w:rFonts w:ascii="Times New Roman" w:eastAsia="Times New Roman" w:hAnsi="Times New Roman" w:cs="Times New Roman"/>
          <w:color w:val="auto"/>
          <w:sz w:val="24"/>
          <w:szCs w:val="24"/>
          <w:lang w:eastAsia="it-IT"/>
        </w:rPr>
        <w:t>la legittimazione a ricorrere dell’ente esponenziale, pubblico o privato che sia,</w:t>
      </w:r>
      <w:r w:rsidR="000015E6" w:rsidRPr="00A17989">
        <w:rPr>
          <w:rFonts w:ascii="Times New Roman" w:eastAsia="Times New Roman" w:hAnsi="Times New Roman" w:cs="Times New Roman"/>
          <w:color w:val="auto"/>
          <w:sz w:val="24"/>
          <w:szCs w:val="24"/>
          <w:lang w:eastAsia="it-IT"/>
        </w:rPr>
        <w:t xml:space="preserve"> </w:t>
      </w:r>
      <w:r w:rsidR="00666FD9" w:rsidRPr="00A17989">
        <w:rPr>
          <w:rFonts w:ascii="Times New Roman" w:eastAsia="Times New Roman" w:hAnsi="Times New Roman" w:cs="Times New Roman"/>
          <w:color w:val="auto"/>
          <w:sz w:val="24"/>
          <w:szCs w:val="24"/>
          <w:lang w:eastAsia="it-IT"/>
        </w:rPr>
        <w:t xml:space="preserve">discenda </w:t>
      </w:r>
      <w:r w:rsidRPr="00A17989">
        <w:rPr>
          <w:rFonts w:ascii="Times New Roman" w:eastAsia="Times New Roman" w:hAnsi="Times New Roman" w:cs="Times New Roman"/>
          <w:color w:val="auto"/>
          <w:sz w:val="24"/>
          <w:szCs w:val="24"/>
          <w:lang w:eastAsia="it-IT"/>
        </w:rPr>
        <w:t xml:space="preserve">dal fatto </w:t>
      </w:r>
      <w:r w:rsidR="00B02617" w:rsidRPr="00A17989">
        <w:rPr>
          <w:rFonts w:ascii="Times New Roman" w:eastAsia="Times New Roman" w:hAnsi="Times New Roman" w:cs="Times New Roman"/>
          <w:color w:val="auto"/>
          <w:sz w:val="24"/>
          <w:szCs w:val="24"/>
          <w:lang w:eastAsia="it-IT"/>
        </w:rPr>
        <w:t>“</w:t>
      </w:r>
      <w:r w:rsidR="00DB3EFB" w:rsidRPr="00A17989">
        <w:rPr>
          <w:rFonts w:ascii="Times New Roman" w:eastAsia="Times New Roman" w:hAnsi="Times New Roman" w:cs="Times New Roman"/>
          <w:color w:val="auto"/>
          <w:sz w:val="24"/>
          <w:szCs w:val="24"/>
          <w:lang w:eastAsia="it-IT"/>
        </w:rPr>
        <w:t>che la produzione degli effetti del provvedimento controverso si risolva in una lesione diretta del suo scopo istituzionale</w:t>
      </w:r>
      <w:r w:rsidR="00B02617" w:rsidRPr="00A17989">
        <w:rPr>
          <w:rFonts w:ascii="Times New Roman" w:eastAsia="Times New Roman" w:hAnsi="Times New Roman" w:cs="Times New Roman"/>
          <w:color w:val="auto"/>
          <w:sz w:val="24"/>
          <w:szCs w:val="24"/>
          <w:lang w:eastAsia="it-IT"/>
        </w:rPr>
        <w:t>”</w:t>
      </w:r>
      <w:r w:rsidR="00DB3EFB" w:rsidRPr="00A17989">
        <w:rPr>
          <w:rStyle w:val="FootnoteReference"/>
          <w:rFonts w:ascii="Times New Roman" w:eastAsia="Times New Roman" w:hAnsi="Times New Roman" w:cs="Times New Roman"/>
          <w:color w:val="auto"/>
          <w:sz w:val="24"/>
          <w:szCs w:val="24"/>
          <w:lang w:eastAsia="it-IT"/>
        </w:rPr>
        <w:footnoteReference w:id="17"/>
      </w:r>
      <w:r w:rsidR="00B02617" w:rsidRPr="00A17989">
        <w:rPr>
          <w:rFonts w:ascii="Times New Roman" w:eastAsia="Times New Roman" w:hAnsi="Times New Roman" w:cs="Times New Roman"/>
          <w:color w:val="auto"/>
          <w:sz w:val="24"/>
          <w:szCs w:val="24"/>
          <w:lang w:eastAsia="it-IT"/>
        </w:rPr>
        <w:t>.</w:t>
      </w:r>
    </w:p>
    <w:p w:rsidR="008F7928" w:rsidRPr="00A17989" w:rsidRDefault="0056042D"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Pertanto</w:t>
      </w:r>
      <w:r w:rsidR="008F7928" w:rsidRPr="00A17989">
        <w:rPr>
          <w:rFonts w:ascii="Times New Roman" w:eastAsia="Times New Roman" w:hAnsi="Times New Roman" w:cs="Times New Roman"/>
          <w:color w:val="auto"/>
          <w:sz w:val="24"/>
          <w:szCs w:val="24"/>
          <w:lang w:eastAsia="it-IT"/>
        </w:rPr>
        <w:t xml:space="preserve">, </w:t>
      </w:r>
      <w:r w:rsidR="000015E6" w:rsidRPr="00A17989">
        <w:rPr>
          <w:rFonts w:ascii="Times New Roman" w:eastAsia="Times New Roman" w:hAnsi="Times New Roman" w:cs="Times New Roman"/>
          <w:color w:val="auto"/>
          <w:sz w:val="24"/>
          <w:szCs w:val="24"/>
          <w:lang w:eastAsia="it-IT"/>
        </w:rPr>
        <w:t xml:space="preserve">per quanto riguarda gli enti pubblici, </w:t>
      </w:r>
      <w:r w:rsidR="00F12D64" w:rsidRPr="00A17989">
        <w:rPr>
          <w:rFonts w:ascii="Times New Roman" w:eastAsia="Times New Roman" w:hAnsi="Times New Roman" w:cs="Times New Roman"/>
          <w:color w:val="auto"/>
          <w:sz w:val="24"/>
          <w:szCs w:val="24"/>
          <w:lang w:eastAsia="it-IT"/>
        </w:rPr>
        <w:t>la funzione</w:t>
      </w:r>
      <w:r w:rsidR="000015E6" w:rsidRPr="00A17989">
        <w:rPr>
          <w:rFonts w:ascii="Times New Roman" w:eastAsia="Times New Roman" w:hAnsi="Times New Roman" w:cs="Times New Roman"/>
          <w:color w:val="auto"/>
          <w:sz w:val="24"/>
          <w:szCs w:val="24"/>
          <w:lang w:eastAsia="it-IT"/>
        </w:rPr>
        <w:t xml:space="preserve"> del</w:t>
      </w:r>
      <w:r w:rsidR="00EB4AE6" w:rsidRPr="00A17989">
        <w:rPr>
          <w:rFonts w:ascii="Times New Roman" w:eastAsia="Times New Roman" w:hAnsi="Times New Roman" w:cs="Times New Roman"/>
          <w:color w:val="auto"/>
          <w:sz w:val="24"/>
          <w:szCs w:val="24"/>
          <w:lang w:eastAsia="it-IT"/>
        </w:rPr>
        <w:t xml:space="preserve">la legge </w:t>
      </w:r>
      <w:r w:rsidR="000015E6" w:rsidRPr="00A17989">
        <w:rPr>
          <w:rFonts w:ascii="Times New Roman" w:eastAsia="Times New Roman" w:hAnsi="Times New Roman" w:cs="Times New Roman"/>
          <w:color w:val="auto"/>
          <w:sz w:val="24"/>
          <w:szCs w:val="24"/>
          <w:lang w:eastAsia="it-IT"/>
        </w:rPr>
        <w:t>non è quell</w:t>
      </w:r>
      <w:r w:rsidR="00F12D64" w:rsidRPr="00A17989">
        <w:rPr>
          <w:rFonts w:ascii="Times New Roman" w:eastAsia="Times New Roman" w:hAnsi="Times New Roman" w:cs="Times New Roman"/>
          <w:color w:val="auto"/>
          <w:sz w:val="24"/>
          <w:szCs w:val="24"/>
          <w:lang w:eastAsia="it-IT"/>
        </w:rPr>
        <w:t>a</w:t>
      </w:r>
      <w:r w:rsidR="000015E6" w:rsidRPr="00A17989">
        <w:rPr>
          <w:rFonts w:ascii="Times New Roman" w:eastAsia="Times New Roman" w:hAnsi="Times New Roman" w:cs="Times New Roman"/>
          <w:color w:val="auto"/>
          <w:sz w:val="24"/>
          <w:szCs w:val="24"/>
          <w:lang w:eastAsia="it-IT"/>
        </w:rPr>
        <w:t xml:space="preserve"> di </w:t>
      </w:r>
      <w:r w:rsidR="00EB4AE6" w:rsidRPr="00A17989">
        <w:rPr>
          <w:rFonts w:ascii="Times New Roman" w:eastAsia="Times New Roman" w:hAnsi="Times New Roman" w:cs="Times New Roman"/>
          <w:color w:val="auto"/>
          <w:sz w:val="24"/>
          <w:szCs w:val="24"/>
          <w:lang w:eastAsia="it-IT"/>
        </w:rPr>
        <w:t>conferi</w:t>
      </w:r>
      <w:r w:rsidR="000015E6" w:rsidRPr="00A17989">
        <w:rPr>
          <w:rFonts w:ascii="Times New Roman" w:eastAsia="Times New Roman" w:hAnsi="Times New Roman" w:cs="Times New Roman"/>
          <w:color w:val="auto"/>
          <w:sz w:val="24"/>
          <w:szCs w:val="24"/>
          <w:lang w:eastAsia="it-IT"/>
        </w:rPr>
        <w:t>r</w:t>
      </w:r>
      <w:r w:rsidR="00EB4AE6" w:rsidRPr="00A17989">
        <w:rPr>
          <w:rFonts w:ascii="Times New Roman" w:eastAsia="Times New Roman" w:hAnsi="Times New Roman" w:cs="Times New Roman"/>
          <w:color w:val="auto"/>
          <w:sz w:val="24"/>
          <w:szCs w:val="24"/>
          <w:lang w:eastAsia="it-IT"/>
        </w:rPr>
        <w:t xml:space="preserve">e </w:t>
      </w:r>
      <w:r w:rsidR="00F12D64" w:rsidRPr="00A17989">
        <w:rPr>
          <w:rFonts w:ascii="Times New Roman" w:eastAsia="Times New Roman" w:hAnsi="Times New Roman" w:cs="Times New Roman"/>
          <w:color w:val="auto"/>
          <w:sz w:val="24"/>
          <w:szCs w:val="24"/>
          <w:lang w:eastAsia="it-IT"/>
        </w:rPr>
        <w:t xml:space="preserve">all’amministrazione </w:t>
      </w:r>
      <w:r w:rsidR="000015E6" w:rsidRPr="00A17989">
        <w:rPr>
          <w:rFonts w:ascii="Times New Roman" w:eastAsia="Times New Roman" w:hAnsi="Times New Roman" w:cs="Times New Roman"/>
          <w:color w:val="auto"/>
          <w:sz w:val="24"/>
          <w:szCs w:val="24"/>
          <w:lang w:eastAsia="it-IT"/>
        </w:rPr>
        <w:t>un</w:t>
      </w:r>
      <w:r w:rsidR="00666FD9" w:rsidRPr="00A17989">
        <w:rPr>
          <w:rFonts w:ascii="Times New Roman" w:eastAsia="Times New Roman" w:hAnsi="Times New Roman" w:cs="Times New Roman"/>
          <w:color w:val="auto"/>
          <w:sz w:val="24"/>
          <w:szCs w:val="24"/>
          <w:lang w:eastAsia="it-IT"/>
        </w:rPr>
        <w:t>o</w:t>
      </w:r>
      <w:r w:rsidR="000015E6" w:rsidRPr="00A17989">
        <w:rPr>
          <w:rFonts w:ascii="Times New Roman" w:eastAsia="Times New Roman" w:hAnsi="Times New Roman" w:cs="Times New Roman"/>
          <w:color w:val="auto"/>
          <w:sz w:val="24"/>
          <w:szCs w:val="24"/>
          <w:lang w:eastAsia="it-IT"/>
        </w:rPr>
        <w:t xml:space="preserve"> speciale </w:t>
      </w:r>
      <w:r w:rsidR="00666FD9" w:rsidRPr="00A17989">
        <w:rPr>
          <w:rFonts w:ascii="Times New Roman" w:eastAsia="Times New Roman" w:hAnsi="Times New Roman" w:cs="Times New Roman"/>
          <w:color w:val="auto"/>
          <w:sz w:val="24"/>
          <w:szCs w:val="24"/>
          <w:lang w:eastAsia="it-IT"/>
        </w:rPr>
        <w:t xml:space="preserve">potere </w:t>
      </w:r>
      <w:r w:rsidR="000015E6" w:rsidRPr="00A17989">
        <w:rPr>
          <w:rFonts w:ascii="Times New Roman" w:eastAsia="Times New Roman" w:hAnsi="Times New Roman" w:cs="Times New Roman"/>
          <w:color w:val="auto"/>
          <w:sz w:val="24"/>
          <w:szCs w:val="24"/>
          <w:lang w:eastAsia="it-IT"/>
        </w:rPr>
        <w:t>di reazione giurisdizionale, ma semplicemente quell</w:t>
      </w:r>
      <w:r w:rsidR="00F12D64" w:rsidRPr="00A17989">
        <w:rPr>
          <w:rFonts w:ascii="Times New Roman" w:eastAsia="Times New Roman" w:hAnsi="Times New Roman" w:cs="Times New Roman"/>
          <w:color w:val="auto"/>
          <w:sz w:val="24"/>
          <w:szCs w:val="24"/>
          <w:lang w:eastAsia="it-IT"/>
        </w:rPr>
        <w:t>a di attribuire</w:t>
      </w:r>
      <w:r w:rsidR="00313469" w:rsidRPr="00A17989">
        <w:rPr>
          <w:rFonts w:ascii="Times New Roman" w:eastAsia="Times New Roman" w:hAnsi="Times New Roman" w:cs="Times New Roman"/>
          <w:color w:val="auto"/>
          <w:sz w:val="24"/>
          <w:szCs w:val="24"/>
          <w:lang w:eastAsia="it-IT"/>
        </w:rPr>
        <w:t xml:space="preserve"> a</w:t>
      </w:r>
      <w:r w:rsidR="0036534E" w:rsidRPr="00A17989">
        <w:rPr>
          <w:rFonts w:ascii="Times New Roman" w:eastAsia="Times New Roman" w:hAnsi="Times New Roman" w:cs="Times New Roman"/>
          <w:color w:val="auto"/>
          <w:sz w:val="24"/>
          <w:szCs w:val="24"/>
          <w:lang w:eastAsia="it-IT"/>
        </w:rPr>
        <w:t>lla</w:t>
      </w:r>
      <w:r w:rsidR="00313469" w:rsidRPr="00A17989">
        <w:rPr>
          <w:rFonts w:ascii="Times New Roman" w:eastAsia="Times New Roman" w:hAnsi="Times New Roman" w:cs="Times New Roman"/>
          <w:color w:val="auto"/>
          <w:sz w:val="24"/>
          <w:szCs w:val="24"/>
          <w:lang w:eastAsia="it-IT"/>
        </w:rPr>
        <w:t xml:space="preserve"> </w:t>
      </w:r>
      <w:r w:rsidR="0036534E" w:rsidRPr="00A17989">
        <w:rPr>
          <w:rFonts w:ascii="Times New Roman" w:eastAsia="Times New Roman" w:hAnsi="Times New Roman" w:cs="Times New Roman"/>
          <w:color w:val="auto"/>
          <w:sz w:val="24"/>
          <w:szCs w:val="24"/>
          <w:lang w:eastAsia="it-IT"/>
        </w:rPr>
        <w:t>st</w:t>
      </w:r>
      <w:r w:rsidR="00313469" w:rsidRPr="00A17989">
        <w:rPr>
          <w:rFonts w:ascii="Times New Roman" w:eastAsia="Times New Roman" w:hAnsi="Times New Roman" w:cs="Times New Roman"/>
          <w:color w:val="auto"/>
          <w:sz w:val="24"/>
          <w:szCs w:val="24"/>
          <w:lang w:eastAsia="it-IT"/>
        </w:rPr>
        <w:t>essa</w:t>
      </w:r>
      <w:r w:rsidR="000015E6" w:rsidRPr="00A17989">
        <w:rPr>
          <w:rFonts w:ascii="Times New Roman" w:eastAsia="Times New Roman" w:hAnsi="Times New Roman" w:cs="Times New Roman"/>
          <w:color w:val="auto"/>
          <w:sz w:val="24"/>
          <w:szCs w:val="24"/>
          <w:lang w:eastAsia="it-IT"/>
        </w:rPr>
        <w:t xml:space="preserve"> la </w:t>
      </w:r>
      <w:r w:rsidR="00EB4AE6" w:rsidRPr="00A17989">
        <w:rPr>
          <w:rFonts w:ascii="Times New Roman" w:eastAsia="Times New Roman" w:hAnsi="Times New Roman" w:cs="Times New Roman"/>
          <w:color w:val="auto"/>
          <w:sz w:val="24"/>
          <w:szCs w:val="24"/>
          <w:lang w:eastAsia="it-IT"/>
        </w:rPr>
        <w:t>titolarità d</w:t>
      </w:r>
      <w:r w:rsidR="000015E6" w:rsidRPr="00A17989">
        <w:rPr>
          <w:rFonts w:ascii="Times New Roman" w:eastAsia="Times New Roman" w:hAnsi="Times New Roman" w:cs="Times New Roman"/>
          <w:color w:val="auto"/>
          <w:sz w:val="24"/>
          <w:szCs w:val="24"/>
          <w:lang w:eastAsia="it-IT"/>
        </w:rPr>
        <w:t xml:space="preserve">i un </w:t>
      </w:r>
      <w:r w:rsidR="00EB4AE6" w:rsidRPr="00A17989">
        <w:rPr>
          <w:rFonts w:ascii="Times New Roman" w:eastAsia="Times New Roman" w:hAnsi="Times New Roman" w:cs="Times New Roman"/>
          <w:color w:val="auto"/>
          <w:sz w:val="24"/>
          <w:szCs w:val="24"/>
          <w:lang w:eastAsia="it-IT"/>
        </w:rPr>
        <w:t xml:space="preserve">interesse, </w:t>
      </w:r>
      <w:r w:rsidR="000015E6" w:rsidRPr="00A17989">
        <w:rPr>
          <w:rFonts w:ascii="Times New Roman" w:eastAsia="Times New Roman" w:hAnsi="Times New Roman" w:cs="Times New Roman"/>
          <w:color w:val="auto"/>
          <w:sz w:val="24"/>
          <w:szCs w:val="24"/>
          <w:lang w:eastAsia="it-IT"/>
        </w:rPr>
        <w:t>p</w:t>
      </w:r>
      <w:r w:rsidR="00313469" w:rsidRPr="00A17989">
        <w:rPr>
          <w:rFonts w:ascii="Times New Roman" w:eastAsia="Times New Roman" w:hAnsi="Times New Roman" w:cs="Times New Roman"/>
          <w:color w:val="auto"/>
          <w:sz w:val="24"/>
          <w:szCs w:val="24"/>
          <w:lang w:eastAsia="it-IT"/>
        </w:rPr>
        <w:t>oi</w:t>
      </w:r>
      <w:r w:rsidR="000015E6" w:rsidRPr="00A17989">
        <w:rPr>
          <w:rFonts w:ascii="Times New Roman" w:eastAsia="Times New Roman" w:hAnsi="Times New Roman" w:cs="Times New Roman"/>
          <w:color w:val="auto"/>
          <w:sz w:val="24"/>
          <w:szCs w:val="24"/>
          <w:lang w:eastAsia="it-IT"/>
        </w:rPr>
        <w:t xml:space="preserve">ché </w:t>
      </w:r>
      <w:r w:rsidR="00994341" w:rsidRPr="00A17989">
        <w:rPr>
          <w:rFonts w:ascii="Times New Roman" w:eastAsia="Times New Roman" w:hAnsi="Times New Roman" w:cs="Times New Roman"/>
          <w:color w:val="auto"/>
          <w:sz w:val="24"/>
          <w:szCs w:val="24"/>
          <w:lang w:eastAsia="it-IT"/>
        </w:rPr>
        <w:t xml:space="preserve">è </w:t>
      </w:r>
      <w:r w:rsidR="000015E6" w:rsidRPr="00A17989">
        <w:rPr>
          <w:rFonts w:ascii="Times New Roman" w:eastAsia="Times New Roman" w:hAnsi="Times New Roman" w:cs="Times New Roman"/>
          <w:color w:val="auto"/>
          <w:sz w:val="24"/>
          <w:szCs w:val="24"/>
          <w:lang w:eastAsia="it-IT"/>
        </w:rPr>
        <w:t xml:space="preserve">da ciò </w:t>
      </w:r>
      <w:r w:rsidR="00994341" w:rsidRPr="00A17989">
        <w:rPr>
          <w:rFonts w:ascii="Times New Roman" w:eastAsia="Times New Roman" w:hAnsi="Times New Roman" w:cs="Times New Roman"/>
          <w:color w:val="auto"/>
          <w:sz w:val="24"/>
          <w:szCs w:val="24"/>
          <w:lang w:eastAsia="it-IT"/>
        </w:rPr>
        <w:t xml:space="preserve">che </w:t>
      </w:r>
      <w:r w:rsidR="00EB4AE6" w:rsidRPr="00A17989">
        <w:rPr>
          <w:rFonts w:ascii="Times New Roman" w:eastAsia="Times New Roman" w:hAnsi="Times New Roman" w:cs="Times New Roman"/>
          <w:color w:val="auto"/>
          <w:sz w:val="24"/>
          <w:szCs w:val="24"/>
          <w:lang w:eastAsia="it-IT"/>
        </w:rPr>
        <w:t xml:space="preserve">accede </w:t>
      </w:r>
      <w:r w:rsidR="000015E6" w:rsidRPr="00A17989">
        <w:rPr>
          <w:rFonts w:ascii="Times New Roman" w:eastAsia="Times New Roman" w:hAnsi="Times New Roman" w:cs="Times New Roman"/>
          <w:color w:val="auto"/>
          <w:sz w:val="24"/>
          <w:szCs w:val="24"/>
          <w:lang w:eastAsia="it-IT"/>
        </w:rPr>
        <w:t xml:space="preserve">naturalmente </w:t>
      </w:r>
      <w:r w:rsidR="008F7928" w:rsidRPr="00A17989">
        <w:rPr>
          <w:rFonts w:ascii="Times New Roman" w:eastAsia="Times New Roman" w:hAnsi="Times New Roman" w:cs="Times New Roman"/>
          <w:color w:val="auto"/>
          <w:sz w:val="24"/>
          <w:szCs w:val="24"/>
          <w:lang w:eastAsia="it-IT"/>
        </w:rPr>
        <w:t xml:space="preserve">il </w:t>
      </w:r>
      <w:r w:rsidR="00666FD9" w:rsidRPr="00A17989">
        <w:rPr>
          <w:rFonts w:ascii="Times New Roman" w:eastAsia="Times New Roman" w:hAnsi="Times New Roman" w:cs="Times New Roman"/>
          <w:color w:val="auto"/>
          <w:sz w:val="24"/>
          <w:szCs w:val="24"/>
          <w:lang w:eastAsia="it-IT"/>
        </w:rPr>
        <w:t>diritto</w:t>
      </w:r>
      <w:r w:rsidR="008F7928" w:rsidRPr="00A17989">
        <w:rPr>
          <w:rFonts w:ascii="Times New Roman" w:eastAsia="Times New Roman" w:hAnsi="Times New Roman" w:cs="Times New Roman"/>
          <w:color w:val="auto"/>
          <w:sz w:val="24"/>
          <w:szCs w:val="24"/>
          <w:lang w:eastAsia="it-IT"/>
        </w:rPr>
        <w:t xml:space="preserve"> di </w:t>
      </w:r>
      <w:r w:rsidR="00EB4AE6" w:rsidRPr="00A17989">
        <w:rPr>
          <w:rFonts w:ascii="Times New Roman" w:eastAsia="Times New Roman" w:hAnsi="Times New Roman" w:cs="Times New Roman"/>
          <w:color w:val="auto"/>
          <w:sz w:val="24"/>
          <w:szCs w:val="24"/>
          <w:lang w:eastAsia="it-IT"/>
        </w:rPr>
        <w:t xml:space="preserve">apprestarvi </w:t>
      </w:r>
      <w:r w:rsidR="008F7928" w:rsidRPr="00A17989">
        <w:rPr>
          <w:rFonts w:ascii="Times New Roman" w:eastAsia="Times New Roman" w:hAnsi="Times New Roman" w:cs="Times New Roman"/>
          <w:color w:val="auto"/>
          <w:sz w:val="24"/>
          <w:szCs w:val="24"/>
          <w:lang w:eastAsia="it-IT"/>
        </w:rPr>
        <w:t>tutela</w:t>
      </w:r>
      <w:r w:rsidR="00EB4AE6" w:rsidRPr="00A17989">
        <w:rPr>
          <w:rFonts w:ascii="Times New Roman" w:eastAsia="Times New Roman" w:hAnsi="Times New Roman" w:cs="Times New Roman"/>
          <w:color w:val="auto"/>
          <w:sz w:val="24"/>
          <w:szCs w:val="24"/>
          <w:lang w:eastAsia="it-IT"/>
        </w:rPr>
        <w:t>, anche in sede</w:t>
      </w:r>
      <w:r w:rsidR="008F7928" w:rsidRPr="00A17989">
        <w:rPr>
          <w:rFonts w:ascii="Times New Roman" w:eastAsia="Times New Roman" w:hAnsi="Times New Roman" w:cs="Times New Roman"/>
          <w:color w:val="auto"/>
          <w:sz w:val="24"/>
          <w:szCs w:val="24"/>
          <w:lang w:eastAsia="it-IT"/>
        </w:rPr>
        <w:t xml:space="preserve"> giurisdizionale.</w:t>
      </w:r>
    </w:p>
    <w:p w:rsidR="008F7928" w:rsidRPr="00A17989" w:rsidRDefault="0059745D"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Trasponendo tale regola</w:t>
      </w:r>
      <w:r w:rsidR="008F7928"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 xml:space="preserve">alle </w:t>
      </w:r>
      <w:r w:rsidR="00A3755A" w:rsidRPr="00A17989">
        <w:rPr>
          <w:rFonts w:ascii="Times New Roman" w:eastAsia="Times New Roman" w:hAnsi="Times New Roman" w:cs="Times New Roman"/>
          <w:color w:val="auto"/>
          <w:sz w:val="24"/>
          <w:szCs w:val="24"/>
          <w:lang w:eastAsia="it-IT"/>
        </w:rPr>
        <w:t>a</w:t>
      </w:r>
      <w:r w:rsidR="008F7928" w:rsidRPr="00A17989">
        <w:rPr>
          <w:rFonts w:ascii="Times New Roman" w:eastAsia="Times New Roman" w:hAnsi="Times New Roman" w:cs="Times New Roman"/>
          <w:color w:val="auto"/>
          <w:sz w:val="24"/>
          <w:szCs w:val="24"/>
          <w:lang w:eastAsia="it-IT"/>
        </w:rPr>
        <w:t xml:space="preserve">utorità </w:t>
      </w:r>
      <w:r w:rsidR="00A3755A" w:rsidRPr="00A17989">
        <w:rPr>
          <w:rFonts w:ascii="Times New Roman" w:eastAsia="Times New Roman" w:hAnsi="Times New Roman" w:cs="Times New Roman"/>
          <w:color w:val="auto"/>
          <w:sz w:val="24"/>
          <w:szCs w:val="24"/>
          <w:lang w:eastAsia="it-IT"/>
        </w:rPr>
        <w:t>indipendent</w:t>
      </w:r>
      <w:r w:rsidRPr="00A17989">
        <w:rPr>
          <w:rFonts w:ascii="Times New Roman" w:eastAsia="Times New Roman" w:hAnsi="Times New Roman" w:cs="Times New Roman"/>
          <w:color w:val="auto"/>
          <w:sz w:val="24"/>
          <w:szCs w:val="24"/>
          <w:lang w:eastAsia="it-IT"/>
        </w:rPr>
        <w:t>i</w:t>
      </w:r>
      <w:r w:rsidR="008F7928"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s</w:t>
      </w:r>
      <w:r w:rsidR="00EB4AE6" w:rsidRPr="00A17989">
        <w:rPr>
          <w:rFonts w:ascii="Times New Roman" w:eastAsia="Times New Roman" w:hAnsi="Times New Roman" w:cs="Times New Roman"/>
          <w:color w:val="auto"/>
          <w:sz w:val="24"/>
          <w:szCs w:val="24"/>
          <w:lang w:eastAsia="it-IT"/>
        </w:rPr>
        <w:t>e</w:t>
      </w:r>
      <w:r w:rsidRPr="00A17989">
        <w:rPr>
          <w:rFonts w:ascii="Times New Roman" w:eastAsia="Times New Roman" w:hAnsi="Times New Roman" w:cs="Times New Roman"/>
          <w:color w:val="auto"/>
          <w:sz w:val="24"/>
          <w:szCs w:val="24"/>
          <w:lang w:eastAsia="it-IT"/>
        </w:rPr>
        <w:t xml:space="preserve"> </w:t>
      </w:r>
      <w:r w:rsidR="00EB4AE6" w:rsidRPr="00A17989">
        <w:rPr>
          <w:rFonts w:ascii="Times New Roman" w:eastAsia="Times New Roman" w:hAnsi="Times New Roman" w:cs="Times New Roman"/>
          <w:color w:val="auto"/>
          <w:sz w:val="24"/>
          <w:szCs w:val="24"/>
          <w:lang w:eastAsia="it-IT"/>
        </w:rPr>
        <w:t>n</w:t>
      </w:r>
      <w:r w:rsidRPr="00A17989">
        <w:rPr>
          <w:rFonts w:ascii="Times New Roman" w:eastAsia="Times New Roman" w:hAnsi="Times New Roman" w:cs="Times New Roman"/>
          <w:color w:val="auto"/>
          <w:sz w:val="24"/>
          <w:szCs w:val="24"/>
          <w:lang w:eastAsia="it-IT"/>
        </w:rPr>
        <w:t>e</w:t>
      </w:r>
      <w:r w:rsidR="00313469" w:rsidRPr="00A17989">
        <w:rPr>
          <w:rFonts w:ascii="Times New Roman" w:eastAsia="Times New Roman" w:hAnsi="Times New Roman" w:cs="Times New Roman"/>
          <w:color w:val="auto"/>
          <w:sz w:val="24"/>
          <w:szCs w:val="24"/>
          <w:lang w:eastAsia="it-IT"/>
        </w:rPr>
        <w:t xml:space="preserve"> dovrebbe</w:t>
      </w:r>
      <w:r w:rsidR="00666FD9"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tra</w:t>
      </w:r>
      <w:r w:rsidR="00313469" w:rsidRPr="00A17989">
        <w:rPr>
          <w:rFonts w:ascii="Times New Roman" w:eastAsia="Times New Roman" w:hAnsi="Times New Roman" w:cs="Times New Roman"/>
          <w:color w:val="auto"/>
          <w:sz w:val="24"/>
          <w:szCs w:val="24"/>
          <w:lang w:eastAsia="it-IT"/>
        </w:rPr>
        <w:t>rr</w:t>
      </w:r>
      <w:r w:rsidRPr="00A17989">
        <w:rPr>
          <w:rFonts w:ascii="Times New Roman" w:eastAsia="Times New Roman" w:hAnsi="Times New Roman" w:cs="Times New Roman"/>
          <w:color w:val="auto"/>
          <w:sz w:val="24"/>
          <w:szCs w:val="24"/>
          <w:lang w:eastAsia="it-IT"/>
        </w:rPr>
        <w:t xml:space="preserve">e il corollario per cui ognuna di esse, </w:t>
      </w:r>
      <w:r w:rsidR="008F7928" w:rsidRPr="00A17989">
        <w:rPr>
          <w:rFonts w:ascii="Times New Roman" w:eastAsia="Times New Roman" w:hAnsi="Times New Roman" w:cs="Times New Roman"/>
          <w:color w:val="auto"/>
          <w:sz w:val="24"/>
          <w:szCs w:val="24"/>
          <w:lang w:eastAsia="it-IT"/>
        </w:rPr>
        <w:t xml:space="preserve">nella misura in cui è </w:t>
      </w:r>
      <w:r w:rsidRPr="00A17989">
        <w:rPr>
          <w:rFonts w:ascii="Times New Roman" w:eastAsia="Times New Roman" w:hAnsi="Times New Roman" w:cs="Times New Roman"/>
          <w:color w:val="auto"/>
          <w:sz w:val="24"/>
          <w:szCs w:val="24"/>
          <w:lang w:eastAsia="it-IT"/>
        </w:rPr>
        <w:t>attributaria della cura</w:t>
      </w:r>
      <w:r w:rsidR="008F7928" w:rsidRPr="00A17989">
        <w:rPr>
          <w:rFonts w:ascii="Times New Roman" w:eastAsia="Times New Roman" w:hAnsi="Times New Roman" w:cs="Times New Roman"/>
          <w:color w:val="auto"/>
          <w:sz w:val="24"/>
          <w:szCs w:val="24"/>
          <w:lang w:eastAsia="it-IT"/>
        </w:rPr>
        <w:t xml:space="preserve"> di interess</w:t>
      </w:r>
      <w:r w:rsidR="00916C37" w:rsidRPr="00A17989">
        <w:rPr>
          <w:rFonts w:ascii="Times New Roman" w:eastAsia="Times New Roman" w:hAnsi="Times New Roman" w:cs="Times New Roman"/>
          <w:color w:val="auto"/>
          <w:sz w:val="24"/>
          <w:szCs w:val="24"/>
          <w:lang w:eastAsia="it-IT"/>
        </w:rPr>
        <w:t>i</w:t>
      </w:r>
      <w:r w:rsidRPr="00A17989">
        <w:rPr>
          <w:rFonts w:ascii="Times New Roman" w:eastAsia="Times New Roman" w:hAnsi="Times New Roman" w:cs="Times New Roman"/>
          <w:color w:val="auto"/>
          <w:sz w:val="24"/>
          <w:szCs w:val="24"/>
          <w:lang w:eastAsia="it-IT"/>
        </w:rPr>
        <w:t xml:space="preserve"> pubblici</w:t>
      </w:r>
      <w:r w:rsidR="00155A69" w:rsidRPr="00A17989">
        <w:rPr>
          <w:rFonts w:ascii="Times New Roman" w:eastAsia="Times New Roman" w:hAnsi="Times New Roman" w:cs="Times New Roman"/>
          <w:color w:val="auto"/>
          <w:sz w:val="24"/>
          <w:szCs w:val="24"/>
          <w:lang w:eastAsia="it-IT"/>
        </w:rPr>
        <w:t>,</w:t>
      </w:r>
      <w:r w:rsidRPr="00A17989">
        <w:rPr>
          <w:rFonts w:ascii="Times New Roman" w:eastAsia="Times New Roman" w:hAnsi="Times New Roman" w:cs="Times New Roman"/>
          <w:color w:val="auto"/>
          <w:sz w:val="24"/>
          <w:szCs w:val="24"/>
          <w:lang w:eastAsia="it-IT"/>
        </w:rPr>
        <w:t xml:space="preserve"> </w:t>
      </w:r>
      <w:r w:rsidR="00666FD9" w:rsidRPr="00A17989">
        <w:rPr>
          <w:rFonts w:ascii="Times New Roman" w:eastAsia="Times New Roman" w:hAnsi="Times New Roman" w:cs="Times New Roman"/>
          <w:color w:val="auto"/>
          <w:sz w:val="24"/>
          <w:szCs w:val="24"/>
          <w:lang w:eastAsia="it-IT"/>
        </w:rPr>
        <w:t xml:space="preserve">in relazione ad essi </w:t>
      </w:r>
      <w:r w:rsidRPr="00A17989">
        <w:rPr>
          <w:rFonts w:ascii="Times New Roman" w:eastAsia="Times New Roman" w:hAnsi="Times New Roman" w:cs="Times New Roman"/>
          <w:color w:val="auto"/>
          <w:sz w:val="24"/>
          <w:szCs w:val="24"/>
          <w:lang w:eastAsia="it-IT"/>
        </w:rPr>
        <w:t xml:space="preserve">è </w:t>
      </w:r>
      <w:r w:rsidR="008F7928" w:rsidRPr="00A17989">
        <w:rPr>
          <w:rFonts w:ascii="Times New Roman" w:eastAsia="Times New Roman" w:hAnsi="Times New Roman" w:cs="Times New Roman"/>
          <w:color w:val="auto"/>
          <w:sz w:val="24"/>
          <w:szCs w:val="24"/>
          <w:lang w:eastAsia="it-IT"/>
        </w:rPr>
        <w:t>a</w:t>
      </w:r>
      <w:r w:rsidR="00313469" w:rsidRPr="00A17989">
        <w:rPr>
          <w:rFonts w:ascii="Times New Roman" w:eastAsia="Times New Roman" w:hAnsi="Times New Roman" w:cs="Times New Roman"/>
          <w:color w:val="auto"/>
          <w:sz w:val="24"/>
          <w:szCs w:val="24"/>
          <w:lang w:eastAsia="it-IT"/>
        </w:rPr>
        <w:t>nch</w:t>
      </w:r>
      <w:r w:rsidR="008F7928" w:rsidRPr="00A17989">
        <w:rPr>
          <w:rFonts w:ascii="Times New Roman" w:eastAsia="Times New Roman" w:hAnsi="Times New Roman" w:cs="Times New Roman"/>
          <w:color w:val="auto"/>
          <w:sz w:val="24"/>
          <w:szCs w:val="24"/>
          <w:lang w:eastAsia="it-IT"/>
        </w:rPr>
        <w:t xml:space="preserve">e titolare del potere </w:t>
      </w:r>
      <w:r w:rsidR="00916C37" w:rsidRPr="00A17989">
        <w:rPr>
          <w:rFonts w:ascii="Times New Roman" w:eastAsia="Times New Roman" w:hAnsi="Times New Roman" w:cs="Times New Roman"/>
          <w:color w:val="auto"/>
          <w:sz w:val="24"/>
          <w:szCs w:val="24"/>
          <w:lang w:eastAsia="it-IT"/>
        </w:rPr>
        <w:t xml:space="preserve">di </w:t>
      </w:r>
      <w:r w:rsidR="00EB4AE6" w:rsidRPr="00A17989">
        <w:rPr>
          <w:rFonts w:ascii="Times New Roman" w:eastAsia="Times New Roman" w:hAnsi="Times New Roman" w:cs="Times New Roman"/>
          <w:color w:val="auto"/>
          <w:sz w:val="24"/>
          <w:szCs w:val="24"/>
          <w:lang w:eastAsia="it-IT"/>
        </w:rPr>
        <w:t>azionare</w:t>
      </w:r>
      <w:r w:rsidR="00916C37" w:rsidRPr="00A17989">
        <w:rPr>
          <w:rFonts w:ascii="Times New Roman" w:eastAsia="Times New Roman" w:hAnsi="Times New Roman" w:cs="Times New Roman"/>
          <w:color w:val="auto"/>
          <w:sz w:val="24"/>
          <w:szCs w:val="24"/>
          <w:lang w:eastAsia="it-IT"/>
        </w:rPr>
        <w:t xml:space="preserve"> la </w:t>
      </w:r>
      <w:r w:rsidR="008F7928" w:rsidRPr="00A17989">
        <w:rPr>
          <w:rFonts w:ascii="Times New Roman" w:eastAsia="Times New Roman" w:hAnsi="Times New Roman" w:cs="Times New Roman"/>
          <w:color w:val="auto"/>
          <w:sz w:val="24"/>
          <w:szCs w:val="24"/>
          <w:lang w:eastAsia="it-IT"/>
        </w:rPr>
        <w:t>tutela giurisdizionale, a prescindere d</w:t>
      </w:r>
      <w:r w:rsidR="00313469" w:rsidRPr="00A17989">
        <w:rPr>
          <w:rFonts w:ascii="Times New Roman" w:eastAsia="Times New Roman" w:hAnsi="Times New Roman" w:cs="Times New Roman"/>
          <w:color w:val="auto"/>
          <w:sz w:val="24"/>
          <w:szCs w:val="24"/>
          <w:lang w:eastAsia="it-IT"/>
        </w:rPr>
        <w:t>a</w:t>
      </w:r>
      <w:r w:rsidR="00916C37" w:rsidRPr="00A17989">
        <w:rPr>
          <w:rFonts w:ascii="Times New Roman" w:eastAsia="Times New Roman" w:hAnsi="Times New Roman" w:cs="Times New Roman"/>
          <w:color w:val="auto"/>
          <w:sz w:val="24"/>
          <w:szCs w:val="24"/>
          <w:lang w:eastAsia="it-IT"/>
        </w:rPr>
        <w:t xml:space="preserve"> un </w:t>
      </w:r>
      <w:r w:rsidR="008F7928" w:rsidRPr="00A17989">
        <w:rPr>
          <w:rFonts w:ascii="Times New Roman" w:eastAsia="Times New Roman" w:hAnsi="Times New Roman" w:cs="Times New Roman"/>
          <w:color w:val="auto"/>
          <w:sz w:val="24"/>
          <w:szCs w:val="24"/>
          <w:lang w:eastAsia="it-IT"/>
        </w:rPr>
        <w:t xml:space="preserve">riconoscimento </w:t>
      </w:r>
      <w:r w:rsidR="00666FD9" w:rsidRPr="00A17989">
        <w:rPr>
          <w:rFonts w:ascii="Times New Roman" w:eastAsia="Times New Roman" w:hAnsi="Times New Roman" w:cs="Times New Roman"/>
          <w:color w:val="auto"/>
          <w:sz w:val="24"/>
          <w:szCs w:val="24"/>
          <w:lang w:eastAsia="it-IT"/>
        </w:rPr>
        <w:t>leg</w:t>
      </w:r>
      <w:r w:rsidR="008F7928" w:rsidRPr="00A17989">
        <w:rPr>
          <w:rFonts w:ascii="Times New Roman" w:eastAsia="Times New Roman" w:hAnsi="Times New Roman" w:cs="Times New Roman"/>
          <w:color w:val="auto"/>
          <w:sz w:val="24"/>
          <w:szCs w:val="24"/>
          <w:lang w:eastAsia="it-IT"/>
        </w:rPr>
        <w:t>ale.</w:t>
      </w:r>
    </w:p>
    <w:p w:rsidR="00804ECF" w:rsidRPr="00A17989" w:rsidRDefault="0036534E" w:rsidP="004E5891">
      <w:pPr>
        <w:pStyle w:val="Subtitle"/>
        <w:ind w:left="426" w:right="424" w:firstLine="567"/>
        <w:jc w:val="both"/>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Dunque</w:t>
      </w:r>
      <w:r w:rsidR="008F7928" w:rsidRPr="00A17989">
        <w:rPr>
          <w:rFonts w:ascii="Times New Roman" w:eastAsia="Times New Roman" w:hAnsi="Times New Roman" w:cs="Times New Roman"/>
          <w:color w:val="auto"/>
          <w:sz w:val="24"/>
          <w:szCs w:val="24"/>
          <w:lang w:eastAsia="it-IT"/>
        </w:rPr>
        <w:t xml:space="preserve">, le </w:t>
      </w:r>
      <w:r w:rsidR="005B103C" w:rsidRPr="00A17989">
        <w:rPr>
          <w:rFonts w:ascii="Times New Roman" w:eastAsia="Times New Roman" w:hAnsi="Times New Roman" w:cs="Times New Roman"/>
          <w:color w:val="auto"/>
          <w:sz w:val="24"/>
          <w:szCs w:val="24"/>
          <w:lang w:eastAsia="it-IT"/>
        </w:rPr>
        <w:t>disposizioni</w:t>
      </w:r>
      <w:r w:rsidR="008F7928" w:rsidRPr="00A17989">
        <w:rPr>
          <w:rFonts w:ascii="Times New Roman" w:eastAsia="Times New Roman" w:hAnsi="Times New Roman" w:cs="Times New Roman"/>
          <w:color w:val="auto"/>
          <w:sz w:val="24"/>
          <w:szCs w:val="24"/>
          <w:lang w:eastAsia="it-IT"/>
        </w:rPr>
        <w:t xml:space="preserve"> </w:t>
      </w:r>
      <w:r w:rsidR="000015E6" w:rsidRPr="00A17989">
        <w:rPr>
          <w:rFonts w:ascii="Times New Roman" w:eastAsia="Times New Roman" w:hAnsi="Times New Roman" w:cs="Times New Roman"/>
          <w:color w:val="auto"/>
          <w:sz w:val="24"/>
          <w:szCs w:val="24"/>
          <w:lang w:eastAsia="it-IT"/>
        </w:rPr>
        <w:t>che regolano</w:t>
      </w:r>
      <w:r w:rsidR="008F7928" w:rsidRPr="00A17989">
        <w:rPr>
          <w:rFonts w:ascii="Times New Roman" w:eastAsia="Times New Roman" w:hAnsi="Times New Roman" w:cs="Times New Roman"/>
          <w:color w:val="auto"/>
          <w:sz w:val="24"/>
          <w:szCs w:val="24"/>
          <w:lang w:eastAsia="it-IT"/>
        </w:rPr>
        <w:t xml:space="preserve"> </w:t>
      </w:r>
      <w:r w:rsidR="005B103C" w:rsidRPr="00A17989">
        <w:rPr>
          <w:rFonts w:ascii="Times New Roman" w:eastAsia="Times New Roman" w:hAnsi="Times New Roman" w:cs="Times New Roman"/>
          <w:color w:val="auto"/>
          <w:sz w:val="24"/>
          <w:szCs w:val="24"/>
          <w:lang w:eastAsia="it-IT"/>
        </w:rPr>
        <w:t>l’</w:t>
      </w:r>
      <w:r w:rsidR="008F7928" w:rsidRPr="00A17989">
        <w:rPr>
          <w:rFonts w:ascii="Times New Roman" w:eastAsia="Times New Roman" w:hAnsi="Times New Roman" w:cs="Times New Roman"/>
          <w:color w:val="auto"/>
          <w:sz w:val="24"/>
          <w:szCs w:val="24"/>
          <w:lang w:eastAsia="it-IT"/>
        </w:rPr>
        <w:t xml:space="preserve">iniziativa processuale di alcune </w:t>
      </w:r>
      <w:r w:rsidR="00EB4AE6" w:rsidRPr="00A17989">
        <w:rPr>
          <w:rFonts w:ascii="Times New Roman" w:eastAsia="Times New Roman" w:hAnsi="Times New Roman" w:cs="Times New Roman"/>
          <w:color w:val="auto"/>
          <w:sz w:val="24"/>
          <w:szCs w:val="24"/>
          <w:lang w:eastAsia="it-IT"/>
        </w:rPr>
        <w:t>a</w:t>
      </w:r>
      <w:r w:rsidR="008F7928" w:rsidRPr="00A17989">
        <w:rPr>
          <w:rFonts w:ascii="Times New Roman" w:eastAsia="Times New Roman" w:hAnsi="Times New Roman" w:cs="Times New Roman"/>
          <w:color w:val="auto"/>
          <w:sz w:val="24"/>
          <w:szCs w:val="24"/>
          <w:lang w:eastAsia="it-IT"/>
        </w:rPr>
        <w:t>utorità</w:t>
      </w:r>
      <w:r w:rsidR="000015E6" w:rsidRPr="00A17989">
        <w:rPr>
          <w:rFonts w:ascii="Times New Roman" w:eastAsia="Times New Roman" w:hAnsi="Times New Roman" w:cs="Times New Roman"/>
          <w:color w:val="auto"/>
          <w:sz w:val="24"/>
          <w:szCs w:val="24"/>
          <w:lang w:eastAsia="it-IT"/>
        </w:rPr>
        <w:t xml:space="preserve"> </w:t>
      </w:r>
      <w:r w:rsidR="00155A69" w:rsidRPr="00A17989">
        <w:rPr>
          <w:rFonts w:ascii="Times New Roman" w:eastAsia="Times New Roman" w:hAnsi="Times New Roman" w:cs="Times New Roman"/>
          <w:color w:val="auto"/>
          <w:sz w:val="24"/>
          <w:szCs w:val="24"/>
          <w:lang w:eastAsia="it-IT"/>
        </w:rPr>
        <w:t>rivesti</w:t>
      </w:r>
      <w:r w:rsidR="000015E6" w:rsidRPr="00A17989">
        <w:rPr>
          <w:rFonts w:ascii="Times New Roman" w:eastAsia="Times New Roman" w:hAnsi="Times New Roman" w:cs="Times New Roman"/>
          <w:color w:val="auto"/>
          <w:sz w:val="24"/>
          <w:szCs w:val="24"/>
          <w:lang w:eastAsia="it-IT"/>
        </w:rPr>
        <w:t xml:space="preserve">rebbero portata </w:t>
      </w:r>
      <w:r w:rsidR="008769A7" w:rsidRPr="00A17989">
        <w:rPr>
          <w:rFonts w:ascii="Times New Roman" w:eastAsia="Times New Roman" w:hAnsi="Times New Roman" w:cs="Times New Roman"/>
          <w:color w:val="auto"/>
          <w:sz w:val="24"/>
          <w:szCs w:val="24"/>
          <w:lang w:eastAsia="it-IT"/>
        </w:rPr>
        <w:t xml:space="preserve">non ampliativa, ma </w:t>
      </w:r>
      <w:r w:rsidR="005B103C" w:rsidRPr="00A17989">
        <w:rPr>
          <w:rFonts w:ascii="Times New Roman" w:eastAsia="Times New Roman" w:hAnsi="Times New Roman" w:cs="Times New Roman"/>
          <w:color w:val="auto"/>
          <w:sz w:val="24"/>
          <w:szCs w:val="24"/>
          <w:lang w:eastAsia="it-IT"/>
        </w:rPr>
        <w:t>ri</w:t>
      </w:r>
      <w:r w:rsidR="008769A7" w:rsidRPr="00A17989">
        <w:rPr>
          <w:rFonts w:ascii="Times New Roman" w:eastAsia="Times New Roman" w:hAnsi="Times New Roman" w:cs="Times New Roman"/>
          <w:color w:val="auto"/>
          <w:sz w:val="24"/>
          <w:szCs w:val="24"/>
          <w:lang w:eastAsia="it-IT"/>
        </w:rPr>
        <w:t>cognitiva, se non addirittura ri</w:t>
      </w:r>
      <w:r w:rsidR="005B103C" w:rsidRPr="00A17989">
        <w:rPr>
          <w:rFonts w:ascii="Times New Roman" w:eastAsia="Times New Roman" w:hAnsi="Times New Roman" w:cs="Times New Roman"/>
          <w:color w:val="auto"/>
          <w:sz w:val="24"/>
          <w:szCs w:val="24"/>
          <w:lang w:eastAsia="it-IT"/>
        </w:rPr>
        <w:t>duttiv</w:t>
      </w:r>
      <w:r w:rsidR="000015E6" w:rsidRPr="00A17989">
        <w:rPr>
          <w:rFonts w:ascii="Times New Roman" w:eastAsia="Times New Roman" w:hAnsi="Times New Roman" w:cs="Times New Roman"/>
          <w:color w:val="auto"/>
          <w:sz w:val="24"/>
          <w:szCs w:val="24"/>
          <w:lang w:eastAsia="it-IT"/>
        </w:rPr>
        <w:t>a</w:t>
      </w:r>
      <w:r w:rsidR="008769A7" w:rsidRPr="00A17989">
        <w:rPr>
          <w:rFonts w:ascii="Times New Roman" w:eastAsia="Times New Roman" w:hAnsi="Times New Roman" w:cs="Times New Roman"/>
          <w:color w:val="auto"/>
          <w:sz w:val="24"/>
          <w:szCs w:val="24"/>
          <w:lang w:eastAsia="it-IT"/>
        </w:rPr>
        <w:t xml:space="preserve"> (per </w:t>
      </w:r>
      <w:r w:rsidRPr="00A17989">
        <w:rPr>
          <w:rFonts w:ascii="Times New Roman" w:eastAsia="Times New Roman" w:hAnsi="Times New Roman" w:cs="Times New Roman"/>
          <w:color w:val="auto"/>
          <w:sz w:val="24"/>
          <w:szCs w:val="24"/>
          <w:lang w:eastAsia="it-IT"/>
        </w:rPr>
        <w:t xml:space="preserve">quanto concerne </w:t>
      </w:r>
      <w:r w:rsidR="008769A7" w:rsidRPr="00A17989">
        <w:rPr>
          <w:rFonts w:ascii="Times New Roman" w:eastAsia="Times New Roman" w:hAnsi="Times New Roman" w:cs="Times New Roman"/>
          <w:color w:val="auto"/>
          <w:sz w:val="24"/>
          <w:szCs w:val="24"/>
          <w:lang w:eastAsia="it-IT"/>
        </w:rPr>
        <w:t xml:space="preserve">l’Autorità </w:t>
      </w:r>
      <w:r w:rsidR="00B84FAA" w:rsidRPr="00A17989">
        <w:rPr>
          <w:rFonts w:ascii="Times New Roman" w:eastAsia="Times New Roman" w:hAnsi="Times New Roman" w:cs="Times New Roman"/>
          <w:color w:val="auto"/>
          <w:sz w:val="24"/>
          <w:szCs w:val="24"/>
          <w:lang w:eastAsia="it-IT"/>
        </w:rPr>
        <w:t xml:space="preserve">di regolazione </w:t>
      </w:r>
      <w:r w:rsidR="008769A7" w:rsidRPr="00A17989">
        <w:rPr>
          <w:rFonts w:ascii="Times New Roman" w:eastAsia="Times New Roman" w:hAnsi="Times New Roman" w:cs="Times New Roman"/>
          <w:color w:val="auto"/>
          <w:sz w:val="24"/>
          <w:szCs w:val="24"/>
          <w:lang w:eastAsia="it-IT"/>
        </w:rPr>
        <w:t>dei trasporti</w:t>
      </w:r>
      <w:r w:rsidRPr="00A17989">
        <w:rPr>
          <w:rFonts w:ascii="Times New Roman" w:eastAsia="Times New Roman" w:hAnsi="Times New Roman" w:cs="Times New Roman"/>
          <w:color w:val="auto"/>
          <w:sz w:val="24"/>
          <w:szCs w:val="24"/>
          <w:lang w:eastAsia="it-IT"/>
        </w:rPr>
        <w:t>,</w:t>
      </w:r>
      <w:r w:rsidR="008769A7"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il cui potere impugnatorio è circoscritto al solo settore dei taxi</w:t>
      </w:r>
      <w:r w:rsidR="008769A7" w:rsidRPr="00A17989">
        <w:rPr>
          <w:rFonts w:ascii="Times New Roman" w:eastAsia="Times New Roman" w:hAnsi="Times New Roman" w:cs="Times New Roman"/>
          <w:color w:val="auto"/>
          <w:sz w:val="24"/>
          <w:szCs w:val="24"/>
          <w:lang w:eastAsia="it-IT"/>
        </w:rPr>
        <w:t>)</w:t>
      </w:r>
      <w:r w:rsidR="000015E6" w:rsidRPr="00A17989">
        <w:rPr>
          <w:rFonts w:ascii="Times New Roman" w:eastAsia="Times New Roman" w:hAnsi="Times New Roman" w:cs="Times New Roman"/>
          <w:color w:val="auto"/>
          <w:sz w:val="24"/>
          <w:szCs w:val="24"/>
          <w:lang w:eastAsia="it-IT"/>
        </w:rPr>
        <w:t xml:space="preserve">, </w:t>
      </w:r>
      <w:r w:rsidRPr="00A17989">
        <w:rPr>
          <w:rFonts w:ascii="Times New Roman" w:eastAsia="Times New Roman" w:hAnsi="Times New Roman" w:cs="Times New Roman"/>
          <w:color w:val="auto"/>
          <w:sz w:val="24"/>
          <w:szCs w:val="24"/>
          <w:lang w:eastAsia="it-IT"/>
        </w:rPr>
        <w:t>dell</w:t>
      </w:r>
      <w:r w:rsidR="00155A69" w:rsidRPr="00A17989">
        <w:rPr>
          <w:rFonts w:ascii="Times New Roman" w:eastAsia="Times New Roman" w:hAnsi="Times New Roman" w:cs="Times New Roman"/>
          <w:color w:val="auto"/>
          <w:sz w:val="24"/>
          <w:szCs w:val="24"/>
          <w:lang w:eastAsia="it-IT"/>
        </w:rPr>
        <w:t xml:space="preserve">a </w:t>
      </w:r>
      <w:r w:rsidR="00994341" w:rsidRPr="00A17989">
        <w:rPr>
          <w:rFonts w:ascii="Times New Roman" w:eastAsia="Times New Roman" w:hAnsi="Times New Roman" w:cs="Times New Roman"/>
          <w:color w:val="auto"/>
          <w:sz w:val="24"/>
          <w:szCs w:val="24"/>
          <w:lang w:eastAsia="it-IT"/>
        </w:rPr>
        <w:t xml:space="preserve">generale </w:t>
      </w:r>
      <w:r w:rsidR="005B103C" w:rsidRPr="00A17989">
        <w:rPr>
          <w:rFonts w:ascii="Times New Roman" w:eastAsia="Times New Roman" w:hAnsi="Times New Roman" w:cs="Times New Roman"/>
          <w:color w:val="auto"/>
          <w:sz w:val="24"/>
          <w:szCs w:val="24"/>
          <w:lang w:eastAsia="it-IT"/>
        </w:rPr>
        <w:t xml:space="preserve">facoltà </w:t>
      </w:r>
      <w:r w:rsidRPr="00A17989">
        <w:rPr>
          <w:rFonts w:ascii="Times New Roman" w:eastAsia="Times New Roman" w:hAnsi="Times New Roman" w:cs="Times New Roman"/>
          <w:color w:val="auto"/>
          <w:sz w:val="24"/>
          <w:szCs w:val="24"/>
          <w:lang w:eastAsia="it-IT"/>
        </w:rPr>
        <w:t>di accesso alla giustizia</w:t>
      </w:r>
      <w:r w:rsidR="00994341" w:rsidRPr="00A17989">
        <w:rPr>
          <w:rFonts w:ascii="Times New Roman" w:eastAsia="Times New Roman" w:hAnsi="Times New Roman" w:cs="Times New Roman"/>
          <w:color w:val="auto"/>
          <w:sz w:val="24"/>
          <w:szCs w:val="24"/>
          <w:lang w:eastAsia="it-IT"/>
        </w:rPr>
        <w:t>,</w:t>
      </w:r>
      <w:r w:rsidRPr="00A17989">
        <w:rPr>
          <w:rFonts w:ascii="Times New Roman" w:eastAsia="Times New Roman" w:hAnsi="Times New Roman" w:cs="Times New Roman"/>
          <w:color w:val="auto"/>
          <w:sz w:val="24"/>
          <w:szCs w:val="24"/>
          <w:lang w:eastAsia="it-IT"/>
        </w:rPr>
        <w:t xml:space="preserve"> a tutela degli interessi affidati</w:t>
      </w:r>
      <w:r w:rsidR="008769A7" w:rsidRPr="00A17989">
        <w:rPr>
          <w:rFonts w:ascii="Times New Roman" w:eastAsia="Times New Roman" w:hAnsi="Times New Roman" w:cs="Times New Roman"/>
          <w:color w:val="auto"/>
          <w:sz w:val="24"/>
          <w:szCs w:val="24"/>
          <w:lang w:eastAsia="it-IT"/>
        </w:rPr>
        <w:t xml:space="preserve">, appartenente a tutte le </w:t>
      </w:r>
      <w:r w:rsidRPr="00A17989">
        <w:rPr>
          <w:rFonts w:ascii="Times New Roman" w:eastAsia="Times New Roman" w:hAnsi="Times New Roman" w:cs="Times New Roman"/>
          <w:color w:val="auto"/>
          <w:sz w:val="24"/>
          <w:szCs w:val="24"/>
          <w:lang w:eastAsia="it-IT"/>
        </w:rPr>
        <w:t xml:space="preserve">pubbliche amministrazioni, incluse le </w:t>
      </w:r>
      <w:r w:rsidR="008769A7" w:rsidRPr="00A17989">
        <w:rPr>
          <w:rFonts w:ascii="Times New Roman" w:eastAsia="Times New Roman" w:hAnsi="Times New Roman" w:cs="Times New Roman"/>
          <w:color w:val="auto"/>
          <w:sz w:val="24"/>
          <w:szCs w:val="24"/>
          <w:lang w:eastAsia="it-IT"/>
        </w:rPr>
        <w:t>autorità indipendenti</w:t>
      </w:r>
      <w:r w:rsidR="005B103C" w:rsidRPr="00A17989">
        <w:rPr>
          <w:rFonts w:ascii="Times New Roman" w:eastAsia="Times New Roman" w:hAnsi="Times New Roman" w:cs="Times New Roman"/>
          <w:color w:val="auto"/>
          <w:sz w:val="24"/>
          <w:szCs w:val="24"/>
          <w:lang w:eastAsia="it-IT"/>
        </w:rPr>
        <w:t>.</w:t>
      </w:r>
    </w:p>
    <w:p w:rsidR="00EB4AE6" w:rsidRPr="00A17989" w:rsidRDefault="00254B75" w:rsidP="00510B2D">
      <w:pPr>
        <w:pStyle w:val="Subtitle"/>
        <w:spacing w:line="240" w:lineRule="atLeast"/>
        <w:ind w:left="426" w:right="424"/>
        <w:jc w:val="right"/>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 </w:t>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43194A">
        <w:rPr>
          <w:rFonts w:ascii="Times New Roman" w:eastAsia="Times New Roman" w:hAnsi="Times New Roman" w:cs="Times New Roman"/>
          <w:color w:val="auto"/>
          <w:sz w:val="24"/>
          <w:szCs w:val="24"/>
          <w:lang w:eastAsia="it-IT"/>
        </w:rPr>
        <w:tab/>
      </w:r>
      <w:r w:rsidR="00EB4AE6" w:rsidRPr="00A17989">
        <w:rPr>
          <w:rFonts w:ascii="Times New Roman" w:eastAsia="Times New Roman" w:hAnsi="Times New Roman" w:cs="Times New Roman"/>
          <w:color w:val="auto"/>
          <w:sz w:val="24"/>
          <w:szCs w:val="24"/>
          <w:lang w:eastAsia="it-IT"/>
        </w:rPr>
        <w:t>Nicola Durante</w:t>
      </w:r>
    </w:p>
    <w:p w:rsidR="00EB4AE6" w:rsidRDefault="001F3BDF" w:rsidP="00510B2D">
      <w:pPr>
        <w:pStyle w:val="Subtitle"/>
        <w:spacing w:line="240" w:lineRule="atLeast"/>
        <w:ind w:left="426" w:right="424"/>
        <w:jc w:val="right"/>
        <w:rPr>
          <w:rFonts w:ascii="Times New Roman" w:eastAsia="Times New Roman" w:hAnsi="Times New Roman" w:cs="Times New Roman"/>
          <w:color w:val="auto"/>
          <w:sz w:val="24"/>
          <w:szCs w:val="24"/>
          <w:lang w:eastAsia="it-IT"/>
        </w:rPr>
      </w:pPr>
      <w:r w:rsidRPr="00A17989">
        <w:rPr>
          <w:rFonts w:ascii="Times New Roman" w:eastAsia="Times New Roman" w:hAnsi="Times New Roman" w:cs="Times New Roman"/>
          <w:color w:val="auto"/>
          <w:sz w:val="24"/>
          <w:szCs w:val="24"/>
          <w:lang w:eastAsia="it-IT"/>
        </w:rPr>
        <w:t xml:space="preserve"> </w:t>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009A1DA9" w:rsidRPr="00A17989">
        <w:rPr>
          <w:rFonts w:ascii="Times New Roman" w:eastAsia="Times New Roman" w:hAnsi="Times New Roman" w:cs="Times New Roman"/>
          <w:color w:val="auto"/>
          <w:sz w:val="24"/>
          <w:szCs w:val="24"/>
          <w:lang w:eastAsia="it-IT"/>
        </w:rPr>
        <w:tab/>
      </w:r>
      <w:r w:rsidRPr="00A17989">
        <w:rPr>
          <w:rFonts w:ascii="Times New Roman" w:eastAsia="Times New Roman" w:hAnsi="Times New Roman" w:cs="Times New Roman"/>
          <w:color w:val="auto"/>
          <w:sz w:val="24"/>
          <w:szCs w:val="24"/>
          <w:lang w:eastAsia="it-IT"/>
        </w:rPr>
        <w:t xml:space="preserve"> </w:t>
      </w:r>
      <w:r w:rsidR="00EB4AE6" w:rsidRPr="00A17989">
        <w:rPr>
          <w:rFonts w:ascii="Times New Roman" w:eastAsia="Times New Roman" w:hAnsi="Times New Roman" w:cs="Times New Roman"/>
          <w:color w:val="auto"/>
          <w:sz w:val="24"/>
          <w:szCs w:val="24"/>
          <w:lang w:eastAsia="it-IT"/>
        </w:rPr>
        <w:t>Pres. Sez</w:t>
      </w:r>
      <w:r w:rsidRPr="00A17989">
        <w:rPr>
          <w:rFonts w:ascii="Times New Roman" w:eastAsia="Times New Roman" w:hAnsi="Times New Roman" w:cs="Times New Roman"/>
          <w:color w:val="auto"/>
          <w:sz w:val="24"/>
          <w:szCs w:val="24"/>
          <w:lang w:eastAsia="it-IT"/>
        </w:rPr>
        <w:t>.</w:t>
      </w:r>
      <w:r w:rsidR="00EB4AE6" w:rsidRPr="00A17989">
        <w:rPr>
          <w:rFonts w:ascii="Times New Roman" w:eastAsia="Times New Roman" w:hAnsi="Times New Roman" w:cs="Times New Roman"/>
          <w:color w:val="auto"/>
          <w:sz w:val="24"/>
          <w:szCs w:val="24"/>
          <w:lang w:eastAsia="it-IT"/>
        </w:rPr>
        <w:t xml:space="preserve"> TAR Catanzaro</w:t>
      </w:r>
    </w:p>
    <w:p w:rsidR="00510B2D" w:rsidRPr="00510B2D" w:rsidRDefault="00510B2D" w:rsidP="00510B2D">
      <w:pPr>
        <w:jc w:val="right"/>
        <w:rPr>
          <w:lang w:eastAsia="it-IT"/>
        </w:rPr>
      </w:pPr>
      <w:r>
        <w:rPr>
          <w:lang w:eastAsia="it-IT"/>
        </w:rPr>
        <w:t>Pubblicato il 2 luglio 2019</w:t>
      </w:r>
    </w:p>
    <w:sectPr w:rsidR="00510B2D" w:rsidRPr="00510B2D" w:rsidSect="009F66E4">
      <w:footerReference w:type="default" r:id="rId8"/>
      <w:pgSz w:w="11906" w:h="16838"/>
      <w:pgMar w:top="1276"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C6" w:rsidRDefault="004C0FC6" w:rsidP="009137F7">
      <w:pPr>
        <w:spacing w:after="0" w:line="240" w:lineRule="auto"/>
      </w:pPr>
      <w:r>
        <w:separator/>
      </w:r>
    </w:p>
  </w:endnote>
  <w:endnote w:type="continuationSeparator" w:id="0">
    <w:p w:rsidR="004C0FC6" w:rsidRDefault="004C0FC6" w:rsidP="0091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451790"/>
      <w:docPartObj>
        <w:docPartGallery w:val="Page Numbers (Bottom of Page)"/>
        <w:docPartUnique/>
      </w:docPartObj>
    </w:sdtPr>
    <w:sdtEndPr>
      <w:rPr>
        <w:rFonts w:ascii="Verdana" w:hAnsi="Verdana"/>
        <w:sz w:val="18"/>
        <w:szCs w:val="18"/>
      </w:rPr>
    </w:sdtEndPr>
    <w:sdtContent>
      <w:p w:rsidR="009F66E4" w:rsidRPr="009F66E4" w:rsidRDefault="009F66E4">
        <w:pPr>
          <w:pStyle w:val="Footer"/>
          <w:jc w:val="center"/>
          <w:rPr>
            <w:rFonts w:ascii="Verdana" w:hAnsi="Verdana"/>
            <w:sz w:val="18"/>
            <w:szCs w:val="18"/>
          </w:rPr>
        </w:pPr>
        <w:r w:rsidRPr="00A17989">
          <w:rPr>
            <w:rFonts w:ascii="Times New Roman" w:hAnsi="Times New Roman" w:cs="Times New Roman"/>
            <w:sz w:val="18"/>
            <w:szCs w:val="18"/>
          </w:rPr>
          <w:fldChar w:fldCharType="begin"/>
        </w:r>
        <w:r w:rsidRPr="00A17989">
          <w:rPr>
            <w:rFonts w:ascii="Times New Roman" w:hAnsi="Times New Roman" w:cs="Times New Roman"/>
            <w:sz w:val="18"/>
            <w:szCs w:val="18"/>
          </w:rPr>
          <w:instrText>PAGE   \* MERGEFORMAT</w:instrText>
        </w:r>
        <w:r w:rsidRPr="00A17989">
          <w:rPr>
            <w:rFonts w:ascii="Times New Roman" w:hAnsi="Times New Roman" w:cs="Times New Roman"/>
            <w:sz w:val="18"/>
            <w:szCs w:val="18"/>
          </w:rPr>
          <w:fldChar w:fldCharType="separate"/>
        </w:r>
        <w:r w:rsidR="00510B2D">
          <w:rPr>
            <w:rFonts w:ascii="Times New Roman" w:hAnsi="Times New Roman" w:cs="Times New Roman"/>
            <w:noProof/>
            <w:sz w:val="18"/>
            <w:szCs w:val="18"/>
          </w:rPr>
          <w:t>5</w:t>
        </w:r>
        <w:r w:rsidRPr="00A17989">
          <w:rPr>
            <w:rFonts w:ascii="Times New Roman" w:hAnsi="Times New Roman" w:cs="Times New Roman"/>
            <w:sz w:val="18"/>
            <w:szCs w:val="18"/>
          </w:rPr>
          <w:fldChar w:fldCharType="end"/>
        </w:r>
      </w:p>
    </w:sdtContent>
  </w:sdt>
  <w:p w:rsidR="009F66E4" w:rsidRDefault="009F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C6" w:rsidRDefault="004C0FC6" w:rsidP="009137F7">
      <w:pPr>
        <w:spacing w:after="0" w:line="240" w:lineRule="auto"/>
      </w:pPr>
      <w:r>
        <w:separator/>
      </w:r>
    </w:p>
  </w:footnote>
  <w:footnote w:type="continuationSeparator" w:id="0">
    <w:p w:rsidR="004C0FC6" w:rsidRDefault="004C0FC6" w:rsidP="009137F7">
      <w:pPr>
        <w:spacing w:after="0" w:line="240" w:lineRule="auto"/>
      </w:pPr>
      <w:r>
        <w:continuationSeparator/>
      </w:r>
    </w:p>
  </w:footnote>
  <w:footnote w:id="1">
    <w:p w:rsidR="007C6424" w:rsidRPr="008E7872" w:rsidRDefault="007C6424" w:rsidP="007D6C46">
      <w:pPr>
        <w:pStyle w:val="FootnoteText"/>
        <w:jc w:val="both"/>
      </w:pPr>
      <w:r w:rsidRPr="008E7872">
        <w:rPr>
          <w:rStyle w:val="FootnoteReference"/>
        </w:rPr>
        <w:footnoteRef/>
      </w:r>
      <w:r w:rsidRPr="008E7872">
        <w:t xml:space="preserve"> Il termine di sessanta giorni decorre dal ricevimento, da parte di A.G.C.M., di una specifica comunicazione, di qualsiasi provenienza, recante gli elementi rilevanti dell’atto commesso in violazione delle norme a tutela della concorrenza e del mercato, giacché soltanto a partire da tale momento essa è nella reale condizione di esercitare la propria competenza (C</w:t>
      </w:r>
      <w:r w:rsidR="00461085" w:rsidRPr="008E7872">
        <w:t xml:space="preserve">ons. </w:t>
      </w:r>
      <w:r w:rsidRPr="008E7872">
        <w:t>S</w:t>
      </w:r>
      <w:r w:rsidR="00461085" w:rsidRPr="008E7872">
        <w:t>tato, Sez. V,</w:t>
      </w:r>
      <w:r w:rsidRPr="008E7872">
        <w:t xml:space="preserve"> </w:t>
      </w:r>
      <w:r w:rsidR="00461085" w:rsidRPr="008E7872">
        <w:t xml:space="preserve">9 marzo 2015 </w:t>
      </w:r>
      <w:r w:rsidRPr="008E7872">
        <w:t>n. 1171).</w:t>
      </w:r>
    </w:p>
  </w:footnote>
  <w:footnote w:id="2">
    <w:p w:rsidR="004B1930" w:rsidRPr="008E7872" w:rsidRDefault="004B1930" w:rsidP="007D6C46">
      <w:pPr>
        <w:pStyle w:val="FootnoteText"/>
        <w:jc w:val="both"/>
      </w:pPr>
      <w:r w:rsidRPr="008E7872">
        <w:rPr>
          <w:rStyle w:val="FootnoteReference"/>
        </w:rPr>
        <w:footnoteRef/>
      </w:r>
      <w:r w:rsidRPr="008E7872">
        <w:t xml:space="preserve"> Fuori dall’ambito delle </w:t>
      </w:r>
      <w:r w:rsidR="00A91A4E" w:rsidRPr="008E7872">
        <w:t>a</w:t>
      </w:r>
      <w:r w:rsidRPr="008E7872">
        <w:t xml:space="preserve">utorità indipendenti, l’art. 6 della legge n. 168 del 1989 attribuisce al Ministro dell’Università e della Ricerca il potere di impugnazione degli </w:t>
      </w:r>
      <w:r w:rsidR="00A91A4E" w:rsidRPr="008E7872">
        <w:t>s</w:t>
      </w:r>
      <w:r w:rsidRPr="008E7872">
        <w:t xml:space="preserve">tatuti </w:t>
      </w:r>
      <w:r w:rsidR="00A91A4E" w:rsidRPr="008E7872">
        <w:t xml:space="preserve">universitari </w:t>
      </w:r>
      <w:r w:rsidRPr="008E7872">
        <w:t>che non si adeguino ai propri rilievi di legittimità, mentre l’art. 52, comma 4</w:t>
      </w:r>
      <w:r w:rsidR="00A91A4E" w:rsidRPr="008E7872">
        <w:t>,</w:t>
      </w:r>
      <w:r w:rsidRPr="008E7872">
        <w:t xml:space="preserve"> del D.lgs. n. 446 del 1997 attribuisce al Ministero delle Finanze il potere di impugnare per qualsiasi vizio di legittimità i regolamenti </w:t>
      </w:r>
      <w:r w:rsidR="00A91A4E" w:rsidRPr="008E7872">
        <w:t>lo</w:t>
      </w:r>
      <w:r w:rsidRPr="008E7872">
        <w:t>cali in materia di entrate tributarie.</w:t>
      </w:r>
    </w:p>
  </w:footnote>
  <w:footnote w:id="3">
    <w:p w:rsidR="00461085" w:rsidRPr="008E7872" w:rsidRDefault="00461085" w:rsidP="007D6C46">
      <w:pPr>
        <w:pStyle w:val="FootnoteText"/>
        <w:jc w:val="both"/>
        <w:rPr>
          <w:i/>
        </w:rPr>
      </w:pPr>
      <w:r w:rsidRPr="008E7872">
        <w:rPr>
          <w:rStyle w:val="FootnoteReference"/>
        </w:rPr>
        <w:footnoteRef/>
      </w:r>
      <w:r w:rsidRPr="008E7872">
        <w:t xml:space="preserve"> T.A.R. Lazio, Sez. II, 6 maggio 2013 n. 4451 e Sez. III, 15 marzo 2013 n. 2720</w:t>
      </w:r>
      <w:r w:rsidR="00DB7FAC" w:rsidRPr="008E7872">
        <w:t>;</w:t>
      </w:r>
      <w:r w:rsidR="008461C3" w:rsidRPr="008E7872">
        <w:t xml:space="preserve"> </w:t>
      </w:r>
      <w:r w:rsidR="00DB7FAC" w:rsidRPr="008E7872">
        <w:t>i</w:t>
      </w:r>
      <w:r w:rsidR="008461C3" w:rsidRPr="008E7872">
        <w:t xml:space="preserve">n </w:t>
      </w:r>
      <w:r w:rsidR="00DB7FAC" w:rsidRPr="008E7872">
        <w:t>un primo momento:</w:t>
      </w:r>
      <w:r w:rsidR="008461C3" w:rsidRPr="008E7872">
        <w:t xml:space="preserve"> M.A. SANDULLI, </w:t>
      </w:r>
      <w:r w:rsidR="008461C3" w:rsidRPr="008E7872">
        <w:rPr>
          <w:i/>
        </w:rPr>
        <w:t>Il processo davanti al giudice amministrativo nelle novità legislative della fine del 2011</w:t>
      </w:r>
      <w:r w:rsidR="008461C3" w:rsidRPr="008E7872">
        <w:t xml:space="preserve">, </w:t>
      </w:r>
      <w:r w:rsidR="00DB7FAC" w:rsidRPr="008E7872">
        <w:t xml:space="preserve">in </w:t>
      </w:r>
      <w:r w:rsidR="008461C3" w:rsidRPr="008E7872">
        <w:rPr>
          <w:i/>
        </w:rPr>
        <w:t>Foro amm.</w:t>
      </w:r>
      <w:r w:rsidR="005F22AF">
        <w:rPr>
          <w:i/>
        </w:rPr>
        <w:t>,</w:t>
      </w:r>
      <w:r w:rsidR="008461C3" w:rsidRPr="008E7872">
        <w:rPr>
          <w:i/>
        </w:rPr>
        <w:t xml:space="preserve"> TAR, 2011.</w:t>
      </w:r>
    </w:p>
  </w:footnote>
  <w:footnote w:id="4">
    <w:p w:rsidR="00131A9D" w:rsidRPr="008E7872" w:rsidRDefault="00131A9D" w:rsidP="007D6C46">
      <w:pPr>
        <w:pStyle w:val="FootnoteText"/>
        <w:jc w:val="both"/>
        <w:rPr>
          <w:i/>
        </w:rPr>
      </w:pPr>
      <w:r w:rsidRPr="008E7872">
        <w:rPr>
          <w:rStyle w:val="FootnoteReference"/>
        </w:rPr>
        <w:footnoteRef/>
      </w:r>
      <w:r w:rsidRPr="008E7872">
        <w:t xml:space="preserve"> F. CINTIOLI, </w:t>
      </w:r>
      <w:r w:rsidRPr="008E7872">
        <w:rPr>
          <w:i/>
        </w:rPr>
        <w:t>Osservazioni sul ricorso giurisdizionale dell’Autorità garante della concorrenza e del mercato (art. 21 bis della legge n. 287 del 1990)</w:t>
      </w:r>
      <w:r w:rsidRPr="008E7872">
        <w:t xml:space="preserve">, in </w:t>
      </w:r>
      <w:r w:rsidRPr="008E7872">
        <w:rPr>
          <w:rStyle w:val="Hyperlink"/>
        </w:rPr>
        <w:t>Fede</w:t>
      </w:r>
      <w:r w:rsidR="00AA7005" w:rsidRPr="008E7872">
        <w:rPr>
          <w:rStyle w:val="Hyperlink"/>
        </w:rPr>
        <w:t>r</w:t>
      </w:r>
      <w:r w:rsidRPr="008E7872">
        <w:rPr>
          <w:rStyle w:val="Hyperlink"/>
        </w:rPr>
        <w:t>alismi.it</w:t>
      </w:r>
      <w:r w:rsidRPr="008E7872">
        <w:t xml:space="preserve"> 2012.</w:t>
      </w:r>
    </w:p>
  </w:footnote>
  <w:footnote w:id="5">
    <w:p w:rsidR="00A67D1B" w:rsidRPr="008E7872" w:rsidRDefault="00A67D1B" w:rsidP="007D6C46">
      <w:pPr>
        <w:pStyle w:val="FootnoteText"/>
        <w:jc w:val="both"/>
      </w:pPr>
      <w:r w:rsidRPr="008E7872">
        <w:rPr>
          <w:rStyle w:val="FootnoteReference"/>
        </w:rPr>
        <w:footnoteRef/>
      </w:r>
      <w:r w:rsidRPr="008E7872">
        <w:t xml:space="preserve"> Cons. Stato, Ad. gen., 12 luglio 1999 n. 123.</w:t>
      </w:r>
    </w:p>
  </w:footnote>
  <w:footnote w:id="6">
    <w:p w:rsidR="00461085" w:rsidRPr="008E7872" w:rsidRDefault="00461085" w:rsidP="007D6C46">
      <w:pPr>
        <w:pStyle w:val="FootnoteText"/>
        <w:jc w:val="both"/>
      </w:pPr>
      <w:r w:rsidRPr="008E7872">
        <w:rPr>
          <w:rStyle w:val="FootnoteReference"/>
        </w:rPr>
        <w:footnoteRef/>
      </w:r>
      <w:r w:rsidRPr="008E7872">
        <w:rPr>
          <w:rStyle w:val="FootnoteReference"/>
        </w:rPr>
        <w:t xml:space="preserve"> </w:t>
      </w:r>
      <w:r w:rsidRPr="008E7872">
        <w:t>Cons. Stato, Sez. V, 30 aprile 2014 n. 2246; T.A.R. Lombardia, Milano, Sez. I, 8 luglio 2016 n. 1356; T.A.R. Lazio, Sez. II, 6 maggio 2013 n. 4451 e Sez. III, 15 marzo 2013 n. 2720.</w:t>
      </w:r>
    </w:p>
  </w:footnote>
  <w:footnote w:id="7">
    <w:p w:rsidR="00093F0C" w:rsidRPr="008E7872" w:rsidRDefault="00093F0C" w:rsidP="007D6C46">
      <w:pPr>
        <w:pStyle w:val="FootnoteText"/>
        <w:jc w:val="both"/>
      </w:pPr>
      <w:r w:rsidRPr="008E7872">
        <w:rPr>
          <w:rStyle w:val="FootnoteReference"/>
        </w:rPr>
        <w:footnoteRef/>
      </w:r>
      <w:r w:rsidR="006E7416" w:rsidRPr="008E7872">
        <w:t xml:space="preserve"> </w:t>
      </w:r>
      <w:r w:rsidR="00B40905" w:rsidRPr="008E7872">
        <w:t>R. G</w:t>
      </w:r>
      <w:r w:rsidR="003B7927" w:rsidRPr="008E7872">
        <w:t>IOVAGNOLI</w:t>
      </w:r>
      <w:r w:rsidR="00B40905" w:rsidRPr="008E7872">
        <w:t xml:space="preserve">, </w:t>
      </w:r>
      <w:r w:rsidR="00B40905" w:rsidRPr="008E7872">
        <w:rPr>
          <w:i/>
        </w:rPr>
        <w:t>Atti amministrativi e tutela della concorrenza. Il potere di legittimazione a ricorrere dell’AGCM nell’art. 21-bis legge n. 287/1990</w:t>
      </w:r>
      <w:r w:rsidR="00B40905" w:rsidRPr="008E7872">
        <w:t xml:space="preserve">, in </w:t>
      </w:r>
      <w:hyperlink r:id="rId1" w:history="1">
        <w:r w:rsidR="00B40905" w:rsidRPr="008E7872">
          <w:rPr>
            <w:rStyle w:val="Hyperlink"/>
          </w:rPr>
          <w:t>www.giustamm.it</w:t>
        </w:r>
      </w:hyperlink>
      <w:r w:rsidR="00B40905" w:rsidRPr="008E7872">
        <w:t>, 2012.</w:t>
      </w:r>
    </w:p>
  </w:footnote>
  <w:footnote w:id="8">
    <w:p w:rsidR="00326A26" w:rsidRPr="008E7872" w:rsidRDefault="00326A26" w:rsidP="007D6C46">
      <w:pPr>
        <w:pStyle w:val="FootnoteText"/>
        <w:jc w:val="both"/>
      </w:pPr>
      <w:r w:rsidRPr="008E7872">
        <w:rPr>
          <w:rStyle w:val="FootnoteReference"/>
        </w:rPr>
        <w:footnoteRef/>
      </w:r>
      <w:r w:rsidRPr="008E7872">
        <w:rPr>
          <w:rStyle w:val="FootnoteReference"/>
        </w:rPr>
        <w:t xml:space="preserve"> </w:t>
      </w:r>
      <w:r w:rsidRPr="008E7872">
        <w:t xml:space="preserve">B. MATTARELLA, </w:t>
      </w:r>
      <w:r w:rsidRPr="008E7872">
        <w:rPr>
          <w:i/>
          <w:iCs/>
        </w:rPr>
        <w:t>I ricorsi dell’autorità antitrust al giudice amministrativo</w:t>
      </w:r>
      <w:r w:rsidRPr="008E7872">
        <w:t xml:space="preserve">, in </w:t>
      </w:r>
      <w:r w:rsidRPr="008E7872">
        <w:rPr>
          <w:i/>
          <w:iCs/>
        </w:rPr>
        <w:t>Giorn. dir. amm</w:t>
      </w:r>
      <w:r w:rsidRPr="008E7872">
        <w:t>., 2016.</w:t>
      </w:r>
    </w:p>
  </w:footnote>
  <w:footnote w:id="9">
    <w:p w:rsidR="006E0AF6" w:rsidRPr="008E7872" w:rsidRDefault="006E0AF6" w:rsidP="007D6C46">
      <w:pPr>
        <w:pStyle w:val="FootnoteText"/>
        <w:jc w:val="both"/>
      </w:pPr>
      <w:r w:rsidRPr="008E7872">
        <w:rPr>
          <w:rStyle w:val="FootnoteReference"/>
        </w:rPr>
        <w:footnoteRef/>
      </w:r>
      <w:r w:rsidRPr="008E7872">
        <w:t xml:space="preserve"> M. NIGRO, </w:t>
      </w:r>
      <w:r w:rsidRPr="008E7872">
        <w:rPr>
          <w:i/>
          <w:iCs/>
        </w:rPr>
        <w:t>Le due facce dell’interesse diffuso: ambiguità di una formula e mediazioni della giurisprudenza</w:t>
      </w:r>
      <w:r w:rsidRPr="008E7872">
        <w:t xml:space="preserve">, in </w:t>
      </w:r>
      <w:r w:rsidRPr="008E7872">
        <w:rPr>
          <w:i/>
          <w:iCs/>
        </w:rPr>
        <w:t>Foro it.</w:t>
      </w:r>
      <w:r w:rsidRPr="008E7872">
        <w:t>, 1987.</w:t>
      </w:r>
    </w:p>
  </w:footnote>
  <w:footnote w:id="10">
    <w:p w:rsidR="00934687" w:rsidRPr="008E7872" w:rsidRDefault="00934687" w:rsidP="007D6C46">
      <w:pPr>
        <w:pStyle w:val="FootnoteText"/>
        <w:jc w:val="both"/>
      </w:pPr>
      <w:r w:rsidRPr="008E7872">
        <w:rPr>
          <w:rStyle w:val="FootnoteReference"/>
        </w:rPr>
        <w:footnoteRef/>
      </w:r>
      <w:r w:rsidRPr="008E7872">
        <w:t xml:space="preserve"> M. LIPARI, </w:t>
      </w:r>
      <w:r w:rsidRPr="008E7872">
        <w:rPr>
          <w:i/>
        </w:rPr>
        <w:t>Legittimazione processuale speciale dell’ANAC</w:t>
      </w:r>
      <w:r w:rsidRPr="008E7872">
        <w:t xml:space="preserve">, in </w:t>
      </w:r>
      <w:hyperlink r:id="rId2" w:history="1">
        <w:r w:rsidRPr="008E7872">
          <w:rPr>
            <w:rStyle w:val="Hyperlink"/>
          </w:rPr>
          <w:t>http://www.treccani.it/enciclopedia/la-legittimazione-processuale-speciale-dell-anac_%28altro%29/</w:t>
        </w:r>
      </w:hyperlink>
      <w:r w:rsidRPr="008E7872">
        <w:t>.</w:t>
      </w:r>
    </w:p>
  </w:footnote>
  <w:footnote w:id="11">
    <w:p w:rsidR="002D7A5A" w:rsidRPr="008E7872" w:rsidRDefault="002D7A5A" w:rsidP="007D6C46">
      <w:pPr>
        <w:pStyle w:val="FootnoteText"/>
        <w:jc w:val="both"/>
      </w:pPr>
      <w:r w:rsidRPr="008E7872">
        <w:rPr>
          <w:rStyle w:val="FootnoteReference"/>
        </w:rPr>
        <w:footnoteRef/>
      </w:r>
      <w:r w:rsidRPr="008E7872">
        <w:t xml:space="preserve"> C. cost. 14 febbraio 2013 n. 20.</w:t>
      </w:r>
    </w:p>
  </w:footnote>
  <w:footnote w:id="12">
    <w:p w:rsidR="006E7416" w:rsidRPr="008E7872" w:rsidRDefault="006E7416" w:rsidP="007D6C46">
      <w:pPr>
        <w:pStyle w:val="FootnoteText"/>
        <w:jc w:val="both"/>
      </w:pPr>
      <w:r w:rsidRPr="008E7872">
        <w:rPr>
          <w:rStyle w:val="FootnoteReference"/>
        </w:rPr>
        <w:footnoteRef/>
      </w:r>
      <w:r w:rsidRPr="008E7872">
        <w:t xml:space="preserve"> M.A. SANDULLI, </w:t>
      </w:r>
      <w:r w:rsidRPr="008E7872">
        <w:rPr>
          <w:i/>
        </w:rPr>
        <w:t>Il problema della legittimazione ad agire in giudizio da parte delle autorità indipendenti</w:t>
      </w:r>
      <w:r w:rsidRPr="008E7872">
        <w:t xml:space="preserve">, in </w:t>
      </w:r>
      <w:hyperlink r:id="rId3" w:history="1">
        <w:r w:rsidRPr="008E7872">
          <w:rPr>
            <w:rStyle w:val="Hyperlink"/>
          </w:rPr>
          <w:t>https://www.anticorruzione.it/portal/public/classic/Comunicazione/Eventi/_evento/_Convegno20130228Sandulli</w:t>
        </w:r>
      </w:hyperlink>
      <w:r w:rsidR="00A67D1B" w:rsidRPr="008E7872">
        <w:t>; nello stesso senso: Cons. Stato, Ad. gen., 12 luglio 1999 n. 123, citat</w:t>
      </w:r>
      <w:r w:rsidR="003A5B9C">
        <w:t>a</w:t>
      </w:r>
      <w:r w:rsidR="00A67D1B" w:rsidRPr="008E7872">
        <w:t>.</w:t>
      </w:r>
    </w:p>
  </w:footnote>
  <w:footnote w:id="13">
    <w:p w:rsidR="00AA6EF0" w:rsidRPr="008E7872" w:rsidRDefault="00AA6EF0" w:rsidP="007D6C46">
      <w:pPr>
        <w:pStyle w:val="FootnoteText"/>
        <w:jc w:val="both"/>
      </w:pPr>
      <w:r w:rsidRPr="008E7872">
        <w:rPr>
          <w:rStyle w:val="FootnoteReference"/>
        </w:rPr>
        <w:footnoteRef/>
      </w:r>
      <w:r w:rsidRPr="008E7872">
        <w:t xml:space="preserve"> C. cost. 31 gennaio 2019 n. 13.</w:t>
      </w:r>
    </w:p>
  </w:footnote>
  <w:footnote w:id="14">
    <w:p w:rsidR="0039588E" w:rsidRPr="0039588E" w:rsidRDefault="0039588E" w:rsidP="0039588E">
      <w:pPr>
        <w:pStyle w:val="FootnoteText"/>
        <w:jc w:val="both"/>
      </w:pPr>
      <w:r w:rsidRPr="0039588E">
        <w:rPr>
          <w:rStyle w:val="FootnoteReference"/>
        </w:rPr>
        <w:footnoteRef/>
      </w:r>
      <w:r w:rsidRPr="0039588E">
        <w:t xml:space="preserve"> </w:t>
      </w:r>
      <w:r>
        <w:t xml:space="preserve">Diversamente, secondo </w:t>
      </w:r>
      <w:r w:rsidRPr="0039588E">
        <w:t xml:space="preserve">S. CASSESE, </w:t>
      </w:r>
      <w:r w:rsidRPr="0039588E">
        <w:rPr>
          <w:i/>
        </w:rPr>
        <w:t>Poteri indipendenti, Stati, relazioni ultrastatali</w:t>
      </w:r>
      <w:r>
        <w:t xml:space="preserve">, in </w:t>
      </w:r>
      <w:r w:rsidRPr="0039588E">
        <w:rPr>
          <w:i/>
        </w:rPr>
        <w:t xml:space="preserve">Foro </w:t>
      </w:r>
      <w:r w:rsidR="00DD39B7">
        <w:rPr>
          <w:i/>
        </w:rPr>
        <w:t>i</w:t>
      </w:r>
      <w:r w:rsidRPr="0039588E">
        <w:rPr>
          <w:i/>
        </w:rPr>
        <w:t>t.</w:t>
      </w:r>
      <w:r>
        <w:t>, 1996, «</w:t>
      </w:r>
      <w:r w:rsidR="00DD39B7">
        <w:t>l</w:t>
      </w:r>
      <w:r w:rsidRPr="0039588E">
        <w:t xml:space="preserve">a circostanza che ad esse </w:t>
      </w:r>
      <w:r w:rsidR="00DD39B7">
        <w:t xml:space="preserve">[autorità indipendenti] </w:t>
      </w:r>
      <w:r w:rsidRPr="0039588E">
        <w:t>è attribuito il compito di proteggere settori sociali sensibili, ovvero interessi degni di tutela e, normalmente, costituzionalmente rilevanti (</w:t>
      </w:r>
      <w:r w:rsidR="00DD39B7">
        <w:t>…</w:t>
      </w:r>
      <w:r w:rsidRPr="0039588E">
        <w:t>)</w:t>
      </w:r>
      <w:r w:rsidR="00DD39B7">
        <w:t>,</w:t>
      </w:r>
      <w:r w:rsidRPr="0039588E">
        <w:t xml:space="preserve"> richiede che l</w:t>
      </w:r>
      <w:r>
        <w:t>’</w:t>
      </w:r>
      <w:r w:rsidRPr="0039588E">
        <w:t>attività venga svolta nelle forme proprie del processo. Di qui lo strumentario complesso delle autorità indipendenti, che agiscono applicando i principi propri del giudice, quali la contestazione degli addebiti, l</w:t>
      </w:r>
      <w:r>
        <w:t>’</w:t>
      </w:r>
      <w:r w:rsidRPr="0039588E">
        <w:t>audizione delle parti, l</w:t>
      </w:r>
      <w:r>
        <w:t>’</w:t>
      </w:r>
      <w:r w:rsidRPr="0039588E">
        <w:t>obbligo di motivazione, i poteri strumentali di indagine e di ispezione, i poteri sanzionatori e così via</w:t>
      </w:r>
      <w:r>
        <w:t>»</w:t>
      </w:r>
      <w:r w:rsidRPr="0039588E">
        <w:t>.</w:t>
      </w:r>
    </w:p>
  </w:footnote>
  <w:footnote w:id="15">
    <w:p w:rsidR="002175C4" w:rsidRPr="008E7872" w:rsidRDefault="002175C4" w:rsidP="002175C4">
      <w:pPr>
        <w:autoSpaceDE w:val="0"/>
        <w:autoSpaceDN w:val="0"/>
        <w:adjustRightInd w:val="0"/>
        <w:spacing w:after="0" w:line="240" w:lineRule="auto"/>
        <w:jc w:val="both"/>
        <w:rPr>
          <w:rFonts w:ascii="Times New Roman" w:hAnsi="Times New Roman" w:cs="Times New Roman"/>
          <w:sz w:val="20"/>
          <w:szCs w:val="20"/>
        </w:rPr>
      </w:pPr>
      <w:r w:rsidRPr="008E7872">
        <w:rPr>
          <w:rStyle w:val="FootnoteReference"/>
          <w:rFonts w:ascii="Times New Roman" w:hAnsi="Times New Roman" w:cs="Times New Roman"/>
          <w:sz w:val="20"/>
          <w:szCs w:val="20"/>
        </w:rPr>
        <w:footnoteRef/>
      </w:r>
      <w:r w:rsidRPr="008E7872">
        <w:rPr>
          <w:rFonts w:ascii="Times New Roman" w:hAnsi="Times New Roman" w:cs="Times New Roman"/>
          <w:sz w:val="20"/>
          <w:szCs w:val="20"/>
        </w:rPr>
        <w:t xml:space="preserve"> </w:t>
      </w:r>
      <w:r w:rsidRPr="007D6C46">
        <w:rPr>
          <w:rFonts w:ascii="Times New Roman" w:eastAsia="Times New Roman" w:hAnsi="Times New Roman" w:cs="Times New Roman"/>
          <w:sz w:val="20"/>
          <w:szCs w:val="20"/>
          <w:lang w:eastAsia="it-IT"/>
        </w:rPr>
        <w:t xml:space="preserve">In questo senso, </w:t>
      </w:r>
      <w:r w:rsidRPr="008E7872">
        <w:rPr>
          <w:rFonts w:ascii="Times New Roman" w:hAnsi="Times New Roman" w:cs="Times New Roman"/>
          <w:sz w:val="20"/>
          <w:szCs w:val="20"/>
        </w:rPr>
        <w:t xml:space="preserve">S. MICOSSI, </w:t>
      </w:r>
      <w:r w:rsidRPr="008E7872">
        <w:rPr>
          <w:rFonts w:ascii="Times New Roman" w:hAnsi="Times New Roman" w:cs="Times New Roman"/>
          <w:i/>
          <w:iCs/>
          <w:sz w:val="20"/>
          <w:szCs w:val="20"/>
        </w:rPr>
        <w:t>Il conflitto tra governati e governanti</w:t>
      </w:r>
      <w:r w:rsidRPr="008E7872">
        <w:rPr>
          <w:rFonts w:ascii="Times New Roman" w:hAnsi="Times New Roman" w:cs="Times New Roman"/>
          <w:sz w:val="20"/>
          <w:szCs w:val="20"/>
        </w:rPr>
        <w:t xml:space="preserve">, in </w:t>
      </w:r>
      <w:r w:rsidRPr="008E7872">
        <w:rPr>
          <w:rFonts w:ascii="Times New Roman" w:hAnsi="Times New Roman" w:cs="Times New Roman"/>
          <w:i/>
          <w:iCs/>
          <w:sz w:val="20"/>
          <w:szCs w:val="20"/>
        </w:rPr>
        <w:t>L’indipendenza delle Autorità</w:t>
      </w:r>
      <w:r w:rsidRPr="008E7872">
        <w:rPr>
          <w:rFonts w:ascii="Times New Roman" w:hAnsi="Times New Roman" w:cs="Times New Roman"/>
          <w:sz w:val="20"/>
          <w:szCs w:val="20"/>
        </w:rPr>
        <w:t>, Bologna</w:t>
      </w:r>
      <w:r>
        <w:rPr>
          <w:rFonts w:ascii="Times New Roman" w:hAnsi="Times New Roman" w:cs="Times New Roman"/>
          <w:sz w:val="20"/>
          <w:szCs w:val="20"/>
        </w:rPr>
        <w:t>,</w:t>
      </w:r>
      <w:r w:rsidRPr="008E7872">
        <w:rPr>
          <w:rFonts w:ascii="Times New Roman" w:hAnsi="Times New Roman" w:cs="Times New Roman"/>
          <w:sz w:val="20"/>
          <w:szCs w:val="20"/>
        </w:rPr>
        <w:t xml:space="preserve"> 2001, 61</w:t>
      </w:r>
      <w:r>
        <w:rPr>
          <w:rFonts w:ascii="Times New Roman" w:hAnsi="Times New Roman" w:cs="Times New Roman"/>
          <w:sz w:val="20"/>
          <w:szCs w:val="20"/>
        </w:rPr>
        <w:t xml:space="preserve">, </w:t>
      </w:r>
      <w:r w:rsidRPr="007D6C46">
        <w:rPr>
          <w:rFonts w:ascii="Times New Roman" w:eastAsia="Times New Roman" w:hAnsi="Times New Roman" w:cs="Times New Roman"/>
          <w:sz w:val="20"/>
          <w:szCs w:val="20"/>
          <w:lang w:eastAsia="it-IT"/>
        </w:rPr>
        <w:t>se</w:t>
      </w:r>
      <w:r>
        <w:rPr>
          <w:rFonts w:ascii="Times New Roman" w:eastAsia="Times New Roman" w:hAnsi="Times New Roman" w:cs="Times New Roman"/>
          <w:sz w:val="20"/>
          <w:szCs w:val="20"/>
          <w:lang w:eastAsia="it-IT"/>
        </w:rPr>
        <w:t>condo cui</w:t>
      </w:r>
      <w:r w:rsidRPr="007D6C46">
        <w:rPr>
          <w:rFonts w:ascii="Times New Roman" w:eastAsia="Times New Roman" w:hAnsi="Times New Roman" w:cs="Times New Roman"/>
          <w:sz w:val="20"/>
          <w:szCs w:val="20"/>
          <w:lang w:eastAsia="it-IT"/>
        </w:rPr>
        <w:t xml:space="preserve"> </w:t>
      </w:r>
      <w:r w:rsidRPr="007D6C46">
        <w:rPr>
          <w:rFonts w:ascii="Times New Roman" w:hAnsi="Times New Roman" w:cs="Times New Roman"/>
          <w:sz w:val="20"/>
          <w:szCs w:val="20"/>
        </w:rPr>
        <w:t>«</w:t>
      </w:r>
      <w:r w:rsidRPr="007D6C46">
        <w:rPr>
          <w:rFonts w:ascii="Times New Roman" w:eastAsia="Times New Roman" w:hAnsi="Times New Roman" w:cs="Times New Roman"/>
          <w:sz w:val="20"/>
          <w:szCs w:val="20"/>
          <w:lang w:eastAsia="it-IT"/>
        </w:rPr>
        <w:t>la neutralità [dell’autorità] coincide con l’indipendenza e con il rispetto delle dinamiche del settore, ma non importa anche necessariamente l’assenza di discrezionalità e di scelte</w:t>
      </w:r>
      <w:r w:rsidRPr="007D6C46">
        <w:rPr>
          <w:rFonts w:ascii="Times New Roman" w:hAnsi="Times New Roman" w:cs="Times New Roman"/>
          <w:sz w:val="20"/>
          <w:szCs w:val="20"/>
        </w:rPr>
        <w:t xml:space="preserve"> </w:t>
      </w:r>
      <w:r w:rsidRPr="007D6C46">
        <w:rPr>
          <w:rFonts w:ascii="Times New Roman" w:eastAsia="Times New Roman" w:hAnsi="Times New Roman" w:cs="Times New Roman"/>
          <w:sz w:val="20"/>
          <w:szCs w:val="20"/>
          <w:lang w:eastAsia="it-IT"/>
        </w:rPr>
        <w:t>politiche</w:t>
      </w:r>
      <w:r w:rsidRPr="007D6C46">
        <w:rPr>
          <w:rFonts w:ascii="Times New Roman" w:hAnsi="Times New Roman" w:cs="Times New Roman"/>
          <w:sz w:val="20"/>
          <w:szCs w:val="20"/>
        </w:rPr>
        <w:t>»</w:t>
      </w:r>
      <w:r w:rsidRPr="008E7872">
        <w:rPr>
          <w:rFonts w:ascii="Times New Roman" w:hAnsi="Times New Roman" w:cs="Times New Roman"/>
          <w:sz w:val="20"/>
          <w:szCs w:val="20"/>
        </w:rPr>
        <w:t>.</w:t>
      </w:r>
      <w:r w:rsidRPr="007D6C46">
        <w:rPr>
          <w:rFonts w:ascii="Times New Roman" w:eastAsia="Times New Roman" w:hAnsi="Times New Roman" w:cs="Times New Roman"/>
          <w:sz w:val="24"/>
          <w:szCs w:val="24"/>
          <w:lang w:eastAsia="it-IT"/>
        </w:rPr>
        <w:t xml:space="preserve"> </w:t>
      </w:r>
    </w:p>
  </w:footnote>
  <w:footnote w:id="16">
    <w:p w:rsidR="002175C4" w:rsidRPr="002175C4" w:rsidRDefault="002175C4" w:rsidP="002175C4">
      <w:pPr>
        <w:pStyle w:val="FootnoteText"/>
        <w:jc w:val="both"/>
      </w:pPr>
      <w:r w:rsidRPr="002175C4">
        <w:rPr>
          <w:rStyle w:val="FootnoteReference"/>
        </w:rPr>
        <w:footnoteRef/>
      </w:r>
      <w:r w:rsidRPr="002175C4">
        <w:t xml:space="preserve"> L. CARBONE, </w:t>
      </w:r>
      <w:r w:rsidRPr="002175C4">
        <w:rPr>
          <w:i/>
        </w:rPr>
        <w:t>Le Autorità indipendenti</w:t>
      </w:r>
      <w:r>
        <w:rPr>
          <w:i/>
        </w:rPr>
        <w:t>,</w:t>
      </w:r>
      <w:r w:rsidRPr="002175C4">
        <w:rPr>
          <w:i/>
        </w:rPr>
        <w:t xml:space="preserve"> tra regolazione e giurisdizione</w:t>
      </w:r>
      <w:r w:rsidRPr="002175C4">
        <w:t xml:space="preserve">, in </w:t>
      </w:r>
      <w:r>
        <w:rPr>
          <w:i/>
        </w:rPr>
        <w:t>Rass. dir. pubbl.</w:t>
      </w:r>
      <w:r w:rsidRPr="002175C4">
        <w:rPr>
          <w:i/>
        </w:rPr>
        <w:t xml:space="preserve"> europeo</w:t>
      </w:r>
      <w:r w:rsidRPr="002175C4">
        <w:t>, 2015</w:t>
      </w:r>
      <w:r>
        <w:t>.</w:t>
      </w:r>
    </w:p>
  </w:footnote>
  <w:footnote w:id="17">
    <w:p w:rsidR="00DB3EFB" w:rsidRPr="008E7872" w:rsidRDefault="00DB3EFB" w:rsidP="007D6C46">
      <w:pPr>
        <w:pStyle w:val="FootnoteText"/>
        <w:jc w:val="both"/>
      </w:pPr>
      <w:r w:rsidRPr="008E7872">
        <w:rPr>
          <w:rStyle w:val="FootnoteReference"/>
        </w:rPr>
        <w:footnoteRef/>
      </w:r>
      <w:r w:rsidRPr="008E7872">
        <w:t xml:space="preserve"> Cons. Stato, Ad. plen., 2 novembre 2015 n.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DCE"/>
    <w:multiLevelType w:val="hybridMultilevel"/>
    <w:tmpl w:val="32AE88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0F0C3B"/>
    <w:multiLevelType w:val="hybridMultilevel"/>
    <w:tmpl w:val="188064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52DF4"/>
    <w:multiLevelType w:val="multilevel"/>
    <w:tmpl w:val="6938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63B3B"/>
    <w:multiLevelType w:val="hybridMultilevel"/>
    <w:tmpl w:val="02CE16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CC43C0"/>
    <w:multiLevelType w:val="hybridMultilevel"/>
    <w:tmpl w:val="CF462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1B53E2"/>
    <w:multiLevelType w:val="hybridMultilevel"/>
    <w:tmpl w:val="CCF21D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6B"/>
    <w:rsid w:val="000015E6"/>
    <w:rsid w:val="00004008"/>
    <w:rsid w:val="0001565A"/>
    <w:rsid w:val="00037B73"/>
    <w:rsid w:val="00046848"/>
    <w:rsid w:val="000710E4"/>
    <w:rsid w:val="00093F0C"/>
    <w:rsid w:val="00126646"/>
    <w:rsid w:val="00131A9D"/>
    <w:rsid w:val="00155A69"/>
    <w:rsid w:val="00163C35"/>
    <w:rsid w:val="001E3D98"/>
    <w:rsid w:val="001F0E59"/>
    <w:rsid w:val="001F2A1E"/>
    <w:rsid w:val="001F3BDF"/>
    <w:rsid w:val="002175C4"/>
    <w:rsid w:val="00254B75"/>
    <w:rsid w:val="00273FE2"/>
    <w:rsid w:val="0028665B"/>
    <w:rsid w:val="002A615C"/>
    <w:rsid w:val="002D7A5A"/>
    <w:rsid w:val="002E4011"/>
    <w:rsid w:val="00313469"/>
    <w:rsid w:val="003156DA"/>
    <w:rsid w:val="00325676"/>
    <w:rsid w:val="00326A26"/>
    <w:rsid w:val="0034566B"/>
    <w:rsid w:val="0036534E"/>
    <w:rsid w:val="003808F2"/>
    <w:rsid w:val="003823F3"/>
    <w:rsid w:val="0039588E"/>
    <w:rsid w:val="003A5B9C"/>
    <w:rsid w:val="003B7927"/>
    <w:rsid w:val="0043194A"/>
    <w:rsid w:val="00461085"/>
    <w:rsid w:val="004765CE"/>
    <w:rsid w:val="004A5DBD"/>
    <w:rsid w:val="004B1930"/>
    <w:rsid w:val="004B7336"/>
    <w:rsid w:val="004C0FC6"/>
    <w:rsid w:val="004C6D19"/>
    <w:rsid w:val="004D1673"/>
    <w:rsid w:val="004E5891"/>
    <w:rsid w:val="004E66EF"/>
    <w:rsid w:val="00510B2D"/>
    <w:rsid w:val="005330D2"/>
    <w:rsid w:val="00555186"/>
    <w:rsid w:val="0056042D"/>
    <w:rsid w:val="00577CE0"/>
    <w:rsid w:val="0059745D"/>
    <w:rsid w:val="005A6B98"/>
    <w:rsid w:val="005B103C"/>
    <w:rsid w:val="005C2EB7"/>
    <w:rsid w:val="005D04F2"/>
    <w:rsid w:val="005F023F"/>
    <w:rsid w:val="005F22AF"/>
    <w:rsid w:val="005F63B6"/>
    <w:rsid w:val="006265F1"/>
    <w:rsid w:val="0065583B"/>
    <w:rsid w:val="00666FD9"/>
    <w:rsid w:val="006701F4"/>
    <w:rsid w:val="0067473A"/>
    <w:rsid w:val="006B4D66"/>
    <w:rsid w:val="006E0AF6"/>
    <w:rsid w:val="006E7416"/>
    <w:rsid w:val="007A093B"/>
    <w:rsid w:val="007C6424"/>
    <w:rsid w:val="007D6C46"/>
    <w:rsid w:val="007E7C9E"/>
    <w:rsid w:val="00803910"/>
    <w:rsid w:val="00804ECF"/>
    <w:rsid w:val="00814A24"/>
    <w:rsid w:val="0082010D"/>
    <w:rsid w:val="00830D9F"/>
    <w:rsid w:val="008461C3"/>
    <w:rsid w:val="0087410D"/>
    <w:rsid w:val="008768E0"/>
    <w:rsid w:val="008769A7"/>
    <w:rsid w:val="00877C71"/>
    <w:rsid w:val="00883A22"/>
    <w:rsid w:val="00890340"/>
    <w:rsid w:val="008970C4"/>
    <w:rsid w:val="008D3440"/>
    <w:rsid w:val="008E7872"/>
    <w:rsid w:val="008F7928"/>
    <w:rsid w:val="009137F7"/>
    <w:rsid w:val="00916C37"/>
    <w:rsid w:val="00934687"/>
    <w:rsid w:val="009741AF"/>
    <w:rsid w:val="00994341"/>
    <w:rsid w:val="009A1DA9"/>
    <w:rsid w:val="009F66E4"/>
    <w:rsid w:val="00A00001"/>
    <w:rsid w:val="00A17989"/>
    <w:rsid w:val="00A3755A"/>
    <w:rsid w:val="00A46DAD"/>
    <w:rsid w:val="00A67D1B"/>
    <w:rsid w:val="00A72CEB"/>
    <w:rsid w:val="00A75402"/>
    <w:rsid w:val="00A91A4E"/>
    <w:rsid w:val="00AA3612"/>
    <w:rsid w:val="00AA6EF0"/>
    <w:rsid w:val="00AA7005"/>
    <w:rsid w:val="00AD37E6"/>
    <w:rsid w:val="00B02617"/>
    <w:rsid w:val="00B23404"/>
    <w:rsid w:val="00B40905"/>
    <w:rsid w:val="00B7090C"/>
    <w:rsid w:val="00B84FAA"/>
    <w:rsid w:val="00C27F8A"/>
    <w:rsid w:val="00C53ED5"/>
    <w:rsid w:val="00C57ED4"/>
    <w:rsid w:val="00CC1C0A"/>
    <w:rsid w:val="00D32C3D"/>
    <w:rsid w:val="00DB3EFB"/>
    <w:rsid w:val="00DB7FAC"/>
    <w:rsid w:val="00DD39B7"/>
    <w:rsid w:val="00E06026"/>
    <w:rsid w:val="00EB4AE6"/>
    <w:rsid w:val="00ED3AE3"/>
    <w:rsid w:val="00F12D64"/>
    <w:rsid w:val="00F54317"/>
    <w:rsid w:val="00FA6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CD6B3-190E-4DC3-A956-7387882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566B"/>
    <w:rPr>
      <w:i/>
      <w:iCs/>
    </w:rPr>
  </w:style>
  <w:style w:type="character" w:styleId="Strong">
    <w:name w:val="Strong"/>
    <w:basedOn w:val="DefaultParagraphFont"/>
    <w:uiPriority w:val="22"/>
    <w:qFormat/>
    <w:rsid w:val="0034566B"/>
    <w:rPr>
      <w:b/>
      <w:bCs/>
    </w:rPr>
  </w:style>
  <w:style w:type="paragraph" w:styleId="NormalWeb">
    <w:name w:val="Normal (Web)"/>
    <w:basedOn w:val="Normal"/>
    <w:uiPriority w:val="99"/>
    <w:unhideWhenUsed/>
    <w:rsid w:val="0034566B"/>
    <w:pPr>
      <w:spacing w:after="150" w:line="240" w:lineRule="auto"/>
    </w:pPr>
    <w:rPr>
      <w:rFonts w:ascii="Times New Roman" w:eastAsia="Times New Roman" w:hAnsi="Times New Roman" w:cs="Times New Roman"/>
      <w:sz w:val="24"/>
      <w:szCs w:val="24"/>
      <w:lang w:eastAsia="it-IT"/>
    </w:rPr>
  </w:style>
  <w:style w:type="paragraph" w:styleId="Subtitle">
    <w:name w:val="Subtitle"/>
    <w:basedOn w:val="Normal"/>
    <w:next w:val="Normal"/>
    <w:link w:val="SubtitleChar"/>
    <w:uiPriority w:val="11"/>
    <w:qFormat/>
    <w:rsid w:val="002A61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615C"/>
    <w:rPr>
      <w:rFonts w:eastAsiaTheme="minorEastAsia"/>
      <w:color w:val="5A5A5A" w:themeColor="text1" w:themeTint="A5"/>
      <w:spacing w:val="15"/>
    </w:rPr>
  </w:style>
  <w:style w:type="paragraph" w:styleId="FootnoteText">
    <w:name w:val="footnote text"/>
    <w:basedOn w:val="Normal"/>
    <w:link w:val="FootnoteTextChar"/>
    <w:semiHidden/>
    <w:rsid w:val="009137F7"/>
    <w:pPr>
      <w:spacing w:after="0" w:line="240" w:lineRule="auto"/>
    </w:pPr>
    <w:rPr>
      <w:rFonts w:ascii="Times New Roman" w:eastAsia="Times New Roman" w:hAnsi="Times New Roman" w:cs="Times New Roman"/>
      <w:sz w:val="20"/>
      <w:szCs w:val="20"/>
      <w:lang w:eastAsia="it-IT"/>
    </w:rPr>
  </w:style>
  <w:style w:type="character" w:customStyle="1" w:styleId="FootnoteTextChar">
    <w:name w:val="Footnote Text Char"/>
    <w:basedOn w:val="DefaultParagraphFont"/>
    <w:link w:val="FootnoteText"/>
    <w:semiHidden/>
    <w:rsid w:val="009137F7"/>
    <w:rPr>
      <w:rFonts w:ascii="Times New Roman" w:eastAsia="Times New Roman" w:hAnsi="Times New Roman" w:cs="Times New Roman"/>
      <w:sz w:val="20"/>
      <w:szCs w:val="20"/>
      <w:lang w:eastAsia="it-IT"/>
    </w:rPr>
  </w:style>
  <w:style w:type="character" w:styleId="FootnoteReference">
    <w:name w:val="footnote reference"/>
    <w:basedOn w:val="DefaultParagraphFont"/>
    <w:semiHidden/>
    <w:rsid w:val="009137F7"/>
    <w:rPr>
      <w:vertAlign w:val="superscript"/>
    </w:rPr>
  </w:style>
  <w:style w:type="character" w:styleId="Hyperlink">
    <w:name w:val="Hyperlink"/>
    <w:basedOn w:val="DefaultParagraphFont"/>
    <w:uiPriority w:val="99"/>
    <w:unhideWhenUsed/>
    <w:rsid w:val="004B7336"/>
    <w:rPr>
      <w:color w:val="0563C1" w:themeColor="hyperlink"/>
      <w:u w:val="single"/>
    </w:rPr>
  </w:style>
  <w:style w:type="paragraph" w:styleId="Header">
    <w:name w:val="header"/>
    <w:basedOn w:val="Normal"/>
    <w:link w:val="HeaderChar"/>
    <w:uiPriority w:val="99"/>
    <w:unhideWhenUsed/>
    <w:rsid w:val="009F66E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66E4"/>
  </w:style>
  <w:style w:type="paragraph" w:styleId="Footer">
    <w:name w:val="footer"/>
    <w:basedOn w:val="Normal"/>
    <w:link w:val="FooterChar"/>
    <w:uiPriority w:val="99"/>
    <w:unhideWhenUsed/>
    <w:rsid w:val="009F66E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100">
      <w:bodyDiv w:val="1"/>
      <w:marLeft w:val="0"/>
      <w:marRight w:val="0"/>
      <w:marTop w:val="0"/>
      <w:marBottom w:val="0"/>
      <w:divBdr>
        <w:top w:val="none" w:sz="0" w:space="0" w:color="auto"/>
        <w:left w:val="none" w:sz="0" w:space="0" w:color="auto"/>
        <w:bottom w:val="none" w:sz="0" w:space="0" w:color="auto"/>
        <w:right w:val="none" w:sz="0" w:space="0" w:color="auto"/>
      </w:divBdr>
      <w:divsChild>
        <w:div w:id="1353342999">
          <w:marLeft w:val="0"/>
          <w:marRight w:val="0"/>
          <w:marTop w:val="0"/>
          <w:marBottom w:val="0"/>
          <w:divBdr>
            <w:top w:val="none" w:sz="0" w:space="0" w:color="auto"/>
            <w:left w:val="none" w:sz="0" w:space="0" w:color="auto"/>
            <w:bottom w:val="none" w:sz="0" w:space="0" w:color="auto"/>
            <w:right w:val="none" w:sz="0" w:space="0" w:color="auto"/>
          </w:divBdr>
          <w:divsChild>
            <w:div w:id="1829469031">
              <w:marLeft w:val="0"/>
              <w:marRight w:val="0"/>
              <w:marTop w:val="0"/>
              <w:marBottom w:val="0"/>
              <w:divBdr>
                <w:top w:val="none" w:sz="0" w:space="0" w:color="auto"/>
                <w:left w:val="none" w:sz="0" w:space="0" w:color="auto"/>
                <w:bottom w:val="none" w:sz="0" w:space="0" w:color="auto"/>
                <w:right w:val="none" w:sz="0" w:space="0" w:color="auto"/>
              </w:divBdr>
              <w:divsChild>
                <w:div w:id="11953856">
                  <w:marLeft w:val="0"/>
                  <w:marRight w:val="0"/>
                  <w:marTop w:val="0"/>
                  <w:marBottom w:val="0"/>
                  <w:divBdr>
                    <w:top w:val="none" w:sz="0" w:space="0" w:color="auto"/>
                    <w:left w:val="none" w:sz="0" w:space="0" w:color="auto"/>
                    <w:bottom w:val="none" w:sz="0" w:space="0" w:color="auto"/>
                    <w:right w:val="none" w:sz="0" w:space="0" w:color="auto"/>
                  </w:divBdr>
                  <w:divsChild>
                    <w:div w:id="1100881171">
                      <w:marLeft w:val="0"/>
                      <w:marRight w:val="0"/>
                      <w:marTop w:val="0"/>
                      <w:marBottom w:val="0"/>
                      <w:divBdr>
                        <w:top w:val="none" w:sz="0" w:space="0" w:color="auto"/>
                        <w:left w:val="none" w:sz="0" w:space="0" w:color="auto"/>
                        <w:bottom w:val="none" w:sz="0" w:space="0" w:color="auto"/>
                        <w:right w:val="none" w:sz="0" w:space="0" w:color="auto"/>
                      </w:divBdr>
                      <w:divsChild>
                        <w:div w:id="1595629973">
                          <w:marLeft w:val="0"/>
                          <w:marRight w:val="0"/>
                          <w:marTop w:val="15"/>
                          <w:marBottom w:val="0"/>
                          <w:divBdr>
                            <w:top w:val="none" w:sz="0" w:space="0" w:color="auto"/>
                            <w:left w:val="none" w:sz="0" w:space="0" w:color="auto"/>
                            <w:bottom w:val="none" w:sz="0" w:space="0" w:color="auto"/>
                            <w:right w:val="none" w:sz="0" w:space="0" w:color="auto"/>
                          </w:divBdr>
                          <w:divsChild>
                            <w:div w:id="2141149443">
                              <w:marLeft w:val="0"/>
                              <w:marRight w:val="0"/>
                              <w:marTop w:val="0"/>
                              <w:marBottom w:val="0"/>
                              <w:divBdr>
                                <w:top w:val="none" w:sz="0" w:space="0" w:color="auto"/>
                                <w:left w:val="none" w:sz="0" w:space="0" w:color="auto"/>
                                <w:bottom w:val="none" w:sz="0" w:space="0" w:color="auto"/>
                                <w:right w:val="none" w:sz="0" w:space="0" w:color="auto"/>
                              </w:divBdr>
                              <w:divsChild>
                                <w:div w:id="1895122106">
                                  <w:marLeft w:val="0"/>
                                  <w:marRight w:val="0"/>
                                  <w:marTop w:val="0"/>
                                  <w:marBottom w:val="0"/>
                                  <w:divBdr>
                                    <w:top w:val="none" w:sz="0" w:space="0" w:color="auto"/>
                                    <w:left w:val="none" w:sz="0" w:space="0" w:color="auto"/>
                                    <w:bottom w:val="none" w:sz="0" w:space="0" w:color="auto"/>
                                    <w:right w:val="none" w:sz="0" w:space="0" w:color="auto"/>
                                  </w:divBdr>
                                </w:div>
                                <w:div w:id="563029045">
                                  <w:marLeft w:val="0"/>
                                  <w:marRight w:val="0"/>
                                  <w:marTop w:val="0"/>
                                  <w:marBottom w:val="0"/>
                                  <w:divBdr>
                                    <w:top w:val="none" w:sz="0" w:space="0" w:color="auto"/>
                                    <w:left w:val="none" w:sz="0" w:space="0" w:color="auto"/>
                                    <w:bottom w:val="none" w:sz="0" w:space="0" w:color="auto"/>
                                    <w:right w:val="none" w:sz="0" w:space="0" w:color="auto"/>
                                  </w:divBdr>
                                </w:div>
                                <w:div w:id="530462578">
                                  <w:marLeft w:val="0"/>
                                  <w:marRight w:val="0"/>
                                  <w:marTop w:val="0"/>
                                  <w:marBottom w:val="0"/>
                                  <w:divBdr>
                                    <w:top w:val="none" w:sz="0" w:space="0" w:color="auto"/>
                                    <w:left w:val="none" w:sz="0" w:space="0" w:color="auto"/>
                                    <w:bottom w:val="none" w:sz="0" w:space="0" w:color="auto"/>
                                    <w:right w:val="none" w:sz="0" w:space="0" w:color="auto"/>
                                  </w:divBdr>
                                </w:div>
                                <w:div w:id="831259318">
                                  <w:marLeft w:val="0"/>
                                  <w:marRight w:val="0"/>
                                  <w:marTop w:val="0"/>
                                  <w:marBottom w:val="0"/>
                                  <w:divBdr>
                                    <w:top w:val="none" w:sz="0" w:space="0" w:color="auto"/>
                                    <w:left w:val="none" w:sz="0" w:space="0" w:color="auto"/>
                                    <w:bottom w:val="none" w:sz="0" w:space="0" w:color="auto"/>
                                    <w:right w:val="none" w:sz="0" w:space="0" w:color="auto"/>
                                  </w:divBdr>
                                </w:div>
                                <w:div w:id="10110518">
                                  <w:marLeft w:val="0"/>
                                  <w:marRight w:val="0"/>
                                  <w:marTop w:val="0"/>
                                  <w:marBottom w:val="0"/>
                                  <w:divBdr>
                                    <w:top w:val="none" w:sz="0" w:space="0" w:color="auto"/>
                                    <w:left w:val="none" w:sz="0" w:space="0" w:color="auto"/>
                                    <w:bottom w:val="none" w:sz="0" w:space="0" w:color="auto"/>
                                    <w:right w:val="none" w:sz="0" w:space="0" w:color="auto"/>
                                  </w:divBdr>
                                </w:div>
                                <w:div w:id="749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411665">
      <w:bodyDiv w:val="1"/>
      <w:marLeft w:val="0"/>
      <w:marRight w:val="0"/>
      <w:marTop w:val="0"/>
      <w:marBottom w:val="0"/>
      <w:divBdr>
        <w:top w:val="none" w:sz="0" w:space="0" w:color="auto"/>
        <w:left w:val="none" w:sz="0" w:space="0" w:color="auto"/>
        <w:bottom w:val="none" w:sz="0" w:space="0" w:color="auto"/>
        <w:right w:val="none" w:sz="0" w:space="0" w:color="auto"/>
      </w:divBdr>
      <w:divsChild>
        <w:div w:id="318926472">
          <w:marLeft w:val="0"/>
          <w:marRight w:val="0"/>
          <w:marTop w:val="0"/>
          <w:marBottom w:val="0"/>
          <w:divBdr>
            <w:top w:val="none" w:sz="0" w:space="0" w:color="auto"/>
            <w:left w:val="none" w:sz="0" w:space="0" w:color="auto"/>
            <w:bottom w:val="none" w:sz="0" w:space="0" w:color="auto"/>
            <w:right w:val="none" w:sz="0" w:space="0" w:color="auto"/>
          </w:divBdr>
          <w:divsChild>
            <w:div w:id="1712731050">
              <w:marLeft w:val="0"/>
              <w:marRight w:val="0"/>
              <w:marTop w:val="0"/>
              <w:marBottom w:val="0"/>
              <w:divBdr>
                <w:top w:val="none" w:sz="0" w:space="0" w:color="auto"/>
                <w:left w:val="none" w:sz="0" w:space="0" w:color="auto"/>
                <w:bottom w:val="none" w:sz="0" w:space="0" w:color="auto"/>
                <w:right w:val="none" w:sz="0" w:space="0" w:color="auto"/>
              </w:divBdr>
              <w:divsChild>
                <w:div w:id="136335725">
                  <w:marLeft w:val="0"/>
                  <w:marRight w:val="0"/>
                  <w:marTop w:val="0"/>
                  <w:marBottom w:val="0"/>
                  <w:divBdr>
                    <w:top w:val="none" w:sz="0" w:space="0" w:color="auto"/>
                    <w:left w:val="none" w:sz="0" w:space="0" w:color="auto"/>
                    <w:bottom w:val="none" w:sz="0" w:space="0" w:color="auto"/>
                    <w:right w:val="none" w:sz="0" w:space="0" w:color="auto"/>
                  </w:divBdr>
                  <w:divsChild>
                    <w:div w:id="2040426757">
                      <w:marLeft w:val="0"/>
                      <w:marRight w:val="0"/>
                      <w:marTop w:val="0"/>
                      <w:marBottom w:val="0"/>
                      <w:divBdr>
                        <w:top w:val="none" w:sz="0" w:space="0" w:color="auto"/>
                        <w:left w:val="none" w:sz="0" w:space="0" w:color="auto"/>
                        <w:bottom w:val="none" w:sz="0" w:space="0" w:color="auto"/>
                        <w:right w:val="none" w:sz="0" w:space="0" w:color="auto"/>
                      </w:divBdr>
                      <w:divsChild>
                        <w:div w:id="60644702">
                          <w:marLeft w:val="0"/>
                          <w:marRight w:val="0"/>
                          <w:marTop w:val="0"/>
                          <w:marBottom w:val="0"/>
                          <w:divBdr>
                            <w:top w:val="none" w:sz="0" w:space="0" w:color="auto"/>
                            <w:left w:val="none" w:sz="0" w:space="0" w:color="auto"/>
                            <w:bottom w:val="none" w:sz="0" w:space="0" w:color="auto"/>
                            <w:right w:val="none" w:sz="0" w:space="0" w:color="auto"/>
                          </w:divBdr>
                          <w:divsChild>
                            <w:div w:id="1304773824">
                              <w:marLeft w:val="0"/>
                              <w:marRight w:val="0"/>
                              <w:marTop w:val="0"/>
                              <w:marBottom w:val="0"/>
                              <w:divBdr>
                                <w:top w:val="none" w:sz="0" w:space="0" w:color="auto"/>
                                <w:left w:val="none" w:sz="0" w:space="0" w:color="auto"/>
                                <w:bottom w:val="none" w:sz="0" w:space="0" w:color="auto"/>
                                <w:right w:val="none" w:sz="0" w:space="0" w:color="auto"/>
                              </w:divBdr>
                              <w:divsChild>
                                <w:div w:id="1817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952221">
      <w:bodyDiv w:val="1"/>
      <w:marLeft w:val="0"/>
      <w:marRight w:val="0"/>
      <w:marTop w:val="0"/>
      <w:marBottom w:val="0"/>
      <w:divBdr>
        <w:top w:val="none" w:sz="0" w:space="0" w:color="auto"/>
        <w:left w:val="none" w:sz="0" w:space="0" w:color="auto"/>
        <w:bottom w:val="none" w:sz="0" w:space="0" w:color="auto"/>
        <w:right w:val="none" w:sz="0" w:space="0" w:color="auto"/>
      </w:divBdr>
      <w:divsChild>
        <w:div w:id="203903947">
          <w:marLeft w:val="0"/>
          <w:marRight w:val="0"/>
          <w:marTop w:val="0"/>
          <w:marBottom w:val="0"/>
          <w:divBdr>
            <w:top w:val="none" w:sz="0" w:space="0" w:color="auto"/>
            <w:left w:val="none" w:sz="0" w:space="0" w:color="auto"/>
            <w:bottom w:val="none" w:sz="0" w:space="0" w:color="auto"/>
            <w:right w:val="none" w:sz="0" w:space="0" w:color="auto"/>
          </w:divBdr>
          <w:divsChild>
            <w:div w:id="1604536862">
              <w:marLeft w:val="0"/>
              <w:marRight w:val="0"/>
              <w:marTop w:val="0"/>
              <w:marBottom w:val="0"/>
              <w:divBdr>
                <w:top w:val="none" w:sz="0" w:space="0" w:color="auto"/>
                <w:left w:val="none" w:sz="0" w:space="0" w:color="auto"/>
                <w:bottom w:val="none" w:sz="0" w:space="0" w:color="auto"/>
                <w:right w:val="none" w:sz="0" w:space="0" w:color="auto"/>
              </w:divBdr>
              <w:divsChild>
                <w:div w:id="1598711407">
                  <w:marLeft w:val="0"/>
                  <w:marRight w:val="0"/>
                  <w:marTop w:val="0"/>
                  <w:marBottom w:val="0"/>
                  <w:divBdr>
                    <w:top w:val="none" w:sz="0" w:space="0" w:color="auto"/>
                    <w:left w:val="none" w:sz="0" w:space="0" w:color="auto"/>
                    <w:bottom w:val="none" w:sz="0" w:space="0" w:color="auto"/>
                    <w:right w:val="none" w:sz="0" w:space="0" w:color="auto"/>
                  </w:divBdr>
                  <w:divsChild>
                    <w:div w:id="1616907841">
                      <w:marLeft w:val="0"/>
                      <w:marRight w:val="0"/>
                      <w:marTop w:val="0"/>
                      <w:marBottom w:val="0"/>
                      <w:divBdr>
                        <w:top w:val="none" w:sz="0" w:space="0" w:color="auto"/>
                        <w:left w:val="none" w:sz="0" w:space="0" w:color="auto"/>
                        <w:bottom w:val="none" w:sz="0" w:space="0" w:color="auto"/>
                        <w:right w:val="none" w:sz="0" w:space="0" w:color="auto"/>
                      </w:divBdr>
                      <w:divsChild>
                        <w:div w:id="1778985769">
                          <w:marLeft w:val="0"/>
                          <w:marRight w:val="0"/>
                          <w:marTop w:val="15"/>
                          <w:marBottom w:val="0"/>
                          <w:divBdr>
                            <w:top w:val="none" w:sz="0" w:space="0" w:color="auto"/>
                            <w:left w:val="none" w:sz="0" w:space="0" w:color="auto"/>
                            <w:bottom w:val="none" w:sz="0" w:space="0" w:color="auto"/>
                            <w:right w:val="none" w:sz="0" w:space="0" w:color="auto"/>
                          </w:divBdr>
                          <w:divsChild>
                            <w:div w:id="42563859">
                              <w:marLeft w:val="0"/>
                              <w:marRight w:val="0"/>
                              <w:marTop w:val="0"/>
                              <w:marBottom w:val="0"/>
                              <w:divBdr>
                                <w:top w:val="none" w:sz="0" w:space="0" w:color="auto"/>
                                <w:left w:val="none" w:sz="0" w:space="0" w:color="auto"/>
                                <w:bottom w:val="none" w:sz="0" w:space="0" w:color="auto"/>
                                <w:right w:val="none" w:sz="0" w:space="0" w:color="auto"/>
                              </w:divBdr>
                              <w:divsChild>
                                <w:div w:id="324750221">
                                  <w:marLeft w:val="0"/>
                                  <w:marRight w:val="0"/>
                                  <w:marTop w:val="0"/>
                                  <w:marBottom w:val="0"/>
                                  <w:divBdr>
                                    <w:top w:val="none" w:sz="0" w:space="0" w:color="auto"/>
                                    <w:left w:val="none" w:sz="0" w:space="0" w:color="auto"/>
                                    <w:bottom w:val="none" w:sz="0" w:space="0" w:color="auto"/>
                                    <w:right w:val="none" w:sz="0" w:space="0" w:color="auto"/>
                                  </w:divBdr>
                                </w:div>
                                <w:div w:id="1942376047">
                                  <w:marLeft w:val="0"/>
                                  <w:marRight w:val="0"/>
                                  <w:marTop w:val="0"/>
                                  <w:marBottom w:val="0"/>
                                  <w:divBdr>
                                    <w:top w:val="none" w:sz="0" w:space="0" w:color="auto"/>
                                    <w:left w:val="none" w:sz="0" w:space="0" w:color="auto"/>
                                    <w:bottom w:val="none" w:sz="0" w:space="0" w:color="auto"/>
                                    <w:right w:val="none" w:sz="0" w:space="0" w:color="auto"/>
                                  </w:divBdr>
                                </w:div>
                                <w:div w:id="646205648">
                                  <w:marLeft w:val="0"/>
                                  <w:marRight w:val="0"/>
                                  <w:marTop w:val="0"/>
                                  <w:marBottom w:val="0"/>
                                  <w:divBdr>
                                    <w:top w:val="none" w:sz="0" w:space="0" w:color="auto"/>
                                    <w:left w:val="none" w:sz="0" w:space="0" w:color="auto"/>
                                    <w:bottom w:val="none" w:sz="0" w:space="0" w:color="auto"/>
                                    <w:right w:val="none" w:sz="0" w:space="0" w:color="auto"/>
                                  </w:divBdr>
                                </w:div>
                                <w:div w:id="1649168282">
                                  <w:marLeft w:val="0"/>
                                  <w:marRight w:val="0"/>
                                  <w:marTop w:val="0"/>
                                  <w:marBottom w:val="0"/>
                                  <w:divBdr>
                                    <w:top w:val="none" w:sz="0" w:space="0" w:color="auto"/>
                                    <w:left w:val="none" w:sz="0" w:space="0" w:color="auto"/>
                                    <w:bottom w:val="none" w:sz="0" w:space="0" w:color="auto"/>
                                    <w:right w:val="none" w:sz="0" w:space="0" w:color="auto"/>
                                  </w:divBdr>
                                </w:div>
                                <w:div w:id="1604803858">
                                  <w:marLeft w:val="0"/>
                                  <w:marRight w:val="0"/>
                                  <w:marTop w:val="0"/>
                                  <w:marBottom w:val="0"/>
                                  <w:divBdr>
                                    <w:top w:val="none" w:sz="0" w:space="0" w:color="auto"/>
                                    <w:left w:val="none" w:sz="0" w:space="0" w:color="auto"/>
                                    <w:bottom w:val="none" w:sz="0" w:space="0" w:color="auto"/>
                                    <w:right w:val="none" w:sz="0" w:space="0" w:color="auto"/>
                                  </w:divBdr>
                                </w:div>
                                <w:div w:id="813180884">
                                  <w:marLeft w:val="0"/>
                                  <w:marRight w:val="0"/>
                                  <w:marTop w:val="0"/>
                                  <w:marBottom w:val="0"/>
                                  <w:divBdr>
                                    <w:top w:val="none" w:sz="0" w:space="0" w:color="auto"/>
                                    <w:left w:val="none" w:sz="0" w:space="0" w:color="auto"/>
                                    <w:bottom w:val="none" w:sz="0" w:space="0" w:color="auto"/>
                                    <w:right w:val="none" w:sz="0" w:space="0" w:color="auto"/>
                                  </w:divBdr>
                                </w:div>
                                <w:div w:id="282807256">
                                  <w:marLeft w:val="0"/>
                                  <w:marRight w:val="0"/>
                                  <w:marTop w:val="0"/>
                                  <w:marBottom w:val="0"/>
                                  <w:divBdr>
                                    <w:top w:val="none" w:sz="0" w:space="0" w:color="auto"/>
                                    <w:left w:val="none" w:sz="0" w:space="0" w:color="auto"/>
                                    <w:bottom w:val="none" w:sz="0" w:space="0" w:color="auto"/>
                                    <w:right w:val="none" w:sz="0" w:space="0" w:color="auto"/>
                                  </w:divBdr>
                                </w:div>
                                <w:div w:id="1271476787">
                                  <w:marLeft w:val="0"/>
                                  <w:marRight w:val="0"/>
                                  <w:marTop w:val="0"/>
                                  <w:marBottom w:val="0"/>
                                  <w:divBdr>
                                    <w:top w:val="none" w:sz="0" w:space="0" w:color="auto"/>
                                    <w:left w:val="none" w:sz="0" w:space="0" w:color="auto"/>
                                    <w:bottom w:val="none" w:sz="0" w:space="0" w:color="auto"/>
                                    <w:right w:val="none" w:sz="0" w:space="0" w:color="auto"/>
                                  </w:divBdr>
                                </w:div>
                                <w:div w:id="1567688442">
                                  <w:marLeft w:val="0"/>
                                  <w:marRight w:val="0"/>
                                  <w:marTop w:val="0"/>
                                  <w:marBottom w:val="0"/>
                                  <w:divBdr>
                                    <w:top w:val="none" w:sz="0" w:space="0" w:color="auto"/>
                                    <w:left w:val="none" w:sz="0" w:space="0" w:color="auto"/>
                                    <w:bottom w:val="none" w:sz="0" w:space="0" w:color="auto"/>
                                    <w:right w:val="none" w:sz="0" w:space="0" w:color="auto"/>
                                  </w:divBdr>
                                </w:div>
                                <w:div w:id="1037048395">
                                  <w:marLeft w:val="0"/>
                                  <w:marRight w:val="0"/>
                                  <w:marTop w:val="0"/>
                                  <w:marBottom w:val="0"/>
                                  <w:divBdr>
                                    <w:top w:val="none" w:sz="0" w:space="0" w:color="auto"/>
                                    <w:left w:val="none" w:sz="0" w:space="0" w:color="auto"/>
                                    <w:bottom w:val="none" w:sz="0" w:space="0" w:color="auto"/>
                                    <w:right w:val="none" w:sz="0" w:space="0" w:color="auto"/>
                                  </w:divBdr>
                                </w:div>
                                <w:div w:id="1273628042">
                                  <w:marLeft w:val="0"/>
                                  <w:marRight w:val="0"/>
                                  <w:marTop w:val="0"/>
                                  <w:marBottom w:val="0"/>
                                  <w:divBdr>
                                    <w:top w:val="none" w:sz="0" w:space="0" w:color="auto"/>
                                    <w:left w:val="none" w:sz="0" w:space="0" w:color="auto"/>
                                    <w:bottom w:val="none" w:sz="0" w:space="0" w:color="auto"/>
                                    <w:right w:val="none" w:sz="0" w:space="0" w:color="auto"/>
                                  </w:divBdr>
                                </w:div>
                                <w:div w:id="270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nticorruzione.it/portal/public/classic/Comunicazione/Eventi/_evento/_Convegno20130228Sandulli" TargetMode="External"/><Relationship Id="rId2" Type="http://schemas.openxmlformats.org/officeDocument/2006/relationships/hyperlink" Target="http://www.treccani.it/enciclopedia/la-legittimazione-processuale-speciale-dell-anac_%28altro%29/" TargetMode="External"/><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FFEA-94B1-4E8E-A1A6-825B6667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10036</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Bonacchi, Mauro</cp:lastModifiedBy>
  <cp:revision>2</cp:revision>
  <dcterms:created xsi:type="dcterms:W3CDTF">2019-07-03T08:01:00Z</dcterms:created>
  <dcterms:modified xsi:type="dcterms:W3CDTF">2019-07-03T08:01:00Z</dcterms:modified>
</cp:coreProperties>
</file>