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92E" w:rsidRDefault="00CB7FE9" w:rsidP="002338B5">
      <w:pPr>
        <w:pBdr>
          <w:top w:val="single" w:sz="4" w:space="1" w:color="auto"/>
          <w:left w:val="single" w:sz="4" w:space="4" w:color="auto"/>
          <w:bottom w:val="single" w:sz="4" w:space="1" w:color="auto"/>
          <w:right w:val="single" w:sz="4" w:space="4" w:color="auto"/>
        </w:pBdr>
        <w:contextualSpacing/>
        <w:jc w:val="center"/>
        <w:rPr>
          <w:rFonts w:ascii="Garamond" w:hAnsi="Garamond"/>
          <w:i/>
          <w:sz w:val="28"/>
          <w:szCs w:val="28"/>
        </w:rPr>
      </w:pPr>
      <w:r w:rsidRPr="004D21AA">
        <w:rPr>
          <w:rFonts w:ascii="Garamond" w:hAnsi="Garamond"/>
          <w:b/>
          <w:sz w:val="44"/>
          <w:szCs w:val="44"/>
        </w:rPr>
        <w:t>Autorità e libertà n</w:t>
      </w:r>
      <w:r w:rsidR="00F70109" w:rsidRPr="004D21AA">
        <w:rPr>
          <w:rFonts w:ascii="Garamond" w:hAnsi="Garamond"/>
          <w:b/>
          <w:sz w:val="44"/>
          <w:szCs w:val="44"/>
        </w:rPr>
        <w:t>elle decisioni</w:t>
      </w:r>
      <w:r w:rsidR="00567289" w:rsidRPr="004D21AA">
        <w:rPr>
          <w:rFonts w:ascii="Garamond" w:hAnsi="Garamond"/>
          <w:b/>
          <w:sz w:val="44"/>
          <w:szCs w:val="44"/>
        </w:rPr>
        <w:t xml:space="preserve"> sanitari</w:t>
      </w:r>
      <w:r w:rsidR="00D6195F" w:rsidRPr="004D21AA">
        <w:rPr>
          <w:rFonts w:ascii="Garamond" w:hAnsi="Garamond"/>
          <w:b/>
          <w:sz w:val="44"/>
          <w:szCs w:val="44"/>
        </w:rPr>
        <w:t>e tra principio solidaristico e principio personalistico</w:t>
      </w:r>
      <w:bookmarkStart w:id="0" w:name="_GoBack"/>
      <w:bookmarkEnd w:id="0"/>
    </w:p>
    <w:p w:rsidR="00264D1E" w:rsidRPr="00264D1E" w:rsidRDefault="004D21AA" w:rsidP="002338B5">
      <w:pPr>
        <w:pBdr>
          <w:top w:val="single" w:sz="4" w:space="1" w:color="auto"/>
          <w:left w:val="single" w:sz="4" w:space="4" w:color="auto"/>
          <w:bottom w:val="single" w:sz="4" w:space="1" w:color="auto"/>
          <w:right w:val="single" w:sz="4" w:space="4" w:color="auto"/>
        </w:pBdr>
        <w:contextualSpacing/>
        <w:jc w:val="center"/>
        <w:rPr>
          <w:rFonts w:ascii="Garamond" w:hAnsi="Garamond"/>
          <w:sz w:val="28"/>
          <w:szCs w:val="28"/>
        </w:rPr>
      </w:pPr>
      <w:r>
        <w:rPr>
          <w:rFonts w:ascii="Garamond" w:hAnsi="Garamond"/>
          <w:sz w:val="28"/>
          <w:szCs w:val="28"/>
        </w:rPr>
        <w:t xml:space="preserve"> </w:t>
      </w:r>
    </w:p>
    <w:p w:rsidR="002338B5" w:rsidRPr="000E3A94" w:rsidRDefault="002338B5" w:rsidP="002338B5">
      <w:pPr>
        <w:contextualSpacing/>
        <w:jc w:val="center"/>
        <w:rPr>
          <w:rFonts w:ascii="Garamond" w:hAnsi="Garamond"/>
          <w:sz w:val="28"/>
          <w:szCs w:val="28"/>
        </w:rPr>
      </w:pPr>
    </w:p>
    <w:p w:rsidR="00DF24CA" w:rsidRDefault="00AD485B" w:rsidP="002338B5">
      <w:pPr>
        <w:ind w:firstLine="709"/>
        <w:contextualSpacing/>
        <w:jc w:val="both"/>
        <w:rPr>
          <w:rFonts w:ascii="Garamond" w:hAnsi="Garamond"/>
          <w:sz w:val="28"/>
          <w:szCs w:val="28"/>
        </w:rPr>
      </w:pPr>
      <w:r>
        <w:rPr>
          <w:rFonts w:ascii="Garamond" w:hAnsi="Garamond"/>
          <w:sz w:val="28"/>
          <w:szCs w:val="28"/>
        </w:rPr>
        <w:t>L’eterna dialettica</w:t>
      </w:r>
      <w:r w:rsidR="00DF24CA">
        <w:rPr>
          <w:rFonts w:ascii="Garamond" w:hAnsi="Garamond"/>
          <w:sz w:val="28"/>
          <w:szCs w:val="28"/>
        </w:rPr>
        <w:t xml:space="preserve"> tr</w:t>
      </w:r>
      <w:r w:rsidR="00294B03">
        <w:rPr>
          <w:rFonts w:ascii="Garamond" w:hAnsi="Garamond"/>
          <w:sz w:val="28"/>
          <w:szCs w:val="28"/>
        </w:rPr>
        <w:t>a autorità e lib</w:t>
      </w:r>
      <w:r w:rsidR="00243FCD">
        <w:rPr>
          <w:rFonts w:ascii="Garamond" w:hAnsi="Garamond"/>
          <w:sz w:val="28"/>
          <w:szCs w:val="28"/>
        </w:rPr>
        <w:t>ertà</w:t>
      </w:r>
      <w:r w:rsidR="00C347DB">
        <w:rPr>
          <w:rStyle w:val="Rimandonotaapidipagina"/>
          <w:rFonts w:ascii="Garamond" w:hAnsi="Garamond"/>
          <w:sz w:val="28"/>
          <w:szCs w:val="28"/>
        </w:rPr>
        <w:footnoteReference w:id="1"/>
      </w:r>
      <w:r w:rsidR="00243FCD">
        <w:rPr>
          <w:rFonts w:ascii="Garamond" w:hAnsi="Garamond"/>
          <w:sz w:val="28"/>
          <w:szCs w:val="28"/>
        </w:rPr>
        <w:t xml:space="preserve"> assume un rilievo centrale</w:t>
      </w:r>
      <w:r>
        <w:rPr>
          <w:rFonts w:ascii="Garamond" w:hAnsi="Garamond"/>
          <w:sz w:val="28"/>
          <w:szCs w:val="28"/>
        </w:rPr>
        <w:t xml:space="preserve"> e ormai tutto nuovo</w:t>
      </w:r>
      <w:r w:rsidR="00DF24CA">
        <w:rPr>
          <w:rFonts w:ascii="Garamond" w:hAnsi="Garamond"/>
          <w:sz w:val="28"/>
          <w:szCs w:val="28"/>
        </w:rPr>
        <w:t xml:space="preserve"> nelle decisioni sulla salute, il cu</w:t>
      </w:r>
      <w:r w:rsidR="00294B03">
        <w:rPr>
          <w:rFonts w:ascii="Garamond" w:hAnsi="Garamond"/>
          <w:sz w:val="28"/>
          <w:szCs w:val="28"/>
        </w:rPr>
        <w:t>i fondamento riposa sul</w:t>
      </w:r>
      <w:r w:rsidR="00DF24CA">
        <w:rPr>
          <w:rFonts w:ascii="Garamond" w:hAnsi="Garamond"/>
          <w:sz w:val="28"/>
          <w:szCs w:val="28"/>
        </w:rPr>
        <w:t xml:space="preserve"> </w:t>
      </w:r>
      <w:r w:rsidR="00DF24CA">
        <w:rPr>
          <w:rFonts w:ascii="Garamond" w:hAnsi="Garamond"/>
          <w:i/>
          <w:sz w:val="28"/>
          <w:szCs w:val="28"/>
        </w:rPr>
        <w:t>consenso</w:t>
      </w:r>
      <w:r w:rsidR="00D6195F">
        <w:rPr>
          <w:rFonts w:ascii="Garamond" w:hAnsi="Garamond"/>
          <w:i/>
          <w:sz w:val="28"/>
          <w:szCs w:val="28"/>
        </w:rPr>
        <w:t xml:space="preserve"> libero e</w:t>
      </w:r>
      <w:r w:rsidR="00DF24CA">
        <w:rPr>
          <w:rFonts w:ascii="Garamond" w:hAnsi="Garamond"/>
          <w:i/>
          <w:sz w:val="28"/>
          <w:szCs w:val="28"/>
        </w:rPr>
        <w:t xml:space="preserve"> informato</w:t>
      </w:r>
      <w:r>
        <w:rPr>
          <w:rFonts w:ascii="Garamond" w:hAnsi="Garamond"/>
          <w:sz w:val="28"/>
          <w:szCs w:val="28"/>
        </w:rPr>
        <w:t xml:space="preserve"> del paziente, ora riconosciuto solennemente dall’art. 1, comma 1, della l. n. 219 del 2017</w:t>
      </w:r>
      <w:r w:rsidR="00D47451">
        <w:rPr>
          <w:rStyle w:val="Rimandonotaapidipagina"/>
          <w:rFonts w:ascii="Garamond" w:hAnsi="Garamond"/>
          <w:sz w:val="28"/>
          <w:szCs w:val="28"/>
        </w:rPr>
        <w:footnoteReference w:id="2"/>
      </w:r>
      <w:r>
        <w:rPr>
          <w:rFonts w:ascii="Garamond" w:hAnsi="Garamond"/>
          <w:sz w:val="28"/>
          <w:szCs w:val="28"/>
        </w:rPr>
        <w:t>.</w:t>
      </w:r>
    </w:p>
    <w:p w:rsidR="00DF24CA" w:rsidRDefault="00DF24CA" w:rsidP="002338B5">
      <w:pPr>
        <w:ind w:firstLine="709"/>
        <w:contextualSpacing/>
        <w:jc w:val="both"/>
        <w:rPr>
          <w:rFonts w:ascii="Garamond" w:hAnsi="Garamond"/>
          <w:sz w:val="28"/>
          <w:szCs w:val="28"/>
        </w:rPr>
      </w:pPr>
      <w:r>
        <w:rPr>
          <w:rFonts w:ascii="Garamond" w:hAnsi="Garamond"/>
          <w:sz w:val="28"/>
          <w:szCs w:val="28"/>
        </w:rPr>
        <w:t>Temi come</w:t>
      </w:r>
      <w:r w:rsidR="00AD485B">
        <w:rPr>
          <w:rFonts w:ascii="Garamond" w:hAnsi="Garamond"/>
          <w:sz w:val="28"/>
          <w:szCs w:val="28"/>
        </w:rPr>
        <w:t xml:space="preserve"> il rifiuto delle cure, l’eutanasia, i trattamenti sanitari obbligatori e le vaccinazioni</w:t>
      </w:r>
      <w:r w:rsidR="00572EAF">
        <w:rPr>
          <w:rFonts w:ascii="Garamond" w:hAnsi="Garamond"/>
          <w:sz w:val="28"/>
          <w:szCs w:val="28"/>
        </w:rPr>
        <w:t>, la lotta contro la</w:t>
      </w:r>
      <w:r w:rsidR="00567289">
        <w:rPr>
          <w:rFonts w:ascii="Garamond" w:hAnsi="Garamond"/>
          <w:sz w:val="28"/>
          <w:szCs w:val="28"/>
        </w:rPr>
        <w:t xml:space="preserve"> </w:t>
      </w:r>
      <w:proofErr w:type="spellStart"/>
      <w:r w:rsidR="00567289">
        <w:rPr>
          <w:rFonts w:ascii="Garamond" w:hAnsi="Garamond"/>
          <w:sz w:val="28"/>
          <w:szCs w:val="28"/>
        </w:rPr>
        <w:t>ludopatia</w:t>
      </w:r>
      <w:proofErr w:type="spellEnd"/>
      <w:r w:rsidR="00567289">
        <w:rPr>
          <w:rFonts w:ascii="Garamond" w:hAnsi="Garamond"/>
          <w:sz w:val="28"/>
          <w:szCs w:val="28"/>
        </w:rPr>
        <w:t xml:space="preserve"> vengono sempre più frequentemente all’</w:t>
      </w:r>
      <w:r>
        <w:rPr>
          <w:rFonts w:ascii="Garamond" w:hAnsi="Garamond"/>
          <w:sz w:val="28"/>
          <w:szCs w:val="28"/>
        </w:rPr>
        <w:t>attenzi</w:t>
      </w:r>
      <w:r w:rsidR="00AD485B">
        <w:rPr>
          <w:rFonts w:ascii="Garamond" w:hAnsi="Garamond"/>
          <w:sz w:val="28"/>
          <w:szCs w:val="28"/>
        </w:rPr>
        <w:t>one</w:t>
      </w:r>
      <w:r w:rsidR="00C860C5">
        <w:rPr>
          <w:rFonts w:ascii="Garamond" w:hAnsi="Garamond"/>
          <w:sz w:val="28"/>
          <w:szCs w:val="28"/>
        </w:rPr>
        <w:t xml:space="preserve"> del giudice costituzion</w:t>
      </w:r>
      <w:r w:rsidR="00AD485B">
        <w:rPr>
          <w:rFonts w:ascii="Garamond" w:hAnsi="Garamond"/>
          <w:sz w:val="28"/>
          <w:szCs w:val="28"/>
        </w:rPr>
        <w:t>al</w:t>
      </w:r>
      <w:r w:rsidR="00C860C5">
        <w:rPr>
          <w:rFonts w:ascii="Garamond" w:hAnsi="Garamond"/>
          <w:sz w:val="28"/>
          <w:szCs w:val="28"/>
        </w:rPr>
        <w:t>e,</w:t>
      </w:r>
      <w:r w:rsidR="00AD485B">
        <w:rPr>
          <w:rFonts w:ascii="Garamond" w:hAnsi="Garamond"/>
          <w:sz w:val="28"/>
          <w:szCs w:val="28"/>
        </w:rPr>
        <w:t xml:space="preserve"> del giudice ordinario</w:t>
      </w:r>
      <w:r w:rsidR="00C860C5">
        <w:rPr>
          <w:rFonts w:ascii="Garamond" w:hAnsi="Garamond"/>
          <w:sz w:val="28"/>
          <w:szCs w:val="28"/>
        </w:rPr>
        <w:t xml:space="preserve"> e</w:t>
      </w:r>
      <w:r w:rsidR="00AD485B">
        <w:rPr>
          <w:rFonts w:ascii="Garamond" w:hAnsi="Garamond"/>
          <w:sz w:val="28"/>
          <w:szCs w:val="28"/>
        </w:rPr>
        <w:t xml:space="preserve"> del</w:t>
      </w:r>
      <w:r w:rsidR="00B01990">
        <w:rPr>
          <w:rFonts w:ascii="Garamond" w:hAnsi="Garamond"/>
          <w:sz w:val="28"/>
          <w:szCs w:val="28"/>
        </w:rPr>
        <w:t>lo stesso</w:t>
      </w:r>
      <w:r w:rsidR="00AD485B">
        <w:rPr>
          <w:rFonts w:ascii="Garamond" w:hAnsi="Garamond"/>
          <w:sz w:val="28"/>
          <w:szCs w:val="28"/>
        </w:rPr>
        <w:t xml:space="preserve"> giudice</w:t>
      </w:r>
      <w:r w:rsidR="00C860C5">
        <w:rPr>
          <w:rFonts w:ascii="Garamond" w:hAnsi="Garamond"/>
          <w:sz w:val="28"/>
          <w:szCs w:val="28"/>
        </w:rPr>
        <w:t xml:space="preserve"> amministrativo</w:t>
      </w:r>
      <w:r w:rsidR="00294B03">
        <w:rPr>
          <w:rFonts w:ascii="Garamond" w:hAnsi="Garamond"/>
          <w:sz w:val="28"/>
          <w:szCs w:val="28"/>
        </w:rPr>
        <w:t>, proprio per l’inscindibile legame</w:t>
      </w:r>
      <w:r w:rsidR="004B407F">
        <w:rPr>
          <w:rFonts w:ascii="Garamond" w:hAnsi="Garamond"/>
          <w:sz w:val="28"/>
          <w:szCs w:val="28"/>
        </w:rPr>
        <w:t xml:space="preserve"> tra </w:t>
      </w:r>
      <w:r w:rsidR="00294B03">
        <w:rPr>
          <w:rFonts w:ascii="Garamond" w:hAnsi="Garamond"/>
          <w:sz w:val="28"/>
          <w:szCs w:val="28"/>
        </w:rPr>
        <w:t>l’</w:t>
      </w:r>
      <w:r w:rsidR="004B407F">
        <w:rPr>
          <w:rFonts w:ascii="Garamond" w:hAnsi="Garamond"/>
          <w:sz w:val="28"/>
          <w:szCs w:val="28"/>
        </w:rPr>
        <w:t>autonomia del soggetto</w:t>
      </w:r>
      <w:r w:rsidR="00AD485B">
        <w:rPr>
          <w:rFonts w:ascii="Garamond" w:hAnsi="Garamond"/>
          <w:sz w:val="28"/>
          <w:szCs w:val="28"/>
        </w:rPr>
        <w:t>, nell’esercizio del diritto fondamentale del diritto alla salute,</w:t>
      </w:r>
      <w:r w:rsidR="004B407F">
        <w:rPr>
          <w:rFonts w:ascii="Garamond" w:hAnsi="Garamond"/>
          <w:sz w:val="28"/>
          <w:szCs w:val="28"/>
        </w:rPr>
        <w:t xml:space="preserve"> e </w:t>
      </w:r>
      <w:r w:rsidR="00C860C5">
        <w:rPr>
          <w:rFonts w:ascii="Garamond" w:hAnsi="Garamond"/>
          <w:sz w:val="28"/>
          <w:szCs w:val="28"/>
        </w:rPr>
        <w:t>i limiti posti dall’</w:t>
      </w:r>
      <w:r w:rsidR="00AD485B">
        <w:rPr>
          <w:rFonts w:ascii="Garamond" w:hAnsi="Garamond"/>
          <w:sz w:val="28"/>
          <w:szCs w:val="28"/>
        </w:rPr>
        <w:t>ordinamento</w:t>
      </w:r>
      <w:r w:rsidR="00B01990">
        <w:rPr>
          <w:rFonts w:ascii="Garamond" w:hAnsi="Garamond"/>
          <w:sz w:val="28"/>
          <w:szCs w:val="28"/>
        </w:rPr>
        <w:t xml:space="preserve"> e dal decisore pubblico</w:t>
      </w:r>
      <w:r w:rsidR="00AD485B">
        <w:rPr>
          <w:rFonts w:ascii="Garamond" w:hAnsi="Garamond"/>
          <w:sz w:val="28"/>
          <w:szCs w:val="28"/>
        </w:rPr>
        <w:t xml:space="preserve"> a tutela della salute stessa quale interesse</w:t>
      </w:r>
      <w:r w:rsidR="00B01990">
        <w:rPr>
          <w:rFonts w:ascii="Garamond" w:hAnsi="Garamond"/>
          <w:sz w:val="28"/>
          <w:szCs w:val="28"/>
        </w:rPr>
        <w:t xml:space="preserve"> anche</w:t>
      </w:r>
      <w:r w:rsidR="00AD485B">
        <w:rPr>
          <w:rFonts w:ascii="Garamond" w:hAnsi="Garamond"/>
          <w:sz w:val="28"/>
          <w:szCs w:val="28"/>
        </w:rPr>
        <w:t xml:space="preserve"> della collettività (art. 32 </w:t>
      </w:r>
      <w:proofErr w:type="spellStart"/>
      <w:r w:rsidR="00AD485B">
        <w:rPr>
          <w:rFonts w:ascii="Garamond" w:hAnsi="Garamond"/>
          <w:sz w:val="28"/>
          <w:szCs w:val="28"/>
        </w:rPr>
        <w:t>Cost</w:t>
      </w:r>
      <w:proofErr w:type="spellEnd"/>
      <w:r w:rsidR="00AD485B">
        <w:rPr>
          <w:rFonts w:ascii="Garamond" w:hAnsi="Garamond"/>
          <w:sz w:val="28"/>
          <w:szCs w:val="28"/>
        </w:rPr>
        <w:t>.)</w:t>
      </w:r>
      <w:r w:rsidR="00D47451">
        <w:rPr>
          <w:rStyle w:val="Rimandonotaapidipagina"/>
          <w:rFonts w:ascii="Garamond" w:hAnsi="Garamond"/>
          <w:sz w:val="28"/>
          <w:szCs w:val="28"/>
        </w:rPr>
        <w:footnoteReference w:id="3"/>
      </w:r>
      <w:r w:rsidR="00AD485B">
        <w:rPr>
          <w:rFonts w:ascii="Garamond" w:hAnsi="Garamond"/>
          <w:sz w:val="28"/>
          <w:szCs w:val="28"/>
        </w:rPr>
        <w:t>.</w:t>
      </w:r>
    </w:p>
    <w:p w:rsidR="00C860C5" w:rsidRDefault="00C860C5" w:rsidP="002338B5">
      <w:pPr>
        <w:ind w:firstLine="709"/>
        <w:contextualSpacing/>
        <w:jc w:val="both"/>
        <w:rPr>
          <w:rFonts w:ascii="Garamond" w:hAnsi="Garamond"/>
          <w:sz w:val="28"/>
          <w:szCs w:val="28"/>
        </w:rPr>
      </w:pPr>
      <w:r>
        <w:rPr>
          <w:rFonts w:ascii="Garamond" w:hAnsi="Garamond"/>
          <w:sz w:val="28"/>
          <w:szCs w:val="28"/>
        </w:rPr>
        <w:t>Emerge in tutta la sua v</w:t>
      </w:r>
      <w:r w:rsidR="00572EAF">
        <w:rPr>
          <w:rFonts w:ascii="Garamond" w:hAnsi="Garamond"/>
          <w:sz w:val="28"/>
          <w:szCs w:val="28"/>
        </w:rPr>
        <w:t>iva tensione il</w:t>
      </w:r>
      <w:r>
        <w:rPr>
          <w:rFonts w:ascii="Garamond" w:hAnsi="Garamond"/>
          <w:sz w:val="28"/>
          <w:szCs w:val="28"/>
        </w:rPr>
        <w:t xml:space="preserve"> rapporto tr</w:t>
      </w:r>
      <w:r w:rsidR="00572EAF">
        <w:rPr>
          <w:rFonts w:ascii="Garamond" w:hAnsi="Garamond"/>
          <w:sz w:val="28"/>
          <w:szCs w:val="28"/>
        </w:rPr>
        <w:t>a il potere del soggetto sul sé e sul proprio corpo</w:t>
      </w:r>
      <w:r>
        <w:rPr>
          <w:rFonts w:ascii="Garamond" w:hAnsi="Garamond"/>
          <w:sz w:val="28"/>
          <w:szCs w:val="28"/>
        </w:rPr>
        <w:t xml:space="preserve"> e l’intervento autoritativo del decisore pubblico in materia di diritto alla salute, nella forma del c.d. </w:t>
      </w:r>
      <w:proofErr w:type="spellStart"/>
      <w:r>
        <w:rPr>
          <w:rFonts w:ascii="Garamond" w:hAnsi="Garamond"/>
          <w:i/>
          <w:sz w:val="28"/>
          <w:szCs w:val="28"/>
        </w:rPr>
        <w:t>biopotere</w:t>
      </w:r>
      <w:proofErr w:type="spellEnd"/>
      <w:r>
        <w:rPr>
          <w:rFonts w:ascii="Garamond" w:hAnsi="Garamond"/>
          <w:i/>
          <w:sz w:val="28"/>
          <w:szCs w:val="28"/>
        </w:rPr>
        <w:t>.</w:t>
      </w:r>
    </w:p>
    <w:p w:rsidR="00AD485B" w:rsidRDefault="00567289" w:rsidP="002338B5">
      <w:pPr>
        <w:ind w:firstLine="709"/>
        <w:contextualSpacing/>
        <w:jc w:val="both"/>
        <w:rPr>
          <w:rFonts w:ascii="Garamond" w:hAnsi="Garamond"/>
          <w:sz w:val="28"/>
          <w:szCs w:val="28"/>
        </w:rPr>
      </w:pPr>
      <w:r>
        <w:rPr>
          <w:rFonts w:ascii="Garamond" w:hAnsi="Garamond"/>
          <w:sz w:val="28"/>
          <w:szCs w:val="28"/>
        </w:rPr>
        <w:t>Sarebbe tuttavia quantomeno improprio</w:t>
      </w:r>
      <w:r w:rsidR="00AD485B">
        <w:rPr>
          <w:rFonts w:ascii="Garamond" w:hAnsi="Garamond"/>
          <w:sz w:val="28"/>
          <w:szCs w:val="28"/>
        </w:rPr>
        <w:t xml:space="preserve"> impostare la questione nei termini</w:t>
      </w:r>
      <w:r>
        <w:rPr>
          <w:rFonts w:ascii="Garamond" w:hAnsi="Garamond"/>
          <w:sz w:val="28"/>
          <w:szCs w:val="28"/>
        </w:rPr>
        <w:t>, secchi e tradizionali,</w:t>
      </w:r>
      <w:r w:rsidR="00AD485B">
        <w:rPr>
          <w:rFonts w:ascii="Garamond" w:hAnsi="Garamond"/>
          <w:sz w:val="28"/>
          <w:szCs w:val="28"/>
        </w:rPr>
        <w:t xml:space="preserve"> di una </w:t>
      </w:r>
      <w:r>
        <w:rPr>
          <w:rFonts w:ascii="Garamond" w:hAnsi="Garamond"/>
          <w:sz w:val="28"/>
          <w:szCs w:val="28"/>
        </w:rPr>
        <w:t xml:space="preserve">frontale </w:t>
      </w:r>
      <w:r w:rsidR="00AD485B">
        <w:rPr>
          <w:rFonts w:ascii="Garamond" w:hAnsi="Garamond"/>
          <w:sz w:val="28"/>
          <w:szCs w:val="28"/>
        </w:rPr>
        <w:t xml:space="preserve">contrapposizione tra </w:t>
      </w:r>
      <w:r w:rsidR="00AD485B">
        <w:rPr>
          <w:rFonts w:ascii="Garamond" w:hAnsi="Garamond"/>
          <w:i/>
          <w:sz w:val="28"/>
          <w:szCs w:val="28"/>
        </w:rPr>
        <w:t>potere dell’io</w:t>
      </w:r>
      <w:r w:rsidR="00AD485B">
        <w:rPr>
          <w:rFonts w:ascii="Garamond" w:hAnsi="Garamond"/>
          <w:sz w:val="28"/>
          <w:szCs w:val="28"/>
        </w:rPr>
        <w:t xml:space="preserve"> e </w:t>
      </w:r>
      <w:proofErr w:type="spellStart"/>
      <w:r w:rsidR="00AD485B">
        <w:rPr>
          <w:rFonts w:ascii="Garamond" w:hAnsi="Garamond"/>
          <w:i/>
          <w:sz w:val="28"/>
          <w:szCs w:val="28"/>
        </w:rPr>
        <w:t>biopotere</w:t>
      </w:r>
      <w:proofErr w:type="spellEnd"/>
      <w:r w:rsidR="00D31D9D">
        <w:rPr>
          <w:rFonts w:ascii="Garamond" w:hAnsi="Garamond"/>
          <w:sz w:val="28"/>
          <w:szCs w:val="28"/>
        </w:rPr>
        <w:t>, tra un diritto mite, gentile, fatto di principi, per usare una celebre espressione, e un diritto ferreo, inflessibile, fatto di imposizioni,</w:t>
      </w:r>
      <w:r w:rsidR="007862EA">
        <w:rPr>
          <w:rFonts w:ascii="Garamond" w:hAnsi="Garamond"/>
          <w:sz w:val="28"/>
          <w:szCs w:val="28"/>
        </w:rPr>
        <w:t xml:space="preserve"> e non iniziare invece a le</w:t>
      </w:r>
      <w:r w:rsidR="00D52677">
        <w:rPr>
          <w:rFonts w:ascii="Garamond" w:hAnsi="Garamond"/>
          <w:sz w:val="28"/>
          <w:szCs w:val="28"/>
        </w:rPr>
        <w:t>ggerla</w:t>
      </w:r>
      <w:r w:rsidR="007862EA">
        <w:rPr>
          <w:rFonts w:ascii="Garamond" w:hAnsi="Garamond"/>
          <w:sz w:val="28"/>
          <w:szCs w:val="28"/>
        </w:rPr>
        <w:t xml:space="preserve"> nei termini anche essi non nuovi, ma quanto mai necessari perché</w:t>
      </w:r>
      <w:r w:rsidR="00AD485B">
        <w:rPr>
          <w:rFonts w:ascii="Garamond" w:hAnsi="Garamond"/>
          <w:sz w:val="28"/>
          <w:szCs w:val="28"/>
        </w:rPr>
        <w:t xml:space="preserve"> costituzionalmente obbligati, del </w:t>
      </w:r>
      <w:r w:rsidR="00AD485B" w:rsidRPr="00D47451">
        <w:rPr>
          <w:rFonts w:ascii="Garamond" w:hAnsi="Garamond"/>
          <w:i/>
          <w:sz w:val="28"/>
          <w:szCs w:val="28"/>
        </w:rPr>
        <w:t>rapporto tra principio personalistico e principio solidaristico</w:t>
      </w:r>
      <w:r w:rsidR="00572EAF">
        <w:rPr>
          <w:rFonts w:ascii="Garamond" w:hAnsi="Garamond"/>
          <w:sz w:val="28"/>
          <w:szCs w:val="28"/>
        </w:rPr>
        <w:t xml:space="preserve"> compendiati, come si vedrà</w:t>
      </w:r>
      <w:r w:rsidR="00D31D9D">
        <w:rPr>
          <w:rFonts w:ascii="Garamond" w:hAnsi="Garamond"/>
          <w:sz w:val="28"/>
          <w:szCs w:val="28"/>
        </w:rPr>
        <w:t>, nel supremo valore della dignità umana spettante ad ogni singola, specifica, concreta, persona.</w:t>
      </w:r>
    </w:p>
    <w:p w:rsidR="00572EAF" w:rsidRDefault="00572EAF" w:rsidP="002338B5">
      <w:pPr>
        <w:ind w:firstLine="709"/>
        <w:contextualSpacing/>
        <w:jc w:val="both"/>
        <w:rPr>
          <w:rFonts w:ascii="Garamond" w:hAnsi="Garamond"/>
          <w:sz w:val="28"/>
          <w:szCs w:val="28"/>
        </w:rPr>
      </w:pPr>
      <w:r>
        <w:rPr>
          <w:rFonts w:ascii="Garamond" w:hAnsi="Garamond"/>
          <w:sz w:val="28"/>
          <w:szCs w:val="28"/>
        </w:rPr>
        <w:t>Ancor prima che sbocci</w:t>
      </w:r>
      <w:r w:rsidR="00D52677">
        <w:rPr>
          <w:rFonts w:ascii="Garamond" w:hAnsi="Garamond"/>
          <w:sz w:val="28"/>
          <w:szCs w:val="28"/>
        </w:rPr>
        <w:t>asse</w:t>
      </w:r>
      <w:r>
        <w:rPr>
          <w:rFonts w:ascii="Garamond" w:hAnsi="Garamond"/>
          <w:sz w:val="28"/>
          <w:szCs w:val="28"/>
        </w:rPr>
        <w:t xml:space="preserve"> «</w:t>
      </w:r>
      <w:r>
        <w:rPr>
          <w:rFonts w:ascii="Garamond" w:hAnsi="Garamond"/>
          <w:i/>
          <w:sz w:val="28"/>
          <w:szCs w:val="28"/>
        </w:rPr>
        <w:t>la stagione costituzionale dei diritti sociali</w:t>
      </w:r>
      <w:r>
        <w:rPr>
          <w:rFonts w:ascii="Garamond" w:hAnsi="Garamond"/>
          <w:sz w:val="28"/>
          <w:szCs w:val="28"/>
        </w:rPr>
        <w:t>», come è stato bene osservato, le più frequenti re</w:t>
      </w:r>
      <w:r w:rsidR="00D52677">
        <w:rPr>
          <w:rFonts w:ascii="Garamond" w:hAnsi="Garamond"/>
          <w:sz w:val="28"/>
          <w:szCs w:val="28"/>
        </w:rPr>
        <w:t>lazioni Stato/cittadino non erano già</w:t>
      </w:r>
      <w:r>
        <w:rPr>
          <w:rFonts w:ascii="Garamond" w:hAnsi="Garamond"/>
          <w:sz w:val="28"/>
          <w:szCs w:val="28"/>
        </w:rPr>
        <w:t xml:space="preserve"> più quelle del tipo autorità/libertà, ma «</w:t>
      </w:r>
      <w:r w:rsidRPr="00572EAF">
        <w:rPr>
          <w:rFonts w:ascii="Garamond" w:hAnsi="Garamond"/>
          <w:i/>
          <w:sz w:val="28"/>
          <w:szCs w:val="28"/>
        </w:rPr>
        <w:t>quelle prestazionali</w:t>
      </w:r>
      <w:r>
        <w:rPr>
          <w:rFonts w:ascii="Garamond" w:hAnsi="Garamond"/>
          <w:sz w:val="28"/>
          <w:szCs w:val="28"/>
        </w:rPr>
        <w:t>»</w:t>
      </w:r>
      <w:r w:rsidR="00F7460A">
        <w:rPr>
          <w:rStyle w:val="Rimandonotaapidipagina"/>
          <w:rFonts w:ascii="Garamond" w:hAnsi="Garamond"/>
          <w:sz w:val="28"/>
          <w:szCs w:val="28"/>
        </w:rPr>
        <w:footnoteReference w:id="4"/>
      </w:r>
      <w:r w:rsidR="00D52677">
        <w:rPr>
          <w:rFonts w:ascii="Garamond" w:hAnsi="Garamond"/>
          <w:sz w:val="28"/>
          <w:szCs w:val="28"/>
        </w:rPr>
        <w:t>, in cui la pubblica a</w:t>
      </w:r>
      <w:r w:rsidR="00B01990">
        <w:rPr>
          <w:rFonts w:ascii="Garamond" w:hAnsi="Garamond"/>
          <w:sz w:val="28"/>
          <w:szCs w:val="28"/>
        </w:rPr>
        <w:t>mministrazione non rivendica solo</w:t>
      </w:r>
      <w:r w:rsidR="00D52677">
        <w:rPr>
          <w:rFonts w:ascii="Garamond" w:hAnsi="Garamond"/>
          <w:sz w:val="28"/>
          <w:szCs w:val="28"/>
        </w:rPr>
        <w:t xml:space="preserve"> poteri</w:t>
      </w:r>
      <w:r w:rsidR="00B01990">
        <w:rPr>
          <w:rFonts w:ascii="Garamond" w:hAnsi="Garamond"/>
          <w:sz w:val="28"/>
          <w:szCs w:val="28"/>
        </w:rPr>
        <w:t>,</w:t>
      </w:r>
      <w:r w:rsidR="00D52677">
        <w:rPr>
          <w:rFonts w:ascii="Garamond" w:hAnsi="Garamond"/>
          <w:sz w:val="28"/>
          <w:szCs w:val="28"/>
        </w:rPr>
        <w:t xml:space="preserve"> pur necessari, ma adempie obblighi essenziali nei confronti dei cittadini.</w:t>
      </w:r>
    </w:p>
    <w:p w:rsidR="00D52677" w:rsidRDefault="00D52677" w:rsidP="002338B5">
      <w:pPr>
        <w:ind w:firstLine="709"/>
        <w:contextualSpacing/>
        <w:jc w:val="both"/>
        <w:rPr>
          <w:rFonts w:ascii="Garamond" w:hAnsi="Garamond"/>
          <w:sz w:val="28"/>
          <w:szCs w:val="28"/>
        </w:rPr>
      </w:pPr>
      <w:r>
        <w:rPr>
          <w:rFonts w:ascii="Garamond" w:hAnsi="Garamond"/>
          <w:sz w:val="28"/>
          <w:szCs w:val="28"/>
        </w:rPr>
        <w:t>Ma la stagione costituzionale dei diritti sociali è ora sbocciata e conosce negli ultimi anni una grande fioritura normativa, come la più recente legislazione in materia sanitaria dimostra, a partire dalla già citata l. n. 219 del 2017.</w:t>
      </w:r>
    </w:p>
    <w:p w:rsidR="00572EAF" w:rsidRPr="00572EAF" w:rsidRDefault="00D6195F" w:rsidP="002338B5">
      <w:pPr>
        <w:ind w:firstLine="709"/>
        <w:contextualSpacing/>
        <w:jc w:val="both"/>
        <w:rPr>
          <w:rFonts w:ascii="Garamond" w:hAnsi="Garamond"/>
          <w:sz w:val="28"/>
          <w:szCs w:val="28"/>
        </w:rPr>
      </w:pPr>
      <w:r>
        <w:rPr>
          <w:rFonts w:ascii="Garamond" w:hAnsi="Garamond"/>
          <w:sz w:val="28"/>
          <w:szCs w:val="28"/>
        </w:rPr>
        <w:lastRenderedPageBreak/>
        <w:t>N</w:t>
      </w:r>
      <w:r w:rsidR="00572EAF">
        <w:rPr>
          <w:rFonts w:ascii="Garamond" w:hAnsi="Garamond"/>
          <w:sz w:val="28"/>
          <w:szCs w:val="28"/>
        </w:rPr>
        <w:t>ell</w:t>
      </w:r>
      <w:r>
        <w:rPr>
          <w:rFonts w:ascii="Garamond" w:hAnsi="Garamond"/>
          <w:sz w:val="28"/>
          <w:szCs w:val="28"/>
        </w:rPr>
        <w:t>a din</w:t>
      </w:r>
      <w:r w:rsidR="00FB2772">
        <w:rPr>
          <w:rFonts w:ascii="Garamond" w:hAnsi="Garamond"/>
          <w:sz w:val="28"/>
          <w:szCs w:val="28"/>
        </w:rPr>
        <w:t>amica prestazionale, tipico</w:t>
      </w:r>
      <w:r w:rsidR="00572EAF">
        <w:rPr>
          <w:rFonts w:ascii="Garamond" w:hAnsi="Garamond"/>
          <w:sz w:val="28"/>
          <w:szCs w:val="28"/>
        </w:rPr>
        <w:t xml:space="preserve"> dei diritti sociali e, in particolare, del diritto alla</w:t>
      </w:r>
      <w:r w:rsidR="00FB2772">
        <w:rPr>
          <w:rFonts w:ascii="Garamond" w:hAnsi="Garamond"/>
          <w:sz w:val="28"/>
          <w:szCs w:val="28"/>
        </w:rPr>
        <w:t xml:space="preserve"> salute, a venire in rilievo</w:t>
      </w:r>
      <w:r>
        <w:rPr>
          <w:rFonts w:ascii="Garamond" w:hAnsi="Garamond"/>
          <w:sz w:val="28"/>
          <w:szCs w:val="28"/>
        </w:rPr>
        <w:t xml:space="preserve"> è anzitutto, e per definizione, un</w:t>
      </w:r>
      <w:r w:rsidR="00572EAF">
        <w:rPr>
          <w:rFonts w:ascii="Garamond" w:hAnsi="Garamond"/>
          <w:sz w:val="28"/>
          <w:szCs w:val="28"/>
        </w:rPr>
        <w:t xml:space="preserve"> profilo relazionale, è la persona, nella sua individualità, nella sua complessità, nella sua tot</w:t>
      </w:r>
      <w:r w:rsidR="00A113DA">
        <w:rPr>
          <w:rFonts w:ascii="Garamond" w:hAnsi="Garamond"/>
          <w:sz w:val="28"/>
          <w:szCs w:val="28"/>
        </w:rPr>
        <w:t>al</w:t>
      </w:r>
      <w:r w:rsidR="00CB7FE9">
        <w:rPr>
          <w:rFonts w:ascii="Garamond" w:hAnsi="Garamond"/>
          <w:sz w:val="28"/>
          <w:szCs w:val="28"/>
        </w:rPr>
        <w:t>ità, ad essere</w:t>
      </w:r>
      <w:r w:rsidR="00FB2772">
        <w:rPr>
          <w:rFonts w:ascii="Garamond" w:hAnsi="Garamond"/>
          <w:sz w:val="28"/>
          <w:szCs w:val="28"/>
        </w:rPr>
        <w:t xml:space="preserve"> in discussione, ben al di là del binomio diritto/dovere, autorità/consenso</w:t>
      </w:r>
      <w:r w:rsidR="00D52677">
        <w:rPr>
          <w:rFonts w:ascii="Garamond" w:hAnsi="Garamond"/>
          <w:sz w:val="28"/>
          <w:szCs w:val="28"/>
        </w:rPr>
        <w:t>, ciò che</w:t>
      </w:r>
      <w:r w:rsidR="00A113DA">
        <w:rPr>
          <w:rFonts w:ascii="Garamond" w:hAnsi="Garamond"/>
          <w:sz w:val="28"/>
          <w:szCs w:val="28"/>
        </w:rPr>
        <w:t xml:space="preserve"> una moderna visione del diritto amministrativo, orientato al rispetto e all’attuazi</w:t>
      </w:r>
      <w:r w:rsidR="00D52677">
        <w:rPr>
          <w:rFonts w:ascii="Garamond" w:hAnsi="Garamond"/>
          <w:sz w:val="28"/>
          <w:szCs w:val="28"/>
        </w:rPr>
        <w:t>one dei principî costituzionali, non può più ignorare come non può non ignorare, e non ignora, il giudice amministrativo.</w:t>
      </w:r>
    </w:p>
    <w:p w:rsidR="00DF24CA" w:rsidRDefault="00B01990" w:rsidP="002338B5">
      <w:pPr>
        <w:ind w:firstLine="709"/>
        <w:contextualSpacing/>
        <w:jc w:val="both"/>
        <w:rPr>
          <w:rFonts w:ascii="Garamond" w:hAnsi="Garamond"/>
          <w:sz w:val="28"/>
          <w:szCs w:val="28"/>
        </w:rPr>
      </w:pPr>
      <w:r>
        <w:rPr>
          <w:rFonts w:ascii="Garamond" w:hAnsi="Garamond"/>
          <w:sz w:val="28"/>
          <w:szCs w:val="28"/>
        </w:rPr>
        <w:t>Il</w:t>
      </w:r>
      <w:r w:rsidR="00DF24CA">
        <w:rPr>
          <w:rFonts w:ascii="Garamond" w:hAnsi="Garamond"/>
          <w:sz w:val="28"/>
          <w:szCs w:val="28"/>
        </w:rPr>
        <w:t xml:space="preserve"> Consiglio di Stato</w:t>
      </w:r>
      <w:r w:rsidR="00294B03">
        <w:rPr>
          <w:rFonts w:ascii="Garamond" w:hAnsi="Garamond"/>
          <w:sz w:val="28"/>
          <w:szCs w:val="28"/>
        </w:rPr>
        <w:t>, in particolar modo,</w:t>
      </w:r>
      <w:r w:rsidR="00DF24CA">
        <w:rPr>
          <w:rFonts w:ascii="Garamond" w:hAnsi="Garamond"/>
          <w:sz w:val="28"/>
          <w:szCs w:val="28"/>
        </w:rPr>
        <w:t xml:space="preserve"> si </w:t>
      </w:r>
      <w:r w:rsidR="00294B03">
        <w:rPr>
          <w:rFonts w:ascii="Garamond" w:hAnsi="Garamond"/>
          <w:sz w:val="28"/>
          <w:szCs w:val="28"/>
        </w:rPr>
        <w:t xml:space="preserve">è </w:t>
      </w:r>
      <w:r w:rsidR="00DF24CA">
        <w:rPr>
          <w:rFonts w:ascii="Garamond" w:hAnsi="Garamond"/>
          <w:sz w:val="28"/>
          <w:szCs w:val="28"/>
        </w:rPr>
        <w:t>occupa</w:t>
      </w:r>
      <w:r w:rsidR="00294B03">
        <w:rPr>
          <w:rFonts w:ascii="Garamond" w:hAnsi="Garamond"/>
          <w:sz w:val="28"/>
          <w:szCs w:val="28"/>
        </w:rPr>
        <w:t>to recentemente</w:t>
      </w:r>
      <w:r w:rsidR="00DF24CA">
        <w:rPr>
          <w:rFonts w:ascii="Garamond" w:hAnsi="Garamond"/>
          <w:sz w:val="28"/>
          <w:szCs w:val="28"/>
        </w:rPr>
        <w:t xml:space="preserve"> di questi</w:t>
      </w:r>
      <w:r w:rsidR="00572EAF">
        <w:rPr>
          <w:rFonts w:ascii="Garamond" w:hAnsi="Garamond"/>
          <w:sz w:val="28"/>
          <w:szCs w:val="28"/>
        </w:rPr>
        <w:t xml:space="preserve"> delicati</w:t>
      </w:r>
      <w:r w:rsidR="00DF24CA">
        <w:rPr>
          <w:rFonts w:ascii="Garamond" w:hAnsi="Garamond"/>
          <w:sz w:val="28"/>
          <w:szCs w:val="28"/>
        </w:rPr>
        <w:t xml:space="preserve"> temi sia in sede consultiv</w:t>
      </w:r>
      <w:r w:rsidR="00294B03">
        <w:rPr>
          <w:rFonts w:ascii="Garamond" w:hAnsi="Garamond"/>
          <w:sz w:val="28"/>
          <w:szCs w:val="28"/>
        </w:rPr>
        <w:t>a che in sede giurisdizionale.</w:t>
      </w:r>
    </w:p>
    <w:p w:rsidR="00421937" w:rsidRPr="00DF24CA" w:rsidRDefault="00421937" w:rsidP="002338B5">
      <w:pPr>
        <w:ind w:firstLine="709"/>
        <w:contextualSpacing/>
        <w:jc w:val="both"/>
        <w:rPr>
          <w:rFonts w:ascii="Garamond" w:hAnsi="Garamond"/>
          <w:sz w:val="28"/>
          <w:szCs w:val="28"/>
        </w:rPr>
      </w:pPr>
      <w:r>
        <w:rPr>
          <w:rFonts w:ascii="Garamond" w:hAnsi="Garamond"/>
          <w:sz w:val="28"/>
          <w:szCs w:val="28"/>
        </w:rPr>
        <w:t>E proprio dall’attività consultiva del Consiglio di Stato</w:t>
      </w:r>
      <w:r w:rsidR="00112CEE">
        <w:rPr>
          <w:rFonts w:ascii="Garamond" w:hAnsi="Garamond"/>
          <w:sz w:val="28"/>
          <w:szCs w:val="28"/>
        </w:rPr>
        <w:t>, tanto rilevante sul piano dell’interesse generale e dello Stato-comunità</w:t>
      </w:r>
      <w:r w:rsidR="004B407F">
        <w:rPr>
          <w:rFonts w:ascii="Garamond" w:hAnsi="Garamond"/>
          <w:sz w:val="28"/>
          <w:szCs w:val="28"/>
        </w:rPr>
        <w:t xml:space="preserve"> anche in questa delicata materia</w:t>
      </w:r>
      <w:r w:rsidR="00112CEE">
        <w:rPr>
          <w:rFonts w:ascii="Garamond" w:hAnsi="Garamond"/>
          <w:sz w:val="28"/>
          <w:szCs w:val="28"/>
        </w:rPr>
        <w:t>,</w:t>
      </w:r>
      <w:r w:rsidR="00243FCD">
        <w:rPr>
          <w:rFonts w:ascii="Garamond" w:hAnsi="Garamond"/>
          <w:sz w:val="28"/>
          <w:szCs w:val="28"/>
        </w:rPr>
        <w:t xml:space="preserve"> si possono prendere le mosse in questa breve analisi di problematiche così complesse.</w:t>
      </w:r>
    </w:p>
    <w:p w:rsidR="00112CEE" w:rsidRDefault="00813D8A" w:rsidP="002338B5">
      <w:pPr>
        <w:ind w:firstLine="709"/>
        <w:contextualSpacing/>
        <w:jc w:val="both"/>
        <w:rPr>
          <w:rFonts w:ascii="Garamond" w:hAnsi="Garamond"/>
          <w:sz w:val="28"/>
          <w:szCs w:val="28"/>
        </w:rPr>
      </w:pPr>
      <w:r>
        <w:rPr>
          <w:rFonts w:ascii="Garamond" w:hAnsi="Garamond"/>
          <w:sz w:val="28"/>
          <w:szCs w:val="28"/>
        </w:rPr>
        <w:t>Occorre anzitutto</w:t>
      </w:r>
      <w:r w:rsidR="00294B03">
        <w:rPr>
          <w:rFonts w:ascii="Garamond" w:hAnsi="Garamond"/>
          <w:sz w:val="28"/>
          <w:szCs w:val="28"/>
        </w:rPr>
        <w:t xml:space="preserve"> menzionare</w:t>
      </w:r>
      <w:r>
        <w:rPr>
          <w:rFonts w:ascii="Garamond" w:hAnsi="Garamond"/>
          <w:sz w:val="28"/>
          <w:szCs w:val="28"/>
        </w:rPr>
        <w:t xml:space="preserve"> ed esaminare</w:t>
      </w:r>
      <w:r w:rsidR="00112CEE">
        <w:rPr>
          <w:rFonts w:ascii="Garamond" w:hAnsi="Garamond"/>
          <w:sz w:val="28"/>
          <w:szCs w:val="28"/>
        </w:rPr>
        <w:t xml:space="preserve"> il</w:t>
      </w:r>
      <w:r w:rsidR="00E021B3">
        <w:rPr>
          <w:rFonts w:ascii="Garamond" w:hAnsi="Garamond"/>
          <w:sz w:val="28"/>
          <w:szCs w:val="28"/>
        </w:rPr>
        <w:t xml:space="preserve"> parere n. 1991 del 31 luglio 2018, reso sui requisiti formulati dal Ministero della Salute sulla prevista istituzione, ai sensi dell’art. 1, comma 418, della l. n. 205 del 2017, della Banca dati nazionale destinata alla registrazione delle disposi</w:t>
      </w:r>
      <w:r w:rsidR="00112CEE">
        <w:rPr>
          <w:rFonts w:ascii="Garamond" w:hAnsi="Garamond"/>
          <w:sz w:val="28"/>
          <w:szCs w:val="28"/>
        </w:rPr>
        <w:t>zioni anticipate di trattamento.</w:t>
      </w:r>
    </w:p>
    <w:p w:rsidR="002338B5" w:rsidRDefault="00112CEE" w:rsidP="002338B5">
      <w:pPr>
        <w:ind w:firstLine="709"/>
        <w:contextualSpacing/>
        <w:jc w:val="both"/>
        <w:rPr>
          <w:rFonts w:ascii="Garamond" w:hAnsi="Garamond"/>
          <w:sz w:val="28"/>
          <w:szCs w:val="28"/>
        </w:rPr>
      </w:pPr>
      <w:r>
        <w:rPr>
          <w:rFonts w:ascii="Garamond" w:hAnsi="Garamond"/>
          <w:sz w:val="28"/>
          <w:szCs w:val="28"/>
        </w:rPr>
        <w:t>In questo parere</w:t>
      </w:r>
      <w:r w:rsidR="008252CB">
        <w:rPr>
          <w:rFonts w:ascii="Garamond" w:hAnsi="Garamond"/>
          <w:sz w:val="28"/>
          <w:szCs w:val="28"/>
        </w:rPr>
        <w:t xml:space="preserve"> la c</w:t>
      </w:r>
      <w:r w:rsidR="002338B5">
        <w:rPr>
          <w:rFonts w:ascii="Garamond" w:hAnsi="Garamond"/>
          <w:sz w:val="28"/>
          <w:szCs w:val="28"/>
        </w:rPr>
        <w:t>ommissione speciale del Consiglio di Stato</w:t>
      </w:r>
      <w:r w:rsidR="00567289">
        <w:rPr>
          <w:rFonts w:ascii="Garamond" w:hAnsi="Garamond"/>
          <w:sz w:val="28"/>
          <w:szCs w:val="28"/>
        </w:rPr>
        <w:t>, in un essenziale inquadramento della materia,</w:t>
      </w:r>
      <w:r w:rsidR="002338B5">
        <w:rPr>
          <w:rFonts w:ascii="Garamond" w:hAnsi="Garamond"/>
          <w:sz w:val="28"/>
          <w:szCs w:val="28"/>
        </w:rPr>
        <w:t xml:space="preserve"> ha rilevato che </w:t>
      </w:r>
      <w:r w:rsidR="00E021B3">
        <w:rPr>
          <w:rFonts w:ascii="Garamond" w:hAnsi="Garamond"/>
          <w:sz w:val="28"/>
          <w:szCs w:val="28"/>
        </w:rPr>
        <w:t xml:space="preserve">il concetto di salute, oggi, non è più inteso esclusivamente </w:t>
      </w:r>
      <w:r w:rsidR="00B83BA5">
        <w:rPr>
          <w:rFonts w:ascii="Garamond" w:hAnsi="Garamond"/>
          <w:sz w:val="28"/>
          <w:szCs w:val="28"/>
        </w:rPr>
        <w:t>«</w:t>
      </w:r>
      <w:r w:rsidR="00B83BA5">
        <w:rPr>
          <w:rFonts w:ascii="Garamond" w:hAnsi="Garamond"/>
          <w:i/>
          <w:sz w:val="28"/>
          <w:szCs w:val="28"/>
        </w:rPr>
        <w:t>come antitesi del concetto di malattia, ma assume, come rilevato dalla Corte di Cassazione, il significato più ampio di stato di completo benessere psico-fisico, parametrato e calibrato anche, e soprattutto, in relazione alla percezione che ciascuno ha di sé, alle proprie concezioni di identità e dignità, nonché con un’idea della persona non accolta apoditticamente in astratto, bensì valutata giuridicamente nelle sue reali e concrete sfumature</w:t>
      </w:r>
      <w:r w:rsidR="00B83BA5">
        <w:rPr>
          <w:rFonts w:ascii="Garamond" w:hAnsi="Garamond"/>
          <w:sz w:val="28"/>
          <w:szCs w:val="28"/>
        </w:rPr>
        <w:t>»</w:t>
      </w:r>
      <w:r w:rsidR="00B83BA5">
        <w:rPr>
          <w:rStyle w:val="Rimandonotaapidipagina"/>
          <w:rFonts w:ascii="Garamond" w:hAnsi="Garamond"/>
          <w:sz w:val="28"/>
          <w:szCs w:val="28"/>
        </w:rPr>
        <w:footnoteReference w:id="5"/>
      </w:r>
      <w:r w:rsidR="00F7668D">
        <w:rPr>
          <w:rFonts w:ascii="Garamond" w:hAnsi="Garamond"/>
          <w:sz w:val="28"/>
          <w:szCs w:val="28"/>
        </w:rPr>
        <w:t>.</w:t>
      </w:r>
    </w:p>
    <w:p w:rsidR="00F7668D" w:rsidRDefault="00F7668D" w:rsidP="002338B5">
      <w:pPr>
        <w:ind w:firstLine="709"/>
        <w:contextualSpacing/>
        <w:jc w:val="both"/>
        <w:rPr>
          <w:rFonts w:ascii="Garamond" w:hAnsi="Garamond"/>
          <w:sz w:val="28"/>
          <w:szCs w:val="28"/>
        </w:rPr>
      </w:pPr>
      <w:r>
        <w:rPr>
          <w:rFonts w:ascii="Garamond" w:hAnsi="Garamond"/>
          <w:sz w:val="28"/>
          <w:szCs w:val="28"/>
        </w:rPr>
        <w:t xml:space="preserve">Il Consiglio di Stato ricorda che il diritto alla salute, in linea di principio, è rimesso all’autodeterminazione del suo titolare e che i trattamenti sanitari sono liberi e che, in base all’art. 32, comma secondo, </w:t>
      </w:r>
      <w:proofErr w:type="spellStart"/>
      <w:proofErr w:type="gramStart"/>
      <w:r>
        <w:rPr>
          <w:rFonts w:ascii="Garamond" w:hAnsi="Garamond"/>
          <w:sz w:val="28"/>
          <w:szCs w:val="28"/>
        </w:rPr>
        <w:t>Cost</w:t>
      </w:r>
      <w:proofErr w:type="spellEnd"/>
      <w:r>
        <w:rPr>
          <w:rFonts w:ascii="Garamond" w:hAnsi="Garamond"/>
          <w:sz w:val="28"/>
          <w:szCs w:val="28"/>
        </w:rPr>
        <w:t>.,</w:t>
      </w:r>
      <w:proofErr w:type="gramEnd"/>
      <w:r>
        <w:rPr>
          <w:rFonts w:ascii="Garamond" w:hAnsi="Garamond"/>
          <w:sz w:val="28"/>
          <w:szCs w:val="28"/>
        </w:rPr>
        <w:t xml:space="preserve"> nessuno può essere obbligato ad un determinato trattamento sanitario, se non nei casi stabiliti dalla legge.</w:t>
      </w:r>
    </w:p>
    <w:p w:rsidR="00567289" w:rsidRPr="00567289" w:rsidRDefault="00567289" w:rsidP="002338B5">
      <w:pPr>
        <w:ind w:firstLine="709"/>
        <w:contextualSpacing/>
        <w:jc w:val="both"/>
        <w:rPr>
          <w:rFonts w:ascii="Garamond" w:hAnsi="Garamond"/>
          <w:i/>
          <w:sz w:val="28"/>
          <w:szCs w:val="28"/>
        </w:rPr>
      </w:pPr>
      <w:r>
        <w:rPr>
          <w:rFonts w:ascii="Garamond" w:hAnsi="Garamond"/>
          <w:sz w:val="28"/>
          <w:szCs w:val="28"/>
        </w:rPr>
        <w:t>I trattamenti sanitari obbligatori</w:t>
      </w:r>
      <w:r w:rsidR="00243FCD">
        <w:rPr>
          <w:rFonts w:ascii="Garamond" w:hAnsi="Garamond"/>
          <w:sz w:val="28"/>
          <w:szCs w:val="28"/>
        </w:rPr>
        <w:t xml:space="preserve"> espressamente previsti dalla legge</w:t>
      </w:r>
      <w:r>
        <w:rPr>
          <w:rFonts w:ascii="Garamond" w:hAnsi="Garamond"/>
          <w:sz w:val="28"/>
          <w:szCs w:val="28"/>
        </w:rPr>
        <w:t xml:space="preserve"> rappresentano, dunque, l’eccezione rispetto alla </w:t>
      </w:r>
      <w:r w:rsidR="00243FCD">
        <w:rPr>
          <w:rFonts w:ascii="Garamond" w:hAnsi="Garamond"/>
          <w:i/>
          <w:sz w:val="28"/>
          <w:szCs w:val="28"/>
        </w:rPr>
        <w:t xml:space="preserve">libertà di cura e, </w:t>
      </w:r>
      <w:r w:rsidR="00243FCD" w:rsidRPr="00D47451">
        <w:rPr>
          <w:rFonts w:ascii="Garamond" w:hAnsi="Garamond"/>
          <w:sz w:val="28"/>
          <w:szCs w:val="28"/>
        </w:rPr>
        <w:t>ora</w:t>
      </w:r>
      <w:r w:rsidR="00243FCD">
        <w:rPr>
          <w:rFonts w:ascii="Garamond" w:hAnsi="Garamond"/>
          <w:i/>
          <w:sz w:val="28"/>
          <w:szCs w:val="28"/>
        </w:rPr>
        <w:t>, di non cura.</w:t>
      </w:r>
    </w:p>
    <w:p w:rsidR="00F7668D" w:rsidRDefault="00B906EF" w:rsidP="002338B5">
      <w:pPr>
        <w:ind w:firstLine="709"/>
        <w:contextualSpacing/>
        <w:jc w:val="both"/>
        <w:rPr>
          <w:rFonts w:ascii="Garamond" w:hAnsi="Garamond"/>
          <w:sz w:val="28"/>
          <w:szCs w:val="28"/>
        </w:rPr>
      </w:pPr>
      <w:r>
        <w:rPr>
          <w:rFonts w:ascii="Garamond" w:hAnsi="Garamond"/>
          <w:sz w:val="28"/>
          <w:szCs w:val="28"/>
        </w:rPr>
        <w:t>Lo strumento – rileva an</w:t>
      </w:r>
      <w:r w:rsidR="008252CB">
        <w:rPr>
          <w:rFonts w:ascii="Garamond" w:hAnsi="Garamond"/>
          <w:sz w:val="28"/>
          <w:szCs w:val="28"/>
        </w:rPr>
        <w:t>cora la c</w:t>
      </w:r>
      <w:r>
        <w:rPr>
          <w:rFonts w:ascii="Garamond" w:hAnsi="Garamond"/>
          <w:sz w:val="28"/>
          <w:szCs w:val="28"/>
        </w:rPr>
        <w:t>ommissione speciale – attraverso il quale il diritto alla salute si concilia con il diritto alla libertà di autodeterminazione è il consenso informato</w:t>
      </w:r>
      <w:r w:rsidR="005F5C8D">
        <w:rPr>
          <w:rFonts w:ascii="Garamond" w:hAnsi="Garamond"/>
          <w:sz w:val="28"/>
          <w:szCs w:val="28"/>
        </w:rPr>
        <w:t xml:space="preserve"> e, per prestare un consenso pienamente informato, l’interessato, capace di intendere e di volere, deve essere messo a conoscenza della patologia da cui è affetto, dei possibili effetti della malattia stessa, delle diverse opportunità terapeutiche e anche delle conseguenze e dei rischi di eventuali interventi terapeutici</w:t>
      </w:r>
      <w:r w:rsidR="00A45048">
        <w:rPr>
          <w:rStyle w:val="Rimandonotaapidipagina"/>
          <w:rFonts w:ascii="Garamond" w:hAnsi="Garamond"/>
          <w:sz w:val="28"/>
          <w:szCs w:val="28"/>
        </w:rPr>
        <w:footnoteReference w:id="6"/>
      </w:r>
      <w:r w:rsidR="005F5C8D">
        <w:rPr>
          <w:rFonts w:ascii="Garamond" w:hAnsi="Garamond"/>
          <w:sz w:val="28"/>
          <w:szCs w:val="28"/>
        </w:rPr>
        <w:t>.</w:t>
      </w:r>
    </w:p>
    <w:p w:rsidR="00D94CCB" w:rsidRDefault="003B73FC" w:rsidP="00D94CCB">
      <w:pPr>
        <w:ind w:firstLine="709"/>
        <w:contextualSpacing/>
        <w:jc w:val="both"/>
        <w:rPr>
          <w:rFonts w:ascii="Garamond" w:hAnsi="Garamond"/>
          <w:sz w:val="28"/>
          <w:szCs w:val="28"/>
        </w:rPr>
      </w:pPr>
      <w:r>
        <w:rPr>
          <w:rFonts w:ascii="Garamond" w:hAnsi="Garamond"/>
          <w:sz w:val="28"/>
          <w:szCs w:val="28"/>
        </w:rPr>
        <w:t xml:space="preserve">Il lungo percorso del nostro ordinamento nell’affermazione del consenso informato, come ancora ricorda il Consiglio di Stato, è stato “segnato” dalle note vicende di Piergiorgio </w:t>
      </w:r>
      <w:proofErr w:type="spellStart"/>
      <w:r>
        <w:rPr>
          <w:rFonts w:ascii="Garamond" w:hAnsi="Garamond"/>
          <w:sz w:val="28"/>
          <w:szCs w:val="28"/>
        </w:rPr>
        <w:t>Welby</w:t>
      </w:r>
      <w:proofErr w:type="spellEnd"/>
      <w:r>
        <w:rPr>
          <w:rFonts w:ascii="Garamond" w:hAnsi="Garamond"/>
          <w:sz w:val="28"/>
          <w:szCs w:val="28"/>
        </w:rPr>
        <w:t xml:space="preserve"> e di </w:t>
      </w:r>
      <w:proofErr w:type="spellStart"/>
      <w:r>
        <w:rPr>
          <w:rFonts w:ascii="Garamond" w:hAnsi="Garamond"/>
          <w:sz w:val="28"/>
          <w:szCs w:val="28"/>
        </w:rPr>
        <w:t>Eluana</w:t>
      </w:r>
      <w:proofErr w:type="spellEnd"/>
      <w:r>
        <w:rPr>
          <w:rFonts w:ascii="Garamond" w:hAnsi="Garamond"/>
          <w:sz w:val="28"/>
          <w:szCs w:val="28"/>
        </w:rPr>
        <w:t xml:space="preserve"> </w:t>
      </w:r>
      <w:proofErr w:type="spellStart"/>
      <w:r>
        <w:rPr>
          <w:rFonts w:ascii="Garamond" w:hAnsi="Garamond"/>
          <w:sz w:val="28"/>
          <w:szCs w:val="28"/>
        </w:rPr>
        <w:t>Englaro</w:t>
      </w:r>
      <w:proofErr w:type="spellEnd"/>
      <w:r>
        <w:rPr>
          <w:rFonts w:ascii="Garamond" w:hAnsi="Garamond"/>
          <w:sz w:val="28"/>
          <w:szCs w:val="28"/>
        </w:rPr>
        <w:t xml:space="preserve"> e, infine, </w:t>
      </w:r>
      <w:r w:rsidR="00D94CCB">
        <w:rPr>
          <w:rFonts w:ascii="Garamond" w:hAnsi="Garamond"/>
          <w:sz w:val="28"/>
          <w:szCs w:val="28"/>
        </w:rPr>
        <w:t>ha conosciuto nella l. 219 del 2017 una prima ed organica disciplina del consenso informato</w:t>
      </w:r>
      <w:r w:rsidR="00BC78FD">
        <w:rPr>
          <w:rStyle w:val="Rimandonotaapidipagina"/>
          <w:rFonts w:ascii="Garamond" w:hAnsi="Garamond"/>
          <w:sz w:val="28"/>
          <w:szCs w:val="28"/>
        </w:rPr>
        <w:footnoteReference w:id="7"/>
      </w:r>
      <w:r w:rsidR="00D94CCB">
        <w:rPr>
          <w:rFonts w:ascii="Garamond" w:hAnsi="Garamond"/>
          <w:sz w:val="28"/>
          <w:szCs w:val="28"/>
        </w:rPr>
        <w:t>.</w:t>
      </w:r>
    </w:p>
    <w:p w:rsidR="00D94CCB" w:rsidRDefault="00D94CCB" w:rsidP="00D94CCB">
      <w:pPr>
        <w:ind w:firstLine="709"/>
        <w:contextualSpacing/>
        <w:jc w:val="both"/>
        <w:rPr>
          <w:rFonts w:ascii="Garamond" w:hAnsi="Garamond"/>
          <w:sz w:val="28"/>
          <w:szCs w:val="28"/>
        </w:rPr>
      </w:pPr>
      <w:r>
        <w:rPr>
          <w:rFonts w:ascii="Garamond" w:hAnsi="Garamond"/>
          <w:sz w:val="28"/>
          <w:szCs w:val="28"/>
        </w:rPr>
        <w:t>Il parere n. 1991 del 2018</w:t>
      </w:r>
      <w:r w:rsidR="00243FCD">
        <w:rPr>
          <w:rFonts w:ascii="Garamond" w:hAnsi="Garamond"/>
          <w:sz w:val="28"/>
          <w:szCs w:val="28"/>
        </w:rPr>
        <w:t xml:space="preserve"> del Consiglio di Stato</w:t>
      </w:r>
      <w:r>
        <w:rPr>
          <w:rFonts w:ascii="Garamond" w:hAnsi="Garamond"/>
          <w:sz w:val="28"/>
          <w:szCs w:val="28"/>
        </w:rPr>
        <w:t xml:space="preserve"> s</w:t>
      </w:r>
      <w:r w:rsidR="00FD52AA">
        <w:rPr>
          <w:rFonts w:ascii="Garamond" w:hAnsi="Garamond"/>
          <w:sz w:val="28"/>
          <w:szCs w:val="28"/>
        </w:rPr>
        <w:t>i sofferma, in particolare, sul bilanciamento tra la libertà del paziente e l’intervento</w:t>
      </w:r>
      <w:r w:rsidR="00AE45B0">
        <w:rPr>
          <w:rFonts w:ascii="Garamond" w:hAnsi="Garamond"/>
          <w:sz w:val="28"/>
          <w:szCs w:val="28"/>
        </w:rPr>
        <w:t xml:space="preserve"> del</w:t>
      </w:r>
      <w:r w:rsidR="00FD52AA">
        <w:rPr>
          <w:rFonts w:ascii="Garamond" w:hAnsi="Garamond"/>
          <w:sz w:val="28"/>
          <w:szCs w:val="28"/>
        </w:rPr>
        <w:t xml:space="preserve"> medico e si concentra soprattutto sul nuovo istituto delle disposi</w:t>
      </w:r>
      <w:r w:rsidR="004B407F">
        <w:rPr>
          <w:rFonts w:ascii="Garamond" w:hAnsi="Garamond"/>
          <w:sz w:val="28"/>
          <w:szCs w:val="28"/>
        </w:rPr>
        <w:t>zioni anticipate di trattamento (DAT).</w:t>
      </w:r>
    </w:p>
    <w:p w:rsidR="00FD52AA" w:rsidRDefault="00FD52AA" w:rsidP="00D94CCB">
      <w:pPr>
        <w:ind w:firstLine="709"/>
        <w:contextualSpacing/>
        <w:jc w:val="both"/>
        <w:rPr>
          <w:rFonts w:ascii="Garamond" w:hAnsi="Garamond"/>
          <w:sz w:val="28"/>
          <w:szCs w:val="28"/>
        </w:rPr>
      </w:pPr>
      <w:r>
        <w:rPr>
          <w:rFonts w:ascii="Garamond" w:hAnsi="Garamond"/>
          <w:sz w:val="28"/>
          <w:szCs w:val="28"/>
        </w:rPr>
        <w:t>L’istituto delle DAT consiste, in altri termini, nell’espressione della volontà della persona fisica maggiorenne che enuncia, in un momento in cui è capace di intendere e di volere, i propri orientamenti sul “fine vita”, in merito ai trattamenti sanitari, agli accertamenti diagnostici o alle scelte terapeutiche che intende o</w:t>
      </w:r>
      <w:r w:rsidR="00497122">
        <w:rPr>
          <w:rFonts w:ascii="Garamond" w:hAnsi="Garamond"/>
          <w:sz w:val="28"/>
          <w:szCs w:val="28"/>
        </w:rPr>
        <w:t xml:space="preserve"> non intende accertare, volontà, queste, di cui il medico è tenuto al rispetto, </w:t>
      </w:r>
      <w:r w:rsidR="00F167A1">
        <w:rPr>
          <w:rFonts w:ascii="Garamond" w:hAnsi="Garamond"/>
          <w:sz w:val="28"/>
          <w:szCs w:val="28"/>
        </w:rPr>
        <w:t>secondo quanto previsto dall’art. 5, comma 4, della l. n. 219 del 2017, nell’ipotesi in cui sopravvenga la perdita della capacità di intendere e di volere e l’interessato non sia più in grado di esprimere le proprie determinazioni acconsentendo o non acconsentendo alle cure proposte</w:t>
      </w:r>
      <w:r w:rsidR="00FC1808">
        <w:rPr>
          <w:rStyle w:val="Rimandonotaapidipagina"/>
          <w:rFonts w:ascii="Garamond" w:hAnsi="Garamond"/>
          <w:sz w:val="28"/>
          <w:szCs w:val="28"/>
        </w:rPr>
        <w:footnoteReference w:id="8"/>
      </w:r>
      <w:r w:rsidR="00F167A1">
        <w:rPr>
          <w:rFonts w:ascii="Garamond" w:hAnsi="Garamond"/>
          <w:sz w:val="28"/>
          <w:szCs w:val="28"/>
        </w:rPr>
        <w:t>.</w:t>
      </w:r>
    </w:p>
    <w:p w:rsidR="00F167A1" w:rsidRDefault="00141B43" w:rsidP="00141B43">
      <w:pPr>
        <w:ind w:firstLine="709"/>
        <w:contextualSpacing/>
        <w:jc w:val="both"/>
        <w:rPr>
          <w:rFonts w:ascii="Garamond" w:hAnsi="Garamond"/>
          <w:sz w:val="28"/>
          <w:szCs w:val="28"/>
        </w:rPr>
      </w:pPr>
      <w:r>
        <w:rPr>
          <w:rFonts w:ascii="Garamond" w:hAnsi="Garamond"/>
          <w:sz w:val="28"/>
          <w:szCs w:val="28"/>
        </w:rPr>
        <w:t>Posta di fronte alla «</w:t>
      </w:r>
      <w:r>
        <w:rPr>
          <w:rFonts w:ascii="Garamond" w:hAnsi="Garamond"/>
          <w:i/>
          <w:sz w:val="28"/>
          <w:szCs w:val="28"/>
        </w:rPr>
        <w:t>complessità del quadro normativo</w:t>
      </w:r>
      <w:r>
        <w:rPr>
          <w:rFonts w:ascii="Garamond" w:hAnsi="Garamond"/>
          <w:sz w:val="28"/>
          <w:szCs w:val="28"/>
        </w:rPr>
        <w:t>», l</w:t>
      </w:r>
      <w:r w:rsidR="008252CB">
        <w:rPr>
          <w:rFonts w:ascii="Garamond" w:hAnsi="Garamond"/>
          <w:sz w:val="28"/>
          <w:szCs w:val="28"/>
        </w:rPr>
        <w:t>a c</w:t>
      </w:r>
      <w:r w:rsidR="00784D2E">
        <w:rPr>
          <w:rFonts w:ascii="Garamond" w:hAnsi="Garamond"/>
          <w:sz w:val="28"/>
          <w:szCs w:val="28"/>
        </w:rPr>
        <w:t>ommissione speciale</w:t>
      </w:r>
      <w:r w:rsidR="008252CB">
        <w:rPr>
          <w:rFonts w:ascii="Garamond" w:hAnsi="Garamond"/>
          <w:sz w:val="28"/>
          <w:szCs w:val="28"/>
        </w:rPr>
        <w:t xml:space="preserve"> del Consiglio di Stato</w:t>
      </w:r>
      <w:r w:rsidR="00784D2E">
        <w:rPr>
          <w:rFonts w:ascii="Garamond" w:hAnsi="Garamond"/>
          <w:sz w:val="28"/>
          <w:szCs w:val="28"/>
        </w:rPr>
        <w:t xml:space="preserve"> si fa carico, nell’interpretare le disposi</w:t>
      </w:r>
      <w:r w:rsidR="00221E15">
        <w:rPr>
          <w:rFonts w:ascii="Garamond" w:hAnsi="Garamond"/>
          <w:sz w:val="28"/>
          <w:szCs w:val="28"/>
        </w:rPr>
        <w:t>zion</w:t>
      </w:r>
      <w:r>
        <w:rPr>
          <w:rFonts w:ascii="Garamond" w:hAnsi="Garamond"/>
          <w:sz w:val="28"/>
          <w:szCs w:val="28"/>
        </w:rPr>
        <w:t>i della l. n. 219 del 2017, di</w:t>
      </w:r>
      <w:r w:rsidR="00221E15">
        <w:rPr>
          <w:rFonts w:ascii="Garamond" w:hAnsi="Garamond"/>
          <w:sz w:val="28"/>
          <w:szCs w:val="28"/>
        </w:rPr>
        <w:t xml:space="preserve"> rispondere ai quesiti po</w:t>
      </w:r>
      <w:r>
        <w:rPr>
          <w:rFonts w:ascii="Garamond" w:hAnsi="Garamond"/>
          <w:sz w:val="28"/>
          <w:szCs w:val="28"/>
        </w:rPr>
        <w:t>sti dal</w:t>
      </w:r>
      <w:r w:rsidR="00243FCD">
        <w:rPr>
          <w:rFonts w:ascii="Garamond" w:hAnsi="Garamond"/>
          <w:sz w:val="28"/>
          <w:szCs w:val="28"/>
        </w:rPr>
        <w:t xml:space="preserve"> Ministero della Salute e fornisce</w:t>
      </w:r>
      <w:r>
        <w:rPr>
          <w:rFonts w:ascii="Garamond" w:hAnsi="Garamond"/>
          <w:sz w:val="28"/>
          <w:szCs w:val="28"/>
        </w:rPr>
        <w:t xml:space="preserve"> una interpretazione capace di superare le difficoltà applicative della l. n. 219 del 2017 e di non </w:t>
      </w:r>
      <w:r w:rsidR="00045E7B">
        <w:rPr>
          <w:rFonts w:ascii="Garamond" w:hAnsi="Garamond"/>
          <w:sz w:val="28"/>
          <w:szCs w:val="28"/>
        </w:rPr>
        <w:t>«</w:t>
      </w:r>
      <w:r w:rsidR="00045E7B">
        <w:rPr>
          <w:rFonts w:ascii="Garamond" w:hAnsi="Garamond"/>
          <w:i/>
          <w:sz w:val="28"/>
          <w:szCs w:val="28"/>
        </w:rPr>
        <w:t>vanificare la rilevante portata innovativa delle relative disposizioni</w:t>
      </w:r>
      <w:r w:rsidR="00045E7B">
        <w:rPr>
          <w:rFonts w:ascii="Garamond" w:hAnsi="Garamond"/>
          <w:sz w:val="28"/>
          <w:szCs w:val="28"/>
        </w:rPr>
        <w:t>»</w:t>
      </w:r>
      <w:r w:rsidR="00AA7E3A">
        <w:rPr>
          <w:rStyle w:val="Rimandonotaapidipagina"/>
          <w:rFonts w:ascii="Garamond" w:hAnsi="Garamond"/>
          <w:sz w:val="28"/>
          <w:szCs w:val="28"/>
        </w:rPr>
        <w:footnoteReference w:id="9"/>
      </w:r>
      <w:r w:rsidR="00CB1663">
        <w:rPr>
          <w:rFonts w:ascii="Garamond" w:hAnsi="Garamond"/>
          <w:sz w:val="28"/>
          <w:szCs w:val="28"/>
        </w:rPr>
        <w:t>.</w:t>
      </w:r>
    </w:p>
    <w:p w:rsidR="00CB1663" w:rsidRDefault="005F6BEE" w:rsidP="00141B43">
      <w:pPr>
        <w:ind w:firstLine="709"/>
        <w:contextualSpacing/>
        <w:jc w:val="both"/>
        <w:rPr>
          <w:rFonts w:ascii="Garamond" w:hAnsi="Garamond"/>
          <w:sz w:val="28"/>
          <w:szCs w:val="28"/>
        </w:rPr>
      </w:pPr>
      <w:r>
        <w:rPr>
          <w:rFonts w:ascii="Garamond" w:hAnsi="Garamond"/>
          <w:sz w:val="28"/>
          <w:szCs w:val="28"/>
        </w:rPr>
        <w:t>Il Consiglio di Stato, in particolare, raccomanda di istituire una Banca dati nazionale delle DAT</w:t>
      </w:r>
      <w:r w:rsidR="00B175B7">
        <w:rPr>
          <w:rFonts w:ascii="Garamond" w:hAnsi="Garamond"/>
          <w:sz w:val="28"/>
          <w:szCs w:val="28"/>
        </w:rPr>
        <w:t xml:space="preserve"> sulla base di tre</w:t>
      </w:r>
      <w:r w:rsidR="000E3A94">
        <w:rPr>
          <w:rFonts w:ascii="Garamond" w:hAnsi="Garamond"/>
          <w:sz w:val="28"/>
          <w:szCs w:val="28"/>
        </w:rPr>
        <w:t xml:space="preserve"> concomitanti argomentazioni:</w:t>
      </w:r>
    </w:p>
    <w:p w:rsidR="000E3A94" w:rsidRDefault="00E96873" w:rsidP="00141B43">
      <w:pPr>
        <w:ind w:firstLine="709"/>
        <w:contextualSpacing/>
        <w:jc w:val="both"/>
        <w:rPr>
          <w:rFonts w:ascii="Garamond" w:hAnsi="Garamond"/>
          <w:sz w:val="28"/>
          <w:szCs w:val="28"/>
        </w:rPr>
      </w:pPr>
      <w:r w:rsidRPr="0019617B">
        <w:rPr>
          <w:rFonts w:ascii="Garamond" w:hAnsi="Garamond"/>
          <w:i/>
          <w:sz w:val="28"/>
          <w:szCs w:val="28"/>
        </w:rPr>
        <w:t>1)</w:t>
      </w:r>
      <w:r w:rsidR="002E3BDC">
        <w:rPr>
          <w:rFonts w:ascii="Garamond" w:hAnsi="Garamond"/>
          <w:sz w:val="28"/>
          <w:szCs w:val="28"/>
        </w:rPr>
        <w:t xml:space="preserve"> </w:t>
      </w:r>
      <w:r w:rsidR="00224E9B">
        <w:rPr>
          <w:rFonts w:ascii="Garamond" w:hAnsi="Garamond"/>
          <w:sz w:val="28"/>
          <w:szCs w:val="28"/>
        </w:rPr>
        <w:t>la considerazione secondo</w:t>
      </w:r>
      <w:r>
        <w:rPr>
          <w:rFonts w:ascii="Garamond" w:hAnsi="Garamond"/>
          <w:sz w:val="28"/>
          <w:szCs w:val="28"/>
        </w:rPr>
        <w:t xml:space="preserve"> cui i registri regionali e comunali, previsti dalla l. n. 219 del 2017, sono meramente facoltativi</w:t>
      </w:r>
      <w:r w:rsidR="006F34DC">
        <w:rPr>
          <w:rStyle w:val="Rimandonotaapidipagina"/>
          <w:rFonts w:ascii="Garamond" w:hAnsi="Garamond"/>
          <w:sz w:val="28"/>
          <w:szCs w:val="28"/>
        </w:rPr>
        <w:footnoteReference w:id="10"/>
      </w:r>
      <w:r w:rsidR="00687415">
        <w:rPr>
          <w:rFonts w:ascii="Garamond" w:hAnsi="Garamond"/>
          <w:sz w:val="28"/>
          <w:szCs w:val="28"/>
        </w:rPr>
        <w:t>, mentre il registro nazionale dovrebbe svolgere l’importante compito di dare attuazione ai principî costituzionali</w:t>
      </w:r>
      <w:r w:rsidR="00AE45B0">
        <w:rPr>
          <w:rFonts w:ascii="Garamond" w:hAnsi="Garamond"/>
          <w:sz w:val="28"/>
          <w:szCs w:val="28"/>
        </w:rPr>
        <w:t xml:space="preserve"> raccogliendo le DAT e consentendo, in tal modo, di conoscerle a livello nazionale e di </w:t>
      </w:r>
      <w:r w:rsidR="004B407F">
        <w:rPr>
          <w:rFonts w:ascii="Garamond" w:hAnsi="Garamond"/>
          <w:sz w:val="28"/>
          <w:szCs w:val="28"/>
        </w:rPr>
        <w:t xml:space="preserve">non </w:t>
      </w:r>
      <w:r w:rsidR="00AE45B0">
        <w:rPr>
          <w:rFonts w:ascii="Garamond" w:hAnsi="Garamond"/>
          <w:sz w:val="28"/>
          <w:szCs w:val="28"/>
        </w:rPr>
        <w:t>restringer</w:t>
      </w:r>
      <w:r w:rsidR="004B407F">
        <w:rPr>
          <w:rFonts w:ascii="Garamond" w:hAnsi="Garamond"/>
          <w:sz w:val="28"/>
          <w:szCs w:val="28"/>
        </w:rPr>
        <w:t>ne la conoscibilità soltanto</w:t>
      </w:r>
      <w:r w:rsidR="00AE45B0">
        <w:rPr>
          <w:rFonts w:ascii="Garamond" w:hAnsi="Garamond"/>
          <w:sz w:val="28"/>
          <w:szCs w:val="28"/>
        </w:rPr>
        <w:t xml:space="preserve"> al luogo in cui sono state rese;</w:t>
      </w:r>
    </w:p>
    <w:p w:rsidR="00AE45B0" w:rsidRDefault="00AE45B0" w:rsidP="00141B43">
      <w:pPr>
        <w:ind w:firstLine="709"/>
        <w:contextualSpacing/>
        <w:jc w:val="both"/>
        <w:rPr>
          <w:rFonts w:ascii="Garamond" w:hAnsi="Garamond"/>
          <w:sz w:val="28"/>
          <w:szCs w:val="28"/>
        </w:rPr>
      </w:pPr>
      <w:r w:rsidRPr="0019617B">
        <w:rPr>
          <w:rFonts w:ascii="Garamond" w:hAnsi="Garamond"/>
          <w:i/>
          <w:sz w:val="28"/>
          <w:szCs w:val="28"/>
        </w:rPr>
        <w:t>2)</w:t>
      </w:r>
      <w:r>
        <w:rPr>
          <w:rFonts w:ascii="Garamond" w:hAnsi="Garamond"/>
          <w:sz w:val="28"/>
          <w:szCs w:val="28"/>
        </w:rPr>
        <w:t xml:space="preserve"> </w:t>
      </w:r>
      <w:r w:rsidR="00070C0C">
        <w:rPr>
          <w:rFonts w:ascii="Garamond" w:hAnsi="Garamond"/>
          <w:sz w:val="28"/>
          <w:szCs w:val="28"/>
        </w:rPr>
        <w:t>la considerazione secondo cui, potendo mancare i registri a livello regionale e comunale</w:t>
      </w:r>
      <w:r w:rsidR="00243FCD">
        <w:rPr>
          <w:rFonts w:ascii="Garamond" w:hAnsi="Garamond"/>
          <w:sz w:val="28"/>
          <w:szCs w:val="28"/>
        </w:rPr>
        <w:t xml:space="preserve"> in quanto, appunto, facoltativi</w:t>
      </w:r>
      <w:r w:rsidR="00070C0C">
        <w:rPr>
          <w:rFonts w:ascii="Garamond" w:hAnsi="Garamond"/>
          <w:sz w:val="28"/>
          <w:szCs w:val="28"/>
        </w:rPr>
        <w:t>, si potrebbe dare vita ad un sistema incompleto e privo di utilità, essendo invece necessario un registro nazionale completo ed efficiente, al quale gli interessati possono direttamente trasmettere le DAT che hanno reso;</w:t>
      </w:r>
    </w:p>
    <w:p w:rsidR="00070C0C" w:rsidRDefault="00070C0C" w:rsidP="00141B43">
      <w:pPr>
        <w:ind w:firstLine="709"/>
        <w:contextualSpacing/>
        <w:jc w:val="both"/>
        <w:rPr>
          <w:rFonts w:ascii="Garamond" w:hAnsi="Garamond"/>
          <w:sz w:val="28"/>
          <w:szCs w:val="28"/>
        </w:rPr>
      </w:pPr>
      <w:r w:rsidRPr="00991365">
        <w:rPr>
          <w:rFonts w:ascii="Garamond" w:hAnsi="Garamond"/>
          <w:i/>
          <w:sz w:val="28"/>
          <w:szCs w:val="28"/>
        </w:rPr>
        <w:t>3)</w:t>
      </w:r>
      <w:r>
        <w:rPr>
          <w:rFonts w:ascii="Garamond" w:hAnsi="Garamond"/>
          <w:sz w:val="28"/>
          <w:szCs w:val="28"/>
        </w:rPr>
        <w:t xml:space="preserve"> </w:t>
      </w:r>
      <w:r w:rsidR="00A715B0">
        <w:rPr>
          <w:rFonts w:ascii="Garamond" w:hAnsi="Garamond"/>
          <w:sz w:val="28"/>
          <w:szCs w:val="28"/>
        </w:rPr>
        <w:t>la terza, non meno impo</w:t>
      </w:r>
      <w:r w:rsidR="00294B03">
        <w:rPr>
          <w:rFonts w:ascii="Garamond" w:hAnsi="Garamond"/>
          <w:sz w:val="28"/>
          <w:szCs w:val="28"/>
        </w:rPr>
        <w:t>rtante, secondo cui</w:t>
      </w:r>
      <w:r w:rsidR="00A715B0">
        <w:rPr>
          <w:rFonts w:ascii="Garamond" w:hAnsi="Garamond"/>
          <w:sz w:val="28"/>
          <w:szCs w:val="28"/>
        </w:rPr>
        <w:t>, se il registro regionale può raccogliere solo le DAT degli iscritti al Servizio Sanitario Nazionale, l’unico modo per garantire gli stessi diritti fondamentali della persona umana an</w:t>
      </w:r>
      <w:r w:rsidR="00294B03">
        <w:rPr>
          <w:rFonts w:ascii="Garamond" w:hAnsi="Garamond"/>
          <w:sz w:val="28"/>
          <w:szCs w:val="28"/>
        </w:rPr>
        <w:t>che a chi non è iscritto</w:t>
      </w:r>
      <w:r w:rsidR="00A715B0">
        <w:rPr>
          <w:rFonts w:ascii="Garamond" w:hAnsi="Garamond"/>
          <w:sz w:val="28"/>
          <w:szCs w:val="28"/>
        </w:rPr>
        <w:t xml:space="preserve"> al Servizio Sanitario Nazionale è l’istituzione di un effettivo ed efficiente registro nazionale.</w:t>
      </w:r>
    </w:p>
    <w:p w:rsidR="00E62FF0" w:rsidRDefault="00E62FF0" w:rsidP="00141B43">
      <w:pPr>
        <w:ind w:firstLine="709"/>
        <w:contextualSpacing/>
        <w:jc w:val="both"/>
        <w:rPr>
          <w:rFonts w:ascii="Garamond" w:hAnsi="Garamond"/>
          <w:sz w:val="28"/>
          <w:szCs w:val="28"/>
        </w:rPr>
      </w:pPr>
      <w:r>
        <w:rPr>
          <w:rFonts w:ascii="Garamond" w:hAnsi="Garamond"/>
          <w:sz w:val="28"/>
          <w:szCs w:val="28"/>
        </w:rPr>
        <w:t>La risposta finale al quesito, insomma, è</w:t>
      </w:r>
      <w:r w:rsidR="00294B03">
        <w:rPr>
          <w:rFonts w:ascii="Garamond" w:hAnsi="Garamond"/>
          <w:sz w:val="28"/>
          <w:szCs w:val="28"/>
        </w:rPr>
        <w:t xml:space="preserve"> indirizzata</w:t>
      </w:r>
      <w:r>
        <w:rPr>
          <w:rFonts w:ascii="Garamond" w:hAnsi="Garamond"/>
          <w:sz w:val="28"/>
          <w:szCs w:val="28"/>
        </w:rPr>
        <w:t xml:space="preserve"> nel senso che la Banca dati nazionale deve, su richiesta dell’interessato, poter contenere copia delle DAT stesse, compresa l’indicazione del fiduciario e l’eventuale revoca</w:t>
      </w:r>
      <w:r w:rsidR="00A45048">
        <w:rPr>
          <w:rStyle w:val="Rimandonotaapidipagina"/>
          <w:rFonts w:ascii="Garamond" w:hAnsi="Garamond"/>
          <w:sz w:val="28"/>
          <w:szCs w:val="28"/>
        </w:rPr>
        <w:footnoteReference w:id="11"/>
      </w:r>
      <w:r>
        <w:rPr>
          <w:rFonts w:ascii="Garamond" w:hAnsi="Garamond"/>
          <w:sz w:val="28"/>
          <w:szCs w:val="28"/>
        </w:rPr>
        <w:t>.</w:t>
      </w:r>
    </w:p>
    <w:p w:rsidR="00E62FF0" w:rsidRDefault="00E62FF0" w:rsidP="00141B43">
      <w:pPr>
        <w:ind w:firstLine="709"/>
        <w:contextualSpacing/>
        <w:jc w:val="both"/>
        <w:rPr>
          <w:rFonts w:ascii="Garamond" w:hAnsi="Garamond"/>
          <w:sz w:val="28"/>
          <w:szCs w:val="28"/>
        </w:rPr>
      </w:pPr>
      <w:r>
        <w:rPr>
          <w:rFonts w:ascii="Garamond" w:hAnsi="Garamond"/>
          <w:sz w:val="28"/>
          <w:szCs w:val="28"/>
        </w:rPr>
        <w:t>È evidente nell’orientamento del Consiglio di Stato la preoccupazione di dare il massimo risalto al consenso espresso dal paziente mediante la più ampia conoscenza delle relative disposizioni garantito da un sistema di pubblicità nazionale.</w:t>
      </w:r>
    </w:p>
    <w:p w:rsidR="00E62FF0" w:rsidRDefault="00E62FF0" w:rsidP="00141B43">
      <w:pPr>
        <w:ind w:firstLine="709"/>
        <w:contextualSpacing/>
        <w:jc w:val="both"/>
        <w:rPr>
          <w:rFonts w:ascii="Garamond" w:hAnsi="Garamond"/>
          <w:sz w:val="28"/>
          <w:szCs w:val="28"/>
        </w:rPr>
      </w:pPr>
      <w:r>
        <w:rPr>
          <w:rFonts w:ascii="Garamond" w:hAnsi="Garamond"/>
          <w:sz w:val="28"/>
          <w:szCs w:val="28"/>
        </w:rPr>
        <w:t>Parimenti la medesima preoccupazione</w:t>
      </w:r>
      <w:r w:rsidR="00294B03">
        <w:rPr>
          <w:rFonts w:ascii="Garamond" w:hAnsi="Garamond"/>
          <w:sz w:val="28"/>
          <w:szCs w:val="28"/>
        </w:rPr>
        <w:t xml:space="preserve"> del Consiglio di Stato</w:t>
      </w:r>
      <w:r>
        <w:rPr>
          <w:rFonts w:ascii="Garamond" w:hAnsi="Garamond"/>
          <w:sz w:val="28"/>
          <w:szCs w:val="28"/>
        </w:rPr>
        <w:t xml:space="preserve"> emerge anche </w:t>
      </w:r>
      <w:r w:rsidR="00844D02">
        <w:rPr>
          <w:rFonts w:ascii="Garamond" w:hAnsi="Garamond"/>
          <w:sz w:val="28"/>
          <w:szCs w:val="28"/>
        </w:rPr>
        <w:t>nella risposta al quesito se le disposizioni anticipate di trattamento siano soggette ad un processo di standardizzazione, con la predisposizione di formulari, sia pure mediante l’ausilio di notai od ufficiali dello stato civile.</w:t>
      </w:r>
    </w:p>
    <w:p w:rsidR="00844D02" w:rsidRDefault="008252CB" w:rsidP="00141B43">
      <w:pPr>
        <w:ind w:firstLine="709"/>
        <w:contextualSpacing/>
        <w:jc w:val="both"/>
        <w:rPr>
          <w:rFonts w:ascii="Garamond" w:hAnsi="Garamond"/>
          <w:sz w:val="28"/>
          <w:szCs w:val="28"/>
        </w:rPr>
      </w:pPr>
      <w:r>
        <w:rPr>
          <w:rFonts w:ascii="Garamond" w:hAnsi="Garamond"/>
          <w:sz w:val="28"/>
          <w:szCs w:val="28"/>
        </w:rPr>
        <w:t>Sul punto la c</w:t>
      </w:r>
      <w:r w:rsidR="00294B03">
        <w:rPr>
          <w:rFonts w:ascii="Garamond" w:hAnsi="Garamond"/>
          <w:sz w:val="28"/>
          <w:szCs w:val="28"/>
        </w:rPr>
        <w:t>ommissione speciale</w:t>
      </w:r>
      <w:r w:rsidR="00AA690C">
        <w:rPr>
          <w:rFonts w:ascii="Garamond" w:hAnsi="Garamond"/>
          <w:sz w:val="28"/>
          <w:szCs w:val="28"/>
        </w:rPr>
        <w:t xml:space="preserve"> esprime il parere che, in via generale, </w:t>
      </w:r>
      <w:r w:rsidR="00FE5AED">
        <w:rPr>
          <w:rFonts w:ascii="Garamond" w:hAnsi="Garamond"/>
          <w:sz w:val="28"/>
          <w:szCs w:val="28"/>
        </w:rPr>
        <w:t>«</w:t>
      </w:r>
      <w:r w:rsidR="00FE5AED">
        <w:rPr>
          <w:rFonts w:ascii="Garamond" w:hAnsi="Garamond"/>
          <w:i/>
          <w:sz w:val="28"/>
          <w:szCs w:val="28"/>
        </w:rPr>
        <w:t>vada mantenuta la possibilità di rendere le DAT senza un particolare vincolo di contenuto</w:t>
      </w:r>
      <w:r w:rsidR="00FE5AED">
        <w:rPr>
          <w:rFonts w:ascii="Garamond" w:hAnsi="Garamond"/>
          <w:sz w:val="28"/>
          <w:szCs w:val="28"/>
        </w:rPr>
        <w:t>» poiché «</w:t>
      </w:r>
      <w:r w:rsidR="00FE5AED">
        <w:rPr>
          <w:rFonts w:ascii="Garamond" w:hAnsi="Garamond"/>
          <w:i/>
          <w:sz w:val="28"/>
          <w:szCs w:val="28"/>
        </w:rPr>
        <w:t>l’interessato deve poter scegliere di limitarle solo ad una particolare malattia, di estenderle a tutte le future malattie, di nominare il fiduciario o di non nominarlo, etc.</w:t>
      </w:r>
      <w:r w:rsidR="00FE5AED">
        <w:rPr>
          <w:rFonts w:ascii="Garamond" w:hAnsi="Garamond"/>
          <w:sz w:val="28"/>
          <w:szCs w:val="28"/>
        </w:rPr>
        <w:t>»</w:t>
      </w:r>
      <w:r w:rsidR="00F31A53">
        <w:rPr>
          <w:rStyle w:val="Rimandonotaapidipagina"/>
          <w:rFonts w:ascii="Garamond" w:hAnsi="Garamond"/>
          <w:sz w:val="28"/>
          <w:szCs w:val="28"/>
        </w:rPr>
        <w:footnoteReference w:id="12"/>
      </w:r>
      <w:r w:rsidR="00FE5AED">
        <w:rPr>
          <w:rFonts w:ascii="Garamond" w:hAnsi="Garamond"/>
          <w:sz w:val="28"/>
          <w:szCs w:val="28"/>
        </w:rPr>
        <w:t>.</w:t>
      </w:r>
    </w:p>
    <w:p w:rsidR="00FE5AED" w:rsidRDefault="00294B03" w:rsidP="00141B43">
      <w:pPr>
        <w:ind w:firstLine="709"/>
        <w:contextualSpacing/>
        <w:jc w:val="both"/>
        <w:rPr>
          <w:rFonts w:ascii="Garamond" w:hAnsi="Garamond"/>
          <w:sz w:val="28"/>
          <w:szCs w:val="28"/>
        </w:rPr>
      </w:pPr>
      <w:r>
        <w:rPr>
          <w:rFonts w:ascii="Garamond" w:hAnsi="Garamond"/>
          <w:sz w:val="28"/>
          <w:szCs w:val="28"/>
        </w:rPr>
        <w:t>Essa rileva, a questo proposito,</w:t>
      </w:r>
      <w:r w:rsidR="00D4163F">
        <w:rPr>
          <w:rFonts w:ascii="Garamond" w:hAnsi="Garamond"/>
          <w:sz w:val="28"/>
          <w:szCs w:val="28"/>
        </w:rPr>
        <w:t xml:space="preserve"> come possa essere utile un atto di indirizzo, eventualmente adottato all’esito di un tavolo tecnico con il Ministero della Giustizia, il Consiglio nazionale del Notariato e il Ministero dell’Interno, che indichi alcuni contenuti che possono essere presenti nelle DAT, allo scopo di guidare gli interessati sulle scelte da effettuare.</w:t>
      </w:r>
    </w:p>
    <w:p w:rsidR="00D4163F" w:rsidRDefault="00B47F7C" w:rsidP="00141B43">
      <w:pPr>
        <w:ind w:firstLine="709"/>
        <w:contextualSpacing/>
        <w:jc w:val="both"/>
        <w:rPr>
          <w:rFonts w:ascii="Garamond" w:hAnsi="Garamond"/>
          <w:sz w:val="28"/>
          <w:szCs w:val="28"/>
        </w:rPr>
      </w:pPr>
      <w:r>
        <w:rPr>
          <w:rFonts w:ascii="Garamond" w:hAnsi="Garamond"/>
          <w:sz w:val="28"/>
          <w:szCs w:val="28"/>
        </w:rPr>
        <w:t xml:space="preserve">Ma, conclusivamente, il Consiglio di Stato esclude </w:t>
      </w:r>
      <w:r w:rsidR="00A72CDE">
        <w:rPr>
          <w:rFonts w:ascii="Garamond" w:hAnsi="Garamond"/>
          <w:sz w:val="28"/>
          <w:szCs w:val="28"/>
        </w:rPr>
        <w:t>«</w:t>
      </w:r>
      <w:r w:rsidR="00A72CDE">
        <w:rPr>
          <w:rFonts w:ascii="Garamond" w:hAnsi="Garamond"/>
          <w:i/>
          <w:sz w:val="28"/>
          <w:szCs w:val="28"/>
        </w:rPr>
        <w:t>la possibilità di prevedere una vera e propria standardizzazione delle DAT ai fini di conservazione elettronica</w:t>
      </w:r>
      <w:r w:rsidR="00A72CDE">
        <w:rPr>
          <w:rFonts w:ascii="Garamond" w:hAnsi="Garamond"/>
          <w:sz w:val="28"/>
          <w:szCs w:val="28"/>
        </w:rPr>
        <w:t>».</w:t>
      </w:r>
    </w:p>
    <w:p w:rsidR="00991365" w:rsidRDefault="00991365" w:rsidP="00141B43">
      <w:pPr>
        <w:ind w:firstLine="709"/>
        <w:contextualSpacing/>
        <w:jc w:val="both"/>
        <w:rPr>
          <w:rFonts w:ascii="Garamond" w:hAnsi="Garamond"/>
          <w:sz w:val="28"/>
          <w:szCs w:val="28"/>
        </w:rPr>
      </w:pPr>
      <w:r>
        <w:rPr>
          <w:rFonts w:ascii="Garamond" w:hAnsi="Garamond"/>
          <w:sz w:val="28"/>
          <w:szCs w:val="28"/>
        </w:rPr>
        <w:t xml:space="preserve">Anche sotto tale aspetto emerge il massimo </w:t>
      </w:r>
      <w:r w:rsidR="00294B03">
        <w:rPr>
          <w:rFonts w:ascii="Garamond" w:hAnsi="Garamond"/>
          <w:sz w:val="28"/>
          <w:szCs w:val="28"/>
        </w:rPr>
        <w:t>riconoscimento, da parte del Consiglio di Stato,</w:t>
      </w:r>
      <w:r>
        <w:rPr>
          <w:rFonts w:ascii="Garamond" w:hAnsi="Garamond"/>
          <w:sz w:val="28"/>
          <w:szCs w:val="28"/>
        </w:rPr>
        <w:t xml:space="preserve"> all’autonomia decisionale del paziente, che non deve essere imbrigliata entro schemi e formulari prestabiliti, aventi solo una mera funzione</w:t>
      </w:r>
      <w:r w:rsidR="00294B03">
        <w:rPr>
          <w:rFonts w:ascii="Garamond" w:hAnsi="Garamond"/>
          <w:sz w:val="28"/>
          <w:szCs w:val="28"/>
        </w:rPr>
        <w:t>, a tutto concedere, di ausilio e di semplificazione nella redazione dell’atto.</w:t>
      </w:r>
    </w:p>
    <w:p w:rsidR="00991365" w:rsidRDefault="005C0FD5" w:rsidP="00141B43">
      <w:pPr>
        <w:ind w:firstLine="709"/>
        <w:contextualSpacing/>
        <w:jc w:val="both"/>
        <w:rPr>
          <w:rFonts w:ascii="Garamond" w:hAnsi="Garamond"/>
          <w:sz w:val="28"/>
          <w:szCs w:val="28"/>
        </w:rPr>
      </w:pPr>
      <w:r>
        <w:rPr>
          <w:rFonts w:ascii="Garamond" w:hAnsi="Garamond"/>
          <w:sz w:val="28"/>
          <w:szCs w:val="28"/>
        </w:rPr>
        <w:t xml:space="preserve">Nello stesso senso sembra essersi orientato anche il Ministero dell’Interno che, nel dettare le prime istruzioni agli ufficiali dello stato civile, </w:t>
      </w:r>
      <w:r w:rsidR="00A845C5">
        <w:rPr>
          <w:rFonts w:ascii="Garamond" w:hAnsi="Garamond"/>
          <w:sz w:val="28"/>
          <w:szCs w:val="28"/>
        </w:rPr>
        <w:t xml:space="preserve">ha chiarito che </w:t>
      </w:r>
      <w:r w:rsidR="00B56D09">
        <w:rPr>
          <w:rFonts w:ascii="Garamond" w:hAnsi="Garamond"/>
          <w:sz w:val="28"/>
          <w:szCs w:val="28"/>
        </w:rPr>
        <w:t>«</w:t>
      </w:r>
      <w:r w:rsidR="00B56D09">
        <w:rPr>
          <w:rFonts w:ascii="Garamond" w:hAnsi="Garamond"/>
          <w:i/>
          <w:sz w:val="28"/>
          <w:szCs w:val="28"/>
        </w:rPr>
        <w:t>l’ufficiale non partecipa alla redazione delle disposizione né fornisce informazioni o avvisi in merito al contenuto della stessa, dovendosi limitare a verificare i presupposti della consegna – con particolare riguardo all’identità ed alla residenza del consegnante nel comune – e a riceverla</w:t>
      </w:r>
      <w:r w:rsidR="00B56D09">
        <w:rPr>
          <w:rFonts w:ascii="Garamond" w:hAnsi="Garamond"/>
          <w:sz w:val="28"/>
          <w:szCs w:val="28"/>
        </w:rPr>
        <w:t>»</w:t>
      </w:r>
      <w:r w:rsidR="00B56D09">
        <w:rPr>
          <w:rStyle w:val="Rimandonotaapidipagina"/>
          <w:rFonts w:ascii="Garamond" w:hAnsi="Garamond"/>
          <w:sz w:val="28"/>
          <w:szCs w:val="28"/>
        </w:rPr>
        <w:footnoteReference w:id="13"/>
      </w:r>
      <w:r w:rsidR="00B56D09">
        <w:rPr>
          <w:rFonts w:ascii="Garamond" w:hAnsi="Garamond"/>
          <w:sz w:val="28"/>
          <w:szCs w:val="28"/>
        </w:rPr>
        <w:t>.</w:t>
      </w:r>
    </w:p>
    <w:p w:rsidR="00635086" w:rsidRDefault="00635086" w:rsidP="00141B43">
      <w:pPr>
        <w:ind w:firstLine="709"/>
        <w:contextualSpacing/>
        <w:jc w:val="both"/>
        <w:rPr>
          <w:rFonts w:ascii="Garamond" w:hAnsi="Garamond"/>
          <w:sz w:val="28"/>
          <w:szCs w:val="28"/>
        </w:rPr>
      </w:pPr>
      <w:r>
        <w:rPr>
          <w:rFonts w:ascii="Garamond" w:hAnsi="Garamond"/>
          <w:sz w:val="28"/>
          <w:szCs w:val="28"/>
        </w:rPr>
        <w:t>L’operatività dei registri regionali e comunali per le DAT risulta ancora lenta e ancora poco diffusa</w:t>
      </w:r>
      <w:r w:rsidR="00867D0C">
        <w:rPr>
          <w:rFonts w:ascii="Garamond" w:hAnsi="Garamond"/>
          <w:sz w:val="28"/>
          <w:szCs w:val="28"/>
        </w:rPr>
        <w:t xml:space="preserve"> tra i Comuni, a più di un anno dall’entrata in vigore della l. n. 219 del 2017</w:t>
      </w:r>
      <w:r>
        <w:rPr>
          <w:rFonts w:ascii="Garamond" w:hAnsi="Garamond"/>
          <w:sz w:val="28"/>
          <w:szCs w:val="28"/>
        </w:rPr>
        <w:t xml:space="preserve">, mentre va segnalato che di recente il Governo, con </w:t>
      </w:r>
      <w:r w:rsidR="003847C5">
        <w:rPr>
          <w:rFonts w:ascii="Garamond" w:hAnsi="Garamond"/>
          <w:sz w:val="28"/>
          <w:szCs w:val="28"/>
        </w:rPr>
        <w:t>la legge di bilan</w:t>
      </w:r>
      <w:r w:rsidR="00444FB8">
        <w:rPr>
          <w:rFonts w:ascii="Garamond" w:hAnsi="Garamond"/>
          <w:sz w:val="28"/>
          <w:szCs w:val="28"/>
        </w:rPr>
        <w:t>cio 2019, ha stanziato il ben modesto importo</w:t>
      </w:r>
      <w:r w:rsidR="003847C5">
        <w:rPr>
          <w:rFonts w:ascii="Garamond" w:hAnsi="Garamond"/>
          <w:sz w:val="28"/>
          <w:szCs w:val="28"/>
        </w:rPr>
        <w:t xml:space="preserve"> di € 400.000,00 per il finanziamento della manutenzione e della gestione </w:t>
      </w:r>
      <w:r w:rsidR="00C473AC">
        <w:rPr>
          <w:rFonts w:ascii="Garamond" w:hAnsi="Garamond"/>
          <w:sz w:val="28"/>
          <w:szCs w:val="28"/>
        </w:rPr>
        <w:t>della Banca dati nazionale destinata alla registrazione delle disposizioni anticipate di trattamento</w:t>
      </w:r>
      <w:r w:rsidR="00C473AC">
        <w:rPr>
          <w:rStyle w:val="Rimandonotaapidipagina"/>
          <w:rFonts w:ascii="Garamond" w:hAnsi="Garamond"/>
          <w:sz w:val="28"/>
          <w:szCs w:val="28"/>
        </w:rPr>
        <w:footnoteReference w:id="14"/>
      </w:r>
      <w:r w:rsidR="00867D0C">
        <w:rPr>
          <w:rFonts w:ascii="Garamond" w:hAnsi="Garamond"/>
          <w:sz w:val="28"/>
          <w:szCs w:val="28"/>
        </w:rPr>
        <w:t>, riducendo l’originaria previsione di 2 milioni di euro per il funzionamento della Banca dati.</w:t>
      </w:r>
    </w:p>
    <w:p w:rsidR="00444FB8" w:rsidRDefault="005470EB" w:rsidP="00141B43">
      <w:pPr>
        <w:ind w:firstLine="709"/>
        <w:contextualSpacing/>
        <w:jc w:val="both"/>
        <w:rPr>
          <w:rFonts w:ascii="Garamond" w:hAnsi="Garamond"/>
          <w:sz w:val="28"/>
          <w:szCs w:val="28"/>
        </w:rPr>
      </w:pPr>
      <w:r>
        <w:rPr>
          <w:rFonts w:ascii="Garamond" w:hAnsi="Garamond"/>
          <w:sz w:val="28"/>
          <w:szCs w:val="28"/>
        </w:rPr>
        <w:t>Non vi è dubbio che l’informazione del personale medico, l’organizzazione delle strutture sanitarie e l’efficace approntamento dei registri giocheranno un ruolo fondamentale nella concreta attuazione delle nuove norme, a dimostrazione, ancora una volta, della strettissima, inestricabile, interrelazione tra diritti fondamentali ed organizzazione amministrativa</w:t>
      </w:r>
      <w:r w:rsidR="00A14280">
        <w:rPr>
          <w:rStyle w:val="Rimandonotaapidipagina"/>
          <w:rFonts w:ascii="Garamond" w:hAnsi="Garamond"/>
          <w:sz w:val="28"/>
          <w:szCs w:val="28"/>
        </w:rPr>
        <w:footnoteReference w:id="15"/>
      </w:r>
      <w:r w:rsidR="00A14280">
        <w:rPr>
          <w:rFonts w:ascii="Garamond" w:hAnsi="Garamond"/>
          <w:sz w:val="28"/>
          <w:szCs w:val="28"/>
        </w:rPr>
        <w:t>.</w:t>
      </w:r>
    </w:p>
    <w:p w:rsidR="00A14280" w:rsidRDefault="00A14280" w:rsidP="00141B43">
      <w:pPr>
        <w:ind w:firstLine="709"/>
        <w:contextualSpacing/>
        <w:jc w:val="both"/>
        <w:rPr>
          <w:rFonts w:ascii="Garamond" w:hAnsi="Garamond"/>
          <w:sz w:val="28"/>
          <w:szCs w:val="28"/>
        </w:rPr>
      </w:pPr>
      <w:r>
        <w:rPr>
          <w:rFonts w:ascii="Garamond" w:hAnsi="Garamond"/>
          <w:sz w:val="28"/>
          <w:szCs w:val="28"/>
        </w:rPr>
        <w:t>Il punto è stato più volte evidenziato, proprio in riferimento al diritto alla salute nella sua declinazione, in negativo, di rifiuto delle cure, da</w:t>
      </w:r>
      <w:r w:rsidR="00294B03">
        <w:rPr>
          <w:rFonts w:ascii="Garamond" w:hAnsi="Garamond"/>
          <w:sz w:val="28"/>
          <w:szCs w:val="28"/>
        </w:rPr>
        <w:t>lle</w:t>
      </w:r>
      <w:r>
        <w:rPr>
          <w:rFonts w:ascii="Garamond" w:hAnsi="Garamond"/>
          <w:sz w:val="28"/>
          <w:szCs w:val="28"/>
        </w:rPr>
        <w:t xml:space="preserve"> due</w:t>
      </w:r>
      <w:r w:rsidR="00294B03">
        <w:rPr>
          <w:rFonts w:ascii="Garamond" w:hAnsi="Garamond"/>
          <w:sz w:val="28"/>
          <w:szCs w:val="28"/>
        </w:rPr>
        <w:t xml:space="preserve"> note</w:t>
      </w:r>
      <w:r>
        <w:rPr>
          <w:rFonts w:ascii="Garamond" w:hAnsi="Garamond"/>
          <w:sz w:val="28"/>
          <w:szCs w:val="28"/>
        </w:rPr>
        <w:t xml:space="preserve"> sente</w:t>
      </w:r>
      <w:r w:rsidR="00294B03">
        <w:rPr>
          <w:rFonts w:ascii="Garamond" w:hAnsi="Garamond"/>
          <w:sz w:val="28"/>
          <w:szCs w:val="28"/>
        </w:rPr>
        <w:t xml:space="preserve">nze del Consiglio di Stato, la n. 4460 del </w:t>
      </w:r>
      <w:r>
        <w:rPr>
          <w:rFonts w:ascii="Garamond" w:hAnsi="Garamond"/>
          <w:sz w:val="28"/>
          <w:szCs w:val="28"/>
        </w:rPr>
        <w:t>2014 e</w:t>
      </w:r>
      <w:r w:rsidR="00294B03">
        <w:rPr>
          <w:rFonts w:ascii="Garamond" w:hAnsi="Garamond"/>
          <w:sz w:val="28"/>
          <w:szCs w:val="28"/>
        </w:rPr>
        <w:t xml:space="preserve"> la n. 3058</w:t>
      </w:r>
      <w:r>
        <w:rPr>
          <w:rFonts w:ascii="Garamond" w:hAnsi="Garamond"/>
          <w:sz w:val="28"/>
          <w:szCs w:val="28"/>
        </w:rPr>
        <w:t xml:space="preserve"> del 2017, proprio relativamente al caso di </w:t>
      </w:r>
      <w:proofErr w:type="spellStart"/>
      <w:r>
        <w:rPr>
          <w:rFonts w:ascii="Garamond" w:hAnsi="Garamond"/>
          <w:sz w:val="28"/>
          <w:szCs w:val="28"/>
        </w:rPr>
        <w:t>Eluana</w:t>
      </w:r>
      <w:proofErr w:type="spellEnd"/>
      <w:r>
        <w:rPr>
          <w:rFonts w:ascii="Garamond" w:hAnsi="Garamond"/>
          <w:sz w:val="28"/>
          <w:szCs w:val="28"/>
        </w:rPr>
        <w:t xml:space="preserve"> </w:t>
      </w:r>
      <w:proofErr w:type="spellStart"/>
      <w:r>
        <w:rPr>
          <w:rFonts w:ascii="Garamond" w:hAnsi="Garamond"/>
          <w:sz w:val="28"/>
          <w:szCs w:val="28"/>
        </w:rPr>
        <w:t>Englaro</w:t>
      </w:r>
      <w:proofErr w:type="spellEnd"/>
      <w:r>
        <w:rPr>
          <w:rFonts w:ascii="Garamond" w:hAnsi="Garamond"/>
          <w:sz w:val="28"/>
          <w:szCs w:val="28"/>
        </w:rPr>
        <w:t>.</w:t>
      </w:r>
    </w:p>
    <w:p w:rsidR="00627FCB" w:rsidRDefault="00627FCB" w:rsidP="00141B43">
      <w:pPr>
        <w:ind w:firstLine="709"/>
        <w:contextualSpacing/>
        <w:jc w:val="both"/>
        <w:rPr>
          <w:rFonts w:ascii="Garamond" w:hAnsi="Garamond"/>
          <w:sz w:val="28"/>
          <w:szCs w:val="28"/>
        </w:rPr>
      </w:pPr>
      <w:r>
        <w:rPr>
          <w:rFonts w:ascii="Garamond" w:hAnsi="Garamond"/>
          <w:sz w:val="28"/>
          <w:szCs w:val="28"/>
        </w:rPr>
        <w:t>Si rammenterà come con queste due pr</w:t>
      </w:r>
      <w:r w:rsidR="00E2274A">
        <w:rPr>
          <w:rFonts w:ascii="Garamond" w:hAnsi="Garamond"/>
          <w:sz w:val="28"/>
          <w:szCs w:val="28"/>
        </w:rPr>
        <w:t>onunce il Consiglio di Stato, questa volta in sede giurisdizionale,</w:t>
      </w:r>
      <w:r>
        <w:rPr>
          <w:rFonts w:ascii="Garamond" w:hAnsi="Garamond"/>
          <w:sz w:val="28"/>
          <w:szCs w:val="28"/>
        </w:rPr>
        <w:t xml:space="preserve"> abbia</w:t>
      </w:r>
      <w:r w:rsidR="00E2274A">
        <w:rPr>
          <w:rFonts w:ascii="Garamond" w:hAnsi="Garamond"/>
          <w:sz w:val="28"/>
          <w:szCs w:val="28"/>
        </w:rPr>
        <w:t xml:space="preserve"> definitivamente</w:t>
      </w:r>
      <w:r>
        <w:rPr>
          <w:rFonts w:ascii="Garamond" w:hAnsi="Garamond"/>
          <w:sz w:val="28"/>
          <w:szCs w:val="28"/>
        </w:rPr>
        <w:t xml:space="preserve"> ritenuto illegittimo il rifiuto opposto dalla Regione Lombardia </w:t>
      </w:r>
      <w:r w:rsidR="00E2274A">
        <w:rPr>
          <w:rFonts w:ascii="Garamond" w:hAnsi="Garamond"/>
          <w:sz w:val="28"/>
          <w:szCs w:val="28"/>
        </w:rPr>
        <w:t xml:space="preserve">alla richiesta, formulata dal tutore della ragazza, di indicare e predisporre una sanitaria struttura pubblica sanitaria, presso la quale potesse attuare il distacco del sondino nasogastrico al quale era stato autorizzato dal giudice tutelare, e </w:t>
      </w:r>
      <w:r w:rsidR="003A0901">
        <w:rPr>
          <w:rFonts w:ascii="Garamond" w:hAnsi="Garamond"/>
          <w:sz w:val="28"/>
          <w:szCs w:val="28"/>
        </w:rPr>
        <w:t xml:space="preserve">così attuare il rifiuto delle cure voluto da </w:t>
      </w:r>
      <w:proofErr w:type="spellStart"/>
      <w:r w:rsidR="003A0901">
        <w:rPr>
          <w:rFonts w:ascii="Garamond" w:hAnsi="Garamond"/>
          <w:sz w:val="28"/>
          <w:szCs w:val="28"/>
        </w:rPr>
        <w:t>Eluana</w:t>
      </w:r>
      <w:proofErr w:type="spellEnd"/>
      <w:r w:rsidR="003A0901">
        <w:rPr>
          <w:rFonts w:ascii="Garamond" w:hAnsi="Garamond"/>
          <w:sz w:val="28"/>
          <w:szCs w:val="28"/>
        </w:rPr>
        <w:t xml:space="preserve"> </w:t>
      </w:r>
      <w:proofErr w:type="spellStart"/>
      <w:r w:rsidR="003A0901">
        <w:rPr>
          <w:rFonts w:ascii="Garamond" w:hAnsi="Garamond"/>
          <w:sz w:val="28"/>
          <w:szCs w:val="28"/>
        </w:rPr>
        <w:t>Englaro</w:t>
      </w:r>
      <w:proofErr w:type="spellEnd"/>
      <w:r w:rsidR="003A0901">
        <w:rPr>
          <w:rFonts w:ascii="Garamond" w:hAnsi="Garamond"/>
          <w:sz w:val="28"/>
          <w:szCs w:val="28"/>
        </w:rPr>
        <w:t>.</w:t>
      </w:r>
    </w:p>
    <w:p w:rsidR="003A0901" w:rsidRPr="003A0901" w:rsidRDefault="003A0901" w:rsidP="003A0901">
      <w:pPr>
        <w:ind w:firstLine="709"/>
        <w:contextualSpacing/>
        <w:jc w:val="both"/>
        <w:rPr>
          <w:rFonts w:ascii="Garamond" w:hAnsi="Garamond"/>
          <w:sz w:val="28"/>
          <w:szCs w:val="28"/>
        </w:rPr>
      </w:pPr>
      <w:r>
        <w:rPr>
          <w:rFonts w:ascii="Garamond" w:hAnsi="Garamond"/>
          <w:sz w:val="28"/>
          <w:szCs w:val="28"/>
        </w:rPr>
        <w:t>Co</w:t>
      </w:r>
      <w:r w:rsidRPr="003A0901">
        <w:rPr>
          <w:rFonts w:ascii="Garamond" w:hAnsi="Garamond"/>
          <w:sz w:val="28"/>
          <w:szCs w:val="28"/>
        </w:rPr>
        <w:t>n una prima sentenza</w:t>
      </w:r>
      <w:r>
        <w:rPr>
          <w:rFonts w:ascii="Garamond" w:hAnsi="Garamond"/>
          <w:sz w:val="28"/>
          <w:szCs w:val="28"/>
        </w:rPr>
        <w:t>, nel 2014,</w:t>
      </w:r>
      <w:r w:rsidRPr="003A0901">
        <w:rPr>
          <w:rFonts w:ascii="Garamond" w:hAnsi="Garamond"/>
          <w:sz w:val="28"/>
          <w:szCs w:val="28"/>
        </w:rPr>
        <w:t xml:space="preserve"> il Consiglio di Stato ha</w:t>
      </w:r>
      <w:r w:rsidR="00067E0B">
        <w:rPr>
          <w:rFonts w:ascii="Garamond" w:hAnsi="Garamond"/>
          <w:sz w:val="28"/>
          <w:szCs w:val="28"/>
        </w:rPr>
        <w:t xml:space="preserve"> infatti</w:t>
      </w:r>
      <w:r w:rsidRPr="003A0901">
        <w:rPr>
          <w:rFonts w:ascii="Garamond" w:hAnsi="Garamond"/>
          <w:sz w:val="28"/>
          <w:szCs w:val="28"/>
        </w:rPr>
        <w:t xml:space="preserve"> annullato il provvedimento</w:t>
      </w:r>
      <w:r w:rsidR="00067E0B">
        <w:rPr>
          <w:rFonts w:ascii="Garamond" w:hAnsi="Garamond"/>
          <w:sz w:val="28"/>
          <w:szCs w:val="28"/>
        </w:rPr>
        <w:t xml:space="preserve"> regionale</w:t>
      </w:r>
      <w:r w:rsidRPr="003A0901">
        <w:rPr>
          <w:rFonts w:ascii="Garamond" w:hAnsi="Garamond"/>
          <w:sz w:val="28"/>
          <w:szCs w:val="28"/>
        </w:rPr>
        <w:t xml:space="preserve"> che aveva rifiutato di indicare una struttura ospedaliera pubblica</w:t>
      </w:r>
      <w:r>
        <w:rPr>
          <w:rFonts w:ascii="Garamond" w:hAnsi="Garamond"/>
          <w:sz w:val="28"/>
          <w:szCs w:val="28"/>
        </w:rPr>
        <w:t>,</w:t>
      </w:r>
      <w:r w:rsidRPr="003A0901">
        <w:rPr>
          <w:rFonts w:ascii="Garamond" w:hAnsi="Garamond"/>
          <w:sz w:val="28"/>
          <w:szCs w:val="28"/>
        </w:rPr>
        <w:t xml:space="preserve"> ove ricoverare la ragazza per attuare il distacco del sondino nasogastrico</w:t>
      </w:r>
      <w:r w:rsidRPr="003A0901">
        <w:rPr>
          <w:rFonts w:ascii="Garamond" w:hAnsi="Garamond"/>
          <w:sz w:val="28"/>
          <w:szCs w:val="28"/>
          <w:vertAlign w:val="superscript"/>
        </w:rPr>
        <w:footnoteReference w:id="16"/>
      </w:r>
      <w:r w:rsidRPr="003A0901">
        <w:rPr>
          <w:rFonts w:ascii="Garamond" w:hAnsi="Garamond"/>
          <w:sz w:val="28"/>
          <w:szCs w:val="28"/>
        </w:rPr>
        <w:t>, e con una seconda sentenza</w:t>
      </w:r>
      <w:r>
        <w:rPr>
          <w:rFonts w:ascii="Garamond" w:hAnsi="Garamond"/>
          <w:sz w:val="28"/>
          <w:szCs w:val="28"/>
        </w:rPr>
        <w:t>, nel 2017,</w:t>
      </w:r>
      <w:r w:rsidRPr="003A0901">
        <w:rPr>
          <w:rFonts w:ascii="Garamond" w:hAnsi="Garamond"/>
          <w:sz w:val="28"/>
          <w:szCs w:val="28"/>
        </w:rPr>
        <w:t xml:space="preserve"> ha condannato l’ente regionale a risarcire (anche) il danno non patrimoniale sofferto dalla paziente, per lesione del suo diritto alla salute, e dal genitore, per lesione del suo legame parentale, a cagione di tale illegittimo rifiuto</w:t>
      </w:r>
      <w:r w:rsidRPr="003A0901">
        <w:rPr>
          <w:rFonts w:ascii="Garamond" w:hAnsi="Garamond"/>
          <w:sz w:val="28"/>
          <w:szCs w:val="28"/>
          <w:vertAlign w:val="superscript"/>
        </w:rPr>
        <w:footnoteReference w:id="17"/>
      </w:r>
      <w:r w:rsidRPr="003A0901">
        <w:rPr>
          <w:rFonts w:ascii="Garamond" w:hAnsi="Garamond"/>
          <w:sz w:val="28"/>
          <w:szCs w:val="28"/>
        </w:rPr>
        <w:t>.</w:t>
      </w:r>
    </w:p>
    <w:p w:rsidR="003A0901" w:rsidRPr="003A0901" w:rsidRDefault="003A0901" w:rsidP="003A0901">
      <w:pPr>
        <w:ind w:firstLine="709"/>
        <w:contextualSpacing/>
        <w:jc w:val="both"/>
        <w:rPr>
          <w:rFonts w:ascii="Garamond" w:hAnsi="Garamond"/>
          <w:sz w:val="28"/>
          <w:szCs w:val="28"/>
        </w:rPr>
      </w:pPr>
      <w:r w:rsidRPr="003A0901">
        <w:rPr>
          <w:rFonts w:ascii="Garamond" w:hAnsi="Garamond"/>
          <w:sz w:val="28"/>
          <w:szCs w:val="28"/>
        </w:rPr>
        <w:t xml:space="preserve">In queste pronunce non solo si delinea una visione nuova del rapporto tra cittadino e l’amministrazione “di prestazione”, evidenziandosi una stretta connessione tra il diritto alla salute e l’organizzazione del servizio sanitario che, per così dire, </w:t>
      </w:r>
      <w:proofErr w:type="spellStart"/>
      <w:r w:rsidRPr="003A0901">
        <w:rPr>
          <w:rFonts w:ascii="Garamond" w:hAnsi="Garamond"/>
          <w:i/>
          <w:sz w:val="28"/>
          <w:szCs w:val="28"/>
        </w:rPr>
        <w:t>simul</w:t>
      </w:r>
      <w:proofErr w:type="spellEnd"/>
      <w:r w:rsidRPr="003A0901">
        <w:rPr>
          <w:rFonts w:ascii="Garamond" w:hAnsi="Garamond"/>
          <w:i/>
          <w:sz w:val="28"/>
          <w:szCs w:val="28"/>
        </w:rPr>
        <w:t xml:space="preserve"> </w:t>
      </w:r>
      <w:proofErr w:type="spellStart"/>
      <w:r w:rsidRPr="003A0901">
        <w:rPr>
          <w:rFonts w:ascii="Garamond" w:hAnsi="Garamond"/>
          <w:i/>
          <w:sz w:val="28"/>
          <w:szCs w:val="28"/>
        </w:rPr>
        <w:t>stabunt</w:t>
      </w:r>
      <w:proofErr w:type="spellEnd"/>
      <w:r w:rsidRPr="003A0901">
        <w:rPr>
          <w:rFonts w:ascii="Garamond" w:hAnsi="Garamond"/>
          <w:i/>
          <w:sz w:val="28"/>
          <w:szCs w:val="28"/>
        </w:rPr>
        <w:t xml:space="preserve">, </w:t>
      </w:r>
      <w:proofErr w:type="spellStart"/>
      <w:r w:rsidRPr="003A0901">
        <w:rPr>
          <w:rFonts w:ascii="Garamond" w:hAnsi="Garamond"/>
          <w:i/>
          <w:sz w:val="28"/>
          <w:szCs w:val="28"/>
        </w:rPr>
        <w:t>simul</w:t>
      </w:r>
      <w:proofErr w:type="spellEnd"/>
      <w:r w:rsidRPr="003A0901">
        <w:rPr>
          <w:rFonts w:ascii="Garamond" w:hAnsi="Garamond"/>
          <w:i/>
          <w:sz w:val="28"/>
          <w:szCs w:val="28"/>
        </w:rPr>
        <w:t xml:space="preserve"> </w:t>
      </w:r>
      <w:proofErr w:type="spellStart"/>
      <w:r w:rsidRPr="003A0901">
        <w:rPr>
          <w:rFonts w:ascii="Garamond" w:hAnsi="Garamond"/>
          <w:i/>
          <w:sz w:val="28"/>
          <w:szCs w:val="28"/>
        </w:rPr>
        <w:t>cadent</w:t>
      </w:r>
      <w:proofErr w:type="spellEnd"/>
      <w:r w:rsidRPr="003A0901">
        <w:rPr>
          <w:rFonts w:ascii="Garamond" w:hAnsi="Garamond"/>
          <w:sz w:val="28"/>
          <w:szCs w:val="28"/>
        </w:rPr>
        <w:t>, per essere almeno parte di tale relazione e del suo contenuto inevitabilmente «</w:t>
      </w:r>
      <w:r w:rsidRPr="003A0901">
        <w:rPr>
          <w:rFonts w:ascii="Garamond" w:hAnsi="Garamond"/>
          <w:i/>
          <w:sz w:val="28"/>
          <w:szCs w:val="28"/>
        </w:rPr>
        <w:t>affidata alla relazione fra il titolare del diritto e l’amministrazione</w:t>
      </w:r>
      <w:r w:rsidRPr="003A0901">
        <w:rPr>
          <w:rFonts w:ascii="Garamond" w:hAnsi="Garamond"/>
          <w:sz w:val="28"/>
          <w:szCs w:val="28"/>
        </w:rPr>
        <w:t>»</w:t>
      </w:r>
      <w:r w:rsidRPr="003A0901">
        <w:rPr>
          <w:rFonts w:ascii="Garamond" w:hAnsi="Garamond"/>
          <w:sz w:val="28"/>
          <w:szCs w:val="28"/>
          <w:vertAlign w:val="superscript"/>
        </w:rPr>
        <w:footnoteReference w:id="18"/>
      </w:r>
      <w:r w:rsidRPr="003A0901">
        <w:rPr>
          <w:rFonts w:ascii="Garamond" w:hAnsi="Garamond"/>
          <w:sz w:val="28"/>
          <w:szCs w:val="28"/>
        </w:rPr>
        <w:t xml:space="preserve"> ma traspare anche, sul piano delle responsabilità che incombono alla pubblica amministrazione, una nuova concezione dei compiti assegnati all’amministrazione stessa, nel conseguimento di risultati fondamentali per la tutela della persona e la realizzazione della sua dignità.</w:t>
      </w:r>
    </w:p>
    <w:p w:rsidR="003A0901" w:rsidRDefault="003A0901" w:rsidP="003A0901">
      <w:pPr>
        <w:ind w:firstLine="709"/>
        <w:contextualSpacing/>
        <w:jc w:val="both"/>
        <w:rPr>
          <w:rFonts w:ascii="Garamond" w:hAnsi="Garamond"/>
          <w:sz w:val="28"/>
          <w:szCs w:val="28"/>
        </w:rPr>
      </w:pPr>
      <w:r w:rsidRPr="003A0901">
        <w:rPr>
          <w:rFonts w:ascii="Garamond" w:hAnsi="Garamond"/>
          <w:sz w:val="28"/>
          <w:szCs w:val="28"/>
        </w:rPr>
        <w:t>Nella sentenza n. 3058 del 2017 il Consiglio di Stato, nell’interrogarsi sulla natura di questa responsabilità, ha affermato che l’interesse in gioco poteva essere inquadrato nella categoria degli interessi legittimi «</w:t>
      </w:r>
      <w:r w:rsidRPr="003A0901">
        <w:rPr>
          <w:rFonts w:ascii="Garamond" w:hAnsi="Garamond"/>
          <w:i/>
          <w:sz w:val="28"/>
          <w:szCs w:val="28"/>
        </w:rPr>
        <w:t>a risultato garantito</w:t>
      </w:r>
      <w:r w:rsidRPr="003A0901">
        <w:rPr>
          <w:rFonts w:ascii="Garamond" w:hAnsi="Garamond"/>
          <w:sz w:val="28"/>
          <w:szCs w:val="28"/>
        </w:rPr>
        <w:t>», non fosse altro per la ragione che la parte aveva titolo, all’esito del giudizio civile, all’ottenimento garantito del risultato al quale aspirava, conforme al diritto fondamentale riconosciutole</w:t>
      </w:r>
      <w:r w:rsidRPr="003A0901">
        <w:rPr>
          <w:rFonts w:ascii="Garamond" w:hAnsi="Garamond"/>
          <w:sz w:val="28"/>
          <w:szCs w:val="28"/>
          <w:vertAlign w:val="superscript"/>
        </w:rPr>
        <w:footnoteReference w:id="19"/>
      </w:r>
      <w:r w:rsidRPr="003A0901">
        <w:rPr>
          <w:rFonts w:ascii="Garamond" w:hAnsi="Garamond"/>
          <w:sz w:val="28"/>
          <w:szCs w:val="28"/>
        </w:rPr>
        <w:t>.</w:t>
      </w:r>
    </w:p>
    <w:p w:rsidR="00294B03" w:rsidRDefault="00067E0B" w:rsidP="00141B43">
      <w:pPr>
        <w:ind w:firstLine="709"/>
        <w:contextualSpacing/>
        <w:jc w:val="both"/>
        <w:rPr>
          <w:rFonts w:ascii="Garamond" w:hAnsi="Garamond"/>
          <w:sz w:val="28"/>
          <w:szCs w:val="28"/>
        </w:rPr>
      </w:pPr>
      <w:r>
        <w:rPr>
          <w:rFonts w:ascii="Garamond" w:hAnsi="Garamond"/>
          <w:sz w:val="28"/>
          <w:szCs w:val="28"/>
        </w:rPr>
        <w:t>L’orientamento assunto anche in sede giurisdizionale dal</w:t>
      </w:r>
      <w:r w:rsidR="00627FCB">
        <w:rPr>
          <w:rFonts w:ascii="Garamond" w:hAnsi="Garamond"/>
          <w:sz w:val="28"/>
          <w:szCs w:val="28"/>
        </w:rPr>
        <w:t xml:space="preserve"> </w:t>
      </w:r>
      <w:r w:rsidR="00CE0534">
        <w:rPr>
          <w:rFonts w:ascii="Garamond" w:hAnsi="Garamond"/>
          <w:sz w:val="28"/>
          <w:szCs w:val="28"/>
        </w:rPr>
        <w:t xml:space="preserve">Consiglio di Stato, conformemente, del resto, al quadro costituzionale e convenzionale in materia, muove nel senso di un pieno riconoscimento dell’autonomia decisionale del paziente nel rapporto di cura e fiducia – art. 1 della l. n. 219 del 2017 – instauratosi con il medico e la struttura sanitaria, in una visione di tale rapporto che, abbandonato l’antico schema del paternalismo medico, si fonda ora sull’alleanza terapeutica nella costruzione </w:t>
      </w:r>
      <w:r w:rsidR="001327E9">
        <w:rPr>
          <w:rFonts w:ascii="Garamond" w:hAnsi="Garamond"/>
          <w:sz w:val="28"/>
          <w:szCs w:val="28"/>
        </w:rPr>
        <w:t>della decisione sanitaria assunta da</w:t>
      </w:r>
      <w:r w:rsidR="000668F6">
        <w:rPr>
          <w:rFonts w:ascii="Garamond" w:hAnsi="Garamond"/>
          <w:sz w:val="28"/>
          <w:szCs w:val="28"/>
        </w:rPr>
        <w:t>l</w:t>
      </w:r>
      <w:r w:rsidR="001327E9">
        <w:rPr>
          <w:rFonts w:ascii="Garamond" w:hAnsi="Garamond"/>
          <w:sz w:val="28"/>
          <w:szCs w:val="28"/>
        </w:rPr>
        <w:t xml:space="preserve"> paziente.</w:t>
      </w:r>
    </w:p>
    <w:p w:rsidR="00CE0534" w:rsidRDefault="00CE0534" w:rsidP="00141B43">
      <w:pPr>
        <w:ind w:firstLine="709"/>
        <w:contextualSpacing/>
        <w:jc w:val="both"/>
        <w:rPr>
          <w:rFonts w:ascii="Garamond" w:hAnsi="Garamond"/>
          <w:sz w:val="28"/>
          <w:szCs w:val="28"/>
        </w:rPr>
      </w:pPr>
      <w:r>
        <w:rPr>
          <w:rFonts w:ascii="Garamond" w:hAnsi="Garamond"/>
          <w:sz w:val="28"/>
          <w:szCs w:val="28"/>
        </w:rPr>
        <w:t>Ma il margine di questa scelta, ha chiarito d’altro canto il Consigli</w:t>
      </w:r>
      <w:r w:rsidR="000668F6">
        <w:rPr>
          <w:rFonts w:ascii="Garamond" w:hAnsi="Garamond"/>
          <w:sz w:val="28"/>
          <w:szCs w:val="28"/>
        </w:rPr>
        <w:t>o di Stato, non è illimitato</w:t>
      </w:r>
      <w:r>
        <w:rPr>
          <w:rFonts w:ascii="Garamond" w:hAnsi="Garamond"/>
          <w:sz w:val="28"/>
          <w:szCs w:val="28"/>
        </w:rPr>
        <w:t xml:space="preserve"> perché la salute del paziente è, sì, diritto fondamentale dell’individuo, ma anche interesse della collettività, come espressamente prevede l’art. 32 </w:t>
      </w:r>
      <w:proofErr w:type="spellStart"/>
      <w:r>
        <w:rPr>
          <w:rFonts w:ascii="Garamond" w:hAnsi="Garamond"/>
          <w:sz w:val="28"/>
          <w:szCs w:val="28"/>
        </w:rPr>
        <w:t>Cost</w:t>
      </w:r>
      <w:proofErr w:type="spellEnd"/>
      <w:r>
        <w:rPr>
          <w:rFonts w:ascii="Garamond" w:hAnsi="Garamond"/>
          <w:sz w:val="28"/>
          <w:szCs w:val="28"/>
        </w:rPr>
        <w:t>.</w:t>
      </w:r>
    </w:p>
    <w:p w:rsidR="00CE0534" w:rsidRDefault="00CE0534" w:rsidP="00141B43">
      <w:pPr>
        <w:ind w:firstLine="709"/>
        <w:contextualSpacing/>
        <w:jc w:val="both"/>
        <w:rPr>
          <w:rFonts w:ascii="Garamond" w:hAnsi="Garamond"/>
          <w:sz w:val="28"/>
          <w:szCs w:val="28"/>
        </w:rPr>
      </w:pPr>
      <w:r>
        <w:rPr>
          <w:rFonts w:ascii="Garamond" w:hAnsi="Garamond"/>
          <w:sz w:val="28"/>
          <w:szCs w:val="28"/>
        </w:rPr>
        <w:t>Il giudice amministrativo ha perciò</w:t>
      </w:r>
      <w:r w:rsidR="00067E0B">
        <w:rPr>
          <w:rFonts w:ascii="Garamond" w:hAnsi="Garamond"/>
          <w:sz w:val="28"/>
          <w:szCs w:val="28"/>
        </w:rPr>
        <w:t xml:space="preserve"> sempre</w:t>
      </w:r>
      <w:r>
        <w:rPr>
          <w:rFonts w:ascii="Garamond" w:hAnsi="Garamond"/>
          <w:sz w:val="28"/>
          <w:szCs w:val="28"/>
        </w:rPr>
        <w:t xml:space="preserve"> rifiutato una visione incondizionatamente individualistica, radicale, estrema del diritto alla salute e ha rammentato che, se esso incontra un limite, è proprio nell’interesse della collettività e nel principio solidaristico (art. 2 </w:t>
      </w:r>
      <w:proofErr w:type="spellStart"/>
      <w:r>
        <w:rPr>
          <w:rFonts w:ascii="Garamond" w:hAnsi="Garamond"/>
          <w:sz w:val="28"/>
          <w:szCs w:val="28"/>
        </w:rPr>
        <w:t>Cost</w:t>
      </w:r>
      <w:proofErr w:type="spellEnd"/>
      <w:r>
        <w:rPr>
          <w:rFonts w:ascii="Garamond" w:hAnsi="Garamond"/>
          <w:sz w:val="28"/>
          <w:szCs w:val="28"/>
        </w:rPr>
        <w:t>.), altrettanto inviolabile per la nostra Costituzione, sì che la scelta sanitaria, di curarsi o, al contrario, di non curarsi, nel bilanciamento dei valori in gioco, non può recare nocumento o pericolo alla salute degli altri soggetti e, in particolar modo, dei soggetti più vulnerabili.</w:t>
      </w:r>
    </w:p>
    <w:p w:rsidR="000668F6" w:rsidRDefault="00CE0534" w:rsidP="00141B43">
      <w:pPr>
        <w:ind w:firstLine="709"/>
        <w:contextualSpacing/>
        <w:jc w:val="both"/>
        <w:rPr>
          <w:rFonts w:ascii="Garamond" w:hAnsi="Garamond"/>
          <w:sz w:val="28"/>
          <w:szCs w:val="28"/>
        </w:rPr>
      </w:pPr>
      <w:r>
        <w:rPr>
          <w:rFonts w:ascii="Garamond" w:hAnsi="Garamond"/>
          <w:sz w:val="28"/>
          <w:szCs w:val="28"/>
        </w:rPr>
        <w:t>La tutela dei soggetti deboli, in nome di questo indeclinabile principio della solidarietà, opera quale limite al riconoscimento di un diritto assoluto alla salute, incompatibile con la gerarchia mobile dei valori, posta a base della nostra Costituzione, che ha, sì, al suo vertice la dignità della persona, ma non di una persona astratta, bensì della singola persona e, dunque, anzitutto di quella più debole e bisognosa di protezione, d</w:t>
      </w:r>
      <w:r w:rsidR="000668F6">
        <w:rPr>
          <w:rFonts w:ascii="Garamond" w:hAnsi="Garamond"/>
          <w:sz w:val="28"/>
          <w:szCs w:val="28"/>
        </w:rPr>
        <w:t>a parte dell’ordinamento</w:t>
      </w:r>
      <w:r w:rsidR="003A0901">
        <w:rPr>
          <w:rStyle w:val="Rimandonotaapidipagina"/>
          <w:rFonts w:ascii="Garamond" w:hAnsi="Garamond"/>
          <w:sz w:val="28"/>
          <w:szCs w:val="28"/>
        </w:rPr>
        <w:footnoteReference w:id="20"/>
      </w:r>
      <w:r w:rsidR="000668F6">
        <w:rPr>
          <w:rFonts w:ascii="Garamond" w:hAnsi="Garamond"/>
          <w:sz w:val="28"/>
          <w:szCs w:val="28"/>
        </w:rPr>
        <w:t>.</w:t>
      </w:r>
    </w:p>
    <w:p w:rsidR="00CE0534" w:rsidRDefault="000668F6" w:rsidP="00141B43">
      <w:pPr>
        <w:ind w:firstLine="709"/>
        <w:contextualSpacing/>
        <w:jc w:val="both"/>
        <w:rPr>
          <w:rFonts w:ascii="Garamond" w:hAnsi="Garamond"/>
          <w:sz w:val="28"/>
          <w:szCs w:val="28"/>
        </w:rPr>
      </w:pPr>
      <w:r>
        <w:rPr>
          <w:rFonts w:ascii="Garamond" w:hAnsi="Garamond"/>
          <w:sz w:val="28"/>
          <w:szCs w:val="28"/>
        </w:rPr>
        <w:t>Insomma</w:t>
      </w:r>
      <w:r w:rsidR="00CE0534">
        <w:rPr>
          <w:rFonts w:ascii="Garamond" w:hAnsi="Garamond"/>
          <w:sz w:val="28"/>
          <w:szCs w:val="28"/>
        </w:rPr>
        <w:t xml:space="preserve"> la scelta sulla propria salute fatta dal singolo, tendenzialmente inviolabile perché massima espressione della sua dignità, non può costituire una minaccia per </w:t>
      </w:r>
      <w:r w:rsidR="00B7689E">
        <w:rPr>
          <w:rFonts w:ascii="Garamond" w:hAnsi="Garamond"/>
          <w:sz w:val="28"/>
          <w:szCs w:val="28"/>
        </w:rPr>
        <w:t>un altro soggetto</w:t>
      </w:r>
      <w:r w:rsidR="001327E9">
        <w:rPr>
          <w:rFonts w:ascii="Garamond" w:hAnsi="Garamond"/>
          <w:sz w:val="28"/>
          <w:szCs w:val="28"/>
        </w:rPr>
        <w:t>, se vulnerabile,</w:t>
      </w:r>
      <w:r w:rsidR="00B7689E">
        <w:rPr>
          <w:rFonts w:ascii="Garamond" w:hAnsi="Garamond"/>
          <w:sz w:val="28"/>
          <w:szCs w:val="28"/>
        </w:rPr>
        <w:t xml:space="preserve"> e metterne a rischio la salute.</w:t>
      </w:r>
    </w:p>
    <w:p w:rsidR="00CE0534" w:rsidRDefault="00CE0534" w:rsidP="00141B43">
      <w:pPr>
        <w:ind w:firstLine="709"/>
        <w:contextualSpacing/>
        <w:jc w:val="both"/>
        <w:rPr>
          <w:rFonts w:ascii="Garamond" w:hAnsi="Garamond"/>
          <w:sz w:val="28"/>
          <w:szCs w:val="28"/>
        </w:rPr>
      </w:pPr>
      <w:r>
        <w:rPr>
          <w:rFonts w:ascii="Garamond" w:hAnsi="Garamond"/>
          <w:sz w:val="28"/>
          <w:szCs w:val="28"/>
        </w:rPr>
        <w:t>Questa minaccia costituisce il fondamento e il limite dell’intervento autoritativo in materia sanitaria</w:t>
      </w:r>
      <w:r w:rsidR="00B7689E">
        <w:rPr>
          <w:rFonts w:ascii="Garamond" w:hAnsi="Garamond"/>
          <w:sz w:val="28"/>
          <w:szCs w:val="28"/>
        </w:rPr>
        <w:t xml:space="preserve"> in una società democratica</w:t>
      </w:r>
      <w:r>
        <w:rPr>
          <w:rFonts w:ascii="Garamond" w:hAnsi="Garamond"/>
          <w:sz w:val="28"/>
          <w:szCs w:val="28"/>
        </w:rPr>
        <w:t>, proprio in virtù del principio solidaristico.</w:t>
      </w:r>
    </w:p>
    <w:p w:rsidR="001327E9" w:rsidRDefault="001327E9" w:rsidP="00141B43">
      <w:pPr>
        <w:ind w:firstLine="709"/>
        <w:contextualSpacing/>
        <w:jc w:val="both"/>
        <w:rPr>
          <w:rFonts w:ascii="Garamond" w:hAnsi="Garamond"/>
          <w:sz w:val="28"/>
          <w:szCs w:val="28"/>
        </w:rPr>
      </w:pPr>
      <w:r>
        <w:rPr>
          <w:rFonts w:ascii="Garamond" w:hAnsi="Garamond"/>
          <w:sz w:val="28"/>
          <w:szCs w:val="28"/>
        </w:rPr>
        <w:t>L’obbligatorietà dei trattamenti sanitari</w:t>
      </w:r>
      <w:r w:rsidR="00FB5DA1">
        <w:rPr>
          <w:rFonts w:ascii="Garamond" w:hAnsi="Garamond"/>
          <w:sz w:val="28"/>
          <w:szCs w:val="28"/>
        </w:rPr>
        <w:t xml:space="preserve"> (art. 32, comma secondo, </w:t>
      </w:r>
      <w:proofErr w:type="spellStart"/>
      <w:r w:rsidR="00FB5DA1">
        <w:rPr>
          <w:rFonts w:ascii="Garamond" w:hAnsi="Garamond"/>
          <w:sz w:val="28"/>
          <w:szCs w:val="28"/>
        </w:rPr>
        <w:t>Cost</w:t>
      </w:r>
      <w:proofErr w:type="spellEnd"/>
      <w:r w:rsidR="00FB5DA1">
        <w:rPr>
          <w:rFonts w:ascii="Garamond" w:hAnsi="Garamond"/>
          <w:sz w:val="28"/>
          <w:szCs w:val="28"/>
        </w:rPr>
        <w:t>.)</w:t>
      </w:r>
      <w:r>
        <w:rPr>
          <w:rFonts w:ascii="Garamond" w:hAnsi="Garamond"/>
          <w:sz w:val="28"/>
          <w:szCs w:val="28"/>
        </w:rPr>
        <w:t>, misura eccezionale nel nostro ordinamento rispetto alla libertà di cura o di non cura</w:t>
      </w:r>
      <w:r w:rsidR="000668F6">
        <w:rPr>
          <w:rFonts w:ascii="Garamond" w:hAnsi="Garamond"/>
          <w:sz w:val="28"/>
          <w:szCs w:val="28"/>
        </w:rPr>
        <w:t xml:space="preserve"> espressa dal consenso informato</w:t>
      </w:r>
      <w:r>
        <w:rPr>
          <w:rFonts w:ascii="Garamond" w:hAnsi="Garamond"/>
          <w:sz w:val="28"/>
          <w:szCs w:val="28"/>
        </w:rPr>
        <w:t>, non deve trovare solo una garanzia formale, a livello di fonte primaria, nella riserva di legge, ma</w:t>
      </w:r>
      <w:r w:rsidR="000668F6">
        <w:rPr>
          <w:rFonts w:ascii="Garamond" w:hAnsi="Garamond"/>
          <w:sz w:val="28"/>
          <w:szCs w:val="28"/>
        </w:rPr>
        <w:t xml:space="preserve"> anche e soprattutto</w:t>
      </w:r>
      <w:r>
        <w:rPr>
          <w:rFonts w:ascii="Garamond" w:hAnsi="Garamond"/>
          <w:sz w:val="28"/>
          <w:szCs w:val="28"/>
        </w:rPr>
        <w:t xml:space="preserve"> un fondamento sostanziale, a livello costituzionale, nel principio solidaristico.</w:t>
      </w:r>
    </w:p>
    <w:p w:rsidR="00D92897" w:rsidRDefault="00D92897" w:rsidP="00D92897">
      <w:pPr>
        <w:ind w:firstLine="709"/>
        <w:contextualSpacing/>
        <w:jc w:val="both"/>
        <w:rPr>
          <w:rFonts w:ascii="Garamond" w:hAnsi="Garamond"/>
          <w:sz w:val="28"/>
          <w:szCs w:val="28"/>
        </w:rPr>
      </w:pPr>
      <w:r>
        <w:rPr>
          <w:rFonts w:ascii="Garamond" w:hAnsi="Garamond"/>
          <w:sz w:val="28"/>
          <w:szCs w:val="28"/>
        </w:rPr>
        <w:t>Non ci si riferisce solo al tema, sempre di grande attualità, dei trattamenti sanitari obbligatori</w:t>
      </w:r>
      <w:r w:rsidR="001327E9">
        <w:rPr>
          <w:rFonts w:ascii="Garamond" w:hAnsi="Garamond"/>
          <w:sz w:val="28"/>
          <w:szCs w:val="28"/>
        </w:rPr>
        <w:t xml:space="preserve"> sui pazienti psichiatrici</w:t>
      </w:r>
      <w:r>
        <w:rPr>
          <w:rFonts w:ascii="Garamond" w:hAnsi="Garamond"/>
          <w:sz w:val="28"/>
          <w:szCs w:val="28"/>
        </w:rPr>
        <w:t>,</w:t>
      </w:r>
      <w:r w:rsidR="00567289">
        <w:rPr>
          <w:rFonts w:ascii="Garamond" w:hAnsi="Garamond"/>
          <w:sz w:val="28"/>
          <w:szCs w:val="28"/>
        </w:rPr>
        <w:t xml:space="preserve"> pure previsti dall’art. 32, comma secondo, </w:t>
      </w:r>
      <w:proofErr w:type="spellStart"/>
      <w:proofErr w:type="gramStart"/>
      <w:r w:rsidR="00567289">
        <w:rPr>
          <w:rFonts w:ascii="Garamond" w:hAnsi="Garamond"/>
          <w:sz w:val="28"/>
          <w:szCs w:val="28"/>
        </w:rPr>
        <w:t>Cost</w:t>
      </w:r>
      <w:proofErr w:type="spellEnd"/>
      <w:r w:rsidR="00567289">
        <w:rPr>
          <w:rFonts w:ascii="Garamond" w:hAnsi="Garamond"/>
          <w:sz w:val="28"/>
          <w:szCs w:val="28"/>
        </w:rPr>
        <w:t>.,</w:t>
      </w:r>
      <w:proofErr w:type="gramEnd"/>
      <w:r>
        <w:rPr>
          <w:rFonts w:ascii="Garamond" w:hAnsi="Garamond"/>
          <w:sz w:val="28"/>
          <w:szCs w:val="28"/>
        </w:rPr>
        <w:t xml:space="preserve"> con il loro tasso di coercizione sulla persona spesso elevatissimo</w:t>
      </w:r>
      <w:r w:rsidR="00BD3E78">
        <w:rPr>
          <w:rStyle w:val="Rimandonotaapidipagina"/>
          <w:rFonts w:ascii="Garamond" w:hAnsi="Garamond"/>
          <w:sz w:val="28"/>
          <w:szCs w:val="28"/>
        </w:rPr>
        <w:footnoteReference w:id="21"/>
      </w:r>
      <w:r>
        <w:rPr>
          <w:rFonts w:ascii="Garamond" w:hAnsi="Garamond"/>
          <w:sz w:val="28"/>
          <w:szCs w:val="28"/>
        </w:rPr>
        <w:t xml:space="preserve"> e, talvolta, drammatico, come mostra il problema, sempre avvert</w:t>
      </w:r>
      <w:r w:rsidR="00BE04BF">
        <w:rPr>
          <w:rFonts w:ascii="Garamond" w:hAnsi="Garamond"/>
          <w:sz w:val="28"/>
          <w:szCs w:val="28"/>
        </w:rPr>
        <w:t>ito nella giurisprudenza penale</w:t>
      </w:r>
      <w:r>
        <w:rPr>
          <w:rFonts w:ascii="Garamond" w:hAnsi="Garamond"/>
          <w:sz w:val="28"/>
          <w:szCs w:val="28"/>
        </w:rPr>
        <w:t>, della c.d. contenzione meccanica sul paziente psichiatrico</w:t>
      </w:r>
      <w:r w:rsidR="001327E9">
        <w:rPr>
          <w:rFonts w:ascii="Garamond" w:hAnsi="Garamond"/>
          <w:sz w:val="28"/>
          <w:szCs w:val="28"/>
        </w:rPr>
        <w:t xml:space="preserve"> violento o pericoloso, per sé e per gli altri</w:t>
      </w:r>
      <w:r w:rsidR="008951A1">
        <w:rPr>
          <w:rStyle w:val="Rimandonotaapidipagina"/>
          <w:rFonts w:ascii="Garamond" w:hAnsi="Garamond"/>
          <w:sz w:val="28"/>
          <w:szCs w:val="28"/>
        </w:rPr>
        <w:footnoteReference w:id="22"/>
      </w:r>
      <w:r>
        <w:rPr>
          <w:rFonts w:ascii="Garamond" w:hAnsi="Garamond"/>
          <w:sz w:val="28"/>
          <w:szCs w:val="28"/>
        </w:rPr>
        <w:t>.</w:t>
      </w:r>
    </w:p>
    <w:p w:rsidR="00B7689E" w:rsidRDefault="00B7689E" w:rsidP="00D92897">
      <w:pPr>
        <w:ind w:firstLine="709"/>
        <w:contextualSpacing/>
        <w:jc w:val="both"/>
        <w:rPr>
          <w:rFonts w:ascii="Garamond" w:hAnsi="Garamond"/>
          <w:sz w:val="28"/>
          <w:szCs w:val="28"/>
        </w:rPr>
      </w:pPr>
      <w:r>
        <w:rPr>
          <w:rFonts w:ascii="Garamond" w:hAnsi="Garamond"/>
          <w:sz w:val="28"/>
          <w:szCs w:val="28"/>
        </w:rPr>
        <w:t>Né si allude solo, come si dirà al termine di questa breve analisi, al rapporto tra dir</w:t>
      </w:r>
      <w:r w:rsidR="001327E9">
        <w:rPr>
          <w:rFonts w:ascii="Garamond" w:hAnsi="Garamond"/>
          <w:sz w:val="28"/>
          <w:szCs w:val="28"/>
        </w:rPr>
        <w:t>itto di non curarsi e aiuto al suicidio nel complesso percorso che dovrebbe condurre al riconoscimento dell’eutanasia</w:t>
      </w:r>
      <w:r>
        <w:rPr>
          <w:rFonts w:ascii="Garamond" w:hAnsi="Garamond"/>
          <w:sz w:val="28"/>
          <w:szCs w:val="28"/>
        </w:rPr>
        <w:t>, pure esaminato dalla Corte costituzionale nella recente ordinanza n. 207 del 16 novembre 2018</w:t>
      </w:r>
      <w:r w:rsidR="00067E0B">
        <w:rPr>
          <w:rStyle w:val="Rimandonotaapidipagina"/>
          <w:rFonts w:ascii="Garamond" w:hAnsi="Garamond"/>
          <w:sz w:val="28"/>
          <w:szCs w:val="28"/>
        </w:rPr>
        <w:footnoteReference w:id="23"/>
      </w:r>
      <w:r>
        <w:rPr>
          <w:rFonts w:ascii="Garamond" w:hAnsi="Garamond"/>
          <w:sz w:val="28"/>
          <w:szCs w:val="28"/>
        </w:rPr>
        <w:t>.</w:t>
      </w:r>
    </w:p>
    <w:p w:rsidR="00BE04BF" w:rsidRDefault="00D92897" w:rsidP="00B7689E">
      <w:pPr>
        <w:ind w:firstLine="709"/>
        <w:contextualSpacing/>
        <w:jc w:val="both"/>
        <w:rPr>
          <w:rFonts w:ascii="Garamond" w:hAnsi="Garamond"/>
          <w:sz w:val="28"/>
          <w:szCs w:val="28"/>
        </w:rPr>
      </w:pPr>
      <w:r>
        <w:rPr>
          <w:rFonts w:ascii="Garamond" w:hAnsi="Garamond"/>
          <w:sz w:val="28"/>
          <w:szCs w:val="28"/>
        </w:rPr>
        <w:t>Ci si riferisce</w:t>
      </w:r>
      <w:r w:rsidR="001327E9">
        <w:rPr>
          <w:rFonts w:ascii="Garamond" w:hAnsi="Garamond"/>
          <w:sz w:val="28"/>
          <w:szCs w:val="28"/>
        </w:rPr>
        <w:t xml:space="preserve"> qui in particolare</w:t>
      </w:r>
      <w:r>
        <w:rPr>
          <w:rFonts w:ascii="Garamond" w:hAnsi="Garamond"/>
          <w:sz w:val="28"/>
          <w:szCs w:val="28"/>
        </w:rPr>
        <w:t xml:space="preserve"> al tema</w:t>
      </w:r>
      <w:r w:rsidR="00BE04BF">
        <w:rPr>
          <w:rFonts w:ascii="Garamond" w:hAnsi="Garamond"/>
          <w:sz w:val="28"/>
          <w:szCs w:val="28"/>
        </w:rPr>
        <w:t xml:space="preserve">, di ancora maggior attualità, delle vaccinazioni obbligatorie, sulle quali è intervento di recente il legislatore con il </w:t>
      </w:r>
      <w:proofErr w:type="spellStart"/>
      <w:r w:rsidR="00BE04BF">
        <w:rPr>
          <w:rFonts w:ascii="Garamond" w:hAnsi="Garamond"/>
          <w:sz w:val="28"/>
          <w:szCs w:val="28"/>
        </w:rPr>
        <w:t>d.l.</w:t>
      </w:r>
      <w:proofErr w:type="spellEnd"/>
      <w:r w:rsidR="00BE04BF">
        <w:rPr>
          <w:rFonts w:ascii="Garamond" w:hAnsi="Garamond"/>
          <w:sz w:val="28"/>
          <w:szCs w:val="28"/>
        </w:rPr>
        <w:t xml:space="preserve"> n. </w:t>
      </w:r>
      <w:r w:rsidR="00B7689E">
        <w:rPr>
          <w:rFonts w:ascii="Garamond" w:hAnsi="Garamond"/>
          <w:sz w:val="28"/>
          <w:szCs w:val="28"/>
        </w:rPr>
        <w:t>93 del 2017,</w:t>
      </w:r>
      <w:r w:rsidR="003A2AA3">
        <w:rPr>
          <w:rFonts w:ascii="Garamond" w:hAnsi="Garamond"/>
          <w:sz w:val="28"/>
          <w:szCs w:val="28"/>
        </w:rPr>
        <w:t xml:space="preserve"> </w:t>
      </w:r>
      <w:proofErr w:type="spellStart"/>
      <w:r w:rsidR="003A2AA3">
        <w:rPr>
          <w:rFonts w:ascii="Garamond" w:hAnsi="Garamond"/>
          <w:sz w:val="28"/>
          <w:szCs w:val="28"/>
        </w:rPr>
        <w:t>conv</w:t>
      </w:r>
      <w:proofErr w:type="spellEnd"/>
      <w:r w:rsidR="003A2AA3">
        <w:rPr>
          <w:rFonts w:ascii="Garamond" w:hAnsi="Garamond"/>
          <w:sz w:val="28"/>
          <w:szCs w:val="28"/>
        </w:rPr>
        <w:t xml:space="preserve">. </w:t>
      </w:r>
      <w:proofErr w:type="gramStart"/>
      <w:r w:rsidR="003A2AA3">
        <w:rPr>
          <w:rFonts w:ascii="Garamond" w:hAnsi="Garamond"/>
          <w:sz w:val="28"/>
          <w:szCs w:val="28"/>
        </w:rPr>
        <w:t>con</w:t>
      </w:r>
      <w:proofErr w:type="gramEnd"/>
      <w:r w:rsidR="003A2AA3">
        <w:rPr>
          <w:rFonts w:ascii="Garamond" w:hAnsi="Garamond"/>
          <w:sz w:val="28"/>
          <w:szCs w:val="28"/>
        </w:rPr>
        <w:t xml:space="preserve"> </w:t>
      </w:r>
      <w:proofErr w:type="spellStart"/>
      <w:r w:rsidR="003A2AA3">
        <w:rPr>
          <w:rFonts w:ascii="Garamond" w:hAnsi="Garamond"/>
          <w:sz w:val="28"/>
          <w:szCs w:val="28"/>
        </w:rPr>
        <w:t>mod</w:t>
      </w:r>
      <w:proofErr w:type="spellEnd"/>
      <w:r w:rsidR="003A2AA3">
        <w:rPr>
          <w:rFonts w:ascii="Garamond" w:hAnsi="Garamond"/>
          <w:sz w:val="28"/>
          <w:szCs w:val="28"/>
        </w:rPr>
        <w:t>. in l. n. 119 del 2017,</w:t>
      </w:r>
      <w:r w:rsidR="000668F6">
        <w:rPr>
          <w:rFonts w:ascii="Garamond" w:hAnsi="Garamond"/>
          <w:sz w:val="28"/>
          <w:szCs w:val="28"/>
        </w:rPr>
        <w:t xml:space="preserve"> che con un deciso – ma invero non inaspettato –</w:t>
      </w:r>
      <w:r w:rsidR="00B7689E">
        <w:rPr>
          <w:rFonts w:ascii="Garamond" w:hAnsi="Garamond"/>
          <w:sz w:val="28"/>
          <w:szCs w:val="28"/>
        </w:rPr>
        <w:t xml:space="preserve"> cambio d</w:t>
      </w:r>
      <w:r w:rsidR="003A2AA3">
        <w:rPr>
          <w:rFonts w:ascii="Garamond" w:hAnsi="Garamond"/>
          <w:sz w:val="28"/>
          <w:szCs w:val="28"/>
        </w:rPr>
        <w:t>i rotta è passato dalla strategia</w:t>
      </w:r>
      <w:r w:rsidR="00B7689E">
        <w:rPr>
          <w:rFonts w:ascii="Garamond" w:hAnsi="Garamond"/>
          <w:sz w:val="28"/>
          <w:szCs w:val="28"/>
        </w:rPr>
        <w:t xml:space="preserve"> della persuasione a quello della obbligatorietà per quanto attiene ad alcune tipologie di vaccinazioni</w:t>
      </w:r>
      <w:r w:rsidR="00C148BF">
        <w:rPr>
          <w:rStyle w:val="Rimandonotaapidipagina"/>
          <w:rFonts w:ascii="Garamond" w:hAnsi="Garamond"/>
          <w:sz w:val="28"/>
          <w:szCs w:val="28"/>
        </w:rPr>
        <w:footnoteReference w:id="24"/>
      </w:r>
      <w:r w:rsidR="00B7689E">
        <w:rPr>
          <w:rFonts w:ascii="Garamond" w:hAnsi="Garamond"/>
          <w:sz w:val="28"/>
          <w:szCs w:val="28"/>
        </w:rPr>
        <w:t>.</w:t>
      </w:r>
    </w:p>
    <w:p w:rsidR="00D17866" w:rsidRDefault="00D17866" w:rsidP="00B7689E">
      <w:pPr>
        <w:ind w:firstLine="709"/>
        <w:contextualSpacing/>
        <w:jc w:val="both"/>
        <w:rPr>
          <w:rFonts w:ascii="Garamond" w:hAnsi="Garamond"/>
          <w:sz w:val="28"/>
          <w:szCs w:val="28"/>
        </w:rPr>
      </w:pPr>
      <w:r>
        <w:rPr>
          <w:rFonts w:ascii="Garamond" w:hAnsi="Garamond"/>
          <w:sz w:val="28"/>
          <w:szCs w:val="28"/>
        </w:rPr>
        <w:t xml:space="preserve">Il legislatore ha abbandonato insomma la logica della persuasione, della “spinta gentile” (c.d. </w:t>
      </w:r>
      <w:proofErr w:type="spellStart"/>
      <w:r>
        <w:rPr>
          <w:rFonts w:ascii="Garamond" w:hAnsi="Garamond"/>
          <w:i/>
          <w:sz w:val="28"/>
          <w:szCs w:val="28"/>
        </w:rPr>
        <w:t>nudge</w:t>
      </w:r>
      <w:proofErr w:type="spellEnd"/>
      <w:r>
        <w:rPr>
          <w:rFonts w:ascii="Garamond" w:hAnsi="Garamond"/>
          <w:sz w:val="28"/>
          <w:szCs w:val="28"/>
        </w:rPr>
        <w:t>)</w:t>
      </w:r>
      <w:r>
        <w:rPr>
          <w:rStyle w:val="Rimandonotaapidipagina"/>
          <w:rFonts w:ascii="Garamond" w:hAnsi="Garamond"/>
          <w:sz w:val="28"/>
          <w:szCs w:val="28"/>
        </w:rPr>
        <w:footnoteReference w:id="25"/>
      </w:r>
      <w:r>
        <w:rPr>
          <w:rFonts w:ascii="Garamond" w:hAnsi="Garamond"/>
          <w:sz w:val="28"/>
          <w:szCs w:val="28"/>
        </w:rPr>
        <w:t>, per indirizzarsi a quella dell’obbligo in un panorama internazionale che vede alcuni ordinamenti privilegiare la tecnica del convincimento e altri, invece, quella dell’imposizione</w:t>
      </w:r>
      <w:r w:rsidR="007D6EBC">
        <w:rPr>
          <w:rStyle w:val="Rimandonotaapidipagina"/>
          <w:rFonts w:ascii="Garamond" w:hAnsi="Garamond"/>
          <w:sz w:val="28"/>
          <w:szCs w:val="28"/>
        </w:rPr>
        <w:footnoteReference w:id="26"/>
      </w:r>
      <w:r w:rsidR="00EC6866">
        <w:rPr>
          <w:rFonts w:ascii="Garamond" w:hAnsi="Garamond"/>
          <w:sz w:val="28"/>
          <w:szCs w:val="28"/>
        </w:rPr>
        <w:t>.</w:t>
      </w:r>
    </w:p>
    <w:p w:rsidR="00B7689E" w:rsidRDefault="00B7689E" w:rsidP="00B7689E">
      <w:pPr>
        <w:ind w:firstLine="709"/>
        <w:contextualSpacing/>
        <w:jc w:val="both"/>
        <w:rPr>
          <w:rFonts w:ascii="Garamond" w:hAnsi="Garamond"/>
          <w:sz w:val="28"/>
          <w:szCs w:val="28"/>
        </w:rPr>
      </w:pPr>
      <w:r>
        <w:rPr>
          <w:rFonts w:ascii="Garamond" w:hAnsi="Garamond"/>
          <w:sz w:val="28"/>
          <w:szCs w:val="28"/>
        </w:rPr>
        <w:t>È</w:t>
      </w:r>
      <w:r w:rsidR="00D7232B">
        <w:rPr>
          <w:rFonts w:ascii="Garamond" w:hAnsi="Garamond"/>
          <w:sz w:val="28"/>
          <w:szCs w:val="28"/>
        </w:rPr>
        <w:t xml:space="preserve"> ben</w:t>
      </w:r>
      <w:r>
        <w:rPr>
          <w:rFonts w:ascii="Garamond" w:hAnsi="Garamond"/>
          <w:sz w:val="28"/>
          <w:szCs w:val="28"/>
        </w:rPr>
        <w:t xml:space="preserve"> noto che il tema è stato indagato, e a fondo,</w:t>
      </w:r>
      <w:r w:rsidR="00217511">
        <w:rPr>
          <w:rFonts w:ascii="Garamond" w:hAnsi="Garamond"/>
          <w:sz w:val="28"/>
          <w:szCs w:val="28"/>
        </w:rPr>
        <w:t xml:space="preserve"> dalla Corte costituzionale nella sentenza n. 5 del 18 gennaio 2018</w:t>
      </w:r>
      <w:r w:rsidR="00795B6D">
        <w:rPr>
          <w:rStyle w:val="Rimandonotaapidipagina"/>
          <w:rFonts w:ascii="Garamond" w:hAnsi="Garamond"/>
          <w:sz w:val="28"/>
          <w:szCs w:val="28"/>
        </w:rPr>
        <w:footnoteReference w:id="27"/>
      </w:r>
      <w:r w:rsidR="00217511">
        <w:rPr>
          <w:rFonts w:ascii="Garamond" w:hAnsi="Garamond"/>
          <w:sz w:val="28"/>
          <w:szCs w:val="28"/>
        </w:rPr>
        <w:t>.</w:t>
      </w:r>
    </w:p>
    <w:p w:rsidR="00D17866" w:rsidRPr="00D17866" w:rsidRDefault="001D62D4" w:rsidP="00D17866">
      <w:pPr>
        <w:ind w:firstLine="709"/>
        <w:contextualSpacing/>
        <w:jc w:val="both"/>
        <w:rPr>
          <w:rFonts w:ascii="Garamond" w:hAnsi="Garamond"/>
          <w:sz w:val="28"/>
          <w:szCs w:val="28"/>
        </w:rPr>
      </w:pPr>
      <w:r>
        <w:rPr>
          <w:rFonts w:ascii="Garamond" w:hAnsi="Garamond"/>
          <w:sz w:val="28"/>
          <w:szCs w:val="28"/>
        </w:rPr>
        <w:t>Il giudice delle leggi ha ritenuto compatibile</w:t>
      </w:r>
      <w:r w:rsidR="00EC6866">
        <w:rPr>
          <w:rFonts w:ascii="Garamond" w:hAnsi="Garamond"/>
          <w:sz w:val="28"/>
          <w:szCs w:val="28"/>
        </w:rPr>
        <w:t xml:space="preserve"> con il quadro costituzionale</w:t>
      </w:r>
      <w:r>
        <w:rPr>
          <w:rFonts w:ascii="Garamond" w:hAnsi="Garamond"/>
          <w:sz w:val="28"/>
          <w:szCs w:val="28"/>
        </w:rPr>
        <w:t xml:space="preserve"> l’intervento autoritativo del legislatore in questa materia e la ripristinata obbligatorietà </w:t>
      </w:r>
      <w:r w:rsidR="00A320CA">
        <w:rPr>
          <w:rFonts w:ascii="Garamond" w:hAnsi="Garamond"/>
          <w:sz w:val="28"/>
          <w:szCs w:val="28"/>
        </w:rPr>
        <w:t>delle vaccinazioni facendo leva, tra gli altri argomenti,</w:t>
      </w:r>
      <w:r w:rsidR="000668F6">
        <w:rPr>
          <w:rFonts w:ascii="Garamond" w:hAnsi="Garamond"/>
          <w:sz w:val="28"/>
          <w:szCs w:val="28"/>
        </w:rPr>
        <w:t xml:space="preserve"> proprio</w:t>
      </w:r>
      <w:r w:rsidR="00A320CA">
        <w:rPr>
          <w:rFonts w:ascii="Garamond" w:hAnsi="Garamond"/>
          <w:sz w:val="28"/>
          <w:szCs w:val="28"/>
        </w:rPr>
        <w:t xml:space="preserve"> sulla considerazione per la quale </w:t>
      </w:r>
      <w:r w:rsidR="00935DEC">
        <w:rPr>
          <w:rFonts w:ascii="Garamond" w:hAnsi="Garamond"/>
          <w:sz w:val="28"/>
          <w:szCs w:val="28"/>
        </w:rPr>
        <w:t>il diritto alla salute incontra un limite nella tutela dei soggetti più deboli.</w:t>
      </w:r>
    </w:p>
    <w:p w:rsidR="00935DEC" w:rsidRPr="00935DEC" w:rsidRDefault="00935DEC" w:rsidP="00935DEC">
      <w:pPr>
        <w:ind w:firstLine="709"/>
        <w:contextualSpacing/>
        <w:jc w:val="both"/>
        <w:rPr>
          <w:rFonts w:ascii="Garamond" w:hAnsi="Garamond"/>
          <w:sz w:val="28"/>
          <w:szCs w:val="28"/>
        </w:rPr>
      </w:pPr>
      <w:r>
        <w:rPr>
          <w:rFonts w:ascii="Garamond" w:hAnsi="Garamond"/>
          <w:sz w:val="28"/>
          <w:szCs w:val="28"/>
        </w:rPr>
        <w:t>L</w:t>
      </w:r>
      <w:r w:rsidRPr="00935DEC">
        <w:rPr>
          <w:rFonts w:ascii="Garamond" w:hAnsi="Garamond"/>
          <w:sz w:val="28"/>
          <w:szCs w:val="28"/>
        </w:rPr>
        <w:t>a</w:t>
      </w:r>
      <w:r>
        <w:rPr>
          <w:rFonts w:ascii="Garamond" w:hAnsi="Garamond"/>
          <w:sz w:val="28"/>
          <w:szCs w:val="28"/>
        </w:rPr>
        <w:t xml:space="preserve"> Corte costituzionale ha osservato</w:t>
      </w:r>
      <w:r w:rsidR="00D7232B">
        <w:rPr>
          <w:rFonts w:ascii="Garamond" w:hAnsi="Garamond"/>
          <w:sz w:val="28"/>
          <w:szCs w:val="28"/>
        </w:rPr>
        <w:t>, anzitutto,</w:t>
      </w:r>
      <w:r>
        <w:rPr>
          <w:rFonts w:ascii="Garamond" w:hAnsi="Garamond"/>
          <w:sz w:val="28"/>
          <w:szCs w:val="28"/>
        </w:rPr>
        <w:t xml:space="preserve"> che la</w:t>
      </w:r>
      <w:r w:rsidRPr="00935DEC">
        <w:rPr>
          <w:rFonts w:ascii="Garamond" w:hAnsi="Garamond"/>
          <w:sz w:val="28"/>
          <w:szCs w:val="28"/>
        </w:rPr>
        <w:t xml:space="preserve"> profilassi per la prevenzione della diffusione delle malattie infettive richiede necessariamente l’adozione di misure omogenee su tutto il territorio nazionale.</w:t>
      </w:r>
    </w:p>
    <w:p w:rsidR="00935DEC" w:rsidRPr="00935DEC" w:rsidRDefault="00935DEC" w:rsidP="00935DEC">
      <w:pPr>
        <w:ind w:firstLine="709"/>
        <w:contextualSpacing/>
        <w:jc w:val="both"/>
        <w:rPr>
          <w:rFonts w:ascii="Garamond" w:hAnsi="Garamond"/>
          <w:sz w:val="28"/>
          <w:szCs w:val="28"/>
        </w:rPr>
      </w:pPr>
      <w:r w:rsidRPr="00935DEC">
        <w:rPr>
          <w:rFonts w:ascii="Garamond" w:hAnsi="Garamond"/>
          <w:sz w:val="28"/>
          <w:szCs w:val="28"/>
        </w:rPr>
        <w:t>Secondo i documenti delle istituzioni sanitarie nazionali e internazionali,</w:t>
      </w:r>
      <w:r>
        <w:rPr>
          <w:rFonts w:ascii="Garamond" w:hAnsi="Garamond"/>
          <w:sz w:val="28"/>
          <w:szCs w:val="28"/>
        </w:rPr>
        <w:t xml:space="preserve"> infatti,</w:t>
      </w:r>
      <w:r w:rsidRPr="00935DEC">
        <w:rPr>
          <w:rFonts w:ascii="Garamond" w:hAnsi="Garamond"/>
          <w:sz w:val="28"/>
          <w:szCs w:val="28"/>
        </w:rPr>
        <w:t xml:space="preserve"> l’obiettivo da perseguire in questi ambiti è la cosiddetta “immunità di gregge”, la quale richiede una copertura vaccinale a tappeto in una determinata comunità, al fine di eliminare la malattia e di proteggere coloro che, per specifiche condizioni di salute, non possono sotto</w:t>
      </w:r>
      <w:r>
        <w:rPr>
          <w:rFonts w:ascii="Garamond" w:hAnsi="Garamond"/>
          <w:sz w:val="28"/>
          <w:szCs w:val="28"/>
        </w:rPr>
        <w:t>porsi al trattamento preventivo</w:t>
      </w:r>
      <w:r w:rsidRPr="00935DEC">
        <w:rPr>
          <w:rFonts w:ascii="Garamond" w:hAnsi="Garamond"/>
          <w:sz w:val="28"/>
          <w:szCs w:val="28"/>
        </w:rPr>
        <w:t xml:space="preserve">. </w:t>
      </w:r>
    </w:p>
    <w:p w:rsidR="003A2AA3" w:rsidRDefault="00935DEC" w:rsidP="00935DEC">
      <w:pPr>
        <w:ind w:firstLine="709"/>
        <w:contextualSpacing/>
        <w:jc w:val="both"/>
        <w:rPr>
          <w:rFonts w:ascii="Garamond" w:hAnsi="Garamond"/>
          <w:sz w:val="28"/>
          <w:szCs w:val="28"/>
        </w:rPr>
      </w:pPr>
      <w:r w:rsidRPr="00935DEC">
        <w:rPr>
          <w:rFonts w:ascii="Garamond" w:hAnsi="Garamond"/>
          <w:sz w:val="28"/>
          <w:szCs w:val="28"/>
        </w:rPr>
        <w:t xml:space="preserve">Pertanto, in questo ambito, ragioni logiche, prima che giuridiche, rendono necessario un intervento del legislatore statale e le Regioni sono vincolate a rispettare ogni previsione contenuta nella normativa statale, incluse quelle che, sebbene a contenuto specifico e dettagliato, per la finalità perseguita si pongono in rapporto di </w:t>
      </w:r>
      <w:proofErr w:type="spellStart"/>
      <w:r w:rsidRPr="00935DEC">
        <w:rPr>
          <w:rFonts w:ascii="Garamond" w:hAnsi="Garamond"/>
          <w:sz w:val="28"/>
          <w:szCs w:val="28"/>
        </w:rPr>
        <w:t>coessenzialità</w:t>
      </w:r>
      <w:proofErr w:type="spellEnd"/>
      <w:r w:rsidRPr="00935DEC">
        <w:rPr>
          <w:rFonts w:ascii="Garamond" w:hAnsi="Garamond"/>
          <w:sz w:val="28"/>
          <w:szCs w:val="28"/>
        </w:rPr>
        <w:t xml:space="preserve"> e necessaria integrazione con i principi di settore (sentenze n. 192 del 2017, n. 301 del 2013, n. 79 del 2012 e n. 108 del 2010).</w:t>
      </w:r>
    </w:p>
    <w:p w:rsidR="00935DEC" w:rsidRPr="00935DEC" w:rsidRDefault="000668F6" w:rsidP="00935DEC">
      <w:pPr>
        <w:ind w:firstLine="709"/>
        <w:contextualSpacing/>
        <w:jc w:val="both"/>
        <w:rPr>
          <w:rFonts w:ascii="Garamond" w:hAnsi="Garamond"/>
          <w:sz w:val="28"/>
          <w:szCs w:val="28"/>
        </w:rPr>
      </w:pPr>
      <w:r>
        <w:rPr>
          <w:rFonts w:ascii="Garamond" w:hAnsi="Garamond"/>
          <w:sz w:val="28"/>
          <w:szCs w:val="28"/>
        </w:rPr>
        <w:t>Andando ancor</w:t>
      </w:r>
      <w:r w:rsidR="00935DEC">
        <w:rPr>
          <w:rFonts w:ascii="Garamond" w:hAnsi="Garamond"/>
          <w:sz w:val="28"/>
          <w:szCs w:val="28"/>
        </w:rPr>
        <w:t xml:space="preserve"> più oltre, nel respingere le questioni di costituzionalità sollevate</w:t>
      </w:r>
      <w:r w:rsidR="00567289">
        <w:rPr>
          <w:rFonts w:ascii="Garamond" w:hAnsi="Garamond"/>
          <w:sz w:val="28"/>
          <w:szCs w:val="28"/>
        </w:rPr>
        <w:t xml:space="preserve"> dalle Regioni</w:t>
      </w:r>
      <w:r w:rsidR="00935DEC">
        <w:rPr>
          <w:rFonts w:ascii="Garamond" w:hAnsi="Garamond"/>
          <w:sz w:val="28"/>
          <w:szCs w:val="28"/>
        </w:rPr>
        <w:t xml:space="preserve"> in rapporto agli artt. 2, 3 e 32 </w:t>
      </w:r>
      <w:proofErr w:type="spellStart"/>
      <w:r w:rsidR="00935DEC">
        <w:rPr>
          <w:rFonts w:ascii="Garamond" w:hAnsi="Garamond"/>
          <w:sz w:val="28"/>
          <w:szCs w:val="28"/>
        </w:rPr>
        <w:t>Cost</w:t>
      </w:r>
      <w:proofErr w:type="spellEnd"/>
      <w:r w:rsidR="00935DEC">
        <w:rPr>
          <w:rFonts w:ascii="Garamond" w:hAnsi="Garamond"/>
          <w:sz w:val="28"/>
          <w:szCs w:val="28"/>
        </w:rPr>
        <w:t xml:space="preserve">., la Corte ha chiarito che </w:t>
      </w:r>
      <w:r w:rsidR="00935DEC" w:rsidRPr="00935DEC">
        <w:rPr>
          <w:rFonts w:ascii="Garamond" w:hAnsi="Garamond"/>
          <w:sz w:val="28"/>
          <w:szCs w:val="28"/>
        </w:rPr>
        <w:t>i valori costituzionali coinvolti nella problematica delle vaccinazioni sono molteplici e implicano, oltre alla libertà di autodeterminazione individuale nelle scelte inerenti alle cure sanitarie e la tutela della salute individu</w:t>
      </w:r>
      <w:r w:rsidR="008951A1">
        <w:rPr>
          <w:rFonts w:ascii="Garamond" w:hAnsi="Garamond"/>
          <w:sz w:val="28"/>
          <w:szCs w:val="28"/>
        </w:rPr>
        <w:t>ale e collettiva (tutelate dall’</w:t>
      </w:r>
      <w:r w:rsidR="00935DEC" w:rsidRPr="00935DEC">
        <w:rPr>
          <w:rFonts w:ascii="Garamond" w:hAnsi="Garamond"/>
          <w:sz w:val="28"/>
          <w:szCs w:val="28"/>
        </w:rPr>
        <w:t xml:space="preserve">art. 32 </w:t>
      </w:r>
      <w:proofErr w:type="spellStart"/>
      <w:r w:rsidR="00935DEC" w:rsidRPr="00935DEC">
        <w:rPr>
          <w:rFonts w:ascii="Garamond" w:hAnsi="Garamond"/>
          <w:sz w:val="28"/>
          <w:szCs w:val="28"/>
        </w:rPr>
        <w:t>Cost</w:t>
      </w:r>
      <w:proofErr w:type="spellEnd"/>
      <w:r w:rsidR="00935DEC" w:rsidRPr="00935DEC">
        <w:rPr>
          <w:rFonts w:ascii="Garamond" w:hAnsi="Garamond"/>
          <w:sz w:val="28"/>
          <w:szCs w:val="28"/>
        </w:rPr>
        <w:t xml:space="preserve">.), anche l’interesse del minore, da perseguirsi anzitutto nell’esercizio del diritto-dovere dei genitori di adottare le condotte idonee a proteggere la salute dei figli (artt. 30 e 31 </w:t>
      </w:r>
      <w:proofErr w:type="spellStart"/>
      <w:r w:rsidR="00935DEC" w:rsidRPr="00935DEC">
        <w:rPr>
          <w:rFonts w:ascii="Garamond" w:hAnsi="Garamond"/>
          <w:sz w:val="28"/>
          <w:szCs w:val="28"/>
        </w:rPr>
        <w:t>Cost</w:t>
      </w:r>
      <w:proofErr w:type="spellEnd"/>
      <w:r w:rsidR="00935DEC" w:rsidRPr="00935DEC">
        <w:rPr>
          <w:rFonts w:ascii="Garamond" w:hAnsi="Garamond"/>
          <w:sz w:val="28"/>
          <w:szCs w:val="28"/>
        </w:rPr>
        <w:t>.), garantendo però che tale libertà non determini scelte potenzialmente pregiudizievoli per la sal</w:t>
      </w:r>
      <w:r w:rsidR="00935DEC">
        <w:rPr>
          <w:rFonts w:ascii="Garamond" w:hAnsi="Garamond"/>
          <w:sz w:val="28"/>
          <w:szCs w:val="28"/>
        </w:rPr>
        <w:t>ute del minore.</w:t>
      </w:r>
    </w:p>
    <w:p w:rsidR="00935DEC" w:rsidRPr="00935DEC" w:rsidRDefault="00935DEC" w:rsidP="00935DEC">
      <w:pPr>
        <w:ind w:firstLine="709"/>
        <w:contextualSpacing/>
        <w:jc w:val="both"/>
        <w:rPr>
          <w:rFonts w:ascii="Garamond" w:hAnsi="Garamond"/>
          <w:sz w:val="28"/>
          <w:szCs w:val="28"/>
        </w:rPr>
      </w:pPr>
      <w:r w:rsidRPr="00935DEC">
        <w:rPr>
          <w:rFonts w:ascii="Garamond" w:hAnsi="Garamond"/>
          <w:sz w:val="28"/>
          <w:szCs w:val="28"/>
        </w:rPr>
        <w:t>Il contemperamen</w:t>
      </w:r>
      <w:r w:rsidR="00D7232B">
        <w:rPr>
          <w:rFonts w:ascii="Garamond" w:hAnsi="Garamond"/>
          <w:sz w:val="28"/>
          <w:szCs w:val="28"/>
        </w:rPr>
        <w:t>to di questi molteplici principî</w:t>
      </w:r>
      <w:r w:rsidRPr="00935DEC">
        <w:rPr>
          <w:rFonts w:ascii="Garamond" w:hAnsi="Garamond"/>
          <w:sz w:val="28"/>
          <w:szCs w:val="28"/>
        </w:rPr>
        <w:t xml:space="preserve"> lascia spazio alla discrezionalità del legislatore nella scelta delle modalità attraverso le quali assicurare una prevenzione efficace dalle malattie infettive, potendo egli selezionare talora la tecnica della raccom</w:t>
      </w:r>
      <w:r>
        <w:rPr>
          <w:rFonts w:ascii="Garamond" w:hAnsi="Garamond"/>
          <w:sz w:val="28"/>
          <w:szCs w:val="28"/>
        </w:rPr>
        <w:t>andazione, talaltra quella dell’</w:t>
      </w:r>
      <w:r w:rsidRPr="00935DEC">
        <w:rPr>
          <w:rFonts w:ascii="Garamond" w:hAnsi="Garamond"/>
          <w:sz w:val="28"/>
          <w:szCs w:val="28"/>
        </w:rPr>
        <w:t>obbligo, nonché, nel secondo caso, calibrare variamente le misure, anche san</w:t>
      </w:r>
      <w:r w:rsidR="00D7232B">
        <w:rPr>
          <w:rFonts w:ascii="Garamond" w:hAnsi="Garamond"/>
          <w:sz w:val="28"/>
          <w:szCs w:val="28"/>
        </w:rPr>
        <w:t>zionatorie, volte a garantire l’</w:t>
      </w:r>
      <w:r w:rsidRPr="00935DEC">
        <w:rPr>
          <w:rFonts w:ascii="Garamond" w:hAnsi="Garamond"/>
          <w:sz w:val="28"/>
          <w:szCs w:val="28"/>
        </w:rPr>
        <w:t>effettività dell'obbligo.</w:t>
      </w:r>
    </w:p>
    <w:p w:rsidR="003A2AA3" w:rsidRDefault="00935DEC" w:rsidP="00935DEC">
      <w:pPr>
        <w:ind w:firstLine="709"/>
        <w:contextualSpacing/>
        <w:jc w:val="both"/>
        <w:rPr>
          <w:rFonts w:ascii="Garamond" w:hAnsi="Garamond"/>
          <w:sz w:val="28"/>
          <w:szCs w:val="28"/>
        </w:rPr>
      </w:pPr>
      <w:r w:rsidRPr="00935DEC">
        <w:rPr>
          <w:rFonts w:ascii="Garamond" w:hAnsi="Garamond"/>
          <w:sz w:val="28"/>
          <w:szCs w:val="28"/>
        </w:rPr>
        <w:t>Questa discrezionalità deve essere esercitata alla luce delle diverse condizioni sanitarie ed epidemiologiche, accertate dalle autorità prep</w:t>
      </w:r>
      <w:r w:rsidR="00567289">
        <w:rPr>
          <w:rFonts w:ascii="Garamond" w:hAnsi="Garamond"/>
          <w:sz w:val="28"/>
          <w:szCs w:val="28"/>
        </w:rPr>
        <w:t>oste</w:t>
      </w:r>
      <w:r w:rsidRPr="00935DEC">
        <w:rPr>
          <w:rFonts w:ascii="Garamond" w:hAnsi="Garamond"/>
          <w:sz w:val="28"/>
          <w:szCs w:val="28"/>
        </w:rPr>
        <w:t xml:space="preserve"> e delle acquisizioni, sempre in evoluzione, della ricerca medica, che debbono guidare il legislatore nell’eserciz</w:t>
      </w:r>
      <w:r>
        <w:rPr>
          <w:rFonts w:ascii="Garamond" w:hAnsi="Garamond"/>
          <w:sz w:val="28"/>
          <w:szCs w:val="28"/>
        </w:rPr>
        <w:t>io delle sue scelte in materia.</w:t>
      </w:r>
    </w:p>
    <w:p w:rsidR="00D7232B" w:rsidRPr="00D7232B" w:rsidRDefault="00D7232B" w:rsidP="00D7232B">
      <w:pPr>
        <w:ind w:firstLine="709"/>
        <w:contextualSpacing/>
        <w:jc w:val="both"/>
        <w:rPr>
          <w:rFonts w:ascii="Garamond" w:hAnsi="Garamond"/>
          <w:sz w:val="28"/>
          <w:szCs w:val="28"/>
        </w:rPr>
      </w:pPr>
      <w:r>
        <w:rPr>
          <w:rFonts w:ascii="Garamond" w:hAnsi="Garamond"/>
          <w:sz w:val="28"/>
          <w:szCs w:val="28"/>
        </w:rPr>
        <w:t>L</w:t>
      </w:r>
      <w:r w:rsidRPr="00D7232B">
        <w:rPr>
          <w:rFonts w:ascii="Garamond" w:hAnsi="Garamond"/>
          <w:sz w:val="28"/>
          <w:szCs w:val="28"/>
        </w:rPr>
        <w:t>a scelta del legislatore statale</w:t>
      </w:r>
      <w:r>
        <w:rPr>
          <w:rFonts w:ascii="Garamond" w:hAnsi="Garamond"/>
          <w:sz w:val="28"/>
          <w:szCs w:val="28"/>
        </w:rPr>
        <w:t>, tuttavia,</w:t>
      </w:r>
      <w:r w:rsidRPr="00D7232B">
        <w:rPr>
          <w:rFonts w:ascii="Garamond" w:hAnsi="Garamond"/>
          <w:sz w:val="28"/>
          <w:szCs w:val="28"/>
        </w:rPr>
        <w:t xml:space="preserve"> non può essere censurata sul piano della ragionevolezza per aver indebitamente e sproporzionatamente sacrificato la libera autodeterminazione individuale in vista della tutela degli altri beni costituzionali coinvolti, frustrando, allo stesso tempo, le diverse politiche vaccinal</w:t>
      </w:r>
      <w:r w:rsidR="00567289">
        <w:rPr>
          <w:rFonts w:ascii="Garamond" w:hAnsi="Garamond"/>
          <w:sz w:val="28"/>
          <w:szCs w:val="28"/>
        </w:rPr>
        <w:t>i basate sul solo metodo della persuasione, rivelatosi nel tempo insufficiente ad assicurare la c.d. copertura vaccinale e la citata “</w:t>
      </w:r>
      <w:r w:rsidR="00567289" w:rsidRPr="000668F6">
        <w:rPr>
          <w:rFonts w:ascii="Garamond" w:hAnsi="Garamond"/>
          <w:i/>
          <w:sz w:val="28"/>
          <w:szCs w:val="28"/>
        </w:rPr>
        <w:t>immunità di gregge</w:t>
      </w:r>
      <w:r w:rsidR="00567289">
        <w:rPr>
          <w:rFonts w:ascii="Garamond" w:hAnsi="Garamond"/>
          <w:sz w:val="28"/>
          <w:szCs w:val="28"/>
        </w:rPr>
        <w:t>”</w:t>
      </w:r>
      <w:r w:rsidR="00423F80">
        <w:rPr>
          <w:rStyle w:val="Rimandonotaapidipagina"/>
          <w:rFonts w:ascii="Garamond" w:hAnsi="Garamond"/>
          <w:sz w:val="28"/>
          <w:szCs w:val="28"/>
        </w:rPr>
        <w:footnoteReference w:id="28"/>
      </w:r>
      <w:r w:rsidR="00567289">
        <w:rPr>
          <w:rFonts w:ascii="Garamond" w:hAnsi="Garamond"/>
          <w:sz w:val="28"/>
          <w:szCs w:val="28"/>
        </w:rPr>
        <w:t>.</w:t>
      </w:r>
    </w:p>
    <w:p w:rsidR="00D7232B" w:rsidRPr="00D7232B" w:rsidRDefault="00D7232B" w:rsidP="00D7232B">
      <w:pPr>
        <w:ind w:firstLine="709"/>
        <w:contextualSpacing/>
        <w:jc w:val="both"/>
        <w:rPr>
          <w:rFonts w:ascii="Garamond" w:hAnsi="Garamond"/>
          <w:sz w:val="28"/>
          <w:szCs w:val="28"/>
        </w:rPr>
      </w:pPr>
      <w:r w:rsidRPr="00D7232B">
        <w:rPr>
          <w:rFonts w:ascii="Garamond" w:hAnsi="Garamond"/>
          <w:sz w:val="28"/>
          <w:szCs w:val="28"/>
        </w:rPr>
        <w:t>Il l</w:t>
      </w:r>
      <w:r>
        <w:rPr>
          <w:rFonts w:ascii="Garamond" w:hAnsi="Garamond"/>
          <w:sz w:val="28"/>
          <w:szCs w:val="28"/>
        </w:rPr>
        <w:t>egislatore infatti, nell’intervenire</w:t>
      </w:r>
      <w:r w:rsidRPr="00D7232B">
        <w:rPr>
          <w:rFonts w:ascii="Garamond" w:hAnsi="Garamond"/>
          <w:sz w:val="28"/>
          <w:szCs w:val="28"/>
        </w:rPr>
        <w:t xml:space="preserve"> in una situazione in cui lo strumento della persuasione appariva carente sul piano della efficacia, ha reso </w:t>
      </w:r>
      <w:r>
        <w:rPr>
          <w:rFonts w:ascii="Garamond" w:hAnsi="Garamond"/>
          <w:sz w:val="28"/>
          <w:szCs w:val="28"/>
        </w:rPr>
        <w:t>obbligatorie dieci vaccinazioni o,</w:t>
      </w:r>
      <w:r w:rsidRPr="00D7232B">
        <w:rPr>
          <w:rFonts w:ascii="Garamond" w:hAnsi="Garamond"/>
          <w:sz w:val="28"/>
          <w:szCs w:val="28"/>
        </w:rPr>
        <w:t xml:space="preserve"> meglio,</w:t>
      </w:r>
      <w:r>
        <w:rPr>
          <w:rFonts w:ascii="Garamond" w:hAnsi="Garamond"/>
          <w:sz w:val="28"/>
          <w:szCs w:val="28"/>
        </w:rPr>
        <w:t xml:space="preserve"> ha riconfermato e rafforzato l’</w:t>
      </w:r>
      <w:r w:rsidRPr="00D7232B">
        <w:rPr>
          <w:rFonts w:ascii="Garamond" w:hAnsi="Garamond"/>
          <w:sz w:val="28"/>
          <w:szCs w:val="28"/>
        </w:rPr>
        <w:t>obbligo, mai formalmente abrogato, per le quattro vaccinazioni già previs</w:t>
      </w:r>
      <w:r>
        <w:rPr>
          <w:rFonts w:ascii="Garamond" w:hAnsi="Garamond"/>
          <w:sz w:val="28"/>
          <w:szCs w:val="28"/>
        </w:rPr>
        <w:t>te dalle leggi dello Stato, e l’</w:t>
      </w:r>
      <w:r w:rsidRPr="00D7232B">
        <w:rPr>
          <w:rFonts w:ascii="Garamond" w:hAnsi="Garamond"/>
          <w:sz w:val="28"/>
          <w:szCs w:val="28"/>
        </w:rPr>
        <w:t>ha introdotto per altre sei vaccinazioni che già erano tutte offerte alla p</w:t>
      </w:r>
      <w:r>
        <w:rPr>
          <w:rFonts w:ascii="Garamond" w:hAnsi="Garamond"/>
          <w:sz w:val="28"/>
          <w:szCs w:val="28"/>
        </w:rPr>
        <w:t>opolazione come “raccomandate”.</w:t>
      </w:r>
    </w:p>
    <w:p w:rsidR="00D31D9D" w:rsidRDefault="00D7232B" w:rsidP="00D7232B">
      <w:pPr>
        <w:ind w:firstLine="709"/>
        <w:contextualSpacing/>
        <w:jc w:val="both"/>
        <w:rPr>
          <w:rFonts w:ascii="Garamond" w:hAnsi="Garamond"/>
          <w:sz w:val="28"/>
          <w:szCs w:val="28"/>
        </w:rPr>
      </w:pPr>
      <w:r w:rsidRPr="00D7232B">
        <w:rPr>
          <w:rFonts w:ascii="Garamond" w:hAnsi="Garamond"/>
          <w:sz w:val="28"/>
          <w:szCs w:val="28"/>
        </w:rPr>
        <w:t>Indubbiamente,</w:t>
      </w:r>
      <w:r>
        <w:rPr>
          <w:rFonts w:ascii="Garamond" w:hAnsi="Garamond"/>
          <w:sz w:val="28"/>
          <w:szCs w:val="28"/>
        </w:rPr>
        <w:t xml:space="preserve"> ha osservato la Corte</w:t>
      </w:r>
      <w:r w:rsidR="00567289">
        <w:rPr>
          <w:rFonts w:ascii="Garamond" w:hAnsi="Garamond"/>
          <w:sz w:val="28"/>
          <w:szCs w:val="28"/>
        </w:rPr>
        <w:t xml:space="preserve"> costituzionale</w:t>
      </w:r>
      <w:r>
        <w:rPr>
          <w:rFonts w:ascii="Garamond" w:hAnsi="Garamond"/>
          <w:sz w:val="28"/>
          <w:szCs w:val="28"/>
        </w:rPr>
        <w:t>,</w:t>
      </w:r>
      <w:r w:rsidRPr="00D7232B">
        <w:rPr>
          <w:rFonts w:ascii="Garamond" w:hAnsi="Garamond"/>
          <w:sz w:val="28"/>
          <w:szCs w:val="28"/>
        </w:rPr>
        <w:t xml:space="preserve"> il vincolo giur</w:t>
      </w:r>
      <w:r w:rsidR="00D31D9D">
        <w:rPr>
          <w:rFonts w:ascii="Garamond" w:hAnsi="Garamond"/>
          <w:sz w:val="28"/>
          <w:szCs w:val="28"/>
        </w:rPr>
        <w:t>idico si è fatto più stringente.</w:t>
      </w:r>
    </w:p>
    <w:p w:rsidR="00D7232B" w:rsidRPr="00D7232B" w:rsidRDefault="00D31D9D" w:rsidP="00D7232B">
      <w:pPr>
        <w:ind w:firstLine="709"/>
        <w:contextualSpacing/>
        <w:jc w:val="both"/>
        <w:rPr>
          <w:rFonts w:ascii="Garamond" w:hAnsi="Garamond"/>
          <w:sz w:val="28"/>
          <w:szCs w:val="28"/>
        </w:rPr>
      </w:pPr>
      <w:r>
        <w:rPr>
          <w:rFonts w:ascii="Garamond" w:hAnsi="Garamond"/>
          <w:sz w:val="28"/>
          <w:szCs w:val="28"/>
        </w:rPr>
        <w:t>Ciò che</w:t>
      </w:r>
      <w:r w:rsidR="00D7232B" w:rsidRPr="00D7232B">
        <w:rPr>
          <w:rFonts w:ascii="Garamond" w:hAnsi="Garamond"/>
          <w:sz w:val="28"/>
          <w:szCs w:val="28"/>
        </w:rPr>
        <w:t xml:space="preserve"> in precedenza era raccomandato, </w:t>
      </w:r>
      <w:r>
        <w:rPr>
          <w:rFonts w:ascii="Garamond" w:hAnsi="Garamond"/>
          <w:sz w:val="28"/>
          <w:szCs w:val="28"/>
        </w:rPr>
        <w:t xml:space="preserve">infatti, </w:t>
      </w:r>
      <w:r w:rsidR="00D7232B" w:rsidRPr="00D7232B">
        <w:rPr>
          <w:rFonts w:ascii="Garamond" w:hAnsi="Garamond"/>
          <w:sz w:val="28"/>
          <w:szCs w:val="28"/>
        </w:rPr>
        <w:t>oggi è divenuto obbligatorio</w:t>
      </w:r>
      <w:r w:rsidR="007D02F3">
        <w:rPr>
          <w:rStyle w:val="Rimandonotaapidipagina"/>
          <w:rFonts w:ascii="Garamond" w:hAnsi="Garamond"/>
          <w:sz w:val="28"/>
          <w:szCs w:val="28"/>
        </w:rPr>
        <w:footnoteReference w:id="29"/>
      </w:r>
      <w:r w:rsidR="00D7232B" w:rsidRPr="00D7232B">
        <w:rPr>
          <w:rFonts w:ascii="Garamond" w:hAnsi="Garamond"/>
          <w:sz w:val="28"/>
          <w:szCs w:val="28"/>
        </w:rPr>
        <w:t xml:space="preserve">. </w:t>
      </w:r>
    </w:p>
    <w:p w:rsidR="00D7232B" w:rsidRPr="00D7232B" w:rsidRDefault="00D7232B" w:rsidP="00D7232B">
      <w:pPr>
        <w:ind w:firstLine="709"/>
        <w:contextualSpacing/>
        <w:jc w:val="both"/>
        <w:rPr>
          <w:rFonts w:ascii="Garamond" w:hAnsi="Garamond"/>
          <w:sz w:val="28"/>
          <w:szCs w:val="28"/>
        </w:rPr>
      </w:pPr>
      <w:r w:rsidRPr="00D7232B">
        <w:rPr>
          <w:rFonts w:ascii="Garamond" w:hAnsi="Garamond"/>
          <w:sz w:val="28"/>
          <w:szCs w:val="28"/>
        </w:rPr>
        <w:t>Ma nel valutare l</w:t>
      </w:r>
      <w:r w:rsidR="00D31D9D">
        <w:rPr>
          <w:rFonts w:ascii="Garamond" w:hAnsi="Garamond"/>
          <w:sz w:val="28"/>
          <w:szCs w:val="28"/>
        </w:rPr>
        <w:t>’</w:t>
      </w:r>
      <w:r>
        <w:rPr>
          <w:rFonts w:ascii="Garamond" w:hAnsi="Garamond"/>
          <w:sz w:val="28"/>
          <w:szCs w:val="28"/>
        </w:rPr>
        <w:t>intensità di tale cambiamento –</w:t>
      </w:r>
      <w:r w:rsidRPr="00D7232B">
        <w:rPr>
          <w:rFonts w:ascii="Garamond" w:hAnsi="Garamond"/>
          <w:sz w:val="28"/>
          <w:szCs w:val="28"/>
        </w:rPr>
        <w:t xml:space="preserve"> ai fini del giudizio sulla ragionevolezza del bilanciamento op</w:t>
      </w:r>
      <w:r>
        <w:rPr>
          <w:rFonts w:ascii="Garamond" w:hAnsi="Garamond"/>
          <w:sz w:val="28"/>
          <w:szCs w:val="28"/>
        </w:rPr>
        <w:t xml:space="preserve">erato dal legislatore con il </w:t>
      </w:r>
      <w:proofErr w:type="spellStart"/>
      <w:r>
        <w:rPr>
          <w:rFonts w:ascii="Garamond" w:hAnsi="Garamond"/>
          <w:sz w:val="28"/>
          <w:szCs w:val="28"/>
        </w:rPr>
        <w:t>d.l</w:t>
      </w:r>
      <w:r w:rsidRPr="00D7232B">
        <w:rPr>
          <w:rFonts w:ascii="Garamond" w:hAnsi="Garamond"/>
          <w:sz w:val="28"/>
          <w:szCs w:val="28"/>
        </w:rPr>
        <w:t>.</w:t>
      </w:r>
      <w:proofErr w:type="spellEnd"/>
      <w:r w:rsidRPr="00D7232B">
        <w:rPr>
          <w:rFonts w:ascii="Garamond" w:hAnsi="Garamond"/>
          <w:sz w:val="28"/>
          <w:szCs w:val="28"/>
        </w:rPr>
        <w:t xml:space="preserve"> n. 73 del 2017 e dell</w:t>
      </w:r>
      <w:r>
        <w:rPr>
          <w:rFonts w:ascii="Garamond" w:hAnsi="Garamond"/>
          <w:sz w:val="28"/>
          <w:szCs w:val="28"/>
        </w:rPr>
        <w:t>a conseguente compressione dell’autonomia regionale –</w:t>
      </w:r>
      <w:r w:rsidRPr="00D7232B">
        <w:rPr>
          <w:rFonts w:ascii="Garamond" w:hAnsi="Garamond"/>
          <w:sz w:val="28"/>
          <w:szCs w:val="28"/>
        </w:rPr>
        <w:t xml:space="preserve"> occorre peraltro tenere presenti</w:t>
      </w:r>
      <w:r w:rsidR="00D31D9D">
        <w:rPr>
          <w:rFonts w:ascii="Garamond" w:hAnsi="Garamond"/>
          <w:sz w:val="28"/>
          <w:szCs w:val="28"/>
        </w:rPr>
        <w:t>, secondo la stessa Corte,</w:t>
      </w:r>
      <w:r w:rsidRPr="00D7232B">
        <w:rPr>
          <w:rFonts w:ascii="Garamond" w:hAnsi="Garamond"/>
          <w:sz w:val="28"/>
          <w:szCs w:val="28"/>
        </w:rPr>
        <w:t xml:space="preserve"> due ordini di considerazioni. </w:t>
      </w:r>
    </w:p>
    <w:p w:rsidR="00D7232B" w:rsidRPr="00D7232B" w:rsidRDefault="00D7232B" w:rsidP="00D7232B">
      <w:pPr>
        <w:ind w:firstLine="709"/>
        <w:contextualSpacing/>
        <w:jc w:val="both"/>
        <w:rPr>
          <w:rFonts w:ascii="Garamond" w:hAnsi="Garamond"/>
          <w:sz w:val="28"/>
          <w:szCs w:val="28"/>
        </w:rPr>
      </w:pPr>
      <w:r w:rsidRPr="00D7232B">
        <w:rPr>
          <w:rFonts w:ascii="Garamond" w:hAnsi="Garamond"/>
          <w:sz w:val="28"/>
          <w:szCs w:val="28"/>
        </w:rPr>
        <w:t>Il primo è che nell’orizzonte epistemico della pratica medico-sanitaria la distanza tra raccomandazione e obbligo è assai minore di quella che separa i due c</w:t>
      </w:r>
      <w:r w:rsidR="00D31D9D">
        <w:rPr>
          <w:rFonts w:ascii="Garamond" w:hAnsi="Garamond"/>
          <w:sz w:val="28"/>
          <w:szCs w:val="28"/>
        </w:rPr>
        <w:t>oncetti nei rapporti giuridici.</w:t>
      </w:r>
    </w:p>
    <w:p w:rsidR="00D7232B" w:rsidRDefault="00D7232B" w:rsidP="00D7232B">
      <w:pPr>
        <w:ind w:firstLine="709"/>
        <w:contextualSpacing/>
        <w:jc w:val="both"/>
        <w:rPr>
          <w:rFonts w:ascii="Garamond" w:hAnsi="Garamond"/>
          <w:sz w:val="28"/>
          <w:szCs w:val="28"/>
        </w:rPr>
      </w:pPr>
      <w:r w:rsidRPr="00D7232B">
        <w:rPr>
          <w:rFonts w:ascii="Garamond" w:hAnsi="Garamond"/>
          <w:sz w:val="28"/>
          <w:szCs w:val="28"/>
        </w:rPr>
        <w:t>In ambito medico,</w:t>
      </w:r>
      <w:r w:rsidR="00567289">
        <w:rPr>
          <w:rFonts w:ascii="Garamond" w:hAnsi="Garamond"/>
          <w:sz w:val="28"/>
          <w:szCs w:val="28"/>
        </w:rPr>
        <w:t xml:space="preserve"> infatti,</w:t>
      </w:r>
      <w:r w:rsidRPr="00D7232B">
        <w:rPr>
          <w:rFonts w:ascii="Garamond" w:hAnsi="Garamond"/>
          <w:sz w:val="28"/>
          <w:szCs w:val="28"/>
        </w:rPr>
        <w:t xml:space="preserve"> raccomandare e prescrivere sono azioni percepite come egualmente doverose in vis</w:t>
      </w:r>
      <w:r w:rsidR="00D31D9D">
        <w:rPr>
          <w:rFonts w:ascii="Garamond" w:hAnsi="Garamond"/>
          <w:sz w:val="28"/>
          <w:szCs w:val="28"/>
        </w:rPr>
        <w:t xml:space="preserve">ta di un determinato obiettivo, </w:t>
      </w:r>
      <w:r w:rsidRPr="00D7232B">
        <w:rPr>
          <w:rFonts w:ascii="Garamond" w:hAnsi="Garamond"/>
          <w:sz w:val="28"/>
          <w:szCs w:val="28"/>
        </w:rPr>
        <w:t>tanto che sul piano del diritto all’indennizzo le vaccinazioni raccomandate e quelle obbligatorie non subiscon</w:t>
      </w:r>
      <w:r w:rsidR="00D31D9D">
        <w:rPr>
          <w:rFonts w:ascii="Garamond" w:hAnsi="Garamond"/>
          <w:sz w:val="28"/>
          <w:szCs w:val="28"/>
        </w:rPr>
        <w:t xml:space="preserve">o differenze, come la Corte stessa ha sancito nella sentenza n. 268 del </w:t>
      </w:r>
      <w:r w:rsidR="002F7896">
        <w:rPr>
          <w:rFonts w:ascii="Garamond" w:hAnsi="Garamond"/>
          <w:sz w:val="28"/>
          <w:szCs w:val="28"/>
        </w:rPr>
        <w:t xml:space="preserve">14 dicembre </w:t>
      </w:r>
      <w:r w:rsidR="00D31D9D">
        <w:rPr>
          <w:rFonts w:ascii="Garamond" w:hAnsi="Garamond"/>
          <w:sz w:val="28"/>
          <w:szCs w:val="28"/>
        </w:rPr>
        <w:t>2017</w:t>
      </w:r>
      <w:r w:rsidR="009E457E">
        <w:rPr>
          <w:rStyle w:val="Rimandonotaapidipagina"/>
          <w:rFonts w:ascii="Garamond" w:hAnsi="Garamond"/>
          <w:sz w:val="28"/>
          <w:szCs w:val="28"/>
        </w:rPr>
        <w:footnoteReference w:id="30"/>
      </w:r>
      <w:r w:rsidRPr="00D7232B">
        <w:rPr>
          <w:rFonts w:ascii="Garamond" w:hAnsi="Garamond"/>
          <w:sz w:val="28"/>
          <w:szCs w:val="28"/>
        </w:rPr>
        <w:t>.</w:t>
      </w:r>
    </w:p>
    <w:p w:rsidR="002F7896" w:rsidRPr="005307E6" w:rsidRDefault="002F7896" w:rsidP="00D7232B">
      <w:pPr>
        <w:ind w:firstLine="709"/>
        <w:contextualSpacing/>
        <w:jc w:val="both"/>
        <w:rPr>
          <w:rFonts w:ascii="Garamond" w:hAnsi="Garamond"/>
          <w:sz w:val="28"/>
          <w:szCs w:val="28"/>
        </w:rPr>
      </w:pPr>
      <w:r>
        <w:rPr>
          <w:rFonts w:ascii="Garamond" w:hAnsi="Garamond"/>
          <w:sz w:val="28"/>
          <w:szCs w:val="28"/>
        </w:rPr>
        <w:t xml:space="preserve">La tecnica della raccomandazione, ha rilevato la Corte in tale </w:t>
      </w:r>
      <w:r w:rsidR="00D6195F">
        <w:rPr>
          <w:rFonts w:ascii="Garamond" w:hAnsi="Garamond"/>
          <w:sz w:val="28"/>
          <w:szCs w:val="28"/>
        </w:rPr>
        <w:t xml:space="preserve">ultima </w:t>
      </w:r>
      <w:r>
        <w:rPr>
          <w:rFonts w:ascii="Garamond" w:hAnsi="Garamond"/>
          <w:sz w:val="28"/>
          <w:szCs w:val="28"/>
        </w:rPr>
        <w:t xml:space="preserve">sentenza, esprime </w:t>
      </w:r>
      <w:r w:rsidR="00536A03">
        <w:rPr>
          <w:rFonts w:ascii="Garamond" w:hAnsi="Garamond"/>
          <w:sz w:val="28"/>
          <w:szCs w:val="28"/>
        </w:rPr>
        <w:t>«</w:t>
      </w:r>
      <w:r w:rsidR="00536A03">
        <w:rPr>
          <w:rFonts w:ascii="Garamond" w:hAnsi="Garamond"/>
          <w:i/>
          <w:sz w:val="28"/>
          <w:szCs w:val="28"/>
        </w:rPr>
        <w:t>una maggiore attenzione all’autodeterminazione individuale</w:t>
      </w:r>
      <w:r w:rsidR="00536A03">
        <w:rPr>
          <w:rFonts w:ascii="Garamond" w:hAnsi="Garamond"/>
          <w:sz w:val="28"/>
          <w:szCs w:val="28"/>
        </w:rPr>
        <w:t xml:space="preserve">» rispetto alla tecnica dell’obbligo, </w:t>
      </w:r>
      <w:r w:rsidR="005307E6">
        <w:rPr>
          <w:rFonts w:ascii="Garamond" w:hAnsi="Garamond"/>
          <w:sz w:val="28"/>
          <w:szCs w:val="28"/>
        </w:rPr>
        <w:t>«</w:t>
      </w:r>
      <w:r w:rsidR="005307E6">
        <w:rPr>
          <w:rFonts w:ascii="Garamond" w:hAnsi="Garamond"/>
          <w:i/>
          <w:sz w:val="28"/>
          <w:szCs w:val="28"/>
        </w:rPr>
        <w:t>ma è pur sempre indirizzata allo scopo di ottenere la migliore salvaguardia della salute come interesse (anche) collettivo</w:t>
      </w:r>
      <w:r w:rsidR="005307E6">
        <w:rPr>
          <w:rFonts w:ascii="Garamond" w:hAnsi="Garamond"/>
          <w:sz w:val="28"/>
          <w:szCs w:val="28"/>
        </w:rPr>
        <w:t>», in quanto sia l’obbligo che la raccomandazione hanno entrambi uno scopo essenziale nella profilassi delle malattie infettive e, cioè, «</w:t>
      </w:r>
      <w:r w:rsidR="005307E6">
        <w:rPr>
          <w:rFonts w:ascii="Garamond" w:hAnsi="Garamond"/>
          <w:i/>
          <w:sz w:val="28"/>
          <w:szCs w:val="28"/>
        </w:rPr>
        <w:t>il comune scopo di garantire e tutelare la salute (anche) collettiva attraverso il raggiungimento della massima copertura vaccinale</w:t>
      </w:r>
      <w:r w:rsidR="005307E6">
        <w:rPr>
          <w:rFonts w:ascii="Garamond" w:hAnsi="Garamond"/>
          <w:sz w:val="28"/>
          <w:szCs w:val="28"/>
        </w:rPr>
        <w:t>»</w:t>
      </w:r>
      <w:r w:rsidR="005307E6">
        <w:rPr>
          <w:rStyle w:val="Rimandonotaapidipagina"/>
          <w:rFonts w:ascii="Garamond" w:hAnsi="Garamond"/>
          <w:sz w:val="28"/>
          <w:szCs w:val="28"/>
        </w:rPr>
        <w:footnoteReference w:id="31"/>
      </w:r>
    </w:p>
    <w:p w:rsidR="00D7232B" w:rsidRPr="00D7232B" w:rsidRDefault="00D7232B" w:rsidP="00D7232B">
      <w:pPr>
        <w:ind w:firstLine="709"/>
        <w:contextualSpacing/>
        <w:jc w:val="both"/>
        <w:rPr>
          <w:rFonts w:ascii="Garamond" w:hAnsi="Garamond"/>
          <w:sz w:val="28"/>
          <w:szCs w:val="28"/>
        </w:rPr>
      </w:pPr>
      <w:r>
        <w:rPr>
          <w:rFonts w:ascii="Garamond" w:hAnsi="Garamond"/>
          <w:sz w:val="28"/>
          <w:szCs w:val="28"/>
        </w:rPr>
        <w:t>In quest’</w:t>
      </w:r>
      <w:r w:rsidRPr="00D7232B">
        <w:rPr>
          <w:rFonts w:ascii="Garamond" w:hAnsi="Garamond"/>
          <w:sz w:val="28"/>
          <w:szCs w:val="28"/>
        </w:rPr>
        <w:t>ottica, occorre considerare che, anche nel regime previgente, le vaccinazioni non giuridicamente obbligatori</w:t>
      </w:r>
      <w:r w:rsidR="00567289">
        <w:rPr>
          <w:rFonts w:ascii="Garamond" w:hAnsi="Garamond"/>
          <w:sz w:val="28"/>
          <w:szCs w:val="28"/>
        </w:rPr>
        <w:t>e erano comunque proposte con l’</w:t>
      </w:r>
      <w:r w:rsidRPr="00D7232B">
        <w:rPr>
          <w:rFonts w:ascii="Garamond" w:hAnsi="Garamond"/>
          <w:sz w:val="28"/>
          <w:szCs w:val="28"/>
        </w:rPr>
        <w:t>autorevolezz</w:t>
      </w:r>
      <w:r>
        <w:rPr>
          <w:rFonts w:ascii="Garamond" w:hAnsi="Garamond"/>
          <w:sz w:val="28"/>
          <w:szCs w:val="28"/>
        </w:rPr>
        <w:t>a propria del consiglio medico.</w:t>
      </w:r>
    </w:p>
    <w:p w:rsidR="00BA3F11" w:rsidRDefault="00D7232B" w:rsidP="00D7232B">
      <w:pPr>
        <w:ind w:firstLine="709"/>
        <w:contextualSpacing/>
        <w:jc w:val="both"/>
        <w:rPr>
          <w:rFonts w:ascii="Garamond" w:hAnsi="Garamond"/>
          <w:sz w:val="28"/>
          <w:szCs w:val="28"/>
        </w:rPr>
      </w:pPr>
      <w:r w:rsidRPr="00D7232B">
        <w:rPr>
          <w:rFonts w:ascii="Garamond" w:hAnsi="Garamond"/>
          <w:sz w:val="28"/>
          <w:szCs w:val="28"/>
        </w:rPr>
        <w:t>Il secondo</w:t>
      </w:r>
      <w:r w:rsidR="003045E0">
        <w:rPr>
          <w:rFonts w:ascii="Garamond" w:hAnsi="Garamond"/>
          <w:sz w:val="28"/>
          <w:szCs w:val="28"/>
        </w:rPr>
        <w:t xml:space="preserve"> ordine di considerazioni</w:t>
      </w:r>
      <w:r w:rsidRPr="00D7232B">
        <w:rPr>
          <w:rFonts w:ascii="Garamond" w:hAnsi="Garamond"/>
          <w:sz w:val="28"/>
          <w:szCs w:val="28"/>
        </w:rPr>
        <w:t xml:space="preserve"> è che nel nuovo assetto normativo, basato</w:t>
      </w:r>
      <w:r>
        <w:rPr>
          <w:rFonts w:ascii="Garamond" w:hAnsi="Garamond"/>
          <w:sz w:val="28"/>
          <w:szCs w:val="28"/>
        </w:rPr>
        <w:t xml:space="preserve"> </w:t>
      </w:r>
      <w:r w:rsidR="00BA3F11">
        <w:rPr>
          <w:rFonts w:ascii="Garamond" w:hAnsi="Garamond"/>
          <w:sz w:val="28"/>
          <w:szCs w:val="28"/>
        </w:rPr>
        <w:t>sull’</w:t>
      </w:r>
      <w:r w:rsidRPr="00D7232B">
        <w:rPr>
          <w:rFonts w:ascii="Garamond" w:hAnsi="Garamond"/>
          <w:sz w:val="28"/>
          <w:szCs w:val="28"/>
        </w:rPr>
        <w:t>obbligatorietà (giuridica), il legislatore in sede di conversione ha ritenuto di dover preservare un adeguato spazio per un rappo</w:t>
      </w:r>
      <w:r w:rsidR="00BA3F11">
        <w:rPr>
          <w:rFonts w:ascii="Garamond" w:hAnsi="Garamond"/>
          <w:sz w:val="28"/>
          <w:szCs w:val="28"/>
        </w:rPr>
        <w:t>rto con i cittadini basato sull’</w:t>
      </w:r>
      <w:r w:rsidRPr="00D7232B">
        <w:rPr>
          <w:rFonts w:ascii="Garamond" w:hAnsi="Garamond"/>
          <w:sz w:val="28"/>
          <w:szCs w:val="28"/>
        </w:rPr>
        <w:t>informazione, su</w:t>
      </w:r>
      <w:r w:rsidR="00BA3F11">
        <w:rPr>
          <w:rFonts w:ascii="Garamond" w:hAnsi="Garamond"/>
          <w:sz w:val="28"/>
          <w:szCs w:val="28"/>
        </w:rPr>
        <w:t>l confronto e sulla persuasione.</w:t>
      </w:r>
    </w:p>
    <w:p w:rsidR="00D7232B" w:rsidRDefault="00BA3F11" w:rsidP="00D7232B">
      <w:pPr>
        <w:ind w:firstLine="709"/>
        <w:contextualSpacing/>
        <w:jc w:val="both"/>
        <w:rPr>
          <w:rFonts w:ascii="Garamond" w:hAnsi="Garamond"/>
          <w:sz w:val="28"/>
          <w:szCs w:val="28"/>
        </w:rPr>
      </w:pPr>
      <w:r>
        <w:rPr>
          <w:rFonts w:ascii="Garamond" w:hAnsi="Garamond"/>
          <w:sz w:val="28"/>
          <w:szCs w:val="28"/>
        </w:rPr>
        <w:t>I</w:t>
      </w:r>
      <w:r w:rsidR="00D7232B" w:rsidRPr="00D7232B">
        <w:rPr>
          <w:rFonts w:ascii="Garamond" w:hAnsi="Garamond"/>
          <w:sz w:val="28"/>
          <w:szCs w:val="28"/>
        </w:rPr>
        <w:t xml:space="preserve">n </w:t>
      </w:r>
      <w:r>
        <w:rPr>
          <w:rFonts w:ascii="Garamond" w:hAnsi="Garamond"/>
          <w:sz w:val="28"/>
          <w:szCs w:val="28"/>
        </w:rPr>
        <w:t>caso di mancata osservanza dell’</w:t>
      </w:r>
      <w:r w:rsidR="00D7232B" w:rsidRPr="00D7232B">
        <w:rPr>
          <w:rFonts w:ascii="Garamond" w:hAnsi="Garamond"/>
          <w:sz w:val="28"/>
          <w:szCs w:val="28"/>
        </w:rPr>
        <w:t>obbligo vaccinale,</w:t>
      </w:r>
      <w:r>
        <w:rPr>
          <w:rFonts w:ascii="Garamond" w:hAnsi="Garamond"/>
          <w:sz w:val="28"/>
          <w:szCs w:val="28"/>
        </w:rPr>
        <w:t xml:space="preserve"> infatti,</w:t>
      </w:r>
      <w:r w:rsidR="001064E2">
        <w:rPr>
          <w:rFonts w:ascii="Garamond" w:hAnsi="Garamond"/>
          <w:sz w:val="28"/>
          <w:szCs w:val="28"/>
        </w:rPr>
        <w:t xml:space="preserve"> l’art. 1 comma 4 del </w:t>
      </w:r>
      <w:proofErr w:type="spellStart"/>
      <w:r w:rsidR="001064E2">
        <w:rPr>
          <w:rFonts w:ascii="Garamond" w:hAnsi="Garamond"/>
          <w:sz w:val="28"/>
          <w:szCs w:val="28"/>
        </w:rPr>
        <w:t>d</w:t>
      </w:r>
      <w:r w:rsidR="00D7232B" w:rsidRPr="00D7232B">
        <w:rPr>
          <w:rFonts w:ascii="Garamond" w:hAnsi="Garamond"/>
          <w:sz w:val="28"/>
          <w:szCs w:val="28"/>
        </w:rPr>
        <w:t>.</w:t>
      </w:r>
      <w:r w:rsidR="001064E2">
        <w:rPr>
          <w:rFonts w:ascii="Garamond" w:hAnsi="Garamond"/>
          <w:sz w:val="28"/>
          <w:szCs w:val="28"/>
        </w:rPr>
        <w:t>l</w:t>
      </w:r>
      <w:r w:rsidR="00567289">
        <w:rPr>
          <w:rFonts w:ascii="Garamond" w:hAnsi="Garamond"/>
          <w:sz w:val="28"/>
          <w:szCs w:val="28"/>
        </w:rPr>
        <w:t>.</w:t>
      </w:r>
      <w:proofErr w:type="spellEnd"/>
      <w:r w:rsidR="00D7232B" w:rsidRPr="00D7232B">
        <w:rPr>
          <w:rFonts w:ascii="Garamond" w:hAnsi="Garamond"/>
          <w:sz w:val="28"/>
          <w:szCs w:val="28"/>
        </w:rPr>
        <w:t xml:space="preserve"> n. 73 del 2017, come convertito</w:t>
      </w:r>
      <w:r w:rsidR="001064E2">
        <w:rPr>
          <w:rFonts w:ascii="Garamond" w:hAnsi="Garamond"/>
          <w:sz w:val="28"/>
          <w:szCs w:val="28"/>
        </w:rPr>
        <w:t xml:space="preserve"> nella l. n. 119 del 2017</w:t>
      </w:r>
      <w:r w:rsidR="00D7232B" w:rsidRPr="00D7232B">
        <w:rPr>
          <w:rFonts w:ascii="Garamond" w:hAnsi="Garamond"/>
          <w:sz w:val="28"/>
          <w:szCs w:val="28"/>
        </w:rPr>
        <w:t>, prevede un procedimento volto in primo luogo a fornire ai genitori (o agli esercenti la potestà genitoriale) ulteriori informazioni sulle vaccinaz</w:t>
      </w:r>
      <w:r w:rsidR="007D02F3">
        <w:rPr>
          <w:rFonts w:ascii="Garamond" w:hAnsi="Garamond"/>
          <w:sz w:val="28"/>
          <w:szCs w:val="28"/>
        </w:rPr>
        <w:t>ioni e a sollecitarne l’</w:t>
      </w:r>
      <w:r w:rsidR="00D7232B" w:rsidRPr="00D7232B">
        <w:rPr>
          <w:rFonts w:ascii="Garamond" w:hAnsi="Garamond"/>
          <w:sz w:val="28"/>
          <w:szCs w:val="28"/>
        </w:rPr>
        <w:t xml:space="preserve">effettuazione. </w:t>
      </w:r>
    </w:p>
    <w:p w:rsidR="00D7232B" w:rsidRDefault="00D7232B" w:rsidP="00D7232B">
      <w:pPr>
        <w:ind w:firstLine="709"/>
        <w:contextualSpacing/>
        <w:jc w:val="both"/>
        <w:rPr>
          <w:rFonts w:ascii="Garamond" w:hAnsi="Garamond"/>
          <w:sz w:val="28"/>
          <w:szCs w:val="28"/>
        </w:rPr>
      </w:pPr>
      <w:r w:rsidRPr="00D7232B">
        <w:rPr>
          <w:rFonts w:ascii="Garamond" w:hAnsi="Garamond"/>
          <w:sz w:val="28"/>
          <w:szCs w:val="28"/>
        </w:rPr>
        <w:t xml:space="preserve">A tale scopo, </w:t>
      </w:r>
      <w:r>
        <w:rPr>
          <w:rFonts w:ascii="Garamond" w:hAnsi="Garamond"/>
          <w:sz w:val="28"/>
          <w:szCs w:val="28"/>
        </w:rPr>
        <w:t xml:space="preserve">infatti, </w:t>
      </w:r>
      <w:r w:rsidRPr="00D7232B">
        <w:rPr>
          <w:rFonts w:ascii="Garamond" w:hAnsi="Garamond"/>
          <w:sz w:val="28"/>
          <w:szCs w:val="28"/>
        </w:rPr>
        <w:t>il legislatore ha inserito un apposito colloquio tra le autorità sanitarie e i genitori, istituendo un momento di incontro personale, strumento particolarmente favorevole alla comprensione reciproca, alla persuasione e all'adesione consapevole.</w:t>
      </w:r>
    </w:p>
    <w:p w:rsidR="00D7232B" w:rsidRPr="00D7232B" w:rsidRDefault="00D7232B" w:rsidP="00D7232B">
      <w:pPr>
        <w:ind w:firstLine="709"/>
        <w:contextualSpacing/>
        <w:jc w:val="both"/>
        <w:rPr>
          <w:rFonts w:ascii="Garamond" w:hAnsi="Garamond"/>
          <w:sz w:val="28"/>
          <w:szCs w:val="28"/>
        </w:rPr>
      </w:pPr>
      <w:r w:rsidRPr="00D7232B">
        <w:rPr>
          <w:rFonts w:ascii="Garamond" w:hAnsi="Garamond"/>
          <w:sz w:val="28"/>
          <w:szCs w:val="28"/>
        </w:rPr>
        <w:t xml:space="preserve">Solo al termine di tale procedimento, e previa concessione di un adeguato termine, potranno essere inflitte le sanzioni amministrative previste, peraltro assai mitigate in seguito agli emendamenti introdotti in sede di conversione. </w:t>
      </w:r>
    </w:p>
    <w:p w:rsidR="00D7232B" w:rsidRPr="00D7232B" w:rsidRDefault="00D7232B" w:rsidP="00D7232B">
      <w:pPr>
        <w:ind w:firstLine="709"/>
        <w:contextualSpacing/>
        <w:jc w:val="both"/>
        <w:rPr>
          <w:rFonts w:ascii="Garamond" w:hAnsi="Garamond"/>
          <w:sz w:val="28"/>
          <w:szCs w:val="28"/>
        </w:rPr>
      </w:pPr>
      <w:r>
        <w:rPr>
          <w:rFonts w:ascii="Garamond" w:hAnsi="Garamond"/>
          <w:sz w:val="28"/>
          <w:szCs w:val="28"/>
        </w:rPr>
        <w:t>Nel presente contesto</w:t>
      </w:r>
      <w:r w:rsidRPr="00D7232B">
        <w:rPr>
          <w:rFonts w:ascii="Garamond" w:hAnsi="Garamond"/>
          <w:sz w:val="28"/>
          <w:szCs w:val="28"/>
        </w:rPr>
        <w:t xml:space="preserve"> dunque,</w:t>
      </w:r>
      <w:r>
        <w:rPr>
          <w:rFonts w:ascii="Garamond" w:hAnsi="Garamond"/>
          <w:sz w:val="28"/>
          <w:szCs w:val="28"/>
        </w:rPr>
        <w:t xml:space="preserve"> ha concluso la Corte</w:t>
      </w:r>
      <w:r w:rsidR="00567289">
        <w:rPr>
          <w:rFonts w:ascii="Garamond" w:hAnsi="Garamond"/>
          <w:sz w:val="28"/>
          <w:szCs w:val="28"/>
        </w:rPr>
        <w:t xml:space="preserve"> costituzionale</w:t>
      </w:r>
      <w:r>
        <w:rPr>
          <w:rFonts w:ascii="Garamond" w:hAnsi="Garamond"/>
          <w:sz w:val="28"/>
          <w:szCs w:val="28"/>
        </w:rPr>
        <w:t>,</w:t>
      </w:r>
      <w:r w:rsidRPr="00D7232B">
        <w:rPr>
          <w:rFonts w:ascii="Garamond" w:hAnsi="Garamond"/>
          <w:sz w:val="28"/>
          <w:szCs w:val="28"/>
        </w:rPr>
        <w:t xml:space="preserve"> il legislatore ha ritenuto di dover rafforzare la cogenza degli strumenti della pr</w:t>
      </w:r>
      <w:r w:rsidR="00593942">
        <w:rPr>
          <w:rFonts w:ascii="Garamond" w:hAnsi="Garamond"/>
          <w:sz w:val="28"/>
          <w:szCs w:val="28"/>
        </w:rPr>
        <w:t>ofilassi vaccinale e ha configurato</w:t>
      </w:r>
      <w:r w:rsidRPr="00D7232B">
        <w:rPr>
          <w:rFonts w:ascii="Garamond" w:hAnsi="Garamond"/>
          <w:sz w:val="28"/>
          <w:szCs w:val="28"/>
        </w:rPr>
        <w:t xml:space="preserve"> un intervento non irragionevole allo stato attuale delle condizioni epidemiologiche e delle conoscenze scientifiche</w:t>
      </w:r>
      <w:r w:rsidR="007D02F3">
        <w:rPr>
          <w:rStyle w:val="Rimandonotaapidipagina"/>
          <w:rFonts w:ascii="Garamond" w:hAnsi="Garamond"/>
          <w:sz w:val="28"/>
          <w:szCs w:val="28"/>
        </w:rPr>
        <w:footnoteReference w:id="32"/>
      </w:r>
      <w:r w:rsidRPr="00D7232B">
        <w:rPr>
          <w:rFonts w:ascii="Garamond" w:hAnsi="Garamond"/>
          <w:sz w:val="28"/>
          <w:szCs w:val="28"/>
        </w:rPr>
        <w:t>.</w:t>
      </w:r>
    </w:p>
    <w:p w:rsidR="00D7232B" w:rsidRPr="00D7232B" w:rsidRDefault="00D7232B" w:rsidP="00D7232B">
      <w:pPr>
        <w:ind w:firstLine="709"/>
        <w:contextualSpacing/>
        <w:jc w:val="both"/>
        <w:rPr>
          <w:rFonts w:ascii="Garamond" w:hAnsi="Garamond"/>
          <w:sz w:val="28"/>
          <w:szCs w:val="28"/>
        </w:rPr>
      </w:pPr>
      <w:r w:rsidRPr="00D7232B">
        <w:rPr>
          <w:rFonts w:ascii="Garamond" w:hAnsi="Garamond"/>
          <w:sz w:val="28"/>
          <w:szCs w:val="28"/>
        </w:rPr>
        <w:t>Nulla esclude</w:t>
      </w:r>
      <w:r w:rsidR="00567289">
        <w:rPr>
          <w:rFonts w:ascii="Garamond" w:hAnsi="Garamond"/>
          <w:sz w:val="28"/>
          <w:szCs w:val="28"/>
        </w:rPr>
        <w:t xml:space="preserve"> peraltro – secondo il giudice delle leggi –</w:t>
      </w:r>
      <w:r w:rsidRPr="00D7232B">
        <w:rPr>
          <w:rFonts w:ascii="Garamond" w:hAnsi="Garamond"/>
          <w:sz w:val="28"/>
          <w:szCs w:val="28"/>
        </w:rPr>
        <w:t xml:space="preserve"> che, mutate le condizioni, la scelta possa essere rivalutata e riconsiderata.</w:t>
      </w:r>
    </w:p>
    <w:p w:rsidR="00D7232B" w:rsidRPr="00D7232B" w:rsidRDefault="00D7232B" w:rsidP="00D7232B">
      <w:pPr>
        <w:ind w:firstLine="709"/>
        <w:contextualSpacing/>
        <w:jc w:val="both"/>
        <w:rPr>
          <w:rFonts w:ascii="Garamond" w:hAnsi="Garamond"/>
          <w:sz w:val="28"/>
          <w:szCs w:val="28"/>
        </w:rPr>
      </w:pPr>
      <w:r w:rsidRPr="00D7232B">
        <w:rPr>
          <w:rFonts w:ascii="Garamond" w:hAnsi="Garamond"/>
          <w:sz w:val="28"/>
          <w:szCs w:val="28"/>
        </w:rPr>
        <w:t>In questa prospettiva di valorizzazione della dinamica evolutiva propria delle conoscenze medico-scientifiche che debbono sorreggere le scelte normative in c</w:t>
      </w:r>
      <w:r w:rsidR="00593942">
        <w:rPr>
          <w:rFonts w:ascii="Garamond" w:hAnsi="Garamond"/>
          <w:sz w:val="28"/>
          <w:szCs w:val="28"/>
        </w:rPr>
        <w:t>ampo sanitario, il legislatore – ai sensi dell’</w:t>
      </w:r>
      <w:r w:rsidRPr="00D7232B">
        <w:rPr>
          <w:rFonts w:ascii="Garamond" w:hAnsi="Garamond"/>
          <w:sz w:val="28"/>
          <w:szCs w:val="28"/>
        </w:rPr>
        <w:t>art. 1, comma 1-</w:t>
      </w:r>
      <w:r w:rsidRPr="00593942">
        <w:rPr>
          <w:rFonts w:ascii="Garamond" w:hAnsi="Garamond"/>
          <w:i/>
          <w:sz w:val="28"/>
          <w:szCs w:val="28"/>
        </w:rPr>
        <w:t>ter</w:t>
      </w:r>
      <w:r w:rsidRPr="00D7232B">
        <w:rPr>
          <w:rFonts w:ascii="Garamond" w:hAnsi="Garamond"/>
          <w:sz w:val="28"/>
          <w:szCs w:val="28"/>
        </w:rPr>
        <w:t xml:space="preserve"> del </w:t>
      </w:r>
      <w:proofErr w:type="spellStart"/>
      <w:r w:rsidRPr="00D7232B">
        <w:rPr>
          <w:rFonts w:ascii="Garamond" w:hAnsi="Garamond"/>
          <w:sz w:val="28"/>
          <w:szCs w:val="28"/>
        </w:rPr>
        <w:t>d.l.</w:t>
      </w:r>
      <w:proofErr w:type="spellEnd"/>
      <w:r w:rsidRPr="00D7232B">
        <w:rPr>
          <w:rFonts w:ascii="Garamond" w:hAnsi="Garamond"/>
          <w:sz w:val="28"/>
          <w:szCs w:val="28"/>
        </w:rPr>
        <w:t xml:space="preserve"> n</w:t>
      </w:r>
      <w:r w:rsidR="00567289">
        <w:rPr>
          <w:rFonts w:ascii="Garamond" w:hAnsi="Garamond"/>
          <w:sz w:val="28"/>
          <w:szCs w:val="28"/>
        </w:rPr>
        <w:t>. 73 del 2017, come convertito –</w:t>
      </w:r>
      <w:r w:rsidRPr="00D7232B">
        <w:rPr>
          <w:rFonts w:ascii="Garamond" w:hAnsi="Garamond"/>
          <w:sz w:val="28"/>
          <w:szCs w:val="28"/>
        </w:rPr>
        <w:t xml:space="preserve"> ha opportunamente introdotto in sede di conversione un sistema di monitoraggio periodico che può sfociare nella cessazione della obbligatorietà di</w:t>
      </w:r>
      <w:r w:rsidR="00593942">
        <w:rPr>
          <w:rFonts w:ascii="Garamond" w:hAnsi="Garamond"/>
          <w:sz w:val="28"/>
          <w:szCs w:val="28"/>
        </w:rPr>
        <w:t xml:space="preserve"> alcuni vaccini e,</w:t>
      </w:r>
      <w:r w:rsidRPr="00D7232B">
        <w:rPr>
          <w:rFonts w:ascii="Garamond" w:hAnsi="Garamond"/>
          <w:sz w:val="28"/>
          <w:szCs w:val="28"/>
        </w:rPr>
        <w:t xml:space="preserve"> segnatamente</w:t>
      </w:r>
      <w:r w:rsidR="00593942">
        <w:rPr>
          <w:rFonts w:ascii="Garamond" w:hAnsi="Garamond"/>
          <w:sz w:val="28"/>
          <w:szCs w:val="28"/>
        </w:rPr>
        <w:t>, di quelli elencati all’</w:t>
      </w:r>
      <w:r w:rsidRPr="00D7232B">
        <w:rPr>
          <w:rFonts w:ascii="Garamond" w:hAnsi="Garamond"/>
          <w:sz w:val="28"/>
          <w:szCs w:val="28"/>
        </w:rPr>
        <w:t>art. 1, comma 1-</w:t>
      </w:r>
      <w:r w:rsidRPr="00593942">
        <w:rPr>
          <w:rFonts w:ascii="Garamond" w:hAnsi="Garamond"/>
          <w:i/>
          <w:sz w:val="28"/>
          <w:szCs w:val="28"/>
        </w:rPr>
        <w:t>bis</w:t>
      </w:r>
      <w:r w:rsidRPr="00D7232B">
        <w:rPr>
          <w:rFonts w:ascii="Garamond" w:hAnsi="Garamond"/>
          <w:sz w:val="28"/>
          <w:szCs w:val="28"/>
        </w:rPr>
        <w:t>: anti-morbillo, anti-rosolia</w:t>
      </w:r>
      <w:r w:rsidR="00593942">
        <w:rPr>
          <w:rFonts w:ascii="Garamond" w:hAnsi="Garamond"/>
          <w:sz w:val="28"/>
          <w:szCs w:val="28"/>
        </w:rPr>
        <w:t>, anti-parotite, anti-varicella</w:t>
      </w:r>
      <w:r w:rsidRPr="00D7232B">
        <w:rPr>
          <w:rFonts w:ascii="Garamond" w:hAnsi="Garamond"/>
          <w:sz w:val="28"/>
          <w:szCs w:val="28"/>
        </w:rPr>
        <w:t>.</w:t>
      </w:r>
    </w:p>
    <w:p w:rsidR="00D7232B" w:rsidRPr="00D7232B" w:rsidRDefault="00D7232B" w:rsidP="00D7232B">
      <w:pPr>
        <w:ind w:firstLine="709"/>
        <w:contextualSpacing/>
        <w:jc w:val="both"/>
        <w:rPr>
          <w:rFonts w:ascii="Garamond" w:hAnsi="Garamond"/>
          <w:sz w:val="28"/>
          <w:szCs w:val="28"/>
        </w:rPr>
      </w:pPr>
      <w:r w:rsidRPr="00D7232B">
        <w:rPr>
          <w:rFonts w:ascii="Garamond" w:hAnsi="Garamond"/>
          <w:sz w:val="28"/>
          <w:szCs w:val="28"/>
        </w:rPr>
        <w:t xml:space="preserve">Questo elemento di </w:t>
      </w:r>
      <w:proofErr w:type="spellStart"/>
      <w:r w:rsidRPr="00D7232B">
        <w:rPr>
          <w:rFonts w:ascii="Garamond" w:hAnsi="Garamond"/>
          <w:sz w:val="28"/>
          <w:szCs w:val="28"/>
        </w:rPr>
        <w:t>flessibilizzazione</w:t>
      </w:r>
      <w:proofErr w:type="spellEnd"/>
      <w:r w:rsidRPr="00D7232B">
        <w:rPr>
          <w:rFonts w:ascii="Garamond" w:hAnsi="Garamond"/>
          <w:sz w:val="28"/>
          <w:szCs w:val="28"/>
        </w:rPr>
        <w:t xml:space="preserve"> della normativa, da attivarsi alla luce dei dati emersi nelle sedi scientifiche appropriate, denota che la scelta legislativ</w:t>
      </w:r>
      <w:r>
        <w:rPr>
          <w:rFonts w:ascii="Garamond" w:hAnsi="Garamond"/>
          <w:sz w:val="28"/>
          <w:szCs w:val="28"/>
        </w:rPr>
        <w:t>a a favore dello strumento dell’</w:t>
      </w:r>
      <w:r w:rsidRPr="00D7232B">
        <w:rPr>
          <w:rFonts w:ascii="Garamond" w:hAnsi="Garamond"/>
          <w:sz w:val="28"/>
          <w:szCs w:val="28"/>
        </w:rPr>
        <w:t xml:space="preserve">obbligo è fortemente ancorata al contesto ed è suscettibile di diversa valutazione al mutare di esso. </w:t>
      </w:r>
    </w:p>
    <w:p w:rsidR="00D7232B" w:rsidRDefault="00D7232B" w:rsidP="00D7232B">
      <w:pPr>
        <w:ind w:firstLine="709"/>
        <w:contextualSpacing/>
        <w:jc w:val="both"/>
        <w:rPr>
          <w:rFonts w:ascii="Garamond" w:hAnsi="Garamond"/>
          <w:sz w:val="28"/>
          <w:szCs w:val="28"/>
        </w:rPr>
      </w:pPr>
      <w:r w:rsidRPr="00D7232B">
        <w:rPr>
          <w:rFonts w:ascii="Garamond" w:hAnsi="Garamond"/>
          <w:sz w:val="28"/>
          <w:szCs w:val="28"/>
        </w:rPr>
        <w:t>Peraltro,</w:t>
      </w:r>
      <w:r w:rsidR="00567289">
        <w:rPr>
          <w:rFonts w:ascii="Garamond" w:hAnsi="Garamond"/>
          <w:sz w:val="28"/>
          <w:szCs w:val="28"/>
        </w:rPr>
        <w:t xml:space="preserve"> osserva ancora la Corte,</w:t>
      </w:r>
      <w:r w:rsidRPr="00D7232B">
        <w:rPr>
          <w:rFonts w:ascii="Garamond" w:hAnsi="Garamond"/>
          <w:sz w:val="28"/>
          <w:szCs w:val="28"/>
        </w:rPr>
        <w:t xml:space="preserve"> non si può fare a meno di rilevare che tale strumento di </w:t>
      </w:r>
      <w:proofErr w:type="spellStart"/>
      <w:r w:rsidRPr="00D7232B">
        <w:rPr>
          <w:rFonts w:ascii="Garamond" w:hAnsi="Garamond"/>
          <w:sz w:val="28"/>
          <w:szCs w:val="28"/>
        </w:rPr>
        <w:t>flessibilizzazione</w:t>
      </w:r>
      <w:proofErr w:type="spellEnd"/>
      <w:r w:rsidRPr="00D7232B">
        <w:rPr>
          <w:rFonts w:ascii="Garamond" w:hAnsi="Garamond"/>
          <w:sz w:val="28"/>
          <w:szCs w:val="28"/>
        </w:rPr>
        <w:t xml:space="preserve"> si applica solo a quattro dei dieci vaccini imposti obbligatoriamente dalla legge. </w:t>
      </w:r>
    </w:p>
    <w:p w:rsidR="00D7232B" w:rsidRPr="00D7232B" w:rsidRDefault="00D7232B" w:rsidP="00D7232B">
      <w:pPr>
        <w:ind w:firstLine="709"/>
        <w:contextualSpacing/>
        <w:jc w:val="both"/>
        <w:rPr>
          <w:rFonts w:ascii="Garamond" w:hAnsi="Garamond"/>
          <w:sz w:val="28"/>
          <w:szCs w:val="28"/>
        </w:rPr>
      </w:pPr>
      <w:r w:rsidRPr="00D7232B">
        <w:rPr>
          <w:rFonts w:ascii="Garamond" w:hAnsi="Garamond"/>
          <w:sz w:val="28"/>
          <w:szCs w:val="28"/>
        </w:rPr>
        <w:t>Analoghe variazioni nelle condizioni epidemiologiche, nei dati relativi alle reazioni avverse e alle coperture vaccinali potrebbero suggerire al legislatore di prevedere un analogo meccanismo di allentamento del grado di coazione esercitabile anche in riferimento alle sei v</w:t>
      </w:r>
      <w:r w:rsidR="00593942">
        <w:rPr>
          <w:rFonts w:ascii="Garamond" w:hAnsi="Garamond"/>
          <w:sz w:val="28"/>
          <w:szCs w:val="28"/>
        </w:rPr>
        <w:t>accinazioni indicate al comma 1 dell’</w:t>
      </w:r>
      <w:r w:rsidRPr="00D7232B">
        <w:rPr>
          <w:rFonts w:ascii="Garamond" w:hAnsi="Garamond"/>
          <w:sz w:val="28"/>
          <w:szCs w:val="28"/>
        </w:rPr>
        <w:t xml:space="preserve">art. 1 (anti-poliomielitica, anti-difterica, anti-tetanica, anti-epatite B, antipertosse, anti </w:t>
      </w:r>
      <w:proofErr w:type="spellStart"/>
      <w:r w:rsidRPr="00593942">
        <w:rPr>
          <w:rFonts w:ascii="Garamond" w:hAnsi="Garamond"/>
          <w:i/>
          <w:sz w:val="28"/>
          <w:szCs w:val="28"/>
        </w:rPr>
        <w:t>Haemophilus</w:t>
      </w:r>
      <w:proofErr w:type="spellEnd"/>
      <w:r w:rsidRPr="00593942">
        <w:rPr>
          <w:rFonts w:ascii="Garamond" w:hAnsi="Garamond"/>
          <w:i/>
          <w:sz w:val="28"/>
          <w:szCs w:val="28"/>
        </w:rPr>
        <w:t xml:space="preserve"> </w:t>
      </w:r>
      <w:proofErr w:type="spellStart"/>
      <w:r w:rsidRPr="00593942">
        <w:rPr>
          <w:rFonts w:ascii="Garamond" w:hAnsi="Garamond"/>
          <w:i/>
          <w:sz w:val="28"/>
          <w:szCs w:val="28"/>
        </w:rPr>
        <w:t>influenzae</w:t>
      </w:r>
      <w:proofErr w:type="spellEnd"/>
      <w:r w:rsidRPr="00D7232B">
        <w:rPr>
          <w:rFonts w:ascii="Garamond" w:hAnsi="Garamond"/>
          <w:sz w:val="28"/>
          <w:szCs w:val="28"/>
        </w:rPr>
        <w:t xml:space="preserve"> tipo b).</w:t>
      </w:r>
    </w:p>
    <w:p w:rsidR="003A2AA3" w:rsidRDefault="00D7232B" w:rsidP="00D7232B">
      <w:pPr>
        <w:ind w:firstLine="709"/>
        <w:contextualSpacing/>
        <w:jc w:val="both"/>
        <w:rPr>
          <w:rFonts w:ascii="Garamond" w:hAnsi="Garamond"/>
          <w:sz w:val="28"/>
          <w:szCs w:val="28"/>
        </w:rPr>
      </w:pPr>
      <w:r w:rsidRPr="00D7232B">
        <w:rPr>
          <w:rFonts w:ascii="Garamond" w:hAnsi="Garamond"/>
          <w:sz w:val="28"/>
          <w:szCs w:val="28"/>
        </w:rPr>
        <w:t>La sentenza della Corte costi</w:t>
      </w:r>
      <w:r w:rsidR="007059B3">
        <w:rPr>
          <w:rFonts w:ascii="Garamond" w:hAnsi="Garamond"/>
          <w:sz w:val="28"/>
          <w:szCs w:val="28"/>
        </w:rPr>
        <w:t>tuzionale ha offerto, con il suo inquadramento sistematico preciso e chiaro</w:t>
      </w:r>
      <w:r w:rsidR="00EC6866">
        <w:rPr>
          <w:rFonts w:ascii="Garamond" w:hAnsi="Garamond"/>
          <w:sz w:val="28"/>
          <w:szCs w:val="28"/>
        </w:rPr>
        <w:t xml:space="preserve"> dei trattamenti sanitari obbligatori</w:t>
      </w:r>
      <w:r w:rsidR="007059B3">
        <w:rPr>
          <w:rFonts w:ascii="Garamond" w:hAnsi="Garamond"/>
          <w:sz w:val="28"/>
          <w:szCs w:val="28"/>
        </w:rPr>
        <w:t>,</w:t>
      </w:r>
      <w:r>
        <w:rPr>
          <w:rFonts w:ascii="Garamond" w:hAnsi="Garamond"/>
          <w:sz w:val="28"/>
          <w:szCs w:val="28"/>
        </w:rPr>
        <w:t xml:space="preserve"> un fondamentale contributo</w:t>
      </w:r>
      <w:r w:rsidRPr="00D7232B">
        <w:rPr>
          <w:rFonts w:ascii="Garamond" w:hAnsi="Garamond"/>
          <w:sz w:val="28"/>
          <w:szCs w:val="28"/>
        </w:rPr>
        <w:t xml:space="preserve"> nella ricostruzione del rapporto tra autorità e li</w:t>
      </w:r>
      <w:r>
        <w:rPr>
          <w:rFonts w:ascii="Garamond" w:hAnsi="Garamond"/>
          <w:sz w:val="28"/>
          <w:szCs w:val="28"/>
        </w:rPr>
        <w:t>bertà nelle decisioni sanitarie.</w:t>
      </w:r>
    </w:p>
    <w:p w:rsidR="00D7232B" w:rsidRDefault="00D7232B" w:rsidP="00ED1FD2">
      <w:pPr>
        <w:ind w:firstLine="709"/>
        <w:contextualSpacing/>
        <w:jc w:val="both"/>
        <w:rPr>
          <w:rFonts w:ascii="Garamond" w:hAnsi="Garamond"/>
          <w:sz w:val="28"/>
          <w:szCs w:val="28"/>
        </w:rPr>
      </w:pPr>
      <w:r>
        <w:rPr>
          <w:rFonts w:ascii="Garamond" w:hAnsi="Garamond"/>
          <w:sz w:val="28"/>
          <w:szCs w:val="28"/>
        </w:rPr>
        <w:t>Meno noto è, però, che parallelamente – o, per la precisione, antecedentemente all’intervento della Corte (che, infatti, lo cita) – il Consiglio di Stato, ancora una volta in sede consultiva, era intervenuto anch’esso sul delicato tema delle vaccinazioni obbligatorie, richiesto di un parere da parte della Regione Veneto</w:t>
      </w:r>
      <w:r w:rsidR="00593942">
        <w:rPr>
          <w:rFonts w:ascii="Garamond" w:hAnsi="Garamond"/>
          <w:sz w:val="28"/>
          <w:szCs w:val="28"/>
        </w:rPr>
        <w:t>,</w:t>
      </w:r>
      <w:r>
        <w:rPr>
          <w:rFonts w:ascii="Garamond" w:hAnsi="Garamond"/>
          <w:sz w:val="28"/>
          <w:szCs w:val="28"/>
        </w:rPr>
        <w:t xml:space="preserve"> e aveva anch’esso delineato ancora una volta, e chiaramente, il rapporto tra autorità e libertà </w:t>
      </w:r>
      <w:r w:rsidR="00ED1FD2">
        <w:rPr>
          <w:rFonts w:ascii="Garamond" w:hAnsi="Garamond"/>
          <w:sz w:val="28"/>
          <w:szCs w:val="28"/>
        </w:rPr>
        <w:t>in tema di decisioni sanitari</w:t>
      </w:r>
      <w:r w:rsidR="00593942">
        <w:rPr>
          <w:rFonts w:ascii="Garamond" w:hAnsi="Garamond"/>
          <w:sz w:val="28"/>
          <w:szCs w:val="28"/>
        </w:rPr>
        <w:t>e nel parere n. 2065 del 26 settembre 2017</w:t>
      </w:r>
      <w:r w:rsidR="003045E0">
        <w:rPr>
          <w:rStyle w:val="Rimandonotaapidipagina"/>
          <w:rFonts w:ascii="Garamond" w:hAnsi="Garamond"/>
          <w:sz w:val="28"/>
          <w:szCs w:val="28"/>
        </w:rPr>
        <w:footnoteReference w:id="33"/>
      </w:r>
      <w:r w:rsidR="00593942">
        <w:rPr>
          <w:rFonts w:ascii="Garamond" w:hAnsi="Garamond"/>
          <w:sz w:val="28"/>
          <w:szCs w:val="28"/>
        </w:rPr>
        <w:t>.</w:t>
      </w:r>
    </w:p>
    <w:p w:rsidR="00ED1FD2" w:rsidRPr="00ED1FD2" w:rsidRDefault="008252CB" w:rsidP="00ED1FD2">
      <w:pPr>
        <w:ind w:firstLine="709"/>
        <w:contextualSpacing/>
        <w:jc w:val="both"/>
        <w:rPr>
          <w:rFonts w:ascii="Garamond" w:hAnsi="Garamond"/>
          <w:sz w:val="28"/>
          <w:szCs w:val="28"/>
        </w:rPr>
      </w:pPr>
      <w:r>
        <w:rPr>
          <w:rFonts w:ascii="Garamond" w:hAnsi="Garamond"/>
          <w:sz w:val="28"/>
          <w:szCs w:val="28"/>
        </w:rPr>
        <w:t>La c</w:t>
      </w:r>
      <w:r w:rsidR="00593942">
        <w:rPr>
          <w:rFonts w:ascii="Garamond" w:hAnsi="Garamond"/>
          <w:sz w:val="28"/>
          <w:szCs w:val="28"/>
        </w:rPr>
        <w:t>ommissione speciale ha rilevato</w:t>
      </w:r>
      <w:r w:rsidR="00ED1FD2" w:rsidRPr="00ED1FD2">
        <w:rPr>
          <w:rFonts w:ascii="Garamond" w:hAnsi="Garamond"/>
          <w:sz w:val="28"/>
          <w:szCs w:val="28"/>
        </w:rPr>
        <w:t xml:space="preserve"> che la previsione della copertura vaccinale sia funzionale all’adempimento di un generale dovere di solidarietà che pervade e innerva tutti i rapporti sociali e giuridici.</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Senza entrare in valutazioni di carattere epidemiologico che dovrebbe</w:t>
      </w:r>
      <w:r w:rsidR="00567289">
        <w:rPr>
          <w:rFonts w:ascii="Garamond" w:hAnsi="Garamond"/>
          <w:sz w:val="28"/>
          <w:szCs w:val="28"/>
        </w:rPr>
        <w:t>ro</w:t>
      </w:r>
      <w:r w:rsidRPr="00ED1FD2">
        <w:rPr>
          <w:rFonts w:ascii="Garamond" w:hAnsi="Garamond"/>
          <w:sz w:val="28"/>
          <w:szCs w:val="28"/>
        </w:rPr>
        <w:t xml:space="preserve"> essere riservate agli esperti (e che certamente non spetta</w:t>
      </w:r>
      <w:r w:rsidR="00593942">
        <w:rPr>
          <w:rFonts w:ascii="Garamond" w:hAnsi="Garamond"/>
          <w:sz w:val="28"/>
          <w:szCs w:val="28"/>
        </w:rPr>
        <w:t>no ai giuristi), il parere</w:t>
      </w:r>
      <w:r w:rsidR="00567289">
        <w:rPr>
          <w:rFonts w:ascii="Garamond" w:hAnsi="Garamond"/>
          <w:sz w:val="28"/>
          <w:szCs w:val="28"/>
        </w:rPr>
        <w:t xml:space="preserve"> n. 2065 del 2017 del Consiglio di Stato</w:t>
      </w:r>
      <w:r w:rsidR="00593942">
        <w:rPr>
          <w:rFonts w:ascii="Garamond" w:hAnsi="Garamond"/>
          <w:sz w:val="28"/>
          <w:szCs w:val="28"/>
        </w:rPr>
        <w:t xml:space="preserve"> ha ritenuto evidente –</w:t>
      </w:r>
      <w:r w:rsidRPr="00ED1FD2">
        <w:rPr>
          <w:rFonts w:ascii="Garamond" w:hAnsi="Garamond"/>
          <w:sz w:val="28"/>
          <w:szCs w:val="28"/>
        </w:rPr>
        <w:t xml:space="preserve"> sulla base delle acquisizioni della migliore scienza medica e delle raccomandazioni delle</w:t>
      </w:r>
      <w:r w:rsidR="00593942">
        <w:rPr>
          <w:rFonts w:ascii="Garamond" w:hAnsi="Garamond"/>
          <w:sz w:val="28"/>
          <w:szCs w:val="28"/>
        </w:rPr>
        <w:t xml:space="preserve"> organizzazioni internazionali –</w:t>
      </w:r>
      <w:r w:rsidRPr="00ED1FD2">
        <w:rPr>
          <w:rFonts w:ascii="Garamond" w:hAnsi="Garamond"/>
          <w:sz w:val="28"/>
          <w:szCs w:val="28"/>
        </w:rPr>
        <w:t xml:space="preserve"> che soltanto la più ampia vaccinazione dei bambini costituisca misura idonea e proporzionata a garantire la salute di altri bambini e che solo la vaccinazione permetta di proteggere, proprio grazie al ragg</w:t>
      </w:r>
      <w:r w:rsidR="008951A1">
        <w:rPr>
          <w:rFonts w:ascii="Garamond" w:hAnsi="Garamond"/>
          <w:sz w:val="28"/>
          <w:szCs w:val="28"/>
        </w:rPr>
        <w:t>iungimento dell’obiettivo della c.d. “</w:t>
      </w:r>
      <w:r w:rsidRPr="00ED1FD2">
        <w:rPr>
          <w:rFonts w:ascii="Garamond" w:hAnsi="Garamond"/>
          <w:sz w:val="28"/>
          <w:szCs w:val="28"/>
        </w:rPr>
        <w:t>immunità di gregge”, la salute delle fasce più deboli, ossia di coloro che, per particolari ragioni di ordine sanitario, non possano vaccinarsi</w:t>
      </w:r>
      <w:r w:rsidR="00BC56F1">
        <w:rPr>
          <w:rStyle w:val="Rimandonotaapidipagina"/>
          <w:rFonts w:ascii="Garamond" w:hAnsi="Garamond"/>
          <w:sz w:val="28"/>
          <w:szCs w:val="28"/>
        </w:rPr>
        <w:footnoteReference w:id="34"/>
      </w:r>
      <w:r w:rsidRPr="00ED1FD2">
        <w:rPr>
          <w:rFonts w:ascii="Garamond" w:hAnsi="Garamond"/>
          <w:sz w:val="28"/>
          <w:szCs w:val="28"/>
        </w:rPr>
        <w:t xml:space="preserve">.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Porre ostacoli di qual</w:t>
      </w:r>
      <w:r w:rsidR="00593942">
        <w:rPr>
          <w:rFonts w:ascii="Garamond" w:hAnsi="Garamond"/>
          <w:sz w:val="28"/>
          <w:szCs w:val="28"/>
        </w:rPr>
        <w:t xml:space="preserve">unque genere alla vaccinazione, </w:t>
      </w:r>
      <w:r w:rsidRPr="00ED1FD2">
        <w:rPr>
          <w:rFonts w:ascii="Garamond" w:hAnsi="Garamond"/>
          <w:sz w:val="28"/>
          <w:szCs w:val="28"/>
        </w:rPr>
        <w:t>la cui “appropriatezza” sia riconosciuta dalla più accreditata scienza medico-legale e dalle autorità pubbliche, legislative o</w:t>
      </w:r>
      <w:r w:rsidR="00593942">
        <w:rPr>
          <w:rFonts w:ascii="Garamond" w:hAnsi="Garamond"/>
          <w:sz w:val="28"/>
          <w:szCs w:val="28"/>
        </w:rPr>
        <w:t xml:space="preserve"> amministrative, a ciò deputate,</w:t>
      </w:r>
      <w:r w:rsidRPr="00ED1FD2">
        <w:rPr>
          <w:rFonts w:ascii="Garamond" w:hAnsi="Garamond"/>
          <w:sz w:val="28"/>
          <w:szCs w:val="28"/>
        </w:rPr>
        <w:t xml:space="preserve"> può risolversi in un pregiudizio per il singolo individuo non vaccinato, ma soprattutto vulnera immediatamente l’interesse collettivo, giacché rischia di ledere, talora irreparabilmente, la salute di altri soggetti deboli. </w:t>
      </w:r>
    </w:p>
    <w:p w:rsidR="00ED1FD2" w:rsidRPr="00ED1FD2" w:rsidRDefault="008252CB" w:rsidP="00593942">
      <w:pPr>
        <w:ind w:firstLine="709"/>
        <w:contextualSpacing/>
        <w:jc w:val="both"/>
        <w:rPr>
          <w:rFonts w:ascii="Garamond" w:hAnsi="Garamond"/>
          <w:sz w:val="28"/>
          <w:szCs w:val="28"/>
        </w:rPr>
      </w:pPr>
      <w:r>
        <w:rPr>
          <w:rFonts w:ascii="Garamond" w:hAnsi="Garamond"/>
          <w:sz w:val="28"/>
          <w:szCs w:val="28"/>
        </w:rPr>
        <w:t>Del resto lo stesso art.</w:t>
      </w:r>
      <w:r w:rsidR="00ED1FD2" w:rsidRPr="00ED1FD2">
        <w:rPr>
          <w:rFonts w:ascii="Garamond" w:hAnsi="Garamond"/>
          <w:sz w:val="28"/>
          <w:szCs w:val="28"/>
        </w:rPr>
        <w:t xml:space="preserve"> 32 della Costituzione enfatizza la dimensione solidaristica del diritto alla salute e il tema del possibile conflitto tra diritto individuale e interesse collettivo nell’ambito delle vaccinazioni obbligatorie è stato approfondito autorevolmente dalla Corte costituzionale </w:t>
      </w:r>
      <w:r w:rsidR="00593942">
        <w:rPr>
          <w:rFonts w:ascii="Garamond" w:hAnsi="Garamond"/>
          <w:sz w:val="28"/>
          <w:szCs w:val="28"/>
        </w:rPr>
        <w:t>nella propria giurisprudenza.</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 xml:space="preserve">La Costituzione dunque, osserva il Consiglio di Stato nel citato parere n. 2065, contrariamente a quanto divisato dai sostenitori di </w:t>
      </w:r>
      <w:r w:rsidR="00593942">
        <w:rPr>
          <w:rFonts w:ascii="Garamond" w:hAnsi="Garamond"/>
          <w:sz w:val="28"/>
          <w:szCs w:val="28"/>
        </w:rPr>
        <w:t>«</w:t>
      </w:r>
      <w:r w:rsidRPr="00045D02">
        <w:rPr>
          <w:rFonts w:ascii="Garamond" w:hAnsi="Garamond"/>
          <w:i/>
          <w:sz w:val="28"/>
          <w:szCs w:val="28"/>
        </w:rPr>
        <w:t>alcune interpretazioni riduzionistiche del diritto alla salute</w:t>
      </w:r>
      <w:r w:rsidR="00045D02">
        <w:rPr>
          <w:rFonts w:ascii="Garamond" w:hAnsi="Garamond"/>
          <w:sz w:val="28"/>
          <w:szCs w:val="28"/>
        </w:rPr>
        <w:t>»</w:t>
      </w:r>
      <w:r w:rsidR="00BC56F1">
        <w:rPr>
          <w:rStyle w:val="Rimandonotaapidipagina"/>
          <w:rFonts w:ascii="Garamond" w:hAnsi="Garamond"/>
          <w:sz w:val="28"/>
          <w:szCs w:val="28"/>
        </w:rPr>
        <w:footnoteReference w:id="35"/>
      </w:r>
      <w:r w:rsidRPr="00ED1FD2">
        <w:rPr>
          <w:rFonts w:ascii="Garamond" w:hAnsi="Garamond"/>
          <w:sz w:val="28"/>
          <w:szCs w:val="28"/>
        </w:rPr>
        <w:t xml:space="preserve">, non riconosce un’incondizionata e assoluta libertà di non curarsi o di non essere sottoposti trattamenti sanitari obbligatori (anche in relazione a terapie preventive quali sono i vaccini), per la semplice ragione che, soprattutto nelle patologie ad alta diffusività, una cura sbagliata o la decisione individuale di non curarsi può danneggiare la salute di molti altri esseri umani e, in particolare, la salute dei più deboli, ossia dei bambini e di chi è già ammalato.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 xml:space="preserve">Alla stregua dell’art. 32 </w:t>
      </w:r>
      <w:proofErr w:type="spellStart"/>
      <w:r w:rsidRPr="00ED1FD2">
        <w:rPr>
          <w:rFonts w:ascii="Garamond" w:hAnsi="Garamond"/>
          <w:sz w:val="28"/>
          <w:szCs w:val="28"/>
        </w:rPr>
        <w:t>Cost</w:t>
      </w:r>
      <w:proofErr w:type="spellEnd"/>
      <w:r w:rsidRPr="00ED1FD2">
        <w:rPr>
          <w:rFonts w:ascii="Garamond" w:hAnsi="Garamond"/>
          <w:sz w:val="28"/>
          <w:szCs w:val="28"/>
        </w:rPr>
        <w:t>., come chiarisce ancora il Consiglio di Stato, la salute n</w:t>
      </w:r>
      <w:r w:rsidR="00045D02">
        <w:rPr>
          <w:rFonts w:ascii="Garamond" w:hAnsi="Garamond"/>
          <w:sz w:val="28"/>
          <w:szCs w:val="28"/>
        </w:rPr>
        <w:t>on è solo oggetto di un diritto</w:t>
      </w:r>
      <w:r w:rsidRPr="00ED1FD2">
        <w:rPr>
          <w:rFonts w:ascii="Garamond" w:hAnsi="Garamond"/>
          <w:sz w:val="28"/>
          <w:szCs w:val="28"/>
        </w:rPr>
        <w:t>, ma è anche un interesse della collettività; sicché, come ricordato dalla Corte costituzionale nella sen</w:t>
      </w:r>
      <w:r w:rsidR="00567289">
        <w:rPr>
          <w:rFonts w:ascii="Garamond" w:hAnsi="Garamond"/>
          <w:sz w:val="28"/>
          <w:szCs w:val="28"/>
        </w:rPr>
        <w:t>tenza n. 218 del 2 giugno 1994,</w:t>
      </w:r>
      <w:r w:rsidRPr="00ED1FD2">
        <w:rPr>
          <w:rFonts w:ascii="Garamond" w:hAnsi="Garamond"/>
          <w:sz w:val="28"/>
          <w:szCs w:val="28"/>
        </w:rPr>
        <w:t xml:space="preserve"> la tutela</w:t>
      </w:r>
      <w:r w:rsidR="00045D02">
        <w:rPr>
          <w:rFonts w:ascii="Garamond" w:hAnsi="Garamond"/>
          <w:sz w:val="28"/>
          <w:szCs w:val="28"/>
        </w:rPr>
        <w:t xml:space="preserve"> della salute implica anche il dovere dell’</w:t>
      </w:r>
      <w:r w:rsidRPr="00ED1FD2">
        <w:rPr>
          <w:rFonts w:ascii="Garamond" w:hAnsi="Garamond"/>
          <w:sz w:val="28"/>
          <w:szCs w:val="28"/>
        </w:rPr>
        <w:t>individuo di non ledere né porre a rischio con il proprio comportamento la salute altrui, in osservanza del principio generale che vede il diritto di ciascuno trovare un limite nel reciproco riconoscimento e nell'eguale protezione del co</w:t>
      </w:r>
      <w:r w:rsidR="00045D02">
        <w:rPr>
          <w:rFonts w:ascii="Garamond" w:hAnsi="Garamond"/>
          <w:sz w:val="28"/>
          <w:szCs w:val="28"/>
        </w:rPr>
        <w:t>esistente diritto degli altri.</w:t>
      </w:r>
    </w:p>
    <w:p w:rsidR="00ED1FD2" w:rsidRPr="00ED1FD2" w:rsidRDefault="00567289" w:rsidP="00ED1FD2">
      <w:pPr>
        <w:ind w:firstLine="709"/>
        <w:contextualSpacing/>
        <w:jc w:val="both"/>
        <w:rPr>
          <w:rFonts w:ascii="Garamond" w:hAnsi="Garamond"/>
          <w:sz w:val="28"/>
          <w:szCs w:val="28"/>
        </w:rPr>
      </w:pPr>
      <w:r>
        <w:rPr>
          <w:rFonts w:ascii="Garamond" w:hAnsi="Garamond"/>
          <w:sz w:val="28"/>
          <w:szCs w:val="28"/>
        </w:rPr>
        <w:t xml:space="preserve">Sulla base dell’art. 32 </w:t>
      </w:r>
      <w:proofErr w:type="spellStart"/>
      <w:r>
        <w:rPr>
          <w:rFonts w:ascii="Garamond" w:hAnsi="Garamond"/>
          <w:sz w:val="28"/>
          <w:szCs w:val="28"/>
        </w:rPr>
        <w:t>Cost</w:t>
      </w:r>
      <w:proofErr w:type="spellEnd"/>
      <w:r>
        <w:rPr>
          <w:rFonts w:ascii="Garamond" w:hAnsi="Garamond"/>
          <w:sz w:val="28"/>
          <w:szCs w:val="28"/>
        </w:rPr>
        <w:t>.</w:t>
      </w:r>
      <w:r w:rsidR="00ED1FD2" w:rsidRPr="00ED1FD2">
        <w:rPr>
          <w:rFonts w:ascii="Garamond" w:hAnsi="Garamond"/>
          <w:sz w:val="28"/>
          <w:szCs w:val="28"/>
        </w:rPr>
        <w:t xml:space="preserve">, dunque, la copertura vaccinale può non essere oggetto dell’interesse di un singolo individuo, ma sicuramente è d’interesse primario della collettività e la sua obbligatorietà – funzionale all’attuazione del fondamentale dovere di solidarietà rispetto alla tutela dell’altrui integrità fisica – può essere imposta ai cittadini dalla legge, con sanzioni proporzionate e forme di coazione indiretta variamente configurate, fermo restando il dovere della Repubblica (anch’esso fondato sul dovere di solidarietà) di indennizzare adeguatamente i pochi soggetti che dovessero essere danneggiati dalla somministrazione del vaccino (e a ciò provvede la legge 25 febbraio 1992, n. 210) e di risarcire i medesimi soggetti, qualora il pregiudizio a costoro cagionato dipenda da colpa dell’amministrazione.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w:t>
      </w:r>
      <w:r w:rsidRPr="00045D02">
        <w:rPr>
          <w:rFonts w:ascii="Garamond" w:hAnsi="Garamond"/>
          <w:i/>
          <w:sz w:val="28"/>
          <w:szCs w:val="28"/>
        </w:rPr>
        <w:t>La mancata considerazione di siffatto dovere di solidarietà rischierebbe, peraltro, di minare alla base</w:t>
      </w:r>
      <w:r w:rsidR="00045D02">
        <w:rPr>
          <w:rFonts w:ascii="Garamond" w:hAnsi="Garamond"/>
          <w:sz w:val="28"/>
          <w:szCs w:val="28"/>
        </w:rPr>
        <w:t xml:space="preserve"> – osserva a chiare lettere il Consiglio di Stato –</w:t>
      </w:r>
      <w:r w:rsidRPr="00045D02">
        <w:rPr>
          <w:rFonts w:ascii="Garamond" w:hAnsi="Garamond"/>
          <w:i/>
          <w:sz w:val="28"/>
          <w:szCs w:val="28"/>
        </w:rPr>
        <w:t xml:space="preserve"> anche l’eguaglianza sostanziale tra i cittadini sulla quale poggia la stessa democrazia repubblicana, atteso che i bambini costretti a frequentare classi in cui sia bassa l’immunità di gregge potrebbero essere esposti a pericoli per la loro salute, rischi ai quali invece non andrebbero incontro bambini appartenenti a famiglie stanziate in altre parti del territorio nazionale</w:t>
      </w:r>
      <w:r w:rsidRPr="00ED1FD2">
        <w:rPr>
          <w:rFonts w:ascii="Garamond" w:hAnsi="Garamond"/>
          <w:sz w:val="28"/>
          <w:szCs w:val="28"/>
        </w:rPr>
        <w:t>»</w:t>
      </w:r>
      <w:r w:rsidR="00BC56F1">
        <w:rPr>
          <w:rStyle w:val="Rimandonotaapidipagina"/>
          <w:rFonts w:ascii="Garamond" w:hAnsi="Garamond"/>
          <w:sz w:val="28"/>
          <w:szCs w:val="28"/>
        </w:rPr>
        <w:footnoteReference w:id="36"/>
      </w:r>
      <w:r w:rsidRPr="00ED1FD2">
        <w:rPr>
          <w:rFonts w:ascii="Garamond" w:hAnsi="Garamond"/>
          <w:sz w:val="28"/>
          <w:szCs w:val="28"/>
        </w:rPr>
        <w:t xml:space="preserve">.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 xml:space="preserve">La discriminazione tra bambini e bambini, tra cittadini sani e cittadini deboli, non potrebbe essere più eclatante.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 xml:space="preserve">Il servizio sanitario e il servizio scolastico, da chiunque gestiti, debbono quindi garantire alti e omogenei livelli di copertura vaccinale in tutto il Paese, dal momento che la stessa ragion d’essere di tali servizi è quella di rendere effettivi, all’insegna del buon andamento amministrativo e della leale collaborazione tra i vari livelli di governo, i diritti fondamentali tutelati dalla Costituzione e, tra questi, in primo luogo il diritto alla vita e alla salute, quali indefettibili precondizioni per un pieno sviluppo della persona umana, pure in quella particolare formazione sociale che è la scuola. </w:t>
      </w:r>
    </w:p>
    <w:p w:rsidR="00ED1FD2" w:rsidRPr="00ED1FD2" w:rsidRDefault="00ED1FD2" w:rsidP="00045D02">
      <w:pPr>
        <w:ind w:firstLine="709"/>
        <w:contextualSpacing/>
        <w:jc w:val="both"/>
        <w:rPr>
          <w:rFonts w:ascii="Garamond" w:hAnsi="Garamond"/>
          <w:sz w:val="28"/>
          <w:szCs w:val="28"/>
        </w:rPr>
      </w:pPr>
      <w:r w:rsidRPr="00ED1FD2">
        <w:rPr>
          <w:rFonts w:ascii="Garamond" w:hAnsi="Garamond"/>
          <w:sz w:val="28"/>
          <w:szCs w:val="28"/>
        </w:rPr>
        <w:t>L’art. 32 della Costituzione assegna alla Repubblica il compito, da attuare in via legislativa e amminist</w:t>
      </w:r>
      <w:r w:rsidR="00045D02">
        <w:rPr>
          <w:rFonts w:ascii="Garamond" w:hAnsi="Garamond"/>
          <w:sz w:val="28"/>
          <w:szCs w:val="28"/>
        </w:rPr>
        <w:t xml:space="preserve">rativa, di tutelare la salute.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 xml:space="preserve">Non confligge </w:t>
      </w:r>
      <w:r w:rsidR="00045D02">
        <w:rPr>
          <w:rFonts w:ascii="Garamond" w:hAnsi="Garamond"/>
          <w:sz w:val="28"/>
          <w:szCs w:val="28"/>
        </w:rPr>
        <w:t>con il quadro appena delineato –</w:t>
      </w:r>
      <w:r w:rsidRPr="00ED1FD2">
        <w:rPr>
          <w:rFonts w:ascii="Garamond" w:hAnsi="Garamond"/>
          <w:sz w:val="28"/>
          <w:szCs w:val="28"/>
        </w:rPr>
        <w:t xml:space="preserve"> e, anzi, lo rafforza – il principio di precauzione applicato al settore della salute</w:t>
      </w:r>
      <w:r w:rsidR="00BB22D3">
        <w:rPr>
          <w:rStyle w:val="Rimandonotaapidipagina"/>
          <w:rFonts w:ascii="Garamond" w:hAnsi="Garamond"/>
          <w:sz w:val="28"/>
          <w:szCs w:val="28"/>
        </w:rPr>
        <w:footnoteReference w:id="37"/>
      </w:r>
      <w:r w:rsidRPr="00ED1FD2">
        <w:rPr>
          <w:rFonts w:ascii="Garamond" w:hAnsi="Garamond"/>
          <w:sz w:val="28"/>
          <w:szCs w:val="28"/>
        </w:rPr>
        <w:t>.</w:t>
      </w:r>
    </w:p>
    <w:p w:rsidR="00ED1FD2" w:rsidRPr="00ED1FD2" w:rsidRDefault="00045D02" w:rsidP="00ED1FD2">
      <w:pPr>
        <w:ind w:firstLine="709"/>
        <w:contextualSpacing/>
        <w:jc w:val="both"/>
        <w:rPr>
          <w:rFonts w:ascii="Garamond" w:hAnsi="Garamond"/>
          <w:sz w:val="28"/>
          <w:szCs w:val="28"/>
        </w:rPr>
      </w:pPr>
      <w:r>
        <w:rPr>
          <w:rFonts w:ascii="Garamond" w:hAnsi="Garamond"/>
          <w:sz w:val="28"/>
          <w:szCs w:val="28"/>
        </w:rPr>
        <w:t>L</w:t>
      </w:r>
      <w:r w:rsidR="00ED1FD2" w:rsidRPr="00ED1FD2">
        <w:rPr>
          <w:rFonts w:ascii="Garamond" w:hAnsi="Garamond"/>
          <w:sz w:val="28"/>
          <w:szCs w:val="28"/>
        </w:rPr>
        <w:t>a Commissione speciale</w:t>
      </w:r>
      <w:r w:rsidR="00567289">
        <w:rPr>
          <w:rFonts w:ascii="Garamond" w:hAnsi="Garamond"/>
          <w:sz w:val="28"/>
          <w:szCs w:val="28"/>
        </w:rPr>
        <w:t xml:space="preserve"> non ignora</w:t>
      </w:r>
      <w:r w:rsidR="00ED1FD2" w:rsidRPr="00ED1FD2">
        <w:rPr>
          <w:rFonts w:ascii="Garamond" w:hAnsi="Garamond"/>
          <w:sz w:val="28"/>
          <w:szCs w:val="28"/>
        </w:rPr>
        <w:t xml:space="preserve"> che in talune argomentazioni giuridiche dirette contro l’obbligo vaccinale ricorra sovente l’invocazione del suddetto principio.</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Di esso però è offerta un’interpretazione secondo la quale, in sintesi, lo Stato dovrebbe astenersi dall’imporre l’obbligo vaccinale giacché le vaccinazioni implicherebbero un inevitabile rischio di reazioni avverse o di più gravi pregiudizi dell’integrità fisica dei soggetti vaccinati; in altri termini, sarebbe assente una condizione di c.d. “rischio zero”.</w:t>
      </w:r>
    </w:p>
    <w:p w:rsidR="00ED1FD2" w:rsidRPr="00ED1FD2" w:rsidRDefault="00045D02" w:rsidP="00ED1FD2">
      <w:pPr>
        <w:ind w:firstLine="709"/>
        <w:contextualSpacing/>
        <w:jc w:val="both"/>
        <w:rPr>
          <w:rFonts w:ascii="Garamond" w:hAnsi="Garamond"/>
          <w:sz w:val="28"/>
          <w:szCs w:val="28"/>
        </w:rPr>
      </w:pPr>
      <w:r>
        <w:rPr>
          <w:rFonts w:ascii="Garamond" w:hAnsi="Garamond"/>
          <w:sz w:val="28"/>
          <w:szCs w:val="28"/>
        </w:rPr>
        <w:t>Ma</w:t>
      </w:r>
      <w:r w:rsidR="00ED1FD2" w:rsidRPr="00ED1FD2">
        <w:rPr>
          <w:rFonts w:ascii="Garamond" w:hAnsi="Garamond"/>
          <w:sz w:val="28"/>
          <w:szCs w:val="28"/>
        </w:rPr>
        <w:t>, premesso che a nessuna condotta umana si correla un “rischio zero”, appare evidente</w:t>
      </w:r>
      <w:r w:rsidR="008252CB">
        <w:rPr>
          <w:rFonts w:ascii="Garamond" w:hAnsi="Garamond"/>
          <w:sz w:val="28"/>
          <w:szCs w:val="28"/>
        </w:rPr>
        <w:t>, secondo la c</w:t>
      </w:r>
      <w:r>
        <w:rPr>
          <w:rFonts w:ascii="Garamond" w:hAnsi="Garamond"/>
          <w:sz w:val="28"/>
          <w:szCs w:val="28"/>
        </w:rPr>
        <w:t>ommissione speciale,</w:t>
      </w:r>
      <w:r w:rsidR="00ED1FD2" w:rsidRPr="00ED1FD2">
        <w:rPr>
          <w:rFonts w:ascii="Garamond" w:hAnsi="Garamond"/>
          <w:sz w:val="28"/>
          <w:szCs w:val="28"/>
        </w:rPr>
        <w:t xml:space="preserve"> che la riferita concezione del principio di precauzione impedirebbe in radice qualunque sviluppo delle scienze medico-chirurgiche (e di qualunque altra scienza).</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I</w:t>
      </w:r>
      <w:r w:rsidR="007D6EBC">
        <w:rPr>
          <w:rFonts w:ascii="Garamond" w:hAnsi="Garamond"/>
          <w:sz w:val="28"/>
          <w:szCs w:val="28"/>
        </w:rPr>
        <w:t>noltre le tesi, che attribuiscono al principio una efficacia inibitoria</w:t>
      </w:r>
      <w:r w:rsidR="006E7E25">
        <w:rPr>
          <w:rFonts w:ascii="Garamond" w:hAnsi="Garamond"/>
          <w:sz w:val="28"/>
          <w:szCs w:val="28"/>
        </w:rPr>
        <w:t xml:space="preserve"> e, per così dire, paralizzante</w:t>
      </w:r>
      <w:r w:rsidRPr="00ED1FD2">
        <w:rPr>
          <w:rFonts w:ascii="Garamond" w:hAnsi="Garamond"/>
          <w:sz w:val="28"/>
          <w:szCs w:val="28"/>
        </w:rPr>
        <w:t>, tendono</w:t>
      </w:r>
      <w:r w:rsidR="007D6EBC">
        <w:rPr>
          <w:rFonts w:ascii="Garamond" w:hAnsi="Garamond"/>
          <w:sz w:val="28"/>
          <w:szCs w:val="28"/>
        </w:rPr>
        <w:t xml:space="preserve"> a</w:t>
      </w:r>
      <w:r w:rsidRPr="00ED1FD2">
        <w:rPr>
          <w:rFonts w:ascii="Garamond" w:hAnsi="Garamond"/>
          <w:sz w:val="28"/>
          <w:szCs w:val="28"/>
        </w:rPr>
        <w:t xml:space="preserve"> travisare il senso e il finalismo del principio di precauzione la cui dinamica applicativa, lungi dal fondarsi su un pregiudizio antiscientifico, postula più di qualunque altro principio del diritto una solida base scientifica.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Il principio di precauzione non vive, infatti, in una dimensione prevalentemente assiologica (esso cioè non presuppone una precisa scelta di valori-fine) né opera in un’unica direzione (segnatamente, in quella dell’interdizione delle decisioni pubbliche “rischiose”).</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 xml:space="preserve">Al contrario, </w:t>
      </w:r>
      <w:r w:rsidR="00BC56F1">
        <w:rPr>
          <w:rFonts w:ascii="Garamond" w:hAnsi="Garamond"/>
          <w:sz w:val="28"/>
          <w:szCs w:val="28"/>
        </w:rPr>
        <w:t xml:space="preserve">secondo il Consiglio di Stato, </w:t>
      </w:r>
      <w:r w:rsidRPr="00ED1FD2">
        <w:rPr>
          <w:rFonts w:ascii="Garamond" w:hAnsi="Garamond"/>
          <w:sz w:val="28"/>
          <w:szCs w:val="28"/>
        </w:rPr>
        <w:t xml:space="preserve">il principio di precauzione vige in una dimensione essenzialmente metodologica ed è bidirezionale.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w:t>
      </w:r>
      <w:r w:rsidRPr="00045D02">
        <w:rPr>
          <w:rFonts w:ascii="Garamond" w:hAnsi="Garamond"/>
          <w:i/>
          <w:sz w:val="28"/>
          <w:szCs w:val="28"/>
        </w:rPr>
        <w:t>Non a caso è stato sostenuto in dottrina che il principio di precauzione non offra “regole per decidere”, ma soltanto “regole per procedere”, poiché permette di individuare il percorso di procedimentalizzazione delle decisioni delle autorità pubbliche in situazioni di incertezza, consentendo una gestione collettiva del rischio</w:t>
      </w:r>
      <w:r w:rsidRPr="00ED1FD2">
        <w:rPr>
          <w:rFonts w:ascii="Garamond" w:hAnsi="Garamond"/>
          <w:sz w:val="28"/>
          <w:szCs w:val="28"/>
        </w:rPr>
        <w:t>»</w:t>
      </w:r>
      <w:r w:rsidR="00BC56F1">
        <w:rPr>
          <w:rStyle w:val="Rimandonotaapidipagina"/>
          <w:rFonts w:ascii="Garamond" w:hAnsi="Garamond"/>
          <w:sz w:val="28"/>
          <w:szCs w:val="28"/>
        </w:rPr>
        <w:footnoteReference w:id="38"/>
      </w:r>
      <w:r w:rsidRPr="00ED1FD2">
        <w:rPr>
          <w:rFonts w:ascii="Garamond" w:hAnsi="Garamond"/>
          <w:sz w:val="28"/>
          <w:szCs w:val="28"/>
        </w:rPr>
        <w:t>.</w:t>
      </w:r>
    </w:p>
    <w:p w:rsidR="00045D02" w:rsidRDefault="00ED1FD2" w:rsidP="00ED1FD2">
      <w:pPr>
        <w:ind w:firstLine="709"/>
        <w:contextualSpacing/>
        <w:jc w:val="both"/>
        <w:rPr>
          <w:rFonts w:ascii="Garamond" w:hAnsi="Garamond"/>
          <w:sz w:val="28"/>
          <w:szCs w:val="28"/>
        </w:rPr>
      </w:pPr>
      <w:r w:rsidRPr="00ED1FD2">
        <w:rPr>
          <w:rFonts w:ascii="Garamond" w:hAnsi="Garamond"/>
          <w:sz w:val="28"/>
          <w:szCs w:val="28"/>
        </w:rPr>
        <w:t>In altri termini,</w:t>
      </w:r>
      <w:r w:rsidR="00045D02">
        <w:rPr>
          <w:rFonts w:ascii="Garamond" w:hAnsi="Garamond"/>
          <w:sz w:val="28"/>
          <w:szCs w:val="28"/>
        </w:rPr>
        <w:t xml:space="preserve"> osserva il Consiglio di Stato,</w:t>
      </w:r>
      <w:r w:rsidRPr="00ED1FD2">
        <w:rPr>
          <w:rFonts w:ascii="Garamond" w:hAnsi="Garamond"/>
          <w:sz w:val="28"/>
          <w:szCs w:val="28"/>
        </w:rPr>
        <w:t xml:space="preserve"> il principio di precauzione non obbliga affatto alla scelta del “rischio zero”,</w:t>
      </w:r>
      <w:r w:rsidR="00045D02">
        <w:rPr>
          <w:rFonts w:ascii="Garamond" w:hAnsi="Garamond"/>
          <w:sz w:val="28"/>
          <w:szCs w:val="28"/>
        </w:rPr>
        <w:t xml:space="preserve"> ma</w:t>
      </w:r>
      <w:r w:rsidRPr="00ED1FD2">
        <w:rPr>
          <w:rFonts w:ascii="Garamond" w:hAnsi="Garamond"/>
          <w:sz w:val="28"/>
          <w:szCs w:val="28"/>
        </w:rPr>
        <w:t xml:space="preserve"> semmai impone al decisore pubblico (legislatore o amministratore), in contesti determinati, di prediligere, tra le plurime ipotizzabili, la soluzione che renda possibile il bilanciamento tra la minimizzazione dei rischi e la massimizzazione dei vantaggi, attraverso l’individuazione, sulla base di un test di proporzionalità, di una</w:t>
      </w:r>
      <w:r w:rsidR="00045D02">
        <w:rPr>
          <w:rFonts w:ascii="Garamond" w:hAnsi="Garamond"/>
          <w:sz w:val="28"/>
          <w:szCs w:val="28"/>
        </w:rPr>
        <w:t xml:space="preserve"> soglia di pericolo accettabile.</w:t>
      </w:r>
    </w:p>
    <w:p w:rsidR="00ED1FD2" w:rsidRPr="00ED1FD2" w:rsidRDefault="00045D02" w:rsidP="00ED1FD2">
      <w:pPr>
        <w:ind w:firstLine="709"/>
        <w:contextualSpacing/>
        <w:jc w:val="both"/>
        <w:rPr>
          <w:rFonts w:ascii="Garamond" w:hAnsi="Garamond"/>
          <w:sz w:val="28"/>
          <w:szCs w:val="28"/>
        </w:rPr>
      </w:pPr>
      <w:r>
        <w:rPr>
          <w:rFonts w:ascii="Garamond" w:hAnsi="Garamond"/>
          <w:sz w:val="28"/>
          <w:szCs w:val="28"/>
        </w:rPr>
        <w:t>L</w:t>
      </w:r>
      <w:r w:rsidR="00ED1FD2" w:rsidRPr="00ED1FD2">
        <w:rPr>
          <w:rFonts w:ascii="Garamond" w:hAnsi="Garamond"/>
          <w:sz w:val="28"/>
          <w:szCs w:val="28"/>
        </w:rPr>
        <w:t>a selezione di tale soglia, tuttavia, può compiersi unicamente sulla base di una conoscenza completa e, soprattutto, accreditata dalla migliore scienza disponibile.</w:t>
      </w:r>
    </w:p>
    <w:p w:rsidR="00ED1FD2" w:rsidRPr="00ED1FD2" w:rsidRDefault="00705EFB" w:rsidP="00ED1FD2">
      <w:pPr>
        <w:ind w:firstLine="709"/>
        <w:contextualSpacing/>
        <w:jc w:val="both"/>
        <w:rPr>
          <w:rFonts w:ascii="Garamond" w:hAnsi="Garamond"/>
          <w:sz w:val="28"/>
          <w:szCs w:val="28"/>
        </w:rPr>
      </w:pPr>
      <w:r>
        <w:rPr>
          <w:rFonts w:ascii="Garamond" w:hAnsi="Garamond"/>
          <w:sz w:val="28"/>
          <w:szCs w:val="28"/>
        </w:rPr>
        <w:t>E in tale prospettiva i</w:t>
      </w:r>
      <w:r w:rsidR="00ED1FD2" w:rsidRPr="00ED1FD2">
        <w:rPr>
          <w:rFonts w:ascii="Garamond" w:hAnsi="Garamond"/>
          <w:sz w:val="28"/>
          <w:szCs w:val="28"/>
        </w:rPr>
        <w:t>l principio di precauzione può, talora, condurre le autorità pubbliche a non agire oppure, in altri casi, può spingerle ad attivarsi, adottando misure proporzionate al livel</w:t>
      </w:r>
      <w:r w:rsidR="006E7E25">
        <w:rPr>
          <w:rFonts w:ascii="Garamond" w:hAnsi="Garamond"/>
          <w:sz w:val="28"/>
          <w:szCs w:val="28"/>
        </w:rPr>
        <w:t>lo di protezione prescelto e, cioè,</w:t>
      </w:r>
      <w:r w:rsidR="00ED1FD2" w:rsidRPr="00ED1FD2">
        <w:rPr>
          <w:rFonts w:ascii="Garamond" w:hAnsi="Garamond"/>
          <w:sz w:val="28"/>
          <w:szCs w:val="28"/>
        </w:rPr>
        <w:t xml:space="preserve"> adeguate rispetto alla s</w:t>
      </w:r>
      <w:r w:rsidR="006E7E25">
        <w:rPr>
          <w:rFonts w:ascii="Garamond" w:hAnsi="Garamond"/>
          <w:sz w:val="28"/>
          <w:szCs w:val="28"/>
        </w:rPr>
        <w:t>oglia di pericolo accettabile</w:t>
      </w:r>
      <w:r w:rsidR="00045D02">
        <w:rPr>
          <w:rFonts w:ascii="Garamond" w:hAnsi="Garamond"/>
          <w:sz w:val="28"/>
          <w:szCs w:val="28"/>
        </w:rPr>
        <w:t>.</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 xml:space="preserve">La base scientifica del principio di precauzione rappresenta anche un presidio di garanzia della ragionevolezza delle scelte pubbliche e rafforza conseguentemente la </w:t>
      </w:r>
      <w:proofErr w:type="spellStart"/>
      <w:r w:rsidRPr="00705EFB">
        <w:rPr>
          <w:rFonts w:ascii="Garamond" w:hAnsi="Garamond"/>
          <w:i/>
          <w:sz w:val="28"/>
          <w:szCs w:val="28"/>
        </w:rPr>
        <w:t>compliance</w:t>
      </w:r>
      <w:proofErr w:type="spellEnd"/>
      <w:r w:rsidRPr="00ED1FD2">
        <w:rPr>
          <w:rFonts w:ascii="Garamond" w:hAnsi="Garamond"/>
          <w:sz w:val="28"/>
          <w:szCs w:val="28"/>
        </w:rPr>
        <w:t xml:space="preserve"> delle regole positive (su di esso fondate) che impongano obblighi di comportamento per i consociati. </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w:t>
      </w:r>
      <w:r w:rsidRPr="00705EFB">
        <w:rPr>
          <w:rFonts w:ascii="Garamond" w:hAnsi="Garamond"/>
          <w:i/>
          <w:sz w:val="28"/>
          <w:szCs w:val="28"/>
        </w:rPr>
        <w:t xml:space="preserve">La consapevolezza, invero, che il decisore pubblico sia tenuto a seguire una strategia valutativa (di </w:t>
      </w:r>
      <w:proofErr w:type="spellStart"/>
      <w:r w:rsidRPr="00705EFB">
        <w:rPr>
          <w:rFonts w:ascii="Garamond" w:hAnsi="Garamond"/>
          <w:sz w:val="28"/>
          <w:szCs w:val="28"/>
        </w:rPr>
        <w:t>problem</w:t>
      </w:r>
      <w:proofErr w:type="spellEnd"/>
      <w:r w:rsidRPr="00705EFB">
        <w:rPr>
          <w:rFonts w:ascii="Garamond" w:hAnsi="Garamond"/>
          <w:sz w:val="28"/>
          <w:szCs w:val="28"/>
        </w:rPr>
        <w:t xml:space="preserve"> </w:t>
      </w:r>
      <w:proofErr w:type="spellStart"/>
      <w:r w:rsidRPr="00705EFB">
        <w:rPr>
          <w:rFonts w:ascii="Garamond" w:hAnsi="Garamond"/>
          <w:sz w:val="28"/>
          <w:szCs w:val="28"/>
        </w:rPr>
        <w:t>solving</w:t>
      </w:r>
      <w:proofErr w:type="spellEnd"/>
      <w:r w:rsidRPr="00705EFB">
        <w:rPr>
          <w:rFonts w:ascii="Garamond" w:hAnsi="Garamond"/>
          <w:i/>
          <w:sz w:val="28"/>
          <w:szCs w:val="28"/>
        </w:rPr>
        <w:t>) poggiante sulle verificabili e verificate acquisizioni della miglior scienza del momento (e sul rigore del relativo metodo) concorre ad escludere il sospetto di arbitrarietà inevitabilmente connesso a ogni epifania dell’</w:t>
      </w:r>
      <w:proofErr w:type="spellStart"/>
      <w:r w:rsidRPr="00705EFB">
        <w:rPr>
          <w:rFonts w:ascii="Garamond" w:hAnsi="Garamond"/>
          <w:i/>
          <w:sz w:val="28"/>
          <w:szCs w:val="28"/>
        </w:rPr>
        <w:t>autoritatività</w:t>
      </w:r>
      <w:proofErr w:type="spellEnd"/>
      <w:r w:rsidRPr="00705EFB">
        <w:rPr>
          <w:rFonts w:ascii="Garamond" w:hAnsi="Garamond"/>
          <w:i/>
          <w:sz w:val="28"/>
          <w:szCs w:val="28"/>
        </w:rPr>
        <w:t xml:space="preserve">, specialmente quando quest’ultima si manifesti sotto forma di </w:t>
      </w:r>
      <w:proofErr w:type="spellStart"/>
      <w:r w:rsidRPr="00705EFB">
        <w:rPr>
          <w:rFonts w:ascii="Garamond" w:hAnsi="Garamond"/>
          <w:i/>
          <w:sz w:val="28"/>
          <w:szCs w:val="28"/>
        </w:rPr>
        <w:t>biopotere</w:t>
      </w:r>
      <w:proofErr w:type="spellEnd"/>
      <w:r w:rsidRPr="00705EFB">
        <w:rPr>
          <w:rFonts w:ascii="Garamond" w:hAnsi="Garamond"/>
          <w:i/>
          <w:sz w:val="28"/>
          <w:szCs w:val="28"/>
        </w:rPr>
        <w:t xml:space="preserve"> (ossia di esercizio della politicità, in questo caso estrinsecantesi in cogenza normativa, nella gestione del corpo umano)</w:t>
      </w:r>
      <w:r w:rsidRPr="00ED1FD2">
        <w:rPr>
          <w:rFonts w:ascii="Garamond" w:hAnsi="Garamond"/>
          <w:sz w:val="28"/>
          <w:szCs w:val="28"/>
        </w:rPr>
        <w:t>»</w:t>
      </w:r>
      <w:r w:rsidR="000D02E2">
        <w:rPr>
          <w:rStyle w:val="Rimandonotaapidipagina"/>
          <w:rFonts w:ascii="Garamond" w:hAnsi="Garamond"/>
          <w:sz w:val="28"/>
          <w:szCs w:val="28"/>
        </w:rPr>
        <w:footnoteReference w:id="39"/>
      </w:r>
      <w:r w:rsidRPr="00ED1FD2">
        <w:rPr>
          <w:rFonts w:ascii="Garamond" w:hAnsi="Garamond"/>
          <w:sz w:val="28"/>
          <w:szCs w:val="28"/>
        </w:rPr>
        <w:t>.</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A quello di precauzione si accompagna poi il principio di prevenzione, atteso che la massima efficacia della minimizzazione del rischio, nei sensi sopra indicati, si ottiene, in genere, attraverso un intervento sulle cause della possibile insorgenza del pericolo.</w:t>
      </w:r>
    </w:p>
    <w:p w:rsidR="00ED1FD2" w:rsidRPr="00ED1FD2" w:rsidRDefault="00ED1FD2" w:rsidP="00ED1FD2">
      <w:pPr>
        <w:ind w:firstLine="709"/>
        <w:contextualSpacing/>
        <w:jc w:val="both"/>
        <w:rPr>
          <w:rFonts w:ascii="Garamond" w:hAnsi="Garamond"/>
          <w:sz w:val="28"/>
          <w:szCs w:val="28"/>
        </w:rPr>
      </w:pPr>
      <w:r w:rsidRPr="00ED1FD2">
        <w:rPr>
          <w:rFonts w:ascii="Garamond" w:hAnsi="Garamond"/>
          <w:sz w:val="28"/>
          <w:szCs w:val="28"/>
        </w:rPr>
        <w:t>Ebbene,</w:t>
      </w:r>
      <w:r w:rsidR="0071322E">
        <w:rPr>
          <w:rFonts w:ascii="Garamond" w:hAnsi="Garamond"/>
          <w:sz w:val="28"/>
          <w:szCs w:val="28"/>
        </w:rPr>
        <w:t xml:space="preserve"> rileva ancora il Consiglio di Stato,</w:t>
      </w:r>
      <w:r w:rsidRPr="00ED1FD2">
        <w:rPr>
          <w:rFonts w:ascii="Garamond" w:hAnsi="Garamond"/>
          <w:sz w:val="28"/>
          <w:szCs w:val="28"/>
        </w:rPr>
        <w:t xml:space="preserve"> non vi è dubbio che il sistema della vaccinazioni obbligatorie sia informato anche a questo principio giuridico, complementare a quello di precauzione e altrettanto rilevante.</w:t>
      </w:r>
    </w:p>
    <w:p w:rsidR="00ED1FD2" w:rsidRDefault="00705EFB" w:rsidP="00ED1FD2">
      <w:pPr>
        <w:ind w:firstLine="709"/>
        <w:contextualSpacing/>
        <w:jc w:val="both"/>
        <w:rPr>
          <w:rFonts w:ascii="Garamond" w:hAnsi="Garamond"/>
          <w:sz w:val="28"/>
          <w:szCs w:val="28"/>
        </w:rPr>
      </w:pPr>
      <w:r>
        <w:rPr>
          <w:rFonts w:ascii="Garamond" w:hAnsi="Garamond"/>
          <w:sz w:val="28"/>
          <w:szCs w:val="28"/>
        </w:rPr>
        <w:t>Si deve qui evidenziare</w:t>
      </w:r>
      <w:r w:rsidR="00ED1FD2" w:rsidRPr="00ED1FD2">
        <w:rPr>
          <w:rFonts w:ascii="Garamond" w:hAnsi="Garamond"/>
          <w:sz w:val="28"/>
          <w:szCs w:val="28"/>
        </w:rPr>
        <w:t xml:space="preserve"> la centralità di ques</w:t>
      </w:r>
      <w:r w:rsidR="008252CB">
        <w:rPr>
          <w:rFonts w:ascii="Garamond" w:hAnsi="Garamond"/>
          <w:sz w:val="28"/>
          <w:szCs w:val="28"/>
        </w:rPr>
        <w:t>te considerazioni svolte dalla c</w:t>
      </w:r>
      <w:r w:rsidR="00ED1FD2" w:rsidRPr="00ED1FD2">
        <w:rPr>
          <w:rFonts w:ascii="Garamond" w:hAnsi="Garamond"/>
          <w:sz w:val="28"/>
          <w:szCs w:val="28"/>
        </w:rPr>
        <w:t>ommissione speciale nel più volte citato parere n. 2065</w:t>
      </w:r>
      <w:r w:rsidR="00567289">
        <w:rPr>
          <w:rFonts w:ascii="Garamond" w:hAnsi="Garamond"/>
          <w:sz w:val="28"/>
          <w:szCs w:val="28"/>
        </w:rPr>
        <w:t xml:space="preserve"> del </w:t>
      </w:r>
      <w:r w:rsidR="006E7E25">
        <w:rPr>
          <w:rFonts w:ascii="Garamond" w:hAnsi="Garamond"/>
          <w:sz w:val="28"/>
          <w:szCs w:val="28"/>
        </w:rPr>
        <w:t xml:space="preserve">26 settembre </w:t>
      </w:r>
      <w:r w:rsidR="00567289">
        <w:rPr>
          <w:rFonts w:ascii="Garamond" w:hAnsi="Garamond"/>
          <w:sz w:val="28"/>
          <w:szCs w:val="28"/>
        </w:rPr>
        <w:t>2017</w:t>
      </w:r>
      <w:r w:rsidR="008252CB">
        <w:rPr>
          <w:rFonts w:ascii="Garamond" w:hAnsi="Garamond"/>
          <w:sz w:val="28"/>
          <w:szCs w:val="28"/>
        </w:rPr>
        <w:t xml:space="preserve"> laddove la c</w:t>
      </w:r>
      <w:r w:rsidR="00ED1FD2" w:rsidRPr="00ED1FD2">
        <w:rPr>
          <w:rFonts w:ascii="Garamond" w:hAnsi="Garamond"/>
          <w:sz w:val="28"/>
          <w:szCs w:val="28"/>
        </w:rPr>
        <w:t>ommissione</w:t>
      </w:r>
      <w:r>
        <w:rPr>
          <w:rFonts w:ascii="Garamond" w:hAnsi="Garamond"/>
          <w:sz w:val="28"/>
          <w:szCs w:val="28"/>
        </w:rPr>
        <w:t xml:space="preserve"> stessa</w:t>
      </w:r>
      <w:r w:rsidR="00ED1FD2" w:rsidRPr="00ED1FD2">
        <w:rPr>
          <w:rFonts w:ascii="Garamond" w:hAnsi="Garamond"/>
          <w:sz w:val="28"/>
          <w:szCs w:val="28"/>
        </w:rPr>
        <w:t>, nel valorizzare la declinazione solidaristica del principio di precauzione, ne sottolinea la indubbia valenza scientifica nella misura in cui esso poggia su solide basi scientifiche, ad escludere il sospetto di arbitrarietà inevitabilmente connesso, così si esprime il Consiglio di Stato, a</w:t>
      </w:r>
      <w:r>
        <w:rPr>
          <w:rFonts w:ascii="Garamond" w:hAnsi="Garamond"/>
          <w:sz w:val="28"/>
          <w:szCs w:val="28"/>
        </w:rPr>
        <w:t>d</w:t>
      </w:r>
      <w:r w:rsidR="00ED1FD2" w:rsidRPr="00ED1FD2">
        <w:rPr>
          <w:rFonts w:ascii="Garamond" w:hAnsi="Garamond"/>
          <w:sz w:val="28"/>
          <w:szCs w:val="28"/>
        </w:rPr>
        <w:t xml:space="preserve"> ogni </w:t>
      </w:r>
      <w:r w:rsidR="000D02E2">
        <w:rPr>
          <w:rFonts w:ascii="Garamond" w:hAnsi="Garamond"/>
          <w:sz w:val="28"/>
          <w:szCs w:val="28"/>
        </w:rPr>
        <w:t>“</w:t>
      </w:r>
      <w:r w:rsidR="00ED1FD2" w:rsidRPr="000D02E2">
        <w:rPr>
          <w:rFonts w:ascii="Garamond" w:hAnsi="Garamond"/>
          <w:i/>
          <w:sz w:val="28"/>
          <w:szCs w:val="28"/>
        </w:rPr>
        <w:t>epifania dell’</w:t>
      </w:r>
      <w:proofErr w:type="spellStart"/>
      <w:r w:rsidR="00ED1FD2" w:rsidRPr="000D02E2">
        <w:rPr>
          <w:rFonts w:ascii="Garamond" w:hAnsi="Garamond"/>
          <w:i/>
          <w:sz w:val="28"/>
          <w:szCs w:val="28"/>
        </w:rPr>
        <w:t>autoritatività</w:t>
      </w:r>
      <w:proofErr w:type="spellEnd"/>
      <w:r w:rsidR="000D02E2">
        <w:rPr>
          <w:rFonts w:ascii="Garamond" w:hAnsi="Garamond"/>
          <w:sz w:val="28"/>
          <w:szCs w:val="28"/>
        </w:rPr>
        <w:t>”</w:t>
      </w:r>
      <w:r w:rsidR="00ED1FD2" w:rsidRPr="00ED1FD2">
        <w:rPr>
          <w:rFonts w:ascii="Garamond" w:hAnsi="Garamond"/>
          <w:sz w:val="28"/>
          <w:szCs w:val="28"/>
        </w:rPr>
        <w:t xml:space="preserve">, specialmente quando quest’ultima si manifesti </w:t>
      </w:r>
      <w:r>
        <w:rPr>
          <w:rFonts w:ascii="Garamond" w:hAnsi="Garamond"/>
          <w:sz w:val="28"/>
          <w:szCs w:val="28"/>
        </w:rPr>
        <w:t xml:space="preserve">sotto forma di </w:t>
      </w:r>
      <w:proofErr w:type="spellStart"/>
      <w:r>
        <w:rPr>
          <w:rFonts w:ascii="Garamond" w:hAnsi="Garamond"/>
          <w:sz w:val="28"/>
          <w:szCs w:val="28"/>
        </w:rPr>
        <w:t>biopotere</w:t>
      </w:r>
      <w:proofErr w:type="spellEnd"/>
      <w:r>
        <w:rPr>
          <w:rFonts w:ascii="Garamond" w:hAnsi="Garamond"/>
          <w:sz w:val="28"/>
          <w:szCs w:val="28"/>
        </w:rPr>
        <w:t xml:space="preserve"> e, cioè,</w:t>
      </w:r>
      <w:r w:rsidR="00ED1FD2" w:rsidRPr="00ED1FD2">
        <w:rPr>
          <w:rFonts w:ascii="Garamond" w:hAnsi="Garamond"/>
          <w:sz w:val="28"/>
          <w:szCs w:val="28"/>
        </w:rPr>
        <w:t xml:space="preserve"> di esercizio della politicità, in questo caso estrinsecantesi in cogenza normativa,</w:t>
      </w:r>
      <w:r>
        <w:rPr>
          <w:rFonts w:ascii="Garamond" w:hAnsi="Garamond"/>
          <w:sz w:val="28"/>
          <w:szCs w:val="28"/>
        </w:rPr>
        <w:t xml:space="preserve"> nella gestione del corpo umano</w:t>
      </w:r>
      <w:r w:rsidR="00ED1FD2" w:rsidRPr="00ED1FD2">
        <w:rPr>
          <w:rFonts w:ascii="Garamond" w:hAnsi="Garamond"/>
          <w:sz w:val="28"/>
          <w:szCs w:val="28"/>
        </w:rPr>
        <w:t>.</w:t>
      </w:r>
    </w:p>
    <w:p w:rsidR="003A2AA3" w:rsidRDefault="00D415BB" w:rsidP="00B7689E">
      <w:pPr>
        <w:ind w:firstLine="709"/>
        <w:contextualSpacing/>
        <w:jc w:val="both"/>
        <w:rPr>
          <w:rFonts w:ascii="Garamond" w:hAnsi="Garamond"/>
          <w:sz w:val="28"/>
          <w:szCs w:val="28"/>
        </w:rPr>
      </w:pPr>
      <w:r>
        <w:rPr>
          <w:rFonts w:ascii="Garamond" w:hAnsi="Garamond"/>
          <w:sz w:val="28"/>
          <w:szCs w:val="28"/>
        </w:rPr>
        <w:t>L’intervento autoritativo in materia sanitaria e l’esercizio del</w:t>
      </w:r>
      <w:r w:rsidR="00C860C5">
        <w:rPr>
          <w:rFonts w:ascii="Garamond" w:hAnsi="Garamond"/>
          <w:sz w:val="28"/>
          <w:szCs w:val="28"/>
        </w:rPr>
        <w:t xml:space="preserve"> c.d.</w:t>
      </w:r>
      <w:r>
        <w:rPr>
          <w:rFonts w:ascii="Garamond" w:hAnsi="Garamond"/>
          <w:sz w:val="28"/>
          <w:szCs w:val="28"/>
        </w:rPr>
        <w:t xml:space="preserve"> </w:t>
      </w:r>
      <w:proofErr w:type="spellStart"/>
      <w:r w:rsidRPr="00C860C5">
        <w:rPr>
          <w:rFonts w:ascii="Garamond" w:hAnsi="Garamond"/>
          <w:i/>
          <w:sz w:val="28"/>
          <w:szCs w:val="28"/>
        </w:rPr>
        <w:t>biopotere</w:t>
      </w:r>
      <w:proofErr w:type="spellEnd"/>
      <w:r>
        <w:rPr>
          <w:rFonts w:ascii="Garamond" w:hAnsi="Garamond"/>
          <w:sz w:val="28"/>
          <w:szCs w:val="28"/>
        </w:rPr>
        <w:t>, dunque, devono fondarsi su due presupposti:</w:t>
      </w:r>
    </w:p>
    <w:p w:rsidR="00D415BB" w:rsidRDefault="006E7E25" w:rsidP="00B7689E">
      <w:pPr>
        <w:ind w:firstLine="709"/>
        <w:contextualSpacing/>
        <w:jc w:val="both"/>
        <w:rPr>
          <w:rFonts w:ascii="Garamond" w:hAnsi="Garamond"/>
          <w:sz w:val="28"/>
          <w:szCs w:val="28"/>
        </w:rPr>
      </w:pPr>
      <w:r w:rsidRPr="00001F38">
        <w:rPr>
          <w:rFonts w:ascii="Garamond" w:hAnsi="Garamond"/>
          <w:i/>
          <w:sz w:val="28"/>
          <w:szCs w:val="28"/>
        </w:rPr>
        <w:t>a)</w:t>
      </w:r>
      <w:r w:rsidR="00D415BB">
        <w:rPr>
          <w:rFonts w:ascii="Garamond" w:hAnsi="Garamond"/>
          <w:sz w:val="28"/>
          <w:szCs w:val="28"/>
        </w:rPr>
        <w:t xml:space="preserve"> l’uno, assiologico, rispondente al </w:t>
      </w:r>
      <w:r w:rsidR="00D415BB" w:rsidRPr="0071322E">
        <w:rPr>
          <w:rFonts w:ascii="Garamond" w:hAnsi="Garamond"/>
          <w:i/>
          <w:sz w:val="28"/>
          <w:szCs w:val="28"/>
        </w:rPr>
        <w:t>principio di solidarietà</w:t>
      </w:r>
      <w:r w:rsidR="00D415BB">
        <w:rPr>
          <w:rFonts w:ascii="Garamond" w:hAnsi="Garamond"/>
          <w:sz w:val="28"/>
          <w:szCs w:val="28"/>
        </w:rPr>
        <w:t>, che impone al decisore pubblico (legislatore o pubblica amministrazione) di intervenire a tutela di un interesse collettivo e di porre al riparo soggetti indifesi o più vulnerabili da scelte fatte dal singolo, in una prospettiva esclusivamente egoistica, che possono ledere o anche solo mettere in pericolo la salute degli altri;</w:t>
      </w:r>
    </w:p>
    <w:p w:rsidR="00D415BB" w:rsidRDefault="006E7E25" w:rsidP="00B7689E">
      <w:pPr>
        <w:ind w:firstLine="709"/>
        <w:contextualSpacing/>
        <w:jc w:val="both"/>
        <w:rPr>
          <w:rFonts w:ascii="Garamond" w:hAnsi="Garamond"/>
          <w:sz w:val="28"/>
          <w:szCs w:val="28"/>
        </w:rPr>
      </w:pPr>
      <w:r w:rsidRPr="00001F38">
        <w:rPr>
          <w:rFonts w:ascii="Garamond" w:hAnsi="Garamond"/>
          <w:i/>
          <w:sz w:val="28"/>
          <w:szCs w:val="28"/>
        </w:rPr>
        <w:t>b)</w:t>
      </w:r>
      <w:r w:rsidR="00D415BB">
        <w:rPr>
          <w:rFonts w:ascii="Garamond" w:hAnsi="Garamond"/>
          <w:sz w:val="28"/>
          <w:szCs w:val="28"/>
        </w:rPr>
        <w:t xml:space="preserve"> l’altro, metodologico, rispondente ad </w:t>
      </w:r>
      <w:r w:rsidR="00D415BB" w:rsidRPr="0071322E">
        <w:rPr>
          <w:rFonts w:ascii="Garamond" w:hAnsi="Garamond"/>
          <w:i/>
          <w:sz w:val="28"/>
          <w:szCs w:val="28"/>
        </w:rPr>
        <w:t>una legge di copertura scientifica</w:t>
      </w:r>
      <w:r w:rsidR="00D415BB">
        <w:rPr>
          <w:rFonts w:ascii="Garamond" w:hAnsi="Garamond"/>
          <w:sz w:val="28"/>
          <w:szCs w:val="28"/>
        </w:rPr>
        <w:t>, che impone al decisore p</w:t>
      </w:r>
      <w:r w:rsidR="0071322E">
        <w:rPr>
          <w:rFonts w:ascii="Garamond" w:hAnsi="Garamond"/>
          <w:sz w:val="28"/>
          <w:szCs w:val="28"/>
        </w:rPr>
        <w:t>ubblico di adottare una misura razionale o quantomeno ragionevole</w:t>
      </w:r>
      <w:r w:rsidR="00D415BB">
        <w:rPr>
          <w:rFonts w:ascii="Garamond" w:hAnsi="Garamond"/>
          <w:sz w:val="28"/>
          <w:szCs w:val="28"/>
        </w:rPr>
        <w:t>, sindacabile dal giudice costituzionale a livello di normazione primaria o dal giudice amministrativo a livello di normazione secondaria o di singola decisione amminis</w:t>
      </w:r>
      <w:r w:rsidR="0071322E">
        <w:rPr>
          <w:rFonts w:ascii="Garamond" w:hAnsi="Garamond"/>
          <w:sz w:val="28"/>
          <w:szCs w:val="28"/>
        </w:rPr>
        <w:t>trativa, sulla base di canoni epistemologici che consentono di apprezzare</w:t>
      </w:r>
      <w:r w:rsidR="00A60CA9">
        <w:rPr>
          <w:rFonts w:ascii="Garamond" w:hAnsi="Garamond"/>
          <w:sz w:val="28"/>
          <w:szCs w:val="28"/>
        </w:rPr>
        <w:t>, quanto ad attendibilità logica,</w:t>
      </w:r>
      <w:r w:rsidR="0071322E">
        <w:rPr>
          <w:rFonts w:ascii="Garamond" w:hAnsi="Garamond"/>
          <w:sz w:val="28"/>
          <w:szCs w:val="28"/>
        </w:rPr>
        <w:t xml:space="preserve"> la “tenuta”</w:t>
      </w:r>
      <w:r w:rsidR="00BE1179">
        <w:rPr>
          <w:rFonts w:ascii="Garamond" w:hAnsi="Garamond"/>
          <w:sz w:val="28"/>
          <w:szCs w:val="28"/>
        </w:rPr>
        <w:t xml:space="preserve"> della decisione sul piano della</w:t>
      </w:r>
      <w:r w:rsidR="0071322E">
        <w:rPr>
          <w:rFonts w:ascii="Garamond" w:hAnsi="Garamond"/>
          <w:sz w:val="28"/>
          <w:szCs w:val="28"/>
        </w:rPr>
        <w:t xml:space="preserve"> discrezionalità tecnica.</w:t>
      </w:r>
    </w:p>
    <w:p w:rsidR="0071322E" w:rsidRDefault="0071322E" w:rsidP="00B7689E">
      <w:pPr>
        <w:ind w:firstLine="709"/>
        <w:contextualSpacing/>
        <w:jc w:val="both"/>
        <w:rPr>
          <w:rFonts w:ascii="Garamond" w:hAnsi="Garamond"/>
          <w:sz w:val="28"/>
          <w:szCs w:val="28"/>
        </w:rPr>
      </w:pPr>
      <w:r>
        <w:rPr>
          <w:rFonts w:ascii="Garamond" w:hAnsi="Garamond"/>
          <w:sz w:val="28"/>
          <w:szCs w:val="28"/>
        </w:rPr>
        <w:t>Corollario evidente di questa impostazione, quale emerge dalla giurisprudenza costituzionale e amministrativa, è quello secondo cui la discrezionalità tecnica nelle decisioni sanitarie, sia da parte del legislatore che da parte della pubblica amministrazione, è tutt’altro che insindacabile</w:t>
      </w:r>
      <w:r w:rsidR="00A60CA9">
        <w:rPr>
          <w:rFonts w:ascii="Garamond" w:hAnsi="Garamond"/>
          <w:sz w:val="28"/>
          <w:szCs w:val="28"/>
        </w:rPr>
        <w:t>, ma anzi impone al giudice un attento sindacato, non solo mediante un pieno accesso ai fatti, ma anche con una piena applicazione delle leggi scientifiche.</w:t>
      </w:r>
    </w:p>
    <w:p w:rsidR="00192057" w:rsidRDefault="00D3391F" w:rsidP="00A60CA9">
      <w:pPr>
        <w:ind w:firstLine="709"/>
        <w:contextualSpacing/>
        <w:jc w:val="both"/>
        <w:rPr>
          <w:rFonts w:ascii="Garamond" w:hAnsi="Garamond"/>
          <w:sz w:val="28"/>
          <w:szCs w:val="28"/>
        </w:rPr>
      </w:pPr>
      <w:r>
        <w:rPr>
          <w:rFonts w:ascii="Garamond" w:hAnsi="Garamond"/>
          <w:sz w:val="28"/>
          <w:szCs w:val="28"/>
        </w:rPr>
        <w:t>La delicatezza di questo rapporto tra autonomia del singolo e tutel</w:t>
      </w:r>
      <w:r w:rsidR="00A60CA9">
        <w:rPr>
          <w:rFonts w:ascii="Garamond" w:hAnsi="Garamond"/>
          <w:sz w:val="28"/>
          <w:szCs w:val="28"/>
        </w:rPr>
        <w:t xml:space="preserve">a dei più deboli e del bilanciamento dei valori, ad esso sotteso, investe una tematica di grande attualità, come la lotta alla </w:t>
      </w:r>
      <w:proofErr w:type="spellStart"/>
      <w:r w:rsidR="00A60CA9">
        <w:rPr>
          <w:rFonts w:ascii="Garamond" w:hAnsi="Garamond"/>
          <w:sz w:val="28"/>
          <w:szCs w:val="28"/>
        </w:rPr>
        <w:t>ludopatia</w:t>
      </w:r>
      <w:proofErr w:type="spellEnd"/>
      <w:r w:rsidR="00192057">
        <w:rPr>
          <w:rFonts w:ascii="Garamond" w:hAnsi="Garamond"/>
          <w:sz w:val="28"/>
          <w:szCs w:val="28"/>
        </w:rPr>
        <w:t>.</w:t>
      </w:r>
    </w:p>
    <w:p w:rsidR="00A60CA9" w:rsidRPr="00A60CA9" w:rsidRDefault="00192057" w:rsidP="00A60CA9">
      <w:pPr>
        <w:ind w:firstLine="709"/>
        <w:contextualSpacing/>
        <w:jc w:val="both"/>
        <w:rPr>
          <w:rFonts w:ascii="Garamond" w:hAnsi="Garamond"/>
          <w:sz w:val="28"/>
          <w:szCs w:val="28"/>
        </w:rPr>
      </w:pPr>
      <w:r>
        <w:rPr>
          <w:rFonts w:ascii="Garamond" w:hAnsi="Garamond"/>
          <w:sz w:val="28"/>
          <w:szCs w:val="28"/>
        </w:rPr>
        <w:t>La giurisprudenza, costituzionale e amministrativa,</w:t>
      </w:r>
      <w:r w:rsidR="00A60CA9" w:rsidRPr="00A60CA9">
        <w:rPr>
          <w:rFonts w:ascii="Garamond" w:hAnsi="Garamond"/>
          <w:sz w:val="28"/>
          <w:szCs w:val="28"/>
        </w:rPr>
        <w:t xml:space="preserve"> riconosce la legittimità dei regolamenti</w:t>
      </w:r>
      <w:r>
        <w:rPr>
          <w:rFonts w:ascii="Garamond" w:hAnsi="Garamond"/>
          <w:sz w:val="28"/>
          <w:szCs w:val="28"/>
        </w:rPr>
        <w:t xml:space="preserve"> regionali e</w:t>
      </w:r>
      <w:r w:rsidR="00A60CA9" w:rsidRPr="00A60CA9">
        <w:rPr>
          <w:rFonts w:ascii="Garamond" w:hAnsi="Garamond"/>
          <w:sz w:val="28"/>
          <w:szCs w:val="28"/>
        </w:rPr>
        <w:t xml:space="preserve"> comunali che</w:t>
      </w:r>
      <w:r>
        <w:rPr>
          <w:rFonts w:ascii="Garamond" w:hAnsi="Garamond"/>
          <w:sz w:val="28"/>
          <w:szCs w:val="28"/>
        </w:rPr>
        <w:t xml:space="preserve"> stabiliscono determinate distanze delle sale giochi da luoghi sensibili e/o</w:t>
      </w:r>
      <w:r w:rsidR="00A60CA9" w:rsidRPr="00A60CA9">
        <w:rPr>
          <w:rFonts w:ascii="Garamond" w:hAnsi="Garamond"/>
          <w:sz w:val="28"/>
          <w:szCs w:val="28"/>
        </w:rPr>
        <w:t xml:space="preserve"> limitano l’orario di accesso alle</w:t>
      </w:r>
      <w:r>
        <w:rPr>
          <w:rFonts w:ascii="Garamond" w:hAnsi="Garamond"/>
          <w:sz w:val="28"/>
          <w:szCs w:val="28"/>
        </w:rPr>
        <w:t xml:space="preserve"> stesse</w:t>
      </w:r>
      <w:r w:rsidR="00A60CA9" w:rsidRPr="00A60CA9">
        <w:rPr>
          <w:rFonts w:ascii="Garamond" w:hAnsi="Garamond"/>
          <w:sz w:val="28"/>
          <w:szCs w:val="28"/>
        </w:rPr>
        <w:t xml:space="preserve"> sale giochi in alcune fasce orarie a tutela del diritto alla salute dei giocatori</w:t>
      </w:r>
      <w:r>
        <w:rPr>
          <w:rFonts w:ascii="Garamond" w:hAnsi="Garamond"/>
          <w:sz w:val="28"/>
          <w:szCs w:val="28"/>
        </w:rPr>
        <w:t>, soprattutto quelli più vulnerabili,</w:t>
      </w:r>
      <w:r w:rsidR="00A60CA9" w:rsidRPr="00A60CA9">
        <w:rPr>
          <w:rFonts w:ascii="Garamond" w:hAnsi="Garamond"/>
          <w:sz w:val="28"/>
          <w:szCs w:val="28"/>
        </w:rPr>
        <w:t xml:space="preserve"> e in applicazione del generale principio della precauzione.</w:t>
      </w:r>
    </w:p>
    <w:p w:rsidR="00A60CA9" w:rsidRDefault="00E53CA5" w:rsidP="00A60CA9">
      <w:pPr>
        <w:ind w:firstLine="709"/>
        <w:contextualSpacing/>
        <w:jc w:val="both"/>
        <w:rPr>
          <w:rFonts w:ascii="Garamond" w:hAnsi="Garamond"/>
          <w:sz w:val="28"/>
          <w:szCs w:val="28"/>
        </w:rPr>
      </w:pPr>
      <w:r>
        <w:rPr>
          <w:rFonts w:ascii="Garamond" w:hAnsi="Garamond"/>
          <w:sz w:val="28"/>
          <w:szCs w:val="28"/>
        </w:rPr>
        <w:t>Si possono menzionare tra le altre, quali esempi eloquenti</w:t>
      </w:r>
      <w:r w:rsidR="00192057">
        <w:rPr>
          <w:rFonts w:ascii="Garamond" w:hAnsi="Garamond"/>
          <w:sz w:val="28"/>
          <w:szCs w:val="28"/>
        </w:rPr>
        <w:t xml:space="preserve"> di questo orientamento,</w:t>
      </w:r>
      <w:r>
        <w:rPr>
          <w:rFonts w:ascii="Garamond" w:hAnsi="Garamond"/>
          <w:sz w:val="28"/>
          <w:szCs w:val="28"/>
        </w:rPr>
        <w:t xml:space="preserve"> le pronunce</w:t>
      </w:r>
      <w:r w:rsidR="00A60CA9" w:rsidRPr="00A60CA9">
        <w:rPr>
          <w:rFonts w:ascii="Garamond" w:hAnsi="Garamond"/>
          <w:sz w:val="28"/>
          <w:szCs w:val="28"/>
        </w:rPr>
        <w:t xml:space="preserve"> di </w:t>
      </w:r>
      <w:proofErr w:type="spellStart"/>
      <w:r w:rsidR="00A60CA9" w:rsidRPr="00A60CA9">
        <w:rPr>
          <w:rFonts w:ascii="Garamond" w:hAnsi="Garamond"/>
          <w:sz w:val="28"/>
          <w:szCs w:val="28"/>
        </w:rPr>
        <w:t>Cons</w:t>
      </w:r>
      <w:proofErr w:type="spellEnd"/>
      <w:r w:rsidR="00A60CA9" w:rsidRPr="00A60CA9">
        <w:rPr>
          <w:rFonts w:ascii="Garamond" w:hAnsi="Garamond"/>
          <w:sz w:val="28"/>
          <w:szCs w:val="28"/>
        </w:rPr>
        <w:t xml:space="preserve">. </w:t>
      </w:r>
      <w:proofErr w:type="gramStart"/>
      <w:r w:rsidR="00A60CA9" w:rsidRPr="00C860C5">
        <w:rPr>
          <w:rFonts w:ascii="Garamond" w:hAnsi="Garamond"/>
          <w:sz w:val="28"/>
          <w:szCs w:val="28"/>
        </w:rPr>
        <w:t>St.,</w:t>
      </w:r>
      <w:proofErr w:type="gramEnd"/>
      <w:r w:rsidR="00A60CA9" w:rsidRPr="00C860C5">
        <w:rPr>
          <w:rFonts w:ascii="Garamond" w:hAnsi="Garamond"/>
          <w:sz w:val="28"/>
          <w:szCs w:val="28"/>
        </w:rPr>
        <w:t xml:space="preserve"> sez. V, 8 agosto 2018, n. 4867</w:t>
      </w:r>
      <w:r>
        <w:rPr>
          <w:rFonts w:ascii="Garamond" w:hAnsi="Garamond"/>
          <w:sz w:val="28"/>
          <w:szCs w:val="28"/>
        </w:rPr>
        <w:t xml:space="preserve"> e di </w:t>
      </w:r>
      <w:proofErr w:type="spellStart"/>
      <w:r>
        <w:rPr>
          <w:rFonts w:ascii="Garamond" w:hAnsi="Garamond"/>
          <w:sz w:val="28"/>
          <w:szCs w:val="28"/>
        </w:rPr>
        <w:t>Cons</w:t>
      </w:r>
      <w:proofErr w:type="spellEnd"/>
      <w:r>
        <w:rPr>
          <w:rFonts w:ascii="Garamond" w:hAnsi="Garamond"/>
          <w:sz w:val="28"/>
          <w:szCs w:val="28"/>
        </w:rPr>
        <w:t>. St., sez. V, 6 settembre 2018, n. 5237</w:t>
      </w:r>
      <w:r w:rsidR="006E7E25">
        <w:rPr>
          <w:rStyle w:val="Rimandonotaapidipagina"/>
          <w:rFonts w:ascii="Garamond" w:hAnsi="Garamond"/>
          <w:sz w:val="28"/>
          <w:szCs w:val="28"/>
        </w:rPr>
        <w:footnoteReference w:id="40"/>
      </w:r>
      <w:r w:rsidR="00A60CA9" w:rsidRPr="00C860C5">
        <w:rPr>
          <w:rFonts w:ascii="Garamond" w:hAnsi="Garamond"/>
          <w:sz w:val="28"/>
          <w:szCs w:val="28"/>
        </w:rPr>
        <w:t>.</w:t>
      </w:r>
    </w:p>
    <w:p w:rsidR="00E53CA5" w:rsidRPr="00C860C5" w:rsidRDefault="00E53CA5" w:rsidP="00A60CA9">
      <w:pPr>
        <w:ind w:firstLine="709"/>
        <w:contextualSpacing/>
        <w:jc w:val="both"/>
        <w:rPr>
          <w:rFonts w:ascii="Garamond" w:hAnsi="Garamond"/>
          <w:sz w:val="28"/>
          <w:szCs w:val="28"/>
        </w:rPr>
      </w:pPr>
      <w:r>
        <w:rPr>
          <w:rFonts w:ascii="Garamond" w:hAnsi="Garamond"/>
          <w:sz w:val="28"/>
          <w:szCs w:val="28"/>
        </w:rPr>
        <w:t xml:space="preserve">Il Consiglio di Stato ribadisce, costantemente, </w:t>
      </w:r>
      <w:r w:rsidR="00E64019">
        <w:rPr>
          <w:rFonts w:ascii="Garamond" w:hAnsi="Garamond"/>
          <w:sz w:val="28"/>
          <w:szCs w:val="28"/>
        </w:rPr>
        <w:t xml:space="preserve">la legittimità delle misure adottate, in sede regionale e comunale, per limitare l’accesso alle sale da gioco a tutela della salute dei soggetti più vulnerabili ed esposti al rischio della </w:t>
      </w:r>
      <w:proofErr w:type="spellStart"/>
      <w:r w:rsidR="00E64019">
        <w:rPr>
          <w:rFonts w:ascii="Garamond" w:hAnsi="Garamond"/>
          <w:sz w:val="28"/>
          <w:szCs w:val="28"/>
        </w:rPr>
        <w:t>ludopatia</w:t>
      </w:r>
      <w:proofErr w:type="spellEnd"/>
      <w:r w:rsidR="00E64019">
        <w:rPr>
          <w:rFonts w:ascii="Garamond" w:hAnsi="Garamond"/>
          <w:sz w:val="28"/>
          <w:szCs w:val="28"/>
        </w:rPr>
        <w:t>.</w:t>
      </w:r>
    </w:p>
    <w:p w:rsidR="00BF2007" w:rsidRDefault="00C860C5" w:rsidP="00A60CA9">
      <w:pPr>
        <w:ind w:firstLine="709"/>
        <w:contextualSpacing/>
        <w:jc w:val="both"/>
        <w:rPr>
          <w:rFonts w:ascii="Garamond" w:hAnsi="Garamond"/>
          <w:sz w:val="28"/>
          <w:szCs w:val="28"/>
        </w:rPr>
      </w:pPr>
      <w:r>
        <w:rPr>
          <w:rFonts w:ascii="Garamond" w:hAnsi="Garamond"/>
          <w:sz w:val="28"/>
          <w:szCs w:val="28"/>
        </w:rPr>
        <w:t xml:space="preserve">Sul delicato tema della lotta contro la </w:t>
      </w:r>
      <w:proofErr w:type="spellStart"/>
      <w:r>
        <w:rPr>
          <w:rFonts w:ascii="Garamond" w:hAnsi="Garamond"/>
          <w:sz w:val="28"/>
          <w:szCs w:val="28"/>
        </w:rPr>
        <w:t>ludopatia</w:t>
      </w:r>
      <w:proofErr w:type="spellEnd"/>
      <w:r w:rsidR="00192057">
        <w:rPr>
          <w:rFonts w:ascii="Garamond" w:hAnsi="Garamond"/>
          <w:sz w:val="28"/>
          <w:szCs w:val="28"/>
        </w:rPr>
        <w:t xml:space="preserve">, peraltro, </w:t>
      </w:r>
      <w:r w:rsidR="00E53CA5">
        <w:rPr>
          <w:rFonts w:ascii="Garamond" w:hAnsi="Garamond"/>
          <w:sz w:val="28"/>
          <w:szCs w:val="28"/>
        </w:rPr>
        <w:t>non si può non menzionare</w:t>
      </w:r>
      <w:r w:rsidR="00BF2007">
        <w:rPr>
          <w:rFonts w:ascii="Garamond" w:hAnsi="Garamond"/>
          <w:sz w:val="28"/>
          <w:szCs w:val="28"/>
        </w:rPr>
        <w:t xml:space="preserve"> </w:t>
      </w:r>
      <w:r w:rsidR="00E53CA5">
        <w:rPr>
          <w:rFonts w:ascii="Garamond" w:hAnsi="Garamond"/>
          <w:sz w:val="28"/>
          <w:szCs w:val="28"/>
        </w:rPr>
        <w:t>la recentissima sentenza</w:t>
      </w:r>
      <w:r w:rsidR="00192057">
        <w:rPr>
          <w:rFonts w:ascii="Garamond" w:hAnsi="Garamond"/>
          <w:sz w:val="28"/>
          <w:szCs w:val="28"/>
        </w:rPr>
        <w:t xml:space="preserve"> n. 27 del 27 febbraio 2019 della Corte costituzionale</w:t>
      </w:r>
      <w:r w:rsidR="0075725E">
        <w:rPr>
          <w:rStyle w:val="Rimandonotaapidipagina"/>
          <w:rFonts w:ascii="Garamond" w:hAnsi="Garamond"/>
          <w:sz w:val="28"/>
          <w:szCs w:val="28"/>
        </w:rPr>
        <w:footnoteReference w:id="41"/>
      </w:r>
      <w:r w:rsidR="00192057">
        <w:rPr>
          <w:rFonts w:ascii="Garamond" w:hAnsi="Garamond"/>
          <w:sz w:val="28"/>
          <w:szCs w:val="28"/>
        </w:rPr>
        <w:t>,</w:t>
      </w:r>
      <w:r w:rsidR="00A60CA9" w:rsidRPr="00A60CA9">
        <w:rPr>
          <w:rFonts w:ascii="Garamond" w:hAnsi="Garamond"/>
          <w:sz w:val="28"/>
          <w:szCs w:val="28"/>
        </w:rPr>
        <w:t xml:space="preserve"> che – nel riconfermare quanto statuito con la</w:t>
      </w:r>
      <w:r w:rsidR="00567289">
        <w:rPr>
          <w:rFonts w:ascii="Garamond" w:hAnsi="Garamond"/>
          <w:sz w:val="28"/>
          <w:szCs w:val="28"/>
        </w:rPr>
        <w:t xml:space="preserve"> precedente</w:t>
      </w:r>
      <w:r w:rsidR="00A60CA9" w:rsidRPr="00A60CA9">
        <w:rPr>
          <w:rFonts w:ascii="Garamond" w:hAnsi="Garamond"/>
          <w:sz w:val="28"/>
          <w:szCs w:val="28"/>
        </w:rPr>
        <w:t xml:space="preserve"> sentenza n. 108 del 2017 – ha nuovamente sottolineato le finalità di carattere socio-sanitario di discipline regionali</w:t>
      </w:r>
      <w:r w:rsidR="00A9199D">
        <w:rPr>
          <w:rFonts w:ascii="Garamond" w:hAnsi="Garamond"/>
          <w:sz w:val="28"/>
          <w:szCs w:val="28"/>
        </w:rPr>
        <w:t xml:space="preserve"> – nel caso di specie quella abruzzese –</w:t>
      </w:r>
      <w:r w:rsidR="00A60CA9" w:rsidRPr="00A60CA9">
        <w:rPr>
          <w:rFonts w:ascii="Garamond" w:hAnsi="Garamond"/>
          <w:sz w:val="28"/>
          <w:szCs w:val="28"/>
        </w:rPr>
        <w:t xml:space="preserve"> recanti limiti di distanza dai luoghi sensibili, ascrivibili quindi alla materia della «</w:t>
      </w:r>
      <w:r w:rsidR="00A60CA9" w:rsidRPr="00BF2007">
        <w:rPr>
          <w:rFonts w:ascii="Garamond" w:hAnsi="Garamond"/>
          <w:i/>
          <w:sz w:val="28"/>
          <w:szCs w:val="28"/>
        </w:rPr>
        <w:t>tutela della salute</w:t>
      </w:r>
      <w:r w:rsidR="00A60CA9" w:rsidRPr="00A60CA9">
        <w:rPr>
          <w:rFonts w:ascii="Garamond" w:hAnsi="Garamond"/>
          <w:sz w:val="28"/>
          <w:szCs w:val="28"/>
        </w:rPr>
        <w:t xml:space="preserve">», così come presupposto, d’altronde, dallo stesso art. 7, comma 10, del </w:t>
      </w:r>
      <w:proofErr w:type="spellStart"/>
      <w:r w:rsidR="00A60CA9" w:rsidRPr="00A60CA9">
        <w:rPr>
          <w:rFonts w:ascii="Garamond" w:hAnsi="Garamond"/>
          <w:sz w:val="28"/>
          <w:szCs w:val="28"/>
        </w:rPr>
        <w:t>d.l.</w:t>
      </w:r>
      <w:proofErr w:type="spellEnd"/>
      <w:r w:rsidR="00A60CA9" w:rsidRPr="00A60CA9">
        <w:rPr>
          <w:rFonts w:ascii="Garamond" w:hAnsi="Garamond"/>
          <w:sz w:val="28"/>
          <w:szCs w:val="28"/>
        </w:rPr>
        <w:t xml:space="preserve"> n. 158 del 2012.</w:t>
      </w:r>
    </w:p>
    <w:p w:rsidR="00A60CA9" w:rsidRPr="00A60CA9" w:rsidRDefault="00A60CA9" w:rsidP="00A60CA9">
      <w:pPr>
        <w:ind w:firstLine="709"/>
        <w:contextualSpacing/>
        <w:jc w:val="both"/>
        <w:rPr>
          <w:rFonts w:ascii="Garamond" w:hAnsi="Garamond"/>
          <w:sz w:val="28"/>
          <w:szCs w:val="28"/>
        </w:rPr>
      </w:pPr>
      <w:r w:rsidRPr="00A60CA9">
        <w:rPr>
          <w:rFonts w:ascii="Garamond" w:hAnsi="Garamond"/>
          <w:sz w:val="28"/>
          <w:szCs w:val="28"/>
        </w:rPr>
        <w:t xml:space="preserve">Inoltre, </w:t>
      </w:r>
      <w:r w:rsidR="00BF2007">
        <w:rPr>
          <w:rFonts w:ascii="Garamond" w:hAnsi="Garamond"/>
          <w:sz w:val="28"/>
          <w:szCs w:val="28"/>
        </w:rPr>
        <w:t xml:space="preserve">ha osservato ancora il giudice delle leggi, </w:t>
      </w:r>
      <w:r w:rsidRPr="00A60CA9">
        <w:rPr>
          <w:rFonts w:ascii="Garamond" w:hAnsi="Garamond"/>
          <w:sz w:val="28"/>
          <w:szCs w:val="28"/>
        </w:rPr>
        <w:t>la pianificazione prevista dalla legislazione statale non costituisce una previa condizione necessaria per l’intervento delle Regioni, poiché la mancanza del decreto attuativo di tale pianificazione non può avere l’effetto di paralizzare sine die la competenza legislativa regionale, che si può eser</w:t>
      </w:r>
      <w:r w:rsidR="00BF2007">
        <w:rPr>
          <w:rFonts w:ascii="Garamond" w:hAnsi="Garamond"/>
          <w:sz w:val="28"/>
          <w:szCs w:val="28"/>
        </w:rPr>
        <w:t>citare nel rispetto dei principî</w:t>
      </w:r>
      <w:r w:rsidRPr="00A60CA9">
        <w:rPr>
          <w:rFonts w:ascii="Garamond" w:hAnsi="Garamond"/>
          <w:sz w:val="28"/>
          <w:szCs w:val="28"/>
        </w:rPr>
        <w:t xml:space="preserve"> fondamentali desumibili dalla legislazione statale. </w:t>
      </w:r>
    </w:p>
    <w:p w:rsidR="00A60CA9" w:rsidRPr="00A60CA9" w:rsidRDefault="00A60CA9" w:rsidP="00A60CA9">
      <w:pPr>
        <w:ind w:firstLine="709"/>
        <w:contextualSpacing/>
        <w:jc w:val="both"/>
        <w:rPr>
          <w:rFonts w:ascii="Garamond" w:hAnsi="Garamond"/>
          <w:sz w:val="28"/>
          <w:szCs w:val="28"/>
        </w:rPr>
      </w:pPr>
      <w:r w:rsidRPr="00A60CA9">
        <w:rPr>
          <w:rFonts w:ascii="Garamond" w:hAnsi="Garamond"/>
          <w:sz w:val="28"/>
          <w:szCs w:val="28"/>
        </w:rPr>
        <w:t>I più recenti interventi rego</w:t>
      </w:r>
      <w:r w:rsidR="00BF2007">
        <w:rPr>
          <w:rFonts w:ascii="Garamond" w:hAnsi="Garamond"/>
          <w:sz w:val="28"/>
          <w:szCs w:val="28"/>
        </w:rPr>
        <w:t>latori confermano tale assetto.</w:t>
      </w:r>
    </w:p>
    <w:p w:rsidR="00BF2007" w:rsidRDefault="00A60CA9" w:rsidP="00A60CA9">
      <w:pPr>
        <w:ind w:firstLine="709"/>
        <w:contextualSpacing/>
        <w:jc w:val="both"/>
        <w:rPr>
          <w:rFonts w:ascii="Garamond" w:hAnsi="Garamond"/>
          <w:sz w:val="28"/>
          <w:szCs w:val="28"/>
        </w:rPr>
      </w:pPr>
      <w:r w:rsidRPr="00A60CA9">
        <w:rPr>
          <w:rFonts w:ascii="Garamond" w:hAnsi="Garamond"/>
          <w:sz w:val="28"/>
          <w:szCs w:val="28"/>
        </w:rPr>
        <w:t>In particolare, in data 7 settembre 2017 è stata siglata in Conferenza unificata l’intesa prevista dall’art. 1, comma 936, della legge 28 dicembre 2015, n. 208, recante «</w:t>
      </w:r>
      <w:r w:rsidRPr="00BF2007">
        <w:rPr>
          <w:rFonts w:ascii="Garamond" w:hAnsi="Garamond"/>
          <w:i/>
          <w:sz w:val="28"/>
          <w:szCs w:val="28"/>
        </w:rPr>
        <w:t>Disposizioni per la formazione del bilancio annuale e pluriennale dello Stato (legge di stabilità 2016)</w:t>
      </w:r>
      <w:r w:rsidRPr="00A60CA9">
        <w:rPr>
          <w:rFonts w:ascii="Garamond" w:hAnsi="Garamond"/>
          <w:sz w:val="28"/>
          <w:szCs w:val="28"/>
        </w:rPr>
        <w:t>», volta alla definizione delle caratteristiche dei punti di vendita ove si raccoglie gioco pubblico, nonché dei criteri per la loro distribuzione e concentrazione territoriale, al fine di garantire i migliori livelli di sicurezza per la tutela della salute, dell’ordine pubblico e della pubblica fede dei giocatori e di prevenire il rischio di accesso dei minori di età.</w:t>
      </w:r>
    </w:p>
    <w:p w:rsidR="00BF2007" w:rsidRDefault="00A60CA9" w:rsidP="00A60CA9">
      <w:pPr>
        <w:ind w:firstLine="709"/>
        <w:contextualSpacing/>
        <w:jc w:val="both"/>
        <w:rPr>
          <w:rFonts w:ascii="Garamond" w:hAnsi="Garamond"/>
          <w:sz w:val="28"/>
          <w:szCs w:val="28"/>
        </w:rPr>
      </w:pPr>
      <w:r w:rsidRPr="00A60CA9">
        <w:rPr>
          <w:rFonts w:ascii="Garamond" w:hAnsi="Garamond"/>
          <w:sz w:val="28"/>
          <w:szCs w:val="28"/>
        </w:rPr>
        <w:t xml:space="preserve">L’intesa fa esplicitamente salve le vigenti disposizioni regionali e comunali, ove recanti </w:t>
      </w:r>
      <w:r w:rsidRPr="00C860C5">
        <w:rPr>
          <w:rFonts w:ascii="Garamond" w:hAnsi="Garamond"/>
          <w:i/>
          <w:sz w:val="28"/>
          <w:szCs w:val="28"/>
        </w:rPr>
        <w:t>standard</w:t>
      </w:r>
      <w:r w:rsidRPr="00A60CA9">
        <w:rPr>
          <w:rFonts w:ascii="Garamond" w:hAnsi="Garamond"/>
          <w:sz w:val="28"/>
          <w:szCs w:val="28"/>
        </w:rPr>
        <w:t xml:space="preserve"> più elevati di tutela, con la possibilità</w:t>
      </w:r>
      <w:r w:rsidR="00BF2007">
        <w:rPr>
          <w:rFonts w:ascii="Garamond" w:hAnsi="Garamond"/>
          <w:sz w:val="28"/>
          <w:szCs w:val="28"/>
        </w:rPr>
        <w:t>,</w:t>
      </w:r>
      <w:r w:rsidRPr="00A60CA9">
        <w:rPr>
          <w:rFonts w:ascii="Garamond" w:hAnsi="Garamond"/>
          <w:sz w:val="28"/>
          <w:szCs w:val="28"/>
        </w:rPr>
        <w:t xml:space="preserve"> per </w:t>
      </w:r>
      <w:r w:rsidR="00BF2007">
        <w:rPr>
          <w:rFonts w:ascii="Garamond" w:hAnsi="Garamond"/>
          <w:sz w:val="28"/>
          <w:szCs w:val="28"/>
        </w:rPr>
        <w:t>le Regioni e gli</w:t>
      </w:r>
      <w:r w:rsidRPr="00A60CA9">
        <w:rPr>
          <w:rFonts w:ascii="Garamond" w:hAnsi="Garamond"/>
          <w:sz w:val="28"/>
          <w:szCs w:val="28"/>
        </w:rPr>
        <w:t xml:space="preserve"> enti locali</w:t>
      </w:r>
      <w:r w:rsidR="00BF2007">
        <w:rPr>
          <w:rFonts w:ascii="Garamond" w:hAnsi="Garamond"/>
          <w:sz w:val="28"/>
          <w:szCs w:val="28"/>
        </w:rPr>
        <w:t>,</w:t>
      </w:r>
      <w:r w:rsidRPr="00A60CA9">
        <w:rPr>
          <w:rFonts w:ascii="Garamond" w:hAnsi="Garamond"/>
          <w:sz w:val="28"/>
          <w:szCs w:val="28"/>
        </w:rPr>
        <w:t xml:space="preserve"> di dettare anche in futuro nuove discipline più restrittive</w:t>
      </w:r>
      <w:r w:rsidR="00E64019">
        <w:rPr>
          <w:rStyle w:val="Rimandonotaapidipagina"/>
          <w:rFonts w:ascii="Garamond" w:hAnsi="Garamond"/>
          <w:sz w:val="28"/>
          <w:szCs w:val="28"/>
        </w:rPr>
        <w:footnoteReference w:id="42"/>
      </w:r>
      <w:r w:rsidRPr="00A60CA9">
        <w:rPr>
          <w:rFonts w:ascii="Garamond" w:hAnsi="Garamond"/>
          <w:sz w:val="28"/>
          <w:szCs w:val="28"/>
        </w:rPr>
        <w:t>.</w:t>
      </w:r>
    </w:p>
    <w:p w:rsidR="00A60CA9" w:rsidRPr="00A60CA9" w:rsidRDefault="00A60CA9" w:rsidP="00A60CA9">
      <w:pPr>
        <w:ind w:firstLine="709"/>
        <w:contextualSpacing/>
        <w:jc w:val="both"/>
        <w:rPr>
          <w:rFonts w:ascii="Garamond" w:hAnsi="Garamond"/>
          <w:sz w:val="28"/>
          <w:szCs w:val="28"/>
        </w:rPr>
      </w:pPr>
      <w:r w:rsidRPr="00A60CA9">
        <w:rPr>
          <w:rFonts w:ascii="Garamond" w:hAnsi="Garamond"/>
          <w:sz w:val="28"/>
          <w:szCs w:val="28"/>
        </w:rPr>
        <w:t>Sebbene tuttora non recepita dal decreto del Ministro dell’economia e delle finanze previsto dalla legge n. 208 del 2015, tale intesa è stata espressamente richiamata dalla successiva legge 27 dicembre 2017, n. 205</w:t>
      </w:r>
      <w:r w:rsidR="00C860C5">
        <w:rPr>
          <w:rFonts w:ascii="Garamond" w:hAnsi="Garamond"/>
          <w:sz w:val="28"/>
          <w:szCs w:val="28"/>
        </w:rPr>
        <w:t>,</w:t>
      </w:r>
      <w:r w:rsidRPr="00A60CA9">
        <w:rPr>
          <w:rFonts w:ascii="Garamond" w:hAnsi="Garamond"/>
          <w:sz w:val="28"/>
          <w:szCs w:val="28"/>
        </w:rPr>
        <w:t xml:space="preserve"> (</w:t>
      </w:r>
      <w:r w:rsidR="00C860C5">
        <w:rPr>
          <w:rFonts w:ascii="Garamond" w:hAnsi="Garamond"/>
          <w:sz w:val="28"/>
          <w:szCs w:val="28"/>
        </w:rPr>
        <w:t>«</w:t>
      </w:r>
      <w:r w:rsidRPr="00C860C5">
        <w:rPr>
          <w:rFonts w:ascii="Garamond" w:hAnsi="Garamond"/>
          <w:i/>
          <w:sz w:val="28"/>
          <w:szCs w:val="28"/>
        </w:rPr>
        <w:t>Bilancio di previsione dello Stato per l’anno finanziario 2018 e bilancio pluriennale per il triennio 2018-2020</w:t>
      </w:r>
      <w:r w:rsidR="00C860C5">
        <w:rPr>
          <w:rFonts w:ascii="Garamond" w:hAnsi="Garamond"/>
          <w:sz w:val="28"/>
          <w:szCs w:val="28"/>
        </w:rPr>
        <w:t>»</w:t>
      </w:r>
      <w:r w:rsidRPr="00A60CA9">
        <w:rPr>
          <w:rFonts w:ascii="Garamond" w:hAnsi="Garamond"/>
          <w:sz w:val="28"/>
          <w:szCs w:val="28"/>
        </w:rPr>
        <w:t xml:space="preserve">), che all’art. 1, comma 1049, stabilisce che le Regioni adeguino la propria legislazione a quanto sancito dalla stessa. </w:t>
      </w:r>
    </w:p>
    <w:p w:rsidR="00A60CA9" w:rsidRPr="00A60CA9" w:rsidRDefault="00A60CA9" w:rsidP="00BF2007">
      <w:pPr>
        <w:ind w:firstLine="709"/>
        <w:contextualSpacing/>
        <w:jc w:val="both"/>
        <w:rPr>
          <w:rFonts w:ascii="Garamond" w:hAnsi="Garamond"/>
          <w:sz w:val="28"/>
          <w:szCs w:val="28"/>
        </w:rPr>
      </w:pPr>
      <w:r w:rsidRPr="00A60CA9">
        <w:rPr>
          <w:rFonts w:ascii="Garamond" w:hAnsi="Garamond"/>
          <w:sz w:val="28"/>
          <w:szCs w:val="28"/>
        </w:rPr>
        <w:t>Il quadro normativo e giurisprudenziale, dunque, consente e</w:t>
      </w:r>
      <w:r w:rsidR="00BF2007">
        <w:rPr>
          <w:rFonts w:ascii="Garamond" w:hAnsi="Garamond"/>
          <w:sz w:val="28"/>
          <w:szCs w:val="28"/>
        </w:rPr>
        <w:t xml:space="preserve">spressamente alle Regioni di </w:t>
      </w:r>
      <w:r w:rsidRPr="00A60CA9">
        <w:rPr>
          <w:rFonts w:ascii="Garamond" w:hAnsi="Garamond"/>
          <w:sz w:val="28"/>
          <w:szCs w:val="28"/>
        </w:rPr>
        <w:t xml:space="preserve">intervenire prevedendo distanze minime dai luoghi sensibili per l’esercizio delle attività legate ai giochi leciti, anche individuando luoghi diversi da quelli indicati dal </w:t>
      </w:r>
      <w:proofErr w:type="spellStart"/>
      <w:r w:rsidRPr="00A60CA9">
        <w:rPr>
          <w:rFonts w:ascii="Garamond" w:hAnsi="Garamond"/>
          <w:sz w:val="28"/>
          <w:szCs w:val="28"/>
        </w:rPr>
        <w:t>d.l.</w:t>
      </w:r>
      <w:proofErr w:type="spellEnd"/>
      <w:r w:rsidRPr="00A60CA9">
        <w:rPr>
          <w:rFonts w:ascii="Garamond" w:hAnsi="Garamond"/>
          <w:sz w:val="28"/>
          <w:szCs w:val="28"/>
        </w:rPr>
        <w:t xml:space="preserve"> n.</w:t>
      </w:r>
      <w:r w:rsidR="00BF2007">
        <w:rPr>
          <w:rFonts w:ascii="Garamond" w:hAnsi="Garamond"/>
          <w:sz w:val="28"/>
          <w:szCs w:val="28"/>
        </w:rPr>
        <w:t xml:space="preserve"> 158 del 2012, come convertito.</w:t>
      </w:r>
    </w:p>
    <w:p w:rsidR="00BF2007" w:rsidRDefault="00A60CA9" w:rsidP="00A60CA9">
      <w:pPr>
        <w:ind w:firstLine="709"/>
        <w:contextualSpacing/>
        <w:jc w:val="both"/>
        <w:rPr>
          <w:rFonts w:ascii="Garamond" w:hAnsi="Garamond"/>
          <w:sz w:val="28"/>
          <w:szCs w:val="28"/>
        </w:rPr>
      </w:pPr>
      <w:r w:rsidRPr="00A60CA9">
        <w:rPr>
          <w:rFonts w:ascii="Garamond" w:hAnsi="Garamond"/>
          <w:sz w:val="28"/>
          <w:szCs w:val="28"/>
        </w:rPr>
        <w:t>L’inclusione delle caserme militari tra i luoghi sensibili</w:t>
      </w:r>
      <w:r w:rsidR="00BF2007">
        <w:rPr>
          <w:rFonts w:ascii="Garamond" w:hAnsi="Garamond"/>
          <w:sz w:val="28"/>
          <w:szCs w:val="28"/>
        </w:rPr>
        <w:t>, osserva in modo significativo la Corte,</w:t>
      </w:r>
      <w:r w:rsidRPr="00A60CA9">
        <w:rPr>
          <w:rFonts w:ascii="Garamond" w:hAnsi="Garamond"/>
          <w:sz w:val="28"/>
          <w:szCs w:val="28"/>
        </w:rPr>
        <w:t xml:space="preserve"> non è estranea a tali finalità.</w:t>
      </w:r>
    </w:p>
    <w:p w:rsidR="00A60CA9" w:rsidRPr="00A60CA9" w:rsidRDefault="00A60CA9" w:rsidP="00A60CA9">
      <w:pPr>
        <w:ind w:firstLine="709"/>
        <w:contextualSpacing/>
        <w:jc w:val="both"/>
        <w:rPr>
          <w:rFonts w:ascii="Garamond" w:hAnsi="Garamond"/>
          <w:sz w:val="28"/>
          <w:szCs w:val="28"/>
        </w:rPr>
      </w:pPr>
      <w:r w:rsidRPr="00A60CA9">
        <w:rPr>
          <w:rFonts w:ascii="Garamond" w:hAnsi="Garamond"/>
          <w:sz w:val="28"/>
          <w:szCs w:val="28"/>
        </w:rPr>
        <w:t xml:space="preserve">Le caserme, infatti, sono destinate all’addestramento e all’alloggio dei militari, in particolare e nella maggior parte dei casi dei giovani che svolgono la precipua formazione in tale campo. </w:t>
      </w:r>
    </w:p>
    <w:p w:rsidR="00A60CA9" w:rsidRPr="00A60CA9" w:rsidRDefault="00A60CA9" w:rsidP="00A60CA9">
      <w:pPr>
        <w:ind w:firstLine="709"/>
        <w:contextualSpacing/>
        <w:jc w:val="both"/>
        <w:rPr>
          <w:rFonts w:ascii="Garamond" w:hAnsi="Garamond"/>
          <w:sz w:val="28"/>
          <w:szCs w:val="28"/>
        </w:rPr>
      </w:pPr>
      <w:r w:rsidRPr="00A60CA9">
        <w:rPr>
          <w:rFonts w:ascii="Garamond" w:hAnsi="Garamond"/>
          <w:sz w:val="28"/>
          <w:szCs w:val="28"/>
        </w:rPr>
        <w:t xml:space="preserve">Si tratta, quindi, senz’altro di peculiari centri di aggregazione di soggetti che ben possono considerarsi più esposti ai </w:t>
      </w:r>
      <w:r w:rsidR="00BF2007">
        <w:rPr>
          <w:rFonts w:ascii="Garamond" w:hAnsi="Garamond"/>
          <w:sz w:val="28"/>
          <w:szCs w:val="28"/>
        </w:rPr>
        <w:t>rischi legati ai giochi leciti.</w:t>
      </w:r>
    </w:p>
    <w:p w:rsidR="00A60CA9" w:rsidRPr="00A60CA9" w:rsidRDefault="00A60CA9" w:rsidP="00A60CA9">
      <w:pPr>
        <w:ind w:firstLine="709"/>
        <w:contextualSpacing/>
        <w:jc w:val="both"/>
        <w:rPr>
          <w:rFonts w:ascii="Garamond" w:hAnsi="Garamond"/>
          <w:sz w:val="28"/>
          <w:szCs w:val="28"/>
        </w:rPr>
      </w:pPr>
      <w:r w:rsidRPr="00A60CA9">
        <w:rPr>
          <w:rFonts w:ascii="Garamond" w:hAnsi="Garamond"/>
          <w:sz w:val="28"/>
          <w:szCs w:val="28"/>
        </w:rPr>
        <w:t>Inoltre, nella misura in cui le caserme militari siano adibite anche ad attività operative nei confronti del pubblico, le stesse si configurano altresì come luoghi di aggregazione in cui possono transitare soggetti in difficoltà, che cercano tutela e protezione (si pensi a chi denunci un reato contro la persona o il patrimonio),</w:t>
      </w:r>
      <w:r w:rsidR="00A9199D">
        <w:rPr>
          <w:rFonts w:ascii="Garamond" w:hAnsi="Garamond"/>
          <w:sz w:val="28"/>
          <w:szCs w:val="28"/>
        </w:rPr>
        <w:t xml:space="preserve"> </w:t>
      </w:r>
      <w:r w:rsidRPr="00A60CA9">
        <w:rPr>
          <w:rFonts w:ascii="Garamond" w:hAnsi="Garamond"/>
          <w:sz w:val="28"/>
          <w:szCs w:val="28"/>
        </w:rPr>
        <w:t xml:space="preserve">quindi potenzialmente più esposti a quei fenomeni di debolezza psichica su cui s’innesta la </w:t>
      </w:r>
      <w:proofErr w:type="spellStart"/>
      <w:r w:rsidRPr="00A60CA9">
        <w:rPr>
          <w:rFonts w:ascii="Garamond" w:hAnsi="Garamond"/>
          <w:sz w:val="28"/>
          <w:szCs w:val="28"/>
        </w:rPr>
        <w:t>ludopatia</w:t>
      </w:r>
      <w:proofErr w:type="spellEnd"/>
      <w:r w:rsidRPr="00A60CA9">
        <w:rPr>
          <w:rFonts w:ascii="Garamond" w:hAnsi="Garamond"/>
          <w:sz w:val="28"/>
          <w:szCs w:val="28"/>
        </w:rPr>
        <w:t xml:space="preserve">. </w:t>
      </w:r>
    </w:p>
    <w:p w:rsidR="00A60CA9" w:rsidRDefault="00A60CA9" w:rsidP="00A60CA9">
      <w:pPr>
        <w:ind w:firstLine="709"/>
        <w:contextualSpacing/>
        <w:jc w:val="both"/>
        <w:rPr>
          <w:rFonts w:ascii="Garamond" w:hAnsi="Garamond"/>
          <w:sz w:val="28"/>
          <w:szCs w:val="28"/>
        </w:rPr>
      </w:pPr>
      <w:r w:rsidRPr="00A60CA9">
        <w:rPr>
          <w:rFonts w:ascii="Garamond" w:hAnsi="Garamond"/>
          <w:sz w:val="28"/>
          <w:szCs w:val="28"/>
        </w:rPr>
        <w:t>Il legislatore abruzzese, in conclusione, è certamente intervenuto nell’ambito della materia «</w:t>
      </w:r>
      <w:r w:rsidRPr="00A9199D">
        <w:rPr>
          <w:rFonts w:ascii="Garamond" w:hAnsi="Garamond"/>
          <w:i/>
          <w:sz w:val="28"/>
          <w:szCs w:val="28"/>
        </w:rPr>
        <w:t>tutela della salute</w:t>
      </w:r>
      <w:r w:rsidRPr="00A60CA9">
        <w:rPr>
          <w:rFonts w:ascii="Garamond" w:hAnsi="Garamond"/>
          <w:sz w:val="28"/>
          <w:szCs w:val="28"/>
        </w:rPr>
        <w:t>», senza invadere la competenza esclusiva dello Stato, con una disciplina che appare altresì non irragionevole, poiché le caserme militari presentano caratteristiche idonee a essere qualificate come luoghi sensibili.</w:t>
      </w:r>
    </w:p>
    <w:p w:rsidR="00A9199D" w:rsidRDefault="00110835" w:rsidP="00A60CA9">
      <w:pPr>
        <w:ind w:firstLine="709"/>
        <w:contextualSpacing/>
        <w:jc w:val="both"/>
        <w:rPr>
          <w:rFonts w:ascii="Garamond" w:hAnsi="Garamond"/>
          <w:sz w:val="28"/>
          <w:szCs w:val="28"/>
        </w:rPr>
      </w:pPr>
      <w:r>
        <w:rPr>
          <w:rFonts w:ascii="Garamond" w:hAnsi="Garamond"/>
          <w:sz w:val="28"/>
          <w:szCs w:val="28"/>
        </w:rPr>
        <w:t>Si comprende</w:t>
      </w:r>
      <w:r w:rsidR="00C860C5">
        <w:rPr>
          <w:rFonts w:ascii="Garamond" w:hAnsi="Garamond"/>
          <w:sz w:val="28"/>
          <w:szCs w:val="28"/>
        </w:rPr>
        <w:t xml:space="preserve"> bene, secondo la Corte costituzionale nella citata sentenza n. 2</w:t>
      </w:r>
      <w:r w:rsidR="005F7073">
        <w:rPr>
          <w:rFonts w:ascii="Garamond" w:hAnsi="Garamond"/>
          <w:sz w:val="28"/>
          <w:szCs w:val="28"/>
        </w:rPr>
        <w:t>7 del 2019</w:t>
      </w:r>
      <w:r w:rsidR="00C860C5">
        <w:rPr>
          <w:rFonts w:ascii="Garamond" w:hAnsi="Garamond"/>
          <w:sz w:val="28"/>
          <w:szCs w:val="28"/>
        </w:rPr>
        <w:t>,</w:t>
      </w:r>
      <w:r>
        <w:rPr>
          <w:rFonts w:ascii="Garamond" w:hAnsi="Garamond"/>
          <w:sz w:val="28"/>
          <w:szCs w:val="28"/>
        </w:rPr>
        <w:t xml:space="preserve"> come il legislatore regionale o le singole amministrazioni a livello locale, proprio a tutela dei soggetti più deboli, possano disporre limiti persino all’esercizio di attività ludiche e della stessa attività imprenditoriale.</w:t>
      </w:r>
    </w:p>
    <w:p w:rsidR="00110835" w:rsidRDefault="00110835" w:rsidP="00A60CA9">
      <w:pPr>
        <w:ind w:firstLine="709"/>
        <w:contextualSpacing/>
        <w:jc w:val="both"/>
        <w:rPr>
          <w:rFonts w:ascii="Garamond" w:hAnsi="Garamond"/>
          <w:sz w:val="28"/>
          <w:szCs w:val="28"/>
        </w:rPr>
      </w:pPr>
      <w:r>
        <w:rPr>
          <w:rFonts w:ascii="Garamond" w:hAnsi="Garamond"/>
          <w:sz w:val="28"/>
          <w:szCs w:val="28"/>
        </w:rPr>
        <w:t xml:space="preserve">La concezione solidaristica della salute opera qui non solo più in riferimento alle decisioni sanitarie, ma più in generale alla stessa sfera di libertà del singolo, dispiegando pienamente il proprio raggio operativo in </w:t>
      </w:r>
      <w:r w:rsidR="00D057DE">
        <w:rPr>
          <w:rFonts w:ascii="Garamond" w:hAnsi="Garamond"/>
          <w:sz w:val="28"/>
          <w:szCs w:val="28"/>
        </w:rPr>
        <w:t xml:space="preserve">ogni settore della vita privata, anche quale limite all’iniziativa economica privata (art. 41 </w:t>
      </w:r>
      <w:proofErr w:type="spellStart"/>
      <w:r w:rsidR="00D057DE">
        <w:rPr>
          <w:rFonts w:ascii="Garamond" w:hAnsi="Garamond"/>
          <w:sz w:val="28"/>
          <w:szCs w:val="28"/>
        </w:rPr>
        <w:t>Cost</w:t>
      </w:r>
      <w:proofErr w:type="spellEnd"/>
      <w:r w:rsidR="00D057DE">
        <w:rPr>
          <w:rFonts w:ascii="Garamond" w:hAnsi="Garamond"/>
          <w:sz w:val="28"/>
          <w:szCs w:val="28"/>
        </w:rPr>
        <w:t>.).</w:t>
      </w:r>
    </w:p>
    <w:p w:rsidR="00C62C0A" w:rsidRDefault="00C62C0A" w:rsidP="00A60CA9">
      <w:pPr>
        <w:ind w:firstLine="709"/>
        <w:contextualSpacing/>
        <w:jc w:val="both"/>
        <w:rPr>
          <w:rFonts w:ascii="Garamond" w:hAnsi="Garamond"/>
          <w:sz w:val="28"/>
          <w:szCs w:val="28"/>
        </w:rPr>
      </w:pPr>
      <w:r>
        <w:rPr>
          <w:rFonts w:ascii="Garamond" w:hAnsi="Garamond"/>
          <w:sz w:val="28"/>
          <w:szCs w:val="28"/>
        </w:rPr>
        <w:t>L’autonomia del singolo e la tutela della collettività devono trovare un ragionevole bilanciamento nel ponderato esercizio della discrezionalità tecnica, sia a livello legislativo che amministrativo.</w:t>
      </w:r>
    </w:p>
    <w:p w:rsidR="006C0205" w:rsidRDefault="00C62C0A" w:rsidP="00C62C0A">
      <w:pPr>
        <w:ind w:firstLine="709"/>
        <w:contextualSpacing/>
        <w:jc w:val="both"/>
        <w:rPr>
          <w:rFonts w:ascii="Garamond" w:hAnsi="Garamond"/>
          <w:sz w:val="28"/>
          <w:szCs w:val="28"/>
        </w:rPr>
      </w:pPr>
      <w:r>
        <w:rPr>
          <w:rFonts w:ascii="Garamond" w:hAnsi="Garamond"/>
          <w:sz w:val="28"/>
          <w:szCs w:val="28"/>
        </w:rPr>
        <w:t>Questo ragionevole bilanciamento, nell’ottica della gerarchia mobile dei valori, trova uno snodo fondamentale nella recente ordinanza n. 207 del 16 nove</w:t>
      </w:r>
      <w:r w:rsidR="00FC1808">
        <w:rPr>
          <w:rFonts w:ascii="Garamond" w:hAnsi="Garamond"/>
          <w:sz w:val="28"/>
          <w:szCs w:val="28"/>
        </w:rPr>
        <w:t xml:space="preserve">mbre 2018 sul c.d. caso di Fabiano Antoniani (dj </w:t>
      </w:r>
      <w:proofErr w:type="spellStart"/>
      <w:r w:rsidR="00FC1808">
        <w:rPr>
          <w:rFonts w:ascii="Garamond" w:hAnsi="Garamond"/>
          <w:sz w:val="28"/>
          <w:szCs w:val="28"/>
        </w:rPr>
        <w:t>Fabo</w:t>
      </w:r>
      <w:proofErr w:type="spellEnd"/>
      <w:r w:rsidR="00FC1808">
        <w:rPr>
          <w:rFonts w:ascii="Garamond" w:hAnsi="Garamond"/>
          <w:sz w:val="28"/>
          <w:szCs w:val="28"/>
        </w:rPr>
        <w:t>), che vede imputato per aiuto materiale al suicidio, previsto dall’art. 580 c.p., Marco Cappato</w:t>
      </w:r>
      <w:r w:rsidR="005F7073">
        <w:rPr>
          <w:rStyle w:val="Rimandonotaapidipagina"/>
          <w:rFonts w:ascii="Garamond" w:hAnsi="Garamond"/>
          <w:sz w:val="28"/>
          <w:szCs w:val="28"/>
        </w:rPr>
        <w:footnoteReference w:id="43"/>
      </w:r>
      <w:r w:rsidR="00FC1808">
        <w:rPr>
          <w:rFonts w:ascii="Garamond" w:hAnsi="Garamond"/>
          <w:sz w:val="28"/>
          <w:szCs w:val="28"/>
        </w:rPr>
        <w:t>.</w:t>
      </w:r>
    </w:p>
    <w:p w:rsidR="00C860C5" w:rsidRDefault="00C860C5" w:rsidP="00C62C0A">
      <w:pPr>
        <w:ind w:firstLine="709"/>
        <w:contextualSpacing/>
        <w:jc w:val="both"/>
        <w:rPr>
          <w:rFonts w:ascii="Garamond" w:hAnsi="Garamond"/>
          <w:sz w:val="28"/>
          <w:szCs w:val="28"/>
        </w:rPr>
      </w:pPr>
      <w:r>
        <w:rPr>
          <w:rFonts w:ascii="Garamond" w:hAnsi="Garamond"/>
          <w:sz w:val="28"/>
          <w:szCs w:val="28"/>
        </w:rPr>
        <w:t>È significativo che il giudice delle leggi, nell’affrontare la delicata questione della liceità penale del c.d. aiuto al suic</w:t>
      </w:r>
      <w:r w:rsidR="00FC1808">
        <w:rPr>
          <w:rFonts w:ascii="Garamond" w:hAnsi="Garamond"/>
          <w:sz w:val="28"/>
          <w:szCs w:val="28"/>
        </w:rPr>
        <w:t>idio assistito.</w:t>
      </w:r>
    </w:p>
    <w:p w:rsidR="00E82160" w:rsidRDefault="00022A73" w:rsidP="00022A73">
      <w:pPr>
        <w:ind w:firstLine="709"/>
        <w:contextualSpacing/>
        <w:jc w:val="both"/>
        <w:rPr>
          <w:rFonts w:ascii="Garamond" w:hAnsi="Garamond"/>
          <w:sz w:val="28"/>
          <w:szCs w:val="28"/>
        </w:rPr>
      </w:pPr>
      <w:r w:rsidRPr="00022A73">
        <w:rPr>
          <w:rFonts w:ascii="Garamond" w:hAnsi="Garamond"/>
          <w:sz w:val="28"/>
          <w:szCs w:val="28"/>
        </w:rPr>
        <w:t>La legge n. 219 del 2017</w:t>
      </w:r>
      <w:r w:rsidR="00E82160">
        <w:rPr>
          <w:rFonts w:ascii="Garamond" w:hAnsi="Garamond"/>
          <w:sz w:val="28"/>
          <w:szCs w:val="28"/>
        </w:rPr>
        <w:t>, ha ribadito la Corte nel valorizzare al massimo grado la portata della riforma</w:t>
      </w:r>
      <w:r w:rsidR="00D057DE">
        <w:rPr>
          <w:rFonts w:ascii="Garamond" w:hAnsi="Garamond"/>
          <w:sz w:val="28"/>
          <w:szCs w:val="28"/>
        </w:rPr>
        <w:t xml:space="preserve"> sul consenso informato</w:t>
      </w:r>
      <w:r>
        <w:rPr>
          <w:rFonts w:ascii="Garamond" w:hAnsi="Garamond"/>
          <w:sz w:val="28"/>
          <w:szCs w:val="28"/>
        </w:rPr>
        <w:t>,</w:t>
      </w:r>
      <w:r w:rsidRPr="00022A73">
        <w:rPr>
          <w:rFonts w:ascii="Garamond" w:hAnsi="Garamond"/>
          <w:sz w:val="28"/>
          <w:szCs w:val="28"/>
        </w:rPr>
        <w:t xml:space="preserve"> riconosce ad ogni persona «</w:t>
      </w:r>
      <w:r w:rsidRPr="00022A73">
        <w:rPr>
          <w:rFonts w:ascii="Garamond" w:hAnsi="Garamond"/>
          <w:i/>
          <w:sz w:val="28"/>
          <w:szCs w:val="28"/>
        </w:rPr>
        <w:t>capace di agire</w:t>
      </w:r>
      <w:r w:rsidRPr="00022A73">
        <w:rPr>
          <w:rFonts w:ascii="Garamond" w:hAnsi="Garamond"/>
          <w:sz w:val="28"/>
          <w:szCs w:val="28"/>
        </w:rPr>
        <w:t xml:space="preserve">» il diritto di rifiutare o interrompere qualsiasi trattamento sanitario, ancorché necessario alla propria sopravvivenza, comprendendo espressamente nella relativa nozione anche i trattamenti di idratazione e nutrizione artificiale (art. 1, comma 5). </w:t>
      </w:r>
    </w:p>
    <w:p w:rsid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L’esercizio </w:t>
      </w:r>
      <w:r w:rsidR="00E82160">
        <w:rPr>
          <w:rFonts w:ascii="Garamond" w:hAnsi="Garamond"/>
          <w:sz w:val="28"/>
          <w:szCs w:val="28"/>
        </w:rPr>
        <w:t>di tale diritto viene</w:t>
      </w:r>
      <w:r w:rsidRPr="00022A73">
        <w:rPr>
          <w:rFonts w:ascii="Garamond" w:hAnsi="Garamond"/>
          <w:sz w:val="28"/>
          <w:szCs w:val="28"/>
        </w:rPr>
        <w:t xml:space="preserve"> inquadrato</w:t>
      </w:r>
      <w:r w:rsidR="00D057DE">
        <w:rPr>
          <w:rFonts w:ascii="Garamond" w:hAnsi="Garamond"/>
          <w:sz w:val="28"/>
          <w:szCs w:val="28"/>
        </w:rPr>
        <w:t xml:space="preserve"> dalla Corte costituzionale, sulla scorta della l. n. 219 del 2017,</w:t>
      </w:r>
      <w:r w:rsidRPr="00022A73">
        <w:rPr>
          <w:rFonts w:ascii="Garamond" w:hAnsi="Garamond"/>
          <w:sz w:val="28"/>
          <w:szCs w:val="28"/>
        </w:rPr>
        <w:t xml:space="preserve"> nel contesto della «</w:t>
      </w:r>
      <w:r w:rsidRPr="00022A73">
        <w:rPr>
          <w:rFonts w:ascii="Garamond" w:hAnsi="Garamond"/>
          <w:i/>
          <w:sz w:val="28"/>
          <w:szCs w:val="28"/>
        </w:rPr>
        <w:t>relazione di cura e di fiducia</w:t>
      </w:r>
      <w:r w:rsidRPr="00022A73">
        <w:rPr>
          <w:rFonts w:ascii="Garamond" w:hAnsi="Garamond"/>
          <w:sz w:val="28"/>
          <w:szCs w:val="28"/>
        </w:rPr>
        <w:t xml:space="preserve">» – la cosiddetta alleanza terapeutica – tra paziente e medico, che la legge </w:t>
      </w:r>
      <w:r w:rsidR="00426D0F">
        <w:rPr>
          <w:rFonts w:ascii="Garamond" w:hAnsi="Garamond"/>
          <w:sz w:val="28"/>
          <w:szCs w:val="28"/>
        </w:rPr>
        <w:t>mira a promuovere e valorizzare,</w:t>
      </w:r>
      <w:r w:rsidRPr="00022A73">
        <w:rPr>
          <w:rFonts w:ascii="Garamond" w:hAnsi="Garamond"/>
          <w:sz w:val="28"/>
          <w:szCs w:val="28"/>
        </w:rPr>
        <w:t xml:space="preserve"> relazione «</w:t>
      </w:r>
      <w:r w:rsidRPr="00022A73">
        <w:rPr>
          <w:rFonts w:ascii="Garamond" w:hAnsi="Garamond"/>
          <w:i/>
          <w:sz w:val="28"/>
          <w:szCs w:val="28"/>
        </w:rPr>
        <w:t xml:space="preserve">che si basa sul consenso informato nel quale si incontrano l’autonomia decisionale </w:t>
      </w:r>
      <w:r>
        <w:rPr>
          <w:rFonts w:ascii="Garamond" w:hAnsi="Garamond"/>
          <w:i/>
          <w:sz w:val="28"/>
          <w:szCs w:val="28"/>
        </w:rPr>
        <w:t>del paziente e la competenza, l’</w:t>
      </w:r>
      <w:r w:rsidRPr="00022A73">
        <w:rPr>
          <w:rFonts w:ascii="Garamond" w:hAnsi="Garamond"/>
          <w:i/>
          <w:sz w:val="28"/>
          <w:szCs w:val="28"/>
        </w:rPr>
        <w:t>autonomia professionale e la responsabilità del medico</w:t>
      </w:r>
      <w:r w:rsidRPr="00022A73">
        <w:rPr>
          <w:rFonts w:ascii="Garamond" w:hAnsi="Garamond"/>
          <w:sz w:val="28"/>
          <w:szCs w:val="28"/>
        </w:rPr>
        <w:t>», e che coinvolge, «</w:t>
      </w:r>
      <w:r w:rsidRPr="00022A73">
        <w:rPr>
          <w:rFonts w:ascii="Garamond" w:hAnsi="Garamond"/>
          <w:i/>
          <w:sz w:val="28"/>
          <w:szCs w:val="28"/>
        </w:rPr>
        <w:t>se il paziente lo desidera, anche i suoi familiari o la parte dell’unione civile o il convivente ovvero una persona di fiducia del paziente medesimo</w:t>
      </w:r>
      <w:r w:rsidRPr="00022A73">
        <w:rPr>
          <w:rFonts w:ascii="Garamond" w:hAnsi="Garamond"/>
          <w:sz w:val="28"/>
          <w:szCs w:val="28"/>
        </w:rPr>
        <w:t>» (art. 1, comma 2).</w:t>
      </w:r>
    </w:p>
    <w:p w:rsidR="00E82160" w:rsidRDefault="00022A73" w:rsidP="00022A73">
      <w:pPr>
        <w:ind w:firstLine="709"/>
        <w:contextualSpacing/>
        <w:jc w:val="both"/>
        <w:rPr>
          <w:rFonts w:ascii="Garamond" w:hAnsi="Garamond"/>
          <w:sz w:val="28"/>
          <w:szCs w:val="28"/>
        </w:rPr>
      </w:pPr>
      <w:r w:rsidRPr="00022A73">
        <w:rPr>
          <w:rFonts w:ascii="Garamond" w:hAnsi="Garamond"/>
          <w:sz w:val="28"/>
          <w:szCs w:val="28"/>
        </w:rPr>
        <w:t>È in particolare previsto che, ove il paziente manifesti l’intento di rifiutare o interrompere trattamenti necessari alla propria sopravvivenza, il medico debba prospettare a lui e, se vi acconsente, ai suoi familiari, le conseguenze della sua decisione e le possibili alternative, e promuovere «</w:t>
      </w:r>
      <w:r w:rsidRPr="00022A73">
        <w:rPr>
          <w:rFonts w:ascii="Garamond" w:hAnsi="Garamond"/>
          <w:i/>
          <w:sz w:val="28"/>
          <w:szCs w:val="28"/>
        </w:rPr>
        <w:t>ogni azione di sostegno al paziente medesimo, anche avvalendosi dei servizi di assistenza psicologica</w:t>
      </w:r>
      <w:r w:rsidRPr="00022A73">
        <w:rPr>
          <w:rFonts w:ascii="Garamond" w:hAnsi="Garamond"/>
          <w:sz w:val="28"/>
          <w:szCs w:val="28"/>
        </w:rPr>
        <w:t xml:space="preserve">». </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Ciò, ferma restando la possibilità per il paziente di modificare in qualsiasi momento la propria volontà (art. 1, comma 5).</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In ogni caso, il medico «</w:t>
      </w:r>
      <w:r w:rsidRPr="00022A73">
        <w:rPr>
          <w:rFonts w:ascii="Garamond" w:hAnsi="Garamond"/>
          <w:i/>
          <w:sz w:val="28"/>
          <w:szCs w:val="28"/>
        </w:rPr>
        <w:t>è tenuto a rispettare la volontà espressa dal paziente di rifiutare il trattamento sanitario o di rinunciare al medesimo</w:t>
      </w:r>
      <w:r w:rsidRPr="00022A73">
        <w:rPr>
          <w:rFonts w:ascii="Garamond" w:hAnsi="Garamond"/>
          <w:sz w:val="28"/>
          <w:szCs w:val="28"/>
        </w:rPr>
        <w:t>», rimanendo, «in conseguenza di ciò, […] esente da responsabilità civile o penale» (art. 1, comma 6).</w:t>
      </w:r>
    </w:p>
    <w:p w:rsidR="00022A73" w:rsidRDefault="00022A73" w:rsidP="00022A73">
      <w:pPr>
        <w:ind w:firstLine="709"/>
        <w:contextualSpacing/>
        <w:jc w:val="both"/>
        <w:rPr>
          <w:rFonts w:ascii="Garamond" w:hAnsi="Garamond"/>
          <w:sz w:val="28"/>
          <w:szCs w:val="28"/>
        </w:rPr>
      </w:pPr>
      <w:r w:rsidRPr="00022A73">
        <w:rPr>
          <w:rFonts w:ascii="Garamond" w:hAnsi="Garamond"/>
          <w:sz w:val="28"/>
          <w:szCs w:val="28"/>
        </w:rPr>
        <w:t>Integrando le previsioni della legge 15 marzo 2010, n. 38 (“</w:t>
      </w:r>
      <w:r w:rsidRPr="00022A73">
        <w:rPr>
          <w:rFonts w:ascii="Garamond" w:hAnsi="Garamond"/>
          <w:i/>
          <w:sz w:val="28"/>
          <w:szCs w:val="28"/>
        </w:rPr>
        <w:t>Disposizioni per garantire l’accesso alle cure palliative e alla terapia del dolore</w:t>
      </w:r>
      <w:r w:rsidRPr="00022A73">
        <w:rPr>
          <w:rFonts w:ascii="Garamond" w:hAnsi="Garamond"/>
          <w:sz w:val="28"/>
          <w:szCs w:val="28"/>
        </w:rPr>
        <w:t>”)</w:t>
      </w:r>
      <w:r w:rsidR="00942239">
        <w:rPr>
          <w:rStyle w:val="Rimandonotaapidipagina"/>
          <w:rFonts w:ascii="Garamond" w:hAnsi="Garamond"/>
          <w:sz w:val="28"/>
          <w:szCs w:val="28"/>
        </w:rPr>
        <w:footnoteReference w:id="44"/>
      </w:r>
      <w:r w:rsidRPr="00022A73">
        <w:rPr>
          <w:rFonts w:ascii="Garamond" w:hAnsi="Garamond"/>
          <w:sz w:val="28"/>
          <w:szCs w:val="28"/>
        </w:rPr>
        <w:t xml:space="preserve"> – che tutela e garantisce l’accesso alle cure palliative e alla terapia del dolore da parte del paziente, inserendole nell’ambito dei livelli essenziali di assistenza – la legge n. 219 del 2017 prevede che la richiesta di sospensione dei trattamenti sanitari possa essere associata alla richiesta di terapie palliative, allo scopo di alleviare le sofferenze del paziente (art. 2, comma 1).</w:t>
      </w:r>
    </w:p>
    <w:p w:rsidR="00022A73" w:rsidRDefault="00022A73" w:rsidP="00022A73">
      <w:pPr>
        <w:ind w:firstLine="709"/>
        <w:contextualSpacing/>
        <w:jc w:val="both"/>
        <w:rPr>
          <w:rFonts w:ascii="Garamond" w:hAnsi="Garamond"/>
          <w:sz w:val="28"/>
          <w:szCs w:val="28"/>
        </w:rPr>
      </w:pPr>
      <w:r w:rsidRPr="00022A73">
        <w:rPr>
          <w:rFonts w:ascii="Garamond" w:hAnsi="Garamond"/>
          <w:sz w:val="28"/>
          <w:szCs w:val="28"/>
        </w:rPr>
        <w:t>Lo stesso art. 2 stabilisce inoltre, al comma 2, che il medico possa, con il consenso del paziente, ricorrere alla sedazione palliativa profonda continua in associazione con la terapia del dolore, per fronteggiare sofferenze refrattarie ai trattamenti sanitari.</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Tale disposizione non può non riferirsi anche alle sofferenze provocate al paziente dal suo legittimo rifiuto di trattamenti di sostegno vitale, quali la </w:t>
      </w:r>
      <w:r>
        <w:rPr>
          <w:rFonts w:ascii="Garamond" w:hAnsi="Garamond"/>
          <w:sz w:val="28"/>
          <w:szCs w:val="28"/>
        </w:rPr>
        <w:t>ventilazione, l’idratazione o l’</w:t>
      </w:r>
      <w:r w:rsidRPr="00022A73">
        <w:rPr>
          <w:rFonts w:ascii="Garamond" w:hAnsi="Garamond"/>
          <w:sz w:val="28"/>
          <w:szCs w:val="28"/>
        </w:rPr>
        <w:t xml:space="preserve">alimentazione artificiali: </w:t>
      </w:r>
      <w:r>
        <w:rPr>
          <w:rFonts w:ascii="Garamond" w:hAnsi="Garamond"/>
          <w:sz w:val="28"/>
          <w:szCs w:val="28"/>
        </w:rPr>
        <w:t>«</w:t>
      </w:r>
      <w:r w:rsidRPr="00022A73">
        <w:rPr>
          <w:rFonts w:ascii="Garamond" w:hAnsi="Garamond"/>
          <w:i/>
          <w:sz w:val="28"/>
          <w:szCs w:val="28"/>
        </w:rPr>
        <w:t>scelta che innesca un processo di indebolimento delle funzioni organiche il cui esito – non necessariamente rapido – è la morte</w:t>
      </w:r>
      <w:r>
        <w:rPr>
          <w:rFonts w:ascii="Garamond" w:hAnsi="Garamond"/>
          <w:sz w:val="28"/>
          <w:szCs w:val="28"/>
        </w:rPr>
        <w:t>»</w:t>
      </w:r>
      <w:r w:rsidR="00E82160">
        <w:rPr>
          <w:rFonts w:ascii="Garamond" w:hAnsi="Garamond"/>
          <w:sz w:val="28"/>
          <w:szCs w:val="28"/>
        </w:rPr>
        <w:t>, come pure ricorda la Corte costituzionale nell’ordinanza n. 207 del 2018.</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La legislazione oggi in vigore non consente, invece, al medico che ne sia richiesto di mettere a disposizione del paziente che versa nelle condizioni sopra descritte trattamenti diretti, non già ad eliminare le sue sofferenze, ma a determinarne la morte.</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I</w:t>
      </w:r>
      <w:r w:rsidR="00567289">
        <w:rPr>
          <w:rFonts w:ascii="Garamond" w:hAnsi="Garamond"/>
          <w:sz w:val="28"/>
          <w:szCs w:val="28"/>
        </w:rPr>
        <w:t>n tale modo</w:t>
      </w:r>
      <w:r w:rsidRPr="00022A73">
        <w:rPr>
          <w:rFonts w:ascii="Garamond" w:hAnsi="Garamond"/>
          <w:sz w:val="28"/>
          <w:szCs w:val="28"/>
        </w:rPr>
        <w:t xml:space="preserve"> si costringe il paziente a subire un processo più lento, in ipotesi meno corrispondente alla propria visione della dignità nel morire e più carico di sofferenze per le persone che gli sono care.</w:t>
      </w:r>
    </w:p>
    <w:p w:rsidR="00022A73" w:rsidRPr="00022A73" w:rsidRDefault="00567289" w:rsidP="00022A73">
      <w:pPr>
        <w:ind w:firstLine="709"/>
        <w:contextualSpacing/>
        <w:jc w:val="both"/>
        <w:rPr>
          <w:rFonts w:ascii="Garamond" w:hAnsi="Garamond"/>
          <w:sz w:val="28"/>
          <w:szCs w:val="28"/>
        </w:rPr>
      </w:pPr>
      <w:r>
        <w:rPr>
          <w:rFonts w:ascii="Garamond" w:hAnsi="Garamond"/>
          <w:sz w:val="28"/>
          <w:szCs w:val="28"/>
        </w:rPr>
        <w:t>Se, come osserva ancora la Corte,</w:t>
      </w:r>
      <w:r w:rsidR="00022A73" w:rsidRPr="00022A73">
        <w:rPr>
          <w:rFonts w:ascii="Garamond" w:hAnsi="Garamond"/>
          <w:sz w:val="28"/>
          <w:szCs w:val="28"/>
        </w:rPr>
        <w:t xml:space="preserve"> il cardinale rilievo del valore della vita non esclude l’obbligo di rispettare la decisione del malato di porre fine alla propria esistenza tramite l’interruzione dei trattamenti sanitari – anche quando ciò richieda una condotta attiva, almeno sul piano naturalistico, da parte di terzi (quale il distacco o lo spegnimento di un macchinario, accompagnato dalla somministrazione di una sedazione profonda continua e di una terapia del dolore) – non vi è ragione per la quale il medesimo valore debba tradursi in </w:t>
      </w:r>
      <w:r w:rsidR="00D31D9D">
        <w:rPr>
          <w:rFonts w:ascii="Garamond" w:hAnsi="Garamond"/>
          <w:sz w:val="28"/>
          <w:szCs w:val="28"/>
        </w:rPr>
        <w:t>«</w:t>
      </w:r>
      <w:r w:rsidR="00022A73" w:rsidRPr="00D31D9D">
        <w:rPr>
          <w:rFonts w:ascii="Garamond" w:hAnsi="Garamond"/>
          <w:i/>
          <w:sz w:val="28"/>
          <w:szCs w:val="28"/>
        </w:rPr>
        <w:t>un ostacolo assoluto, penalmente presidiato, all’accoglimento della richiesta del malato di un aiuto che valga a sottrarlo al decorso più lento – apprezzato come contrario alla propria idea di morte dignitosa – conseguente all’anzidetta interruzione dei presidi di sostegno vitale</w:t>
      </w:r>
      <w:r w:rsidR="00D31D9D">
        <w:rPr>
          <w:rFonts w:ascii="Garamond" w:hAnsi="Garamond"/>
          <w:sz w:val="28"/>
          <w:szCs w:val="28"/>
        </w:rPr>
        <w:t>»</w:t>
      </w:r>
      <w:r w:rsidR="00022A73" w:rsidRPr="00022A73">
        <w:rPr>
          <w:rFonts w:ascii="Garamond" w:hAnsi="Garamond"/>
          <w:sz w:val="28"/>
          <w:szCs w:val="28"/>
        </w:rPr>
        <w:t>.</w:t>
      </w:r>
    </w:p>
    <w:p w:rsid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Quanto, poi, all’esigenza di proteggere le persone più vulnerabili, è ben vero che i malati irreversibili esposti a gravi sofferenze sono solitamente ascrivibili a tale categoria di soggetti. </w:t>
      </w:r>
    </w:p>
    <w:p w:rsidR="00022A73" w:rsidRDefault="00022A73" w:rsidP="00022A73">
      <w:pPr>
        <w:ind w:firstLine="709"/>
        <w:contextualSpacing/>
        <w:jc w:val="both"/>
        <w:rPr>
          <w:rFonts w:ascii="Garamond" w:hAnsi="Garamond"/>
          <w:sz w:val="28"/>
          <w:szCs w:val="28"/>
        </w:rPr>
      </w:pPr>
      <w:r w:rsidRPr="00022A73">
        <w:rPr>
          <w:rFonts w:ascii="Garamond" w:hAnsi="Garamond"/>
          <w:sz w:val="28"/>
          <w:szCs w:val="28"/>
        </w:rPr>
        <w:t>Ma</w:t>
      </w:r>
      <w:r w:rsidR="00E82160">
        <w:rPr>
          <w:rFonts w:ascii="Garamond" w:hAnsi="Garamond"/>
          <w:sz w:val="28"/>
          <w:szCs w:val="28"/>
        </w:rPr>
        <w:t>, osserva ancora il giudice delle leggi,</w:t>
      </w:r>
      <w:r w:rsidRPr="00022A73">
        <w:rPr>
          <w:rFonts w:ascii="Garamond" w:hAnsi="Garamond"/>
          <w:sz w:val="28"/>
          <w:szCs w:val="28"/>
        </w:rPr>
        <w:t xml:space="preserve"> è anche </w:t>
      </w:r>
      <w:r>
        <w:rPr>
          <w:rFonts w:ascii="Garamond" w:hAnsi="Garamond"/>
          <w:sz w:val="28"/>
          <w:szCs w:val="28"/>
        </w:rPr>
        <w:t>«</w:t>
      </w:r>
      <w:r w:rsidRPr="00022A73">
        <w:rPr>
          <w:rFonts w:ascii="Garamond" w:hAnsi="Garamond"/>
          <w:i/>
          <w:sz w:val="28"/>
          <w:szCs w:val="28"/>
        </w:rPr>
        <w:t>agevole osservare che, se chi è mantenuto in vita da un trattamento di sostegno artificiale è considerato dall’ordinamento in grado, a certe condizioni, di prendere la decisione di porre termine alla propria esistenza tramite l’interruzione di tale trattamento, non si vede perché il medesimo soggetto debba essere ritenuto viceversa bisognoso di una ferrea e indiscriminata protezione contro la propria volontà quando si discuta della decisione di concludere la propria esistenza con l’aiuto di altri, quale alternativa reputata maggiormente dignitosa alla predetta interruzione</w:t>
      </w:r>
      <w:r>
        <w:rPr>
          <w:rFonts w:ascii="Garamond" w:hAnsi="Garamond"/>
          <w:sz w:val="28"/>
          <w:szCs w:val="28"/>
        </w:rPr>
        <w:t>»</w:t>
      </w:r>
      <w:r w:rsidR="00291BC5">
        <w:rPr>
          <w:rStyle w:val="Rimandonotaapidipagina"/>
          <w:rFonts w:ascii="Garamond" w:hAnsi="Garamond"/>
          <w:sz w:val="28"/>
          <w:szCs w:val="28"/>
        </w:rPr>
        <w:footnoteReference w:id="45"/>
      </w:r>
      <w:r w:rsidRPr="00022A73">
        <w:rPr>
          <w:rFonts w:ascii="Garamond" w:hAnsi="Garamond"/>
          <w:sz w:val="28"/>
          <w:szCs w:val="28"/>
        </w:rPr>
        <w:t>.</w:t>
      </w:r>
    </w:p>
    <w:p w:rsidR="00D31D9D" w:rsidRPr="00022A73" w:rsidRDefault="00D31D9D" w:rsidP="00022A73">
      <w:pPr>
        <w:ind w:firstLine="709"/>
        <w:contextualSpacing/>
        <w:jc w:val="both"/>
        <w:rPr>
          <w:rFonts w:ascii="Garamond" w:hAnsi="Garamond"/>
          <w:sz w:val="28"/>
          <w:szCs w:val="28"/>
        </w:rPr>
      </w:pPr>
      <w:r>
        <w:rPr>
          <w:rFonts w:ascii="Garamond" w:hAnsi="Garamond"/>
          <w:sz w:val="28"/>
          <w:szCs w:val="28"/>
        </w:rPr>
        <w:t>La Corte, proprio in nome di una saggia, ponderata, applicazione combinata del principio personalistico e del principio solidaristico, ripudia insomma una nozione di diritto rigido, di protezione assoluta e incondizionata della vita, di una ferrea e indiscriminata protezione del soggetto che lo tiene schiavo del suo corpo contro la sua stessa concezione di sé e della propria dignità.</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Entro </w:t>
      </w:r>
      <w:r w:rsidR="00E82160">
        <w:rPr>
          <w:rFonts w:ascii="Garamond" w:hAnsi="Garamond"/>
          <w:sz w:val="28"/>
          <w:szCs w:val="28"/>
        </w:rPr>
        <w:t xml:space="preserve">lo specifico ambito considerato – </w:t>
      </w:r>
      <w:r w:rsidR="00D31D9D">
        <w:rPr>
          <w:rFonts w:ascii="Garamond" w:hAnsi="Garamond"/>
          <w:sz w:val="28"/>
          <w:szCs w:val="28"/>
        </w:rPr>
        <w:t xml:space="preserve">e </w:t>
      </w:r>
      <w:r w:rsidR="00E82160">
        <w:rPr>
          <w:rFonts w:ascii="Garamond" w:hAnsi="Garamond"/>
          <w:sz w:val="28"/>
          <w:szCs w:val="28"/>
        </w:rPr>
        <w:t xml:space="preserve">in questo sta il fondamentale principio di civiltà giuridica affermato dalla Corte costituzionale nell’ordinanza n. 207 del </w:t>
      </w:r>
      <w:r w:rsidR="00426D0F">
        <w:rPr>
          <w:rFonts w:ascii="Garamond" w:hAnsi="Garamond"/>
          <w:sz w:val="28"/>
          <w:szCs w:val="28"/>
        </w:rPr>
        <w:t xml:space="preserve">16 novembre </w:t>
      </w:r>
      <w:r w:rsidR="00E82160">
        <w:rPr>
          <w:rFonts w:ascii="Garamond" w:hAnsi="Garamond"/>
          <w:sz w:val="28"/>
          <w:szCs w:val="28"/>
        </w:rPr>
        <w:t>2018 –</w:t>
      </w:r>
      <w:r w:rsidRPr="00022A73">
        <w:rPr>
          <w:rFonts w:ascii="Garamond" w:hAnsi="Garamond"/>
          <w:sz w:val="28"/>
          <w:szCs w:val="28"/>
        </w:rPr>
        <w:t xml:space="preserve"> </w:t>
      </w:r>
      <w:r w:rsidR="00E82160">
        <w:rPr>
          <w:rFonts w:ascii="Garamond" w:hAnsi="Garamond"/>
          <w:sz w:val="28"/>
          <w:szCs w:val="28"/>
        </w:rPr>
        <w:t>«</w:t>
      </w:r>
      <w:r w:rsidRPr="00E82160">
        <w:rPr>
          <w:rFonts w:ascii="Garamond" w:hAnsi="Garamond"/>
          <w:i/>
          <w:sz w:val="28"/>
          <w:szCs w:val="28"/>
        </w:rPr>
        <w:t xml:space="preserve">il divieto assoluto di aiuto al suicidio finisce, quindi, per limitare la libertà di autodeterminazione del malato nella scelta delle terapie, comprese quelle finalizzate a liberarlo dalle sofferenze, scaturente dagli artt. 2, 13 e 32, secondo comma, </w:t>
      </w:r>
      <w:proofErr w:type="spellStart"/>
      <w:r w:rsidRPr="00E82160">
        <w:rPr>
          <w:rFonts w:ascii="Garamond" w:hAnsi="Garamond"/>
          <w:i/>
          <w:sz w:val="28"/>
          <w:szCs w:val="28"/>
        </w:rPr>
        <w:t>Cost</w:t>
      </w:r>
      <w:proofErr w:type="spellEnd"/>
      <w:r w:rsidRPr="00E82160">
        <w:rPr>
          <w:rFonts w:ascii="Garamond" w:hAnsi="Garamond"/>
          <w:i/>
          <w:sz w:val="28"/>
          <w:szCs w:val="28"/>
        </w:rPr>
        <w:t>., imponendogli in ultima analisi un’unica modalità per congedarsi dalla vita, senza che tale limitazione possa ritenersi preordinata alla tutela di altro interesse costituzionalmente apprezzabile, con la conseguente lesione del principio della dignità umana, oltre che dei principi di ragionevolezza e di uguaglianza in rapporto alle diverse condizioni soggettive</w:t>
      </w:r>
      <w:r w:rsidR="00E82160">
        <w:rPr>
          <w:rFonts w:ascii="Garamond" w:hAnsi="Garamond"/>
          <w:sz w:val="28"/>
          <w:szCs w:val="28"/>
        </w:rPr>
        <w:t>»</w:t>
      </w:r>
      <w:r w:rsidR="00D31D9D">
        <w:rPr>
          <w:rFonts w:ascii="Garamond" w:hAnsi="Garamond"/>
          <w:sz w:val="28"/>
          <w:szCs w:val="28"/>
        </w:rPr>
        <w:t xml:space="preserve"> (art. 3 </w:t>
      </w:r>
      <w:proofErr w:type="spellStart"/>
      <w:r w:rsidR="00D31D9D">
        <w:rPr>
          <w:rFonts w:ascii="Garamond" w:hAnsi="Garamond"/>
          <w:sz w:val="28"/>
          <w:szCs w:val="28"/>
        </w:rPr>
        <w:t>Cost</w:t>
      </w:r>
      <w:proofErr w:type="spellEnd"/>
      <w:r w:rsidR="00D31D9D">
        <w:rPr>
          <w:rFonts w:ascii="Garamond" w:hAnsi="Garamond"/>
          <w:sz w:val="28"/>
          <w:szCs w:val="28"/>
        </w:rPr>
        <w:t>.)</w:t>
      </w:r>
      <w:r w:rsidR="00291BC5">
        <w:rPr>
          <w:rStyle w:val="Rimandonotaapidipagina"/>
          <w:rFonts w:ascii="Garamond" w:hAnsi="Garamond"/>
          <w:sz w:val="28"/>
          <w:szCs w:val="28"/>
        </w:rPr>
        <w:footnoteReference w:id="46"/>
      </w:r>
      <w:r w:rsidR="00D31D9D">
        <w:rPr>
          <w:rFonts w:ascii="Garamond" w:hAnsi="Garamond"/>
          <w:sz w:val="28"/>
          <w:szCs w:val="28"/>
        </w:rPr>
        <w:t>.</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Al riscontrato </w:t>
      </w:r>
      <w:r w:rsidRPr="004A04B7">
        <w:rPr>
          <w:rFonts w:ascii="Garamond" w:hAnsi="Garamond"/>
          <w:i/>
          <w:sz w:val="28"/>
          <w:szCs w:val="28"/>
        </w:rPr>
        <w:t>vulnus</w:t>
      </w:r>
      <w:r w:rsidRPr="00022A73">
        <w:rPr>
          <w:rFonts w:ascii="Garamond" w:hAnsi="Garamond"/>
          <w:sz w:val="28"/>
          <w:szCs w:val="28"/>
        </w:rPr>
        <w:t xml:space="preserve"> ai</w:t>
      </w:r>
      <w:r w:rsidR="004A04B7">
        <w:rPr>
          <w:rFonts w:ascii="Garamond" w:hAnsi="Garamond"/>
          <w:sz w:val="28"/>
          <w:szCs w:val="28"/>
        </w:rPr>
        <w:t xml:space="preserve"> principi sopra indicati, la stessa</w:t>
      </w:r>
      <w:r w:rsidRPr="00022A73">
        <w:rPr>
          <w:rFonts w:ascii="Garamond" w:hAnsi="Garamond"/>
          <w:sz w:val="28"/>
          <w:szCs w:val="28"/>
        </w:rPr>
        <w:t xml:space="preserve"> Corte</w:t>
      </w:r>
      <w:r w:rsidR="00E82160">
        <w:rPr>
          <w:rFonts w:ascii="Garamond" w:hAnsi="Garamond"/>
          <w:sz w:val="28"/>
          <w:szCs w:val="28"/>
        </w:rPr>
        <w:t xml:space="preserve"> costituzionale</w:t>
      </w:r>
      <w:r w:rsidRPr="00022A73">
        <w:rPr>
          <w:rFonts w:ascii="Garamond" w:hAnsi="Garamond"/>
          <w:sz w:val="28"/>
          <w:szCs w:val="28"/>
        </w:rPr>
        <w:t xml:space="preserve"> ritiene, peraltro, di non poter porre rimedi</w:t>
      </w:r>
      <w:r w:rsidR="00D31D9D">
        <w:rPr>
          <w:rFonts w:ascii="Garamond" w:hAnsi="Garamond"/>
          <w:sz w:val="28"/>
          <w:szCs w:val="28"/>
        </w:rPr>
        <w:t>o, almeno allo stato, mediante</w:t>
      </w:r>
      <w:r w:rsidRPr="00022A73">
        <w:rPr>
          <w:rFonts w:ascii="Garamond" w:hAnsi="Garamond"/>
          <w:sz w:val="28"/>
          <w:szCs w:val="28"/>
        </w:rPr>
        <w:t xml:space="preserve"> la</w:t>
      </w:r>
      <w:r w:rsidR="00D31D9D">
        <w:rPr>
          <w:rFonts w:ascii="Garamond" w:hAnsi="Garamond"/>
          <w:sz w:val="28"/>
          <w:szCs w:val="28"/>
        </w:rPr>
        <w:t xml:space="preserve"> sola,</w:t>
      </w:r>
      <w:r w:rsidRPr="00022A73">
        <w:rPr>
          <w:rFonts w:ascii="Garamond" w:hAnsi="Garamond"/>
          <w:sz w:val="28"/>
          <w:szCs w:val="28"/>
        </w:rPr>
        <w:t xml:space="preserve"> mera</w:t>
      </w:r>
      <w:r w:rsidR="00D31D9D">
        <w:rPr>
          <w:rFonts w:ascii="Garamond" w:hAnsi="Garamond"/>
          <w:sz w:val="28"/>
          <w:szCs w:val="28"/>
        </w:rPr>
        <w:t>,</w:t>
      </w:r>
      <w:r w:rsidRPr="00022A73">
        <w:rPr>
          <w:rFonts w:ascii="Garamond" w:hAnsi="Garamond"/>
          <w:sz w:val="28"/>
          <w:szCs w:val="28"/>
        </w:rPr>
        <w:t xml:space="preserve"> estromissione dall’ambito applicativo della disposizione penale delle ipotesi in cui l’aiuto venga prestato nei confronti di soggetti che versino nelle condizioni appena descritte.</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Una simile soluzione </w:t>
      </w:r>
      <w:r w:rsidR="004A04B7">
        <w:rPr>
          <w:rFonts w:ascii="Garamond" w:hAnsi="Garamond"/>
          <w:sz w:val="28"/>
          <w:szCs w:val="28"/>
        </w:rPr>
        <w:t>«</w:t>
      </w:r>
      <w:r w:rsidRPr="004A04B7">
        <w:rPr>
          <w:rFonts w:ascii="Garamond" w:hAnsi="Garamond"/>
          <w:i/>
          <w:sz w:val="28"/>
          <w:szCs w:val="28"/>
        </w:rPr>
        <w:t>lascerebbe</w:t>
      </w:r>
      <w:r w:rsidRPr="00022A73">
        <w:rPr>
          <w:rFonts w:ascii="Garamond" w:hAnsi="Garamond"/>
          <w:sz w:val="28"/>
          <w:szCs w:val="28"/>
        </w:rPr>
        <w:t xml:space="preserve"> […] </w:t>
      </w:r>
      <w:r w:rsidRPr="004A04B7">
        <w:rPr>
          <w:rFonts w:ascii="Garamond" w:hAnsi="Garamond"/>
          <w:i/>
          <w:sz w:val="28"/>
          <w:szCs w:val="28"/>
        </w:rPr>
        <w:t>del tutto priva di disciplina legale la prestazione di aiuto materiale ai pazienti in tali condizioni, in un ambito ad altissima sensibilità etico-sociale e rispetto al quale vanno con fermezza preclusi tutti i possibili abusi</w:t>
      </w:r>
      <w:r w:rsidR="004A04B7">
        <w:rPr>
          <w:rFonts w:ascii="Garamond" w:hAnsi="Garamond"/>
          <w:sz w:val="28"/>
          <w:szCs w:val="28"/>
        </w:rPr>
        <w:t>»</w:t>
      </w:r>
      <w:r w:rsidR="00291BC5">
        <w:rPr>
          <w:rStyle w:val="Rimandonotaapidipagina"/>
          <w:rFonts w:ascii="Garamond" w:hAnsi="Garamond"/>
          <w:sz w:val="28"/>
          <w:szCs w:val="28"/>
        </w:rPr>
        <w:footnoteReference w:id="47"/>
      </w:r>
      <w:r w:rsidRPr="00022A73">
        <w:rPr>
          <w:rFonts w:ascii="Garamond" w:hAnsi="Garamond"/>
          <w:sz w:val="28"/>
          <w:szCs w:val="28"/>
        </w:rPr>
        <w:t>.</w:t>
      </w:r>
    </w:p>
    <w:p w:rsid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In assenza di una specifica disciplina della materia, più in particolare, qualsiasi soggetto – anche non esercente una professione sanitaria – potrebbe lecitamente offrire, a casa propria o a domicilio, per spirito filantropico o a pagamento, assistenza al suicidio a pazienti che lo desiderino, senza alcun controllo </w:t>
      </w:r>
      <w:r w:rsidRPr="004A04B7">
        <w:rPr>
          <w:rFonts w:ascii="Garamond" w:hAnsi="Garamond"/>
          <w:i/>
          <w:sz w:val="28"/>
          <w:szCs w:val="28"/>
        </w:rPr>
        <w:t>ex ante</w:t>
      </w:r>
      <w:r w:rsidRPr="00022A73">
        <w:rPr>
          <w:rFonts w:ascii="Garamond" w:hAnsi="Garamond"/>
          <w:sz w:val="28"/>
          <w:szCs w:val="28"/>
        </w:rPr>
        <w:t xml:space="preserve"> sull’effettiva sussistenza, ad esempio, della loro capacità di autodeterminarsi, del carattere libero e informato della scelta da essi espressa e dell’irreversibilità della patologia da cui sono affetti.</w:t>
      </w:r>
    </w:p>
    <w:p w:rsidR="00BF7008" w:rsidRPr="00BF7008" w:rsidRDefault="00BF7008" w:rsidP="00022A73">
      <w:pPr>
        <w:ind w:firstLine="709"/>
        <w:contextualSpacing/>
        <w:jc w:val="both"/>
        <w:rPr>
          <w:rFonts w:ascii="Garamond" w:hAnsi="Garamond"/>
          <w:sz w:val="28"/>
          <w:szCs w:val="28"/>
        </w:rPr>
      </w:pPr>
      <w:r>
        <w:rPr>
          <w:rFonts w:ascii="Garamond" w:hAnsi="Garamond"/>
          <w:sz w:val="28"/>
          <w:szCs w:val="28"/>
        </w:rPr>
        <w:t xml:space="preserve">Il timore di una china scivolosa (c.d. </w:t>
      </w:r>
      <w:proofErr w:type="spellStart"/>
      <w:r>
        <w:rPr>
          <w:rFonts w:ascii="Garamond" w:hAnsi="Garamond"/>
          <w:i/>
          <w:sz w:val="28"/>
          <w:szCs w:val="28"/>
        </w:rPr>
        <w:t>slippery</w:t>
      </w:r>
      <w:proofErr w:type="spellEnd"/>
      <w:r>
        <w:rPr>
          <w:rFonts w:ascii="Garamond" w:hAnsi="Garamond"/>
          <w:i/>
          <w:sz w:val="28"/>
          <w:szCs w:val="28"/>
        </w:rPr>
        <w:t xml:space="preserve"> </w:t>
      </w:r>
      <w:proofErr w:type="spellStart"/>
      <w:r>
        <w:rPr>
          <w:rFonts w:ascii="Garamond" w:hAnsi="Garamond"/>
          <w:i/>
          <w:sz w:val="28"/>
          <w:szCs w:val="28"/>
        </w:rPr>
        <w:t>slope</w:t>
      </w:r>
      <w:proofErr w:type="spellEnd"/>
      <w:r>
        <w:rPr>
          <w:rFonts w:ascii="Garamond" w:hAnsi="Garamond"/>
          <w:sz w:val="28"/>
          <w:szCs w:val="28"/>
        </w:rPr>
        <w:t>)</w:t>
      </w:r>
      <w:r>
        <w:rPr>
          <w:rStyle w:val="Rimandonotaapidipagina"/>
          <w:rFonts w:ascii="Garamond" w:hAnsi="Garamond"/>
          <w:sz w:val="28"/>
          <w:szCs w:val="28"/>
        </w:rPr>
        <w:footnoteReference w:id="48"/>
      </w:r>
      <w:r>
        <w:rPr>
          <w:rFonts w:ascii="Garamond" w:hAnsi="Garamond"/>
          <w:sz w:val="28"/>
          <w:szCs w:val="28"/>
        </w:rPr>
        <w:t xml:space="preserve"> induce la Corte ad evitare una immediata declaratoria di incostituzionalità dell’art. 580 c.p., in riferimento alla condotta di aiuto materiale al suicidio, in attesa di un intervento legislativo frutto di un adeguato bilanciamento tra i contrapposti valori in gioco.</w:t>
      </w:r>
    </w:p>
    <w:p w:rsidR="00022A73" w:rsidRPr="00022A73" w:rsidRDefault="00BF7008" w:rsidP="00022A73">
      <w:pPr>
        <w:ind w:firstLine="709"/>
        <w:contextualSpacing/>
        <w:jc w:val="both"/>
        <w:rPr>
          <w:rFonts w:ascii="Garamond" w:hAnsi="Garamond"/>
          <w:sz w:val="28"/>
          <w:szCs w:val="28"/>
        </w:rPr>
      </w:pPr>
      <w:r>
        <w:rPr>
          <w:rFonts w:ascii="Garamond" w:hAnsi="Garamond"/>
          <w:sz w:val="28"/>
          <w:szCs w:val="28"/>
        </w:rPr>
        <w:t>La</w:t>
      </w:r>
      <w:r w:rsidR="00022A73" w:rsidRPr="00022A73">
        <w:rPr>
          <w:rFonts w:ascii="Garamond" w:hAnsi="Garamond"/>
          <w:sz w:val="28"/>
          <w:szCs w:val="28"/>
        </w:rPr>
        <w:t xml:space="preserve"> Corte non può non farsi carico</w:t>
      </w:r>
      <w:r>
        <w:rPr>
          <w:rFonts w:ascii="Garamond" w:hAnsi="Garamond"/>
          <w:sz w:val="28"/>
          <w:szCs w:val="28"/>
        </w:rPr>
        <w:t xml:space="preserve"> delle conseguenze che potrebbero verificarsi lungo questa china scivolosa</w:t>
      </w:r>
      <w:r w:rsidR="00022A73" w:rsidRPr="00022A73">
        <w:rPr>
          <w:rFonts w:ascii="Garamond" w:hAnsi="Garamond"/>
          <w:sz w:val="28"/>
          <w:szCs w:val="28"/>
        </w:rPr>
        <w:t xml:space="preserve">, anche allorché sia </w:t>
      </w:r>
      <w:r w:rsidR="00291BC5">
        <w:rPr>
          <w:rFonts w:ascii="Garamond" w:hAnsi="Garamond"/>
          <w:sz w:val="28"/>
          <w:szCs w:val="28"/>
        </w:rPr>
        <w:t>chiamata, come nel caso che vede imputato Marco Cappato</w:t>
      </w:r>
      <w:r w:rsidR="00022A73" w:rsidRPr="00022A73">
        <w:rPr>
          <w:rFonts w:ascii="Garamond" w:hAnsi="Garamond"/>
          <w:sz w:val="28"/>
          <w:szCs w:val="28"/>
        </w:rPr>
        <w:t>, a vagliare la incompatibilità con la Costituzione esclusivamente di una disposizione di carattere penale.</w:t>
      </w:r>
    </w:p>
    <w:p w:rsidR="00022A73" w:rsidRDefault="00022A73" w:rsidP="00022A73">
      <w:pPr>
        <w:ind w:firstLine="709"/>
        <w:contextualSpacing/>
        <w:jc w:val="both"/>
        <w:rPr>
          <w:rFonts w:ascii="Garamond" w:hAnsi="Garamond"/>
          <w:sz w:val="28"/>
          <w:szCs w:val="28"/>
        </w:rPr>
      </w:pPr>
      <w:r w:rsidRPr="00022A73">
        <w:rPr>
          <w:rFonts w:ascii="Garamond" w:hAnsi="Garamond"/>
          <w:sz w:val="28"/>
          <w:szCs w:val="28"/>
        </w:rPr>
        <w:t>Una regolazione della materia, intesa ad evitare simili scenari, gravidi di pericoli per la vita di persone in situazione di vulnerabilità, è suscettibile peraltro</w:t>
      </w:r>
      <w:r w:rsidR="00BF7008">
        <w:rPr>
          <w:rFonts w:ascii="Garamond" w:hAnsi="Garamond"/>
          <w:sz w:val="28"/>
          <w:szCs w:val="28"/>
        </w:rPr>
        <w:t>, rileva ancora l’ordinanza n. 207 del 2018,</w:t>
      </w:r>
      <w:r w:rsidRPr="00022A73">
        <w:rPr>
          <w:rFonts w:ascii="Garamond" w:hAnsi="Garamond"/>
          <w:sz w:val="28"/>
          <w:szCs w:val="28"/>
        </w:rPr>
        <w:t xml:space="preserve"> di investire plurimi profili, ciascuno dei quali, a sua volta, variamente declinabile sul</w:t>
      </w:r>
      <w:r w:rsidR="00BF7008">
        <w:rPr>
          <w:rFonts w:ascii="Garamond" w:hAnsi="Garamond"/>
          <w:sz w:val="28"/>
          <w:szCs w:val="28"/>
        </w:rPr>
        <w:t>la base di scelte discrezionali,</w:t>
      </w:r>
      <w:r w:rsidRPr="00022A73">
        <w:rPr>
          <w:rFonts w:ascii="Garamond" w:hAnsi="Garamond"/>
          <w:sz w:val="28"/>
          <w:szCs w:val="28"/>
        </w:rPr>
        <w:t xml:space="preserve"> come, ad esempio, le modalità di verifica medica della sussistenza dei presupposti in presenza dei quali una persona possa richiedere l’aiuto, la disciplina del relativo “</w:t>
      </w:r>
      <w:r w:rsidRPr="00E82160">
        <w:rPr>
          <w:rFonts w:ascii="Garamond" w:hAnsi="Garamond"/>
          <w:i/>
          <w:sz w:val="28"/>
          <w:szCs w:val="28"/>
        </w:rPr>
        <w:t>processo medicalizzato</w:t>
      </w:r>
      <w:r w:rsidRPr="00022A73">
        <w:rPr>
          <w:rFonts w:ascii="Garamond" w:hAnsi="Garamond"/>
          <w:sz w:val="28"/>
          <w:szCs w:val="28"/>
        </w:rPr>
        <w:t>”, l’eventuale riserva esclusiva di somministrazione di tali trattamenti al servizio sanitario nazionale, la possibilità di una obiezione di coscienza del personale sanitario coinvolto nella procedura.</w:t>
      </w:r>
    </w:p>
    <w:p w:rsidR="00426D0F" w:rsidRDefault="00426D0F" w:rsidP="00022A73">
      <w:pPr>
        <w:ind w:firstLine="709"/>
        <w:contextualSpacing/>
        <w:jc w:val="both"/>
        <w:rPr>
          <w:rFonts w:ascii="Garamond" w:hAnsi="Garamond"/>
          <w:sz w:val="28"/>
          <w:szCs w:val="28"/>
        </w:rPr>
      </w:pPr>
      <w:r>
        <w:rPr>
          <w:rFonts w:ascii="Garamond" w:hAnsi="Garamond"/>
          <w:sz w:val="28"/>
          <w:szCs w:val="28"/>
        </w:rPr>
        <w:t xml:space="preserve">Di grande rilievo è, nella prospettiva della Corte, l’esigenza di sottoporre il percorso eutanasico ad un processo di medicalizzazione e una procedimentalizzazione, ad opera auspicabilmente al solo Servizio Sanitario Nazionale, in modo da poter verificare la volontà del paziente, di supportarlo nell’attuazione della sua scelta, di erogargli le cc.dd. </w:t>
      </w:r>
      <w:proofErr w:type="gramStart"/>
      <w:r>
        <w:rPr>
          <w:rFonts w:ascii="Garamond" w:hAnsi="Garamond"/>
          <w:sz w:val="28"/>
          <w:szCs w:val="28"/>
        </w:rPr>
        <w:t>cure</w:t>
      </w:r>
      <w:proofErr w:type="gramEnd"/>
      <w:r>
        <w:rPr>
          <w:rFonts w:ascii="Garamond" w:hAnsi="Garamond"/>
          <w:sz w:val="28"/>
          <w:szCs w:val="28"/>
        </w:rPr>
        <w:t xml:space="preserve"> palliative e la terapia del dolore, attinenti a livelli essenziali di assistenza che devono essere uniformi sull’intero territorio nazionale, di garantire l’eventuale obiezione di coscienza al personale sanitario coinvolto.</w:t>
      </w:r>
    </w:p>
    <w:p w:rsidR="00426D0F" w:rsidRPr="00022A73" w:rsidRDefault="00426D0F" w:rsidP="00022A73">
      <w:pPr>
        <w:ind w:firstLine="709"/>
        <w:contextualSpacing/>
        <w:jc w:val="both"/>
        <w:rPr>
          <w:rFonts w:ascii="Garamond" w:hAnsi="Garamond"/>
          <w:sz w:val="28"/>
          <w:szCs w:val="28"/>
        </w:rPr>
      </w:pPr>
      <w:r>
        <w:rPr>
          <w:rFonts w:ascii="Garamond" w:hAnsi="Garamond"/>
          <w:sz w:val="28"/>
          <w:szCs w:val="28"/>
        </w:rPr>
        <w:t>La stretta interrelazione tra il riconoscimento in via legislativa anche di questa frontiera avanzata del diritto alla salute e l’organizzazione del servizio sanitario emerge chiaramente in alcuni significativi passaggi motivazionali dell’ordinanza n. 207 del 2018.</w:t>
      </w:r>
    </w:p>
    <w:p w:rsidR="00022A73" w:rsidRPr="00022A73" w:rsidRDefault="00022A73" w:rsidP="00426D0F">
      <w:pPr>
        <w:ind w:firstLine="709"/>
        <w:contextualSpacing/>
        <w:jc w:val="both"/>
        <w:rPr>
          <w:rFonts w:ascii="Garamond" w:hAnsi="Garamond"/>
          <w:sz w:val="28"/>
          <w:szCs w:val="28"/>
        </w:rPr>
      </w:pPr>
      <w:r w:rsidRPr="00022A73">
        <w:rPr>
          <w:rFonts w:ascii="Garamond" w:hAnsi="Garamond"/>
          <w:sz w:val="28"/>
          <w:szCs w:val="28"/>
        </w:rPr>
        <w:t>Una disciplina delle condizioni di attuazione della decisione di taluni pazienti di liberarsi delle proprie sofferenze non solo attraverso una sedazione profonda continua e correlativo rifiuto dei trattamenti</w:t>
      </w:r>
      <w:r w:rsidR="00426D0F">
        <w:rPr>
          <w:rFonts w:ascii="Garamond" w:hAnsi="Garamond"/>
          <w:sz w:val="28"/>
          <w:szCs w:val="28"/>
        </w:rPr>
        <w:t xml:space="preserve"> di sostegno vitale, ma anche at</w:t>
      </w:r>
      <w:r w:rsidRPr="00022A73">
        <w:rPr>
          <w:rFonts w:ascii="Garamond" w:hAnsi="Garamond"/>
          <w:sz w:val="28"/>
          <w:szCs w:val="28"/>
        </w:rPr>
        <w:t xml:space="preserve">traverso la somministrazione di un farmaco atto a provocare rapidamente la morte, potrebbe essere introdotta, </w:t>
      </w:r>
      <w:r w:rsidR="00426D0F">
        <w:rPr>
          <w:rFonts w:ascii="Garamond" w:hAnsi="Garamond"/>
          <w:sz w:val="28"/>
          <w:szCs w:val="28"/>
        </w:rPr>
        <w:t xml:space="preserve">secondo la Corte, </w:t>
      </w:r>
      <w:r w:rsidRPr="00022A73">
        <w:rPr>
          <w:rFonts w:ascii="Garamond" w:hAnsi="Garamond"/>
          <w:sz w:val="28"/>
          <w:szCs w:val="28"/>
        </w:rPr>
        <w:t>anziché mediante una mera modifica della disposizione penale di cui all’art. 580</w:t>
      </w:r>
      <w:r w:rsidR="00426D0F">
        <w:rPr>
          <w:rFonts w:ascii="Garamond" w:hAnsi="Garamond"/>
          <w:sz w:val="28"/>
          <w:szCs w:val="28"/>
        </w:rPr>
        <w:t xml:space="preserve"> c.p.,</w:t>
      </w:r>
      <w:r w:rsidRPr="00022A73">
        <w:rPr>
          <w:rFonts w:ascii="Garamond" w:hAnsi="Garamond"/>
          <w:sz w:val="28"/>
          <w:szCs w:val="28"/>
        </w:rPr>
        <w:t xml:space="preserve"> inserendo la disciplina stessa nel contesto della legge n. 219 del 2017 e del suo spirito, in modo da inscrivere anche questa opzione nel quadro della «</w:t>
      </w:r>
      <w:r w:rsidRPr="00E82160">
        <w:rPr>
          <w:rFonts w:ascii="Garamond" w:hAnsi="Garamond"/>
          <w:i/>
          <w:sz w:val="28"/>
          <w:szCs w:val="28"/>
        </w:rPr>
        <w:t>relazione di cura e di fiducia tra paziente e medico</w:t>
      </w:r>
      <w:r w:rsidRPr="00022A73">
        <w:rPr>
          <w:rFonts w:ascii="Garamond" w:hAnsi="Garamond"/>
          <w:sz w:val="28"/>
          <w:szCs w:val="28"/>
        </w:rPr>
        <w:t>», opportunamente valorizzata dall'art. 1 della legge medesima.</w:t>
      </w:r>
    </w:p>
    <w:p w:rsidR="00C87332"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Dovrebbe essere valutata, infine, l’esigenza di adottare opportune cautele affinché – anche nell’applicazione pratica della futura disciplina – l’opzione della somministrazione di farmaci in grado di provocare entro un breve lasso di tempo la morte del paziente non comporti </w:t>
      </w:r>
      <w:r w:rsidR="004A04B7">
        <w:rPr>
          <w:rFonts w:ascii="Garamond" w:hAnsi="Garamond"/>
          <w:sz w:val="28"/>
          <w:szCs w:val="28"/>
        </w:rPr>
        <w:t>«</w:t>
      </w:r>
      <w:r w:rsidRPr="004A04B7">
        <w:rPr>
          <w:rFonts w:ascii="Garamond" w:hAnsi="Garamond"/>
          <w:i/>
          <w:sz w:val="28"/>
          <w:szCs w:val="28"/>
        </w:rPr>
        <w:t>il rischio di alcuna prematura rinuncia, da parte delle strutture sanitarie, a offrire sempre al paziente medesimo concrete possibilità di accedere a cure palliative diverse dalla sedazione profonda continua</w:t>
      </w:r>
      <w:r w:rsidR="004A04B7">
        <w:rPr>
          <w:rFonts w:ascii="Garamond" w:hAnsi="Garamond"/>
          <w:sz w:val="28"/>
          <w:szCs w:val="28"/>
        </w:rPr>
        <w:t>»</w:t>
      </w:r>
      <w:r w:rsidRPr="00022A73">
        <w:rPr>
          <w:rFonts w:ascii="Garamond" w:hAnsi="Garamond"/>
          <w:sz w:val="28"/>
          <w:szCs w:val="28"/>
        </w:rPr>
        <w:t xml:space="preserve">, ove idonee a eliminare la sua sofferenza – in accordo con l’impegno assunto dallo Stato con la citata legge n. 38 del 2010 - sì da porlo in condizione di vivere con intensità e in modo dignitoso la parte restante della propria esistenza. </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Il coinvolgimento in un percorso di cure palliative dovrebbe costituire, infatti, un </w:t>
      </w:r>
      <w:proofErr w:type="spellStart"/>
      <w:r w:rsidRPr="00022A73">
        <w:rPr>
          <w:rFonts w:ascii="Garamond" w:hAnsi="Garamond"/>
          <w:sz w:val="28"/>
          <w:szCs w:val="28"/>
        </w:rPr>
        <w:t>pre</w:t>
      </w:r>
      <w:proofErr w:type="spellEnd"/>
      <w:r w:rsidRPr="00022A73">
        <w:rPr>
          <w:rFonts w:ascii="Garamond" w:hAnsi="Garamond"/>
          <w:sz w:val="28"/>
          <w:szCs w:val="28"/>
        </w:rPr>
        <w:t>-requisito della scelta, in seguito, di qualsiasi percorso alternativo da parte del paziente.</w:t>
      </w:r>
    </w:p>
    <w:p w:rsidR="00022A73" w:rsidRPr="00022A73" w:rsidRDefault="00291BC5" w:rsidP="00022A73">
      <w:pPr>
        <w:ind w:firstLine="709"/>
        <w:contextualSpacing/>
        <w:jc w:val="both"/>
        <w:rPr>
          <w:rFonts w:ascii="Garamond" w:hAnsi="Garamond"/>
          <w:sz w:val="28"/>
          <w:szCs w:val="28"/>
        </w:rPr>
      </w:pPr>
      <w:r>
        <w:rPr>
          <w:rFonts w:ascii="Garamond" w:hAnsi="Garamond"/>
          <w:sz w:val="28"/>
          <w:szCs w:val="28"/>
        </w:rPr>
        <w:t>I delicati bilanciamenti</w:t>
      </w:r>
      <w:r w:rsidR="00022A73" w:rsidRPr="00022A73">
        <w:rPr>
          <w:rFonts w:ascii="Garamond" w:hAnsi="Garamond"/>
          <w:sz w:val="28"/>
          <w:szCs w:val="28"/>
        </w:rPr>
        <w:t xml:space="preserve"> indicati</w:t>
      </w:r>
      <w:r>
        <w:rPr>
          <w:rFonts w:ascii="Garamond" w:hAnsi="Garamond"/>
          <w:sz w:val="28"/>
          <w:szCs w:val="28"/>
        </w:rPr>
        <w:t xml:space="preserve"> dalla Corte costituzionale</w:t>
      </w:r>
      <w:r w:rsidR="00022A73" w:rsidRPr="00022A73">
        <w:rPr>
          <w:rFonts w:ascii="Garamond" w:hAnsi="Garamond"/>
          <w:sz w:val="28"/>
          <w:szCs w:val="28"/>
        </w:rPr>
        <w:t xml:space="preserve"> restano</w:t>
      </w:r>
      <w:r w:rsidR="00426D0F">
        <w:rPr>
          <w:rFonts w:ascii="Garamond" w:hAnsi="Garamond"/>
          <w:sz w:val="28"/>
          <w:szCs w:val="28"/>
        </w:rPr>
        <w:t xml:space="preserve"> però</w:t>
      </w:r>
      <w:r w:rsidR="00022A73" w:rsidRPr="00022A73">
        <w:rPr>
          <w:rFonts w:ascii="Garamond" w:hAnsi="Garamond"/>
          <w:sz w:val="28"/>
          <w:szCs w:val="28"/>
        </w:rPr>
        <w:t xml:space="preserve"> affidati, in linea di principio, </w:t>
      </w:r>
      <w:r w:rsidR="00426D0F">
        <w:rPr>
          <w:rFonts w:ascii="Garamond" w:hAnsi="Garamond"/>
          <w:sz w:val="28"/>
          <w:szCs w:val="28"/>
        </w:rPr>
        <w:t>al Parlamento, poiché la Corte ha ritenuto proprio compito</w:t>
      </w:r>
      <w:r w:rsidR="00022A73" w:rsidRPr="00022A73">
        <w:rPr>
          <w:rFonts w:ascii="Garamond" w:hAnsi="Garamond"/>
          <w:sz w:val="28"/>
          <w:szCs w:val="28"/>
        </w:rPr>
        <w:t xml:space="preserve"> quello di verificare la compatibilità di scelte già compiute dal legislatore, nell’esercizio della propria discrezionalità politica, con i limiti dettati dalle e</w:t>
      </w:r>
      <w:r w:rsidR="00426D0F">
        <w:rPr>
          <w:rFonts w:ascii="Garamond" w:hAnsi="Garamond"/>
          <w:sz w:val="28"/>
          <w:szCs w:val="28"/>
        </w:rPr>
        <w:t>sigenze di rispetto dei principî</w:t>
      </w:r>
      <w:r w:rsidR="00022A73" w:rsidRPr="00022A73">
        <w:rPr>
          <w:rFonts w:ascii="Garamond" w:hAnsi="Garamond"/>
          <w:sz w:val="28"/>
          <w:szCs w:val="28"/>
        </w:rPr>
        <w:t xml:space="preserve"> costituzionali e dei diritti fondamentali delle persone coinvolti.</w:t>
      </w:r>
    </w:p>
    <w:p w:rsidR="00022A73" w:rsidRPr="00022A73" w:rsidRDefault="00426D0F" w:rsidP="00022A73">
      <w:pPr>
        <w:ind w:firstLine="709"/>
        <w:contextualSpacing/>
        <w:jc w:val="both"/>
        <w:rPr>
          <w:rFonts w:ascii="Garamond" w:hAnsi="Garamond"/>
          <w:sz w:val="28"/>
          <w:szCs w:val="28"/>
        </w:rPr>
      </w:pPr>
      <w:r>
        <w:rPr>
          <w:rFonts w:ascii="Garamond" w:hAnsi="Garamond"/>
          <w:sz w:val="28"/>
          <w:szCs w:val="28"/>
        </w:rPr>
        <w:t xml:space="preserve">La Corte costituzionale </w:t>
      </w:r>
      <w:r w:rsidR="00291BC5">
        <w:rPr>
          <w:rFonts w:ascii="Garamond" w:hAnsi="Garamond"/>
          <w:sz w:val="28"/>
          <w:szCs w:val="28"/>
        </w:rPr>
        <w:t>ha, perciò, lasciato</w:t>
      </w:r>
      <w:r>
        <w:rPr>
          <w:rFonts w:ascii="Garamond" w:hAnsi="Garamond"/>
          <w:sz w:val="28"/>
          <w:szCs w:val="28"/>
        </w:rPr>
        <w:t xml:space="preserve"> il compito</w:t>
      </w:r>
      <w:r w:rsidR="00291BC5">
        <w:rPr>
          <w:rFonts w:ascii="Garamond" w:hAnsi="Garamond"/>
          <w:sz w:val="28"/>
          <w:szCs w:val="28"/>
        </w:rPr>
        <w:t xml:space="preserve"> e lanciato il monito al Parlamento</w:t>
      </w:r>
      <w:r>
        <w:rPr>
          <w:rFonts w:ascii="Garamond" w:hAnsi="Garamond"/>
          <w:sz w:val="28"/>
          <w:szCs w:val="28"/>
        </w:rPr>
        <w:t xml:space="preserve"> </w:t>
      </w:r>
      <w:r w:rsidR="00022A73" w:rsidRPr="00022A73">
        <w:rPr>
          <w:rFonts w:ascii="Garamond" w:hAnsi="Garamond"/>
          <w:sz w:val="28"/>
          <w:szCs w:val="28"/>
        </w:rPr>
        <w:t>di assumere le necessarie decisioni rimesse in linea di principio alla sua discrezionalità – ferma restando l’esigenza di assicurare la tutela del malato ne</w:t>
      </w:r>
      <w:r w:rsidR="007A0F55">
        <w:rPr>
          <w:rFonts w:ascii="Garamond" w:hAnsi="Garamond"/>
          <w:sz w:val="28"/>
          <w:szCs w:val="28"/>
        </w:rPr>
        <w:t>i limiti indicati nella stessa ordinanza n. 207 del 2018 – e ha fatto leva</w:t>
      </w:r>
      <w:r w:rsidR="00022A73" w:rsidRPr="00022A73">
        <w:rPr>
          <w:rFonts w:ascii="Garamond" w:hAnsi="Garamond"/>
          <w:sz w:val="28"/>
          <w:szCs w:val="28"/>
        </w:rPr>
        <w:t xml:space="preserve"> sui propri poteri di gestione d</w:t>
      </w:r>
      <w:r w:rsidR="007A0F55">
        <w:rPr>
          <w:rFonts w:ascii="Garamond" w:hAnsi="Garamond"/>
          <w:sz w:val="28"/>
          <w:szCs w:val="28"/>
        </w:rPr>
        <w:t>el processo costituzionale disponendo</w:t>
      </w:r>
      <w:r w:rsidR="00022A73" w:rsidRPr="00022A73">
        <w:rPr>
          <w:rFonts w:ascii="Garamond" w:hAnsi="Garamond"/>
          <w:sz w:val="28"/>
          <w:szCs w:val="28"/>
        </w:rPr>
        <w:t xml:space="preserve"> </w:t>
      </w:r>
      <w:r w:rsidR="007A0F55">
        <w:rPr>
          <w:rFonts w:ascii="Garamond" w:hAnsi="Garamond"/>
          <w:sz w:val="28"/>
          <w:szCs w:val="28"/>
        </w:rPr>
        <w:t>il rinvio del giudizio in corso e</w:t>
      </w:r>
      <w:r w:rsidR="00022A73" w:rsidRPr="00022A73">
        <w:rPr>
          <w:rFonts w:ascii="Garamond" w:hAnsi="Garamond"/>
          <w:sz w:val="28"/>
          <w:szCs w:val="28"/>
        </w:rPr>
        <w:t xml:space="preserve"> fissando</w:t>
      </w:r>
      <w:r w:rsidR="007A0F55">
        <w:rPr>
          <w:rFonts w:ascii="Garamond" w:hAnsi="Garamond"/>
          <w:sz w:val="28"/>
          <w:szCs w:val="28"/>
        </w:rPr>
        <w:t>, come noto,</w:t>
      </w:r>
      <w:r w:rsidR="00022A73" w:rsidRPr="00022A73">
        <w:rPr>
          <w:rFonts w:ascii="Garamond" w:hAnsi="Garamond"/>
          <w:sz w:val="28"/>
          <w:szCs w:val="28"/>
        </w:rPr>
        <w:t xml:space="preserve"> una nuova discussione delle questioni di legittimità costituzionale all’udienza del 24 settembre 2019, in esito alla quale potrà essere valutata l’eventuale sopravvenienza di una legge che regoli la materia in conformità all</w:t>
      </w:r>
      <w:r w:rsidR="007A0F55">
        <w:rPr>
          <w:rFonts w:ascii="Garamond" w:hAnsi="Garamond"/>
          <w:sz w:val="28"/>
          <w:szCs w:val="28"/>
        </w:rPr>
        <w:t>e segnalate esigenze di tutela.</w:t>
      </w:r>
    </w:p>
    <w:p w:rsidR="004A04B7" w:rsidRDefault="007A0F55" w:rsidP="00022A73">
      <w:pPr>
        <w:ind w:firstLine="709"/>
        <w:contextualSpacing/>
        <w:jc w:val="both"/>
        <w:rPr>
          <w:rFonts w:ascii="Garamond" w:hAnsi="Garamond"/>
          <w:sz w:val="28"/>
          <w:szCs w:val="28"/>
        </w:rPr>
      </w:pPr>
      <w:r>
        <w:rPr>
          <w:rFonts w:ascii="Garamond" w:hAnsi="Garamond"/>
          <w:sz w:val="28"/>
          <w:szCs w:val="28"/>
        </w:rPr>
        <w:t>La soluzione della Corte</w:t>
      </w:r>
      <w:r w:rsidR="00022A73" w:rsidRPr="00022A73">
        <w:rPr>
          <w:rFonts w:ascii="Garamond" w:hAnsi="Garamond"/>
          <w:sz w:val="28"/>
          <w:szCs w:val="28"/>
        </w:rPr>
        <w:t xml:space="preserve"> si fa carico, in definitiva, di preoccupazioni analoghe a quelle che hanno ispirato la Corte Suprema canadese, allorché ha dichiarato, nel 2015, l’illegittimità costituzionale di una disposizione penale analoga a quella ora sottoposta allo scrutinio, nella parte in cui tale disposizione proibiva l’assistenza medica al suicidio di una persona adulta capace che abbia chiaramente consentito a por fine alla propria vita, e che soffra di una patologia grave e incurabile che provoca sofferen</w:t>
      </w:r>
      <w:r w:rsidR="004A04B7">
        <w:rPr>
          <w:rFonts w:ascii="Garamond" w:hAnsi="Garamond"/>
          <w:sz w:val="28"/>
          <w:szCs w:val="28"/>
        </w:rPr>
        <w:t>ze persistenti e intollerabili</w:t>
      </w:r>
      <w:r w:rsidR="00291BC5">
        <w:rPr>
          <w:rStyle w:val="Rimandonotaapidipagina"/>
          <w:rFonts w:ascii="Garamond" w:hAnsi="Garamond"/>
          <w:sz w:val="28"/>
          <w:szCs w:val="28"/>
        </w:rPr>
        <w:footnoteReference w:id="49"/>
      </w:r>
      <w:r w:rsidR="004A04B7">
        <w:rPr>
          <w:rFonts w:ascii="Garamond" w:hAnsi="Garamond"/>
          <w:sz w:val="28"/>
          <w:szCs w:val="28"/>
        </w:rPr>
        <w:t>.</w:t>
      </w:r>
    </w:p>
    <w:p w:rsidR="00022A73" w:rsidRPr="00022A73" w:rsidRDefault="00022A73" w:rsidP="00022A73">
      <w:pPr>
        <w:ind w:firstLine="709"/>
        <w:contextualSpacing/>
        <w:jc w:val="both"/>
        <w:rPr>
          <w:rFonts w:ascii="Garamond" w:hAnsi="Garamond"/>
          <w:sz w:val="28"/>
          <w:szCs w:val="28"/>
        </w:rPr>
      </w:pPr>
      <w:r w:rsidRPr="00022A73">
        <w:rPr>
          <w:rFonts w:ascii="Garamond" w:hAnsi="Garamond"/>
          <w:sz w:val="28"/>
          <w:szCs w:val="28"/>
        </w:rPr>
        <w:t xml:space="preserve">In quell’occasione, </w:t>
      </w:r>
      <w:r w:rsidR="004A04B7">
        <w:rPr>
          <w:rFonts w:ascii="Garamond" w:hAnsi="Garamond"/>
          <w:sz w:val="28"/>
          <w:szCs w:val="28"/>
        </w:rPr>
        <w:t xml:space="preserve">come ricorda pure la Corte costituzionale, </w:t>
      </w:r>
      <w:r w:rsidRPr="00022A73">
        <w:rPr>
          <w:rFonts w:ascii="Garamond" w:hAnsi="Garamond"/>
          <w:sz w:val="28"/>
          <w:szCs w:val="28"/>
        </w:rPr>
        <w:t>i supremi giudici canadesi stabilirono di sospendere per dodici mesi l’e</w:t>
      </w:r>
      <w:r w:rsidR="007A0F55">
        <w:rPr>
          <w:rFonts w:ascii="Garamond" w:hAnsi="Garamond"/>
          <w:sz w:val="28"/>
          <w:szCs w:val="28"/>
        </w:rPr>
        <w:t>fficacia della decisione stessa e poi, con una successiva proroga, per altri quattro</w:t>
      </w:r>
      <w:r w:rsidRPr="00022A73">
        <w:rPr>
          <w:rFonts w:ascii="Garamond" w:hAnsi="Garamond"/>
          <w:sz w:val="28"/>
          <w:szCs w:val="28"/>
        </w:rPr>
        <w:t xml:space="preserve"> proprio per dare l’opportunità al Parlamento di elaborare una complessiva legislazione in materia, evitando la situazione di vuoto legislativo che si sarebbe creata in conseguenza della decisione (Corte Suprema del Canada, sentenza 6 febbraio 2015, </w:t>
      </w:r>
      <w:r w:rsidRPr="007A0F55">
        <w:rPr>
          <w:rFonts w:ascii="Garamond" w:hAnsi="Garamond"/>
          <w:i/>
          <w:sz w:val="28"/>
          <w:szCs w:val="28"/>
        </w:rPr>
        <w:t>Carter contro Canada</w:t>
      </w:r>
      <w:r w:rsidRPr="00022A73">
        <w:rPr>
          <w:rFonts w:ascii="Garamond" w:hAnsi="Garamond"/>
          <w:sz w:val="28"/>
          <w:szCs w:val="28"/>
        </w:rPr>
        <w:t>, 2015, CSC 5).</w:t>
      </w:r>
    </w:p>
    <w:p w:rsidR="004A04B7" w:rsidRDefault="000F728F" w:rsidP="004A04B7">
      <w:pPr>
        <w:ind w:firstLine="709"/>
        <w:contextualSpacing/>
        <w:jc w:val="both"/>
        <w:rPr>
          <w:rFonts w:ascii="Garamond" w:hAnsi="Garamond"/>
          <w:sz w:val="28"/>
          <w:szCs w:val="28"/>
        </w:rPr>
      </w:pPr>
      <w:r>
        <w:rPr>
          <w:rFonts w:ascii="Garamond" w:hAnsi="Garamond"/>
          <w:sz w:val="28"/>
          <w:szCs w:val="28"/>
        </w:rPr>
        <w:t>Nel</w:t>
      </w:r>
      <w:r w:rsidR="00BA3F11">
        <w:rPr>
          <w:rFonts w:ascii="Garamond" w:hAnsi="Garamond"/>
          <w:sz w:val="28"/>
          <w:szCs w:val="28"/>
        </w:rPr>
        <w:t xml:space="preserve"> delicato bilanciamento dei valori in gioco, dunque, la C</w:t>
      </w:r>
      <w:r w:rsidR="004A04B7">
        <w:rPr>
          <w:rFonts w:ascii="Garamond" w:hAnsi="Garamond"/>
          <w:sz w:val="28"/>
          <w:szCs w:val="28"/>
        </w:rPr>
        <w:t>or</w:t>
      </w:r>
      <w:r w:rsidR="00BA3F11">
        <w:rPr>
          <w:rFonts w:ascii="Garamond" w:hAnsi="Garamond"/>
          <w:sz w:val="28"/>
          <w:szCs w:val="28"/>
        </w:rPr>
        <w:t>t</w:t>
      </w:r>
      <w:r w:rsidR="004A04B7">
        <w:rPr>
          <w:rFonts w:ascii="Garamond" w:hAnsi="Garamond"/>
          <w:sz w:val="28"/>
          <w:szCs w:val="28"/>
        </w:rPr>
        <w:t>e costituzionale ha</w:t>
      </w:r>
      <w:r w:rsidR="00022A73" w:rsidRPr="00022A73">
        <w:rPr>
          <w:rFonts w:ascii="Garamond" w:hAnsi="Garamond"/>
          <w:sz w:val="28"/>
          <w:szCs w:val="28"/>
        </w:rPr>
        <w:t xml:space="preserve"> reputa</w:t>
      </w:r>
      <w:r w:rsidR="004A04B7">
        <w:rPr>
          <w:rFonts w:ascii="Garamond" w:hAnsi="Garamond"/>
          <w:sz w:val="28"/>
          <w:szCs w:val="28"/>
        </w:rPr>
        <w:t>to</w:t>
      </w:r>
      <w:r w:rsidR="00022A73" w:rsidRPr="00022A73">
        <w:rPr>
          <w:rFonts w:ascii="Garamond" w:hAnsi="Garamond"/>
          <w:sz w:val="28"/>
          <w:szCs w:val="28"/>
        </w:rPr>
        <w:t xml:space="preserve"> doveroso – in uno spirito di leale e dialettica collaborazione istituzionale – consentire, nella specie, al Parlamento ogni opportuna riflessione e iniziativa, così da evitare, per un verso, che, nei termini innanzi illustrati, una disposizione continui a produrre effetti reputati costituzionalmente non compatibili, ma al tempo stesso scongiurare possibili vuoti di tutela di valori, anch’essi pienamente rilevanti sul piano costituzionale</w:t>
      </w:r>
      <w:r w:rsidR="004A04B7">
        <w:rPr>
          <w:rFonts w:ascii="Garamond" w:hAnsi="Garamond"/>
          <w:sz w:val="28"/>
          <w:szCs w:val="28"/>
        </w:rPr>
        <w:t>.</w:t>
      </w:r>
    </w:p>
    <w:p w:rsidR="004A04B7" w:rsidRDefault="004A04B7" w:rsidP="004A04B7">
      <w:pPr>
        <w:ind w:firstLine="709"/>
        <w:contextualSpacing/>
        <w:jc w:val="both"/>
        <w:rPr>
          <w:rFonts w:ascii="Garamond" w:hAnsi="Garamond"/>
          <w:sz w:val="28"/>
          <w:szCs w:val="28"/>
        </w:rPr>
      </w:pPr>
      <w:r>
        <w:rPr>
          <w:rFonts w:ascii="Garamond" w:hAnsi="Garamond"/>
          <w:sz w:val="28"/>
          <w:szCs w:val="28"/>
        </w:rPr>
        <w:t>È ben evidente nel ragionamento della Corte come il principio dell’autodeterminazione terapeutica possa trovare un limite, nel nostro ordinamento, solo nel valore solidaristico che impone di tutelare la libera e consapevole scelta di rifiutare le cure da parte dei soggetti più vulnerabili in modo che</w:t>
      </w:r>
      <w:r w:rsidR="001064E2">
        <w:rPr>
          <w:rFonts w:ascii="Garamond" w:hAnsi="Garamond"/>
          <w:sz w:val="28"/>
          <w:szCs w:val="28"/>
        </w:rPr>
        <w:t xml:space="preserve"> essa non sia strumentalizzata per fini estranei a quello, unico e inviolabile, di dare voce alla loro dignità anche nelle decisioni attinenti al c.d. fine vita.</w:t>
      </w:r>
    </w:p>
    <w:p w:rsidR="004A04B7" w:rsidRDefault="004A04B7" w:rsidP="004A04B7">
      <w:pPr>
        <w:ind w:firstLine="709"/>
        <w:contextualSpacing/>
        <w:jc w:val="both"/>
        <w:rPr>
          <w:rFonts w:ascii="Garamond" w:hAnsi="Garamond"/>
          <w:sz w:val="28"/>
          <w:szCs w:val="28"/>
        </w:rPr>
      </w:pPr>
      <w:r>
        <w:rPr>
          <w:rFonts w:ascii="Garamond" w:hAnsi="Garamond"/>
          <w:sz w:val="28"/>
          <w:szCs w:val="28"/>
        </w:rPr>
        <w:t>Spetta al legislatore il delicato bilan</w:t>
      </w:r>
      <w:r w:rsidR="00BA3F11">
        <w:rPr>
          <w:rFonts w:ascii="Garamond" w:hAnsi="Garamond"/>
          <w:sz w:val="28"/>
          <w:szCs w:val="28"/>
        </w:rPr>
        <w:t>ciamento tra questi due principî</w:t>
      </w:r>
      <w:r>
        <w:rPr>
          <w:rFonts w:ascii="Garamond" w:hAnsi="Garamond"/>
          <w:sz w:val="28"/>
          <w:szCs w:val="28"/>
        </w:rPr>
        <w:t xml:space="preserve"> che vedono nel diritto della salute un diritto fondamentale dell’individuo, da un lato, ma anche un interesse della collettività (art. 32 </w:t>
      </w:r>
      <w:proofErr w:type="spellStart"/>
      <w:r>
        <w:rPr>
          <w:rFonts w:ascii="Garamond" w:hAnsi="Garamond"/>
          <w:sz w:val="28"/>
          <w:szCs w:val="28"/>
        </w:rPr>
        <w:t>Cost</w:t>
      </w:r>
      <w:proofErr w:type="spellEnd"/>
      <w:r>
        <w:rPr>
          <w:rFonts w:ascii="Garamond" w:hAnsi="Garamond"/>
          <w:sz w:val="28"/>
          <w:szCs w:val="28"/>
        </w:rPr>
        <w:t>.).</w:t>
      </w:r>
    </w:p>
    <w:p w:rsidR="00BA3F11" w:rsidRDefault="00BA3F11" w:rsidP="004A04B7">
      <w:pPr>
        <w:ind w:firstLine="709"/>
        <w:contextualSpacing/>
        <w:jc w:val="both"/>
        <w:rPr>
          <w:rFonts w:ascii="Garamond" w:hAnsi="Garamond"/>
          <w:sz w:val="28"/>
          <w:szCs w:val="28"/>
        </w:rPr>
      </w:pPr>
      <w:r>
        <w:rPr>
          <w:rFonts w:ascii="Garamond" w:hAnsi="Garamond"/>
          <w:sz w:val="28"/>
          <w:szCs w:val="28"/>
        </w:rPr>
        <w:t>Può qui veramente dirsi che il rapporto dialettico tra libertà e autorità nelle decisioni sanitarie</w:t>
      </w:r>
      <w:r w:rsidR="001064E2">
        <w:rPr>
          <w:rFonts w:ascii="Garamond" w:hAnsi="Garamond"/>
          <w:sz w:val="28"/>
          <w:szCs w:val="28"/>
        </w:rPr>
        <w:t xml:space="preserve"> e, quindi, il potere del soggetto sul sé e il </w:t>
      </w:r>
      <w:proofErr w:type="spellStart"/>
      <w:r w:rsidR="001064E2">
        <w:rPr>
          <w:rFonts w:ascii="Garamond" w:hAnsi="Garamond"/>
          <w:sz w:val="28"/>
          <w:szCs w:val="28"/>
        </w:rPr>
        <w:t>biopotere</w:t>
      </w:r>
      <w:proofErr w:type="spellEnd"/>
      <w:r w:rsidR="001064E2">
        <w:rPr>
          <w:rFonts w:ascii="Garamond" w:hAnsi="Garamond"/>
          <w:sz w:val="28"/>
          <w:szCs w:val="28"/>
        </w:rPr>
        <w:t xml:space="preserve"> attinga nella pronuncia della Corte</w:t>
      </w:r>
      <w:r w:rsidR="00E67974">
        <w:rPr>
          <w:rFonts w:ascii="Garamond" w:hAnsi="Garamond"/>
          <w:sz w:val="28"/>
          <w:szCs w:val="28"/>
        </w:rPr>
        <w:t xml:space="preserve"> costituzionale, che si pone in un atteg</w:t>
      </w:r>
      <w:r w:rsidR="004935C3">
        <w:rPr>
          <w:rFonts w:ascii="Garamond" w:hAnsi="Garamond"/>
          <w:sz w:val="28"/>
          <w:szCs w:val="28"/>
        </w:rPr>
        <w:t>giamento di attesa</w:t>
      </w:r>
      <w:r w:rsidR="00E67974">
        <w:rPr>
          <w:rFonts w:ascii="Garamond" w:hAnsi="Garamond"/>
          <w:sz w:val="28"/>
          <w:szCs w:val="28"/>
        </w:rPr>
        <w:t xml:space="preserve"> verso il fut</w:t>
      </w:r>
      <w:r w:rsidR="004935C3">
        <w:rPr>
          <w:rFonts w:ascii="Garamond" w:hAnsi="Garamond"/>
          <w:sz w:val="28"/>
          <w:szCs w:val="28"/>
        </w:rPr>
        <w:t>uro (anzitutto</w:t>
      </w:r>
      <w:r w:rsidR="00E67974">
        <w:rPr>
          <w:rFonts w:ascii="Garamond" w:hAnsi="Garamond"/>
          <w:sz w:val="28"/>
          <w:szCs w:val="28"/>
        </w:rPr>
        <w:t xml:space="preserve"> legislativo),</w:t>
      </w:r>
      <w:r w:rsidR="001064E2">
        <w:rPr>
          <w:rFonts w:ascii="Garamond" w:hAnsi="Garamond"/>
          <w:sz w:val="28"/>
          <w:szCs w:val="28"/>
        </w:rPr>
        <w:t xml:space="preserve"> il proprio limite estremo e, nel contempo, la frontiera più avanzata.</w:t>
      </w:r>
    </w:p>
    <w:p w:rsidR="00983F7E" w:rsidRDefault="001064E2" w:rsidP="00D31D9D">
      <w:pPr>
        <w:ind w:firstLine="709"/>
        <w:contextualSpacing/>
        <w:jc w:val="both"/>
        <w:rPr>
          <w:rFonts w:ascii="Garamond" w:hAnsi="Garamond"/>
          <w:sz w:val="28"/>
          <w:szCs w:val="28"/>
        </w:rPr>
      </w:pPr>
      <w:r>
        <w:rPr>
          <w:rFonts w:ascii="Garamond" w:hAnsi="Garamond"/>
          <w:sz w:val="28"/>
          <w:szCs w:val="28"/>
        </w:rPr>
        <w:t>Segno, questo, del perenne dilem</w:t>
      </w:r>
      <w:r w:rsidR="00E67974">
        <w:rPr>
          <w:rFonts w:ascii="Garamond" w:hAnsi="Garamond"/>
          <w:sz w:val="28"/>
          <w:szCs w:val="28"/>
        </w:rPr>
        <w:t>ma che anima questa materia che, movendo dalla tradizionale antitesi tra autorità e libertà, mostra invece tutta la sua complessità, radicantesi nella struttura stessa dell’essere umano, e si dibatte, da un lato, tra l’irrinunciabile</w:t>
      </w:r>
      <w:r>
        <w:rPr>
          <w:rFonts w:ascii="Garamond" w:hAnsi="Garamond"/>
          <w:sz w:val="28"/>
          <w:szCs w:val="28"/>
        </w:rPr>
        <w:t xml:space="preserve"> riconoscimento del </w:t>
      </w:r>
      <w:r w:rsidRPr="002546D4">
        <w:rPr>
          <w:rFonts w:ascii="Garamond" w:hAnsi="Garamond"/>
          <w:i/>
          <w:sz w:val="28"/>
          <w:szCs w:val="28"/>
        </w:rPr>
        <w:t>principio personalistico</w:t>
      </w:r>
      <w:r>
        <w:rPr>
          <w:rFonts w:ascii="Garamond" w:hAnsi="Garamond"/>
          <w:sz w:val="28"/>
          <w:szCs w:val="28"/>
        </w:rPr>
        <w:t xml:space="preserve"> e</w:t>
      </w:r>
      <w:r w:rsidR="00E67974">
        <w:rPr>
          <w:rFonts w:ascii="Garamond" w:hAnsi="Garamond"/>
          <w:sz w:val="28"/>
          <w:szCs w:val="28"/>
        </w:rPr>
        <w:t>, dall’altro, il pure irrinunciabile</w:t>
      </w:r>
      <w:r>
        <w:rPr>
          <w:rFonts w:ascii="Garamond" w:hAnsi="Garamond"/>
          <w:sz w:val="28"/>
          <w:szCs w:val="28"/>
        </w:rPr>
        <w:t xml:space="preserve"> riconoscimento del </w:t>
      </w:r>
      <w:r w:rsidRPr="002546D4">
        <w:rPr>
          <w:rFonts w:ascii="Garamond" w:hAnsi="Garamond"/>
          <w:i/>
          <w:sz w:val="28"/>
          <w:szCs w:val="28"/>
        </w:rPr>
        <w:t>principio solidaristico</w:t>
      </w:r>
      <w:r w:rsidR="002546D4">
        <w:rPr>
          <w:rStyle w:val="Rimandonotaapidipagina"/>
          <w:rFonts w:ascii="Garamond" w:hAnsi="Garamond"/>
          <w:i/>
          <w:sz w:val="28"/>
          <w:szCs w:val="28"/>
        </w:rPr>
        <w:footnoteReference w:id="50"/>
      </w:r>
      <w:r>
        <w:rPr>
          <w:rFonts w:ascii="Garamond" w:hAnsi="Garamond"/>
          <w:sz w:val="28"/>
          <w:szCs w:val="28"/>
        </w:rPr>
        <w:t xml:space="preserve"> che solo nel superiore valore della dignità umana, della </w:t>
      </w:r>
      <w:r>
        <w:rPr>
          <w:rFonts w:ascii="Garamond" w:hAnsi="Garamond"/>
          <w:i/>
          <w:sz w:val="28"/>
          <w:szCs w:val="28"/>
        </w:rPr>
        <w:t>dignità della singola persona</w:t>
      </w:r>
      <w:r>
        <w:rPr>
          <w:rFonts w:ascii="Garamond" w:hAnsi="Garamond"/>
          <w:sz w:val="28"/>
          <w:szCs w:val="28"/>
        </w:rPr>
        <w:t>, non di un soggetto astratto, ma della persona in carne ed ossa, con le sue contraddizioni e sofferenze, nella sua insostituibile individualità, nell’affermazione della sua volontà ma anche nel suo bisogno di protezione, rinviene la sua sintesi al vertice della gerarchia dei valori</w:t>
      </w:r>
      <w:r w:rsidR="00D31D9D">
        <w:rPr>
          <w:rFonts w:ascii="Garamond" w:hAnsi="Garamond"/>
          <w:sz w:val="28"/>
          <w:szCs w:val="28"/>
        </w:rPr>
        <w:t xml:space="preserve"> fondativi</w:t>
      </w:r>
      <w:r w:rsidR="00E67974">
        <w:rPr>
          <w:rFonts w:ascii="Garamond" w:hAnsi="Garamond"/>
          <w:sz w:val="28"/>
          <w:szCs w:val="28"/>
        </w:rPr>
        <w:t>,</w:t>
      </w:r>
      <w:r>
        <w:rPr>
          <w:rFonts w:ascii="Garamond" w:hAnsi="Garamond"/>
          <w:sz w:val="28"/>
          <w:szCs w:val="28"/>
        </w:rPr>
        <w:t xml:space="preserve"> riconosciuti</w:t>
      </w:r>
      <w:r w:rsidR="00D31D9D">
        <w:rPr>
          <w:rFonts w:ascii="Garamond" w:hAnsi="Garamond"/>
          <w:sz w:val="28"/>
          <w:szCs w:val="28"/>
        </w:rPr>
        <w:t xml:space="preserve"> e tutelati</w:t>
      </w:r>
      <w:r>
        <w:rPr>
          <w:rFonts w:ascii="Garamond" w:hAnsi="Garamond"/>
          <w:sz w:val="28"/>
          <w:szCs w:val="28"/>
        </w:rPr>
        <w:t xml:space="preserve"> dalla nostra Costituzione.</w:t>
      </w:r>
    </w:p>
    <w:p w:rsidR="007625E7" w:rsidRDefault="002546D4" w:rsidP="00D31D9D">
      <w:pPr>
        <w:ind w:firstLine="709"/>
        <w:contextualSpacing/>
        <w:jc w:val="both"/>
        <w:rPr>
          <w:rFonts w:ascii="Garamond" w:hAnsi="Garamond"/>
          <w:sz w:val="28"/>
          <w:szCs w:val="28"/>
        </w:rPr>
      </w:pPr>
      <w:r>
        <w:rPr>
          <w:rFonts w:ascii="Garamond" w:hAnsi="Garamond"/>
          <w:sz w:val="28"/>
          <w:szCs w:val="28"/>
        </w:rPr>
        <w:t>Il</w:t>
      </w:r>
      <w:r w:rsidR="007625E7">
        <w:rPr>
          <w:rFonts w:ascii="Garamond" w:hAnsi="Garamond"/>
          <w:sz w:val="28"/>
          <w:szCs w:val="28"/>
        </w:rPr>
        <w:t xml:space="preserve"> doveroso</w:t>
      </w:r>
      <w:r>
        <w:rPr>
          <w:rFonts w:ascii="Garamond" w:hAnsi="Garamond"/>
          <w:sz w:val="28"/>
          <w:szCs w:val="28"/>
        </w:rPr>
        <w:t xml:space="preserve"> riconoscimento dell’autonomia individuale in materia di decisioni sanitarie, anche quelle estreme che preludono alla morte, e la</w:t>
      </w:r>
      <w:r w:rsidR="007625E7">
        <w:rPr>
          <w:rFonts w:ascii="Garamond" w:hAnsi="Garamond"/>
          <w:sz w:val="28"/>
          <w:szCs w:val="28"/>
        </w:rPr>
        <w:t xml:space="preserve"> riaffermata</w:t>
      </w:r>
      <w:r>
        <w:rPr>
          <w:rFonts w:ascii="Garamond" w:hAnsi="Garamond"/>
          <w:sz w:val="28"/>
          <w:szCs w:val="28"/>
        </w:rPr>
        <w:t xml:space="preserve"> centralità del consenso informato, quale massima espressione della dignità umana, hanno nella tutela dei soggetti più deboli il loro limite naturale, connaturato ad un ordinamento democratico fondato sul principio solidaristico, affinché non vada smarrita </w:t>
      </w:r>
      <w:r w:rsidR="00F91275">
        <w:rPr>
          <w:rFonts w:ascii="Garamond" w:hAnsi="Garamond"/>
          <w:sz w:val="28"/>
          <w:szCs w:val="28"/>
        </w:rPr>
        <w:t>«</w:t>
      </w:r>
      <w:r w:rsidR="00F91275">
        <w:rPr>
          <w:rFonts w:ascii="Garamond" w:hAnsi="Garamond"/>
          <w:i/>
          <w:sz w:val="28"/>
          <w:szCs w:val="28"/>
        </w:rPr>
        <w:t>la consapevolezza delle connessioni tra diritti e doveri che la Costituzione allestisce quali condizioni per un esercizio responsabile della libertà</w:t>
      </w:r>
      <w:r w:rsidR="00510D21">
        <w:rPr>
          <w:rFonts w:ascii="Garamond" w:hAnsi="Garamond"/>
          <w:i/>
          <w:sz w:val="28"/>
          <w:szCs w:val="28"/>
        </w:rPr>
        <w:t xml:space="preserve"> e per evitare che questa si riduca a rivendicazionismi individualistici</w:t>
      </w:r>
      <w:r w:rsidR="00510D21">
        <w:rPr>
          <w:rFonts w:ascii="Garamond" w:hAnsi="Garamond"/>
          <w:sz w:val="28"/>
          <w:szCs w:val="28"/>
        </w:rPr>
        <w:t>»</w:t>
      </w:r>
      <w:r w:rsidR="007625E7">
        <w:rPr>
          <w:rStyle w:val="Rimandonotaapidipagina"/>
          <w:rFonts w:ascii="Garamond" w:hAnsi="Garamond"/>
          <w:sz w:val="28"/>
          <w:szCs w:val="28"/>
        </w:rPr>
        <w:footnoteReference w:id="51"/>
      </w:r>
      <w:r w:rsidR="007625E7">
        <w:rPr>
          <w:rFonts w:ascii="Garamond" w:hAnsi="Garamond"/>
          <w:sz w:val="28"/>
          <w:szCs w:val="28"/>
        </w:rPr>
        <w:t>.</w:t>
      </w:r>
    </w:p>
    <w:p w:rsidR="002546D4" w:rsidRDefault="007625E7" w:rsidP="00D31D9D">
      <w:pPr>
        <w:ind w:firstLine="709"/>
        <w:contextualSpacing/>
        <w:jc w:val="both"/>
        <w:rPr>
          <w:rFonts w:ascii="Garamond" w:hAnsi="Garamond"/>
          <w:sz w:val="28"/>
          <w:szCs w:val="28"/>
        </w:rPr>
      </w:pPr>
      <w:r>
        <w:rPr>
          <w:rFonts w:ascii="Garamond" w:hAnsi="Garamond"/>
          <w:sz w:val="28"/>
          <w:szCs w:val="28"/>
        </w:rPr>
        <w:t>Ciò</w:t>
      </w:r>
      <w:r w:rsidR="00EE7222">
        <w:rPr>
          <w:rFonts w:ascii="Garamond" w:hAnsi="Garamond"/>
          <w:sz w:val="28"/>
          <w:szCs w:val="28"/>
        </w:rPr>
        <w:t xml:space="preserve"> non solo per evitare</w:t>
      </w:r>
      <w:r>
        <w:rPr>
          <w:rFonts w:ascii="Garamond" w:hAnsi="Garamond"/>
          <w:sz w:val="28"/>
          <w:szCs w:val="28"/>
        </w:rPr>
        <w:t>, in certe circostanze (si pensi al caso delle vaccinazioni)</w:t>
      </w:r>
      <w:r w:rsidR="00EE7222">
        <w:rPr>
          <w:rFonts w:ascii="Garamond" w:hAnsi="Garamond"/>
          <w:sz w:val="28"/>
          <w:szCs w:val="28"/>
        </w:rPr>
        <w:t xml:space="preserve"> che soggetti più vulnerabili siano lesi dalla scelte egoistiche di altri, più forti, ma anche</w:t>
      </w:r>
      <w:r>
        <w:rPr>
          <w:rFonts w:ascii="Garamond" w:hAnsi="Garamond"/>
          <w:sz w:val="28"/>
          <w:szCs w:val="28"/>
        </w:rPr>
        <w:t xml:space="preserve"> e soprattutto</w:t>
      </w:r>
      <w:r w:rsidR="00EE7222">
        <w:rPr>
          <w:rFonts w:ascii="Garamond" w:hAnsi="Garamond"/>
          <w:sz w:val="28"/>
          <w:szCs w:val="28"/>
        </w:rPr>
        <w:t xml:space="preserve"> per evitare</w:t>
      </w:r>
      <w:r>
        <w:rPr>
          <w:rFonts w:ascii="Garamond" w:hAnsi="Garamond"/>
          <w:sz w:val="28"/>
          <w:szCs w:val="28"/>
        </w:rPr>
        <w:t xml:space="preserve"> in altre circostanze (è il caso dell’eutanasia), come ha evidenziato la Corte costituzionale nella sentenza n 207 del 2018,</w:t>
      </w:r>
      <w:r w:rsidR="00EE7222">
        <w:rPr>
          <w:rFonts w:ascii="Garamond" w:hAnsi="Garamond"/>
          <w:sz w:val="28"/>
          <w:szCs w:val="28"/>
        </w:rPr>
        <w:t xml:space="preserve"> che gli stessi soggetti p</w:t>
      </w:r>
      <w:r>
        <w:rPr>
          <w:rFonts w:ascii="Garamond" w:hAnsi="Garamond"/>
          <w:sz w:val="28"/>
          <w:szCs w:val="28"/>
        </w:rPr>
        <w:t>iù vulnerabili</w:t>
      </w:r>
      <w:r w:rsidR="00EE7222">
        <w:rPr>
          <w:rFonts w:ascii="Garamond" w:hAnsi="Garamond"/>
          <w:sz w:val="28"/>
          <w:szCs w:val="28"/>
        </w:rPr>
        <w:t xml:space="preserve"> siano chiamati a prendere le proprie scelte nella solitudine esistenzial</w:t>
      </w:r>
      <w:r>
        <w:rPr>
          <w:rFonts w:ascii="Garamond" w:hAnsi="Garamond"/>
          <w:sz w:val="28"/>
          <w:szCs w:val="28"/>
        </w:rPr>
        <w:t>e di una condizione drammatica, dovuta non tanto alla</w:t>
      </w:r>
      <w:r w:rsidR="00D901A9">
        <w:rPr>
          <w:rFonts w:ascii="Garamond" w:hAnsi="Garamond"/>
          <w:sz w:val="28"/>
          <w:szCs w:val="28"/>
        </w:rPr>
        <w:t xml:space="preserve"> gravità della malattia e all’acuirsi della</w:t>
      </w:r>
      <w:r>
        <w:rPr>
          <w:rFonts w:ascii="Garamond" w:hAnsi="Garamond"/>
          <w:sz w:val="28"/>
          <w:szCs w:val="28"/>
        </w:rPr>
        <w:t xml:space="preserve"> sofferenza, quanto piuttosto a</w:t>
      </w:r>
      <w:r w:rsidR="00EE7222">
        <w:rPr>
          <w:rFonts w:ascii="Garamond" w:hAnsi="Garamond"/>
          <w:sz w:val="28"/>
          <w:szCs w:val="28"/>
        </w:rPr>
        <w:t>ll’</w:t>
      </w:r>
      <w:r>
        <w:rPr>
          <w:rFonts w:ascii="Garamond" w:hAnsi="Garamond"/>
          <w:sz w:val="28"/>
          <w:szCs w:val="28"/>
        </w:rPr>
        <w:t>emarginazione da parte di una</w:t>
      </w:r>
      <w:r w:rsidR="00EE7222">
        <w:rPr>
          <w:rFonts w:ascii="Garamond" w:hAnsi="Garamond"/>
          <w:sz w:val="28"/>
          <w:szCs w:val="28"/>
        </w:rPr>
        <w:t xml:space="preserve"> società</w:t>
      </w:r>
      <w:r>
        <w:rPr>
          <w:rFonts w:ascii="Garamond" w:hAnsi="Garamond"/>
          <w:sz w:val="28"/>
          <w:szCs w:val="28"/>
        </w:rPr>
        <w:t xml:space="preserve"> distratta e all’abbandono da parte </w:t>
      </w:r>
      <w:r w:rsidR="00436081">
        <w:rPr>
          <w:rFonts w:ascii="Garamond" w:hAnsi="Garamond"/>
          <w:sz w:val="28"/>
          <w:szCs w:val="28"/>
        </w:rPr>
        <w:t>di uno Stato indifferente, venuto meno al suo obbligo solidaristico.</w:t>
      </w:r>
    </w:p>
    <w:p w:rsidR="004D21AA" w:rsidRDefault="004D21AA" w:rsidP="00D31D9D">
      <w:pPr>
        <w:ind w:firstLine="709"/>
        <w:contextualSpacing/>
        <w:jc w:val="both"/>
        <w:rPr>
          <w:rFonts w:ascii="Garamond" w:hAnsi="Garamond"/>
          <w:sz w:val="28"/>
          <w:szCs w:val="28"/>
        </w:rPr>
      </w:pPr>
    </w:p>
    <w:p w:rsidR="004D21AA" w:rsidRDefault="004D21AA" w:rsidP="00D31D9D">
      <w:pPr>
        <w:ind w:firstLine="709"/>
        <w:contextualSpacing/>
        <w:jc w:val="both"/>
        <w:rPr>
          <w:rFonts w:ascii="Garamond" w:hAnsi="Garamond"/>
          <w:sz w:val="28"/>
          <w:szCs w:val="28"/>
        </w:rPr>
      </w:pPr>
    </w:p>
    <w:p w:rsidR="004D21AA" w:rsidRDefault="004D21AA" w:rsidP="00D31D9D">
      <w:pPr>
        <w:ind w:firstLine="709"/>
        <w:contextualSpacing/>
        <w:jc w:val="both"/>
        <w:rPr>
          <w:rFonts w:ascii="Garamond" w:hAnsi="Garamond"/>
          <w:sz w:val="28"/>
          <w:szCs w:val="28"/>
        </w:rPr>
      </w:pPr>
    </w:p>
    <w:p w:rsidR="004D21AA" w:rsidRPr="004D21AA" w:rsidRDefault="004D21AA" w:rsidP="004D21AA">
      <w:pPr>
        <w:ind w:firstLine="709"/>
        <w:contextualSpacing/>
        <w:jc w:val="right"/>
        <w:rPr>
          <w:rFonts w:ascii="Garamond" w:hAnsi="Garamond"/>
          <w:b/>
          <w:sz w:val="28"/>
          <w:szCs w:val="28"/>
        </w:rPr>
      </w:pPr>
      <w:r w:rsidRPr="004D21AA">
        <w:rPr>
          <w:rFonts w:ascii="Garamond" w:hAnsi="Garamond"/>
          <w:b/>
          <w:sz w:val="28"/>
          <w:szCs w:val="28"/>
        </w:rPr>
        <w:t xml:space="preserve">Massimiliano </w:t>
      </w:r>
      <w:proofErr w:type="spellStart"/>
      <w:r w:rsidRPr="004D21AA">
        <w:rPr>
          <w:rFonts w:ascii="Garamond" w:hAnsi="Garamond"/>
          <w:b/>
          <w:sz w:val="28"/>
          <w:szCs w:val="28"/>
        </w:rPr>
        <w:t>Noccelli</w:t>
      </w:r>
      <w:proofErr w:type="spellEnd"/>
    </w:p>
    <w:p w:rsidR="004D21AA" w:rsidRDefault="004D21AA" w:rsidP="004D21AA">
      <w:pPr>
        <w:ind w:firstLine="709"/>
        <w:contextualSpacing/>
        <w:jc w:val="right"/>
        <w:rPr>
          <w:rFonts w:ascii="Garamond" w:hAnsi="Garamond"/>
          <w:sz w:val="28"/>
          <w:szCs w:val="28"/>
        </w:rPr>
      </w:pPr>
      <w:r>
        <w:rPr>
          <w:rFonts w:ascii="Garamond" w:hAnsi="Garamond"/>
          <w:sz w:val="28"/>
          <w:szCs w:val="28"/>
        </w:rPr>
        <w:t>Consigliere di Stato</w:t>
      </w:r>
    </w:p>
    <w:p w:rsidR="004D21AA" w:rsidRDefault="004D21AA" w:rsidP="004D21AA">
      <w:pPr>
        <w:ind w:firstLine="709"/>
        <w:contextualSpacing/>
        <w:jc w:val="right"/>
        <w:rPr>
          <w:rFonts w:ascii="Garamond" w:hAnsi="Garamond"/>
          <w:sz w:val="28"/>
          <w:szCs w:val="28"/>
        </w:rPr>
      </w:pPr>
    </w:p>
    <w:p w:rsidR="004D21AA" w:rsidRPr="00510D21" w:rsidRDefault="004D21AA" w:rsidP="004D21AA">
      <w:pPr>
        <w:ind w:firstLine="709"/>
        <w:contextualSpacing/>
        <w:jc w:val="right"/>
        <w:rPr>
          <w:rFonts w:ascii="Garamond" w:hAnsi="Garamond"/>
          <w:sz w:val="28"/>
          <w:szCs w:val="28"/>
        </w:rPr>
      </w:pPr>
      <w:r>
        <w:rPr>
          <w:rFonts w:ascii="Garamond" w:hAnsi="Garamond"/>
          <w:sz w:val="28"/>
          <w:szCs w:val="28"/>
        </w:rPr>
        <w:t>25 marzo 2019</w:t>
      </w:r>
    </w:p>
    <w:sectPr w:rsidR="004D21AA" w:rsidRPr="00510D2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BB" w:rsidRDefault="00EF22BB" w:rsidP="00B83BA5">
      <w:pPr>
        <w:spacing w:after="0" w:line="240" w:lineRule="auto"/>
      </w:pPr>
      <w:r>
        <w:separator/>
      </w:r>
    </w:p>
  </w:endnote>
  <w:endnote w:type="continuationSeparator" w:id="0">
    <w:p w:rsidR="00EF22BB" w:rsidRDefault="00EF22BB" w:rsidP="00B8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571821"/>
      <w:docPartObj>
        <w:docPartGallery w:val="Page Numbers (Bottom of Page)"/>
        <w:docPartUnique/>
      </w:docPartObj>
    </w:sdtPr>
    <w:sdtEndPr/>
    <w:sdtContent>
      <w:p w:rsidR="00B01990" w:rsidRDefault="00B01990">
        <w:pPr>
          <w:pStyle w:val="Pidipagina"/>
          <w:jc w:val="center"/>
        </w:pPr>
        <w:r>
          <w:fldChar w:fldCharType="begin"/>
        </w:r>
        <w:r>
          <w:instrText>PAGE   \* MERGEFORMAT</w:instrText>
        </w:r>
        <w:r>
          <w:fldChar w:fldCharType="separate"/>
        </w:r>
        <w:r w:rsidR="004D21AA">
          <w:rPr>
            <w:noProof/>
          </w:rPr>
          <w:t>1</w:t>
        </w:r>
        <w:r>
          <w:fldChar w:fldCharType="end"/>
        </w:r>
      </w:p>
    </w:sdtContent>
  </w:sdt>
  <w:p w:rsidR="00B01990" w:rsidRDefault="00B0199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BB" w:rsidRDefault="00EF22BB" w:rsidP="00B83BA5">
      <w:pPr>
        <w:spacing w:after="0" w:line="240" w:lineRule="auto"/>
      </w:pPr>
      <w:r>
        <w:separator/>
      </w:r>
    </w:p>
  </w:footnote>
  <w:footnote w:type="continuationSeparator" w:id="0">
    <w:p w:rsidR="00EF22BB" w:rsidRDefault="00EF22BB" w:rsidP="00B83BA5">
      <w:pPr>
        <w:spacing w:after="0" w:line="240" w:lineRule="auto"/>
      </w:pPr>
      <w:r>
        <w:continuationSeparator/>
      </w:r>
    </w:p>
  </w:footnote>
  <w:footnote w:id="1">
    <w:p w:rsidR="00B01990" w:rsidRPr="00572EAF" w:rsidRDefault="00B01990" w:rsidP="00C347DB">
      <w:pPr>
        <w:pStyle w:val="Testonotaapidipagina"/>
        <w:ind w:firstLine="709"/>
        <w:jc w:val="both"/>
        <w:rPr>
          <w:rFonts w:ascii="Garamond" w:hAnsi="Garamond"/>
          <w:sz w:val="24"/>
          <w:szCs w:val="24"/>
        </w:rPr>
      </w:pPr>
      <w:r w:rsidRPr="00C347DB">
        <w:rPr>
          <w:rStyle w:val="Rimandonotaapidipagina"/>
          <w:rFonts w:ascii="Garamond" w:hAnsi="Garamond"/>
          <w:sz w:val="24"/>
          <w:szCs w:val="24"/>
        </w:rPr>
        <w:footnoteRef/>
      </w:r>
      <w:r w:rsidRPr="00C347DB">
        <w:rPr>
          <w:rFonts w:ascii="Garamond" w:hAnsi="Garamond"/>
          <w:sz w:val="24"/>
          <w:szCs w:val="24"/>
        </w:rPr>
        <w:t xml:space="preserve"> </w:t>
      </w:r>
      <w:r>
        <w:rPr>
          <w:rFonts w:ascii="Garamond" w:hAnsi="Garamond"/>
          <w:sz w:val="24"/>
          <w:szCs w:val="24"/>
        </w:rPr>
        <w:t xml:space="preserve">Sul rapporto tra autorità e libertà v., tra gli altri, le considerazioni di </w:t>
      </w:r>
      <w:r w:rsidRPr="00572EAF">
        <w:rPr>
          <w:rFonts w:ascii="Garamond" w:hAnsi="Garamond"/>
          <w:smallCaps/>
          <w:sz w:val="24"/>
          <w:szCs w:val="24"/>
        </w:rPr>
        <w:t>B. Sordi</w:t>
      </w:r>
      <w:r>
        <w:rPr>
          <w:rFonts w:ascii="Garamond" w:hAnsi="Garamond"/>
          <w:sz w:val="24"/>
          <w:szCs w:val="24"/>
        </w:rPr>
        <w:t xml:space="preserve">, </w:t>
      </w:r>
      <w:r>
        <w:rPr>
          <w:rFonts w:ascii="Garamond" w:hAnsi="Garamond"/>
          <w:i/>
          <w:sz w:val="24"/>
          <w:szCs w:val="24"/>
        </w:rPr>
        <w:t>Al di là del nesso autorità e libertà: i nuovi sentieri della divisione dei poteri</w:t>
      </w:r>
      <w:r>
        <w:rPr>
          <w:rFonts w:ascii="Garamond" w:hAnsi="Garamond"/>
          <w:sz w:val="24"/>
          <w:szCs w:val="24"/>
        </w:rPr>
        <w:t xml:space="preserve">, in </w:t>
      </w:r>
      <w:r w:rsidRPr="00572EAF">
        <w:rPr>
          <w:rFonts w:ascii="Garamond" w:hAnsi="Garamond"/>
          <w:smallCaps/>
          <w:sz w:val="24"/>
          <w:szCs w:val="24"/>
        </w:rPr>
        <w:t xml:space="preserve">S. </w:t>
      </w:r>
      <w:proofErr w:type="spellStart"/>
      <w:r w:rsidRPr="00572EAF">
        <w:rPr>
          <w:rFonts w:ascii="Garamond" w:hAnsi="Garamond"/>
          <w:smallCaps/>
          <w:sz w:val="24"/>
          <w:szCs w:val="24"/>
        </w:rPr>
        <w:t>Perongini</w:t>
      </w:r>
      <w:proofErr w:type="spellEnd"/>
      <w:r>
        <w:rPr>
          <w:rFonts w:ascii="Garamond" w:hAnsi="Garamond"/>
          <w:sz w:val="24"/>
          <w:szCs w:val="24"/>
        </w:rPr>
        <w:t xml:space="preserve"> (a cura di), </w:t>
      </w:r>
      <w:r>
        <w:rPr>
          <w:rFonts w:ascii="Garamond" w:hAnsi="Garamond"/>
          <w:i/>
          <w:sz w:val="24"/>
          <w:szCs w:val="24"/>
        </w:rPr>
        <w:t>Al di là del nesso autorità e libertà: tra legge e amministrazione</w:t>
      </w:r>
      <w:r>
        <w:rPr>
          <w:rFonts w:ascii="Garamond" w:hAnsi="Garamond"/>
          <w:sz w:val="24"/>
          <w:szCs w:val="24"/>
        </w:rPr>
        <w:t>, Torino, 2017, pp. 11-17.</w:t>
      </w:r>
    </w:p>
  </w:footnote>
  <w:footnote w:id="2">
    <w:p w:rsidR="00B01990" w:rsidRPr="00D47451" w:rsidRDefault="00B01990" w:rsidP="00C347DB">
      <w:pPr>
        <w:pStyle w:val="Testonotaapidipagina"/>
        <w:ind w:firstLine="709"/>
        <w:jc w:val="both"/>
        <w:rPr>
          <w:rFonts w:ascii="Garamond" w:hAnsi="Garamond"/>
          <w:sz w:val="24"/>
          <w:szCs w:val="24"/>
        </w:rPr>
      </w:pPr>
      <w:r w:rsidRPr="00C347DB">
        <w:rPr>
          <w:rStyle w:val="Rimandonotaapidipagina"/>
          <w:rFonts w:ascii="Garamond" w:hAnsi="Garamond"/>
          <w:sz w:val="24"/>
          <w:szCs w:val="24"/>
        </w:rPr>
        <w:footnoteRef/>
      </w:r>
      <w:r w:rsidRPr="00C347DB">
        <w:rPr>
          <w:rFonts w:ascii="Garamond" w:hAnsi="Garamond"/>
          <w:sz w:val="24"/>
          <w:szCs w:val="24"/>
        </w:rPr>
        <w:t xml:space="preserve"> Sulla</w:t>
      </w:r>
      <w:r w:rsidRPr="00D47451">
        <w:rPr>
          <w:rFonts w:ascii="Garamond" w:hAnsi="Garamond"/>
          <w:sz w:val="24"/>
          <w:szCs w:val="24"/>
        </w:rPr>
        <w:t xml:space="preserve"> l. n. 219 del 2017 esiste ormai una letteratura sterminata. V., tra gli altri contributi, </w:t>
      </w:r>
      <w:r w:rsidRPr="00D47451">
        <w:rPr>
          <w:rFonts w:ascii="Garamond" w:hAnsi="Garamond"/>
          <w:smallCaps/>
          <w:sz w:val="24"/>
          <w:szCs w:val="24"/>
        </w:rPr>
        <w:t>P. Borsellino</w:t>
      </w:r>
      <w:r w:rsidRPr="00D47451">
        <w:rPr>
          <w:rFonts w:ascii="Garamond" w:hAnsi="Garamond"/>
          <w:sz w:val="24"/>
          <w:szCs w:val="24"/>
        </w:rPr>
        <w:t xml:space="preserve">, </w:t>
      </w:r>
      <w:r w:rsidRPr="00D47451">
        <w:rPr>
          <w:rFonts w:ascii="Garamond" w:hAnsi="Garamond"/>
          <w:i/>
          <w:sz w:val="24"/>
          <w:szCs w:val="24"/>
        </w:rPr>
        <w:t>“</w:t>
      </w:r>
      <w:proofErr w:type="spellStart"/>
      <w:r w:rsidRPr="00D47451">
        <w:rPr>
          <w:rFonts w:ascii="Garamond" w:hAnsi="Garamond"/>
          <w:i/>
          <w:sz w:val="24"/>
          <w:szCs w:val="24"/>
        </w:rPr>
        <w:t>Biotestamento</w:t>
      </w:r>
      <w:proofErr w:type="spellEnd"/>
      <w:r w:rsidRPr="00D47451">
        <w:rPr>
          <w:rFonts w:ascii="Garamond" w:hAnsi="Garamond"/>
          <w:i/>
          <w:sz w:val="24"/>
          <w:szCs w:val="24"/>
        </w:rPr>
        <w:t>”: i confini della relazione terapeutica e il mandato di cura</w:t>
      </w:r>
      <w:r w:rsidRPr="00D47451">
        <w:rPr>
          <w:rFonts w:ascii="Garamond" w:hAnsi="Garamond"/>
          <w:sz w:val="24"/>
          <w:szCs w:val="24"/>
        </w:rPr>
        <w:t xml:space="preserve">, in </w:t>
      </w:r>
      <w:proofErr w:type="spellStart"/>
      <w:r w:rsidRPr="00D47451">
        <w:rPr>
          <w:rFonts w:ascii="Garamond" w:hAnsi="Garamond"/>
          <w:i/>
          <w:sz w:val="24"/>
          <w:szCs w:val="24"/>
        </w:rPr>
        <w:t>Fam</w:t>
      </w:r>
      <w:proofErr w:type="spellEnd"/>
      <w:r w:rsidRPr="00D47451">
        <w:rPr>
          <w:rFonts w:ascii="Garamond" w:hAnsi="Garamond"/>
          <w:i/>
          <w:sz w:val="24"/>
          <w:szCs w:val="24"/>
        </w:rPr>
        <w:t xml:space="preserve">. </w:t>
      </w:r>
      <w:proofErr w:type="gramStart"/>
      <w:r w:rsidRPr="00D47451">
        <w:rPr>
          <w:rFonts w:ascii="Garamond" w:hAnsi="Garamond"/>
          <w:i/>
          <w:sz w:val="24"/>
          <w:szCs w:val="24"/>
        </w:rPr>
        <w:t>e</w:t>
      </w:r>
      <w:proofErr w:type="gramEnd"/>
      <w:r w:rsidRPr="00D47451">
        <w:rPr>
          <w:rFonts w:ascii="Garamond" w:hAnsi="Garamond"/>
          <w:i/>
          <w:sz w:val="24"/>
          <w:szCs w:val="24"/>
        </w:rPr>
        <w:t xml:space="preserve"> dir.</w:t>
      </w:r>
      <w:r w:rsidRPr="00D47451">
        <w:rPr>
          <w:rFonts w:ascii="Garamond" w:hAnsi="Garamond"/>
          <w:sz w:val="24"/>
          <w:szCs w:val="24"/>
        </w:rPr>
        <w:t>, 2018, 8-9, p. 789 e ss.</w:t>
      </w:r>
    </w:p>
  </w:footnote>
  <w:footnote w:id="3">
    <w:p w:rsidR="00B01990" w:rsidRPr="00F7460A" w:rsidRDefault="00B01990" w:rsidP="00F7460A">
      <w:pPr>
        <w:pStyle w:val="Testonotaapidipagina"/>
        <w:ind w:firstLine="709"/>
        <w:jc w:val="both"/>
        <w:rPr>
          <w:rFonts w:ascii="Garamond" w:hAnsi="Garamond"/>
          <w:sz w:val="24"/>
          <w:szCs w:val="24"/>
        </w:rPr>
      </w:pPr>
      <w:r w:rsidRPr="00D47451">
        <w:rPr>
          <w:rStyle w:val="Rimandonotaapidipagina"/>
          <w:rFonts w:ascii="Garamond" w:hAnsi="Garamond"/>
          <w:sz w:val="24"/>
          <w:szCs w:val="24"/>
        </w:rPr>
        <w:footnoteRef/>
      </w:r>
      <w:r w:rsidRPr="00D47451">
        <w:rPr>
          <w:rFonts w:ascii="Garamond" w:hAnsi="Garamond"/>
          <w:sz w:val="24"/>
          <w:szCs w:val="24"/>
        </w:rPr>
        <w:t xml:space="preserve"> </w:t>
      </w:r>
      <w:r>
        <w:rPr>
          <w:rFonts w:ascii="Garamond" w:hAnsi="Garamond"/>
          <w:sz w:val="24"/>
          <w:szCs w:val="24"/>
        </w:rPr>
        <w:t xml:space="preserve">L’implicazione tra diritti fondamentali ed esercizio del potere pubblico nella organizzazione amministrativa e il conseguente radicamento della tutela giurisdizionale dei diritti fondamentali avanti al </w:t>
      </w:r>
      <w:r w:rsidRPr="00F7460A">
        <w:rPr>
          <w:rFonts w:ascii="Garamond" w:hAnsi="Garamond"/>
          <w:sz w:val="24"/>
          <w:szCs w:val="24"/>
        </w:rPr>
        <w:t xml:space="preserve">giudice amministrativo è stata di recente indagata, tra gli altri, da </w:t>
      </w:r>
      <w:r w:rsidRPr="00F7460A">
        <w:rPr>
          <w:rFonts w:ascii="Garamond" w:hAnsi="Garamond"/>
          <w:smallCaps/>
          <w:sz w:val="24"/>
          <w:szCs w:val="24"/>
        </w:rPr>
        <w:t>L. Tarantino</w:t>
      </w:r>
      <w:r w:rsidRPr="00F7460A">
        <w:rPr>
          <w:rFonts w:ascii="Garamond" w:hAnsi="Garamond"/>
          <w:sz w:val="24"/>
          <w:szCs w:val="24"/>
        </w:rPr>
        <w:t xml:space="preserve">, </w:t>
      </w:r>
      <w:r w:rsidRPr="00F7460A">
        <w:rPr>
          <w:rFonts w:ascii="Garamond" w:hAnsi="Garamond"/>
          <w:i/>
          <w:sz w:val="24"/>
          <w:szCs w:val="24"/>
        </w:rPr>
        <w:t>Il giudice amministrativo al cospetto dei diritti fondamentali</w:t>
      </w:r>
      <w:r w:rsidRPr="00F7460A">
        <w:rPr>
          <w:rFonts w:ascii="Garamond" w:hAnsi="Garamond"/>
          <w:sz w:val="24"/>
          <w:szCs w:val="24"/>
        </w:rPr>
        <w:t xml:space="preserve">, in </w:t>
      </w:r>
      <w:proofErr w:type="spellStart"/>
      <w:r w:rsidRPr="00F7460A">
        <w:rPr>
          <w:rFonts w:ascii="Garamond" w:hAnsi="Garamond"/>
          <w:i/>
          <w:sz w:val="24"/>
          <w:szCs w:val="24"/>
        </w:rPr>
        <w:t>Urb</w:t>
      </w:r>
      <w:proofErr w:type="spellEnd"/>
      <w:r w:rsidRPr="00F7460A">
        <w:rPr>
          <w:rFonts w:ascii="Garamond" w:hAnsi="Garamond"/>
          <w:i/>
          <w:sz w:val="24"/>
          <w:szCs w:val="24"/>
        </w:rPr>
        <w:t xml:space="preserve">. </w:t>
      </w:r>
      <w:proofErr w:type="gramStart"/>
      <w:r w:rsidRPr="00F7460A">
        <w:rPr>
          <w:rFonts w:ascii="Garamond" w:hAnsi="Garamond"/>
          <w:i/>
          <w:sz w:val="24"/>
          <w:szCs w:val="24"/>
        </w:rPr>
        <w:t>e</w:t>
      </w:r>
      <w:proofErr w:type="gramEnd"/>
      <w:r w:rsidRPr="00F7460A">
        <w:rPr>
          <w:rFonts w:ascii="Garamond" w:hAnsi="Garamond"/>
          <w:i/>
          <w:sz w:val="24"/>
          <w:szCs w:val="24"/>
        </w:rPr>
        <w:t xml:space="preserve"> </w:t>
      </w:r>
      <w:proofErr w:type="spellStart"/>
      <w:r w:rsidRPr="00F7460A">
        <w:rPr>
          <w:rFonts w:ascii="Garamond" w:hAnsi="Garamond"/>
          <w:i/>
          <w:sz w:val="24"/>
          <w:szCs w:val="24"/>
        </w:rPr>
        <w:t>app</w:t>
      </w:r>
      <w:proofErr w:type="spellEnd"/>
      <w:r w:rsidRPr="00F7460A">
        <w:rPr>
          <w:rFonts w:ascii="Garamond" w:hAnsi="Garamond"/>
          <w:i/>
          <w:sz w:val="24"/>
          <w:szCs w:val="24"/>
        </w:rPr>
        <w:t>.</w:t>
      </w:r>
      <w:r w:rsidRPr="00F7460A">
        <w:rPr>
          <w:rFonts w:ascii="Garamond" w:hAnsi="Garamond"/>
          <w:sz w:val="24"/>
          <w:szCs w:val="24"/>
        </w:rPr>
        <w:t>, 2018, 6, p. 735 e ss. e, in particolare, pp. 742-743.</w:t>
      </w:r>
    </w:p>
  </w:footnote>
  <w:footnote w:id="4">
    <w:p w:rsidR="00B01990" w:rsidRPr="00F7460A" w:rsidRDefault="00B01990" w:rsidP="00F7460A">
      <w:pPr>
        <w:pStyle w:val="Testonotaapidipagina"/>
        <w:ind w:firstLine="709"/>
        <w:jc w:val="both"/>
        <w:rPr>
          <w:rFonts w:ascii="Garamond" w:hAnsi="Garamond"/>
          <w:sz w:val="24"/>
          <w:szCs w:val="24"/>
        </w:rPr>
      </w:pPr>
      <w:r w:rsidRPr="00F7460A">
        <w:rPr>
          <w:rStyle w:val="Rimandonotaapidipagina"/>
          <w:rFonts w:ascii="Garamond" w:hAnsi="Garamond"/>
          <w:sz w:val="24"/>
          <w:szCs w:val="24"/>
        </w:rPr>
        <w:footnoteRef/>
      </w:r>
      <w:r w:rsidRPr="00F7460A">
        <w:rPr>
          <w:rFonts w:ascii="Garamond" w:hAnsi="Garamond"/>
          <w:sz w:val="24"/>
          <w:szCs w:val="24"/>
        </w:rPr>
        <w:t xml:space="preserve"> </w:t>
      </w:r>
      <w:r>
        <w:rPr>
          <w:rFonts w:ascii="Garamond" w:hAnsi="Garamond"/>
          <w:sz w:val="24"/>
          <w:szCs w:val="24"/>
        </w:rPr>
        <w:t xml:space="preserve">Così </w:t>
      </w:r>
      <w:r w:rsidRPr="00572EAF">
        <w:rPr>
          <w:rFonts w:ascii="Garamond" w:hAnsi="Garamond"/>
          <w:smallCaps/>
          <w:sz w:val="24"/>
          <w:szCs w:val="24"/>
        </w:rPr>
        <w:t>B. Sordi</w:t>
      </w:r>
      <w:r>
        <w:rPr>
          <w:rFonts w:ascii="Garamond" w:hAnsi="Garamond"/>
          <w:sz w:val="24"/>
          <w:szCs w:val="24"/>
        </w:rPr>
        <w:t xml:space="preserve">, </w:t>
      </w:r>
      <w:r>
        <w:rPr>
          <w:rFonts w:ascii="Garamond" w:hAnsi="Garamond"/>
          <w:i/>
          <w:sz w:val="24"/>
          <w:szCs w:val="24"/>
        </w:rPr>
        <w:t>Al di là del nesso autorità e libertà</w:t>
      </w:r>
      <w:r>
        <w:rPr>
          <w:rFonts w:ascii="Garamond" w:hAnsi="Garamond"/>
          <w:sz w:val="24"/>
          <w:szCs w:val="24"/>
        </w:rPr>
        <w:t>, cit., p. 13.</w:t>
      </w:r>
    </w:p>
  </w:footnote>
  <w:footnote w:id="5">
    <w:p w:rsidR="00B01990" w:rsidRPr="00A45048" w:rsidRDefault="00B01990" w:rsidP="00D47451">
      <w:pPr>
        <w:pStyle w:val="Testonotaapidipagina"/>
        <w:ind w:firstLine="709"/>
        <w:jc w:val="both"/>
        <w:rPr>
          <w:rFonts w:ascii="Garamond" w:hAnsi="Garamond"/>
          <w:sz w:val="24"/>
          <w:szCs w:val="24"/>
        </w:rPr>
      </w:pPr>
      <w:r w:rsidRPr="00D47451">
        <w:rPr>
          <w:rStyle w:val="Rimandonotaapidipagina"/>
          <w:rFonts w:ascii="Garamond" w:hAnsi="Garamond"/>
          <w:sz w:val="24"/>
          <w:szCs w:val="24"/>
        </w:rPr>
        <w:footnoteRef/>
      </w:r>
      <w:r w:rsidRPr="00D47451">
        <w:rPr>
          <w:rFonts w:ascii="Garamond" w:hAnsi="Garamond"/>
          <w:sz w:val="24"/>
          <w:szCs w:val="24"/>
        </w:rPr>
        <w:t xml:space="preserve"> </w:t>
      </w:r>
      <w:proofErr w:type="spellStart"/>
      <w:r w:rsidRPr="00D47451">
        <w:rPr>
          <w:rFonts w:ascii="Garamond" w:hAnsi="Garamond"/>
          <w:sz w:val="24"/>
          <w:szCs w:val="24"/>
        </w:rPr>
        <w:t>Cons</w:t>
      </w:r>
      <w:proofErr w:type="spellEnd"/>
      <w:r w:rsidRPr="00D47451">
        <w:rPr>
          <w:rFonts w:ascii="Garamond" w:hAnsi="Garamond"/>
          <w:sz w:val="24"/>
          <w:szCs w:val="24"/>
        </w:rPr>
        <w:t xml:space="preserve">. </w:t>
      </w:r>
      <w:proofErr w:type="gramStart"/>
      <w:r w:rsidRPr="00D47451">
        <w:rPr>
          <w:rFonts w:ascii="Garamond" w:hAnsi="Garamond"/>
          <w:sz w:val="24"/>
          <w:szCs w:val="24"/>
        </w:rPr>
        <w:t>St.,</w:t>
      </w:r>
      <w:proofErr w:type="gramEnd"/>
      <w:r w:rsidRPr="00D47451">
        <w:rPr>
          <w:rFonts w:ascii="Garamond" w:hAnsi="Garamond"/>
          <w:sz w:val="24"/>
          <w:szCs w:val="24"/>
        </w:rPr>
        <w:t xml:space="preserve"> comm</w:t>
      </w:r>
      <w:r w:rsidRPr="00A45048">
        <w:rPr>
          <w:rFonts w:ascii="Garamond" w:hAnsi="Garamond"/>
          <w:sz w:val="24"/>
          <w:szCs w:val="24"/>
        </w:rPr>
        <w:t>. spe</w:t>
      </w:r>
      <w:r>
        <w:rPr>
          <w:rFonts w:ascii="Garamond" w:hAnsi="Garamond"/>
          <w:sz w:val="24"/>
          <w:szCs w:val="24"/>
        </w:rPr>
        <w:t>c., 31 luglio 2018, n. 1991/2018 (in affare n. 1298/2018)</w:t>
      </w:r>
      <w:r w:rsidRPr="00A45048">
        <w:rPr>
          <w:rFonts w:ascii="Garamond" w:hAnsi="Garamond"/>
          <w:sz w:val="24"/>
          <w:szCs w:val="24"/>
        </w:rPr>
        <w:t xml:space="preserve">, in </w:t>
      </w:r>
      <w:r w:rsidRPr="00A45048">
        <w:rPr>
          <w:rFonts w:ascii="Garamond" w:hAnsi="Garamond"/>
          <w:i/>
          <w:sz w:val="24"/>
          <w:szCs w:val="24"/>
        </w:rPr>
        <w:t xml:space="preserve">Foro </w:t>
      </w:r>
      <w:proofErr w:type="spellStart"/>
      <w:r w:rsidRPr="00A45048">
        <w:rPr>
          <w:rFonts w:ascii="Garamond" w:hAnsi="Garamond"/>
          <w:i/>
          <w:sz w:val="24"/>
          <w:szCs w:val="24"/>
        </w:rPr>
        <w:t>amm</w:t>
      </w:r>
      <w:proofErr w:type="spellEnd"/>
      <w:r w:rsidRPr="00A45048">
        <w:rPr>
          <w:rFonts w:ascii="Garamond" w:hAnsi="Garamond"/>
          <w:i/>
          <w:sz w:val="24"/>
          <w:szCs w:val="24"/>
        </w:rPr>
        <w:t>.</w:t>
      </w:r>
      <w:r w:rsidRPr="00A45048">
        <w:rPr>
          <w:rFonts w:ascii="Garamond" w:hAnsi="Garamond"/>
          <w:sz w:val="24"/>
          <w:szCs w:val="24"/>
        </w:rPr>
        <w:t>, 2018, 7-8, pp. 1236-1243.</w:t>
      </w:r>
    </w:p>
  </w:footnote>
  <w:footnote w:id="6">
    <w:p w:rsidR="00B01990" w:rsidRPr="008252CB" w:rsidRDefault="00B01990" w:rsidP="00A45048">
      <w:pPr>
        <w:pStyle w:val="Testonotaapidipagina"/>
        <w:ind w:firstLine="709"/>
        <w:rPr>
          <w:rFonts w:ascii="Garamond" w:hAnsi="Garamond"/>
          <w:sz w:val="24"/>
          <w:szCs w:val="24"/>
        </w:rPr>
      </w:pPr>
      <w:r w:rsidRPr="00A45048">
        <w:rPr>
          <w:rStyle w:val="Rimandonotaapidipagina"/>
          <w:rFonts w:ascii="Garamond" w:hAnsi="Garamond"/>
          <w:sz w:val="24"/>
          <w:szCs w:val="24"/>
        </w:rPr>
        <w:footnoteRef/>
      </w:r>
      <w:r w:rsidRPr="00A45048">
        <w:rPr>
          <w:rFonts w:ascii="Garamond" w:hAnsi="Garamond"/>
          <w:sz w:val="24"/>
          <w:szCs w:val="24"/>
        </w:rPr>
        <w:t xml:space="preserve"> </w:t>
      </w:r>
      <w:proofErr w:type="spellStart"/>
      <w:r>
        <w:rPr>
          <w:rFonts w:ascii="Garamond" w:hAnsi="Garamond"/>
          <w:sz w:val="24"/>
          <w:szCs w:val="24"/>
        </w:rPr>
        <w:t>Cons</w:t>
      </w:r>
      <w:proofErr w:type="spellEnd"/>
      <w:r>
        <w:rPr>
          <w:rFonts w:ascii="Garamond" w:hAnsi="Garamond"/>
          <w:sz w:val="24"/>
          <w:szCs w:val="24"/>
        </w:rPr>
        <w:t xml:space="preserve">. </w:t>
      </w:r>
      <w:proofErr w:type="gramStart"/>
      <w:r w:rsidRPr="008252CB">
        <w:rPr>
          <w:rFonts w:ascii="Garamond" w:hAnsi="Garamond"/>
          <w:sz w:val="24"/>
          <w:szCs w:val="24"/>
        </w:rPr>
        <w:t>St.,</w:t>
      </w:r>
      <w:proofErr w:type="gramEnd"/>
      <w:r w:rsidRPr="008252CB">
        <w:rPr>
          <w:rFonts w:ascii="Garamond" w:hAnsi="Garamond"/>
          <w:sz w:val="24"/>
          <w:szCs w:val="24"/>
        </w:rPr>
        <w:t xml:space="preserve"> comm. spec., 31 luglio 2018, n. </w:t>
      </w:r>
      <w:r>
        <w:rPr>
          <w:rFonts w:ascii="Garamond" w:hAnsi="Garamond"/>
          <w:sz w:val="24"/>
          <w:szCs w:val="24"/>
        </w:rPr>
        <w:t>1991/2018</w:t>
      </w:r>
      <w:r w:rsidRPr="008252CB">
        <w:rPr>
          <w:rFonts w:ascii="Garamond" w:hAnsi="Garamond"/>
          <w:sz w:val="24"/>
          <w:szCs w:val="24"/>
        </w:rPr>
        <w:t>, cit., p. 1237.</w:t>
      </w:r>
    </w:p>
  </w:footnote>
  <w:footnote w:id="7">
    <w:p w:rsidR="00B01990" w:rsidRPr="00FC1808" w:rsidRDefault="00B01990" w:rsidP="00FC1808">
      <w:pPr>
        <w:pStyle w:val="Testonotaapidipagina"/>
        <w:ind w:firstLine="709"/>
        <w:jc w:val="both"/>
        <w:rPr>
          <w:rFonts w:ascii="Garamond" w:hAnsi="Garamond"/>
          <w:sz w:val="24"/>
          <w:szCs w:val="24"/>
        </w:rPr>
      </w:pPr>
      <w:r w:rsidRPr="00FC1808">
        <w:rPr>
          <w:rStyle w:val="Rimandonotaapidipagina"/>
          <w:rFonts w:ascii="Garamond" w:hAnsi="Garamond"/>
          <w:sz w:val="24"/>
          <w:szCs w:val="24"/>
        </w:rPr>
        <w:footnoteRef/>
      </w:r>
      <w:r w:rsidRPr="00FC1808">
        <w:rPr>
          <w:rFonts w:ascii="Garamond" w:hAnsi="Garamond"/>
          <w:sz w:val="24"/>
          <w:szCs w:val="24"/>
        </w:rPr>
        <w:t xml:space="preserve"> Sul tema v. di recente </w:t>
      </w:r>
      <w:r w:rsidRPr="00FC1808">
        <w:rPr>
          <w:rFonts w:ascii="Garamond" w:hAnsi="Garamond"/>
          <w:smallCaps/>
          <w:sz w:val="24"/>
          <w:szCs w:val="24"/>
        </w:rPr>
        <w:t>M. Foglia</w:t>
      </w:r>
      <w:r w:rsidRPr="00FC1808">
        <w:rPr>
          <w:rFonts w:ascii="Garamond" w:hAnsi="Garamond"/>
          <w:sz w:val="24"/>
          <w:szCs w:val="24"/>
        </w:rPr>
        <w:t xml:space="preserve">, </w:t>
      </w:r>
      <w:r w:rsidRPr="00FC1808">
        <w:rPr>
          <w:rFonts w:ascii="Garamond" w:hAnsi="Garamond"/>
          <w:i/>
          <w:sz w:val="24"/>
          <w:szCs w:val="24"/>
        </w:rPr>
        <w:t>Consenso e cura. La solidarietà nel rapporto terapeutico</w:t>
      </w:r>
      <w:r w:rsidRPr="00FC1808">
        <w:rPr>
          <w:rFonts w:ascii="Garamond" w:hAnsi="Garamond"/>
          <w:sz w:val="24"/>
          <w:szCs w:val="24"/>
        </w:rPr>
        <w:t xml:space="preserve">, Torino, 2018, p. 2; </w:t>
      </w:r>
      <w:r w:rsidRPr="00FC1808">
        <w:rPr>
          <w:rFonts w:ascii="Garamond" w:hAnsi="Garamond"/>
          <w:smallCaps/>
          <w:sz w:val="24"/>
          <w:szCs w:val="24"/>
        </w:rPr>
        <w:t>G. Ferrando</w:t>
      </w:r>
      <w:r w:rsidRPr="00FC1808">
        <w:rPr>
          <w:rFonts w:ascii="Garamond" w:hAnsi="Garamond"/>
          <w:sz w:val="24"/>
          <w:szCs w:val="24"/>
        </w:rPr>
        <w:t xml:space="preserve">, </w:t>
      </w:r>
      <w:r w:rsidRPr="00FC1808">
        <w:rPr>
          <w:rFonts w:ascii="Garamond" w:hAnsi="Garamond"/>
          <w:i/>
          <w:sz w:val="24"/>
          <w:szCs w:val="24"/>
        </w:rPr>
        <w:t>Rapporto di cura e disposizioni anticipate nella recente legge</w:t>
      </w:r>
      <w:r w:rsidRPr="00FC1808">
        <w:rPr>
          <w:rFonts w:ascii="Garamond" w:hAnsi="Garamond"/>
          <w:sz w:val="24"/>
          <w:szCs w:val="24"/>
        </w:rPr>
        <w:t xml:space="preserve">, in </w:t>
      </w:r>
      <w:proofErr w:type="spellStart"/>
      <w:r w:rsidRPr="00FC1808">
        <w:rPr>
          <w:rFonts w:ascii="Garamond" w:hAnsi="Garamond"/>
          <w:i/>
          <w:sz w:val="24"/>
          <w:szCs w:val="24"/>
        </w:rPr>
        <w:t>Riv</w:t>
      </w:r>
      <w:proofErr w:type="spellEnd"/>
      <w:r w:rsidRPr="00FC1808">
        <w:rPr>
          <w:rFonts w:ascii="Garamond" w:hAnsi="Garamond"/>
          <w:i/>
          <w:sz w:val="24"/>
          <w:szCs w:val="24"/>
        </w:rPr>
        <w:t xml:space="preserve">. </w:t>
      </w:r>
      <w:proofErr w:type="spellStart"/>
      <w:proofErr w:type="gramStart"/>
      <w:r w:rsidRPr="00FC1808">
        <w:rPr>
          <w:rFonts w:ascii="Garamond" w:hAnsi="Garamond"/>
          <w:i/>
          <w:sz w:val="24"/>
          <w:szCs w:val="24"/>
        </w:rPr>
        <w:t>crit</w:t>
      </w:r>
      <w:proofErr w:type="spellEnd"/>
      <w:proofErr w:type="gramEnd"/>
      <w:r w:rsidRPr="00FC1808">
        <w:rPr>
          <w:rFonts w:ascii="Garamond" w:hAnsi="Garamond"/>
          <w:i/>
          <w:sz w:val="24"/>
          <w:szCs w:val="24"/>
        </w:rPr>
        <w:t xml:space="preserve">. </w:t>
      </w:r>
      <w:proofErr w:type="gramStart"/>
      <w:r w:rsidRPr="00FC1808">
        <w:rPr>
          <w:rFonts w:ascii="Garamond" w:hAnsi="Garamond"/>
          <w:i/>
          <w:sz w:val="24"/>
          <w:szCs w:val="24"/>
        </w:rPr>
        <w:t>dir</w:t>
      </w:r>
      <w:proofErr w:type="gramEnd"/>
      <w:r w:rsidRPr="00FC1808">
        <w:rPr>
          <w:rFonts w:ascii="Garamond" w:hAnsi="Garamond"/>
          <w:i/>
          <w:sz w:val="24"/>
          <w:szCs w:val="24"/>
        </w:rPr>
        <w:t xml:space="preserve">. </w:t>
      </w:r>
      <w:proofErr w:type="spellStart"/>
      <w:proofErr w:type="gramStart"/>
      <w:r w:rsidRPr="00FC1808">
        <w:rPr>
          <w:rFonts w:ascii="Garamond" w:hAnsi="Garamond"/>
          <w:i/>
          <w:sz w:val="24"/>
          <w:szCs w:val="24"/>
        </w:rPr>
        <w:t>priv</w:t>
      </w:r>
      <w:proofErr w:type="spellEnd"/>
      <w:r w:rsidRPr="00FC1808">
        <w:rPr>
          <w:rFonts w:ascii="Garamond" w:hAnsi="Garamond"/>
          <w:i/>
          <w:sz w:val="24"/>
          <w:szCs w:val="24"/>
        </w:rPr>
        <w:t>.</w:t>
      </w:r>
      <w:r w:rsidRPr="00FC1808">
        <w:rPr>
          <w:rFonts w:ascii="Garamond" w:hAnsi="Garamond"/>
          <w:sz w:val="24"/>
          <w:szCs w:val="24"/>
        </w:rPr>
        <w:t>,</w:t>
      </w:r>
      <w:proofErr w:type="gramEnd"/>
      <w:r w:rsidRPr="00FC1808">
        <w:rPr>
          <w:rFonts w:ascii="Garamond" w:hAnsi="Garamond"/>
          <w:sz w:val="24"/>
          <w:szCs w:val="24"/>
        </w:rPr>
        <w:t xml:space="preserve"> 2018, p. 47 e ss. e </w:t>
      </w:r>
      <w:r w:rsidRPr="00FC1808">
        <w:rPr>
          <w:rFonts w:ascii="Garamond" w:hAnsi="Garamond"/>
          <w:smallCaps/>
          <w:sz w:val="24"/>
          <w:szCs w:val="24"/>
        </w:rPr>
        <w:t xml:space="preserve">F. </w:t>
      </w:r>
      <w:proofErr w:type="spellStart"/>
      <w:r w:rsidRPr="00FC1808">
        <w:rPr>
          <w:rFonts w:ascii="Garamond" w:hAnsi="Garamond"/>
          <w:smallCaps/>
          <w:sz w:val="24"/>
          <w:szCs w:val="24"/>
        </w:rPr>
        <w:t>Casonato</w:t>
      </w:r>
      <w:proofErr w:type="spellEnd"/>
      <w:r w:rsidRPr="00FC1808">
        <w:rPr>
          <w:rFonts w:ascii="Garamond" w:hAnsi="Garamond"/>
          <w:sz w:val="24"/>
          <w:szCs w:val="24"/>
        </w:rPr>
        <w:t xml:space="preserve">, </w:t>
      </w:r>
      <w:r w:rsidRPr="00FC1808">
        <w:rPr>
          <w:rFonts w:ascii="Garamond" w:hAnsi="Garamond"/>
          <w:i/>
          <w:sz w:val="24"/>
          <w:szCs w:val="24"/>
        </w:rPr>
        <w:t>I limiti all’autodeterminazione individuale al termine dell’esistenza: profili critici</w:t>
      </w:r>
      <w:r w:rsidRPr="00FC1808">
        <w:rPr>
          <w:rFonts w:ascii="Garamond" w:hAnsi="Garamond"/>
          <w:sz w:val="24"/>
          <w:szCs w:val="24"/>
        </w:rPr>
        <w:t xml:space="preserve">, in </w:t>
      </w:r>
      <w:r w:rsidRPr="00FC1808">
        <w:rPr>
          <w:rFonts w:ascii="Garamond" w:hAnsi="Garamond"/>
          <w:i/>
          <w:sz w:val="24"/>
          <w:szCs w:val="24"/>
        </w:rPr>
        <w:t xml:space="preserve">Dir. </w:t>
      </w:r>
      <w:proofErr w:type="spellStart"/>
      <w:r w:rsidRPr="00FC1808">
        <w:rPr>
          <w:rFonts w:ascii="Garamond" w:hAnsi="Garamond"/>
          <w:i/>
          <w:sz w:val="24"/>
          <w:szCs w:val="24"/>
        </w:rPr>
        <w:t>pubbl</w:t>
      </w:r>
      <w:proofErr w:type="spellEnd"/>
      <w:r w:rsidRPr="00FC1808">
        <w:rPr>
          <w:rFonts w:ascii="Garamond" w:hAnsi="Garamond"/>
          <w:i/>
          <w:sz w:val="24"/>
          <w:szCs w:val="24"/>
        </w:rPr>
        <w:t xml:space="preserve">. </w:t>
      </w:r>
      <w:proofErr w:type="spellStart"/>
      <w:proofErr w:type="gramStart"/>
      <w:r w:rsidRPr="00FC1808">
        <w:rPr>
          <w:rFonts w:ascii="Garamond" w:hAnsi="Garamond"/>
          <w:i/>
          <w:sz w:val="24"/>
          <w:szCs w:val="24"/>
        </w:rPr>
        <w:t>comp</w:t>
      </w:r>
      <w:proofErr w:type="spellEnd"/>
      <w:proofErr w:type="gramEnd"/>
      <w:r w:rsidRPr="00FC1808">
        <w:rPr>
          <w:rFonts w:ascii="Garamond" w:hAnsi="Garamond"/>
          <w:i/>
          <w:sz w:val="24"/>
          <w:szCs w:val="24"/>
        </w:rPr>
        <w:t xml:space="preserve">. </w:t>
      </w:r>
      <w:proofErr w:type="spellStart"/>
      <w:proofErr w:type="gramStart"/>
      <w:r w:rsidRPr="00FC1808">
        <w:rPr>
          <w:rFonts w:ascii="Garamond" w:hAnsi="Garamond"/>
          <w:i/>
          <w:sz w:val="24"/>
          <w:szCs w:val="24"/>
        </w:rPr>
        <w:t>eur</w:t>
      </w:r>
      <w:proofErr w:type="spellEnd"/>
      <w:r w:rsidRPr="00FC1808">
        <w:rPr>
          <w:rFonts w:ascii="Garamond" w:hAnsi="Garamond"/>
          <w:i/>
          <w:sz w:val="24"/>
          <w:szCs w:val="24"/>
        </w:rPr>
        <w:t>.</w:t>
      </w:r>
      <w:r w:rsidRPr="00FC1808">
        <w:rPr>
          <w:rFonts w:ascii="Garamond" w:hAnsi="Garamond"/>
          <w:sz w:val="24"/>
          <w:szCs w:val="24"/>
        </w:rPr>
        <w:t>,</w:t>
      </w:r>
      <w:proofErr w:type="gramEnd"/>
      <w:r w:rsidRPr="00FC1808">
        <w:rPr>
          <w:rFonts w:ascii="Garamond" w:hAnsi="Garamond"/>
          <w:sz w:val="24"/>
          <w:szCs w:val="24"/>
        </w:rPr>
        <w:t xml:space="preserve"> 2018, pp. 3-24. Di estremo interesse anche la lettura di </w:t>
      </w:r>
      <w:r w:rsidRPr="00FC1808">
        <w:rPr>
          <w:rFonts w:ascii="Garamond" w:hAnsi="Garamond"/>
          <w:smallCaps/>
          <w:sz w:val="24"/>
          <w:szCs w:val="24"/>
        </w:rPr>
        <w:t xml:space="preserve">M. </w:t>
      </w:r>
      <w:proofErr w:type="spellStart"/>
      <w:r w:rsidRPr="00FC1808">
        <w:rPr>
          <w:rFonts w:ascii="Garamond" w:hAnsi="Garamond"/>
          <w:smallCaps/>
          <w:sz w:val="24"/>
          <w:szCs w:val="24"/>
        </w:rPr>
        <w:t>Piccinni</w:t>
      </w:r>
      <w:proofErr w:type="spellEnd"/>
      <w:r w:rsidRPr="00FC1808">
        <w:rPr>
          <w:rFonts w:ascii="Garamond" w:hAnsi="Garamond"/>
          <w:sz w:val="24"/>
          <w:szCs w:val="24"/>
        </w:rPr>
        <w:t xml:space="preserve">, </w:t>
      </w:r>
      <w:r w:rsidRPr="00FC1808">
        <w:rPr>
          <w:rFonts w:ascii="Garamond" w:hAnsi="Garamond"/>
          <w:i/>
          <w:sz w:val="24"/>
          <w:szCs w:val="24"/>
        </w:rPr>
        <w:t xml:space="preserve">Decidere per il paziente: </w:t>
      </w:r>
      <w:r w:rsidRPr="00FC1808">
        <w:rPr>
          <w:rFonts w:ascii="Garamond" w:hAnsi="Garamond"/>
          <w:sz w:val="24"/>
          <w:szCs w:val="24"/>
        </w:rPr>
        <w:t xml:space="preserve">rappresentanza e cura della persona dopo la l. n. 219/2017, in </w:t>
      </w:r>
      <w:r w:rsidRPr="00FC1808">
        <w:rPr>
          <w:rFonts w:ascii="Garamond" w:hAnsi="Garamond"/>
          <w:i/>
          <w:sz w:val="24"/>
          <w:szCs w:val="24"/>
        </w:rPr>
        <w:t>Nuova giur. civ. comm.</w:t>
      </w:r>
      <w:r w:rsidRPr="00FC1808">
        <w:rPr>
          <w:rFonts w:ascii="Garamond" w:hAnsi="Garamond"/>
          <w:sz w:val="24"/>
          <w:szCs w:val="24"/>
        </w:rPr>
        <w:t>, 2018, 7-8, p. 1118 e ss.</w:t>
      </w:r>
      <w:r>
        <w:rPr>
          <w:rFonts w:ascii="Garamond" w:hAnsi="Garamond"/>
          <w:sz w:val="24"/>
          <w:szCs w:val="24"/>
        </w:rPr>
        <w:t>, a commento della recente ordinanza</w:t>
      </w:r>
      <w:r w:rsidRPr="00FC1808">
        <w:rPr>
          <w:rFonts w:ascii="Garamond" w:hAnsi="Garamond"/>
          <w:sz w:val="24"/>
          <w:szCs w:val="24"/>
        </w:rPr>
        <w:t xml:space="preserve"> del </w:t>
      </w:r>
      <w:proofErr w:type="spellStart"/>
      <w:r w:rsidRPr="00FC1808">
        <w:rPr>
          <w:rFonts w:ascii="Garamond" w:hAnsi="Garamond"/>
          <w:sz w:val="24"/>
          <w:szCs w:val="24"/>
        </w:rPr>
        <w:t>Trib</w:t>
      </w:r>
      <w:proofErr w:type="spellEnd"/>
      <w:r w:rsidRPr="00FC1808">
        <w:rPr>
          <w:rFonts w:ascii="Garamond" w:hAnsi="Garamond"/>
          <w:sz w:val="24"/>
          <w:szCs w:val="24"/>
        </w:rPr>
        <w:t xml:space="preserve">. Pavia, 24 marzo 2018, </w:t>
      </w:r>
      <w:r w:rsidRPr="00FC1808">
        <w:rPr>
          <w:rFonts w:ascii="Garamond" w:hAnsi="Garamond"/>
          <w:i/>
          <w:sz w:val="24"/>
          <w:szCs w:val="24"/>
        </w:rPr>
        <w:t>ibidem</w:t>
      </w:r>
      <w:r w:rsidRPr="00FC1808">
        <w:rPr>
          <w:rFonts w:ascii="Garamond" w:hAnsi="Garamond"/>
          <w:sz w:val="24"/>
          <w:szCs w:val="24"/>
        </w:rPr>
        <w:t xml:space="preserve">, pp. 1128 e ss., che ha sollevato questione di costituzionalità rispetto alle previsioni dell’art. 3, commi 4 e 5, della l. n. 219 del 2017 in rapporto agli artt. 2, 3, 13 e 32 </w:t>
      </w:r>
      <w:proofErr w:type="spellStart"/>
      <w:r w:rsidRPr="00FC1808">
        <w:rPr>
          <w:rFonts w:ascii="Garamond" w:hAnsi="Garamond"/>
          <w:sz w:val="24"/>
          <w:szCs w:val="24"/>
        </w:rPr>
        <w:t>Cost</w:t>
      </w:r>
      <w:proofErr w:type="spellEnd"/>
      <w:r w:rsidRPr="00FC1808">
        <w:rPr>
          <w:rFonts w:ascii="Garamond" w:hAnsi="Garamond"/>
          <w:sz w:val="24"/>
          <w:szCs w:val="24"/>
        </w:rPr>
        <w:t>.</w:t>
      </w:r>
    </w:p>
  </w:footnote>
  <w:footnote w:id="8">
    <w:p w:rsidR="00B01990" w:rsidRPr="006F34DC" w:rsidRDefault="00B01990" w:rsidP="006F34DC">
      <w:pPr>
        <w:pStyle w:val="Testonotaapidipagina"/>
        <w:ind w:firstLine="709"/>
        <w:jc w:val="both"/>
        <w:rPr>
          <w:rFonts w:ascii="Garamond" w:hAnsi="Garamond"/>
          <w:sz w:val="24"/>
          <w:szCs w:val="24"/>
        </w:rPr>
      </w:pPr>
      <w:r w:rsidRPr="00FC1808">
        <w:rPr>
          <w:rStyle w:val="Rimandonotaapidipagina"/>
          <w:rFonts w:ascii="Garamond" w:hAnsi="Garamond"/>
          <w:sz w:val="24"/>
          <w:szCs w:val="24"/>
        </w:rPr>
        <w:footnoteRef/>
      </w:r>
      <w:r>
        <w:rPr>
          <w:rFonts w:ascii="Garamond" w:hAnsi="Garamond"/>
          <w:sz w:val="24"/>
          <w:szCs w:val="24"/>
        </w:rPr>
        <w:t xml:space="preserve"> Sull’istituto delle disposizioni anticipate di trattamento v. </w:t>
      </w:r>
      <w:r w:rsidRPr="00156152">
        <w:rPr>
          <w:rFonts w:ascii="Garamond" w:hAnsi="Garamond"/>
          <w:smallCaps/>
          <w:sz w:val="24"/>
          <w:szCs w:val="24"/>
        </w:rPr>
        <w:t xml:space="preserve">M. </w:t>
      </w:r>
      <w:proofErr w:type="spellStart"/>
      <w:r w:rsidRPr="00156152">
        <w:rPr>
          <w:rFonts w:ascii="Garamond" w:hAnsi="Garamond"/>
          <w:smallCaps/>
          <w:sz w:val="24"/>
          <w:szCs w:val="24"/>
        </w:rPr>
        <w:t>Ramuschi</w:t>
      </w:r>
      <w:proofErr w:type="spellEnd"/>
      <w:r>
        <w:rPr>
          <w:rFonts w:ascii="Garamond" w:hAnsi="Garamond"/>
          <w:sz w:val="24"/>
          <w:szCs w:val="24"/>
        </w:rPr>
        <w:t xml:space="preserve">, </w:t>
      </w:r>
      <w:r>
        <w:rPr>
          <w:rFonts w:ascii="Garamond" w:hAnsi="Garamond"/>
          <w:i/>
          <w:sz w:val="24"/>
          <w:szCs w:val="24"/>
        </w:rPr>
        <w:t>Le disposizioni anticipate di trattamento alla luce della L. n. 219/2017</w:t>
      </w:r>
      <w:r>
        <w:rPr>
          <w:rFonts w:ascii="Garamond" w:hAnsi="Garamond"/>
          <w:sz w:val="24"/>
          <w:szCs w:val="24"/>
        </w:rPr>
        <w:t xml:space="preserve">, in </w:t>
      </w:r>
      <w:proofErr w:type="spellStart"/>
      <w:proofErr w:type="gramStart"/>
      <w:r>
        <w:rPr>
          <w:rFonts w:ascii="Garamond" w:hAnsi="Garamond"/>
          <w:i/>
          <w:sz w:val="24"/>
          <w:szCs w:val="24"/>
        </w:rPr>
        <w:t>Famil</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2018/2, 133 e ss., che ricorda come le disposizioni anticipate non siano propriamente un testamento, ai sensi dell’art. 587 c.c., bensì un atto unilaterale </w:t>
      </w:r>
      <w:r>
        <w:rPr>
          <w:rFonts w:ascii="Garamond" w:hAnsi="Garamond"/>
          <w:i/>
          <w:sz w:val="24"/>
          <w:szCs w:val="24"/>
        </w:rPr>
        <w:t xml:space="preserve">inter </w:t>
      </w:r>
      <w:proofErr w:type="spellStart"/>
      <w:r>
        <w:rPr>
          <w:rFonts w:ascii="Garamond" w:hAnsi="Garamond"/>
          <w:i/>
          <w:sz w:val="24"/>
          <w:szCs w:val="24"/>
        </w:rPr>
        <w:t>vivos</w:t>
      </w:r>
      <w:proofErr w:type="spellEnd"/>
      <w:r>
        <w:rPr>
          <w:rFonts w:ascii="Garamond" w:hAnsi="Garamond"/>
          <w:sz w:val="24"/>
          <w:szCs w:val="24"/>
        </w:rPr>
        <w:t xml:space="preserve">, tipico, avente ad oggetto sia la designazione di un soggetto autorizzato ad assumere talune decisioni in materia sanitaria sia il contenuto di tali decisioni. Sulla l. n. 219 del 2017 v. anche </w:t>
      </w:r>
      <w:r w:rsidRPr="004E7FE9">
        <w:rPr>
          <w:rFonts w:ascii="Garamond" w:hAnsi="Garamond"/>
          <w:smallCaps/>
          <w:sz w:val="24"/>
          <w:szCs w:val="24"/>
        </w:rPr>
        <w:t>M. Bianca</w:t>
      </w:r>
      <w:r>
        <w:rPr>
          <w:rFonts w:ascii="Garamond" w:hAnsi="Garamond"/>
          <w:sz w:val="24"/>
          <w:szCs w:val="24"/>
        </w:rPr>
        <w:t xml:space="preserve">, </w:t>
      </w:r>
      <w:r>
        <w:rPr>
          <w:rFonts w:ascii="Garamond" w:hAnsi="Garamond"/>
          <w:i/>
          <w:sz w:val="24"/>
          <w:szCs w:val="24"/>
        </w:rPr>
        <w:t xml:space="preserve">La legge 22 </w:t>
      </w:r>
      <w:r w:rsidRPr="006F34DC">
        <w:rPr>
          <w:rFonts w:ascii="Garamond" w:hAnsi="Garamond"/>
          <w:i/>
          <w:sz w:val="24"/>
          <w:szCs w:val="24"/>
        </w:rPr>
        <w:t>dicembre 2017, n. 219. Norme in materia di consenso informato e di disposizioni anticipate di trattamento. Prime note di commento</w:t>
      </w:r>
      <w:r w:rsidRPr="006F34DC">
        <w:rPr>
          <w:rFonts w:ascii="Garamond" w:hAnsi="Garamond"/>
          <w:sz w:val="24"/>
          <w:szCs w:val="24"/>
        </w:rPr>
        <w:t xml:space="preserve">, in </w:t>
      </w:r>
      <w:proofErr w:type="spellStart"/>
      <w:proofErr w:type="gramStart"/>
      <w:r w:rsidRPr="006F34DC">
        <w:rPr>
          <w:rFonts w:ascii="Garamond" w:hAnsi="Garamond"/>
          <w:i/>
          <w:sz w:val="24"/>
          <w:szCs w:val="24"/>
        </w:rPr>
        <w:t>Famil</w:t>
      </w:r>
      <w:proofErr w:type="spellEnd"/>
      <w:r w:rsidRPr="006F34DC">
        <w:rPr>
          <w:rFonts w:ascii="Garamond" w:hAnsi="Garamond"/>
          <w:i/>
          <w:sz w:val="24"/>
          <w:szCs w:val="24"/>
        </w:rPr>
        <w:t>.</w:t>
      </w:r>
      <w:r w:rsidRPr="006F34DC">
        <w:rPr>
          <w:rFonts w:ascii="Garamond" w:hAnsi="Garamond"/>
          <w:sz w:val="24"/>
          <w:szCs w:val="24"/>
        </w:rPr>
        <w:t>,</w:t>
      </w:r>
      <w:proofErr w:type="gramEnd"/>
      <w:r w:rsidRPr="006F34DC">
        <w:rPr>
          <w:rFonts w:ascii="Garamond" w:hAnsi="Garamond"/>
          <w:sz w:val="24"/>
          <w:szCs w:val="24"/>
        </w:rPr>
        <w:t xml:space="preserve"> 2018/1, p. 109 e ss.</w:t>
      </w:r>
    </w:p>
  </w:footnote>
  <w:footnote w:id="9">
    <w:p w:rsidR="00B01990" w:rsidRPr="006F34DC" w:rsidRDefault="00B01990" w:rsidP="006F34DC">
      <w:pPr>
        <w:pStyle w:val="Testonotaapidipagina"/>
        <w:ind w:firstLine="709"/>
        <w:jc w:val="both"/>
        <w:rPr>
          <w:rFonts w:ascii="Garamond" w:hAnsi="Garamond"/>
          <w:sz w:val="24"/>
          <w:szCs w:val="24"/>
        </w:rPr>
      </w:pPr>
      <w:r w:rsidRPr="006F34DC">
        <w:rPr>
          <w:rStyle w:val="Rimandonotaapidipagina"/>
          <w:rFonts w:ascii="Garamond" w:hAnsi="Garamond"/>
          <w:sz w:val="24"/>
          <w:szCs w:val="24"/>
        </w:rPr>
        <w:footnoteRef/>
      </w:r>
      <w:r w:rsidRPr="006F34DC">
        <w:rPr>
          <w:rFonts w:ascii="Garamond" w:hAnsi="Garamond"/>
          <w:sz w:val="24"/>
          <w:szCs w:val="24"/>
        </w:rPr>
        <w:t xml:space="preserve"> </w:t>
      </w:r>
      <w:proofErr w:type="spellStart"/>
      <w:r w:rsidRPr="006F34DC">
        <w:rPr>
          <w:rFonts w:ascii="Garamond" w:hAnsi="Garamond"/>
          <w:sz w:val="24"/>
          <w:szCs w:val="24"/>
        </w:rPr>
        <w:t>Cons</w:t>
      </w:r>
      <w:proofErr w:type="spellEnd"/>
      <w:r w:rsidRPr="006F34DC">
        <w:rPr>
          <w:rFonts w:ascii="Garamond" w:hAnsi="Garamond"/>
          <w:sz w:val="24"/>
          <w:szCs w:val="24"/>
        </w:rPr>
        <w:t xml:space="preserve">. </w:t>
      </w:r>
      <w:proofErr w:type="gramStart"/>
      <w:r w:rsidRPr="006F34DC">
        <w:rPr>
          <w:rFonts w:ascii="Garamond" w:hAnsi="Garamond"/>
          <w:sz w:val="24"/>
          <w:szCs w:val="24"/>
        </w:rPr>
        <w:t>St.,</w:t>
      </w:r>
      <w:proofErr w:type="gramEnd"/>
      <w:r w:rsidRPr="006F34DC">
        <w:rPr>
          <w:rFonts w:ascii="Garamond" w:hAnsi="Garamond"/>
          <w:sz w:val="24"/>
          <w:szCs w:val="24"/>
        </w:rPr>
        <w:t xml:space="preserve"> comm. spe</w:t>
      </w:r>
      <w:r>
        <w:rPr>
          <w:rFonts w:ascii="Garamond" w:hAnsi="Garamond"/>
          <w:sz w:val="24"/>
          <w:szCs w:val="24"/>
        </w:rPr>
        <w:t>c., 31 luglio 2018, n. 1991/2018</w:t>
      </w:r>
      <w:r w:rsidRPr="006F34DC">
        <w:rPr>
          <w:rFonts w:ascii="Garamond" w:hAnsi="Garamond"/>
          <w:sz w:val="24"/>
          <w:szCs w:val="24"/>
        </w:rPr>
        <w:t>, cit., p. 1238.</w:t>
      </w:r>
    </w:p>
  </w:footnote>
  <w:footnote w:id="10">
    <w:p w:rsidR="00B01990" w:rsidRPr="00CB7FE9" w:rsidRDefault="00B01990" w:rsidP="00BD3E78">
      <w:pPr>
        <w:pStyle w:val="Testonotaapidipagina"/>
        <w:ind w:firstLine="709"/>
        <w:jc w:val="both"/>
        <w:rPr>
          <w:rFonts w:ascii="Garamond" w:hAnsi="Garamond"/>
          <w:sz w:val="24"/>
          <w:szCs w:val="24"/>
          <w:lang w:val="en-US"/>
        </w:rPr>
      </w:pPr>
      <w:r w:rsidRPr="006F34DC">
        <w:rPr>
          <w:rStyle w:val="Rimandonotaapidipagina"/>
          <w:rFonts w:ascii="Garamond" w:hAnsi="Garamond"/>
          <w:sz w:val="24"/>
          <w:szCs w:val="24"/>
        </w:rPr>
        <w:footnoteRef/>
      </w:r>
      <w:r w:rsidRPr="006F34DC">
        <w:rPr>
          <w:rFonts w:ascii="Garamond" w:hAnsi="Garamond"/>
          <w:sz w:val="24"/>
          <w:szCs w:val="24"/>
        </w:rPr>
        <w:t xml:space="preserve"> </w:t>
      </w:r>
      <w:r>
        <w:rPr>
          <w:rFonts w:ascii="Garamond" w:hAnsi="Garamond"/>
          <w:sz w:val="24"/>
          <w:szCs w:val="24"/>
        </w:rPr>
        <w:t xml:space="preserve">Sull’esperienza dei registri comunali e provinciali dei testamenti biologici v., tra gli altri, </w:t>
      </w:r>
      <w:r w:rsidRPr="00D11FCC">
        <w:rPr>
          <w:rFonts w:ascii="Garamond" w:hAnsi="Garamond"/>
          <w:smallCaps/>
          <w:sz w:val="24"/>
          <w:szCs w:val="24"/>
        </w:rPr>
        <w:t>E. Stradella</w:t>
      </w:r>
      <w:r>
        <w:rPr>
          <w:rFonts w:ascii="Garamond" w:hAnsi="Garamond"/>
          <w:sz w:val="24"/>
          <w:szCs w:val="24"/>
        </w:rPr>
        <w:t xml:space="preserve"> e F. </w:t>
      </w:r>
      <w:r w:rsidRPr="00D11FCC">
        <w:rPr>
          <w:rFonts w:ascii="Garamond" w:hAnsi="Garamond"/>
          <w:smallCaps/>
          <w:sz w:val="24"/>
          <w:szCs w:val="24"/>
        </w:rPr>
        <w:t>Bonaccorsi</w:t>
      </w:r>
      <w:r>
        <w:rPr>
          <w:rFonts w:ascii="Garamond" w:hAnsi="Garamond"/>
          <w:sz w:val="24"/>
          <w:szCs w:val="24"/>
        </w:rPr>
        <w:t xml:space="preserve">, </w:t>
      </w:r>
      <w:r>
        <w:rPr>
          <w:rFonts w:ascii="Garamond" w:hAnsi="Garamond"/>
          <w:i/>
          <w:sz w:val="24"/>
          <w:szCs w:val="24"/>
        </w:rPr>
        <w:t>L’esperienza dei Registri delle Dichiarazioni anticipate di Trattamento sanitario tra linee guida e prospettive di regolazione del fine vita</w:t>
      </w:r>
      <w:r>
        <w:rPr>
          <w:rFonts w:ascii="Garamond" w:hAnsi="Garamond"/>
          <w:sz w:val="24"/>
          <w:szCs w:val="24"/>
        </w:rPr>
        <w:t xml:space="preserve">, in A. </w:t>
      </w:r>
      <w:r w:rsidRPr="00D45651">
        <w:rPr>
          <w:rFonts w:ascii="Garamond" w:hAnsi="Garamond"/>
          <w:smallCaps/>
          <w:sz w:val="24"/>
          <w:szCs w:val="24"/>
        </w:rPr>
        <w:t>D’</w:t>
      </w:r>
      <w:proofErr w:type="spellStart"/>
      <w:r w:rsidRPr="00D45651">
        <w:rPr>
          <w:rFonts w:ascii="Garamond" w:hAnsi="Garamond"/>
          <w:smallCaps/>
          <w:sz w:val="24"/>
          <w:szCs w:val="24"/>
        </w:rPr>
        <w:t>Aloia</w:t>
      </w:r>
      <w:proofErr w:type="spellEnd"/>
      <w:r>
        <w:rPr>
          <w:rFonts w:ascii="Garamond" w:hAnsi="Garamond"/>
          <w:sz w:val="24"/>
          <w:szCs w:val="24"/>
        </w:rPr>
        <w:t xml:space="preserve"> (a cura di), </w:t>
      </w:r>
      <w:r>
        <w:rPr>
          <w:rFonts w:ascii="Garamond" w:hAnsi="Garamond"/>
          <w:i/>
          <w:sz w:val="24"/>
          <w:szCs w:val="24"/>
        </w:rPr>
        <w:t>Il diritto alla fine della vita. Principi, decisioni, casi</w:t>
      </w:r>
      <w:r>
        <w:rPr>
          <w:rFonts w:ascii="Garamond" w:hAnsi="Garamond"/>
          <w:sz w:val="24"/>
          <w:szCs w:val="24"/>
        </w:rPr>
        <w:t xml:space="preserve">, Napoli, 2012, p. 320 e ss. Sulla questione v., di recente, </w:t>
      </w:r>
      <w:r>
        <w:rPr>
          <w:rFonts w:ascii="Garamond" w:hAnsi="Garamond"/>
          <w:smallCaps/>
          <w:sz w:val="24"/>
          <w:szCs w:val="24"/>
        </w:rPr>
        <w:t>N</w:t>
      </w:r>
      <w:r w:rsidRPr="001800C1">
        <w:rPr>
          <w:rFonts w:ascii="Garamond" w:hAnsi="Garamond"/>
          <w:smallCaps/>
          <w:sz w:val="24"/>
          <w:szCs w:val="24"/>
        </w:rPr>
        <w:t>. Vettori</w:t>
      </w:r>
      <w:r>
        <w:rPr>
          <w:rFonts w:ascii="Garamond" w:hAnsi="Garamond"/>
          <w:sz w:val="24"/>
          <w:szCs w:val="24"/>
        </w:rPr>
        <w:t xml:space="preserve">, </w:t>
      </w:r>
      <w:r>
        <w:rPr>
          <w:rFonts w:ascii="Garamond" w:hAnsi="Garamond"/>
          <w:i/>
          <w:sz w:val="24"/>
          <w:szCs w:val="24"/>
        </w:rPr>
        <w:t>Diritti della persona e amministrazione pubblica</w:t>
      </w:r>
      <w:r>
        <w:rPr>
          <w:rFonts w:ascii="Garamond" w:hAnsi="Garamond"/>
          <w:sz w:val="24"/>
          <w:szCs w:val="24"/>
        </w:rPr>
        <w:t xml:space="preserve">, Torino, 2017, p. 158 e ss. la sentenza della Corte </w:t>
      </w:r>
      <w:proofErr w:type="spellStart"/>
      <w:r>
        <w:rPr>
          <w:rFonts w:ascii="Garamond" w:hAnsi="Garamond"/>
          <w:sz w:val="24"/>
          <w:szCs w:val="24"/>
        </w:rPr>
        <w:t>cost</w:t>
      </w:r>
      <w:proofErr w:type="spellEnd"/>
      <w:r>
        <w:rPr>
          <w:rFonts w:ascii="Garamond" w:hAnsi="Garamond"/>
          <w:sz w:val="24"/>
          <w:szCs w:val="24"/>
        </w:rPr>
        <w:t xml:space="preserve">., 14 dicembre 2016, n. 262, in </w:t>
      </w:r>
      <w:r w:rsidRPr="003A2EDB">
        <w:rPr>
          <w:rFonts w:ascii="Garamond" w:hAnsi="Garamond"/>
          <w:i/>
          <w:sz w:val="24"/>
          <w:szCs w:val="24"/>
        </w:rPr>
        <w:t xml:space="preserve">Foro </w:t>
      </w:r>
      <w:proofErr w:type="spellStart"/>
      <w:r w:rsidRPr="003A2EDB">
        <w:rPr>
          <w:rFonts w:ascii="Garamond" w:hAnsi="Garamond"/>
          <w:i/>
          <w:sz w:val="24"/>
          <w:szCs w:val="24"/>
        </w:rPr>
        <w:t>it</w:t>
      </w:r>
      <w:proofErr w:type="spellEnd"/>
      <w:r>
        <w:rPr>
          <w:rFonts w:ascii="Garamond" w:hAnsi="Garamond"/>
          <w:sz w:val="24"/>
          <w:szCs w:val="24"/>
        </w:rPr>
        <w:t>., 2017, I, col. 439 e ss., che ha annullato le</w:t>
      </w:r>
      <w:r w:rsidRPr="005B12EA">
        <w:rPr>
          <w:rFonts w:ascii="Garamond" w:hAnsi="Garamond"/>
          <w:sz w:val="24"/>
          <w:szCs w:val="24"/>
        </w:rPr>
        <w:t xml:space="preserve"> l. reg. Friuli-Venezia Giulia 13 marzo 2015, n. 4 e 10 luglio 2015, n. 16, le quali hanno istituito un registro regionale volto a raccogliere le dichiarazioni anticipate di trattamento sanitario, nonché contestualmente le eventuali disposizioni di volontà, in merito alla donazione </w:t>
      </w:r>
      <w:r w:rsidRPr="0046033A">
        <w:rPr>
          <w:rFonts w:ascii="Garamond" w:hAnsi="Garamond"/>
          <w:i/>
          <w:sz w:val="24"/>
          <w:szCs w:val="24"/>
        </w:rPr>
        <w:t xml:space="preserve">post </w:t>
      </w:r>
      <w:proofErr w:type="spellStart"/>
      <w:r w:rsidRPr="0046033A">
        <w:rPr>
          <w:rFonts w:ascii="Garamond" w:hAnsi="Garamond"/>
          <w:i/>
          <w:sz w:val="24"/>
          <w:szCs w:val="24"/>
        </w:rPr>
        <w:t>mortem</w:t>
      </w:r>
      <w:proofErr w:type="spellEnd"/>
      <w:r w:rsidRPr="005B12EA">
        <w:rPr>
          <w:rFonts w:ascii="Garamond" w:hAnsi="Garamond"/>
          <w:sz w:val="24"/>
          <w:szCs w:val="24"/>
        </w:rPr>
        <w:t xml:space="preserve"> di organi e tessuti, dei cittadini residenti o che abbiano eletto domicilio nella regione Friuli-Venezia Giulia, prevedendo altresì la forma che tali dichiarazioni devono assumere e le modalità per la loro raccolta e conservazione in apposite banche dati da istituirsi presso le aziende sanitarie locali</w:t>
      </w:r>
      <w:r>
        <w:rPr>
          <w:rFonts w:ascii="Garamond" w:hAnsi="Garamond"/>
          <w:sz w:val="24"/>
          <w:szCs w:val="24"/>
        </w:rPr>
        <w:t>. Secondo il giudice delle leggi, infatti, l</w:t>
      </w:r>
      <w:r w:rsidRPr="0046033A">
        <w:rPr>
          <w:rFonts w:ascii="Garamond" w:hAnsi="Garamond"/>
          <w:sz w:val="24"/>
          <w:szCs w:val="24"/>
        </w:rPr>
        <w:t>a normat</w:t>
      </w:r>
      <w:r>
        <w:rPr>
          <w:rFonts w:ascii="Garamond" w:hAnsi="Garamond"/>
          <w:sz w:val="24"/>
          <w:szCs w:val="24"/>
        </w:rPr>
        <w:t>iva regionale venuta al suo esame</w:t>
      </w:r>
      <w:r w:rsidRPr="0046033A">
        <w:rPr>
          <w:rFonts w:ascii="Garamond" w:hAnsi="Garamond"/>
          <w:sz w:val="24"/>
          <w:szCs w:val="24"/>
        </w:rPr>
        <w:t xml:space="preserve"> </w:t>
      </w:r>
      <w:r>
        <w:rPr>
          <w:rFonts w:ascii="Garamond" w:hAnsi="Garamond"/>
          <w:sz w:val="24"/>
          <w:szCs w:val="24"/>
        </w:rPr>
        <w:t>«</w:t>
      </w:r>
      <w:r w:rsidRPr="00B55A2E">
        <w:rPr>
          <w:rFonts w:ascii="Garamond" w:hAnsi="Garamond"/>
          <w:i/>
          <w:sz w:val="24"/>
          <w:szCs w:val="24"/>
        </w:rPr>
        <w:t>stabilisce la forma di espressione, nonché le modalità di annotazione e conservazione in un pubblico registro degli intendimenti di ciascun soggetto in ordine ai trattamenti sanitari, sottraendoli così alla sfera meramente privata</w:t>
      </w:r>
      <w:r>
        <w:rPr>
          <w:rFonts w:ascii="Garamond" w:hAnsi="Garamond"/>
          <w:sz w:val="24"/>
          <w:szCs w:val="24"/>
        </w:rPr>
        <w:t>», con la conseguenza che «</w:t>
      </w:r>
      <w:r w:rsidRPr="00B55A2E">
        <w:rPr>
          <w:rFonts w:ascii="Garamond" w:hAnsi="Garamond"/>
          <w:i/>
          <w:sz w:val="24"/>
          <w:szCs w:val="24"/>
        </w:rPr>
        <w:t>l’attribuzione di un rilievo pubblico a tali manifestazioni di volontà, espressive della libertà di cura (</w:t>
      </w:r>
      <w:r w:rsidRPr="00B55A2E">
        <w:rPr>
          <w:rFonts w:ascii="Garamond" w:hAnsi="Garamond"/>
          <w:sz w:val="24"/>
          <w:szCs w:val="24"/>
        </w:rPr>
        <w:t xml:space="preserve">ex </w:t>
      </w:r>
      <w:proofErr w:type="spellStart"/>
      <w:r w:rsidRPr="00B55A2E">
        <w:rPr>
          <w:rFonts w:ascii="Garamond" w:hAnsi="Garamond"/>
          <w:sz w:val="24"/>
          <w:szCs w:val="24"/>
        </w:rPr>
        <w:t>multis</w:t>
      </w:r>
      <w:proofErr w:type="spellEnd"/>
      <w:r w:rsidRPr="00B55A2E">
        <w:rPr>
          <w:rFonts w:ascii="Garamond" w:hAnsi="Garamond"/>
          <w:i/>
          <w:sz w:val="24"/>
          <w:szCs w:val="24"/>
        </w:rPr>
        <w:t xml:space="preserve">, sentenze n. 438 del 2008; n. 282 del 2002; n. 185 del 1998; n. 307 del 1990), implica la necessità di una articolata regolamentazione – come il complesso tessuto </w:t>
      </w:r>
      <w:r w:rsidRPr="00B94ACD">
        <w:rPr>
          <w:rFonts w:ascii="Garamond" w:hAnsi="Garamond"/>
          <w:i/>
          <w:sz w:val="24"/>
          <w:szCs w:val="24"/>
        </w:rPr>
        <w:t xml:space="preserve">normativo delle due leggi impugnate testimonia – e interferisce nella materia dell’“ordinamento civile”, attribuita in maniera esclusiva alla competenza legislativa dello Stato dall’art. 117, comma secondo, lettera l), </w:t>
      </w:r>
      <w:proofErr w:type="spellStart"/>
      <w:r w:rsidRPr="00B94ACD">
        <w:rPr>
          <w:rFonts w:ascii="Garamond" w:hAnsi="Garamond"/>
          <w:i/>
          <w:sz w:val="24"/>
          <w:szCs w:val="24"/>
        </w:rPr>
        <w:t>Cost</w:t>
      </w:r>
      <w:proofErr w:type="spellEnd"/>
      <w:r w:rsidRPr="00B94ACD">
        <w:rPr>
          <w:rFonts w:ascii="Garamond" w:hAnsi="Garamond"/>
          <w:i/>
          <w:sz w:val="24"/>
          <w:szCs w:val="24"/>
        </w:rPr>
        <w:t>.</w:t>
      </w:r>
      <w:r w:rsidRPr="00B94ACD">
        <w:rPr>
          <w:rFonts w:ascii="Garamond" w:hAnsi="Garamond"/>
          <w:sz w:val="24"/>
          <w:szCs w:val="24"/>
        </w:rPr>
        <w:t>» (</w:t>
      </w:r>
      <w:proofErr w:type="gramStart"/>
      <w:r w:rsidRPr="00B94ACD">
        <w:rPr>
          <w:rFonts w:ascii="Garamond" w:hAnsi="Garamond"/>
          <w:sz w:val="24"/>
          <w:szCs w:val="24"/>
        </w:rPr>
        <w:t>così</w:t>
      </w:r>
      <w:proofErr w:type="gramEnd"/>
      <w:r w:rsidRPr="00B94ACD">
        <w:rPr>
          <w:rFonts w:ascii="Garamond" w:hAnsi="Garamond"/>
          <w:sz w:val="24"/>
          <w:szCs w:val="24"/>
        </w:rPr>
        <w:t xml:space="preserve"> Corte </w:t>
      </w:r>
      <w:proofErr w:type="spellStart"/>
      <w:r w:rsidRPr="00B94ACD">
        <w:rPr>
          <w:rFonts w:ascii="Garamond" w:hAnsi="Garamond"/>
          <w:sz w:val="24"/>
          <w:szCs w:val="24"/>
        </w:rPr>
        <w:t>cost</w:t>
      </w:r>
      <w:proofErr w:type="spellEnd"/>
      <w:r w:rsidRPr="00B94ACD">
        <w:rPr>
          <w:rFonts w:ascii="Garamond" w:hAnsi="Garamond"/>
          <w:sz w:val="24"/>
          <w:szCs w:val="24"/>
        </w:rPr>
        <w:t xml:space="preserve">., 14 dicembre 2016, n. 262, in </w:t>
      </w:r>
      <w:r w:rsidRPr="00B94ACD">
        <w:rPr>
          <w:rFonts w:ascii="Garamond" w:hAnsi="Garamond"/>
          <w:i/>
          <w:sz w:val="24"/>
          <w:szCs w:val="24"/>
        </w:rPr>
        <w:t xml:space="preserve">Foro </w:t>
      </w:r>
      <w:proofErr w:type="spellStart"/>
      <w:r w:rsidRPr="00B94ACD">
        <w:rPr>
          <w:rFonts w:ascii="Garamond" w:hAnsi="Garamond"/>
          <w:i/>
          <w:sz w:val="24"/>
          <w:szCs w:val="24"/>
        </w:rPr>
        <w:t>it</w:t>
      </w:r>
      <w:proofErr w:type="spellEnd"/>
      <w:r w:rsidRPr="00B94ACD">
        <w:rPr>
          <w:rFonts w:ascii="Garamond" w:hAnsi="Garamond"/>
          <w:sz w:val="24"/>
          <w:szCs w:val="24"/>
        </w:rPr>
        <w:t xml:space="preserve">., 2017, I, </w:t>
      </w:r>
      <w:proofErr w:type="spellStart"/>
      <w:r>
        <w:rPr>
          <w:rFonts w:ascii="Garamond" w:hAnsi="Garamond"/>
          <w:sz w:val="24"/>
          <w:szCs w:val="24"/>
        </w:rPr>
        <w:t>coll</w:t>
      </w:r>
      <w:proofErr w:type="spellEnd"/>
      <w:r>
        <w:rPr>
          <w:rFonts w:ascii="Garamond" w:hAnsi="Garamond"/>
          <w:sz w:val="24"/>
          <w:szCs w:val="24"/>
        </w:rPr>
        <w:t xml:space="preserve">. </w:t>
      </w:r>
      <w:r w:rsidRPr="00CB7FE9">
        <w:rPr>
          <w:rFonts w:ascii="Garamond" w:hAnsi="Garamond"/>
          <w:sz w:val="24"/>
          <w:szCs w:val="24"/>
          <w:lang w:val="en-US"/>
        </w:rPr>
        <w:t>442-443.</w:t>
      </w:r>
    </w:p>
  </w:footnote>
  <w:footnote w:id="11">
    <w:p w:rsidR="00B01990" w:rsidRPr="00CB7FE9" w:rsidRDefault="00B01990" w:rsidP="006F34DC">
      <w:pPr>
        <w:pStyle w:val="Testonotaapidipagina"/>
        <w:ind w:firstLine="709"/>
        <w:jc w:val="both"/>
        <w:rPr>
          <w:rFonts w:ascii="Garamond" w:hAnsi="Garamond"/>
          <w:sz w:val="24"/>
          <w:szCs w:val="24"/>
          <w:lang w:val="en-US"/>
        </w:rPr>
      </w:pPr>
      <w:r w:rsidRPr="006F34DC">
        <w:rPr>
          <w:rStyle w:val="Rimandonotaapidipagina"/>
          <w:rFonts w:ascii="Garamond" w:hAnsi="Garamond"/>
          <w:sz w:val="24"/>
          <w:szCs w:val="24"/>
        </w:rPr>
        <w:footnoteRef/>
      </w:r>
      <w:r w:rsidRPr="00CB7FE9">
        <w:rPr>
          <w:rFonts w:ascii="Garamond" w:hAnsi="Garamond"/>
          <w:sz w:val="24"/>
          <w:szCs w:val="24"/>
          <w:lang w:val="en-US"/>
        </w:rPr>
        <w:t xml:space="preserve"> Cons. St., comm. spec., 31 luglio 2018, n. 1991/2018, cit., p. 1241.</w:t>
      </w:r>
    </w:p>
  </w:footnote>
  <w:footnote w:id="12">
    <w:p w:rsidR="00B01990" w:rsidRPr="00CB7FE9" w:rsidRDefault="00B01990" w:rsidP="00F31A53">
      <w:pPr>
        <w:pStyle w:val="Testonotaapidipagina"/>
        <w:ind w:firstLine="709"/>
        <w:rPr>
          <w:rFonts w:ascii="Garamond" w:hAnsi="Garamond"/>
          <w:sz w:val="24"/>
          <w:szCs w:val="24"/>
          <w:lang w:val="en-US"/>
        </w:rPr>
      </w:pPr>
      <w:r w:rsidRPr="00F31A53">
        <w:rPr>
          <w:rStyle w:val="Rimandonotaapidipagina"/>
          <w:rFonts w:ascii="Garamond" w:hAnsi="Garamond"/>
          <w:sz w:val="24"/>
          <w:szCs w:val="24"/>
        </w:rPr>
        <w:footnoteRef/>
      </w:r>
      <w:r w:rsidRPr="00CB7FE9">
        <w:rPr>
          <w:rFonts w:ascii="Garamond" w:hAnsi="Garamond"/>
          <w:sz w:val="24"/>
          <w:szCs w:val="24"/>
          <w:lang w:val="en-US"/>
        </w:rPr>
        <w:t xml:space="preserve"> Cons. St., comm. spec., 31 luglio 2018, n. 1991/2018, cit., p. 1242.</w:t>
      </w:r>
    </w:p>
  </w:footnote>
  <w:footnote w:id="13">
    <w:p w:rsidR="00B01990" w:rsidRPr="00F31A53" w:rsidRDefault="00B01990" w:rsidP="00F31A53">
      <w:pPr>
        <w:pStyle w:val="Testonotaapidipagina"/>
        <w:ind w:firstLine="709"/>
        <w:jc w:val="both"/>
        <w:rPr>
          <w:rFonts w:ascii="Garamond" w:hAnsi="Garamond"/>
          <w:sz w:val="24"/>
          <w:szCs w:val="24"/>
        </w:rPr>
      </w:pPr>
      <w:r w:rsidRPr="00F31A53">
        <w:rPr>
          <w:rStyle w:val="Rimandonotaapidipagina"/>
          <w:rFonts w:ascii="Garamond" w:hAnsi="Garamond"/>
          <w:sz w:val="24"/>
          <w:szCs w:val="24"/>
        </w:rPr>
        <w:footnoteRef/>
      </w:r>
      <w:r w:rsidRPr="00F31A53">
        <w:rPr>
          <w:rFonts w:ascii="Garamond" w:hAnsi="Garamond"/>
          <w:sz w:val="24"/>
          <w:szCs w:val="24"/>
        </w:rPr>
        <w:t xml:space="preserve"> Ministero dell’Interno, circolare n. 1/2018 dell’8 febbraio 2018, Legge 22 dicembre 2017, n. 219, recante «</w:t>
      </w:r>
      <w:r w:rsidRPr="00F31A53">
        <w:rPr>
          <w:rFonts w:ascii="Garamond" w:hAnsi="Garamond"/>
          <w:i/>
          <w:sz w:val="24"/>
          <w:szCs w:val="24"/>
        </w:rPr>
        <w:t>Norme in materia di consenso informato e di disposizioni anticipate di trattamento</w:t>
      </w:r>
      <w:r w:rsidRPr="00F31A53">
        <w:rPr>
          <w:rFonts w:ascii="Garamond" w:hAnsi="Garamond"/>
          <w:sz w:val="24"/>
          <w:szCs w:val="24"/>
        </w:rPr>
        <w:t>». Prime indicazioni operative.</w:t>
      </w:r>
    </w:p>
  </w:footnote>
  <w:footnote w:id="14">
    <w:p w:rsidR="00B01990" w:rsidRPr="00FB11D6" w:rsidRDefault="00B01990" w:rsidP="00FB11D6">
      <w:pPr>
        <w:pStyle w:val="Testonotaapidipagina"/>
        <w:ind w:firstLine="709"/>
        <w:jc w:val="both"/>
        <w:rPr>
          <w:rFonts w:ascii="Garamond" w:hAnsi="Garamond"/>
          <w:sz w:val="24"/>
          <w:szCs w:val="24"/>
        </w:rPr>
      </w:pPr>
      <w:r w:rsidRPr="00C473AC">
        <w:rPr>
          <w:rStyle w:val="Rimandonotaapidipagina"/>
          <w:rFonts w:ascii="Garamond" w:hAnsi="Garamond"/>
          <w:sz w:val="24"/>
          <w:szCs w:val="24"/>
        </w:rPr>
        <w:footnoteRef/>
      </w:r>
      <w:r w:rsidRPr="00C473AC">
        <w:rPr>
          <w:rFonts w:ascii="Garamond" w:hAnsi="Garamond"/>
          <w:sz w:val="24"/>
          <w:szCs w:val="24"/>
        </w:rPr>
        <w:t xml:space="preserve"> </w:t>
      </w:r>
      <w:r>
        <w:rPr>
          <w:rFonts w:ascii="Garamond" w:hAnsi="Garamond"/>
          <w:sz w:val="24"/>
          <w:szCs w:val="24"/>
        </w:rPr>
        <w:t>Art. 1, comma 573, della l. 30 dicembre 2018, n. 245: «</w:t>
      </w:r>
      <w:r w:rsidRPr="00B60ED8">
        <w:rPr>
          <w:rFonts w:ascii="Garamond" w:hAnsi="Garamond"/>
          <w:i/>
          <w:sz w:val="24"/>
          <w:szCs w:val="24"/>
        </w:rPr>
        <w:t>per il finanziamento delle spese di manutenzione e gestione della banca dati destinata alla registrazione delle disposizioni anticipate di trattamento (DAT) relative al testamento biologico (art. 1 c. 418 della legge 205/2017) è autorizzata la spesa di euro 400.000 annui a decorrere dall’anno 2019</w:t>
      </w:r>
      <w:r>
        <w:rPr>
          <w:rFonts w:ascii="Garamond" w:hAnsi="Garamond"/>
          <w:sz w:val="24"/>
          <w:szCs w:val="24"/>
        </w:rPr>
        <w:t>»</w:t>
      </w:r>
      <w:r w:rsidRPr="00B60ED8">
        <w:rPr>
          <w:rFonts w:ascii="Garamond" w:hAnsi="Garamond"/>
          <w:sz w:val="24"/>
          <w:szCs w:val="24"/>
        </w:rPr>
        <w:t>.</w:t>
      </w:r>
      <w:r>
        <w:rPr>
          <w:rFonts w:ascii="Garamond" w:hAnsi="Garamond"/>
          <w:sz w:val="24"/>
          <w:szCs w:val="24"/>
        </w:rPr>
        <w:t xml:space="preserve"> Sul punto v. anche le osservazioni di </w:t>
      </w:r>
      <w:r w:rsidRPr="00BC78FD">
        <w:rPr>
          <w:rFonts w:ascii="Garamond" w:hAnsi="Garamond"/>
          <w:smallCaps/>
          <w:sz w:val="24"/>
          <w:szCs w:val="24"/>
        </w:rPr>
        <w:t>M. Foglia</w:t>
      </w:r>
      <w:r>
        <w:rPr>
          <w:rFonts w:ascii="Garamond" w:hAnsi="Garamond"/>
          <w:sz w:val="24"/>
          <w:szCs w:val="24"/>
        </w:rPr>
        <w:t xml:space="preserve">, </w:t>
      </w:r>
      <w:r>
        <w:rPr>
          <w:rFonts w:ascii="Garamond" w:hAnsi="Garamond"/>
          <w:i/>
          <w:sz w:val="24"/>
          <w:szCs w:val="24"/>
        </w:rPr>
        <w:t>Consenso e cura</w:t>
      </w:r>
      <w:r>
        <w:rPr>
          <w:rFonts w:ascii="Garamond" w:hAnsi="Garamond"/>
          <w:sz w:val="24"/>
          <w:szCs w:val="24"/>
        </w:rPr>
        <w:t xml:space="preserve">, cit., p. 201, nt. 160. L’Autore ricorda, peraltro, che il Notariato ha quasi ultimato un registro nazionale consultabile da tutte le </w:t>
      </w:r>
      <w:r w:rsidRPr="00FB11D6">
        <w:rPr>
          <w:rFonts w:ascii="Garamond" w:hAnsi="Garamond"/>
          <w:sz w:val="24"/>
          <w:szCs w:val="24"/>
        </w:rPr>
        <w:t>aziende sanitarie italiane.</w:t>
      </w:r>
    </w:p>
  </w:footnote>
  <w:footnote w:id="15">
    <w:p w:rsidR="00B01990" w:rsidRPr="00FB11D6" w:rsidRDefault="00B01990" w:rsidP="00FB11D6">
      <w:pPr>
        <w:pStyle w:val="Testonotaapidipagina"/>
        <w:ind w:firstLine="709"/>
        <w:jc w:val="both"/>
        <w:rPr>
          <w:rFonts w:ascii="Garamond" w:hAnsi="Garamond"/>
          <w:sz w:val="24"/>
          <w:szCs w:val="24"/>
        </w:rPr>
      </w:pPr>
      <w:r w:rsidRPr="00FB11D6">
        <w:rPr>
          <w:rStyle w:val="Rimandonotaapidipagina"/>
          <w:rFonts w:ascii="Garamond" w:hAnsi="Garamond"/>
          <w:sz w:val="24"/>
          <w:szCs w:val="24"/>
        </w:rPr>
        <w:footnoteRef/>
      </w:r>
      <w:r w:rsidRPr="00FB11D6">
        <w:rPr>
          <w:rFonts w:ascii="Garamond" w:hAnsi="Garamond"/>
          <w:sz w:val="24"/>
          <w:szCs w:val="24"/>
        </w:rPr>
        <w:t xml:space="preserve"> Su questa tematica v., da ultimo, </w:t>
      </w:r>
      <w:r w:rsidRPr="00FB11D6">
        <w:rPr>
          <w:rFonts w:ascii="Garamond" w:hAnsi="Garamond"/>
          <w:smallCaps/>
          <w:sz w:val="24"/>
          <w:szCs w:val="24"/>
        </w:rPr>
        <w:t>A. Pioggia</w:t>
      </w:r>
      <w:r w:rsidRPr="00FB11D6">
        <w:rPr>
          <w:rFonts w:ascii="Garamond" w:hAnsi="Garamond"/>
          <w:sz w:val="24"/>
          <w:szCs w:val="24"/>
        </w:rPr>
        <w:t xml:space="preserve">, </w:t>
      </w:r>
      <w:r w:rsidRPr="00FB11D6">
        <w:rPr>
          <w:rFonts w:ascii="Garamond" w:hAnsi="Garamond"/>
          <w:i/>
          <w:sz w:val="24"/>
          <w:szCs w:val="24"/>
        </w:rPr>
        <w:t>Salute, diritti e responsabilità medica: una storia italiana</w:t>
      </w:r>
      <w:r w:rsidRPr="00FB11D6">
        <w:rPr>
          <w:rFonts w:ascii="Garamond" w:hAnsi="Garamond"/>
          <w:sz w:val="24"/>
          <w:szCs w:val="24"/>
        </w:rPr>
        <w:t xml:space="preserve">, in </w:t>
      </w:r>
      <w:r w:rsidRPr="00FB11D6">
        <w:rPr>
          <w:rFonts w:ascii="Garamond" w:hAnsi="Garamond"/>
          <w:i/>
          <w:sz w:val="24"/>
          <w:szCs w:val="24"/>
        </w:rPr>
        <w:t xml:space="preserve">Dir. </w:t>
      </w:r>
      <w:proofErr w:type="spellStart"/>
      <w:r w:rsidRPr="00FB11D6">
        <w:rPr>
          <w:rFonts w:ascii="Garamond" w:hAnsi="Garamond"/>
          <w:i/>
          <w:sz w:val="24"/>
          <w:szCs w:val="24"/>
        </w:rPr>
        <w:t>amm</w:t>
      </w:r>
      <w:proofErr w:type="spellEnd"/>
      <w:r w:rsidRPr="00FB11D6">
        <w:rPr>
          <w:rFonts w:ascii="Garamond" w:hAnsi="Garamond"/>
          <w:i/>
          <w:sz w:val="24"/>
          <w:szCs w:val="24"/>
        </w:rPr>
        <w:t>.</w:t>
      </w:r>
      <w:r w:rsidRPr="00FB11D6">
        <w:rPr>
          <w:rFonts w:ascii="Garamond" w:hAnsi="Garamond"/>
          <w:sz w:val="24"/>
          <w:szCs w:val="24"/>
        </w:rPr>
        <w:t>, 2018, 3, p. 517 e ss.</w:t>
      </w:r>
      <w:r w:rsidRPr="00222A16">
        <w:rPr>
          <w:rFonts w:ascii="Garamond" w:hAnsi="Garamond"/>
          <w:sz w:val="24"/>
          <w:szCs w:val="24"/>
        </w:rPr>
        <w:t xml:space="preserve"> </w:t>
      </w:r>
      <w:r w:rsidRPr="00EE32FF">
        <w:rPr>
          <w:rFonts w:ascii="Garamond" w:hAnsi="Garamond"/>
          <w:sz w:val="24"/>
          <w:szCs w:val="24"/>
        </w:rPr>
        <w:t>Circa</w:t>
      </w:r>
      <w:r>
        <w:rPr>
          <w:rFonts w:ascii="Garamond" w:hAnsi="Garamond"/>
          <w:sz w:val="24"/>
          <w:szCs w:val="24"/>
        </w:rPr>
        <w:t xml:space="preserve"> il complesso, inestricabile, intreccio tra diritti della persona e organizzazione amministrativa v. un interessante panorama della letteratura più recente in materia in </w:t>
      </w:r>
      <w:r w:rsidRPr="00EE32FF">
        <w:rPr>
          <w:rFonts w:ascii="Garamond" w:hAnsi="Garamond"/>
          <w:smallCaps/>
          <w:sz w:val="24"/>
          <w:szCs w:val="24"/>
        </w:rPr>
        <w:t>N. Vettori</w:t>
      </w:r>
      <w:r>
        <w:rPr>
          <w:rFonts w:ascii="Garamond" w:hAnsi="Garamond"/>
          <w:sz w:val="24"/>
          <w:szCs w:val="24"/>
        </w:rPr>
        <w:t xml:space="preserve">, </w:t>
      </w:r>
      <w:r>
        <w:rPr>
          <w:rFonts w:ascii="Garamond" w:hAnsi="Garamond"/>
          <w:i/>
          <w:sz w:val="24"/>
          <w:szCs w:val="24"/>
        </w:rPr>
        <w:t>Diritti della persona e amministrazioni pubbliche: scritti recenti</w:t>
      </w:r>
      <w:r>
        <w:rPr>
          <w:rFonts w:ascii="Garamond" w:hAnsi="Garamond"/>
          <w:sz w:val="24"/>
          <w:szCs w:val="24"/>
        </w:rPr>
        <w:t xml:space="preserve">, in </w:t>
      </w:r>
      <w:proofErr w:type="spellStart"/>
      <w:r>
        <w:rPr>
          <w:rFonts w:ascii="Garamond" w:hAnsi="Garamond"/>
          <w:i/>
          <w:sz w:val="24"/>
          <w:szCs w:val="24"/>
        </w:rPr>
        <w:t>Giorn</w:t>
      </w:r>
      <w:proofErr w:type="spellEnd"/>
      <w:r>
        <w:rPr>
          <w:rFonts w:ascii="Garamond" w:hAnsi="Garamond"/>
          <w:i/>
          <w:sz w:val="24"/>
          <w:szCs w:val="24"/>
        </w:rPr>
        <w:t xml:space="preserve">. </w:t>
      </w:r>
      <w:proofErr w:type="gramStart"/>
      <w:r>
        <w:rPr>
          <w:rFonts w:ascii="Garamond" w:hAnsi="Garamond"/>
          <w:i/>
          <w:sz w:val="24"/>
          <w:szCs w:val="24"/>
        </w:rPr>
        <w:t>dir</w:t>
      </w:r>
      <w:proofErr w:type="gramEnd"/>
      <w:r>
        <w:rPr>
          <w:rFonts w:ascii="Garamond" w:hAnsi="Garamond"/>
          <w:i/>
          <w:sz w:val="24"/>
          <w:szCs w:val="24"/>
        </w:rPr>
        <w:t xml:space="preserve">. </w:t>
      </w:r>
      <w:proofErr w:type="spellStart"/>
      <w:r>
        <w:rPr>
          <w:rFonts w:ascii="Garamond" w:hAnsi="Garamond"/>
          <w:i/>
          <w:sz w:val="24"/>
          <w:szCs w:val="24"/>
        </w:rPr>
        <w:t>amm</w:t>
      </w:r>
      <w:proofErr w:type="spellEnd"/>
      <w:r>
        <w:rPr>
          <w:rFonts w:ascii="Garamond" w:hAnsi="Garamond"/>
          <w:i/>
          <w:sz w:val="24"/>
          <w:szCs w:val="24"/>
        </w:rPr>
        <w:t>.</w:t>
      </w:r>
      <w:r>
        <w:rPr>
          <w:rFonts w:ascii="Garamond" w:hAnsi="Garamond"/>
          <w:sz w:val="24"/>
          <w:szCs w:val="24"/>
        </w:rPr>
        <w:t xml:space="preserve">, 2018, 1, 117-119. Sulla questione, di recente, v. anche </w:t>
      </w:r>
      <w:proofErr w:type="spellStart"/>
      <w:proofErr w:type="gramStart"/>
      <w:r w:rsidRPr="008D04C9">
        <w:rPr>
          <w:rFonts w:ascii="Garamond" w:hAnsi="Garamond"/>
          <w:smallCaps/>
          <w:sz w:val="24"/>
          <w:szCs w:val="24"/>
        </w:rPr>
        <w:t>Ead</w:t>
      </w:r>
      <w:proofErr w:type="spellEnd"/>
      <w:r>
        <w:rPr>
          <w:rFonts w:ascii="Garamond" w:hAnsi="Garamond"/>
          <w:sz w:val="24"/>
          <w:szCs w:val="24"/>
        </w:rPr>
        <w:t>.,</w:t>
      </w:r>
      <w:proofErr w:type="gramEnd"/>
      <w:r>
        <w:rPr>
          <w:rFonts w:ascii="Garamond" w:hAnsi="Garamond"/>
          <w:sz w:val="24"/>
          <w:szCs w:val="24"/>
        </w:rPr>
        <w:t xml:space="preserve"> </w:t>
      </w:r>
      <w:r>
        <w:rPr>
          <w:rFonts w:ascii="Garamond" w:hAnsi="Garamond"/>
          <w:i/>
          <w:sz w:val="24"/>
          <w:szCs w:val="24"/>
        </w:rPr>
        <w:t>Diritti della persona e amministrazione pubblica</w:t>
      </w:r>
      <w:r>
        <w:rPr>
          <w:rFonts w:ascii="Garamond" w:hAnsi="Garamond"/>
          <w:sz w:val="24"/>
          <w:szCs w:val="24"/>
        </w:rPr>
        <w:t xml:space="preserve">, cit., 93 ss. ed </w:t>
      </w:r>
      <w:proofErr w:type="spellStart"/>
      <w:r w:rsidRPr="00814256">
        <w:rPr>
          <w:rFonts w:ascii="Garamond" w:hAnsi="Garamond"/>
          <w:smallCaps/>
          <w:sz w:val="24"/>
          <w:szCs w:val="24"/>
        </w:rPr>
        <w:t>Ead</w:t>
      </w:r>
      <w:proofErr w:type="spellEnd"/>
      <w:r>
        <w:rPr>
          <w:rFonts w:ascii="Garamond" w:hAnsi="Garamond"/>
          <w:sz w:val="24"/>
          <w:szCs w:val="24"/>
        </w:rPr>
        <w:t xml:space="preserve">., </w:t>
      </w:r>
      <w:r>
        <w:rPr>
          <w:rFonts w:ascii="Garamond" w:hAnsi="Garamond"/>
          <w:i/>
          <w:sz w:val="24"/>
          <w:szCs w:val="24"/>
        </w:rPr>
        <w:t>Persona e diritti all’assistenza</w:t>
      </w:r>
      <w:r>
        <w:rPr>
          <w:rFonts w:ascii="Garamond" w:hAnsi="Garamond"/>
          <w:sz w:val="24"/>
          <w:szCs w:val="24"/>
        </w:rPr>
        <w:t xml:space="preserve">, in </w:t>
      </w:r>
      <w:r>
        <w:rPr>
          <w:rFonts w:ascii="Garamond" w:hAnsi="Garamond"/>
          <w:i/>
          <w:sz w:val="24"/>
          <w:szCs w:val="24"/>
        </w:rPr>
        <w:t xml:space="preserve">Dir. </w:t>
      </w:r>
      <w:proofErr w:type="spellStart"/>
      <w:r>
        <w:rPr>
          <w:rFonts w:ascii="Garamond" w:hAnsi="Garamond"/>
          <w:i/>
          <w:sz w:val="24"/>
          <w:szCs w:val="24"/>
        </w:rPr>
        <w:t>pubbl</w:t>
      </w:r>
      <w:proofErr w:type="spellEnd"/>
      <w:r>
        <w:rPr>
          <w:rFonts w:ascii="Garamond" w:hAnsi="Garamond"/>
          <w:i/>
          <w:sz w:val="24"/>
          <w:szCs w:val="24"/>
        </w:rPr>
        <w:t>.</w:t>
      </w:r>
      <w:r>
        <w:rPr>
          <w:rFonts w:ascii="Garamond" w:hAnsi="Garamond"/>
          <w:sz w:val="24"/>
          <w:szCs w:val="24"/>
        </w:rPr>
        <w:t xml:space="preserve">, 2016, 1, p. 307 e ss., </w:t>
      </w:r>
      <w:r w:rsidRPr="00412C0B">
        <w:rPr>
          <w:rFonts w:ascii="Garamond" w:hAnsi="Garamond"/>
          <w:smallCaps/>
          <w:sz w:val="24"/>
          <w:szCs w:val="24"/>
        </w:rPr>
        <w:t xml:space="preserve">R. Bin, D. Donati </w:t>
      </w:r>
      <w:r w:rsidRPr="00371542">
        <w:rPr>
          <w:rFonts w:ascii="Garamond" w:hAnsi="Garamond"/>
          <w:sz w:val="24"/>
          <w:szCs w:val="24"/>
        </w:rPr>
        <w:t>e</w:t>
      </w:r>
      <w:r w:rsidRPr="00412C0B">
        <w:rPr>
          <w:rFonts w:ascii="Garamond" w:hAnsi="Garamond"/>
          <w:smallCaps/>
          <w:sz w:val="24"/>
          <w:szCs w:val="24"/>
        </w:rPr>
        <w:t xml:space="preserve"> G. </w:t>
      </w:r>
      <w:proofErr w:type="spellStart"/>
      <w:r w:rsidRPr="00412C0B">
        <w:rPr>
          <w:rFonts w:ascii="Garamond" w:hAnsi="Garamond"/>
          <w:smallCaps/>
          <w:sz w:val="24"/>
          <w:szCs w:val="24"/>
        </w:rPr>
        <w:t>Petruzzella</w:t>
      </w:r>
      <w:proofErr w:type="spellEnd"/>
      <w:r>
        <w:rPr>
          <w:rFonts w:ascii="Garamond" w:hAnsi="Garamond"/>
          <w:sz w:val="24"/>
          <w:szCs w:val="24"/>
        </w:rPr>
        <w:t xml:space="preserve">, </w:t>
      </w:r>
      <w:r>
        <w:rPr>
          <w:rFonts w:ascii="Garamond" w:hAnsi="Garamond"/>
          <w:i/>
          <w:sz w:val="24"/>
          <w:szCs w:val="24"/>
        </w:rPr>
        <w:t>Lineamenti di diritto pubblico per i servizi sociali</w:t>
      </w:r>
      <w:r>
        <w:rPr>
          <w:rFonts w:ascii="Garamond" w:hAnsi="Garamond"/>
          <w:sz w:val="24"/>
          <w:szCs w:val="24"/>
          <w:vertAlign w:val="superscript"/>
        </w:rPr>
        <w:t>2</w:t>
      </w:r>
      <w:r>
        <w:rPr>
          <w:rFonts w:ascii="Garamond" w:hAnsi="Garamond"/>
          <w:sz w:val="24"/>
          <w:szCs w:val="24"/>
        </w:rPr>
        <w:t xml:space="preserve">, Torino, 2017, p. 199 e ss., A. </w:t>
      </w:r>
      <w:r w:rsidRPr="00AF23DE">
        <w:rPr>
          <w:rFonts w:ascii="Garamond" w:hAnsi="Garamond"/>
          <w:smallCaps/>
          <w:sz w:val="24"/>
          <w:szCs w:val="24"/>
        </w:rPr>
        <w:t>Pioggia</w:t>
      </w:r>
      <w:r>
        <w:rPr>
          <w:rFonts w:ascii="Garamond" w:hAnsi="Garamond"/>
          <w:sz w:val="24"/>
          <w:szCs w:val="24"/>
        </w:rPr>
        <w:t xml:space="preserve">, </w:t>
      </w:r>
      <w:r>
        <w:rPr>
          <w:rFonts w:ascii="Garamond" w:hAnsi="Garamond"/>
          <w:i/>
          <w:sz w:val="24"/>
          <w:szCs w:val="24"/>
        </w:rPr>
        <w:t>Diritto sanitario e dei servizi sociali</w:t>
      </w:r>
      <w:r>
        <w:rPr>
          <w:rFonts w:ascii="Garamond" w:hAnsi="Garamond"/>
          <w:sz w:val="24"/>
          <w:szCs w:val="24"/>
          <w:vertAlign w:val="superscript"/>
        </w:rPr>
        <w:t>2</w:t>
      </w:r>
      <w:r>
        <w:rPr>
          <w:rFonts w:ascii="Garamond" w:hAnsi="Garamond"/>
          <w:sz w:val="24"/>
          <w:szCs w:val="24"/>
        </w:rPr>
        <w:t xml:space="preserve">, Torino, 2017, 46-48, </w:t>
      </w:r>
      <w:r w:rsidRPr="00C52CD4">
        <w:rPr>
          <w:rFonts w:ascii="Garamond" w:hAnsi="Garamond"/>
          <w:smallCaps/>
          <w:sz w:val="24"/>
          <w:szCs w:val="24"/>
        </w:rPr>
        <w:t>D. Morana</w:t>
      </w:r>
      <w:r>
        <w:rPr>
          <w:rFonts w:ascii="Garamond" w:hAnsi="Garamond"/>
          <w:sz w:val="24"/>
          <w:szCs w:val="24"/>
        </w:rPr>
        <w:t xml:space="preserve">, </w:t>
      </w:r>
      <w:r>
        <w:rPr>
          <w:rFonts w:ascii="Garamond" w:hAnsi="Garamond"/>
          <w:i/>
          <w:sz w:val="24"/>
          <w:szCs w:val="24"/>
        </w:rPr>
        <w:t>La salute come diritto costituzionale. Lezioni</w:t>
      </w:r>
      <w:r>
        <w:rPr>
          <w:rFonts w:ascii="Garamond" w:hAnsi="Garamond"/>
          <w:sz w:val="24"/>
          <w:szCs w:val="24"/>
        </w:rPr>
        <w:t xml:space="preserve">, Torino, 2015, </w:t>
      </w:r>
      <w:r w:rsidRPr="001E46FB">
        <w:rPr>
          <w:rFonts w:ascii="Garamond" w:hAnsi="Garamond"/>
          <w:smallCaps/>
          <w:sz w:val="24"/>
          <w:szCs w:val="24"/>
        </w:rPr>
        <w:t xml:space="preserve">C. </w:t>
      </w:r>
      <w:proofErr w:type="spellStart"/>
      <w:r w:rsidRPr="001E46FB">
        <w:rPr>
          <w:rFonts w:ascii="Garamond" w:hAnsi="Garamond"/>
          <w:smallCaps/>
          <w:sz w:val="24"/>
          <w:szCs w:val="24"/>
        </w:rPr>
        <w:t>Bottari</w:t>
      </w:r>
      <w:proofErr w:type="spellEnd"/>
      <w:r>
        <w:rPr>
          <w:rFonts w:ascii="Garamond" w:hAnsi="Garamond"/>
          <w:sz w:val="24"/>
          <w:szCs w:val="24"/>
        </w:rPr>
        <w:t xml:space="preserve">, </w:t>
      </w:r>
      <w:r>
        <w:rPr>
          <w:rFonts w:ascii="Garamond" w:hAnsi="Garamond"/>
          <w:i/>
          <w:sz w:val="24"/>
          <w:szCs w:val="24"/>
        </w:rPr>
        <w:t>Tutela della salute ed organizzazione sanitaria</w:t>
      </w:r>
      <w:r>
        <w:rPr>
          <w:rFonts w:ascii="Garamond" w:hAnsi="Garamond"/>
          <w:sz w:val="24"/>
          <w:szCs w:val="24"/>
          <w:vertAlign w:val="superscript"/>
        </w:rPr>
        <w:t>2</w:t>
      </w:r>
      <w:r>
        <w:rPr>
          <w:rFonts w:ascii="Garamond" w:hAnsi="Garamond"/>
          <w:sz w:val="24"/>
          <w:szCs w:val="24"/>
        </w:rPr>
        <w:t>, Torino, 2011, pp. 35-39.</w:t>
      </w:r>
    </w:p>
  </w:footnote>
  <w:footnote w:id="16">
    <w:p w:rsidR="00B01990" w:rsidRPr="009D22CC" w:rsidRDefault="00B01990" w:rsidP="003A0901">
      <w:pPr>
        <w:pStyle w:val="Testonotaapidipagina"/>
        <w:ind w:firstLine="709"/>
        <w:jc w:val="both"/>
        <w:rPr>
          <w:rFonts w:ascii="Garamond" w:hAnsi="Garamond"/>
          <w:sz w:val="24"/>
          <w:szCs w:val="24"/>
        </w:rPr>
      </w:pPr>
      <w:r w:rsidRPr="00E87B1A">
        <w:rPr>
          <w:rStyle w:val="Rimandonotaapidipagina"/>
          <w:rFonts w:ascii="Garamond" w:hAnsi="Garamond"/>
          <w:sz w:val="24"/>
          <w:szCs w:val="24"/>
        </w:rPr>
        <w:footnoteRef/>
      </w:r>
      <w:r w:rsidRPr="004072FA">
        <w:rPr>
          <w:rFonts w:ascii="Garamond" w:hAnsi="Garamond"/>
          <w:sz w:val="24"/>
          <w:szCs w:val="24"/>
        </w:rPr>
        <w:t xml:space="preserve"> </w:t>
      </w:r>
      <w:proofErr w:type="spellStart"/>
      <w:r w:rsidRPr="004072FA">
        <w:rPr>
          <w:rFonts w:ascii="Garamond" w:hAnsi="Garamond"/>
          <w:sz w:val="24"/>
          <w:szCs w:val="24"/>
        </w:rPr>
        <w:t>Cons</w:t>
      </w:r>
      <w:proofErr w:type="spellEnd"/>
      <w:r w:rsidRPr="004072FA">
        <w:rPr>
          <w:rFonts w:ascii="Garamond" w:hAnsi="Garamond"/>
          <w:sz w:val="24"/>
          <w:szCs w:val="24"/>
        </w:rPr>
        <w:t xml:space="preserve">. </w:t>
      </w:r>
      <w:proofErr w:type="gramStart"/>
      <w:r w:rsidRPr="00E87B1A">
        <w:rPr>
          <w:rFonts w:ascii="Garamond" w:hAnsi="Garamond"/>
          <w:sz w:val="24"/>
          <w:szCs w:val="24"/>
        </w:rPr>
        <w:t>St.,</w:t>
      </w:r>
      <w:proofErr w:type="gramEnd"/>
      <w:r w:rsidRPr="00E87B1A">
        <w:rPr>
          <w:rFonts w:ascii="Garamond" w:hAnsi="Garamond"/>
          <w:sz w:val="24"/>
          <w:szCs w:val="24"/>
        </w:rPr>
        <w:t xml:space="preserve"> sez. III, 2 settembre 2014</w:t>
      </w:r>
      <w:r w:rsidRPr="00DF3784">
        <w:rPr>
          <w:rFonts w:ascii="Garamond" w:hAnsi="Garamond"/>
          <w:sz w:val="24"/>
          <w:szCs w:val="24"/>
        </w:rPr>
        <w:t xml:space="preserve">, n. 4460, in </w:t>
      </w:r>
      <w:r w:rsidRPr="00DF3784">
        <w:rPr>
          <w:rFonts w:ascii="Garamond" w:hAnsi="Garamond"/>
          <w:i/>
          <w:sz w:val="24"/>
          <w:szCs w:val="24"/>
        </w:rPr>
        <w:t xml:space="preserve">Foro </w:t>
      </w:r>
      <w:proofErr w:type="spellStart"/>
      <w:r w:rsidRPr="00DF3784">
        <w:rPr>
          <w:rFonts w:ascii="Garamond" w:hAnsi="Garamond"/>
          <w:i/>
          <w:sz w:val="24"/>
          <w:szCs w:val="24"/>
        </w:rPr>
        <w:t>amm</w:t>
      </w:r>
      <w:proofErr w:type="spellEnd"/>
      <w:r w:rsidRPr="00DF3784">
        <w:rPr>
          <w:rFonts w:ascii="Garamond" w:hAnsi="Garamond"/>
          <w:i/>
          <w:sz w:val="24"/>
          <w:szCs w:val="24"/>
        </w:rPr>
        <w:t>.</w:t>
      </w:r>
      <w:r>
        <w:rPr>
          <w:rFonts w:ascii="Garamond" w:hAnsi="Garamond"/>
          <w:sz w:val="24"/>
          <w:szCs w:val="24"/>
        </w:rPr>
        <w:t xml:space="preserve"> 2014, 9, 2229. La sentenza aveva confermato la pronuncia del T.A.R. per la Lombardia, sede di Milano, 22 maggio 2009, n. 214, in </w:t>
      </w:r>
      <w:proofErr w:type="spellStart"/>
      <w:r>
        <w:rPr>
          <w:rFonts w:ascii="Garamond" w:hAnsi="Garamond"/>
          <w:i/>
          <w:sz w:val="24"/>
          <w:szCs w:val="24"/>
        </w:rPr>
        <w:t>Giorn</w:t>
      </w:r>
      <w:proofErr w:type="spellEnd"/>
      <w:r>
        <w:rPr>
          <w:rFonts w:ascii="Garamond" w:hAnsi="Garamond"/>
          <w:i/>
          <w:sz w:val="24"/>
          <w:szCs w:val="24"/>
        </w:rPr>
        <w:t xml:space="preserve">. </w:t>
      </w:r>
      <w:proofErr w:type="gramStart"/>
      <w:r>
        <w:rPr>
          <w:rFonts w:ascii="Garamond" w:hAnsi="Garamond"/>
          <w:i/>
          <w:sz w:val="24"/>
          <w:szCs w:val="24"/>
        </w:rPr>
        <w:t>dir</w:t>
      </w:r>
      <w:proofErr w:type="gramEnd"/>
      <w:r>
        <w:rPr>
          <w:rFonts w:ascii="Garamond" w:hAnsi="Garamond"/>
          <w:i/>
          <w:sz w:val="24"/>
          <w:szCs w:val="24"/>
        </w:rPr>
        <w:t xml:space="preserve">. </w:t>
      </w:r>
      <w:proofErr w:type="spellStart"/>
      <w:r>
        <w:rPr>
          <w:rFonts w:ascii="Garamond" w:hAnsi="Garamond"/>
          <w:i/>
          <w:sz w:val="24"/>
          <w:szCs w:val="24"/>
        </w:rPr>
        <w:t>amm</w:t>
      </w:r>
      <w:proofErr w:type="spellEnd"/>
      <w:r>
        <w:rPr>
          <w:rFonts w:ascii="Garamond" w:hAnsi="Garamond"/>
          <w:i/>
          <w:sz w:val="24"/>
          <w:szCs w:val="24"/>
        </w:rPr>
        <w:t>.</w:t>
      </w:r>
      <w:r>
        <w:rPr>
          <w:rFonts w:ascii="Garamond" w:hAnsi="Garamond"/>
          <w:sz w:val="24"/>
          <w:szCs w:val="24"/>
        </w:rPr>
        <w:t xml:space="preserve">, 2009, 3, 267 (massima), con nota di </w:t>
      </w:r>
      <w:r w:rsidRPr="00480ADC">
        <w:rPr>
          <w:rFonts w:ascii="Garamond" w:hAnsi="Garamond"/>
          <w:smallCaps/>
          <w:sz w:val="24"/>
          <w:szCs w:val="24"/>
        </w:rPr>
        <w:t>A. Pioggia</w:t>
      </w:r>
      <w:r>
        <w:rPr>
          <w:rFonts w:ascii="Garamond" w:hAnsi="Garamond"/>
          <w:sz w:val="24"/>
          <w:szCs w:val="24"/>
        </w:rPr>
        <w:t xml:space="preserve">, </w:t>
      </w:r>
      <w:r>
        <w:rPr>
          <w:rFonts w:ascii="Garamond" w:hAnsi="Garamond"/>
          <w:i/>
          <w:sz w:val="24"/>
          <w:szCs w:val="24"/>
        </w:rPr>
        <w:t>Consenso informato e rifiuto di cure</w:t>
      </w:r>
      <w:r>
        <w:rPr>
          <w:rFonts w:ascii="Garamond" w:hAnsi="Garamond"/>
          <w:sz w:val="24"/>
          <w:szCs w:val="24"/>
        </w:rPr>
        <w:t xml:space="preserve">, cit., pp. 267-277, e in </w:t>
      </w:r>
      <w:r>
        <w:rPr>
          <w:rFonts w:ascii="Garamond" w:hAnsi="Garamond"/>
          <w:i/>
          <w:sz w:val="24"/>
          <w:szCs w:val="24"/>
        </w:rPr>
        <w:t xml:space="preserve">Foro </w:t>
      </w:r>
      <w:proofErr w:type="spellStart"/>
      <w:r>
        <w:rPr>
          <w:rFonts w:ascii="Garamond" w:hAnsi="Garamond"/>
          <w:i/>
          <w:sz w:val="24"/>
          <w:szCs w:val="24"/>
        </w:rPr>
        <w:t>amm</w:t>
      </w:r>
      <w:proofErr w:type="spellEnd"/>
      <w:r>
        <w:rPr>
          <w:rFonts w:ascii="Garamond" w:hAnsi="Garamond"/>
          <w:i/>
          <w:sz w:val="24"/>
          <w:szCs w:val="24"/>
        </w:rPr>
        <w:t>.</w:t>
      </w:r>
      <w:r>
        <w:rPr>
          <w:rFonts w:ascii="Garamond" w:hAnsi="Garamond"/>
          <w:sz w:val="24"/>
          <w:szCs w:val="24"/>
        </w:rPr>
        <w:t xml:space="preserve">, </w:t>
      </w:r>
      <w:r>
        <w:rPr>
          <w:rFonts w:ascii="Garamond" w:hAnsi="Garamond"/>
          <w:i/>
          <w:sz w:val="24"/>
          <w:szCs w:val="24"/>
        </w:rPr>
        <w:t>T.A.R.</w:t>
      </w:r>
      <w:r>
        <w:rPr>
          <w:rFonts w:ascii="Garamond" w:hAnsi="Garamond"/>
          <w:sz w:val="24"/>
          <w:szCs w:val="24"/>
        </w:rPr>
        <w:t xml:space="preserve">, 2009, 4, p. 976 ss., con nota di V. </w:t>
      </w:r>
      <w:proofErr w:type="spellStart"/>
      <w:r w:rsidRPr="00204D9A">
        <w:rPr>
          <w:rFonts w:ascii="Garamond" w:hAnsi="Garamond"/>
          <w:smallCaps/>
          <w:sz w:val="24"/>
          <w:szCs w:val="24"/>
        </w:rPr>
        <w:t>Molaschi</w:t>
      </w:r>
      <w:proofErr w:type="spellEnd"/>
      <w:r>
        <w:rPr>
          <w:rFonts w:ascii="Garamond" w:hAnsi="Garamond"/>
          <w:sz w:val="24"/>
          <w:szCs w:val="24"/>
        </w:rPr>
        <w:t xml:space="preserve">, </w:t>
      </w:r>
      <w:r>
        <w:rPr>
          <w:rFonts w:ascii="Garamond" w:hAnsi="Garamond"/>
          <w:i/>
          <w:sz w:val="24"/>
          <w:szCs w:val="24"/>
        </w:rPr>
        <w:t xml:space="preserve">Riflessioni sul caso </w:t>
      </w:r>
      <w:proofErr w:type="spellStart"/>
      <w:r>
        <w:rPr>
          <w:rFonts w:ascii="Garamond" w:hAnsi="Garamond"/>
          <w:i/>
          <w:sz w:val="24"/>
          <w:szCs w:val="24"/>
        </w:rPr>
        <w:t>Englaro</w:t>
      </w:r>
      <w:proofErr w:type="spellEnd"/>
      <w:r>
        <w:rPr>
          <w:rFonts w:ascii="Garamond" w:hAnsi="Garamond"/>
          <w:i/>
          <w:sz w:val="24"/>
          <w:szCs w:val="24"/>
        </w:rPr>
        <w:t xml:space="preserve">. Diritto di rifiutare idratazione </w:t>
      </w:r>
      <w:proofErr w:type="spellStart"/>
      <w:r>
        <w:rPr>
          <w:rFonts w:ascii="Garamond" w:hAnsi="Garamond"/>
          <w:i/>
          <w:sz w:val="24"/>
          <w:szCs w:val="24"/>
        </w:rPr>
        <w:t>ed</w:t>
      </w:r>
      <w:proofErr w:type="spellEnd"/>
      <w:r>
        <w:rPr>
          <w:rFonts w:ascii="Garamond" w:hAnsi="Garamond"/>
          <w:i/>
          <w:sz w:val="24"/>
          <w:szCs w:val="24"/>
        </w:rPr>
        <w:t xml:space="preserve"> alimentazione artificiali</w:t>
      </w:r>
      <w:r>
        <w:rPr>
          <w:rFonts w:ascii="Garamond" w:hAnsi="Garamond"/>
          <w:sz w:val="24"/>
          <w:szCs w:val="24"/>
        </w:rPr>
        <w:t>, cit., 981-1001. Sulla questione</w:t>
      </w:r>
      <w:r w:rsidR="00D6195F">
        <w:rPr>
          <w:rFonts w:ascii="Garamond" w:hAnsi="Garamond"/>
          <w:sz w:val="24"/>
          <w:szCs w:val="24"/>
        </w:rPr>
        <w:t xml:space="preserve"> sia consentito anche rinviare a</w:t>
      </w:r>
      <w:r>
        <w:rPr>
          <w:rFonts w:ascii="Garamond" w:hAnsi="Garamond"/>
          <w:sz w:val="24"/>
          <w:szCs w:val="24"/>
        </w:rPr>
        <w:t xml:space="preserve"> </w:t>
      </w:r>
      <w:r w:rsidRPr="009D22CC">
        <w:rPr>
          <w:rFonts w:ascii="Garamond" w:hAnsi="Garamond"/>
          <w:smallCaps/>
          <w:sz w:val="24"/>
          <w:szCs w:val="24"/>
        </w:rPr>
        <w:t xml:space="preserve">M. </w:t>
      </w:r>
      <w:proofErr w:type="spellStart"/>
      <w:r w:rsidRPr="009D22CC">
        <w:rPr>
          <w:rFonts w:ascii="Garamond" w:hAnsi="Garamond"/>
          <w:smallCaps/>
          <w:sz w:val="24"/>
          <w:szCs w:val="24"/>
        </w:rPr>
        <w:t>Noccelli</w:t>
      </w:r>
      <w:proofErr w:type="spellEnd"/>
      <w:r>
        <w:rPr>
          <w:rFonts w:ascii="Garamond" w:hAnsi="Garamond"/>
          <w:sz w:val="24"/>
          <w:szCs w:val="24"/>
        </w:rPr>
        <w:t xml:space="preserve">, </w:t>
      </w:r>
      <w:r>
        <w:rPr>
          <w:rFonts w:ascii="Garamond" w:hAnsi="Garamond"/>
          <w:i/>
          <w:sz w:val="24"/>
          <w:szCs w:val="24"/>
        </w:rPr>
        <w:t>Il giudice amministrativo e la tutela dei diritti fondamentali</w:t>
      </w:r>
      <w:r>
        <w:rPr>
          <w:rFonts w:ascii="Garamond" w:hAnsi="Garamond"/>
          <w:sz w:val="24"/>
          <w:szCs w:val="24"/>
        </w:rPr>
        <w:t xml:space="preserve">, in </w:t>
      </w:r>
      <w:hyperlink r:id="rId1" w:history="1">
        <w:r w:rsidRPr="00547709">
          <w:rPr>
            <w:rStyle w:val="Collegamentoipertestuale"/>
            <w:rFonts w:ascii="Garamond" w:hAnsi="Garamond"/>
            <w:i/>
            <w:sz w:val="24"/>
            <w:szCs w:val="24"/>
          </w:rPr>
          <w:t>www.giustizia-amministrativa.it</w:t>
        </w:r>
      </w:hyperlink>
      <w:r>
        <w:rPr>
          <w:rFonts w:ascii="Garamond" w:hAnsi="Garamond"/>
          <w:sz w:val="24"/>
          <w:szCs w:val="24"/>
        </w:rPr>
        <w:t>, 5.</w:t>
      </w:r>
    </w:p>
  </w:footnote>
  <w:footnote w:id="17">
    <w:p w:rsidR="00B01990" w:rsidRPr="00F35209" w:rsidRDefault="00B01990" w:rsidP="003A0901">
      <w:pPr>
        <w:pStyle w:val="Testonotaapidipagina"/>
        <w:ind w:firstLine="709"/>
        <w:jc w:val="both"/>
        <w:rPr>
          <w:rFonts w:ascii="Garamond" w:hAnsi="Garamond"/>
          <w:i/>
          <w:sz w:val="24"/>
          <w:szCs w:val="24"/>
        </w:rPr>
      </w:pPr>
      <w:r w:rsidRPr="00503F33">
        <w:rPr>
          <w:rStyle w:val="Rimandonotaapidipagina"/>
          <w:rFonts w:ascii="Garamond" w:hAnsi="Garamond"/>
          <w:sz w:val="24"/>
          <w:szCs w:val="24"/>
        </w:rPr>
        <w:footnoteRef/>
      </w:r>
      <w:r w:rsidRPr="00503F33">
        <w:rPr>
          <w:rFonts w:ascii="Garamond" w:hAnsi="Garamond"/>
          <w:sz w:val="24"/>
          <w:szCs w:val="24"/>
        </w:rPr>
        <w:t xml:space="preserve"> </w:t>
      </w:r>
      <w:proofErr w:type="spellStart"/>
      <w:r w:rsidRPr="00503F33">
        <w:rPr>
          <w:rFonts w:ascii="Garamond" w:hAnsi="Garamond"/>
          <w:sz w:val="24"/>
          <w:szCs w:val="24"/>
        </w:rPr>
        <w:t>Cons</w:t>
      </w:r>
      <w:proofErr w:type="spellEnd"/>
      <w:r w:rsidRPr="00503F33">
        <w:rPr>
          <w:rFonts w:ascii="Garamond" w:hAnsi="Garamond"/>
          <w:sz w:val="24"/>
          <w:szCs w:val="24"/>
        </w:rPr>
        <w:t xml:space="preserve">. </w:t>
      </w:r>
      <w:proofErr w:type="gramStart"/>
      <w:r w:rsidRPr="00503F33">
        <w:rPr>
          <w:rFonts w:ascii="Garamond" w:hAnsi="Garamond"/>
          <w:sz w:val="24"/>
          <w:szCs w:val="24"/>
        </w:rPr>
        <w:t>St.,</w:t>
      </w:r>
      <w:proofErr w:type="gramEnd"/>
      <w:r w:rsidRPr="00503F33">
        <w:rPr>
          <w:rFonts w:ascii="Garamond" w:hAnsi="Garamond"/>
          <w:sz w:val="24"/>
          <w:szCs w:val="24"/>
        </w:rPr>
        <w:t xml:space="preserve"> sez. III, 21 giugno 2017, n. 3058, in </w:t>
      </w:r>
      <w:r w:rsidRPr="00503F33">
        <w:rPr>
          <w:rFonts w:ascii="Garamond" w:hAnsi="Garamond"/>
          <w:i/>
          <w:sz w:val="24"/>
          <w:szCs w:val="24"/>
        </w:rPr>
        <w:t xml:space="preserve">Foro </w:t>
      </w:r>
      <w:proofErr w:type="spellStart"/>
      <w:r w:rsidRPr="00503F33">
        <w:rPr>
          <w:rFonts w:ascii="Garamond" w:hAnsi="Garamond"/>
          <w:i/>
          <w:sz w:val="24"/>
          <w:szCs w:val="24"/>
        </w:rPr>
        <w:t>amm</w:t>
      </w:r>
      <w:proofErr w:type="spellEnd"/>
      <w:r w:rsidRPr="00503F33">
        <w:rPr>
          <w:rFonts w:ascii="Garamond" w:hAnsi="Garamond"/>
          <w:i/>
          <w:sz w:val="24"/>
          <w:szCs w:val="24"/>
        </w:rPr>
        <w:t>.</w:t>
      </w:r>
      <w:r w:rsidRPr="00503F33">
        <w:rPr>
          <w:rFonts w:ascii="Garamond" w:hAnsi="Garamond"/>
          <w:sz w:val="24"/>
          <w:szCs w:val="24"/>
        </w:rPr>
        <w:t xml:space="preserve">, 2017, 6, </w:t>
      </w:r>
      <w:r>
        <w:rPr>
          <w:rFonts w:ascii="Garamond" w:hAnsi="Garamond"/>
          <w:sz w:val="24"/>
          <w:szCs w:val="24"/>
        </w:rPr>
        <w:t xml:space="preserve">col. </w:t>
      </w:r>
      <w:r w:rsidRPr="00503F33">
        <w:rPr>
          <w:rFonts w:ascii="Garamond" w:hAnsi="Garamond"/>
          <w:sz w:val="24"/>
          <w:szCs w:val="24"/>
        </w:rPr>
        <w:t>1228</w:t>
      </w:r>
      <w:r>
        <w:rPr>
          <w:rFonts w:ascii="Garamond" w:hAnsi="Garamond"/>
          <w:sz w:val="24"/>
          <w:szCs w:val="24"/>
        </w:rPr>
        <w:t xml:space="preserve"> e</w:t>
      </w:r>
      <w:r w:rsidRPr="00503F33">
        <w:rPr>
          <w:rFonts w:ascii="Garamond" w:hAnsi="Garamond"/>
          <w:sz w:val="24"/>
          <w:szCs w:val="24"/>
        </w:rPr>
        <w:t xml:space="preserve"> ss. nonché in </w:t>
      </w:r>
      <w:r w:rsidRPr="00503F33">
        <w:rPr>
          <w:rFonts w:ascii="Garamond" w:hAnsi="Garamond"/>
          <w:i/>
          <w:sz w:val="24"/>
          <w:szCs w:val="24"/>
        </w:rPr>
        <w:t xml:space="preserve">Foro </w:t>
      </w:r>
      <w:proofErr w:type="spellStart"/>
      <w:r w:rsidRPr="00503F33">
        <w:rPr>
          <w:rFonts w:ascii="Garamond" w:hAnsi="Garamond"/>
          <w:i/>
          <w:sz w:val="24"/>
          <w:szCs w:val="24"/>
        </w:rPr>
        <w:t>it</w:t>
      </w:r>
      <w:proofErr w:type="spellEnd"/>
      <w:r w:rsidRPr="00503F33">
        <w:rPr>
          <w:rFonts w:ascii="Garamond" w:hAnsi="Garamond"/>
          <w:i/>
          <w:sz w:val="24"/>
          <w:szCs w:val="24"/>
        </w:rPr>
        <w:t>.</w:t>
      </w:r>
      <w:r w:rsidRPr="00503F33">
        <w:rPr>
          <w:rFonts w:ascii="Garamond" w:hAnsi="Garamond"/>
          <w:sz w:val="24"/>
          <w:szCs w:val="24"/>
        </w:rPr>
        <w:t xml:space="preserve">, 2017, III, </w:t>
      </w:r>
      <w:r>
        <w:rPr>
          <w:rFonts w:ascii="Garamond" w:hAnsi="Garamond"/>
          <w:sz w:val="24"/>
          <w:szCs w:val="24"/>
        </w:rPr>
        <w:t xml:space="preserve">col. </w:t>
      </w:r>
      <w:r w:rsidRPr="00503F33">
        <w:rPr>
          <w:rFonts w:ascii="Garamond" w:hAnsi="Garamond"/>
          <w:sz w:val="24"/>
          <w:szCs w:val="24"/>
        </w:rPr>
        <w:t xml:space="preserve">377, con nota redazionale di </w:t>
      </w:r>
      <w:r w:rsidRPr="00503F33">
        <w:rPr>
          <w:rFonts w:ascii="Garamond" w:hAnsi="Garamond"/>
          <w:smallCaps/>
          <w:sz w:val="24"/>
          <w:szCs w:val="24"/>
        </w:rPr>
        <w:t>A. Palmieri</w:t>
      </w:r>
      <w:r w:rsidRPr="00503F33">
        <w:rPr>
          <w:rFonts w:ascii="Garamond" w:hAnsi="Garamond"/>
          <w:sz w:val="24"/>
          <w:szCs w:val="24"/>
        </w:rPr>
        <w:t xml:space="preserve">, e in </w:t>
      </w:r>
      <w:proofErr w:type="spellStart"/>
      <w:r w:rsidRPr="00503F33">
        <w:rPr>
          <w:rFonts w:ascii="Garamond" w:hAnsi="Garamond"/>
          <w:i/>
          <w:sz w:val="24"/>
          <w:szCs w:val="24"/>
        </w:rPr>
        <w:t>Riv</w:t>
      </w:r>
      <w:proofErr w:type="spellEnd"/>
      <w:r w:rsidRPr="00503F33">
        <w:rPr>
          <w:rFonts w:ascii="Garamond" w:hAnsi="Garamond"/>
          <w:i/>
          <w:sz w:val="24"/>
          <w:szCs w:val="24"/>
        </w:rPr>
        <w:t xml:space="preserve">. </w:t>
      </w:r>
      <w:proofErr w:type="spellStart"/>
      <w:proofErr w:type="gramStart"/>
      <w:r w:rsidRPr="00503F33">
        <w:rPr>
          <w:rFonts w:ascii="Garamond" w:hAnsi="Garamond"/>
          <w:i/>
          <w:sz w:val="24"/>
          <w:szCs w:val="24"/>
        </w:rPr>
        <w:t>resp</w:t>
      </w:r>
      <w:proofErr w:type="spellEnd"/>
      <w:proofErr w:type="gramEnd"/>
      <w:r w:rsidRPr="00503F33">
        <w:rPr>
          <w:rFonts w:ascii="Garamond" w:hAnsi="Garamond"/>
          <w:i/>
          <w:sz w:val="24"/>
          <w:szCs w:val="24"/>
        </w:rPr>
        <w:t xml:space="preserve">. </w:t>
      </w:r>
      <w:proofErr w:type="spellStart"/>
      <w:proofErr w:type="gramStart"/>
      <w:r w:rsidRPr="00503F33">
        <w:rPr>
          <w:rFonts w:ascii="Garamond" w:hAnsi="Garamond"/>
          <w:i/>
          <w:sz w:val="24"/>
          <w:szCs w:val="24"/>
        </w:rPr>
        <w:t>prev</w:t>
      </w:r>
      <w:proofErr w:type="spellEnd"/>
      <w:r w:rsidRPr="00503F33">
        <w:rPr>
          <w:rFonts w:ascii="Garamond" w:hAnsi="Garamond"/>
          <w:i/>
          <w:sz w:val="24"/>
          <w:szCs w:val="24"/>
        </w:rPr>
        <w:t>.</w:t>
      </w:r>
      <w:r w:rsidRPr="00503F33">
        <w:rPr>
          <w:rFonts w:ascii="Garamond" w:hAnsi="Garamond"/>
          <w:sz w:val="24"/>
          <w:szCs w:val="24"/>
        </w:rPr>
        <w:t>,</w:t>
      </w:r>
      <w:proofErr w:type="gramEnd"/>
      <w:r w:rsidRPr="00503F33">
        <w:rPr>
          <w:rFonts w:ascii="Garamond" w:hAnsi="Garamond"/>
          <w:sz w:val="24"/>
          <w:szCs w:val="24"/>
        </w:rPr>
        <w:t xml:space="preserve"> 2017,</w:t>
      </w:r>
      <w:r>
        <w:rPr>
          <w:rFonts w:ascii="Garamond" w:hAnsi="Garamond"/>
          <w:sz w:val="24"/>
          <w:szCs w:val="24"/>
        </w:rPr>
        <w:t xml:space="preserve"> 5, 1661 ss.</w:t>
      </w:r>
      <w:r w:rsidRPr="00503F33">
        <w:rPr>
          <w:rFonts w:ascii="Garamond" w:hAnsi="Garamond"/>
          <w:sz w:val="24"/>
          <w:szCs w:val="24"/>
        </w:rPr>
        <w:t xml:space="preserve"> con nota di </w:t>
      </w:r>
      <w:r w:rsidRPr="00503F33">
        <w:rPr>
          <w:rFonts w:ascii="Garamond" w:hAnsi="Garamond"/>
          <w:smallCaps/>
          <w:sz w:val="24"/>
          <w:szCs w:val="24"/>
        </w:rPr>
        <w:t xml:space="preserve">A. Berti </w:t>
      </w:r>
      <w:proofErr w:type="spellStart"/>
      <w:r w:rsidRPr="00503F33">
        <w:rPr>
          <w:rFonts w:ascii="Garamond" w:hAnsi="Garamond"/>
          <w:smallCaps/>
          <w:sz w:val="24"/>
          <w:szCs w:val="24"/>
        </w:rPr>
        <w:t>Suman</w:t>
      </w:r>
      <w:proofErr w:type="spellEnd"/>
      <w:r w:rsidRPr="00503F33">
        <w:rPr>
          <w:rFonts w:ascii="Garamond" w:hAnsi="Garamond"/>
          <w:sz w:val="24"/>
          <w:szCs w:val="24"/>
        </w:rPr>
        <w:t xml:space="preserve">, </w:t>
      </w:r>
      <w:r>
        <w:rPr>
          <w:rFonts w:ascii="Garamond" w:hAnsi="Garamond"/>
          <w:i/>
          <w:sz w:val="24"/>
          <w:szCs w:val="24"/>
        </w:rPr>
        <w:t>La responsabilità della p.a. per danno derivante da lesione del diritto all’autodeterminazione terapeutica nel caso «</w:t>
      </w:r>
      <w:proofErr w:type="spellStart"/>
      <w:r>
        <w:rPr>
          <w:rFonts w:ascii="Garamond" w:hAnsi="Garamond"/>
          <w:i/>
          <w:sz w:val="24"/>
          <w:szCs w:val="24"/>
        </w:rPr>
        <w:t>Englaro</w:t>
      </w:r>
      <w:proofErr w:type="spellEnd"/>
      <w:r>
        <w:rPr>
          <w:rFonts w:ascii="Garamond" w:hAnsi="Garamond"/>
          <w:i/>
          <w:sz w:val="24"/>
          <w:szCs w:val="24"/>
        </w:rPr>
        <w:t>»</w:t>
      </w:r>
      <w:r>
        <w:rPr>
          <w:rFonts w:ascii="Garamond" w:hAnsi="Garamond"/>
          <w:sz w:val="24"/>
          <w:szCs w:val="24"/>
        </w:rPr>
        <w:t xml:space="preserve">, e in </w:t>
      </w:r>
      <w:r>
        <w:rPr>
          <w:rFonts w:ascii="Garamond" w:hAnsi="Garamond"/>
          <w:i/>
          <w:sz w:val="24"/>
          <w:szCs w:val="24"/>
        </w:rPr>
        <w:t>Nuova giur. civ. comm.</w:t>
      </w:r>
      <w:r>
        <w:rPr>
          <w:rFonts w:ascii="Garamond" w:hAnsi="Garamond"/>
          <w:sz w:val="24"/>
          <w:szCs w:val="24"/>
        </w:rPr>
        <w:t xml:space="preserve">, 2017, 11, p. 1525 e ss., con nota di </w:t>
      </w:r>
      <w:r w:rsidRPr="001456EE">
        <w:rPr>
          <w:rFonts w:ascii="Garamond" w:hAnsi="Garamond"/>
          <w:smallCaps/>
          <w:sz w:val="24"/>
          <w:szCs w:val="24"/>
        </w:rPr>
        <w:t>M. Azzalini</w:t>
      </w:r>
      <w:r>
        <w:rPr>
          <w:rFonts w:ascii="Garamond" w:hAnsi="Garamond"/>
          <w:sz w:val="24"/>
          <w:szCs w:val="24"/>
        </w:rPr>
        <w:t xml:space="preserve"> e </w:t>
      </w:r>
      <w:r w:rsidRPr="001456EE">
        <w:rPr>
          <w:rFonts w:ascii="Garamond" w:hAnsi="Garamond"/>
          <w:smallCaps/>
          <w:sz w:val="24"/>
          <w:szCs w:val="24"/>
        </w:rPr>
        <w:t xml:space="preserve">V. </w:t>
      </w:r>
      <w:proofErr w:type="spellStart"/>
      <w:r w:rsidRPr="001456EE">
        <w:rPr>
          <w:rFonts w:ascii="Garamond" w:hAnsi="Garamond"/>
          <w:smallCaps/>
          <w:sz w:val="24"/>
          <w:szCs w:val="24"/>
        </w:rPr>
        <w:t>Molaschi</w:t>
      </w:r>
      <w:proofErr w:type="spellEnd"/>
      <w:r>
        <w:rPr>
          <w:rFonts w:ascii="Garamond" w:hAnsi="Garamond"/>
          <w:sz w:val="24"/>
          <w:szCs w:val="24"/>
        </w:rPr>
        <w:t xml:space="preserve">, </w:t>
      </w:r>
      <w:r>
        <w:rPr>
          <w:rFonts w:ascii="Garamond" w:hAnsi="Garamond"/>
          <w:i/>
          <w:sz w:val="24"/>
          <w:szCs w:val="24"/>
        </w:rPr>
        <w:t xml:space="preserve">Autodeterminazione terapeutica e responsabilità della p.a.: il suggello del Consiglio di Stato sul caso </w:t>
      </w:r>
      <w:proofErr w:type="spellStart"/>
      <w:r>
        <w:rPr>
          <w:rFonts w:ascii="Garamond" w:hAnsi="Garamond"/>
          <w:i/>
          <w:sz w:val="24"/>
          <w:szCs w:val="24"/>
        </w:rPr>
        <w:t>Englaro</w:t>
      </w:r>
      <w:proofErr w:type="spellEnd"/>
      <w:r>
        <w:rPr>
          <w:rFonts w:ascii="Garamond" w:hAnsi="Garamond"/>
          <w:i/>
          <w:sz w:val="24"/>
          <w:szCs w:val="24"/>
        </w:rPr>
        <w:t xml:space="preserve">. </w:t>
      </w:r>
      <w:r>
        <w:rPr>
          <w:rFonts w:ascii="Garamond" w:hAnsi="Garamond"/>
          <w:sz w:val="24"/>
          <w:szCs w:val="24"/>
        </w:rPr>
        <w:t xml:space="preserve">La sentenza ha confermato, seppure con diversa motivazione, la sentenza del T.A.R. per la Lombardia, sede di Milano, 6 </w:t>
      </w:r>
      <w:r w:rsidRPr="00F35209">
        <w:rPr>
          <w:rFonts w:ascii="Garamond" w:hAnsi="Garamond"/>
          <w:sz w:val="24"/>
          <w:szCs w:val="24"/>
        </w:rPr>
        <w:t xml:space="preserve">aprile 2016, n. 650, in </w:t>
      </w:r>
      <w:r w:rsidRPr="00F35209">
        <w:rPr>
          <w:rFonts w:ascii="Garamond" w:hAnsi="Garamond"/>
          <w:i/>
          <w:sz w:val="24"/>
          <w:szCs w:val="24"/>
        </w:rPr>
        <w:t>Nuova giur. civ. comm.</w:t>
      </w:r>
      <w:r w:rsidRPr="00F35209">
        <w:rPr>
          <w:rFonts w:ascii="Garamond" w:hAnsi="Garamond"/>
          <w:sz w:val="24"/>
          <w:szCs w:val="24"/>
        </w:rPr>
        <w:t>, 2016, 9,</w:t>
      </w:r>
      <w:r>
        <w:rPr>
          <w:rFonts w:ascii="Garamond" w:hAnsi="Garamond"/>
          <w:sz w:val="24"/>
          <w:szCs w:val="24"/>
        </w:rPr>
        <w:t xml:space="preserve"> pp.</w:t>
      </w:r>
      <w:r w:rsidRPr="00F35209">
        <w:rPr>
          <w:rFonts w:ascii="Garamond" w:hAnsi="Garamond"/>
          <w:sz w:val="24"/>
          <w:szCs w:val="24"/>
        </w:rPr>
        <w:t xml:space="preserve"> 1194-1198, con nota di </w:t>
      </w:r>
      <w:r w:rsidRPr="00F35209">
        <w:rPr>
          <w:rFonts w:ascii="Garamond" w:hAnsi="Garamond"/>
          <w:smallCaps/>
          <w:sz w:val="24"/>
          <w:szCs w:val="24"/>
        </w:rPr>
        <w:t xml:space="preserve">C. </w:t>
      </w:r>
      <w:proofErr w:type="spellStart"/>
      <w:r w:rsidRPr="00F35209">
        <w:rPr>
          <w:rFonts w:ascii="Garamond" w:hAnsi="Garamond"/>
          <w:smallCaps/>
          <w:sz w:val="24"/>
          <w:szCs w:val="24"/>
        </w:rPr>
        <w:t>Favilli</w:t>
      </w:r>
      <w:proofErr w:type="spellEnd"/>
      <w:r w:rsidRPr="00F35209">
        <w:rPr>
          <w:rFonts w:ascii="Garamond" w:hAnsi="Garamond"/>
          <w:sz w:val="24"/>
          <w:szCs w:val="24"/>
        </w:rPr>
        <w:t>, «</w:t>
      </w:r>
      <w:r w:rsidRPr="00F35209">
        <w:rPr>
          <w:rFonts w:ascii="Garamond" w:hAnsi="Garamond"/>
          <w:i/>
          <w:sz w:val="24"/>
          <w:szCs w:val="24"/>
        </w:rPr>
        <w:t xml:space="preserve">La responsabilità della pubblica amministrazione nel caso </w:t>
      </w:r>
      <w:proofErr w:type="spellStart"/>
      <w:r w:rsidRPr="00F35209">
        <w:rPr>
          <w:rFonts w:ascii="Garamond" w:hAnsi="Garamond"/>
          <w:i/>
          <w:sz w:val="24"/>
          <w:szCs w:val="24"/>
        </w:rPr>
        <w:t>Englaro</w:t>
      </w:r>
      <w:proofErr w:type="spellEnd"/>
      <w:r w:rsidRPr="00F35209">
        <w:rPr>
          <w:rFonts w:ascii="Garamond" w:hAnsi="Garamond"/>
          <w:sz w:val="24"/>
          <w:szCs w:val="24"/>
        </w:rPr>
        <w:t xml:space="preserve">», in </w:t>
      </w:r>
      <w:r w:rsidRPr="00F35209">
        <w:rPr>
          <w:rFonts w:ascii="Garamond" w:hAnsi="Garamond"/>
          <w:i/>
          <w:sz w:val="24"/>
          <w:szCs w:val="24"/>
        </w:rPr>
        <w:t xml:space="preserve">Guida al </w:t>
      </w:r>
      <w:proofErr w:type="gramStart"/>
      <w:r w:rsidRPr="00F35209">
        <w:rPr>
          <w:rFonts w:ascii="Garamond" w:hAnsi="Garamond"/>
          <w:i/>
          <w:sz w:val="24"/>
          <w:szCs w:val="24"/>
        </w:rPr>
        <w:t>dir.</w:t>
      </w:r>
      <w:r w:rsidRPr="00F35209">
        <w:rPr>
          <w:rFonts w:ascii="Garamond" w:hAnsi="Garamond"/>
          <w:sz w:val="24"/>
          <w:szCs w:val="24"/>
        </w:rPr>
        <w:t>,</w:t>
      </w:r>
      <w:proofErr w:type="gramEnd"/>
      <w:r w:rsidRPr="00F35209">
        <w:rPr>
          <w:rFonts w:ascii="Garamond" w:hAnsi="Garamond"/>
          <w:sz w:val="24"/>
          <w:szCs w:val="24"/>
        </w:rPr>
        <w:t xml:space="preserve"> 2016, 19, </w:t>
      </w:r>
      <w:r>
        <w:rPr>
          <w:rFonts w:ascii="Garamond" w:hAnsi="Garamond"/>
          <w:sz w:val="24"/>
          <w:szCs w:val="24"/>
        </w:rPr>
        <w:t xml:space="preserve">pp. </w:t>
      </w:r>
      <w:r w:rsidRPr="00F35209">
        <w:rPr>
          <w:rFonts w:ascii="Garamond" w:hAnsi="Garamond"/>
          <w:sz w:val="24"/>
          <w:szCs w:val="24"/>
        </w:rPr>
        <w:t xml:space="preserve">98-102, con nota di </w:t>
      </w:r>
      <w:r w:rsidRPr="00F35209">
        <w:rPr>
          <w:rFonts w:ascii="Garamond" w:hAnsi="Garamond"/>
          <w:smallCaps/>
          <w:sz w:val="24"/>
          <w:szCs w:val="24"/>
        </w:rPr>
        <w:t xml:space="preserve">A. </w:t>
      </w:r>
      <w:proofErr w:type="spellStart"/>
      <w:r w:rsidRPr="00F35209">
        <w:rPr>
          <w:rFonts w:ascii="Garamond" w:hAnsi="Garamond"/>
          <w:smallCaps/>
          <w:sz w:val="24"/>
          <w:szCs w:val="24"/>
        </w:rPr>
        <w:t>Masaracchia</w:t>
      </w:r>
      <w:proofErr w:type="spellEnd"/>
      <w:r w:rsidRPr="00F35209">
        <w:rPr>
          <w:rFonts w:ascii="Garamond" w:hAnsi="Garamond"/>
          <w:sz w:val="24"/>
          <w:szCs w:val="24"/>
        </w:rPr>
        <w:t xml:space="preserve">, </w:t>
      </w:r>
      <w:r w:rsidRPr="00F35209">
        <w:rPr>
          <w:rFonts w:ascii="Garamond" w:hAnsi="Garamond"/>
          <w:i/>
          <w:sz w:val="24"/>
          <w:szCs w:val="24"/>
        </w:rPr>
        <w:t>L’autorità dei tribunali non può essere disattesa dalle Regioni.</w:t>
      </w:r>
    </w:p>
  </w:footnote>
  <w:footnote w:id="18">
    <w:p w:rsidR="00B01990" w:rsidRPr="001911E9" w:rsidRDefault="00B01990" w:rsidP="003A0901">
      <w:pPr>
        <w:pStyle w:val="Testonotaapidipagina"/>
        <w:ind w:firstLine="709"/>
        <w:jc w:val="both"/>
        <w:rPr>
          <w:rFonts w:ascii="Garamond" w:hAnsi="Garamond"/>
          <w:sz w:val="24"/>
          <w:szCs w:val="24"/>
        </w:rPr>
      </w:pPr>
      <w:r w:rsidRPr="00F35209">
        <w:rPr>
          <w:rStyle w:val="Rimandonotaapidipagina"/>
          <w:rFonts w:ascii="Garamond" w:hAnsi="Garamond"/>
          <w:sz w:val="24"/>
          <w:szCs w:val="24"/>
        </w:rPr>
        <w:footnoteRef/>
      </w:r>
      <w:r w:rsidRPr="00F35209">
        <w:rPr>
          <w:rFonts w:ascii="Garamond" w:hAnsi="Garamond"/>
          <w:sz w:val="24"/>
          <w:szCs w:val="24"/>
        </w:rPr>
        <w:t xml:space="preserve"> </w:t>
      </w:r>
      <w:r w:rsidRPr="00F35209">
        <w:rPr>
          <w:rFonts w:ascii="Garamond" w:hAnsi="Garamond"/>
          <w:smallCaps/>
          <w:sz w:val="24"/>
          <w:szCs w:val="24"/>
        </w:rPr>
        <w:t>A. Pioggia</w:t>
      </w:r>
      <w:r>
        <w:rPr>
          <w:rFonts w:ascii="Garamond" w:hAnsi="Garamond"/>
          <w:sz w:val="24"/>
          <w:szCs w:val="24"/>
        </w:rPr>
        <w:t xml:space="preserve">, in </w:t>
      </w:r>
      <w:r>
        <w:rPr>
          <w:rFonts w:ascii="Garamond" w:hAnsi="Garamond"/>
          <w:i/>
          <w:sz w:val="24"/>
          <w:szCs w:val="24"/>
        </w:rPr>
        <w:t>Giudici e legislatori</w:t>
      </w:r>
      <w:r>
        <w:rPr>
          <w:rFonts w:ascii="Garamond" w:hAnsi="Garamond"/>
          <w:sz w:val="24"/>
          <w:szCs w:val="24"/>
        </w:rPr>
        <w:t>, fascicolo monografico di</w:t>
      </w:r>
      <w:r w:rsidRPr="00F35209">
        <w:rPr>
          <w:rFonts w:ascii="Garamond" w:hAnsi="Garamond"/>
          <w:sz w:val="24"/>
          <w:szCs w:val="24"/>
        </w:rPr>
        <w:t xml:space="preserve"> </w:t>
      </w:r>
      <w:r w:rsidRPr="00F35209">
        <w:rPr>
          <w:rFonts w:ascii="Garamond" w:hAnsi="Garamond"/>
          <w:i/>
          <w:sz w:val="24"/>
          <w:szCs w:val="24"/>
        </w:rPr>
        <w:t xml:space="preserve">Dir. </w:t>
      </w:r>
      <w:proofErr w:type="spellStart"/>
      <w:proofErr w:type="gramStart"/>
      <w:r w:rsidRPr="00F35209">
        <w:rPr>
          <w:rFonts w:ascii="Garamond" w:hAnsi="Garamond"/>
          <w:i/>
          <w:sz w:val="24"/>
          <w:szCs w:val="24"/>
        </w:rPr>
        <w:t>pubbl</w:t>
      </w:r>
      <w:proofErr w:type="spellEnd"/>
      <w:r w:rsidRPr="00F35209">
        <w:rPr>
          <w:rFonts w:ascii="Garamond" w:hAnsi="Garamond"/>
          <w:i/>
          <w:sz w:val="24"/>
          <w:szCs w:val="24"/>
        </w:rPr>
        <w:t>.</w:t>
      </w:r>
      <w:r w:rsidRPr="00F35209">
        <w:rPr>
          <w:rFonts w:ascii="Garamond" w:hAnsi="Garamond"/>
          <w:sz w:val="24"/>
          <w:szCs w:val="24"/>
        </w:rPr>
        <w:t>,</w:t>
      </w:r>
      <w:proofErr w:type="gramEnd"/>
      <w:r w:rsidRPr="00F35209">
        <w:rPr>
          <w:rFonts w:ascii="Garamond" w:hAnsi="Garamond"/>
          <w:sz w:val="24"/>
          <w:szCs w:val="24"/>
        </w:rPr>
        <w:t xml:space="preserve"> 2016, 2, </w:t>
      </w:r>
      <w:r>
        <w:rPr>
          <w:rFonts w:ascii="Garamond" w:hAnsi="Garamond"/>
          <w:sz w:val="24"/>
          <w:szCs w:val="24"/>
        </w:rPr>
        <w:t xml:space="preserve">p. </w:t>
      </w:r>
      <w:r w:rsidRPr="00F35209">
        <w:rPr>
          <w:rFonts w:ascii="Garamond" w:hAnsi="Garamond"/>
          <w:sz w:val="24"/>
          <w:szCs w:val="24"/>
        </w:rPr>
        <w:t>547.</w:t>
      </w:r>
      <w:r>
        <w:rPr>
          <w:rFonts w:ascii="Garamond" w:hAnsi="Garamond"/>
          <w:sz w:val="24"/>
          <w:szCs w:val="24"/>
        </w:rPr>
        <w:t xml:space="preserve"> Nello stesso v. anche </w:t>
      </w:r>
      <w:proofErr w:type="spellStart"/>
      <w:r>
        <w:rPr>
          <w:rFonts w:ascii="Garamond" w:hAnsi="Garamond"/>
          <w:i/>
          <w:sz w:val="24"/>
          <w:szCs w:val="24"/>
        </w:rPr>
        <w:t>amplius</w:t>
      </w:r>
      <w:proofErr w:type="spellEnd"/>
      <w:r>
        <w:rPr>
          <w:rFonts w:ascii="Garamond" w:hAnsi="Garamond"/>
          <w:sz w:val="24"/>
          <w:szCs w:val="24"/>
        </w:rPr>
        <w:t xml:space="preserve">, ora, </w:t>
      </w:r>
      <w:r w:rsidRPr="001B17A5">
        <w:rPr>
          <w:rFonts w:ascii="Garamond" w:hAnsi="Garamond"/>
          <w:smallCaps/>
          <w:sz w:val="24"/>
          <w:szCs w:val="24"/>
        </w:rPr>
        <w:t>N. Vettori</w:t>
      </w:r>
      <w:r>
        <w:rPr>
          <w:rFonts w:ascii="Garamond" w:hAnsi="Garamond"/>
          <w:sz w:val="24"/>
          <w:szCs w:val="24"/>
        </w:rPr>
        <w:t xml:space="preserve">, </w:t>
      </w:r>
      <w:r>
        <w:rPr>
          <w:rFonts w:ascii="Garamond" w:hAnsi="Garamond"/>
          <w:i/>
          <w:sz w:val="24"/>
          <w:szCs w:val="24"/>
        </w:rPr>
        <w:t>Diritti della persona e amministrazione pubblica</w:t>
      </w:r>
      <w:r>
        <w:rPr>
          <w:rFonts w:ascii="Garamond" w:hAnsi="Garamond"/>
          <w:sz w:val="24"/>
          <w:szCs w:val="24"/>
        </w:rPr>
        <w:t>, cit., pp. 84-85, laddove l’Autrice rileva come sia l’organizzazione a doversi modellare sulle posizioni soggettive e on viceversa, perché sono i caratteri e il contenuto del diritto – anche sociale – «</w:t>
      </w:r>
      <w:r>
        <w:rPr>
          <w:rFonts w:ascii="Garamond" w:hAnsi="Garamond"/>
          <w:i/>
          <w:sz w:val="24"/>
          <w:szCs w:val="24"/>
        </w:rPr>
        <w:t>per come definito dall’ordinamento positivo a vario livello (dalla Costituzione e dalle fonti europee fino alla legge ordinaria) che devono condizionare le scelte organizzative della pubblica amministrazione</w:t>
      </w:r>
      <w:r>
        <w:rPr>
          <w:rFonts w:ascii="Garamond" w:hAnsi="Garamond"/>
          <w:sz w:val="24"/>
          <w:szCs w:val="24"/>
        </w:rPr>
        <w:t>», con la conseguenza che il potere di organizzare si delimita e si conforma a partire dalle norme di riconoscimento dei diritti che quell’apparato organizzativo dovrà soddisfare.</w:t>
      </w:r>
    </w:p>
  </w:footnote>
  <w:footnote w:id="19">
    <w:p w:rsidR="00B01990" w:rsidRPr="00CB7FE9" w:rsidRDefault="00B01990" w:rsidP="003A0901">
      <w:pPr>
        <w:pStyle w:val="Testonotaapidipagina"/>
        <w:ind w:firstLine="709"/>
        <w:jc w:val="both"/>
        <w:rPr>
          <w:rFonts w:ascii="Garamond" w:hAnsi="Garamond"/>
          <w:sz w:val="24"/>
          <w:szCs w:val="24"/>
        </w:rPr>
      </w:pPr>
      <w:r w:rsidRPr="003A0901">
        <w:rPr>
          <w:rStyle w:val="Rimandonotaapidipagina"/>
          <w:rFonts w:ascii="Garamond" w:hAnsi="Garamond"/>
          <w:sz w:val="24"/>
          <w:szCs w:val="24"/>
        </w:rPr>
        <w:footnoteRef/>
      </w:r>
      <w:r w:rsidRPr="00CB7FE9">
        <w:rPr>
          <w:rFonts w:ascii="Garamond" w:hAnsi="Garamond"/>
          <w:sz w:val="24"/>
          <w:szCs w:val="24"/>
        </w:rPr>
        <w:t xml:space="preserve"> Cons. St., sez. III, 21 giugno 2017, n. 3058, in </w:t>
      </w:r>
      <w:r w:rsidRPr="00CB7FE9">
        <w:rPr>
          <w:rFonts w:ascii="Garamond" w:hAnsi="Garamond"/>
          <w:i/>
          <w:sz w:val="24"/>
          <w:szCs w:val="24"/>
        </w:rPr>
        <w:t>Foro it.</w:t>
      </w:r>
      <w:r w:rsidRPr="00CB7FE9">
        <w:rPr>
          <w:rFonts w:ascii="Garamond" w:hAnsi="Garamond"/>
          <w:sz w:val="24"/>
          <w:szCs w:val="24"/>
        </w:rPr>
        <w:t>, 2017, III, col. 382.</w:t>
      </w:r>
    </w:p>
  </w:footnote>
  <w:footnote w:id="20">
    <w:p w:rsidR="00B01990" w:rsidRPr="003A0901" w:rsidRDefault="00B01990" w:rsidP="00BD3E78">
      <w:pPr>
        <w:pStyle w:val="Testonotaapidipagina"/>
        <w:ind w:firstLine="709"/>
        <w:jc w:val="both"/>
        <w:rPr>
          <w:rFonts w:ascii="Garamond" w:hAnsi="Garamond"/>
          <w:sz w:val="24"/>
          <w:szCs w:val="24"/>
        </w:rPr>
      </w:pPr>
      <w:r w:rsidRPr="003A0901">
        <w:rPr>
          <w:rStyle w:val="Rimandonotaapidipagina"/>
          <w:rFonts w:ascii="Garamond" w:hAnsi="Garamond"/>
          <w:sz w:val="24"/>
          <w:szCs w:val="24"/>
        </w:rPr>
        <w:footnoteRef/>
      </w:r>
      <w:r w:rsidRPr="003A0901">
        <w:rPr>
          <w:rFonts w:ascii="Garamond" w:hAnsi="Garamond"/>
          <w:sz w:val="24"/>
          <w:szCs w:val="24"/>
        </w:rPr>
        <w:t xml:space="preserve"> </w:t>
      </w:r>
      <w:r>
        <w:rPr>
          <w:rFonts w:ascii="Garamond" w:hAnsi="Garamond"/>
          <w:sz w:val="24"/>
          <w:szCs w:val="24"/>
        </w:rPr>
        <w:t xml:space="preserve">In ordine alla problematica generale nel nostro ordinamento v., tra gli altri, </w:t>
      </w:r>
      <w:r w:rsidRPr="0002662A">
        <w:rPr>
          <w:rFonts w:ascii="Garamond" w:hAnsi="Garamond"/>
          <w:smallCaps/>
          <w:sz w:val="24"/>
          <w:szCs w:val="24"/>
        </w:rPr>
        <w:t xml:space="preserve">C. </w:t>
      </w:r>
      <w:proofErr w:type="spellStart"/>
      <w:r w:rsidRPr="0002662A">
        <w:rPr>
          <w:rFonts w:ascii="Garamond" w:hAnsi="Garamond"/>
          <w:smallCaps/>
          <w:sz w:val="24"/>
          <w:szCs w:val="24"/>
        </w:rPr>
        <w:t>Colapietro</w:t>
      </w:r>
      <w:proofErr w:type="spellEnd"/>
      <w:r>
        <w:rPr>
          <w:rFonts w:ascii="Garamond" w:hAnsi="Garamond"/>
          <w:sz w:val="24"/>
          <w:szCs w:val="24"/>
        </w:rPr>
        <w:t xml:space="preserve">, </w:t>
      </w:r>
      <w:r>
        <w:rPr>
          <w:rFonts w:ascii="Garamond" w:hAnsi="Garamond"/>
          <w:i/>
          <w:sz w:val="24"/>
          <w:szCs w:val="24"/>
        </w:rPr>
        <w:t>Diritti dei disabili e Costituzione</w:t>
      </w:r>
      <w:r>
        <w:rPr>
          <w:rFonts w:ascii="Garamond" w:hAnsi="Garamond"/>
          <w:sz w:val="24"/>
          <w:szCs w:val="24"/>
        </w:rPr>
        <w:t xml:space="preserve">, Napoli, 2011, p. 13 e ss., </w:t>
      </w:r>
      <w:r w:rsidRPr="00CA63AB">
        <w:rPr>
          <w:rFonts w:ascii="Garamond" w:hAnsi="Garamond"/>
          <w:smallCaps/>
          <w:sz w:val="24"/>
          <w:szCs w:val="24"/>
        </w:rPr>
        <w:t>G. Tucci</w:t>
      </w:r>
      <w:r>
        <w:rPr>
          <w:rFonts w:ascii="Garamond" w:hAnsi="Garamond"/>
          <w:sz w:val="24"/>
          <w:szCs w:val="24"/>
        </w:rPr>
        <w:t xml:space="preserve">, </w:t>
      </w:r>
      <w:r>
        <w:rPr>
          <w:rFonts w:ascii="Garamond" w:hAnsi="Garamond"/>
          <w:i/>
          <w:sz w:val="24"/>
          <w:szCs w:val="24"/>
        </w:rPr>
        <w:t>La giustizia e i diritti degli esclusi</w:t>
      </w:r>
      <w:r>
        <w:rPr>
          <w:rFonts w:ascii="Garamond" w:hAnsi="Garamond"/>
          <w:sz w:val="24"/>
          <w:szCs w:val="24"/>
        </w:rPr>
        <w:t xml:space="preserve">, Napoli, 2013, p. 33 e ss., </w:t>
      </w:r>
      <w:r w:rsidRPr="008F7B86">
        <w:rPr>
          <w:rFonts w:ascii="Garamond" w:hAnsi="Garamond"/>
          <w:smallCaps/>
          <w:sz w:val="24"/>
          <w:szCs w:val="24"/>
        </w:rPr>
        <w:t xml:space="preserve">G. </w:t>
      </w:r>
      <w:proofErr w:type="spellStart"/>
      <w:r w:rsidRPr="008F7B86">
        <w:rPr>
          <w:rFonts w:ascii="Garamond" w:hAnsi="Garamond"/>
          <w:smallCaps/>
          <w:sz w:val="24"/>
          <w:szCs w:val="24"/>
        </w:rPr>
        <w:t>Cimaglia</w:t>
      </w:r>
      <w:proofErr w:type="spellEnd"/>
      <w:r>
        <w:rPr>
          <w:rFonts w:ascii="Garamond" w:hAnsi="Garamond"/>
          <w:sz w:val="24"/>
          <w:szCs w:val="24"/>
        </w:rPr>
        <w:t xml:space="preserve"> e </w:t>
      </w:r>
      <w:r w:rsidRPr="008F7B86">
        <w:rPr>
          <w:rFonts w:ascii="Garamond" w:hAnsi="Garamond"/>
          <w:smallCaps/>
          <w:sz w:val="24"/>
          <w:szCs w:val="24"/>
        </w:rPr>
        <w:t>A. Covatta</w:t>
      </w:r>
      <w:r>
        <w:rPr>
          <w:rFonts w:ascii="Garamond" w:hAnsi="Garamond"/>
          <w:sz w:val="24"/>
          <w:szCs w:val="24"/>
        </w:rPr>
        <w:t xml:space="preserve">, </w:t>
      </w:r>
      <w:r>
        <w:rPr>
          <w:rFonts w:ascii="Garamond" w:hAnsi="Garamond"/>
          <w:i/>
          <w:sz w:val="24"/>
          <w:szCs w:val="24"/>
        </w:rPr>
        <w:t>L’invalidità civile e la tutela della disabilità</w:t>
      </w:r>
      <w:r>
        <w:rPr>
          <w:rFonts w:ascii="Garamond" w:hAnsi="Garamond"/>
          <w:sz w:val="24"/>
          <w:szCs w:val="24"/>
        </w:rPr>
        <w:t xml:space="preserve">, Milano, 2009, p. 349 e ss. Su questo tema v. peraltro, di recente, l’approfondita trattazione di </w:t>
      </w:r>
      <w:r w:rsidRPr="00EE32FF">
        <w:rPr>
          <w:rFonts w:ascii="Garamond" w:hAnsi="Garamond"/>
          <w:smallCaps/>
          <w:sz w:val="24"/>
          <w:szCs w:val="24"/>
        </w:rPr>
        <w:t xml:space="preserve">S. </w:t>
      </w:r>
      <w:proofErr w:type="spellStart"/>
      <w:r w:rsidRPr="00EE32FF">
        <w:rPr>
          <w:rFonts w:ascii="Garamond" w:hAnsi="Garamond"/>
          <w:smallCaps/>
          <w:sz w:val="24"/>
          <w:szCs w:val="24"/>
        </w:rPr>
        <w:t>Cacace</w:t>
      </w:r>
      <w:proofErr w:type="spellEnd"/>
      <w:r>
        <w:rPr>
          <w:rFonts w:ascii="Garamond" w:hAnsi="Garamond"/>
          <w:sz w:val="24"/>
          <w:szCs w:val="24"/>
        </w:rPr>
        <w:t xml:space="preserve">, </w:t>
      </w:r>
      <w:r>
        <w:rPr>
          <w:rFonts w:ascii="Garamond" w:hAnsi="Garamond"/>
          <w:i/>
          <w:sz w:val="24"/>
          <w:szCs w:val="24"/>
        </w:rPr>
        <w:t>Autodeterminazione in salute</w:t>
      </w:r>
      <w:r>
        <w:rPr>
          <w:rFonts w:ascii="Garamond" w:hAnsi="Garamond"/>
          <w:sz w:val="24"/>
          <w:szCs w:val="24"/>
        </w:rPr>
        <w:t xml:space="preserve">, Torino, 2017, p. 201 e ss. In una prospettiva più ampia, sul concetto di disabilità, cfr. anche </w:t>
      </w:r>
      <w:r w:rsidRPr="008F7B86">
        <w:rPr>
          <w:rFonts w:ascii="Garamond" w:hAnsi="Garamond"/>
          <w:smallCaps/>
          <w:sz w:val="24"/>
          <w:szCs w:val="24"/>
        </w:rPr>
        <w:t>M. G. Bernardini</w:t>
      </w:r>
      <w:r>
        <w:rPr>
          <w:rFonts w:ascii="Garamond" w:hAnsi="Garamond"/>
          <w:sz w:val="24"/>
          <w:szCs w:val="24"/>
        </w:rPr>
        <w:t xml:space="preserve">, </w:t>
      </w:r>
      <w:r>
        <w:rPr>
          <w:rFonts w:ascii="Garamond" w:hAnsi="Garamond"/>
          <w:i/>
          <w:sz w:val="24"/>
          <w:szCs w:val="24"/>
        </w:rPr>
        <w:t xml:space="preserve">Disabilità, giustizia, diritto. Itinerari tra filosofia del diritto e </w:t>
      </w:r>
      <w:proofErr w:type="spellStart"/>
      <w:r>
        <w:rPr>
          <w:rFonts w:ascii="Garamond" w:hAnsi="Garamond"/>
          <w:sz w:val="24"/>
          <w:szCs w:val="24"/>
        </w:rPr>
        <w:t>Disability</w:t>
      </w:r>
      <w:proofErr w:type="spellEnd"/>
      <w:r>
        <w:rPr>
          <w:rFonts w:ascii="Garamond" w:hAnsi="Garamond"/>
          <w:sz w:val="24"/>
          <w:szCs w:val="24"/>
        </w:rPr>
        <w:t xml:space="preserve"> </w:t>
      </w:r>
      <w:proofErr w:type="spellStart"/>
      <w:r>
        <w:rPr>
          <w:rFonts w:ascii="Garamond" w:hAnsi="Garamond"/>
          <w:sz w:val="24"/>
          <w:szCs w:val="24"/>
        </w:rPr>
        <w:t>Studies</w:t>
      </w:r>
      <w:proofErr w:type="spellEnd"/>
      <w:r>
        <w:rPr>
          <w:rFonts w:ascii="Garamond" w:hAnsi="Garamond"/>
          <w:sz w:val="24"/>
          <w:szCs w:val="24"/>
        </w:rPr>
        <w:t xml:space="preserve">, Torino, 2016, p. 189 e ss., con particolare riferimento alla nozione di disabilità adottata dall’ONU il 28 agosto 2006 con la Convenzione sui diritti delle persone con disabilità. V. anche </w:t>
      </w:r>
      <w:r w:rsidRPr="00E453FF">
        <w:rPr>
          <w:rFonts w:ascii="Garamond" w:hAnsi="Garamond"/>
          <w:smallCaps/>
          <w:sz w:val="24"/>
          <w:szCs w:val="24"/>
        </w:rPr>
        <w:t xml:space="preserve">N. </w:t>
      </w:r>
      <w:proofErr w:type="spellStart"/>
      <w:r w:rsidRPr="00E453FF">
        <w:rPr>
          <w:rFonts w:ascii="Garamond" w:hAnsi="Garamond"/>
          <w:smallCaps/>
          <w:sz w:val="24"/>
          <w:szCs w:val="24"/>
        </w:rPr>
        <w:t>Foggetti</w:t>
      </w:r>
      <w:proofErr w:type="spellEnd"/>
      <w:r>
        <w:rPr>
          <w:rFonts w:ascii="Garamond" w:hAnsi="Garamond"/>
          <w:sz w:val="24"/>
          <w:szCs w:val="24"/>
        </w:rPr>
        <w:t xml:space="preserve">, </w:t>
      </w:r>
      <w:r>
        <w:rPr>
          <w:rFonts w:ascii="Garamond" w:hAnsi="Garamond"/>
          <w:i/>
          <w:sz w:val="24"/>
          <w:szCs w:val="24"/>
        </w:rPr>
        <w:t>La tutela delle persone con disabilità nel diritto internazionale</w:t>
      </w:r>
      <w:r>
        <w:rPr>
          <w:rFonts w:ascii="Garamond" w:hAnsi="Garamond"/>
          <w:sz w:val="24"/>
          <w:szCs w:val="24"/>
        </w:rPr>
        <w:t>, Milano, 2017, p. 11 e ss.</w:t>
      </w:r>
    </w:p>
  </w:footnote>
  <w:footnote w:id="21">
    <w:p w:rsidR="00B01990" w:rsidRPr="004F11A2" w:rsidRDefault="00B01990" w:rsidP="004F11A2">
      <w:pPr>
        <w:pStyle w:val="Testonotaapidipagina"/>
        <w:ind w:firstLine="709"/>
        <w:jc w:val="both"/>
        <w:rPr>
          <w:rFonts w:ascii="Garamond" w:hAnsi="Garamond"/>
          <w:sz w:val="24"/>
          <w:szCs w:val="24"/>
        </w:rPr>
      </w:pPr>
      <w:r>
        <w:rPr>
          <w:rStyle w:val="Rimandonotaapidipagina"/>
        </w:rPr>
        <w:footnoteRef/>
      </w:r>
      <w:r>
        <w:t xml:space="preserve"> </w:t>
      </w:r>
      <w:r>
        <w:rPr>
          <w:rFonts w:ascii="Garamond" w:hAnsi="Garamond"/>
          <w:sz w:val="24"/>
          <w:szCs w:val="24"/>
        </w:rPr>
        <w:t xml:space="preserve">Sul delicato rapporto tra terapie psichiatriche e repressione, rapporto di difficile risoluzione, v. le riflessioni di </w:t>
      </w:r>
      <w:r w:rsidRPr="00033168">
        <w:rPr>
          <w:rFonts w:ascii="Garamond" w:hAnsi="Garamond"/>
          <w:smallCaps/>
          <w:sz w:val="24"/>
          <w:szCs w:val="24"/>
        </w:rPr>
        <w:t xml:space="preserve">S. </w:t>
      </w:r>
      <w:proofErr w:type="spellStart"/>
      <w:r w:rsidRPr="00033168">
        <w:rPr>
          <w:rFonts w:ascii="Garamond" w:hAnsi="Garamond"/>
          <w:smallCaps/>
          <w:sz w:val="24"/>
          <w:szCs w:val="24"/>
        </w:rPr>
        <w:t>Spinsanti</w:t>
      </w:r>
      <w:proofErr w:type="spellEnd"/>
      <w:r>
        <w:rPr>
          <w:rFonts w:ascii="Garamond" w:hAnsi="Garamond"/>
          <w:sz w:val="24"/>
          <w:szCs w:val="24"/>
        </w:rPr>
        <w:t xml:space="preserve">, </w:t>
      </w:r>
      <w:r>
        <w:rPr>
          <w:rFonts w:ascii="Garamond" w:hAnsi="Garamond"/>
          <w:i/>
          <w:sz w:val="24"/>
          <w:szCs w:val="24"/>
        </w:rPr>
        <w:t>Controllo e libertà nel trattamento delle malattie mentali</w:t>
      </w:r>
      <w:r>
        <w:rPr>
          <w:rFonts w:ascii="Garamond" w:hAnsi="Garamond"/>
          <w:sz w:val="24"/>
          <w:szCs w:val="24"/>
        </w:rPr>
        <w:t xml:space="preserve">, in </w:t>
      </w:r>
      <w:r w:rsidRPr="00206136">
        <w:rPr>
          <w:rFonts w:ascii="Garamond" w:hAnsi="Garamond"/>
          <w:smallCaps/>
          <w:sz w:val="24"/>
          <w:szCs w:val="24"/>
        </w:rPr>
        <w:t xml:space="preserve">L. Lenti, E. Palermo Fabris </w:t>
      </w:r>
      <w:r w:rsidRPr="00206136">
        <w:rPr>
          <w:rFonts w:ascii="Garamond" w:hAnsi="Garamond"/>
          <w:sz w:val="24"/>
          <w:szCs w:val="24"/>
        </w:rPr>
        <w:t>e</w:t>
      </w:r>
      <w:r w:rsidRPr="00206136">
        <w:rPr>
          <w:rFonts w:ascii="Garamond" w:hAnsi="Garamond"/>
          <w:smallCaps/>
          <w:sz w:val="24"/>
          <w:szCs w:val="24"/>
        </w:rPr>
        <w:t xml:space="preserve"> P. Zatti</w:t>
      </w:r>
      <w:r w:rsidRPr="00206136">
        <w:rPr>
          <w:rFonts w:ascii="Garamond" w:hAnsi="Garamond"/>
          <w:sz w:val="24"/>
          <w:szCs w:val="24"/>
        </w:rPr>
        <w:t xml:space="preserve">, </w:t>
      </w:r>
      <w:r w:rsidRPr="00206136">
        <w:rPr>
          <w:rFonts w:ascii="Garamond" w:hAnsi="Garamond"/>
          <w:i/>
          <w:sz w:val="24"/>
          <w:szCs w:val="24"/>
        </w:rPr>
        <w:t>I diritti in medicina</w:t>
      </w:r>
      <w:r w:rsidR="00927B4F">
        <w:rPr>
          <w:rFonts w:ascii="Garamond" w:hAnsi="Garamond"/>
          <w:sz w:val="24"/>
          <w:szCs w:val="24"/>
        </w:rPr>
        <w:t xml:space="preserve">, in Trattato di </w:t>
      </w:r>
      <w:proofErr w:type="spellStart"/>
      <w:r w:rsidR="00927B4F">
        <w:rPr>
          <w:rFonts w:ascii="Garamond" w:hAnsi="Garamond"/>
          <w:sz w:val="24"/>
          <w:szCs w:val="24"/>
        </w:rPr>
        <w:t>biodiritto</w:t>
      </w:r>
      <w:proofErr w:type="spellEnd"/>
      <w:r w:rsidR="00927B4F">
        <w:rPr>
          <w:rFonts w:ascii="Garamond" w:hAnsi="Garamond"/>
          <w:sz w:val="24"/>
          <w:szCs w:val="24"/>
        </w:rPr>
        <w:t>, diretto da S. Rodotà e P. Zatti, Milano, 2011</w:t>
      </w:r>
      <w:r>
        <w:rPr>
          <w:rFonts w:ascii="Garamond" w:hAnsi="Garamond"/>
          <w:sz w:val="24"/>
          <w:szCs w:val="24"/>
        </w:rPr>
        <w:t>, p. 803 e ss.</w:t>
      </w:r>
      <w:r w:rsidRPr="004C35DF">
        <w:rPr>
          <w:rFonts w:ascii="Garamond" w:hAnsi="Garamond"/>
          <w:sz w:val="24"/>
          <w:szCs w:val="24"/>
        </w:rPr>
        <w:t xml:space="preserve"> </w:t>
      </w:r>
      <w:r>
        <w:rPr>
          <w:rFonts w:ascii="Garamond" w:hAnsi="Garamond"/>
          <w:sz w:val="24"/>
          <w:szCs w:val="24"/>
        </w:rPr>
        <w:t xml:space="preserve">Sulla condizione del malato psichiatrico v., in particolare, le considerazioni di </w:t>
      </w:r>
      <w:r w:rsidRPr="004C35DF">
        <w:rPr>
          <w:rFonts w:ascii="Garamond" w:hAnsi="Garamond"/>
          <w:smallCaps/>
          <w:sz w:val="24"/>
          <w:szCs w:val="24"/>
        </w:rPr>
        <w:t>R. Masoni</w:t>
      </w:r>
      <w:r>
        <w:rPr>
          <w:rFonts w:ascii="Garamond" w:hAnsi="Garamond"/>
          <w:sz w:val="24"/>
          <w:szCs w:val="24"/>
        </w:rPr>
        <w:t xml:space="preserve">, </w:t>
      </w:r>
      <w:r>
        <w:rPr>
          <w:rFonts w:ascii="Garamond" w:hAnsi="Garamond"/>
          <w:i/>
          <w:sz w:val="24"/>
          <w:szCs w:val="24"/>
        </w:rPr>
        <w:t>La protezione giuridica dell’infermo di mente</w:t>
      </w:r>
      <w:r>
        <w:rPr>
          <w:rFonts w:ascii="Garamond" w:hAnsi="Garamond"/>
          <w:sz w:val="24"/>
          <w:szCs w:val="24"/>
        </w:rPr>
        <w:t xml:space="preserve">, cit., p. 399 e ss. e di </w:t>
      </w:r>
      <w:r w:rsidRPr="004C35DF">
        <w:rPr>
          <w:rFonts w:ascii="Garamond" w:hAnsi="Garamond"/>
          <w:smallCaps/>
          <w:sz w:val="24"/>
          <w:szCs w:val="24"/>
        </w:rPr>
        <w:t xml:space="preserve">A. </w:t>
      </w:r>
      <w:proofErr w:type="spellStart"/>
      <w:r w:rsidRPr="004C35DF">
        <w:rPr>
          <w:rFonts w:ascii="Garamond" w:hAnsi="Garamond"/>
          <w:smallCaps/>
          <w:sz w:val="24"/>
          <w:szCs w:val="24"/>
        </w:rPr>
        <w:t>Venchiarutti</w:t>
      </w:r>
      <w:proofErr w:type="spellEnd"/>
      <w:r>
        <w:rPr>
          <w:rFonts w:ascii="Garamond" w:hAnsi="Garamond"/>
          <w:sz w:val="24"/>
          <w:szCs w:val="24"/>
        </w:rPr>
        <w:t xml:space="preserve">, </w:t>
      </w:r>
      <w:r>
        <w:rPr>
          <w:rFonts w:ascii="Garamond" w:hAnsi="Garamond"/>
          <w:i/>
          <w:sz w:val="24"/>
          <w:szCs w:val="24"/>
        </w:rPr>
        <w:t>Obbligo e consenso nel trattamento della sofferenza psichica</w:t>
      </w:r>
      <w:r>
        <w:rPr>
          <w:rFonts w:ascii="Garamond" w:hAnsi="Garamond"/>
          <w:sz w:val="24"/>
          <w:szCs w:val="24"/>
        </w:rPr>
        <w:t xml:space="preserve">, in </w:t>
      </w:r>
      <w:r w:rsidRPr="00206136">
        <w:rPr>
          <w:rFonts w:ascii="Garamond" w:hAnsi="Garamond"/>
          <w:smallCaps/>
          <w:sz w:val="24"/>
          <w:szCs w:val="24"/>
        </w:rPr>
        <w:t xml:space="preserve">L. Lenti, E. Palermo Fabris </w:t>
      </w:r>
      <w:r w:rsidRPr="00206136">
        <w:rPr>
          <w:rFonts w:ascii="Garamond" w:hAnsi="Garamond"/>
          <w:sz w:val="24"/>
          <w:szCs w:val="24"/>
        </w:rPr>
        <w:t>e</w:t>
      </w:r>
      <w:r w:rsidRPr="00206136">
        <w:rPr>
          <w:rFonts w:ascii="Garamond" w:hAnsi="Garamond"/>
          <w:smallCaps/>
          <w:sz w:val="24"/>
          <w:szCs w:val="24"/>
        </w:rPr>
        <w:t xml:space="preserve"> P. Zatti</w:t>
      </w:r>
      <w:r w:rsidRPr="00206136">
        <w:rPr>
          <w:rFonts w:ascii="Garamond" w:hAnsi="Garamond"/>
          <w:sz w:val="24"/>
          <w:szCs w:val="24"/>
        </w:rPr>
        <w:t xml:space="preserve">, </w:t>
      </w:r>
      <w:r w:rsidRPr="00206136">
        <w:rPr>
          <w:rFonts w:ascii="Garamond" w:hAnsi="Garamond"/>
          <w:i/>
          <w:sz w:val="24"/>
          <w:szCs w:val="24"/>
        </w:rPr>
        <w:t>I diritti in medicina</w:t>
      </w:r>
      <w:r w:rsidRPr="00206136">
        <w:rPr>
          <w:rFonts w:ascii="Garamond" w:hAnsi="Garamond"/>
          <w:sz w:val="24"/>
          <w:szCs w:val="24"/>
        </w:rPr>
        <w:t>, cit.</w:t>
      </w:r>
      <w:r>
        <w:rPr>
          <w:rFonts w:ascii="Garamond" w:hAnsi="Garamond"/>
          <w:sz w:val="24"/>
          <w:szCs w:val="24"/>
        </w:rPr>
        <w:t>, p. 817 e ss.</w:t>
      </w:r>
    </w:p>
  </w:footnote>
  <w:footnote w:id="22">
    <w:p w:rsidR="00B01990" w:rsidRPr="008951A1" w:rsidRDefault="00B01990" w:rsidP="00BD3E78">
      <w:pPr>
        <w:pStyle w:val="Testonotaapidipagina"/>
        <w:ind w:firstLine="709"/>
        <w:jc w:val="both"/>
        <w:rPr>
          <w:rFonts w:ascii="Garamond" w:hAnsi="Garamond"/>
          <w:sz w:val="24"/>
          <w:szCs w:val="24"/>
        </w:rPr>
      </w:pPr>
      <w:r w:rsidRPr="008951A1">
        <w:rPr>
          <w:rStyle w:val="Rimandonotaapidipagina"/>
          <w:rFonts w:ascii="Garamond" w:hAnsi="Garamond"/>
          <w:sz w:val="24"/>
          <w:szCs w:val="24"/>
        </w:rPr>
        <w:footnoteRef/>
      </w:r>
      <w:r w:rsidRPr="008951A1">
        <w:rPr>
          <w:rFonts w:ascii="Garamond" w:hAnsi="Garamond"/>
          <w:sz w:val="24"/>
          <w:szCs w:val="24"/>
        </w:rPr>
        <w:t xml:space="preserve"> Ciò spiega perché sia penalmente sanzionabile la pratica della c.d. contenzione meccanica, al di là di uno stringente stato di necessità, come la Corte di Cassazione ha chiarito in un</w:t>
      </w:r>
      <w:r>
        <w:rPr>
          <w:rFonts w:ascii="Garamond" w:hAnsi="Garamond"/>
          <w:sz w:val="24"/>
          <w:szCs w:val="24"/>
        </w:rPr>
        <w:t>a importante recente pronuncia e, in particolare,</w:t>
      </w:r>
      <w:r w:rsidRPr="008951A1">
        <w:rPr>
          <w:rFonts w:ascii="Garamond" w:hAnsi="Garamond"/>
          <w:sz w:val="24"/>
          <w:szCs w:val="24"/>
        </w:rPr>
        <w:t xml:space="preserve"> da </w:t>
      </w:r>
      <w:proofErr w:type="spellStart"/>
      <w:r w:rsidRPr="008951A1">
        <w:rPr>
          <w:rFonts w:ascii="Garamond" w:hAnsi="Garamond"/>
          <w:sz w:val="24"/>
          <w:szCs w:val="24"/>
        </w:rPr>
        <w:t>Cass</w:t>
      </w:r>
      <w:proofErr w:type="spellEnd"/>
      <w:r w:rsidRPr="008951A1">
        <w:rPr>
          <w:rFonts w:ascii="Garamond" w:hAnsi="Garamond"/>
          <w:sz w:val="24"/>
          <w:szCs w:val="24"/>
        </w:rPr>
        <w:t xml:space="preserve">. </w:t>
      </w:r>
      <w:proofErr w:type="spellStart"/>
      <w:proofErr w:type="gramStart"/>
      <w:r w:rsidRPr="008951A1">
        <w:rPr>
          <w:rFonts w:ascii="Garamond" w:hAnsi="Garamond"/>
          <w:sz w:val="24"/>
          <w:szCs w:val="24"/>
        </w:rPr>
        <w:t>pen</w:t>
      </w:r>
      <w:proofErr w:type="spellEnd"/>
      <w:r w:rsidRPr="008951A1">
        <w:rPr>
          <w:rFonts w:ascii="Garamond" w:hAnsi="Garamond"/>
          <w:sz w:val="24"/>
          <w:szCs w:val="24"/>
        </w:rPr>
        <w:t>.,</w:t>
      </w:r>
      <w:proofErr w:type="gramEnd"/>
      <w:r w:rsidRPr="008951A1">
        <w:rPr>
          <w:rFonts w:ascii="Garamond" w:hAnsi="Garamond"/>
          <w:sz w:val="24"/>
          <w:szCs w:val="24"/>
        </w:rPr>
        <w:t xml:space="preserve"> sez. V, </w:t>
      </w:r>
      <w:proofErr w:type="spellStart"/>
      <w:r w:rsidRPr="008951A1">
        <w:rPr>
          <w:rFonts w:ascii="Garamond" w:hAnsi="Garamond"/>
          <w:sz w:val="24"/>
          <w:szCs w:val="24"/>
        </w:rPr>
        <w:t>sent</w:t>
      </w:r>
      <w:proofErr w:type="spellEnd"/>
      <w:r w:rsidRPr="008951A1">
        <w:rPr>
          <w:rFonts w:ascii="Garamond" w:hAnsi="Garamond"/>
          <w:sz w:val="24"/>
          <w:szCs w:val="24"/>
        </w:rPr>
        <w:t>. 20 giugno 2018 (</w:t>
      </w:r>
      <w:proofErr w:type="spellStart"/>
      <w:r w:rsidRPr="008951A1">
        <w:rPr>
          <w:rFonts w:ascii="Garamond" w:hAnsi="Garamond"/>
          <w:sz w:val="24"/>
          <w:szCs w:val="24"/>
        </w:rPr>
        <w:t>dep</w:t>
      </w:r>
      <w:proofErr w:type="spellEnd"/>
      <w:r w:rsidRPr="008951A1">
        <w:rPr>
          <w:rFonts w:ascii="Garamond" w:hAnsi="Garamond"/>
          <w:sz w:val="24"/>
          <w:szCs w:val="24"/>
        </w:rPr>
        <w:t>. 7 novembre 2018),</w:t>
      </w:r>
      <w:r>
        <w:rPr>
          <w:rFonts w:ascii="Garamond" w:hAnsi="Garamond"/>
          <w:sz w:val="24"/>
          <w:szCs w:val="24"/>
        </w:rPr>
        <w:t xml:space="preserve"> n. 50497 nell’ormai noto caso Mastrogiovanni.</w:t>
      </w:r>
    </w:p>
    <w:p w:rsidR="00B01990" w:rsidRPr="008951A1" w:rsidRDefault="00B01990" w:rsidP="008951A1">
      <w:pPr>
        <w:pStyle w:val="Testonotaapidipagina"/>
        <w:ind w:firstLine="709"/>
        <w:jc w:val="both"/>
        <w:rPr>
          <w:rFonts w:ascii="Garamond" w:hAnsi="Garamond"/>
          <w:sz w:val="24"/>
          <w:szCs w:val="24"/>
        </w:rPr>
      </w:pPr>
      <w:r w:rsidRPr="008951A1">
        <w:rPr>
          <w:rFonts w:ascii="Garamond" w:hAnsi="Garamond"/>
          <w:sz w:val="24"/>
          <w:szCs w:val="24"/>
        </w:rPr>
        <w:t>L</w:t>
      </w:r>
      <w:proofErr w:type="gramStart"/>
      <w:r w:rsidRPr="008951A1">
        <w:rPr>
          <w:rFonts w:ascii="Garamond" w:hAnsi="Garamond"/>
          <w:sz w:val="24"/>
          <w:szCs w:val="24"/>
        </w:rPr>
        <w:t>’“</w:t>
      </w:r>
      <w:proofErr w:type="gramEnd"/>
      <w:r w:rsidRPr="008951A1">
        <w:rPr>
          <w:rFonts w:ascii="Garamond" w:hAnsi="Garamond"/>
          <w:sz w:val="24"/>
          <w:szCs w:val="24"/>
        </w:rPr>
        <w:t>atto medico”</w:t>
      </w:r>
      <w:r>
        <w:rPr>
          <w:rFonts w:ascii="Garamond" w:hAnsi="Garamond"/>
          <w:sz w:val="24"/>
          <w:szCs w:val="24"/>
        </w:rPr>
        <w:t>, ha rilevato la Suprema Corte,</w:t>
      </w:r>
      <w:r w:rsidRPr="008951A1">
        <w:rPr>
          <w:rFonts w:ascii="Garamond" w:hAnsi="Garamond"/>
          <w:sz w:val="24"/>
          <w:szCs w:val="24"/>
        </w:rPr>
        <w:t xml:space="preserve"> gode di una diretta copertura costituzionale non perché semplicemente frutto della decisione di un medico, ma in quanto caratterizzato da una finalità terapeutica, </w:t>
      </w:r>
      <w:r>
        <w:rPr>
          <w:rFonts w:ascii="Garamond" w:hAnsi="Garamond"/>
          <w:sz w:val="24"/>
          <w:szCs w:val="24"/>
        </w:rPr>
        <w:t>«</w:t>
      </w:r>
      <w:r w:rsidRPr="008951A1">
        <w:rPr>
          <w:rFonts w:ascii="Garamond" w:hAnsi="Garamond"/>
          <w:i/>
          <w:sz w:val="24"/>
          <w:szCs w:val="24"/>
        </w:rPr>
        <w:t>cui va assimilato quello avente natura diagnostica</w:t>
      </w:r>
      <w:r w:rsidRPr="008951A1">
        <w:rPr>
          <w:rFonts w:ascii="Garamond" w:hAnsi="Garamond"/>
          <w:sz w:val="24"/>
          <w:szCs w:val="24"/>
        </w:rPr>
        <w:t xml:space="preserve"> […] </w:t>
      </w:r>
      <w:r w:rsidRPr="008951A1">
        <w:rPr>
          <w:rFonts w:ascii="Garamond" w:hAnsi="Garamond"/>
          <w:i/>
          <w:sz w:val="24"/>
          <w:szCs w:val="24"/>
        </w:rPr>
        <w:t>nonché quello destinato ad alleviare le sofferenze del malato terminale, in quanto comunque diretto a migliorarne le condizioni complessive (c.d. trattamento del dolore)</w:t>
      </w:r>
      <w:r>
        <w:rPr>
          <w:rFonts w:ascii="Garamond" w:hAnsi="Garamond"/>
          <w:sz w:val="24"/>
          <w:szCs w:val="24"/>
        </w:rPr>
        <w:t>»</w:t>
      </w:r>
      <w:r w:rsidRPr="008951A1">
        <w:rPr>
          <w:rFonts w:ascii="Garamond" w:hAnsi="Garamond"/>
          <w:sz w:val="24"/>
          <w:szCs w:val="24"/>
        </w:rPr>
        <w:t>.</w:t>
      </w:r>
    </w:p>
    <w:p w:rsidR="00B01990" w:rsidRPr="008951A1" w:rsidRDefault="00B01990" w:rsidP="008951A1">
      <w:pPr>
        <w:pStyle w:val="Testonotaapidipagina"/>
        <w:ind w:firstLine="709"/>
        <w:jc w:val="both"/>
        <w:rPr>
          <w:rFonts w:ascii="Garamond" w:hAnsi="Garamond"/>
          <w:sz w:val="24"/>
          <w:szCs w:val="24"/>
        </w:rPr>
      </w:pPr>
      <w:r w:rsidRPr="008951A1">
        <w:rPr>
          <w:rFonts w:ascii="Garamond" w:hAnsi="Garamond"/>
          <w:sz w:val="24"/>
          <w:szCs w:val="24"/>
        </w:rPr>
        <w:t>L’uso della contenzione meccanica non rientra in nessuna delle categorie sopra indicate, trattandosi di un presidio restrittivo della libertà personale che non ha né una finalità curativa né produce materialmente l’effetto di migliorare le condizioni di salute del paziente – anzi, secondo la letteratura scientifica, può concretamente provocare, se non utilizzato con le dovute cautele, lesioni anche gravi all’organismo, determinate non solo dalla pressione esterna del dispositivo contenitivo, quali abrasioni, lacerazioni, strangolamento, ma anche dalla posizione di immobilità forzata cui è costretto il paziente - svo</w:t>
      </w:r>
      <w:r>
        <w:rPr>
          <w:rFonts w:ascii="Garamond" w:hAnsi="Garamond"/>
          <w:sz w:val="24"/>
          <w:szCs w:val="24"/>
        </w:rPr>
        <w:t>lgendo</w:t>
      </w:r>
      <w:r w:rsidRPr="008951A1">
        <w:rPr>
          <w:rFonts w:ascii="Garamond" w:hAnsi="Garamond"/>
          <w:sz w:val="24"/>
          <w:szCs w:val="24"/>
        </w:rPr>
        <w:t xml:space="preserve"> una mera funzione di tipo “cautelare”, essendo diretto a salvaguardare l’integrità fisica del paziente, o di coloro che vengono a contatto con quest’ultimo, allorquando ricorra una situazione di concreto pericolo per l’incolumità dei medesimi.</w:t>
      </w:r>
    </w:p>
    <w:p w:rsidR="00B01990" w:rsidRDefault="00B01990" w:rsidP="008951A1">
      <w:pPr>
        <w:pStyle w:val="Testonotaapidipagina"/>
        <w:ind w:firstLine="709"/>
        <w:jc w:val="both"/>
        <w:rPr>
          <w:rFonts w:ascii="Garamond" w:hAnsi="Garamond"/>
          <w:sz w:val="24"/>
          <w:szCs w:val="24"/>
        </w:rPr>
      </w:pPr>
      <w:r w:rsidRPr="008951A1">
        <w:rPr>
          <w:rFonts w:ascii="Garamond" w:hAnsi="Garamond"/>
          <w:sz w:val="24"/>
          <w:szCs w:val="24"/>
        </w:rPr>
        <w:t xml:space="preserve">Inoltre, nella stessa prospettiva, si inserisce la legge n. 180 del 1978 (c.d. legge </w:t>
      </w:r>
      <w:proofErr w:type="spellStart"/>
      <w:r w:rsidRPr="008951A1">
        <w:rPr>
          <w:rFonts w:ascii="Garamond" w:hAnsi="Garamond"/>
          <w:sz w:val="24"/>
          <w:szCs w:val="24"/>
        </w:rPr>
        <w:t>Basaglia</w:t>
      </w:r>
      <w:proofErr w:type="spellEnd"/>
      <w:r w:rsidRPr="008951A1">
        <w:rPr>
          <w:rFonts w:ascii="Garamond" w:hAnsi="Garamond"/>
          <w:sz w:val="24"/>
          <w:szCs w:val="24"/>
        </w:rPr>
        <w:t>) che, nel superare l’impostazione “</w:t>
      </w:r>
      <w:proofErr w:type="spellStart"/>
      <w:r w:rsidRPr="008951A1">
        <w:rPr>
          <w:rFonts w:ascii="Garamond" w:hAnsi="Garamond"/>
          <w:sz w:val="24"/>
          <w:szCs w:val="24"/>
        </w:rPr>
        <w:t>custodiale</w:t>
      </w:r>
      <w:proofErr w:type="spellEnd"/>
      <w:r w:rsidRPr="008951A1">
        <w:rPr>
          <w:rFonts w:ascii="Garamond" w:hAnsi="Garamond"/>
          <w:sz w:val="24"/>
          <w:szCs w:val="24"/>
        </w:rPr>
        <w:t>” del malato psichiatrico, ha disciplinato il trattamento sanitario obbligatorio, prevedendone l’applicazione solo ove esistano alterazioni psichiche tali da richiedere urgenti interventi terapeutici, non legittimandosi quindi affatto i mezzi di coercizione fisica se non in quanto rappresentino l’unico strumento idoneo ad approntare le cure mediche necessarie per scongiurare il pericolo di grave dann</w:t>
      </w:r>
      <w:r>
        <w:rPr>
          <w:rFonts w:ascii="Garamond" w:hAnsi="Garamond"/>
          <w:sz w:val="24"/>
          <w:szCs w:val="24"/>
        </w:rPr>
        <w:t>o alla salute del paziente.</w:t>
      </w:r>
    </w:p>
    <w:p w:rsidR="00B01990" w:rsidRPr="008951A1" w:rsidRDefault="00B01990" w:rsidP="008951A1">
      <w:pPr>
        <w:pStyle w:val="Testonotaapidipagina"/>
        <w:ind w:firstLine="709"/>
        <w:jc w:val="both"/>
        <w:rPr>
          <w:rFonts w:ascii="Garamond" w:hAnsi="Garamond"/>
          <w:sz w:val="24"/>
          <w:szCs w:val="24"/>
        </w:rPr>
      </w:pPr>
      <w:r>
        <w:rPr>
          <w:rFonts w:ascii="Garamond" w:hAnsi="Garamond"/>
          <w:sz w:val="24"/>
          <w:szCs w:val="24"/>
        </w:rPr>
        <w:t>L</w:t>
      </w:r>
      <w:r w:rsidRPr="008951A1">
        <w:rPr>
          <w:rFonts w:ascii="Garamond" w:hAnsi="Garamond"/>
          <w:sz w:val="24"/>
          <w:szCs w:val="24"/>
        </w:rPr>
        <w:t>’uso della contenzione è</w:t>
      </w:r>
      <w:r>
        <w:rPr>
          <w:rFonts w:ascii="Garamond" w:hAnsi="Garamond"/>
          <w:sz w:val="24"/>
          <w:szCs w:val="24"/>
        </w:rPr>
        <w:t xml:space="preserve"> perciò</w:t>
      </w:r>
      <w:r w:rsidRPr="008951A1">
        <w:rPr>
          <w:rFonts w:ascii="Garamond" w:hAnsi="Garamond"/>
          <w:sz w:val="24"/>
          <w:szCs w:val="24"/>
        </w:rPr>
        <w:t xml:space="preserve"> ammesso solo in situazioni eccezionali di pericolo all’integrità fisica delle persone (paziente e terzi), deve essere circoscritto al tempo strettamente necessario e deve essere costantemente soggetto al controllo del medico.</w:t>
      </w:r>
    </w:p>
    <w:p w:rsidR="00B01990" w:rsidRDefault="00B01990" w:rsidP="008951A1">
      <w:pPr>
        <w:pStyle w:val="Testonotaapidipagina"/>
        <w:ind w:firstLine="709"/>
        <w:jc w:val="both"/>
        <w:rPr>
          <w:rFonts w:ascii="Garamond" w:hAnsi="Garamond"/>
          <w:sz w:val="24"/>
          <w:szCs w:val="24"/>
        </w:rPr>
      </w:pPr>
      <w:r w:rsidRPr="008951A1">
        <w:rPr>
          <w:rFonts w:ascii="Garamond" w:hAnsi="Garamond"/>
          <w:sz w:val="24"/>
          <w:szCs w:val="24"/>
        </w:rPr>
        <w:t>Ne consegue che la massima privazione della libertà che deriva dall’uso della contenzione “può” e “deve” essere disposta dal sanitario (il quale, più degli altri, è per le proprie competenze tecnico-scientifiche a conoscenza dei gravi pregiudizi che l’uso del mezzo contenitivo può provocare alla salute del paziente) solo in situazioni straordinarie e per il tempo strettamente necessario dopo aver esercitato la massima sorveglianza sul paziente.</w:t>
      </w:r>
    </w:p>
    <w:p w:rsidR="00B01990" w:rsidRPr="008951A1" w:rsidRDefault="00B01990" w:rsidP="00BD3E78">
      <w:pPr>
        <w:pStyle w:val="Testonotaapidipagina"/>
        <w:ind w:firstLine="709"/>
        <w:jc w:val="both"/>
        <w:rPr>
          <w:rFonts w:ascii="Garamond" w:hAnsi="Garamond"/>
          <w:sz w:val="24"/>
          <w:szCs w:val="24"/>
        </w:rPr>
      </w:pPr>
      <w:r>
        <w:rPr>
          <w:rFonts w:ascii="Garamond" w:hAnsi="Garamond"/>
          <w:sz w:val="24"/>
          <w:szCs w:val="24"/>
        </w:rPr>
        <w:t>In merito al problema v., comunque,</w:t>
      </w:r>
      <w:r w:rsidRPr="007325FD">
        <w:rPr>
          <w:rFonts w:ascii="Garamond" w:hAnsi="Garamond"/>
          <w:smallCaps/>
          <w:sz w:val="24"/>
          <w:szCs w:val="24"/>
        </w:rPr>
        <w:t xml:space="preserve"> </w:t>
      </w:r>
      <w:proofErr w:type="spellStart"/>
      <w:r w:rsidRPr="007325FD">
        <w:rPr>
          <w:rFonts w:ascii="Garamond" w:hAnsi="Garamond"/>
          <w:smallCaps/>
          <w:sz w:val="24"/>
          <w:szCs w:val="24"/>
        </w:rPr>
        <w:t>Dugani</w:t>
      </w:r>
      <w:proofErr w:type="spellEnd"/>
      <w:r w:rsidRPr="007325FD">
        <w:rPr>
          <w:rFonts w:ascii="Garamond" w:hAnsi="Garamond"/>
          <w:smallCaps/>
          <w:sz w:val="24"/>
          <w:szCs w:val="24"/>
        </w:rPr>
        <w:t xml:space="preserve">, M. </w:t>
      </w:r>
      <w:proofErr w:type="spellStart"/>
      <w:r w:rsidRPr="007325FD">
        <w:rPr>
          <w:rFonts w:ascii="Garamond" w:hAnsi="Garamond"/>
          <w:smallCaps/>
          <w:sz w:val="24"/>
          <w:szCs w:val="24"/>
        </w:rPr>
        <w:t>Ubezio</w:t>
      </w:r>
      <w:proofErr w:type="spellEnd"/>
      <w:r w:rsidRPr="007325FD">
        <w:rPr>
          <w:rFonts w:ascii="Garamond" w:hAnsi="Garamond"/>
          <w:smallCaps/>
          <w:sz w:val="24"/>
          <w:szCs w:val="24"/>
        </w:rPr>
        <w:t>, A. Lopez</w:t>
      </w:r>
      <w:r>
        <w:rPr>
          <w:rFonts w:ascii="Garamond" w:hAnsi="Garamond"/>
          <w:sz w:val="24"/>
          <w:szCs w:val="24"/>
        </w:rPr>
        <w:t xml:space="preserve">, </w:t>
      </w:r>
      <w:r>
        <w:rPr>
          <w:rFonts w:ascii="Garamond" w:hAnsi="Garamond"/>
          <w:i/>
          <w:sz w:val="24"/>
          <w:szCs w:val="24"/>
        </w:rPr>
        <w:t xml:space="preserve">Il consenso informato e le misure di contenzione in </w:t>
      </w:r>
      <w:proofErr w:type="spellStart"/>
      <w:r>
        <w:rPr>
          <w:rFonts w:ascii="Garamond" w:hAnsi="Garamond"/>
          <w:i/>
          <w:sz w:val="24"/>
          <w:szCs w:val="24"/>
        </w:rPr>
        <w:t>rsa</w:t>
      </w:r>
      <w:proofErr w:type="spellEnd"/>
      <w:r>
        <w:rPr>
          <w:rFonts w:ascii="Garamond" w:hAnsi="Garamond"/>
          <w:sz w:val="24"/>
          <w:szCs w:val="24"/>
        </w:rPr>
        <w:t xml:space="preserve">, Santarcangelo di Romagna, 2015, 69 ss. Ricorda </w:t>
      </w:r>
      <w:r w:rsidRPr="00D6228B">
        <w:rPr>
          <w:rFonts w:ascii="Garamond" w:hAnsi="Garamond"/>
          <w:smallCaps/>
          <w:sz w:val="24"/>
          <w:szCs w:val="24"/>
        </w:rPr>
        <w:t>S. Rossi</w:t>
      </w:r>
      <w:r>
        <w:rPr>
          <w:rFonts w:ascii="Garamond" w:hAnsi="Garamond"/>
          <w:sz w:val="24"/>
          <w:szCs w:val="24"/>
        </w:rPr>
        <w:t xml:space="preserve">, </w:t>
      </w:r>
      <w:r>
        <w:rPr>
          <w:rFonts w:ascii="Garamond" w:hAnsi="Garamond"/>
          <w:i/>
          <w:sz w:val="24"/>
          <w:szCs w:val="24"/>
        </w:rPr>
        <w:t xml:space="preserve">Il manicomio dei </w:t>
      </w:r>
      <w:r w:rsidRPr="00DB33F2">
        <w:rPr>
          <w:rFonts w:ascii="Garamond" w:hAnsi="Garamond"/>
          <w:i/>
          <w:sz w:val="24"/>
          <w:szCs w:val="24"/>
        </w:rPr>
        <w:t>bambini e le sue storie</w:t>
      </w:r>
      <w:r>
        <w:rPr>
          <w:rFonts w:ascii="Garamond" w:hAnsi="Garamond"/>
          <w:sz w:val="24"/>
          <w:szCs w:val="24"/>
        </w:rPr>
        <w:t>, in</w:t>
      </w:r>
      <w:r w:rsidRPr="00BD3E78">
        <w:rPr>
          <w:rFonts w:ascii="Garamond" w:hAnsi="Garamond"/>
          <w:i/>
          <w:sz w:val="24"/>
          <w:szCs w:val="24"/>
        </w:rPr>
        <w:t xml:space="preserve"> </w:t>
      </w:r>
      <w:proofErr w:type="spellStart"/>
      <w:r>
        <w:rPr>
          <w:rFonts w:ascii="Garamond" w:hAnsi="Garamond"/>
          <w:i/>
          <w:sz w:val="24"/>
          <w:szCs w:val="24"/>
        </w:rPr>
        <w:t>Riv</w:t>
      </w:r>
      <w:proofErr w:type="spellEnd"/>
      <w:r>
        <w:rPr>
          <w:rFonts w:ascii="Garamond" w:hAnsi="Garamond"/>
          <w:i/>
          <w:sz w:val="24"/>
          <w:szCs w:val="24"/>
        </w:rPr>
        <w:t xml:space="preserve">. </w:t>
      </w:r>
      <w:proofErr w:type="spellStart"/>
      <w:proofErr w:type="gramStart"/>
      <w:r>
        <w:rPr>
          <w:rFonts w:ascii="Garamond" w:hAnsi="Garamond"/>
          <w:i/>
          <w:sz w:val="24"/>
          <w:szCs w:val="24"/>
        </w:rPr>
        <w:t>crit</w:t>
      </w:r>
      <w:proofErr w:type="spellEnd"/>
      <w:proofErr w:type="gramEnd"/>
      <w:r>
        <w:rPr>
          <w:rFonts w:ascii="Garamond" w:hAnsi="Garamond"/>
          <w:i/>
          <w:sz w:val="24"/>
          <w:szCs w:val="24"/>
        </w:rPr>
        <w:t xml:space="preserve">. </w:t>
      </w:r>
      <w:proofErr w:type="gramStart"/>
      <w:r>
        <w:rPr>
          <w:rFonts w:ascii="Garamond" w:hAnsi="Garamond"/>
          <w:i/>
          <w:sz w:val="24"/>
          <w:szCs w:val="24"/>
        </w:rPr>
        <w:t>dir</w:t>
      </w:r>
      <w:proofErr w:type="gramEnd"/>
      <w:r>
        <w:rPr>
          <w:rFonts w:ascii="Garamond" w:hAnsi="Garamond"/>
          <w:i/>
          <w:sz w:val="24"/>
          <w:szCs w:val="24"/>
        </w:rPr>
        <w:t xml:space="preserve">. </w:t>
      </w:r>
      <w:proofErr w:type="spellStart"/>
      <w:proofErr w:type="gramStart"/>
      <w:r>
        <w:rPr>
          <w:rFonts w:ascii="Garamond" w:hAnsi="Garamond"/>
          <w:i/>
          <w:sz w:val="24"/>
          <w:szCs w:val="24"/>
        </w:rPr>
        <w:t>priv</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2017, 2</w:t>
      </w:r>
      <w:r w:rsidRPr="00DB33F2">
        <w:rPr>
          <w:rFonts w:ascii="Garamond" w:hAnsi="Garamond"/>
          <w:sz w:val="24"/>
          <w:szCs w:val="24"/>
        </w:rPr>
        <w:t>.,</w:t>
      </w:r>
      <w:r>
        <w:rPr>
          <w:rFonts w:ascii="Garamond" w:hAnsi="Garamond"/>
          <w:sz w:val="24"/>
          <w:szCs w:val="24"/>
        </w:rPr>
        <w:t xml:space="preserve"> p.</w:t>
      </w:r>
      <w:r w:rsidRPr="00DB33F2">
        <w:rPr>
          <w:rFonts w:ascii="Garamond" w:hAnsi="Garamond"/>
          <w:sz w:val="24"/>
          <w:szCs w:val="24"/>
        </w:rPr>
        <w:t xml:space="preserve"> 330, anche sulla scorta del parere reso dal Comitato Nazionale di Bioetica del 23 </w:t>
      </w:r>
      <w:r w:rsidRPr="00DA208B">
        <w:rPr>
          <w:rFonts w:ascii="Garamond" w:hAnsi="Garamond"/>
          <w:sz w:val="24"/>
          <w:szCs w:val="24"/>
        </w:rPr>
        <w:t>aprile 2015 sulla «</w:t>
      </w:r>
      <w:r w:rsidRPr="00DA208B">
        <w:rPr>
          <w:rFonts w:ascii="Garamond" w:hAnsi="Garamond"/>
          <w:i/>
          <w:sz w:val="24"/>
          <w:szCs w:val="24"/>
        </w:rPr>
        <w:t>La contenzione: problemi bioetici</w:t>
      </w:r>
      <w:r w:rsidRPr="00DA208B">
        <w:rPr>
          <w:rFonts w:ascii="Garamond" w:hAnsi="Garamond"/>
          <w:sz w:val="24"/>
          <w:szCs w:val="24"/>
        </w:rPr>
        <w:t xml:space="preserve">», che la contenzione meccanica, definita un residuo di </w:t>
      </w:r>
      <w:r w:rsidRPr="00376AD7">
        <w:rPr>
          <w:rFonts w:ascii="Garamond" w:hAnsi="Garamond"/>
          <w:sz w:val="24"/>
          <w:szCs w:val="24"/>
        </w:rPr>
        <w:t>cultura manicomiale, è ancora largamente applicata nel nostro Paese e non si intravedono sforzi decisivi per il suo superamento.</w:t>
      </w:r>
    </w:p>
  </w:footnote>
  <w:footnote w:id="23">
    <w:p w:rsidR="00B01990" w:rsidRPr="00C148BF" w:rsidRDefault="00B01990" w:rsidP="00C148BF">
      <w:pPr>
        <w:pStyle w:val="Testonotaapidipagina"/>
        <w:ind w:firstLine="709"/>
        <w:jc w:val="both"/>
        <w:rPr>
          <w:rFonts w:ascii="Garamond" w:hAnsi="Garamond"/>
          <w:sz w:val="24"/>
          <w:szCs w:val="24"/>
        </w:rPr>
      </w:pPr>
      <w:r w:rsidRPr="00C148BF">
        <w:rPr>
          <w:rStyle w:val="Rimandonotaapidipagina"/>
          <w:rFonts w:ascii="Garamond" w:hAnsi="Garamond"/>
          <w:sz w:val="24"/>
          <w:szCs w:val="24"/>
        </w:rPr>
        <w:footnoteRef/>
      </w:r>
      <w:r w:rsidRPr="00C148BF">
        <w:rPr>
          <w:rFonts w:ascii="Garamond" w:hAnsi="Garamond"/>
          <w:sz w:val="24"/>
          <w:szCs w:val="24"/>
        </w:rPr>
        <w:t xml:space="preserve"> Sulla questione v., di recente, anche </w:t>
      </w:r>
      <w:r w:rsidRPr="00C148BF">
        <w:rPr>
          <w:rFonts w:ascii="Garamond" w:hAnsi="Garamond"/>
          <w:smallCaps/>
          <w:sz w:val="24"/>
          <w:szCs w:val="24"/>
        </w:rPr>
        <w:t>M. Rinaldo</w:t>
      </w:r>
      <w:r w:rsidRPr="00C148BF">
        <w:rPr>
          <w:rFonts w:ascii="Garamond" w:hAnsi="Garamond"/>
          <w:sz w:val="24"/>
          <w:szCs w:val="24"/>
        </w:rPr>
        <w:t xml:space="preserve"> e </w:t>
      </w:r>
      <w:r w:rsidRPr="00C148BF">
        <w:rPr>
          <w:rFonts w:ascii="Garamond" w:hAnsi="Garamond"/>
          <w:smallCaps/>
          <w:sz w:val="24"/>
          <w:szCs w:val="24"/>
        </w:rPr>
        <w:t>C. Cicero</w:t>
      </w:r>
      <w:r w:rsidRPr="00C148BF">
        <w:rPr>
          <w:rFonts w:ascii="Garamond" w:hAnsi="Garamond"/>
          <w:sz w:val="24"/>
          <w:szCs w:val="24"/>
        </w:rPr>
        <w:t xml:space="preserve">, </w:t>
      </w:r>
      <w:r w:rsidRPr="00C148BF">
        <w:rPr>
          <w:rFonts w:ascii="Garamond" w:hAnsi="Garamond"/>
          <w:i/>
          <w:sz w:val="24"/>
          <w:szCs w:val="24"/>
        </w:rPr>
        <w:t>La dignità del morire, tra istanze etiche e giuridiche</w:t>
      </w:r>
      <w:r w:rsidRPr="00C148BF">
        <w:rPr>
          <w:rFonts w:ascii="Garamond" w:hAnsi="Garamond"/>
          <w:sz w:val="24"/>
          <w:szCs w:val="24"/>
        </w:rPr>
        <w:t xml:space="preserve">, in </w:t>
      </w:r>
      <w:r w:rsidRPr="00C148BF">
        <w:rPr>
          <w:rFonts w:ascii="Garamond" w:hAnsi="Garamond"/>
          <w:i/>
          <w:sz w:val="24"/>
          <w:szCs w:val="24"/>
        </w:rPr>
        <w:t xml:space="preserve">Dir. </w:t>
      </w:r>
      <w:proofErr w:type="spellStart"/>
      <w:r w:rsidRPr="00C148BF">
        <w:rPr>
          <w:rFonts w:ascii="Garamond" w:hAnsi="Garamond"/>
          <w:i/>
          <w:sz w:val="24"/>
          <w:szCs w:val="24"/>
        </w:rPr>
        <w:t>pers</w:t>
      </w:r>
      <w:proofErr w:type="spellEnd"/>
      <w:r w:rsidRPr="00C148BF">
        <w:rPr>
          <w:rFonts w:ascii="Garamond" w:hAnsi="Garamond"/>
          <w:i/>
          <w:sz w:val="24"/>
          <w:szCs w:val="24"/>
        </w:rPr>
        <w:t xml:space="preserve">. </w:t>
      </w:r>
      <w:proofErr w:type="spellStart"/>
      <w:proofErr w:type="gramStart"/>
      <w:r w:rsidRPr="00C148BF">
        <w:rPr>
          <w:rFonts w:ascii="Garamond" w:hAnsi="Garamond"/>
          <w:i/>
          <w:sz w:val="24"/>
          <w:szCs w:val="24"/>
        </w:rPr>
        <w:t>fam</w:t>
      </w:r>
      <w:proofErr w:type="spellEnd"/>
      <w:r w:rsidRPr="00C148BF">
        <w:rPr>
          <w:rFonts w:ascii="Garamond" w:hAnsi="Garamond"/>
          <w:i/>
          <w:sz w:val="24"/>
          <w:szCs w:val="24"/>
        </w:rPr>
        <w:t>.</w:t>
      </w:r>
      <w:r w:rsidRPr="00C148BF">
        <w:rPr>
          <w:rFonts w:ascii="Garamond" w:hAnsi="Garamond"/>
          <w:sz w:val="24"/>
          <w:szCs w:val="24"/>
        </w:rPr>
        <w:t>,</w:t>
      </w:r>
      <w:proofErr w:type="gramEnd"/>
      <w:r w:rsidRPr="00C148BF">
        <w:rPr>
          <w:rFonts w:ascii="Garamond" w:hAnsi="Garamond"/>
          <w:sz w:val="24"/>
          <w:szCs w:val="24"/>
        </w:rPr>
        <w:t xml:space="preserve"> 2018, 3, p. 1003 e ss.</w:t>
      </w:r>
    </w:p>
  </w:footnote>
  <w:footnote w:id="24">
    <w:p w:rsidR="00B01990" w:rsidRPr="007D6EBC" w:rsidRDefault="00B01990" w:rsidP="007D6EBC">
      <w:pPr>
        <w:pStyle w:val="Testonotaapidipagina"/>
        <w:ind w:firstLine="709"/>
        <w:jc w:val="both"/>
        <w:rPr>
          <w:rFonts w:ascii="Garamond" w:hAnsi="Garamond"/>
          <w:sz w:val="24"/>
          <w:szCs w:val="24"/>
        </w:rPr>
      </w:pPr>
      <w:r w:rsidRPr="00D17866">
        <w:rPr>
          <w:rStyle w:val="Rimandonotaapidipagina"/>
          <w:rFonts w:ascii="Garamond" w:hAnsi="Garamond"/>
          <w:sz w:val="24"/>
          <w:szCs w:val="24"/>
        </w:rPr>
        <w:footnoteRef/>
      </w:r>
      <w:r w:rsidRPr="00D17866">
        <w:rPr>
          <w:rFonts w:ascii="Garamond" w:hAnsi="Garamond"/>
          <w:sz w:val="24"/>
          <w:szCs w:val="24"/>
        </w:rPr>
        <w:t xml:space="preserve"> Per una interessante ricostruzione della questione degli obblighi vaccinali, anche in chiave comparatistica, v. ora </w:t>
      </w:r>
      <w:r w:rsidRPr="00D17866">
        <w:rPr>
          <w:rFonts w:ascii="Garamond" w:hAnsi="Garamond"/>
          <w:smallCaps/>
          <w:sz w:val="24"/>
          <w:szCs w:val="24"/>
        </w:rPr>
        <w:t xml:space="preserve">S. </w:t>
      </w:r>
      <w:proofErr w:type="spellStart"/>
      <w:r w:rsidRPr="00D17866">
        <w:rPr>
          <w:rFonts w:ascii="Garamond" w:hAnsi="Garamond"/>
          <w:smallCaps/>
          <w:sz w:val="24"/>
          <w:szCs w:val="24"/>
        </w:rPr>
        <w:t>Penasa</w:t>
      </w:r>
      <w:proofErr w:type="spellEnd"/>
      <w:r w:rsidRPr="00D17866">
        <w:rPr>
          <w:rFonts w:ascii="Garamond" w:hAnsi="Garamond"/>
          <w:sz w:val="24"/>
          <w:szCs w:val="24"/>
        </w:rPr>
        <w:t xml:space="preserve">, </w:t>
      </w:r>
      <w:r w:rsidRPr="00D17866">
        <w:rPr>
          <w:rFonts w:ascii="Garamond" w:hAnsi="Garamond"/>
          <w:i/>
          <w:sz w:val="24"/>
          <w:szCs w:val="24"/>
        </w:rPr>
        <w:t>Obblighi vaccinali: un itinerario nella giurisprudenza costituzionale comparata</w:t>
      </w:r>
      <w:r w:rsidRPr="00D17866">
        <w:rPr>
          <w:rFonts w:ascii="Garamond" w:hAnsi="Garamond"/>
          <w:sz w:val="24"/>
          <w:szCs w:val="24"/>
        </w:rPr>
        <w:t xml:space="preserve">, in </w:t>
      </w:r>
      <w:proofErr w:type="spellStart"/>
      <w:r w:rsidRPr="007D6EBC">
        <w:rPr>
          <w:rFonts w:ascii="Garamond" w:hAnsi="Garamond"/>
          <w:i/>
          <w:sz w:val="24"/>
          <w:szCs w:val="24"/>
        </w:rPr>
        <w:t>Quad</w:t>
      </w:r>
      <w:proofErr w:type="spellEnd"/>
      <w:r w:rsidRPr="007D6EBC">
        <w:rPr>
          <w:rFonts w:ascii="Garamond" w:hAnsi="Garamond"/>
          <w:i/>
          <w:sz w:val="24"/>
          <w:szCs w:val="24"/>
        </w:rPr>
        <w:t xml:space="preserve">. </w:t>
      </w:r>
      <w:proofErr w:type="spellStart"/>
      <w:proofErr w:type="gramStart"/>
      <w:r w:rsidRPr="007D6EBC">
        <w:rPr>
          <w:rFonts w:ascii="Garamond" w:hAnsi="Garamond"/>
          <w:i/>
          <w:sz w:val="24"/>
          <w:szCs w:val="24"/>
        </w:rPr>
        <w:t>cost</w:t>
      </w:r>
      <w:proofErr w:type="spellEnd"/>
      <w:r w:rsidRPr="007D6EBC">
        <w:rPr>
          <w:rFonts w:ascii="Garamond" w:hAnsi="Garamond"/>
          <w:i/>
          <w:sz w:val="24"/>
          <w:szCs w:val="24"/>
        </w:rPr>
        <w:t>.</w:t>
      </w:r>
      <w:r w:rsidRPr="007D6EBC">
        <w:rPr>
          <w:rFonts w:ascii="Garamond" w:hAnsi="Garamond"/>
          <w:sz w:val="24"/>
          <w:szCs w:val="24"/>
        </w:rPr>
        <w:t>,</w:t>
      </w:r>
      <w:proofErr w:type="gramEnd"/>
      <w:r w:rsidRPr="007D6EBC">
        <w:rPr>
          <w:rFonts w:ascii="Garamond" w:hAnsi="Garamond"/>
          <w:sz w:val="24"/>
          <w:szCs w:val="24"/>
        </w:rPr>
        <w:t xml:space="preserve"> 2018/1, pp. 47-78.</w:t>
      </w:r>
    </w:p>
  </w:footnote>
  <w:footnote w:id="25">
    <w:p w:rsidR="00B01990" w:rsidRPr="00795B6D" w:rsidRDefault="00B01990" w:rsidP="00795B6D">
      <w:pPr>
        <w:pStyle w:val="Testonotaapidipagina"/>
        <w:ind w:firstLine="709"/>
        <w:jc w:val="both"/>
        <w:rPr>
          <w:rFonts w:ascii="Garamond" w:hAnsi="Garamond"/>
          <w:sz w:val="24"/>
          <w:szCs w:val="24"/>
        </w:rPr>
      </w:pPr>
      <w:r w:rsidRPr="007D6EBC">
        <w:rPr>
          <w:rStyle w:val="Rimandonotaapidipagina"/>
          <w:rFonts w:ascii="Garamond" w:hAnsi="Garamond"/>
          <w:sz w:val="24"/>
          <w:szCs w:val="24"/>
        </w:rPr>
        <w:footnoteRef/>
      </w:r>
      <w:r w:rsidRPr="007D6EBC">
        <w:rPr>
          <w:rFonts w:ascii="Garamond" w:hAnsi="Garamond"/>
          <w:sz w:val="24"/>
          <w:szCs w:val="24"/>
        </w:rPr>
        <w:t xml:space="preserve"> V. le considerazioni di </w:t>
      </w:r>
      <w:r w:rsidRPr="007D6EBC">
        <w:rPr>
          <w:rFonts w:ascii="Garamond" w:hAnsi="Garamond"/>
          <w:smallCaps/>
          <w:sz w:val="24"/>
          <w:szCs w:val="24"/>
        </w:rPr>
        <w:t>G. Pascuzzi</w:t>
      </w:r>
      <w:r w:rsidRPr="007D6EBC">
        <w:rPr>
          <w:rFonts w:ascii="Garamond" w:hAnsi="Garamond"/>
          <w:sz w:val="24"/>
          <w:szCs w:val="24"/>
        </w:rPr>
        <w:t xml:space="preserve">, </w:t>
      </w:r>
      <w:r w:rsidRPr="007D6EBC">
        <w:rPr>
          <w:rFonts w:ascii="Garamond" w:hAnsi="Garamond"/>
          <w:i/>
          <w:sz w:val="24"/>
          <w:szCs w:val="24"/>
        </w:rPr>
        <w:t>La spinta gentile verso le vaccinazioni</w:t>
      </w:r>
      <w:r w:rsidRPr="007D6EBC">
        <w:rPr>
          <w:rFonts w:ascii="Garamond" w:hAnsi="Garamond"/>
          <w:sz w:val="24"/>
          <w:szCs w:val="24"/>
        </w:rPr>
        <w:t xml:space="preserve">, in </w:t>
      </w:r>
      <w:r w:rsidRPr="007D6EBC">
        <w:rPr>
          <w:rFonts w:ascii="Garamond" w:hAnsi="Garamond"/>
          <w:i/>
          <w:sz w:val="24"/>
          <w:szCs w:val="24"/>
        </w:rPr>
        <w:t xml:space="preserve">Merc. reg. </w:t>
      </w:r>
      <w:proofErr w:type="spellStart"/>
      <w:proofErr w:type="gramStart"/>
      <w:r w:rsidRPr="007D6EBC">
        <w:rPr>
          <w:rFonts w:ascii="Garamond" w:hAnsi="Garamond"/>
          <w:i/>
          <w:sz w:val="24"/>
          <w:szCs w:val="24"/>
        </w:rPr>
        <w:t>conc</w:t>
      </w:r>
      <w:proofErr w:type="spellEnd"/>
      <w:r w:rsidRPr="007D6EBC">
        <w:rPr>
          <w:rFonts w:ascii="Garamond" w:hAnsi="Garamond"/>
          <w:i/>
          <w:sz w:val="24"/>
          <w:szCs w:val="24"/>
        </w:rPr>
        <w:t>.</w:t>
      </w:r>
      <w:r w:rsidRPr="007D6EBC">
        <w:rPr>
          <w:rFonts w:ascii="Garamond" w:hAnsi="Garamond"/>
          <w:sz w:val="24"/>
          <w:szCs w:val="24"/>
        </w:rPr>
        <w:t>,</w:t>
      </w:r>
      <w:proofErr w:type="gramEnd"/>
      <w:r w:rsidRPr="007D6EBC">
        <w:rPr>
          <w:rFonts w:ascii="Garamond" w:hAnsi="Garamond"/>
          <w:sz w:val="24"/>
          <w:szCs w:val="24"/>
        </w:rPr>
        <w:t xml:space="preserve"> 2018, 1, 89</w:t>
      </w:r>
      <w:r w:rsidRPr="00795B6D">
        <w:rPr>
          <w:rFonts w:ascii="Garamond" w:hAnsi="Garamond"/>
          <w:sz w:val="24"/>
          <w:szCs w:val="24"/>
        </w:rPr>
        <w:t>-110.</w:t>
      </w:r>
    </w:p>
  </w:footnote>
  <w:footnote w:id="26">
    <w:p w:rsidR="00B01990" w:rsidRPr="00795B6D" w:rsidRDefault="00B01990" w:rsidP="00795B6D">
      <w:pPr>
        <w:pStyle w:val="Testonotaapidipagina"/>
        <w:ind w:firstLine="709"/>
        <w:jc w:val="both"/>
        <w:rPr>
          <w:rFonts w:ascii="Garamond" w:hAnsi="Garamond"/>
          <w:sz w:val="24"/>
          <w:szCs w:val="24"/>
        </w:rPr>
      </w:pPr>
      <w:r w:rsidRPr="00795B6D">
        <w:rPr>
          <w:rStyle w:val="Rimandonotaapidipagina"/>
          <w:rFonts w:ascii="Garamond" w:hAnsi="Garamond"/>
          <w:sz w:val="24"/>
          <w:szCs w:val="24"/>
        </w:rPr>
        <w:footnoteRef/>
      </w:r>
      <w:r w:rsidRPr="00795B6D">
        <w:rPr>
          <w:rFonts w:ascii="Garamond" w:hAnsi="Garamond"/>
          <w:sz w:val="24"/>
          <w:szCs w:val="24"/>
        </w:rPr>
        <w:t xml:space="preserve"> Per l’esperienza statunitense v., ad esempio, </w:t>
      </w:r>
      <w:r w:rsidRPr="00795B6D">
        <w:rPr>
          <w:rFonts w:ascii="Garamond" w:hAnsi="Garamond"/>
          <w:smallCaps/>
          <w:sz w:val="24"/>
          <w:szCs w:val="24"/>
        </w:rPr>
        <w:t>S. Rossi</w:t>
      </w:r>
      <w:r w:rsidRPr="00795B6D">
        <w:rPr>
          <w:rFonts w:ascii="Garamond" w:hAnsi="Garamond"/>
          <w:sz w:val="24"/>
          <w:szCs w:val="24"/>
        </w:rPr>
        <w:t xml:space="preserve">, </w:t>
      </w:r>
      <w:r w:rsidRPr="00795B6D">
        <w:rPr>
          <w:rFonts w:ascii="Garamond" w:hAnsi="Garamond"/>
          <w:i/>
          <w:sz w:val="24"/>
          <w:szCs w:val="24"/>
        </w:rPr>
        <w:t>Lezioni americane. Il bilanciamento tra interesse della collettività e autonomia individuale in materia di vaccini</w:t>
      </w:r>
      <w:r w:rsidRPr="00795B6D">
        <w:rPr>
          <w:rFonts w:ascii="Garamond" w:hAnsi="Garamond"/>
          <w:sz w:val="24"/>
          <w:szCs w:val="24"/>
        </w:rPr>
        <w:t xml:space="preserve">, in </w:t>
      </w:r>
      <w:proofErr w:type="spellStart"/>
      <w:r w:rsidRPr="00795B6D">
        <w:rPr>
          <w:rFonts w:ascii="Garamond" w:hAnsi="Garamond"/>
          <w:i/>
          <w:sz w:val="24"/>
          <w:szCs w:val="24"/>
        </w:rPr>
        <w:t>Riv</w:t>
      </w:r>
      <w:proofErr w:type="spellEnd"/>
      <w:r w:rsidRPr="00795B6D">
        <w:rPr>
          <w:rFonts w:ascii="Garamond" w:hAnsi="Garamond"/>
          <w:i/>
          <w:sz w:val="24"/>
          <w:szCs w:val="24"/>
        </w:rPr>
        <w:t xml:space="preserve">. trim. dir. </w:t>
      </w:r>
      <w:proofErr w:type="spellStart"/>
      <w:proofErr w:type="gramStart"/>
      <w:r w:rsidRPr="00795B6D">
        <w:rPr>
          <w:rFonts w:ascii="Garamond" w:hAnsi="Garamond"/>
          <w:i/>
          <w:sz w:val="24"/>
          <w:szCs w:val="24"/>
        </w:rPr>
        <w:t>pubbl</w:t>
      </w:r>
      <w:proofErr w:type="spellEnd"/>
      <w:r w:rsidRPr="00795B6D">
        <w:rPr>
          <w:rFonts w:ascii="Garamond" w:hAnsi="Garamond"/>
          <w:i/>
          <w:sz w:val="24"/>
          <w:szCs w:val="24"/>
        </w:rPr>
        <w:t>.</w:t>
      </w:r>
      <w:r w:rsidRPr="00795B6D">
        <w:rPr>
          <w:rFonts w:ascii="Garamond" w:hAnsi="Garamond"/>
          <w:sz w:val="24"/>
          <w:szCs w:val="24"/>
        </w:rPr>
        <w:t>,</w:t>
      </w:r>
      <w:proofErr w:type="gramEnd"/>
      <w:r w:rsidRPr="00795B6D">
        <w:rPr>
          <w:rFonts w:ascii="Garamond" w:hAnsi="Garamond"/>
          <w:sz w:val="24"/>
          <w:szCs w:val="24"/>
        </w:rPr>
        <w:t xml:space="preserve"> 2018, 2, pp. 749 e ss.</w:t>
      </w:r>
    </w:p>
  </w:footnote>
  <w:footnote w:id="27">
    <w:p w:rsidR="00B01990" w:rsidRPr="00795B6D" w:rsidRDefault="00B01990" w:rsidP="00795B6D">
      <w:pPr>
        <w:pStyle w:val="Testonotaapidipagina"/>
        <w:ind w:firstLine="709"/>
        <w:jc w:val="both"/>
        <w:rPr>
          <w:rFonts w:ascii="Garamond" w:hAnsi="Garamond"/>
          <w:i/>
          <w:sz w:val="24"/>
          <w:szCs w:val="24"/>
        </w:rPr>
      </w:pPr>
      <w:r w:rsidRPr="00795B6D">
        <w:rPr>
          <w:rStyle w:val="Rimandonotaapidipagina"/>
          <w:rFonts w:ascii="Garamond" w:hAnsi="Garamond"/>
          <w:sz w:val="24"/>
          <w:szCs w:val="24"/>
        </w:rPr>
        <w:footnoteRef/>
      </w:r>
      <w:r w:rsidRPr="00795B6D">
        <w:rPr>
          <w:rFonts w:ascii="Garamond" w:hAnsi="Garamond"/>
          <w:sz w:val="24"/>
          <w:szCs w:val="24"/>
        </w:rPr>
        <w:t xml:space="preserve"> </w:t>
      </w:r>
      <w:r>
        <w:rPr>
          <w:rFonts w:ascii="Garamond" w:hAnsi="Garamond"/>
          <w:sz w:val="24"/>
          <w:szCs w:val="24"/>
        </w:rPr>
        <w:t xml:space="preserve">La sentenza n. 5 del 18 gennaio 2018 della Corte costituzionale si può leggere in </w:t>
      </w:r>
      <w:r>
        <w:rPr>
          <w:rFonts w:ascii="Garamond" w:hAnsi="Garamond"/>
          <w:i/>
          <w:sz w:val="24"/>
          <w:szCs w:val="24"/>
        </w:rPr>
        <w:t xml:space="preserve">Foro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2018, I, col. 710 e ss., con nota di </w:t>
      </w:r>
      <w:r w:rsidRPr="00795B6D">
        <w:rPr>
          <w:rFonts w:ascii="Garamond" w:hAnsi="Garamond"/>
          <w:smallCaps/>
          <w:sz w:val="24"/>
          <w:szCs w:val="24"/>
        </w:rPr>
        <w:t>G. Pascuzzi</w:t>
      </w:r>
      <w:r>
        <w:rPr>
          <w:rFonts w:ascii="Garamond" w:hAnsi="Garamond"/>
          <w:sz w:val="24"/>
          <w:szCs w:val="24"/>
        </w:rPr>
        <w:t xml:space="preserve">, </w:t>
      </w:r>
      <w:r>
        <w:rPr>
          <w:rFonts w:ascii="Garamond" w:hAnsi="Garamond"/>
          <w:i/>
          <w:sz w:val="24"/>
          <w:szCs w:val="24"/>
        </w:rPr>
        <w:t>Vaccini: quale strategia?</w:t>
      </w:r>
    </w:p>
  </w:footnote>
  <w:footnote w:id="28">
    <w:p w:rsidR="00B01990" w:rsidRPr="00001F38" w:rsidRDefault="00B01990" w:rsidP="00001F38">
      <w:pPr>
        <w:pStyle w:val="Testonotaapidipagina"/>
        <w:ind w:firstLine="709"/>
        <w:jc w:val="both"/>
        <w:rPr>
          <w:rFonts w:ascii="Garamond" w:hAnsi="Garamond"/>
          <w:sz w:val="24"/>
          <w:szCs w:val="24"/>
        </w:rPr>
      </w:pPr>
      <w:r w:rsidRPr="00001F38">
        <w:rPr>
          <w:rStyle w:val="Rimandonotaapidipagina"/>
          <w:rFonts w:ascii="Garamond" w:hAnsi="Garamond"/>
          <w:sz w:val="24"/>
          <w:szCs w:val="24"/>
        </w:rPr>
        <w:footnoteRef/>
      </w:r>
      <w:r w:rsidRPr="00001F38">
        <w:rPr>
          <w:rFonts w:ascii="Garamond" w:hAnsi="Garamond"/>
          <w:sz w:val="24"/>
          <w:szCs w:val="24"/>
        </w:rPr>
        <w:t xml:space="preserve"> Corte </w:t>
      </w:r>
      <w:proofErr w:type="spellStart"/>
      <w:proofErr w:type="gramStart"/>
      <w:r w:rsidRPr="00001F38">
        <w:rPr>
          <w:rFonts w:ascii="Garamond" w:hAnsi="Garamond"/>
          <w:sz w:val="24"/>
          <w:szCs w:val="24"/>
        </w:rPr>
        <w:t>cost</w:t>
      </w:r>
      <w:proofErr w:type="spellEnd"/>
      <w:r w:rsidRPr="00001F38">
        <w:rPr>
          <w:rFonts w:ascii="Garamond" w:hAnsi="Garamond"/>
          <w:sz w:val="24"/>
          <w:szCs w:val="24"/>
        </w:rPr>
        <w:t>.,</w:t>
      </w:r>
      <w:proofErr w:type="gramEnd"/>
      <w:r w:rsidRPr="00001F38">
        <w:rPr>
          <w:rFonts w:ascii="Garamond" w:hAnsi="Garamond"/>
          <w:sz w:val="24"/>
          <w:szCs w:val="24"/>
        </w:rPr>
        <w:t xml:space="preserve"> 5 gennaio 2018, n</w:t>
      </w:r>
      <w:r w:rsidR="00D6195F">
        <w:rPr>
          <w:rFonts w:ascii="Garamond" w:hAnsi="Garamond"/>
          <w:sz w:val="24"/>
          <w:szCs w:val="24"/>
        </w:rPr>
        <w:t>. 5,</w:t>
      </w:r>
      <w:r w:rsidRPr="00001F38">
        <w:rPr>
          <w:rFonts w:ascii="Garamond" w:hAnsi="Garamond"/>
          <w:sz w:val="24"/>
          <w:szCs w:val="24"/>
        </w:rPr>
        <w:t xml:space="preserve"> cit., col. 726.</w:t>
      </w:r>
    </w:p>
  </w:footnote>
  <w:footnote w:id="29">
    <w:p w:rsidR="00B01990" w:rsidRPr="00001F38" w:rsidRDefault="00B01990" w:rsidP="00001F38">
      <w:pPr>
        <w:pStyle w:val="Testonotaapidipagina"/>
        <w:ind w:firstLine="709"/>
        <w:jc w:val="both"/>
        <w:rPr>
          <w:rFonts w:ascii="Garamond" w:hAnsi="Garamond"/>
          <w:sz w:val="24"/>
          <w:szCs w:val="24"/>
        </w:rPr>
      </w:pPr>
      <w:r w:rsidRPr="00001F38">
        <w:rPr>
          <w:rStyle w:val="Rimandonotaapidipagina"/>
          <w:rFonts w:ascii="Garamond" w:hAnsi="Garamond"/>
          <w:sz w:val="24"/>
          <w:szCs w:val="24"/>
        </w:rPr>
        <w:footnoteRef/>
      </w:r>
      <w:r w:rsidRPr="00001F38">
        <w:rPr>
          <w:rFonts w:ascii="Garamond" w:hAnsi="Garamond"/>
          <w:sz w:val="24"/>
          <w:szCs w:val="24"/>
        </w:rPr>
        <w:t xml:space="preserve"> Corte </w:t>
      </w:r>
      <w:proofErr w:type="spellStart"/>
      <w:proofErr w:type="gramStart"/>
      <w:r w:rsidRPr="00001F38">
        <w:rPr>
          <w:rFonts w:ascii="Garamond" w:hAnsi="Garamond"/>
          <w:sz w:val="24"/>
          <w:szCs w:val="24"/>
        </w:rPr>
        <w:t>cost</w:t>
      </w:r>
      <w:proofErr w:type="spellEnd"/>
      <w:r w:rsidRPr="00001F38">
        <w:rPr>
          <w:rFonts w:ascii="Garamond" w:hAnsi="Garamond"/>
          <w:sz w:val="24"/>
          <w:szCs w:val="24"/>
        </w:rPr>
        <w:t>.,</w:t>
      </w:r>
      <w:proofErr w:type="gramEnd"/>
      <w:r w:rsidRPr="00001F38">
        <w:rPr>
          <w:rFonts w:ascii="Garamond" w:hAnsi="Garamond"/>
          <w:sz w:val="24"/>
          <w:szCs w:val="24"/>
        </w:rPr>
        <w:t xml:space="preserve"> 5 gennaio 2018, n. 5, in </w:t>
      </w:r>
      <w:r w:rsidRPr="00001F38">
        <w:rPr>
          <w:rFonts w:ascii="Garamond" w:hAnsi="Garamond"/>
          <w:i/>
          <w:sz w:val="24"/>
          <w:szCs w:val="24"/>
        </w:rPr>
        <w:t xml:space="preserve">Foro </w:t>
      </w:r>
      <w:proofErr w:type="spellStart"/>
      <w:r w:rsidRPr="00001F38">
        <w:rPr>
          <w:rFonts w:ascii="Garamond" w:hAnsi="Garamond"/>
          <w:i/>
          <w:sz w:val="24"/>
          <w:szCs w:val="24"/>
        </w:rPr>
        <w:t>it</w:t>
      </w:r>
      <w:proofErr w:type="spellEnd"/>
      <w:r w:rsidRPr="00001F38">
        <w:rPr>
          <w:rFonts w:ascii="Garamond" w:hAnsi="Garamond"/>
          <w:i/>
          <w:sz w:val="24"/>
          <w:szCs w:val="24"/>
        </w:rPr>
        <w:t>.</w:t>
      </w:r>
      <w:r w:rsidRPr="00001F38">
        <w:rPr>
          <w:rFonts w:ascii="Garamond" w:hAnsi="Garamond"/>
          <w:sz w:val="24"/>
          <w:szCs w:val="24"/>
        </w:rPr>
        <w:t>, cit., col. 730.</w:t>
      </w:r>
    </w:p>
  </w:footnote>
  <w:footnote w:id="30">
    <w:p w:rsidR="00B01990" w:rsidRPr="00EC6866" w:rsidRDefault="00B01990" w:rsidP="00001F38">
      <w:pPr>
        <w:pStyle w:val="Testonotaapidipagina"/>
        <w:ind w:firstLine="709"/>
        <w:jc w:val="both"/>
        <w:rPr>
          <w:rFonts w:ascii="Garamond" w:hAnsi="Garamond"/>
          <w:sz w:val="24"/>
          <w:szCs w:val="24"/>
        </w:rPr>
      </w:pPr>
      <w:r w:rsidRPr="00001F38">
        <w:rPr>
          <w:rStyle w:val="Rimandonotaapidipagina"/>
          <w:rFonts w:ascii="Garamond" w:hAnsi="Garamond"/>
          <w:sz w:val="24"/>
          <w:szCs w:val="24"/>
        </w:rPr>
        <w:footnoteRef/>
      </w:r>
      <w:r w:rsidRPr="00001F38">
        <w:rPr>
          <w:rFonts w:ascii="Garamond" w:hAnsi="Garamond"/>
          <w:sz w:val="24"/>
          <w:szCs w:val="24"/>
        </w:rPr>
        <w:t xml:space="preserve"> </w:t>
      </w:r>
      <w:r>
        <w:rPr>
          <w:rFonts w:ascii="Garamond" w:hAnsi="Garamond"/>
          <w:sz w:val="24"/>
          <w:szCs w:val="24"/>
        </w:rPr>
        <w:t xml:space="preserve">Corte </w:t>
      </w:r>
      <w:proofErr w:type="spellStart"/>
      <w:proofErr w:type="gramStart"/>
      <w:r>
        <w:rPr>
          <w:rFonts w:ascii="Garamond" w:hAnsi="Garamond"/>
          <w:sz w:val="24"/>
          <w:szCs w:val="24"/>
        </w:rPr>
        <w:t>cost</w:t>
      </w:r>
      <w:proofErr w:type="spellEnd"/>
      <w:r>
        <w:rPr>
          <w:rFonts w:ascii="Garamond" w:hAnsi="Garamond"/>
          <w:sz w:val="24"/>
          <w:szCs w:val="24"/>
        </w:rPr>
        <w:t>.,</w:t>
      </w:r>
      <w:proofErr w:type="gramEnd"/>
      <w:r>
        <w:rPr>
          <w:rFonts w:ascii="Garamond" w:hAnsi="Garamond"/>
          <w:sz w:val="24"/>
          <w:szCs w:val="24"/>
        </w:rPr>
        <w:t xml:space="preserve"> 14 dicembre 2017, n. 268, in </w:t>
      </w:r>
      <w:r>
        <w:rPr>
          <w:rFonts w:ascii="Garamond" w:hAnsi="Garamond"/>
          <w:i/>
          <w:sz w:val="24"/>
          <w:szCs w:val="24"/>
        </w:rPr>
        <w:t xml:space="preserve">Foro </w:t>
      </w:r>
      <w:proofErr w:type="spell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 xml:space="preserve">, 2018, I, col. 742 e ss. Un’interessante applicazione del concetto di raccomandazione in materia sanitaria si è avuta con la sentenza di </w:t>
      </w:r>
      <w:proofErr w:type="spellStart"/>
      <w:r>
        <w:rPr>
          <w:rFonts w:ascii="Garamond" w:hAnsi="Garamond"/>
          <w:sz w:val="24"/>
          <w:szCs w:val="24"/>
        </w:rPr>
        <w:t>Cons</w:t>
      </w:r>
      <w:proofErr w:type="spellEnd"/>
      <w:r>
        <w:rPr>
          <w:rFonts w:ascii="Garamond" w:hAnsi="Garamond"/>
          <w:sz w:val="24"/>
          <w:szCs w:val="24"/>
        </w:rPr>
        <w:t xml:space="preserve">. </w:t>
      </w:r>
      <w:proofErr w:type="gramStart"/>
      <w:r w:rsidRPr="00EC6866">
        <w:rPr>
          <w:rFonts w:ascii="Garamond" w:hAnsi="Garamond"/>
          <w:sz w:val="24"/>
          <w:szCs w:val="24"/>
        </w:rPr>
        <w:t>St.,</w:t>
      </w:r>
      <w:proofErr w:type="gramEnd"/>
      <w:r w:rsidRPr="00EC6866">
        <w:rPr>
          <w:rFonts w:ascii="Garamond" w:hAnsi="Garamond"/>
          <w:sz w:val="24"/>
          <w:szCs w:val="24"/>
        </w:rPr>
        <w:t xml:space="preserve"> sez. III, 29 settembre 2017, n. 4546, in </w:t>
      </w:r>
      <w:proofErr w:type="spellStart"/>
      <w:r w:rsidRPr="00EC6866">
        <w:rPr>
          <w:rFonts w:ascii="Garamond" w:hAnsi="Garamond"/>
          <w:i/>
          <w:sz w:val="24"/>
          <w:szCs w:val="24"/>
        </w:rPr>
        <w:t>Giorn</w:t>
      </w:r>
      <w:proofErr w:type="spellEnd"/>
      <w:r w:rsidRPr="00EC6866">
        <w:rPr>
          <w:rFonts w:ascii="Garamond" w:hAnsi="Garamond"/>
          <w:i/>
          <w:sz w:val="24"/>
          <w:szCs w:val="24"/>
        </w:rPr>
        <w:t xml:space="preserve">. </w:t>
      </w:r>
      <w:proofErr w:type="gramStart"/>
      <w:r w:rsidRPr="00EC6866">
        <w:rPr>
          <w:rFonts w:ascii="Garamond" w:hAnsi="Garamond"/>
          <w:i/>
          <w:sz w:val="24"/>
          <w:szCs w:val="24"/>
        </w:rPr>
        <w:t>di</w:t>
      </w:r>
      <w:proofErr w:type="gramEnd"/>
      <w:r w:rsidRPr="00EC6866">
        <w:rPr>
          <w:rFonts w:ascii="Garamond" w:hAnsi="Garamond"/>
          <w:i/>
          <w:sz w:val="24"/>
          <w:szCs w:val="24"/>
        </w:rPr>
        <w:t xml:space="preserve"> dir. </w:t>
      </w:r>
      <w:proofErr w:type="spellStart"/>
      <w:r w:rsidRPr="00EC6866">
        <w:rPr>
          <w:rFonts w:ascii="Garamond" w:hAnsi="Garamond"/>
          <w:i/>
          <w:sz w:val="24"/>
          <w:szCs w:val="24"/>
        </w:rPr>
        <w:t>a</w:t>
      </w:r>
      <w:r>
        <w:rPr>
          <w:rFonts w:ascii="Garamond" w:hAnsi="Garamond"/>
          <w:i/>
          <w:sz w:val="24"/>
          <w:szCs w:val="24"/>
        </w:rPr>
        <w:t>mm</w:t>
      </w:r>
      <w:proofErr w:type="spellEnd"/>
      <w:r>
        <w:rPr>
          <w:rFonts w:ascii="Garamond" w:hAnsi="Garamond"/>
          <w:i/>
          <w:sz w:val="24"/>
          <w:szCs w:val="24"/>
        </w:rPr>
        <w:t>.</w:t>
      </w:r>
      <w:r>
        <w:rPr>
          <w:rFonts w:ascii="Garamond" w:hAnsi="Garamond"/>
          <w:sz w:val="24"/>
          <w:szCs w:val="24"/>
        </w:rPr>
        <w:t xml:space="preserve">, 2018, 1, p. 83, con nota di </w:t>
      </w:r>
      <w:r w:rsidRPr="00392DAE">
        <w:rPr>
          <w:rFonts w:ascii="Garamond" w:hAnsi="Garamond"/>
          <w:smallCaps/>
          <w:sz w:val="24"/>
          <w:szCs w:val="24"/>
        </w:rPr>
        <w:t xml:space="preserve">C. </w:t>
      </w:r>
      <w:proofErr w:type="spellStart"/>
      <w:r w:rsidRPr="00392DAE">
        <w:rPr>
          <w:rFonts w:ascii="Garamond" w:hAnsi="Garamond"/>
          <w:smallCaps/>
          <w:sz w:val="24"/>
          <w:szCs w:val="24"/>
        </w:rPr>
        <w:t>Tubertini</w:t>
      </w:r>
      <w:proofErr w:type="spellEnd"/>
      <w:r>
        <w:rPr>
          <w:rFonts w:ascii="Garamond" w:hAnsi="Garamond"/>
          <w:sz w:val="24"/>
          <w:szCs w:val="24"/>
        </w:rPr>
        <w:t xml:space="preserve">, </w:t>
      </w:r>
      <w:r>
        <w:rPr>
          <w:rFonts w:ascii="Garamond" w:hAnsi="Garamond"/>
          <w:i/>
          <w:sz w:val="24"/>
          <w:szCs w:val="24"/>
        </w:rPr>
        <w:t>L’assistenza sanitaria fra tutela della salute e governo della spesa sanitaria</w:t>
      </w:r>
      <w:r>
        <w:rPr>
          <w:rFonts w:ascii="Garamond" w:hAnsi="Garamond"/>
          <w:sz w:val="24"/>
          <w:szCs w:val="24"/>
        </w:rPr>
        <w:t xml:space="preserve">, che ha dichiarato illegittime le disposizioni regionali che, nel “raccomandare” ai medici </w:t>
      </w:r>
      <w:proofErr w:type="spellStart"/>
      <w:r>
        <w:rPr>
          <w:rFonts w:ascii="Garamond" w:hAnsi="Garamond"/>
          <w:sz w:val="24"/>
          <w:szCs w:val="24"/>
        </w:rPr>
        <w:t>prescrittori</w:t>
      </w:r>
      <w:proofErr w:type="spellEnd"/>
      <w:r>
        <w:rPr>
          <w:rFonts w:ascii="Garamond" w:hAnsi="Garamond"/>
          <w:sz w:val="24"/>
          <w:szCs w:val="24"/>
        </w:rPr>
        <w:t xml:space="preserve"> l’utilizzo di taluni farmaci al posto di altri, si erano sovrapposte alle valutazioni spettanti solo all’AIFA, a livello nazionale, circa l’equivalenza terapeutica di taluni farmaci.</w:t>
      </w:r>
    </w:p>
  </w:footnote>
  <w:footnote w:id="31">
    <w:p w:rsidR="00B01990" w:rsidRPr="005307E6" w:rsidRDefault="00B01990" w:rsidP="005307E6">
      <w:pPr>
        <w:pStyle w:val="Testonotaapidipagina"/>
        <w:ind w:firstLine="709"/>
        <w:jc w:val="both"/>
        <w:rPr>
          <w:rFonts w:ascii="Garamond" w:hAnsi="Garamond"/>
          <w:sz w:val="24"/>
          <w:szCs w:val="24"/>
        </w:rPr>
      </w:pPr>
      <w:r w:rsidRPr="005307E6">
        <w:rPr>
          <w:rStyle w:val="Rimandonotaapidipagina"/>
          <w:rFonts w:ascii="Garamond" w:hAnsi="Garamond"/>
          <w:sz w:val="24"/>
          <w:szCs w:val="24"/>
        </w:rPr>
        <w:footnoteRef/>
      </w:r>
      <w:r w:rsidRPr="005307E6">
        <w:rPr>
          <w:rFonts w:ascii="Garamond" w:hAnsi="Garamond"/>
          <w:sz w:val="24"/>
          <w:szCs w:val="24"/>
        </w:rPr>
        <w:t xml:space="preserve"> </w:t>
      </w:r>
      <w:r>
        <w:rPr>
          <w:rFonts w:ascii="Garamond" w:hAnsi="Garamond"/>
          <w:sz w:val="24"/>
          <w:szCs w:val="24"/>
        </w:rPr>
        <w:t xml:space="preserve">Corte </w:t>
      </w:r>
      <w:proofErr w:type="spellStart"/>
      <w:proofErr w:type="gramStart"/>
      <w:r>
        <w:rPr>
          <w:rFonts w:ascii="Garamond" w:hAnsi="Garamond"/>
          <w:sz w:val="24"/>
          <w:szCs w:val="24"/>
        </w:rPr>
        <w:t>cost</w:t>
      </w:r>
      <w:proofErr w:type="spellEnd"/>
      <w:r>
        <w:rPr>
          <w:rFonts w:ascii="Garamond" w:hAnsi="Garamond"/>
          <w:sz w:val="24"/>
          <w:szCs w:val="24"/>
        </w:rPr>
        <w:t>.,</w:t>
      </w:r>
      <w:proofErr w:type="gramEnd"/>
      <w:r>
        <w:rPr>
          <w:rFonts w:ascii="Garamond" w:hAnsi="Garamond"/>
          <w:sz w:val="24"/>
          <w:szCs w:val="24"/>
        </w:rPr>
        <w:t xml:space="preserve"> 14 dicembre 2017, n. 268, cit., col. 744.</w:t>
      </w:r>
    </w:p>
  </w:footnote>
  <w:footnote w:id="32">
    <w:p w:rsidR="00B01990" w:rsidRPr="00CB7FE9" w:rsidRDefault="00B01990" w:rsidP="005307E6">
      <w:pPr>
        <w:pStyle w:val="Testonotaapidipagina"/>
        <w:ind w:firstLine="709"/>
        <w:jc w:val="both"/>
        <w:rPr>
          <w:rFonts w:ascii="Garamond" w:hAnsi="Garamond"/>
          <w:sz w:val="24"/>
          <w:szCs w:val="24"/>
        </w:rPr>
      </w:pPr>
      <w:r w:rsidRPr="005307E6">
        <w:rPr>
          <w:rStyle w:val="Rimandonotaapidipagina"/>
          <w:rFonts w:ascii="Garamond" w:hAnsi="Garamond"/>
          <w:sz w:val="24"/>
          <w:szCs w:val="24"/>
        </w:rPr>
        <w:footnoteRef/>
      </w:r>
      <w:r w:rsidRPr="00CB7FE9">
        <w:rPr>
          <w:rFonts w:ascii="Garamond" w:hAnsi="Garamond"/>
          <w:sz w:val="24"/>
          <w:szCs w:val="24"/>
        </w:rPr>
        <w:t xml:space="preserve"> Corte cost., 18 gennaio 2018, n. 5, in </w:t>
      </w:r>
      <w:r w:rsidRPr="00CB7FE9">
        <w:rPr>
          <w:rFonts w:ascii="Garamond" w:hAnsi="Garamond"/>
          <w:i/>
          <w:sz w:val="24"/>
          <w:szCs w:val="24"/>
        </w:rPr>
        <w:t>Foro it.</w:t>
      </w:r>
      <w:r w:rsidRPr="00CB7FE9">
        <w:rPr>
          <w:rFonts w:ascii="Garamond" w:hAnsi="Garamond"/>
          <w:sz w:val="24"/>
          <w:szCs w:val="24"/>
        </w:rPr>
        <w:t>, 2018, I, coll. 730-731.</w:t>
      </w:r>
    </w:p>
  </w:footnote>
  <w:footnote w:id="33">
    <w:p w:rsidR="00B01990" w:rsidRPr="00BB22D3" w:rsidRDefault="00B01990" w:rsidP="00BC56F1">
      <w:pPr>
        <w:pStyle w:val="Testonotaapidipagina"/>
        <w:ind w:firstLine="709"/>
        <w:jc w:val="both"/>
        <w:rPr>
          <w:rFonts w:ascii="Garamond" w:hAnsi="Garamond"/>
          <w:sz w:val="24"/>
          <w:szCs w:val="24"/>
        </w:rPr>
      </w:pPr>
      <w:r w:rsidRPr="003045E0">
        <w:rPr>
          <w:rStyle w:val="Rimandonotaapidipagina"/>
          <w:rFonts w:ascii="Garamond" w:hAnsi="Garamond"/>
          <w:sz w:val="24"/>
          <w:szCs w:val="24"/>
        </w:rPr>
        <w:footnoteRef/>
      </w:r>
      <w:r w:rsidRPr="003045E0">
        <w:rPr>
          <w:rFonts w:ascii="Garamond" w:hAnsi="Garamond"/>
          <w:sz w:val="24"/>
          <w:szCs w:val="24"/>
        </w:rPr>
        <w:t xml:space="preserve"> </w:t>
      </w:r>
      <w:r>
        <w:rPr>
          <w:rFonts w:ascii="Garamond" w:hAnsi="Garamond"/>
          <w:sz w:val="24"/>
          <w:szCs w:val="24"/>
        </w:rPr>
        <w:t>Il p</w:t>
      </w:r>
      <w:r w:rsidR="00927B4F">
        <w:rPr>
          <w:rFonts w:ascii="Garamond" w:hAnsi="Garamond"/>
          <w:sz w:val="24"/>
          <w:szCs w:val="24"/>
        </w:rPr>
        <w:t>arere 26 settembre 2017, n. 206</w:t>
      </w:r>
      <w:r>
        <w:rPr>
          <w:rFonts w:ascii="Garamond" w:hAnsi="Garamond"/>
          <w:sz w:val="24"/>
          <w:szCs w:val="24"/>
        </w:rPr>
        <w:t xml:space="preserve">5/17 (in affare n. 1614/2017) della Commissione speciale del Consiglio di Stato si può leggere in </w:t>
      </w:r>
      <w:r>
        <w:rPr>
          <w:rFonts w:ascii="Garamond" w:hAnsi="Garamond"/>
          <w:i/>
          <w:sz w:val="24"/>
          <w:szCs w:val="24"/>
        </w:rPr>
        <w:t xml:space="preserve">Foro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2017, III, col. 609 e ss. Il quesito posto dalla Regione Veneto chiedeva di precisare, in particolare, se in base alle nuove disposizioni del </w:t>
      </w:r>
      <w:proofErr w:type="spellStart"/>
      <w:r>
        <w:rPr>
          <w:rFonts w:ascii="Garamond" w:hAnsi="Garamond"/>
          <w:sz w:val="24"/>
          <w:szCs w:val="24"/>
        </w:rPr>
        <w:t>d.l.</w:t>
      </w:r>
      <w:proofErr w:type="spellEnd"/>
      <w:r>
        <w:rPr>
          <w:rFonts w:ascii="Garamond" w:hAnsi="Garamond"/>
          <w:sz w:val="24"/>
          <w:szCs w:val="24"/>
        </w:rPr>
        <w:t xml:space="preserve"> n. 73 del 2017 già a decorrere dall’anno scolastico 2017/2018 si dovesse ritenere preclusa la frequenza scolastica ai minori i cui rappresentanti legali, ancorché tenuti a dimostrare nei modi e nei tempi stabiliti dalla fonte primaria l’avvenuto adempimento dell’obbligo vaccinale, non abbiano presentato la documentazione occorrente. La risposta del Consiglio di Stato è stata, in sintesi, che nell’anno scolastico 2017/2018 si applicano gli artt. 3 e 5 del </w:t>
      </w:r>
      <w:proofErr w:type="spellStart"/>
      <w:r>
        <w:rPr>
          <w:rFonts w:ascii="Garamond" w:hAnsi="Garamond"/>
          <w:sz w:val="24"/>
          <w:szCs w:val="24"/>
        </w:rPr>
        <w:t>d.l.</w:t>
      </w:r>
      <w:proofErr w:type="spellEnd"/>
      <w:r>
        <w:rPr>
          <w:rFonts w:ascii="Garamond" w:hAnsi="Garamond"/>
          <w:sz w:val="24"/>
          <w:szCs w:val="24"/>
        </w:rPr>
        <w:t xml:space="preserve"> n. 93 del 2017, sicché valeva anche per l’anno scolastico al tempo corrente il divieto di accesso ai servizi scolastici </w:t>
      </w:r>
      <w:r w:rsidRPr="00BC56F1">
        <w:rPr>
          <w:rFonts w:ascii="Garamond" w:hAnsi="Garamond"/>
          <w:sz w:val="24"/>
          <w:szCs w:val="24"/>
        </w:rPr>
        <w:t>per i minori nel caso di mancata presentazione della documentazione idonea a comprare l’adempimento dell’obbligazione vaccinale.</w:t>
      </w:r>
      <w:r>
        <w:rPr>
          <w:rFonts w:ascii="Garamond" w:hAnsi="Garamond"/>
          <w:sz w:val="24"/>
          <w:szCs w:val="24"/>
        </w:rPr>
        <w:t xml:space="preserve"> Sulle impugnative dei dinieghi di iscrizioni alle scuole materne, motivati dalla mancata vaccinazione dei minori, v. ad esempio T.A.R. Friuli-Venezia Giulia, 16 gennaio 2017, n. 20, in </w:t>
      </w:r>
      <w:r>
        <w:rPr>
          <w:rFonts w:ascii="Garamond" w:hAnsi="Garamond"/>
          <w:i/>
          <w:sz w:val="24"/>
          <w:szCs w:val="24"/>
        </w:rPr>
        <w:t xml:space="preserve">Foro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2017, III, 406, e in </w:t>
      </w:r>
      <w:r>
        <w:rPr>
          <w:rFonts w:ascii="Garamond" w:hAnsi="Garamond"/>
          <w:i/>
          <w:sz w:val="24"/>
          <w:szCs w:val="24"/>
        </w:rPr>
        <w:t xml:space="preserve">Giur.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2017, p. 1418 e ss.,</w:t>
      </w:r>
      <w:r>
        <w:rPr>
          <w:rFonts w:ascii="Garamond" w:hAnsi="Garamond"/>
          <w:i/>
          <w:sz w:val="24"/>
          <w:szCs w:val="24"/>
        </w:rPr>
        <w:t xml:space="preserve"> </w:t>
      </w:r>
      <w:r>
        <w:rPr>
          <w:rFonts w:ascii="Garamond" w:hAnsi="Garamond"/>
          <w:sz w:val="24"/>
          <w:szCs w:val="24"/>
        </w:rPr>
        <w:t xml:space="preserve">con nota di G. </w:t>
      </w:r>
      <w:r w:rsidRPr="000D02E2">
        <w:rPr>
          <w:rFonts w:ascii="Garamond" w:hAnsi="Garamond"/>
          <w:smallCaps/>
          <w:sz w:val="24"/>
          <w:szCs w:val="24"/>
        </w:rPr>
        <w:t>Manfredi</w:t>
      </w:r>
      <w:r>
        <w:rPr>
          <w:rFonts w:ascii="Garamond" w:hAnsi="Garamond"/>
          <w:sz w:val="24"/>
          <w:szCs w:val="24"/>
        </w:rPr>
        <w:t xml:space="preserve">, </w:t>
      </w:r>
      <w:r>
        <w:rPr>
          <w:rFonts w:ascii="Garamond" w:hAnsi="Garamond"/>
          <w:i/>
          <w:sz w:val="24"/>
          <w:szCs w:val="24"/>
        </w:rPr>
        <w:t>Vaccinazioni obbligatorie e precauzione</w:t>
      </w:r>
      <w:r>
        <w:rPr>
          <w:rFonts w:ascii="Garamond" w:hAnsi="Garamond"/>
          <w:sz w:val="24"/>
          <w:szCs w:val="24"/>
        </w:rPr>
        <w:t xml:space="preserve">, sentenza che ha ritenuto legittimo il regolamento del Comune di Trieste che, anche prima dell’entrata in vigore del </w:t>
      </w:r>
      <w:proofErr w:type="spellStart"/>
      <w:r>
        <w:rPr>
          <w:rFonts w:ascii="Garamond" w:hAnsi="Garamond"/>
          <w:sz w:val="24"/>
          <w:szCs w:val="24"/>
        </w:rPr>
        <w:t>d.l.</w:t>
      </w:r>
      <w:proofErr w:type="spellEnd"/>
      <w:r>
        <w:rPr>
          <w:rFonts w:ascii="Garamond" w:hAnsi="Garamond"/>
          <w:sz w:val="24"/>
          <w:szCs w:val="24"/>
        </w:rPr>
        <w:t xml:space="preserve"> n. 93 del 2017, aveva subordinato l’accesso dei minori alle scuole primarie all’adempimento degli obblighi vaccinali.</w:t>
      </w:r>
    </w:p>
  </w:footnote>
  <w:footnote w:id="34">
    <w:p w:rsidR="00B01990" w:rsidRPr="008252CB" w:rsidRDefault="00B01990" w:rsidP="00BC56F1">
      <w:pPr>
        <w:pStyle w:val="Testonotaapidipagina"/>
        <w:ind w:firstLine="709"/>
        <w:jc w:val="both"/>
        <w:rPr>
          <w:rFonts w:ascii="Garamond" w:hAnsi="Garamond"/>
          <w:sz w:val="24"/>
          <w:szCs w:val="24"/>
          <w:lang w:val="en-US"/>
        </w:rPr>
      </w:pPr>
      <w:r w:rsidRPr="00BC56F1">
        <w:rPr>
          <w:rStyle w:val="Rimandonotaapidipagina"/>
          <w:rFonts w:ascii="Garamond" w:hAnsi="Garamond"/>
          <w:sz w:val="24"/>
          <w:szCs w:val="24"/>
        </w:rPr>
        <w:footnoteRef/>
      </w:r>
      <w:r w:rsidRPr="00CB7FE9">
        <w:rPr>
          <w:rFonts w:ascii="Garamond" w:hAnsi="Garamond"/>
          <w:sz w:val="24"/>
          <w:szCs w:val="24"/>
          <w:lang w:val="en-US"/>
        </w:rPr>
        <w:t xml:space="preserve"> Cons. </w:t>
      </w:r>
      <w:r w:rsidRPr="008252CB">
        <w:rPr>
          <w:rFonts w:ascii="Garamond" w:hAnsi="Garamond"/>
          <w:sz w:val="24"/>
          <w:szCs w:val="24"/>
          <w:lang w:val="en-US"/>
        </w:rPr>
        <w:t xml:space="preserve">St., comm. spec., 26 </w:t>
      </w:r>
      <w:proofErr w:type="spellStart"/>
      <w:r w:rsidRPr="008252CB">
        <w:rPr>
          <w:rFonts w:ascii="Garamond" w:hAnsi="Garamond"/>
          <w:sz w:val="24"/>
          <w:szCs w:val="24"/>
          <w:lang w:val="en-US"/>
        </w:rPr>
        <w:t>settembre</w:t>
      </w:r>
      <w:proofErr w:type="spellEnd"/>
      <w:r w:rsidRPr="008252CB">
        <w:rPr>
          <w:rFonts w:ascii="Garamond" w:hAnsi="Garamond"/>
          <w:sz w:val="24"/>
          <w:szCs w:val="24"/>
          <w:lang w:val="en-US"/>
        </w:rPr>
        <w:t xml:space="preserve"> 2017, n. </w:t>
      </w:r>
      <w:r>
        <w:rPr>
          <w:rFonts w:ascii="Garamond" w:hAnsi="Garamond"/>
          <w:sz w:val="24"/>
          <w:szCs w:val="24"/>
          <w:lang w:val="en-US"/>
        </w:rPr>
        <w:t>2065</w:t>
      </w:r>
      <w:r w:rsidRPr="008252CB">
        <w:rPr>
          <w:rFonts w:ascii="Garamond" w:hAnsi="Garamond"/>
          <w:sz w:val="24"/>
          <w:szCs w:val="24"/>
          <w:lang w:val="en-US"/>
        </w:rPr>
        <w:t>/17, cit., col. 621.</w:t>
      </w:r>
    </w:p>
  </w:footnote>
  <w:footnote w:id="35">
    <w:p w:rsidR="00B01990" w:rsidRPr="00CB7FE9" w:rsidRDefault="00B01990" w:rsidP="00BC56F1">
      <w:pPr>
        <w:pStyle w:val="Testonotaapidipagina"/>
        <w:ind w:firstLine="709"/>
        <w:jc w:val="both"/>
        <w:rPr>
          <w:rFonts w:ascii="Garamond" w:hAnsi="Garamond"/>
          <w:sz w:val="24"/>
          <w:szCs w:val="24"/>
          <w:lang w:val="en-US"/>
        </w:rPr>
      </w:pPr>
      <w:r w:rsidRPr="00BC56F1">
        <w:rPr>
          <w:rStyle w:val="Rimandonotaapidipagina"/>
          <w:rFonts w:ascii="Garamond" w:hAnsi="Garamond"/>
          <w:sz w:val="24"/>
          <w:szCs w:val="24"/>
        </w:rPr>
        <w:footnoteRef/>
      </w:r>
      <w:r w:rsidRPr="00BC56F1">
        <w:rPr>
          <w:rFonts w:ascii="Garamond" w:hAnsi="Garamond"/>
          <w:sz w:val="24"/>
          <w:szCs w:val="24"/>
          <w:lang w:val="en-US"/>
        </w:rPr>
        <w:t xml:space="preserve"> Cons. </w:t>
      </w:r>
      <w:r w:rsidRPr="00CB7FE9">
        <w:rPr>
          <w:rFonts w:ascii="Garamond" w:hAnsi="Garamond"/>
          <w:sz w:val="24"/>
          <w:szCs w:val="24"/>
          <w:lang w:val="en-US"/>
        </w:rPr>
        <w:t>St., comm. spec., 26 settembre 2017, n. 2065/17, cit., col. 622.</w:t>
      </w:r>
    </w:p>
  </w:footnote>
  <w:footnote w:id="36">
    <w:p w:rsidR="00B01990" w:rsidRPr="00CB7FE9" w:rsidRDefault="00B01990" w:rsidP="00BB22D3">
      <w:pPr>
        <w:pStyle w:val="Testonotaapidipagina"/>
        <w:ind w:firstLine="709"/>
        <w:rPr>
          <w:rFonts w:ascii="Garamond" w:hAnsi="Garamond"/>
          <w:sz w:val="24"/>
          <w:szCs w:val="24"/>
          <w:lang w:val="en-US"/>
        </w:rPr>
      </w:pPr>
      <w:r w:rsidRPr="00BC56F1">
        <w:rPr>
          <w:rStyle w:val="Rimandonotaapidipagina"/>
          <w:rFonts w:ascii="Garamond" w:hAnsi="Garamond"/>
          <w:sz w:val="24"/>
          <w:szCs w:val="24"/>
        </w:rPr>
        <w:footnoteRef/>
      </w:r>
      <w:r w:rsidRPr="00CB7FE9">
        <w:rPr>
          <w:rFonts w:ascii="Garamond" w:hAnsi="Garamond"/>
          <w:sz w:val="24"/>
          <w:szCs w:val="24"/>
          <w:lang w:val="en-US"/>
        </w:rPr>
        <w:t xml:space="preserve"> Cons. St., comm. spec., 26 settembre 2017, n. 2065/17, cit., col. 623.</w:t>
      </w:r>
    </w:p>
  </w:footnote>
  <w:footnote w:id="37">
    <w:p w:rsidR="00B01990" w:rsidRPr="001C4436" w:rsidRDefault="00B01990" w:rsidP="00BB22D3">
      <w:pPr>
        <w:pStyle w:val="Testonotaapidipagina"/>
        <w:ind w:firstLine="709"/>
        <w:jc w:val="both"/>
        <w:rPr>
          <w:rFonts w:ascii="Garamond" w:hAnsi="Garamond"/>
          <w:sz w:val="24"/>
          <w:szCs w:val="24"/>
        </w:rPr>
      </w:pPr>
      <w:r>
        <w:rPr>
          <w:rStyle w:val="Rimandonotaapidipagina"/>
        </w:rPr>
        <w:footnoteRef/>
      </w:r>
      <w:r>
        <w:t xml:space="preserve"> </w:t>
      </w:r>
      <w:r>
        <w:rPr>
          <w:rFonts w:ascii="Garamond" w:hAnsi="Garamond"/>
          <w:sz w:val="24"/>
          <w:szCs w:val="24"/>
        </w:rPr>
        <w:t xml:space="preserve">Il principio di precauzione era stato applicato dalla giurisprudenza amministrativa proprio all’obbligo delle vaccinazioni, previsto da alcuni regolamenti comunali quale requisito per l’ammissione alle scuole primarie, già prima dell’entrata in vigore del </w:t>
      </w:r>
      <w:proofErr w:type="spellStart"/>
      <w:r>
        <w:rPr>
          <w:rFonts w:ascii="Garamond" w:hAnsi="Garamond"/>
          <w:sz w:val="24"/>
          <w:szCs w:val="24"/>
        </w:rPr>
        <w:t>d.l.</w:t>
      </w:r>
      <w:proofErr w:type="spellEnd"/>
      <w:r>
        <w:rPr>
          <w:rFonts w:ascii="Garamond" w:hAnsi="Garamond"/>
          <w:sz w:val="24"/>
          <w:szCs w:val="24"/>
        </w:rPr>
        <w:t xml:space="preserve"> n. 93 del 2017. V. la già sopra richiamata sentenza di </w:t>
      </w:r>
      <w:r w:rsidRPr="001C4436">
        <w:rPr>
          <w:rFonts w:ascii="Garamond" w:hAnsi="Garamond"/>
          <w:sz w:val="24"/>
          <w:szCs w:val="24"/>
        </w:rPr>
        <w:t xml:space="preserve">T.A.R. Friuli-Venezia Giulia, 16 gennaio 2017, n. 20, in </w:t>
      </w:r>
      <w:r w:rsidRPr="001C4436">
        <w:rPr>
          <w:rFonts w:ascii="Garamond" w:hAnsi="Garamond"/>
          <w:i/>
          <w:sz w:val="24"/>
          <w:szCs w:val="24"/>
        </w:rPr>
        <w:t xml:space="preserve">Foro </w:t>
      </w:r>
      <w:proofErr w:type="spellStart"/>
      <w:proofErr w:type="gramStart"/>
      <w:r w:rsidRPr="001C4436">
        <w:rPr>
          <w:rFonts w:ascii="Garamond" w:hAnsi="Garamond"/>
          <w:i/>
          <w:sz w:val="24"/>
          <w:szCs w:val="24"/>
        </w:rPr>
        <w:t>it</w:t>
      </w:r>
      <w:proofErr w:type="spellEnd"/>
      <w:r w:rsidRPr="001C4436">
        <w:rPr>
          <w:rFonts w:ascii="Garamond" w:hAnsi="Garamond"/>
          <w:i/>
          <w:sz w:val="24"/>
          <w:szCs w:val="24"/>
        </w:rPr>
        <w:t>.</w:t>
      </w:r>
      <w:r w:rsidRPr="001C4436">
        <w:rPr>
          <w:rFonts w:ascii="Garamond" w:hAnsi="Garamond"/>
          <w:sz w:val="24"/>
          <w:szCs w:val="24"/>
        </w:rPr>
        <w:t>,</w:t>
      </w:r>
      <w:proofErr w:type="gramEnd"/>
      <w:r w:rsidRPr="001C4436">
        <w:rPr>
          <w:rFonts w:ascii="Garamond" w:hAnsi="Garamond"/>
          <w:sz w:val="24"/>
          <w:szCs w:val="24"/>
        </w:rPr>
        <w:t xml:space="preserve"> 2017, III, 406, e in </w:t>
      </w:r>
      <w:r w:rsidRPr="001C4436">
        <w:rPr>
          <w:rFonts w:ascii="Garamond" w:hAnsi="Garamond"/>
          <w:i/>
          <w:sz w:val="24"/>
          <w:szCs w:val="24"/>
        </w:rPr>
        <w:t xml:space="preserve">Giur. </w:t>
      </w:r>
      <w:proofErr w:type="spellStart"/>
      <w:proofErr w:type="gramStart"/>
      <w:r w:rsidRPr="001C4436">
        <w:rPr>
          <w:rFonts w:ascii="Garamond" w:hAnsi="Garamond"/>
          <w:i/>
          <w:sz w:val="24"/>
          <w:szCs w:val="24"/>
        </w:rPr>
        <w:t>it</w:t>
      </w:r>
      <w:proofErr w:type="spellEnd"/>
      <w:r w:rsidRPr="001C4436">
        <w:rPr>
          <w:rFonts w:ascii="Garamond" w:hAnsi="Garamond"/>
          <w:i/>
          <w:sz w:val="24"/>
          <w:szCs w:val="24"/>
        </w:rPr>
        <w:t>.</w:t>
      </w:r>
      <w:r w:rsidRPr="001C4436">
        <w:rPr>
          <w:rFonts w:ascii="Garamond" w:hAnsi="Garamond"/>
          <w:sz w:val="24"/>
          <w:szCs w:val="24"/>
        </w:rPr>
        <w:t>,</w:t>
      </w:r>
      <w:proofErr w:type="gramEnd"/>
      <w:r w:rsidRPr="001C4436">
        <w:rPr>
          <w:rFonts w:ascii="Garamond" w:hAnsi="Garamond"/>
          <w:sz w:val="24"/>
          <w:szCs w:val="24"/>
        </w:rPr>
        <w:t xml:space="preserve"> 2017, p. 1418 e ss.,</w:t>
      </w:r>
      <w:r w:rsidRPr="001C4436">
        <w:rPr>
          <w:rFonts w:ascii="Garamond" w:hAnsi="Garamond"/>
          <w:i/>
          <w:sz w:val="24"/>
          <w:szCs w:val="24"/>
        </w:rPr>
        <w:t xml:space="preserve"> </w:t>
      </w:r>
      <w:r w:rsidRPr="001C4436">
        <w:rPr>
          <w:rFonts w:ascii="Garamond" w:hAnsi="Garamond"/>
          <w:sz w:val="24"/>
          <w:szCs w:val="24"/>
        </w:rPr>
        <w:t xml:space="preserve">con nota di </w:t>
      </w:r>
      <w:r w:rsidRPr="008252CB">
        <w:rPr>
          <w:rFonts w:ascii="Garamond" w:hAnsi="Garamond"/>
          <w:smallCaps/>
          <w:sz w:val="24"/>
          <w:szCs w:val="24"/>
        </w:rPr>
        <w:t>G. Manfredi</w:t>
      </w:r>
      <w:r w:rsidRPr="001C4436">
        <w:rPr>
          <w:rFonts w:ascii="Garamond" w:hAnsi="Garamond"/>
          <w:sz w:val="24"/>
          <w:szCs w:val="24"/>
        </w:rPr>
        <w:t xml:space="preserve">, </w:t>
      </w:r>
      <w:r w:rsidRPr="001C4436">
        <w:rPr>
          <w:rFonts w:ascii="Garamond" w:hAnsi="Garamond"/>
          <w:i/>
          <w:sz w:val="24"/>
          <w:szCs w:val="24"/>
        </w:rPr>
        <w:t>Vaccinazioni obbligatorie e precauzione</w:t>
      </w:r>
      <w:r w:rsidRPr="001C4436">
        <w:rPr>
          <w:rFonts w:ascii="Garamond" w:hAnsi="Garamond"/>
          <w:sz w:val="24"/>
          <w:szCs w:val="24"/>
        </w:rPr>
        <w:t>,</w:t>
      </w:r>
      <w:r>
        <w:rPr>
          <w:rFonts w:ascii="Garamond" w:hAnsi="Garamond"/>
          <w:sz w:val="24"/>
          <w:szCs w:val="24"/>
        </w:rPr>
        <w:t xml:space="preserve"> anche </w:t>
      </w:r>
      <w:proofErr w:type="spellStart"/>
      <w:r>
        <w:rPr>
          <w:rFonts w:ascii="Garamond" w:hAnsi="Garamond"/>
          <w:sz w:val="24"/>
          <w:szCs w:val="24"/>
        </w:rPr>
        <w:t>Cons</w:t>
      </w:r>
      <w:proofErr w:type="spellEnd"/>
      <w:r>
        <w:rPr>
          <w:rFonts w:ascii="Garamond" w:hAnsi="Garamond"/>
          <w:sz w:val="24"/>
          <w:szCs w:val="24"/>
        </w:rPr>
        <w:t xml:space="preserve">. St., sez. III, 21 aprile 2017, </w:t>
      </w:r>
      <w:proofErr w:type="spellStart"/>
      <w:r>
        <w:rPr>
          <w:rFonts w:ascii="Garamond" w:hAnsi="Garamond"/>
          <w:sz w:val="24"/>
          <w:szCs w:val="24"/>
        </w:rPr>
        <w:t>ord</w:t>
      </w:r>
      <w:proofErr w:type="spellEnd"/>
      <w:r>
        <w:rPr>
          <w:rFonts w:ascii="Garamond" w:hAnsi="Garamond"/>
          <w:sz w:val="24"/>
          <w:szCs w:val="24"/>
        </w:rPr>
        <w:t xml:space="preserve">. n. 1662, sempre in </w:t>
      </w:r>
      <w:r>
        <w:rPr>
          <w:rFonts w:ascii="Garamond" w:hAnsi="Garamond"/>
          <w:i/>
          <w:sz w:val="24"/>
          <w:szCs w:val="24"/>
        </w:rPr>
        <w:t xml:space="preserve">Foro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2017, III, 406, che contiene un’articolata motivazione sull’applicabilità del principio di precauzione a parità di condizione, secondo il c.d. rasoio di </w:t>
      </w:r>
      <w:proofErr w:type="spellStart"/>
      <w:r>
        <w:rPr>
          <w:rFonts w:ascii="Garamond" w:hAnsi="Garamond"/>
          <w:sz w:val="24"/>
          <w:szCs w:val="24"/>
        </w:rPr>
        <w:t>Occam</w:t>
      </w:r>
      <w:proofErr w:type="spellEnd"/>
      <w:r>
        <w:rPr>
          <w:rFonts w:ascii="Garamond" w:hAnsi="Garamond"/>
          <w:sz w:val="24"/>
          <w:szCs w:val="24"/>
        </w:rPr>
        <w:t>.</w:t>
      </w:r>
    </w:p>
  </w:footnote>
  <w:footnote w:id="38">
    <w:p w:rsidR="00B01990" w:rsidRPr="00CB7FE9" w:rsidRDefault="00B01990" w:rsidP="000D02E2">
      <w:pPr>
        <w:pStyle w:val="Testonotaapidipagina"/>
        <w:ind w:firstLine="709"/>
        <w:rPr>
          <w:rFonts w:ascii="Garamond" w:hAnsi="Garamond"/>
          <w:sz w:val="24"/>
          <w:szCs w:val="24"/>
          <w:lang w:val="en-US"/>
        </w:rPr>
      </w:pPr>
      <w:r w:rsidRPr="000D02E2">
        <w:rPr>
          <w:rStyle w:val="Rimandonotaapidipagina"/>
          <w:rFonts w:ascii="Garamond" w:hAnsi="Garamond"/>
          <w:sz w:val="24"/>
          <w:szCs w:val="24"/>
        </w:rPr>
        <w:footnoteRef/>
      </w:r>
      <w:r w:rsidRPr="00CB7FE9">
        <w:rPr>
          <w:rFonts w:ascii="Garamond" w:hAnsi="Garamond"/>
          <w:sz w:val="24"/>
          <w:szCs w:val="24"/>
          <w:lang w:val="en-US"/>
        </w:rPr>
        <w:t xml:space="preserve"> Cons. St., comm. spec., 26 settembre 2017, n. 2065/17, cit., col. 623.</w:t>
      </w:r>
    </w:p>
  </w:footnote>
  <w:footnote w:id="39">
    <w:p w:rsidR="00B01990" w:rsidRPr="00CB7FE9" w:rsidRDefault="00B01990" w:rsidP="000D02E2">
      <w:pPr>
        <w:pStyle w:val="Testonotaapidipagina"/>
        <w:ind w:firstLine="709"/>
        <w:rPr>
          <w:rFonts w:ascii="Garamond" w:hAnsi="Garamond"/>
          <w:sz w:val="24"/>
          <w:szCs w:val="24"/>
          <w:lang w:val="en-US"/>
        </w:rPr>
      </w:pPr>
      <w:r w:rsidRPr="000D02E2">
        <w:rPr>
          <w:rStyle w:val="Rimandonotaapidipagina"/>
          <w:rFonts w:ascii="Garamond" w:hAnsi="Garamond"/>
          <w:sz w:val="24"/>
          <w:szCs w:val="24"/>
        </w:rPr>
        <w:footnoteRef/>
      </w:r>
      <w:r w:rsidRPr="00CB7FE9">
        <w:rPr>
          <w:rFonts w:ascii="Garamond" w:hAnsi="Garamond"/>
          <w:sz w:val="24"/>
          <w:szCs w:val="24"/>
          <w:lang w:val="en-US"/>
        </w:rPr>
        <w:t xml:space="preserve"> Cons. St., comm. spec., 26 settembre 2017, n. 2065/17, cit., col. 625.</w:t>
      </w:r>
    </w:p>
  </w:footnote>
  <w:footnote w:id="40">
    <w:p w:rsidR="00B01990" w:rsidRPr="0075725E" w:rsidRDefault="00B01990" w:rsidP="0075725E">
      <w:pPr>
        <w:pStyle w:val="Testonotaapidipagina"/>
        <w:ind w:firstLine="709"/>
        <w:jc w:val="both"/>
        <w:rPr>
          <w:rFonts w:ascii="Garamond" w:hAnsi="Garamond"/>
          <w:sz w:val="24"/>
          <w:szCs w:val="24"/>
        </w:rPr>
      </w:pPr>
      <w:r w:rsidRPr="00E64019">
        <w:rPr>
          <w:rStyle w:val="Rimandonotaapidipagina"/>
          <w:rFonts w:ascii="Garamond" w:hAnsi="Garamond"/>
          <w:sz w:val="24"/>
          <w:szCs w:val="24"/>
        </w:rPr>
        <w:footnoteRef/>
      </w:r>
      <w:r w:rsidRPr="008252CB">
        <w:rPr>
          <w:rFonts w:ascii="Garamond" w:hAnsi="Garamond"/>
          <w:sz w:val="24"/>
          <w:szCs w:val="24"/>
        </w:rPr>
        <w:t xml:space="preserve"> Le pronunce di </w:t>
      </w:r>
      <w:proofErr w:type="spellStart"/>
      <w:r w:rsidRPr="008252CB">
        <w:rPr>
          <w:rFonts w:ascii="Garamond" w:hAnsi="Garamond"/>
          <w:sz w:val="24"/>
          <w:szCs w:val="24"/>
        </w:rPr>
        <w:t>Cons</w:t>
      </w:r>
      <w:proofErr w:type="spellEnd"/>
      <w:r w:rsidRPr="008252CB">
        <w:rPr>
          <w:rFonts w:ascii="Garamond" w:hAnsi="Garamond"/>
          <w:sz w:val="24"/>
          <w:szCs w:val="24"/>
        </w:rPr>
        <w:t xml:space="preserve">. </w:t>
      </w:r>
      <w:proofErr w:type="gramStart"/>
      <w:r w:rsidRPr="008252CB">
        <w:rPr>
          <w:rFonts w:ascii="Garamond" w:hAnsi="Garamond"/>
          <w:sz w:val="24"/>
          <w:szCs w:val="24"/>
        </w:rPr>
        <w:t>St.,</w:t>
      </w:r>
      <w:proofErr w:type="gramEnd"/>
      <w:r w:rsidRPr="008252CB">
        <w:rPr>
          <w:rFonts w:ascii="Garamond" w:hAnsi="Garamond"/>
          <w:sz w:val="24"/>
          <w:szCs w:val="24"/>
        </w:rPr>
        <w:t xml:space="preserve"> sez. V, 8 agosto 2018, n. 4867 e di </w:t>
      </w:r>
      <w:proofErr w:type="spellStart"/>
      <w:r w:rsidRPr="008252CB">
        <w:rPr>
          <w:rFonts w:ascii="Garamond" w:hAnsi="Garamond"/>
          <w:sz w:val="24"/>
          <w:szCs w:val="24"/>
        </w:rPr>
        <w:t>Cons</w:t>
      </w:r>
      <w:proofErr w:type="spellEnd"/>
      <w:r w:rsidRPr="008252CB">
        <w:rPr>
          <w:rFonts w:ascii="Garamond" w:hAnsi="Garamond"/>
          <w:sz w:val="24"/>
          <w:szCs w:val="24"/>
        </w:rPr>
        <w:t xml:space="preserve">. St., sez. V, 6 settembre 2018, n. 5237, </w:t>
      </w:r>
      <w:r w:rsidRPr="00E64019">
        <w:rPr>
          <w:rFonts w:ascii="Garamond" w:hAnsi="Garamond"/>
          <w:sz w:val="24"/>
          <w:szCs w:val="24"/>
        </w:rPr>
        <w:t xml:space="preserve">emblematiche di questo orientamento inteso ad affermare la legittimità dei limiti, spaziali e </w:t>
      </w:r>
      <w:r w:rsidRPr="0075725E">
        <w:rPr>
          <w:rFonts w:ascii="Garamond" w:hAnsi="Garamond"/>
          <w:sz w:val="24"/>
          <w:szCs w:val="24"/>
        </w:rPr>
        <w:t xml:space="preserve">temporali, all’esercizio del gioco anche a tutela della salute dei soggetti più vulnerabili, si possono leggere in </w:t>
      </w:r>
      <w:r w:rsidRPr="0075725E">
        <w:rPr>
          <w:rFonts w:ascii="Garamond" w:hAnsi="Garamond"/>
          <w:i/>
          <w:sz w:val="24"/>
          <w:szCs w:val="24"/>
        </w:rPr>
        <w:t xml:space="preserve">Dir. </w:t>
      </w:r>
      <w:proofErr w:type="spellStart"/>
      <w:r w:rsidRPr="0075725E">
        <w:rPr>
          <w:rFonts w:ascii="Garamond" w:hAnsi="Garamond"/>
          <w:i/>
          <w:sz w:val="24"/>
          <w:szCs w:val="24"/>
        </w:rPr>
        <w:t>industr</w:t>
      </w:r>
      <w:proofErr w:type="spellEnd"/>
      <w:r w:rsidRPr="0075725E">
        <w:rPr>
          <w:rFonts w:ascii="Garamond" w:hAnsi="Garamond"/>
          <w:i/>
          <w:sz w:val="24"/>
          <w:szCs w:val="24"/>
        </w:rPr>
        <w:t>.</w:t>
      </w:r>
      <w:r w:rsidRPr="0075725E">
        <w:rPr>
          <w:rFonts w:ascii="Garamond" w:hAnsi="Garamond"/>
          <w:sz w:val="24"/>
          <w:szCs w:val="24"/>
        </w:rPr>
        <w:t xml:space="preserve">, 2018, 6, p. 507 e ss., con nota di </w:t>
      </w:r>
      <w:r w:rsidRPr="0075725E">
        <w:rPr>
          <w:rFonts w:ascii="Garamond" w:hAnsi="Garamond"/>
          <w:smallCaps/>
          <w:sz w:val="24"/>
          <w:szCs w:val="24"/>
        </w:rPr>
        <w:t>G. Cassano</w:t>
      </w:r>
      <w:r w:rsidRPr="0075725E">
        <w:rPr>
          <w:rFonts w:ascii="Garamond" w:hAnsi="Garamond"/>
          <w:sz w:val="24"/>
          <w:szCs w:val="24"/>
        </w:rPr>
        <w:t xml:space="preserve">, </w:t>
      </w:r>
      <w:r w:rsidRPr="0075725E">
        <w:rPr>
          <w:rFonts w:ascii="Garamond" w:hAnsi="Garamond"/>
          <w:i/>
          <w:sz w:val="24"/>
          <w:szCs w:val="24"/>
        </w:rPr>
        <w:t>Limiti al funzionamento degli apparecchi da gioco tra esigenze di tutela della salute e dubbi di costituzionalità</w:t>
      </w:r>
      <w:r w:rsidRPr="0075725E">
        <w:rPr>
          <w:rFonts w:ascii="Garamond" w:hAnsi="Garamond"/>
          <w:sz w:val="24"/>
          <w:szCs w:val="24"/>
        </w:rPr>
        <w:t xml:space="preserve">. </w:t>
      </w:r>
    </w:p>
  </w:footnote>
  <w:footnote w:id="41">
    <w:p w:rsidR="00B01990" w:rsidRPr="0075725E" w:rsidRDefault="00B01990" w:rsidP="0075725E">
      <w:pPr>
        <w:pStyle w:val="Testonotaapidipagina"/>
        <w:ind w:firstLine="709"/>
        <w:jc w:val="both"/>
        <w:rPr>
          <w:rFonts w:ascii="Garamond" w:hAnsi="Garamond"/>
          <w:sz w:val="24"/>
          <w:szCs w:val="24"/>
        </w:rPr>
      </w:pPr>
      <w:r w:rsidRPr="0075725E">
        <w:rPr>
          <w:rStyle w:val="Rimandonotaapidipagina"/>
          <w:rFonts w:ascii="Garamond" w:hAnsi="Garamond"/>
          <w:sz w:val="24"/>
          <w:szCs w:val="24"/>
        </w:rPr>
        <w:footnoteRef/>
      </w:r>
      <w:r w:rsidRPr="0075725E">
        <w:rPr>
          <w:rFonts w:ascii="Garamond" w:hAnsi="Garamond"/>
          <w:sz w:val="24"/>
          <w:szCs w:val="24"/>
        </w:rPr>
        <w:t xml:space="preserve"> </w:t>
      </w:r>
      <w:r>
        <w:rPr>
          <w:rFonts w:ascii="Garamond" w:hAnsi="Garamond"/>
          <w:sz w:val="24"/>
          <w:szCs w:val="24"/>
        </w:rPr>
        <w:t xml:space="preserve">La recentissima sentenza n. 27 del 27 febbraio 2019 della Corte costituzionale si può leggere in </w:t>
      </w:r>
      <w:hyperlink r:id="rId2" w:history="1">
        <w:r w:rsidRPr="002D70C6">
          <w:rPr>
            <w:rStyle w:val="Collegamentoipertestuale"/>
            <w:rFonts w:ascii="Garamond" w:hAnsi="Garamond"/>
            <w:sz w:val="24"/>
            <w:szCs w:val="24"/>
          </w:rPr>
          <w:t>www.consultaonline.it</w:t>
        </w:r>
      </w:hyperlink>
      <w:r>
        <w:rPr>
          <w:rFonts w:ascii="Garamond" w:hAnsi="Garamond"/>
          <w:sz w:val="24"/>
          <w:szCs w:val="24"/>
        </w:rPr>
        <w:t xml:space="preserve">. </w:t>
      </w:r>
    </w:p>
  </w:footnote>
  <w:footnote w:id="42">
    <w:p w:rsidR="00B01990" w:rsidRPr="00E64019" w:rsidRDefault="00B01990" w:rsidP="00E64019">
      <w:pPr>
        <w:pStyle w:val="Testonotaapidipagina"/>
        <w:ind w:firstLine="709"/>
        <w:jc w:val="both"/>
        <w:rPr>
          <w:rFonts w:ascii="Garamond" w:hAnsi="Garamond"/>
          <w:sz w:val="24"/>
          <w:szCs w:val="24"/>
          <w:lang w:val="en-US"/>
        </w:rPr>
      </w:pPr>
      <w:r w:rsidRPr="00E64019">
        <w:rPr>
          <w:rStyle w:val="Rimandonotaapidipagina"/>
          <w:rFonts w:ascii="Garamond" w:hAnsi="Garamond"/>
          <w:sz w:val="24"/>
          <w:szCs w:val="24"/>
        </w:rPr>
        <w:footnoteRef/>
      </w:r>
      <w:r w:rsidRPr="00E64019">
        <w:rPr>
          <w:rFonts w:ascii="Garamond" w:hAnsi="Garamond"/>
          <w:sz w:val="24"/>
          <w:szCs w:val="24"/>
        </w:rPr>
        <w:t xml:space="preserve"> </w:t>
      </w:r>
      <w:r>
        <w:rPr>
          <w:rFonts w:ascii="Garamond" w:hAnsi="Garamond"/>
          <w:sz w:val="24"/>
          <w:szCs w:val="24"/>
        </w:rPr>
        <w:t xml:space="preserve">In questo senso v. anche la menzionata sentenza di </w:t>
      </w:r>
      <w:proofErr w:type="spellStart"/>
      <w:r>
        <w:rPr>
          <w:rFonts w:ascii="Garamond" w:hAnsi="Garamond"/>
          <w:sz w:val="24"/>
          <w:szCs w:val="24"/>
        </w:rPr>
        <w:t>Cons</w:t>
      </w:r>
      <w:proofErr w:type="spellEnd"/>
      <w:r>
        <w:rPr>
          <w:rFonts w:ascii="Garamond" w:hAnsi="Garamond"/>
          <w:sz w:val="24"/>
          <w:szCs w:val="24"/>
        </w:rPr>
        <w:t xml:space="preserve">. </w:t>
      </w:r>
      <w:proofErr w:type="gramStart"/>
      <w:r w:rsidRPr="00E64019">
        <w:rPr>
          <w:rFonts w:ascii="Garamond" w:hAnsi="Garamond"/>
          <w:sz w:val="24"/>
          <w:szCs w:val="24"/>
          <w:lang w:val="en-US"/>
        </w:rPr>
        <w:t>St.,</w:t>
      </w:r>
      <w:proofErr w:type="gramEnd"/>
      <w:r w:rsidRPr="00E64019">
        <w:rPr>
          <w:rFonts w:ascii="Garamond" w:hAnsi="Garamond"/>
          <w:sz w:val="24"/>
          <w:szCs w:val="24"/>
          <w:lang w:val="en-US"/>
        </w:rPr>
        <w:t xml:space="preserve"> </w:t>
      </w:r>
      <w:proofErr w:type="spellStart"/>
      <w:r w:rsidRPr="00E64019">
        <w:rPr>
          <w:rFonts w:ascii="Garamond" w:hAnsi="Garamond"/>
          <w:sz w:val="24"/>
          <w:szCs w:val="24"/>
          <w:lang w:val="en-US"/>
        </w:rPr>
        <w:t>sez</w:t>
      </w:r>
      <w:proofErr w:type="spellEnd"/>
      <w:r w:rsidRPr="00E64019">
        <w:rPr>
          <w:rFonts w:ascii="Garamond" w:hAnsi="Garamond"/>
          <w:sz w:val="24"/>
          <w:szCs w:val="24"/>
          <w:lang w:val="en-US"/>
        </w:rPr>
        <w:t xml:space="preserve">. V, 8 </w:t>
      </w:r>
      <w:proofErr w:type="spellStart"/>
      <w:r w:rsidRPr="00E64019">
        <w:rPr>
          <w:rFonts w:ascii="Garamond" w:hAnsi="Garamond"/>
          <w:sz w:val="24"/>
          <w:szCs w:val="24"/>
          <w:lang w:val="en-US"/>
        </w:rPr>
        <w:t>agosto</w:t>
      </w:r>
      <w:proofErr w:type="spellEnd"/>
      <w:r w:rsidRPr="00E64019">
        <w:rPr>
          <w:rFonts w:ascii="Garamond" w:hAnsi="Garamond"/>
          <w:sz w:val="24"/>
          <w:szCs w:val="24"/>
          <w:lang w:val="en-US"/>
        </w:rPr>
        <w:t xml:space="preserve"> 2018, n. </w:t>
      </w:r>
      <w:r>
        <w:rPr>
          <w:rFonts w:ascii="Garamond" w:hAnsi="Garamond"/>
          <w:sz w:val="24"/>
          <w:szCs w:val="24"/>
          <w:lang w:val="en-US"/>
        </w:rPr>
        <w:t xml:space="preserve">4867, in </w:t>
      </w:r>
      <w:r>
        <w:rPr>
          <w:rFonts w:ascii="Garamond" w:hAnsi="Garamond"/>
          <w:i/>
          <w:sz w:val="24"/>
          <w:szCs w:val="24"/>
          <w:lang w:val="en-US"/>
        </w:rPr>
        <w:t xml:space="preserve">Dir. </w:t>
      </w:r>
      <w:proofErr w:type="spellStart"/>
      <w:r>
        <w:rPr>
          <w:rFonts w:ascii="Garamond" w:hAnsi="Garamond"/>
          <w:i/>
          <w:sz w:val="24"/>
          <w:szCs w:val="24"/>
          <w:lang w:val="en-US"/>
        </w:rPr>
        <w:t>industr</w:t>
      </w:r>
      <w:proofErr w:type="spellEnd"/>
      <w:r>
        <w:rPr>
          <w:rFonts w:ascii="Garamond" w:hAnsi="Garamond"/>
          <w:i/>
          <w:sz w:val="24"/>
          <w:szCs w:val="24"/>
          <w:lang w:val="en-US"/>
        </w:rPr>
        <w:t>.</w:t>
      </w:r>
      <w:r>
        <w:rPr>
          <w:rFonts w:ascii="Garamond" w:hAnsi="Garamond"/>
          <w:sz w:val="24"/>
          <w:szCs w:val="24"/>
          <w:lang w:val="en-US"/>
        </w:rPr>
        <w:t>, cit., p. 509.</w:t>
      </w:r>
    </w:p>
  </w:footnote>
  <w:footnote w:id="43">
    <w:p w:rsidR="00B01990" w:rsidRPr="00583771" w:rsidRDefault="00B01990" w:rsidP="005F7073">
      <w:pPr>
        <w:pStyle w:val="Testonotaapidipagina"/>
        <w:ind w:firstLine="709"/>
        <w:jc w:val="both"/>
        <w:rPr>
          <w:rFonts w:ascii="Garamond" w:hAnsi="Garamond"/>
          <w:sz w:val="24"/>
          <w:szCs w:val="24"/>
        </w:rPr>
      </w:pPr>
      <w:r w:rsidRPr="005F7073">
        <w:rPr>
          <w:rStyle w:val="Rimandonotaapidipagina"/>
          <w:rFonts w:ascii="Garamond" w:hAnsi="Garamond"/>
          <w:sz w:val="24"/>
          <w:szCs w:val="24"/>
        </w:rPr>
        <w:footnoteRef/>
      </w:r>
      <w:r w:rsidRPr="005F7073">
        <w:rPr>
          <w:rFonts w:ascii="Garamond" w:hAnsi="Garamond"/>
          <w:sz w:val="24"/>
          <w:szCs w:val="24"/>
        </w:rPr>
        <w:t xml:space="preserve"> </w:t>
      </w:r>
      <w:r>
        <w:rPr>
          <w:rFonts w:ascii="Garamond" w:hAnsi="Garamond"/>
          <w:sz w:val="24"/>
          <w:szCs w:val="24"/>
        </w:rPr>
        <w:t xml:space="preserve">L’ordinanza n. 207 del 16 novembre 2018 della Corte costituzionale, ormai oggetto di molteplici commenti, si può leggere ora in </w:t>
      </w:r>
      <w:proofErr w:type="spellStart"/>
      <w:r>
        <w:rPr>
          <w:rFonts w:ascii="Garamond" w:hAnsi="Garamond"/>
          <w:i/>
          <w:sz w:val="24"/>
          <w:szCs w:val="24"/>
        </w:rPr>
        <w:t>Fam</w:t>
      </w:r>
      <w:proofErr w:type="spellEnd"/>
      <w:r>
        <w:rPr>
          <w:rFonts w:ascii="Garamond" w:hAnsi="Garamond"/>
          <w:i/>
          <w:sz w:val="24"/>
          <w:szCs w:val="24"/>
        </w:rPr>
        <w:t xml:space="preserve">. </w:t>
      </w:r>
      <w:proofErr w:type="gramStart"/>
      <w:r>
        <w:rPr>
          <w:rFonts w:ascii="Garamond" w:hAnsi="Garamond"/>
          <w:i/>
          <w:sz w:val="24"/>
          <w:szCs w:val="24"/>
        </w:rPr>
        <w:t>e</w:t>
      </w:r>
      <w:proofErr w:type="gramEnd"/>
      <w:r>
        <w:rPr>
          <w:rFonts w:ascii="Garamond" w:hAnsi="Garamond"/>
          <w:i/>
          <w:sz w:val="24"/>
          <w:szCs w:val="24"/>
        </w:rPr>
        <w:t xml:space="preserve"> dir.</w:t>
      </w:r>
      <w:r>
        <w:rPr>
          <w:rFonts w:ascii="Garamond" w:hAnsi="Garamond"/>
          <w:sz w:val="24"/>
          <w:szCs w:val="24"/>
        </w:rPr>
        <w:t xml:space="preserve">, 2019, 3, p. 229 e ss., con nota di </w:t>
      </w:r>
      <w:r w:rsidRPr="00723682">
        <w:rPr>
          <w:rFonts w:ascii="Garamond" w:hAnsi="Garamond"/>
          <w:smallCaps/>
          <w:sz w:val="24"/>
          <w:szCs w:val="24"/>
        </w:rPr>
        <w:t>E. Falletti</w:t>
      </w:r>
      <w:r>
        <w:rPr>
          <w:rFonts w:ascii="Garamond" w:hAnsi="Garamond"/>
          <w:sz w:val="24"/>
          <w:szCs w:val="24"/>
        </w:rPr>
        <w:t xml:space="preserve">, </w:t>
      </w:r>
      <w:r>
        <w:rPr>
          <w:rFonts w:ascii="Garamond" w:hAnsi="Garamond"/>
          <w:i/>
          <w:sz w:val="24"/>
          <w:szCs w:val="24"/>
        </w:rPr>
        <w:t>Suicidio assistito e separazione dei poteri dello Stato. Note sul “caso Cappato”.</w:t>
      </w:r>
      <w:r>
        <w:rPr>
          <w:rFonts w:ascii="Garamond" w:hAnsi="Garamond"/>
          <w:sz w:val="24"/>
          <w:szCs w:val="24"/>
        </w:rPr>
        <w:t xml:space="preserve"> Sull’ordinanza v. anche le riflessioni di </w:t>
      </w:r>
      <w:r w:rsidRPr="00D672F0">
        <w:rPr>
          <w:rFonts w:ascii="Garamond" w:hAnsi="Garamond"/>
          <w:smallCaps/>
          <w:sz w:val="24"/>
          <w:szCs w:val="24"/>
        </w:rPr>
        <w:t>C. Cupelli</w:t>
      </w:r>
      <w:r>
        <w:rPr>
          <w:rFonts w:ascii="Garamond" w:hAnsi="Garamond"/>
          <w:sz w:val="24"/>
          <w:szCs w:val="24"/>
        </w:rPr>
        <w:t xml:space="preserve">, </w:t>
      </w:r>
      <w:r>
        <w:rPr>
          <w:rFonts w:ascii="Garamond" w:hAnsi="Garamond"/>
          <w:i/>
          <w:sz w:val="24"/>
          <w:szCs w:val="24"/>
        </w:rPr>
        <w:t>Il caso Cappato, l’incostituzionalità differita e la dignità nell’autodeterminazione alla morte</w:t>
      </w:r>
      <w:r>
        <w:rPr>
          <w:rFonts w:ascii="Garamond" w:hAnsi="Garamond"/>
          <w:sz w:val="24"/>
          <w:szCs w:val="24"/>
        </w:rPr>
        <w:t xml:space="preserve">, in </w:t>
      </w:r>
      <w:hyperlink r:id="rId3" w:history="1">
        <w:r w:rsidRPr="002D70C6">
          <w:rPr>
            <w:rStyle w:val="Collegamentoipertestuale"/>
            <w:rFonts w:ascii="Garamond" w:hAnsi="Garamond"/>
            <w:i/>
            <w:sz w:val="24"/>
            <w:szCs w:val="24"/>
          </w:rPr>
          <w:t>www.dirittopenalecontemporaneo.it</w:t>
        </w:r>
      </w:hyperlink>
      <w:r>
        <w:rPr>
          <w:rFonts w:ascii="Garamond" w:hAnsi="Garamond"/>
          <w:i/>
          <w:sz w:val="24"/>
          <w:szCs w:val="24"/>
        </w:rPr>
        <w:t xml:space="preserve">. </w:t>
      </w:r>
      <w:r>
        <w:rPr>
          <w:rFonts w:ascii="Garamond" w:hAnsi="Garamond"/>
          <w:sz w:val="24"/>
          <w:szCs w:val="24"/>
        </w:rPr>
        <w:t xml:space="preserve">Sull’intera questione v. anche l’inquadramento offerto da </w:t>
      </w:r>
      <w:r w:rsidRPr="00BF7008">
        <w:rPr>
          <w:rFonts w:ascii="Garamond" w:hAnsi="Garamond"/>
          <w:smallCaps/>
          <w:sz w:val="24"/>
          <w:szCs w:val="24"/>
        </w:rPr>
        <w:t xml:space="preserve">S. </w:t>
      </w:r>
      <w:proofErr w:type="spellStart"/>
      <w:r w:rsidRPr="00BF7008">
        <w:rPr>
          <w:rFonts w:ascii="Garamond" w:hAnsi="Garamond"/>
          <w:smallCaps/>
          <w:sz w:val="24"/>
          <w:szCs w:val="24"/>
        </w:rPr>
        <w:t>Canestrari</w:t>
      </w:r>
      <w:proofErr w:type="spellEnd"/>
      <w:r>
        <w:rPr>
          <w:rFonts w:ascii="Garamond" w:hAnsi="Garamond"/>
          <w:sz w:val="24"/>
          <w:szCs w:val="24"/>
        </w:rPr>
        <w:t xml:space="preserve">, </w:t>
      </w:r>
      <w:r>
        <w:rPr>
          <w:rFonts w:ascii="Garamond" w:hAnsi="Garamond"/>
          <w:i/>
          <w:sz w:val="24"/>
          <w:szCs w:val="24"/>
        </w:rPr>
        <w:t xml:space="preserve">Principi di </w:t>
      </w:r>
      <w:proofErr w:type="spellStart"/>
      <w:r>
        <w:rPr>
          <w:rFonts w:ascii="Garamond" w:hAnsi="Garamond"/>
          <w:i/>
          <w:sz w:val="24"/>
          <w:szCs w:val="24"/>
        </w:rPr>
        <w:t>biodiritto</w:t>
      </w:r>
      <w:proofErr w:type="spellEnd"/>
      <w:r>
        <w:rPr>
          <w:rFonts w:ascii="Garamond" w:hAnsi="Garamond"/>
          <w:i/>
          <w:sz w:val="24"/>
          <w:szCs w:val="24"/>
        </w:rPr>
        <w:t xml:space="preserve"> penale</w:t>
      </w:r>
      <w:r>
        <w:rPr>
          <w:rFonts w:ascii="Garamond" w:hAnsi="Garamond"/>
          <w:sz w:val="24"/>
          <w:szCs w:val="24"/>
        </w:rPr>
        <w:t>, Bologna, 2015, p. 63 e ss.</w:t>
      </w:r>
    </w:p>
  </w:footnote>
  <w:footnote w:id="44">
    <w:p w:rsidR="00B01990" w:rsidRPr="00BA7125" w:rsidRDefault="00B01990" w:rsidP="00942239">
      <w:pPr>
        <w:pStyle w:val="Testonotaapidipagina"/>
        <w:ind w:firstLine="709"/>
        <w:jc w:val="both"/>
        <w:rPr>
          <w:rFonts w:ascii="Garamond" w:hAnsi="Garamond"/>
          <w:sz w:val="24"/>
          <w:szCs w:val="24"/>
        </w:rPr>
      </w:pPr>
      <w:r w:rsidRPr="00942239">
        <w:rPr>
          <w:rStyle w:val="Rimandonotaapidipagina"/>
          <w:rFonts w:ascii="Garamond" w:hAnsi="Garamond"/>
          <w:sz w:val="24"/>
          <w:szCs w:val="24"/>
        </w:rPr>
        <w:footnoteRef/>
      </w:r>
      <w:r w:rsidRPr="00942239">
        <w:rPr>
          <w:rFonts w:ascii="Garamond" w:hAnsi="Garamond"/>
          <w:sz w:val="24"/>
          <w:szCs w:val="24"/>
        </w:rPr>
        <w:t xml:space="preserve"> </w:t>
      </w:r>
      <w:r>
        <w:rPr>
          <w:rFonts w:ascii="Garamond" w:hAnsi="Garamond"/>
          <w:sz w:val="24"/>
          <w:szCs w:val="24"/>
        </w:rPr>
        <w:t xml:space="preserve">Sulla l. n. 38 del 2010 v., tra gli altri contributi, </w:t>
      </w:r>
      <w:r w:rsidRPr="00534AA0">
        <w:rPr>
          <w:rFonts w:ascii="Garamond" w:hAnsi="Garamond"/>
          <w:smallCaps/>
          <w:sz w:val="24"/>
          <w:szCs w:val="24"/>
        </w:rPr>
        <w:t>I. Ambrosi</w:t>
      </w:r>
      <w:r>
        <w:rPr>
          <w:rFonts w:ascii="Garamond" w:hAnsi="Garamond"/>
          <w:sz w:val="24"/>
          <w:szCs w:val="24"/>
        </w:rPr>
        <w:t xml:space="preserve"> e </w:t>
      </w:r>
      <w:r w:rsidRPr="00534AA0">
        <w:rPr>
          <w:rFonts w:ascii="Garamond" w:hAnsi="Garamond"/>
          <w:smallCaps/>
          <w:sz w:val="24"/>
          <w:szCs w:val="24"/>
        </w:rPr>
        <w:t>M. D’Auria</w:t>
      </w:r>
      <w:r>
        <w:rPr>
          <w:rFonts w:ascii="Garamond" w:hAnsi="Garamond"/>
          <w:sz w:val="24"/>
          <w:szCs w:val="24"/>
        </w:rPr>
        <w:t xml:space="preserve">, </w:t>
      </w:r>
      <w:r>
        <w:rPr>
          <w:rFonts w:ascii="Garamond" w:hAnsi="Garamond"/>
          <w:i/>
          <w:sz w:val="24"/>
          <w:szCs w:val="24"/>
        </w:rPr>
        <w:t>L’accesso alle cure palliative e alla terapia del dolore</w:t>
      </w:r>
      <w:r>
        <w:rPr>
          <w:rFonts w:ascii="Garamond" w:hAnsi="Garamond"/>
          <w:sz w:val="24"/>
          <w:szCs w:val="24"/>
        </w:rPr>
        <w:t xml:space="preserve">, in </w:t>
      </w:r>
      <w:proofErr w:type="spellStart"/>
      <w:r>
        <w:rPr>
          <w:rFonts w:ascii="Garamond" w:hAnsi="Garamond"/>
          <w:i/>
          <w:sz w:val="24"/>
          <w:szCs w:val="24"/>
        </w:rPr>
        <w:t>Fam</w:t>
      </w:r>
      <w:proofErr w:type="spellEnd"/>
      <w:r>
        <w:rPr>
          <w:rFonts w:ascii="Garamond" w:hAnsi="Garamond"/>
          <w:i/>
          <w:sz w:val="24"/>
          <w:szCs w:val="24"/>
        </w:rPr>
        <w:t xml:space="preserve">. </w:t>
      </w:r>
      <w:proofErr w:type="spellStart"/>
      <w:proofErr w:type="gramStart"/>
      <w:r>
        <w:rPr>
          <w:rFonts w:ascii="Garamond" w:hAnsi="Garamond"/>
          <w:i/>
          <w:sz w:val="24"/>
          <w:szCs w:val="24"/>
        </w:rPr>
        <w:t>pers</w:t>
      </w:r>
      <w:proofErr w:type="spellEnd"/>
      <w:proofErr w:type="gramEnd"/>
      <w:r>
        <w:rPr>
          <w:rFonts w:ascii="Garamond" w:hAnsi="Garamond"/>
          <w:i/>
          <w:sz w:val="24"/>
          <w:szCs w:val="24"/>
        </w:rPr>
        <w:t xml:space="preserve">. </w:t>
      </w:r>
      <w:proofErr w:type="spellStart"/>
      <w:r>
        <w:rPr>
          <w:rFonts w:ascii="Garamond" w:hAnsi="Garamond"/>
          <w:i/>
          <w:sz w:val="24"/>
          <w:szCs w:val="24"/>
        </w:rPr>
        <w:t>succ</w:t>
      </w:r>
      <w:proofErr w:type="spellEnd"/>
      <w:r>
        <w:rPr>
          <w:rFonts w:ascii="Garamond" w:hAnsi="Garamond"/>
          <w:i/>
          <w:sz w:val="24"/>
          <w:szCs w:val="24"/>
        </w:rPr>
        <w:t>.</w:t>
      </w:r>
      <w:r>
        <w:rPr>
          <w:rFonts w:ascii="Garamond" w:hAnsi="Garamond"/>
          <w:sz w:val="24"/>
          <w:szCs w:val="24"/>
        </w:rPr>
        <w:t xml:space="preserve">, 2010, 5, pp. 398-399, </w:t>
      </w:r>
      <w:r w:rsidRPr="00B23636">
        <w:rPr>
          <w:rFonts w:ascii="Garamond" w:hAnsi="Garamond"/>
          <w:smallCaps/>
          <w:sz w:val="24"/>
          <w:szCs w:val="24"/>
        </w:rPr>
        <w:t>L. Orsi</w:t>
      </w:r>
      <w:r>
        <w:rPr>
          <w:rFonts w:ascii="Garamond" w:hAnsi="Garamond"/>
          <w:sz w:val="24"/>
          <w:szCs w:val="24"/>
        </w:rPr>
        <w:t xml:space="preserve">, </w:t>
      </w:r>
      <w:r>
        <w:rPr>
          <w:rFonts w:ascii="Garamond" w:hAnsi="Garamond"/>
          <w:i/>
          <w:sz w:val="24"/>
          <w:szCs w:val="24"/>
        </w:rPr>
        <w:t>Le cure palliative</w:t>
      </w:r>
      <w:r>
        <w:rPr>
          <w:rFonts w:ascii="Garamond" w:hAnsi="Garamond"/>
          <w:sz w:val="24"/>
          <w:szCs w:val="24"/>
        </w:rPr>
        <w:t xml:space="preserve">, in </w:t>
      </w:r>
      <w:r w:rsidRPr="00B23636">
        <w:rPr>
          <w:rFonts w:ascii="Garamond" w:hAnsi="Garamond"/>
          <w:smallCaps/>
          <w:sz w:val="24"/>
          <w:szCs w:val="24"/>
        </w:rPr>
        <w:t xml:space="preserve">L. Lenti, E. Palermo Fabris </w:t>
      </w:r>
      <w:r w:rsidRPr="00B214E1">
        <w:rPr>
          <w:rFonts w:ascii="Garamond" w:hAnsi="Garamond"/>
          <w:sz w:val="24"/>
          <w:szCs w:val="24"/>
        </w:rPr>
        <w:t xml:space="preserve">e </w:t>
      </w:r>
      <w:r w:rsidRPr="00B23636">
        <w:rPr>
          <w:rFonts w:ascii="Garamond" w:hAnsi="Garamond"/>
          <w:smallCaps/>
          <w:sz w:val="24"/>
          <w:szCs w:val="24"/>
        </w:rPr>
        <w:t>P. Zatti</w:t>
      </w:r>
      <w:r>
        <w:rPr>
          <w:rFonts w:ascii="Garamond" w:hAnsi="Garamond"/>
          <w:sz w:val="24"/>
          <w:szCs w:val="24"/>
        </w:rPr>
        <w:t xml:space="preserve">, </w:t>
      </w:r>
      <w:r>
        <w:rPr>
          <w:rFonts w:ascii="Garamond" w:hAnsi="Garamond"/>
          <w:i/>
          <w:sz w:val="24"/>
          <w:szCs w:val="24"/>
        </w:rPr>
        <w:t>I diritti in medicina</w:t>
      </w:r>
      <w:r>
        <w:rPr>
          <w:rFonts w:ascii="Garamond" w:hAnsi="Garamond"/>
          <w:sz w:val="24"/>
          <w:szCs w:val="24"/>
        </w:rPr>
        <w:t xml:space="preserve">, cit., pp. 603-622, </w:t>
      </w:r>
      <w:r w:rsidRPr="00BB2B8C">
        <w:rPr>
          <w:rFonts w:ascii="Garamond" w:hAnsi="Garamond"/>
          <w:smallCaps/>
          <w:sz w:val="24"/>
          <w:szCs w:val="24"/>
        </w:rPr>
        <w:t>G. Salito</w:t>
      </w:r>
      <w:r>
        <w:rPr>
          <w:rFonts w:ascii="Garamond" w:hAnsi="Garamond"/>
          <w:sz w:val="24"/>
          <w:szCs w:val="24"/>
        </w:rPr>
        <w:t xml:space="preserve">, </w:t>
      </w:r>
      <w:r>
        <w:rPr>
          <w:rFonts w:ascii="Garamond" w:hAnsi="Garamond"/>
          <w:i/>
          <w:sz w:val="24"/>
          <w:szCs w:val="24"/>
        </w:rPr>
        <w:t>Autodeterminazione e cure mediche</w:t>
      </w:r>
      <w:r>
        <w:rPr>
          <w:rFonts w:ascii="Garamond" w:hAnsi="Garamond"/>
          <w:sz w:val="24"/>
          <w:szCs w:val="24"/>
        </w:rPr>
        <w:t xml:space="preserve">, cit., pp. 50-55, e, in chiave internazionale, </w:t>
      </w:r>
      <w:r w:rsidRPr="002E7949">
        <w:rPr>
          <w:rFonts w:ascii="Garamond" w:hAnsi="Garamond"/>
          <w:smallCaps/>
          <w:sz w:val="24"/>
          <w:szCs w:val="24"/>
        </w:rPr>
        <w:t>F. Persano</w:t>
      </w:r>
      <w:r>
        <w:rPr>
          <w:rFonts w:ascii="Garamond" w:hAnsi="Garamond"/>
          <w:sz w:val="24"/>
          <w:szCs w:val="24"/>
        </w:rPr>
        <w:t xml:space="preserve">, </w:t>
      </w:r>
      <w:r>
        <w:rPr>
          <w:rFonts w:ascii="Garamond" w:hAnsi="Garamond"/>
          <w:i/>
          <w:sz w:val="24"/>
          <w:szCs w:val="24"/>
        </w:rPr>
        <w:t>Le cure palliative negli organismi internazionali di cui l’Italia è membro</w:t>
      </w:r>
      <w:r>
        <w:rPr>
          <w:rFonts w:ascii="Garamond" w:hAnsi="Garamond"/>
          <w:sz w:val="24"/>
          <w:szCs w:val="24"/>
        </w:rPr>
        <w:t xml:space="preserve">, in </w:t>
      </w:r>
      <w:r w:rsidRPr="002E7949">
        <w:rPr>
          <w:rFonts w:ascii="Garamond" w:hAnsi="Garamond"/>
          <w:smallCaps/>
          <w:sz w:val="24"/>
          <w:szCs w:val="24"/>
        </w:rPr>
        <w:t xml:space="preserve">G. </w:t>
      </w:r>
      <w:proofErr w:type="spellStart"/>
      <w:r w:rsidRPr="002E7949">
        <w:rPr>
          <w:rFonts w:ascii="Garamond" w:hAnsi="Garamond"/>
          <w:smallCaps/>
          <w:sz w:val="24"/>
          <w:szCs w:val="24"/>
        </w:rPr>
        <w:t>Gioffredi</w:t>
      </w:r>
      <w:proofErr w:type="spellEnd"/>
      <w:r>
        <w:rPr>
          <w:rFonts w:ascii="Garamond" w:hAnsi="Garamond"/>
          <w:sz w:val="24"/>
          <w:szCs w:val="24"/>
        </w:rPr>
        <w:t xml:space="preserve"> (a cura di), </w:t>
      </w:r>
      <w:r>
        <w:rPr>
          <w:rFonts w:ascii="Garamond" w:hAnsi="Garamond"/>
          <w:i/>
          <w:sz w:val="24"/>
          <w:szCs w:val="24"/>
        </w:rPr>
        <w:t>Studi su bioetica e diritto internazionale</w:t>
      </w:r>
      <w:r>
        <w:rPr>
          <w:rFonts w:ascii="Garamond" w:hAnsi="Garamond"/>
          <w:sz w:val="24"/>
          <w:szCs w:val="24"/>
        </w:rPr>
        <w:t xml:space="preserve">, cit., p. 291 e ss., </w:t>
      </w:r>
      <w:r w:rsidRPr="00F35209">
        <w:rPr>
          <w:rFonts w:ascii="Garamond" w:hAnsi="Garamond"/>
          <w:smallCaps/>
          <w:sz w:val="24"/>
          <w:szCs w:val="24"/>
        </w:rPr>
        <w:t>G. Razzano</w:t>
      </w:r>
      <w:r>
        <w:rPr>
          <w:rFonts w:ascii="Garamond" w:hAnsi="Garamond"/>
          <w:sz w:val="24"/>
          <w:szCs w:val="24"/>
        </w:rPr>
        <w:t xml:space="preserve">, </w:t>
      </w:r>
      <w:r>
        <w:rPr>
          <w:rFonts w:ascii="Garamond" w:hAnsi="Garamond"/>
          <w:i/>
          <w:sz w:val="24"/>
          <w:szCs w:val="24"/>
        </w:rPr>
        <w:t>Dignità nel morire</w:t>
      </w:r>
      <w:r>
        <w:rPr>
          <w:rFonts w:ascii="Garamond" w:hAnsi="Garamond"/>
          <w:sz w:val="24"/>
          <w:szCs w:val="24"/>
        </w:rPr>
        <w:t xml:space="preserve">, cit., p. 249 e ss. Sugli oneri di finanziamento a carico della finanza regionale conseguenti alle </w:t>
      </w:r>
      <w:r w:rsidRPr="00534AA0">
        <w:rPr>
          <w:rFonts w:ascii="Garamond" w:hAnsi="Garamond"/>
          <w:sz w:val="24"/>
          <w:szCs w:val="24"/>
        </w:rPr>
        <w:t xml:space="preserve">previsioni della l. n. 38 del 2010 v. Corte </w:t>
      </w:r>
      <w:proofErr w:type="spellStart"/>
      <w:proofErr w:type="gramStart"/>
      <w:r w:rsidRPr="00534AA0">
        <w:rPr>
          <w:rFonts w:ascii="Garamond" w:hAnsi="Garamond"/>
          <w:sz w:val="24"/>
          <w:szCs w:val="24"/>
        </w:rPr>
        <w:t>cost</w:t>
      </w:r>
      <w:proofErr w:type="spellEnd"/>
      <w:r w:rsidRPr="00534AA0">
        <w:rPr>
          <w:rFonts w:ascii="Garamond" w:hAnsi="Garamond"/>
          <w:sz w:val="24"/>
          <w:szCs w:val="24"/>
        </w:rPr>
        <w:t>.,</w:t>
      </w:r>
      <w:proofErr w:type="gramEnd"/>
      <w:r w:rsidRPr="00534AA0">
        <w:rPr>
          <w:rFonts w:ascii="Garamond" w:hAnsi="Garamond"/>
          <w:sz w:val="24"/>
          <w:szCs w:val="24"/>
        </w:rPr>
        <w:t xml:space="preserve"> 10 maggio 2012, n</w:t>
      </w:r>
      <w:r w:rsidRPr="00206136">
        <w:rPr>
          <w:rFonts w:ascii="Garamond" w:hAnsi="Garamond"/>
          <w:sz w:val="24"/>
          <w:szCs w:val="24"/>
        </w:rPr>
        <w:t xml:space="preserve">. 115, in </w:t>
      </w:r>
      <w:proofErr w:type="spellStart"/>
      <w:r w:rsidRPr="00206136">
        <w:rPr>
          <w:rFonts w:ascii="Garamond" w:hAnsi="Garamond"/>
          <w:i/>
          <w:sz w:val="24"/>
          <w:szCs w:val="24"/>
        </w:rPr>
        <w:t>Giorn</w:t>
      </w:r>
      <w:proofErr w:type="spellEnd"/>
      <w:r w:rsidRPr="00206136">
        <w:rPr>
          <w:rFonts w:ascii="Garamond" w:hAnsi="Garamond"/>
          <w:i/>
          <w:sz w:val="24"/>
          <w:szCs w:val="24"/>
        </w:rPr>
        <w:t xml:space="preserve">. </w:t>
      </w:r>
      <w:proofErr w:type="gramStart"/>
      <w:r w:rsidRPr="00206136">
        <w:rPr>
          <w:rFonts w:ascii="Garamond" w:hAnsi="Garamond"/>
          <w:i/>
          <w:sz w:val="24"/>
          <w:szCs w:val="24"/>
        </w:rPr>
        <w:t>dir</w:t>
      </w:r>
      <w:proofErr w:type="gramEnd"/>
      <w:r w:rsidRPr="00206136">
        <w:rPr>
          <w:rFonts w:ascii="Garamond" w:hAnsi="Garamond"/>
          <w:i/>
          <w:sz w:val="24"/>
          <w:szCs w:val="24"/>
        </w:rPr>
        <w:t xml:space="preserve">. </w:t>
      </w:r>
      <w:proofErr w:type="spellStart"/>
      <w:r w:rsidRPr="00206136">
        <w:rPr>
          <w:rFonts w:ascii="Garamond" w:hAnsi="Garamond"/>
          <w:i/>
          <w:sz w:val="24"/>
          <w:szCs w:val="24"/>
        </w:rPr>
        <w:t>amm</w:t>
      </w:r>
      <w:proofErr w:type="spellEnd"/>
      <w:r w:rsidRPr="00206136">
        <w:rPr>
          <w:rFonts w:ascii="Garamond" w:hAnsi="Garamond"/>
          <w:i/>
          <w:sz w:val="24"/>
          <w:szCs w:val="24"/>
        </w:rPr>
        <w:t>.</w:t>
      </w:r>
      <w:r w:rsidRPr="00206136">
        <w:rPr>
          <w:rFonts w:ascii="Garamond" w:hAnsi="Garamond"/>
          <w:sz w:val="24"/>
          <w:szCs w:val="24"/>
        </w:rPr>
        <w:t>, 2012, 7, 751-752.</w:t>
      </w:r>
      <w:r>
        <w:rPr>
          <w:rFonts w:ascii="Garamond" w:hAnsi="Garamond"/>
          <w:sz w:val="24"/>
          <w:szCs w:val="24"/>
        </w:rPr>
        <w:t xml:space="preserve"> In ordine al diritto alle terapie antidolorifiche, secondo la l. n. 38 del 2010, e ai profili di responsabilità per gli operatori sanitari cfr. anche, assai di recente, </w:t>
      </w:r>
      <w:r w:rsidRPr="0085241D">
        <w:rPr>
          <w:rFonts w:ascii="Garamond" w:hAnsi="Garamond"/>
          <w:smallCaps/>
          <w:sz w:val="24"/>
          <w:szCs w:val="24"/>
        </w:rPr>
        <w:t xml:space="preserve">G. </w:t>
      </w:r>
      <w:proofErr w:type="spellStart"/>
      <w:r w:rsidRPr="0085241D">
        <w:rPr>
          <w:rFonts w:ascii="Garamond" w:hAnsi="Garamond"/>
          <w:smallCaps/>
          <w:sz w:val="24"/>
          <w:szCs w:val="24"/>
        </w:rPr>
        <w:t>Ianniruberto</w:t>
      </w:r>
      <w:proofErr w:type="spellEnd"/>
      <w:r>
        <w:rPr>
          <w:rFonts w:ascii="Garamond" w:hAnsi="Garamond"/>
          <w:sz w:val="24"/>
          <w:szCs w:val="24"/>
        </w:rPr>
        <w:t xml:space="preserve">, </w:t>
      </w:r>
      <w:r>
        <w:rPr>
          <w:rFonts w:ascii="Garamond" w:hAnsi="Garamond"/>
          <w:i/>
          <w:sz w:val="24"/>
          <w:szCs w:val="24"/>
        </w:rPr>
        <w:t>Il diritto alle terapie antidolorifiche alla luce della legislazione vigente: profili di responsabilità per gli operatori della sanità</w:t>
      </w:r>
      <w:r>
        <w:rPr>
          <w:rFonts w:ascii="Garamond" w:hAnsi="Garamond"/>
          <w:sz w:val="24"/>
          <w:szCs w:val="24"/>
        </w:rPr>
        <w:t xml:space="preserve">, in </w:t>
      </w:r>
      <w:proofErr w:type="spellStart"/>
      <w:r>
        <w:rPr>
          <w:rFonts w:ascii="Garamond" w:hAnsi="Garamond"/>
          <w:i/>
          <w:sz w:val="24"/>
          <w:szCs w:val="24"/>
        </w:rPr>
        <w:t>Corr</w:t>
      </w:r>
      <w:proofErr w:type="spellEnd"/>
      <w:r>
        <w:rPr>
          <w:rFonts w:ascii="Garamond" w:hAnsi="Garamond"/>
          <w:i/>
          <w:sz w:val="24"/>
          <w:szCs w:val="24"/>
        </w:rPr>
        <w:t xml:space="preserve">. </w:t>
      </w:r>
      <w:proofErr w:type="gramStart"/>
      <w:r>
        <w:rPr>
          <w:rFonts w:ascii="Garamond" w:hAnsi="Garamond"/>
          <w:i/>
          <w:sz w:val="24"/>
          <w:szCs w:val="24"/>
        </w:rPr>
        <w:t>giur.</w:t>
      </w:r>
      <w:r>
        <w:rPr>
          <w:rFonts w:ascii="Garamond" w:hAnsi="Garamond"/>
          <w:sz w:val="24"/>
          <w:szCs w:val="24"/>
        </w:rPr>
        <w:t>,</w:t>
      </w:r>
      <w:proofErr w:type="gramEnd"/>
      <w:r>
        <w:rPr>
          <w:rFonts w:ascii="Garamond" w:hAnsi="Garamond"/>
          <w:sz w:val="24"/>
          <w:szCs w:val="24"/>
        </w:rPr>
        <w:t xml:space="preserve"> 2019, 2, p. 229 e ss.</w:t>
      </w:r>
    </w:p>
  </w:footnote>
  <w:footnote w:id="45">
    <w:p w:rsidR="00B01990" w:rsidRPr="00291BC5" w:rsidRDefault="00B01990" w:rsidP="00291BC5">
      <w:pPr>
        <w:pStyle w:val="Testonotaapidipagina"/>
        <w:ind w:firstLine="709"/>
        <w:jc w:val="both"/>
        <w:rPr>
          <w:rFonts w:ascii="Garamond" w:hAnsi="Garamond"/>
          <w:sz w:val="24"/>
          <w:szCs w:val="24"/>
        </w:rPr>
      </w:pPr>
      <w:r w:rsidRPr="00291BC5">
        <w:rPr>
          <w:rStyle w:val="Rimandonotaapidipagina"/>
          <w:rFonts w:ascii="Garamond" w:hAnsi="Garamond"/>
          <w:sz w:val="24"/>
          <w:szCs w:val="24"/>
        </w:rPr>
        <w:footnoteRef/>
      </w:r>
      <w:r w:rsidRPr="00291BC5">
        <w:rPr>
          <w:rFonts w:ascii="Garamond" w:hAnsi="Garamond"/>
          <w:sz w:val="24"/>
          <w:szCs w:val="24"/>
        </w:rPr>
        <w:t xml:space="preserve"> </w:t>
      </w:r>
      <w:r>
        <w:rPr>
          <w:rFonts w:ascii="Garamond" w:hAnsi="Garamond"/>
          <w:sz w:val="24"/>
          <w:szCs w:val="24"/>
        </w:rPr>
        <w:t xml:space="preserve">Corte </w:t>
      </w:r>
      <w:proofErr w:type="spellStart"/>
      <w:proofErr w:type="gramStart"/>
      <w:r>
        <w:rPr>
          <w:rFonts w:ascii="Garamond" w:hAnsi="Garamond"/>
          <w:sz w:val="24"/>
          <w:szCs w:val="24"/>
        </w:rPr>
        <w:t>cost</w:t>
      </w:r>
      <w:proofErr w:type="spellEnd"/>
      <w:r>
        <w:rPr>
          <w:rFonts w:ascii="Garamond" w:hAnsi="Garamond"/>
          <w:sz w:val="24"/>
          <w:szCs w:val="24"/>
        </w:rPr>
        <w:t>.,</w:t>
      </w:r>
      <w:proofErr w:type="gramEnd"/>
      <w:r>
        <w:rPr>
          <w:rFonts w:ascii="Garamond" w:hAnsi="Garamond"/>
          <w:sz w:val="24"/>
          <w:szCs w:val="24"/>
        </w:rPr>
        <w:t xml:space="preserve"> 16 novembre 2018, </w:t>
      </w:r>
      <w:proofErr w:type="spellStart"/>
      <w:r>
        <w:rPr>
          <w:rFonts w:ascii="Garamond" w:hAnsi="Garamond"/>
          <w:sz w:val="24"/>
          <w:szCs w:val="24"/>
        </w:rPr>
        <w:t>ord</w:t>
      </w:r>
      <w:proofErr w:type="spellEnd"/>
      <w:r>
        <w:rPr>
          <w:rFonts w:ascii="Garamond" w:hAnsi="Garamond"/>
          <w:sz w:val="24"/>
          <w:szCs w:val="24"/>
        </w:rPr>
        <w:t>. n. 207, cit., p. 232.</w:t>
      </w:r>
    </w:p>
  </w:footnote>
  <w:footnote w:id="46">
    <w:p w:rsidR="00B01990" w:rsidRPr="00BF7008" w:rsidRDefault="00B01990" w:rsidP="00BF7008">
      <w:pPr>
        <w:pStyle w:val="Testonotaapidipagina"/>
        <w:ind w:firstLine="709"/>
        <w:jc w:val="both"/>
        <w:rPr>
          <w:rFonts w:ascii="Garamond" w:hAnsi="Garamond"/>
          <w:sz w:val="24"/>
          <w:szCs w:val="24"/>
        </w:rPr>
      </w:pPr>
      <w:r w:rsidRPr="00BF7008">
        <w:rPr>
          <w:rStyle w:val="Rimandonotaapidipagina"/>
          <w:rFonts w:ascii="Garamond" w:hAnsi="Garamond"/>
          <w:sz w:val="24"/>
          <w:szCs w:val="24"/>
        </w:rPr>
        <w:footnoteRef/>
      </w:r>
      <w:r w:rsidRPr="00BF7008">
        <w:rPr>
          <w:rFonts w:ascii="Garamond" w:hAnsi="Garamond"/>
          <w:sz w:val="24"/>
          <w:szCs w:val="24"/>
        </w:rPr>
        <w:t xml:space="preserve"> Corte </w:t>
      </w:r>
      <w:proofErr w:type="spellStart"/>
      <w:proofErr w:type="gramStart"/>
      <w:r w:rsidRPr="00BF7008">
        <w:rPr>
          <w:rFonts w:ascii="Garamond" w:hAnsi="Garamond"/>
          <w:sz w:val="24"/>
          <w:szCs w:val="24"/>
        </w:rPr>
        <w:t>cost</w:t>
      </w:r>
      <w:proofErr w:type="spellEnd"/>
      <w:r w:rsidRPr="00BF7008">
        <w:rPr>
          <w:rFonts w:ascii="Garamond" w:hAnsi="Garamond"/>
          <w:sz w:val="24"/>
          <w:szCs w:val="24"/>
        </w:rPr>
        <w:t>.,</w:t>
      </w:r>
      <w:proofErr w:type="gramEnd"/>
      <w:r w:rsidRPr="00BF7008">
        <w:rPr>
          <w:rFonts w:ascii="Garamond" w:hAnsi="Garamond"/>
          <w:sz w:val="24"/>
          <w:szCs w:val="24"/>
        </w:rPr>
        <w:t xml:space="preserve"> 16 novembre 2018, </w:t>
      </w:r>
      <w:proofErr w:type="spellStart"/>
      <w:r w:rsidRPr="00BF7008">
        <w:rPr>
          <w:rFonts w:ascii="Garamond" w:hAnsi="Garamond"/>
          <w:sz w:val="24"/>
          <w:szCs w:val="24"/>
        </w:rPr>
        <w:t>ord</w:t>
      </w:r>
      <w:proofErr w:type="spellEnd"/>
      <w:r w:rsidRPr="00BF7008">
        <w:rPr>
          <w:rFonts w:ascii="Garamond" w:hAnsi="Garamond"/>
          <w:sz w:val="24"/>
          <w:szCs w:val="24"/>
        </w:rPr>
        <w:t>. n. 207, cit., pp. 232-233.</w:t>
      </w:r>
    </w:p>
  </w:footnote>
  <w:footnote w:id="47">
    <w:p w:rsidR="00B01990" w:rsidRPr="00BF7008" w:rsidRDefault="00B01990" w:rsidP="00BF7008">
      <w:pPr>
        <w:pStyle w:val="Testonotaapidipagina"/>
        <w:ind w:firstLine="709"/>
        <w:jc w:val="both"/>
        <w:rPr>
          <w:rFonts w:ascii="Garamond" w:hAnsi="Garamond"/>
          <w:sz w:val="24"/>
          <w:szCs w:val="24"/>
        </w:rPr>
      </w:pPr>
      <w:r w:rsidRPr="00BF7008">
        <w:rPr>
          <w:rStyle w:val="Rimandonotaapidipagina"/>
          <w:rFonts w:ascii="Garamond" w:hAnsi="Garamond"/>
          <w:sz w:val="24"/>
          <w:szCs w:val="24"/>
        </w:rPr>
        <w:footnoteRef/>
      </w:r>
      <w:r w:rsidRPr="00BF7008">
        <w:rPr>
          <w:rFonts w:ascii="Garamond" w:hAnsi="Garamond"/>
          <w:sz w:val="24"/>
          <w:szCs w:val="24"/>
        </w:rPr>
        <w:t xml:space="preserve"> Corte </w:t>
      </w:r>
      <w:proofErr w:type="spellStart"/>
      <w:proofErr w:type="gramStart"/>
      <w:r w:rsidRPr="00BF7008">
        <w:rPr>
          <w:rFonts w:ascii="Garamond" w:hAnsi="Garamond"/>
          <w:sz w:val="24"/>
          <w:szCs w:val="24"/>
        </w:rPr>
        <w:t>cost</w:t>
      </w:r>
      <w:proofErr w:type="spellEnd"/>
      <w:r w:rsidRPr="00BF7008">
        <w:rPr>
          <w:rFonts w:ascii="Garamond" w:hAnsi="Garamond"/>
          <w:sz w:val="24"/>
          <w:szCs w:val="24"/>
        </w:rPr>
        <w:t>.,</w:t>
      </w:r>
      <w:proofErr w:type="gramEnd"/>
      <w:r w:rsidRPr="00BF7008">
        <w:rPr>
          <w:rFonts w:ascii="Garamond" w:hAnsi="Garamond"/>
          <w:sz w:val="24"/>
          <w:szCs w:val="24"/>
        </w:rPr>
        <w:t xml:space="preserve"> 16 novembre 2018, </w:t>
      </w:r>
      <w:proofErr w:type="spellStart"/>
      <w:r w:rsidRPr="00BF7008">
        <w:rPr>
          <w:rFonts w:ascii="Garamond" w:hAnsi="Garamond"/>
          <w:sz w:val="24"/>
          <w:szCs w:val="24"/>
        </w:rPr>
        <w:t>ord</w:t>
      </w:r>
      <w:proofErr w:type="spellEnd"/>
      <w:r w:rsidRPr="00BF7008">
        <w:rPr>
          <w:rFonts w:ascii="Garamond" w:hAnsi="Garamond"/>
          <w:sz w:val="24"/>
          <w:szCs w:val="24"/>
        </w:rPr>
        <w:t>. n. 207, cit., p. 233.</w:t>
      </w:r>
    </w:p>
  </w:footnote>
  <w:footnote w:id="48">
    <w:p w:rsidR="00B01990" w:rsidRPr="00BF7008" w:rsidRDefault="00B01990" w:rsidP="00BF7008">
      <w:pPr>
        <w:pStyle w:val="Testonotaapidipagina"/>
        <w:ind w:firstLine="709"/>
        <w:jc w:val="both"/>
        <w:rPr>
          <w:rFonts w:ascii="Garamond" w:hAnsi="Garamond"/>
          <w:sz w:val="24"/>
          <w:szCs w:val="24"/>
        </w:rPr>
      </w:pPr>
      <w:r w:rsidRPr="00BF7008">
        <w:rPr>
          <w:rStyle w:val="Rimandonotaapidipagina"/>
          <w:rFonts w:ascii="Garamond" w:hAnsi="Garamond"/>
          <w:sz w:val="24"/>
          <w:szCs w:val="24"/>
        </w:rPr>
        <w:footnoteRef/>
      </w:r>
      <w:r w:rsidRPr="00BF7008">
        <w:rPr>
          <w:rFonts w:ascii="Garamond" w:hAnsi="Garamond"/>
          <w:sz w:val="24"/>
          <w:szCs w:val="24"/>
        </w:rPr>
        <w:t xml:space="preserve"> </w:t>
      </w:r>
      <w:r>
        <w:rPr>
          <w:rFonts w:ascii="Garamond" w:hAnsi="Garamond"/>
          <w:sz w:val="24"/>
          <w:szCs w:val="24"/>
        </w:rPr>
        <w:t xml:space="preserve">Su questa evenienza, ben nota agli studiosi di questa delicata materia e agli ordinamenti che già ammettono l’eutanasia come quello olandese, v. </w:t>
      </w:r>
      <w:r w:rsidRPr="00BF7008">
        <w:rPr>
          <w:rFonts w:ascii="Garamond" w:hAnsi="Garamond"/>
          <w:smallCaps/>
          <w:sz w:val="24"/>
          <w:szCs w:val="24"/>
        </w:rPr>
        <w:t xml:space="preserve">S. </w:t>
      </w:r>
      <w:proofErr w:type="spellStart"/>
      <w:r w:rsidRPr="00BF7008">
        <w:rPr>
          <w:rFonts w:ascii="Garamond" w:hAnsi="Garamond"/>
          <w:smallCaps/>
          <w:sz w:val="24"/>
          <w:szCs w:val="24"/>
        </w:rPr>
        <w:t>Canestrari</w:t>
      </w:r>
      <w:proofErr w:type="spellEnd"/>
      <w:r>
        <w:rPr>
          <w:rFonts w:ascii="Garamond" w:hAnsi="Garamond"/>
          <w:sz w:val="24"/>
          <w:szCs w:val="24"/>
        </w:rPr>
        <w:t xml:space="preserve">, </w:t>
      </w:r>
      <w:r>
        <w:rPr>
          <w:rFonts w:ascii="Garamond" w:hAnsi="Garamond"/>
          <w:i/>
          <w:sz w:val="24"/>
          <w:szCs w:val="24"/>
        </w:rPr>
        <w:t xml:space="preserve">Principi di </w:t>
      </w:r>
      <w:proofErr w:type="spellStart"/>
      <w:r>
        <w:rPr>
          <w:rFonts w:ascii="Garamond" w:hAnsi="Garamond"/>
          <w:i/>
          <w:sz w:val="24"/>
          <w:szCs w:val="24"/>
        </w:rPr>
        <w:t>biodiritto</w:t>
      </w:r>
      <w:proofErr w:type="spellEnd"/>
      <w:r>
        <w:rPr>
          <w:rFonts w:ascii="Garamond" w:hAnsi="Garamond"/>
          <w:i/>
          <w:sz w:val="24"/>
          <w:szCs w:val="24"/>
        </w:rPr>
        <w:t xml:space="preserve"> penale</w:t>
      </w:r>
      <w:r>
        <w:rPr>
          <w:rFonts w:ascii="Garamond" w:hAnsi="Garamond"/>
          <w:sz w:val="24"/>
          <w:szCs w:val="24"/>
        </w:rPr>
        <w:t>, cit., p. 102.</w:t>
      </w:r>
    </w:p>
  </w:footnote>
  <w:footnote w:id="49">
    <w:p w:rsidR="00B01990" w:rsidRPr="00063475" w:rsidRDefault="00B01990" w:rsidP="00291BC5">
      <w:pPr>
        <w:pStyle w:val="Testonotaapidipagina"/>
        <w:ind w:firstLine="709"/>
        <w:jc w:val="both"/>
        <w:rPr>
          <w:rFonts w:ascii="Garamond" w:hAnsi="Garamond"/>
          <w:sz w:val="24"/>
          <w:szCs w:val="24"/>
        </w:rPr>
      </w:pPr>
      <w:r w:rsidRPr="00291BC5">
        <w:rPr>
          <w:rStyle w:val="Rimandonotaapidipagina"/>
          <w:rFonts w:ascii="Garamond" w:hAnsi="Garamond"/>
          <w:sz w:val="24"/>
          <w:szCs w:val="24"/>
        </w:rPr>
        <w:footnoteRef/>
      </w:r>
      <w:r w:rsidRPr="00291BC5">
        <w:rPr>
          <w:rFonts w:ascii="Garamond" w:hAnsi="Garamond"/>
          <w:sz w:val="24"/>
          <w:szCs w:val="24"/>
        </w:rPr>
        <w:t xml:space="preserve"> </w:t>
      </w:r>
      <w:r>
        <w:rPr>
          <w:rFonts w:ascii="Garamond" w:hAnsi="Garamond"/>
          <w:sz w:val="24"/>
          <w:szCs w:val="24"/>
        </w:rPr>
        <w:t xml:space="preserve">V. sulla pronuncia della Corte canadese le interessanti osservazioni di </w:t>
      </w:r>
      <w:r w:rsidRPr="00063475">
        <w:rPr>
          <w:rFonts w:ascii="Garamond" w:hAnsi="Garamond"/>
          <w:smallCaps/>
          <w:sz w:val="24"/>
          <w:szCs w:val="24"/>
        </w:rPr>
        <w:t xml:space="preserve">F. </w:t>
      </w:r>
      <w:proofErr w:type="spellStart"/>
      <w:r w:rsidRPr="00063475">
        <w:rPr>
          <w:rFonts w:ascii="Garamond" w:hAnsi="Garamond"/>
          <w:smallCaps/>
          <w:sz w:val="24"/>
          <w:szCs w:val="24"/>
        </w:rPr>
        <w:t>Casonato</w:t>
      </w:r>
      <w:proofErr w:type="spellEnd"/>
      <w:r>
        <w:rPr>
          <w:rFonts w:ascii="Garamond" w:hAnsi="Garamond"/>
          <w:sz w:val="24"/>
          <w:szCs w:val="24"/>
        </w:rPr>
        <w:t xml:space="preserve">, </w:t>
      </w:r>
      <w:r>
        <w:rPr>
          <w:rFonts w:ascii="Garamond" w:hAnsi="Garamond"/>
          <w:i/>
          <w:sz w:val="24"/>
          <w:szCs w:val="24"/>
        </w:rPr>
        <w:t>I limiti all’autodeterminazione individuale</w:t>
      </w:r>
      <w:r>
        <w:rPr>
          <w:rFonts w:ascii="Garamond" w:hAnsi="Garamond"/>
          <w:sz w:val="24"/>
          <w:szCs w:val="24"/>
        </w:rPr>
        <w:t>, cit., pp. 3-5 e pp. 8-9.</w:t>
      </w:r>
    </w:p>
  </w:footnote>
  <w:footnote w:id="50">
    <w:p w:rsidR="00B01990" w:rsidRPr="007625E7" w:rsidRDefault="00B01990" w:rsidP="007625E7">
      <w:pPr>
        <w:pStyle w:val="Testonotaapidipagina"/>
        <w:ind w:firstLine="709"/>
        <w:jc w:val="both"/>
        <w:rPr>
          <w:rFonts w:ascii="Garamond" w:hAnsi="Garamond"/>
          <w:sz w:val="24"/>
          <w:szCs w:val="24"/>
        </w:rPr>
      </w:pPr>
      <w:r w:rsidRPr="007625E7">
        <w:rPr>
          <w:rStyle w:val="Rimandonotaapidipagina"/>
          <w:rFonts w:ascii="Garamond" w:hAnsi="Garamond"/>
          <w:sz w:val="24"/>
          <w:szCs w:val="24"/>
        </w:rPr>
        <w:footnoteRef/>
      </w:r>
      <w:r w:rsidRPr="007625E7">
        <w:rPr>
          <w:rFonts w:ascii="Garamond" w:hAnsi="Garamond"/>
          <w:sz w:val="24"/>
          <w:szCs w:val="24"/>
        </w:rPr>
        <w:t xml:space="preserve"> Sul principio solidaristico e sulla connessione esistente tra libertà e responsabilità v., da ultimo, le acute considerazioni di </w:t>
      </w:r>
      <w:r w:rsidRPr="007625E7">
        <w:rPr>
          <w:rFonts w:ascii="Garamond" w:hAnsi="Garamond"/>
          <w:smallCaps/>
          <w:sz w:val="24"/>
          <w:szCs w:val="24"/>
        </w:rPr>
        <w:t xml:space="preserve">G. </w:t>
      </w:r>
      <w:proofErr w:type="spellStart"/>
      <w:r w:rsidRPr="007625E7">
        <w:rPr>
          <w:rFonts w:ascii="Garamond" w:hAnsi="Garamond"/>
          <w:smallCaps/>
          <w:sz w:val="24"/>
          <w:szCs w:val="24"/>
        </w:rPr>
        <w:t>Bascherini</w:t>
      </w:r>
      <w:proofErr w:type="spellEnd"/>
      <w:r w:rsidRPr="007625E7">
        <w:rPr>
          <w:rFonts w:ascii="Garamond" w:hAnsi="Garamond"/>
          <w:sz w:val="24"/>
          <w:szCs w:val="24"/>
        </w:rPr>
        <w:t xml:space="preserve">, </w:t>
      </w:r>
      <w:r w:rsidRPr="007625E7">
        <w:rPr>
          <w:rFonts w:ascii="Garamond" w:hAnsi="Garamond"/>
          <w:i/>
          <w:sz w:val="24"/>
          <w:szCs w:val="24"/>
        </w:rPr>
        <w:t>La doverosa solidarietà costituzionale e la relazione tra libertà e responsabilità</w:t>
      </w:r>
      <w:r w:rsidRPr="007625E7">
        <w:rPr>
          <w:rFonts w:ascii="Garamond" w:hAnsi="Garamond"/>
          <w:sz w:val="24"/>
          <w:szCs w:val="24"/>
        </w:rPr>
        <w:t xml:space="preserve">, in </w:t>
      </w:r>
      <w:r w:rsidRPr="007625E7">
        <w:rPr>
          <w:rFonts w:ascii="Garamond" w:hAnsi="Garamond"/>
          <w:i/>
          <w:sz w:val="24"/>
          <w:szCs w:val="24"/>
        </w:rPr>
        <w:t xml:space="preserve">Dir. </w:t>
      </w:r>
      <w:proofErr w:type="spellStart"/>
      <w:proofErr w:type="gramStart"/>
      <w:r w:rsidRPr="007625E7">
        <w:rPr>
          <w:rFonts w:ascii="Garamond" w:hAnsi="Garamond"/>
          <w:i/>
          <w:sz w:val="24"/>
          <w:szCs w:val="24"/>
        </w:rPr>
        <w:t>pubbl</w:t>
      </w:r>
      <w:proofErr w:type="spellEnd"/>
      <w:r w:rsidRPr="007625E7">
        <w:rPr>
          <w:rFonts w:ascii="Garamond" w:hAnsi="Garamond"/>
          <w:i/>
          <w:sz w:val="24"/>
          <w:szCs w:val="24"/>
        </w:rPr>
        <w:t>.</w:t>
      </w:r>
      <w:r w:rsidRPr="007625E7">
        <w:rPr>
          <w:rFonts w:ascii="Garamond" w:hAnsi="Garamond"/>
          <w:sz w:val="24"/>
          <w:szCs w:val="24"/>
        </w:rPr>
        <w:t>,</w:t>
      </w:r>
      <w:proofErr w:type="gramEnd"/>
      <w:r w:rsidRPr="007625E7">
        <w:rPr>
          <w:rFonts w:ascii="Garamond" w:hAnsi="Garamond"/>
          <w:sz w:val="24"/>
          <w:szCs w:val="24"/>
        </w:rPr>
        <w:t xml:space="preserve"> 2018, 2, p. 245 e ss.</w:t>
      </w:r>
    </w:p>
  </w:footnote>
  <w:footnote w:id="51">
    <w:p w:rsidR="00B01990" w:rsidRPr="00436081" w:rsidRDefault="00B01990" w:rsidP="007625E7">
      <w:pPr>
        <w:pStyle w:val="Testonotaapidipagina"/>
        <w:ind w:firstLine="709"/>
        <w:rPr>
          <w:rFonts w:ascii="Garamond" w:hAnsi="Garamond"/>
          <w:sz w:val="24"/>
          <w:szCs w:val="24"/>
        </w:rPr>
      </w:pPr>
      <w:r w:rsidRPr="007625E7">
        <w:rPr>
          <w:rStyle w:val="Rimandonotaapidipagina"/>
          <w:rFonts w:ascii="Garamond" w:hAnsi="Garamond"/>
          <w:sz w:val="24"/>
          <w:szCs w:val="24"/>
        </w:rPr>
        <w:footnoteRef/>
      </w:r>
      <w:r w:rsidRPr="007625E7">
        <w:rPr>
          <w:rFonts w:ascii="Garamond" w:hAnsi="Garamond"/>
          <w:sz w:val="24"/>
          <w:szCs w:val="24"/>
        </w:rPr>
        <w:t xml:space="preserve"> </w:t>
      </w:r>
      <w:r w:rsidRPr="007625E7">
        <w:rPr>
          <w:rFonts w:ascii="Garamond" w:hAnsi="Garamond"/>
          <w:smallCaps/>
          <w:sz w:val="24"/>
          <w:szCs w:val="24"/>
        </w:rPr>
        <w:t xml:space="preserve">G. </w:t>
      </w:r>
      <w:proofErr w:type="spellStart"/>
      <w:r w:rsidRPr="007625E7">
        <w:rPr>
          <w:rFonts w:ascii="Garamond" w:hAnsi="Garamond"/>
          <w:smallCaps/>
          <w:sz w:val="24"/>
          <w:szCs w:val="24"/>
        </w:rPr>
        <w:t>Bascherini</w:t>
      </w:r>
      <w:proofErr w:type="spellEnd"/>
      <w:r w:rsidRPr="007625E7">
        <w:rPr>
          <w:rFonts w:ascii="Garamond" w:hAnsi="Garamond"/>
          <w:sz w:val="24"/>
          <w:szCs w:val="24"/>
        </w:rPr>
        <w:t xml:space="preserve">, </w:t>
      </w:r>
      <w:r w:rsidRPr="007625E7">
        <w:rPr>
          <w:rFonts w:ascii="Garamond" w:hAnsi="Garamond"/>
          <w:i/>
          <w:sz w:val="24"/>
          <w:szCs w:val="24"/>
        </w:rPr>
        <w:t>La doverosa solidarietà costituzionale</w:t>
      </w:r>
      <w:r>
        <w:rPr>
          <w:rFonts w:ascii="Garamond" w:hAnsi="Garamond"/>
          <w:sz w:val="24"/>
          <w:szCs w:val="24"/>
        </w:rPr>
        <w:t>, cit., p. 272.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3C"/>
    <w:rsid w:val="00001F38"/>
    <w:rsid w:val="00022A73"/>
    <w:rsid w:val="000332A5"/>
    <w:rsid w:val="00045D02"/>
    <w:rsid w:val="00045E7B"/>
    <w:rsid w:val="00063475"/>
    <w:rsid w:val="000668F6"/>
    <w:rsid w:val="00067E0B"/>
    <w:rsid w:val="00070C0C"/>
    <w:rsid w:val="00075E06"/>
    <w:rsid w:val="000D02E2"/>
    <w:rsid w:val="000D71EF"/>
    <w:rsid w:val="000E3A94"/>
    <w:rsid w:val="000F728F"/>
    <w:rsid w:val="00100394"/>
    <w:rsid w:val="00101B1A"/>
    <w:rsid w:val="001064E2"/>
    <w:rsid w:val="00107BD3"/>
    <w:rsid w:val="00110835"/>
    <w:rsid w:val="00112CEE"/>
    <w:rsid w:val="001327E9"/>
    <w:rsid w:val="00141B43"/>
    <w:rsid w:val="00150EF0"/>
    <w:rsid w:val="00156152"/>
    <w:rsid w:val="00192057"/>
    <w:rsid w:val="0019617B"/>
    <w:rsid w:val="001C4436"/>
    <w:rsid w:val="001D62D4"/>
    <w:rsid w:val="00217511"/>
    <w:rsid w:val="00221E15"/>
    <w:rsid w:val="00222A16"/>
    <w:rsid w:val="00224E9B"/>
    <w:rsid w:val="002338B5"/>
    <w:rsid w:val="00243FCD"/>
    <w:rsid w:val="002546D4"/>
    <w:rsid w:val="00264D1E"/>
    <w:rsid w:val="00285253"/>
    <w:rsid w:val="00291BC5"/>
    <w:rsid w:val="00294B03"/>
    <w:rsid w:val="002974C8"/>
    <w:rsid w:val="002D02E7"/>
    <w:rsid w:val="002D643C"/>
    <w:rsid w:val="002E3366"/>
    <w:rsid w:val="002E3BDC"/>
    <w:rsid w:val="002F3332"/>
    <w:rsid w:val="002F7896"/>
    <w:rsid w:val="003045E0"/>
    <w:rsid w:val="003132CC"/>
    <w:rsid w:val="00382C8B"/>
    <w:rsid w:val="003847C5"/>
    <w:rsid w:val="00392908"/>
    <w:rsid w:val="00392DAE"/>
    <w:rsid w:val="003A0901"/>
    <w:rsid w:val="003A2AA3"/>
    <w:rsid w:val="003B73FC"/>
    <w:rsid w:val="003C0D54"/>
    <w:rsid w:val="003E494A"/>
    <w:rsid w:val="0040766E"/>
    <w:rsid w:val="00421937"/>
    <w:rsid w:val="00423F80"/>
    <w:rsid w:val="00426D0F"/>
    <w:rsid w:val="00436081"/>
    <w:rsid w:val="00444FB8"/>
    <w:rsid w:val="0045391C"/>
    <w:rsid w:val="00492A03"/>
    <w:rsid w:val="004935C3"/>
    <w:rsid w:val="00497122"/>
    <w:rsid w:val="004A04B7"/>
    <w:rsid w:val="004B407F"/>
    <w:rsid w:val="004D21AA"/>
    <w:rsid w:val="004D30E1"/>
    <w:rsid w:val="004E7FE9"/>
    <w:rsid w:val="004F11A2"/>
    <w:rsid w:val="00500629"/>
    <w:rsid w:val="00502CD2"/>
    <w:rsid w:val="00510D21"/>
    <w:rsid w:val="005307E6"/>
    <w:rsid w:val="00536A03"/>
    <w:rsid w:val="005470EB"/>
    <w:rsid w:val="00564CCD"/>
    <w:rsid w:val="00567289"/>
    <w:rsid w:val="00572EAF"/>
    <w:rsid w:val="00583771"/>
    <w:rsid w:val="00593942"/>
    <w:rsid w:val="005C0FD5"/>
    <w:rsid w:val="005F4257"/>
    <w:rsid w:val="005F5C8D"/>
    <w:rsid w:val="005F6BEE"/>
    <w:rsid w:val="005F7073"/>
    <w:rsid w:val="00627FCB"/>
    <w:rsid w:val="00635086"/>
    <w:rsid w:val="00684E9A"/>
    <w:rsid w:val="00687415"/>
    <w:rsid w:val="006928A8"/>
    <w:rsid w:val="006A50FE"/>
    <w:rsid w:val="006B4F3B"/>
    <w:rsid w:val="006C0205"/>
    <w:rsid w:val="006E6223"/>
    <w:rsid w:val="006E7E25"/>
    <w:rsid w:val="006F34DC"/>
    <w:rsid w:val="007059B3"/>
    <w:rsid w:val="00705EFB"/>
    <w:rsid w:val="0071322E"/>
    <w:rsid w:val="00723682"/>
    <w:rsid w:val="00726F63"/>
    <w:rsid w:val="00746F41"/>
    <w:rsid w:val="0075013D"/>
    <w:rsid w:val="0075725E"/>
    <w:rsid w:val="007625E7"/>
    <w:rsid w:val="00784D2E"/>
    <w:rsid w:val="007862EA"/>
    <w:rsid w:val="0079571F"/>
    <w:rsid w:val="00795795"/>
    <w:rsid w:val="00795B6D"/>
    <w:rsid w:val="007A0F55"/>
    <w:rsid w:val="007C3D4D"/>
    <w:rsid w:val="007D02F3"/>
    <w:rsid w:val="007D1C76"/>
    <w:rsid w:val="007D6EBC"/>
    <w:rsid w:val="007E6C4E"/>
    <w:rsid w:val="007E774B"/>
    <w:rsid w:val="00813D8A"/>
    <w:rsid w:val="008252CB"/>
    <w:rsid w:val="00844D02"/>
    <w:rsid w:val="0085241D"/>
    <w:rsid w:val="00854AED"/>
    <w:rsid w:val="00867D0C"/>
    <w:rsid w:val="008951A1"/>
    <w:rsid w:val="00895677"/>
    <w:rsid w:val="008C21EF"/>
    <w:rsid w:val="008D6844"/>
    <w:rsid w:val="00927B4F"/>
    <w:rsid w:val="00935DEC"/>
    <w:rsid w:val="00942239"/>
    <w:rsid w:val="00954E8C"/>
    <w:rsid w:val="00976733"/>
    <w:rsid w:val="00983F7E"/>
    <w:rsid w:val="00991365"/>
    <w:rsid w:val="009B3018"/>
    <w:rsid w:val="009E224A"/>
    <w:rsid w:val="009E457E"/>
    <w:rsid w:val="009F7482"/>
    <w:rsid w:val="00A113DA"/>
    <w:rsid w:val="00A14280"/>
    <w:rsid w:val="00A313FE"/>
    <w:rsid w:val="00A320CA"/>
    <w:rsid w:val="00A32AAA"/>
    <w:rsid w:val="00A36260"/>
    <w:rsid w:val="00A41EA1"/>
    <w:rsid w:val="00A45048"/>
    <w:rsid w:val="00A60CA9"/>
    <w:rsid w:val="00A715B0"/>
    <w:rsid w:val="00A72CDE"/>
    <w:rsid w:val="00A845C5"/>
    <w:rsid w:val="00A9199D"/>
    <w:rsid w:val="00AA690C"/>
    <w:rsid w:val="00AA7E3A"/>
    <w:rsid w:val="00AC2D57"/>
    <w:rsid w:val="00AC377A"/>
    <w:rsid w:val="00AD33B4"/>
    <w:rsid w:val="00AD485B"/>
    <w:rsid w:val="00AE45B0"/>
    <w:rsid w:val="00B01990"/>
    <w:rsid w:val="00B175B7"/>
    <w:rsid w:val="00B27080"/>
    <w:rsid w:val="00B442A0"/>
    <w:rsid w:val="00B47F7C"/>
    <w:rsid w:val="00B517A4"/>
    <w:rsid w:val="00B56D09"/>
    <w:rsid w:val="00B60ED8"/>
    <w:rsid w:val="00B7689E"/>
    <w:rsid w:val="00B83BA5"/>
    <w:rsid w:val="00B906EF"/>
    <w:rsid w:val="00BA1E6D"/>
    <w:rsid w:val="00BA3F11"/>
    <w:rsid w:val="00BA413B"/>
    <w:rsid w:val="00BA7125"/>
    <w:rsid w:val="00BB22D3"/>
    <w:rsid w:val="00BC56F1"/>
    <w:rsid w:val="00BC78FD"/>
    <w:rsid w:val="00BD3E78"/>
    <w:rsid w:val="00BE04BF"/>
    <w:rsid w:val="00BE1179"/>
    <w:rsid w:val="00BF2007"/>
    <w:rsid w:val="00BF7008"/>
    <w:rsid w:val="00C148BF"/>
    <w:rsid w:val="00C26BE1"/>
    <w:rsid w:val="00C347DB"/>
    <w:rsid w:val="00C44D4F"/>
    <w:rsid w:val="00C473AC"/>
    <w:rsid w:val="00C55577"/>
    <w:rsid w:val="00C62C0A"/>
    <w:rsid w:val="00C860C5"/>
    <w:rsid w:val="00C87332"/>
    <w:rsid w:val="00CB1663"/>
    <w:rsid w:val="00CB7FE9"/>
    <w:rsid w:val="00CE0534"/>
    <w:rsid w:val="00CF5335"/>
    <w:rsid w:val="00D057DE"/>
    <w:rsid w:val="00D17866"/>
    <w:rsid w:val="00D31D9D"/>
    <w:rsid w:val="00D3391F"/>
    <w:rsid w:val="00D415BB"/>
    <w:rsid w:val="00D4163F"/>
    <w:rsid w:val="00D47451"/>
    <w:rsid w:val="00D52677"/>
    <w:rsid w:val="00D56C64"/>
    <w:rsid w:val="00D6195F"/>
    <w:rsid w:val="00D672F0"/>
    <w:rsid w:val="00D7232B"/>
    <w:rsid w:val="00D870E6"/>
    <w:rsid w:val="00D901A9"/>
    <w:rsid w:val="00D92897"/>
    <w:rsid w:val="00D94CCB"/>
    <w:rsid w:val="00DF0265"/>
    <w:rsid w:val="00DF24CA"/>
    <w:rsid w:val="00E021B3"/>
    <w:rsid w:val="00E2274A"/>
    <w:rsid w:val="00E53CA5"/>
    <w:rsid w:val="00E62FF0"/>
    <w:rsid w:val="00E637BE"/>
    <w:rsid w:val="00E64019"/>
    <w:rsid w:val="00E6531E"/>
    <w:rsid w:val="00E67974"/>
    <w:rsid w:val="00E72840"/>
    <w:rsid w:val="00E82160"/>
    <w:rsid w:val="00E8300B"/>
    <w:rsid w:val="00E9284D"/>
    <w:rsid w:val="00E96873"/>
    <w:rsid w:val="00EB592E"/>
    <w:rsid w:val="00EC6866"/>
    <w:rsid w:val="00ED09FB"/>
    <w:rsid w:val="00ED1FD2"/>
    <w:rsid w:val="00EE7222"/>
    <w:rsid w:val="00EF22BB"/>
    <w:rsid w:val="00F167A1"/>
    <w:rsid w:val="00F31A53"/>
    <w:rsid w:val="00F70109"/>
    <w:rsid w:val="00F7460A"/>
    <w:rsid w:val="00F7668D"/>
    <w:rsid w:val="00F91275"/>
    <w:rsid w:val="00F91FA3"/>
    <w:rsid w:val="00FB11D6"/>
    <w:rsid w:val="00FB2772"/>
    <w:rsid w:val="00FB5DA1"/>
    <w:rsid w:val="00FC1808"/>
    <w:rsid w:val="00FD52AA"/>
    <w:rsid w:val="00FE5A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F094E-BBE5-4180-81D2-034E27A9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83BA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3BA5"/>
    <w:rPr>
      <w:sz w:val="20"/>
      <w:szCs w:val="20"/>
    </w:rPr>
  </w:style>
  <w:style w:type="character" w:styleId="Rimandonotaapidipagina">
    <w:name w:val="footnote reference"/>
    <w:basedOn w:val="Carpredefinitoparagrafo"/>
    <w:uiPriority w:val="99"/>
    <w:semiHidden/>
    <w:unhideWhenUsed/>
    <w:rsid w:val="00B83BA5"/>
    <w:rPr>
      <w:vertAlign w:val="superscript"/>
    </w:rPr>
  </w:style>
  <w:style w:type="paragraph" w:styleId="Intestazione">
    <w:name w:val="header"/>
    <w:basedOn w:val="Normale"/>
    <w:link w:val="IntestazioneCarattere"/>
    <w:uiPriority w:val="99"/>
    <w:unhideWhenUsed/>
    <w:rsid w:val="00E821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2160"/>
  </w:style>
  <w:style w:type="paragraph" w:styleId="Pidipagina">
    <w:name w:val="footer"/>
    <w:basedOn w:val="Normale"/>
    <w:link w:val="PidipaginaCarattere"/>
    <w:uiPriority w:val="99"/>
    <w:unhideWhenUsed/>
    <w:rsid w:val="00E821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2160"/>
  </w:style>
  <w:style w:type="character" w:styleId="Collegamentoipertestuale">
    <w:name w:val="Hyperlink"/>
    <w:basedOn w:val="Carpredefinitoparagrafo"/>
    <w:uiPriority w:val="99"/>
    <w:unhideWhenUsed/>
    <w:rsid w:val="00983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dirittopenalecontemporaneo.it" TargetMode="External"/><Relationship Id="rId2" Type="http://schemas.openxmlformats.org/officeDocument/2006/relationships/hyperlink" Target="http://www.consultaonline.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86D8-0383-46B6-BD11-E4BE57C4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9397</Words>
  <Characters>53569</Characters>
  <Application>Microsoft Office Word</Application>
  <DocSecurity>4</DocSecurity>
  <Lines>446</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NOCCELLI Massimiliano</dc:creator>
  <cp:keywords/>
  <dc:description/>
  <cp:lastModifiedBy>FERRARI Giulia</cp:lastModifiedBy>
  <cp:revision>2</cp:revision>
  <dcterms:created xsi:type="dcterms:W3CDTF">2019-03-25T11:47:00Z</dcterms:created>
  <dcterms:modified xsi:type="dcterms:W3CDTF">2019-03-25T11:47:00Z</dcterms:modified>
</cp:coreProperties>
</file>