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9B" w:rsidRPr="00CD0D33" w:rsidRDefault="00CD0D33" w:rsidP="00B060D9">
      <w:pPr>
        <w:ind w:left="708"/>
        <w:jc w:val="center"/>
        <w:rPr>
          <w:rFonts w:ascii="Garamond" w:hAnsi="Garamond"/>
          <w:b/>
          <w:sz w:val="40"/>
          <w:szCs w:val="40"/>
        </w:rPr>
      </w:pPr>
      <w:r>
        <w:rPr>
          <w:rFonts w:ascii="Garamond" w:hAnsi="Garamond"/>
          <w:b/>
          <w:sz w:val="40"/>
          <w:szCs w:val="40"/>
        </w:rPr>
        <w:t>L</w:t>
      </w:r>
      <w:r w:rsidRPr="00CD0D33">
        <w:rPr>
          <w:rFonts w:ascii="Garamond" w:hAnsi="Garamond"/>
          <w:b/>
          <w:sz w:val="40"/>
          <w:szCs w:val="40"/>
        </w:rPr>
        <w:t>a tutela cautelare nel giudizio amministrativo anche nella comparazione con il processo tedesco</w:t>
      </w:r>
    </w:p>
    <w:p w:rsidR="00FC197A" w:rsidRPr="002757C2" w:rsidRDefault="00FC197A" w:rsidP="00B060D9">
      <w:pPr>
        <w:ind w:left="708"/>
        <w:jc w:val="both"/>
        <w:rPr>
          <w:rFonts w:ascii="Garamond" w:hAnsi="Garamond"/>
          <w:sz w:val="32"/>
          <w:szCs w:val="32"/>
        </w:rPr>
      </w:pPr>
    </w:p>
    <w:p w:rsidR="00FC197A" w:rsidRPr="002757C2" w:rsidRDefault="00FC197A" w:rsidP="00B060D9">
      <w:pPr>
        <w:ind w:left="708"/>
        <w:jc w:val="both"/>
        <w:rPr>
          <w:rFonts w:ascii="Garamond" w:hAnsi="Garamond"/>
          <w:sz w:val="32"/>
          <w:szCs w:val="32"/>
        </w:rPr>
      </w:pPr>
      <w:r w:rsidRPr="002757C2">
        <w:rPr>
          <w:rFonts w:ascii="Garamond" w:hAnsi="Garamond"/>
          <w:sz w:val="32"/>
          <w:szCs w:val="32"/>
        </w:rPr>
        <w:t>L’argomento che sono stata invitata a trattare è sempre stato uno dei più dibattuti in dottrina</w:t>
      </w:r>
      <w:r w:rsidR="008A1734">
        <w:rPr>
          <w:rStyle w:val="Rimandonotaapidipagina"/>
          <w:rFonts w:ascii="Garamond" w:hAnsi="Garamond"/>
          <w:sz w:val="32"/>
          <w:szCs w:val="32"/>
        </w:rPr>
        <w:footnoteReference w:id="1"/>
      </w:r>
      <w:r w:rsidRPr="002757C2">
        <w:rPr>
          <w:rFonts w:ascii="Garamond" w:hAnsi="Garamond"/>
          <w:sz w:val="32"/>
          <w:szCs w:val="32"/>
        </w:rPr>
        <w:t>.</w:t>
      </w:r>
    </w:p>
    <w:p w:rsidR="00FC197A" w:rsidRPr="002757C2" w:rsidRDefault="00C54681" w:rsidP="00B060D9">
      <w:pPr>
        <w:ind w:left="708"/>
        <w:jc w:val="both"/>
        <w:rPr>
          <w:rFonts w:ascii="Garamond" w:hAnsi="Garamond"/>
          <w:sz w:val="32"/>
          <w:szCs w:val="32"/>
        </w:rPr>
      </w:pPr>
      <w:r>
        <w:rPr>
          <w:rFonts w:ascii="Garamond" w:hAnsi="Garamond"/>
          <w:sz w:val="32"/>
          <w:szCs w:val="32"/>
        </w:rPr>
        <w:t xml:space="preserve">Numerosissimi sono stati </w:t>
      </w:r>
      <w:r w:rsidR="00FC197A" w:rsidRPr="002757C2">
        <w:rPr>
          <w:rFonts w:ascii="Garamond" w:hAnsi="Garamond"/>
          <w:sz w:val="32"/>
          <w:szCs w:val="32"/>
        </w:rPr>
        <w:t xml:space="preserve">gli studi dei </w:t>
      </w:r>
      <w:proofErr w:type="spellStart"/>
      <w:r w:rsidRPr="00C54681">
        <w:rPr>
          <w:rFonts w:ascii="Garamond" w:hAnsi="Garamond"/>
          <w:sz w:val="32"/>
          <w:szCs w:val="32"/>
        </w:rPr>
        <w:t>civil</w:t>
      </w:r>
      <w:r w:rsidR="00FC197A" w:rsidRPr="002757C2">
        <w:rPr>
          <w:rFonts w:ascii="Garamond" w:hAnsi="Garamond"/>
          <w:sz w:val="32"/>
          <w:szCs w:val="32"/>
        </w:rPr>
        <w:t>process</w:t>
      </w:r>
      <w:r>
        <w:rPr>
          <w:rFonts w:ascii="Garamond" w:hAnsi="Garamond"/>
          <w:sz w:val="32"/>
          <w:szCs w:val="32"/>
        </w:rPr>
        <w:t>ualisti</w:t>
      </w:r>
      <w:proofErr w:type="spellEnd"/>
      <w:r w:rsidR="00FC197A" w:rsidRPr="002757C2">
        <w:rPr>
          <w:rFonts w:ascii="Garamond" w:hAnsi="Garamond"/>
          <w:sz w:val="32"/>
          <w:szCs w:val="32"/>
        </w:rPr>
        <w:t xml:space="preserve"> prima e</w:t>
      </w:r>
      <w:r>
        <w:rPr>
          <w:rFonts w:ascii="Garamond" w:hAnsi="Garamond"/>
          <w:sz w:val="32"/>
          <w:szCs w:val="32"/>
        </w:rPr>
        <w:t xml:space="preserve"> dei cultori del diritto processuale </w:t>
      </w:r>
      <w:r w:rsidR="00FC197A" w:rsidRPr="002757C2">
        <w:rPr>
          <w:rFonts w:ascii="Garamond" w:hAnsi="Garamond"/>
          <w:sz w:val="32"/>
          <w:szCs w:val="32"/>
        </w:rPr>
        <w:t>amministrativo poi che hanno definito i contorni della fase cautelare</w:t>
      </w:r>
      <w:r>
        <w:rPr>
          <w:rFonts w:ascii="Garamond" w:hAnsi="Garamond"/>
          <w:sz w:val="32"/>
          <w:szCs w:val="32"/>
        </w:rPr>
        <w:t>. Senza ri</w:t>
      </w:r>
      <w:r w:rsidR="007A7838">
        <w:rPr>
          <w:rFonts w:ascii="Garamond" w:hAnsi="Garamond"/>
          <w:sz w:val="32"/>
          <w:szCs w:val="32"/>
        </w:rPr>
        <w:t>costruire</w:t>
      </w:r>
      <w:r>
        <w:rPr>
          <w:rFonts w:ascii="Garamond" w:hAnsi="Garamond"/>
          <w:sz w:val="32"/>
          <w:szCs w:val="32"/>
        </w:rPr>
        <w:t xml:space="preserve"> </w:t>
      </w:r>
      <w:r w:rsidR="00FC197A" w:rsidRPr="002757C2">
        <w:rPr>
          <w:rFonts w:ascii="Garamond" w:hAnsi="Garamond"/>
          <w:sz w:val="32"/>
          <w:szCs w:val="32"/>
        </w:rPr>
        <w:t xml:space="preserve">nel dettaglio il percorso della </w:t>
      </w:r>
      <w:r>
        <w:rPr>
          <w:rFonts w:ascii="Garamond" w:hAnsi="Garamond"/>
          <w:sz w:val="32"/>
          <w:szCs w:val="32"/>
        </w:rPr>
        <w:t xml:space="preserve">dottrina e della </w:t>
      </w:r>
      <w:r w:rsidR="00FC197A" w:rsidRPr="002757C2">
        <w:rPr>
          <w:rFonts w:ascii="Garamond" w:hAnsi="Garamond"/>
          <w:sz w:val="32"/>
          <w:szCs w:val="32"/>
        </w:rPr>
        <w:t>giurisprudenza</w:t>
      </w:r>
      <w:r>
        <w:rPr>
          <w:rFonts w:ascii="Garamond" w:hAnsi="Garamond"/>
          <w:sz w:val="32"/>
          <w:szCs w:val="32"/>
        </w:rPr>
        <w:t>, per comprendere lo sviluppo della tutela cautelare dinanzi al giudice amministrativo, è sufficiente prendere le mosse</w:t>
      </w:r>
      <w:r w:rsidR="00FC197A" w:rsidRPr="002757C2">
        <w:rPr>
          <w:rFonts w:ascii="Garamond" w:hAnsi="Garamond"/>
          <w:sz w:val="32"/>
          <w:szCs w:val="32"/>
        </w:rPr>
        <w:t xml:space="preserve"> dalle scarne indicazioni dell’articolo 21 della legge</w:t>
      </w:r>
      <w:r w:rsidR="00DC3A3A" w:rsidRPr="002757C2">
        <w:rPr>
          <w:rFonts w:ascii="Garamond" w:hAnsi="Garamond"/>
          <w:sz w:val="32"/>
          <w:szCs w:val="32"/>
        </w:rPr>
        <w:t xml:space="preserve"> 6 dicembre 1971, n. 1034</w:t>
      </w:r>
      <w:r w:rsidR="006553D1">
        <w:rPr>
          <w:rFonts w:ascii="Garamond" w:hAnsi="Garamond"/>
          <w:sz w:val="32"/>
          <w:szCs w:val="32"/>
        </w:rPr>
        <w:t>,</w:t>
      </w:r>
      <w:r w:rsidR="00FE0760" w:rsidRPr="002757C2">
        <w:rPr>
          <w:rFonts w:ascii="Garamond" w:hAnsi="Garamond"/>
          <w:sz w:val="32"/>
          <w:szCs w:val="32"/>
        </w:rPr>
        <w:t xml:space="preserve"> </w:t>
      </w:r>
      <w:r>
        <w:rPr>
          <w:rFonts w:ascii="Garamond" w:hAnsi="Garamond"/>
          <w:sz w:val="32"/>
          <w:szCs w:val="32"/>
        </w:rPr>
        <w:t xml:space="preserve">per </w:t>
      </w:r>
      <w:r w:rsidR="007A7838">
        <w:rPr>
          <w:rFonts w:ascii="Garamond" w:hAnsi="Garamond"/>
          <w:sz w:val="32"/>
          <w:szCs w:val="32"/>
        </w:rPr>
        <w:t>delineare</w:t>
      </w:r>
      <w:r>
        <w:rPr>
          <w:rFonts w:ascii="Garamond" w:hAnsi="Garamond"/>
          <w:sz w:val="32"/>
          <w:szCs w:val="32"/>
        </w:rPr>
        <w:t xml:space="preserve"> l’itinerario che ha portato (attraverso la modifica del medesimo articolo 21 ad</w:t>
      </w:r>
      <w:r w:rsidR="00EB78FF">
        <w:rPr>
          <w:rFonts w:ascii="Garamond" w:hAnsi="Garamond"/>
          <w:sz w:val="32"/>
          <w:szCs w:val="32"/>
        </w:rPr>
        <w:t xml:space="preserve"> </w:t>
      </w:r>
      <w:r>
        <w:rPr>
          <w:rFonts w:ascii="Garamond" w:hAnsi="Garamond"/>
          <w:sz w:val="32"/>
          <w:szCs w:val="32"/>
        </w:rPr>
        <w:t>opera</w:t>
      </w:r>
      <w:r w:rsidR="00EB78FF">
        <w:rPr>
          <w:rFonts w:ascii="Garamond" w:hAnsi="Garamond"/>
          <w:sz w:val="32"/>
          <w:szCs w:val="32"/>
        </w:rPr>
        <w:t xml:space="preserve"> dell’articolo </w:t>
      </w:r>
      <w:r w:rsidR="00EB78FF" w:rsidRPr="00EB78FF">
        <w:rPr>
          <w:rFonts w:ascii="Garamond" w:hAnsi="Garamond"/>
          <w:sz w:val="32"/>
          <w:szCs w:val="32"/>
        </w:rPr>
        <w:t>3</w:t>
      </w:r>
      <w:r w:rsidR="00EB78FF">
        <w:rPr>
          <w:rFonts w:ascii="Garamond" w:hAnsi="Garamond"/>
          <w:sz w:val="32"/>
          <w:szCs w:val="32"/>
        </w:rPr>
        <w:t xml:space="preserve"> della legge </w:t>
      </w:r>
      <w:r w:rsidR="00EB78FF" w:rsidRPr="00EB78FF">
        <w:rPr>
          <w:rFonts w:ascii="Garamond" w:hAnsi="Garamond"/>
          <w:sz w:val="32"/>
          <w:szCs w:val="32"/>
        </w:rPr>
        <w:t>21 luglio 2000, n. 205</w:t>
      </w:r>
      <w:r w:rsidR="00EB78FF">
        <w:rPr>
          <w:rFonts w:ascii="Garamond" w:hAnsi="Garamond"/>
          <w:sz w:val="32"/>
          <w:szCs w:val="32"/>
        </w:rPr>
        <w:t xml:space="preserve">, e l’introduzione del codice del processo amministrativo, in ispecie dell’articolo 55 e seguenti) </w:t>
      </w:r>
      <w:r w:rsidR="00FE0760" w:rsidRPr="002757C2">
        <w:rPr>
          <w:rFonts w:ascii="Garamond" w:hAnsi="Garamond"/>
          <w:sz w:val="32"/>
          <w:szCs w:val="32"/>
        </w:rPr>
        <w:t>ad un sistema di tutela provvisoria molto flessibile in cui non sono tipizzate le possibili misure adottabili dal collegio.</w:t>
      </w:r>
    </w:p>
    <w:p w:rsidR="00FE0760" w:rsidRDefault="00B93BBE" w:rsidP="00B060D9">
      <w:pPr>
        <w:ind w:left="708"/>
        <w:jc w:val="both"/>
        <w:rPr>
          <w:rFonts w:ascii="Garamond" w:hAnsi="Garamond"/>
          <w:sz w:val="32"/>
          <w:szCs w:val="32"/>
        </w:rPr>
      </w:pPr>
      <w:r>
        <w:rPr>
          <w:rFonts w:ascii="Garamond" w:hAnsi="Garamond"/>
          <w:sz w:val="32"/>
          <w:szCs w:val="32"/>
        </w:rPr>
        <w:t>Per cogliere questi aspetti, b</w:t>
      </w:r>
      <w:r w:rsidR="00FE0760" w:rsidRPr="002757C2">
        <w:rPr>
          <w:rFonts w:ascii="Garamond" w:hAnsi="Garamond"/>
          <w:sz w:val="32"/>
          <w:szCs w:val="32"/>
        </w:rPr>
        <w:t xml:space="preserve">asta raffrontare la formulazione degli articoli </w:t>
      </w:r>
      <w:proofErr w:type="gramStart"/>
      <w:r w:rsidR="00FE0760" w:rsidRPr="002757C2">
        <w:rPr>
          <w:rFonts w:ascii="Garamond" w:hAnsi="Garamond"/>
          <w:sz w:val="32"/>
          <w:szCs w:val="32"/>
        </w:rPr>
        <w:t>relativi</w:t>
      </w:r>
      <w:proofErr w:type="gramEnd"/>
      <w:r w:rsidR="00FE0760" w:rsidRPr="002757C2">
        <w:rPr>
          <w:rFonts w:ascii="Garamond" w:hAnsi="Garamond"/>
          <w:sz w:val="32"/>
          <w:szCs w:val="32"/>
        </w:rPr>
        <w:t xml:space="preserve"> per quanto riguarda, da un lato, la domanda cautelare e, dall’altro, la decisione del giudice.</w:t>
      </w:r>
    </w:p>
    <w:p w:rsidR="00B93BBE" w:rsidRDefault="00B93BBE" w:rsidP="00B060D9">
      <w:pPr>
        <w:ind w:left="708"/>
        <w:jc w:val="both"/>
        <w:rPr>
          <w:rFonts w:ascii="Garamond" w:hAnsi="Garamond"/>
          <w:sz w:val="32"/>
          <w:szCs w:val="32"/>
        </w:rPr>
      </w:pPr>
      <w:r>
        <w:rPr>
          <w:rFonts w:ascii="Garamond" w:hAnsi="Garamond"/>
          <w:sz w:val="32"/>
          <w:szCs w:val="32"/>
        </w:rPr>
        <w:t xml:space="preserve">Per l’originario settimo comma della legge n. </w:t>
      </w:r>
      <w:r w:rsidRPr="00B93BBE">
        <w:rPr>
          <w:rFonts w:ascii="Garamond" w:hAnsi="Garamond"/>
          <w:sz w:val="32"/>
          <w:szCs w:val="32"/>
        </w:rPr>
        <w:t>1034/1971</w:t>
      </w:r>
      <w:r>
        <w:rPr>
          <w:rFonts w:ascii="Garamond" w:hAnsi="Garamond"/>
          <w:sz w:val="32"/>
          <w:szCs w:val="32"/>
        </w:rPr>
        <w:t xml:space="preserve"> la tutela cautelare si esauriva nella sospensiva poiché i danni gravi e irreparabili</w:t>
      </w:r>
      <w:r w:rsidR="0062212F">
        <w:rPr>
          <w:rFonts w:ascii="Garamond" w:hAnsi="Garamond"/>
          <w:sz w:val="32"/>
          <w:szCs w:val="32"/>
        </w:rPr>
        <w:t xml:space="preserve"> erano collegati esclusivamente </w:t>
      </w:r>
      <w:r w:rsidR="0062212F" w:rsidRPr="0062212F">
        <w:rPr>
          <w:rFonts w:ascii="Garamond" w:hAnsi="Garamond"/>
          <w:sz w:val="32"/>
          <w:szCs w:val="32"/>
        </w:rPr>
        <w:t>all</w:t>
      </w:r>
      <w:r w:rsidR="0062212F">
        <w:rPr>
          <w:rFonts w:ascii="Garamond" w:hAnsi="Garamond"/>
          <w:sz w:val="32"/>
          <w:szCs w:val="32"/>
        </w:rPr>
        <w:t>a “</w:t>
      </w:r>
      <w:r w:rsidR="0062212F" w:rsidRPr="0062212F">
        <w:rPr>
          <w:rFonts w:ascii="Garamond" w:hAnsi="Garamond"/>
          <w:sz w:val="32"/>
          <w:szCs w:val="32"/>
        </w:rPr>
        <w:t>esecuzione dell'atto</w:t>
      </w:r>
      <w:r w:rsidR="0062212F">
        <w:rPr>
          <w:rFonts w:ascii="Garamond" w:hAnsi="Garamond"/>
          <w:sz w:val="32"/>
          <w:szCs w:val="32"/>
        </w:rPr>
        <w:t>”</w:t>
      </w:r>
      <w:r w:rsidR="00DB6BC3">
        <w:rPr>
          <w:rFonts w:ascii="Garamond" w:hAnsi="Garamond"/>
          <w:sz w:val="32"/>
          <w:szCs w:val="32"/>
        </w:rPr>
        <w:t xml:space="preserve">; </w:t>
      </w:r>
      <w:r w:rsidR="00DB6BC3" w:rsidRPr="00DB6BC3">
        <w:rPr>
          <w:rFonts w:ascii="Garamond" w:hAnsi="Garamond"/>
          <w:sz w:val="32"/>
          <w:szCs w:val="32"/>
        </w:rPr>
        <w:t>la legge</w:t>
      </w:r>
      <w:r w:rsidR="000C32F5" w:rsidRPr="000C32F5">
        <w:t xml:space="preserve"> </w:t>
      </w:r>
      <w:r w:rsidR="000C32F5" w:rsidRPr="000C32F5">
        <w:rPr>
          <w:rFonts w:ascii="Garamond" w:hAnsi="Garamond"/>
          <w:sz w:val="32"/>
          <w:szCs w:val="32"/>
        </w:rPr>
        <w:t xml:space="preserve">n. </w:t>
      </w:r>
      <w:r w:rsidR="00DB6BC3" w:rsidRPr="00DB6BC3">
        <w:rPr>
          <w:rFonts w:ascii="Garamond" w:hAnsi="Garamond"/>
          <w:sz w:val="32"/>
          <w:szCs w:val="32"/>
        </w:rPr>
        <w:t>205/2000</w:t>
      </w:r>
      <w:r w:rsidR="000C32F5">
        <w:rPr>
          <w:rFonts w:ascii="Garamond" w:hAnsi="Garamond"/>
          <w:sz w:val="32"/>
          <w:szCs w:val="32"/>
        </w:rPr>
        <w:t xml:space="preserve"> non precisa il contenuto dell’ordinanza</w:t>
      </w:r>
      <w:r w:rsidR="00F450B3">
        <w:rPr>
          <w:rFonts w:ascii="Garamond" w:hAnsi="Garamond"/>
          <w:sz w:val="32"/>
          <w:szCs w:val="32"/>
        </w:rPr>
        <w:t xml:space="preserve">, </w:t>
      </w:r>
      <w:r w:rsidR="0062212F">
        <w:rPr>
          <w:rFonts w:ascii="Garamond" w:hAnsi="Garamond"/>
          <w:sz w:val="32"/>
          <w:szCs w:val="32"/>
        </w:rPr>
        <w:t xml:space="preserve">che contiene in ogni </w:t>
      </w:r>
      <w:r w:rsidR="0001598B">
        <w:rPr>
          <w:rFonts w:ascii="Garamond" w:hAnsi="Garamond"/>
          <w:sz w:val="32"/>
          <w:szCs w:val="32"/>
        </w:rPr>
        <w:t>c</w:t>
      </w:r>
      <w:r w:rsidR="0062212F">
        <w:rPr>
          <w:rFonts w:ascii="Garamond" w:hAnsi="Garamond"/>
          <w:sz w:val="32"/>
          <w:szCs w:val="32"/>
        </w:rPr>
        <w:t>aso le misure “</w:t>
      </w:r>
      <w:r w:rsidR="0062212F" w:rsidRPr="0062212F">
        <w:rPr>
          <w:rFonts w:ascii="Garamond" w:hAnsi="Garamond"/>
          <w:sz w:val="32"/>
          <w:szCs w:val="32"/>
        </w:rPr>
        <w:t>più idonee ad assicurare interinalmente gli effetti della decisione</w:t>
      </w:r>
      <w:r w:rsidR="0062212F">
        <w:rPr>
          <w:rFonts w:ascii="Garamond" w:hAnsi="Garamond"/>
          <w:sz w:val="32"/>
          <w:szCs w:val="32"/>
        </w:rPr>
        <w:t>”</w:t>
      </w:r>
      <w:r w:rsidR="007C79E3">
        <w:rPr>
          <w:rFonts w:ascii="Garamond" w:hAnsi="Garamond"/>
          <w:sz w:val="32"/>
          <w:szCs w:val="32"/>
        </w:rPr>
        <w:t xml:space="preserve">, </w:t>
      </w:r>
      <w:r w:rsidR="0062212F">
        <w:rPr>
          <w:rFonts w:ascii="Garamond" w:hAnsi="Garamond"/>
          <w:sz w:val="32"/>
          <w:szCs w:val="32"/>
        </w:rPr>
        <w:t xml:space="preserve">al limite </w:t>
      </w:r>
      <w:r w:rsidR="007C79E3">
        <w:rPr>
          <w:rFonts w:ascii="Garamond" w:hAnsi="Garamond"/>
          <w:sz w:val="32"/>
          <w:szCs w:val="32"/>
        </w:rPr>
        <w:t xml:space="preserve">suscettibili di </w:t>
      </w:r>
      <w:r w:rsidR="0062212F">
        <w:rPr>
          <w:rFonts w:ascii="Garamond" w:hAnsi="Garamond"/>
          <w:sz w:val="32"/>
          <w:szCs w:val="32"/>
        </w:rPr>
        <w:t>produrre effetti irreversibili</w:t>
      </w:r>
      <w:r w:rsidR="007C79E3">
        <w:rPr>
          <w:rFonts w:ascii="Garamond" w:hAnsi="Garamond"/>
          <w:sz w:val="32"/>
          <w:szCs w:val="32"/>
        </w:rPr>
        <w:t>, destinate ad evitare “</w:t>
      </w:r>
      <w:r w:rsidR="007C79E3" w:rsidRPr="007C79E3">
        <w:rPr>
          <w:rFonts w:ascii="Garamond" w:hAnsi="Garamond"/>
          <w:sz w:val="32"/>
          <w:szCs w:val="32"/>
        </w:rPr>
        <w:t>un pregiudizio grave e irreparabile derivante dall'esecuzione dell'atto impugnato, ovvero dal comportamento inerte dell'amministrazione</w:t>
      </w:r>
      <w:r w:rsidR="007C79E3">
        <w:rPr>
          <w:rFonts w:ascii="Garamond" w:hAnsi="Garamond"/>
          <w:sz w:val="32"/>
          <w:szCs w:val="32"/>
        </w:rPr>
        <w:t xml:space="preserve">” in attesa della definizione del giudizio. Infine, </w:t>
      </w:r>
      <w:r w:rsidR="007C79E3" w:rsidRPr="007C79E3">
        <w:rPr>
          <w:rFonts w:ascii="Garamond" w:hAnsi="Garamond"/>
          <w:sz w:val="32"/>
          <w:szCs w:val="32"/>
        </w:rPr>
        <w:t>l’articolo 55</w:t>
      </w:r>
      <w:r w:rsidR="0062212F" w:rsidRPr="0062212F">
        <w:rPr>
          <w:rFonts w:ascii="Garamond" w:hAnsi="Garamond"/>
          <w:sz w:val="32"/>
          <w:szCs w:val="32"/>
        </w:rPr>
        <w:t xml:space="preserve"> </w:t>
      </w:r>
      <w:r w:rsidR="007C79E3" w:rsidRPr="007C79E3">
        <w:rPr>
          <w:rFonts w:ascii="Garamond" w:hAnsi="Garamond"/>
          <w:sz w:val="32"/>
          <w:szCs w:val="32"/>
        </w:rPr>
        <w:t>del codice del processo amministrativo</w:t>
      </w:r>
      <w:r w:rsidR="007C79E3">
        <w:rPr>
          <w:rFonts w:ascii="Garamond" w:hAnsi="Garamond"/>
          <w:sz w:val="32"/>
          <w:szCs w:val="32"/>
        </w:rPr>
        <w:t xml:space="preserve"> fornisce una </w:t>
      </w:r>
      <w:r w:rsidR="007C79E3">
        <w:rPr>
          <w:rFonts w:ascii="Garamond" w:hAnsi="Garamond"/>
          <w:sz w:val="32"/>
          <w:szCs w:val="32"/>
        </w:rPr>
        <w:lastRenderedPageBreak/>
        <w:t>definizione di danno del tutto generica, legata solo al “tempo” del processo</w:t>
      </w:r>
      <w:r w:rsidR="00F450B3">
        <w:rPr>
          <w:rFonts w:ascii="Garamond" w:hAnsi="Garamond"/>
          <w:sz w:val="32"/>
          <w:szCs w:val="32"/>
        </w:rPr>
        <w:t xml:space="preserve"> </w:t>
      </w:r>
      <w:r w:rsidR="009121C0">
        <w:rPr>
          <w:rFonts w:ascii="Garamond" w:hAnsi="Garamond"/>
          <w:sz w:val="32"/>
          <w:szCs w:val="32"/>
        </w:rPr>
        <w:t>(“</w:t>
      </w:r>
      <w:r w:rsidR="009121C0" w:rsidRPr="009121C0">
        <w:rPr>
          <w:rFonts w:ascii="Garamond" w:hAnsi="Garamond"/>
          <w:sz w:val="32"/>
          <w:szCs w:val="32"/>
        </w:rPr>
        <w:t>un pregiudizio grave e irreparabile durante il tempo necessario a giungere alla decisione sul ricorso</w:t>
      </w:r>
      <w:r w:rsidR="009121C0">
        <w:rPr>
          <w:rFonts w:ascii="Garamond" w:hAnsi="Garamond"/>
          <w:sz w:val="32"/>
          <w:szCs w:val="32"/>
        </w:rPr>
        <w:t>”).</w:t>
      </w:r>
    </w:p>
    <w:p w:rsidR="00DC3A3A" w:rsidRPr="002757C2" w:rsidRDefault="009121C0" w:rsidP="00B060D9">
      <w:pPr>
        <w:ind w:left="708"/>
        <w:jc w:val="both"/>
        <w:rPr>
          <w:rFonts w:ascii="Garamond" w:hAnsi="Garamond"/>
          <w:sz w:val="32"/>
          <w:szCs w:val="32"/>
        </w:rPr>
      </w:pPr>
      <w:r>
        <w:rPr>
          <w:rFonts w:ascii="Garamond" w:hAnsi="Garamond"/>
          <w:sz w:val="32"/>
          <w:szCs w:val="32"/>
        </w:rPr>
        <w:t>È indubitabile che l</w:t>
      </w:r>
      <w:r w:rsidR="00BD339F" w:rsidRPr="002757C2">
        <w:rPr>
          <w:rFonts w:ascii="Garamond" w:hAnsi="Garamond"/>
          <w:sz w:val="32"/>
          <w:szCs w:val="32"/>
        </w:rPr>
        <w:t xml:space="preserve">’esigenza sottesa alla tutela cautelare </w:t>
      </w:r>
      <w:r>
        <w:rPr>
          <w:rFonts w:ascii="Garamond" w:hAnsi="Garamond"/>
          <w:sz w:val="32"/>
          <w:szCs w:val="32"/>
        </w:rPr>
        <w:t>sia</w:t>
      </w:r>
      <w:r w:rsidR="00BD339F" w:rsidRPr="002757C2">
        <w:rPr>
          <w:rFonts w:ascii="Garamond" w:hAnsi="Garamond"/>
          <w:sz w:val="32"/>
          <w:szCs w:val="32"/>
        </w:rPr>
        <w:t xml:space="preserve"> sempre la stessa in tutti i casi di giurisdizione di diritto soggettivo: assicurare che la durata del processo di merito non vada in danno a chi (attore/ricorrente) ha ragione</w:t>
      </w:r>
      <w:r>
        <w:rPr>
          <w:rFonts w:ascii="Garamond" w:hAnsi="Garamond"/>
          <w:sz w:val="32"/>
          <w:szCs w:val="32"/>
        </w:rPr>
        <w:t xml:space="preserve">, per usare la classica espressione </w:t>
      </w:r>
      <w:proofErr w:type="spellStart"/>
      <w:r>
        <w:rPr>
          <w:rFonts w:ascii="Garamond" w:hAnsi="Garamond"/>
          <w:sz w:val="32"/>
          <w:szCs w:val="32"/>
        </w:rPr>
        <w:t>c</w:t>
      </w:r>
      <w:r w:rsidR="00BD339F" w:rsidRPr="002757C2">
        <w:rPr>
          <w:rFonts w:ascii="Garamond" w:hAnsi="Garamond"/>
          <w:sz w:val="32"/>
          <w:szCs w:val="32"/>
        </w:rPr>
        <w:t>hiovenda</w:t>
      </w:r>
      <w:r>
        <w:rPr>
          <w:rFonts w:ascii="Garamond" w:hAnsi="Garamond"/>
          <w:sz w:val="32"/>
          <w:szCs w:val="32"/>
        </w:rPr>
        <w:t>na</w:t>
      </w:r>
      <w:proofErr w:type="spellEnd"/>
      <w:r w:rsidR="00BD339F" w:rsidRPr="002757C2">
        <w:rPr>
          <w:rFonts w:ascii="Garamond" w:hAnsi="Garamond"/>
          <w:sz w:val="32"/>
          <w:szCs w:val="32"/>
        </w:rPr>
        <w:t>.</w:t>
      </w:r>
    </w:p>
    <w:p w:rsidR="00BD339F" w:rsidRPr="002757C2" w:rsidRDefault="00BD339F" w:rsidP="00B060D9">
      <w:pPr>
        <w:ind w:left="708"/>
        <w:jc w:val="both"/>
        <w:rPr>
          <w:rFonts w:ascii="Garamond" w:hAnsi="Garamond"/>
          <w:sz w:val="32"/>
          <w:szCs w:val="32"/>
        </w:rPr>
      </w:pPr>
      <w:r w:rsidRPr="002757C2">
        <w:rPr>
          <w:rFonts w:ascii="Garamond" w:hAnsi="Garamond"/>
          <w:sz w:val="32"/>
          <w:szCs w:val="32"/>
        </w:rPr>
        <w:t>L’importanza della cautela è quindi correlata all’insieme della struttura del processo che</w:t>
      </w:r>
      <w:r w:rsidR="009121C0">
        <w:rPr>
          <w:rFonts w:ascii="Garamond" w:hAnsi="Garamond"/>
          <w:sz w:val="32"/>
          <w:szCs w:val="32"/>
        </w:rPr>
        <w:t>,</w:t>
      </w:r>
      <w:r w:rsidRPr="002757C2">
        <w:rPr>
          <w:rFonts w:ascii="Garamond" w:hAnsi="Garamond"/>
          <w:sz w:val="32"/>
          <w:szCs w:val="32"/>
        </w:rPr>
        <w:t xml:space="preserve"> nella sua visione paradigmatica</w:t>
      </w:r>
      <w:r w:rsidR="009121C0">
        <w:rPr>
          <w:rFonts w:ascii="Garamond" w:hAnsi="Garamond"/>
          <w:sz w:val="32"/>
          <w:szCs w:val="32"/>
        </w:rPr>
        <w:t>,</w:t>
      </w:r>
      <w:r w:rsidRPr="002757C2">
        <w:rPr>
          <w:rFonts w:ascii="Garamond" w:hAnsi="Garamond"/>
          <w:sz w:val="32"/>
          <w:szCs w:val="32"/>
        </w:rPr>
        <w:t xml:space="preserve"> è un</w:t>
      </w:r>
      <w:r w:rsidR="00F27D29" w:rsidRPr="002757C2">
        <w:rPr>
          <w:rFonts w:ascii="Garamond" w:hAnsi="Garamond"/>
          <w:sz w:val="32"/>
          <w:szCs w:val="32"/>
        </w:rPr>
        <w:t xml:space="preserve"> meccanismo complesso </w:t>
      </w:r>
      <w:r w:rsidRPr="002757C2">
        <w:rPr>
          <w:rFonts w:ascii="Garamond" w:hAnsi="Garamond"/>
          <w:sz w:val="32"/>
          <w:szCs w:val="32"/>
        </w:rPr>
        <w:t>in cui devono essere garantiti il contraddittorio</w:t>
      </w:r>
      <w:r w:rsidR="009121C0">
        <w:rPr>
          <w:rFonts w:ascii="Garamond" w:hAnsi="Garamond"/>
          <w:sz w:val="32"/>
          <w:szCs w:val="32"/>
        </w:rPr>
        <w:t>,</w:t>
      </w:r>
      <w:r w:rsidRPr="002757C2">
        <w:rPr>
          <w:rFonts w:ascii="Garamond" w:hAnsi="Garamond"/>
          <w:sz w:val="32"/>
          <w:szCs w:val="32"/>
        </w:rPr>
        <w:t xml:space="preserve"> il pieno diritto di difesa e la possibilità di accertare compiutamente i fatti rilevanti</w:t>
      </w:r>
      <w:r w:rsidR="00F27D29" w:rsidRPr="002757C2">
        <w:rPr>
          <w:rFonts w:ascii="Garamond" w:hAnsi="Garamond"/>
          <w:sz w:val="32"/>
          <w:szCs w:val="32"/>
        </w:rPr>
        <w:t xml:space="preserve"> per giungere alla decisione della causa</w:t>
      </w:r>
      <w:r w:rsidRPr="002757C2">
        <w:rPr>
          <w:rFonts w:ascii="Garamond" w:hAnsi="Garamond"/>
          <w:sz w:val="32"/>
          <w:szCs w:val="32"/>
        </w:rPr>
        <w:t>.</w:t>
      </w:r>
    </w:p>
    <w:p w:rsidR="00130AFA" w:rsidRPr="002757C2" w:rsidRDefault="00130AFA" w:rsidP="00B060D9">
      <w:pPr>
        <w:ind w:left="708"/>
        <w:jc w:val="both"/>
        <w:rPr>
          <w:rFonts w:ascii="Garamond" w:hAnsi="Garamond"/>
          <w:sz w:val="32"/>
          <w:szCs w:val="32"/>
        </w:rPr>
      </w:pPr>
      <w:r w:rsidRPr="002757C2">
        <w:rPr>
          <w:rFonts w:ascii="Garamond" w:hAnsi="Garamond"/>
          <w:sz w:val="32"/>
          <w:szCs w:val="32"/>
        </w:rPr>
        <w:t xml:space="preserve">Dalla premessa si traggono </w:t>
      </w:r>
      <w:r w:rsidR="009121C0">
        <w:rPr>
          <w:rFonts w:ascii="Garamond" w:hAnsi="Garamond"/>
          <w:sz w:val="32"/>
          <w:szCs w:val="32"/>
        </w:rPr>
        <w:t>alcune</w:t>
      </w:r>
      <w:r w:rsidRPr="002757C2">
        <w:rPr>
          <w:rFonts w:ascii="Garamond" w:hAnsi="Garamond"/>
          <w:sz w:val="32"/>
          <w:szCs w:val="32"/>
        </w:rPr>
        <w:t xml:space="preserve"> conseguenze</w:t>
      </w:r>
      <w:r w:rsidR="009121C0">
        <w:rPr>
          <w:rFonts w:ascii="Garamond" w:hAnsi="Garamond"/>
          <w:sz w:val="32"/>
          <w:szCs w:val="32"/>
        </w:rPr>
        <w:t>.</w:t>
      </w:r>
      <w:r w:rsidRPr="002757C2">
        <w:rPr>
          <w:rFonts w:ascii="Garamond" w:hAnsi="Garamond"/>
          <w:sz w:val="32"/>
          <w:szCs w:val="32"/>
        </w:rPr>
        <w:t xml:space="preserve"> </w:t>
      </w:r>
    </w:p>
    <w:p w:rsidR="009121C0" w:rsidRDefault="009121C0" w:rsidP="00B060D9">
      <w:pPr>
        <w:ind w:left="708"/>
        <w:jc w:val="both"/>
        <w:rPr>
          <w:rFonts w:ascii="Garamond" w:hAnsi="Garamond"/>
          <w:sz w:val="32"/>
          <w:szCs w:val="32"/>
        </w:rPr>
      </w:pPr>
      <w:r>
        <w:rPr>
          <w:rFonts w:ascii="Garamond" w:hAnsi="Garamond"/>
          <w:sz w:val="32"/>
          <w:szCs w:val="32"/>
        </w:rPr>
        <w:t xml:space="preserve">In primo luogo, questa </w:t>
      </w:r>
      <w:r w:rsidR="00F27D29" w:rsidRPr="002757C2">
        <w:rPr>
          <w:rFonts w:ascii="Garamond" w:hAnsi="Garamond"/>
          <w:sz w:val="32"/>
          <w:szCs w:val="32"/>
        </w:rPr>
        <w:t xml:space="preserve">correlazione comporta che la rilevanza del ruolo della misura cautelare dipenda dalle attese sulla durata del processo, a sua volta </w:t>
      </w:r>
      <w:r w:rsidR="00904E5F">
        <w:rPr>
          <w:rFonts w:ascii="Garamond" w:hAnsi="Garamond"/>
          <w:sz w:val="32"/>
          <w:szCs w:val="32"/>
        </w:rPr>
        <w:t xml:space="preserve">determinata dalla </w:t>
      </w:r>
      <w:r w:rsidR="00F27D29" w:rsidRPr="002757C2">
        <w:rPr>
          <w:rFonts w:ascii="Garamond" w:hAnsi="Garamond"/>
          <w:sz w:val="32"/>
          <w:szCs w:val="32"/>
        </w:rPr>
        <w:t xml:space="preserve">sufficienza </w:t>
      </w:r>
      <w:r w:rsidR="00904E5F">
        <w:rPr>
          <w:rFonts w:ascii="Garamond" w:hAnsi="Garamond"/>
          <w:sz w:val="32"/>
          <w:szCs w:val="32"/>
        </w:rPr>
        <w:t xml:space="preserve">o meno </w:t>
      </w:r>
      <w:r w:rsidR="00F27D29" w:rsidRPr="002757C2">
        <w:rPr>
          <w:rFonts w:ascii="Garamond" w:hAnsi="Garamond"/>
          <w:sz w:val="32"/>
          <w:szCs w:val="32"/>
        </w:rPr>
        <w:t>dei mezzi, sia materiali sia di personale, apprestati per far fronte ad una domanda di giustizia che negli anni è sempre cresciuta per vari motivi</w:t>
      </w:r>
      <w:r w:rsidR="00622C0D">
        <w:rPr>
          <w:rStyle w:val="Rimandonotaapidipagina"/>
          <w:rFonts w:ascii="Garamond" w:hAnsi="Garamond"/>
          <w:sz w:val="32"/>
          <w:szCs w:val="32"/>
        </w:rPr>
        <w:footnoteReference w:id="2"/>
      </w:r>
      <w:r w:rsidR="00F27D29" w:rsidRPr="002757C2">
        <w:rPr>
          <w:rFonts w:ascii="Garamond" w:hAnsi="Garamond"/>
          <w:sz w:val="32"/>
          <w:szCs w:val="32"/>
        </w:rPr>
        <w:t>.</w:t>
      </w:r>
      <w:r>
        <w:rPr>
          <w:rFonts w:ascii="Garamond" w:hAnsi="Garamond"/>
          <w:sz w:val="32"/>
          <w:szCs w:val="32"/>
        </w:rPr>
        <w:t xml:space="preserve"> </w:t>
      </w:r>
      <w:r w:rsidR="00F27D29" w:rsidRPr="002757C2">
        <w:rPr>
          <w:rFonts w:ascii="Garamond" w:hAnsi="Garamond"/>
          <w:sz w:val="32"/>
          <w:szCs w:val="32"/>
        </w:rPr>
        <w:t xml:space="preserve">Tra questi </w:t>
      </w:r>
      <w:r w:rsidR="00130AFA" w:rsidRPr="002757C2">
        <w:rPr>
          <w:rFonts w:ascii="Garamond" w:hAnsi="Garamond"/>
          <w:sz w:val="32"/>
          <w:szCs w:val="32"/>
        </w:rPr>
        <w:t>la crisi della decisione pubblica. Essa comporta una sorta di delega al giudice della risoluzione dei conflitti sociali che dovrebbero invece trovare una loro composizione a livello politico, legislativo e amministrativo</w:t>
      </w:r>
      <w:r w:rsidR="00613F19">
        <w:rPr>
          <w:rStyle w:val="Rimandonotaapidipagina"/>
          <w:rFonts w:ascii="Garamond" w:hAnsi="Garamond"/>
          <w:sz w:val="32"/>
          <w:szCs w:val="32"/>
        </w:rPr>
        <w:footnoteReference w:id="3"/>
      </w:r>
      <w:r w:rsidR="00130AFA" w:rsidRPr="002757C2">
        <w:rPr>
          <w:rFonts w:ascii="Garamond" w:hAnsi="Garamond"/>
          <w:sz w:val="32"/>
          <w:szCs w:val="32"/>
        </w:rPr>
        <w:t xml:space="preserve">. Questo fenomeno </w:t>
      </w:r>
      <w:r w:rsidR="00627FFC" w:rsidRPr="002757C2">
        <w:rPr>
          <w:rFonts w:ascii="Garamond" w:hAnsi="Garamond"/>
          <w:sz w:val="32"/>
          <w:szCs w:val="32"/>
        </w:rPr>
        <w:t xml:space="preserve">rappresenta probabilmente oggi </w:t>
      </w:r>
      <w:r w:rsidR="00904E5F">
        <w:rPr>
          <w:rFonts w:ascii="Garamond" w:hAnsi="Garamond"/>
          <w:sz w:val="32"/>
          <w:szCs w:val="32"/>
        </w:rPr>
        <w:t xml:space="preserve">il </w:t>
      </w:r>
      <w:r w:rsidR="00627FFC" w:rsidRPr="002757C2">
        <w:rPr>
          <w:rFonts w:ascii="Garamond" w:hAnsi="Garamond"/>
          <w:sz w:val="32"/>
          <w:szCs w:val="32"/>
        </w:rPr>
        <w:t>fattor</w:t>
      </w:r>
      <w:r w:rsidR="007A7838">
        <w:rPr>
          <w:rFonts w:ascii="Garamond" w:hAnsi="Garamond"/>
          <w:sz w:val="32"/>
          <w:szCs w:val="32"/>
        </w:rPr>
        <w:t>e più importante per spiegare l</w:t>
      </w:r>
      <w:r w:rsidR="00627FFC" w:rsidRPr="002757C2">
        <w:rPr>
          <w:rFonts w:ascii="Garamond" w:hAnsi="Garamond"/>
          <w:sz w:val="32"/>
          <w:szCs w:val="32"/>
        </w:rPr>
        <w:t>’ipertrofia della domanda di giustizia</w:t>
      </w:r>
      <w:r>
        <w:rPr>
          <w:rFonts w:ascii="Garamond" w:hAnsi="Garamond"/>
          <w:sz w:val="32"/>
          <w:szCs w:val="32"/>
        </w:rPr>
        <w:t>.</w:t>
      </w:r>
    </w:p>
    <w:p w:rsidR="00F27D29" w:rsidRPr="002757C2" w:rsidRDefault="009121C0" w:rsidP="00B060D9">
      <w:pPr>
        <w:ind w:left="708"/>
        <w:jc w:val="both"/>
        <w:rPr>
          <w:rFonts w:ascii="Garamond" w:hAnsi="Garamond"/>
          <w:sz w:val="32"/>
          <w:szCs w:val="32"/>
        </w:rPr>
      </w:pPr>
      <w:r w:rsidRPr="002757C2">
        <w:rPr>
          <w:rFonts w:ascii="Garamond" w:hAnsi="Garamond"/>
          <w:sz w:val="32"/>
          <w:szCs w:val="32"/>
        </w:rPr>
        <w:t xml:space="preserve">I </w:t>
      </w:r>
      <w:r w:rsidR="00627FFC" w:rsidRPr="002757C2">
        <w:rPr>
          <w:rFonts w:ascii="Garamond" w:hAnsi="Garamond"/>
          <w:sz w:val="32"/>
          <w:szCs w:val="32"/>
        </w:rPr>
        <w:t>fattori storici</w:t>
      </w:r>
      <w:r>
        <w:rPr>
          <w:rFonts w:ascii="Garamond" w:hAnsi="Garamond"/>
          <w:sz w:val="32"/>
          <w:szCs w:val="32"/>
        </w:rPr>
        <w:t xml:space="preserve"> dell’esplosione del contenzioso amministrativo, come la</w:t>
      </w:r>
      <w:r w:rsidR="00627FFC" w:rsidRPr="002757C2">
        <w:rPr>
          <w:rFonts w:ascii="Garamond" w:hAnsi="Garamond"/>
          <w:sz w:val="32"/>
          <w:szCs w:val="32"/>
        </w:rPr>
        <w:t xml:space="preserve"> sottovalutazione nelle</w:t>
      </w:r>
      <w:r>
        <w:rPr>
          <w:rFonts w:ascii="Garamond" w:hAnsi="Garamond"/>
          <w:sz w:val="32"/>
          <w:szCs w:val="32"/>
        </w:rPr>
        <w:t xml:space="preserve"> relative </w:t>
      </w:r>
      <w:r w:rsidR="00627FFC" w:rsidRPr="002757C2">
        <w:rPr>
          <w:rFonts w:ascii="Garamond" w:hAnsi="Garamond"/>
          <w:sz w:val="32"/>
          <w:szCs w:val="32"/>
        </w:rPr>
        <w:t>previsioni</w:t>
      </w:r>
      <w:r>
        <w:rPr>
          <w:rFonts w:ascii="Garamond" w:hAnsi="Garamond"/>
          <w:sz w:val="32"/>
          <w:szCs w:val="32"/>
        </w:rPr>
        <w:t xml:space="preserve"> iniziali </w:t>
      </w:r>
      <w:r w:rsidR="00627FFC" w:rsidRPr="002757C2">
        <w:rPr>
          <w:rFonts w:ascii="Garamond" w:hAnsi="Garamond"/>
          <w:sz w:val="32"/>
          <w:szCs w:val="32"/>
        </w:rPr>
        <w:t xml:space="preserve">che accompagnarono la legge istitutiva dei </w:t>
      </w:r>
      <w:r>
        <w:rPr>
          <w:rFonts w:ascii="Garamond" w:hAnsi="Garamond"/>
          <w:sz w:val="32"/>
          <w:szCs w:val="32"/>
        </w:rPr>
        <w:t xml:space="preserve">tribunali amministrativi e </w:t>
      </w:r>
      <w:r w:rsidR="00627FFC" w:rsidRPr="002757C2">
        <w:rPr>
          <w:rFonts w:ascii="Garamond" w:hAnsi="Garamond"/>
          <w:sz w:val="32"/>
          <w:szCs w:val="32"/>
        </w:rPr>
        <w:t xml:space="preserve">una serie di interventi legislativi in materia di pubblico impiego e di edilizia che fecero </w:t>
      </w:r>
      <w:r w:rsidR="00C0123B">
        <w:rPr>
          <w:rFonts w:ascii="Garamond" w:hAnsi="Garamond"/>
          <w:sz w:val="32"/>
          <w:szCs w:val="32"/>
        </w:rPr>
        <w:t>moltiplicare i ricorsi</w:t>
      </w:r>
      <w:r w:rsidR="00627FFC" w:rsidRPr="002757C2">
        <w:rPr>
          <w:rFonts w:ascii="Garamond" w:hAnsi="Garamond"/>
          <w:sz w:val="32"/>
          <w:szCs w:val="32"/>
        </w:rPr>
        <w:t xml:space="preserve">, soprattutto negli anni </w:t>
      </w:r>
      <w:r w:rsidR="00C0123B">
        <w:rPr>
          <w:rFonts w:ascii="Garamond" w:hAnsi="Garamond"/>
          <w:sz w:val="32"/>
          <w:szCs w:val="32"/>
        </w:rPr>
        <w:t>‘</w:t>
      </w:r>
      <w:r w:rsidR="00627FFC" w:rsidRPr="002757C2">
        <w:rPr>
          <w:rFonts w:ascii="Garamond" w:hAnsi="Garamond"/>
          <w:sz w:val="32"/>
          <w:szCs w:val="32"/>
        </w:rPr>
        <w:t>80</w:t>
      </w:r>
      <w:r w:rsidR="00C0123B">
        <w:rPr>
          <w:rFonts w:ascii="Garamond" w:hAnsi="Garamond"/>
          <w:sz w:val="32"/>
          <w:szCs w:val="32"/>
        </w:rPr>
        <w:t xml:space="preserve">, </w:t>
      </w:r>
      <w:r w:rsidR="00627FFC" w:rsidRPr="002757C2">
        <w:rPr>
          <w:rFonts w:ascii="Garamond" w:hAnsi="Garamond"/>
          <w:sz w:val="32"/>
          <w:szCs w:val="32"/>
        </w:rPr>
        <w:t xml:space="preserve">sono stati </w:t>
      </w:r>
      <w:r w:rsidR="00C0123B">
        <w:rPr>
          <w:rFonts w:ascii="Garamond" w:hAnsi="Garamond"/>
          <w:sz w:val="32"/>
          <w:szCs w:val="32"/>
        </w:rPr>
        <w:t xml:space="preserve">invece </w:t>
      </w:r>
      <w:r w:rsidR="00627FFC" w:rsidRPr="002757C2">
        <w:rPr>
          <w:rFonts w:ascii="Garamond" w:hAnsi="Garamond"/>
          <w:sz w:val="32"/>
          <w:szCs w:val="32"/>
        </w:rPr>
        <w:t>in parte superati di fatto o</w:t>
      </w:r>
      <w:r w:rsidR="001E3F73">
        <w:rPr>
          <w:rFonts w:ascii="Garamond" w:hAnsi="Garamond"/>
          <w:sz w:val="32"/>
          <w:szCs w:val="32"/>
        </w:rPr>
        <w:t xml:space="preserve"> </w:t>
      </w:r>
      <w:r w:rsidR="00627FFC" w:rsidRPr="002757C2">
        <w:rPr>
          <w:rFonts w:ascii="Garamond" w:hAnsi="Garamond"/>
          <w:sz w:val="32"/>
          <w:szCs w:val="32"/>
        </w:rPr>
        <w:t>normativamente</w:t>
      </w:r>
      <w:r w:rsidR="00C0123B">
        <w:rPr>
          <w:rFonts w:ascii="Garamond" w:hAnsi="Garamond"/>
          <w:sz w:val="32"/>
          <w:szCs w:val="32"/>
        </w:rPr>
        <w:t>, per esempio, a seguito de</w:t>
      </w:r>
      <w:r w:rsidR="00627FFC" w:rsidRPr="002757C2">
        <w:rPr>
          <w:rFonts w:ascii="Garamond" w:hAnsi="Garamond"/>
          <w:sz w:val="32"/>
          <w:szCs w:val="32"/>
        </w:rPr>
        <w:t xml:space="preserve">lla privatizzazione del pubblico impiego con il relativo passaggio al giudice ordinario delle controversie. </w:t>
      </w:r>
    </w:p>
    <w:p w:rsidR="00627FFC" w:rsidRPr="002757C2" w:rsidRDefault="00C0123B" w:rsidP="00B060D9">
      <w:pPr>
        <w:ind w:left="708"/>
        <w:jc w:val="both"/>
        <w:rPr>
          <w:rFonts w:ascii="Garamond" w:hAnsi="Garamond"/>
          <w:sz w:val="32"/>
          <w:szCs w:val="32"/>
        </w:rPr>
      </w:pPr>
      <w:r>
        <w:rPr>
          <w:rFonts w:ascii="Garamond" w:hAnsi="Garamond"/>
          <w:sz w:val="32"/>
          <w:szCs w:val="32"/>
        </w:rPr>
        <w:t xml:space="preserve">In secondo luogo, evidentemente le </w:t>
      </w:r>
      <w:r w:rsidR="00627FFC" w:rsidRPr="002757C2">
        <w:rPr>
          <w:rFonts w:ascii="Garamond" w:hAnsi="Garamond"/>
          <w:sz w:val="32"/>
          <w:szCs w:val="32"/>
        </w:rPr>
        <w:t>misure cautelari si adattano agli interessi fatti valere</w:t>
      </w:r>
      <w:r>
        <w:rPr>
          <w:rFonts w:ascii="Garamond" w:hAnsi="Garamond"/>
          <w:sz w:val="32"/>
          <w:szCs w:val="32"/>
        </w:rPr>
        <w:t>; in concreto,</w:t>
      </w:r>
      <w:r w:rsidR="00627FFC" w:rsidRPr="002757C2">
        <w:rPr>
          <w:rFonts w:ascii="Garamond" w:hAnsi="Garamond"/>
          <w:sz w:val="32"/>
          <w:szCs w:val="32"/>
        </w:rPr>
        <w:t xml:space="preserve"> nel processo amministrativo</w:t>
      </w:r>
      <w:r>
        <w:rPr>
          <w:rFonts w:ascii="Garamond" w:hAnsi="Garamond"/>
          <w:sz w:val="32"/>
          <w:szCs w:val="32"/>
        </w:rPr>
        <w:t>,</w:t>
      </w:r>
      <w:r w:rsidR="00627FFC" w:rsidRPr="002757C2">
        <w:rPr>
          <w:rFonts w:ascii="Garamond" w:hAnsi="Garamond"/>
          <w:sz w:val="32"/>
          <w:szCs w:val="32"/>
        </w:rPr>
        <w:t xml:space="preserve"> hanno trovato tutela dopo gli interessi o</w:t>
      </w:r>
      <w:r w:rsidR="00EB78FF">
        <w:rPr>
          <w:rFonts w:ascii="Garamond" w:hAnsi="Garamond"/>
          <w:sz w:val="32"/>
          <w:szCs w:val="32"/>
        </w:rPr>
        <w:t>p</w:t>
      </w:r>
      <w:r>
        <w:rPr>
          <w:rFonts w:ascii="Garamond" w:hAnsi="Garamond"/>
          <w:sz w:val="32"/>
          <w:szCs w:val="32"/>
        </w:rPr>
        <w:t xml:space="preserve">positivi quelli </w:t>
      </w:r>
      <w:proofErr w:type="spellStart"/>
      <w:r>
        <w:rPr>
          <w:rFonts w:ascii="Garamond" w:hAnsi="Garamond"/>
          <w:sz w:val="32"/>
          <w:szCs w:val="32"/>
        </w:rPr>
        <w:t>pretensivi</w:t>
      </w:r>
      <w:proofErr w:type="spellEnd"/>
      <w:r>
        <w:rPr>
          <w:rFonts w:ascii="Garamond" w:hAnsi="Garamond"/>
          <w:sz w:val="32"/>
          <w:szCs w:val="32"/>
        </w:rPr>
        <w:t>.</w:t>
      </w:r>
      <w:r w:rsidR="006D614C" w:rsidRPr="002757C2">
        <w:rPr>
          <w:rFonts w:ascii="Garamond" w:hAnsi="Garamond"/>
          <w:sz w:val="32"/>
          <w:szCs w:val="32"/>
        </w:rPr>
        <w:t xml:space="preserve"> </w:t>
      </w:r>
    </w:p>
    <w:p w:rsidR="00627FFC" w:rsidRPr="002757C2" w:rsidRDefault="00C0123B" w:rsidP="00B060D9">
      <w:pPr>
        <w:ind w:left="708"/>
        <w:jc w:val="both"/>
        <w:rPr>
          <w:rFonts w:ascii="Garamond" w:hAnsi="Garamond"/>
          <w:sz w:val="32"/>
          <w:szCs w:val="32"/>
        </w:rPr>
      </w:pPr>
      <w:r>
        <w:rPr>
          <w:rFonts w:ascii="Garamond" w:hAnsi="Garamond"/>
          <w:sz w:val="32"/>
          <w:szCs w:val="32"/>
        </w:rPr>
        <w:t xml:space="preserve">A ciò è correlato il fenomeno per cui le </w:t>
      </w:r>
      <w:r w:rsidR="00627FFC" w:rsidRPr="002757C2">
        <w:rPr>
          <w:rFonts w:ascii="Garamond" w:hAnsi="Garamond"/>
          <w:sz w:val="32"/>
          <w:szCs w:val="32"/>
        </w:rPr>
        <w:t>misure cautelari si conformano alle azioni processuali che possono essere esercitate e</w:t>
      </w:r>
      <w:r>
        <w:rPr>
          <w:rFonts w:ascii="Garamond" w:hAnsi="Garamond"/>
          <w:sz w:val="32"/>
          <w:szCs w:val="32"/>
        </w:rPr>
        <w:t>,</w:t>
      </w:r>
      <w:r w:rsidR="00627FFC" w:rsidRPr="002757C2">
        <w:rPr>
          <w:rFonts w:ascii="Garamond" w:hAnsi="Garamond"/>
          <w:sz w:val="32"/>
          <w:szCs w:val="32"/>
        </w:rPr>
        <w:t xml:space="preserve"> quindi</w:t>
      </w:r>
      <w:r>
        <w:rPr>
          <w:rFonts w:ascii="Garamond" w:hAnsi="Garamond"/>
          <w:sz w:val="32"/>
          <w:szCs w:val="32"/>
        </w:rPr>
        <w:t>,</w:t>
      </w:r>
      <w:r w:rsidR="00627FFC" w:rsidRPr="002757C2">
        <w:rPr>
          <w:rFonts w:ascii="Garamond" w:hAnsi="Garamond"/>
          <w:sz w:val="32"/>
          <w:szCs w:val="32"/>
        </w:rPr>
        <w:t xml:space="preserve"> al contenuto delle decisioni che su tali azioni decidono.</w:t>
      </w:r>
      <w:r w:rsidR="006D614C" w:rsidRPr="002757C2">
        <w:rPr>
          <w:rFonts w:ascii="Garamond" w:hAnsi="Garamond"/>
          <w:sz w:val="32"/>
          <w:szCs w:val="32"/>
        </w:rPr>
        <w:t xml:space="preserve"> </w:t>
      </w:r>
      <w:r w:rsidR="007A7838">
        <w:rPr>
          <w:rFonts w:ascii="Garamond" w:hAnsi="Garamond"/>
          <w:sz w:val="32"/>
          <w:szCs w:val="32"/>
        </w:rPr>
        <w:t>Sempre</w:t>
      </w:r>
      <w:r w:rsidR="006D614C" w:rsidRPr="002757C2">
        <w:rPr>
          <w:rFonts w:ascii="Garamond" w:hAnsi="Garamond"/>
          <w:sz w:val="32"/>
          <w:szCs w:val="32"/>
        </w:rPr>
        <w:t xml:space="preserve"> rimanendo il legame strumentale tra misura cautelare e sentenza, la valenza della decisione cautelare, originariamente consistente nella sospensione dell’efficacia dell’atto lesivo impugnato,</w:t>
      </w:r>
      <w:r w:rsidR="00961FFF" w:rsidRPr="002757C2">
        <w:rPr>
          <w:rFonts w:ascii="Garamond" w:hAnsi="Garamond"/>
          <w:sz w:val="32"/>
          <w:szCs w:val="32"/>
        </w:rPr>
        <w:t xml:space="preserve"> viene ad assumere anche </w:t>
      </w:r>
      <w:r w:rsidR="006D614C" w:rsidRPr="002757C2">
        <w:rPr>
          <w:rFonts w:ascii="Garamond" w:hAnsi="Garamond"/>
          <w:sz w:val="32"/>
          <w:szCs w:val="32"/>
        </w:rPr>
        <w:t>la funzione di anticipazione degli effetti della decisione di merito (comprendendo tra gli effetti anche quello conformativo) e, secondo alcuni, addirittura di anticipazione della sentenza di ottemperanza.</w:t>
      </w:r>
    </w:p>
    <w:p w:rsidR="006D614C" w:rsidRPr="002757C2" w:rsidRDefault="006D614C" w:rsidP="00B060D9">
      <w:pPr>
        <w:ind w:left="708"/>
        <w:jc w:val="both"/>
        <w:rPr>
          <w:rFonts w:ascii="Garamond" w:hAnsi="Garamond"/>
          <w:sz w:val="32"/>
          <w:szCs w:val="32"/>
        </w:rPr>
      </w:pPr>
      <w:r w:rsidRPr="002757C2">
        <w:rPr>
          <w:rFonts w:ascii="Garamond" w:hAnsi="Garamond"/>
          <w:sz w:val="32"/>
          <w:szCs w:val="32"/>
        </w:rPr>
        <w:t>Nei primi 25 anni dei</w:t>
      </w:r>
      <w:r w:rsidR="008D07F3">
        <w:rPr>
          <w:rFonts w:ascii="Garamond" w:hAnsi="Garamond"/>
          <w:sz w:val="32"/>
          <w:szCs w:val="32"/>
        </w:rPr>
        <w:t xml:space="preserve"> tribunali amministrativi regionali </w:t>
      </w:r>
      <w:r w:rsidRPr="002757C2">
        <w:rPr>
          <w:rFonts w:ascii="Garamond" w:hAnsi="Garamond"/>
          <w:sz w:val="32"/>
          <w:szCs w:val="32"/>
        </w:rPr>
        <w:t>tutti questi temi sono stati affrontati dalla giurisprudenza e della dottrina e hanno profondamente trasformato</w:t>
      </w:r>
      <w:r w:rsidR="00961FFF" w:rsidRPr="002757C2">
        <w:rPr>
          <w:rFonts w:ascii="Garamond" w:hAnsi="Garamond"/>
          <w:sz w:val="32"/>
          <w:szCs w:val="32"/>
        </w:rPr>
        <w:t xml:space="preserve"> nelle forme e nella sostanza la fase cautelare, rafforzandola e arricchendola. È uno sforzo che ha trovato compimento nella legge 21 luglio 2000 n. 205 (</w:t>
      </w:r>
      <w:r w:rsidR="008D07F3">
        <w:rPr>
          <w:rFonts w:ascii="Garamond" w:hAnsi="Garamond"/>
          <w:sz w:val="32"/>
          <w:szCs w:val="32"/>
        </w:rPr>
        <w:t xml:space="preserve">una legge che, </w:t>
      </w:r>
      <w:r w:rsidR="00961FFF" w:rsidRPr="002757C2">
        <w:rPr>
          <w:rFonts w:ascii="Garamond" w:hAnsi="Garamond"/>
          <w:sz w:val="32"/>
          <w:szCs w:val="32"/>
        </w:rPr>
        <w:t>a sua volta</w:t>
      </w:r>
      <w:r w:rsidR="008D07F3">
        <w:rPr>
          <w:rFonts w:ascii="Garamond" w:hAnsi="Garamond"/>
          <w:sz w:val="32"/>
          <w:szCs w:val="32"/>
        </w:rPr>
        <w:t>,</w:t>
      </w:r>
      <w:r w:rsidR="00961FFF" w:rsidRPr="002757C2">
        <w:rPr>
          <w:rFonts w:ascii="Garamond" w:hAnsi="Garamond"/>
          <w:sz w:val="32"/>
          <w:szCs w:val="32"/>
        </w:rPr>
        <w:t xml:space="preserve"> presentava</w:t>
      </w:r>
      <w:r w:rsidR="008D07F3">
        <w:rPr>
          <w:rFonts w:ascii="Garamond" w:hAnsi="Garamond"/>
          <w:sz w:val="32"/>
          <w:szCs w:val="32"/>
        </w:rPr>
        <w:t xml:space="preserve"> di per sé </w:t>
      </w:r>
      <w:r w:rsidR="00961FFF" w:rsidRPr="002757C2">
        <w:rPr>
          <w:rFonts w:ascii="Garamond" w:hAnsi="Garamond"/>
          <w:sz w:val="32"/>
          <w:szCs w:val="32"/>
        </w:rPr>
        <w:t>notevoli innovazion</w:t>
      </w:r>
      <w:r w:rsidR="008D07F3">
        <w:rPr>
          <w:rFonts w:ascii="Garamond" w:hAnsi="Garamond"/>
          <w:sz w:val="32"/>
          <w:szCs w:val="32"/>
        </w:rPr>
        <w:t>i</w:t>
      </w:r>
      <w:r w:rsidR="00961FFF" w:rsidRPr="002757C2">
        <w:rPr>
          <w:rFonts w:ascii="Garamond" w:hAnsi="Garamond"/>
          <w:sz w:val="32"/>
          <w:szCs w:val="32"/>
        </w:rPr>
        <w:t>), per poi essere sostanzialmente riportato a schemi processuali più rigidi dal decreto legislativo 2 luglio 2010</w:t>
      </w:r>
      <w:r w:rsidR="007A7838">
        <w:rPr>
          <w:rFonts w:ascii="Garamond" w:hAnsi="Garamond"/>
          <w:sz w:val="32"/>
          <w:szCs w:val="32"/>
        </w:rPr>
        <w:t>,</w:t>
      </w:r>
      <w:r w:rsidR="00961FFF" w:rsidRPr="002757C2">
        <w:rPr>
          <w:rFonts w:ascii="Garamond" w:hAnsi="Garamond"/>
          <w:sz w:val="32"/>
          <w:szCs w:val="32"/>
        </w:rPr>
        <w:t xml:space="preserve"> n. 104.</w:t>
      </w:r>
    </w:p>
    <w:p w:rsidR="00961FFF" w:rsidRPr="002757C2" w:rsidRDefault="00961FFF" w:rsidP="00B060D9">
      <w:pPr>
        <w:ind w:left="708"/>
        <w:jc w:val="both"/>
        <w:rPr>
          <w:rFonts w:ascii="Garamond" w:hAnsi="Garamond"/>
          <w:sz w:val="32"/>
          <w:szCs w:val="32"/>
        </w:rPr>
      </w:pPr>
      <w:r w:rsidRPr="002757C2">
        <w:rPr>
          <w:rFonts w:ascii="Garamond" w:hAnsi="Garamond"/>
          <w:sz w:val="32"/>
          <w:szCs w:val="32"/>
        </w:rPr>
        <w:t xml:space="preserve">L’insieme di questi elementi aiuta a comprendere la tutela cautelare nel processo amministrativo tedesco </w:t>
      </w:r>
      <w:r w:rsidR="0001598B">
        <w:rPr>
          <w:rFonts w:ascii="Garamond" w:hAnsi="Garamond"/>
          <w:sz w:val="32"/>
          <w:szCs w:val="32"/>
        </w:rPr>
        <w:t>prevista</w:t>
      </w:r>
      <w:r w:rsidRPr="002757C2">
        <w:rPr>
          <w:rFonts w:ascii="Garamond" w:hAnsi="Garamond"/>
          <w:sz w:val="32"/>
          <w:szCs w:val="32"/>
        </w:rPr>
        <w:t xml:space="preserve"> dal </w:t>
      </w:r>
      <w:proofErr w:type="spellStart"/>
      <w:r w:rsidR="00530AFA" w:rsidRPr="008D07F3">
        <w:rPr>
          <w:rFonts w:ascii="Garamond" w:hAnsi="Garamond"/>
          <w:i/>
          <w:sz w:val="32"/>
          <w:szCs w:val="32"/>
        </w:rPr>
        <w:t>Verwaltungsgerichtsordnung-</w:t>
      </w:r>
      <w:r w:rsidRPr="008D07F3">
        <w:rPr>
          <w:rFonts w:ascii="Garamond" w:hAnsi="Garamond"/>
          <w:i/>
          <w:sz w:val="32"/>
          <w:szCs w:val="32"/>
        </w:rPr>
        <w:t>VwGO</w:t>
      </w:r>
      <w:proofErr w:type="spellEnd"/>
      <w:r w:rsidR="000C47E7" w:rsidRPr="002757C2">
        <w:rPr>
          <w:rFonts w:ascii="Garamond" w:hAnsi="Garamond"/>
          <w:sz w:val="32"/>
          <w:szCs w:val="32"/>
        </w:rPr>
        <w:t>.</w:t>
      </w:r>
    </w:p>
    <w:p w:rsidR="000C47E7" w:rsidRPr="002757C2" w:rsidRDefault="000C47E7" w:rsidP="00B060D9">
      <w:pPr>
        <w:ind w:left="708"/>
        <w:jc w:val="both"/>
        <w:rPr>
          <w:rFonts w:ascii="Garamond" w:hAnsi="Garamond"/>
          <w:sz w:val="32"/>
          <w:szCs w:val="32"/>
        </w:rPr>
      </w:pPr>
      <w:r w:rsidRPr="002757C2">
        <w:rPr>
          <w:rFonts w:ascii="Garamond" w:hAnsi="Garamond"/>
          <w:sz w:val="32"/>
          <w:szCs w:val="32"/>
        </w:rPr>
        <w:t>Prima di illustrare brevemente la disciplina,</w:t>
      </w:r>
      <w:r w:rsidR="008D07F3">
        <w:rPr>
          <w:rFonts w:ascii="Garamond" w:hAnsi="Garamond"/>
          <w:sz w:val="32"/>
          <w:szCs w:val="32"/>
        </w:rPr>
        <w:t xml:space="preserve"> devono essere premesse alcune osservazioni </w:t>
      </w:r>
      <w:r w:rsidRPr="002757C2">
        <w:rPr>
          <w:rFonts w:ascii="Garamond" w:hAnsi="Garamond"/>
          <w:sz w:val="32"/>
          <w:szCs w:val="32"/>
        </w:rPr>
        <w:t>di carattere metodologico e sistematico.</w:t>
      </w:r>
    </w:p>
    <w:p w:rsidR="009F674F" w:rsidRPr="002757C2" w:rsidRDefault="000C47E7" w:rsidP="00B060D9">
      <w:pPr>
        <w:ind w:left="708"/>
        <w:jc w:val="both"/>
        <w:rPr>
          <w:rFonts w:ascii="Garamond" w:hAnsi="Garamond"/>
          <w:sz w:val="32"/>
          <w:szCs w:val="32"/>
        </w:rPr>
      </w:pPr>
      <w:r w:rsidRPr="002757C2">
        <w:rPr>
          <w:rFonts w:ascii="Garamond" w:hAnsi="Garamond"/>
          <w:sz w:val="32"/>
          <w:szCs w:val="32"/>
        </w:rPr>
        <w:t>La prima è</w:t>
      </w:r>
      <w:r w:rsidR="007508DB" w:rsidRPr="002757C2">
        <w:rPr>
          <w:rFonts w:ascii="Garamond" w:hAnsi="Garamond"/>
          <w:sz w:val="32"/>
          <w:szCs w:val="32"/>
        </w:rPr>
        <w:t xml:space="preserve"> che spesso il risultato più utile di una ricerca </w:t>
      </w:r>
      <w:r w:rsidR="008D07F3">
        <w:rPr>
          <w:rFonts w:ascii="Garamond" w:hAnsi="Garamond"/>
          <w:sz w:val="32"/>
          <w:szCs w:val="32"/>
        </w:rPr>
        <w:t xml:space="preserve">di tipo comparatistico </w:t>
      </w:r>
      <w:r w:rsidR="007508DB" w:rsidRPr="002757C2">
        <w:rPr>
          <w:rFonts w:ascii="Garamond" w:hAnsi="Garamond"/>
          <w:sz w:val="32"/>
          <w:szCs w:val="32"/>
        </w:rPr>
        <w:t>non è</w:t>
      </w:r>
      <w:r w:rsidR="008D07F3">
        <w:rPr>
          <w:rFonts w:ascii="Garamond" w:hAnsi="Garamond"/>
          <w:sz w:val="32"/>
          <w:szCs w:val="32"/>
        </w:rPr>
        <w:t xml:space="preserve"> quello d’</w:t>
      </w:r>
      <w:r w:rsidR="007508DB" w:rsidRPr="002757C2">
        <w:rPr>
          <w:rFonts w:ascii="Garamond" w:hAnsi="Garamond"/>
          <w:sz w:val="32"/>
          <w:szCs w:val="32"/>
        </w:rPr>
        <w:t>individuare le somiglianze e le differenze tra i due istituti ugualmente denominati come disciplinati in più ordinamenti; è invece quello di cogliere la ragionevolezza di una scelta legislativa diversa da quella effettuata nel diritto italiano per rispondere ad un’esigenza identica.</w:t>
      </w:r>
      <w:r w:rsidR="00066A89">
        <w:rPr>
          <w:rFonts w:ascii="Garamond" w:hAnsi="Garamond"/>
          <w:sz w:val="32"/>
          <w:szCs w:val="32"/>
        </w:rPr>
        <w:t xml:space="preserve"> </w:t>
      </w:r>
      <w:r w:rsidR="009F674F" w:rsidRPr="002757C2">
        <w:rPr>
          <w:rFonts w:ascii="Garamond" w:hAnsi="Garamond"/>
          <w:sz w:val="32"/>
          <w:szCs w:val="32"/>
        </w:rPr>
        <w:t xml:space="preserve">E questo risultato è ancora più fruttuoso nel momento </w:t>
      </w:r>
      <w:r w:rsidR="007A7838">
        <w:rPr>
          <w:rFonts w:ascii="Garamond" w:hAnsi="Garamond"/>
          <w:sz w:val="32"/>
          <w:szCs w:val="32"/>
        </w:rPr>
        <w:t xml:space="preserve">in cui </w:t>
      </w:r>
      <w:r w:rsidR="009F674F" w:rsidRPr="002757C2">
        <w:rPr>
          <w:rFonts w:ascii="Garamond" w:hAnsi="Garamond"/>
          <w:sz w:val="32"/>
          <w:szCs w:val="32"/>
        </w:rPr>
        <w:t>l’esigenza identica consiste nella trasposizione nei diversi ordinamenti nazionali di un’unica norma di principio dettat</w:t>
      </w:r>
      <w:r w:rsidR="008D07F3">
        <w:rPr>
          <w:rFonts w:ascii="Garamond" w:hAnsi="Garamond"/>
          <w:sz w:val="32"/>
          <w:szCs w:val="32"/>
        </w:rPr>
        <w:t>a</w:t>
      </w:r>
      <w:r w:rsidR="009F674F" w:rsidRPr="002757C2">
        <w:rPr>
          <w:rFonts w:ascii="Garamond" w:hAnsi="Garamond"/>
          <w:sz w:val="32"/>
          <w:szCs w:val="32"/>
        </w:rPr>
        <w:t xml:space="preserve"> a livello europeo</w:t>
      </w:r>
      <w:r w:rsidR="00066A89">
        <w:rPr>
          <w:rStyle w:val="Rimandonotaapidipagina"/>
          <w:rFonts w:ascii="Garamond" w:hAnsi="Garamond"/>
          <w:sz w:val="32"/>
          <w:szCs w:val="32"/>
        </w:rPr>
        <w:footnoteReference w:id="4"/>
      </w:r>
      <w:r w:rsidR="009F674F" w:rsidRPr="002757C2">
        <w:rPr>
          <w:rFonts w:ascii="Garamond" w:hAnsi="Garamond"/>
          <w:sz w:val="32"/>
          <w:szCs w:val="32"/>
        </w:rPr>
        <w:t xml:space="preserve">. </w:t>
      </w:r>
    </w:p>
    <w:p w:rsidR="00F27D29" w:rsidRPr="002757C2" w:rsidRDefault="007508DB" w:rsidP="00B060D9">
      <w:pPr>
        <w:ind w:left="708"/>
        <w:jc w:val="both"/>
        <w:rPr>
          <w:rFonts w:ascii="Garamond" w:hAnsi="Garamond"/>
          <w:sz w:val="32"/>
          <w:szCs w:val="32"/>
        </w:rPr>
      </w:pPr>
      <w:r w:rsidRPr="002757C2">
        <w:rPr>
          <w:rFonts w:ascii="Garamond" w:hAnsi="Garamond"/>
          <w:sz w:val="32"/>
          <w:szCs w:val="32"/>
        </w:rPr>
        <w:t xml:space="preserve">La seconda </w:t>
      </w:r>
      <w:r w:rsidR="00184CDA">
        <w:rPr>
          <w:rFonts w:ascii="Garamond" w:hAnsi="Garamond"/>
          <w:sz w:val="32"/>
          <w:szCs w:val="32"/>
        </w:rPr>
        <w:t xml:space="preserve">riprende delle riflessioni comuni tra gli studiosi di diritto comparato per i quali </w:t>
      </w:r>
      <w:r w:rsidR="00184CDA" w:rsidRPr="00184CDA">
        <w:rPr>
          <w:rFonts w:ascii="Garamond" w:hAnsi="Garamond"/>
          <w:sz w:val="32"/>
          <w:szCs w:val="32"/>
        </w:rPr>
        <w:t xml:space="preserve">l’interpretazione e </w:t>
      </w:r>
      <w:r w:rsidR="00184CDA">
        <w:rPr>
          <w:rFonts w:ascii="Garamond" w:hAnsi="Garamond"/>
          <w:sz w:val="32"/>
          <w:szCs w:val="32"/>
        </w:rPr>
        <w:t>l’</w:t>
      </w:r>
      <w:r w:rsidR="00184CDA" w:rsidRPr="00184CDA">
        <w:rPr>
          <w:rFonts w:ascii="Garamond" w:hAnsi="Garamond"/>
          <w:sz w:val="32"/>
          <w:szCs w:val="32"/>
        </w:rPr>
        <w:t>applicazione</w:t>
      </w:r>
      <w:r w:rsidR="00184CDA">
        <w:rPr>
          <w:rFonts w:ascii="Garamond" w:hAnsi="Garamond"/>
          <w:sz w:val="32"/>
          <w:szCs w:val="32"/>
        </w:rPr>
        <w:t xml:space="preserve"> del diritto positivo sono influenzate da un fattore </w:t>
      </w:r>
      <w:r w:rsidRPr="002757C2">
        <w:rPr>
          <w:rFonts w:ascii="Garamond" w:hAnsi="Garamond"/>
          <w:sz w:val="32"/>
          <w:szCs w:val="32"/>
        </w:rPr>
        <w:t>“</w:t>
      </w:r>
      <w:proofErr w:type="spellStart"/>
      <w:r w:rsidRPr="002757C2">
        <w:rPr>
          <w:rFonts w:ascii="Garamond" w:hAnsi="Garamond"/>
          <w:sz w:val="32"/>
          <w:szCs w:val="32"/>
        </w:rPr>
        <w:t>pre</w:t>
      </w:r>
      <w:proofErr w:type="spellEnd"/>
      <w:r w:rsidRPr="002757C2">
        <w:rPr>
          <w:rFonts w:ascii="Garamond" w:hAnsi="Garamond"/>
          <w:sz w:val="32"/>
          <w:szCs w:val="32"/>
        </w:rPr>
        <w:t>-giuridico”</w:t>
      </w:r>
      <w:r w:rsidR="00184CDA">
        <w:rPr>
          <w:rStyle w:val="Rimandonotaapidipagina"/>
          <w:rFonts w:ascii="Garamond" w:hAnsi="Garamond"/>
          <w:sz w:val="32"/>
          <w:szCs w:val="32"/>
        </w:rPr>
        <w:footnoteReference w:id="5"/>
      </w:r>
      <w:r w:rsidR="00184CDA">
        <w:rPr>
          <w:rFonts w:ascii="Garamond" w:hAnsi="Garamond"/>
          <w:sz w:val="32"/>
          <w:szCs w:val="32"/>
        </w:rPr>
        <w:t>; di conseguenza,</w:t>
      </w:r>
      <w:r w:rsidRPr="002757C2">
        <w:rPr>
          <w:rFonts w:ascii="Garamond" w:hAnsi="Garamond"/>
          <w:sz w:val="32"/>
          <w:szCs w:val="32"/>
        </w:rPr>
        <w:t xml:space="preserve"> </w:t>
      </w:r>
      <w:r w:rsidR="00184CDA">
        <w:rPr>
          <w:rFonts w:ascii="Garamond" w:hAnsi="Garamond"/>
          <w:sz w:val="32"/>
          <w:szCs w:val="32"/>
        </w:rPr>
        <w:t xml:space="preserve">in un dato ordinamento, tende a prevalere il </w:t>
      </w:r>
      <w:r w:rsidR="00184CDA" w:rsidRPr="00184CDA">
        <w:rPr>
          <w:rFonts w:ascii="Garamond" w:hAnsi="Garamond"/>
          <w:sz w:val="32"/>
          <w:szCs w:val="32"/>
        </w:rPr>
        <w:t>“</w:t>
      </w:r>
      <w:proofErr w:type="spellStart"/>
      <w:r w:rsidR="00184CDA" w:rsidRPr="00184CDA">
        <w:rPr>
          <w:rFonts w:ascii="Garamond" w:hAnsi="Garamond"/>
          <w:sz w:val="32"/>
          <w:szCs w:val="32"/>
        </w:rPr>
        <w:t>criptotipo</w:t>
      </w:r>
      <w:proofErr w:type="spellEnd"/>
      <w:r w:rsidR="00184CDA" w:rsidRPr="00184CDA">
        <w:rPr>
          <w:rFonts w:ascii="Garamond" w:hAnsi="Garamond"/>
          <w:sz w:val="32"/>
          <w:szCs w:val="32"/>
        </w:rPr>
        <w:t>”</w:t>
      </w:r>
      <w:r w:rsidR="00184CDA">
        <w:rPr>
          <w:rStyle w:val="Rimandonotaapidipagina"/>
          <w:rFonts w:ascii="Garamond" w:hAnsi="Garamond"/>
          <w:sz w:val="32"/>
          <w:szCs w:val="32"/>
        </w:rPr>
        <w:footnoteReference w:id="6"/>
      </w:r>
      <w:r w:rsidR="00184CDA">
        <w:rPr>
          <w:rFonts w:ascii="Garamond" w:hAnsi="Garamond"/>
          <w:sz w:val="32"/>
          <w:szCs w:val="32"/>
        </w:rPr>
        <w:t>,</w:t>
      </w:r>
      <w:r w:rsidR="00184CDA" w:rsidRPr="00184CDA">
        <w:rPr>
          <w:rFonts w:ascii="Garamond" w:hAnsi="Garamond"/>
          <w:sz w:val="32"/>
          <w:szCs w:val="32"/>
        </w:rPr>
        <w:t xml:space="preserve"> </w:t>
      </w:r>
      <w:r w:rsidR="00184CDA">
        <w:rPr>
          <w:rFonts w:ascii="Garamond" w:hAnsi="Garamond"/>
          <w:sz w:val="32"/>
          <w:szCs w:val="32"/>
        </w:rPr>
        <w:t xml:space="preserve">ovvero </w:t>
      </w:r>
      <w:r w:rsidR="009F674F" w:rsidRPr="002757C2">
        <w:rPr>
          <w:rFonts w:ascii="Garamond" w:hAnsi="Garamond"/>
          <w:sz w:val="32"/>
          <w:szCs w:val="32"/>
        </w:rPr>
        <w:t xml:space="preserve">una norma </w:t>
      </w:r>
      <w:r w:rsidR="00184CDA">
        <w:rPr>
          <w:rFonts w:ascii="Garamond" w:hAnsi="Garamond"/>
          <w:sz w:val="32"/>
          <w:szCs w:val="32"/>
        </w:rPr>
        <w:t xml:space="preserve">il </w:t>
      </w:r>
      <w:r w:rsidR="009F674F" w:rsidRPr="002757C2">
        <w:rPr>
          <w:rFonts w:ascii="Garamond" w:hAnsi="Garamond"/>
          <w:sz w:val="32"/>
          <w:szCs w:val="32"/>
        </w:rPr>
        <w:t xml:space="preserve">cui significato applicativo non discende dalla </w:t>
      </w:r>
      <w:r w:rsidR="00184CDA">
        <w:rPr>
          <w:rFonts w:ascii="Garamond" w:hAnsi="Garamond"/>
          <w:sz w:val="32"/>
          <w:szCs w:val="32"/>
        </w:rPr>
        <w:t>sua formulazione testuale</w:t>
      </w:r>
      <w:r w:rsidR="008D07F3">
        <w:rPr>
          <w:rFonts w:ascii="Garamond" w:hAnsi="Garamond"/>
          <w:sz w:val="32"/>
          <w:szCs w:val="32"/>
        </w:rPr>
        <w:t>,</w:t>
      </w:r>
      <w:r w:rsidR="009F674F" w:rsidRPr="002757C2">
        <w:rPr>
          <w:rFonts w:ascii="Garamond" w:hAnsi="Garamond"/>
          <w:sz w:val="32"/>
          <w:szCs w:val="32"/>
        </w:rPr>
        <w:t xml:space="preserve"> bensì da un</w:t>
      </w:r>
      <w:r w:rsidR="008D07F3">
        <w:rPr>
          <w:rFonts w:ascii="Garamond" w:hAnsi="Garamond"/>
          <w:sz w:val="32"/>
          <w:szCs w:val="32"/>
        </w:rPr>
        <w:t>a serie di fattori culturali a m</w:t>
      </w:r>
      <w:r w:rsidR="009F674F" w:rsidRPr="002757C2">
        <w:rPr>
          <w:rFonts w:ascii="Garamond" w:hAnsi="Garamond"/>
          <w:sz w:val="32"/>
          <w:szCs w:val="32"/>
        </w:rPr>
        <w:t>onte</w:t>
      </w:r>
      <w:r w:rsidR="008D07F3">
        <w:rPr>
          <w:rFonts w:ascii="Garamond" w:hAnsi="Garamond"/>
          <w:sz w:val="32"/>
          <w:szCs w:val="32"/>
        </w:rPr>
        <w:t xml:space="preserve"> </w:t>
      </w:r>
      <w:r w:rsidR="009F674F" w:rsidRPr="002757C2">
        <w:rPr>
          <w:rFonts w:ascii="Garamond" w:hAnsi="Garamond"/>
          <w:sz w:val="32"/>
          <w:szCs w:val="32"/>
        </w:rPr>
        <w:t>che funziona</w:t>
      </w:r>
      <w:r w:rsidR="008D07F3">
        <w:rPr>
          <w:rFonts w:ascii="Garamond" w:hAnsi="Garamond"/>
          <w:sz w:val="32"/>
          <w:szCs w:val="32"/>
        </w:rPr>
        <w:t>no</w:t>
      </w:r>
      <w:r w:rsidR="009F674F" w:rsidRPr="002757C2">
        <w:rPr>
          <w:rFonts w:ascii="Garamond" w:hAnsi="Garamond"/>
          <w:sz w:val="32"/>
          <w:szCs w:val="32"/>
        </w:rPr>
        <w:t xml:space="preserve"> come una </w:t>
      </w:r>
      <w:r w:rsidR="008D07F3">
        <w:rPr>
          <w:rFonts w:ascii="Garamond" w:hAnsi="Garamond"/>
          <w:sz w:val="32"/>
          <w:szCs w:val="32"/>
        </w:rPr>
        <w:t>sorta di categori</w:t>
      </w:r>
      <w:r w:rsidR="007A7838">
        <w:rPr>
          <w:rFonts w:ascii="Garamond" w:hAnsi="Garamond"/>
          <w:sz w:val="32"/>
          <w:szCs w:val="32"/>
        </w:rPr>
        <w:t>a</w:t>
      </w:r>
      <w:r w:rsidR="008D07F3">
        <w:rPr>
          <w:rFonts w:ascii="Garamond" w:hAnsi="Garamond"/>
          <w:sz w:val="32"/>
          <w:szCs w:val="32"/>
        </w:rPr>
        <w:t xml:space="preserve"> kantian</w:t>
      </w:r>
      <w:r w:rsidR="007A7838">
        <w:rPr>
          <w:rFonts w:ascii="Garamond" w:hAnsi="Garamond"/>
          <w:sz w:val="32"/>
          <w:szCs w:val="32"/>
        </w:rPr>
        <w:t>a</w:t>
      </w:r>
      <w:r w:rsidR="009F674F" w:rsidRPr="002757C2">
        <w:rPr>
          <w:rFonts w:ascii="Garamond" w:hAnsi="Garamond"/>
          <w:sz w:val="32"/>
          <w:szCs w:val="32"/>
        </w:rPr>
        <w:t xml:space="preserve"> </w:t>
      </w:r>
      <w:r w:rsidR="009F674F" w:rsidRPr="008D07F3">
        <w:rPr>
          <w:rFonts w:ascii="Garamond" w:hAnsi="Garamond"/>
          <w:i/>
          <w:sz w:val="32"/>
          <w:szCs w:val="32"/>
        </w:rPr>
        <w:t>a priori</w:t>
      </w:r>
      <w:r w:rsidR="009F674F" w:rsidRPr="002757C2">
        <w:rPr>
          <w:rFonts w:ascii="Garamond" w:hAnsi="Garamond"/>
          <w:sz w:val="32"/>
          <w:szCs w:val="32"/>
        </w:rPr>
        <w:t xml:space="preserve"> rispetto alle operazioni ermeneutiche</w:t>
      </w:r>
      <w:r w:rsidR="0050205C">
        <w:rPr>
          <w:rStyle w:val="Rimandonotaapidipagina"/>
          <w:rFonts w:ascii="Garamond" w:hAnsi="Garamond"/>
          <w:sz w:val="32"/>
          <w:szCs w:val="32"/>
        </w:rPr>
        <w:footnoteReference w:id="7"/>
      </w:r>
      <w:r w:rsidR="009F674F" w:rsidRPr="002757C2">
        <w:rPr>
          <w:rFonts w:ascii="Garamond" w:hAnsi="Garamond"/>
          <w:sz w:val="32"/>
          <w:szCs w:val="32"/>
        </w:rPr>
        <w:t>.</w:t>
      </w:r>
    </w:p>
    <w:p w:rsidR="00FA2358" w:rsidRPr="002757C2" w:rsidRDefault="002A3FF8" w:rsidP="00B060D9">
      <w:pPr>
        <w:ind w:left="708"/>
        <w:jc w:val="both"/>
        <w:rPr>
          <w:rFonts w:ascii="Garamond" w:hAnsi="Garamond"/>
          <w:sz w:val="32"/>
          <w:szCs w:val="32"/>
        </w:rPr>
      </w:pPr>
      <w:r>
        <w:rPr>
          <w:rFonts w:ascii="Garamond" w:hAnsi="Garamond"/>
          <w:sz w:val="32"/>
          <w:szCs w:val="32"/>
        </w:rPr>
        <w:t xml:space="preserve">Dal punto di vista sistematico, invece, occorre accennare al </w:t>
      </w:r>
      <w:r w:rsidR="00FA2358" w:rsidRPr="002757C2">
        <w:rPr>
          <w:rFonts w:ascii="Garamond" w:hAnsi="Garamond"/>
          <w:sz w:val="32"/>
          <w:szCs w:val="32"/>
        </w:rPr>
        <w:t xml:space="preserve">quadro ideologico-culturale </w:t>
      </w:r>
      <w:r>
        <w:rPr>
          <w:rFonts w:ascii="Garamond" w:hAnsi="Garamond"/>
          <w:sz w:val="32"/>
          <w:szCs w:val="32"/>
        </w:rPr>
        <w:t xml:space="preserve">della Germania del dopoguerra per </w:t>
      </w:r>
      <w:r w:rsidR="00FA2358" w:rsidRPr="002757C2">
        <w:rPr>
          <w:rFonts w:ascii="Garamond" w:hAnsi="Garamond"/>
          <w:sz w:val="32"/>
          <w:szCs w:val="32"/>
        </w:rPr>
        <w:t>comprendere meglio le scelte del legislatore (anche costituzionale) tedesco relative alla giustizia amministrativa</w:t>
      </w:r>
      <w:r w:rsidR="004C2DA5" w:rsidRPr="002757C2">
        <w:rPr>
          <w:rFonts w:ascii="Garamond" w:hAnsi="Garamond"/>
          <w:sz w:val="32"/>
          <w:szCs w:val="32"/>
        </w:rPr>
        <w:t>.</w:t>
      </w:r>
    </w:p>
    <w:p w:rsidR="003A3319" w:rsidRPr="002757C2" w:rsidRDefault="003A3319" w:rsidP="00B060D9">
      <w:pPr>
        <w:ind w:left="708"/>
        <w:jc w:val="both"/>
        <w:rPr>
          <w:rFonts w:ascii="Garamond" w:hAnsi="Garamond"/>
          <w:sz w:val="32"/>
          <w:szCs w:val="32"/>
        </w:rPr>
      </w:pPr>
      <w:r w:rsidRPr="002757C2">
        <w:rPr>
          <w:rFonts w:ascii="Garamond" w:hAnsi="Garamond"/>
          <w:sz w:val="32"/>
          <w:szCs w:val="32"/>
        </w:rPr>
        <w:t xml:space="preserve">L’odierno sistema deriva dall’estensione della legge del 1946, elaborata da Walter </w:t>
      </w:r>
      <w:proofErr w:type="spellStart"/>
      <w:r w:rsidRPr="002757C2">
        <w:rPr>
          <w:rFonts w:ascii="Garamond" w:hAnsi="Garamond"/>
          <w:sz w:val="32"/>
          <w:szCs w:val="32"/>
        </w:rPr>
        <w:t>Jellinek</w:t>
      </w:r>
      <w:proofErr w:type="spellEnd"/>
      <w:r w:rsidRPr="002757C2">
        <w:rPr>
          <w:rFonts w:ascii="Garamond" w:hAnsi="Garamond"/>
          <w:sz w:val="32"/>
          <w:szCs w:val="32"/>
        </w:rPr>
        <w:t xml:space="preserve">, per i territori occupati dagli americani. Essa faceva prevalere, quale modello di giurisdizione amministrativa, quello della </w:t>
      </w:r>
      <w:proofErr w:type="spellStart"/>
      <w:r w:rsidRPr="002A3FF8">
        <w:rPr>
          <w:rFonts w:ascii="Garamond" w:hAnsi="Garamond"/>
          <w:i/>
          <w:sz w:val="32"/>
          <w:szCs w:val="32"/>
        </w:rPr>
        <w:t>süddeutsche</w:t>
      </w:r>
      <w:proofErr w:type="spellEnd"/>
      <w:r w:rsidRPr="002A3FF8">
        <w:rPr>
          <w:rFonts w:ascii="Garamond" w:hAnsi="Garamond"/>
          <w:i/>
          <w:sz w:val="32"/>
          <w:szCs w:val="32"/>
        </w:rPr>
        <w:t xml:space="preserve"> </w:t>
      </w:r>
      <w:proofErr w:type="spellStart"/>
      <w:r w:rsidRPr="002A3FF8">
        <w:rPr>
          <w:rFonts w:ascii="Garamond" w:hAnsi="Garamond"/>
          <w:i/>
          <w:sz w:val="32"/>
          <w:szCs w:val="32"/>
        </w:rPr>
        <w:t>Lösung</w:t>
      </w:r>
      <w:proofErr w:type="spellEnd"/>
      <w:r w:rsidRPr="002757C2">
        <w:rPr>
          <w:rFonts w:ascii="Garamond" w:hAnsi="Garamond"/>
          <w:sz w:val="32"/>
          <w:szCs w:val="32"/>
        </w:rPr>
        <w:t>, ovvero della opzione comportante una giurisdizione di diritto soggettivo, storicamente contrapposta al sistema prussiano</w:t>
      </w:r>
      <w:r w:rsidR="0068596B">
        <w:rPr>
          <w:rStyle w:val="Rimandonotaapidipagina"/>
          <w:rFonts w:ascii="Garamond" w:hAnsi="Garamond"/>
          <w:sz w:val="32"/>
          <w:szCs w:val="32"/>
        </w:rPr>
        <w:footnoteReference w:id="8"/>
      </w:r>
      <w:r w:rsidRPr="002757C2">
        <w:rPr>
          <w:rFonts w:ascii="Garamond" w:hAnsi="Garamond"/>
          <w:sz w:val="32"/>
          <w:szCs w:val="32"/>
        </w:rPr>
        <w:t xml:space="preserve">. Questa scelta venne poi confermata dalla </w:t>
      </w:r>
      <w:proofErr w:type="spellStart"/>
      <w:r w:rsidRPr="002A3FF8">
        <w:rPr>
          <w:rFonts w:ascii="Garamond" w:hAnsi="Garamond"/>
          <w:i/>
          <w:sz w:val="32"/>
          <w:szCs w:val="32"/>
        </w:rPr>
        <w:t>Grundgesetz</w:t>
      </w:r>
      <w:proofErr w:type="spellEnd"/>
      <w:r w:rsidR="00062EDF" w:rsidRPr="002757C2">
        <w:rPr>
          <w:rFonts w:ascii="Garamond" w:hAnsi="Garamond"/>
          <w:sz w:val="32"/>
          <w:szCs w:val="32"/>
        </w:rPr>
        <w:t xml:space="preserve"> del 1949</w:t>
      </w:r>
      <w:r w:rsidR="002A3FF8">
        <w:rPr>
          <w:rFonts w:ascii="Garamond" w:hAnsi="Garamond"/>
          <w:sz w:val="32"/>
          <w:szCs w:val="32"/>
        </w:rPr>
        <w:t>.</w:t>
      </w:r>
      <w:r w:rsidR="00062EDF" w:rsidRPr="002757C2">
        <w:rPr>
          <w:rFonts w:ascii="Garamond" w:hAnsi="Garamond"/>
          <w:sz w:val="32"/>
          <w:szCs w:val="32"/>
        </w:rPr>
        <w:t xml:space="preserve"> </w:t>
      </w:r>
      <w:r w:rsidR="002A3FF8" w:rsidRPr="002757C2">
        <w:rPr>
          <w:rFonts w:ascii="Garamond" w:hAnsi="Garamond"/>
          <w:sz w:val="32"/>
          <w:szCs w:val="32"/>
        </w:rPr>
        <w:t xml:space="preserve">All’articolo </w:t>
      </w:r>
      <w:r w:rsidR="00062EDF" w:rsidRPr="002757C2">
        <w:rPr>
          <w:rFonts w:ascii="Garamond" w:hAnsi="Garamond"/>
          <w:sz w:val="32"/>
          <w:szCs w:val="32"/>
        </w:rPr>
        <w:t>19</w:t>
      </w:r>
      <w:r w:rsidR="002A3FF8">
        <w:rPr>
          <w:rFonts w:ascii="Garamond" w:hAnsi="Garamond"/>
          <w:sz w:val="32"/>
          <w:szCs w:val="32"/>
        </w:rPr>
        <w:t>, paragrafo</w:t>
      </w:r>
      <w:r w:rsidR="00062EDF" w:rsidRPr="002757C2">
        <w:rPr>
          <w:rFonts w:ascii="Garamond" w:hAnsi="Garamond"/>
          <w:sz w:val="32"/>
          <w:szCs w:val="32"/>
        </w:rPr>
        <w:t xml:space="preserve"> 4</w:t>
      </w:r>
      <w:r w:rsidR="002A3FF8">
        <w:rPr>
          <w:rFonts w:ascii="Garamond" w:hAnsi="Garamond"/>
          <w:sz w:val="32"/>
          <w:szCs w:val="32"/>
        </w:rPr>
        <w:t>,</w:t>
      </w:r>
      <w:r w:rsidR="00062EDF" w:rsidRPr="002757C2">
        <w:rPr>
          <w:rFonts w:ascii="Garamond" w:hAnsi="Garamond"/>
          <w:sz w:val="32"/>
          <w:szCs w:val="32"/>
        </w:rPr>
        <w:t xml:space="preserve"> </w:t>
      </w:r>
      <w:r w:rsidR="007A7838">
        <w:rPr>
          <w:rFonts w:ascii="Garamond" w:hAnsi="Garamond"/>
          <w:sz w:val="32"/>
          <w:szCs w:val="32"/>
        </w:rPr>
        <w:t>fu</w:t>
      </w:r>
      <w:r w:rsidR="002A3FF8">
        <w:rPr>
          <w:rFonts w:ascii="Garamond" w:hAnsi="Garamond"/>
          <w:sz w:val="32"/>
          <w:szCs w:val="32"/>
        </w:rPr>
        <w:t xml:space="preserve"> espressamente previsto che il soggetto</w:t>
      </w:r>
      <w:r w:rsidR="00062EDF" w:rsidRPr="002757C2">
        <w:rPr>
          <w:rFonts w:ascii="Garamond" w:hAnsi="Garamond"/>
          <w:sz w:val="32"/>
          <w:szCs w:val="32"/>
        </w:rPr>
        <w:t xml:space="preserve"> leso nei suoi diritti dal potere pubblico</w:t>
      </w:r>
      <w:r w:rsidR="002A3FF8">
        <w:rPr>
          <w:rFonts w:ascii="Garamond" w:hAnsi="Garamond"/>
          <w:sz w:val="32"/>
          <w:szCs w:val="32"/>
        </w:rPr>
        <w:t xml:space="preserve"> aveva diritto a</w:t>
      </w:r>
      <w:r w:rsidR="007A7838">
        <w:rPr>
          <w:rFonts w:ascii="Garamond" w:hAnsi="Garamond"/>
          <w:sz w:val="32"/>
          <w:szCs w:val="32"/>
        </w:rPr>
        <w:t>l</w:t>
      </w:r>
      <w:r w:rsidR="002A3FF8">
        <w:rPr>
          <w:rFonts w:ascii="Garamond" w:hAnsi="Garamond"/>
          <w:sz w:val="32"/>
          <w:szCs w:val="32"/>
        </w:rPr>
        <w:t xml:space="preserve"> ricor</w:t>
      </w:r>
      <w:r w:rsidR="007A7838">
        <w:rPr>
          <w:rFonts w:ascii="Garamond" w:hAnsi="Garamond"/>
          <w:sz w:val="32"/>
          <w:szCs w:val="32"/>
        </w:rPr>
        <w:t>so</w:t>
      </w:r>
      <w:r w:rsidR="00062EDF" w:rsidRPr="002757C2">
        <w:rPr>
          <w:rStyle w:val="Rimandonotaapidipagina"/>
          <w:rFonts w:ascii="Garamond" w:hAnsi="Garamond"/>
          <w:sz w:val="32"/>
          <w:szCs w:val="32"/>
        </w:rPr>
        <w:footnoteReference w:id="9"/>
      </w:r>
      <w:r w:rsidR="007A7838">
        <w:rPr>
          <w:rFonts w:ascii="Garamond" w:hAnsi="Garamond"/>
          <w:sz w:val="32"/>
          <w:szCs w:val="32"/>
        </w:rPr>
        <w:t>.</w:t>
      </w:r>
      <w:r w:rsidR="00062EDF" w:rsidRPr="002757C2">
        <w:rPr>
          <w:rFonts w:ascii="Garamond" w:hAnsi="Garamond"/>
          <w:sz w:val="32"/>
          <w:szCs w:val="32"/>
        </w:rPr>
        <w:t xml:space="preserve"> L’impostazione generale esprimeva una forte spinta anti-autoritaria</w:t>
      </w:r>
      <w:r w:rsidR="00062EDF" w:rsidRPr="002757C2">
        <w:rPr>
          <w:rStyle w:val="Rimandonotaapidipagina"/>
          <w:rFonts w:ascii="Garamond" w:hAnsi="Garamond"/>
          <w:sz w:val="32"/>
          <w:szCs w:val="32"/>
        </w:rPr>
        <w:footnoteReference w:id="10"/>
      </w:r>
      <w:r w:rsidR="00062EDF" w:rsidRPr="002757C2">
        <w:rPr>
          <w:rFonts w:ascii="Garamond" w:hAnsi="Garamond"/>
          <w:sz w:val="32"/>
          <w:szCs w:val="32"/>
        </w:rPr>
        <w:t>.</w:t>
      </w:r>
    </w:p>
    <w:p w:rsidR="00545A1C" w:rsidRPr="002757C2" w:rsidRDefault="006100F4" w:rsidP="00B060D9">
      <w:pPr>
        <w:ind w:left="708"/>
        <w:rPr>
          <w:rFonts w:ascii="Garamond" w:hAnsi="Garamond"/>
          <w:sz w:val="32"/>
          <w:szCs w:val="32"/>
        </w:rPr>
      </w:pPr>
      <w:r>
        <w:rPr>
          <w:rFonts w:ascii="Garamond" w:hAnsi="Garamond"/>
          <w:sz w:val="32"/>
          <w:szCs w:val="32"/>
        </w:rPr>
        <w:t xml:space="preserve">Coerentemente </w:t>
      </w:r>
      <w:r w:rsidR="00075F48">
        <w:rPr>
          <w:rFonts w:ascii="Garamond" w:hAnsi="Garamond"/>
          <w:sz w:val="32"/>
          <w:szCs w:val="32"/>
        </w:rPr>
        <w:t xml:space="preserve">il </w:t>
      </w:r>
      <w:proofErr w:type="spellStart"/>
      <w:r w:rsidR="0063299C" w:rsidRPr="006100F4">
        <w:rPr>
          <w:rFonts w:ascii="Garamond" w:hAnsi="Garamond"/>
          <w:i/>
          <w:sz w:val="32"/>
          <w:szCs w:val="32"/>
        </w:rPr>
        <w:t>Verwaltungsgerichtsordnung</w:t>
      </w:r>
      <w:proofErr w:type="spellEnd"/>
      <w:r>
        <w:rPr>
          <w:rFonts w:ascii="Garamond" w:hAnsi="Garamond"/>
          <w:sz w:val="32"/>
          <w:szCs w:val="32"/>
        </w:rPr>
        <w:t xml:space="preserve"> offre </w:t>
      </w:r>
      <w:r w:rsidR="00545A1C" w:rsidRPr="002757C2">
        <w:rPr>
          <w:rFonts w:ascii="Garamond" w:hAnsi="Garamond"/>
          <w:sz w:val="32"/>
          <w:szCs w:val="32"/>
        </w:rPr>
        <w:t>due</w:t>
      </w:r>
      <w:r>
        <w:rPr>
          <w:rFonts w:ascii="Garamond" w:hAnsi="Garamond"/>
          <w:sz w:val="32"/>
          <w:szCs w:val="32"/>
        </w:rPr>
        <w:t xml:space="preserve"> diversi strumenti per assicurare la tutela cautelare</w:t>
      </w:r>
      <w:r w:rsidR="0063299C">
        <w:rPr>
          <w:rStyle w:val="Rimandonotaapidipagina"/>
          <w:rFonts w:ascii="Garamond" w:hAnsi="Garamond"/>
          <w:sz w:val="32"/>
          <w:szCs w:val="32"/>
        </w:rPr>
        <w:footnoteReference w:id="11"/>
      </w:r>
      <w:r>
        <w:rPr>
          <w:rFonts w:ascii="Garamond" w:hAnsi="Garamond"/>
          <w:sz w:val="32"/>
          <w:szCs w:val="32"/>
        </w:rPr>
        <w:t>.</w:t>
      </w:r>
    </w:p>
    <w:p w:rsidR="0005520D" w:rsidRPr="00075F48" w:rsidRDefault="00075F48" w:rsidP="00B060D9">
      <w:pPr>
        <w:ind w:left="708"/>
        <w:jc w:val="both"/>
        <w:rPr>
          <w:rFonts w:ascii="Garamond" w:hAnsi="Garamond"/>
          <w:sz w:val="32"/>
          <w:szCs w:val="32"/>
        </w:rPr>
      </w:pPr>
      <w:r>
        <w:rPr>
          <w:rFonts w:ascii="Garamond" w:hAnsi="Garamond"/>
          <w:sz w:val="32"/>
          <w:szCs w:val="32"/>
        </w:rPr>
        <w:t xml:space="preserve">Secondo l’idea </w:t>
      </w:r>
      <w:r w:rsidR="00545A1C" w:rsidRPr="00075F48">
        <w:rPr>
          <w:rFonts w:ascii="Garamond" w:hAnsi="Garamond"/>
          <w:sz w:val="32"/>
          <w:szCs w:val="32"/>
        </w:rPr>
        <w:t>originaria</w:t>
      </w:r>
      <w:r>
        <w:rPr>
          <w:rFonts w:ascii="Garamond" w:hAnsi="Garamond"/>
          <w:sz w:val="32"/>
          <w:szCs w:val="32"/>
        </w:rPr>
        <w:t xml:space="preserve"> della </w:t>
      </w:r>
      <w:r w:rsidRPr="00075F48">
        <w:rPr>
          <w:rFonts w:ascii="Garamond" w:hAnsi="Garamond"/>
          <w:sz w:val="32"/>
          <w:szCs w:val="32"/>
        </w:rPr>
        <w:t xml:space="preserve">legge federale del 1960 </w:t>
      </w:r>
      <w:r w:rsidR="00545A1C" w:rsidRPr="00075F48">
        <w:rPr>
          <w:rFonts w:ascii="Garamond" w:hAnsi="Garamond"/>
          <w:sz w:val="32"/>
          <w:szCs w:val="32"/>
        </w:rPr>
        <w:t>(</w:t>
      </w:r>
      <w:proofErr w:type="spellStart"/>
      <w:r w:rsidR="00545A1C" w:rsidRPr="00075F48">
        <w:rPr>
          <w:rFonts w:ascii="Garamond" w:hAnsi="Garamond"/>
          <w:sz w:val="32"/>
          <w:szCs w:val="32"/>
        </w:rPr>
        <w:t>VwGO</w:t>
      </w:r>
      <w:proofErr w:type="spellEnd"/>
      <w:r w:rsidR="00545A1C" w:rsidRPr="00075F48">
        <w:rPr>
          <w:rFonts w:ascii="Garamond" w:hAnsi="Garamond"/>
          <w:sz w:val="32"/>
          <w:szCs w:val="32"/>
        </w:rPr>
        <w:t>)</w:t>
      </w:r>
      <w:r>
        <w:rPr>
          <w:rFonts w:ascii="Garamond" w:hAnsi="Garamond"/>
          <w:sz w:val="32"/>
          <w:szCs w:val="32"/>
        </w:rPr>
        <w:t>,</w:t>
      </w:r>
      <w:r w:rsidR="00545A1C" w:rsidRPr="00075F48">
        <w:rPr>
          <w:rFonts w:ascii="Garamond" w:hAnsi="Garamond"/>
          <w:sz w:val="32"/>
          <w:szCs w:val="32"/>
        </w:rPr>
        <w:t xml:space="preserve"> la presentazione di un </w:t>
      </w:r>
      <w:proofErr w:type="spellStart"/>
      <w:r w:rsidR="007A7838">
        <w:rPr>
          <w:rFonts w:ascii="Garamond" w:hAnsi="Garamond"/>
          <w:i/>
          <w:sz w:val="32"/>
          <w:szCs w:val="32"/>
        </w:rPr>
        <w:t>Widerspruch</w:t>
      </w:r>
      <w:proofErr w:type="spellEnd"/>
      <w:r w:rsidR="007A7838" w:rsidRPr="007A7838">
        <w:rPr>
          <w:rStyle w:val="Rimandonotaapidipagina"/>
          <w:rFonts w:ascii="Garamond" w:hAnsi="Garamond"/>
          <w:sz w:val="32"/>
          <w:szCs w:val="32"/>
        </w:rPr>
        <w:footnoteReference w:id="12"/>
      </w:r>
      <w:r w:rsidR="007A7838">
        <w:rPr>
          <w:rFonts w:ascii="Garamond" w:hAnsi="Garamond"/>
          <w:i/>
          <w:sz w:val="32"/>
          <w:szCs w:val="32"/>
        </w:rPr>
        <w:t xml:space="preserve"> </w:t>
      </w:r>
      <w:r w:rsidR="00545A1C" w:rsidRPr="00075F48">
        <w:rPr>
          <w:rFonts w:ascii="Garamond" w:hAnsi="Garamond"/>
          <w:sz w:val="32"/>
          <w:szCs w:val="32"/>
        </w:rPr>
        <w:t xml:space="preserve">o di un ricorso per l’annullamento ha come </w:t>
      </w:r>
      <w:r w:rsidR="0005520D" w:rsidRPr="00075F48">
        <w:rPr>
          <w:rFonts w:ascii="Garamond" w:hAnsi="Garamond"/>
          <w:sz w:val="32"/>
          <w:szCs w:val="32"/>
        </w:rPr>
        <w:t xml:space="preserve">effetto </w:t>
      </w:r>
      <w:r w:rsidR="00545A1C" w:rsidRPr="00075F48">
        <w:rPr>
          <w:rFonts w:ascii="Garamond" w:hAnsi="Garamond"/>
          <w:sz w:val="32"/>
          <w:szCs w:val="32"/>
        </w:rPr>
        <w:t xml:space="preserve">automatico la sospensione </w:t>
      </w:r>
      <w:r w:rsidR="0005520D" w:rsidRPr="00075F48">
        <w:rPr>
          <w:rFonts w:ascii="Garamond" w:hAnsi="Garamond"/>
          <w:sz w:val="32"/>
          <w:szCs w:val="32"/>
        </w:rPr>
        <w:t>dell'efficacia dell'atto amministrativo</w:t>
      </w:r>
      <w:r w:rsidR="00545A1C" w:rsidRPr="00075F48">
        <w:rPr>
          <w:rFonts w:ascii="Garamond" w:hAnsi="Garamond"/>
          <w:sz w:val="32"/>
          <w:szCs w:val="32"/>
        </w:rPr>
        <w:t xml:space="preserve"> (</w:t>
      </w:r>
      <w:proofErr w:type="spellStart"/>
      <w:r w:rsidRPr="00075F48">
        <w:rPr>
          <w:rFonts w:ascii="Garamond" w:hAnsi="Garamond"/>
          <w:i/>
          <w:sz w:val="32"/>
          <w:szCs w:val="32"/>
        </w:rPr>
        <w:t>vorläufiger</w:t>
      </w:r>
      <w:proofErr w:type="spellEnd"/>
      <w:r w:rsidRPr="00075F48">
        <w:rPr>
          <w:rFonts w:ascii="Garamond" w:hAnsi="Garamond"/>
          <w:i/>
          <w:sz w:val="32"/>
          <w:szCs w:val="32"/>
        </w:rPr>
        <w:t xml:space="preserve"> </w:t>
      </w:r>
      <w:proofErr w:type="spellStart"/>
      <w:r w:rsidRPr="00075F48">
        <w:rPr>
          <w:rFonts w:ascii="Garamond" w:hAnsi="Garamond"/>
          <w:i/>
          <w:sz w:val="32"/>
          <w:szCs w:val="32"/>
        </w:rPr>
        <w:t>Rechtsschutz</w:t>
      </w:r>
      <w:proofErr w:type="spellEnd"/>
      <w:r w:rsidRPr="00075F48">
        <w:rPr>
          <w:rFonts w:ascii="Garamond" w:hAnsi="Garamond"/>
          <w:sz w:val="32"/>
          <w:szCs w:val="32"/>
        </w:rPr>
        <w:t xml:space="preserve"> </w:t>
      </w:r>
      <w:r>
        <w:rPr>
          <w:rFonts w:ascii="Garamond" w:hAnsi="Garamond"/>
          <w:sz w:val="32"/>
          <w:szCs w:val="32"/>
        </w:rPr>
        <w:t xml:space="preserve">prevista dall’articolo </w:t>
      </w:r>
      <w:r w:rsidR="00545A1C" w:rsidRPr="00075F48">
        <w:rPr>
          <w:rFonts w:ascii="Garamond" w:hAnsi="Garamond"/>
          <w:sz w:val="32"/>
          <w:szCs w:val="32"/>
        </w:rPr>
        <w:t>60)</w:t>
      </w:r>
      <w:r w:rsidR="0005520D" w:rsidRPr="00075F48">
        <w:rPr>
          <w:rFonts w:ascii="Garamond" w:hAnsi="Garamond"/>
          <w:sz w:val="32"/>
          <w:szCs w:val="32"/>
        </w:rPr>
        <w:t>.</w:t>
      </w:r>
      <w:r w:rsidR="000E400D" w:rsidRPr="00075F48">
        <w:rPr>
          <w:rFonts w:ascii="Garamond" w:hAnsi="Garamond"/>
          <w:sz w:val="32"/>
          <w:szCs w:val="32"/>
        </w:rPr>
        <w:t xml:space="preserve"> Naturalmente</w:t>
      </w:r>
      <w:r>
        <w:rPr>
          <w:rFonts w:ascii="Garamond" w:hAnsi="Garamond"/>
          <w:sz w:val="32"/>
          <w:szCs w:val="32"/>
        </w:rPr>
        <w:t>,</w:t>
      </w:r>
      <w:r w:rsidR="000E400D" w:rsidRPr="00075F48">
        <w:rPr>
          <w:rFonts w:ascii="Garamond" w:hAnsi="Garamond"/>
          <w:sz w:val="32"/>
          <w:szCs w:val="32"/>
        </w:rPr>
        <w:t xml:space="preserve"> se si tratta dell’impugnazione di un atto favorevole a un terzo</w:t>
      </w:r>
      <w:r>
        <w:rPr>
          <w:rFonts w:ascii="Garamond" w:hAnsi="Garamond"/>
          <w:sz w:val="32"/>
          <w:szCs w:val="32"/>
        </w:rPr>
        <w:t>,</w:t>
      </w:r>
      <w:r w:rsidR="000E400D" w:rsidRPr="00075F48">
        <w:rPr>
          <w:rFonts w:ascii="Garamond" w:hAnsi="Garamond"/>
          <w:sz w:val="32"/>
          <w:szCs w:val="32"/>
        </w:rPr>
        <w:t xml:space="preserve"> </w:t>
      </w:r>
      <w:r>
        <w:rPr>
          <w:rFonts w:ascii="Garamond" w:hAnsi="Garamond"/>
          <w:sz w:val="32"/>
          <w:szCs w:val="32"/>
        </w:rPr>
        <w:t>è</w:t>
      </w:r>
      <w:r w:rsidR="000E400D" w:rsidRPr="00075F48">
        <w:rPr>
          <w:rFonts w:ascii="Garamond" w:hAnsi="Garamond"/>
          <w:sz w:val="32"/>
          <w:szCs w:val="32"/>
        </w:rPr>
        <w:t xml:space="preserve"> quest’ultimo, controinteressato</w:t>
      </w:r>
      <w:r w:rsidR="005A0D56">
        <w:rPr>
          <w:rFonts w:ascii="Garamond" w:hAnsi="Garamond"/>
          <w:sz w:val="32"/>
          <w:szCs w:val="32"/>
        </w:rPr>
        <w:t>,</w:t>
      </w:r>
      <w:r w:rsidR="000E400D" w:rsidRPr="00075F48">
        <w:rPr>
          <w:rFonts w:ascii="Garamond" w:hAnsi="Garamond"/>
          <w:sz w:val="32"/>
          <w:szCs w:val="32"/>
        </w:rPr>
        <w:t xml:space="preserve"> a dover chiedere una tutela provvisoria.</w:t>
      </w:r>
    </w:p>
    <w:p w:rsidR="00545A1C" w:rsidRPr="002757C2" w:rsidRDefault="00545A1C" w:rsidP="00B060D9">
      <w:pPr>
        <w:ind w:left="708"/>
        <w:jc w:val="both"/>
        <w:rPr>
          <w:rFonts w:ascii="Garamond" w:hAnsi="Garamond"/>
          <w:sz w:val="32"/>
          <w:szCs w:val="32"/>
        </w:rPr>
      </w:pPr>
      <w:r w:rsidRPr="002757C2">
        <w:rPr>
          <w:rFonts w:ascii="Garamond" w:hAnsi="Garamond"/>
          <w:sz w:val="32"/>
          <w:szCs w:val="32"/>
        </w:rPr>
        <w:t>Le eccezioni</w:t>
      </w:r>
      <w:r w:rsidR="000E400D" w:rsidRPr="002757C2">
        <w:rPr>
          <w:rFonts w:ascii="Garamond" w:hAnsi="Garamond"/>
          <w:sz w:val="32"/>
          <w:szCs w:val="32"/>
        </w:rPr>
        <w:t xml:space="preserve"> </w:t>
      </w:r>
      <w:r w:rsidR="00075F48">
        <w:rPr>
          <w:rFonts w:ascii="Garamond" w:hAnsi="Garamond"/>
          <w:sz w:val="32"/>
          <w:szCs w:val="32"/>
        </w:rPr>
        <w:t xml:space="preserve">a questo automatismo </w:t>
      </w:r>
      <w:r w:rsidR="002847A8">
        <w:rPr>
          <w:rFonts w:ascii="Garamond" w:hAnsi="Garamond"/>
          <w:sz w:val="32"/>
          <w:szCs w:val="32"/>
        </w:rPr>
        <w:t>s</w:t>
      </w:r>
      <w:r w:rsidR="000E400D" w:rsidRPr="002757C2">
        <w:rPr>
          <w:rFonts w:ascii="Garamond" w:hAnsi="Garamond"/>
          <w:sz w:val="32"/>
          <w:szCs w:val="32"/>
        </w:rPr>
        <w:t>i sono però moltiplicate.</w:t>
      </w:r>
    </w:p>
    <w:p w:rsidR="004D5808" w:rsidRDefault="0005520D" w:rsidP="00B060D9">
      <w:pPr>
        <w:ind w:left="708"/>
        <w:jc w:val="both"/>
        <w:rPr>
          <w:rFonts w:ascii="Garamond" w:hAnsi="Garamond"/>
          <w:sz w:val="32"/>
          <w:szCs w:val="32"/>
        </w:rPr>
      </w:pPr>
      <w:r w:rsidRPr="002757C2">
        <w:rPr>
          <w:rFonts w:ascii="Garamond" w:hAnsi="Garamond"/>
          <w:sz w:val="32"/>
          <w:szCs w:val="32"/>
        </w:rPr>
        <w:t xml:space="preserve">In base all'articolo 80, secondo paragrafo, del </w:t>
      </w:r>
      <w:proofErr w:type="spellStart"/>
      <w:r w:rsidRPr="002757C2">
        <w:rPr>
          <w:rFonts w:ascii="Garamond" w:hAnsi="Garamond"/>
          <w:sz w:val="32"/>
          <w:szCs w:val="32"/>
        </w:rPr>
        <w:t>VwGO</w:t>
      </w:r>
      <w:proofErr w:type="spellEnd"/>
      <w:r w:rsidRPr="002757C2">
        <w:rPr>
          <w:rFonts w:ascii="Garamond" w:hAnsi="Garamond"/>
          <w:sz w:val="32"/>
          <w:szCs w:val="32"/>
        </w:rPr>
        <w:t>, come modificato con la legge del 1° novembre 1996, infatti, l’effetto sospensivo viene a mancare non solo nelle controversie relative a tributi o contributi pubblici (</w:t>
      </w:r>
      <w:proofErr w:type="spellStart"/>
      <w:r w:rsidRPr="00075F48">
        <w:rPr>
          <w:rFonts w:ascii="Garamond" w:hAnsi="Garamond"/>
          <w:i/>
          <w:sz w:val="32"/>
          <w:szCs w:val="32"/>
        </w:rPr>
        <w:t>öffentlichen</w:t>
      </w:r>
      <w:proofErr w:type="spellEnd"/>
      <w:r w:rsidRPr="00075F48">
        <w:rPr>
          <w:rFonts w:ascii="Garamond" w:hAnsi="Garamond"/>
          <w:i/>
          <w:sz w:val="32"/>
          <w:szCs w:val="32"/>
        </w:rPr>
        <w:t xml:space="preserve"> </w:t>
      </w:r>
      <w:proofErr w:type="spellStart"/>
      <w:r w:rsidRPr="00075F48">
        <w:rPr>
          <w:rFonts w:ascii="Garamond" w:hAnsi="Garamond"/>
          <w:i/>
          <w:sz w:val="32"/>
          <w:szCs w:val="32"/>
        </w:rPr>
        <w:t>Abgaben</w:t>
      </w:r>
      <w:proofErr w:type="spellEnd"/>
      <w:r w:rsidRPr="00075F48">
        <w:rPr>
          <w:rFonts w:ascii="Garamond" w:hAnsi="Garamond"/>
          <w:i/>
          <w:sz w:val="32"/>
          <w:szCs w:val="32"/>
        </w:rPr>
        <w:t xml:space="preserve"> und </w:t>
      </w:r>
      <w:proofErr w:type="spellStart"/>
      <w:r w:rsidRPr="00075F48">
        <w:rPr>
          <w:rFonts w:ascii="Garamond" w:hAnsi="Garamond"/>
          <w:i/>
          <w:sz w:val="32"/>
          <w:szCs w:val="32"/>
        </w:rPr>
        <w:t>Kosten</w:t>
      </w:r>
      <w:proofErr w:type="spellEnd"/>
      <w:r w:rsidRPr="002757C2">
        <w:rPr>
          <w:rFonts w:ascii="Garamond" w:hAnsi="Garamond"/>
          <w:sz w:val="32"/>
          <w:szCs w:val="32"/>
        </w:rPr>
        <w:t>) o a misure improcrastinabili di funzionari di polizia esecutiva (</w:t>
      </w:r>
      <w:proofErr w:type="spellStart"/>
      <w:r w:rsidRPr="00075F48">
        <w:rPr>
          <w:rFonts w:ascii="Garamond" w:hAnsi="Garamond"/>
          <w:i/>
          <w:sz w:val="32"/>
          <w:szCs w:val="32"/>
        </w:rPr>
        <w:t>unaufschiebbare</w:t>
      </w:r>
      <w:proofErr w:type="spellEnd"/>
      <w:r w:rsidRPr="00075F48">
        <w:rPr>
          <w:rFonts w:ascii="Garamond" w:hAnsi="Garamond"/>
          <w:i/>
          <w:sz w:val="32"/>
          <w:szCs w:val="32"/>
        </w:rPr>
        <w:t xml:space="preserve"> </w:t>
      </w:r>
      <w:proofErr w:type="spellStart"/>
      <w:r w:rsidRPr="00075F48">
        <w:rPr>
          <w:rFonts w:ascii="Garamond" w:hAnsi="Garamond"/>
          <w:i/>
          <w:sz w:val="32"/>
          <w:szCs w:val="32"/>
        </w:rPr>
        <w:t>Anordnungen</w:t>
      </w:r>
      <w:proofErr w:type="spellEnd"/>
      <w:r w:rsidRPr="00075F48">
        <w:rPr>
          <w:rFonts w:ascii="Garamond" w:hAnsi="Garamond"/>
          <w:i/>
          <w:sz w:val="32"/>
          <w:szCs w:val="32"/>
        </w:rPr>
        <w:t xml:space="preserve"> und </w:t>
      </w:r>
      <w:proofErr w:type="spellStart"/>
      <w:r w:rsidRPr="00075F48">
        <w:rPr>
          <w:rFonts w:ascii="Garamond" w:hAnsi="Garamond"/>
          <w:i/>
          <w:sz w:val="32"/>
          <w:szCs w:val="32"/>
        </w:rPr>
        <w:t>Maßnahmen</w:t>
      </w:r>
      <w:proofErr w:type="spellEnd"/>
      <w:r w:rsidRPr="00075F48">
        <w:rPr>
          <w:rFonts w:ascii="Garamond" w:hAnsi="Garamond"/>
          <w:i/>
          <w:sz w:val="32"/>
          <w:szCs w:val="32"/>
        </w:rPr>
        <w:t xml:space="preserve"> von </w:t>
      </w:r>
      <w:proofErr w:type="spellStart"/>
      <w:r w:rsidRPr="00075F48">
        <w:rPr>
          <w:rFonts w:ascii="Garamond" w:hAnsi="Garamond"/>
          <w:i/>
          <w:sz w:val="32"/>
          <w:szCs w:val="32"/>
        </w:rPr>
        <w:t>Polizeivollzugsbeamten</w:t>
      </w:r>
      <w:proofErr w:type="spellEnd"/>
      <w:r w:rsidR="00075F48">
        <w:rPr>
          <w:rFonts w:ascii="Garamond" w:hAnsi="Garamond"/>
          <w:sz w:val="32"/>
          <w:szCs w:val="32"/>
        </w:rPr>
        <w:t>)</w:t>
      </w:r>
      <w:r w:rsidR="00075F48">
        <w:rPr>
          <w:rStyle w:val="Rimandonotaapidipagina"/>
          <w:rFonts w:ascii="Garamond" w:hAnsi="Garamond"/>
          <w:sz w:val="32"/>
          <w:szCs w:val="32"/>
        </w:rPr>
        <w:footnoteReference w:id="13"/>
      </w:r>
      <w:r w:rsidRPr="002757C2">
        <w:rPr>
          <w:rFonts w:ascii="Garamond" w:hAnsi="Garamond"/>
          <w:sz w:val="32"/>
          <w:szCs w:val="32"/>
        </w:rPr>
        <w:t>, ma anche in altri casi previsti</w:t>
      </w:r>
      <w:r w:rsidR="00627BF8">
        <w:rPr>
          <w:rFonts w:ascii="Garamond" w:hAnsi="Garamond"/>
          <w:sz w:val="32"/>
          <w:szCs w:val="32"/>
        </w:rPr>
        <w:t xml:space="preserve"> dalla </w:t>
      </w:r>
      <w:r w:rsidRPr="002757C2">
        <w:rPr>
          <w:rFonts w:ascii="Garamond" w:hAnsi="Garamond"/>
          <w:sz w:val="32"/>
          <w:szCs w:val="32"/>
        </w:rPr>
        <w:t>legge federale o</w:t>
      </w:r>
      <w:r w:rsidR="00627BF8">
        <w:rPr>
          <w:rFonts w:ascii="Garamond" w:hAnsi="Garamond"/>
          <w:sz w:val="32"/>
          <w:szCs w:val="32"/>
        </w:rPr>
        <w:t xml:space="preserve"> statale nelle ipotesi in cui la misura cautelare possa comportare </w:t>
      </w:r>
      <w:r w:rsidRPr="002757C2">
        <w:rPr>
          <w:rFonts w:ascii="Garamond" w:hAnsi="Garamond"/>
          <w:sz w:val="32"/>
          <w:szCs w:val="32"/>
        </w:rPr>
        <w:t>un blocco degli investimenti ovvero un impedimento alla creazione di posti di lavoro oppure</w:t>
      </w:r>
      <w:r w:rsidR="00627BF8">
        <w:rPr>
          <w:rFonts w:ascii="Garamond" w:hAnsi="Garamond"/>
          <w:sz w:val="32"/>
          <w:szCs w:val="32"/>
        </w:rPr>
        <w:t xml:space="preserve"> in cui </w:t>
      </w:r>
      <w:r w:rsidRPr="002757C2">
        <w:rPr>
          <w:rFonts w:ascii="Garamond" w:hAnsi="Garamond"/>
          <w:sz w:val="32"/>
          <w:szCs w:val="32"/>
        </w:rPr>
        <w:t>l’immediata esecuzione venga appositamente e motivatamente disposta nell’interesse pubblico o riguardi una misura espressamente denominata "di emergenza"</w:t>
      </w:r>
      <w:r w:rsidR="001B59E3">
        <w:rPr>
          <w:rStyle w:val="Rimandonotaapidipagina"/>
          <w:rFonts w:ascii="Garamond" w:hAnsi="Garamond"/>
          <w:sz w:val="32"/>
          <w:szCs w:val="32"/>
        </w:rPr>
        <w:footnoteReference w:id="14"/>
      </w:r>
      <w:r w:rsidRPr="002757C2">
        <w:rPr>
          <w:rFonts w:ascii="Garamond" w:hAnsi="Garamond"/>
          <w:sz w:val="32"/>
          <w:szCs w:val="32"/>
        </w:rPr>
        <w:t xml:space="preserve">. Nell'ambito di tali previsioni il legislatore federale ha escluso l'effetto sospensivo per i ricorsi contro l'ordine di espulsione degli extracomunitari e contro la chiamata alla leva e per tutti quelli prodotti in campo edilizio dal soggetto in rapporto di </w:t>
      </w:r>
      <w:proofErr w:type="spellStart"/>
      <w:r w:rsidRPr="00627BF8">
        <w:rPr>
          <w:rFonts w:ascii="Garamond" w:hAnsi="Garamond"/>
          <w:i/>
          <w:sz w:val="32"/>
          <w:szCs w:val="32"/>
        </w:rPr>
        <w:t>vicinitas</w:t>
      </w:r>
      <w:proofErr w:type="spellEnd"/>
      <w:r w:rsidRPr="002757C2">
        <w:rPr>
          <w:rFonts w:ascii="Garamond" w:hAnsi="Garamond"/>
          <w:sz w:val="32"/>
          <w:szCs w:val="32"/>
        </w:rPr>
        <w:t xml:space="preserve"> (articolo 212a </w:t>
      </w:r>
      <w:proofErr w:type="spellStart"/>
      <w:r w:rsidRPr="00627BF8">
        <w:rPr>
          <w:rFonts w:ascii="Garamond" w:hAnsi="Garamond"/>
          <w:i/>
          <w:sz w:val="32"/>
          <w:szCs w:val="32"/>
        </w:rPr>
        <w:t>BauGB</w:t>
      </w:r>
      <w:proofErr w:type="spellEnd"/>
      <w:r w:rsidR="00627BF8" w:rsidRPr="00627BF8">
        <w:rPr>
          <w:rStyle w:val="Rimandonotaapidipagina"/>
          <w:rFonts w:ascii="Garamond" w:hAnsi="Garamond"/>
          <w:sz w:val="32"/>
          <w:szCs w:val="32"/>
        </w:rPr>
        <w:footnoteReference w:id="15"/>
      </w:r>
      <w:r w:rsidRPr="002757C2">
        <w:rPr>
          <w:rFonts w:ascii="Garamond" w:hAnsi="Garamond"/>
          <w:sz w:val="32"/>
          <w:szCs w:val="32"/>
        </w:rPr>
        <w:t xml:space="preserve">), mentre in molti </w:t>
      </w:r>
      <w:proofErr w:type="spellStart"/>
      <w:r w:rsidRPr="00627BF8">
        <w:rPr>
          <w:rFonts w:ascii="Garamond" w:hAnsi="Garamond"/>
          <w:i/>
          <w:sz w:val="32"/>
          <w:szCs w:val="32"/>
        </w:rPr>
        <w:t>Länder</w:t>
      </w:r>
      <w:proofErr w:type="spellEnd"/>
      <w:r w:rsidRPr="00627BF8">
        <w:rPr>
          <w:rFonts w:ascii="Garamond" w:hAnsi="Garamond"/>
          <w:i/>
          <w:sz w:val="32"/>
          <w:szCs w:val="32"/>
        </w:rPr>
        <w:t xml:space="preserve"> </w:t>
      </w:r>
      <w:r w:rsidRPr="002757C2">
        <w:rPr>
          <w:rFonts w:ascii="Garamond" w:hAnsi="Garamond"/>
          <w:sz w:val="32"/>
          <w:szCs w:val="32"/>
        </w:rPr>
        <w:t xml:space="preserve">è stata esclusa la sospensione automatica per le impugnazioni da parte di amministrazioni locali di un </w:t>
      </w:r>
      <w:proofErr w:type="spellStart"/>
      <w:r w:rsidRPr="00627BF8">
        <w:rPr>
          <w:rFonts w:ascii="Garamond" w:hAnsi="Garamond"/>
          <w:i/>
          <w:sz w:val="32"/>
          <w:szCs w:val="32"/>
        </w:rPr>
        <w:t>Einvernehemen</w:t>
      </w:r>
      <w:proofErr w:type="spellEnd"/>
      <w:r w:rsidRPr="002757C2">
        <w:rPr>
          <w:rFonts w:ascii="Garamond" w:hAnsi="Garamond"/>
          <w:sz w:val="32"/>
          <w:szCs w:val="32"/>
        </w:rPr>
        <w:t xml:space="preserve"> ai sensi</w:t>
      </w:r>
      <w:r w:rsidR="00627BF8">
        <w:rPr>
          <w:rFonts w:ascii="Garamond" w:hAnsi="Garamond"/>
          <w:sz w:val="32"/>
          <w:szCs w:val="32"/>
        </w:rPr>
        <w:t xml:space="preserve"> dell’articolo </w:t>
      </w:r>
      <w:r w:rsidRPr="002757C2">
        <w:rPr>
          <w:rFonts w:ascii="Garamond" w:hAnsi="Garamond"/>
          <w:sz w:val="32"/>
          <w:szCs w:val="32"/>
        </w:rPr>
        <w:t xml:space="preserve">36 </w:t>
      </w:r>
      <w:proofErr w:type="spellStart"/>
      <w:r w:rsidRPr="00627BF8">
        <w:rPr>
          <w:rFonts w:ascii="Garamond" w:hAnsi="Garamond"/>
          <w:i/>
          <w:sz w:val="32"/>
          <w:szCs w:val="32"/>
        </w:rPr>
        <w:t>BauGB</w:t>
      </w:r>
      <w:proofErr w:type="spellEnd"/>
      <w:r w:rsidRPr="002757C2">
        <w:rPr>
          <w:rFonts w:ascii="Garamond" w:hAnsi="Garamond"/>
          <w:sz w:val="32"/>
          <w:szCs w:val="32"/>
        </w:rPr>
        <w:t>, ovvero del consenso del Comune al rilascio del permesso edilizio, di competenza degli uffici statali, su un progetto (</w:t>
      </w:r>
      <w:proofErr w:type="spellStart"/>
      <w:r w:rsidRPr="00627BF8">
        <w:rPr>
          <w:rFonts w:ascii="Garamond" w:hAnsi="Garamond"/>
          <w:i/>
          <w:sz w:val="32"/>
          <w:szCs w:val="32"/>
        </w:rPr>
        <w:t>Vorhaben</w:t>
      </w:r>
      <w:proofErr w:type="spellEnd"/>
      <w:r w:rsidRPr="002757C2">
        <w:rPr>
          <w:rFonts w:ascii="Garamond" w:hAnsi="Garamond"/>
          <w:sz w:val="32"/>
          <w:szCs w:val="32"/>
        </w:rPr>
        <w:t>) che si discosti dal piano edilizio comunale.</w:t>
      </w:r>
    </w:p>
    <w:p w:rsidR="005A0D56" w:rsidRDefault="005A0D56" w:rsidP="005A0D56">
      <w:pPr>
        <w:ind w:left="708"/>
        <w:jc w:val="both"/>
        <w:rPr>
          <w:rFonts w:ascii="Garamond" w:hAnsi="Garamond"/>
          <w:sz w:val="32"/>
          <w:szCs w:val="32"/>
        </w:rPr>
      </w:pPr>
      <w:r>
        <w:rPr>
          <w:rFonts w:ascii="Garamond" w:hAnsi="Garamond"/>
          <w:sz w:val="32"/>
          <w:szCs w:val="32"/>
        </w:rPr>
        <w:t xml:space="preserve">Per tutti questi casi in cui la tutela cautelare deve essere espressamente richiesta nel processo </w:t>
      </w:r>
      <w:r w:rsidR="001B6328">
        <w:rPr>
          <w:rFonts w:ascii="Garamond" w:hAnsi="Garamond"/>
          <w:sz w:val="32"/>
          <w:szCs w:val="32"/>
        </w:rPr>
        <w:t xml:space="preserve">o debba essere comunque confermato l’effetto sospensivo automatico </w:t>
      </w:r>
      <w:r>
        <w:rPr>
          <w:rFonts w:ascii="Garamond" w:hAnsi="Garamond"/>
          <w:sz w:val="32"/>
          <w:szCs w:val="32"/>
        </w:rPr>
        <w:t xml:space="preserve">e quindi </w:t>
      </w:r>
      <w:r w:rsidR="001B6328">
        <w:rPr>
          <w:rFonts w:ascii="Garamond" w:hAnsi="Garamond"/>
          <w:sz w:val="32"/>
          <w:szCs w:val="32"/>
        </w:rPr>
        <w:t>su di essa il giudice debba pronunciarsi</w:t>
      </w:r>
      <w:r w:rsidRPr="005A0D56">
        <w:rPr>
          <w:rFonts w:ascii="Garamond" w:hAnsi="Garamond"/>
          <w:sz w:val="32"/>
          <w:szCs w:val="32"/>
        </w:rPr>
        <w:t xml:space="preserve">, la giurisprudenza del </w:t>
      </w:r>
      <w:proofErr w:type="spellStart"/>
      <w:r w:rsidRPr="005A0D56">
        <w:rPr>
          <w:rFonts w:ascii="Garamond" w:hAnsi="Garamond"/>
          <w:i/>
          <w:sz w:val="32"/>
          <w:szCs w:val="32"/>
        </w:rPr>
        <w:t>Bundesverfassungsgericht</w:t>
      </w:r>
      <w:proofErr w:type="spellEnd"/>
      <w:r w:rsidRPr="005A0D56">
        <w:rPr>
          <w:rFonts w:ascii="Garamond" w:hAnsi="Garamond"/>
          <w:sz w:val="32"/>
          <w:szCs w:val="32"/>
        </w:rPr>
        <w:t xml:space="preserve"> (Corte costituzionale) e del </w:t>
      </w:r>
      <w:proofErr w:type="spellStart"/>
      <w:r w:rsidRPr="005A0D56">
        <w:rPr>
          <w:rFonts w:ascii="Garamond" w:hAnsi="Garamond"/>
          <w:i/>
          <w:sz w:val="32"/>
          <w:szCs w:val="32"/>
        </w:rPr>
        <w:t>Bundesverwaltungsgericht</w:t>
      </w:r>
      <w:proofErr w:type="spellEnd"/>
      <w:r w:rsidRPr="005A0D56">
        <w:rPr>
          <w:rFonts w:ascii="Garamond" w:hAnsi="Garamond"/>
          <w:sz w:val="32"/>
          <w:szCs w:val="32"/>
        </w:rPr>
        <w:t xml:space="preserve"> (Corte amministrativa federale) hanno</w:t>
      </w:r>
      <w:r>
        <w:rPr>
          <w:rFonts w:ascii="Garamond" w:hAnsi="Garamond"/>
          <w:sz w:val="32"/>
          <w:szCs w:val="32"/>
        </w:rPr>
        <w:t xml:space="preserve"> individuato i criteri d’applicare</w:t>
      </w:r>
      <w:r w:rsidRPr="005A0D56">
        <w:rPr>
          <w:rFonts w:ascii="Garamond" w:hAnsi="Garamond"/>
          <w:sz w:val="32"/>
          <w:szCs w:val="32"/>
        </w:rPr>
        <w:t xml:space="preserve"> </w:t>
      </w:r>
      <w:r>
        <w:rPr>
          <w:rFonts w:ascii="Garamond" w:hAnsi="Garamond"/>
          <w:sz w:val="32"/>
          <w:szCs w:val="32"/>
        </w:rPr>
        <w:t>l</w:t>
      </w:r>
      <w:r w:rsidRPr="005A0D56">
        <w:rPr>
          <w:rFonts w:ascii="Garamond" w:hAnsi="Garamond"/>
          <w:sz w:val="32"/>
          <w:szCs w:val="32"/>
        </w:rPr>
        <w:t>addove sussistano realmente dubbi sulla fondatezza o infondatezza del ricorso</w:t>
      </w:r>
      <w:r>
        <w:rPr>
          <w:rFonts w:ascii="Garamond" w:hAnsi="Garamond"/>
          <w:sz w:val="32"/>
          <w:szCs w:val="32"/>
        </w:rPr>
        <w:t>.</w:t>
      </w:r>
    </w:p>
    <w:p w:rsidR="005A0D56" w:rsidRPr="005A0D56" w:rsidRDefault="001B6328" w:rsidP="005A0D56">
      <w:pPr>
        <w:ind w:left="708"/>
        <w:jc w:val="both"/>
        <w:rPr>
          <w:rFonts w:ascii="Garamond" w:hAnsi="Garamond"/>
          <w:sz w:val="32"/>
          <w:szCs w:val="32"/>
        </w:rPr>
      </w:pPr>
      <w:r>
        <w:rPr>
          <w:rFonts w:ascii="Garamond" w:hAnsi="Garamond"/>
          <w:sz w:val="32"/>
          <w:szCs w:val="32"/>
        </w:rPr>
        <w:t>Essi si concretizzano nell’elaborazione di</w:t>
      </w:r>
      <w:r w:rsidR="005A0D56">
        <w:rPr>
          <w:rFonts w:ascii="Garamond" w:hAnsi="Garamond"/>
          <w:sz w:val="32"/>
          <w:szCs w:val="32"/>
        </w:rPr>
        <w:t xml:space="preserve"> </w:t>
      </w:r>
      <w:r w:rsidR="005A0D56" w:rsidRPr="005A0D56">
        <w:rPr>
          <w:rFonts w:ascii="Garamond" w:hAnsi="Garamond"/>
          <w:sz w:val="32"/>
          <w:szCs w:val="32"/>
        </w:rPr>
        <w:t xml:space="preserve">una formula in base alla quale deve essere operato il bilanciamento tra l’interesse all’esecuzione e l’interesse alla sospensione dell’efficacia dell’atto i quali debbono essere valutati in concreto senza che sia data un’astratta e pregiudiziale prevalenza all’interesse pubblico. In base alla formula che va sotto il nome di </w:t>
      </w:r>
      <w:proofErr w:type="spellStart"/>
      <w:r w:rsidR="005A0D56" w:rsidRPr="005A0D56">
        <w:rPr>
          <w:rFonts w:ascii="Garamond" w:hAnsi="Garamond"/>
          <w:i/>
          <w:sz w:val="32"/>
          <w:szCs w:val="32"/>
        </w:rPr>
        <w:t>Doppelfiktion</w:t>
      </w:r>
      <w:proofErr w:type="spellEnd"/>
      <w:r w:rsidR="005A0D56" w:rsidRPr="005A0D56">
        <w:rPr>
          <w:rFonts w:ascii="Garamond" w:hAnsi="Garamond"/>
          <w:sz w:val="32"/>
          <w:szCs w:val="32"/>
        </w:rPr>
        <w:t xml:space="preserve"> devono essere confrontare le risposte a due domande ipotetiche:</w:t>
      </w:r>
    </w:p>
    <w:p w:rsidR="005A0D56" w:rsidRPr="005A0D56" w:rsidRDefault="005A0D56" w:rsidP="005A0D56">
      <w:pPr>
        <w:pStyle w:val="Paragrafoelenco"/>
        <w:numPr>
          <w:ilvl w:val="0"/>
          <w:numId w:val="8"/>
        </w:numPr>
        <w:jc w:val="both"/>
        <w:rPr>
          <w:rFonts w:ascii="Garamond" w:hAnsi="Garamond"/>
          <w:sz w:val="32"/>
          <w:szCs w:val="32"/>
        </w:rPr>
      </w:pPr>
      <w:proofErr w:type="gramStart"/>
      <w:r w:rsidRPr="005A0D56">
        <w:rPr>
          <w:rFonts w:ascii="Garamond" w:hAnsi="Garamond"/>
          <w:sz w:val="32"/>
          <w:szCs w:val="32"/>
        </w:rPr>
        <w:t>che</w:t>
      </w:r>
      <w:proofErr w:type="gramEnd"/>
      <w:r w:rsidRPr="005A0D56">
        <w:rPr>
          <w:rFonts w:ascii="Garamond" w:hAnsi="Garamond"/>
          <w:sz w:val="32"/>
          <w:szCs w:val="32"/>
        </w:rPr>
        <w:t xml:space="preserve"> succederebbe se il provvedimento impugnato fosse subito eseguito </w:t>
      </w:r>
      <w:r w:rsidR="001B6328">
        <w:rPr>
          <w:rFonts w:ascii="Garamond" w:hAnsi="Garamond"/>
          <w:sz w:val="32"/>
          <w:szCs w:val="32"/>
        </w:rPr>
        <w:t xml:space="preserve">e </w:t>
      </w:r>
      <w:r w:rsidRPr="005A0D56">
        <w:rPr>
          <w:rFonts w:ascii="Garamond" w:hAnsi="Garamond"/>
          <w:sz w:val="32"/>
          <w:szCs w:val="32"/>
        </w:rPr>
        <w:t>l’azione avesse alla fine esito positivo?</w:t>
      </w:r>
    </w:p>
    <w:p w:rsidR="005A0D56" w:rsidRPr="005A0D56" w:rsidRDefault="005A0D56" w:rsidP="005A0D56">
      <w:pPr>
        <w:pStyle w:val="Paragrafoelenco"/>
        <w:numPr>
          <w:ilvl w:val="0"/>
          <w:numId w:val="8"/>
        </w:numPr>
        <w:jc w:val="both"/>
        <w:rPr>
          <w:rFonts w:ascii="Garamond" w:hAnsi="Garamond"/>
          <w:sz w:val="32"/>
          <w:szCs w:val="32"/>
        </w:rPr>
      </w:pPr>
      <w:proofErr w:type="gramStart"/>
      <w:r w:rsidRPr="005A0D56">
        <w:rPr>
          <w:rFonts w:ascii="Garamond" w:hAnsi="Garamond"/>
          <w:sz w:val="32"/>
          <w:szCs w:val="32"/>
        </w:rPr>
        <w:t>che</w:t>
      </w:r>
      <w:proofErr w:type="gramEnd"/>
      <w:r w:rsidRPr="005A0D56">
        <w:rPr>
          <w:rFonts w:ascii="Garamond" w:hAnsi="Garamond"/>
          <w:sz w:val="32"/>
          <w:szCs w:val="32"/>
        </w:rPr>
        <w:t xml:space="preserve"> succederebbe se, confermato l’effetto sospensivo dell’impugnazione, l’azione si rivelasse infondata?</w:t>
      </w:r>
    </w:p>
    <w:p w:rsidR="005A0D56" w:rsidRPr="005A0D56" w:rsidRDefault="005A0D56" w:rsidP="005A0D56">
      <w:pPr>
        <w:ind w:left="708"/>
        <w:jc w:val="both"/>
        <w:rPr>
          <w:rFonts w:ascii="Garamond" w:hAnsi="Garamond"/>
          <w:sz w:val="32"/>
          <w:szCs w:val="32"/>
        </w:rPr>
      </w:pPr>
      <w:r w:rsidRPr="005A0D56">
        <w:rPr>
          <w:rFonts w:ascii="Garamond" w:hAnsi="Garamond"/>
          <w:sz w:val="32"/>
          <w:szCs w:val="32"/>
        </w:rPr>
        <w:t xml:space="preserve">La decisione quindi di sospendere o meno l’efficacia dell’atto </w:t>
      </w:r>
      <w:r w:rsidR="001B6328">
        <w:rPr>
          <w:rFonts w:ascii="Garamond" w:hAnsi="Garamond"/>
          <w:sz w:val="32"/>
          <w:szCs w:val="32"/>
        </w:rPr>
        <w:t xml:space="preserve">è </w:t>
      </w:r>
      <w:r w:rsidRPr="005A0D56">
        <w:rPr>
          <w:rFonts w:ascii="Garamond" w:hAnsi="Garamond"/>
          <w:sz w:val="32"/>
          <w:szCs w:val="32"/>
        </w:rPr>
        <w:t>risolta facendo prevalere la posizione di chi sarebbe più danneggiato tra le parti</w:t>
      </w:r>
      <w:r w:rsidR="00BD2CC0">
        <w:rPr>
          <w:rStyle w:val="Rimandonotaapidipagina"/>
          <w:rFonts w:ascii="Garamond" w:hAnsi="Garamond"/>
          <w:sz w:val="32"/>
          <w:szCs w:val="32"/>
        </w:rPr>
        <w:footnoteReference w:id="16"/>
      </w:r>
      <w:r w:rsidRPr="005A0D56">
        <w:rPr>
          <w:rFonts w:ascii="Garamond" w:hAnsi="Garamond"/>
          <w:sz w:val="32"/>
          <w:szCs w:val="32"/>
        </w:rPr>
        <w:t>.</w:t>
      </w:r>
    </w:p>
    <w:p w:rsidR="004D5808" w:rsidRPr="00627BF8" w:rsidRDefault="00627BF8" w:rsidP="00B060D9">
      <w:pPr>
        <w:ind w:left="708"/>
        <w:jc w:val="both"/>
        <w:rPr>
          <w:rFonts w:ascii="Garamond" w:hAnsi="Garamond"/>
          <w:sz w:val="32"/>
          <w:szCs w:val="32"/>
        </w:rPr>
      </w:pPr>
      <w:r>
        <w:rPr>
          <w:rFonts w:ascii="Garamond" w:hAnsi="Garamond"/>
          <w:sz w:val="32"/>
          <w:szCs w:val="32"/>
        </w:rPr>
        <w:t>N</w:t>
      </w:r>
      <w:r w:rsidR="000E400D" w:rsidRPr="00627BF8">
        <w:rPr>
          <w:rFonts w:ascii="Garamond" w:hAnsi="Garamond"/>
          <w:sz w:val="32"/>
          <w:szCs w:val="32"/>
        </w:rPr>
        <w:t xml:space="preserve">ei casi diversi dalla </w:t>
      </w:r>
      <w:proofErr w:type="spellStart"/>
      <w:r w:rsidR="000E400D" w:rsidRPr="00627BF8">
        <w:rPr>
          <w:rFonts w:ascii="Garamond" w:hAnsi="Garamond"/>
          <w:i/>
          <w:sz w:val="32"/>
          <w:szCs w:val="32"/>
        </w:rPr>
        <w:t>Anfechtungsklage</w:t>
      </w:r>
      <w:proofErr w:type="spellEnd"/>
      <w:r w:rsidR="000E400D" w:rsidRPr="00627BF8">
        <w:rPr>
          <w:rFonts w:ascii="Garamond" w:hAnsi="Garamond"/>
          <w:sz w:val="32"/>
          <w:szCs w:val="32"/>
        </w:rPr>
        <w:t xml:space="preserve"> (cioè </w:t>
      </w:r>
      <w:r w:rsidR="0090735B">
        <w:rPr>
          <w:rFonts w:ascii="Garamond" w:hAnsi="Garamond"/>
          <w:sz w:val="32"/>
          <w:szCs w:val="32"/>
        </w:rPr>
        <w:t xml:space="preserve">in </w:t>
      </w:r>
      <w:r w:rsidR="000E400D" w:rsidRPr="00627BF8">
        <w:rPr>
          <w:rFonts w:ascii="Garamond" w:hAnsi="Garamond"/>
          <w:sz w:val="32"/>
          <w:szCs w:val="32"/>
        </w:rPr>
        <w:t xml:space="preserve">quelli dell’azione di adempimento o di accertamento e più in generale </w:t>
      </w:r>
      <w:r w:rsidR="0090735B" w:rsidRPr="0090735B">
        <w:rPr>
          <w:rFonts w:ascii="Garamond" w:hAnsi="Garamond"/>
          <w:sz w:val="32"/>
          <w:szCs w:val="32"/>
        </w:rPr>
        <w:t xml:space="preserve">in </w:t>
      </w:r>
      <w:r w:rsidR="000E400D" w:rsidRPr="00627BF8">
        <w:rPr>
          <w:rFonts w:ascii="Garamond" w:hAnsi="Garamond"/>
          <w:sz w:val="32"/>
          <w:szCs w:val="32"/>
        </w:rPr>
        <w:t xml:space="preserve">quello della </w:t>
      </w:r>
      <w:proofErr w:type="spellStart"/>
      <w:r w:rsidR="000E400D" w:rsidRPr="00627BF8">
        <w:rPr>
          <w:rFonts w:ascii="Garamond" w:hAnsi="Garamond"/>
          <w:i/>
          <w:sz w:val="32"/>
          <w:szCs w:val="32"/>
        </w:rPr>
        <w:t>allgemeine</w:t>
      </w:r>
      <w:proofErr w:type="spellEnd"/>
      <w:r w:rsidR="000E400D" w:rsidRPr="00627BF8">
        <w:rPr>
          <w:rFonts w:ascii="Garamond" w:hAnsi="Garamond"/>
          <w:i/>
          <w:sz w:val="32"/>
          <w:szCs w:val="32"/>
        </w:rPr>
        <w:t xml:space="preserve"> </w:t>
      </w:r>
      <w:proofErr w:type="spellStart"/>
      <w:r w:rsidR="000E400D" w:rsidRPr="00627BF8">
        <w:rPr>
          <w:rFonts w:ascii="Garamond" w:hAnsi="Garamond"/>
          <w:i/>
          <w:sz w:val="32"/>
          <w:szCs w:val="32"/>
        </w:rPr>
        <w:t>Leistungsklage</w:t>
      </w:r>
      <w:proofErr w:type="spellEnd"/>
      <w:r w:rsidR="000E400D" w:rsidRPr="00627BF8">
        <w:rPr>
          <w:rFonts w:ascii="Garamond" w:hAnsi="Garamond"/>
          <w:sz w:val="32"/>
          <w:szCs w:val="32"/>
        </w:rPr>
        <w:t xml:space="preserve">, </w:t>
      </w:r>
      <w:proofErr w:type="spellStart"/>
      <w:r w:rsidR="000E400D" w:rsidRPr="00627BF8">
        <w:rPr>
          <w:rFonts w:ascii="Garamond" w:hAnsi="Garamond"/>
          <w:i/>
          <w:sz w:val="32"/>
          <w:szCs w:val="32"/>
        </w:rPr>
        <w:t>Unterlassungsklage</w:t>
      </w:r>
      <w:proofErr w:type="spellEnd"/>
      <w:r w:rsidR="000E400D" w:rsidRPr="00627BF8">
        <w:rPr>
          <w:rFonts w:ascii="Garamond" w:hAnsi="Garamond"/>
          <w:sz w:val="32"/>
          <w:szCs w:val="32"/>
        </w:rPr>
        <w:t xml:space="preserve"> inclusa)</w:t>
      </w:r>
      <w:r w:rsidR="001C5C39" w:rsidRPr="00627BF8">
        <w:rPr>
          <w:rFonts w:ascii="Garamond" w:hAnsi="Garamond"/>
          <w:sz w:val="32"/>
          <w:szCs w:val="32"/>
        </w:rPr>
        <w:t xml:space="preserve"> è </w:t>
      </w:r>
      <w:r>
        <w:rPr>
          <w:rFonts w:ascii="Garamond" w:hAnsi="Garamond"/>
          <w:sz w:val="32"/>
          <w:szCs w:val="32"/>
        </w:rPr>
        <w:t xml:space="preserve">invece </w:t>
      </w:r>
      <w:r w:rsidR="001C5C39" w:rsidRPr="00627BF8">
        <w:rPr>
          <w:rFonts w:ascii="Garamond" w:hAnsi="Garamond"/>
          <w:sz w:val="32"/>
          <w:szCs w:val="32"/>
        </w:rPr>
        <w:t>previsto, dall’articolo</w:t>
      </w:r>
      <w:r w:rsidR="000E400D" w:rsidRPr="00627BF8">
        <w:rPr>
          <w:rFonts w:ascii="Garamond" w:hAnsi="Garamond"/>
          <w:sz w:val="32"/>
          <w:szCs w:val="32"/>
        </w:rPr>
        <w:t xml:space="preserve"> 123</w:t>
      </w:r>
      <w:r w:rsidR="001C5C39" w:rsidRPr="00627BF8">
        <w:rPr>
          <w:rFonts w:ascii="Garamond" w:hAnsi="Garamond"/>
          <w:sz w:val="32"/>
          <w:szCs w:val="32"/>
        </w:rPr>
        <w:t xml:space="preserve">, uno speciale strumento di tutela </w:t>
      </w:r>
      <w:r>
        <w:rPr>
          <w:rFonts w:ascii="Garamond" w:hAnsi="Garamond"/>
          <w:sz w:val="32"/>
          <w:szCs w:val="32"/>
        </w:rPr>
        <w:t>(</w:t>
      </w:r>
      <w:proofErr w:type="spellStart"/>
      <w:r w:rsidRPr="00627BF8">
        <w:rPr>
          <w:rFonts w:ascii="Garamond" w:hAnsi="Garamond"/>
          <w:i/>
          <w:sz w:val="32"/>
          <w:szCs w:val="32"/>
        </w:rPr>
        <w:t>Einstweilige</w:t>
      </w:r>
      <w:proofErr w:type="spellEnd"/>
      <w:r w:rsidRPr="00627BF8">
        <w:rPr>
          <w:rFonts w:ascii="Garamond" w:hAnsi="Garamond"/>
          <w:i/>
          <w:sz w:val="32"/>
          <w:szCs w:val="32"/>
        </w:rPr>
        <w:t xml:space="preserve"> </w:t>
      </w:r>
      <w:proofErr w:type="spellStart"/>
      <w:r w:rsidRPr="00627BF8">
        <w:rPr>
          <w:rFonts w:ascii="Garamond" w:hAnsi="Garamond"/>
          <w:i/>
          <w:sz w:val="32"/>
          <w:szCs w:val="32"/>
        </w:rPr>
        <w:t>Anordnung</w:t>
      </w:r>
      <w:proofErr w:type="spellEnd"/>
      <w:r>
        <w:rPr>
          <w:rFonts w:ascii="Garamond" w:hAnsi="Garamond"/>
          <w:sz w:val="32"/>
          <w:szCs w:val="32"/>
        </w:rPr>
        <w:t>)</w:t>
      </w:r>
      <w:r w:rsidRPr="00627BF8">
        <w:rPr>
          <w:rFonts w:ascii="Garamond" w:hAnsi="Garamond"/>
          <w:sz w:val="32"/>
          <w:szCs w:val="32"/>
        </w:rPr>
        <w:t xml:space="preserve"> </w:t>
      </w:r>
      <w:r w:rsidR="001C5C39" w:rsidRPr="00627BF8">
        <w:rPr>
          <w:rFonts w:ascii="Garamond" w:hAnsi="Garamond"/>
          <w:sz w:val="32"/>
          <w:szCs w:val="32"/>
        </w:rPr>
        <w:t>che consente al giudice amministrativo di adottare su richiesta, prima o dopo l’esercizio dell’azione, provvedimenti provvisori intesi ad eliminare il pericolo di mutamenti dello stato di fatt</w:t>
      </w:r>
      <w:r w:rsidR="00E14678" w:rsidRPr="00627BF8">
        <w:rPr>
          <w:rFonts w:ascii="Garamond" w:hAnsi="Garamond"/>
          <w:sz w:val="32"/>
          <w:szCs w:val="32"/>
        </w:rPr>
        <w:t>o</w:t>
      </w:r>
      <w:r w:rsidR="001C5C39" w:rsidRPr="00627BF8">
        <w:rPr>
          <w:rFonts w:ascii="Garamond" w:hAnsi="Garamond"/>
          <w:sz w:val="32"/>
          <w:szCs w:val="32"/>
        </w:rPr>
        <w:t xml:space="preserve"> che compromettano l’esito del giudizio.</w:t>
      </w:r>
    </w:p>
    <w:p w:rsidR="00071F13" w:rsidRPr="002757C2" w:rsidRDefault="00071F13" w:rsidP="00B060D9">
      <w:pPr>
        <w:ind w:left="708"/>
        <w:jc w:val="both"/>
        <w:rPr>
          <w:rFonts w:ascii="Garamond" w:hAnsi="Garamond"/>
          <w:sz w:val="32"/>
          <w:szCs w:val="32"/>
        </w:rPr>
      </w:pPr>
      <w:r w:rsidRPr="002757C2">
        <w:rPr>
          <w:rFonts w:ascii="Garamond" w:hAnsi="Garamond"/>
          <w:sz w:val="32"/>
          <w:szCs w:val="32"/>
        </w:rPr>
        <w:t>Si tratta di una decisione dal contenuto atipico che deve però conservare la sua strumentalità rispetto all’utilità della decisione di merito e quindi rimanere nella cornice del beneficio che la sentenza può apportare.</w:t>
      </w:r>
    </w:p>
    <w:p w:rsidR="001C5C39" w:rsidRPr="002757C2" w:rsidRDefault="001C5C39" w:rsidP="00B060D9">
      <w:pPr>
        <w:ind w:left="708"/>
        <w:jc w:val="both"/>
        <w:rPr>
          <w:rFonts w:ascii="Garamond" w:hAnsi="Garamond"/>
          <w:sz w:val="32"/>
          <w:szCs w:val="32"/>
        </w:rPr>
      </w:pPr>
      <w:r w:rsidRPr="002757C2">
        <w:rPr>
          <w:rFonts w:ascii="Garamond" w:hAnsi="Garamond"/>
          <w:sz w:val="32"/>
          <w:szCs w:val="32"/>
        </w:rPr>
        <w:t xml:space="preserve">Le misure cautelari contemplate </w:t>
      </w:r>
      <w:r w:rsidR="00464485" w:rsidRPr="00464485">
        <w:rPr>
          <w:rFonts w:ascii="Garamond" w:hAnsi="Garamond"/>
          <w:sz w:val="32"/>
          <w:szCs w:val="32"/>
        </w:rPr>
        <w:t xml:space="preserve">dall’articolo </w:t>
      </w:r>
      <w:r w:rsidRPr="002757C2">
        <w:rPr>
          <w:rFonts w:ascii="Garamond" w:hAnsi="Garamond"/>
          <w:sz w:val="32"/>
          <w:szCs w:val="32"/>
        </w:rPr>
        <w:t>123 vengono suddivise in dottrina in due sottocategorie, previste rispettivamente al primo e al secondo periodo del comma 1</w:t>
      </w:r>
      <w:r w:rsidR="00464485">
        <w:rPr>
          <w:rFonts w:ascii="Garamond" w:hAnsi="Garamond"/>
          <w:sz w:val="32"/>
          <w:szCs w:val="32"/>
        </w:rPr>
        <w:t>: la prima è quella</w:t>
      </w:r>
      <w:r w:rsidRPr="002757C2">
        <w:rPr>
          <w:rFonts w:ascii="Garamond" w:hAnsi="Garamond"/>
          <w:sz w:val="32"/>
          <w:szCs w:val="32"/>
        </w:rPr>
        <w:t xml:space="preserve"> dei provvedimenti conservativi (</w:t>
      </w:r>
      <w:proofErr w:type="spellStart"/>
      <w:r w:rsidRPr="00464485">
        <w:rPr>
          <w:rFonts w:ascii="Garamond" w:hAnsi="Garamond"/>
          <w:i/>
          <w:sz w:val="32"/>
          <w:szCs w:val="32"/>
        </w:rPr>
        <w:t>Sicherungsanordnungen</w:t>
      </w:r>
      <w:proofErr w:type="spellEnd"/>
      <w:r w:rsidRPr="002757C2">
        <w:rPr>
          <w:rFonts w:ascii="Garamond" w:hAnsi="Garamond"/>
          <w:sz w:val="32"/>
          <w:szCs w:val="32"/>
        </w:rPr>
        <w:t>), volti a inibire un comportamento della P.A. lesivo degli interessi del ricorrente</w:t>
      </w:r>
      <w:r w:rsidR="0086431D" w:rsidRPr="002757C2">
        <w:rPr>
          <w:rFonts w:ascii="Garamond" w:hAnsi="Garamond"/>
          <w:sz w:val="32"/>
          <w:szCs w:val="32"/>
        </w:rPr>
        <w:t xml:space="preserve"> (</w:t>
      </w:r>
      <w:r w:rsidR="00464485">
        <w:rPr>
          <w:rFonts w:ascii="Garamond" w:hAnsi="Garamond"/>
          <w:sz w:val="32"/>
          <w:szCs w:val="32"/>
        </w:rPr>
        <w:t>come può essere la promozione di un impiegato pubblico in concorrenza</w:t>
      </w:r>
      <w:r w:rsidR="0086431D" w:rsidRPr="002757C2">
        <w:rPr>
          <w:rFonts w:ascii="Garamond" w:hAnsi="Garamond"/>
          <w:sz w:val="32"/>
          <w:szCs w:val="32"/>
        </w:rPr>
        <w:t>,</w:t>
      </w:r>
      <w:r w:rsidR="00464485">
        <w:rPr>
          <w:rFonts w:ascii="Garamond" w:hAnsi="Garamond"/>
          <w:sz w:val="32"/>
          <w:szCs w:val="32"/>
        </w:rPr>
        <w:t xml:space="preserve"> il trasferimento di un terzo </w:t>
      </w:r>
      <w:r w:rsidR="0086431D" w:rsidRPr="002757C2">
        <w:rPr>
          <w:rFonts w:ascii="Garamond" w:hAnsi="Garamond"/>
          <w:sz w:val="32"/>
          <w:szCs w:val="32"/>
        </w:rPr>
        <w:t>nell’unico posto disponibile</w:t>
      </w:r>
      <w:r w:rsidRPr="002757C2">
        <w:rPr>
          <w:rFonts w:ascii="Garamond" w:hAnsi="Garamond"/>
          <w:sz w:val="32"/>
          <w:szCs w:val="32"/>
        </w:rPr>
        <w:t>,</w:t>
      </w:r>
      <w:r w:rsidR="00464485">
        <w:rPr>
          <w:rFonts w:ascii="Garamond" w:hAnsi="Garamond"/>
          <w:sz w:val="32"/>
          <w:szCs w:val="32"/>
        </w:rPr>
        <w:t xml:space="preserve"> la concessione di </w:t>
      </w:r>
      <w:r w:rsidR="0086431D" w:rsidRPr="002757C2">
        <w:rPr>
          <w:rFonts w:ascii="Garamond" w:hAnsi="Garamond"/>
          <w:sz w:val="32"/>
          <w:szCs w:val="32"/>
        </w:rPr>
        <w:t>un beneficio con esaurimento dei fondi,</w:t>
      </w:r>
      <w:r w:rsidR="00464485">
        <w:rPr>
          <w:rFonts w:ascii="Garamond" w:hAnsi="Garamond"/>
          <w:sz w:val="32"/>
          <w:szCs w:val="32"/>
        </w:rPr>
        <w:t xml:space="preserve"> il compimento in generale di </w:t>
      </w:r>
      <w:r w:rsidR="0086431D" w:rsidRPr="002757C2">
        <w:rPr>
          <w:rFonts w:ascii="Garamond" w:hAnsi="Garamond"/>
          <w:sz w:val="32"/>
          <w:szCs w:val="32"/>
        </w:rPr>
        <w:t>atti procedurali che precludono il bene della vita)</w:t>
      </w:r>
      <w:r w:rsidR="00464485">
        <w:rPr>
          <w:rFonts w:ascii="Garamond" w:hAnsi="Garamond"/>
          <w:sz w:val="32"/>
          <w:szCs w:val="32"/>
        </w:rPr>
        <w:t xml:space="preserve">; la seconda sottocategoria raccoglie </w:t>
      </w:r>
      <w:r w:rsidRPr="002757C2">
        <w:rPr>
          <w:rFonts w:ascii="Garamond" w:hAnsi="Garamond"/>
          <w:sz w:val="32"/>
          <w:szCs w:val="32"/>
        </w:rPr>
        <w:t xml:space="preserve">i </w:t>
      </w:r>
      <w:r w:rsidR="00464485">
        <w:rPr>
          <w:rFonts w:ascii="Garamond" w:hAnsi="Garamond"/>
          <w:sz w:val="32"/>
          <w:szCs w:val="32"/>
        </w:rPr>
        <w:t xml:space="preserve">cosiddetti </w:t>
      </w:r>
      <w:r w:rsidRPr="002757C2">
        <w:rPr>
          <w:rFonts w:ascii="Garamond" w:hAnsi="Garamond"/>
          <w:sz w:val="32"/>
          <w:szCs w:val="32"/>
        </w:rPr>
        <w:t>provvedimenti regolamentari (</w:t>
      </w:r>
      <w:proofErr w:type="spellStart"/>
      <w:r w:rsidRPr="00464485">
        <w:rPr>
          <w:rFonts w:ascii="Garamond" w:hAnsi="Garamond"/>
          <w:i/>
          <w:sz w:val="32"/>
          <w:szCs w:val="32"/>
        </w:rPr>
        <w:t>Regelungsanordnungen</w:t>
      </w:r>
      <w:proofErr w:type="spellEnd"/>
      <w:r w:rsidRPr="002757C2">
        <w:rPr>
          <w:rFonts w:ascii="Garamond" w:hAnsi="Garamond"/>
          <w:sz w:val="32"/>
          <w:szCs w:val="32"/>
        </w:rPr>
        <w:t>), finalizzati a definire provvisoriamente un rapporto controverso</w:t>
      </w:r>
      <w:r w:rsidR="00464485">
        <w:rPr>
          <w:rFonts w:ascii="Garamond" w:hAnsi="Garamond"/>
          <w:sz w:val="32"/>
          <w:szCs w:val="32"/>
        </w:rPr>
        <w:t>. Ne fanno parte</w:t>
      </w:r>
      <w:r w:rsidR="0086431D" w:rsidRPr="002757C2">
        <w:rPr>
          <w:rFonts w:ascii="Garamond" w:hAnsi="Garamond"/>
          <w:sz w:val="32"/>
          <w:szCs w:val="32"/>
        </w:rPr>
        <w:t xml:space="preserve"> le ammissioni con riserva </w:t>
      </w:r>
      <w:r w:rsidR="00464485">
        <w:rPr>
          <w:rFonts w:ascii="Garamond" w:hAnsi="Garamond"/>
          <w:sz w:val="32"/>
          <w:szCs w:val="32"/>
        </w:rPr>
        <w:t xml:space="preserve">e le misure anticipatorie dell’utilità finale conseguibile con sentenza. </w:t>
      </w:r>
    </w:p>
    <w:p w:rsidR="0086431D" w:rsidRPr="002757C2" w:rsidRDefault="0086431D" w:rsidP="00B060D9">
      <w:pPr>
        <w:ind w:left="708"/>
        <w:jc w:val="both"/>
        <w:rPr>
          <w:rFonts w:ascii="Garamond" w:hAnsi="Garamond"/>
          <w:sz w:val="32"/>
          <w:szCs w:val="32"/>
        </w:rPr>
      </w:pPr>
      <w:r w:rsidRPr="002757C2">
        <w:rPr>
          <w:rFonts w:ascii="Garamond" w:hAnsi="Garamond"/>
          <w:sz w:val="32"/>
          <w:szCs w:val="32"/>
        </w:rPr>
        <w:t>Spesso le azioni di adempimento e di annullamento si combinano (perché s</w:t>
      </w:r>
      <w:r w:rsidR="0090735B">
        <w:rPr>
          <w:rFonts w:ascii="Garamond" w:hAnsi="Garamond"/>
          <w:sz w:val="32"/>
          <w:szCs w:val="32"/>
        </w:rPr>
        <w:t>’</w:t>
      </w:r>
      <w:r w:rsidRPr="002757C2">
        <w:rPr>
          <w:rFonts w:ascii="Garamond" w:hAnsi="Garamond"/>
          <w:sz w:val="32"/>
          <w:szCs w:val="32"/>
        </w:rPr>
        <w:t xml:space="preserve">impugna il provvedimento favorevole al terzo), sicché gli articoli </w:t>
      </w:r>
      <w:r w:rsidR="005F76CB" w:rsidRPr="002757C2">
        <w:rPr>
          <w:rFonts w:ascii="Garamond" w:hAnsi="Garamond"/>
          <w:sz w:val="32"/>
          <w:szCs w:val="32"/>
        </w:rPr>
        <w:t xml:space="preserve">80a (Tutela giuridica provvisoria in caso di atti amministrativi a doppio effetto) </w:t>
      </w:r>
      <w:r w:rsidR="00464485">
        <w:rPr>
          <w:rFonts w:ascii="Garamond" w:hAnsi="Garamond"/>
          <w:sz w:val="32"/>
          <w:szCs w:val="32"/>
        </w:rPr>
        <w:t xml:space="preserve">e </w:t>
      </w:r>
      <w:r w:rsidRPr="002757C2">
        <w:rPr>
          <w:rFonts w:ascii="Garamond" w:hAnsi="Garamond"/>
          <w:sz w:val="32"/>
          <w:szCs w:val="32"/>
        </w:rPr>
        <w:t>123</w:t>
      </w:r>
      <w:r w:rsidR="005F76CB" w:rsidRPr="002757C2">
        <w:rPr>
          <w:rFonts w:ascii="Garamond" w:hAnsi="Garamond"/>
          <w:sz w:val="32"/>
          <w:szCs w:val="32"/>
        </w:rPr>
        <w:t xml:space="preserve"> vengono applicati entrambi.</w:t>
      </w:r>
    </w:p>
    <w:p w:rsidR="00822283" w:rsidRPr="002757C2" w:rsidRDefault="009558C5" w:rsidP="00B060D9">
      <w:pPr>
        <w:ind w:left="708"/>
        <w:jc w:val="both"/>
        <w:rPr>
          <w:rFonts w:ascii="Garamond" w:hAnsi="Garamond"/>
          <w:sz w:val="32"/>
          <w:szCs w:val="32"/>
        </w:rPr>
      </w:pPr>
      <w:r w:rsidRPr="002757C2">
        <w:rPr>
          <w:rFonts w:ascii="Garamond" w:hAnsi="Garamond"/>
          <w:sz w:val="32"/>
          <w:szCs w:val="32"/>
        </w:rPr>
        <w:t>In ogni caso</w:t>
      </w:r>
      <w:r w:rsidR="00464485">
        <w:rPr>
          <w:rFonts w:ascii="Garamond" w:hAnsi="Garamond"/>
          <w:sz w:val="32"/>
          <w:szCs w:val="32"/>
        </w:rPr>
        <w:t>,</w:t>
      </w:r>
      <w:r w:rsidRPr="002757C2">
        <w:rPr>
          <w:rFonts w:ascii="Garamond" w:hAnsi="Garamond"/>
          <w:sz w:val="32"/>
          <w:szCs w:val="32"/>
        </w:rPr>
        <w:t xml:space="preserve"> l’articolo 123 impone che</w:t>
      </w:r>
      <w:r w:rsidR="00464485">
        <w:rPr>
          <w:rFonts w:ascii="Garamond" w:hAnsi="Garamond"/>
          <w:sz w:val="32"/>
          <w:szCs w:val="32"/>
        </w:rPr>
        <w:t>,</w:t>
      </w:r>
      <w:r w:rsidRPr="002757C2">
        <w:rPr>
          <w:rFonts w:ascii="Garamond" w:hAnsi="Garamond"/>
          <w:sz w:val="32"/>
          <w:szCs w:val="32"/>
        </w:rPr>
        <w:t xml:space="preserve"> prima di decidere sull’istanza di provvedimento provvisorio</w:t>
      </w:r>
      <w:r w:rsidR="00464485">
        <w:rPr>
          <w:rFonts w:ascii="Garamond" w:hAnsi="Garamond"/>
          <w:sz w:val="32"/>
          <w:szCs w:val="32"/>
        </w:rPr>
        <w:t>,</w:t>
      </w:r>
      <w:r w:rsidRPr="002757C2">
        <w:rPr>
          <w:rFonts w:ascii="Garamond" w:hAnsi="Garamond"/>
          <w:sz w:val="32"/>
          <w:szCs w:val="32"/>
        </w:rPr>
        <w:t xml:space="preserve"> </w:t>
      </w:r>
      <w:r w:rsidR="00464485" w:rsidRPr="00464485">
        <w:rPr>
          <w:rFonts w:ascii="Garamond" w:hAnsi="Garamond"/>
          <w:sz w:val="32"/>
          <w:szCs w:val="32"/>
        </w:rPr>
        <w:t xml:space="preserve">il giudice </w:t>
      </w:r>
      <w:r w:rsidRPr="002757C2">
        <w:rPr>
          <w:rFonts w:ascii="Garamond" w:hAnsi="Garamond"/>
          <w:sz w:val="32"/>
          <w:szCs w:val="32"/>
        </w:rPr>
        <w:t xml:space="preserve">verifichi l’ammissibilità del ricorso soprattutto sotto il profilo della legittimazione, la competenza dell’autorità adita e la non </w:t>
      </w:r>
      <w:r w:rsidR="00822283" w:rsidRPr="002757C2">
        <w:rPr>
          <w:rFonts w:ascii="Garamond" w:hAnsi="Garamond"/>
          <w:sz w:val="32"/>
          <w:szCs w:val="32"/>
        </w:rPr>
        <w:t>pretestuosità</w:t>
      </w:r>
      <w:r w:rsidRPr="002757C2">
        <w:rPr>
          <w:rFonts w:ascii="Garamond" w:hAnsi="Garamond"/>
          <w:sz w:val="32"/>
          <w:szCs w:val="32"/>
        </w:rPr>
        <w:t xml:space="preserve"> della domanda.</w:t>
      </w:r>
    </w:p>
    <w:p w:rsidR="005F76CB" w:rsidRPr="002757C2" w:rsidRDefault="005F76CB" w:rsidP="00B060D9">
      <w:pPr>
        <w:ind w:left="708"/>
        <w:jc w:val="both"/>
        <w:rPr>
          <w:rFonts w:ascii="Garamond" w:hAnsi="Garamond"/>
          <w:sz w:val="32"/>
          <w:szCs w:val="32"/>
        </w:rPr>
      </w:pPr>
      <w:r w:rsidRPr="002757C2">
        <w:rPr>
          <w:rFonts w:ascii="Garamond" w:hAnsi="Garamond"/>
          <w:sz w:val="32"/>
          <w:szCs w:val="32"/>
        </w:rPr>
        <w:t xml:space="preserve">Le tecniche di valutazione per la concessione della misura cautelare sono quelle esercitate da tutti i giudici sul </w:t>
      </w:r>
      <w:proofErr w:type="spellStart"/>
      <w:r w:rsidRPr="00464485">
        <w:rPr>
          <w:rFonts w:ascii="Garamond" w:hAnsi="Garamond"/>
          <w:i/>
          <w:sz w:val="32"/>
          <w:szCs w:val="32"/>
        </w:rPr>
        <w:t>peric</w:t>
      </w:r>
      <w:r w:rsidR="00904E5F" w:rsidRPr="00464485">
        <w:rPr>
          <w:rFonts w:ascii="Garamond" w:hAnsi="Garamond"/>
          <w:i/>
          <w:sz w:val="32"/>
          <w:szCs w:val="32"/>
        </w:rPr>
        <w:t>u</w:t>
      </w:r>
      <w:r w:rsidRPr="00464485">
        <w:rPr>
          <w:rFonts w:ascii="Garamond" w:hAnsi="Garamond"/>
          <w:i/>
          <w:sz w:val="32"/>
          <w:szCs w:val="32"/>
        </w:rPr>
        <w:t>l</w:t>
      </w:r>
      <w:r w:rsidR="00822283" w:rsidRPr="00464485">
        <w:rPr>
          <w:rFonts w:ascii="Garamond" w:hAnsi="Garamond"/>
          <w:i/>
          <w:sz w:val="32"/>
          <w:szCs w:val="32"/>
        </w:rPr>
        <w:t>um</w:t>
      </w:r>
      <w:proofErr w:type="spellEnd"/>
      <w:r w:rsidRPr="00464485">
        <w:rPr>
          <w:rFonts w:ascii="Garamond" w:hAnsi="Garamond"/>
          <w:i/>
          <w:sz w:val="32"/>
          <w:szCs w:val="32"/>
        </w:rPr>
        <w:t xml:space="preserve"> in mora</w:t>
      </w:r>
      <w:r w:rsidRPr="002757C2">
        <w:rPr>
          <w:rFonts w:ascii="Garamond" w:hAnsi="Garamond"/>
          <w:sz w:val="32"/>
          <w:szCs w:val="32"/>
        </w:rPr>
        <w:t xml:space="preserve"> e </w:t>
      </w:r>
      <w:r w:rsidR="00822283" w:rsidRPr="002757C2">
        <w:rPr>
          <w:rFonts w:ascii="Garamond" w:hAnsi="Garamond"/>
          <w:sz w:val="32"/>
          <w:szCs w:val="32"/>
        </w:rPr>
        <w:t>su</w:t>
      </w:r>
      <w:r w:rsidRPr="002757C2">
        <w:rPr>
          <w:rFonts w:ascii="Garamond" w:hAnsi="Garamond"/>
          <w:sz w:val="32"/>
          <w:szCs w:val="32"/>
        </w:rPr>
        <w:t xml:space="preserve">l </w:t>
      </w:r>
      <w:proofErr w:type="spellStart"/>
      <w:r w:rsidRPr="00464485">
        <w:rPr>
          <w:rFonts w:ascii="Garamond" w:hAnsi="Garamond"/>
          <w:i/>
          <w:sz w:val="32"/>
          <w:szCs w:val="32"/>
        </w:rPr>
        <w:t>fumus</w:t>
      </w:r>
      <w:proofErr w:type="spellEnd"/>
      <w:r w:rsidRPr="00464485">
        <w:rPr>
          <w:rFonts w:ascii="Garamond" w:hAnsi="Garamond"/>
          <w:i/>
          <w:sz w:val="32"/>
          <w:szCs w:val="32"/>
        </w:rPr>
        <w:t xml:space="preserve"> boni </w:t>
      </w:r>
      <w:proofErr w:type="spellStart"/>
      <w:r w:rsidRPr="00464485">
        <w:rPr>
          <w:rFonts w:ascii="Garamond" w:hAnsi="Garamond"/>
          <w:i/>
          <w:sz w:val="32"/>
          <w:szCs w:val="32"/>
        </w:rPr>
        <w:t>iuris</w:t>
      </w:r>
      <w:proofErr w:type="spellEnd"/>
      <w:r w:rsidRPr="002757C2">
        <w:rPr>
          <w:rFonts w:ascii="Garamond" w:hAnsi="Garamond"/>
          <w:sz w:val="32"/>
          <w:szCs w:val="32"/>
        </w:rPr>
        <w:t>. La dottrina comunque evidenzia che</w:t>
      </w:r>
      <w:r w:rsidR="00464485">
        <w:rPr>
          <w:rFonts w:ascii="Garamond" w:hAnsi="Garamond"/>
          <w:sz w:val="32"/>
          <w:szCs w:val="32"/>
        </w:rPr>
        <w:t>,</w:t>
      </w:r>
      <w:r w:rsidRPr="002757C2">
        <w:rPr>
          <w:rFonts w:ascii="Garamond" w:hAnsi="Garamond"/>
          <w:sz w:val="32"/>
          <w:szCs w:val="32"/>
        </w:rPr>
        <w:t xml:space="preserve"> nel caso di provvedimenti regolamentari (</w:t>
      </w:r>
      <w:proofErr w:type="spellStart"/>
      <w:r w:rsidRPr="00464485">
        <w:rPr>
          <w:rFonts w:ascii="Garamond" w:hAnsi="Garamond"/>
          <w:i/>
          <w:sz w:val="32"/>
          <w:szCs w:val="32"/>
        </w:rPr>
        <w:t>Regelungsanordnungen</w:t>
      </w:r>
      <w:proofErr w:type="spellEnd"/>
      <w:r w:rsidRPr="002757C2">
        <w:rPr>
          <w:rFonts w:ascii="Garamond" w:hAnsi="Garamond"/>
          <w:sz w:val="32"/>
          <w:szCs w:val="32"/>
        </w:rPr>
        <w:t>), finalizzati a definire provvisoriamente un rapporto controverso, soprattutto quando l’anticipazione comport</w:t>
      </w:r>
      <w:r w:rsidR="0090735B">
        <w:rPr>
          <w:rFonts w:ascii="Garamond" w:hAnsi="Garamond"/>
          <w:sz w:val="32"/>
          <w:szCs w:val="32"/>
        </w:rPr>
        <w:t>i</w:t>
      </w:r>
      <w:r w:rsidRPr="002757C2">
        <w:rPr>
          <w:rFonts w:ascii="Garamond" w:hAnsi="Garamond"/>
          <w:sz w:val="32"/>
          <w:szCs w:val="32"/>
        </w:rPr>
        <w:t xml:space="preserve"> effetti difficili da rimuovere in caso di respingimento del ricorso, l’esame</w:t>
      </w:r>
      <w:r w:rsidR="00464485">
        <w:rPr>
          <w:rFonts w:ascii="Garamond" w:hAnsi="Garamond"/>
          <w:sz w:val="32"/>
          <w:szCs w:val="32"/>
        </w:rPr>
        <w:t xml:space="preserve"> finisca per essere </w:t>
      </w:r>
      <w:r w:rsidRPr="002757C2">
        <w:rPr>
          <w:rFonts w:ascii="Garamond" w:hAnsi="Garamond"/>
          <w:sz w:val="32"/>
          <w:szCs w:val="32"/>
        </w:rPr>
        <w:t>sbilanciato</w:t>
      </w:r>
      <w:r w:rsidR="00464485">
        <w:rPr>
          <w:rFonts w:ascii="Garamond" w:hAnsi="Garamond"/>
          <w:sz w:val="32"/>
          <w:szCs w:val="32"/>
        </w:rPr>
        <w:t>, valorizzando soprattutto la</w:t>
      </w:r>
      <w:r w:rsidRPr="002757C2">
        <w:rPr>
          <w:rFonts w:ascii="Garamond" w:hAnsi="Garamond"/>
          <w:sz w:val="32"/>
          <w:szCs w:val="32"/>
        </w:rPr>
        <w:t xml:space="preserve"> prognosi sull’esito del ricorso.</w:t>
      </w:r>
    </w:p>
    <w:p w:rsidR="00BB29B8" w:rsidRPr="002757C2" w:rsidRDefault="00071F13" w:rsidP="00B060D9">
      <w:pPr>
        <w:ind w:left="708"/>
        <w:jc w:val="both"/>
        <w:rPr>
          <w:rFonts w:ascii="Garamond" w:hAnsi="Garamond"/>
          <w:sz w:val="32"/>
          <w:szCs w:val="32"/>
        </w:rPr>
      </w:pPr>
      <w:r w:rsidRPr="002757C2">
        <w:rPr>
          <w:rFonts w:ascii="Garamond" w:hAnsi="Garamond"/>
          <w:sz w:val="32"/>
          <w:szCs w:val="32"/>
        </w:rPr>
        <w:t>Tirando le fila del discorso</w:t>
      </w:r>
      <w:r w:rsidR="0090735B">
        <w:rPr>
          <w:rFonts w:ascii="Garamond" w:hAnsi="Garamond"/>
          <w:sz w:val="32"/>
          <w:szCs w:val="32"/>
        </w:rPr>
        <w:t>,</w:t>
      </w:r>
      <w:r w:rsidRPr="002757C2">
        <w:rPr>
          <w:rFonts w:ascii="Garamond" w:hAnsi="Garamond"/>
          <w:sz w:val="32"/>
          <w:szCs w:val="32"/>
        </w:rPr>
        <w:t xml:space="preserve"> è evidente che la maggiore differenza tra la sospensiva tedesca e quella italiana, consistente nell’effetto automatico di sospensione del ricorso (amministrativo o giurisdizionale)</w:t>
      </w:r>
      <w:r w:rsidR="007167EB" w:rsidRPr="002757C2">
        <w:rPr>
          <w:rFonts w:ascii="Garamond" w:hAnsi="Garamond"/>
          <w:sz w:val="32"/>
          <w:szCs w:val="32"/>
        </w:rPr>
        <w:t>,</w:t>
      </w:r>
      <w:r w:rsidRPr="002757C2">
        <w:rPr>
          <w:rFonts w:ascii="Garamond" w:hAnsi="Garamond"/>
          <w:sz w:val="32"/>
          <w:szCs w:val="32"/>
        </w:rPr>
        <w:t xml:space="preserve"> è legato ad un preciso intento politico il quale però dava per scontato che il processo </w:t>
      </w:r>
      <w:r w:rsidR="00A40A99" w:rsidRPr="002757C2">
        <w:rPr>
          <w:rFonts w:ascii="Garamond" w:hAnsi="Garamond"/>
          <w:sz w:val="32"/>
          <w:szCs w:val="32"/>
        </w:rPr>
        <w:t>si</w:t>
      </w:r>
      <w:r w:rsidR="00D62560">
        <w:rPr>
          <w:rFonts w:ascii="Garamond" w:hAnsi="Garamond"/>
          <w:sz w:val="32"/>
          <w:szCs w:val="32"/>
        </w:rPr>
        <w:t xml:space="preserve"> sarebbe chiuso </w:t>
      </w:r>
      <w:r w:rsidR="00A40A99" w:rsidRPr="002757C2">
        <w:rPr>
          <w:rFonts w:ascii="Garamond" w:hAnsi="Garamond"/>
          <w:sz w:val="32"/>
          <w:szCs w:val="32"/>
        </w:rPr>
        <w:t>in tempi brevi.</w:t>
      </w:r>
      <w:r w:rsidR="00BB29B8" w:rsidRPr="002757C2">
        <w:rPr>
          <w:rFonts w:ascii="Garamond" w:hAnsi="Garamond"/>
          <w:sz w:val="32"/>
          <w:szCs w:val="32"/>
        </w:rPr>
        <w:t xml:space="preserve"> </w:t>
      </w:r>
    </w:p>
    <w:p w:rsidR="00BB29B8" w:rsidRPr="002757C2" w:rsidRDefault="00BB29B8" w:rsidP="00B060D9">
      <w:pPr>
        <w:ind w:left="708"/>
        <w:jc w:val="both"/>
        <w:rPr>
          <w:rFonts w:ascii="Garamond" w:hAnsi="Garamond"/>
          <w:sz w:val="32"/>
          <w:szCs w:val="32"/>
        </w:rPr>
      </w:pPr>
      <w:r w:rsidRPr="002757C2">
        <w:rPr>
          <w:rFonts w:ascii="Garamond" w:hAnsi="Garamond"/>
          <w:sz w:val="32"/>
          <w:szCs w:val="32"/>
        </w:rPr>
        <w:t xml:space="preserve">In realtà, </w:t>
      </w:r>
      <w:r w:rsidR="007167EB" w:rsidRPr="002757C2">
        <w:rPr>
          <w:rFonts w:ascii="Garamond" w:hAnsi="Garamond"/>
          <w:sz w:val="32"/>
          <w:szCs w:val="32"/>
        </w:rPr>
        <w:t>la durata</w:t>
      </w:r>
      <w:r w:rsidRPr="002757C2">
        <w:rPr>
          <w:rFonts w:ascii="Garamond" w:hAnsi="Garamond"/>
          <w:sz w:val="32"/>
          <w:szCs w:val="32"/>
        </w:rPr>
        <w:t xml:space="preserve"> si </w:t>
      </w:r>
      <w:r w:rsidR="007167EB" w:rsidRPr="002757C2">
        <w:rPr>
          <w:rFonts w:ascii="Garamond" w:hAnsi="Garamond"/>
          <w:sz w:val="32"/>
          <w:szCs w:val="32"/>
        </w:rPr>
        <w:t>è</w:t>
      </w:r>
      <w:r w:rsidRPr="002757C2">
        <w:rPr>
          <w:rFonts w:ascii="Garamond" w:hAnsi="Garamond"/>
          <w:sz w:val="32"/>
          <w:szCs w:val="32"/>
        </w:rPr>
        <w:t xml:space="preserve"> allungat</w:t>
      </w:r>
      <w:r w:rsidR="007167EB" w:rsidRPr="002757C2">
        <w:rPr>
          <w:rFonts w:ascii="Garamond" w:hAnsi="Garamond"/>
          <w:sz w:val="32"/>
          <w:szCs w:val="32"/>
        </w:rPr>
        <w:t>a</w:t>
      </w:r>
      <w:r w:rsidRPr="002757C2">
        <w:rPr>
          <w:rFonts w:ascii="Garamond" w:hAnsi="Garamond"/>
          <w:sz w:val="32"/>
          <w:szCs w:val="32"/>
        </w:rPr>
        <w:t xml:space="preserve"> oltretutto in maniera non uniforme nei vari </w:t>
      </w:r>
      <w:proofErr w:type="spellStart"/>
      <w:r w:rsidRPr="0090735B">
        <w:rPr>
          <w:rFonts w:ascii="Garamond" w:hAnsi="Garamond"/>
          <w:i/>
          <w:sz w:val="32"/>
          <w:szCs w:val="32"/>
        </w:rPr>
        <w:t>Länder</w:t>
      </w:r>
      <w:proofErr w:type="spellEnd"/>
      <w:r w:rsidRPr="002757C2">
        <w:rPr>
          <w:rFonts w:ascii="Garamond" w:hAnsi="Garamond"/>
          <w:sz w:val="32"/>
          <w:szCs w:val="32"/>
        </w:rPr>
        <w:t xml:space="preserve">, per varie ragioni. Tra questi fattori </w:t>
      </w:r>
      <w:r w:rsidR="007167EB" w:rsidRPr="002757C2">
        <w:rPr>
          <w:rFonts w:ascii="Garamond" w:hAnsi="Garamond"/>
          <w:sz w:val="32"/>
          <w:szCs w:val="32"/>
        </w:rPr>
        <w:t xml:space="preserve">i </w:t>
      </w:r>
      <w:r w:rsidRPr="002757C2">
        <w:rPr>
          <w:rFonts w:ascii="Garamond" w:hAnsi="Garamond"/>
          <w:sz w:val="32"/>
          <w:szCs w:val="32"/>
        </w:rPr>
        <w:t>più importanti sono stati un aumento esponenziale del contenzioso</w:t>
      </w:r>
      <w:r w:rsidR="0090735B">
        <w:rPr>
          <w:rFonts w:ascii="Garamond" w:hAnsi="Garamond"/>
          <w:sz w:val="32"/>
          <w:szCs w:val="32"/>
        </w:rPr>
        <w:t xml:space="preserve"> riguardanti gli </w:t>
      </w:r>
      <w:r w:rsidRPr="002757C2">
        <w:rPr>
          <w:rFonts w:ascii="Garamond" w:hAnsi="Garamond"/>
          <w:sz w:val="32"/>
          <w:szCs w:val="32"/>
        </w:rPr>
        <w:t>stranieri (problema che in realtà</w:t>
      </w:r>
      <w:r w:rsidR="00D62560">
        <w:rPr>
          <w:rFonts w:ascii="Garamond" w:hAnsi="Garamond"/>
          <w:sz w:val="32"/>
          <w:szCs w:val="32"/>
        </w:rPr>
        <w:t xml:space="preserve"> è stato</w:t>
      </w:r>
      <w:r w:rsidR="0090735B">
        <w:rPr>
          <w:rFonts w:ascii="Garamond" w:hAnsi="Garamond"/>
          <w:sz w:val="32"/>
          <w:szCs w:val="32"/>
        </w:rPr>
        <w:t>,</w:t>
      </w:r>
      <w:r w:rsidR="00D62560">
        <w:rPr>
          <w:rFonts w:ascii="Garamond" w:hAnsi="Garamond"/>
          <w:sz w:val="32"/>
          <w:szCs w:val="32"/>
        </w:rPr>
        <w:t xml:space="preserve"> se non </w:t>
      </w:r>
      <w:r w:rsidRPr="002757C2">
        <w:rPr>
          <w:rFonts w:ascii="Garamond" w:hAnsi="Garamond"/>
          <w:sz w:val="32"/>
          <w:szCs w:val="32"/>
        </w:rPr>
        <w:t>risolto</w:t>
      </w:r>
      <w:r w:rsidR="0090735B">
        <w:rPr>
          <w:rFonts w:ascii="Garamond" w:hAnsi="Garamond"/>
          <w:sz w:val="32"/>
          <w:szCs w:val="32"/>
        </w:rPr>
        <w:t>,</w:t>
      </w:r>
      <w:r w:rsidRPr="002757C2">
        <w:rPr>
          <w:rFonts w:ascii="Garamond" w:hAnsi="Garamond"/>
          <w:sz w:val="32"/>
          <w:szCs w:val="32"/>
        </w:rPr>
        <w:t xml:space="preserve"> </w:t>
      </w:r>
      <w:r w:rsidR="00D62560">
        <w:rPr>
          <w:rFonts w:ascii="Garamond" w:hAnsi="Garamond"/>
          <w:sz w:val="32"/>
          <w:szCs w:val="32"/>
        </w:rPr>
        <w:t xml:space="preserve">almeno mitigato </w:t>
      </w:r>
      <w:r w:rsidRPr="002757C2">
        <w:rPr>
          <w:rFonts w:ascii="Garamond" w:hAnsi="Garamond"/>
          <w:sz w:val="32"/>
          <w:szCs w:val="32"/>
        </w:rPr>
        <w:t>anche</w:t>
      </w:r>
      <w:r w:rsidR="00D62560">
        <w:rPr>
          <w:rFonts w:ascii="Garamond" w:hAnsi="Garamond"/>
          <w:sz w:val="32"/>
          <w:szCs w:val="32"/>
        </w:rPr>
        <w:t xml:space="preserve"> grazie all’Italia che ha aderito </w:t>
      </w:r>
      <w:r w:rsidRPr="002757C2">
        <w:rPr>
          <w:rFonts w:ascii="Garamond" w:hAnsi="Garamond"/>
          <w:sz w:val="32"/>
          <w:szCs w:val="32"/>
        </w:rPr>
        <w:t>al trattato di Dublino II)</w:t>
      </w:r>
      <w:r w:rsidR="0090735B">
        <w:rPr>
          <w:rFonts w:ascii="Garamond" w:hAnsi="Garamond"/>
          <w:sz w:val="32"/>
          <w:szCs w:val="32"/>
        </w:rPr>
        <w:t xml:space="preserve"> e </w:t>
      </w:r>
      <w:r w:rsidRPr="002757C2">
        <w:rPr>
          <w:rFonts w:ascii="Garamond" w:hAnsi="Garamond"/>
          <w:sz w:val="32"/>
          <w:szCs w:val="32"/>
        </w:rPr>
        <w:t>i</w:t>
      </w:r>
      <w:r w:rsidR="00066366">
        <w:rPr>
          <w:rFonts w:ascii="Garamond" w:hAnsi="Garamond"/>
          <w:sz w:val="32"/>
          <w:szCs w:val="32"/>
        </w:rPr>
        <w:t xml:space="preserve"> beneficiari delle varie sovvenzioni e agevolazioni accordate dopo la </w:t>
      </w:r>
      <w:r w:rsidRPr="002757C2">
        <w:rPr>
          <w:rFonts w:ascii="Garamond" w:hAnsi="Garamond"/>
          <w:sz w:val="32"/>
          <w:szCs w:val="32"/>
        </w:rPr>
        <w:t>riunificazione della Germania</w:t>
      </w:r>
      <w:r w:rsidR="00066366">
        <w:rPr>
          <w:rFonts w:ascii="Garamond" w:hAnsi="Garamond"/>
          <w:sz w:val="32"/>
          <w:szCs w:val="32"/>
        </w:rPr>
        <w:t xml:space="preserve">. Un ulteriore aggravio è derivato da una serie di cause </w:t>
      </w:r>
      <w:r w:rsidRPr="002757C2">
        <w:rPr>
          <w:rFonts w:ascii="Garamond" w:hAnsi="Garamond"/>
          <w:sz w:val="32"/>
          <w:szCs w:val="32"/>
        </w:rPr>
        <w:t>molto complesse</w:t>
      </w:r>
      <w:r w:rsidR="00066366">
        <w:rPr>
          <w:rFonts w:ascii="Garamond" w:hAnsi="Garamond"/>
          <w:sz w:val="32"/>
          <w:szCs w:val="32"/>
        </w:rPr>
        <w:t xml:space="preserve"> relative alle opere pubbliche,</w:t>
      </w:r>
      <w:r w:rsidRPr="002757C2">
        <w:rPr>
          <w:rFonts w:ascii="Garamond" w:hAnsi="Garamond"/>
          <w:sz w:val="32"/>
          <w:szCs w:val="32"/>
        </w:rPr>
        <w:t xml:space="preserve"> in quanto</w:t>
      </w:r>
      <w:r w:rsidR="0090735B">
        <w:rPr>
          <w:rFonts w:ascii="Garamond" w:hAnsi="Garamond"/>
          <w:sz w:val="32"/>
          <w:szCs w:val="32"/>
        </w:rPr>
        <w:t>,</w:t>
      </w:r>
      <w:r w:rsidRPr="002757C2">
        <w:rPr>
          <w:rFonts w:ascii="Garamond" w:hAnsi="Garamond"/>
          <w:sz w:val="32"/>
          <w:szCs w:val="32"/>
        </w:rPr>
        <w:t xml:space="preserve"> accanto ad una serie di programmi di rafforzamento e di ammodernamento infrastrutturale</w:t>
      </w:r>
      <w:r w:rsidR="0090735B">
        <w:rPr>
          <w:rFonts w:ascii="Garamond" w:hAnsi="Garamond"/>
          <w:sz w:val="32"/>
          <w:szCs w:val="32"/>
        </w:rPr>
        <w:t>,</w:t>
      </w:r>
      <w:r w:rsidRPr="002757C2">
        <w:rPr>
          <w:rFonts w:ascii="Garamond" w:hAnsi="Garamond"/>
          <w:sz w:val="32"/>
          <w:szCs w:val="32"/>
        </w:rPr>
        <w:t xml:space="preserve"> si è manifestata una forte sensibilità per i temi ambientali. </w:t>
      </w:r>
    </w:p>
    <w:p w:rsidR="00BB29B8" w:rsidRPr="002757C2" w:rsidRDefault="00BB29B8" w:rsidP="00B060D9">
      <w:pPr>
        <w:ind w:left="708"/>
        <w:jc w:val="both"/>
        <w:rPr>
          <w:rFonts w:ascii="Garamond" w:hAnsi="Garamond"/>
          <w:sz w:val="32"/>
          <w:szCs w:val="32"/>
        </w:rPr>
      </w:pPr>
      <w:r w:rsidRPr="002757C2">
        <w:rPr>
          <w:rFonts w:ascii="Garamond" w:hAnsi="Garamond"/>
          <w:sz w:val="32"/>
          <w:szCs w:val="32"/>
        </w:rPr>
        <w:t xml:space="preserve">La lunghezza dei processi </w:t>
      </w:r>
      <w:r w:rsidR="00066366">
        <w:rPr>
          <w:rFonts w:ascii="Garamond" w:hAnsi="Garamond"/>
          <w:sz w:val="32"/>
          <w:szCs w:val="32"/>
        </w:rPr>
        <w:t xml:space="preserve">invero </w:t>
      </w:r>
      <w:r w:rsidRPr="002757C2">
        <w:rPr>
          <w:rFonts w:ascii="Garamond" w:hAnsi="Garamond"/>
          <w:sz w:val="32"/>
          <w:szCs w:val="32"/>
        </w:rPr>
        <w:t>ha</w:t>
      </w:r>
      <w:r w:rsidR="00066366">
        <w:rPr>
          <w:rFonts w:ascii="Garamond" w:hAnsi="Garamond"/>
          <w:sz w:val="32"/>
          <w:szCs w:val="32"/>
        </w:rPr>
        <w:t xml:space="preserve"> condotto alla condanna della Germania da parte della Corte europea dei diritti dell’uomo, sezione quinta, </w:t>
      </w:r>
      <w:r w:rsidRPr="002757C2">
        <w:rPr>
          <w:rFonts w:ascii="Garamond" w:hAnsi="Garamond"/>
          <w:sz w:val="32"/>
          <w:szCs w:val="32"/>
        </w:rPr>
        <w:t>con sentenza 2 settembre 2010 (</w:t>
      </w:r>
      <w:proofErr w:type="spellStart"/>
      <w:r w:rsidRPr="00BD2CC0">
        <w:rPr>
          <w:rFonts w:ascii="Garamond" w:hAnsi="Garamond"/>
          <w:i/>
          <w:sz w:val="32"/>
          <w:szCs w:val="32"/>
        </w:rPr>
        <w:t>Rumpf</w:t>
      </w:r>
      <w:proofErr w:type="spellEnd"/>
      <w:r w:rsidRPr="00BD2CC0">
        <w:rPr>
          <w:rFonts w:ascii="Garamond" w:hAnsi="Garamond"/>
          <w:i/>
          <w:sz w:val="32"/>
          <w:szCs w:val="32"/>
        </w:rPr>
        <w:t xml:space="preserve"> c. Germania</w:t>
      </w:r>
      <w:r w:rsidRPr="002757C2">
        <w:rPr>
          <w:rFonts w:ascii="Garamond" w:hAnsi="Garamond"/>
          <w:sz w:val="32"/>
          <w:szCs w:val="32"/>
        </w:rPr>
        <w:t>, n. 46344/06</w:t>
      </w:r>
      <w:r w:rsidR="00066366">
        <w:rPr>
          <w:rFonts w:ascii="Garamond" w:hAnsi="Garamond"/>
          <w:sz w:val="32"/>
          <w:szCs w:val="32"/>
        </w:rPr>
        <w:t>)</w:t>
      </w:r>
      <w:r w:rsidRPr="002757C2">
        <w:rPr>
          <w:rFonts w:ascii="Garamond" w:hAnsi="Garamond"/>
          <w:sz w:val="32"/>
          <w:szCs w:val="32"/>
        </w:rPr>
        <w:t>, perché una causa relativa alla concessione di un porto d’armi era durata 13 anni e 5 mesi per quattro gradi di giudizio, senza che lo Stato avesse offerto almeno un indennizzo.</w:t>
      </w:r>
    </w:p>
    <w:p w:rsidR="00BB29B8" w:rsidRPr="002757C2" w:rsidRDefault="00BB29B8" w:rsidP="00B060D9">
      <w:pPr>
        <w:ind w:left="708"/>
        <w:jc w:val="both"/>
        <w:rPr>
          <w:rFonts w:ascii="Garamond" w:hAnsi="Garamond"/>
          <w:sz w:val="32"/>
          <w:szCs w:val="32"/>
          <w:lang w:val="de-DE"/>
        </w:rPr>
      </w:pPr>
      <w:r w:rsidRPr="002757C2">
        <w:rPr>
          <w:rFonts w:ascii="Garamond" w:hAnsi="Garamond"/>
          <w:sz w:val="32"/>
          <w:szCs w:val="32"/>
        </w:rPr>
        <w:t>Con la sentenza-pilota</w:t>
      </w:r>
      <w:r w:rsidR="00066366">
        <w:rPr>
          <w:rFonts w:ascii="Garamond" w:hAnsi="Garamond"/>
          <w:sz w:val="32"/>
          <w:szCs w:val="32"/>
        </w:rPr>
        <w:t xml:space="preserve"> veniva </w:t>
      </w:r>
      <w:r w:rsidRPr="002757C2">
        <w:rPr>
          <w:rFonts w:ascii="Garamond" w:hAnsi="Garamond"/>
          <w:sz w:val="32"/>
          <w:szCs w:val="32"/>
        </w:rPr>
        <w:t>anche chiesta l’introduzione nell’ordinamento tedesco di un rimedio effettivo che</w:t>
      </w:r>
      <w:r w:rsidR="00DC442A">
        <w:rPr>
          <w:rFonts w:ascii="Garamond" w:hAnsi="Garamond"/>
          <w:sz w:val="32"/>
          <w:szCs w:val="32"/>
        </w:rPr>
        <w:t xml:space="preserve"> assicurasse </w:t>
      </w:r>
      <w:r w:rsidRPr="002757C2">
        <w:rPr>
          <w:rFonts w:ascii="Garamond" w:hAnsi="Garamond"/>
          <w:sz w:val="32"/>
          <w:szCs w:val="32"/>
        </w:rPr>
        <w:t xml:space="preserve">un’adeguata e sufficiente riparazione alle vittime di processi troppo lunghi (anche considerando che dinanzi alla Corte pendevano altri 55 ricorsi che evidenziavano analoghi problemi); nello stesso senso si erano espresse le sentenze 8 giugno 2006, n. 75529/01, </w:t>
      </w:r>
      <w:proofErr w:type="spellStart"/>
      <w:r w:rsidRPr="00BD2CC0">
        <w:rPr>
          <w:rFonts w:ascii="Garamond" w:hAnsi="Garamond"/>
          <w:i/>
          <w:sz w:val="32"/>
          <w:szCs w:val="32"/>
        </w:rPr>
        <w:t>Sürmeli</w:t>
      </w:r>
      <w:proofErr w:type="spellEnd"/>
      <w:r w:rsidRPr="002757C2">
        <w:rPr>
          <w:rFonts w:ascii="Garamond" w:hAnsi="Garamond"/>
          <w:sz w:val="32"/>
          <w:szCs w:val="32"/>
        </w:rPr>
        <w:t xml:space="preserve">, e 11 gennaio 2007, n. 20027/02, </w:t>
      </w:r>
      <w:proofErr w:type="spellStart"/>
      <w:r w:rsidRPr="00BD2CC0">
        <w:rPr>
          <w:rFonts w:ascii="Garamond" w:hAnsi="Garamond"/>
          <w:i/>
          <w:sz w:val="32"/>
          <w:szCs w:val="32"/>
        </w:rPr>
        <w:t>Herbst</w:t>
      </w:r>
      <w:proofErr w:type="spellEnd"/>
      <w:r w:rsidR="00B10002" w:rsidRPr="002757C2">
        <w:rPr>
          <w:rFonts w:ascii="Garamond" w:hAnsi="Garamond"/>
          <w:sz w:val="32"/>
          <w:szCs w:val="32"/>
        </w:rPr>
        <w:t xml:space="preserve">. </w:t>
      </w:r>
      <w:r w:rsidR="00B10002" w:rsidRPr="002757C2">
        <w:rPr>
          <w:rFonts w:ascii="Garamond" w:hAnsi="Garamond"/>
          <w:sz w:val="32"/>
          <w:szCs w:val="32"/>
          <w:lang w:val="de-DE"/>
        </w:rPr>
        <w:t xml:space="preserve">È </w:t>
      </w:r>
      <w:proofErr w:type="spellStart"/>
      <w:r w:rsidR="00B10002" w:rsidRPr="002757C2">
        <w:rPr>
          <w:rFonts w:ascii="Garamond" w:hAnsi="Garamond"/>
          <w:sz w:val="32"/>
          <w:szCs w:val="32"/>
          <w:lang w:val="de-DE"/>
        </w:rPr>
        <w:t>stata</w:t>
      </w:r>
      <w:proofErr w:type="spellEnd"/>
      <w:r w:rsidR="00B10002" w:rsidRPr="002757C2">
        <w:rPr>
          <w:rFonts w:ascii="Garamond" w:hAnsi="Garamond"/>
          <w:sz w:val="32"/>
          <w:szCs w:val="32"/>
          <w:lang w:val="de-DE"/>
        </w:rPr>
        <w:t xml:space="preserve"> </w:t>
      </w:r>
      <w:proofErr w:type="spellStart"/>
      <w:r w:rsidR="00B10002" w:rsidRPr="002757C2">
        <w:rPr>
          <w:rFonts w:ascii="Garamond" w:hAnsi="Garamond"/>
          <w:sz w:val="32"/>
          <w:szCs w:val="32"/>
          <w:lang w:val="de-DE"/>
        </w:rPr>
        <w:t>così</w:t>
      </w:r>
      <w:proofErr w:type="spellEnd"/>
      <w:r w:rsidR="00B10002" w:rsidRPr="002757C2">
        <w:rPr>
          <w:rFonts w:ascii="Garamond" w:hAnsi="Garamond"/>
          <w:sz w:val="32"/>
          <w:szCs w:val="32"/>
          <w:lang w:val="de-DE"/>
        </w:rPr>
        <w:t xml:space="preserve"> </w:t>
      </w:r>
      <w:proofErr w:type="spellStart"/>
      <w:r w:rsidR="00B10002" w:rsidRPr="002757C2">
        <w:rPr>
          <w:rFonts w:ascii="Garamond" w:hAnsi="Garamond"/>
          <w:sz w:val="32"/>
          <w:szCs w:val="32"/>
          <w:lang w:val="de-DE"/>
        </w:rPr>
        <w:t>approvata</w:t>
      </w:r>
      <w:proofErr w:type="spellEnd"/>
      <w:r w:rsidR="00B10002" w:rsidRPr="002757C2">
        <w:rPr>
          <w:rFonts w:ascii="Garamond" w:hAnsi="Garamond"/>
          <w:sz w:val="32"/>
          <w:szCs w:val="32"/>
          <w:lang w:val="de-DE"/>
        </w:rPr>
        <w:t xml:space="preserve"> la </w:t>
      </w:r>
      <w:r w:rsidR="00B10002" w:rsidRPr="00066366">
        <w:rPr>
          <w:rFonts w:ascii="Garamond" w:hAnsi="Garamond"/>
          <w:i/>
          <w:sz w:val="32"/>
          <w:szCs w:val="32"/>
          <w:lang w:val="de-DE"/>
        </w:rPr>
        <w:t>Gesetz über den Rechtsschutz bei überlange Gerichtsverfahren und strafrechtlichen Ermittlungsverfahren</w:t>
      </w:r>
      <w:r w:rsidR="00B10002" w:rsidRPr="002757C2">
        <w:rPr>
          <w:rFonts w:ascii="Garamond" w:hAnsi="Garamond"/>
          <w:sz w:val="32"/>
          <w:szCs w:val="32"/>
          <w:lang w:val="de-DE"/>
        </w:rPr>
        <w:t xml:space="preserve"> (</w:t>
      </w:r>
      <w:proofErr w:type="spellStart"/>
      <w:r w:rsidR="00B10002" w:rsidRPr="00066366">
        <w:rPr>
          <w:rFonts w:ascii="Garamond" w:hAnsi="Garamond"/>
          <w:i/>
          <w:sz w:val="32"/>
          <w:szCs w:val="32"/>
          <w:lang w:val="de-DE"/>
        </w:rPr>
        <w:t>UEVerBesG</w:t>
      </w:r>
      <w:proofErr w:type="spellEnd"/>
      <w:r w:rsidR="00B10002" w:rsidRPr="002757C2">
        <w:rPr>
          <w:rFonts w:ascii="Garamond" w:hAnsi="Garamond"/>
          <w:sz w:val="32"/>
          <w:szCs w:val="32"/>
          <w:lang w:val="de-DE"/>
        </w:rPr>
        <w:t xml:space="preserve">) del 24 </w:t>
      </w:r>
      <w:proofErr w:type="spellStart"/>
      <w:r w:rsidR="00B10002" w:rsidRPr="002757C2">
        <w:rPr>
          <w:rFonts w:ascii="Garamond" w:hAnsi="Garamond"/>
          <w:sz w:val="32"/>
          <w:szCs w:val="32"/>
          <w:lang w:val="de-DE"/>
        </w:rPr>
        <w:t>novembre</w:t>
      </w:r>
      <w:proofErr w:type="spellEnd"/>
      <w:r w:rsidR="00B10002" w:rsidRPr="002757C2">
        <w:rPr>
          <w:rFonts w:ascii="Garamond" w:hAnsi="Garamond"/>
          <w:sz w:val="32"/>
          <w:szCs w:val="32"/>
          <w:lang w:val="de-DE"/>
        </w:rPr>
        <w:t xml:space="preserve"> 2011.</w:t>
      </w:r>
    </w:p>
    <w:p w:rsidR="00BB29B8" w:rsidRPr="002757C2" w:rsidRDefault="00B10002" w:rsidP="00B060D9">
      <w:pPr>
        <w:ind w:left="708"/>
        <w:jc w:val="both"/>
        <w:rPr>
          <w:rFonts w:ascii="Garamond" w:hAnsi="Garamond"/>
          <w:sz w:val="32"/>
          <w:szCs w:val="32"/>
        </w:rPr>
      </w:pPr>
      <w:r w:rsidRPr="002757C2">
        <w:rPr>
          <w:rFonts w:ascii="Garamond" w:hAnsi="Garamond"/>
          <w:sz w:val="32"/>
          <w:szCs w:val="32"/>
        </w:rPr>
        <w:t>La realtà dei fatti ha quindi comportato sia un ridimensionamento dell’originaria disciplina della cautela, sia una serie di iniziative che hanno riportato ad un maggiore equilibrio il rapporto tra il beneficio provvisorio e quello definitivo della sentenza.</w:t>
      </w:r>
    </w:p>
    <w:p w:rsidR="004D5808" w:rsidRPr="002757C2" w:rsidRDefault="00CA3C07" w:rsidP="00B060D9">
      <w:pPr>
        <w:ind w:left="708"/>
        <w:jc w:val="both"/>
        <w:rPr>
          <w:rFonts w:ascii="Garamond" w:hAnsi="Garamond"/>
          <w:sz w:val="32"/>
          <w:szCs w:val="32"/>
        </w:rPr>
      </w:pPr>
      <w:r>
        <w:rPr>
          <w:rFonts w:ascii="Garamond" w:hAnsi="Garamond"/>
          <w:sz w:val="32"/>
          <w:szCs w:val="32"/>
        </w:rPr>
        <w:t xml:space="preserve">Per contenere la durata del processo, non </w:t>
      </w:r>
      <w:r w:rsidR="004D5808" w:rsidRPr="002757C2">
        <w:rPr>
          <w:rFonts w:ascii="Garamond" w:hAnsi="Garamond"/>
          <w:sz w:val="32"/>
          <w:szCs w:val="32"/>
        </w:rPr>
        <w:t>sono mancate misure propriamente procedurali, tra le quali quelle intese ad allargare i giudizi monocratici e sommari e a velocizzare l’istruttoria, ad in</w:t>
      </w:r>
      <w:r w:rsidR="00B10002" w:rsidRPr="002757C2">
        <w:rPr>
          <w:rFonts w:ascii="Garamond" w:hAnsi="Garamond"/>
          <w:sz w:val="32"/>
          <w:szCs w:val="32"/>
        </w:rPr>
        <w:t>trodurre strumenti informatici</w:t>
      </w:r>
      <w:r w:rsidR="004D5808" w:rsidRPr="002757C2">
        <w:rPr>
          <w:rFonts w:ascii="Garamond" w:hAnsi="Garamond"/>
          <w:sz w:val="32"/>
          <w:szCs w:val="32"/>
        </w:rPr>
        <w:t xml:space="preserve">, </w:t>
      </w:r>
      <w:r w:rsidR="00B10002" w:rsidRPr="002757C2">
        <w:rPr>
          <w:rFonts w:ascii="Garamond" w:hAnsi="Garamond"/>
          <w:sz w:val="32"/>
          <w:szCs w:val="32"/>
        </w:rPr>
        <w:t xml:space="preserve">a creare delle preclusioni (ad esempio nei processi in materia di stranieri), </w:t>
      </w:r>
      <w:r w:rsidR="004D5808" w:rsidRPr="002757C2">
        <w:rPr>
          <w:rFonts w:ascii="Garamond" w:hAnsi="Garamond"/>
          <w:sz w:val="32"/>
          <w:szCs w:val="32"/>
        </w:rPr>
        <w:t xml:space="preserve">nonché alcune facilitazioni nella stesura delle sentenze: nell’ipotesi di </w:t>
      </w:r>
      <w:proofErr w:type="spellStart"/>
      <w:r w:rsidR="004D5808" w:rsidRPr="00CA3C07">
        <w:rPr>
          <w:rFonts w:ascii="Garamond" w:hAnsi="Garamond"/>
          <w:i/>
          <w:sz w:val="32"/>
          <w:szCs w:val="32"/>
        </w:rPr>
        <w:t>Massenklagen</w:t>
      </w:r>
      <w:proofErr w:type="spellEnd"/>
      <w:r w:rsidR="004D5808" w:rsidRPr="002757C2">
        <w:rPr>
          <w:rFonts w:ascii="Garamond" w:hAnsi="Garamond"/>
          <w:sz w:val="32"/>
          <w:szCs w:val="32"/>
        </w:rPr>
        <w:t>, ovvero di ricorsi multipli (da 20 in poi), è possibile deciderne con sentenza uno solo, sospendendo gli altri giudizi che vengono poi definiti con ordinanza (</w:t>
      </w:r>
      <w:proofErr w:type="spellStart"/>
      <w:r w:rsidR="004D5808" w:rsidRPr="00CA3C07">
        <w:rPr>
          <w:rFonts w:ascii="Garamond" w:hAnsi="Garamond"/>
          <w:i/>
          <w:sz w:val="32"/>
          <w:szCs w:val="32"/>
        </w:rPr>
        <w:t>Beschluss</w:t>
      </w:r>
      <w:proofErr w:type="spellEnd"/>
      <w:r w:rsidR="004D5808" w:rsidRPr="002757C2">
        <w:rPr>
          <w:rFonts w:ascii="Garamond" w:hAnsi="Garamond"/>
          <w:sz w:val="32"/>
          <w:szCs w:val="32"/>
        </w:rPr>
        <w:t xml:space="preserve">); in generale poi il tribunale può motivare richiamando l’atto amministrativo o la decisione sul </w:t>
      </w:r>
      <w:proofErr w:type="spellStart"/>
      <w:r w:rsidR="004D5808" w:rsidRPr="00CA3C07">
        <w:rPr>
          <w:rFonts w:ascii="Garamond" w:hAnsi="Garamond"/>
          <w:i/>
          <w:sz w:val="32"/>
          <w:szCs w:val="32"/>
        </w:rPr>
        <w:t>Widerspruch</w:t>
      </w:r>
      <w:proofErr w:type="spellEnd"/>
      <w:r w:rsidR="004D5808" w:rsidRPr="002757C2">
        <w:rPr>
          <w:rFonts w:ascii="Garamond" w:hAnsi="Garamond"/>
          <w:sz w:val="32"/>
          <w:szCs w:val="32"/>
        </w:rPr>
        <w:t xml:space="preserve"> quando fa propri</w:t>
      </w:r>
      <w:r>
        <w:rPr>
          <w:rFonts w:ascii="Garamond" w:hAnsi="Garamond"/>
          <w:sz w:val="32"/>
          <w:szCs w:val="32"/>
        </w:rPr>
        <w:t xml:space="preserve">e le relative ragioni </w:t>
      </w:r>
      <w:r w:rsidR="004D5808" w:rsidRPr="002757C2">
        <w:rPr>
          <w:rFonts w:ascii="Garamond" w:hAnsi="Garamond"/>
          <w:sz w:val="32"/>
          <w:szCs w:val="32"/>
        </w:rPr>
        <w:t xml:space="preserve">e può, per i dettagli relativi alle circostanze di fatto, semplicemente rinviare agli atti prodotti dalle parti, ai verbali e ad altri documenti (art. 117, paragrafi quinto e terzo, del </w:t>
      </w:r>
      <w:proofErr w:type="spellStart"/>
      <w:r w:rsidR="004D5808" w:rsidRPr="00CA3C07">
        <w:rPr>
          <w:rFonts w:ascii="Garamond" w:hAnsi="Garamond"/>
          <w:i/>
          <w:sz w:val="32"/>
          <w:szCs w:val="32"/>
        </w:rPr>
        <w:t>VwGO</w:t>
      </w:r>
      <w:proofErr w:type="spellEnd"/>
      <w:r w:rsidR="004D5808" w:rsidRPr="002757C2">
        <w:rPr>
          <w:rFonts w:ascii="Garamond" w:hAnsi="Garamond"/>
          <w:sz w:val="32"/>
          <w:szCs w:val="32"/>
        </w:rPr>
        <w:t>).</w:t>
      </w:r>
    </w:p>
    <w:p w:rsidR="003C6426" w:rsidRPr="002757C2" w:rsidRDefault="00E12018" w:rsidP="00B060D9">
      <w:pPr>
        <w:ind w:left="708"/>
        <w:jc w:val="both"/>
        <w:rPr>
          <w:rFonts w:ascii="Garamond" w:hAnsi="Garamond"/>
          <w:sz w:val="32"/>
          <w:szCs w:val="32"/>
        </w:rPr>
      </w:pPr>
      <w:r w:rsidRPr="002757C2">
        <w:rPr>
          <w:rFonts w:ascii="Garamond" w:hAnsi="Garamond"/>
          <w:sz w:val="32"/>
          <w:szCs w:val="32"/>
        </w:rPr>
        <w:t>In generale quindi</w:t>
      </w:r>
      <w:r w:rsidR="00CA3C07">
        <w:rPr>
          <w:rFonts w:ascii="Garamond" w:hAnsi="Garamond"/>
          <w:sz w:val="32"/>
          <w:szCs w:val="32"/>
        </w:rPr>
        <w:t>,</w:t>
      </w:r>
      <w:r w:rsidRPr="002757C2">
        <w:rPr>
          <w:rFonts w:ascii="Garamond" w:hAnsi="Garamond"/>
          <w:sz w:val="32"/>
          <w:szCs w:val="32"/>
        </w:rPr>
        <w:t xml:space="preserve"> davanti a una medesima esigenza (e cioè il tentativo di evitare che il tempo del processo pregiudichi il bene della vita che il ricorrente pretende), nei due ordinamenti individuiamo due percorsi diversi</w:t>
      </w:r>
      <w:r w:rsidR="00CA3C07">
        <w:rPr>
          <w:rFonts w:ascii="Garamond" w:hAnsi="Garamond"/>
          <w:sz w:val="32"/>
          <w:szCs w:val="32"/>
        </w:rPr>
        <w:t xml:space="preserve"> che </w:t>
      </w:r>
      <w:r w:rsidRPr="002757C2">
        <w:rPr>
          <w:rFonts w:ascii="Garamond" w:hAnsi="Garamond"/>
          <w:sz w:val="32"/>
          <w:szCs w:val="32"/>
        </w:rPr>
        <w:t>comunque</w:t>
      </w:r>
      <w:r w:rsidR="00CA3C07">
        <w:rPr>
          <w:rFonts w:ascii="Garamond" w:hAnsi="Garamond"/>
          <w:sz w:val="32"/>
          <w:szCs w:val="32"/>
        </w:rPr>
        <w:t xml:space="preserve"> si presentano</w:t>
      </w:r>
      <w:r w:rsidRPr="002757C2">
        <w:rPr>
          <w:rFonts w:ascii="Garamond" w:hAnsi="Garamond"/>
          <w:sz w:val="32"/>
          <w:szCs w:val="32"/>
        </w:rPr>
        <w:t xml:space="preserve"> individualmente comprensibili e tra loro comparabili.</w:t>
      </w:r>
    </w:p>
    <w:p w:rsidR="00E12018" w:rsidRDefault="00CA3C07" w:rsidP="00B060D9">
      <w:pPr>
        <w:ind w:left="708"/>
        <w:jc w:val="both"/>
        <w:rPr>
          <w:rFonts w:ascii="Garamond" w:hAnsi="Garamond"/>
          <w:sz w:val="32"/>
          <w:szCs w:val="32"/>
        </w:rPr>
      </w:pPr>
      <w:r>
        <w:rPr>
          <w:rFonts w:ascii="Garamond" w:hAnsi="Garamond"/>
          <w:sz w:val="32"/>
          <w:szCs w:val="32"/>
        </w:rPr>
        <w:t xml:space="preserve">Sintetizzando quanto precedentemente espresso, si può concludere che, mentre in Germania le soluzioni adottate nel codice del processo amministrativo partivano </w:t>
      </w:r>
      <w:r w:rsidR="00E12018" w:rsidRPr="002757C2">
        <w:rPr>
          <w:rFonts w:ascii="Garamond" w:hAnsi="Garamond"/>
          <w:sz w:val="32"/>
          <w:szCs w:val="32"/>
        </w:rPr>
        <w:t>da una concezione garantista e</w:t>
      </w:r>
      <w:r>
        <w:rPr>
          <w:rFonts w:ascii="Garamond" w:hAnsi="Garamond"/>
          <w:sz w:val="32"/>
          <w:szCs w:val="32"/>
        </w:rPr>
        <w:t xml:space="preserve"> anti</w:t>
      </w:r>
      <w:r w:rsidR="00E12018" w:rsidRPr="002757C2">
        <w:rPr>
          <w:rFonts w:ascii="Garamond" w:hAnsi="Garamond"/>
          <w:sz w:val="32"/>
          <w:szCs w:val="32"/>
        </w:rPr>
        <w:t>autoritaria la cui assolutezza si</w:t>
      </w:r>
      <w:r>
        <w:rPr>
          <w:rFonts w:ascii="Garamond" w:hAnsi="Garamond"/>
          <w:sz w:val="32"/>
          <w:szCs w:val="32"/>
        </w:rPr>
        <w:t xml:space="preserve"> è andata </w:t>
      </w:r>
      <w:r w:rsidR="00E12018" w:rsidRPr="002757C2">
        <w:rPr>
          <w:rFonts w:ascii="Garamond" w:hAnsi="Garamond"/>
          <w:sz w:val="32"/>
          <w:szCs w:val="32"/>
        </w:rPr>
        <w:t>attenuando</w:t>
      </w:r>
      <w:r>
        <w:rPr>
          <w:rFonts w:ascii="Garamond" w:hAnsi="Garamond"/>
          <w:sz w:val="32"/>
          <w:szCs w:val="32"/>
        </w:rPr>
        <w:t xml:space="preserve"> nel momento in cui</w:t>
      </w:r>
      <w:r w:rsidR="00DC442A">
        <w:rPr>
          <w:rFonts w:ascii="Garamond" w:hAnsi="Garamond"/>
          <w:sz w:val="32"/>
          <w:szCs w:val="32"/>
        </w:rPr>
        <w:t xml:space="preserve"> è emersa </w:t>
      </w:r>
      <w:r>
        <w:rPr>
          <w:rFonts w:ascii="Garamond" w:hAnsi="Garamond"/>
          <w:sz w:val="32"/>
          <w:szCs w:val="32"/>
        </w:rPr>
        <w:t xml:space="preserve">di fatto una </w:t>
      </w:r>
      <w:r w:rsidR="00E12018" w:rsidRPr="002757C2">
        <w:rPr>
          <w:rFonts w:ascii="Garamond" w:hAnsi="Garamond"/>
          <w:sz w:val="32"/>
          <w:szCs w:val="32"/>
        </w:rPr>
        <w:t>tendenza all’allungamento della durata dei giudizi</w:t>
      </w:r>
      <w:r>
        <w:rPr>
          <w:rFonts w:ascii="Garamond" w:hAnsi="Garamond"/>
          <w:sz w:val="32"/>
          <w:szCs w:val="32"/>
        </w:rPr>
        <w:t xml:space="preserve">, in Italia, la legislazione ha adottato </w:t>
      </w:r>
      <w:r w:rsidR="00E12018" w:rsidRPr="002757C2">
        <w:rPr>
          <w:rFonts w:ascii="Garamond" w:hAnsi="Garamond"/>
          <w:sz w:val="32"/>
          <w:szCs w:val="32"/>
        </w:rPr>
        <w:t>soluzioni che inizialmente</w:t>
      </w:r>
      <w:r>
        <w:rPr>
          <w:rFonts w:ascii="Garamond" w:hAnsi="Garamond"/>
          <w:sz w:val="32"/>
          <w:szCs w:val="32"/>
        </w:rPr>
        <w:t xml:space="preserve"> hanno ricalcato </w:t>
      </w:r>
      <w:r w:rsidR="00E12018" w:rsidRPr="002757C2">
        <w:rPr>
          <w:rFonts w:ascii="Garamond" w:hAnsi="Garamond"/>
          <w:sz w:val="32"/>
          <w:szCs w:val="32"/>
        </w:rPr>
        <w:t>un approccio molto prudente</w:t>
      </w:r>
      <w:r w:rsidR="00DC442A">
        <w:rPr>
          <w:rFonts w:ascii="Garamond" w:hAnsi="Garamond"/>
          <w:sz w:val="32"/>
          <w:szCs w:val="32"/>
        </w:rPr>
        <w:t xml:space="preserve"> rispetto</w:t>
      </w:r>
      <w:r w:rsidR="00E12018" w:rsidRPr="002757C2">
        <w:rPr>
          <w:rFonts w:ascii="Garamond" w:hAnsi="Garamond"/>
          <w:sz w:val="32"/>
          <w:szCs w:val="32"/>
        </w:rPr>
        <w:t xml:space="preserve"> alla possibilità di</w:t>
      </w:r>
      <w:r w:rsidR="00DC442A">
        <w:rPr>
          <w:rFonts w:ascii="Garamond" w:hAnsi="Garamond"/>
          <w:sz w:val="32"/>
          <w:szCs w:val="32"/>
        </w:rPr>
        <w:t xml:space="preserve"> concedere </w:t>
      </w:r>
      <w:r w:rsidR="00E12018" w:rsidRPr="002757C2">
        <w:rPr>
          <w:rFonts w:ascii="Garamond" w:hAnsi="Garamond"/>
          <w:sz w:val="32"/>
          <w:szCs w:val="32"/>
        </w:rPr>
        <w:t>la sospensiva (sospensiva che nel 1971 è l’unica misura ammessa), valutata caso per caso, in continuità con la tradizione del Consiglio di Stato.</w:t>
      </w:r>
    </w:p>
    <w:p w:rsidR="00E12018" w:rsidRPr="00CA3C07" w:rsidRDefault="00CA3C07" w:rsidP="00B060D9">
      <w:pPr>
        <w:ind w:left="708"/>
        <w:jc w:val="both"/>
        <w:rPr>
          <w:rFonts w:ascii="Garamond" w:hAnsi="Garamond"/>
          <w:sz w:val="32"/>
          <w:szCs w:val="32"/>
        </w:rPr>
      </w:pPr>
      <w:r>
        <w:rPr>
          <w:rFonts w:ascii="Garamond" w:hAnsi="Garamond"/>
          <w:sz w:val="32"/>
          <w:szCs w:val="32"/>
        </w:rPr>
        <w:t>N</w:t>
      </w:r>
      <w:r w:rsidR="00E12018" w:rsidRPr="00CA3C07">
        <w:rPr>
          <w:rFonts w:ascii="Garamond" w:hAnsi="Garamond"/>
          <w:sz w:val="32"/>
          <w:szCs w:val="32"/>
        </w:rPr>
        <w:t>egli anni seguenti si</w:t>
      </w:r>
      <w:r>
        <w:rPr>
          <w:rFonts w:ascii="Garamond" w:hAnsi="Garamond"/>
          <w:sz w:val="32"/>
          <w:szCs w:val="32"/>
        </w:rPr>
        <w:t xml:space="preserve"> è assistito </w:t>
      </w:r>
      <w:r w:rsidR="00E12018" w:rsidRPr="00CA3C07">
        <w:rPr>
          <w:rFonts w:ascii="Garamond" w:hAnsi="Garamond"/>
          <w:sz w:val="32"/>
          <w:szCs w:val="32"/>
        </w:rPr>
        <w:t xml:space="preserve">a un </w:t>
      </w:r>
      <w:r w:rsidR="00E12018" w:rsidRPr="007F44B9">
        <w:rPr>
          <w:rFonts w:ascii="Garamond" w:hAnsi="Garamond"/>
          <w:sz w:val="32"/>
          <w:szCs w:val="32"/>
        </w:rPr>
        <w:t>boom</w:t>
      </w:r>
      <w:r w:rsidR="00E12018" w:rsidRPr="00CA3C07">
        <w:rPr>
          <w:rFonts w:ascii="Garamond" w:hAnsi="Garamond"/>
          <w:sz w:val="32"/>
          <w:szCs w:val="32"/>
        </w:rPr>
        <w:t xml:space="preserve"> quantitativo delle misure cautelari (che corrisponde un’esplosione del contenzioso con il relativo espandersi dei tempi processuali); l’aumento della quantità è </w:t>
      </w:r>
      <w:r>
        <w:rPr>
          <w:rFonts w:ascii="Garamond" w:hAnsi="Garamond"/>
          <w:sz w:val="32"/>
          <w:szCs w:val="32"/>
        </w:rPr>
        <w:t xml:space="preserve">stato </w:t>
      </w:r>
      <w:r w:rsidR="00E12018" w:rsidRPr="00CA3C07">
        <w:rPr>
          <w:rFonts w:ascii="Garamond" w:hAnsi="Garamond"/>
          <w:sz w:val="32"/>
          <w:szCs w:val="32"/>
        </w:rPr>
        <w:t xml:space="preserve">accompagnato da una sempre maggiore diversificazione dei contenuti della misura cautelare </w:t>
      </w:r>
      <w:r w:rsidR="006C3199" w:rsidRPr="00CA3C07">
        <w:rPr>
          <w:rFonts w:ascii="Garamond" w:hAnsi="Garamond"/>
          <w:sz w:val="32"/>
          <w:szCs w:val="32"/>
        </w:rPr>
        <w:t>che</w:t>
      </w:r>
      <w:r w:rsidR="00DC442A">
        <w:rPr>
          <w:rFonts w:ascii="Garamond" w:hAnsi="Garamond"/>
          <w:sz w:val="32"/>
          <w:szCs w:val="32"/>
        </w:rPr>
        <w:t xml:space="preserve"> ha trovato </w:t>
      </w:r>
      <w:r w:rsidR="006C3199" w:rsidRPr="00CA3C07">
        <w:rPr>
          <w:rFonts w:ascii="Garamond" w:hAnsi="Garamond"/>
          <w:sz w:val="32"/>
          <w:szCs w:val="32"/>
        </w:rPr>
        <w:t>un suo primo riconoscimento legislativo nella legge n. 205 del 2000.</w:t>
      </w:r>
    </w:p>
    <w:p w:rsidR="006C3199" w:rsidRPr="00CA3C07" w:rsidRDefault="006C3199" w:rsidP="00B060D9">
      <w:pPr>
        <w:ind w:left="708"/>
        <w:jc w:val="both"/>
        <w:rPr>
          <w:rFonts w:ascii="Garamond" w:hAnsi="Garamond"/>
          <w:sz w:val="32"/>
          <w:szCs w:val="32"/>
        </w:rPr>
      </w:pPr>
      <w:r w:rsidRPr="00CA3C07">
        <w:rPr>
          <w:rFonts w:ascii="Garamond" w:hAnsi="Garamond"/>
          <w:sz w:val="32"/>
          <w:szCs w:val="32"/>
        </w:rPr>
        <w:t>Questo fenomeno è una delle espressioni di un percorso giurisprudenziale dei tribunali amministrativi tendente a rafforzare la giurisdizione e l’effettività della tutela, percorso che si è sviluppato soprattutto al di fuori del classico giudizio di annullamento:</w:t>
      </w:r>
      <w:r w:rsidR="00CA3C07">
        <w:rPr>
          <w:rFonts w:ascii="Garamond" w:hAnsi="Garamond"/>
          <w:sz w:val="32"/>
          <w:szCs w:val="32"/>
        </w:rPr>
        <w:t xml:space="preserve"> in effetti </w:t>
      </w:r>
      <w:r w:rsidRPr="00CA3C07">
        <w:rPr>
          <w:rFonts w:ascii="Garamond" w:hAnsi="Garamond"/>
          <w:sz w:val="32"/>
          <w:szCs w:val="32"/>
        </w:rPr>
        <w:t>le soluzioni più innovative sono state individuate proprio nell’ambito dei giudizi camerali (soprattutto quello sul silenzio) e nella fase cautelare.</w:t>
      </w:r>
    </w:p>
    <w:p w:rsidR="007C10CE" w:rsidRDefault="007F44B9" w:rsidP="00B060D9">
      <w:pPr>
        <w:ind w:left="708"/>
        <w:jc w:val="both"/>
        <w:rPr>
          <w:rFonts w:ascii="Garamond" w:hAnsi="Garamond"/>
          <w:sz w:val="32"/>
          <w:szCs w:val="32"/>
        </w:rPr>
      </w:pPr>
      <w:r>
        <w:rPr>
          <w:rFonts w:ascii="Garamond" w:hAnsi="Garamond"/>
          <w:sz w:val="32"/>
          <w:szCs w:val="32"/>
        </w:rPr>
        <w:t xml:space="preserve">L’opera di sistemazione compiuta attraverso </w:t>
      </w:r>
      <w:r w:rsidR="0026769D">
        <w:rPr>
          <w:rFonts w:ascii="Garamond" w:hAnsi="Garamond"/>
          <w:sz w:val="32"/>
          <w:szCs w:val="32"/>
        </w:rPr>
        <w:t xml:space="preserve">la </w:t>
      </w:r>
      <w:r w:rsidRPr="007F44B9">
        <w:rPr>
          <w:rFonts w:ascii="Garamond" w:hAnsi="Garamond"/>
          <w:sz w:val="32"/>
          <w:szCs w:val="32"/>
        </w:rPr>
        <w:t>legge</w:t>
      </w:r>
      <w:r>
        <w:rPr>
          <w:rFonts w:ascii="Garamond" w:hAnsi="Garamond"/>
          <w:sz w:val="32"/>
          <w:szCs w:val="32"/>
        </w:rPr>
        <w:t>-</w:t>
      </w:r>
      <w:r w:rsidRPr="007F44B9">
        <w:rPr>
          <w:rFonts w:ascii="Garamond" w:hAnsi="Garamond"/>
          <w:sz w:val="32"/>
          <w:szCs w:val="32"/>
        </w:rPr>
        <w:t xml:space="preserve">delega </w:t>
      </w:r>
      <w:r w:rsidR="0026769D" w:rsidRPr="0026769D">
        <w:rPr>
          <w:rFonts w:ascii="Garamond" w:hAnsi="Garamond"/>
          <w:sz w:val="32"/>
          <w:szCs w:val="32"/>
        </w:rPr>
        <w:t>18 giugno 2009, n. 69</w:t>
      </w:r>
      <w:r w:rsidR="0026769D">
        <w:rPr>
          <w:rFonts w:ascii="Garamond" w:hAnsi="Garamond"/>
          <w:sz w:val="32"/>
          <w:szCs w:val="32"/>
        </w:rPr>
        <w:t>,</w:t>
      </w:r>
      <w:r w:rsidR="0026769D" w:rsidRPr="0026769D">
        <w:rPr>
          <w:rFonts w:ascii="Garamond" w:hAnsi="Garamond"/>
          <w:sz w:val="32"/>
          <w:szCs w:val="32"/>
        </w:rPr>
        <w:t xml:space="preserve"> </w:t>
      </w:r>
      <w:r w:rsidRPr="007F44B9">
        <w:rPr>
          <w:rFonts w:ascii="Garamond" w:hAnsi="Garamond"/>
          <w:sz w:val="32"/>
          <w:szCs w:val="32"/>
        </w:rPr>
        <w:t xml:space="preserve">e il codice del processo amministrativo </w:t>
      </w:r>
      <w:r w:rsidR="0026769D">
        <w:rPr>
          <w:rFonts w:ascii="Garamond" w:hAnsi="Garamond"/>
          <w:sz w:val="32"/>
          <w:szCs w:val="32"/>
        </w:rPr>
        <w:t>ha sostanzialmente portato al termine questo ciclo di sperimentazioni processuali, appr</w:t>
      </w:r>
      <w:r w:rsidR="00D00FCE">
        <w:rPr>
          <w:rFonts w:ascii="Garamond" w:hAnsi="Garamond"/>
          <w:sz w:val="32"/>
          <w:szCs w:val="32"/>
        </w:rPr>
        <w:t>od</w:t>
      </w:r>
      <w:r w:rsidR="0026769D">
        <w:rPr>
          <w:rFonts w:ascii="Garamond" w:hAnsi="Garamond"/>
          <w:sz w:val="32"/>
          <w:szCs w:val="32"/>
        </w:rPr>
        <w:t xml:space="preserve">ando peraltro </w:t>
      </w:r>
      <w:r w:rsidR="00D00FCE">
        <w:rPr>
          <w:rFonts w:ascii="Garamond" w:hAnsi="Garamond"/>
          <w:sz w:val="32"/>
          <w:szCs w:val="32"/>
        </w:rPr>
        <w:t>al</w:t>
      </w:r>
      <w:r w:rsidR="002E6A6F" w:rsidRPr="007F44B9">
        <w:rPr>
          <w:rFonts w:ascii="Garamond" w:hAnsi="Garamond"/>
          <w:sz w:val="32"/>
          <w:szCs w:val="32"/>
        </w:rPr>
        <w:t xml:space="preserve">la generalizzazione della cautela </w:t>
      </w:r>
      <w:r w:rsidR="002E6A6F" w:rsidRPr="0026769D">
        <w:rPr>
          <w:rFonts w:ascii="Garamond" w:hAnsi="Garamond"/>
          <w:i/>
          <w:sz w:val="32"/>
          <w:szCs w:val="32"/>
        </w:rPr>
        <w:t xml:space="preserve">ante </w:t>
      </w:r>
      <w:proofErr w:type="spellStart"/>
      <w:r w:rsidR="002E6A6F" w:rsidRPr="0026769D">
        <w:rPr>
          <w:rFonts w:ascii="Garamond" w:hAnsi="Garamond"/>
          <w:i/>
          <w:sz w:val="32"/>
          <w:szCs w:val="32"/>
        </w:rPr>
        <w:t>causam</w:t>
      </w:r>
      <w:proofErr w:type="spellEnd"/>
      <w:r w:rsidR="002E6A6F" w:rsidRPr="007F44B9">
        <w:rPr>
          <w:rFonts w:ascii="Garamond" w:hAnsi="Garamond"/>
          <w:sz w:val="32"/>
          <w:szCs w:val="32"/>
        </w:rPr>
        <w:t>.</w:t>
      </w:r>
    </w:p>
    <w:p w:rsidR="00D00FCE" w:rsidRDefault="00622C0D" w:rsidP="00B060D9">
      <w:pPr>
        <w:ind w:left="708"/>
        <w:jc w:val="both"/>
        <w:rPr>
          <w:rFonts w:ascii="Garamond" w:hAnsi="Garamond"/>
          <w:sz w:val="32"/>
          <w:szCs w:val="32"/>
        </w:rPr>
      </w:pPr>
      <w:r>
        <w:rPr>
          <w:rFonts w:ascii="Garamond" w:hAnsi="Garamond"/>
          <w:sz w:val="32"/>
          <w:szCs w:val="32"/>
        </w:rPr>
        <w:t xml:space="preserve">In definitiva il decreto legislativo </w:t>
      </w:r>
      <w:r w:rsidR="001E623E">
        <w:rPr>
          <w:rFonts w:ascii="Garamond" w:hAnsi="Garamond"/>
          <w:sz w:val="32"/>
          <w:szCs w:val="32"/>
        </w:rPr>
        <w:t xml:space="preserve">2 luglio </w:t>
      </w:r>
      <w:r>
        <w:rPr>
          <w:rFonts w:ascii="Garamond" w:hAnsi="Garamond"/>
          <w:sz w:val="32"/>
          <w:szCs w:val="32"/>
        </w:rPr>
        <w:t>2010</w:t>
      </w:r>
      <w:r w:rsidR="001E623E">
        <w:rPr>
          <w:rFonts w:ascii="Garamond" w:hAnsi="Garamond"/>
          <w:sz w:val="32"/>
          <w:szCs w:val="32"/>
        </w:rPr>
        <w:t>,</w:t>
      </w:r>
      <w:r>
        <w:rPr>
          <w:rFonts w:ascii="Garamond" w:hAnsi="Garamond"/>
          <w:sz w:val="32"/>
          <w:szCs w:val="32"/>
        </w:rPr>
        <w:t xml:space="preserve"> n. 104</w:t>
      </w:r>
      <w:r w:rsidR="001E623E">
        <w:rPr>
          <w:rFonts w:ascii="Garamond" w:hAnsi="Garamond"/>
          <w:sz w:val="32"/>
          <w:szCs w:val="32"/>
        </w:rPr>
        <w:t>,</w:t>
      </w:r>
      <w:r>
        <w:rPr>
          <w:rFonts w:ascii="Garamond" w:hAnsi="Garamond"/>
          <w:sz w:val="32"/>
          <w:szCs w:val="32"/>
        </w:rPr>
        <w:t xml:space="preserve"> ha operato una sistemazione del diritto giurisprudenziale, che aveva ridisegnato molti istituti processuali, con una codificazione che richiama per molti profili il codice di procedura civile; ciò ha comportato sì una maggiore chiarezza e intelligibilità della disciplina, ma </w:t>
      </w:r>
      <w:r w:rsidR="00DC442A">
        <w:rPr>
          <w:rFonts w:ascii="Garamond" w:hAnsi="Garamond"/>
          <w:sz w:val="32"/>
          <w:szCs w:val="32"/>
        </w:rPr>
        <w:t xml:space="preserve">ha </w:t>
      </w:r>
      <w:r>
        <w:rPr>
          <w:rFonts w:ascii="Garamond" w:hAnsi="Garamond"/>
          <w:sz w:val="32"/>
          <w:szCs w:val="32"/>
        </w:rPr>
        <w:t xml:space="preserve">tuttavia introdotto una serie di rigidità e di complicazioni precedentemente non </w:t>
      </w:r>
      <w:r w:rsidR="00DC442A">
        <w:rPr>
          <w:rFonts w:ascii="Garamond" w:hAnsi="Garamond"/>
          <w:sz w:val="32"/>
          <w:szCs w:val="32"/>
        </w:rPr>
        <w:t>riscontrabili</w:t>
      </w:r>
      <w:r>
        <w:rPr>
          <w:rFonts w:ascii="Garamond" w:hAnsi="Garamond"/>
          <w:sz w:val="32"/>
          <w:szCs w:val="32"/>
        </w:rPr>
        <w:t>.</w:t>
      </w:r>
    </w:p>
    <w:p w:rsidR="00622C0D" w:rsidRPr="007F44B9" w:rsidRDefault="00622C0D" w:rsidP="00B060D9">
      <w:pPr>
        <w:ind w:left="708"/>
        <w:jc w:val="both"/>
        <w:rPr>
          <w:rFonts w:ascii="Garamond" w:hAnsi="Garamond"/>
          <w:sz w:val="32"/>
          <w:szCs w:val="32"/>
        </w:rPr>
      </w:pPr>
      <w:r>
        <w:rPr>
          <w:rFonts w:ascii="Garamond" w:hAnsi="Garamond"/>
          <w:sz w:val="32"/>
          <w:szCs w:val="32"/>
        </w:rPr>
        <w:t xml:space="preserve">Bisogna in ogni caso tener conto della situazione in cui </w:t>
      </w:r>
      <w:r w:rsidR="00E82D11">
        <w:rPr>
          <w:rFonts w:ascii="Garamond" w:hAnsi="Garamond"/>
          <w:sz w:val="32"/>
          <w:szCs w:val="32"/>
        </w:rPr>
        <w:t>interveniva la legge di delega.</w:t>
      </w:r>
    </w:p>
    <w:p w:rsidR="002E6A6F" w:rsidRPr="00E82D11" w:rsidRDefault="002E6A6F" w:rsidP="00B060D9">
      <w:pPr>
        <w:ind w:left="708"/>
        <w:jc w:val="both"/>
        <w:rPr>
          <w:rFonts w:ascii="Garamond" w:hAnsi="Garamond"/>
          <w:sz w:val="32"/>
          <w:szCs w:val="32"/>
        </w:rPr>
      </w:pPr>
      <w:r w:rsidRPr="00E82D11">
        <w:rPr>
          <w:rFonts w:ascii="Garamond" w:hAnsi="Garamond"/>
          <w:sz w:val="32"/>
          <w:szCs w:val="32"/>
        </w:rPr>
        <w:t xml:space="preserve">Negli anni era stata emessa una massa di provvedimenti cautelari su ricorsi </w:t>
      </w:r>
      <w:r w:rsidR="00E82D11">
        <w:rPr>
          <w:rFonts w:ascii="Garamond" w:hAnsi="Garamond"/>
          <w:sz w:val="32"/>
          <w:szCs w:val="32"/>
        </w:rPr>
        <w:t>poi mai definiti</w:t>
      </w:r>
      <w:r w:rsidRPr="00E82D11">
        <w:rPr>
          <w:rFonts w:ascii="Garamond" w:hAnsi="Garamond"/>
          <w:sz w:val="32"/>
          <w:szCs w:val="32"/>
        </w:rPr>
        <w:t xml:space="preserve">, con </w:t>
      </w:r>
      <w:r w:rsidR="00E82D11">
        <w:rPr>
          <w:rFonts w:ascii="Garamond" w:hAnsi="Garamond"/>
          <w:sz w:val="32"/>
          <w:szCs w:val="32"/>
        </w:rPr>
        <w:t>l’</w:t>
      </w:r>
      <w:r w:rsidRPr="00E82D11">
        <w:rPr>
          <w:rFonts w:ascii="Garamond" w:hAnsi="Garamond"/>
          <w:sz w:val="32"/>
          <w:szCs w:val="32"/>
        </w:rPr>
        <w:t xml:space="preserve">effetto da un lato di non soddisfare pienamente le aspettative del ricorrente </w:t>
      </w:r>
      <w:r w:rsidR="00C03268">
        <w:rPr>
          <w:rFonts w:ascii="Garamond" w:hAnsi="Garamond"/>
          <w:sz w:val="32"/>
          <w:szCs w:val="32"/>
        </w:rPr>
        <w:t>(</w:t>
      </w:r>
      <w:r w:rsidR="00574976">
        <w:rPr>
          <w:rFonts w:ascii="Garamond" w:hAnsi="Garamond"/>
          <w:sz w:val="32"/>
          <w:szCs w:val="32"/>
        </w:rPr>
        <w:t xml:space="preserve">visto che spesso i </w:t>
      </w:r>
      <w:r w:rsidR="00574976" w:rsidRPr="00574976">
        <w:rPr>
          <w:rFonts w:ascii="Garamond" w:hAnsi="Garamond"/>
          <w:sz w:val="32"/>
          <w:szCs w:val="32"/>
        </w:rPr>
        <w:t xml:space="preserve">provvedimenti cautelari, in particolare quelli più innovativi, </w:t>
      </w:r>
      <w:r w:rsidR="00574976">
        <w:rPr>
          <w:rFonts w:ascii="Garamond" w:hAnsi="Garamond"/>
          <w:sz w:val="32"/>
          <w:szCs w:val="32"/>
        </w:rPr>
        <w:t xml:space="preserve">non </w:t>
      </w:r>
      <w:r w:rsidR="00574976" w:rsidRPr="00574976">
        <w:rPr>
          <w:rFonts w:ascii="Garamond" w:hAnsi="Garamond"/>
          <w:sz w:val="32"/>
          <w:szCs w:val="32"/>
        </w:rPr>
        <w:t xml:space="preserve">venivano </w:t>
      </w:r>
      <w:r w:rsidR="00574976">
        <w:rPr>
          <w:rFonts w:ascii="Garamond" w:hAnsi="Garamond"/>
          <w:sz w:val="32"/>
          <w:szCs w:val="32"/>
        </w:rPr>
        <w:t xml:space="preserve">integralmente </w:t>
      </w:r>
      <w:r w:rsidR="00574976" w:rsidRPr="00574976">
        <w:rPr>
          <w:rFonts w:ascii="Garamond" w:hAnsi="Garamond"/>
          <w:sz w:val="32"/>
          <w:szCs w:val="32"/>
        </w:rPr>
        <w:t xml:space="preserve">eseguiti) </w:t>
      </w:r>
      <w:r w:rsidRPr="00E82D11">
        <w:rPr>
          <w:rFonts w:ascii="Garamond" w:hAnsi="Garamond"/>
          <w:sz w:val="32"/>
          <w:szCs w:val="32"/>
        </w:rPr>
        <w:t>e dall’altro di paralizzare l’azione amministrativa</w:t>
      </w:r>
      <w:r w:rsidR="00E82D11">
        <w:rPr>
          <w:rStyle w:val="Rimandonotaapidipagina"/>
          <w:rFonts w:ascii="Garamond" w:hAnsi="Garamond"/>
          <w:sz w:val="32"/>
          <w:szCs w:val="32"/>
        </w:rPr>
        <w:footnoteReference w:id="17"/>
      </w:r>
      <w:r w:rsidRPr="00E82D11">
        <w:rPr>
          <w:rFonts w:ascii="Garamond" w:hAnsi="Garamond"/>
          <w:sz w:val="32"/>
          <w:szCs w:val="32"/>
        </w:rPr>
        <w:t>.</w:t>
      </w:r>
    </w:p>
    <w:p w:rsidR="00914AD7" w:rsidRDefault="002E6A6F" w:rsidP="00B060D9">
      <w:pPr>
        <w:ind w:left="708"/>
        <w:jc w:val="both"/>
        <w:rPr>
          <w:rFonts w:ascii="Garamond" w:hAnsi="Garamond"/>
          <w:sz w:val="32"/>
          <w:szCs w:val="32"/>
        </w:rPr>
      </w:pPr>
      <w:r w:rsidRPr="000E4B78">
        <w:rPr>
          <w:rFonts w:ascii="Garamond" w:hAnsi="Garamond"/>
          <w:sz w:val="32"/>
          <w:szCs w:val="32"/>
        </w:rPr>
        <w:t>Il problema</w:t>
      </w:r>
      <w:r w:rsidR="000E4B78">
        <w:rPr>
          <w:rFonts w:ascii="Garamond" w:hAnsi="Garamond"/>
          <w:sz w:val="32"/>
          <w:szCs w:val="32"/>
        </w:rPr>
        <w:t xml:space="preserve"> non riguardava solo </w:t>
      </w:r>
      <w:r w:rsidRPr="000E4B78">
        <w:rPr>
          <w:rFonts w:ascii="Garamond" w:hAnsi="Garamond"/>
          <w:sz w:val="32"/>
          <w:szCs w:val="32"/>
        </w:rPr>
        <w:t xml:space="preserve">il </w:t>
      </w:r>
      <w:r w:rsidRPr="000E4B78">
        <w:rPr>
          <w:rFonts w:ascii="Garamond" w:hAnsi="Garamond"/>
          <w:i/>
          <w:sz w:val="32"/>
          <w:szCs w:val="32"/>
        </w:rPr>
        <w:t>quando</w:t>
      </w:r>
      <w:r w:rsidRPr="000E4B78">
        <w:rPr>
          <w:rFonts w:ascii="Garamond" w:hAnsi="Garamond"/>
          <w:sz w:val="32"/>
          <w:szCs w:val="32"/>
        </w:rPr>
        <w:t xml:space="preserve"> della decisione finale (</w:t>
      </w:r>
      <w:r w:rsidR="000E4B78">
        <w:rPr>
          <w:rFonts w:ascii="Garamond" w:hAnsi="Garamond"/>
          <w:sz w:val="32"/>
          <w:szCs w:val="32"/>
        </w:rPr>
        <w:t xml:space="preserve">se non addirittura </w:t>
      </w:r>
      <w:proofErr w:type="spellStart"/>
      <w:r w:rsidR="000E4B78">
        <w:rPr>
          <w:rFonts w:ascii="Garamond" w:hAnsi="Garamond"/>
          <w:sz w:val="32"/>
          <w:szCs w:val="32"/>
        </w:rPr>
        <w:t>l’</w:t>
      </w:r>
      <w:r w:rsidR="000E4B78" w:rsidRPr="000E4B78">
        <w:rPr>
          <w:rFonts w:ascii="Garamond" w:hAnsi="Garamond"/>
          <w:i/>
          <w:sz w:val="32"/>
          <w:szCs w:val="32"/>
        </w:rPr>
        <w:t>an</w:t>
      </w:r>
      <w:proofErr w:type="spellEnd"/>
      <w:r w:rsidR="000E4B78">
        <w:rPr>
          <w:rFonts w:ascii="Garamond" w:hAnsi="Garamond"/>
          <w:sz w:val="32"/>
          <w:szCs w:val="32"/>
        </w:rPr>
        <w:t xml:space="preserve">). Era dubbio anche se </w:t>
      </w:r>
      <w:r w:rsidR="000E4B78" w:rsidRPr="000E4B78">
        <w:rPr>
          <w:rFonts w:ascii="Garamond" w:hAnsi="Garamond"/>
          <w:sz w:val="32"/>
          <w:szCs w:val="32"/>
        </w:rPr>
        <w:t>il ricorso sarebbe stato giudicato da quella giurisdizione</w:t>
      </w:r>
      <w:r w:rsidR="000E4B78">
        <w:rPr>
          <w:rFonts w:ascii="Garamond" w:hAnsi="Garamond"/>
          <w:sz w:val="32"/>
          <w:szCs w:val="32"/>
        </w:rPr>
        <w:t xml:space="preserve"> e dal tribunale amministrativo adito</w:t>
      </w:r>
      <w:r w:rsidR="00914AD7">
        <w:rPr>
          <w:rFonts w:ascii="Garamond" w:hAnsi="Garamond"/>
          <w:sz w:val="32"/>
          <w:szCs w:val="32"/>
        </w:rPr>
        <w:t xml:space="preserve"> e se</w:t>
      </w:r>
      <w:r w:rsidR="000E4B78" w:rsidRPr="000E4B78">
        <w:rPr>
          <w:rFonts w:ascii="Garamond" w:hAnsi="Garamond"/>
          <w:sz w:val="32"/>
          <w:szCs w:val="32"/>
        </w:rPr>
        <w:t xml:space="preserve"> il principio applicato in sede cautelare sarebbe stato</w:t>
      </w:r>
      <w:r w:rsidR="00914AD7">
        <w:rPr>
          <w:rFonts w:ascii="Garamond" w:hAnsi="Garamond"/>
          <w:sz w:val="32"/>
          <w:szCs w:val="32"/>
        </w:rPr>
        <w:t xml:space="preserve"> poi </w:t>
      </w:r>
      <w:r w:rsidR="000E4B78" w:rsidRPr="000E4B78">
        <w:rPr>
          <w:rFonts w:ascii="Garamond" w:hAnsi="Garamond"/>
          <w:sz w:val="32"/>
          <w:szCs w:val="32"/>
        </w:rPr>
        <w:t>adottato nella fase di merito</w:t>
      </w:r>
      <w:r w:rsidR="00914AD7">
        <w:rPr>
          <w:rFonts w:ascii="Garamond" w:hAnsi="Garamond"/>
          <w:sz w:val="32"/>
          <w:szCs w:val="32"/>
        </w:rPr>
        <w:t xml:space="preserve">, rischio </w:t>
      </w:r>
      <w:r w:rsidR="00BD2CC0">
        <w:rPr>
          <w:rFonts w:ascii="Garamond" w:hAnsi="Garamond"/>
          <w:sz w:val="32"/>
          <w:szCs w:val="32"/>
        </w:rPr>
        <w:t xml:space="preserve">di discontinuità </w:t>
      </w:r>
      <w:r w:rsidR="00914AD7">
        <w:rPr>
          <w:rFonts w:ascii="Garamond" w:hAnsi="Garamond"/>
          <w:sz w:val="32"/>
          <w:szCs w:val="32"/>
        </w:rPr>
        <w:t xml:space="preserve">che ovviamente aumentava quanto </w:t>
      </w:r>
      <w:r w:rsidR="00DC442A">
        <w:rPr>
          <w:rFonts w:ascii="Garamond" w:hAnsi="Garamond"/>
          <w:sz w:val="32"/>
          <w:szCs w:val="32"/>
        </w:rPr>
        <w:t xml:space="preserve">più </w:t>
      </w:r>
      <w:r w:rsidR="00914AD7">
        <w:rPr>
          <w:rFonts w:ascii="Garamond" w:hAnsi="Garamond"/>
          <w:sz w:val="32"/>
          <w:szCs w:val="32"/>
        </w:rPr>
        <w:t xml:space="preserve">la definizione della contesa si allontanava temporalmente dal provvedimento cautelare. </w:t>
      </w:r>
    </w:p>
    <w:p w:rsidR="002E6A6F" w:rsidRPr="002757C2" w:rsidRDefault="002E6A6F" w:rsidP="00B060D9">
      <w:pPr>
        <w:ind w:left="708"/>
        <w:jc w:val="both"/>
        <w:rPr>
          <w:rFonts w:ascii="Garamond" w:hAnsi="Garamond"/>
          <w:sz w:val="32"/>
          <w:szCs w:val="32"/>
        </w:rPr>
      </w:pPr>
      <w:r w:rsidRPr="002757C2">
        <w:rPr>
          <w:rFonts w:ascii="Garamond" w:hAnsi="Garamond"/>
          <w:sz w:val="32"/>
          <w:szCs w:val="32"/>
        </w:rPr>
        <w:t>A questi inconvenienti si è fatto fronte</w:t>
      </w:r>
      <w:r w:rsidR="00914AD7">
        <w:rPr>
          <w:rFonts w:ascii="Garamond" w:hAnsi="Garamond"/>
          <w:sz w:val="32"/>
          <w:szCs w:val="32"/>
        </w:rPr>
        <w:t xml:space="preserve"> imponendo la previa verifica </w:t>
      </w:r>
      <w:r w:rsidRPr="002757C2">
        <w:rPr>
          <w:rFonts w:ascii="Garamond" w:hAnsi="Garamond"/>
          <w:sz w:val="32"/>
          <w:szCs w:val="32"/>
        </w:rPr>
        <w:t>della giurisdizione e della competenza</w:t>
      </w:r>
      <w:r w:rsidR="00914AD7">
        <w:rPr>
          <w:rStyle w:val="Rimandonotaapidipagina"/>
          <w:rFonts w:ascii="Garamond" w:hAnsi="Garamond"/>
          <w:sz w:val="32"/>
          <w:szCs w:val="32"/>
        </w:rPr>
        <w:footnoteReference w:id="18"/>
      </w:r>
      <w:r w:rsidRPr="002757C2">
        <w:rPr>
          <w:rFonts w:ascii="Garamond" w:hAnsi="Garamond"/>
          <w:sz w:val="32"/>
          <w:szCs w:val="32"/>
        </w:rPr>
        <w:t xml:space="preserve">, la </w:t>
      </w:r>
      <w:r w:rsidR="00914AD7">
        <w:rPr>
          <w:rFonts w:ascii="Garamond" w:hAnsi="Garamond"/>
          <w:sz w:val="32"/>
          <w:szCs w:val="32"/>
        </w:rPr>
        <w:t xml:space="preserve">presentazione non revocabile </w:t>
      </w:r>
      <w:r w:rsidRPr="002757C2">
        <w:rPr>
          <w:rFonts w:ascii="Garamond" w:hAnsi="Garamond"/>
          <w:sz w:val="32"/>
          <w:szCs w:val="32"/>
        </w:rPr>
        <w:t>dell’istanza di fissazione</w:t>
      </w:r>
      <w:r w:rsidR="00914AD7">
        <w:rPr>
          <w:rFonts w:ascii="Garamond" w:hAnsi="Garamond"/>
          <w:sz w:val="32"/>
          <w:szCs w:val="32"/>
        </w:rPr>
        <w:t xml:space="preserve"> dell’udienza e</w:t>
      </w:r>
      <w:r w:rsidRPr="002757C2">
        <w:rPr>
          <w:rFonts w:ascii="Garamond" w:hAnsi="Garamond"/>
          <w:sz w:val="32"/>
          <w:szCs w:val="32"/>
        </w:rPr>
        <w:t xml:space="preserve"> la </w:t>
      </w:r>
      <w:r w:rsidR="00914AD7">
        <w:rPr>
          <w:rFonts w:ascii="Garamond" w:hAnsi="Garamond"/>
          <w:sz w:val="32"/>
          <w:szCs w:val="32"/>
        </w:rPr>
        <w:t xml:space="preserve">(fin troppo automatica e generalizzata) </w:t>
      </w:r>
      <w:r w:rsidRPr="002757C2">
        <w:rPr>
          <w:rFonts w:ascii="Garamond" w:hAnsi="Garamond"/>
          <w:sz w:val="32"/>
          <w:szCs w:val="32"/>
        </w:rPr>
        <w:t>fissazione</w:t>
      </w:r>
      <w:r w:rsidR="00914AD7">
        <w:rPr>
          <w:rFonts w:ascii="Garamond" w:hAnsi="Garamond"/>
          <w:sz w:val="32"/>
          <w:szCs w:val="32"/>
        </w:rPr>
        <w:t xml:space="preserve"> dell’udienza nel corpo dell</w:t>
      </w:r>
      <w:r w:rsidR="00B02CBC" w:rsidRPr="002757C2">
        <w:rPr>
          <w:rFonts w:ascii="Garamond" w:hAnsi="Garamond"/>
          <w:sz w:val="32"/>
          <w:szCs w:val="32"/>
        </w:rPr>
        <w:t xml:space="preserve">’ordinanza cautelare </w:t>
      </w:r>
      <w:r w:rsidR="00914AD7">
        <w:rPr>
          <w:rFonts w:ascii="Garamond" w:hAnsi="Garamond"/>
          <w:sz w:val="32"/>
          <w:szCs w:val="32"/>
        </w:rPr>
        <w:t>di accoglimento della relativa istanza</w:t>
      </w:r>
      <w:r w:rsidR="00B02CBC" w:rsidRPr="002757C2">
        <w:rPr>
          <w:rFonts w:ascii="Garamond" w:hAnsi="Garamond"/>
          <w:sz w:val="32"/>
          <w:szCs w:val="32"/>
        </w:rPr>
        <w:t xml:space="preserve">. </w:t>
      </w:r>
      <w:r w:rsidR="00914AD7">
        <w:rPr>
          <w:rFonts w:ascii="Garamond" w:hAnsi="Garamond"/>
          <w:sz w:val="32"/>
          <w:szCs w:val="32"/>
        </w:rPr>
        <w:t>Misure poi rafforzate da</w:t>
      </w:r>
      <w:r w:rsidR="00B02CBC" w:rsidRPr="002757C2">
        <w:rPr>
          <w:rFonts w:ascii="Garamond" w:hAnsi="Garamond"/>
          <w:sz w:val="32"/>
          <w:szCs w:val="32"/>
        </w:rPr>
        <w:t>ll’articolo 55, comm</w:t>
      </w:r>
      <w:r w:rsidR="001E623E">
        <w:rPr>
          <w:rFonts w:ascii="Garamond" w:hAnsi="Garamond"/>
          <w:sz w:val="32"/>
          <w:szCs w:val="32"/>
        </w:rPr>
        <w:t>a</w:t>
      </w:r>
      <w:r w:rsidR="00B02CBC" w:rsidRPr="002757C2">
        <w:rPr>
          <w:rFonts w:ascii="Garamond" w:hAnsi="Garamond"/>
          <w:sz w:val="32"/>
          <w:szCs w:val="32"/>
        </w:rPr>
        <w:t xml:space="preserve"> </w:t>
      </w:r>
      <w:r w:rsidR="001E623E">
        <w:rPr>
          <w:rFonts w:ascii="Garamond" w:hAnsi="Garamond"/>
          <w:sz w:val="32"/>
          <w:szCs w:val="32"/>
        </w:rPr>
        <w:t>11</w:t>
      </w:r>
      <w:r w:rsidR="00B02CBC" w:rsidRPr="002757C2">
        <w:rPr>
          <w:rFonts w:ascii="Garamond" w:hAnsi="Garamond"/>
          <w:sz w:val="32"/>
          <w:szCs w:val="32"/>
        </w:rPr>
        <w:t xml:space="preserve">, </w:t>
      </w:r>
      <w:r w:rsidR="001E623E">
        <w:rPr>
          <w:rFonts w:ascii="Garamond" w:hAnsi="Garamond"/>
          <w:sz w:val="32"/>
          <w:szCs w:val="32"/>
        </w:rPr>
        <w:t>ormai di</w:t>
      </w:r>
      <w:r w:rsidR="00FC1A69">
        <w:rPr>
          <w:rFonts w:ascii="Garamond" w:hAnsi="Garamond"/>
          <w:sz w:val="32"/>
          <w:szCs w:val="32"/>
        </w:rPr>
        <w:t xml:space="preserve"> sempre più comune utilizzo</w:t>
      </w:r>
      <w:r w:rsidR="001E623E">
        <w:rPr>
          <w:rFonts w:ascii="Garamond" w:hAnsi="Garamond"/>
          <w:sz w:val="32"/>
          <w:szCs w:val="32"/>
        </w:rPr>
        <w:t xml:space="preserve">. </w:t>
      </w:r>
    </w:p>
    <w:p w:rsidR="00B02CBC" w:rsidRPr="00DE5FF2" w:rsidRDefault="00B02CBC" w:rsidP="00B060D9">
      <w:pPr>
        <w:ind w:left="708"/>
        <w:jc w:val="both"/>
        <w:rPr>
          <w:rFonts w:ascii="Garamond" w:hAnsi="Garamond"/>
          <w:sz w:val="32"/>
          <w:szCs w:val="32"/>
        </w:rPr>
      </w:pPr>
      <w:r w:rsidRPr="00DE5FF2">
        <w:rPr>
          <w:rFonts w:ascii="Garamond" w:hAnsi="Garamond"/>
          <w:sz w:val="32"/>
          <w:szCs w:val="32"/>
        </w:rPr>
        <w:t>Il quadro</w:t>
      </w:r>
      <w:r w:rsidR="00DE5FF2">
        <w:rPr>
          <w:rFonts w:ascii="Garamond" w:hAnsi="Garamond"/>
          <w:sz w:val="32"/>
          <w:szCs w:val="32"/>
        </w:rPr>
        <w:t xml:space="preserve"> delle misure cautelari si</w:t>
      </w:r>
      <w:r w:rsidR="00791764">
        <w:rPr>
          <w:rFonts w:ascii="Garamond" w:hAnsi="Garamond"/>
          <w:sz w:val="32"/>
          <w:szCs w:val="32"/>
        </w:rPr>
        <w:t xml:space="preserve"> era inoltre </w:t>
      </w:r>
      <w:r w:rsidR="00DE5FF2">
        <w:rPr>
          <w:rFonts w:ascii="Garamond" w:hAnsi="Garamond"/>
          <w:sz w:val="32"/>
          <w:szCs w:val="32"/>
        </w:rPr>
        <w:t>arricchito</w:t>
      </w:r>
      <w:r w:rsidR="00791764">
        <w:rPr>
          <w:rFonts w:ascii="Garamond" w:hAnsi="Garamond"/>
          <w:sz w:val="32"/>
          <w:szCs w:val="32"/>
        </w:rPr>
        <w:t xml:space="preserve">, anche prima del codice, </w:t>
      </w:r>
      <w:r w:rsidR="00DE5FF2">
        <w:rPr>
          <w:rFonts w:ascii="Garamond" w:hAnsi="Garamond"/>
          <w:sz w:val="32"/>
          <w:szCs w:val="32"/>
        </w:rPr>
        <w:t xml:space="preserve">attraverso </w:t>
      </w:r>
      <w:r w:rsidR="001338D7" w:rsidRPr="00DE5FF2">
        <w:rPr>
          <w:rFonts w:ascii="Garamond" w:hAnsi="Garamond"/>
          <w:sz w:val="32"/>
          <w:szCs w:val="32"/>
        </w:rPr>
        <w:t>contaminazioni</w:t>
      </w:r>
      <w:r w:rsidR="00DE5FF2">
        <w:rPr>
          <w:rFonts w:ascii="Garamond" w:hAnsi="Garamond"/>
          <w:sz w:val="32"/>
          <w:szCs w:val="32"/>
        </w:rPr>
        <w:t xml:space="preserve"> con </w:t>
      </w:r>
      <w:r w:rsidR="001338D7" w:rsidRPr="00DE5FF2">
        <w:rPr>
          <w:rFonts w:ascii="Garamond" w:hAnsi="Garamond"/>
          <w:sz w:val="32"/>
          <w:szCs w:val="32"/>
        </w:rPr>
        <w:t>istituti</w:t>
      </w:r>
      <w:r w:rsidR="00DE5FF2">
        <w:rPr>
          <w:rFonts w:ascii="Garamond" w:hAnsi="Garamond"/>
          <w:sz w:val="32"/>
          <w:szCs w:val="32"/>
        </w:rPr>
        <w:t xml:space="preserve"> di provenienza</w:t>
      </w:r>
      <w:r w:rsidR="00DE5FF2" w:rsidRPr="00DE5FF2">
        <w:t xml:space="preserve"> </w:t>
      </w:r>
      <w:r w:rsidR="00DE5FF2" w:rsidRPr="00DE5FF2">
        <w:rPr>
          <w:rFonts w:ascii="Garamond" w:hAnsi="Garamond"/>
          <w:sz w:val="32"/>
          <w:szCs w:val="32"/>
        </w:rPr>
        <w:t>non</w:t>
      </w:r>
      <w:r w:rsidR="00DE5FF2">
        <w:rPr>
          <w:rFonts w:ascii="Garamond" w:hAnsi="Garamond"/>
          <w:sz w:val="32"/>
          <w:szCs w:val="32"/>
        </w:rPr>
        <w:t xml:space="preserve"> italiana. I</w:t>
      </w:r>
      <w:r w:rsidR="001338D7" w:rsidRPr="00DE5FF2">
        <w:rPr>
          <w:rFonts w:ascii="Garamond" w:hAnsi="Garamond"/>
          <w:sz w:val="32"/>
          <w:szCs w:val="32"/>
        </w:rPr>
        <w:t xml:space="preserve">l fenomeno della circolazione dei modelli </w:t>
      </w:r>
      <w:r w:rsidR="00DE5FF2">
        <w:rPr>
          <w:rFonts w:ascii="Garamond" w:hAnsi="Garamond"/>
          <w:sz w:val="32"/>
          <w:szCs w:val="32"/>
        </w:rPr>
        <w:t xml:space="preserve">è stato </w:t>
      </w:r>
      <w:r w:rsidR="001338D7" w:rsidRPr="00DE5FF2">
        <w:rPr>
          <w:rFonts w:ascii="Garamond" w:hAnsi="Garamond"/>
          <w:sz w:val="32"/>
          <w:szCs w:val="32"/>
        </w:rPr>
        <w:t>studiato dai comparatisti</w:t>
      </w:r>
      <w:r w:rsidR="00DE5FF2">
        <w:rPr>
          <w:rFonts w:ascii="Garamond" w:hAnsi="Garamond"/>
          <w:sz w:val="32"/>
          <w:szCs w:val="32"/>
        </w:rPr>
        <w:t xml:space="preserve"> ma, in sistemi improntati al positivismo giuridico,</w:t>
      </w:r>
      <w:r w:rsidR="001338D7" w:rsidRPr="00DE5FF2">
        <w:rPr>
          <w:rFonts w:ascii="Garamond" w:hAnsi="Garamond"/>
          <w:sz w:val="32"/>
          <w:szCs w:val="32"/>
        </w:rPr>
        <w:t xml:space="preserve"> </w:t>
      </w:r>
      <w:r w:rsidR="00DE5FF2" w:rsidRPr="00DE5FF2">
        <w:rPr>
          <w:rFonts w:ascii="Garamond" w:hAnsi="Garamond"/>
          <w:sz w:val="32"/>
          <w:szCs w:val="32"/>
        </w:rPr>
        <w:t xml:space="preserve">la sua portata </w:t>
      </w:r>
      <w:r w:rsidR="00DE5FF2">
        <w:rPr>
          <w:rFonts w:ascii="Garamond" w:hAnsi="Garamond"/>
          <w:sz w:val="32"/>
          <w:szCs w:val="32"/>
        </w:rPr>
        <w:t xml:space="preserve">era molto limitata. Esso oggi però si </w:t>
      </w:r>
      <w:r w:rsidR="001338D7" w:rsidRPr="00DE5FF2">
        <w:rPr>
          <w:rFonts w:ascii="Garamond" w:hAnsi="Garamond"/>
          <w:sz w:val="32"/>
          <w:szCs w:val="32"/>
        </w:rPr>
        <w:t xml:space="preserve">amplia e si complica attraverso la mediazione di regole comuni europee che assorbono e disseminano, rielaborati e trasformati, istituti e concetti giuridici propri dei vari diritti nazionali, in un processo che è stato denominato di </w:t>
      </w:r>
      <w:r w:rsidR="001338D7" w:rsidRPr="00DE5FF2">
        <w:rPr>
          <w:rFonts w:ascii="Garamond" w:hAnsi="Garamond"/>
          <w:i/>
          <w:sz w:val="32"/>
          <w:szCs w:val="32"/>
        </w:rPr>
        <w:t xml:space="preserve">cross </w:t>
      </w:r>
      <w:proofErr w:type="spellStart"/>
      <w:r w:rsidR="001338D7" w:rsidRPr="00DE5FF2">
        <w:rPr>
          <w:rFonts w:ascii="Garamond" w:hAnsi="Garamond"/>
          <w:i/>
          <w:sz w:val="32"/>
          <w:szCs w:val="32"/>
        </w:rPr>
        <w:t>fertilization</w:t>
      </w:r>
      <w:proofErr w:type="spellEnd"/>
      <w:r w:rsidR="001338D7" w:rsidRPr="00DE5FF2">
        <w:rPr>
          <w:rFonts w:ascii="Garamond" w:hAnsi="Garamond"/>
          <w:sz w:val="32"/>
          <w:szCs w:val="32"/>
        </w:rPr>
        <w:t xml:space="preserve"> tra sistemi giuridici diversi.</w:t>
      </w:r>
    </w:p>
    <w:p w:rsidR="00791764" w:rsidRDefault="001338D7" w:rsidP="00B060D9">
      <w:pPr>
        <w:ind w:left="708"/>
        <w:jc w:val="both"/>
        <w:rPr>
          <w:rFonts w:ascii="Garamond" w:hAnsi="Garamond"/>
          <w:sz w:val="32"/>
          <w:szCs w:val="32"/>
        </w:rPr>
      </w:pPr>
      <w:r w:rsidRPr="00DE5FF2">
        <w:rPr>
          <w:rFonts w:ascii="Garamond" w:hAnsi="Garamond"/>
          <w:sz w:val="32"/>
          <w:szCs w:val="32"/>
        </w:rPr>
        <w:t>In</w:t>
      </w:r>
      <w:r w:rsidR="00791764">
        <w:rPr>
          <w:rFonts w:ascii="Garamond" w:hAnsi="Garamond"/>
          <w:sz w:val="32"/>
          <w:szCs w:val="32"/>
        </w:rPr>
        <w:t xml:space="preserve"> materia processuale, </w:t>
      </w:r>
      <w:r w:rsidRPr="00DE5FF2">
        <w:rPr>
          <w:rFonts w:ascii="Garamond" w:hAnsi="Garamond"/>
          <w:sz w:val="32"/>
          <w:szCs w:val="32"/>
        </w:rPr>
        <w:t xml:space="preserve">ne abbiamo traccia sia nel cosiddetto </w:t>
      </w:r>
      <w:r w:rsidRPr="00791764">
        <w:rPr>
          <w:rFonts w:ascii="Garamond" w:hAnsi="Garamond"/>
          <w:i/>
          <w:sz w:val="32"/>
          <w:szCs w:val="32"/>
        </w:rPr>
        <w:t>stand-</w:t>
      </w:r>
      <w:proofErr w:type="spellStart"/>
      <w:r w:rsidRPr="00791764">
        <w:rPr>
          <w:rFonts w:ascii="Garamond" w:hAnsi="Garamond"/>
          <w:i/>
          <w:sz w:val="32"/>
          <w:szCs w:val="32"/>
        </w:rPr>
        <w:t>still</w:t>
      </w:r>
      <w:proofErr w:type="spellEnd"/>
      <w:r w:rsidRPr="00DE5FF2">
        <w:rPr>
          <w:rFonts w:ascii="Garamond" w:hAnsi="Garamond"/>
          <w:sz w:val="32"/>
          <w:szCs w:val="32"/>
        </w:rPr>
        <w:t>, che non è altro che u</w:t>
      </w:r>
      <w:r w:rsidR="00E83093">
        <w:rPr>
          <w:rFonts w:ascii="Garamond" w:hAnsi="Garamond"/>
          <w:sz w:val="32"/>
          <w:szCs w:val="32"/>
        </w:rPr>
        <w:t>na sospensione automatica, sia n</w:t>
      </w:r>
      <w:r w:rsidRPr="00DE5FF2">
        <w:rPr>
          <w:rFonts w:ascii="Garamond" w:hAnsi="Garamond"/>
          <w:sz w:val="32"/>
          <w:szCs w:val="32"/>
        </w:rPr>
        <w:t>ell’introduzione (sempre</w:t>
      </w:r>
      <w:r w:rsidR="00530AFA" w:rsidRPr="00DE5FF2">
        <w:rPr>
          <w:rFonts w:ascii="Garamond" w:hAnsi="Garamond"/>
          <w:sz w:val="32"/>
          <w:szCs w:val="32"/>
        </w:rPr>
        <w:t xml:space="preserve"> ispirata a direttive europee sugli appalti) della tutela cautelare monocratica, che, perlomeno nella forma del decreto in corso di causa, già esisteva nel </w:t>
      </w:r>
      <w:proofErr w:type="spellStart"/>
      <w:r w:rsidR="00530AFA" w:rsidRPr="00791764">
        <w:rPr>
          <w:rFonts w:ascii="Garamond" w:hAnsi="Garamond"/>
          <w:i/>
          <w:sz w:val="32"/>
          <w:szCs w:val="32"/>
        </w:rPr>
        <w:t>Verwaltungsgerichtsordnung</w:t>
      </w:r>
      <w:proofErr w:type="spellEnd"/>
      <w:r w:rsidR="00530AFA" w:rsidRPr="00DE5FF2">
        <w:rPr>
          <w:rFonts w:ascii="Garamond" w:hAnsi="Garamond"/>
          <w:sz w:val="32"/>
          <w:szCs w:val="32"/>
        </w:rPr>
        <w:t>.</w:t>
      </w:r>
    </w:p>
    <w:p w:rsidR="00E25E49" w:rsidRDefault="00520D49" w:rsidP="00B060D9">
      <w:pPr>
        <w:ind w:left="708"/>
        <w:jc w:val="both"/>
        <w:rPr>
          <w:rFonts w:ascii="Garamond" w:hAnsi="Garamond"/>
          <w:sz w:val="32"/>
          <w:szCs w:val="32"/>
        </w:rPr>
      </w:pPr>
      <w:r>
        <w:rPr>
          <w:rFonts w:ascii="Garamond" w:hAnsi="Garamond"/>
          <w:sz w:val="32"/>
          <w:szCs w:val="32"/>
        </w:rPr>
        <w:t>Il raffronto tra le norme tedesche e italiane non può però trascurare il dato oggettivo</w:t>
      </w:r>
      <w:r w:rsidR="00F55D0C">
        <w:rPr>
          <w:rFonts w:ascii="Garamond" w:hAnsi="Garamond"/>
          <w:sz w:val="32"/>
          <w:szCs w:val="32"/>
        </w:rPr>
        <w:t xml:space="preserve"> della differente </w:t>
      </w:r>
      <w:r w:rsidR="001715BD" w:rsidRPr="002757C2">
        <w:rPr>
          <w:rFonts w:ascii="Garamond" w:hAnsi="Garamond"/>
          <w:sz w:val="32"/>
          <w:szCs w:val="32"/>
        </w:rPr>
        <w:t>situazione di fatto</w:t>
      </w:r>
      <w:r>
        <w:rPr>
          <w:rFonts w:ascii="Garamond" w:hAnsi="Garamond"/>
          <w:sz w:val="32"/>
          <w:szCs w:val="32"/>
        </w:rPr>
        <w:t>.</w:t>
      </w:r>
      <w:r w:rsidR="00F55D0C">
        <w:rPr>
          <w:rFonts w:ascii="Garamond" w:hAnsi="Garamond"/>
          <w:sz w:val="32"/>
          <w:szCs w:val="32"/>
        </w:rPr>
        <w:t xml:space="preserve"> Basta citare </w:t>
      </w:r>
      <w:r>
        <w:rPr>
          <w:rFonts w:ascii="Garamond" w:hAnsi="Garamond"/>
          <w:sz w:val="32"/>
          <w:szCs w:val="32"/>
        </w:rPr>
        <w:t xml:space="preserve">la diversa dimensione della dotazione di giudici: mentre attualmente l’organico </w:t>
      </w:r>
      <w:r w:rsidR="00DC442A">
        <w:rPr>
          <w:rFonts w:ascii="Garamond" w:hAnsi="Garamond"/>
          <w:sz w:val="32"/>
          <w:szCs w:val="32"/>
        </w:rPr>
        <w:t xml:space="preserve">globale </w:t>
      </w:r>
      <w:r>
        <w:rPr>
          <w:rFonts w:ascii="Garamond" w:hAnsi="Garamond"/>
          <w:sz w:val="32"/>
          <w:szCs w:val="32"/>
        </w:rPr>
        <w:t xml:space="preserve">dei magistrati amministrativi italiani </w:t>
      </w:r>
      <w:r w:rsidR="00DC442A">
        <w:rPr>
          <w:rFonts w:ascii="Garamond" w:hAnsi="Garamond"/>
          <w:sz w:val="32"/>
          <w:szCs w:val="32"/>
        </w:rPr>
        <w:t xml:space="preserve">di primo e secondo grado </w:t>
      </w:r>
      <w:r>
        <w:rPr>
          <w:rFonts w:ascii="Garamond" w:hAnsi="Garamond"/>
          <w:sz w:val="32"/>
          <w:szCs w:val="32"/>
        </w:rPr>
        <w:t xml:space="preserve">è limitato a </w:t>
      </w:r>
      <w:r w:rsidR="005A66CC" w:rsidRPr="002757C2">
        <w:rPr>
          <w:rFonts w:ascii="Garamond" w:hAnsi="Garamond"/>
          <w:sz w:val="32"/>
          <w:szCs w:val="32"/>
        </w:rPr>
        <w:t>4</w:t>
      </w:r>
      <w:r w:rsidR="00791764">
        <w:rPr>
          <w:rFonts w:ascii="Garamond" w:hAnsi="Garamond"/>
          <w:sz w:val="32"/>
          <w:szCs w:val="32"/>
        </w:rPr>
        <w:t>43</w:t>
      </w:r>
      <w:r>
        <w:rPr>
          <w:rFonts w:ascii="Garamond" w:hAnsi="Garamond"/>
          <w:sz w:val="32"/>
          <w:szCs w:val="32"/>
        </w:rPr>
        <w:t xml:space="preserve"> unità </w:t>
      </w:r>
      <w:r w:rsidR="005A66CC" w:rsidRPr="002757C2">
        <w:rPr>
          <w:rFonts w:ascii="Garamond" w:hAnsi="Garamond"/>
          <w:sz w:val="32"/>
          <w:szCs w:val="32"/>
        </w:rPr>
        <w:t>(</w:t>
      </w:r>
      <w:r>
        <w:rPr>
          <w:rFonts w:ascii="Garamond" w:hAnsi="Garamond"/>
          <w:sz w:val="32"/>
          <w:szCs w:val="32"/>
        </w:rPr>
        <w:t>ma la copertura effettiva non è mai andata al di là dell</w:t>
      </w:r>
      <w:r w:rsidR="009231A2">
        <w:rPr>
          <w:rFonts w:ascii="Garamond" w:hAnsi="Garamond"/>
          <w:sz w:val="32"/>
          <w:szCs w:val="32"/>
        </w:rPr>
        <w:t xml:space="preserve">’ottanta per cento), </w:t>
      </w:r>
      <w:r w:rsidR="005A66CC" w:rsidRPr="002757C2">
        <w:rPr>
          <w:rFonts w:ascii="Garamond" w:hAnsi="Garamond"/>
          <w:sz w:val="32"/>
          <w:szCs w:val="32"/>
        </w:rPr>
        <w:t xml:space="preserve">in Germania </w:t>
      </w:r>
      <w:r w:rsidR="009231A2">
        <w:rPr>
          <w:rFonts w:ascii="Garamond" w:hAnsi="Garamond"/>
          <w:sz w:val="32"/>
          <w:szCs w:val="32"/>
        </w:rPr>
        <w:t xml:space="preserve">sono attivi </w:t>
      </w:r>
      <w:r w:rsidR="005A66CC" w:rsidRPr="002757C2">
        <w:rPr>
          <w:rFonts w:ascii="Garamond" w:hAnsi="Garamond"/>
          <w:sz w:val="32"/>
          <w:szCs w:val="32"/>
        </w:rPr>
        <w:t>2000</w:t>
      </w:r>
      <w:r w:rsidR="009231A2">
        <w:rPr>
          <w:rFonts w:ascii="Garamond" w:hAnsi="Garamond"/>
          <w:sz w:val="32"/>
          <w:szCs w:val="32"/>
        </w:rPr>
        <w:t xml:space="preserve"> giudici</w:t>
      </w:r>
      <w:r w:rsidR="005A66CC" w:rsidRPr="002757C2">
        <w:rPr>
          <w:rFonts w:ascii="Garamond" w:hAnsi="Garamond"/>
          <w:sz w:val="32"/>
          <w:szCs w:val="32"/>
        </w:rPr>
        <w:t xml:space="preserve"> nei </w:t>
      </w:r>
      <w:proofErr w:type="spellStart"/>
      <w:r w:rsidR="005A66CC" w:rsidRPr="009231A2">
        <w:rPr>
          <w:rFonts w:ascii="Garamond" w:hAnsi="Garamond"/>
          <w:i/>
          <w:sz w:val="32"/>
          <w:szCs w:val="32"/>
        </w:rPr>
        <w:t>Verwaltungsgericht</w:t>
      </w:r>
      <w:proofErr w:type="spellEnd"/>
      <w:r w:rsidR="005A66CC" w:rsidRPr="002757C2">
        <w:rPr>
          <w:rFonts w:ascii="Garamond" w:hAnsi="Garamond"/>
          <w:sz w:val="32"/>
          <w:szCs w:val="32"/>
        </w:rPr>
        <w:t xml:space="preserve"> e altri 2000 nei </w:t>
      </w:r>
      <w:proofErr w:type="spellStart"/>
      <w:r w:rsidR="005A66CC" w:rsidRPr="009231A2">
        <w:rPr>
          <w:rFonts w:ascii="Garamond" w:hAnsi="Garamond"/>
          <w:i/>
          <w:sz w:val="32"/>
          <w:szCs w:val="32"/>
        </w:rPr>
        <w:t>Sozialgericht</w:t>
      </w:r>
      <w:proofErr w:type="spellEnd"/>
      <w:r w:rsidR="001715BD" w:rsidRPr="002757C2">
        <w:rPr>
          <w:rFonts w:ascii="Garamond" w:hAnsi="Garamond"/>
          <w:sz w:val="32"/>
          <w:szCs w:val="32"/>
        </w:rPr>
        <w:t xml:space="preserve"> (</w:t>
      </w:r>
      <w:r w:rsidR="009231A2">
        <w:rPr>
          <w:rFonts w:ascii="Garamond" w:hAnsi="Garamond"/>
          <w:sz w:val="32"/>
          <w:szCs w:val="32"/>
        </w:rPr>
        <w:t xml:space="preserve">tribunali questi ultimi </w:t>
      </w:r>
      <w:r w:rsidR="001715BD" w:rsidRPr="002757C2">
        <w:rPr>
          <w:rFonts w:ascii="Garamond" w:hAnsi="Garamond"/>
          <w:sz w:val="32"/>
          <w:szCs w:val="32"/>
        </w:rPr>
        <w:t>che</w:t>
      </w:r>
      <w:r w:rsidR="009231A2">
        <w:rPr>
          <w:rFonts w:ascii="Garamond" w:hAnsi="Garamond"/>
          <w:sz w:val="32"/>
          <w:szCs w:val="32"/>
        </w:rPr>
        <w:t>,</w:t>
      </w:r>
      <w:r w:rsidR="001715BD" w:rsidRPr="002757C2">
        <w:rPr>
          <w:rFonts w:ascii="Garamond" w:hAnsi="Garamond"/>
          <w:sz w:val="32"/>
          <w:szCs w:val="32"/>
        </w:rPr>
        <w:t xml:space="preserve"> dal 2005</w:t>
      </w:r>
      <w:r w:rsidR="009231A2">
        <w:rPr>
          <w:rFonts w:ascii="Garamond" w:hAnsi="Garamond"/>
          <w:sz w:val="32"/>
          <w:szCs w:val="32"/>
        </w:rPr>
        <w:t>,</w:t>
      </w:r>
      <w:r w:rsidR="001715BD" w:rsidRPr="002757C2">
        <w:rPr>
          <w:rFonts w:ascii="Garamond" w:hAnsi="Garamond"/>
          <w:sz w:val="32"/>
          <w:szCs w:val="32"/>
        </w:rPr>
        <w:t xml:space="preserve"> hanno assorbito una parte delle competenze</w:t>
      </w:r>
      <w:r w:rsidR="009231A2">
        <w:rPr>
          <w:rFonts w:ascii="Garamond" w:hAnsi="Garamond"/>
          <w:sz w:val="32"/>
          <w:szCs w:val="32"/>
        </w:rPr>
        <w:t xml:space="preserve"> di quegli amministrativi</w:t>
      </w:r>
      <w:r w:rsidR="00E83093">
        <w:rPr>
          <w:rFonts w:ascii="Garamond" w:hAnsi="Garamond"/>
          <w:sz w:val="32"/>
          <w:szCs w:val="32"/>
        </w:rPr>
        <w:t xml:space="preserve">, </w:t>
      </w:r>
      <w:r w:rsidR="009231A2">
        <w:rPr>
          <w:rFonts w:ascii="Garamond" w:hAnsi="Garamond"/>
          <w:sz w:val="32"/>
          <w:szCs w:val="32"/>
        </w:rPr>
        <w:t>specificamente</w:t>
      </w:r>
      <w:r w:rsidR="00DC442A">
        <w:rPr>
          <w:rFonts w:ascii="Garamond" w:hAnsi="Garamond"/>
          <w:sz w:val="32"/>
          <w:szCs w:val="32"/>
        </w:rPr>
        <w:t xml:space="preserve"> in relazione alle </w:t>
      </w:r>
      <w:r w:rsidR="001715BD" w:rsidRPr="002757C2">
        <w:rPr>
          <w:rFonts w:ascii="Garamond" w:hAnsi="Garamond"/>
          <w:sz w:val="32"/>
          <w:szCs w:val="32"/>
        </w:rPr>
        <w:t>prestazioni di assistenza e previdenza</w:t>
      </w:r>
      <w:r w:rsidR="00DC442A">
        <w:rPr>
          <w:rFonts w:ascii="Garamond" w:hAnsi="Garamond"/>
          <w:sz w:val="32"/>
          <w:szCs w:val="32"/>
        </w:rPr>
        <w:t xml:space="preserve"> e alle </w:t>
      </w:r>
      <w:r w:rsidR="001715BD" w:rsidRPr="002757C2">
        <w:rPr>
          <w:rFonts w:ascii="Garamond" w:hAnsi="Garamond"/>
          <w:sz w:val="32"/>
          <w:szCs w:val="32"/>
        </w:rPr>
        <w:t>misure di</w:t>
      </w:r>
      <w:r w:rsidR="009231A2">
        <w:rPr>
          <w:rFonts w:ascii="Garamond" w:hAnsi="Garamond"/>
          <w:sz w:val="32"/>
          <w:szCs w:val="32"/>
        </w:rPr>
        <w:t xml:space="preserve"> ausilio </w:t>
      </w:r>
      <w:r w:rsidR="001715BD" w:rsidRPr="002757C2">
        <w:rPr>
          <w:rFonts w:ascii="Garamond" w:hAnsi="Garamond"/>
          <w:sz w:val="32"/>
          <w:szCs w:val="32"/>
        </w:rPr>
        <w:t>e sostegno sociale</w:t>
      </w:r>
      <w:r w:rsidR="009231A2">
        <w:rPr>
          <w:rFonts w:ascii="Garamond" w:hAnsi="Garamond"/>
          <w:sz w:val="32"/>
          <w:szCs w:val="32"/>
        </w:rPr>
        <w:t>)</w:t>
      </w:r>
      <w:r w:rsidR="001715BD" w:rsidRPr="002757C2">
        <w:rPr>
          <w:rFonts w:ascii="Garamond" w:hAnsi="Garamond"/>
          <w:sz w:val="32"/>
          <w:szCs w:val="32"/>
        </w:rPr>
        <w:t>.</w:t>
      </w:r>
    </w:p>
    <w:p w:rsidR="005A66CC" w:rsidRPr="002757C2" w:rsidRDefault="00E25E49" w:rsidP="00B060D9">
      <w:pPr>
        <w:ind w:left="708"/>
        <w:jc w:val="both"/>
        <w:rPr>
          <w:rFonts w:ascii="Garamond" w:hAnsi="Garamond"/>
          <w:sz w:val="32"/>
          <w:szCs w:val="32"/>
        </w:rPr>
      </w:pPr>
      <w:r>
        <w:rPr>
          <w:rFonts w:ascii="Garamond" w:hAnsi="Garamond"/>
          <w:sz w:val="32"/>
          <w:szCs w:val="32"/>
        </w:rPr>
        <w:t>Un altro tratto distintivo che non si deve sottovalutare è la capacità tutta italiana</w:t>
      </w:r>
      <w:r w:rsidR="00DC442A">
        <w:rPr>
          <w:rFonts w:ascii="Garamond" w:hAnsi="Garamond"/>
          <w:sz w:val="32"/>
          <w:szCs w:val="32"/>
        </w:rPr>
        <w:t xml:space="preserve"> di reazione </w:t>
      </w:r>
      <w:r w:rsidR="001715BD" w:rsidRPr="002757C2">
        <w:rPr>
          <w:rFonts w:ascii="Garamond" w:hAnsi="Garamond"/>
          <w:sz w:val="32"/>
          <w:szCs w:val="32"/>
        </w:rPr>
        <w:t>nei momenti di emergenza</w:t>
      </w:r>
      <w:r w:rsidR="00DC442A">
        <w:rPr>
          <w:rFonts w:ascii="Garamond" w:hAnsi="Garamond"/>
          <w:sz w:val="32"/>
          <w:szCs w:val="32"/>
        </w:rPr>
        <w:t>,</w:t>
      </w:r>
      <w:r>
        <w:rPr>
          <w:rFonts w:ascii="Garamond" w:hAnsi="Garamond"/>
          <w:sz w:val="32"/>
          <w:szCs w:val="32"/>
        </w:rPr>
        <w:t xml:space="preserve"> che ha consentito di escogitare </w:t>
      </w:r>
      <w:r w:rsidR="001715BD" w:rsidRPr="002757C2">
        <w:rPr>
          <w:rFonts w:ascii="Garamond" w:hAnsi="Garamond"/>
          <w:sz w:val="32"/>
          <w:szCs w:val="32"/>
        </w:rPr>
        <w:t xml:space="preserve">formule giuridiche nuove servendosi di uno strumentario antico. </w:t>
      </w:r>
    </w:p>
    <w:p w:rsidR="00C03268" w:rsidRDefault="001715BD" w:rsidP="00B060D9">
      <w:pPr>
        <w:ind w:left="708"/>
        <w:rPr>
          <w:rFonts w:ascii="Garamond" w:hAnsi="Garamond"/>
          <w:sz w:val="32"/>
          <w:szCs w:val="32"/>
        </w:rPr>
      </w:pPr>
      <w:r w:rsidRPr="00E25E49">
        <w:rPr>
          <w:rFonts w:ascii="Garamond" w:hAnsi="Garamond"/>
          <w:sz w:val="32"/>
          <w:szCs w:val="32"/>
        </w:rPr>
        <w:t xml:space="preserve">Il </w:t>
      </w:r>
      <w:r w:rsidRPr="00C03268">
        <w:rPr>
          <w:rFonts w:ascii="Garamond" w:hAnsi="Garamond"/>
          <w:sz w:val="32"/>
          <w:szCs w:val="32"/>
        </w:rPr>
        <w:t>primo esempio</w:t>
      </w:r>
      <w:r w:rsidRPr="00E25E49">
        <w:rPr>
          <w:rFonts w:ascii="Garamond" w:hAnsi="Garamond"/>
          <w:sz w:val="32"/>
          <w:szCs w:val="32"/>
        </w:rPr>
        <w:t xml:space="preserve"> è la sentenza immediata</w:t>
      </w:r>
      <w:r w:rsidR="00670CDF" w:rsidRPr="00E25E49">
        <w:rPr>
          <w:rFonts w:ascii="Garamond" w:hAnsi="Garamond"/>
          <w:sz w:val="32"/>
          <w:szCs w:val="32"/>
        </w:rPr>
        <w:t>.</w:t>
      </w:r>
    </w:p>
    <w:p w:rsidR="00670CDF" w:rsidRPr="002757C2" w:rsidRDefault="00C03268" w:rsidP="00B060D9">
      <w:pPr>
        <w:ind w:left="708"/>
        <w:jc w:val="both"/>
        <w:rPr>
          <w:rFonts w:ascii="Garamond" w:hAnsi="Garamond"/>
          <w:sz w:val="32"/>
          <w:szCs w:val="32"/>
        </w:rPr>
      </w:pPr>
      <w:r>
        <w:rPr>
          <w:rFonts w:ascii="Garamond" w:hAnsi="Garamond"/>
          <w:sz w:val="32"/>
          <w:szCs w:val="32"/>
        </w:rPr>
        <w:t>Nel momento in cui emers</w:t>
      </w:r>
      <w:r w:rsidR="00670CDF" w:rsidRPr="002757C2">
        <w:rPr>
          <w:rFonts w:ascii="Garamond" w:hAnsi="Garamond"/>
          <w:sz w:val="32"/>
          <w:szCs w:val="32"/>
        </w:rPr>
        <w:t>e in tutta la sua gravità il problema del lasso di tempo tra cautela e merito ci</w:t>
      </w:r>
      <w:r>
        <w:rPr>
          <w:rFonts w:ascii="Garamond" w:hAnsi="Garamond"/>
          <w:sz w:val="32"/>
          <w:szCs w:val="32"/>
        </w:rPr>
        <w:t xml:space="preserve"> furono </w:t>
      </w:r>
      <w:r w:rsidR="00670CDF" w:rsidRPr="002757C2">
        <w:rPr>
          <w:rFonts w:ascii="Garamond" w:hAnsi="Garamond"/>
          <w:sz w:val="32"/>
          <w:szCs w:val="32"/>
        </w:rPr>
        <w:t xml:space="preserve">giuristi </w:t>
      </w:r>
      <w:r>
        <w:rPr>
          <w:rFonts w:ascii="Garamond" w:hAnsi="Garamond"/>
          <w:sz w:val="32"/>
          <w:szCs w:val="32"/>
        </w:rPr>
        <w:t xml:space="preserve">(e tra questi, primo fra tutti, il presidente Renato </w:t>
      </w:r>
      <w:proofErr w:type="spellStart"/>
      <w:r w:rsidRPr="00C03268">
        <w:rPr>
          <w:rFonts w:ascii="Garamond" w:hAnsi="Garamond"/>
          <w:sz w:val="32"/>
          <w:szCs w:val="32"/>
        </w:rPr>
        <w:t>Laschena</w:t>
      </w:r>
      <w:proofErr w:type="spellEnd"/>
      <w:r>
        <w:rPr>
          <w:rFonts w:ascii="Garamond" w:hAnsi="Garamond"/>
          <w:sz w:val="32"/>
          <w:szCs w:val="32"/>
        </w:rPr>
        <w:t>)</w:t>
      </w:r>
      <w:r w:rsidRPr="00C03268">
        <w:rPr>
          <w:rFonts w:ascii="Garamond" w:hAnsi="Garamond"/>
          <w:sz w:val="32"/>
          <w:szCs w:val="32"/>
        </w:rPr>
        <w:t xml:space="preserve"> </w:t>
      </w:r>
      <w:r w:rsidR="00670CDF" w:rsidRPr="002757C2">
        <w:rPr>
          <w:rFonts w:ascii="Garamond" w:hAnsi="Garamond"/>
          <w:sz w:val="32"/>
          <w:szCs w:val="32"/>
        </w:rPr>
        <w:t xml:space="preserve">che </w:t>
      </w:r>
      <w:r>
        <w:rPr>
          <w:rFonts w:ascii="Garamond" w:hAnsi="Garamond"/>
          <w:sz w:val="32"/>
          <w:szCs w:val="32"/>
        </w:rPr>
        <w:t xml:space="preserve">riuscirono a realizzare quell’opera di semplificazione e accelerazione, tesa </w:t>
      </w:r>
      <w:r w:rsidRPr="00C03268">
        <w:rPr>
          <w:rFonts w:ascii="Garamond" w:hAnsi="Garamond"/>
          <w:sz w:val="32"/>
          <w:szCs w:val="32"/>
        </w:rPr>
        <w:t xml:space="preserve">azzerare questo </w:t>
      </w:r>
      <w:r w:rsidR="00DC442A">
        <w:rPr>
          <w:rFonts w:ascii="Garamond" w:hAnsi="Garamond"/>
          <w:sz w:val="32"/>
          <w:szCs w:val="32"/>
        </w:rPr>
        <w:t>intervallo temporale</w:t>
      </w:r>
      <w:r>
        <w:rPr>
          <w:rFonts w:ascii="Garamond" w:hAnsi="Garamond"/>
          <w:sz w:val="32"/>
          <w:szCs w:val="32"/>
        </w:rPr>
        <w:t>, quando possibile, con le modalità già prefigurate dai due pareri dell’Adunanza generale del Consiglio di Stato 8 febbraio 1990, n. 16, e 6 ottobre 1994, n. 236.</w:t>
      </w:r>
    </w:p>
    <w:p w:rsidR="00B841F1" w:rsidRDefault="00216646" w:rsidP="00DC442A">
      <w:pPr>
        <w:ind w:left="708"/>
        <w:jc w:val="both"/>
        <w:rPr>
          <w:rFonts w:ascii="Garamond" w:hAnsi="Garamond"/>
          <w:sz w:val="32"/>
          <w:szCs w:val="32"/>
        </w:rPr>
      </w:pPr>
      <w:r>
        <w:rPr>
          <w:rFonts w:ascii="Garamond" w:hAnsi="Garamond"/>
          <w:sz w:val="32"/>
          <w:szCs w:val="32"/>
        </w:rPr>
        <w:t xml:space="preserve">La novità introdotta con l’articolo 3 </w:t>
      </w:r>
      <w:r w:rsidR="001C30EB">
        <w:rPr>
          <w:rFonts w:ascii="Garamond" w:hAnsi="Garamond"/>
          <w:sz w:val="32"/>
          <w:szCs w:val="32"/>
        </w:rPr>
        <w:t>del</w:t>
      </w:r>
      <w:r>
        <w:rPr>
          <w:rFonts w:ascii="Garamond" w:hAnsi="Garamond"/>
          <w:sz w:val="32"/>
          <w:szCs w:val="32"/>
        </w:rPr>
        <w:t xml:space="preserve">la legge </w:t>
      </w:r>
      <w:r w:rsidRPr="00216646">
        <w:rPr>
          <w:rFonts w:ascii="Garamond" w:hAnsi="Garamond"/>
          <w:sz w:val="32"/>
          <w:szCs w:val="32"/>
        </w:rPr>
        <w:t>21 luglio 2000, n. 205</w:t>
      </w:r>
      <w:r w:rsidR="001C30EB">
        <w:rPr>
          <w:rFonts w:ascii="Garamond" w:hAnsi="Garamond"/>
          <w:sz w:val="32"/>
          <w:szCs w:val="32"/>
        </w:rPr>
        <w:t xml:space="preserve"> (il cui testo aveva sostituito il settimo comma dell’articolo 21 della legge</w:t>
      </w:r>
      <w:r w:rsidRPr="00216646">
        <w:rPr>
          <w:rFonts w:ascii="Garamond" w:hAnsi="Garamond"/>
          <w:sz w:val="32"/>
          <w:szCs w:val="32"/>
        </w:rPr>
        <w:t xml:space="preserve"> </w:t>
      </w:r>
      <w:r w:rsidR="001C30EB" w:rsidRPr="001C30EB">
        <w:rPr>
          <w:rFonts w:ascii="Garamond" w:hAnsi="Garamond"/>
          <w:sz w:val="32"/>
          <w:szCs w:val="32"/>
        </w:rPr>
        <w:t>6 dicembre 1971, n. 1034</w:t>
      </w:r>
      <w:r w:rsidR="001C30EB">
        <w:rPr>
          <w:rFonts w:ascii="Garamond" w:hAnsi="Garamond"/>
          <w:sz w:val="32"/>
          <w:szCs w:val="32"/>
        </w:rPr>
        <w:t>) recepiva in effetti una formula che era stata sperimentata in alcuni tribunali e soprattutto presso il</w:t>
      </w:r>
      <w:r w:rsidR="001C30EB" w:rsidRPr="001C30EB">
        <w:rPr>
          <w:rFonts w:ascii="Garamond" w:hAnsi="Garamond"/>
          <w:sz w:val="32"/>
          <w:szCs w:val="32"/>
        </w:rPr>
        <w:t xml:space="preserve"> </w:t>
      </w:r>
      <w:r w:rsidR="001C30EB" w:rsidRPr="00216646">
        <w:rPr>
          <w:rFonts w:ascii="Garamond" w:hAnsi="Garamond"/>
          <w:sz w:val="32"/>
          <w:szCs w:val="32"/>
        </w:rPr>
        <w:t xml:space="preserve">TAR </w:t>
      </w:r>
      <w:r w:rsidR="00670CDF" w:rsidRPr="00216646">
        <w:rPr>
          <w:rFonts w:ascii="Garamond" w:hAnsi="Garamond"/>
          <w:sz w:val="32"/>
          <w:szCs w:val="32"/>
        </w:rPr>
        <w:t>Veneto</w:t>
      </w:r>
      <w:r w:rsidR="001C30EB">
        <w:rPr>
          <w:rFonts w:ascii="Garamond" w:hAnsi="Garamond"/>
          <w:sz w:val="32"/>
          <w:szCs w:val="32"/>
        </w:rPr>
        <w:t xml:space="preserve"> e che </w:t>
      </w:r>
      <w:r w:rsidR="00DC442A">
        <w:rPr>
          <w:rFonts w:ascii="Garamond" w:hAnsi="Garamond"/>
          <w:sz w:val="32"/>
          <w:szCs w:val="32"/>
        </w:rPr>
        <w:t xml:space="preserve">comunque </w:t>
      </w:r>
      <w:r w:rsidR="001C30EB">
        <w:rPr>
          <w:rFonts w:ascii="Garamond" w:hAnsi="Garamond"/>
          <w:sz w:val="32"/>
          <w:szCs w:val="32"/>
        </w:rPr>
        <w:t xml:space="preserve">corrispondeva ad </w:t>
      </w:r>
      <w:r w:rsidR="00670CDF" w:rsidRPr="00216646">
        <w:rPr>
          <w:rFonts w:ascii="Garamond" w:hAnsi="Garamond"/>
          <w:sz w:val="32"/>
          <w:szCs w:val="32"/>
        </w:rPr>
        <w:t xml:space="preserve">un’esperienza </w:t>
      </w:r>
      <w:r w:rsidR="00DC442A">
        <w:rPr>
          <w:rFonts w:ascii="Garamond" w:hAnsi="Garamond"/>
          <w:sz w:val="32"/>
          <w:szCs w:val="32"/>
        </w:rPr>
        <w:t xml:space="preserve">diffusa e </w:t>
      </w:r>
      <w:r w:rsidR="00670CDF" w:rsidRPr="00216646">
        <w:rPr>
          <w:rFonts w:ascii="Garamond" w:hAnsi="Garamond"/>
          <w:sz w:val="32"/>
          <w:szCs w:val="32"/>
        </w:rPr>
        <w:t>consolidata</w:t>
      </w:r>
      <w:r w:rsidR="001C30EB">
        <w:rPr>
          <w:rFonts w:ascii="Garamond" w:hAnsi="Garamond"/>
          <w:sz w:val="32"/>
          <w:szCs w:val="32"/>
        </w:rPr>
        <w:t>. Prima del 2000, spesso infatti capitava di studiare approfonditamente le cause già in sede cautelare e di essere coscienti di poter immediatamente definire la controversia</w:t>
      </w:r>
      <w:r w:rsidR="00DC442A">
        <w:rPr>
          <w:rFonts w:ascii="Garamond" w:hAnsi="Garamond"/>
          <w:sz w:val="32"/>
          <w:szCs w:val="32"/>
        </w:rPr>
        <w:t xml:space="preserve"> ma </w:t>
      </w:r>
      <w:r w:rsidR="001C30EB">
        <w:rPr>
          <w:rFonts w:ascii="Garamond" w:hAnsi="Garamond"/>
          <w:sz w:val="32"/>
          <w:szCs w:val="32"/>
        </w:rPr>
        <w:t>di non poterlo fare</w:t>
      </w:r>
      <w:r w:rsidR="00B841F1">
        <w:rPr>
          <w:rFonts w:ascii="Garamond" w:hAnsi="Garamond"/>
          <w:sz w:val="32"/>
          <w:szCs w:val="32"/>
        </w:rPr>
        <w:t xml:space="preserve">, </w:t>
      </w:r>
      <w:r w:rsidR="00DC442A">
        <w:rPr>
          <w:rFonts w:ascii="Garamond" w:hAnsi="Garamond"/>
          <w:sz w:val="32"/>
          <w:szCs w:val="32"/>
        </w:rPr>
        <w:t xml:space="preserve">con l’effetto di sprecare </w:t>
      </w:r>
      <w:r w:rsidR="00B841F1">
        <w:rPr>
          <w:rFonts w:ascii="Garamond" w:hAnsi="Garamond"/>
          <w:sz w:val="32"/>
          <w:szCs w:val="32"/>
        </w:rPr>
        <w:t>così l’impegno profuso</w:t>
      </w:r>
      <w:r w:rsidR="001C30EB">
        <w:rPr>
          <w:rFonts w:ascii="Garamond" w:hAnsi="Garamond"/>
          <w:sz w:val="32"/>
          <w:szCs w:val="32"/>
        </w:rPr>
        <w:t xml:space="preserve">. </w:t>
      </w:r>
    </w:p>
    <w:p w:rsidR="00B861A0" w:rsidRDefault="00DC442A" w:rsidP="00B060D9">
      <w:pPr>
        <w:ind w:left="708"/>
        <w:jc w:val="both"/>
        <w:rPr>
          <w:rFonts w:ascii="Garamond" w:hAnsi="Garamond"/>
          <w:sz w:val="32"/>
          <w:szCs w:val="32"/>
        </w:rPr>
      </w:pPr>
      <w:r>
        <w:rPr>
          <w:rFonts w:ascii="Garamond" w:hAnsi="Garamond"/>
          <w:sz w:val="32"/>
          <w:szCs w:val="32"/>
        </w:rPr>
        <w:t xml:space="preserve">L’innovatività </w:t>
      </w:r>
      <w:r w:rsidR="001A5A75">
        <w:rPr>
          <w:rFonts w:ascii="Garamond" w:hAnsi="Garamond"/>
          <w:sz w:val="32"/>
          <w:szCs w:val="32"/>
        </w:rPr>
        <w:t>della sentenza in forma semplificata</w:t>
      </w:r>
      <w:r>
        <w:rPr>
          <w:rFonts w:ascii="Garamond" w:hAnsi="Garamond"/>
          <w:sz w:val="32"/>
          <w:szCs w:val="32"/>
        </w:rPr>
        <w:t xml:space="preserve"> risiede infatti </w:t>
      </w:r>
      <w:r w:rsidR="001A5A75">
        <w:rPr>
          <w:rFonts w:ascii="Garamond" w:hAnsi="Garamond"/>
          <w:sz w:val="32"/>
          <w:szCs w:val="32"/>
        </w:rPr>
        <w:t>soprattutto nell’immediatezza del giudizio.</w:t>
      </w:r>
      <w:r>
        <w:rPr>
          <w:rFonts w:ascii="Garamond" w:hAnsi="Garamond"/>
          <w:sz w:val="32"/>
          <w:szCs w:val="32"/>
        </w:rPr>
        <w:t xml:space="preserve"> </w:t>
      </w:r>
      <w:r w:rsidR="001A5A75">
        <w:rPr>
          <w:rFonts w:ascii="Garamond" w:hAnsi="Garamond"/>
          <w:sz w:val="32"/>
          <w:szCs w:val="32"/>
        </w:rPr>
        <w:t xml:space="preserve">La brevità e la sinteticità </w:t>
      </w:r>
      <w:r>
        <w:rPr>
          <w:rFonts w:ascii="Garamond" w:hAnsi="Garamond"/>
          <w:sz w:val="32"/>
          <w:szCs w:val="32"/>
        </w:rPr>
        <w:t xml:space="preserve">invece </w:t>
      </w:r>
      <w:r w:rsidR="001A5A75">
        <w:rPr>
          <w:rFonts w:ascii="Garamond" w:hAnsi="Garamond"/>
          <w:sz w:val="32"/>
          <w:szCs w:val="32"/>
        </w:rPr>
        <w:t>erano già previste nelle norme processuali precedenti sulla forma e sul contenuto della sentenza:</w:t>
      </w:r>
      <w:r w:rsidR="001A5A75" w:rsidRPr="001A5A75">
        <w:t xml:space="preserve"> </w:t>
      </w:r>
      <w:r w:rsidR="001A5A75" w:rsidRPr="001A5A75">
        <w:rPr>
          <w:rFonts w:ascii="Garamond" w:hAnsi="Garamond"/>
          <w:sz w:val="32"/>
          <w:szCs w:val="32"/>
        </w:rPr>
        <w:t>l’articolo 65, punto 3º, del regio decreto 17 agosto 1907, n. 642</w:t>
      </w:r>
      <w:r w:rsidR="00B861A0">
        <w:rPr>
          <w:rFonts w:ascii="Garamond" w:hAnsi="Garamond"/>
          <w:sz w:val="32"/>
          <w:szCs w:val="32"/>
        </w:rPr>
        <w:t>,</w:t>
      </w:r>
      <w:r w:rsidR="001A5A75">
        <w:rPr>
          <w:rFonts w:ascii="Garamond" w:hAnsi="Garamond"/>
          <w:sz w:val="32"/>
          <w:szCs w:val="32"/>
        </w:rPr>
        <w:t xml:space="preserve"> parlava di </w:t>
      </w:r>
      <w:r w:rsidR="001A5A75" w:rsidRPr="001A5A75">
        <w:rPr>
          <w:rFonts w:ascii="Garamond" w:hAnsi="Garamond"/>
          <w:sz w:val="32"/>
          <w:szCs w:val="32"/>
        </w:rPr>
        <w:t xml:space="preserve">“una </w:t>
      </w:r>
      <w:r w:rsidR="001A5A75" w:rsidRPr="00B861A0">
        <w:rPr>
          <w:rFonts w:ascii="Garamond" w:hAnsi="Garamond"/>
          <w:i/>
          <w:sz w:val="32"/>
          <w:szCs w:val="32"/>
        </w:rPr>
        <w:t>succinta</w:t>
      </w:r>
      <w:r w:rsidR="001A5A75" w:rsidRPr="001A5A75">
        <w:rPr>
          <w:rFonts w:ascii="Garamond" w:hAnsi="Garamond"/>
          <w:sz w:val="32"/>
          <w:szCs w:val="32"/>
        </w:rPr>
        <w:t xml:space="preserve"> esposizione dei motivi di fatto e di diritto”; per l’articolo 132, secondo comma, n. 4, del codice di procedura civile, </w:t>
      </w:r>
      <w:r w:rsidR="00B861A0">
        <w:rPr>
          <w:rFonts w:ascii="Garamond" w:hAnsi="Garamond"/>
          <w:sz w:val="32"/>
          <w:szCs w:val="32"/>
        </w:rPr>
        <w:t>anche nella sua versione originale</w:t>
      </w:r>
      <w:r w:rsidR="001A5A75" w:rsidRPr="001A5A75">
        <w:rPr>
          <w:rFonts w:ascii="Garamond" w:hAnsi="Garamond"/>
          <w:sz w:val="32"/>
          <w:szCs w:val="32"/>
        </w:rPr>
        <w:t xml:space="preserve">, nel provvedimento giurisdizionale doveva risultare “la </w:t>
      </w:r>
      <w:r w:rsidR="001A5A75" w:rsidRPr="00B861A0">
        <w:rPr>
          <w:rFonts w:ascii="Garamond" w:hAnsi="Garamond"/>
          <w:i/>
          <w:sz w:val="32"/>
          <w:szCs w:val="32"/>
        </w:rPr>
        <w:t>concisa</w:t>
      </w:r>
      <w:r w:rsidR="001A5A75" w:rsidRPr="001A5A75">
        <w:rPr>
          <w:rFonts w:ascii="Garamond" w:hAnsi="Garamond"/>
          <w:sz w:val="32"/>
          <w:szCs w:val="32"/>
        </w:rPr>
        <w:t xml:space="preserve"> esposizione dello svolgimento del processo e dei motivi in fatto e in diritto della decisione”</w:t>
      </w:r>
      <w:r w:rsidR="00B861A0">
        <w:rPr>
          <w:rFonts w:ascii="Garamond" w:hAnsi="Garamond"/>
          <w:sz w:val="32"/>
          <w:szCs w:val="32"/>
        </w:rPr>
        <w:t xml:space="preserve"> e significato analogo assumeva </w:t>
      </w:r>
      <w:r w:rsidR="00B861A0" w:rsidRPr="00B861A0">
        <w:rPr>
          <w:rFonts w:ascii="Garamond" w:hAnsi="Garamond"/>
          <w:sz w:val="32"/>
          <w:szCs w:val="32"/>
        </w:rPr>
        <w:t xml:space="preserve">l’articolo 265, secondo comma, del </w:t>
      </w:r>
      <w:proofErr w:type="spellStart"/>
      <w:r w:rsidR="00B861A0" w:rsidRPr="00B861A0">
        <w:rPr>
          <w:rFonts w:ascii="Garamond" w:hAnsi="Garamond"/>
          <w:sz w:val="32"/>
          <w:szCs w:val="32"/>
        </w:rPr>
        <w:t>r.d.</w:t>
      </w:r>
      <w:proofErr w:type="spellEnd"/>
      <w:r w:rsidR="00B861A0" w:rsidRPr="00B861A0">
        <w:rPr>
          <w:rFonts w:ascii="Garamond" w:hAnsi="Garamond"/>
          <w:sz w:val="32"/>
          <w:szCs w:val="32"/>
        </w:rPr>
        <w:t xml:space="preserve"> 14 dicembre 1865, n. 2641 (regolamento generale giudiziario per l'esecuzione del codice di procedura civile, di quello di procedura penale e della legge sull'ordinamento giudiziario)</w:t>
      </w:r>
      <w:r w:rsidR="00B861A0">
        <w:rPr>
          <w:rFonts w:ascii="Garamond" w:hAnsi="Garamond"/>
          <w:sz w:val="32"/>
          <w:szCs w:val="32"/>
        </w:rPr>
        <w:t xml:space="preserve">. D’altra parte la sintesi connotava già lo stile, ad esempio, </w:t>
      </w:r>
      <w:r w:rsidR="001C30EB" w:rsidRPr="001C30EB">
        <w:rPr>
          <w:rFonts w:ascii="Garamond" w:hAnsi="Garamond"/>
          <w:sz w:val="32"/>
          <w:szCs w:val="32"/>
        </w:rPr>
        <w:t>del Presidente</w:t>
      </w:r>
      <w:r w:rsidR="00B861A0">
        <w:rPr>
          <w:rFonts w:ascii="Garamond" w:hAnsi="Garamond"/>
          <w:sz w:val="32"/>
          <w:szCs w:val="32"/>
        </w:rPr>
        <w:t xml:space="preserve"> Giovanni</w:t>
      </w:r>
      <w:r w:rsidR="001C30EB" w:rsidRPr="001C30EB">
        <w:rPr>
          <w:rFonts w:ascii="Garamond" w:hAnsi="Garamond"/>
          <w:sz w:val="32"/>
          <w:szCs w:val="32"/>
        </w:rPr>
        <w:t xml:space="preserve"> </w:t>
      </w:r>
      <w:proofErr w:type="spellStart"/>
      <w:r w:rsidR="001C30EB" w:rsidRPr="001C30EB">
        <w:rPr>
          <w:rFonts w:ascii="Garamond" w:hAnsi="Garamond"/>
          <w:sz w:val="32"/>
          <w:szCs w:val="32"/>
        </w:rPr>
        <w:t>Vacirca</w:t>
      </w:r>
      <w:proofErr w:type="spellEnd"/>
      <w:r w:rsidR="00B861A0">
        <w:rPr>
          <w:rFonts w:ascii="Garamond" w:hAnsi="Garamond"/>
          <w:sz w:val="32"/>
          <w:szCs w:val="32"/>
        </w:rPr>
        <w:t>, le cui sentenze</w:t>
      </w:r>
      <w:r w:rsidR="001C30EB" w:rsidRPr="001C30EB">
        <w:rPr>
          <w:rFonts w:ascii="Garamond" w:hAnsi="Garamond"/>
          <w:sz w:val="32"/>
          <w:szCs w:val="32"/>
        </w:rPr>
        <w:t xml:space="preserve"> erano sicuramente molto </w:t>
      </w:r>
      <w:r w:rsidR="00B861A0" w:rsidRPr="001C30EB">
        <w:rPr>
          <w:rFonts w:ascii="Garamond" w:hAnsi="Garamond"/>
          <w:sz w:val="32"/>
          <w:szCs w:val="32"/>
        </w:rPr>
        <w:t>più</w:t>
      </w:r>
      <w:r w:rsidR="001C30EB" w:rsidRPr="001C30EB">
        <w:rPr>
          <w:rFonts w:ascii="Garamond" w:hAnsi="Garamond"/>
          <w:sz w:val="32"/>
          <w:szCs w:val="32"/>
        </w:rPr>
        <w:t xml:space="preserve"> brevi di quelle che si scrivono nel vigore dell’</w:t>
      </w:r>
      <w:r w:rsidR="00B861A0">
        <w:rPr>
          <w:rFonts w:ascii="Garamond" w:hAnsi="Garamond"/>
          <w:sz w:val="32"/>
          <w:szCs w:val="32"/>
        </w:rPr>
        <w:t xml:space="preserve">articolo </w:t>
      </w:r>
      <w:r w:rsidR="001C30EB" w:rsidRPr="001C30EB">
        <w:rPr>
          <w:rFonts w:ascii="Garamond" w:hAnsi="Garamond"/>
          <w:sz w:val="32"/>
          <w:szCs w:val="32"/>
        </w:rPr>
        <w:t>74</w:t>
      </w:r>
      <w:r w:rsidR="00B861A0">
        <w:rPr>
          <w:rFonts w:ascii="Garamond" w:hAnsi="Garamond"/>
          <w:sz w:val="32"/>
          <w:szCs w:val="32"/>
        </w:rPr>
        <w:t xml:space="preserve"> del codice del processo amministrativo e comunque, pur essendo precedenti alla legge n. 205/2000, </w:t>
      </w:r>
      <w:r w:rsidR="001C30EB" w:rsidRPr="001C30EB">
        <w:rPr>
          <w:rFonts w:ascii="Garamond" w:hAnsi="Garamond"/>
          <w:sz w:val="32"/>
          <w:szCs w:val="32"/>
        </w:rPr>
        <w:t xml:space="preserve">non </w:t>
      </w:r>
      <w:r w:rsidR="00B861A0">
        <w:rPr>
          <w:rFonts w:ascii="Garamond" w:hAnsi="Garamond"/>
          <w:sz w:val="32"/>
          <w:szCs w:val="32"/>
        </w:rPr>
        <w:t>sollevavano alcun rilievo</w:t>
      </w:r>
      <w:r w:rsidR="001C30EB" w:rsidRPr="001C30EB">
        <w:rPr>
          <w:rFonts w:ascii="Garamond" w:hAnsi="Garamond"/>
          <w:sz w:val="32"/>
          <w:szCs w:val="32"/>
        </w:rPr>
        <w:t>.</w:t>
      </w:r>
    </w:p>
    <w:p w:rsidR="00B861A0" w:rsidRDefault="00B861A0" w:rsidP="00B060D9">
      <w:pPr>
        <w:ind w:left="708"/>
        <w:jc w:val="both"/>
        <w:rPr>
          <w:rFonts w:ascii="Garamond" w:hAnsi="Garamond"/>
          <w:sz w:val="32"/>
          <w:szCs w:val="32"/>
        </w:rPr>
      </w:pPr>
      <w:r>
        <w:rPr>
          <w:rFonts w:ascii="Garamond" w:hAnsi="Garamond"/>
          <w:sz w:val="32"/>
          <w:szCs w:val="32"/>
        </w:rPr>
        <w:t>Non è questa la sede idonea per affrontare il tema della sinteticità</w:t>
      </w:r>
      <w:r w:rsidR="00010B63">
        <w:rPr>
          <w:rStyle w:val="Rimandonotaapidipagina"/>
          <w:rFonts w:ascii="Garamond" w:hAnsi="Garamond"/>
          <w:sz w:val="32"/>
          <w:szCs w:val="32"/>
        </w:rPr>
        <w:footnoteReference w:id="19"/>
      </w:r>
      <w:r>
        <w:rPr>
          <w:rFonts w:ascii="Garamond" w:hAnsi="Garamond"/>
          <w:sz w:val="32"/>
          <w:szCs w:val="32"/>
        </w:rPr>
        <w:t>. Si può però accennare all’esigenza d’interpretare diacronicamente queste norme tenendo conto delle strumentazioni oggi a disposizione. A titolo esemplificativo,</w:t>
      </w:r>
      <w:r w:rsidR="00275408">
        <w:rPr>
          <w:rFonts w:ascii="Garamond" w:hAnsi="Garamond"/>
          <w:sz w:val="32"/>
          <w:szCs w:val="32"/>
        </w:rPr>
        <w:t xml:space="preserve"> è sufficiente soffermarsi sul </w:t>
      </w:r>
      <w:r>
        <w:rPr>
          <w:rFonts w:ascii="Garamond" w:hAnsi="Garamond"/>
          <w:sz w:val="32"/>
          <w:szCs w:val="32"/>
        </w:rPr>
        <w:t>testo de</w:t>
      </w:r>
      <w:r w:rsidRPr="00B861A0">
        <w:rPr>
          <w:rFonts w:ascii="Garamond" w:hAnsi="Garamond"/>
          <w:sz w:val="32"/>
          <w:szCs w:val="32"/>
        </w:rPr>
        <w:t xml:space="preserve">ll’articolo 74 del codice </w:t>
      </w:r>
      <w:r>
        <w:rPr>
          <w:rFonts w:ascii="Garamond" w:hAnsi="Garamond"/>
          <w:sz w:val="32"/>
          <w:szCs w:val="32"/>
        </w:rPr>
        <w:t xml:space="preserve">del processo amministrativo, per il quale </w:t>
      </w:r>
      <w:r w:rsidRPr="00B861A0">
        <w:rPr>
          <w:rFonts w:ascii="Garamond" w:hAnsi="Garamond"/>
          <w:sz w:val="32"/>
          <w:szCs w:val="32"/>
        </w:rPr>
        <w:t>“la motivazione della sentenza può consistere in un sintetico riferimento</w:t>
      </w:r>
      <w:r w:rsidR="00275408">
        <w:rPr>
          <w:rFonts w:ascii="Garamond" w:hAnsi="Garamond"/>
          <w:sz w:val="32"/>
          <w:szCs w:val="32"/>
        </w:rPr>
        <w:t xml:space="preserve"> […]</w:t>
      </w:r>
      <w:r w:rsidRPr="00B861A0">
        <w:rPr>
          <w:rFonts w:ascii="Garamond" w:hAnsi="Garamond"/>
          <w:sz w:val="32"/>
          <w:szCs w:val="32"/>
        </w:rPr>
        <w:t xml:space="preserve"> ad un precedente conforme”</w:t>
      </w:r>
      <w:r>
        <w:rPr>
          <w:rFonts w:ascii="Garamond" w:hAnsi="Garamond"/>
          <w:sz w:val="32"/>
          <w:szCs w:val="32"/>
        </w:rPr>
        <w:t>.</w:t>
      </w:r>
    </w:p>
    <w:p w:rsidR="00275408" w:rsidRDefault="00B861A0" w:rsidP="00B060D9">
      <w:pPr>
        <w:ind w:left="708"/>
        <w:jc w:val="both"/>
        <w:rPr>
          <w:rFonts w:ascii="Garamond" w:hAnsi="Garamond"/>
          <w:sz w:val="32"/>
          <w:szCs w:val="32"/>
        </w:rPr>
      </w:pPr>
      <w:r w:rsidRPr="00275408">
        <w:rPr>
          <w:rFonts w:ascii="Garamond" w:hAnsi="Garamond"/>
          <w:sz w:val="32"/>
          <w:szCs w:val="32"/>
        </w:rPr>
        <w:t xml:space="preserve">La disposizione è </w:t>
      </w:r>
      <w:r w:rsidR="00EF5179" w:rsidRPr="00275408">
        <w:rPr>
          <w:rFonts w:ascii="Garamond" w:hAnsi="Garamond"/>
          <w:sz w:val="32"/>
          <w:szCs w:val="32"/>
        </w:rPr>
        <w:t xml:space="preserve">tuttora </w:t>
      </w:r>
      <w:r w:rsidRPr="00275408">
        <w:rPr>
          <w:rFonts w:ascii="Garamond" w:hAnsi="Garamond"/>
          <w:sz w:val="32"/>
          <w:szCs w:val="32"/>
        </w:rPr>
        <w:t xml:space="preserve">oggetto </w:t>
      </w:r>
      <w:r w:rsidR="00EF5179" w:rsidRPr="00275408">
        <w:rPr>
          <w:rFonts w:ascii="Garamond" w:hAnsi="Garamond"/>
          <w:sz w:val="32"/>
          <w:szCs w:val="32"/>
        </w:rPr>
        <w:t>di dibattito</w:t>
      </w:r>
      <w:r w:rsidR="00975F8D">
        <w:rPr>
          <w:rStyle w:val="Rimandonotaapidipagina"/>
          <w:rFonts w:ascii="Garamond" w:hAnsi="Garamond"/>
          <w:sz w:val="32"/>
          <w:szCs w:val="32"/>
        </w:rPr>
        <w:footnoteReference w:id="20"/>
      </w:r>
      <w:r w:rsidR="00EF5179" w:rsidRPr="00275408">
        <w:rPr>
          <w:rFonts w:ascii="Garamond" w:hAnsi="Garamond"/>
          <w:sz w:val="32"/>
          <w:szCs w:val="32"/>
        </w:rPr>
        <w:t>: una delle obiezioni che viene sollevata si fonda sul codice di procedura civile del 1865 (articolo 361, secondo comma)</w:t>
      </w:r>
      <w:r w:rsidR="00275408">
        <w:rPr>
          <w:rFonts w:ascii="Garamond" w:hAnsi="Garamond"/>
          <w:sz w:val="32"/>
          <w:szCs w:val="32"/>
        </w:rPr>
        <w:t>,</w:t>
      </w:r>
      <w:r w:rsidR="00EF5179" w:rsidRPr="00275408">
        <w:rPr>
          <w:rFonts w:ascii="Garamond" w:hAnsi="Garamond"/>
          <w:sz w:val="32"/>
          <w:szCs w:val="32"/>
        </w:rPr>
        <w:t xml:space="preserve"> </w:t>
      </w:r>
      <w:r w:rsidR="00275408">
        <w:rPr>
          <w:rFonts w:ascii="Garamond" w:hAnsi="Garamond"/>
          <w:sz w:val="32"/>
          <w:szCs w:val="32"/>
        </w:rPr>
        <w:t xml:space="preserve">per il quale </w:t>
      </w:r>
      <w:r w:rsidR="00EF5179" w:rsidRPr="00EF5179">
        <w:rPr>
          <w:rFonts w:ascii="Garamond" w:hAnsi="Garamond"/>
          <w:sz w:val="32"/>
          <w:szCs w:val="32"/>
        </w:rPr>
        <w:t>la motivazione che si limitava a riferirsi ai motivi di un’altra sentenza era nulla (perché</w:t>
      </w:r>
      <w:r w:rsidR="00DC442A">
        <w:rPr>
          <w:rFonts w:ascii="Garamond" w:hAnsi="Garamond"/>
          <w:sz w:val="32"/>
          <w:szCs w:val="32"/>
        </w:rPr>
        <w:t xml:space="preserve"> reputata </w:t>
      </w:r>
      <w:r w:rsidR="00EF5179" w:rsidRPr="00EF5179">
        <w:rPr>
          <w:rFonts w:ascii="Garamond" w:hAnsi="Garamond"/>
          <w:sz w:val="32"/>
          <w:szCs w:val="32"/>
        </w:rPr>
        <w:t>carente di qualunque motivazione)</w:t>
      </w:r>
      <w:r w:rsidR="00EF5179">
        <w:rPr>
          <w:rStyle w:val="Rimandonotaapidipagina"/>
          <w:rFonts w:ascii="Garamond" w:hAnsi="Garamond"/>
          <w:sz w:val="32"/>
          <w:szCs w:val="32"/>
        </w:rPr>
        <w:footnoteReference w:id="21"/>
      </w:r>
      <w:r w:rsidR="00275408">
        <w:rPr>
          <w:rFonts w:ascii="Garamond" w:hAnsi="Garamond"/>
          <w:sz w:val="32"/>
          <w:szCs w:val="32"/>
        </w:rPr>
        <w:t>.</w:t>
      </w:r>
    </w:p>
    <w:p w:rsidR="00685443" w:rsidRDefault="00685443" w:rsidP="00B060D9">
      <w:pPr>
        <w:ind w:left="708"/>
        <w:jc w:val="both"/>
        <w:rPr>
          <w:rFonts w:ascii="Garamond" w:hAnsi="Garamond"/>
          <w:sz w:val="32"/>
          <w:szCs w:val="32"/>
        </w:rPr>
      </w:pPr>
      <w:r>
        <w:rPr>
          <w:rFonts w:ascii="Garamond" w:hAnsi="Garamond"/>
          <w:sz w:val="32"/>
          <w:szCs w:val="32"/>
        </w:rPr>
        <w:t xml:space="preserve">Si potrebbe al proposito disquisire della formulazione della norma, della sua mancata riproposizione nel codice </w:t>
      </w:r>
      <w:r w:rsidR="003246ED">
        <w:rPr>
          <w:rFonts w:ascii="Garamond" w:hAnsi="Garamond"/>
          <w:sz w:val="32"/>
          <w:szCs w:val="32"/>
        </w:rPr>
        <w:t>di procedura civile del 1940</w:t>
      </w:r>
      <w:r>
        <w:rPr>
          <w:rFonts w:ascii="Garamond" w:hAnsi="Garamond"/>
          <w:sz w:val="32"/>
          <w:szCs w:val="32"/>
        </w:rPr>
        <w:t xml:space="preserve"> o del ruolo giocato dalla rigida visione francese del giudice come</w:t>
      </w:r>
      <w:r w:rsidRPr="00685443">
        <w:t xml:space="preserve"> </w:t>
      </w:r>
      <w:r w:rsidRPr="00685443">
        <w:rPr>
          <w:rFonts w:ascii="Garamond" w:hAnsi="Garamond"/>
          <w:sz w:val="32"/>
          <w:szCs w:val="32"/>
        </w:rPr>
        <w:t>la</w:t>
      </w:r>
      <w:r w:rsidRPr="00685443">
        <w:t xml:space="preserve"> </w:t>
      </w:r>
      <w:proofErr w:type="spellStart"/>
      <w:r w:rsidRPr="00685443">
        <w:rPr>
          <w:rFonts w:ascii="Garamond" w:hAnsi="Garamond"/>
          <w:i/>
          <w:sz w:val="32"/>
          <w:szCs w:val="32"/>
        </w:rPr>
        <w:t>bouche</w:t>
      </w:r>
      <w:proofErr w:type="spellEnd"/>
      <w:r w:rsidRPr="00685443">
        <w:rPr>
          <w:rFonts w:ascii="Garamond" w:hAnsi="Garamond"/>
          <w:i/>
          <w:sz w:val="32"/>
          <w:szCs w:val="32"/>
        </w:rPr>
        <w:t xml:space="preserve"> de la </w:t>
      </w:r>
      <w:proofErr w:type="spellStart"/>
      <w:r w:rsidRPr="00685443">
        <w:rPr>
          <w:rFonts w:ascii="Garamond" w:hAnsi="Garamond"/>
          <w:i/>
          <w:sz w:val="32"/>
          <w:szCs w:val="32"/>
        </w:rPr>
        <w:t>loi</w:t>
      </w:r>
      <w:proofErr w:type="spellEnd"/>
      <w:r>
        <w:rPr>
          <w:rFonts w:ascii="Garamond" w:hAnsi="Garamond"/>
          <w:sz w:val="32"/>
          <w:szCs w:val="32"/>
        </w:rPr>
        <w:t xml:space="preserve"> che tuttora rende restie le corti d’Oltralpe a citare i precedenti</w:t>
      </w:r>
      <w:r w:rsidR="009039C7">
        <w:rPr>
          <w:rStyle w:val="Rimandonotaapidipagina"/>
          <w:rFonts w:ascii="Garamond" w:hAnsi="Garamond"/>
          <w:sz w:val="32"/>
          <w:szCs w:val="32"/>
        </w:rPr>
        <w:footnoteReference w:id="22"/>
      </w:r>
      <w:r>
        <w:rPr>
          <w:rFonts w:ascii="Garamond" w:hAnsi="Garamond"/>
          <w:sz w:val="32"/>
          <w:szCs w:val="32"/>
        </w:rPr>
        <w:t>.</w:t>
      </w:r>
    </w:p>
    <w:p w:rsidR="00367270" w:rsidRDefault="009039C7" w:rsidP="00B060D9">
      <w:pPr>
        <w:ind w:left="708"/>
        <w:jc w:val="both"/>
        <w:rPr>
          <w:rFonts w:ascii="Garamond" w:hAnsi="Garamond"/>
          <w:sz w:val="32"/>
          <w:szCs w:val="32"/>
        </w:rPr>
      </w:pPr>
      <w:r w:rsidRPr="009039C7">
        <w:rPr>
          <w:rFonts w:ascii="Garamond" w:hAnsi="Garamond"/>
          <w:sz w:val="32"/>
          <w:szCs w:val="32"/>
        </w:rPr>
        <w:t xml:space="preserve">Forse </w:t>
      </w:r>
      <w:r w:rsidR="00685443">
        <w:rPr>
          <w:rFonts w:ascii="Garamond" w:hAnsi="Garamond"/>
          <w:sz w:val="32"/>
          <w:szCs w:val="32"/>
        </w:rPr>
        <w:t xml:space="preserve">però, se è vero che </w:t>
      </w:r>
      <w:r w:rsidR="00275408" w:rsidRPr="00685443">
        <w:rPr>
          <w:rFonts w:ascii="Garamond" w:hAnsi="Garamond"/>
          <w:i/>
          <w:sz w:val="32"/>
          <w:szCs w:val="32"/>
        </w:rPr>
        <w:t xml:space="preserve">ex facto </w:t>
      </w:r>
      <w:proofErr w:type="spellStart"/>
      <w:r w:rsidR="00275408" w:rsidRPr="00685443">
        <w:rPr>
          <w:rFonts w:ascii="Garamond" w:hAnsi="Garamond"/>
          <w:i/>
          <w:sz w:val="32"/>
          <w:szCs w:val="32"/>
        </w:rPr>
        <w:t>oritur</w:t>
      </w:r>
      <w:proofErr w:type="spellEnd"/>
      <w:r w:rsidR="00275408" w:rsidRPr="00685443">
        <w:rPr>
          <w:rFonts w:ascii="Garamond" w:hAnsi="Garamond"/>
          <w:i/>
          <w:sz w:val="32"/>
          <w:szCs w:val="32"/>
        </w:rPr>
        <w:t xml:space="preserve"> </w:t>
      </w:r>
      <w:proofErr w:type="spellStart"/>
      <w:r w:rsidR="00275408" w:rsidRPr="00685443">
        <w:rPr>
          <w:rFonts w:ascii="Garamond" w:hAnsi="Garamond"/>
          <w:i/>
          <w:sz w:val="32"/>
          <w:szCs w:val="32"/>
        </w:rPr>
        <w:t>ius</w:t>
      </w:r>
      <w:proofErr w:type="spellEnd"/>
      <w:r w:rsidR="00685443">
        <w:rPr>
          <w:rFonts w:ascii="Garamond" w:hAnsi="Garamond"/>
          <w:sz w:val="32"/>
          <w:szCs w:val="32"/>
        </w:rPr>
        <w:t>,</w:t>
      </w:r>
      <w:r w:rsidR="00275408" w:rsidRPr="00275408">
        <w:rPr>
          <w:rFonts w:ascii="Garamond" w:hAnsi="Garamond"/>
          <w:sz w:val="32"/>
          <w:szCs w:val="32"/>
        </w:rPr>
        <w:t xml:space="preserve"> </w:t>
      </w:r>
      <w:r>
        <w:rPr>
          <w:rFonts w:ascii="Garamond" w:hAnsi="Garamond"/>
          <w:sz w:val="32"/>
          <w:szCs w:val="32"/>
        </w:rPr>
        <w:t xml:space="preserve">è </w:t>
      </w:r>
      <w:r w:rsidRPr="009039C7">
        <w:rPr>
          <w:rFonts w:ascii="Garamond" w:hAnsi="Garamond"/>
          <w:sz w:val="32"/>
          <w:szCs w:val="32"/>
        </w:rPr>
        <w:t xml:space="preserve">sufficiente </w:t>
      </w:r>
      <w:r>
        <w:rPr>
          <w:rFonts w:ascii="Garamond" w:hAnsi="Garamond"/>
          <w:sz w:val="32"/>
          <w:szCs w:val="32"/>
        </w:rPr>
        <w:t>riflettere più prosaicamente su quanto siano</w:t>
      </w:r>
      <w:r w:rsidR="007845DF">
        <w:rPr>
          <w:rFonts w:ascii="Garamond" w:hAnsi="Garamond"/>
          <w:sz w:val="32"/>
          <w:szCs w:val="32"/>
        </w:rPr>
        <w:t xml:space="preserve"> diventate</w:t>
      </w:r>
      <w:r>
        <w:rPr>
          <w:rFonts w:ascii="Garamond" w:hAnsi="Garamond"/>
          <w:sz w:val="32"/>
          <w:szCs w:val="32"/>
        </w:rPr>
        <w:t xml:space="preserve"> incomparabilmente differenti le modalità di scrittura, di pubblicazione e di riproduzione dei provvedimenti giurisdizionali. Nel 1865 la minuta era </w:t>
      </w:r>
      <w:r w:rsidR="006453D5">
        <w:rPr>
          <w:rFonts w:ascii="Garamond" w:hAnsi="Garamond"/>
          <w:sz w:val="32"/>
          <w:szCs w:val="32"/>
        </w:rPr>
        <w:t>mano</w:t>
      </w:r>
      <w:r>
        <w:rPr>
          <w:rFonts w:ascii="Garamond" w:hAnsi="Garamond"/>
          <w:sz w:val="32"/>
          <w:szCs w:val="32"/>
        </w:rPr>
        <w:t xml:space="preserve">scritta per essere ricopiata dall’amanuense giudiziario, sicché il malcapitato </w:t>
      </w:r>
      <w:r w:rsidR="00275408" w:rsidRPr="00275408">
        <w:rPr>
          <w:rFonts w:ascii="Garamond" w:hAnsi="Garamond"/>
          <w:sz w:val="32"/>
          <w:szCs w:val="32"/>
        </w:rPr>
        <w:t>destinatario</w:t>
      </w:r>
      <w:r>
        <w:rPr>
          <w:rFonts w:ascii="Garamond" w:hAnsi="Garamond"/>
          <w:sz w:val="32"/>
          <w:szCs w:val="32"/>
        </w:rPr>
        <w:t xml:space="preserve"> di </w:t>
      </w:r>
      <w:r w:rsidR="00275408" w:rsidRPr="00275408">
        <w:rPr>
          <w:rFonts w:ascii="Garamond" w:hAnsi="Garamond"/>
          <w:sz w:val="32"/>
          <w:szCs w:val="32"/>
        </w:rPr>
        <w:t>una sentenza che si riferiva ad un’altra</w:t>
      </w:r>
      <w:r w:rsidR="00DC442A">
        <w:rPr>
          <w:rFonts w:ascii="Garamond" w:hAnsi="Garamond"/>
          <w:sz w:val="32"/>
          <w:szCs w:val="32"/>
        </w:rPr>
        <w:t xml:space="preserve"> sarebbe stato </w:t>
      </w:r>
      <w:r>
        <w:rPr>
          <w:rFonts w:ascii="Garamond" w:hAnsi="Garamond"/>
          <w:sz w:val="32"/>
          <w:szCs w:val="32"/>
        </w:rPr>
        <w:t xml:space="preserve">costretto a recarsi in cancelleria sperando di rintracciare la seconda sentenza che sarebbe stata poi di nuovo </w:t>
      </w:r>
      <w:r w:rsidR="006453D5">
        <w:rPr>
          <w:rFonts w:ascii="Garamond" w:hAnsi="Garamond"/>
          <w:sz w:val="32"/>
          <w:szCs w:val="32"/>
        </w:rPr>
        <w:t>riprodotta in bella grafia</w:t>
      </w:r>
      <w:r>
        <w:rPr>
          <w:rFonts w:ascii="Garamond" w:hAnsi="Garamond"/>
          <w:sz w:val="32"/>
          <w:szCs w:val="32"/>
        </w:rPr>
        <w:t xml:space="preserve">; oggi il precedente richiamato è accessibile e scaricabile da casa con un semplice </w:t>
      </w:r>
      <w:r w:rsidRPr="009039C7">
        <w:rPr>
          <w:rFonts w:ascii="Garamond" w:hAnsi="Garamond"/>
          <w:i/>
          <w:sz w:val="32"/>
          <w:szCs w:val="32"/>
        </w:rPr>
        <w:t>clic</w:t>
      </w:r>
      <w:r>
        <w:rPr>
          <w:rFonts w:ascii="Garamond" w:hAnsi="Garamond"/>
          <w:i/>
          <w:sz w:val="32"/>
          <w:szCs w:val="32"/>
        </w:rPr>
        <w:t>k</w:t>
      </w:r>
      <w:r>
        <w:rPr>
          <w:rFonts w:ascii="Garamond" w:hAnsi="Garamond"/>
          <w:sz w:val="32"/>
          <w:szCs w:val="32"/>
        </w:rPr>
        <w:t xml:space="preserve">. </w:t>
      </w:r>
      <w:r w:rsidR="00E64B19">
        <w:rPr>
          <w:rFonts w:ascii="Garamond" w:hAnsi="Garamond"/>
          <w:sz w:val="32"/>
          <w:szCs w:val="32"/>
        </w:rPr>
        <w:t xml:space="preserve">Se allora </w:t>
      </w:r>
      <w:r w:rsidR="006453D5" w:rsidRPr="006453D5">
        <w:rPr>
          <w:rFonts w:ascii="Garamond" w:hAnsi="Garamond"/>
          <w:sz w:val="32"/>
          <w:szCs w:val="32"/>
        </w:rPr>
        <w:t>le sentenze si possono rintracciare con facilità e si possono leggere per intero</w:t>
      </w:r>
      <w:r w:rsidR="00E64B19">
        <w:rPr>
          <w:rFonts w:ascii="Garamond" w:hAnsi="Garamond"/>
          <w:sz w:val="32"/>
          <w:szCs w:val="32"/>
        </w:rPr>
        <w:t xml:space="preserve">, il </w:t>
      </w:r>
      <w:r w:rsidR="00084283" w:rsidRPr="009039C7">
        <w:rPr>
          <w:rFonts w:ascii="Garamond" w:hAnsi="Garamond"/>
          <w:sz w:val="32"/>
          <w:szCs w:val="32"/>
        </w:rPr>
        <w:t xml:space="preserve">mero riferimento ad un precedente deve ritenersi in generale una motivazione sufficiente e comprensibile </w:t>
      </w:r>
      <w:r w:rsidR="00E64B19">
        <w:rPr>
          <w:rFonts w:ascii="Garamond" w:hAnsi="Garamond"/>
          <w:sz w:val="32"/>
          <w:szCs w:val="32"/>
        </w:rPr>
        <w:t xml:space="preserve">a condizione che </w:t>
      </w:r>
      <w:r w:rsidR="00084283" w:rsidRPr="009039C7">
        <w:rPr>
          <w:rFonts w:ascii="Garamond" w:hAnsi="Garamond"/>
          <w:sz w:val="32"/>
          <w:szCs w:val="32"/>
        </w:rPr>
        <w:t>la questione</w:t>
      </w:r>
      <w:r w:rsidR="00E64B19">
        <w:rPr>
          <w:rFonts w:ascii="Garamond" w:hAnsi="Garamond"/>
          <w:sz w:val="32"/>
          <w:szCs w:val="32"/>
        </w:rPr>
        <w:t xml:space="preserve"> sia chiaramente delineata nella sentenza, </w:t>
      </w:r>
      <w:r w:rsidR="00084283" w:rsidRPr="009039C7">
        <w:rPr>
          <w:rFonts w:ascii="Garamond" w:hAnsi="Garamond"/>
          <w:sz w:val="32"/>
          <w:szCs w:val="32"/>
        </w:rPr>
        <w:t xml:space="preserve">il riferimento </w:t>
      </w:r>
      <w:r w:rsidR="00E64B19">
        <w:rPr>
          <w:rFonts w:ascii="Garamond" w:hAnsi="Garamond"/>
          <w:sz w:val="32"/>
          <w:szCs w:val="32"/>
        </w:rPr>
        <w:t xml:space="preserve">alla pronuncia richiamata sia </w:t>
      </w:r>
      <w:r w:rsidR="00084283" w:rsidRPr="009039C7">
        <w:rPr>
          <w:rFonts w:ascii="Garamond" w:hAnsi="Garamond"/>
          <w:sz w:val="32"/>
          <w:szCs w:val="32"/>
        </w:rPr>
        <w:t xml:space="preserve">pertinente, </w:t>
      </w:r>
      <w:r w:rsidR="00E64B19">
        <w:rPr>
          <w:rFonts w:ascii="Garamond" w:hAnsi="Garamond"/>
          <w:sz w:val="32"/>
          <w:szCs w:val="32"/>
        </w:rPr>
        <w:t>coerente e specifico e che, in definitiva, il percorso argomentativo (nella combinazione dei due testi, come d’altronde dovrebbe avvenire sempre, con o senza rinvio) risulti comprensibile ed esauriente</w:t>
      </w:r>
      <w:r w:rsidR="007845DF">
        <w:rPr>
          <w:rStyle w:val="Rimandonotaapidipagina"/>
          <w:rFonts w:ascii="Garamond" w:hAnsi="Garamond"/>
          <w:sz w:val="32"/>
          <w:szCs w:val="32"/>
        </w:rPr>
        <w:footnoteReference w:id="23"/>
      </w:r>
      <w:r w:rsidR="00E64B19">
        <w:rPr>
          <w:rFonts w:ascii="Garamond" w:hAnsi="Garamond"/>
          <w:sz w:val="32"/>
          <w:szCs w:val="32"/>
        </w:rPr>
        <w:t xml:space="preserve">. </w:t>
      </w:r>
    </w:p>
    <w:p w:rsidR="00367270" w:rsidRDefault="00D54CFB" w:rsidP="00B060D9">
      <w:pPr>
        <w:ind w:left="708"/>
        <w:jc w:val="both"/>
        <w:rPr>
          <w:rFonts w:ascii="Garamond" w:hAnsi="Garamond"/>
          <w:sz w:val="32"/>
          <w:szCs w:val="32"/>
        </w:rPr>
      </w:pPr>
      <w:r w:rsidRPr="002757C2">
        <w:rPr>
          <w:rFonts w:ascii="Garamond" w:hAnsi="Garamond"/>
          <w:sz w:val="32"/>
          <w:szCs w:val="32"/>
        </w:rPr>
        <w:t>Il secondo esempio d</w:t>
      </w:r>
      <w:r w:rsidR="007845DF">
        <w:rPr>
          <w:rFonts w:ascii="Garamond" w:hAnsi="Garamond"/>
          <w:sz w:val="32"/>
          <w:szCs w:val="32"/>
        </w:rPr>
        <w:t>’</w:t>
      </w:r>
      <w:r w:rsidRPr="002757C2">
        <w:rPr>
          <w:rFonts w:ascii="Garamond" w:hAnsi="Garamond"/>
          <w:sz w:val="32"/>
          <w:szCs w:val="32"/>
        </w:rPr>
        <w:t xml:space="preserve">inventiva italica in materia processuale è la tecnica del </w:t>
      </w:r>
      <w:proofErr w:type="spellStart"/>
      <w:r w:rsidRPr="002757C2">
        <w:rPr>
          <w:rFonts w:ascii="Garamond" w:hAnsi="Garamond"/>
          <w:i/>
          <w:sz w:val="32"/>
          <w:szCs w:val="32"/>
        </w:rPr>
        <w:t>remand</w:t>
      </w:r>
      <w:proofErr w:type="spellEnd"/>
      <w:r w:rsidR="00367270">
        <w:rPr>
          <w:rFonts w:ascii="Garamond" w:hAnsi="Garamond"/>
          <w:sz w:val="32"/>
          <w:szCs w:val="32"/>
        </w:rPr>
        <w:t xml:space="preserve">, sulla quale invero </w:t>
      </w:r>
      <w:r w:rsidRPr="00367270">
        <w:rPr>
          <w:rFonts w:ascii="Garamond" w:hAnsi="Garamond"/>
          <w:sz w:val="32"/>
          <w:szCs w:val="32"/>
        </w:rPr>
        <w:t xml:space="preserve">la giurisprudenza non </w:t>
      </w:r>
      <w:r w:rsidR="00367270">
        <w:rPr>
          <w:rFonts w:ascii="Garamond" w:hAnsi="Garamond"/>
          <w:sz w:val="32"/>
          <w:szCs w:val="32"/>
        </w:rPr>
        <w:t xml:space="preserve">si è espressa in modo chiaro e univoco, mentre </w:t>
      </w:r>
      <w:r w:rsidRPr="00367270">
        <w:rPr>
          <w:rFonts w:ascii="Garamond" w:hAnsi="Garamond"/>
          <w:sz w:val="32"/>
          <w:szCs w:val="32"/>
        </w:rPr>
        <w:t>la dottrina non si è particolarmente occupata del tema</w:t>
      </w:r>
      <w:r w:rsidR="00F56B28">
        <w:rPr>
          <w:rStyle w:val="Rimandonotaapidipagina"/>
          <w:rFonts w:ascii="Garamond" w:hAnsi="Garamond"/>
          <w:sz w:val="32"/>
          <w:szCs w:val="32"/>
        </w:rPr>
        <w:footnoteReference w:id="24"/>
      </w:r>
      <w:r w:rsidR="00367270">
        <w:rPr>
          <w:rFonts w:ascii="Garamond" w:hAnsi="Garamond"/>
          <w:sz w:val="32"/>
          <w:szCs w:val="32"/>
        </w:rPr>
        <w:t>.</w:t>
      </w:r>
      <w:r w:rsidR="00130311" w:rsidRPr="00367270">
        <w:rPr>
          <w:rFonts w:ascii="Garamond" w:hAnsi="Garamond"/>
          <w:sz w:val="32"/>
          <w:szCs w:val="32"/>
        </w:rPr>
        <w:t xml:space="preserve"> </w:t>
      </w:r>
    </w:p>
    <w:p w:rsidR="00D54CFB" w:rsidRDefault="00D54CFB" w:rsidP="00B060D9">
      <w:pPr>
        <w:ind w:left="708"/>
        <w:jc w:val="both"/>
        <w:rPr>
          <w:rFonts w:ascii="Garamond" w:hAnsi="Garamond"/>
          <w:sz w:val="32"/>
          <w:szCs w:val="32"/>
        </w:rPr>
      </w:pPr>
      <w:r w:rsidRPr="002757C2">
        <w:rPr>
          <w:rFonts w:ascii="Garamond" w:hAnsi="Garamond"/>
          <w:sz w:val="32"/>
          <w:szCs w:val="32"/>
        </w:rPr>
        <w:t xml:space="preserve">Per </w:t>
      </w:r>
      <w:r w:rsidR="00367270">
        <w:rPr>
          <w:rFonts w:ascii="Garamond" w:hAnsi="Garamond"/>
          <w:sz w:val="32"/>
          <w:szCs w:val="32"/>
        </w:rPr>
        <w:t xml:space="preserve">quanto non sia possibile affrontare approfonditamente la complessa questione, si può tuttavia dubitare </w:t>
      </w:r>
      <w:r w:rsidRPr="002757C2">
        <w:rPr>
          <w:rFonts w:ascii="Garamond" w:hAnsi="Garamond"/>
          <w:sz w:val="32"/>
          <w:szCs w:val="32"/>
        </w:rPr>
        <w:t>che</w:t>
      </w:r>
      <w:r w:rsidR="004A0CF6">
        <w:rPr>
          <w:rFonts w:ascii="Garamond" w:hAnsi="Garamond"/>
          <w:sz w:val="32"/>
          <w:szCs w:val="32"/>
        </w:rPr>
        <w:t xml:space="preserve"> sia applicabile </w:t>
      </w:r>
      <w:r w:rsidR="00244029">
        <w:rPr>
          <w:rFonts w:ascii="Garamond" w:hAnsi="Garamond"/>
          <w:sz w:val="32"/>
          <w:szCs w:val="32"/>
        </w:rPr>
        <w:t xml:space="preserve">in modo generalizzato </w:t>
      </w:r>
      <w:r w:rsidRPr="002757C2">
        <w:rPr>
          <w:rFonts w:ascii="Garamond" w:hAnsi="Garamond"/>
          <w:sz w:val="32"/>
          <w:szCs w:val="32"/>
        </w:rPr>
        <w:t>all’atto dell’amministrazione che si adegua all’ordine di riesaminare l’affare la giurisprudenza sull’esecuzione dell’ordinanza cautelare secondo la quale tale attività</w:t>
      </w:r>
      <w:r w:rsidR="004A0CF6">
        <w:rPr>
          <w:rFonts w:ascii="Garamond" w:hAnsi="Garamond"/>
          <w:sz w:val="32"/>
          <w:szCs w:val="32"/>
        </w:rPr>
        <w:t>,</w:t>
      </w:r>
      <w:r w:rsidRPr="002757C2">
        <w:rPr>
          <w:rFonts w:ascii="Garamond" w:hAnsi="Garamond"/>
          <w:sz w:val="32"/>
          <w:szCs w:val="32"/>
        </w:rPr>
        <w:t xml:space="preserve"> in quanto doverosa</w:t>
      </w:r>
      <w:r w:rsidR="004A0CF6">
        <w:rPr>
          <w:rFonts w:ascii="Garamond" w:hAnsi="Garamond"/>
          <w:sz w:val="32"/>
          <w:szCs w:val="32"/>
        </w:rPr>
        <w:t>,</w:t>
      </w:r>
      <w:r w:rsidRPr="002757C2">
        <w:rPr>
          <w:rFonts w:ascii="Garamond" w:hAnsi="Garamond"/>
          <w:sz w:val="32"/>
          <w:szCs w:val="32"/>
        </w:rPr>
        <w:t xml:space="preserve"> non comport</w:t>
      </w:r>
      <w:r w:rsidR="004A0CF6">
        <w:rPr>
          <w:rFonts w:ascii="Garamond" w:hAnsi="Garamond"/>
          <w:sz w:val="32"/>
          <w:szCs w:val="32"/>
        </w:rPr>
        <w:t>i</w:t>
      </w:r>
      <w:r w:rsidRPr="002757C2">
        <w:rPr>
          <w:rFonts w:ascii="Garamond" w:hAnsi="Garamond"/>
          <w:sz w:val="32"/>
          <w:szCs w:val="32"/>
        </w:rPr>
        <w:t xml:space="preserve"> acquiescenza </w:t>
      </w:r>
      <w:r w:rsidR="00244029">
        <w:rPr>
          <w:rFonts w:ascii="Garamond" w:hAnsi="Garamond"/>
          <w:sz w:val="32"/>
          <w:szCs w:val="32"/>
        </w:rPr>
        <w:t xml:space="preserve">e </w:t>
      </w:r>
      <w:r w:rsidRPr="002757C2">
        <w:rPr>
          <w:rFonts w:ascii="Garamond" w:hAnsi="Garamond"/>
          <w:sz w:val="32"/>
          <w:szCs w:val="32"/>
        </w:rPr>
        <w:t>non determin</w:t>
      </w:r>
      <w:r w:rsidR="004A0CF6">
        <w:rPr>
          <w:rFonts w:ascii="Garamond" w:hAnsi="Garamond"/>
          <w:sz w:val="32"/>
          <w:szCs w:val="32"/>
        </w:rPr>
        <w:t>i</w:t>
      </w:r>
      <w:r w:rsidRPr="002757C2">
        <w:rPr>
          <w:rFonts w:ascii="Garamond" w:hAnsi="Garamond"/>
          <w:sz w:val="32"/>
          <w:szCs w:val="32"/>
        </w:rPr>
        <w:t xml:space="preserve"> l’improcedibilità del ricorso.</w:t>
      </w:r>
      <w:r w:rsidR="00244029">
        <w:rPr>
          <w:rFonts w:ascii="Garamond" w:hAnsi="Garamond"/>
          <w:sz w:val="32"/>
          <w:szCs w:val="32"/>
        </w:rPr>
        <w:t xml:space="preserve"> Infatti, se </w:t>
      </w:r>
      <w:r w:rsidRPr="002757C2">
        <w:rPr>
          <w:rFonts w:ascii="Garamond" w:hAnsi="Garamond"/>
          <w:sz w:val="32"/>
          <w:szCs w:val="32"/>
        </w:rPr>
        <w:t xml:space="preserve">è vero che </w:t>
      </w:r>
      <w:r w:rsidR="00244029">
        <w:rPr>
          <w:rFonts w:ascii="Garamond" w:hAnsi="Garamond"/>
          <w:sz w:val="32"/>
          <w:szCs w:val="32"/>
        </w:rPr>
        <w:t>l’</w:t>
      </w:r>
      <w:r w:rsidRPr="002757C2">
        <w:rPr>
          <w:rFonts w:ascii="Garamond" w:hAnsi="Garamond"/>
          <w:sz w:val="32"/>
          <w:szCs w:val="32"/>
        </w:rPr>
        <w:t xml:space="preserve">atto </w:t>
      </w:r>
      <w:r w:rsidR="00244029">
        <w:rPr>
          <w:rFonts w:ascii="Garamond" w:hAnsi="Garamond"/>
          <w:sz w:val="32"/>
          <w:szCs w:val="32"/>
        </w:rPr>
        <w:t xml:space="preserve">di esecuzione è </w:t>
      </w:r>
      <w:r w:rsidRPr="002757C2">
        <w:rPr>
          <w:rFonts w:ascii="Garamond" w:hAnsi="Garamond"/>
          <w:sz w:val="32"/>
          <w:szCs w:val="32"/>
        </w:rPr>
        <w:t xml:space="preserve">necessitato </w:t>
      </w:r>
      <w:proofErr w:type="spellStart"/>
      <w:r w:rsidRPr="002757C2">
        <w:rPr>
          <w:rFonts w:ascii="Garamond" w:hAnsi="Garamond"/>
          <w:sz w:val="32"/>
          <w:szCs w:val="32"/>
        </w:rPr>
        <w:t>nell’</w:t>
      </w:r>
      <w:r w:rsidRPr="002757C2">
        <w:rPr>
          <w:rFonts w:ascii="Garamond" w:hAnsi="Garamond"/>
          <w:i/>
          <w:sz w:val="32"/>
          <w:szCs w:val="32"/>
        </w:rPr>
        <w:t>an</w:t>
      </w:r>
      <w:proofErr w:type="spellEnd"/>
      <w:r w:rsidR="00244029">
        <w:rPr>
          <w:rFonts w:ascii="Garamond" w:hAnsi="Garamond"/>
          <w:sz w:val="32"/>
          <w:szCs w:val="32"/>
        </w:rPr>
        <w:t xml:space="preserve">, esso tuttavia </w:t>
      </w:r>
      <w:r w:rsidRPr="002757C2">
        <w:rPr>
          <w:rFonts w:ascii="Garamond" w:hAnsi="Garamond"/>
          <w:sz w:val="32"/>
          <w:szCs w:val="32"/>
        </w:rPr>
        <w:t xml:space="preserve">costituisce pur sempre un atto nuovo: </w:t>
      </w:r>
      <w:r w:rsidR="007E569A">
        <w:rPr>
          <w:rFonts w:ascii="Garamond" w:hAnsi="Garamond"/>
          <w:sz w:val="32"/>
          <w:szCs w:val="32"/>
        </w:rPr>
        <w:t>esiste uno spazio tra l’atto meramente confermativo e il recepimento supino ed espresso di quanto indicato dal giudice nell’ordinanza nel quale è individuabile</w:t>
      </w:r>
      <w:r w:rsidR="007E569A" w:rsidRPr="007E569A">
        <w:t xml:space="preserve"> </w:t>
      </w:r>
      <w:r w:rsidR="007E569A" w:rsidRPr="007E569A">
        <w:rPr>
          <w:rFonts w:ascii="Garamond" w:hAnsi="Garamond"/>
          <w:sz w:val="32"/>
          <w:szCs w:val="32"/>
        </w:rPr>
        <w:t>una valutazione autonoma dell’amministrazione</w:t>
      </w:r>
      <w:r w:rsidR="007E569A">
        <w:rPr>
          <w:rFonts w:ascii="Garamond" w:hAnsi="Garamond"/>
          <w:sz w:val="32"/>
          <w:szCs w:val="32"/>
        </w:rPr>
        <w:t xml:space="preserve"> che rende l’atto un nuovo provvedimento che quindi dovrebbe chiudere immediatamente </w:t>
      </w:r>
      <w:r w:rsidR="00B2696D">
        <w:rPr>
          <w:rFonts w:ascii="Garamond" w:hAnsi="Garamond"/>
          <w:sz w:val="32"/>
          <w:szCs w:val="32"/>
        </w:rPr>
        <w:t>la controversia</w:t>
      </w:r>
      <w:r w:rsidR="007E569A">
        <w:rPr>
          <w:rFonts w:ascii="Garamond" w:hAnsi="Garamond"/>
          <w:sz w:val="32"/>
          <w:szCs w:val="32"/>
        </w:rPr>
        <w:t xml:space="preserve"> (perlomeno quell</w:t>
      </w:r>
      <w:r w:rsidR="00B2696D">
        <w:rPr>
          <w:rFonts w:ascii="Garamond" w:hAnsi="Garamond"/>
          <w:sz w:val="32"/>
          <w:szCs w:val="32"/>
        </w:rPr>
        <w:t>a</w:t>
      </w:r>
      <w:r w:rsidR="007E569A">
        <w:rPr>
          <w:rFonts w:ascii="Garamond" w:hAnsi="Garamond"/>
          <w:sz w:val="32"/>
          <w:szCs w:val="32"/>
        </w:rPr>
        <w:t xml:space="preserve"> in corso), senza attendere che la </w:t>
      </w:r>
      <w:r w:rsidR="007E569A" w:rsidRPr="007E569A">
        <w:rPr>
          <w:rFonts w:ascii="Garamond" w:hAnsi="Garamond"/>
          <w:sz w:val="32"/>
          <w:szCs w:val="32"/>
        </w:rPr>
        <w:t>sentenza di merito confermi la misura interinale</w:t>
      </w:r>
      <w:r w:rsidR="007E569A">
        <w:rPr>
          <w:rFonts w:ascii="Garamond" w:hAnsi="Garamond"/>
          <w:sz w:val="32"/>
          <w:szCs w:val="32"/>
        </w:rPr>
        <w:t>. Altrimenti il fatto che</w:t>
      </w:r>
      <w:r w:rsidRPr="002757C2">
        <w:rPr>
          <w:rFonts w:ascii="Garamond" w:hAnsi="Garamond"/>
          <w:sz w:val="32"/>
          <w:szCs w:val="32"/>
        </w:rPr>
        <w:t>,</w:t>
      </w:r>
      <w:r w:rsidR="00244029">
        <w:rPr>
          <w:rFonts w:ascii="Garamond" w:hAnsi="Garamond"/>
          <w:sz w:val="32"/>
          <w:szCs w:val="32"/>
        </w:rPr>
        <w:t xml:space="preserve"> in conseguenza di un’ordinanza </w:t>
      </w:r>
      <w:r w:rsidRPr="002757C2">
        <w:rPr>
          <w:rFonts w:ascii="Garamond" w:hAnsi="Garamond"/>
          <w:sz w:val="32"/>
          <w:szCs w:val="32"/>
        </w:rPr>
        <w:t>cautelare, l’a</w:t>
      </w:r>
      <w:r w:rsidR="007E569A">
        <w:rPr>
          <w:rFonts w:ascii="Garamond" w:hAnsi="Garamond"/>
          <w:sz w:val="32"/>
          <w:szCs w:val="32"/>
        </w:rPr>
        <w:t xml:space="preserve">mministrazione resistente assuma un atteggiamento diverso </w:t>
      </w:r>
      <w:r w:rsidR="001972CD">
        <w:rPr>
          <w:rFonts w:ascii="Garamond" w:hAnsi="Garamond"/>
          <w:sz w:val="32"/>
          <w:szCs w:val="32"/>
        </w:rPr>
        <w:t>(</w:t>
      </w:r>
      <w:r w:rsidR="001972CD" w:rsidRPr="004A0CF6">
        <w:rPr>
          <w:rFonts w:ascii="Garamond" w:hAnsi="Garamond"/>
          <w:i/>
          <w:sz w:val="32"/>
          <w:szCs w:val="32"/>
        </w:rPr>
        <w:t>in toto</w:t>
      </w:r>
      <w:r w:rsidR="001972CD">
        <w:rPr>
          <w:rFonts w:ascii="Garamond" w:hAnsi="Garamond"/>
          <w:sz w:val="32"/>
          <w:szCs w:val="32"/>
        </w:rPr>
        <w:t xml:space="preserve"> o in parte) rispetto alla vicenda sarebbe privato nel processo </w:t>
      </w:r>
      <w:r w:rsidR="00244029">
        <w:rPr>
          <w:rFonts w:ascii="Garamond" w:hAnsi="Garamond"/>
          <w:sz w:val="32"/>
          <w:szCs w:val="32"/>
        </w:rPr>
        <w:t>di</w:t>
      </w:r>
      <w:r w:rsidR="00B2696D">
        <w:rPr>
          <w:rFonts w:ascii="Garamond" w:hAnsi="Garamond"/>
          <w:sz w:val="32"/>
          <w:szCs w:val="32"/>
        </w:rPr>
        <w:t xml:space="preserve"> un vero </w:t>
      </w:r>
      <w:r w:rsidRPr="002757C2">
        <w:rPr>
          <w:rFonts w:ascii="Garamond" w:hAnsi="Garamond"/>
          <w:sz w:val="32"/>
          <w:szCs w:val="32"/>
        </w:rPr>
        <w:t xml:space="preserve">significato </w:t>
      </w:r>
      <w:r w:rsidR="00B2696D">
        <w:rPr>
          <w:rFonts w:ascii="Garamond" w:hAnsi="Garamond"/>
          <w:sz w:val="32"/>
          <w:szCs w:val="32"/>
        </w:rPr>
        <w:t>e</w:t>
      </w:r>
      <w:r w:rsidRPr="002757C2">
        <w:rPr>
          <w:rFonts w:ascii="Garamond" w:hAnsi="Garamond"/>
          <w:sz w:val="32"/>
          <w:szCs w:val="32"/>
        </w:rPr>
        <w:t xml:space="preserve"> </w:t>
      </w:r>
      <w:r w:rsidR="00B2696D">
        <w:rPr>
          <w:rFonts w:ascii="Garamond" w:hAnsi="Garamond"/>
          <w:sz w:val="32"/>
          <w:szCs w:val="32"/>
        </w:rPr>
        <w:t xml:space="preserve">di una reale </w:t>
      </w:r>
      <w:r w:rsidRPr="002757C2">
        <w:rPr>
          <w:rFonts w:ascii="Garamond" w:hAnsi="Garamond"/>
          <w:sz w:val="32"/>
          <w:szCs w:val="32"/>
        </w:rPr>
        <w:t>utilità.</w:t>
      </w:r>
    </w:p>
    <w:p w:rsidR="00AC7F16" w:rsidRPr="00227824" w:rsidRDefault="00D54CFB" w:rsidP="00B060D9">
      <w:pPr>
        <w:ind w:left="708"/>
        <w:jc w:val="both"/>
        <w:rPr>
          <w:rFonts w:ascii="Garamond" w:hAnsi="Garamond"/>
          <w:sz w:val="32"/>
          <w:szCs w:val="32"/>
          <w:highlight w:val="yellow"/>
        </w:rPr>
      </w:pPr>
      <w:r w:rsidRPr="001027D5">
        <w:rPr>
          <w:rFonts w:ascii="Garamond" w:hAnsi="Garamond"/>
          <w:sz w:val="32"/>
          <w:szCs w:val="32"/>
        </w:rPr>
        <w:t>In realtà</w:t>
      </w:r>
      <w:r w:rsidR="00F662FF" w:rsidRPr="001027D5">
        <w:rPr>
          <w:rFonts w:ascii="Garamond" w:hAnsi="Garamond"/>
          <w:sz w:val="32"/>
          <w:szCs w:val="32"/>
        </w:rPr>
        <w:t xml:space="preserve"> è il meccanismo logico del </w:t>
      </w:r>
      <w:proofErr w:type="spellStart"/>
      <w:r w:rsidR="00F662FF" w:rsidRPr="001027D5">
        <w:rPr>
          <w:rFonts w:ascii="Garamond" w:hAnsi="Garamond"/>
          <w:i/>
          <w:sz w:val="32"/>
          <w:szCs w:val="32"/>
        </w:rPr>
        <w:t>remand</w:t>
      </w:r>
      <w:proofErr w:type="spellEnd"/>
      <w:r w:rsidR="00F662FF" w:rsidRPr="001027D5">
        <w:rPr>
          <w:rFonts w:ascii="Garamond" w:hAnsi="Garamond"/>
          <w:sz w:val="32"/>
          <w:szCs w:val="32"/>
        </w:rPr>
        <w:t xml:space="preserve"> che dovrebbe essere approfondito.</w:t>
      </w:r>
      <w:r w:rsidR="001027D5" w:rsidRPr="001027D5">
        <w:rPr>
          <w:rFonts w:ascii="Garamond" w:hAnsi="Garamond"/>
          <w:sz w:val="32"/>
          <w:szCs w:val="32"/>
        </w:rPr>
        <w:t xml:space="preserve"> Viene utilizzato in quei casi </w:t>
      </w:r>
      <w:r w:rsidR="00F662FF" w:rsidRPr="001027D5">
        <w:rPr>
          <w:rFonts w:ascii="Garamond" w:hAnsi="Garamond"/>
          <w:sz w:val="32"/>
          <w:szCs w:val="32"/>
        </w:rPr>
        <w:t>in cui sicuramente il collegio individua un vizio: probabilmente un difetto nella motivazione o nell’istruttoria, attraverso i quali s</w:t>
      </w:r>
      <w:r w:rsidR="00AC7F16" w:rsidRPr="001027D5">
        <w:rPr>
          <w:rFonts w:ascii="Garamond" w:hAnsi="Garamond"/>
          <w:sz w:val="32"/>
          <w:szCs w:val="32"/>
        </w:rPr>
        <w:t>’</w:t>
      </w:r>
      <w:r w:rsidR="00F662FF" w:rsidRPr="001027D5">
        <w:rPr>
          <w:rFonts w:ascii="Garamond" w:hAnsi="Garamond"/>
          <w:sz w:val="32"/>
          <w:szCs w:val="32"/>
        </w:rPr>
        <w:t xml:space="preserve">intravede un’erronea valutazione dei fatti o una perplessa </w:t>
      </w:r>
      <w:r w:rsidR="00AC7F16" w:rsidRPr="001027D5">
        <w:rPr>
          <w:rFonts w:ascii="Garamond" w:hAnsi="Garamond"/>
          <w:sz w:val="32"/>
          <w:szCs w:val="32"/>
        </w:rPr>
        <w:t>p</w:t>
      </w:r>
      <w:r w:rsidR="00F662FF" w:rsidRPr="001027D5">
        <w:rPr>
          <w:rFonts w:ascii="Garamond" w:hAnsi="Garamond"/>
          <w:sz w:val="32"/>
          <w:szCs w:val="32"/>
        </w:rPr>
        <w:t>onderazione degli interessi.</w:t>
      </w:r>
      <w:r w:rsidR="00F662FF" w:rsidRPr="00227824">
        <w:rPr>
          <w:rFonts w:ascii="Garamond" w:hAnsi="Garamond"/>
          <w:sz w:val="32"/>
          <w:szCs w:val="32"/>
          <w:highlight w:val="yellow"/>
        </w:rPr>
        <w:t xml:space="preserve"> </w:t>
      </w:r>
    </w:p>
    <w:p w:rsidR="001027D5" w:rsidRDefault="001972CD" w:rsidP="001027D5">
      <w:pPr>
        <w:ind w:left="708"/>
        <w:jc w:val="both"/>
        <w:rPr>
          <w:rFonts w:ascii="Garamond" w:hAnsi="Garamond"/>
          <w:sz w:val="32"/>
          <w:szCs w:val="32"/>
        </w:rPr>
      </w:pPr>
      <w:r>
        <w:rPr>
          <w:rFonts w:ascii="Garamond" w:hAnsi="Garamond"/>
          <w:sz w:val="32"/>
          <w:szCs w:val="32"/>
        </w:rPr>
        <w:t>Spesso</w:t>
      </w:r>
      <w:r w:rsidRPr="001972CD">
        <w:t xml:space="preserve"> </w:t>
      </w:r>
      <w:r w:rsidRPr="001972CD">
        <w:rPr>
          <w:rFonts w:ascii="Garamond" w:hAnsi="Garamond"/>
          <w:sz w:val="32"/>
          <w:szCs w:val="32"/>
        </w:rPr>
        <w:t>tuttavia</w:t>
      </w:r>
      <w:r>
        <w:rPr>
          <w:rFonts w:ascii="Garamond" w:hAnsi="Garamond"/>
          <w:sz w:val="32"/>
          <w:szCs w:val="32"/>
        </w:rPr>
        <w:t xml:space="preserve"> </w:t>
      </w:r>
      <w:r w:rsidRPr="001972CD">
        <w:rPr>
          <w:rFonts w:ascii="Garamond" w:hAnsi="Garamond"/>
          <w:sz w:val="32"/>
          <w:szCs w:val="32"/>
        </w:rPr>
        <w:t xml:space="preserve">al giudice manca la conoscenza di tutti gli elementi della fattispecie </w:t>
      </w:r>
      <w:r>
        <w:rPr>
          <w:rFonts w:ascii="Garamond" w:hAnsi="Garamond"/>
          <w:sz w:val="32"/>
          <w:szCs w:val="32"/>
        </w:rPr>
        <w:t>e si trova a sindacare un provvedimento connotato da un alto tasso di discrezionalità; in questi casi, perciò</w:t>
      </w:r>
      <w:r w:rsidRPr="001972CD">
        <w:rPr>
          <w:rFonts w:ascii="Garamond" w:hAnsi="Garamond"/>
          <w:sz w:val="32"/>
          <w:szCs w:val="32"/>
        </w:rPr>
        <w:t>, il</w:t>
      </w:r>
      <w:r w:rsidR="004A0CF6">
        <w:rPr>
          <w:rFonts w:ascii="Garamond" w:hAnsi="Garamond"/>
          <w:sz w:val="32"/>
          <w:szCs w:val="32"/>
        </w:rPr>
        <w:t xml:space="preserve"> collegio </w:t>
      </w:r>
      <w:r>
        <w:rPr>
          <w:rFonts w:ascii="Garamond" w:hAnsi="Garamond"/>
          <w:sz w:val="32"/>
          <w:szCs w:val="32"/>
        </w:rPr>
        <w:t xml:space="preserve">è giustamente restio, soprattutto in quella fase iniziale rappresentata dal giudizio cautelare, a sottrarre </w:t>
      </w:r>
      <w:r w:rsidR="004A0CF6" w:rsidRPr="004A0CF6">
        <w:rPr>
          <w:rFonts w:ascii="Garamond" w:hAnsi="Garamond"/>
          <w:sz w:val="32"/>
          <w:szCs w:val="32"/>
        </w:rPr>
        <w:t xml:space="preserve">all’amministrazione </w:t>
      </w:r>
      <w:r>
        <w:rPr>
          <w:rFonts w:ascii="Garamond" w:hAnsi="Garamond"/>
          <w:sz w:val="32"/>
          <w:szCs w:val="32"/>
        </w:rPr>
        <w:t xml:space="preserve">la valutazione che fisiologicamente </w:t>
      </w:r>
      <w:r w:rsidR="004A0CF6">
        <w:rPr>
          <w:rFonts w:ascii="Garamond" w:hAnsi="Garamond"/>
          <w:sz w:val="32"/>
          <w:szCs w:val="32"/>
        </w:rPr>
        <w:t xml:space="preserve">le </w:t>
      </w:r>
      <w:r>
        <w:rPr>
          <w:rFonts w:ascii="Garamond" w:hAnsi="Garamond"/>
          <w:sz w:val="32"/>
          <w:szCs w:val="32"/>
        </w:rPr>
        <w:t>sarebbe riservata</w:t>
      </w:r>
      <w:r w:rsidR="004A0CF6">
        <w:rPr>
          <w:rFonts w:ascii="Garamond" w:hAnsi="Garamond"/>
          <w:sz w:val="32"/>
          <w:szCs w:val="32"/>
        </w:rPr>
        <w:t>.</w:t>
      </w:r>
      <w:r>
        <w:rPr>
          <w:rFonts w:ascii="Garamond" w:hAnsi="Garamond"/>
          <w:sz w:val="32"/>
          <w:szCs w:val="32"/>
        </w:rPr>
        <w:t xml:space="preserve"> </w:t>
      </w:r>
      <w:r w:rsidR="004A0CF6">
        <w:rPr>
          <w:rFonts w:ascii="Garamond" w:hAnsi="Garamond"/>
          <w:sz w:val="32"/>
          <w:szCs w:val="32"/>
        </w:rPr>
        <w:t xml:space="preserve">Opta allora </w:t>
      </w:r>
      <w:r>
        <w:rPr>
          <w:rFonts w:ascii="Garamond" w:hAnsi="Garamond"/>
          <w:sz w:val="32"/>
          <w:szCs w:val="32"/>
        </w:rPr>
        <w:t>per un percorso che</w:t>
      </w:r>
      <w:r w:rsidR="004A0CF6">
        <w:rPr>
          <w:rFonts w:ascii="Garamond" w:hAnsi="Garamond"/>
          <w:sz w:val="32"/>
          <w:szCs w:val="32"/>
        </w:rPr>
        <w:t xml:space="preserve"> offre l’occasione </w:t>
      </w:r>
      <w:r>
        <w:rPr>
          <w:rFonts w:ascii="Garamond" w:hAnsi="Garamond"/>
          <w:sz w:val="32"/>
          <w:szCs w:val="32"/>
        </w:rPr>
        <w:t xml:space="preserve">all’autorità di definire in modo compiuto l’istruttoria e di emettere una determinazione amministrativa emendata dagli errori e dai vizi presenti nell’atto originario. </w:t>
      </w:r>
    </w:p>
    <w:p w:rsidR="009500D1" w:rsidRDefault="008272AE" w:rsidP="009500D1">
      <w:pPr>
        <w:ind w:left="708"/>
        <w:jc w:val="both"/>
        <w:rPr>
          <w:rFonts w:ascii="Garamond" w:hAnsi="Garamond"/>
          <w:sz w:val="32"/>
          <w:szCs w:val="32"/>
        </w:rPr>
      </w:pPr>
      <w:r w:rsidRPr="009500D1">
        <w:rPr>
          <w:rFonts w:ascii="Garamond" w:hAnsi="Garamond"/>
          <w:sz w:val="32"/>
          <w:szCs w:val="32"/>
        </w:rPr>
        <w:t xml:space="preserve">In alternativa, se il </w:t>
      </w:r>
      <w:proofErr w:type="spellStart"/>
      <w:r w:rsidRPr="009500D1">
        <w:rPr>
          <w:rFonts w:ascii="Garamond" w:hAnsi="Garamond"/>
          <w:i/>
          <w:sz w:val="32"/>
          <w:szCs w:val="32"/>
        </w:rPr>
        <w:t>remand</w:t>
      </w:r>
      <w:proofErr w:type="spellEnd"/>
      <w:r w:rsidRPr="009500D1">
        <w:rPr>
          <w:rFonts w:ascii="Garamond" w:hAnsi="Garamond"/>
          <w:sz w:val="32"/>
          <w:szCs w:val="32"/>
        </w:rPr>
        <w:t xml:space="preserve"> non esistesse, </w:t>
      </w:r>
      <w:r w:rsidR="00AC7F16" w:rsidRPr="009500D1">
        <w:rPr>
          <w:rFonts w:ascii="Garamond" w:hAnsi="Garamond"/>
          <w:sz w:val="32"/>
          <w:szCs w:val="32"/>
        </w:rPr>
        <w:t>il giudice</w:t>
      </w:r>
      <w:r w:rsidR="003C7969">
        <w:rPr>
          <w:rFonts w:ascii="Garamond" w:hAnsi="Garamond"/>
          <w:sz w:val="32"/>
          <w:szCs w:val="32"/>
        </w:rPr>
        <w:t xml:space="preserve"> sarebbe presumibilmente </w:t>
      </w:r>
      <w:r w:rsidR="00AC7F16" w:rsidRPr="009500D1">
        <w:rPr>
          <w:rFonts w:ascii="Garamond" w:hAnsi="Garamond"/>
          <w:sz w:val="32"/>
          <w:szCs w:val="32"/>
        </w:rPr>
        <w:t xml:space="preserve">costretto a pronunciarsi solo su vizi </w:t>
      </w:r>
      <w:r w:rsidR="00F662FF" w:rsidRPr="009500D1">
        <w:rPr>
          <w:rFonts w:ascii="Garamond" w:hAnsi="Garamond"/>
          <w:sz w:val="32"/>
          <w:szCs w:val="32"/>
        </w:rPr>
        <w:t>procedimental</w:t>
      </w:r>
      <w:r w:rsidR="00AC7F16" w:rsidRPr="009500D1">
        <w:rPr>
          <w:rFonts w:ascii="Garamond" w:hAnsi="Garamond"/>
          <w:sz w:val="32"/>
          <w:szCs w:val="32"/>
        </w:rPr>
        <w:t>i, con un</w:t>
      </w:r>
      <w:r w:rsidR="004A0CF6">
        <w:rPr>
          <w:rFonts w:ascii="Garamond" w:hAnsi="Garamond"/>
          <w:sz w:val="32"/>
          <w:szCs w:val="32"/>
        </w:rPr>
        <w:t xml:space="preserve"> risultato </w:t>
      </w:r>
      <w:r w:rsidR="00AC7F16" w:rsidRPr="009500D1">
        <w:rPr>
          <w:rFonts w:ascii="Garamond" w:hAnsi="Garamond"/>
          <w:sz w:val="32"/>
          <w:szCs w:val="32"/>
        </w:rPr>
        <w:t>evidentemente non satisfattivo</w:t>
      </w:r>
      <w:r w:rsidR="00F662FF" w:rsidRPr="009500D1">
        <w:rPr>
          <w:rFonts w:ascii="Garamond" w:hAnsi="Garamond"/>
          <w:sz w:val="32"/>
          <w:szCs w:val="32"/>
        </w:rPr>
        <w:t xml:space="preserve"> delle ragioni del ricorrente</w:t>
      </w:r>
      <w:r w:rsidRPr="009500D1">
        <w:rPr>
          <w:rFonts w:ascii="Garamond" w:hAnsi="Garamond"/>
          <w:sz w:val="32"/>
          <w:szCs w:val="32"/>
        </w:rPr>
        <w:t>.</w:t>
      </w:r>
      <w:r w:rsidR="004A0CF6">
        <w:rPr>
          <w:rFonts w:ascii="Garamond" w:hAnsi="Garamond"/>
          <w:sz w:val="32"/>
          <w:szCs w:val="32"/>
        </w:rPr>
        <w:t xml:space="preserve"> Dopo </w:t>
      </w:r>
      <w:r w:rsidRPr="009500D1">
        <w:rPr>
          <w:rFonts w:ascii="Garamond" w:hAnsi="Garamond"/>
          <w:sz w:val="32"/>
          <w:szCs w:val="32"/>
        </w:rPr>
        <w:t>l’ordine di riesame, invece, l’esito potrà consistere o in un nuovo atto che, a seguito della rimeditazione dell’amministrazione, riconosca le ragioni dell’interessato o un atto che, pur atteggiandosi a confermativo (ma non meramente confermativo),</w:t>
      </w:r>
      <w:r w:rsidR="003C7969">
        <w:rPr>
          <w:rFonts w:ascii="Garamond" w:hAnsi="Garamond"/>
          <w:sz w:val="32"/>
          <w:szCs w:val="32"/>
        </w:rPr>
        <w:t xml:space="preserve"> produce </w:t>
      </w:r>
      <w:r w:rsidR="004A0CF6">
        <w:rPr>
          <w:rFonts w:ascii="Garamond" w:hAnsi="Garamond"/>
          <w:sz w:val="32"/>
          <w:szCs w:val="32"/>
        </w:rPr>
        <w:t xml:space="preserve">pur sempre un effetto positivo. Esso permette </w:t>
      </w:r>
      <w:r w:rsidRPr="009500D1">
        <w:rPr>
          <w:rFonts w:ascii="Garamond" w:hAnsi="Garamond"/>
          <w:sz w:val="32"/>
          <w:szCs w:val="32"/>
        </w:rPr>
        <w:t xml:space="preserve">al giudice di pronunciarsi sulla </w:t>
      </w:r>
      <w:r w:rsidRPr="009500D1">
        <w:rPr>
          <w:rFonts w:ascii="Garamond" w:hAnsi="Garamond"/>
          <w:i/>
          <w:sz w:val="32"/>
          <w:szCs w:val="32"/>
        </w:rPr>
        <w:t>sostanza</w:t>
      </w:r>
      <w:r w:rsidRPr="009500D1">
        <w:rPr>
          <w:rFonts w:ascii="Garamond" w:hAnsi="Garamond"/>
          <w:sz w:val="32"/>
          <w:szCs w:val="32"/>
        </w:rPr>
        <w:t xml:space="preserve"> della controversia, occupandosi del reale bene della vita preteso, senza arrestarsi agli aspetti formali. E ciò immediatamente, in quello stesso processo (eventualmente arricchito da motivi aggiunti), senza attendere che l’amministrazione rinnovi </w:t>
      </w:r>
      <w:r w:rsidR="009500D1" w:rsidRPr="009500D1">
        <w:rPr>
          <w:rFonts w:ascii="Garamond" w:hAnsi="Garamond"/>
          <w:sz w:val="32"/>
          <w:szCs w:val="32"/>
        </w:rPr>
        <w:t>il procedimento dopo la sentenza di merito.</w:t>
      </w:r>
      <w:r w:rsidR="009500D1">
        <w:rPr>
          <w:rFonts w:ascii="Garamond" w:hAnsi="Garamond"/>
          <w:sz w:val="32"/>
          <w:szCs w:val="32"/>
        </w:rPr>
        <w:t xml:space="preserve"> </w:t>
      </w:r>
    </w:p>
    <w:p w:rsidR="00DF03C5" w:rsidRDefault="009500D1" w:rsidP="009500D1">
      <w:pPr>
        <w:ind w:left="708"/>
        <w:jc w:val="both"/>
        <w:rPr>
          <w:rFonts w:ascii="Garamond" w:hAnsi="Garamond"/>
          <w:sz w:val="32"/>
          <w:szCs w:val="32"/>
        </w:rPr>
      </w:pPr>
      <w:r w:rsidRPr="009500D1">
        <w:rPr>
          <w:rFonts w:ascii="Garamond" w:hAnsi="Garamond"/>
          <w:sz w:val="32"/>
          <w:szCs w:val="32"/>
        </w:rPr>
        <w:t>Questa ricostruzione</w:t>
      </w:r>
      <w:r w:rsidR="004A0CF6">
        <w:rPr>
          <w:rFonts w:ascii="Garamond" w:hAnsi="Garamond"/>
          <w:sz w:val="32"/>
          <w:szCs w:val="32"/>
        </w:rPr>
        <w:t xml:space="preserve"> svela </w:t>
      </w:r>
      <w:r w:rsidR="00227824" w:rsidRPr="009500D1">
        <w:rPr>
          <w:rFonts w:ascii="Garamond" w:hAnsi="Garamond"/>
          <w:sz w:val="32"/>
          <w:szCs w:val="32"/>
        </w:rPr>
        <w:t xml:space="preserve">il </w:t>
      </w:r>
      <w:r w:rsidR="00505BAA" w:rsidRPr="009500D1">
        <w:rPr>
          <w:rFonts w:ascii="Garamond" w:hAnsi="Garamond"/>
          <w:sz w:val="32"/>
          <w:szCs w:val="32"/>
        </w:rPr>
        <w:t xml:space="preserve">senso del </w:t>
      </w:r>
      <w:proofErr w:type="spellStart"/>
      <w:r w:rsidR="00505BAA" w:rsidRPr="009500D1">
        <w:rPr>
          <w:rFonts w:ascii="Garamond" w:hAnsi="Garamond"/>
          <w:i/>
          <w:sz w:val="32"/>
          <w:szCs w:val="32"/>
        </w:rPr>
        <w:t>remand</w:t>
      </w:r>
      <w:proofErr w:type="spellEnd"/>
      <w:r w:rsidR="00227824" w:rsidRPr="009500D1">
        <w:rPr>
          <w:rFonts w:ascii="Garamond" w:hAnsi="Garamond"/>
          <w:sz w:val="32"/>
          <w:szCs w:val="32"/>
        </w:rPr>
        <w:t xml:space="preserve">, che </w:t>
      </w:r>
      <w:r w:rsidR="00505BAA" w:rsidRPr="009500D1">
        <w:rPr>
          <w:rFonts w:ascii="Garamond" w:hAnsi="Garamond"/>
          <w:sz w:val="32"/>
          <w:szCs w:val="32"/>
        </w:rPr>
        <w:t>è quello di richiamare le parti alle loro responsabilità nel procedimento</w:t>
      </w:r>
      <w:r w:rsidR="00227824" w:rsidRPr="009500D1">
        <w:rPr>
          <w:rFonts w:ascii="Garamond" w:hAnsi="Garamond"/>
          <w:sz w:val="32"/>
          <w:szCs w:val="32"/>
        </w:rPr>
        <w:t xml:space="preserve"> amministrativo</w:t>
      </w:r>
      <w:r w:rsidR="00505BAA" w:rsidRPr="009500D1">
        <w:rPr>
          <w:rFonts w:ascii="Garamond" w:hAnsi="Garamond"/>
          <w:sz w:val="32"/>
          <w:szCs w:val="32"/>
        </w:rPr>
        <w:t xml:space="preserve">, un procedimento </w:t>
      </w:r>
      <w:r w:rsidRPr="009500D1">
        <w:rPr>
          <w:rFonts w:ascii="Garamond" w:hAnsi="Garamond"/>
          <w:sz w:val="32"/>
          <w:szCs w:val="32"/>
        </w:rPr>
        <w:t xml:space="preserve">(in concreto, quello che è sfociato nell’atto impugnato) </w:t>
      </w:r>
      <w:r w:rsidR="00505BAA" w:rsidRPr="009500D1">
        <w:rPr>
          <w:rFonts w:ascii="Garamond" w:hAnsi="Garamond"/>
          <w:sz w:val="32"/>
          <w:szCs w:val="32"/>
        </w:rPr>
        <w:t>evidentemente non adeguato a quei canoni di lealtà e di accuratezza nell’esame del materiale istruttorio, comprensivo delle controdeduzioni, per i quali è stato introdotto come regola dell’agire amministrativo</w:t>
      </w:r>
      <w:r w:rsidRPr="009500D1">
        <w:rPr>
          <w:rFonts w:ascii="Garamond" w:hAnsi="Garamond"/>
          <w:sz w:val="32"/>
          <w:szCs w:val="32"/>
        </w:rPr>
        <w:t>,</w:t>
      </w:r>
      <w:r w:rsidR="00227824" w:rsidRPr="009500D1">
        <w:rPr>
          <w:rFonts w:ascii="Garamond" w:hAnsi="Garamond"/>
          <w:sz w:val="32"/>
          <w:szCs w:val="32"/>
        </w:rPr>
        <w:t xml:space="preserve"> </w:t>
      </w:r>
      <w:r w:rsidRPr="009500D1">
        <w:rPr>
          <w:rFonts w:ascii="Garamond" w:hAnsi="Garamond"/>
          <w:sz w:val="32"/>
          <w:szCs w:val="32"/>
        </w:rPr>
        <w:t>un procedimento che, in definitiva,</w:t>
      </w:r>
      <w:r>
        <w:rPr>
          <w:rFonts w:ascii="Garamond" w:hAnsi="Garamond"/>
          <w:sz w:val="32"/>
          <w:szCs w:val="32"/>
        </w:rPr>
        <w:t xml:space="preserve"> </w:t>
      </w:r>
      <w:r w:rsidRPr="009500D1">
        <w:rPr>
          <w:rFonts w:ascii="Garamond" w:hAnsi="Garamond"/>
          <w:sz w:val="32"/>
          <w:szCs w:val="32"/>
        </w:rPr>
        <w:t>non</w:t>
      </w:r>
      <w:r>
        <w:rPr>
          <w:rFonts w:ascii="Garamond" w:hAnsi="Garamond"/>
          <w:sz w:val="32"/>
          <w:szCs w:val="32"/>
        </w:rPr>
        <w:t xml:space="preserve"> si è </w:t>
      </w:r>
      <w:r w:rsidRPr="009500D1">
        <w:rPr>
          <w:rFonts w:ascii="Garamond" w:hAnsi="Garamond"/>
          <w:sz w:val="32"/>
          <w:szCs w:val="32"/>
        </w:rPr>
        <w:t>sviluppato</w:t>
      </w:r>
      <w:r>
        <w:rPr>
          <w:rFonts w:ascii="Garamond" w:hAnsi="Garamond"/>
          <w:sz w:val="32"/>
          <w:szCs w:val="32"/>
        </w:rPr>
        <w:t xml:space="preserve"> correttamente perché le parti </w:t>
      </w:r>
      <w:r w:rsidRPr="009500D1">
        <w:rPr>
          <w:rFonts w:ascii="Garamond" w:hAnsi="Garamond"/>
          <w:sz w:val="32"/>
          <w:szCs w:val="32"/>
        </w:rPr>
        <w:t>non si sono realmente ascoltate, non hanno superato</w:t>
      </w:r>
      <w:r>
        <w:rPr>
          <w:rFonts w:ascii="Garamond" w:hAnsi="Garamond"/>
          <w:sz w:val="32"/>
          <w:szCs w:val="32"/>
        </w:rPr>
        <w:t xml:space="preserve"> le loro </w:t>
      </w:r>
      <w:r w:rsidRPr="009500D1">
        <w:rPr>
          <w:rFonts w:ascii="Garamond" w:hAnsi="Garamond"/>
          <w:sz w:val="32"/>
          <w:szCs w:val="32"/>
        </w:rPr>
        <w:t xml:space="preserve">posizioni precostituite per arrivare ad una corretta sintesi nella decisione pubblica. </w:t>
      </w:r>
    </w:p>
    <w:p w:rsidR="00093A73" w:rsidRPr="00DF03C5" w:rsidRDefault="009500D1" w:rsidP="00B060D9">
      <w:pPr>
        <w:ind w:left="708"/>
        <w:rPr>
          <w:rFonts w:ascii="Garamond" w:hAnsi="Garamond"/>
          <w:sz w:val="32"/>
          <w:szCs w:val="32"/>
        </w:rPr>
      </w:pPr>
      <w:r>
        <w:rPr>
          <w:rFonts w:ascii="Garamond" w:hAnsi="Garamond"/>
          <w:sz w:val="32"/>
          <w:szCs w:val="32"/>
        </w:rPr>
        <w:t xml:space="preserve">Le </w:t>
      </w:r>
      <w:r w:rsidR="00DF03C5">
        <w:rPr>
          <w:rFonts w:ascii="Garamond" w:hAnsi="Garamond"/>
          <w:sz w:val="32"/>
          <w:szCs w:val="32"/>
        </w:rPr>
        <w:t xml:space="preserve">considerazioni </w:t>
      </w:r>
      <w:r>
        <w:rPr>
          <w:rFonts w:ascii="Garamond" w:hAnsi="Garamond"/>
          <w:sz w:val="32"/>
          <w:szCs w:val="32"/>
        </w:rPr>
        <w:t xml:space="preserve">svolte </w:t>
      </w:r>
      <w:r w:rsidR="00DF03C5">
        <w:rPr>
          <w:rFonts w:ascii="Garamond" w:hAnsi="Garamond"/>
          <w:sz w:val="32"/>
          <w:szCs w:val="32"/>
        </w:rPr>
        <w:t xml:space="preserve">inducono a </w:t>
      </w:r>
      <w:r w:rsidR="00093A73" w:rsidRPr="00DF03C5">
        <w:rPr>
          <w:rFonts w:ascii="Garamond" w:hAnsi="Garamond"/>
          <w:sz w:val="32"/>
          <w:szCs w:val="32"/>
        </w:rPr>
        <w:t>riflettere anche sulla funzione</w:t>
      </w:r>
      <w:r w:rsidR="00DF03C5">
        <w:rPr>
          <w:rFonts w:ascii="Garamond" w:hAnsi="Garamond"/>
          <w:sz w:val="32"/>
          <w:szCs w:val="32"/>
        </w:rPr>
        <w:t xml:space="preserve"> della stessa </w:t>
      </w:r>
      <w:r w:rsidR="00FB2420">
        <w:rPr>
          <w:rFonts w:ascii="Garamond" w:hAnsi="Garamond"/>
          <w:sz w:val="32"/>
          <w:szCs w:val="32"/>
        </w:rPr>
        <w:t xml:space="preserve">udienza </w:t>
      </w:r>
      <w:r w:rsidR="00093A73" w:rsidRPr="00DF03C5">
        <w:rPr>
          <w:rFonts w:ascii="Garamond" w:hAnsi="Garamond"/>
          <w:sz w:val="32"/>
          <w:szCs w:val="32"/>
        </w:rPr>
        <w:t>cautelare.</w:t>
      </w:r>
    </w:p>
    <w:p w:rsidR="00130311" w:rsidRPr="00DF03C5" w:rsidRDefault="00130311" w:rsidP="00A03C9A">
      <w:pPr>
        <w:ind w:left="708"/>
        <w:jc w:val="both"/>
        <w:rPr>
          <w:rFonts w:ascii="Garamond" w:hAnsi="Garamond"/>
          <w:sz w:val="32"/>
          <w:szCs w:val="32"/>
        </w:rPr>
      </w:pPr>
      <w:r w:rsidRPr="00DF03C5">
        <w:rPr>
          <w:rFonts w:ascii="Garamond" w:hAnsi="Garamond"/>
          <w:sz w:val="32"/>
          <w:szCs w:val="32"/>
        </w:rPr>
        <w:t>In un processo in cui normalmente viene celebrata un’unica udienza di discussione della causa, l’udienza cautelare svolge varie funzioni: non solo quella di trattazione dell’istanza cautelare, ma anche</w:t>
      </w:r>
      <w:r w:rsidR="004A0CF6">
        <w:rPr>
          <w:rFonts w:ascii="Garamond" w:hAnsi="Garamond"/>
          <w:sz w:val="32"/>
          <w:szCs w:val="32"/>
        </w:rPr>
        <w:t xml:space="preserve"> quella </w:t>
      </w:r>
      <w:r w:rsidRPr="00DF03C5">
        <w:rPr>
          <w:rFonts w:ascii="Garamond" w:hAnsi="Garamond"/>
          <w:sz w:val="32"/>
          <w:szCs w:val="32"/>
        </w:rPr>
        <w:t>di udienza</w:t>
      </w:r>
      <w:r w:rsidR="00DF03C5">
        <w:rPr>
          <w:rFonts w:ascii="Garamond" w:hAnsi="Garamond"/>
          <w:sz w:val="32"/>
          <w:szCs w:val="32"/>
        </w:rPr>
        <w:t>-</w:t>
      </w:r>
      <w:r w:rsidRPr="00DF03C5">
        <w:rPr>
          <w:rFonts w:ascii="Garamond" w:hAnsi="Garamond"/>
          <w:sz w:val="32"/>
          <w:szCs w:val="32"/>
        </w:rPr>
        <w:t>filtro (in cui</w:t>
      </w:r>
      <w:r w:rsidR="00DF03C5">
        <w:rPr>
          <w:rFonts w:ascii="Garamond" w:hAnsi="Garamond"/>
          <w:sz w:val="32"/>
          <w:szCs w:val="32"/>
        </w:rPr>
        <w:t xml:space="preserve"> il giudice </w:t>
      </w:r>
      <w:r w:rsidR="00D3590A" w:rsidRPr="00DF03C5">
        <w:rPr>
          <w:rFonts w:ascii="Garamond" w:hAnsi="Garamond"/>
          <w:sz w:val="32"/>
          <w:szCs w:val="32"/>
        </w:rPr>
        <w:t xml:space="preserve">può </w:t>
      </w:r>
      <w:r w:rsidR="00DF03C5" w:rsidRPr="00DF03C5">
        <w:rPr>
          <w:rFonts w:ascii="Garamond" w:hAnsi="Garamond"/>
          <w:sz w:val="32"/>
          <w:szCs w:val="32"/>
        </w:rPr>
        <w:t>verificare l’esigenza di un’istruttoria,</w:t>
      </w:r>
      <w:r w:rsidR="00DF03C5">
        <w:rPr>
          <w:rFonts w:ascii="Garamond" w:hAnsi="Garamond"/>
          <w:sz w:val="32"/>
          <w:szCs w:val="32"/>
        </w:rPr>
        <w:t xml:space="preserve"> affrontare </w:t>
      </w:r>
      <w:r w:rsidR="00DF03C5" w:rsidRPr="00DF03C5">
        <w:rPr>
          <w:rFonts w:ascii="Garamond" w:hAnsi="Garamond"/>
          <w:sz w:val="32"/>
          <w:szCs w:val="32"/>
        </w:rPr>
        <w:t>la questione della giurisdizione e competenza</w:t>
      </w:r>
      <w:r w:rsidR="00DF03C5">
        <w:rPr>
          <w:rFonts w:ascii="Garamond" w:hAnsi="Garamond"/>
          <w:sz w:val="32"/>
          <w:szCs w:val="32"/>
        </w:rPr>
        <w:t>,</w:t>
      </w:r>
      <w:r w:rsidR="00DF03C5" w:rsidRPr="00DF03C5">
        <w:rPr>
          <w:rFonts w:ascii="Garamond" w:hAnsi="Garamond"/>
          <w:sz w:val="32"/>
          <w:szCs w:val="32"/>
        </w:rPr>
        <w:t xml:space="preserve"> </w:t>
      </w:r>
      <w:r w:rsidR="00D3590A" w:rsidRPr="00DF03C5">
        <w:rPr>
          <w:rFonts w:ascii="Garamond" w:hAnsi="Garamond"/>
          <w:sz w:val="32"/>
          <w:szCs w:val="32"/>
        </w:rPr>
        <w:t>stabilire d</w:t>
      </w:r>
      <w:r w:rsidR="003C7969">
        <w:rPr>
          <w:rFonts w:ascii="Garamond" w:hAnsi="Garamond"/>
          <w:sz w:val="32"/>
          <w:szCs w:val="32"/>
        </w:rPr>
        <w:t>i pronunciarsi immediatamente ne</w:t>
      </w:r>
      <w:r w:rsidR="00D3590A" w:rsidRPr="00DF03C5">
        <w:rPr>
          <w:rFonts w:ascii="Garamond" w:hAnsi="Garamond"/>
          <w:sz w:val="32"/>
          <w:szCs w:val="32"/>
        </w:rPr>
        <w:t>l merito,</w:t>
      </w:r>
      <w:r w:rsidR="00DF03C5">
        <w:rPr>
          <w:rFonts w:ascii="Garamond" w:hAnsi="Garamond"/>
          <w:sz w:val="32"/>
          <w:szCs w:val="32"/>
        </w:rPr>
        <w:t xml:space="preserve"> di </w:t>
      </w:r>
      <w:r w:rsidRPr="00DF03C5">
        <w:rPr>
          <w:rFonts w:ascii="Garamond" w:hAnsi="Garamond"/>
          <w:sz w:val="32"/>
          <w:szCs w:val="32"/>
        </w:rPr>
        <w:t xml:space="preserve">fissare l’udienza, </w:t>
      </w:r>
      <w:r w:rsidR="00B060D9" w:rsidRPr="00B060D9">
        <w:rPr>
          <w:rFonts w:ascii="Garamond" w:hAnsi="Garamond"/>
          <w:sz w:val="32"/>
          <w:szCs w:val="32"/>
        </w:rPr>
        <w:t xml:space="preserve">in cui </w:t>
      </w:r>
      <w:r w:rsidR="00DF03C5">
        <w:rPr>
          <w:rFonts w:ascii="Garamond" w:hAnsi="Garamond"/>
          <w:sz w:val="32"/>
          <w:szCs w:val="32"/>
        </w:rPr>
        <w:t xml:space="preserve">il ricorrente può </w:t>
      </w:r>
      <w:r w:rsidRPr="00DF03C5">
        <w:rPr>
          <w:rFonts w:ascii="Garamond" w:hAnsi="Garamond"/>
          <w:sz w:val="32"/>
          <w:szCs w:val="32"/>
        </w:rPr>
        <w:t>rinunciare ai motivi di ricorso ai fini della fissazione prioritaria del merito di cui all’articolo 72 del codice</w:t>
      </w:r>
      <w:r w:rsidR="00B060D9">
        <w:rPr>
          <w:rFonts w:ascii="Garamond" w:hAnsi="Garamond"/>
          <w:sz w:val="32"/>
          <w:szCs w:val="32"/>
        </w:rPr>
        <w:t xml:space="preserve"> o comunque assumere tutte le determinazioni che il principio dispositivo le consente</w:t>
      </w:r>
      <w:r w:rsidRPr="00DF03C5">
        <w:rPr>
          <w:rFonts w:ascii="Garamond" w:hAnsi="Garamond"/>
          <w:sz w:val="32"/>
          <w:szCs w:val="32"/>
        </w:rPr>
        <w:t>).</w:t>
      </w:r>
    </w:p>
    <w:p w:rsidR="00A03C9A" w:rsidRDefault="00B060D9" w:rsidP="00A03C9A">
      <w:pPr>
        <w:ind w:left="708"/>
        <w:jc w:val="both"/>
        <w:rPr>
          <w:rFonts w:ascii="Garamond" w:hAnsi="Garamond"/>
          <w:sz w:val="32"/>
          <w:szCs w:val="32"/>
        </w:rPr>
      </w:pPr>
      <w:r>
        <w:rPr>
          <w:rFonts w:ascii="Garamond" w:hAnsi="Garamond"/>
          <w:sz w:val="32"/>
          <w:szCs w:val="32"/>
        </w:rPr>
        <w:t xml:space="preserve">Essa rappresenta </w:t>
      </w:r>
      <w:r w:rsidR="00130311" w:rsidRPr="00DF03C5">
        <w:rPr>
          <w:rFonts w:ascii="Garamond" w:hAnsi="Garamond"/>
          <w:sz w:val="32"/>
          <w:szCs w:val="32"/>
        </w:rPr>
        <w:t>comunque un’udienza di prima comparizione in cui</w:t>
      </w:r>
      <w:r w:rsidR="009500D1">
        <w:rPr>
          <w:rFonts w:ascii="Garamond" w:hAnsi="Garamond"/>
          <w:sz w:val="32"/>
          <w:szCs w:val="32"/>
        </w:rPr>
        <w:t xml:space="preserve"> </w:t>
      </w:r>
      <w:r w:rsidR="00A03C9A">
        <w:rPr>
          <w:rFonts w:ascii="Garamond" w:hAnsi="Garamond"/>
          <w:sz w:val="32"/>
          <w:szCs w:val="32"/>
        </w:rPr>
        <w:t>i soggetti si esprimono sul</w:t>
      </w:r>
      <w:r w:rsidR="009500D1">
        <w:rPr>
          <w:rFonts w:ascii="Garamond" w:hAnsi="Garamond"/>
          <w:sz w:val="32"/>
          <w:szCs w:val="32"/>
        </w:rPr>
        <w:t xml:space="preserve"> </w:t>
      </w:r>
      <w:proofErr w:type="spellStart"/>
      <w:r w:rsidR="00130311" w:rsidRPr="00DF03C5">
        <w:rPr>
          <w:rFonts w:ascii="Garamond" w:hAnsi="Garamond"/>
          <w:i/>
          <w:sz w:val="32"/>
          <w:szCs w:val="32"/>
        </w:rPr>
        <w:t>thema</w:t>
      </w:r>
      <w:proofErr w:type="spellEnd"/>
      <w:r w:rsidR="00130311" w:rsidRPr="00DF03C5">
        <w:rPr>
          <w:rFonts w:ascii="Garamond" w:hAnsi="Garamond"/>
          <w:i/>
          <w:sz w:val="32"/>
          <w:szCs w:val="32"/>
        </w:rPr>
        <w:t xml:space="preserve"> </w:t>
      </w:r>
      <w:proofErr w:type="spellStart"/>
      <w:r w:rsidR="00130311" w:rsidRPr="00DF03C5">
        <w:rPr>
          <w:rFonts w:ascii="Garamond" w:hAnsi="Garamond"/>
          <w:i/>
          <w:sz w:val="32"/>
          <w:szCs w:val="32"/>
        </w:rPr>
        <w:t>decidendum</w:t>
      </w:r>
      <w:proofErr w:type="spellEnd"/>
      <w:r w:rsidR="00130311" w:rsidRPr="00DF03C5">
        <w:rPr>
          <w:rFonts w:ascii="Garamond" w:hAnsi="Garamond"/>
          <w:sz w:val="32"/>
          <w:szCs w:val="32"/>
        </w:rPr>
        <w:t xml:space="preserve"> e perciò anche, come accennavo prima, il luogo in cui deve concretizzarsi la lealtà delle parti e il dovere di cooperare per la realizzazione della ragionevole durata del </w:t>
      </w:r>
      <w:r w:rsidR="00DF03C5">
        <w:rPr>
          <w:rFonts w:ascii="Garamond" w:hAnsi="Garamond"/>
          <w:sz w:val="32"/>
          <w:szCs w:val="32"/>
        </w:rPr>
        <w:t>giudizio,</w:t>
      </w:r>
      <w:r w:rsidR="00130311" w:rsidRPr="00DF03C5">
        <w:rPr>
          <w:rFonts w:ascii="Garamond" w:hAnsi="Garamond"/>
          <w:sz w:val="32"/>
          <w:szCs w:val="32"/>
        </w:rPr>
        <w:t xml:space="preserve"> in cui gli attori del processo debbono assumere le proprie responsabilità </w:t>
      </w:r>
      <w:r w:rsidR="006114E1" w:rsidRPr="00DF03C5">
        <w:rPr>
          <w:rFonts w:ascii="Garamond" w:hAnsi="Garamond"/>
          <w:sz w:val="32"/>
          <w:szCs w:val="32"/>
        </w:rPr>
        <w:t>nel precisare le domande,</w:t>
      </w:r>
      <w:r w:rsidR="004A0CF6">
        <w:rPr>
          <w:rFonts w:ascii="Garamond" w:hAnsi="Garamond"/>
          <w:sz w:val="32"/>
          <w:szCs w:val="32"/>
        </w:rPr>
        <w:t xml:space="preserve"> nel </w:t>
      </w:r>
      <w:r w:rsidR="009500D1">
        <w:rPr>
          <w:rFonts w:ascii="Garamond" w:hAnsi="Garamond"/>
          <w:sz w:val="32"/>
          <w:szCs w:val="32"/>
        </w:rPr>
        <w:t xml:space="preserve">sollevare le </w:t>
      </w:r>
      <w:r w:rsidR="006114E1" w:rsidRPr="00DF03C5">
        <w:rPr>
          <w:rFonts w:ascii="Garamond" w:hAnsi="Garamond"/>
          <w:sz w:val="32"/>
          <w:szCs w:val="32"/>
        </w:rPr>
        <w:t>eccezioni</w:t>
      </w:r>
      <w:r w:rsidR="009500D1">
        <w:rPr>
          <w:rFonts w:ascii="Garamond" w:hAnsi="Garamond"/>
          <w:sz w:val="32"/>
          <w:szCs w:val="32"/>
        </w:rPr>
        <w:t xml:space="preserve"> </w:t>
      </w:r>
      <w:r w:rsidR="003C7969">
        <w:rPr>
          <w:rFonts w:ascii="Garamond" w:hAnsi="Garamond"/>
          <w:sz w:val="32"/>
          <w:szCs w:val="32"/>
        </w:rPr>
        <w:t xml:space="preserve">e </w:t>
      </w:r>
      <w:r w:rsidR="004A0CF6">
        <w:rPr>
          <w:rFonts w:ascii="Garamond" w:hAnsi="Garamond"/>
          <w:sz w:val="32"/>
          <w:szCs w:val="32"/>
        </w:rPr>
        <w:t>nell’esplicitare</w:t>
      </w:r>
      <w:r w:rsidR="009500D1">
        <w:rPr>
          <w:rFonts w:ascii="Garamond" w:hAnsi="Garamond"/>
          <w:sz w:val="32"/>
          <w:szCs w:val="32"/>
        </w:rPr>
        <w:t xml:space="preserve"> </w:t>
      </w:r>
      <w:r w:rsidR="006114E1" w:rsidRPr="00DF03C5">
        <w:rPr>
          <w:rFonts w:ascii="Garamond" w:hAnsi="Garamond"/>
          <w:sz w:val="32"/>
          <w:szCs w:val="32"/>
        </w:rPr>
        <w:t>le conclusioni, in cui devono rendere i chiarimenti necessari richiesti dal giudice (</w:t>
      </w:r>
      <w:r w:rsidR="00DF03C5">
        <w:rPr>
          <w:rFonts w:ascii="Garamond" w:hAnsi="Garamond"/>
          <w:sz w:val="32"/>
          <w:szCs w:val="32"/>
        </w:rPr>
        <w:t xml:space="preserve">a somiglianza </w:t>
      </w:r>
      <w:r w:rsidR="006114E1" w:rsidRPr="00DF03C5">
        <w:rPr>
          <w:rFonts w:ascii="Garamond" w:hAnsi="Garamond"/>
          <w:sz w:val="32"/>
          <w:szCs w:val="32"/>
        </w:rPr>
        <w:t>di quanto previsto dall’articolo 183 del codice di procedura civile</w:t>
      </w:r>
      <w:r w:rsidR="00DF03C5">
        <w:rPr>
          <w:rFonts w:ascii="Garamond" w:hAnsi="Garamond"/>
          <w:sz w:val="32"/>
          <w:szCs w:val="32"/>
        </w:rPr>
        <w:t>)</w:t>
      </w:r>
      <w:r w:rsidR="006114E1" w:rsidRPr="00DF03C5">
        <w:rPr>
          <w:rFonts w:ascii="Garamond" w:hAnsi="Garamond"/>
          <w:sz w:val="32"/>
          <w:szCs w:val="32"/>
        </w:rPr>
        <w:t>. È</w:t>
      </w:r>
      <w:r w:rsidR="00DF03C5">
        <w:rPr>
          <w:rFonts w:ascii="Garamond" w:hAnsi="Garamond"/>
          <w:sz w:val="32"/>
          <w:szCs w:val="32"/>
        </w:rPr>
        <w:t xml:space="preserve"> dunque </w:t>
      </w:r>
      <w:r w:rsidR="006114E1" w:rsidRPr="00DF03C5">
        <w:rPr>
          <w:rFonts w:ascii="Garamond" w:hAnsi="Garamond"/>
          <w:sz w:val="32"/>
          <w:szCs w:val="32"/>
        </w:rPr>
        <w:t>anche il luogo dovrebbe in senso lato essere tentata la conciliazione</w:t>
      </w:r>
      <w:r w:rsidR="00FB2420">
        <w:rPr>
          <w:rFonts w:ascii="Garamond" w:hAnsi="Garamond"/>
          <w:sz w:val="32"/>
          <w:szCs w:val="32"/>
        </w:rPr>
        <w:t xml:space="preserve">, </w:t>
      </w:r>
      <w:r w:rsidR="00FB2420" w:rsidRPr="00FB2420">
        <w:rPr>
          <w:rFonts w:ascii="Garamond" w:hAnsi="Garamond"/>
          <w:sz w:val="32"/>
          <w:szCs w:val="32"/>
        </w:rPr>
        <w:t>come</w:t>
      </w:r>
      <w:r w:rsidR="004A0CF6">
        <w:rPr>
          <w:rFonts w:ascii="Garamond" w:hAnsi="Garamond"/>
          <w:sz w:val="32"/>
          <w:szCs w:val="32"/>
        </w:rPr>
        <w:t>,</w:t>
      </w:r>
      <w:r w:rsidR="00FB2420" w:rsidRPr="00FB2420">
        <w:rPr>
          <w:rFonts w:ascii="Garamond" w:hAnsi="Garamond"/>
          <w:sz w:val="32"/>
          <w:szCs w:val="32"/>
        </w:rPr>
        <w:t xml:space="preserve"> ad esempio</w:t>
      </w:r>
      <w:r w:rsidR="004A0CF6">
        <w:rPr>
          <w:rFonts w:ascii="Garamond" w:hAnsi="Garamond"/>
          <w:sz w:val="32"/>
          <w:szCs w:val="32"/>
        </w:rPr>
        <w:t>,</w:t>
      </w:r>
      <w:r w:rsidR="00FB2420" w:rsidRPr="00FB2420">
        <w:rPr>
          <w:rFonts w:ascii="Garamond" w:hAnsi="Garamond"/>
          <w:sz w:val="32"/>
          <w:szCs w:val="32"/>
        </w:rPr>
        <w:t xml:space="preserve"> avviene nel processo olandese</w:t>
      </w:r>
      <w:r w:rsidR="00FB2420">
        <w:rPr>
          <w:rStyle w:val="Rimandonotaapidipagina"/>
          <w:rFonts w:ascii="Garamond" w:hAnsi="Garamond"/>
          <w:sz w:val="32"/>
          <w:szCs w:val="32"/>
        </w:rPr>
        <w:footnoteReference w:id="25"/>
      </w:r>
      <w:r w:rsidR="00FB2420" w:rsidRPr="00FB2420">
        <w:rPr>
          <w:rFonts w:ascii="Garamond" w:hAnsi="Garamond"/>
          <w:sz w:val="32"/>
          <w:szCs w:val="32"/>
        </w:rPr>
        <w:t>.</w:t>
      </w:r>
    </w:p>
    <w:p w:rsidR="006114E1" w:rsidRPr="00DF03C5" w:rsidRDefault="00A03C9A" w:rsidP="00A03C9A">
      <w:pPr>
        <w:ind w:left="708"/>
        <w:jc w:val="both"/>
        <w:rPr>
          <w:rFonts w:ascii="Garamond" w:hAnsi="Garamond"/>
          <w:sz w:val="32"/>
          <w:szCs w:val="32"/>
        </w:rPr>
      </w:pPr>
      <w:r>
        <w:rPr>
          <w:rFonts w:ascii="Garamond" w:hAnsi="Garamond"/>
          <w:sz w:val="32"/>
          <w:szCs w:val="32"/>
        </w:rPr>
        <w:t xml:space="preserve">A questo proposito non </w:t>
      </w:r>
      <w:r w:rsidR="00DF03C5">
        <w:rPr>
          <w:rFonts w:ascii="Garamond" w:hAnsi="Garamond"/>
          <w:sz w:val="32"/>
          <w:szCs w:val="32"/>
        </w:rPr>
        <w:t xml:space="preserve">si vogliono </w:t>
      </w:r>
      <w:r w:rsidR="006114E1" w:rsidRPr="00DF03C5">
        <w:rPr>
          <w:rFonts w:ascii="Garamond" w:hAnsi="Garamond"/>
          <w:sz w:val="32"/>
          <w:szCs w:val="32"/>
        </w:rPr>
        <w:t xml:space="preserve">sottovalutare le differenze </w:t>
      </w:r>
      <w:r w:rsidR="00DF03C5">
        <w:rPr>
          <w:rFonts w:ascii="Garamond" w:hAnsi="Garamond"/>
          <w:sz w:val="32"/>
          <w:szCs w:val="32"/>
        </w:rPr>
        <w:t>tra il processo amministrativo e quello civile</w:t>
      </w:r>
      <w:r w:rsidR="00FB2420">
        <w:rPr>
          <w:rStyle w:val="Rimandonotaapidipagina"/>
          <w:rFonts w:ascii="Garamond" w:hAnsi="Garamond"/>
          <w:sz w:val="32"/>
          <w:szCs w:val="32"/>
        </w:rPr>
        <w:footnoteReference w:id="26"/>
      </w:r>
      <w:r w:rsidR="00DF03C5">
        <w:rPr>
          <w:rFonts w:ascii="Garamond" w:hAnsi="Garamond"/>
          <w:sz w:val="32"/>
          <w:szCs w:val="32"/>
        </w:rPr>
        <w:t xml:space="preserve"> né </w:t>
      </w:r>
      <w:r w:rsidR="004A0CF6">
        <w:rPr>
          <w:rFonts w:ascii="Garamond" w:hAnsi="Garamond"/>
          <w:sz w:val="32"/>
          <w:szCs w:val="32"/>
        </w:rPr>
        <w:t xml:space="preserve">si intende </w:t>
      </w:r>
      <w:r w:rsidR="00DF03C5">
        <w:rPr>
          <w:rFonts w:ascii="Garamond" w:hAnsi="Garamond"/>
          <w:sz w:val="32"/>
          <w:szCs w:val="32"/>
        </w:rPr>
        <w:t>porre in dubbio l’indisponibilità dell’interesse pubblico;</w:t>
      </w:r>
      <w:r w:rsidR="00FB2420">
        <w:rPr>
          <w:rFonts w:ascii="Garamond" w:hAnsi="Garamond"/>
          <w:sz w:val="32"/>
          <w:szCs w:val="32"/>
        </w:rPr>
        <w:t xml:space="preserve"> si intende solo </w:t>
      </w:r>
      <w:r w:rsidR="00A61628" w:rsidRPr="00DF03C5">
        <w:rPr>
          <w:rFonts w:ascii="Garamond" w:hAnsi="Garamond"/>
          <w:sz w:val="32"/>
          <w:szCs w:val="32"/>
        </w:rPr>
        <w:t>sottolineare che è funzione di ogni giudice quella di preservare il ruolo del processo come soluzione della patologia dei rapporti e di favorire</w:t>
      </w:r>
      <w:r w:rsidR="00FB2420">
        <w:rPr>
          <w:rFonts w:ascii="Garamond" w:hAnsi="Garamond"/>
          <w:sz w:val="32"/>
          <w:szCs w:val="32"/>
        </w:rPr>
        <w:t>,</w:t>
      </w:r>
      <w:r w:rsidR="00A61628" w:rsidRPr="00DF03C5">
        <w:rPr>
          <w:rFonts w:ascii="Garamond" w:hAnsi="Garamond"/>
          <w:sz w:val="32"/>
          <w:szCs w:val="32"/>
        </w:rPr>
        <w:t xml:space="preserve"> quando è possibile</w:t>
      </w:r>
      <w:r w:rsidR="00FB2420">
        <w:rPr>
          <w:rFonts w:ascii="Garamond" w:hAnsi="Garamond"/>
          <w:sz w:val="32"/>
          <w:szCs w:val="32"/>
        </w:rPr>
        <w:t>,</w:t>
      </w:r>
      <w:r w:rsidR="00A61628" w:rsidRPr="00DF03C5">
        <w:rPr>
          <w:rFonts w:ascii="Garamond" w:hAnsi="Garamond"/>
          <w:sz w:val="32"/>
          <w:szCs w:val="32"/>
        </w:rPr>
        <w:t xml:space="preserve"> la fisiologia dell’applicazione spontanea dei precetti giuridici.</w:t>
      </w:r>
    </w:p>
    <w:p w:rsidR="00A61628" w:rsidRDefault="00A03C9A" w:rsidP="00594BB4">
      <w:pPr>
        <w:ind w:left="708"/>
        <w:jc w:val="both"/>
        <w:rPr>
          <w:rFonts w:ascii="Garamond" w:hAnsi="Garamond"/>
          <w:sz w:val="32"/>
          <w:szCs w:val="32"/>
        </w:rPr>
      </w:pPr>
      <w:r w:rsidRPr="00594BB4">
        <w:rPr>
          <w:rFonts w:ascii="Garamond" w:hAnsi="Garamond"/>
          <w:sz w:val="32"/>
          <w:szCs w:val="32"/>
        </w:rPr>
        <w:t xml:space="preserve">In questa prospettiva </w:t>
      </w:r>
      <w:r w:rsidR="00A61628" w:rsidRPr="00594BB4">
        <w:rPr>
          <w:rFonts w:ascii="Garamond" w:hAnsi="Garamond"/>
          <w:sz w:val="32"/>
          <w:szCs w:val="32"/>
        </w:rPr>
        <w:t>(</w:t>
      </w:r>
      <w:r w:rsidR="001E3F73" w:rsidRPr="00594BB4">
        <w:rPr>
          <w:rFonts w:ascii="Garamond" w:hAnsi="Garamond"/>
          <w:sz w:val="32"/>
          <w:szCs w:val="32"/>
        </w:rPr>
        <w:t xml:space="preserve">e l’osservazione finale scaturisce dalla presenza del professor Caputi </w:t>
      </w:r>
      <w:proofErr w:type="spellStart"/>
      <w:r w:rsidR="001E3F73" w:rsidRPr="00594BB4">
        <w:rPr>
          <w:rFonts w:ascii="Garamond" w:hAnsi="Garamond"/>
          <w:sz w:val="32"/>
          <w:szCs w:val="32"/>
        </w:rPr>
        <w:t>Jambrenghi</w:t>
      </w:r>
      <w:proofErr w:type="spellEnd"/>
      <w:r w:rsidR="001E3F73" w:rsidRPr="00594BB4">
        <w:rPr>
          <w:rFonts w:ascii="Garamond" w:hAnsi="Garamond"/>
          <w:sz w:val="32"/>
          <w:szCs w:val="32"/>
        </w:rPr>
        <w:t>, che si è interessato del tema anche nell’ambito dell’elaborazione delle proposte di riforma dell’Unione nazionale avvocati amministrativisti),</w:t>
      </w:r>
      <w:r w:rsidR="00594BB4" w:rsidRPr="00594BB4">
        <w:rPr>
          <w:rFonts w:ascii="Garamond" w:hAnsi="Garamond"/>
          <w:sz w:val="32"/>
          <w:szCs w:val="32"/>
        </w:rPr>
        <w:t xml:space="preserve"> non sembrano fruttuosi </w:t>
      </w:r>
      <w:r w:rsidR="00A61628" w:rsidRPr="00594BB4">
        <w:rPr>
          <w:rFonts w:ascii="Garamond" w:hAnsi="Garamond"/>
          <w:sz w:val="32"/>
          <w:szCs w:val="32"/>
        </w:rPr>
        <w:t>gli sforzi degli avvocati</w:t>
      </w:r>
      <w:r w:rsidR="00594BB4" w:rsidRPr="00594BB4">
        <w:rPr>
          <w:rFonts w:ascii="Garamond" w:hAnsi="Garamond"/>
          <w:sz w:val="32"/>
          <w:szCs w:val="32"/>
        </w:rPr>
        <w:t xml:space="preserve"> tendenti a coltivare </w:t>
      </w:r>
      <w:r w:rsidR="004B0D32">
        <w:rPr>
          <w:rFonts w:ascii="Garamond" w:hAnsi="Garamond"/>
          <w:sz w:val="32"/>
          <w:szCs w:val="32"/>
        </w:rPr>
        <w:t>l’idea che soluzioni di stampo</w:t>
      </w:r>
      <w:r w:rsidR="00A61628" w:rsidRPr="00594BB4">
        <w:rPr>
          <w:rFonts w:ascii="Garamond" w:hAnsi="Garamond"/>
          <w:sz w:val="32"/>
          <w:szCs w:val="32"/>
        </w:rPr>
        <w:t xml:space="preserve"> anglosassone, come le ADR, possano attecchire nell’ordinamento italiano e possano sortire dei veri effetti benefici</w:t>
      </w:r>
      <w:r w:rsidR="00594BB4" w:rsidRPr="00594BB4">
        <w:rPr>
          <w:rFonts w:ascii="Garamond" w:hAnsi="Garamond"/>
          <w:sz w:val="32"/>
          <w:szCs w:val="32"/>
        </w:rPr>
        <w:t>. Una</w:t>
      </w:r>
      <w:r w:rsidR="00A61628" w:rsidRPr="00594BB4">
        <w:rPr>
          <w:rFonts w:ascii="Garamond" w:hAnsi="Garamond"/>
          <w:sz w:val="32"/>
          <w:szCs w:val="32"/>
        </w:rPr>
        <w:t xml:space="preserve"> mediazione extraprocessuale</w:t>
      </w:r>
      <w:r w:rsidR="004B0D32">
        <w:rPr>
          <w:rFonts w:ascii="Garamond" w:hAnsi="Garamond"/>
          <w:sz w:val="32"/>
          <w:szCs w:val="32"/>
        </w:rPr>
        <w:t xml:space="preserve"> (priva di qualsiasi avallo da parte del giudice)</w:t>
      </w:r>
      <w:r w:rsidR="00A61628" w:rsidRPr="00594BB4">
        <w:rPr>
          <w:rFonts w:ascii="Garamond" w:hAnsi="Garamond"/>
          <w:sz w:val="32"/>
          <w:szCs w:val="32"/>
        </w:rPr>
        <w:t xml:space="preserve">, in quanto tale, </w:t>
      </w:r>
      <w:r w:rsidR="00594BB4" w:rsidRPr="00594BB4">
        <w:rPr>
          <w:rFonts w:ascii="Garamond" w:hAnsi="Garamond"/>
          <w:sz w:val="32"/>
          <w:szCs w:val="32"/>
        </w:rPr>
        <w:t xml:space="preserve">infatti </w:t>
      </w:r>
      <w:r w:rsidR="00A61628" w:rsidRPr="00594BB4">
        <w:rPr>
          <w:rFonts w:ascii="Garamond" w:hAnsi="Garamond"/>
          <w:sz w:val="32"/>
          <w:szCs w:val="32"/>
        </w:rPr>
        <w:t>non</w:t>
      </w:r>
      <w:r w:rsidR="00594BB4">
        <w:rPr>
          <w:rFonts w:ascii="Garamond" w:hAnsi="Garamond"/>
          <w:sz w:val="32"/>
          <w:szCs w:val="32"/>
        </w:rPr>
        <w:t xml:space="preserve"> potrebbe aiutare, nelle condizioni attuali, </w:t>
      </w:r>
      <w:r w:rsidR="00A61628" w:rsidRPr="00594BB4">
        <w:rPr>
          <w:rFonts w:ascii="Garamond" w:hAnsi="Garamond"/>
          <w:sz w:val="32"/>
          <w:szCs w:val="32"/>
        </w:rPr>
        <w:t xml:space="preserve">a superare gli ostacoli che l’amministrazione </w:t>
      </w:r>
      <w:r w:rsidR="00594BB4" w:rsidRPr="00594BB4">
        <w:rPr>
          <w:rFonts w:ascii="Garamond" w:hAnsi="Garamond"/>
          <w:sz w:val="32"/>
          <w:szCs w:val="32"/>
        </w:rPr>
        <w:t xml:space="preserve">(oggi etichettata come “difensiva”) </w:t>
      </w:r>
      <w:r w:rsidR="00A61628" w:rsidRPr="00594BB4">
        <w:rPr>
          <w:rFonts w:ascii="Garamond" w:hAnsi="Garamond"/>
          <w:sz w:val="32"/>
          <w:szCs w:val="32"/>
        </w:rPr>
        <w:t>e soprattutto i propri dirigenti e funzionari incontrano nell’intraprendere strade conciliative.</w:t>
      </w:r>
    </w:p>
    <w:p w:rsidR="00594BB4" w:rsidRPr="00594BB4" w:rsidRDefault="00594BB4" w:rsidP="00446EF8">
      <w:pPr>
        <w:spacing w:line="240" w:lineRule="auto"/>
        <w:ind w:left="708"/>
        <w:jc w:val="right"/>
        <w:rPr>
          <w:rFonts w:ascii="Garamond" w:hAnsi="Garamond"/>
          <w:i/>
          <w:sz w:val="32"/>
          <w:szCs w:val="32"/>
        </w:rPr>
      </w:pPr>
      <w:r w:rsidRPr="00594BB4">
        <w:rPr>
          <w:rFonts w:ascii="Garamond" w:hAnsi="Garamond"/>
          <w:i/>
          <w:sz w:val="32"/>
          <w:szCs w:val="32"/>
        </w:rPr>
        <w:t>Giuseppina Adamo</w:t>
      </w:r>
    </w:p>
    <w:p w:rsidR="00594BB4" w:rsidRDefault="00594BB4" w:rsidP="00446EF8">
      <w:pPr>
        <w:spacing w:line="240" w:lineRule="auto"/>
        <w:ind w:left="708"/>
        <w:jc w:val="right"/>
        <w:rPr>
          <w:rFonts w:ascii="Garamond" w:hAnsi="Garamond"/>
          <w:sz w:val="32"/>
          <w:szCs w:val="32"/>
        </w:rPr>
      </w:pPr>
      <w:proofErr w:type="gramStart"/>
      <w:r>
        <w:rPr>
          <w:rFonts w:ascii="Garamond" w:hAnsi="Garamond"/>
          <w:sz w:val="32"/>
          <w:szCs w:val="32"/>
        </w:rPr>
        <w:t>consigliere</w:t>
      </w:r>
      <w:proofErr w:type="gramEnd"/>
      <w:r>
        <w:rPr>
          <w:rFonts w:ascii="Garamond" w:hAnsi="Garamond"/>
          <w:sz w:val="32"/>
          <w:szCs w:val="32"/>
        </w:rPr>
        <w:t xml:space="preserve"> T</w:t>
      </w:r>
      <w:r w:rsidR="003723D9">
        <w:rPr>
          <w:rFonts w:ascii="Garamond" w:hAnsi="Garamond"/>
          <w:sz w:val="32"/>
          <w:szCs w:val="32"/>
        </w:rPr>
        <w:t>ar Bari</w:t>
      </w:r>
    </w:p>
    <w:p w:rsidR="003723D9" w:rsidRDefault="003723D9" w:rsidP="00446EF8">
      <w:pPr>
        <w:spacing w:line="240" w:lineRule="auto"/>
        <w:ind w:left="708"/>
        <w:jc w:val="right"/>
        <w:rPr>
          <w:rFonts w:ascii="Garamond" w:hAnsi="Garamond"/>
          <w:sz w:val="32"/>
          <w:szCs w:val="32"/>
        </w:rPr>
      </w:pPr>
    </w:p>
    <w:p w:rsidR="003723D9" w:rsidRPr="00FB2420" w:rsidRDefault="003723D9" w:rsidP="00446EF8">
      <w:pPr>
        <w:spacing w:line="240" w:lineRule="auto"/>
        <w:ind w:left="708"/>
        <w:jc w:val="right"/>
        <w:rPr>
          <w:rFonts w:ascii="Garamond" w:hAnsi="Garamond"/>
          <w:sz w:val="32"/>
          <w:szCs w:val="32"/>
        </w:rPr>
      </w:pPr>
      <w:r>
        <w:rPr>
          <w:rFonts w:ascii="Garamond" w:hAnsi="Garamond"/>
          <w:sz w:val="32"/>
          <w:szCs w:val="32"/>
        </w:rPr>
        <w:t>pubblicato il 12 agosto 2019</w:t>
      </w:r>
      <w:bookmarkStart w:id="0" w:name="_GoBack"/>
      <w:bookmarkEnd w:id="0"/>
    </w:p>
    <w:p w:rsidR="00FA2358" w:rsidRPr="002757C2" w:rsidRDefault="00FA2358" w:rsidP="00B060D9">
      <w:pPr>
        <w:ind w:left="708"/>
        <w:rPr>
          <w:rFonts w:ascii="Garamond" w:hAnsi="Garamond"/>
          <w:sz w:val="32"/>
          <w:szCs w:val="32"/>
        </w:rPr>
      </w:pPr>
    </w:p>
    <w:p w:rsidR="009F674F" w:rsidRPr="002757C2" w:rsidRDefault="009F674F" w:rsidP="00B060D9">
      <w:pPr>
        <w:ind w:left="708"/>
        <w:rPr>
          <w:rFonts w:ascii="Garamond" w:hAnsi="Garamond"/>
          <w:sz w:val="32"/>
          <w:szCs w:val="32"/>
        </w:rPr>
      </w:pPr>
    </w:p>
    <w:p w:rsidR="00F27D29" w:rsidRPr="002757C2" w:rsidRDefault="00F27D29" w:rsidP="00B060D9">
      <w:pPr>
        <w:ind w:left="708"/>
        <w:rPr>
          <w:rFonts w:ascii="Garamond" w:hAnsi="Garamond"/>
          <w:sz w:val="32"/>
          <w:szCs w:val="32"/>
        </w:rPr>
      </w:pPr>
    </w:p>
    <w:p w:rsidR="00DC3A3A" w:rsidRPr="002757C2" w:rsidRDefault="00DC3A3A" w:rsidP="00B060D9">
      <w:pPr>
        <w:ind w:left="708"/>
        <w:rPr>
          <w:rFonts w:ascii="Garamond" w:hAnsi="Garamond"/>
          <w:sz w:val="32"/>
          <w:szCs w:val="32"/>
        </w:rPr>
      </w:pPr>
    </w:p>
    <w:p w:rsidR="00DC3A3A" w:rsidRPr="002757C2" w:rsidRDefault="004B0D32">
      <w:pPr>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 xml:space="preserve">                                                                                                                                                                                         </w:t>
      </w:r>
      <w:r w:rsidR="000527A0">
        <w:rPr>
          <w:rFonts w:ascii="Garamond" w:hAnsi="Garamond"/>
          <w:sz w:val="32"/>
          <w:szCs w:val="32"/>
        </w:rPr>
        <w:t xml:space="preserve">                            </w:t>
      </w:r>
    </w:p>
    <w:sectPr w:rsidR="00DC3A3A" w:rsidRPr="002757C2" w:rsidSect="000527A0">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2C" w:rsidRDefault="001F2B2C" w:rsidP="009F674F">
      <w:pPr>
        <w:spacing w:after="0" w:line="240" w:lineRule="auto"/>
      </w:pPr>
      <w:r>
        <w:separator/>
      </w:r>
    </w:p>
  </w:endnote>
  <w:endnote w:type="continuationSeparator" w:id="0">
    <w:p w:rsidR="001F2B2C" w:rsidRDefault="001F2B2C" w:rsidP="009F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7072"/>
      <w:docPartObj>
        <w:docPartGallery w:val="Page Numbers (Bottom of Page)"/>
        <w:docPartUnique/>
      </w:docPartObj>
    </w:sdtPr>
    <w:sdtEndPr/>
    <w:sdtContent>
      <w:p w:rsidR="000527A0" w:rsidRDefault="000527A0">
        <w:pPr>
          <w:pStyle w:val="Pidipagina"/>
          <w:jc w:val="center"/>
        </w:pPr>
        <w:r>
          <w:fldChar w:fldCharType="begin"/>
        </w:r>
        <w:r>
          <w:instrText>PAGE   \* MERGEFORMAT</w:instrText>
        </w:r>
        <w:r>
          <w:fldChar w:fldCharType="separate"/>
        </w:r>
        <w:r w:rsidR="003723D9">
          <w:rPr>
            <w:noProof/>
          </w:rPr>
          <w:t>17</w:t>
        </w:r>
        <w:r>
          <w:fldChar w:fldCharType="end"/>
        </w:r>
      </w:p>
    </w:sdtContent>
  </w:sdt>
  <w:p w:rsidR="00B861A0" w:rsidRDefault="00B861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2C" w:rsidRDefault="001F2B2C" w:rsidP="009F674F">
      <w:pPr>
        <w:spacing w:after="0" w:line="240" w:lineRule="auto"/>
      </w:pPr>
      <w:r>
        <w:separator/>
      </w:r>
    </w:p>
  </w:footnote>
  <w:footnote w:type="continuationSeparator" w:id="0">
    <w:p w:rsidR="001F2B2C" w:rsidRDefault="001F2B2C" w:rsidP="009F674F">
      <w:pPr>
        <w:spacing w:after="0" w:line="240" w:lineRule="auto"/>
      </w:pPr>
      <w:r>
        <w:continuationSeparator/>
      </w:r>
    </w:p>
  </w:footnote>
  <w:footnote w:id="1">
    <w:p w:rsidR="00B861A0" w:rsidRPr="00B93BBE" w:rsidRDefault="00B861A0" w:rsidP="00B93BBE">
      <w:pPr>
        <w:pStyle w:val="Testonotaapidipagina"/>
        <w:jc w:val="both"/>
        <w:rPr>
          <w:rFonts w:ascii="Garamond" w:hAnsi="Garamond"/>
          <w:sz w:val="24"/>
          <w:szCs w:val="24"/>
        </w:rPr>
      </w:pPr>
      <w:r w:rsidRPr="00B93BBE">
        <w:rPr>
          <w:rStyle w:val="Rimandonotaapidipagina"/>
          <w:rFonts w:ascii="Garamond" w:hAnsi="Garamond"/>
          <w:sz w:val="24"/>
          <w:szCs w:val="24"/>
        </w:rPr>
        <w:footnoteRef/>
      </w:r>
      <w:r w:rsidRPr="00B93BBE">
        <w:rPr>
          <w:rFonts w:ascii="Garamond" w:hAnsi="Garamond"/>
          <w:sz w:val="24"/>
          <w:szCs w:val="24"/>
        </w:rPr>
        <w:t xml:space="preserve"> Il testo riproduce, con alcuni adattamenti, il contributo presentato al seminario di aggiornamento in diritto amministrativo processuale dedicato alla tutel</w:t>
      </w:r>
      <w:r w:rsidR="007A7838">
        <w:rPr>
          <w:rFonts w:ascii="Garamond" w:hAnsi="Garamond"/>
          <w:sz w:val="24"/>
          <w:szCs w:val="24"/>
        </w:rPr>
        <w:t>a cautelare, organizzato dalla S</w:t>
      </w:r>
      <w:r w:rsidRPr="00B93BBE">
        <w:rPr>
          <w:rFonts w:ascii="Garamond" w:hAnsi="Garamond"/>
          <w:sz w:val="24"/>
          <w:szCs w:val="24"/>
        </w:rPr>
        <w:t>cuola di specializzazione per le professioni legali dell'Università degli studi Aldo Moro di Bari in collaborazione con la Camera amministrativa distrettuale e tenutosi presso la Facoltà di giurisprudenza il 3 ottobre 2018.</w:t>
      </w:r>
    </w:p>
  </w:footnote>
  <w:footnote w:id="2">
    <w:p w:rsidR="00B861A0" w:rsidRPr="00622C0D" w:rsidRDefault="00B861A0" w:rsidP="00622C0D">
      <w:pPr>
        <w:pStyle w:val="Testonotaapidipagina"/>
        <w:jc w:val="both"/>
        <w:rPr>
          <w:rFonts w:ascii="Garamond" w:hAnsi="Garamond"/>
          <w:sz w:val="24"/>
          <w:szCs w:val="24"/>
        </w:rPr>
      </w:pPr>
      <w:r w:rsidRPr="00622C0D">
        <w:rPr>
          <w:rStyle w:val="Rimandonotaapidipagina"/>
          <w:rFonts w:ascii="Garamond" w:hAnsi="Garamond"/>
          <w:sz w:val="24"/>
          <w:szCs w:val="24"/>
        </w:rPr>
        <w:footnoteRef/>
      </w:r>
      <w:r w:rsidRPr="00622C0D">
        <w:rPr>
          <w:rFonts w:ascii="Garamond" w:hAnsi="Garamond"/>
          <w:sz w:val="24"/>
          <w:szCs w:val="24"/>
        </w:rPr>
        <w:t xml:space="preserve"> Si pensi che nel 1999 si è toccato il picco dell'arretrato che ammontava a 800.000 ricorsi pendenti, poi gradatamente diminuiti fino al più ragionevole numero attuale di 165.000.</w:t>
      </w:r>
    </w:p>
  </w:footnote>
  <w:footnote w:id="3">
    <w:p w:rsidR="00B861A0" w:rsidRPr="002847A8" w:rsidRDefault="00B861A0" w:rsidP="002847A8">
      <w:pPr>
        <w:pStyle w:val="Testonotaapidipagina"/>
        <w:jc w:val="both"/>
        <w:rPr>
          <w:rFonts w:ascii="Garamond" w:hAnsi="Garamond"/>
          <w:sz w:val="24"/>
          <w:szCs w:val="24"/>
        </w:rPr>
      </w:pPr>
      <w:r w:rsidRPr="002847A8">
        <w:rPr>
          <w:rStyle w:val="Rimandonotaapidipagina"/>
          <w:rFonts w:ascii="Garamond" w:hAnsi="Garamond"/>
          <w:sz w:val="24"/>
          <w:szCs w:val="24"/>
        </w:rPr>
        <w:footnoteRef/>
      </w:r>
      <w:r w:rsidRPr="002847A8">
        <w:rPr>
          <w:rFonts w:ascii="Garamond" w:hAnsi="Garamond"/>
          <w:sz w:val="24"/>
          <w:szCs w:val="24"/>
        </w:rPr>
        <w:t xml:space="preserve"> Il discorso è sviluppato dal Presidente Alessandro </w:t>
      </w:r>
      <w:proofErr w:type="spellStart"/>
      <w:r w:rsidRPr="002847A8">
        <w:rPr>
          <w:rFonts w:ascii="Garamond" w:hAnsi="Garamond"/>
          <w:sz w:val="24"/>
          <w:szCs w:val="24"/>
        </w:rPr>
        <w:t>Pajno</w:t>
      </w:r>
      <w:proofErr w:type="spellEnd"/>
      <w:r w:rsidRPr="002847A8">
        <w:rPr>
          <w:rFonts w:ascii="Garamond" w:hAnsi="Garamond"/>
          <w:sz w:val="24"/>
          <w:szCs w:val="24"/>
        </w:rPr>
        <w:t xml:space="preserve"> nella relazione d'inaugurazione dell'anno giudiziario 2018 del Consiglio di Stato, in particolare, nei paragrafi 2.4 e 2.5</w:t>
      </w:r>
      <w:r>
        <w:rPr>
          <w:rFonts w:ascii="Garamond" w:hAnsi="Garamond"/>
          <w:sz w:val="24"/>
          <w:szCs w:val="24"/>
        </w:rPr>
        <w:t xml:space="preserve">, in </w:t>
      </w:r>
      <w:r w:rsidRPr="00B8248F">
        <w:rPr>
          <w:rFonts w:ascii="Garamond" w:hAnsi="Garamond"/>
          <w:sz w:val="24"/>
          <w:szCs w:val="24"/>
        </w:rPr>
        <w:t>https://www.giustizia-amministrativa.it/documents/20142/57784/Relazione_2018.pdf/233815fc-4c5f-24b6-51c6-659d9d4e9ace</w:t>
      </w:r>
      <w:r w:rsidRPr="002847A8">
        <w:rPr>
          <w:rFonts w:ascii="Garamond" w:hAnsi="Garamond"/>
          <w:sz w:val="24"/>
          <w:szCs w:val="24"/>
        </w:rPr>
        <w:t>.</w:t>
      </w:r>
    </w:p>
  </w:footnote>
  <w:footnote w:id="4">
    <w:p w:rsidR="00B861A0" w:rsidRDefault="00B861A0" w:rsidP="00960177">
      <w:pPr>
        <w:pStyle w:val="Testonotaapidipagina"/>
        <w:jc w:val="both"/>
      </w:pPr>
      <w:r w:rsidRPr="00960177">
        <w:rPr>
          <w:rStyle w:val="Rimandonotaapidipagina"/>
          <w:rFonts w:ascii="Garamond" w:hAnsi="Garamond"/>
          <w:sz w:val="24"/>
          <w:szCs w:val="24"/>
        </w:rPr>
        <w:footnoteRef/>
      </w:r>
      <w:r w:rsidRPr="00960177">
        <w:rPr>
          <w:rFonts w:ascii="Garamond" w:hAnsi="Garamond"/>
          <w:sz w:val="24"/>
          <w:szCs w:val="24"/>
        </w:rPr>
        <w:t xml:space="preserve"> Su questi temi: G. Recchia, </w:t>
      </w:r>
      <w:r w:rsidRPr="00960177">
        <w:rPr>
          <w:rFonts w:ascii="Garamond" w:hAnsi="Garamond"/>
          <w:i/>
          <w:sz w:val="24"/>
          <w:szCs w:val="24"/>
        </w:rPr>
        <w:t>Consonanze e dissonanze nel diritto pubblico comparato</w:t>
      </w:r>
      <w:r w:rsidRPr="00960177">
        <w:rPr>
          <w:rFonts w:ascii="Garamond" w:hAnsi="Garamond"/>
          <w:sz w:val="24"/>
          <w:szCs w:val="24"/>
        </w:rPr>
        <w:t>, CEDAM, 2000, pag. 39 ss.;</w:t>
      </w:r>
      <w:r w:rsidR="00A03C9A" w:rsidRPr="00A03C9A">
        <w:t xml:space="preserve"> </w:t>
      </w:r>
      <w:r w:rsidR="00A03C9A" w:rsidRPr="00A03C9A">
        <w:rPr>
          <w:rFonts w:ascii="Garamond" w:hAnsi="Garamond"/>
          <w:sz w:val="24"/>
          <w:szCs w:val="24"/>
        </w:rPr>
        <w:t xml:space="preserve">A. von BOGDANDY, </w:t>
      </w:r>
      <w:proofErr w:type="spellStart"/>
      <w:r w:rsidR="00A03C9A" w:rsidRPr="00A03C9A">
        <w:rPr>
          <w:rFonts w:ascii="Garamond" w:hAnsi="Garamond"/>
          <w:i/>
          <w:sz w:val="24"/>
          <w:szCs w:val="24"/>
        </w:rPr>
        <w:t>Deutsche</w:t>
      </w:r>
      <w:proofErr w:type="spellEnd"/>
      <w:r w:rsidR="00A03C9A" w:rsidRPr="00A03C9A">
        <w:rPr>
          <w:rFonts w:ascii="Garamond" w:hAnsi="Garamond"/>
          <w:i/>
          <w:sz w:val="24"/>
          <w:szCs w:val="24"/>
        </w:rPr>
        <w:t xml:space="preserve"> </w:t>
      </w:r>
      <w:proofErr w:type="spellStart"/>
      <w:r w:rsidR="00A03C9A" w:rsidRPr="00A03C9A">
        <w:rPr>
          <w:rFonts w:ascii="Garamond" w:hAnsi="Garamond"/>
          <w:i/>
          <w:sz w:val="24"/>
          <w:szCs w:val="24"/>
        </w:rPr>
        <w:t>Rechtswissenschaft</w:t>
      </w:r>
      <w:proofErr w:type="spellEnd"/>
      <w:r w:rsidR="00A03C9A" w:rsidRPr="00A03C9A">
        <w:rPr>
          <w:rFonts w:ascii="Garamond" w:hAnsi="Garamond"/>
          <w:i/>
          <w:sz w:val="24"/>
          <w:szCs w:val="24"/>
        </w:rPr>
        <w:t xml:space="preserve"> </w:t>
      </w:r>
      <w:proofErr w:type="spellStart"/>
      <w:r w:rsidR="00A03C9A" w:rsidRPr="00A03C9A">
        <w:rPr>
          <w:rFonts w:ascii="Garamond" w:hAnsi="Garamond"/>
          <w:i/>
          <w:sz w:val="24"/>
          <w:szCs w:val="24"/>
        </w:rPr>
        <w:t>im</w:t>
      </w:r>
      <w:proofErr w:type="spellEnd"/>
      <w:r w:rsidR="00A03C9A" w:rsidRPr="00A03C9A">
        <w:rPr>
          <w:rFonts w:ascii="Garamond" w:hAnsi="Garamond"/>
          <w:i/>
          <w:sz w:val="24"/>
          <w:szCs w:val="24"/>
        </w:rPr>
        <w:t xml:space="preserve"> </w:t>
      </w:r>
      <w:proofErr w:type="spellStart"/>
      <w:r w:rsidR="00A03C9A" w:rsidRPr="00A03C9A">
        <w:rPr>
          <w:rFonts w:ascii="Garamond" w:hAnsi="Garamond"/>
          <w:i/>
          <w:sz w:val="24"/>
          <w:szCs w:val="24"/>
        </w:rPr>
        <w:t>europäischen</w:t>
      </w:r>
      <w:proofErr w:type="spellEnd"/>
      <w:r w:rsidR="00A03C9A" w:rsidRPr="00A03C9A">
        <w:rPr>
          <w:rFonts w:ascii="Garamond" w:hAnsi="Garamond"/>
          <w:i/>
          <w:sz w:val="24"/>
          <w:szCs w:val="24"/>
        </w:rPr>
        <w:t xml:space="preserve"> </w:t>
      </w:r>
      <w:proofErr w:type="spellStart"/>
      <w:r w:rsidR="00A03C9A" w:rsidRPr="00A03C9A">
        <w:rPr>
          <w:rFonts w:ascii="Garamond" w:hAnsi="Garamond"/>
          <w:i/>
          <w:sz w:val="24"/>
          <w:szCs w:val="24"/>
        </w:rPr>
        <w:t>Rechtsraum</w:t>
      </w:r>
      <w:proofErr w:type="spellEnd"/>
      <w:r w:rsidR="00A03C9A" w:rsidRPr="00A03C9A">
        <w:rPr>
          <w:rFonts w:ascii="Garamond" w:hAnsi="Garamond"/>
          <w:sz w:val="24"/>
          <w:szCs w:val="24"/>
        </w:rPr>
        <w:t xml:space="preserve">, in </w:t>
      </w:r>
      <w:proofErr w:type="spellStart"/>
      <w:r w:rsidR="00A03C9A" w:rsidRPr="00A03C9A">
        <w:rPr>
          <w:rFonts w:ascii="Garamond" w:hAnsi="Garamond"/>
          <w:sz w:val="24"/>
          <w:szCs w:val="24"/>
        </w:rPr>
        <w:t>Juristenzeitung</w:t>
      </w:r>
      <w:proofErr w:type="spellEnd"/>
      <w:r w:rsidR="00A03C9A" w:rsidRPr="00A03C9A">
        <w:rPr>
          <w:rFonts w:ascii="Garamond" w:hAnsi="Garamond"/>
          <w:sz w:val="24"/>
          <w:szCs w:val="24"/>
        </w:rPr>
        <w:t xml:space="preserve"> (JZ), 2011, pag.</w:t>
      </w:r>
      <w:r w:rsidR="00A03C9A">
        <w:rPr>
          <w:rFonts w:ascii="Garamond" w:hAnsi="Garamond"/>
          <w:sz w:val="24"/>
          <w:szCs w:val="24"/>
        </w:rPr>
        <w:t xml:space="preserve"> </w:t>
      </w:r>
      <w:r w:rsidR="00A03C9A" w:rsidRPr="00A03C9A">
        <w:rPr>
          <w:rFonts w:ascii="Garamond" w:hAnsi="Garamond"/>
          <w:sz w:val="24"/>
          <w:szCs w:val="24"/>
        </w:rPr>
        <w:t>1, spec. pag.</w:t>
      </w:r>
      <w:r w:rsidR="00A03C9A">
        <w:rPr>
          <w:rFonts w:ascii="Garamond" w:hAnsi="Garamond"/>
          <w:sz w:val="24"/>
          <w:szCs w:val="24"/>
        </w:rPr>
        <w:t xml:space="preserve"> 3; </w:t>
      </w:r>
      <w:r w:rsidRPr="00960177">
        <w:rPr>
          <w:rFonts w:ascii="Garamond" w:hAnsi="Garamond"/>
          <w:sz w:val="24"/>
          <w:szCs w:val="24"/>
        </w:rPr>
        <w:t xml:space="preserve">A. von </w:t>
      </w:r>
      <w:proofErr w:type="spellStart"/>
      <w:r w:rsidRPr="00960177">
        <w:rPr>
          <w:rFonts w:ascii="Garamond" w:hAnsi="Garamond"/>
          <w:sz w:val="24"/>
          <w:szCs w:val="24"/>
        </w:rPr>
        <w:t>Bogdandy</w:t>
      </w:r>
      <w:proofErr w:type="spellEnd"/>
      <w:r w:rsidRPr="00960177">
        <w:rPr>
          <w:rFonts w:ascii="Garamond" w:hAnsi="Garamond"/>
          <w:sz w:val="24"/>
          <w:szCs w:val="24"/>
        </w:rPr>
        <w:t xml:space="preserve">, </w:t>
      </w:r>
      <w:r w:rsidRPr="00960177">
        <w:rPr>
          <w:rFonts w:ascii="Garamond" w:hAnsi="Garamond"/>
          <w:i/>
          <w:sz w:val="24"/>
          <w:szCs w:val="24"/>
        </w:rPr>
        <w:t>Prospettive della scienza giuridica nell’area giuridica europea. Una riflessione sulla base del caso tedesco</w:t>
      </w:r>
      <w:r w:rsidRPr="00960177">
        <w:rPr>
          <w:rFonts w:ascii="Garamond" w:hAnsi="Garamond"/>
          <w:sz w:val="24"/>
          <w:szCs w:val="24"/>
        </w:rPr>
        <w:t xml:space="preserve">, in Foro </w:t>
      </w:r>
      <w:proofErr w:type="spellStart"/>
      <w:proofErr w:type="gramStart"/>
      <w:r w:rsidRPr="00960177">
        <w:rPr>
          <w:rFonts w:ascii="Garamond" w:hAnsi="Garamond"/>
          <w:sz w:val="24"/>
          <w:szCs w:val="24"/>
        </w:rPr>
        <w:t>it</w:t>
      </w:r>
      <w:proofErr w:type="spellEnd"/>
      <w:r w:rsidRPr="00960177">
        <w:rPr>
          <w:rFonts w:ascii="Garamond" w:hAnsi="Garamond"/>
          <w:sz w:val="24"/>
          <w:szCs w:val="24"/>
        </w:rPr>
        <w:t>.,</w:t>
      </w:r>
      <w:proofErr w:type="gramEnd"/>
      <w:r w:rsidRPr="00960177">
        <w:rPr>
          <w:rFonts w:ascii="Garamond" w:hAnsi="Garamond"/>
          <w:sz w:val="24"/>
          <w:szCs w:val="24"/>
        </w:rPr>
        <w:t xml:space="preserve"> 2012, V, p. 54.</w:t>
      </w:r>
    </w:p>
  </w:footnote>
  <w:footnote w:id="5">
    <w:p w:rsidR="00B861A0" w:rsidRPr="00E14678" w:rsidRDefault="00B861A0" w:rsidP="00E14678">
      <w:pPr>
        <w:pStyle w:val="Testonotaapidipagina"/>
        <w:jc w:val="both"/>
        <w:rPr>
          <w:rFonts w:ascii="Garamond" w:hAnsi="Garamond"/>
          <w:sz w:val="24"/>
          <w:szCs w:val="24"/>
        </w:rPr>
      </w:pPr>
      <w:r w:rsidRPr="00E14678">
        <w:rPr>
          <w:rStyle w:val="Rimandonotaapidipagina"/>
          <w:rFonts w:ascii="Garamond" w:hAnsi="Garamond"/>
          <w:sz w:val="24"/>
          <w:szCs w:val="24"/>
        </w:rPr>
        <w:footnoteRef/>
      </w:r>
      <w:r w:rsidRPr="00E14678">
        <w:rPr>
          <w:rFonts w:ascii="Garamond" w:hAnsi="Garamond"/>
          <w:sz w:val="24"/>
          <w:szCs w:val="24"/>
        </w:rPr>
        <w:t xml:space="preserve"> G. Gorla, voce </w:t>
      </w:r>
      <w:r w:rsidRPr="00E14678">
        <w:rPr>
          <w:rFonts w:ascii="Garamond" w:hAnsi="Garamond"/>
          <w:i/>
          <w:sz w:val="24"/>
          <w:szCs w:val="24"/>
        </w:rPr>
        <w:t>Diritto comparato e straniero</w:t>
      </w:r>
      <w:r w:rsidRPr="00E14678">
        <w:rPr>
          <w:rFonts w:ascii="Garamond" w:hAnsi="Garamond"/>
          <w:sz w:val="24"/>
          <w:szCs w:val="24"/>
        </w:rPr>
        <w:t>, Enciclopedia giuridica Treccani, spec. par. 2.4.</w:t>
      </w:r>
    </w:p>
  </w:footnote>
  <w:footnote w:id="6">
    <w:p w:rsidR="00B861A0" w:rsidRPr="00E14678" w:rsidRDefault="00B861A0" w:rsidP="00E14678">
      <w:pPr>
        <w:pStyle w:val="Testonotaapidipagina"/>
        <w:jc w:val="both"/>
        <w:rPr>
          <w:rFonts w:ascii="Garamond" w:hAnsi="Garamond"/>
          <w:sz w:val="24"/>
          <w:szCs w:val="24"/>
        </w:rPr>
      </w:pPr>
      <w:r w:rsidRPr="00E14678">
        <w:rPr>
          <w:rStyle w:val="Rimandonotaapidipagina"/>
          <w:rFonts w:ascii="Garamond" w:hAnsi="Garamond"/>
          <w:sz w:val="24"/>
          <w:szCs w:val="24"/>
        </w:rPr>
        <w:footnoteRef/>
      </w:r>
      <w:r w:rsidRPr="00E14678">
        <w:rPr>
          <w:rFonts w:ascii="Garamond" w:hAnsi="Garamond"/>
          <w:sz w:val="24"/>
          <w:szCs w:val="24"/>
        </w:rPr>
        <w:t xml:space="preserve"> Per l'esplicitazione di questo concetto: R. Sacco, </w:t>
      </w:r>
      <w:r w:rsidRPr="00E14678">
        <w:rPr>
          <w:rFonts w:ascii="Garamond" w:hAnsi="Garamond"/>
          <w:i/>
          <w:sz w:val="24"/>
          <w:szCs w:val="24"/>
        </w:rPr>
        <w:t>Introduzione al diritto comparato</w:t>
      </w:r>
      <w:r w:rsidRPr="00E14678">
        <w:rPr>
          <w:rFonts w:ascii="Garamond" w:hAnsi="Garamond"/>
          <w:sz w:val="24"/>
          <w:szCs w:val="24"/>
        </w:rPr>
        <w:t>, U.T.E.T., 1992.</w:t>
      </w:r>
    </w:p>
  </w:footnote>
  <w:footnote w:id="7">
    <w:p w:rsidR="00B861A0" w:rsidRPr="00E14678" w:rsidRDefault="00B861A0" w:rsidP="00E14678">
      <w:pPr>
        <w:pStyle w:val="Testonotaapidipagina"/>
        <w:jc w:val="both"/>
        <w:rPr>
          <w:rFonts w:ascii="Garamond" w:hAnsi="Garamond"/>
          <w:sz w:val="24"/>
          <w:szCs w:val="24"/>
        </w:rPr>
      </w:pPr>
      <w:r w:rsidRPr="00E14678">
        <w:rPr>
          <w:rStyle w:val="Rimandonotaapidipagina"/>
          <w:rFonts w:ascii="Garamond" w:hAnsi="Garamond"/>
          <w:sz w:val="24"/>
          <w:szCs w:val="24"/>
        </w:rPr>
        <w:footnoteRef/>
      </w:r>
      <w:r w:rsidRPr="00E14678">
        <w:rPr>
          <w:rFonts w:ascii="Garamond" w:hAnsi="Garamond"/>
          <w:sz w:val="24"/>
          <w:szCs w:val="24"/>
        </w:rPr>
        <w:t xml:space="preserve"> Per una diversa prospettiva: G. Adamo, </w:t>
      </w:r>
      <w:r w:rsidRPr="00E14678">
        <w:rPr>
          <w:rFonts w:ascii="Garamond" w:hAnsi="Garamond"/>
          <w:i/>
          <w:sz w:val="24"/>
          <w:szCs w:val="24"/>
        </w:rPr>
        <w:t>Gli scambi EJTN come nuova esperienza di comparazione giuridica</w:t>
      </w:r>
      <w:r w:rsidRPr="00E14678">
        <w:rPr>
          <w:rFonts w:ascii="Garamond" w:hAnsi="Garamond"/>
          <w:sz w:val="24"/>
          <w:szCs w:val="24"/>
        </w:rPr>
        <w:t>, in www.giustizia-amministrativa.it/web/guest/dottrina?p_p_id=GaSearch_INSTANCE_z2FIt148GEAx&amp;p_p_lifecycle=1&amp;p_p_state=normal&amp;p_p_mode=view&amp;_GaSearch_INSTANCE_z2FIt148GEAx_javax.portlet.action=searchContributi&amp;p_auth=u8zbFpCL, 2005.</w:t>
      </w:r>
    </w:p>
  </w:footnote>
  <w:footnote w:id="8">
    <w:p w:rsidR="0068596B" w:rsidRPr="00A82B21" w:rsidRDefault="0068596B" w:rsidP="00A82B21">
      <w:pPr>
        <w:pStyle w:val="Testonotaapidipagina"/>
        <w:jc w:val="both"/>
        <w:rPr>
          <w:rFonts w:ascii="Garamond" w:hAnsi="Garamond"/>
          <w:sz w:val="24"/>
          <w:szCs w:val="24"/>
        </w:rPr>
      </w:pPr>
      <w:r>
        <w:rPr>
          <w:rStyle w:val="Rimandonotaapidipagina"/>
        </w:rPr>
        <w:footnoteRef/>
      </w:r>
      <w:r>
        <w:t xml:space="preserve"> </w:t>
      </w:r>
      <w:r w:rsidR="00A82B21" w:rsidRPr="00A82B21">
        <w:rPr>
          <w:rFonts w:ascii="Garamond" w:hAnsi="Garamond"/>
          <w:sz w:val="24"/>
          <w:szCs w:val="24"/>
        </w:rPr>
        <w:t xml:space="preserve">Esso </w:t>
      </w:r>
      <w:r w:rsidRPr="00A82B21">
        <w:rPr>
          <w:rFonts w:ascii="Garamond" w:hAnsi="Garamond"/>
          <w:sz w:val="24"/>
          <w:szCs w:val="24"/>
        </w:rPr>
        <w:t>corrispondeva</w:t>
      </w:r>
      <w:r w:rsidR="00A82B21" w:rsidRPr="00A82B21">
        <w:rPr>
          <w:rFonts w:ascii="Garamond" w:hAnsi="Garamond"/>
          <w:sz w:val="24"/>
          <w:szCs w:val="24"/>
        </w:rPr>
        <w:t>, in uno stato di polizia a forte impronta paternalistica,</w:t>
      </w:r>
      <w:r w:rsidRPr="00A82B21">
        <w:rPr>
          <w:rFonts w:ascii="Garamond" w:hAnsi="Garamond"/>
          <w:sz w:val="24"/>
          <w:szCs w:val="24"/>
        </w:rPr>
        <w:t xml:space="preserve"> all'esigenza di controllo oggettivo della legittimità degli atti amministrativi</w:t>
      </w:r>
      <w:r w:rsidR="00A82B21" w:rsidRPr="00A82B21">
        <w:rPr>
          <w:rFonts w:ascii="Garamond" w:hAnsi="Garamond"/>
          <w:sz w:val="24"/>
          <w:szCs w:val="24"/>
        </w:rPr>
        <w:t>,</w:t>
      </w:r>
      <w:r w:rsidRPr="00A82B21">
        <w:rPr>
          <w:rFonts w:ascii="Garamond" w:hAnsi="Garamond"/>
          <w:sz w:val="24"/>
          <w:szCs w:val="24"/>
        </w:rPr>
        <w:t xml:space="preserve"> apprestato nell'interesse pubblico, sicché gli eventuali vantaggi per il privato erano meramente riflessi e non radicavano alcuna posizione giuridica</w:t>
      </w:r>
      <w:r w:rsidR="00A82B21" w:rsidRPr="00A82B21">
        <w:rPr>
          <w:rFonts w:ascii="Garamond" w:hAnsi="Garamond"/>
          <w:sz w:val="24"/>
          <w:szCs w:val="24"/>
        </w:rPr>
        <w:t>,</w:t>
      </w:r>
      <w:r w:rsidRPr="00A82B21">
        <w:rPr>
          <w:rFonts w:ascii="Garamond" w:hAnsi="Garamond"/>
          <w:sz w:val="24"/>
          <w:szCs w:val="24"/>
        </w:rPr>
        <w:t xml:space="preserve"> per lo meno fino al</w:t>
      </w:r>
      <w:r w:rsidRPr="00A82B21">
        <w:rPr>
          <w:rFonts w:ascii="Garamond" w:hAnsi="Garamond"/>
          <w:i/>
          <w:sz w:val="24"/>
          <w:szCs w:val="24"/>
        </w:rPr>
        <w:t xml:space="preserve"> System </w:t>
      </w:r>
      <w:proofErr w:type="spellStart"/>
      <w:r w:rsidRPr="00A82B21">
        <w:rPr>
          <w:rFonts w:ascii="Garamond" w:hAnsi="Garamond"/>
          <w:i/>
          <w:sz w:val="24"/>
          <w:szCs w:val="24"/>
        </w:rPr>
        <w:t>der</w:t>
      </w:r>
      <w:proofErr w:type="spellEnd"/>
      <w:r w:rsidRPr="00A82B21">
        <w:rPr>
          <w:rFonts w:ascii="Garamond" w:hAnsi="Garamond"/>
          <w:i/>
          <w:sz w:val="24"/>
          <w:szCs w:val="24"/>
        </w:rPr>
        <w:t xml:space="preserve"> </w:t>
      </w:r>
      <w:proofErr w:type="spellStart"/>
      <w:r w:rsidRPr="00A82B21">
        <w:rPr>
          <w:rFonts w:ascii="Garamond" w:hAnsi="Garamond"/>
          <w:i/>
          <w:sz w:val="24"/>
          <w:szCs w:val="24"/>
        </w:rPr>
        <w:t>subjektiven</w:t>
      </w:r>
      <w:proofErr w:type="spellEnd"/>
      <w:r w:rsidRPr="00A82B21">
        <w:rPr>
          <w:rFonts w:ascii="Garamond" w:hAnsi="Garamond"/>
          <w:i/>
          <w:sz w:val="24"/>
          <w:szCs w:val="24"/>
        </w:rPr>
        <w:t xml:space="preserve"> </w:t>
      </w:r>
      <w:proofErr w:type="spellStart"/>
      <w:r w:rsidRPr="00A82B21">
        <w:rPr>
          <w:rFonts w:ascii="Garamond" w:hAnsi="Garamond"/>
          <w:i/>
          <w:sz w:val="24"/>
          <w:szCs w:val="24"/>
        </w:rPr>
        <w:t>öffentlichen</w:t>
      </w:r>
      <w:proofErr w:type="spellEnd"/>
      <w:r w:rsidRPr="00A82B21">
        <w:rPr>
          <w:rFonts w:ascii="Garamond" w:hAnsi="Garamond"/>
          <w:i/>
          <w:sz w:val="24"/>
          <w:szCs w:val="24"/>
        </w:rPr>
        <w:t xml:space="preserve"> </w:t>
      </w:r>
      <w:proofErr w:type="spellStart"/>
      <w:r w:rsidRPr="00A82B21">
        <w:rPr>
          <w:rFonts w:ascii="Garamond" w:hAnsi="Garamond"/>
          <w:i/>
          <w:sz w:val="24"/>
          <w:szCs w:val="24"/>
        </w:rPr>
        <w:t>Rechte</w:t>
      </w:r>
      <w:proofErr w:type="spellEnd"/>
      <w:r w:rsidRPr="00A82B21">
        <w:rPr>
          <w:rFonts w:ascii="Garamond" w:hAnsi="Garamond"/>
          <w:sz w:val="24"/>
          <w:szCs w:val="24"/>
        </w:rPr>
        <w:t xml:space="preserve"> (1892) in cui Georg </w:t>
      </w:r>
      <w:proofErr w:type="spellStart"/>
      <w:r w:rsidRPr="00A82B21">
        <w:rPr>
          <w:rFonts w:ascii="Garamond" w:hAnsi="Garamond"/>
          <w:sz w:val="24"/>
          <w:szCs w:val="24"/>
        </w:rPr>
        <w:t>Jellinek</w:t>
      </w:r>
      <w:proofErr w:type="spellEnd"/>
      <w:r w:rsidRPr="00A82B21">
        <w:rPr>
          <w:rFonts w:ascii="Garamond" w:hAnsi="Garamond"/>
          <w:sz w:val="24"/>
          <w:szCs w:val="24"/>
        </w:rPr>
        <w:t xml:space="preserve"> delineò appunto i diritti pubblici soggettivi. </w:t>
      </w:r>
    </w:p>
  </w:footnote>
  <w:footnote w:id="9">
    <w:p w:rsidR="00B861A0" w:rsidRPr="00E14678" w:rsidRDefault="00B861A0" w:rsidP="00E14678">
      <w:pPr>
        <w:pStyle w:val="Testonotaapidipagina"/>
        <w:jc w:val="both"/>
        <w:rPr>
          <w:rFonts w:ascii="Garamond" w:hAnsi="Garamond"/>
          <w:sz w:val="24"/>
          <w:szCs w:val="24"/>
        </w:rPr>
      </w:pPr>
      <w:r w:rsidRPr="00E14678">
        <w:rPr>
          <w:rStyle w:val="Rimandonotaapidipagina"/>
          <w:rFonts w:ascii="Garamond" w:hAnsi="Garamond"/>
          <w:sz w:val="24"/>
          <w:szCs w:val="24"/>
        </w:rPr>
        <w:footnoteRef/>
      </w:r>
      <w:r w:rsidRPr="00E14678">
        <w:rPr>
          <w:rFonts w:ascii="Garamond" w:hAnsi="Garamond"/>
          <w:sz w:val="24"/>
          <w:szCs w:val="24"/>
        </w:rPr>
        <w:t xml:space="preserve"> Specifica poi la norma che, se il caso non è affidato a un'altra giurisdizione, l’interessato può agire in via ordinaria, con ciò applicando la distinzione tra la tutela primaria (quella di annullamento e costitutiva) e la tutela secondaria (limitata al risarcimento dei danni e allo strumentario civilistico) nei confronti dell'amministrazione.</w:t>
      </w:r>
    </w:p>
  </w:footnote>
  <w:footnote w:id="10">
    <w:p w:rsidR="00B861A0" w:rsidRPr="00E14678" w:rsidRDefault="00B861A0" w:rsidP="00E14678">
      <w:pPr>
        <w:pStyle w:val="Testonotaapidipagina"/>
        <w:jc w:val="both"/>
        <w:rPr>
          <w:rFonts w:ascii="Garamond" w:hAnsi="Garamond"/>
          <w:sz w:val="24"/>
          <w:szCs w:val="24"/>
        </w:rPr>
      </w:pPr>
      <w:r w:rsidRPr="00E14678">
        <w:rPr>
          <w:rStyle w:val="Rimandonotaapidipagina"/>
          <w:rFonts w:ascii="Garamond" w:hAnsi="Garamond"/>
          <w:sz w:val="24"/>
          <w:szCs w:val="24"/>
        </w:rPr>
        <w:footnoteRef/>
      </w:r>
      <w:r w:rsidRPr="00E14678">
        <w:rPr>
          <w:rFonts w:ascii="Garamond" w:hAnsi="Garamond"/>
          <w:sz w:val="24"/>
          <w:szCs w:val="24"/>
        </w:rPr>
        <w:t xml:space="preserve"> Essa era confermata da una visione fortemente soggettivistica fondata sulla tradizionale </w:t>
      </w:r>
      <w:proofErr w:type="spellStart"/>
      <w:r w:rsidRPr="00E14678">
        <w:rPr>
          <w:rFonts w:ascii="Garamond" w:hAnsi="Garamond"/>
          <w:i/>
          <w:sz w:val="24"/>
          <w:szCs w:val="24"/>
        </w:rPr>
        <w:t>Schutznormtheorie</w:t>
      </w:r>
      <w:proofErr w:type="spellEnd"/>
      <w:r w:rsidRPr="00E14678">
        <w:rPr>
          <w:rFonts w:ascii="Garamond" w:hAnsi="Garamond"/>
          <w:sz w:val="24"/>
          <w:szCs w:val="24"/>
        </w:rPr>
        <w:t>: un soggetto può impugnare l’atto illegittimo solo quando la disposizione violata sia diretta a tutelare (oltre che l'interesse pubblico) anche il suo interesse individuale.</w:t>
      </w:r>
    </w:p>
  </w:footnote>
  <w:footnote w:id="11">
    <w:p w:rsidR="00B861A0" w:rsidRPr="00075F48" w:rsidRDefault="00B861A0" w:rsidP="00075F48">
      <w:pPr>
        <w:pStyle w:val="Testonotaapidipagina"/>
        <w:jc w:val="both"/>
        <w:rPr>
          <w:rFonts w:ascii="Garamond" w:hAnsi="Garamond"/>
          <w:sz w:val="24"/>
          <w:szCs w:val="24"/>
        </w:rPr>
      </w:pPr>
      <w:r w:rsidRPr="00075F48">
        <w:rPr>
          <w:rStyle w:val="Rimandonotaapidipagina"/>
          <w:rFonts w:ascii="Garamond" w:hAnsi="Garamond"/>
          <w:sz w:val="24"/>
          <w:szCs w:val="24"/>
        </w:rPr>
        <w:footnoteRef/>
      </w:r>
      <w:r w:rsidRPr="00075F48">
        <w:rPr>
          <w:rFonts w:ascii="Garamond" w:hAnsi="Garamond"/>
          <w:sz w:val="24"/>
          <w:szCs w:val="24"/>
        </w:rPr>
        <w:t xml:space="preserve"> Occorre tener presente il quadro delle azioni esperibili che si può così sinteticamente delineare: </w:t>
      </w:r>
    </w:p>
    <w:p w:rsidR="00B861A0" w:rsidRPr="00075F48" w:rsidRDefault="00B861A0" w:rsidP="00075F48">
      <w:pPr>
        <w:pStyle w:val="Testonotaapidipagina"/>
        <w:jc w:val="both"/>
        <w:rPr>
          <w:rFonts w:ascii="Garamond" w:hAnsi="Garamond"/>
          <w:sz w:val="24"/>
          <w:szCs w:val="24"/>
        </w:rPr>
      </w:pPr>
      <w:r w:rsidRPr="00075F48">
        <w:rPr>
          <w:rFonts w:ascii="Garamond" w:hAnsi="Garamond"/>
          <w:sz w:val="24"/>
          <w:szCs w:val="24"/>
        </w:rPr>
        <w:t xml:space="preserve">- </w:t>
      </w:r>
      <w:proofErr w:type="spellStart"/>
      <w:r w:rsidRPr="00075F48">
        <w:rPr>
          <w:rFonts w:ascii="Garamond" w:hAnsi="Garamond"/>
          <w:i/>
          <w:sz w:val="24"/>
          <w:szCs w:val="24"/>
        </w:rPr>
        <w:t>Anfechtungsklage</w:t>
      </w:r>
      <w:proofErr w:type="spellEnd"/>
      <w:r w:rsidRPr="00075F48">
        <w:rPr>
          <w:rFonts w:ascii="Garamond" w:hAnsi="Garamond"/>
          <w:sz w:val="24"/>
          <w:szCs w:val="24"/>
        </w:rPr>
        <w:t xml:space="preserve"> (azione di annullamento </w:t>
      </w:r>
      <w:r>
        <w:rPr>
          <w:rFonts w:ascii="Garamond" w:hAnsi="Garamond"/>
          <w:sz w:val="24"/>
          <w:szCs w:val="24"/>
        </w:rPr>
        <w:t xml:space="preserve">attraverso l'impugnazione </w:t>
      </w:r>
      <w:r w:rsidRPr="00075F48">
        <w:rPr>
          <w:rFonts w:ascii="Garamond" w:hAnsi="Garamond"/>
          <w:sz w:val="24"/>
          <w:szCs w:val="24"/>
        </w:rPr>
        <w:t xml:space="preserve">di un provvedimento sfavorevole che pregiudica un interesse oppositivo); </w:t>
      </w:r>
    </w:p>
    <w:p w:rsidR="00B861A0" w:rsidRPr="00075F48" w:rsidRDefault="00B861A0" w:rsidP="00075F48">
      <w:pPr>
        <w:pStyle w:val="Testonotaapidipagina"/>
        <w:jc w:val="both"/>
        <w:rPr>
          <w:rFonts w:ascii="Garamond" w:hAnsi="Garamond"/>
          <w:sz w:val="24"/>
          <w:szCs w:val="24"/>
        </w:rPr>
      </w:pPr>
      <w:r w:rsidRPr="00075F48">
        <w:rPr>
          <w:rFonts w:ascii="Garamond" w:hAnsi="Garamond"/>
          <w:sz w:val="24"/>
          <w:szCs w:val="24"/>
        </w:rPr>
        <w:t xml:space="preserve">- </w:t>
      </w:r>
      <w:proofErr w:type="spellStart"/>
      <w:r w:rsidRPr="00075F48">
        <w:rPr>
          <w:rFonts w:ascii="Garamond" w:hAnsi="Garamond"/>
          <w:i/>
          <w:sz w:val="24"/>
          <w:szCs w:val="24"/>
        </w:rPr>
        <w:t>Verpflichtungsklage</w:t>
      </w:r>
      <w:proofErr w:type="spellEnd"/>
      <w:r w:rsidR="007A7838">
        <w:rPr>
          <w:rFonts w:ascii="Garamond" w:hAnsi="Garamond"/>
          <w:sz w:val="24"/>
          <w:szCs w:val="24"/>
        </w:rPr>
        <w:t>, ovvero l’</w:t>
      </w:r>
      <w:r w:rsidRPr="00075F48">
        <w:rPr>
          <w:rFonts w:ascii="Garamond" w:hAnsi="Garamond"/>
          <w:sz w:val="24"/>
          <w:szCs w:val="24"/>
        </w:rPr>
        <w:t xml:space="preserve">azione di adempimento spettante - in termini italiani - al titolare di un interesse </w:t>
      </w:r>
      <w:proofErr w:type="spellStart"/>
      <w:r w:rsidRPr="00075F48">
        <w:rPr>
          <w:rFonts w:ascii="Garamond" w:hAnsi="Garamond"/>
          <w:sz w:val="24"/>
          <w:szCs w:val="24"/>
        </w:rPr>
        <w:t>pretensivo</w:t>
      </w:r>
      <w:proofErr w:type="spellEnd"/>
      <w:r w:rsidRPr="00075F48">
        <w:rPr>
          <w:rFonts w:ascii="Garamond" w:hAnsi="Garamond"/>
          <w:sz w:val="24"/>
          <w:szCs w:val="24"/>
        </w:rPr>
        <w:t xml:space="preserve"> con la quale si contesta il diniego o un silenzio-inadempimento (</w:t>
      </w:r>
      <w:proofErr w:type="spellStart"/>
      <w:r w:rsidRPr="00075F48">
        <w:rPr>
          <w:rFonts w:ascii="Garamond" w:hAnsi="Garamond"/>
          <w:i/>
          <w:sz w:val="24"/>
          <w:szCs w:val="24"/>
        </w:rPr>
        <w:t>Unterlassungsklage</w:t>
      </w:r>
      <w:proofErr w:type="spellEnd"/>
      <w:r w:rsidRPr="00075F48">
        <w:rPr>
          <w:rFonts w:ascii="Garamond" w:hAnsi="Garamond"/>
          <w:sz w:val="24"/>
          <w:szCs w:val="24"/>
        </w:rPr>
        <w:t xml:space="preserve">) </w:t>
      </w:r>
      <w:r w:rsidR="007A7838">
        <w:rPr>
          <w:rFonts w:ascii="Garamond" w:hAnsi="Garamond"/>
          <w:sz w:val="24"/>
          <w:szCs w:val="24"/>
        </w:rPr>
        <w:t xml:space="preserve">sulla richiesta di un </w:t>
      </w:r>
      <w:r w:rsidRPr="00075F48">
        <w:rPr>
          <w:rFonts w:ascii="Garamond" w:hAnsi="Garamond"/>
          <w:sz w:val="24"/>
          <w:szCs w:val="24"/>
        </w:rPr>
        <w:t>atto amministrativo</w:t>
      </w:r>
      <w:r w:rsidR="007A7838">
        <w:rPr>
          <w:rFonts w:ascii="Garamond" w:hAnsi="Garamond"/>
          <w:sz w:val="24"/>
          <w:szCs w:val="24"/>
        </w:rPr>
        <w:t xml:space="preserve"> favorevole </w:t>
      </w:r>
      <w:r w:rsidRPr="00075F48">
        <w:rPr>
          <w:rFonts w:ascii="Garamond" w:hAnsi="Garamond"/>
          <w:sz w:val="24"/>
          <w:szCs w:val="24"/>
        </w:rPr>
        <w:t xml:space="preserve">ovvero il rigetto del ricorso amministrativo (denominato </w:t>
      </w:r>
      <w:proofErr w:type="spellStart"/>
      <w:r w:rsidRPr="00075F48">
        <w:rPr>
          <w:rFonts w:ascii="Garamond" w:hAnsi="Garamond"/>
          <w:i/>
          <w:sz w:val="24"/>
          <w:szCs w:val="24"/>
        </w:rPr>
        <w:t>Widerspruch</w:t>
      </w:r>
      <w:proofErr w:type="spellEnd"/>
      <w:r w:rsidRPr="00075F48">
        <w:rPr>
          <w:rFonts w:ascii="Garamond" w:hAnsi="Garamond"/>
          <w:sz w:val="24"/>
          <w:szCs w:val="24"/>
        </w:rPr>
        <w:t>), ove previsto, o il silenzio rigetto (</w:t>
      </w:r>
      <w:proofErr w:type="spellStart"/>
      <w:r w:rsidRPr="00075F48">
        <w:rPr>
          <w:rFonts w:ascii="Garamond" w:hAnsi="Garamond"/>
          <w:i/>
          <w:sz w:val="24"/>
          <w:szCs w:val="24"/>
        </w:rPr>
        <w:t>Untätigkeitsklage</w:t>
      </w:r>
      <w:proofErr w:type="spellEnd"/>
      <w:r w:rsidRPr="00075F48">
        <w:rPr>
          <w:rFonts w:ascii="Garamond" w:hAnsi="Garamond"/>
          <w:sz w:val="24"/>
          <w:szCs w:val="24"/>
        </w:rPr>
        <w:t xml:space="preserve">); in senso generale, appartiene alla categoria delle </w:t>
      </w:r>
      <w:proofErr w:type="spellStart"/>
      <w:r w:rsidRPr="00075F48">
        <w:rPr>
          <w:rFonts w:ascii="Garamond" w:hAnsi="Garamond"/>
          <w:i/>
          <w:sz w:val="24"/>
          <w:szCs w:val="24"/>
        </w:rPr>
        <w:t>Leistungsklagen</w:t>
      </w:r>
      <w:proofErr w:type="spellEnd"/>
      <w:r w:rsidRPr="00075F48">
        <w:rPr>
          <w:rFonts w:ascii="Garamond" w:hAnsi="Garamond"/>
          <w:sz w:val="24"/>
          <w:szCs w:val="24"/>
        </w:rPr>
        <w:t xml:space="preserve"> (azioni di condanna</w:t>
      </w:r>
      <w:r w:rsidR="00A82B21">
        <w:rPr>
          <w:rFonts w:ascii="Garamond" w:hAnsi="Garamond"/>
          <w:sz w:val="24"/>
          <w:szCs w:val="24"/>
        </w:rPr>
        <w:t xml:space="preserve"> o di prestazione</w:t>
      </w:r>
      <w:r w:rsidRPr="00075F48">
        <w:rPr>
          <w:rFonts w:ascii="Garamond" w:hAnsi="Garamond"/>
          <w:sz w:val="24"/>
          <w:szCs w:val="24"/>
        </w:rPr>
        <w:t>);</w:t>
      </w:r>
    </w:p>
    <w:p w:rsidR="00B861A0" w:rsidRPr="00075F48" w:rsidRDefault="00B861A0" w:rsidP="00075F48">
      <w:pPr>
        <w:pStyle w:val="Testonotaapidipagina"/>
        <w:jc w:val="both"/>
        <w:rPr>
          <w:rFonts w:ascii="Garamond" w:hAnsi="Garamond"/>
          <w:sz w:val="24"/>
          <w:szCs w:val="24"/>
        </w:rPr>
      </w:pPr>
      <w:r w:rsidRPr="00075F48">
        <w:rPr>
          <w:rFonts w:ascii="Garamond" w:hAnsi="Garamond"/>
          <w:sz w:val="24"/>
          <w:szCs w:val="24"/>
        </w:rPr>
        <w:t xml:space="preserve">- </w:t>
      </w:r>
      <w:proofErr w:type="spellStart"/>
      <w:r w:rsidRPr="00075F48">
        <w:rPr>
          <w:rFonts w:ascii="Garamond" w:hAnsi="Garamond"/>
          <w:i/>
          <w:sz w:val="24"/>
          <w:szCs w:val="24"/>
        </w:rPr>
        <w:t>Allgemeine</w:t>
      </w:r>
      <w:proofErr w:type="spellEnd"/>
      <w:r w:rsidRPr="00075F48">
        <w:rPr>
          <w:rFonts w:ascii="Garamond" w:hAnsi="Garamond"/>
          <w:sz w:val="24"/>
          <w:szCs w:val="24"/>
        </w:rPr>
        <w:t xml:space="preserve"> </w:t>
      </w:r>
      <w:proofErr w:type="spellStart"/>
      <w:r w:rsidRPr="00075F48">
        <w:rPr>
          <w:rFonts w:ascii="Garamond" w:hAnsi="Garamond"/>
          <w:i/>
          <w:sz w:val="24"/>
          <w:szCs w:val="24"/>
        </w:rPr>
        <w:t>Leistungsklage</w:t>
      </w:r>
      <w:proofErr w:type="spellEnd"/>
      <w:r w:rsidRPr="00075F48">
        <w:rPr>
          <w:rFonts w:ascii="Garamond" w:hAnsi="Garamond"/>
          <w:i/>
          <w:sz w:val="24"/>
          <w:szCs w:val="24"/>
        </w:rPr>
        <w:t xml:space="preserve"> </w:t>
      </w:r>
      <w:r w:rsidRPr="00075F48">
        <w:rPr>
          <w:rFonts w:ascii="Garamond" w:hAnsi="Garamond"/>
          <w:sz w:val="24"/>
          <w:szCs w:val="24"/>
        </w:rPr>
        <w:t>rappresenta</w:t>
      </w:r>
      <w:r w:rsidRPr="00075F48">
        <w:rPr>
          <w:rFonts w:ascii="Garamond" w:hAnsi="Garamond"/>
          <w:i/>
          <w:sz w:val="24"/>
          <w:szCs w:val="24"/>
        </w:rPr>
        <w:t xml:space="preserve"> </w:t>
      </w:r>
      <w:r w:rsidRPr="00075F48">
        <w:rPr>
          <w:rFonts w:ascii="Garamond" w:hAnsi="Garamond"/>
          <w:sz w:val="24"/>
          <w:szCs w:val="24"/>
        </w:rPr>
        <w:t>un'azione di condanna con la quale si chiede che sia prestata un‘attività non consistente in un provvedimento amministrativo (rilascio di documenti, di attestazioni e certificazioni, pagamento di una somma di denaro);</w:t>
      </w:r>
    </w:p>
    <w:p w:rsidR="00B861A0" w:rsidRPr="00075F48" w:rsidRDefault="00B861A0" w:rsidP="00075F48">
      <w:pPr>
        <w:pStyle w:val="Testonotaapidipagina"/>
        <w:jc w:val="both"/>
        <w:rPr>
          <w:rFonts w:ascii="Garamond" w:hAnsi="Garamond"/>
          <w:sz w:val="24"/>
          <w:szCs w:val="24"/>
        </w:rPr>
      </w:pPr>
      <w:r w:rsidRPr="00075F48">
        <w:rPr>
          <w:rFonts w:ascii="Garamond" w:hAnsi="Garamond"/>
          <w:sz w:val="24"/>
          <w:szCs w:val="24"/>
        </w:rPr>
        <w:t xml:space="preserve">- </w:t>
      </w:r>
      <w:proofErr w:type="spellStart"/>
      <w:r w:rsidRPr="00075F48">
        <w:rPr>
          <w:rFonts w:ascii="Garamond" w:hAnsi="Garamond"/>
          <w:i/>
          <w:sz w:val="24"/>
          <w:szCs w:val="24"/>
        </w:rPr>
        <w:t>Feststellungsklage</w:t>
      </w:r>
      <w:proofErr w:type="spellEnd"/>
      <w:r w:rsidRPr="00075F48">
        <w:rPr>
          <w:rFonts w:ascii="Garamond" w:hAnsi="Garamond"/>
          <w:sz w:val="24"/>
          <w:szCs w:val="24"/>
        </w:rPr>
        <w:t>: è un'azione (meramente residuale) di accertamento (ad esempio, per far dichiarare la nullità dell‘atto)</w:t>
      </w:r>
      <w:r w:rsidR="0073367C">
        <w:rPr>
          <w:rFonts w:ascii="Garamond" w:hAnsi="Garamond"/>
          <w:sz w:val="24"/>
          <w:szCs w:val="24"/>
        </w:rPr>
        <w:t xml:space="preserve"> che presuppone l'esistenza di un rapporto amministrativo</w:t>
      </w:r>
      <w:r w:rsidRPr="00075F48">
        <w:rPr>
          <w:rFonts w:ascii="Garamond" w:hAnsi="Garamond"/>
          <w:sz w:val="24"/>
          <w:szCs w:val="24"/>
        </w:rPr>
        <w:t>;</w:t>
      </w:r>
    </w:p>
    <w:p w:rsidR="00B861A0" w:rsidRPr="00075F48" w:rsidRDefault="00B861A0" w:rsidP="00075F48">
      <w:pPr>
        <w:pStyle w:val="Testonotaapidipagina"/>
        <w:jc w:val="both"/>
        <w:rPr>
          <w:rFonts w:ascii="Garamond" w:hAnsi="Garamond"/>
          <w:sz w:val="24"/>
          <w:szCs w:val="24"/>
        </w:rPr>
      </w:pPr>
      <w:r w:rsidRPr="00075F48">
        <w:rPr>
          <w:rFonts w:ascii="Garamond" w:hAnsi="Garamond"/>
          <w:sz w:val="24"/>
          <w:szCs w:val="24"/>
        </w:rPr>
        <w:t xml:space="preserve">- </w:t>
      </w:r>
      <w:proofErr w:type="spellStart"/>
      <w:r w:rsidRPr="00075F48">
        <w:rPr>
          <w:rFonts w:ascii="Garamond" w:hAnsi="Garamond"/>
          <w:i/>
          <w:sz w:val="24"/>
          <w:szCs w:val="24"/>
        </w:rPr>
        <w:t>Fortsetzungsfeststellungsklage</w:t>
      </w:r>
      <w:proofErr w:type="spellEnd"/>
      <w:r w:rsidRPr="00075F48">
        <w:rPr>
          <w:rFonts w:ascii="Garamond" w:hAnsi="Garamond"/>
          <w:sz w:val="24"/>
          <w:szCs w:val="24"/>
        </w:rPr>
        <w:t>: consiste nell'accertamento dell’illegittimità del comportamento successivo alla sentenza di annullamento</w:t>
      </w:r>
      <w:r w:rsidR="0073367C">
        <w:rPr>
          <w:rFonts w:ascii="Garamond" w:hAnsi="Garamond"/>
          <w:sz w:val="24"/>
          <w:szCs w:val="24"/>
        </w:rPr>
        <w:t xml:space="preserve"> derivante dall’interpretazione della sentenza emessa</w:t>
      </w:r>
      <w:r w:rsidRPr="00075F48">
        <w:rPr>
          <w:rFonts w:ascii="Garamond" w:hAnsi="Garamond"/>
          <w:sz w:val="24"/>
          <w:szCs w:val="24"/>
        </w:rPr>
        <w:t>.</w:t>
      </w:r>
    </w:p>
    <w:p w:rsidR="00B861A0" w:rsidRPr="00075F48" w:rsidRDefault="00B861A0" w:rsidP="00075F48">
      <w:pPr>
        <w:pStyle w:val="Testonotaapidipagina"/>
        <w:jc w:val="both"/>
        <w:rPr>
          <w:rFonts w:ascii="Garamond" w:hAnsi="Garamond"/>
          <w:sz w:val="24"/>
          <w:szCs w:val="24"/>
        </w:rPr>
      </w:pPr>
      <w:r w:rsidRPr="00075F48">
        <w:rPr>
          <w:rFonts w:ascii="Garamond" w:hAnsi="Garamond"/>
          <w:sz w:val="24"/>
          <w:szCs w:val="24"/>
        </w:rPr>
        <w:t xml:space="preserve">Per ulteriori indicazioni: R. </w:t>
      </w:r>
      <w:proofErr w:type="spellStart"/>
      <w:r w:rsidRPr="00075F48">
        <w:rPr>
          <w:rFonts w:ascii="Garamond" w:hAnsi="Garamond"/>
          <w:sz w:val="24"/>
          <w:szCs w:val="24"/>
        </w:rPr>
        <w:t>Bifulco</w:t>
      </w:r>
      <w:proofErr w:type="spellEnd"/>
      <w:r w:rsidRPr="00075F48">
        <w:rPr>
          <w:rFonts w:ascii="Garamond" w:hAnsi="Garamond"/>
          <w:sz w:val="24"/>
          <w:szCs w:val="24"/>
        </w:rPr>
        <w:t xml:space="preserve">, </w:t>
      </w:r>
      <w:r w:rsidRPr="00627BF8">
        <w:rPr>
          <w:rFonts w:ascii="Garamond" w:hAnsi="Garamond"/>
          <w:i/>
          <w:sz w:val="24"/>
          <w:szCs w:val="24"/>
        </w:rPr>
        <w:t>La giustizia amministrativa nella Repubblica Federale di Germania</w:t>
      </w:r>
      <w:r w:rsidRPr="00075F48">
        <w:rPr>
          <w:rFonts w:ascii="Garamond" w:hAnsi="Garamond"/>
          <w:sz w:val="24"/>
          <w:szCs w:val="24"/>
        </w:rPr>
        <w:t xml:space="preserve">, in G. Recchia (a cura di), </w:t>
      </w:r>
      <w:r w:rsidRPr="00627BF8">
        <w:rPr>
          <w:rFonts w:ascii="Garamond" w:hAnsi="Garamond"/>
          <w:i/>
          <w:sz w:val="24"/>
          <w:szCs w:val="24"/>
        </w:rPr>
        <w:t>Ordinamenti europei di giustizia amministrativa</w:t>
      </w:r>
      <w:r w:rsidRPr="00075F48">
        <w:rPr>
          <w:rFonts w:ascii="Garamond" w:hAnsi="Garamond"/>
          <w:sz w:val="24"/>
          <w:szCs w:val="24"/>
        </w:rPr>
        <w:t xml:space="preserve">, CEDAM, 1996, pag. 255; G. Adamo, </w:t>
      </w:r>
      <w:r w:rsidRPr="00627BF8">
        <w:rPr>
          <w:rFonts w:ascii="Garamond" w:hAnsi="Garamond"/>
          <w:i/>
          <w:sz w:val="24"/>
          <w:szCs w:val="24"/>
        </w:rPr>
        <w:t>Il processo amministrativo tedesco visto da vicino</w:t>
      </w:r>
      <w:r w:rsidRPr="00075F48">
        <w:rPr>
          <w:rFonts w:ascii="Garamond" w:hAnsi="Garamond"/>
          <w:sz w:val="24"/>
          <w:szCs w:val="24"/>
        </w:rPr>
        <w:t>, in www.giustizia-amministrativa.it/documents/20142/147937/nsiga_007412.pdf/b928742a-41d8-097a-ceab-b39ced22537d?version=, 2012.</w:t>
      </w:r>
    </w:p>
  </w:footnote>
  <w:footnote w:id="12">
    <w:p w:rsidR="007A7838" w:rsidRPr="007A7838" w:rsidRDefault="007A7838" w:rsidP="007A7838">
      <w:pPr>
        <w:pStyle w:val="Testonotaapidipagina"/>
        <w:jc w:val="both"/>
        <w:rPr>
          <w:rFonts w:ascii="Garamond" w:hAnsi="Garamond"/>
          <w:sz w:val="24"/>
          <w:szCs w:val="24"/>
        </w:rPr>
      </w:pPr>
      <w:r w:rsidRPr="007A7838">
        <w:rPr>
          <w:rStyle w:val="Rimandonotaapidipagina"/>
          <w:rFonts w:ascii="Garamond" w:hAnsi="Garamond"/>
          <w:sz w:val="24"/>
          <w:szCs w:val="24"/>
        </w:rPr>
        <w:footnoteRef/>
      </w:r>
      <w:r w:rsidRPr="007A7838">
        <w:rPr>
          <w:rFonts w:ascii="Garamond" w:hAnsi="Garamond"/>
          <w:sz w:val="24"/>
          <w:szCs w:val="24"/>
        </w:rPr>
        <w:t xml:space="preserve"> Ovvero di un (previo) ricorso amministrativo in opposizione.</w:t>
      </w:r>
    </w:p>
  </w:footnote>
  <w:footnote w:id="13">
    <w:p w:rsidR="00B861A0" w:rsidRPr="00627BF8" w:rsidRDefault="00B861A0" w:rsidP="00627BF8">
      <w:pPr>
        <w:pStyle w:val="Testonotaapidipagina"/>
        <w:jc w:val="both"/>
        <w:rPr>
          <w:rFonts w:ascii="Garamond" w:hAnsi="Garamond"/>
          <w:sz w:val="24"/>
          <w:szCs w:val="24"/>
        </w:rPr>
      </w:pPr>
      <w:r>
        <w:rPr>
          <w:rStyle w:val="Rimandonotaapidipagina"/>
        </w:rPr>
        <w:footnoteRef/>
      </w:r>
      <w:r>
        <w:t xml:space="preserve"> </w:t>
      </w:r>
      <w:r w:rsidRPr="00627BF8">
        <w:rPr>
          <w:rFonts w:ascii="Garamond" w:hAnsi="Garamond"/>
          <w:sz w:val="24"/>
          <w:szCs w:val="24"/>
        </w:rPr>
        <w:t>Si tratta sostanzialmente di ordini di polizia, come il divieto di transito o l'ordine di sgombero immediato o</w:t>
      </w:r>
      <w:r w:rsidR="0090735B">
        <w:rPr>
          <w:rFonts w:ascii="Garamond" w:hAnsi="Garamond"/>
          <w:sz w:val="24"/>
          <w:szCs w:val="24"/>
        </w:rPr>
        <w:t xml:space="preserve"> quello</w:t>
      </w:r>
      <w:r w:rsidRPr="00627BF8">
        <w:rPr>
          <w:rFonts w:ascii="Garamond" w:hAnsi="Garamond"/>
          <w:sz w:val="24"/>
          <w:szCs w:val="24"/>
        </w:rPr>
        <w:t xml:space="preserve"> impartito per </w:t>
      </w:r>
      <w:r w:rsidR="0090735B">
        <w:rPr>
          <w:rFonts w:ascii="Garamond" w:hAnsi="Garamond"/>
          <w:sz w:val="24"/>
          <w:szCs w:val="24"/>
        </w:rPr>
        <w:t>impedire un assembramento</w:t>
      </w:r>
      <w:r w:rsidRPr="00627BF8">
        <w:rPr>
          <w:rFonts w:ascii="Garamond" w:hAnsi="Garamond"/>
          <w:sz w:val="24"/>
          <w:szCs w:val="24"/>
        </w:rPr>
        <w:t>.</w:t>
      </w:r>
    </w:p>
  </w:footnote>
  <w:footnote w:id="14">
    <w:p w:rsidR="00B861A0" w:rsidRPr="00216646" w:rsidRDefault="00B861A0" w:rsidP="00216646">
      <w:pPr>
        <w:pStyle w:val="Testonotaapidipagina"/>
        <w:jc w:val="both"/>
        <w:rPr>
          <w:rFonts w:ascii="Garamond" w:hAnsi="Garamond"/>
          <w:sz w:val="24"/>
          <w:szCs w:val="24"/>
        </w:rPr>
      </w:pPr>
      <w:r w:rsidRPr="00216646">
        <w:rPr>
          <w:rStyle w:val="Rimandonotaapidipagina"/>
          <w:rFonts w:ascii="Garamond" w:hAnsi="Garamond"/>
          <w:sz w:val="24"/>
          <w:szCs w:val="24"/>
        </w:rPr>
        <w:footnoteRef/>
      </w:r>
      <w:r w:rsidRPr="00216646">
        <w:rPr>
          <w:rFonts w:ascii="Garamond" w:hAnsi="Garamond"/>
          <w:sz w:val="24"/>
          <w:szCs w:val="24"/>
        </w:rPr>
        <w:t xml:space="preserve"> </w:t>
      </w:r>
      <w:r>
        <w:rPr>
          <w:rFonts w:ascii="Garamond" w:hAnsi="Garamond"/>
          <w:sz w:val="24"/>
          <w:szCs w:val="24"/>
        </w:rPr>
        <w:t>I</w:t>
      </w:r>
      <w:r w:rsidRPr="00216646">
        <w:rPr>
          <w:rFonts w:ascii="Garamond" w:hAnsi="Garamond"/>
          <w:sz w:val="24"/>
          <w:szCs w:val="24"/>
        </w:rPr>
        <w:t>n Italia invece, non producendo la presentazione del ricorso automaticamente la sospensione dell'atto impugnato, il codice si è limitato a richiamare l'attenzione del giudice sugli effetti della pronuncia cautelare in alcune materie</w:t>
      </w:r>
      <w:r w:rsidR="0090735B">
        <w:rPr>
          <w:rFonts w:ascii="Garamond" w:hAnsi="Garamond"/>
          <w:sz w:val="24"/>
          <w:szCs w:val="24"/>
        </w:rPr>
        <w:t>,</w:t>
      </w:r>
      <w:r>
        <w:rPr>
          <w:rFonts w:ascii="Garamond" w:hAnsi="Garamond"/>
          <w:sz w:val="24"/>
          <w:szCs w:val="24"/>
        </w:rPr>
        <w:t xml:space="preserve"> così da </w:t>
      </w:r>
      <w:r w:rsidRPr="00216646">
        <w:rPr>
          <w:rFonts w:ascii="Garamond" w:hAnsi="Garamond"/>
          <w:sz w:val="24"/>
          <w:szCs w:val="24"/>
        </w:rPr>
        <w:t xml:space="preserve">suggerire una particolare prudenza, soprattutto in materia di appalti pubblici, come </w:t>
      </w:r>
      <w:r w:rsidR="0090735B">
        <w:rPr>
          <w:rFonts w:ascii="Garamond" w:hAnsi="Garamond"/>
          <w:sz w:val="24"/>
          <w:szCs w:val="24"/>
        </w:rPr>
        <w:t xml:space="preserve">avviene </w:t>
      </w:r>
      <w:r w:rsidRPr="00216646">
        <w:rPr>
          <w:rFonts w:ascii="Garamond" w:hAnsi="Garamond"/>
          <w:sz w:val="24"/>
          <w:szCs w:val="24"/>
        </w:rPr>
        <w:t>nell'articolo 119, commi 3 e 4, e nell'articolo 125, comma 2, dedicato alle infrastrutture strategiche.</w:t>
      </w:r>
    </w:p>
  </w:footnote>
  <w:footnote w:id="15">
    <w:p w:rsidR="00B861A0" w:rsidRPr="00627BF8" w:rsidRDefault="00B861A0">
      <w:pPr>
        <w:pStyle w:val="Testonotaapidipagina"/>
        <w:rPr>
          <w:rFonts w:ascii="Garamond" w:hAnsi="Garamond"/>
          <w:sz w:val="24"/>
          <w:szCs w:val="24"/>
        </w:rPr>
      </w:pPr>
      <w:r w:rsidRPr="00627BF8">
        <w:rPr>
          <w:rStyle w:val="Rimandonotaapidipagina"/>
          <w:rFonts w:ascii="Garamond" w:hAnsi="Garamond"/>
          <w:sz w:val="24"/>
          <w:szCs w:val="24"/>
        </w:rPr>
        <w:footnoteRef/>
      </w:r>
      <w:r w:rsidRPr="00627BF8">
        <w:rPr>
          <w:rFonts w:ascii="Garamond" w:hAnsi="Garamond"/>
          <w:sz w:val="24"/>
          <w:szCs w:val="24"/>
        </w:rPr>
        <w:t xml:space="preserve"> Codice dell'edilizia (</w:t>
      </w:r>
      <w:proofErr w:type="spellStart"/>
      <w:r w:rsidRPr="00627BF8">
        <w:rPr>
          <w:rFonts w:ascii="Garamond" w:hAnsi="Garamond"/>
          <w:i/>
          <w:sz w:val="24"/>
          <w:szCs w:val="24"/>
        </w:rPr>
        <w:t>Baugesetzbuch</w:t>
      </w:r>
      <w:proofErr w:type="spellEnd"/>
      <w:r w:rsidRPr="00627BF8">
        <w:rPr>
          <w:rFonts w:ascii="Garamond" w:hAnsi="Garamond"/>
          <w:sz w:val="24"/>
          <w:szCs w:val="24"/>
        </w:rPr>
        <w:t>).</w:t>
      </w:r>
    </w:p>
  </w:footnote>
  <w:footnote w:id="16">
    <w:p w:rsidR="00BD2CC0" w:rsidRPr="00D62560" w:rsidRDefault="00BD2CC0" w:rsidP="00BD2CC0">
      <w:pPr>
        <w:pStyle w:val="Testonotaapidipagina"/>
        <w:jc w:val="both"/>
        <w:rPr>
          <w:rFonts w:ascii="Garamond" w:hAnsi="Garamond"/>
          <w:sz w:val="24"/>
          <w:szCs w:val="24"/>
        </w:rPr>
      </w:pPr>
      <w:r>
        <w:rPr>
          <w:rStyle w:val="Rimandonotaapidipagina"/>
        </w:rPr>
        <w:footnoteRef/>
      </w:r>
      <w:r>
        <w:t xml:space="preserve"> </w:t>
      </w:r>
      <w:r>
        <w:rPr>
          <w:rFonts w:ascii="Garamond" w:hAnsi="Garamond"/>
          <w:sz w:val="24"/>
          <w:szCs w:val="24"/>
        </w:rPr>
        <w:t xml:space="preserve">La complessa operazione di comparazione e di bilanciamento degli interessi della parte ricorrente e di quella pubblica – argomento sul quale il professor Vincenzo Caputi </w:t>
      </w:r>
      <w:proofErr w:type="spellStart"/>
      <w:r>
        <w:rPr>
          <w:rFonts w:ascii="Garamond" w:hAnsi="Garamond"/>
          <w:sz w:val="24"/>
          <w:szCs w:val="24"/>
        </w:rPr>
        <w:t>Jambrenghi</w:t>
      </w:r>
      <w:proofErr w:type="spellEnd"/>
      <w:r>
        <w:rPr>
          <w:rFonts w:ascii="Garamond" w:hAnsi="Garamond"/>
          <w:sz w:val="24"/>
          <w:szCs w:val="24"/>
        </w:rPr>
        <w:t xml:space="preserve"> ha formulato alcune pregevoli osservazioni introduttive dell'odierno incontro di studio – ha condotto ad affermare che, in quest'occasione, il giudice amministrativo italiano "svolga anche una funzione di merito" (così: F. Freni, in </w:t>
      </w:r>
      <w:r w:rsidRPr="000F12A0">
        <w:rPr>
          <w:rFonts w:ascii="Garamond" w:hAnsi="Garamond"/>
          <w:i/>
          <w:sz w:val="24"/>
          <w:szCs w:val="24"/>
        </w:rPr>
        <w:t>Il codice della giustizia amministrativa</w:t>
      </w:r>
      <w:r>
        <w:rPr>
          <w:rFonts w:ascii="Garamond" w:hAnsi="Garamond"/>
          <w:sz w:val="24"/>
          <w:szCs w:val="24"/>
        </w:rPr>
        <w:t xml:space="preserve">, a cura di G. Morbidelli), </w:t>
      </w:r>
      <w:proofErr w:type="spellStart"/>
      <w:r>
        <w:rPr>
          <w:rFonts w:ascii="Garamond" w:hAnsi="Garamond"/>
          <w:sz w:val="24"/>
          <w:szCs w:val="24"/>
        </w:rPr>
        <w:t>Giuffré</w:t>
      </w:r>
      <w:proofErr w:type="spellEnd"/>
      <w:r>
        <w:rPr>
          <w:rFonts w:ascii="Garamond" w:hAnsi="Garamond"/>
          <w:sz w:val="24"/>
          <w:szCs w:val="24"/>
        </w:rPr>
        <w:t xml:space="preserve">, 2015, pag. 614, specie </w:t>
      </w:r>
      <w:r w:rsidRPr="000F12A0">
        <w:rPr>
          <w:rFonts w:ascii="Garamond" w:hAnsi="Garamond"/>
          <w:sz w:val="24"/>
          <w:szCs w:val="24"/>
        </w:rPr>
        <w:t xml:space="preserve">pag. </w:t>
      </w:r>
      <w:r>
        <w:rPr>
          <w:rFonts w:ascii="Garamond" w:hAnsi="Garamond"/>
          <w:sz w:val="24"/>
          <w:szCs w:val="24"/>
        </w:rPr>
        <w:t>618). D'altronde, seppur con riferimento alla normazione all'epoca vigente, è stato sostenuto da A. Romano (</w:t>
      </w:r>
      <w:r w:rsidRPr="00B8248F">
        <w:rPr>
          <w:rFonts w:ascii="Garamond" w:hAnsi="Garamond"/>
          <w:i/>
          <w:sz w:val="24"/>
          <w:szCs w:val="24"/>
        </w:rPr>
        <w:t xml:space="preserve">Tutela cautelare nel processo amministrativo </w:t>
      </w:r>
      <w:r>
        <w:rPr>
          <w:rFonts w:ascii="Garamond" w:hAnsi="Garamond"/>
          <w:i/>
          <w:sz w:val="24"/>
          <w:szCs w:val="24"/>
        </w:rPr>
        <w:t xml:space="preserve">e </w:t>
      </w:r>
      <w:r w:rsidRPr="00B8248F">
        <w:rPr>
          <w:rFonts w:ascii="Garamond" w:hAnsi="Garamond"/>
          <w:i/>
          <w:sz w:val="24"/>
          <w:szCs w:val="24"/>
        </w:rPr>
        <w:t>giurisdizione di merito</w:t>
      </w:r>
      <w:r>
        <w:rPr>
          <w:rFonts w:ascii="Garamond" w:hAnsi="Garamond"/>
          <w:sz w:val="24"/>
          <w:szCs w:val="24"/>
        </w:rPr>
        <w:t xml:space="preserve">, Foro </w:t>
      </w:r>
      <w:proofErr w:type="spellStart"/>
      <w:proofErr w:type="gramStart"/>
      <w:r>
        <w:rPr>
          <w:rFonts w:ascii="Garamond" w:hAnsi="Garamond"/>
          <w:sz w:val="24"/>
          <w:szCs w:val="24"/>
        </w:rPr>
        <w:t>it</w:t>
      </w:r>
      <w:proofErr w:type="spellEnd"/>
      <w:r>
        <w:rPr>
          <w:rFonts w:ascii="Garamond" w:hAnsi="Garamond"/>
          <w:sz w:val="24"/>
          <w:szCs w:val="24"/>
        </w:rPr>
        <w:t>.,</w:t>
      </w:r>
      <w:proofErr w:type="gramEnd"/>
      <w:r>
        <w:rPr>
          <w:rFonts w:ascii="Garamond" w:hAnsi="Garamond"/>
          <w:sz w:val="24"/>
          <w:szCs w:val="24"/>
        </w:rPr>
        <w:t xml:space="preserve"> 1985, I, col. 2491) che nella tutela cautelare si esercitasse la giurisdizione di merito in un'ipotesi non legislativamente tipizzata. Un bilanciamento di tal fatta è sicuramente agevolato dalla circostanza che il giudice amministrativo decide in un collegio </w:t>
      </w:r>
      <w:r w:rsidRPr="00574976">
        <w:rPr>
          <w:rFonts w:ascii="Garamond" w:hAnsi="Garamond"/>
          <w:sz w:val="24"/>
          <w:szCs w:val="24"/>
        </w:rPr>
        <w:t>in cui si fondono varie esperienze</w:t>
      </w:r>
      <w:r>
        <w:rPr>
          <w:rFonts w:ascii="Garamond" w:hAnsi="Garamond"/>
          <w:sz w:val="24"/>
          <w:szCs w:val="24"/>
        </w:rPr>
        <w:t xml:space="preserve">. I singoli </w:t>
      </w:r>
      <w:r w:rsidRPr="00574976">
        <w:rPr>
          <w:rFonts w:ascii="Garamond" w:hAnsi="Garamond"/>
          <w:sz w:val="24"/>
          <w:szCs w:val="24"/>
        </w:rPr>
        <w:t xml:space="preserve">provengono dall’avvocatura, dall’amministrazione, da altre magistrature e </w:t>
      </w:r>
      <w:r>
        <w:rPr>
          <w:rFonts w:ascii="Garamond" w:hAnsi="Garamond"/>
          <w:sz w:val="24"/>
          <w:szCs w:val="24"/>
        </w:rPr>
        <w:t xml:space="preserve">ciò consente l'esame della </w:t>
      </w:r>
      <w:r w:rsidRPr="00574976">
        <w:rPr>
          <w:rFonts w:ascii="Garamond" w:hAnsi="Garamond"/>
          <w:sz w:val="24"/>
          <w:szCs w:val="24"/>
        </w:rPr>
        <w:t xml:space="preserve">fattispecie, </w:t>
      </w:r>
      <w:r>
        <w:rPr>
          <w:rFonts w:ascii="Garamond" w:hAnsi="Garamond"/>
          <w:sz w:val="24"/>
          <w:szCs w:val="24"/>
        </w:rPr>
        <w:t>della vicenda</w:t>
      </w:r>
      <w:r w:rsidRPr="00574976">
        <w:rPr>
          <w:rFonts w:ascii="Garamond" w:hAnsi="Garamond"/>
          <w:sz w:val="24"/>
          <w:szCs w:val="24"/>
        </w:rPr>
        <w:t xml:space="preserve"> in</w:t>
      </w:r>
      <w:r>
        <w:rPr>
          <w:rFonts w:ascii="Garamond" w:hAnsi="Garamond"/>
          <w:sz w:val="24"/>
          <w:szCs w:val="24"/>
        </w:rPr>
        <w:t xml:space="preserve"> un'ottica </w:t>
      </w:r>
      <w:r w:rsidRPr="00574976">
        <w:rPr>
          <w:rFonts w:ascii="Garamond" w:hAnsi="Garamond"/>
          <w:sz w:val="24"/>
          <w:szCs w:val="24"/>
        </w:rPr>
        <w:t xml:space="preserve">non </w:t>
      </w:r>
      <w:r>
        <w:rPr>
          <w:rFonts w:ascii="Garamond" w:hAnsi="Garamond"/>
          <w:sz w:val="24"/>
          <w:szCs w:val="24"/>
        </w:rPr>
        <w:t>uni</w:t>
      </w:r>
      <w:r w:rsidRPr="00574976">
        <w:rPr>
          <w:rFonts w:ascii="Garamond" w:hAnsi="Garamond"/>
          <w:sz w:val="24"/>
          <w:szCs w:val="24"/>
        </w:rPr>
        <w:t>direzionale.</w:t>
      </w:r>
    </w:p>
  </w:footnote>
  <w:footnote w:id="17">
    <w:p w:rsidR="00B861A0" w:rsidRPr="000E4B78" w:rsidRDefault="00B861A0" w:rsidP="000E4B78">
      <w:pPr>
        <w:pStyle w:val="Testonotaapidipagina"/>
        <w:jc w:val="both"/>
        <w:rPr>
          <w:rFonts w:ascii="Garamond" w:hAnsi="Garamond"/>
          <w:sz w:val="24"/>
          <w:szCs w:val="24"/>
        </w:rPr>
      </w:pPr>
      <w:r w:rsidRPr="000E4B78">
        <w:rPr>
          <w:rStyle w:val="Rimandonotaapidipagina"/>
          <w:rFonts w:ascii="Garamond" w:hAnsi="Garamond"/>
          <w:sz w:val="24"/>
          <w:szCs w:val="24"/>
        </w:rPr>
        <w:footnoteRef/>
      </w:r>
      <w:r w:rsidRPr="000E4B78">
        <w:rPr>
          <w:rFonts w:ascii="Garamond" w:hAnsi="Garamond"/>
          <w:sz w:val="24"/>
          <w:szCs w:val="24"/>
        </w:rPr>
        <w:t xml:space="preserve"> Il permanere a tempo indefinito dell'ordinanza cautelare era stato annoverato fra le ingiustizie della giustizia amministrativa da F. </w:t>
      </w:r>
      <w:proofErr w:type="spellStart"/>
      <w:r w:rsidRPr="000E4B78">
        <w:rPr>
          <w:rFonts w:ascii="Garamond" w:hAnsi="Garamond"/>
          <w:sz w:val="24"/>
          <w:szCs w:val="24"/>
        </w:rPr>
        <w:t>Merusi</w:t>
      </w:r>
      <w:proofErr w:type="spellEnd"/>
      <w:r w:rsidRPr="000E4B78">
        <w:rPr>
          <w:rFonts w:ascii="Garamond" w:hAnsi="Garamond"/>
          <w:sz w:val="24"/>
          <w:szCs w:val="24"/>
        </w:rPr>
        <w:t xml:space="preserve">, G. </w:t>
      </w:r>
      <w:proofErr w:type="spellStart"/>
      <w:r w:rsidRPr="000E4B78">
        <w:rPr>
          <w:rFonts w:ascii="Garamond" w:hAnsi="Garamond"/>
          <w:sz w:val="24"/>
          <w:szCs w:val="24"/>
        </w:rPr>
        <w:t>Sanviti</w:t>
      </w:r>
      <w:proofErr w:type="spellEnd"/>
      <w:r w:rsidRPr="000E4B78">
        <w:rPr>
          <w:rFonts w:ascii="Garamond" w:hAnsi="Garamond"/>
          <w:sz w:val="24"/>
          <w:szCs w:val="24"/>
        </w:rPr>
        <w:t xml:space="preserve">, </w:t>
      </w:r>
      <w:r w:rsidRPr="000E4B78">
        <w:rPr>
          <w:rFonts w:ascii="Garamond" w:hAnsi="Garamond"/>
          <w:i/>
          <w:sz w:val="24"/>
          <w:szCs w:val="24"/>
        </w:rPr>
        <w:t>L'</w:t>
      </w:r>
      <w:r>
        <w:rPr>
          <w:rFonts w:ascii="Garamond" w:hAnsi="Garamond"/>
          <w:i/>
          <w:sz w:val="24"/>
          <w:szCs w:val="24"/>
        </w:rPr>
        <w:t>i</w:t>
      </w:r>
      <w:r w:rsidRPr="000E4B78">
        <w:rPr>
          <w:rFonts w:ascii="Garamond" w:hAnsi="Garamond"/>
          <w:i/>
          <w:sz w:val="24"/>
          <w:szCs w:val="24"/>
        </w:rPr>
        <w:t>ngiustizia amministrativa in Italia: per la riforma del processo</w:t>
      </w:r>
      <w:r w:rsidRPr="000E4B78">
        <w:rPr>
          <w:rFonts w:ascii="Garamond" w:hAnsi="Garamond"/>
          <w:sz w:val="24"/>
          <w:szCs w:val="24"/>
        </w:rPr>
        <w:t>, il Mulino, 1986</w:t>
      </w:r>
      <w:r>
        <w:rPr>
          <w:rFonts w:ascii="Garamond" w:hAnsi="Garamond"/>
          <w:sz w:val="24"/>
          <w:szCs w:val="24"/>
        </w:rPr>
        <w:t>, pag. 45</w:t>
      </w:r>
      <w:r w:rsidRPr="000E4B78">
        <w:rPr>
          <w:rFonts w:ascii="Garamond" w:hAnsi="Garamond"/>
          <w:sz w:val="24"/>
          <w:szCs w:val="24"/>
        </w:rPr>
        <w:t>.</w:t>
      </w:r>
    </w:p>
  </w:footnote>
  <w:footnote w:id="18">
    <w:p w:rsidR="00B861A0" w:rsidRPr="00DE5FF2" w:rsidRDefault="00B861A0" w:rsidP="00DE5FF2">
      <w:pPr>
        <w:pStyle w:val="Testonotaapidipagina"/>
        <w:jc w:val="both"/>
        <w:rPr>
          <w:rFonts w:ascii="Garamond" w:hAnsi="Garamond"/>
          <w:sz w:val="24"/>
          <w:szCs w:val="24"/>
        </w:rPr>
      </w:pPr>
      <w:r w:rsidRPr="00DE5FF2">
        <w:rPr>
          <w:rStyle w:val="Rimandonotaapidipagina"/>
          <w:rFonts w:ascii="Garamond" w:hAnsi="Garamond"/>
          <w:sz w:val="24"/>
          <w:szCs w:val="24"/>
        </w:rPr>
        <w:footnoteRef/>
      </w:r>
      <w:r w:rsidRPr="00DE5FF2">
        <w:rPr>
          <w:rFonts w:ascii="Garamond" w:hAnsi="Garamond"/>
          <w:sz w:val="24"/>
          <w:szCs w:val="24"/>
        </w:rPr>
        <w:t xml:space="preserve"> Le scelte draconiane del codice in tema di competenza territoriale e funzionale, operate con la dichiarata intenzione di evitare il </w:t>
      </w:r>
      <w:r w:rsidRPr="00DE5FF2">
        <w:rPr>
          <w:rFonts w:ascii="Garamond" w:hAnsi="Garamond"/>
          <w:i/>
          <w:sz w:val="24"/>
          <w:szCs w:val="24"/>
        </w:rPr>
        <w:t>forum shopping</w:t>
      </w:r>
      <w:r w:rsidRPr="00DE5FF2">
        <w:rPr>
          <w:rFonts w:ascii="Garamond" w:hAnsi="Garamond"/>
          <w:sz w:val="24"/>
          <w:szCs w:val="24"/>
        </w:rPr>
        <w:t xml:space="preserve"> (non considerando che tale espressione nasce negli ambienti dei tribunali internazionali nei quali </w:t>
      </w:r>
      <w:r>
        <w:rPr>
          <w:rFonts w:ascii="Garamond" w:hAnsi="Garamond"/>
          <w:sz w:val="24"/>
          <w:szCs w:val="24"/>
        </w:rPr>
        <w:t>il livello d’</w:t>
      </w:r>
      <w:r w:rsidRPr="00DE5FF2">
        <w:rPr>
          <w:rFonts w:ascii="Garamond" w:hAnsi="Garamond"/>
          <w:sz w:val="24"/>
          <w:szCs w:val="24"/>
        </w:rPr>
        <w:t xml:space="preserve">indipendenza e </w:t>
      </w:r>
      <w:r>
        <w:rPr>
          <w:rFonts w:ascii="Garamond" w:hAnsi="Garamond"/>
          <w:sz w:val="24"/>
          <w:szCs w:val="24"/>
        </w:rPr>
        <w:t>d’</w:t>
      </w:r>
      <w:r w:rsidRPr="00DE5FF2">
        <w:rPr>
          <w:rFonts w:ascii="Garamond" w:hAnsi="Garamond"/>
          <w:sz w:val="24"/>
          <w:szCs w:val="24"/>
        </w:rPr>
        <w:t>imparzialità</w:t>
      </w:r>
      <w:r>
        <w:rPr>
          <w:rFonts w:ascii="Garamond" w:hAnsi="Garamond"/>
          <w:sz w:val="24"/>
          <w:szCs w:val="24"/>
        </w:rPr>
        <w:t xml:space="preserve"> dei corpi giudicanti </w:t>
      </w:r>
      <w:r w:rsidRPr="00DE5FF2">
        <w:rPr>
          <w:rFonts w:ascii="Garamond" w:hAnsi="Garamond"/>
          <w:sz w:val="24"/>
          <w:szCs w:val="24"/>
        </w:rPr>
        <w:t>non è omogeneo)</w:t>
      </w:r>
      <w:r>
        <w:rPr>
          <w:rFonts w:ascii="Garamond" w:hAnsi="Garamond"/>
          <w:sz w:val="24"/>
          <w:szCs w:val="24"/>
        </w:rPr>
        <w:t xml:space="preserve"> sembra condurre </w:t>
      </w:r>
      <w:r w:rsidRPr="00DE5FF2">
        <w:rPr>
          <w:rFonts w:ascii="Garamond" w:hAnsi="Garamond"/>
          <w:sz w:val="24"/>
          <w:szCs w:val="24"/>
        </w:rPr>
        <w:t>a un'applicazione distorta dello stesso articolo 125 della Costituzione</w:t>
      </w:r>
      <w:r>
        <w:rPr>
          <w:rFonts w:ascii="Garamond" w:hAnsi="Garamond"/>
          <w:sz w:val="24"/>
          <w:szCs w:val="24"/>
        </w:rPr>
        <w:t>. S</w:t>
      </w:r>
      <w:r w:rsidRPr="00DE5FF2">
        <w:rPr>
          <w:rFonts w:ascii="Garamond" w:hAnsi="Garamond"/>
          <w:sz w:val="24"/>
          <w:szCs w:val="24"/>
        </w:rPr>
        <w:t xml:space="preserve">minuisce </w:t>
      </w:r>
      <w:r>
        <w:rPr>
          <w:rFonts w:ascii="Garamond" w:hAnsi="Garamond"/>
          <w:sz w:val="24"/>
          <w:szCs w:val="24"/>
        </w:rPr>
        <w:t xml:space="preserve">infatti </w:t>
      </w:r>
      <w:r w:rsidRPr="00DE5FF2">
        <w:rPr>
          <w:rFonts w:ascii="Garamond" w:hAnsi="Garamond"/>
          <w:sz w:val="24"/>
          <w:szCs w:val="24"/>
        </w:rPr>
        <w:t>la natura territoriale</w:t>
      </w:r>
      <w:r>
        <w:rPr>
          <w:rFonts w:ascii="Garamond" w:hAnsi="Garamond"/>
          <w:sz w:val="24"/>
          <w:szCs w:val="24"/>
        </w:rPr>
        <w:t xml:space="preserve"> con dimensione regionale</w:t>
      </w:r>
      <w:r w:rsidRPr="00DE5FF2">
        <w:rPr>
          <w:rFonts w:ascii="Garamond" w:hAnsi="Garamond"/>
          <w:sz w:val="24"/>
          <w:szCs w:val="24"/>
        </w:rPr>
        <w:t xml:space="preserve"> dei tribunali amministrativi</w:t>
      </w:r>
      <w:r w:rsidR="00DC442A">
        <w:rPr>
          <w:rFonts w:ascii="Garamond" w:hAnsi="Garamond"/>
          <w:sz w:val="24"/>
          <w:szCs w:val="24"/>
        </w:rPr>
        <w:t>,</w:t>
      </w:r>
      <w:r w:rsidRPr="00DE5FF2">
        <w:rPr>
          <w:rFonts w:ascii="Garamond" w:hAnsi="Garamond"/>
          <w:sz w:val="24"/>
          <w:szCs w:val="24"/>
        </w:rPr>
        <w:t xml:space="preserve"> producendo un accentramento del contenzioso presso il TAR Lazio, che ormai assorbe circa il 25 per cento delle cause amministrative.</w:t>
      </w:r>
    </w:p>
  </w:footnote>
  <w:footnote w:id="19">
    <w:p w:rsidR="00010B63" w:rsidRPr="00B87833" w:rsidRDefault="00010B63" w:rsidP="00B87833">
      <w:pPr>
        <w:pStyle w:val="Testonotaapidipagina"/>
        <w:jc w:val="both"/>
        <w:rPr>
          <w:rFonts w:ascii="Garamond" w:hAnsi="Garamond"/>
          <w:sz w:val="24"/>
          <w:szCs w:val="24"/>
        </w:rPr>
      </w:pPr>
      <w:r>
        <w:rPr>
          <w:rStyle w:val="Rimandonotaapidipagina"/>
        </w:rPr>
        <w:footnoteRef/>
      </w:r>
      <w:r>
        <w:t xml:space="preserve"> </w:t>
      </w:r>
      <w:r w:rsidR="00B87833" w:rsidRPr="00B87833">
        <w:rPr>
          <w:rFonts w:ascii="Garamond" w:hAnsi="Garamond"/>
          <w:sz w:val="24"/>
          <w:szCs w:val="24"/>
        </w:rPr>
        <w:t xml:space="preserve">Per </w:t>
      </w:r>
      <w:r w:rsidRPr="00B87833">
        <w:rPr>
          <w:rFonts w:ascii="Garamond" w:hAnsi="Garamond"/>
          <w:sz w:val="24"/>
          <w:szCs w:val="24"/>
        </w:rPr>
        <w:t xml:space="preserve">un'esposizione più ampia </w:t>
      </w:r>
      <w:r w:rsidR="00373DEC">
        <w:rPr>
          <w:rFonts w:ascii="Garamond" w:hAnsi="Garamond"/>
          <w:sz w:val="24"/>
          <w:szCs w:val="24"/>
        </w:rPr>
        <w:t xml:space="preserve">di questi argomenti </w:t>
      </w:r>
      <w:r w:rsidRPr="00B87833">
        <w:rPr>
          <w:rFonts w:ascii="Garamond" w:hAnsi="Garamond"/>
          <w:sz w:val="24"/>
          <w:szCs w:val="24"/>
        </w:rPr>
        <w:t>si rinvia a G. Adamo</w:t>
      </w:r>
      <w:r w:rsidR="00B87833" w:rsidRPr="00B87833">
        <w:rPr>
          <w:rFonts w:ascii="Garamond" w:hAnsi="Garamond"/>
          <w:sz w:val="24"/>
          <w:szCs w:val="24"/>
        </w:rPr>
        <w:t xml:space="preserve">, </w:t>
      </w:r>
      <w:r w:rsidR="00B87833" w:rsidRPr="00B87833">
        <w:rPr>
          <w:rFonts w:ascii="Garamond" w:hAnsi="Garamond"/>
          <w:i/>
          <w:sz w:val="24"/>
          <w:szCs w:val="24"/>
        </w:rPr>
        <w:t>La redazione della sentenza nell’era del processo digitale</w:t>
      </w:r>
      <w:r w:rsidR="00B87833" w:rsidRPr="00B87833">
        <w:rPr>
          <w:rFonts w:ascii="Garamond" w:hAnsi="Garamond"/>
          <w:sz w:val="24"/>
          <w:szCs w:val="24"/>
        </w:rPr>
        <w:t>, maggio 2019, in https://www.giustizia-amministrativa.it/web/guest/-/adamo-la-redazione-della-sentenza-nell-era-del-processo-digitale-15-maggio-2019</w:t>
      </w:r>
      <w:r w:rsidR="00B87833">
        <w:rPr>
          <w:rFonts w:ascii="Garamond" w:hAnsi="Garamond"/>
          <w:sz w:val="24"/>
          <w:szCs w:val="24"/>
        </w:rPr>
        <w:t xml:space="preserve"> </w:t>
      </w:r>
      <w:r w:rsidR="00373DEC">
        <w:rPr>
          <w:rFonts w:ascii="Garamond" w:hAnsi="Garamond"/>
          <w:sz w:val="24"/>
          <w:szCs w:val="24"/>
        </w:rPr>
        <w:t xml:space="preserve">e </w:t>
      </w:r>
      <w:r w:rsidR="00B87833">
        <w:rPr>
          <w:rFonts w:ascii="Garamond" w:hAnsi="Garamond"/>
          <w:sz w:val="24"/>
          <w:szCs w:val="24"/>
        </w:rPr>
        <w:t xml:space="preserve">in corso di pubblicazione sulla rivista </w:t>
      </w:r>
      <w:r w:rsidR="00B87833" w:rsidRPr="00B87833">
        <w:rPr>
          <w:rFonts w:ascii="Garamond" w:hAnsi="Garamond"/>
          <w:i/>
          <w:sz w:val="24"/>
          <w:szCs w:val="24"/>
        </w:rPr>
        <w:t>Diritto e processo amministrativo</w:t>
      </w:r>
      <w:r w:rsidR="00B87833">
        <w:rPr>
          <w:rFonts w:ascii="Garamond" w:hAnsi="Garamond"/>
          <w:sz w:val="24"/>
          <w:szCs w:val="24"/>
        </w:rPr>
        <w:t>, 2019</w:t>
      </w:r>
      <w:r w:rsidR="00B87833" w:rsidRPr="00B87833">
        <w:rPr>
          <w:rFonts w:ascii="Garamond" w:hAnsi="Garamond"/>
          <w:sz w:val="24"/>
          <w:szCs w:val="24"/>
        </w:rPr>
        <w:t>.</w:t>
      </w:r>
    </w:p>
  </w:footnote>
  <w:footnote w:id="20">
    <w:p w:rsidR="00975F8D" w:rsidRPr="00975F8D" w:rsidRDefault="00975F8D" w:rsidP="00975F8D">
      <w:pPr>
        <w:pStyle w:val="Testonotaapidipagina"/>
        <w:jc w:val="both"/>
        <w:rPr>
          <w:rFonts w:ascii="Garamond" w:hAnsi="Garamond"/>
          <w:sz w:val="24"/>
          <w:szCs w:val="24"/>
        </w:rPr>
      </w:pPr>
      <w:r w:rsidRPr="00975F8D">
        <w:rPr>
          <w:rStyle w:val="Rimandonotaapidipagina"/>
          <w:rFonts w:ascii="Garamond" w:hAnsi="Garamond"/>
          <w:sz w:val="24"/>
          <w:szCs w:val="24"/>
        </w:rPr>
        <w:footnoteRef/>
      </w:r>
      <w:r w:rsidRPr="00975F8D">
        <w:rPr>
          <w:rFonts w:ascii="Garamond" w:hAnsi="Garamond"/>
          <w:sz w:val="24"/>
          <w:szCs w:val="24"/>
        </w:rPr>
        <w:t xml:space="preserve"> I meccanismi previsti negli articoli 74, e 129, comma 6 ("La relativa motivazione può consistere anche in un mero richiamo delle argomentazioni contenute negli scritti delle parti che il giudice ha inteso accogliere e fare proprie"), non sono comunque ignoti all'ordinamento tedesco, come si è accennato a proposito dell'articolo 117, paragrafi quinto e terzo, del </w:t>
      </w:r>
      <w:proofErr w:type="spellStart"/>
      <w:r w:rsidRPr="00975F8D">
        <w:rPr>
          <w:rFonts w:ascii="Garamond" w:hAnsi="Garamond"/>
          <w:i/>
          <w:sz w:val="24"/>
          <w:szCs w:val="24"/>
        </w:rPr>
        <w:t>VwGO</w:t>
      </w:r>
      <w:proofErr w:type="spellEnd"/>
      <w:r w:rsidRPr="00975F8D">
        <w:rPr>
          <w:rFonts w:ascii="Garamond" w:hAnsi="Garamond"/>
          <w:sz w:val="24"/>
          <w:szCs w:val="24"/>
        </w:rPr>
        <w:t xml:space="preserve">.  </w:t>
      </w:r>
    </w:p>
  </w:footnote>
  <w:footnote w:id="21">
    <w:p w:rsidR="00EF5179" w:rsidRPr="006453D5" w:rsidRDefault="00EF5179" w:rsidP="006453D5">
      <w:pPr>
        <w:pStyle w:val="Testonotaapidipagina"/>
        <w:jc w:val="both"/>
        <w:rPr>
          <w:rFonts w:ascii="Garamond" w:hAnsi="Garamond"/>
          <w:sz w:val="24"/>
          <w:szCs w:val="24"/>
        </w:rPr>
      </w:pPr>
      <w:r w:rsidRPr="006453D5">
        <w:rPr>
          <w:rStyle w:val="Rimandonotaapidipagina"/>
          <w:rFonts w:ascii="Garamond" w:hAnsi="Garamond"/>
          <w:sz w:val="24"/>
          <w:szCs w:val="24"/>
        </w:rPr>
        <w:footnoteRef/>
      </w:r>
      <w:r w:rsidRPr="006453D5">
        <w:rPr>
          <w:rFonts w:ascii="Garamond" w:hAnsi="Garamond"/>
          <w:sz w:val="24"/>
          <w:szCs w:val="24"/>
        </w:rPr>
        <w:t xml:space="preserve"> </w:t>
      </w:r>
      <w:r w:rsidR="00C362E0" w:rsidRPr="006453D5">
        <w:rPr>
          <w:rFonts w:ascii="Garamond" w:hAnsi="Garamond"/>
          <w:sz w:val="24"/>
          <w:szCs w:val="24"/>
        </w:rPr>
        <w:t xml:space="preserve">M. </w:t>
      </w:r>
      <w:proofErr w:type="spellStart"/>
      <w:r w:rsidR="00C362E0" w:rsidRPr="006453D5">
        <w:rPr>
          <w:rFonts w:ascii="Garamond" w:hAnsi="Garamond"/>
          <w:sz w:val="24"/>
          <w:szCs w:val="24"/>
        </w:rPr>
        <w:t>Taruffo</w:t>
      </w:r>
      <w:proofErr w:type="spellEnd"/>
      <w:r w:rsidR="00C362E0" w:rsidRPr="006453D5">
        <w:rPr>
          <w:rFonts w:ascii="Garamond" w:hAnsi="Garamond"/>
          <w:sz w:val="24"/>
          <w:szCs w:val="24"/>
        </w:rPr>
        <w:t xml:space="preserve">, </w:t>
      </w:r>
      <w:r w:rsidR="00C362E0" w:rsidRPr="006453D5">
        <w:rPr>
          <w:rFonts w:ascii="Garamond" w:hAnsi="Garamond"/>
          <w:i/>
          <w:sz w:val="24"/>
          <w:szCs w:val="24"/>
        </w:rPr>
        <w:t>Addio alla</w:t>
      </w:r>
      <w:r w:rsidR="006453D5" w:rsidRPr="006453D5">
        <w:rPr>
          <w:rFonts w:ascii="Garamond" w:hAnsi="Garamond"/>
          <w:i/>
          <w:sz w:val="24"/>
          <w:szCs w:val="24"/>
        </w:rPr>
        <w:t xml:space="preserve"> </w:t>
      </w:r>
      <w:r w:rsidR="00C362E0" w:rsidRPr="006453D5">
        <w:rPr>
          <w:rFonts w:ascii="Garamond" w:hAnsi="Garamond"/>
          <w:i/>
          <w:sz w:val="24"/>
          <w:szCs w:val="24"/>
        </w:rPr>
        <w:t>motivazione</w:t>
      </w:r>
      <w:proofErr w:type="gramStart"/>
      <w:r w:rsidR="006453D5" w:rsidRPr="006453D5">
        <w:rPr>
          <w:rFonts w:ascii="Garamond" w:hAnsi="Garamond"/>
          <w:i/>
          <w:sz w:val="24"/>
          <w:szCs w:val="24"/>
        </w:rPr>
        <w:t xml:space="preserve"> </w:t>
      </w:r>
      <w:r w:rsidR="00C362E0" w:rsidRPr="006453D5">
        <w:rPr>
          <w:rFonts w:ascii="Garamond" w:hAnsi="Garamond"/>
          <w:i/>
          <w:sz w:val="24"/>
          <w:szCs w:val="24"/>
        </w:rPr>
        <w:t>?</w:t>
      </w:r>
      <w:r w:rsidR="00C362E0" w:rsidRPr="006453D5">
        <w:rPr>
          <w:rFonts w:ascii="Garamond" w:hAnsi="Garamond"/>
          <w:sz w:val="24"/>
          <w:szCs w:val="24"/>
        </w:rPr>
        <w:t>,</w:t>
      </w:r>
      <w:proofErr w:type="gramEnd"/>
      <w:r w:rsidR="00C362E0" w:rsidRPr="006453D5">
        <w:rPr>
          <w:rFonts w:ascii="Garamond" w:hAnsi="Garamond"/>
          <w:sz w:val="24"/>
          <w:szCs w:val="24"/>
        </w:rPr>
        <w:t xml:space="preserve"> in </w:t>
      </w:r>
      <w:proofErr w:type="spellStart"/>
      <w:r w:rsidR="00C362E0" w:rsidRPr="006453D5">
        <w:rPr>
          <w:rFonts w:ascii="Garamond" w:hAnsi="Garamond"/>
          <w:sz w:val="24"/>
          <w:szCs w:val="24"/>
        </w:rPr>
        <w:t>Riv</w:t>
      </w:r>
      <w:proofErr w:type="spellEnd"/>
      <w:r w:rsidR="00C362E0" w:rsidRPr="006453D5">
        <w:rPr>
          <w:rFonts w:ascii="Garamond" w:hAnsi="Garamond"/>
          <w:sz w:val="24"/>
          <w:szCs w:val="24"/>
        </w:rPr>
        <w:t xml:space="preserve">. trim. dir. </w:t>
      </w:r>
      <w:proofErr w:type="spellStart"/>
      <w:proofErr w:type="gramStart"/>
      <w:r w:rsidR="00C362E0" w:rsidRPr="006453D5">
        <w:rPr>
          <w:rFonts w:ascii="Garamond" w:hAnsi="Garamond"/>
          <w:sz w:val="24"/>
          <w:szCs w:val="24"/>
        </w:rPr>
        <w:t>proc</w:t>
      </w:r>
      <w:proofErr w:type="spellEnd"/>
      <w:proofErr w:type="gramEnd"/>
      <w:r w:rsidR="00C362E0" w:rsidRPr="006453D5">
        <w:rPr>
          <w:rFonts w:ascii="Garamond" w:hAnsi="Garamond"/>
          <w:sz w:val="24"/>
          <w:szCs w:val="24"/>
        </w:rPr>
        <w:t xml:space="preserve">. </w:t>
      </w:r>
      <w:proofErr w:type="gramStart"/>
      <w:r w:rsidR="00C362E0" w:rsidRPr="006453D5">
        <w:rPr>
          <w:rFonts w:ascii="Garamond" w:hAnsi="Garamond"/>
          <w:sz w:val="24"/>
          <w:szCs w:val="24"/>
        </w:rPr>
        <w:t>civ.,</w:t>
      </w:r>
      <w:proofErr w:type="gramEnd"/>
      <w:r w:rsidR="00C362E0" w:rsidRPr="006453D5">
        <w:rPr>
          <w:rFonts w:ascii="Garamond" w:hAnsi="Garamond"/>
          <w:sz w:val="24"/>
          <w:szCs w:val="24"/>
        </w:rPr>
        <w:t xml:space="preserve"> 2014, pag. 375 ss., spec. pag. 385.</w:t>
      </w:r>
    </w:p>
  </w:footnote>
  <w:footnote w:id="22">
    <w:p w:rsidR="009039C7" w:rsidRPr="006453D5" w:rsidRDefault="009039C7" w:rsidP="006453D5">
      <w:pPr>
        <w:pStyle w:val="Testonotaapidipagina"/>
        <w:jc w:val="both"/>
        <w:rPr>
          <w:rFonts w:ascii="Garamond" w:hAnsi="Garamond"/>
          <w:sz w:val="24"/>
          <w:szCs w:val="24"/>
        </w:rPr>
      </w:pPr>
      <w:r w:rsidRPr="006453D5">
        <w:rPr>
          <w:rStyle w:val="Rimandonotaapidipagina"/>
          <w:rFonts w:ascii="Garamond" w:hAnsi="Garamond"/>
          <w:sz w:val="24"/>
          <w:szCs w:val="24"/>
        </w:rPr>
        <w:footnoteRef/>
      </w:r>
      <w:r w:rsidRPr="006453D5">
        <w:rPr>
          <w:rFonts w:ascii="Garamond" w:hAnsi="Garamond"/>
          <w:sz w:val="24"/>
          <w:szCs w:val="24"/>
        </w:rPr>
        <w:t xml:space="preserve"> </w:t>
      </w:r>
      <w:r w:rsidR="00C504CD" w:rsidRPr="006453D5">
        <w:rPr>
          <w:rFonts w:ascii="Garamond" w:hAnsi="Garamond"/>
          <w:sz w:val="24"/>
          <w:szCs w:val="24"/>
        </w:rPr>
        <w:t xml:space="preserve">M. L. </w:t>
      </w:r>
      <w:proofErr w:type="spellStart"/>
      <w:r w:rsidR="00C504CD" w:rsidRPr="006453D5">
        <w:rPr>
          <w:rFonts w:ascii="Garamond" w:hAnsi="Garamond"/>
          <w:sz w:val="24"/>
          <w:szCs w:val="24"/>
        </w:rPr>
        <w:t>Dutheillet</w:t>
      </w:r>
      <w:proofErr w:type="spellEnd"/>
      <w:r w:rsidR="00C504CD" w:rsidRPr="006453D5">
        <w:rPr>
          <w:rFonts w:ascii="Garamond" w:hAnsi="Garamond"/>
          <w:sz w:val="24"/>
          <w:szCs w:val="24"/>
        </w:rPr>
        <w:t xml:space="preserve"> de </w:t>
      </w:r>
      <w:proofErr w:type="spellStart"/>
      <w:r w:rsidR="00C504CD" w:rsidRPr="006453D5">
        <w:rPr>
          <w:rFonts w:ascii="Garamond" w:hAnsi="Garamond"/>
          <w:sz w:val="24"/>
          <w:szCs w:val="24"/>
        </w:rPr>
        <w:t>Lamothe</w:t>
      </w:r>
      <w:proofErr w:type="spellEnd"/>
      <w:r w:rsidR="00C504CD" w:rsidRPr="006453D5">
        <w:rPr>
          <w:rFonts w:ascii="Garamond" w:hAnsi="Garamond"/>
          <w:sz w:val="24"/>
          <w:szCs w:val="24"/>
        </w:rPr>
        <w:t xml:space="preserve">, </w:t>
      </w:r>
      <w:r w:rsidR="00C504CD" w:rsidRPr="006453D5">
        <w:rPr>
          <w:rFonts w:ascii="Garamond" w:hAnsi="Garamond"/>
          <w:i/>
          <w:sz w:val="24"/>
          <w:szCs w:val="24"/>
        </w:rPr>
        <w:t xml:space="preserve">Uno sguardo oltralpe: l’esperienza del </w:t>
      </w:r>
      <w:proofErr w:type="spellStart"/>
      <w:r w:rsidR="00C504CD" w:rsidRPr="006453D5">
        <w:rPr>
          <w:rFonts w:ascii="Garamond" w:hAnsi="Garamond"/>
          <w:i/>
          <w:sz w:val="24"/>
          <w:szCs w:val="24"/>
        </w:rPr>
        <w:t>Conseil</w:t>
      </w:r>
      <w:proofErr w:type="spellEnd"/>
      <w:r w:rsidR="00C504CD" w:rsidRPr="006453D5">
        <w:rPr>
          <w:rFonts w:ascii="Garamond" w:hAnsi="Garamond"/>
          <w:i/>
          <w:sz w:val="24"/>
          <w:szCs w:val="24"/>
        </w:rPr>
        <w:t xml:space="preserve"> d’</w:t>
      </w:r>
      <w:proofErr w:type="spellStart"/>
      <w:r w:rsidR="00C504CD" w:rsidRPr="006453D5">
        <w:rPr>
          <w:rFonts w:ascii="Garamond" w:hAnsi="Garamond"/>
          <w:i/>
          <w:sz w:val="24"/>
          <w:szCs w:val="24"/>
        </w:rPr>
        <w:t>État</w:t>
      </w:r>
      <w:proofErr w:type="spellEnd"/>
      <w:r w:rsidR="00C504CD" w:rsidRPr="006453D5">
        <w:rPr>
          <w:rFonts w:ascii="Garamond" w:hAnsi="Garamond"/>
          <w:sz w:val="24"/>
          <w:szCs w:val="24"/>
        </w:rPr>
        <w:t xml:space="preserve">, relazione al corso </w:t>
      </w:r>
      <w:r w:rsidR="00C504CD" w:rsidRPr="006453D5">
        <w:rPr>
          <w:rFonts w:ascii="Garamond" w:hAnsi="Garamond"/>
          <w:i/>
          <w:sz w:val="24"/>
          <w:szCs w:val="24"/>
        </w:rPr>
        <w:t>su I provvedimenti del giudice amministrativo</w:t>
      </w:r>
      <w:r w:rsidR="00C504CD" w:rsidRPr="006453D5">
        <w:rPr>
          <w:rFonts w:ascii="Garamond" w:hAnsi="Garamond"/>
          <w:sz w:val="24"/>
          <w:szCs w:val="24"/>
        </w:rPr>
        <w:t>, organizzato dall’Ufficio studi, massimario e formazione a Roma, presso la sede del Tribunale amministrativo regionale per il Lazio il 24 e il 25 maggio 2018. Le relazioni sono pubblicate sul sito istituzionale www.giustizia-amministrativa.it e comunque integralmente videoregistrate (https://www.youtube.com/user/GiustAmministrativa)</w:t>
      </w:r>
      <w:r w:rsidR="00367270">
        <w:rPr>
          <w:rFonts w:ascii="Garamond" w:hAnsi="Garamond"/>
          <w:sz w:val="24"/>
          <w:szCs w:val="24"/>
        </w:rPr>
        <w:t>.</w:t>
      </w:r>
    </w:p>
  </w:footnote>
  <w:footnote w:id="23">
    <w:p w:rsidR="007845DF" w:rsidRPr="007845DF" w:rsidRDefault="007845DF" w:rsidP="007845DF">
      <w:pPr>
        <w:pStyle w:val="Testonotaapidipagina"/>
        <w:jc w:val="both"/>
        <w:rPr>
          <w:rFonts w:ascii="Garamond" w:hAnsi="Garamond"/>
          <w:sz w:val="24"/>
          <w:szCs w:val="24"/>
        </w:rPr>
      </w:pPr>
      <w:r w:rsidRPr="007845DF">
        <w:rPr>
          <w:rStyle w:val="Rimandonotaapidipagina"/>
          <w:rFonts w:ascii="Garamond" w:hAnsi="Garamond"/>
          <w:sz w:val="24"/>
          <w:szCs w:val="24"/>
        </w:rPr>
        <w:footnoteRef/>
      </w:r>
      <w:r w:rsidRPr="007845DF">
        <w:rPr>
          <w:rFonts w:ascii="Garamond" w:hAnsi="Garamond"/>
          <w:sz w:val="24"/>
          <w:szCs w:val="24"/>
        </w:rPr>
        <w:t xml:space="preserve"> A tal fine sarebbe d’ausilio un’ordinata ripartizione in distinti paragrafi del contenuto delle sentenze, perché</w:t>
      </w:r>
      <w:r w:rsidR="00DC442A">
        <w:rPr>
          <w:rFonts w:ascii="Garamond" w:hAnsi="Garamond"/>
          <w:sz w:val="24"/>
          <w:szCs w:val="24"/>
        </w:rPr>
        <w:t xml:space="preserve"> attualmente viene utilizzato </w:t>
      </w:r>
      <w:r w:rsidRPr="007845DF">
        <w:rPr>
          <w:rFonts w:ascii="Garamond" w:hAnsi="Garamond"/>
          <w:sz w:val="24"/>
          <w:szCs w:val="24"/>
        </w:rPr>
        <w:t>il formato PDF in una versione che non mostra i numeri di pagina.</w:t>
      </w:r>
    </w:p>
  </w:footnote>
  <w:footnote w:id="24">
    <w:p w:rsidR="00B861A0" w:rsidRPr="00F56B28" w:rsidRDefault="00B861A0" w:rsidP="00F56B28">
      <w:pPr>
        <w:pStyle w:val="Testonotaapidipagina"/>
        <w:jc w:val="both"/>
        <w:rPr>
          <w:rFonts w:ascii="Garamond" w:hAnsi="Garamond"/>
          <w:sz w:val="24"/>
          <w:szCs w:val="24"/>
        </w:rPr>
      </w:pPr>
      <w:r w:rsidRPr="00F56B28">
        <w:rPr>
          <w:rStyle w:val="Rimandonotaapidipagina"/>
          <w:rFonts w:ascii="Garamond" w:hAnsi="Garamond"/>
          <w:sz w:val="24"/>
          <w:szCs w:val="24"/>
        </w:rPr>
        <w:footnoteRef/>
      </w:r>
      <w:r w:rsidRPr="00F56B28">
        <w:rPr>
          <w:rFonts w:ascii="Garamond" w:hAnsi="Garamond"/>
          <w:sz w:val="24"/>
          <w:szCs w:val="24"/>
        </w:rPr>
        <w:t xml:space="preserve"> Se si eccettua G. Saporito, </w:t>
      </w:r>
      <w:r w:rsidRPr="00F56B28">
        <w:rPr>
          <w:rFonts w:ascii="Garamond" w:hAnsi="Garamond"/>
          <w:i/>
          <w:sz w:val="24"/>
          <w:szCs w:val="24"/>
        </w:rPr>
        <w:t>Esecuzione dei provvedimenti cautelari e rapporti tra giudice ed amministrazione</w:t>
      </w:r>
      <w:r w:rsidRPr="00F56B28">
        <w:rPr>
          <w:rFonts w:ascii="Garamond" w:hAnsi="Garamond"/>
          <w:sz w:val="24"/>
          <w:szCs w:val="24"/>
        </w:rPr>
        <w:t xml:space="preserve">, in </w:t>
      </w:r>
      <w:r w:rsidRPr="00F56B28">
        <w:rPr>
          <w:rFonts w:ascii="Garamond" w:hAnsi="Garamond"/>
          <w:i/>
          <w:sz w:val="24"/>
          <w:szCs w:val="24"/>
        </w:rPr>
        <w:t>La tutela cautelare nel processo amministrativo</w:t>
      </w:r>
      <w:r w:rsidRPr="00F56B28">
        <w:rPr>
          <w:rFonts w:ascii="Garamond" w:hAnsi="Garamond"/>
          <w:sz w:val="24"/>
          <w:szCs w:val="24"/>
        </w:rPr>
        <w:t xml:space="preserve"> (a cura di M. Rossi </w:t>
      </w:r>
      <w:proofErr w:type="spellStart"/>
      <w:r w:rsidRPr="00F56B28">
        <w:rPr>
          <w:rFonts w:ascii="Garamond" w:hAnsi="Garamond"/>
          <w:sz w:val="24"/>
          <w:szCs w:val="24"/>
        </w:rPr>
        <w:t>Sanchini</w:t>
      </w:r>
      <w:proofErr w:type="spellEnd"/>
      <w:r w:rsidRPr="00F56B28">
        <w:rPr>
          <w:rFonts w:ascii="Garamond" w:hAnsi="Garamond"/>
          <w:sz w:val="24"/>
          <w:szCs w:val="24"/>
        </w:rPr>
        <w:t xml:space="preserve">), </w:t>
      </w:r>
      <w:proofErr w:type="spellStart"/>
      <w:r>
        <w:rPr>
          <w:rFonts w:ascii="Garamond" w:hAnsi="Garamond"/>
          <w:sz w:val="24"/>
          <w:szCs w:val="24"/>
        </w:rPr>
        <w:t>Giuffré</w:t>
      </w:r>
      <w:proofErr w:type="spellEnd"/>
      <w:r w:rsidRPr="00F56B28">
        <w:rPr>
          <w:rFonts w:ascii="Garamond" w:hAnsi="Garamond"/>
          <w:sz w:val="24"/>
          <w:szCs w:val="24"/>
        </w:rPr>
        <w:t>, 2006, pag. 87.</w:t>
      </w:r>
    </w:p>
  </w:footnote>
  <w:footnote w:id="25">
    <w:p w:rsidR="00FB2420" w:rsidRPr="00373DD3" w:rsidRDefault="00FB2420" w:rsidP="00373DD3">
      <w:pPr>
        <w:pStyle w:val="Testonotaapidipagina"/>
        <w:jc w:val="both"/>
        <w:rPr>
          <w:rFonts w:ascii="Garamond" w:hAnsi="Garamond"/>
          <w:sz w:val="24"/>
          <w:szCs w:val="24"/>
          <w:lang w:val="en-US"/>
        </w:rPr>
      </w:pPr>
      <w:r w:rsidRPr="00373DD3">
        <w:rPr>
          <w:rStyle w:val="Rimandonotaapidipagina"/>
          <w:rFonts w:ascii="Garamond" w:hAnsi="Garamond"/>
          <w:sz w:val="24"/>
          <w:szCs w:val="24"/>
        </w:rPr>
        <w:footnoteRef/>
      </w:r>
      <w:r w:rsidRPr="00373DD3">
        <w:rPr>
          <w:rFonts w:ascii="Garamond" w:hAnsi="Garamond"/>
          <w:sz w:val="24"/>
          <w:szCs w:val="24"/>
          <w:lang w:val="en-US"/>
        </w:rPr>
        <w:t xml:space="preserve"> </w:t>
      </w:r>
      <w:r w:rsidR="00373DD3" w:rsidRPr="00373DD3">
        <w:rPr>
          <w:rFonts w:ascii="Garamond" w:hAnsi="Garamond"/>
          <w:sz w:val="24"/>
          <w:szCs w:val="24"/>
          <w:lang w:val="en-US"/>
        </w:rPr>
        <w:t xml:space="preserve">André </w:t>
      </w:r>
      <w:proofErr w:type="spellStart"/>
      <w:r w:rsidR="00373DD3" w:rsidRPr="00373DD3">
        <w:rPr>
          <w:rFonts w:ascii="Garamond" w:hAnsi="Garamond"/>
          <w:sz w:val="24"/>
          <w:szCs w:val="24"/>
          <w:lang w:val="en-US"/>
        </w:rPr>
        <w:t>Verburg</w:t>
      </w:r>
      <w:proofErr w:type="spellEnd"/>
      <w:r w:rsidR="00373DD3" w:rsidRPr="00373DD3">
        <w:rPr>
          <w:rFonts w:ascii="Garamond" w:hAnsi="Garamond"/>
          <w:sz w:val="24"/>
          <w:szCs w:val="24"/>
          <w:lang w:val="en-US"/>
        </w:rPr>
        <w:t xml:space="preserve">, Ben </w:t>
      </w:r>
      <w:proofErr w:type="spellStart"/>
      <w:r w:rsidR="00373DD3" w:rsidRPr="00373DD3">
        <w:rPr>
          <w:rFonts w:ascii="Garamond" w:hAnsi="Garamond"/>
          <w:sz w:val="24"/>
          <w:szCs w:val="24"/>
          <w:lang w:val="en-US"/>
        </w:rPr>
        <w:t>Schueler</w:t>
      </w:r>
      <w:proofErr w:type="spellEnd"/>
      <w:r w:rsidR="00373DD3">
        <w:rPr>
          <w:rFonts w:ascii="Garamond" w:hAnsi="Garamond"/>
          <w:sz w:val="24"/>
          <w:szCs w:val="24"/>
          <w:lang w:val="en-US"/>
        </w:rPr>
        <w:t>,</w:t>
      </w:r>
      <w:r w:rsidR="00373DD3" w:rsidRPr="00373DD3">
        <w:rPr>
          <w:rFonts w:ascii="Garamond" w:hAnsi="Garamond"/>
          <w:sz w:val="24"/>
          <w:szCs w:val="24"/>
          <w:lang w:val="en-US"/>
        </w:rPr>
        <w:t xml:space="preserve"> </w:t>
      </w:r>
      <w:r w:rsidR="00373DD3" w:rsidRPr="00373DD3">
        <w:rPr>
          <w:rFonts w:ascii="Garamond" w:hAnsi="Garamond"/>
          <w:i/>
          <w:sz w:val="24"/>
          <w:szCs w:val="24"/>
          <w:lang w:val="en-US"/>
        </w:rPr>
        <w:t>Procedural Justice in Dutch Administrative Court Proceedings</w:t>
      </w:r>
      <w:r w:rsidR="00373DD3" w:rsidRPr="00373DD3">
        <w:rPr>
          <w:rFonts w:ascii="Garamond" w:hAnsi="Garamond"/>
          <w:sz w:val="24"/>
          <w:szCs w:val="24"/>
          <w:lang w:val="en-US"/>
        </w:rPr>
        <w:t xml:space="preserve">, Utrecht Law Review, http://www.utrechtlawreview.org, </w:t>
      </w:r>
      <w:proofErr w:type="spellStart"/>
      <w:r w:rsidR="00373DD3" w:rsidRPr="00373DD3">
        <w:rPr>
          <w:rFonts w:ascii="Garamond" w:hAnsi="Garamond"/>
          <w:sz w:val="24"/>
          <w:szCs w:val="24"/>
          <w:lang w:val="en-US"/>
        </w:rPr>
        <w:t>nov.</w:t>
      </w:r>
      <w:proofErr w:type="spellEnd"/>
      <w:r w:rsidR="00373DD3" w:rsidRPr="00373DD3">
        <w:rPr>
          <w:rFonts w:ascii="Garamond" w:hAnsi="Garamond"/>
          <w:sz w:val="24"/>
          <w:szCs w:val="24"/>
          <w:lang w:val="en-US"/>
        </w:rPr>
        <w:t xml:space="preserve"> </w:t>
      </w:r>
      <w:proofErr w:type="gramStart"/>
      <w:r w:rsidR="00373DD3" w:rsidRPr="00373DD3">
        <w:rPr>
          <w:rFonts w:ascii="Garamond" w:hAnsi="Garamond"/>
          <w:sz w:val="24"/>
          <w:szCs w:val="24"/>
          <w:lang w:val="en-US"/>
        </w:rPr>
        <w:t>2014</w:t>
      </w:r>
      <w:proofErr w:type="gramEnd"/>
      <w:r w:rsidR="00373DD3" w:rsidRPr="00373DD3">
        <w:rPr>
          <w:rFonts w:ascii="Garamond" w:hAnsi="Garamond"/>
          <w:sz w:val="24"/>
          <w:szCs w:val="24"/>
          <w:lang w:val="en-US"/>
        </w:rPr>
        <w:t xml:space="preserve">, </w:t>
      </w:r>
      <w:proofErr w:type="spellStart"/>
      <w:r w:rsidR="00373DD3" w:rsidRPr="00373DD3">
        <w:rPr>
          <w:rFonts w:ascii="Garamond" w:hAnsi="Garamond"/>
          <w:sz w:val="24"/>
          <w:szCs w:val="24"/>
          <w:lang w:val="en-US"/>
        </w:rPr>
        <w:t>pag</w:t>
      </w:r>
      <w:proofErr w:type="spellEnd"/>
      <w:r w:rsidR="00373DD3" w:rsidRPr="00373DD3">
        <w:rPr>
          <w:rFonts w:ascii="Garamond" w:hAnsi="Garamond"/>
          <w:sz w:val="24"/>
          <w:szCs w:val="24"/>
          <w:lang w:val="en-US"/>
        </w:rPr>
        <w:t xml:space="preserve">. </w:t>
      </w:r>
      <w:proofErr w:type="gramStart"/>
      <w:r w:rsidR="00373DD3" w:rsidRPr="00373DD3">
        <w:rPr>
          <w:rFonts w:ascii="Garamond" w:hAnsi="Garamond"/>
          <w:sz w:val="24"/>
          <w:szCs w:val="24"/>
          <w:lang w:val="en-US"/>
        </w:rPr>
        <w:t>56</w:t>
      </w:r>
      <w:proofErr w:type="gramEnd"/>
      <w:r w:rsidR="00373DD3" w:rsidRPr="00373DD3">
        <w:rPr>
          <w:rFonts w:ascii="Garamond" w:hAnsi="Garamond"/>
          <w:sz w:val="24"/>
          <w:szCs w:val="24"/>
          <w:lang w:val="en-US"/>
        </w:rPr>
        <w:t xml:space="preserve">, spec. </w:t>
      </w:r>
      <w:proofErr w:type="spellStart"/>
      <w:r w:rsidR="00373DD3" w:rsidRPr="00373DD3">
        <w:rPr>
          <w:rFonts w:ascii="Garamond" w:hAnsi="Garamond"/>
          <w:sz w:val="24"/>
          <w:szCs w:val="24"/>
          <w:lang w:val="en-US"/>
        </w:rPr>
        <w:t>pag</w:t>
      </w:r>
      <w:proofErr w:type="spellEnd"/>
      <w:r w:rsidR="00373DD3" w:rsidRPr="00373DD3">
        <w:rPr>
          <w:rFonts w:ascii="Garamond" w:hAnsi="Garamond"/>
          <w:sz w:val="24"/>
          <w:szCs w:val="24"/>
          <w:lang w:val="en-US"/>
        </w:rPr>
        <w:t xml:space="preserve">. </w:t>
      </w:r>
      <w:proofErr w:type="gramStart"/>
      <w:r w:rsidR="00373DD3" w:rsidRPr="00373DD3">
        <w:rPr>
          <w:rFonts w:ascii="Garamond" w:hAnsi="Garamond"/>
          <w:sz w:val="24"/>
          <w:szCs w:val="24"/>
          <w:lang w:val="en-US"/>
        </w:rPr>
        <w:t>60</w:t>
      </w:r>
      <w:proofErr w:type="gramEnd"/>
      <w:r w:rsidR="00373DD3" w:rsidRPr="00373DD3">
        <w:rPr>
          <w:rFonts w:ascii="Garamond" w:hAnsi="Garamond"/>
          <w:sz w:val="24"/>
          <w:szCs w:val="24"/>
          <w:lang w:val="en-US"/>
        </w:rPr>
        <w:t xml:space="preserve"> ss.</w:t>
      </w:r>
    </w:p>
  </w:footnote>
  <w:footnote w:id="26">
    <w:p w:rsidR="00FB2420" w:rsidRPr="00373DD3" w:rsidRDefault="00FB2420" w:rsidP="00373DD3">
      <w:pPr>
        <w:pStyle w:val="Testonotaapidipagina"/>
        <w:jc w:val="both"/>
        <w:rPr>
          <w:rFonts w:ascii="Garamond" w:hAnsi="Garamond"/>
          <w:sz w:val="24"/>
          <w:szCs w:val="24"/>
        </w:rPr>
      </w:pPr>
      <w:r w:rsidRPr="007845DF">
        <w:rPr>
          <w:rStyle w:val="Rimandonotaapidipagina"/>
          <w:rFonts w:ascii="Garamond" w:hAnsi="Garamond"/>
          <w:sz w:val="24"/>
          <w:szCs w:val="24"/>
        </w:rPr>
        <w:footnoteRef/>
      </w:r>
      <w:r w:rsidRPr="007845DF">
        <w:rPr>
          <w:rFonts w:ascii="Garamond" w:hAnsi="Garamond"/>
          <w:sz w:val="24"/>
          <w:szCs w:val="24"/>
        </w:rPr>
        <w:t xml:space="preserve"> Non si può ignorare peraltro la sostanziale disapplicazione </w:t>
      </w:r>
      <w:r w:rsidR="007845DF" w:rsidRPr="007845DF">
        <w:rPr>
          <w:rFonts w:ascii="Garamond" w:hAnsi="Garamond"/>
          <w:sz w:val="24"/>
          <w:szCs w:val="24"/>
        </w:rPr>
        <w:t xml:space="preserve">delle norme riguardanti la conciliazione, perlomeno nei settori comuni, di cui ha presso atto anche il legislatore trasformando il relativo tentativo, </w:t>
      </w:r>
      <w:r w:rsidR="007845DF" w:rsidRPr="004A0CF6">
        <w:rPr>
          <w:rFonts w:ascii="Garamond" w:hAnsi="Garamond"/>
          <w:i/>
          <w:sz w:val="24"/>
          <w:szCs w:val="24"/>
        </w:rPr>
        <w:t>ex</w:t>
      </w:r>
      <w:r w:rsidR="007845DF" w:rsidRPr="007845DF">
        <w:rPr>
          <w:rFonts w:ascii="Garamond" w:hAnsi="Garamond"/>
          <w:sz w:val="24"/>
          <w:szCs w:val="24"/>
        </w:rPr>
        <w:t xml:space="preserve"> articolo 183 del codice di procedura civile, da obbligatorio a facoltativo, </w:t>
      </w:r>
      <w:r w:rsidR="007845DF" w:rsidRPr="004A0CF6">
        <w:rPr>
          <w:rFonts w:ascii="Garamond" w:hAnsi="Garamond"/>
          <w:i/>
          <w:sz w:val="24"/>
          <w:szCs w:val="24"/>
        </w:rPr>
        <w:t>ex</w:t>
      </w:r>
      <w:r w:rsidR="007845DF" w:rsidRPr="007845DF">
        <w:rPr>
          <w:rFonts w:ascii="Garamond" w:hAnsi="Garamond"/>
          <w:sz w:val="24"/>
          <w:szCs w:val="24"/>
        </w:rPr>
        <w:t xml:space="preserve"> articolo 185, con le modifiche apportate dalle leggi 14</w:t>
      </w:r>
      <w:r w:rsidR="007845DF">
        <w:rPr>
          <w:rFonts w:ascii="Garamond" w:hAnsi="Garamond"/>
          <w:sz w:val="24"/>
          <w:szCs w:val="24"/>
        </w:rPr>
        <w:t xml:space="preserve"> maggio </w:t>
      </w:r>
      <w:r w:rsidR="007845DF" w:rsidRPr="007845DF">
        <w:rPr>
          <w:rFonts w:ascii="Garamond" w:hAnsi="Garamond"/>
          <w:sz w:val="24"/>
          <w:szCs w:val="24"/>
        </w:rPr>
        <w:t>2005, n. 80</w:t>
      </w:r>
      <w:r w:rsidR="007845DF">
        <w:rPr>
          <w:rFonts w:ascii="Garamond" w:hAnsi="Garamond"/>
          <w:sz w:val="24"/>
          <w:szCs w:val="24"/>
        </w:rPr>
        <w:t>,</w:t>
      </w:r>
      <w:r w:rsidR="007845DF" w:rsidRPr="007845DF">
        <w:rPr>
          <w:rFonts w:ascii="Garamond" w:hAnsi="Garamond"/>
          <w:sz w:val="24"/>
          <w:szCs w:val="24"/>
        </w:rPr>
        <w:t xml:space="preserve"> e 28</w:t>
      </w:r>
      <w:r w:rsidR="007845DF">
        <w:rPr>
          <w:rFonts w:ascii="Garamond" w:hAnsi="Garamond"/>
          <w:sz w:val="24"/>
          <w:szCs w:val="24"/>
        </w:rPr>
        <w:t xml:space="preserve"> dicembre </w:t>
      </w:r>
      <w:r w:rsidR="007845DF" w:rsidRPr="007845DF">
        <w:rPr>
          <w:rFonts w:ascii="Garamond" w:hAnsi="Garamond"/>
          <w:sz w:val="24"/>
          <w:szCs w:val="24"/>
        </w:rPr>
        <w:t>2005, n. 263.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B31"/>
    <w:multiLevelType w:val="hybridMultilevel"/>
    <w:tmpl w:val="26A635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3731E1"/>
    <w:multiLevelType w:val="hybridMultilevel"/>
    <w:tmpl w:val="5E9267E6"/>
    <w:lvl w:ilvl="0" w:tplc="BC46582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5D540B"/>
    <w:multiLevelType w:val="hybridMultilevel"/>
    <w:tmpl w:val="50982A38"/>
    <w:lvl w:ilvl="0" w:tplc="54941BD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596453"/>
    <w:multiLevelType w:val="hybridMultilevel"/>
    <w:tmpl w:val="3FC26A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3E36A5"/>
    <w:multiLevelType w:val="hybridMultilevel"/>
    <w:tmpl w:val="8A36D238"/>
    <w:lvl w:ilvl="0" w:tplc="A48E621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34C2BEC"/>
    <w:multiLevelType w:val="hybridMultilevel"/>
    <w:tmpl w:val="0EF294DE"/>
    <w:lvl w:ilvl="0" w:tplc="19EA65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35D200C"/>
    <w:multiLevelType w:val="hybridMultilevel"/>
    <w:tmpl w:val="B65201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1E21AD"/>
    <w:multiLevelType w:val="hybridMultilevel"/>
    <w:tmpl w:val="947846F6"/>
    <w:lvl w:ilvl="0" w:tplc="C554DE0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3EAD3B-9502-4C6A-9F95-2CBED10E3F2E}"/>
    <w:docVar w:name="dgnword-eventsink" w:val="441298640"/>
  </w:docVars>
  <w:rsids>
    <w:rsidRoot w:val="00FC197A"/>
    <w:rsid w:val="00010B63"/>
    <w:rsid w:val="0001517A"/>
    <w:rsid w:val="0001598B"/>
    <w:rsid w:val="000527A0"/>
    <w:rsid w:val="0005520D"/>
    <w:rsid w:val="00062EDF"/>
    <w:rsid w:val="00066366"/>
    <w:rsid w:val="00066A89"/>
    <w:rsid w:val="00071F13"/>
    <w:rsid w:val="00075F48"/>
    <w:rsid w:val="00084283"/>
    <w:rsid w:val="00093A73"/>
    <w:rsid w:val="000A3BA7"/>
    <w:rsid w:val="000A7010"/>
    <w:rsid w:val="000C32F5"/>
    <w:rsid w:val="000C47E7"/>
    <w:rsid w:val="000E400D"/>
    <w:rsid w:val="000E4B78"/>
    <w:rsid w:val="000F12A0"/>
    <w:rsid w:val="001027D5"/>
    <w:rsid w:val="00130311"/>
    <w:rsid w:val="00130AFA"/>
    <w:rsid w:val="001338D7"/>
    <w:rsid w:val="0013790E"/>
    <w:rsid w:val="001715BD"/>
    <w:rsid w:val="00184CDA"/>
    <w:rsid w:val="001972CD"/>
    <w:rsid w:val="001A5A75"/>
    <w:rsid w:val="001B59E3"/>
    <w:rsid w:val="001B6328"/>
    <w:rsid w:val="001C30EB"/>
    <w:rsid w:val="001C5C39"/>
    <w:rsid w:val="001E1420"/>
    <w:rsid w:val="001E3F73"/>
    <w:rsid w:val="001E623E"/>
    <w:rsid w:val="001F2B2C"/>
    <w:rsid w:val="00201CF1"/>
    <w:rsid w:val="00216646"/>
    <w:rsid w:val="00227824"/>
    <w:rsid w:val="00244029"/>
    <w:rsid w:val="0026769D"/>
    <w:rsid w:val="00275408"/>
    <w:rsid w:val="002757C2"/>
    <w:rsid w:val="002847A8"/>
    <w:rsid w:val="002A3FF8"/>
    <w:rsid w:val="002E6A6F"/>
    <w:rsid w:val="00303B1E"/>
    <w:rsid w:val="00313F8C"/>
    <w:rsid w:val="003246ED"/>
    <w:rsid w:val="00344454"/>
    <w:rsid w:val="00367270"/>
    <w:rsid w:val="003723D9"/>
    <w:rsid w:val="00372E49"/>
    <w:rsid w:val="00373DD3"/>
    <w:rsid w:val="00373DEC"/>
    <w:rsid w:val="003A3319"/>
    <w:rsid w:val="003C6426"/>
    <w:rsid w:val="003C7969"/>
    <w:rsid w:val="00431DB4"/>
    <w:rsid w:val="00443175"/>
    <w:rsid w:val="00446EF8"/>
    <w:rsid w:val="004507A6"/>
    <w:rsid w:val="00464485"/>
    <w:rsid w:val="004A0CF6"/>
    <w:rsid w:val="004A1951"/>
    <w:rsid w:val="004B0D32"/>
    <w:rsid w:val="004B496F"/>
    <w:rsid w:val="004C01D9"/>
    <w:rsid w:val="004C2DA5"/>
    <w:rsid w:val="004D5808"/>
    <w:rsid w:val="004D7BA6"/>
    <w:rsid w:val="004E227D"/>
    <w:rsid w:val="0050205C"/>
    <w:rsid w:val="00505BAA"/>
    <w:rsid w:val="005139B8"/>
    <w:rsid w:val="00520D49"/>
    <w:rsid w:val="00530AFA"/>
    <w:rsid w:val="00545A1C"/>
    <w:rsid w:val="00552765"/>
    <w:rsid w:val="00574976"/>
    <w:rsid w:val="00594BB4"/>
    <w:rsid w:val="00596023"/>
    <w:rsid w:val="005A0D56"/>
    <w:rsid w:val="005A66CC"/>
    <w:rsid w:val="005F76CB"/>
    <w:rsid w:val="006100F4"/>
    <w:rsid w:val="006114E1"/>
    <w:rsid w:val="00613F19"/>
    <w:rsid w:val="00617AAF"/>
    <w:rsid w:val="0062212F"/>
    <w:rsid w:val="00622C0D"/>
    <w:rsid w:val="00627BF8"/>
    <w:rsid w:val="00627FFC"/>
    <w:rsid w:val="0063299C"/>
    <w:rsid w:val="006453D5"/>
    <w:rsid w:val="006553D1"/>
    <w:rsid w:val="00670CDF"/>
    <w:rsid w:val="00685443"/>
    <w:rsid w:val="0068596B"/>
    <w:rsid w:val="006B5268"/>
    <w:rsid w:val="006C3199"/>
    <w:rsid w:val="006D614C"/>
    <w:rsid w:val="007167EB"/>
    <w:rsid w:val="0073367C"/>
    <w:rsid w:val="007508DB"/>
    <w:rsid w:val="007845DF"/>
    <w:rsid w:val="00791764"/>
    <w:rsid w:val="007A7838"/>
    <w:rsid w:val="007C10CE"/>
    <w:rsid w:val="007C79E3"/>
    <w:rsid w:val="007E569A"/>
    <w:rsid w:val="007F44B9"/>
    <w:rsid w:val="0080101C"/>
    <w:rsid w:val="00822283"/>
    <w:rsid w:val="008272AE"/>
    <w:rsid w:val="0086431D"/>
    <w:rsid w:val="008A1734"/>
    <w:rsid w:val="008A47E0"/>
    <w:rsid w:val="008D07F3"/>
    <w:rsid w:val="008F00EC"/>
    <w:rsid w:val="009039C7"/>
    <w:rsid w:val="00904E5F"/>
    <w:rsid w:val="0090735B"/>
    <w:rsid w:val="009121C0"/>
    <w:rsid w:val="00914AD7"/>
    <w:rsid w:val="009231A2"/>
    <w:rsid w:val="009500D1"/>
    <w:rsid w:val="009558C5"/>
    <w:rsid w:val="00960177"/>
    <w:rsid w:val="00961FFF"/>
    <w:rsid w:val="00975F8D"/>
    <w:rsid w:val="009A6828"/>
    <w:rsid w:val="009E7591"/>
    <w:rsid w:val="009F2F80"/>
    <w:rsid w:val="009F674F"/>
    <w:rsid w:val="00A03C9A"/>
    <w:rsid w:val="00A115A6"/>
    <w:rsid w:val="00A40A99"/>
    <w:rsid w:val="00A61628"/>
    <w:rsid w:val="00A82B21"/>
    <w:rsid w:val="00AB66FB"/>
    <w:rsid w:val="00AC7F16"/>
    <w:rsid w:val="00AF6E41"/>
    <w:rsid w:val="00B02CBC"/>
    <w:rsid w:val="00B060D9"/>
    <w:rsid w:val="00B10002"/>
    <w:rsid w:val="00B2696D"/>
    <w:rsid w:val="00B63773"/>
    <w:rsid w:val="00B8248F"/>
    <w:rsid w:val="00B841F1"/>
    <w:rsid w:val="00B861A0"/>
    <w:rsid w:val="00B87833"/>
    <w:rsid w:val="00B93BBE"/>
    <w:rsid w:val="00BB1E47"/>
    <w:rsid w:val="00BB29B8"/>
    <w:rsid w:val="00BD2CC0"/>
    <w:rsid w:val="00BD339F"/>
    <w:rsid w:val="00BE001D"/>
    <w:rsid w:val="00C0123B"/>
    <w:rsid w:val="00C0246B"/>
    <w:rsid w:val="00C03268"/>
    <w:rsid w:val="00C205D3"/>
    <w:rsid w:val="00C362E0"/>
    <w:rsid w:val="00C504CD"/>
    <w:rsid w:val="00C54681"/>
    <w:rsid w:val="00C573AF"/>
    <w:rsid w:val="00CA3C07"/>
    <w:rsid w:val="00CD0D33"/>
    <w:rsid w:val="00D00FCE"/>
    <w:rsid w:val="00D24658"/>
    <w:rsid w:val="00D3590A"/>
    <w:rsid w:val="00D54CFB"/>
    <w:rsid w:val="00D62560"/>
    <w:rsid w:val="00D639DC"/>
    <w:rsid w:val="00DA0EDC"/>
    <w:rsid w:val="00DB6BC3"/>
    <w:rsid w:val="00DC3A3A"/>
    <w:rsid w:val="00DC442A"/>
    <w:rsid w:val="00DE5FF2"/>
    <w:rsid w:val="00DF03C5"/>
    <w:rsid w:val="00E12018"/>
    <w:rsid w:val="00E14678"/>
    <w:rsid w:val="00E25E49"/>
    <w:rsid w:val="00E5364B"/>
    <w:rsid w:val="00E64B19"/>
    <w:rsid w:val="00E82D11"/>
    <w:rsid w:val="00E83093"/>
    <w:rsid w:val="00E85C60"/>
    <w:rsid w:val="00E930B9"/>
    <w:rsid w:val="00EB78FF"/>
    <w:rsid w:val="00EC719B"/>
    <w:rsid w:val="00EF5179"/>
    <w:rsid w:val="00F27D29"/>
    <w:rsid w:val="00F31268"/>
    <w:rsid w:val="00F40CE1"/>
    <w:rsid w:val="00F450B3"/>
    <w:rsid w:val="00F55D0C"/>
    <w:rsid w:val="00F56B28"/>
    <w:rsid w:val="00F662FF"/>
    <w:rsid w:val="00FA2358"/>
    <w:rsid w:val="00FB2420"/>
    <w:rsid w:val="00FC197A"/>
    <w:rsid w:val="00FC1A69"/>
    <w:rsid w:val="00FE0760"/>
    <w:rsid w:val="00FE4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AD2A1-1ECA-4082-AAF1-E996C9B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C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F67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674F"/>
  </w:style>
  <w:style w:type="paragraph" w:styleId="Pidipagina">
    <w:name w:val="footer"/>
    <w:basedOn w:val="Normale"/>
    <w:link w:val="PidipaginaCarattere"/>
    <w:uiPriority w:val="99"/>
    <w:unhideWhenUsed/>
    <w:rsid w:val="009F67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674F"/>
  </w:style>
  <w:style w:type="paragraph" w:styleId="Testonotaapidipagina">
    <w:name w:val="footnote text"/>
    <w:basedOn w:val="Normale"/>
    <w:link w:val="TestonotaapidipaginaCarattere"/>
    <w:uiPriority w:val="99"/>
    <w:unhideWhenUsed/>
    <w:rsid w:val="00062E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62EDF"/>
    <w:rPr>
      <w:sz w:val="20"/>
      <w:szCs w:val="20"/>
    </w:rPr>
  </w:style>
  <w:style w:type="character" w:styleId="Rimandonotaapidipagina">
    <w:name w:val="footnote reference"/>
    <w:basedOn w:val="Carpredefinitoparagrafo"/>
    <w:uiPriority w:val="99"/>
    <w:semiHidden/>
    <w:unhideWhenUsed/>
    <w:rsid w:val="00062EDF"/>
    <w:rPr>
      <w:vertAlign w:val="superscript"/>
    </w:rPr>
  </w:style>
  <w:style w:type="paragraph" w:styleId="Paragrafoelenco">
    <w:name w:val="List Paragraph"/>
    <w:basedOn w:val="Normale"/>
    <w:uiPriority w:val="34"/>
    <w:qFormat/>
    <w:rsid w:val="00545A1C"/>
    <w:pPr>
      <w:ind w:left="720"/>
      <w:contextualSpacing/>
    </w:pPr>
  </w:style>
  <w:style w:type="paragraph" w:styleId="Testofumetto">
    <w:name w:val="Balloon Text"/>
    <w:basedOn w:val="Normale"/>
    <w:link w:val="TestofumettoCarattere"/>
    <w:uiPriority w:val="99"/>
    <w:semiHidden/>
    <w:unhideWhenUsed/>
    <w:rsid w:val="00FE40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402F"/>
    <w:rPr>
      <w:rFonts w:ascii="Segoe UI" w:hAnsi="Segoe UI" w:cs="Segoe UI"/>
      <w:sz w:val="18"/>
      <w:szCs w:val="18"/>
    </w:rPr>
  </w:style>
  <w:style w:type="character" w:styleId="Collegamentoipertestuale">
    <w:name w:val="Hyperlink"/>
    <w:basedOn w:val="Carpredefinitoparagrafo"/>
    <w:uiPriority w:val="99"/>
    <w:unhideWhenUsed/>
    <w:rsid w:val="00075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ECAE-94AB-4B7D-B91C-E62FF12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5074</Words>
  <Characters>28925</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 Giuseppina</dc:creator>
  <cp:keywords/>
  <dc:description/>
  <cp:lastModifiedBy>FERRARI Giulia</cp:lastModifiedBy>
  <cp:revision>3</cp:revision>
  <cp:lastPrinted>2019-03-25T13:02:00Z</cp:lastPrinted>
  <dcterms:created xsi:type="dcterms:W3CDTF">2019-08-11T11:01:00Z</dcterms:created>
  <dcterms:modified xsi:type="dcterms:W3CDTF">2019-08-11T11:04:00Z</dcterms:modified>
</cp:coreProperties>
</file>