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2E" w:rsidRPr="002E422E" w:rsidRDefault="00B13D98" w:rsidP="00B13D98">
      <w:pPr>
        <w:jc w:val="center"/>
        <w:rPr>
          <w:rFonts w:ascii="Times New Roman" w:hAnsi="Times New Roman" w:cs="Times New Roman"/>
          <w:b/>
          <w:sz w:val="24"/>
          <w:szCs w:val="24"/>
        </w:rPr>
      </w:pPr>
      <w:bookmarkStart w:id="0" w:name="_GoBack"/>
      <w:proofErr w:type="spellStart"/>
      <w:r w:rsidRPr="002E422E">
        <w:rPr>
          <w:rFonts w:ascii="Times New Roman" w:hAnsi="Times New Roman" w:cs="Times New Roman"/>
          <w:b/>
          <w:i/>
          <w:sz w:val="24"/>
          <w:szCs w:val="24"/>
        </w:rPr>
        <w:t>Qu</w:t>
      </w:r>
      <w:r w:rsidR="00E9683E" w:rsidRPr="002E422E">
        <w:rPr>
          <w:rFonts w:ascii="Times New Roman" w:hAnsi="Times New Roman" w:cs="Times New Roman"/>
          <w:b/>
          <w:i/>
          <w:sz w:val="24"/>
          <w:szCs w:val="24"/>
        </w:rPr>
        <w:t>od</w:t>
      </w:r>
      <w:proofErr w:type="spellEnd"/>
      <w:r w:rsidR="00E9683E" w:rsidRPr="002E422E">
        <w:rPr>
          <w:rFonts w:ascii="Times New Roman" w:hAnsi="Times New Roman" w:cs="Times New Roman"/>
          <w:b/>
          <w:i/>
          <w:sz w:val="24"/>
          <w:szCs w:val="24"/>
        </w:rPr>
        <w:t xml:space="preserve"> factum </w:t>
      </w:r>
      <w:proofErr w:type="spellStart"/>
      <w:r w:rsidR="00E9683E" w:rsidRPr="002E422E">
        <w:rPr>
          <w:rFonts w:ascii="Times New Roman" w:hAnsi="Times New Roman" w:cs="Times New Roman"/>
          <w:b/>
          <w:i/>
          <w:sz w:val="24"/>
          <w:szCs w:val="24"/>
        </w:rPr>
        <w:t>infectum</w:t>
      </w:r>
      <w:proofErr w:type="spellEnd"/>
      <w:r w:rsidR="00E9683E" w:rsidRPr="002E422E">
        <w:rPr>
          <w:rFonts w:ascii="Times New Roman" w:hAnsi="Times New Roman" w:cs="Times New Roman"/>
          <w:b/>
          <w:i/>
          <w:sz w:val="24"/>
          <w:szCs w:val="24"/>
        </w:rPr>
        <w:t xml:space="preserve"> fieri </w:t>
      </w:r>
      <w:proofErr w:type="spellStart"/>
      <w:r w:rsidR="00E9683E" w:rsidRPr="002E422E">
        <w:rPr>
          <w:rFonts w:ascii="Times New Roman" w:hAnsi="Times New Roman" w:cs="Times New Roman"/>
          <w:b/>
          <w:i/>
          <w:sz w:val="24"/>
          <w:szCs w:val="24"/>
        </w:rPr>
        <w:t>nequit</w:t>
      </w:r>
      <w:proofErr w:type="spellEnd"/>
      <w:r w:rsidR="00E9683E" w:rsidRPr="002E422E">
        <w:rPr>
          <w:rFonts w:ascii="Times New Roman" w:hAnsi="Times New Roman" w:cs="Times New Roman"/>
          <w:b/>
          <w:sz w:val="24"/>
          <w:szCs w:val="24"/>
        </w:rPr>
        <w:t xml:space="preserve">: </w:t>
      </w:r>
      <w:r w:rsidR="00AD3F0C" w:rsidRPr="002E422E">
        <w:rPr>
          <w:rFonts w:ascii="Times New Roman" w:hAnsi="Times New Roman" w:cs="Times New Roman"/>
          <w:b/>
          <w:sz w:val="24"/>
          <w:szCs w:val="24"/>
        </w:rPr>
        <w:t xml:space="preserve">il nuovo regime di </w:t>
      </w:r>
      <w:r w:rsidR="00AD3F0C">
        <w:rPr>
          <w:rFonts w:ascii="Times New Roman" w:hAnsi="Times New Roman" w:cs="Times New Roman"/>
          <w:b/>
          <w:sz w:val="24"/>
          <w:szCs w:val="24"/>
        </w:rPr>
        <w:t>(in)</w:t>
      </w:r>
      <w:r w:rsidR="00AD3F0C" w:rsidRPr="002E422E">
        <w:rPr>
          <w:rFonts w:ascii="Times New Roman" w:hAnsi="Times New Roman" w:cs="Times New Roman"/>
          <w:b/>
          <w:sz w:val="24"/>
          <w:szCs w:val="24"/>
        </w:rPr>
        <w:t xml:space="preserve">utilizzabilità nel processo amministrativo delle sentenze di patteggiamento (e le possibili ricadute in materia di </w:t>
      </w:r>
      <w:r w:rsidR="00AD3F0C">
        <w:rPr>
          <w:rFonts w:ascii="Times New Roman" w:hAnsi="Times New Roman" w:cs="Times New Roman"/>
          <w:b/>
          <w:sz w:val="24"/>
          <w:szCs w:val="24"/>
        </w:rPr>
        <w:t>sindacato giurisdizionale su</w:t>
      </w:r>
      <w:r w:rsidR="00EC021C">
        <w:rPr>
          <w:rFonts w:ascii="Times New Roman" w:hAnsi="Times New Roman" w:cs="Times New Roman"/>
          <w:b/>
          <w:sz w:val="24"/>
          <w:szCs w:val="24"/>
        </w:rPr>
        <w:t xml:space="preserve">i provvedimenti di </w:t>
      </w:r>
      <w:r w:rsidR="00AD3F0C" w:rsidRPr="002E422E">
        <w:rPr>
          <w:rFonts w:ascii="Times New Roman" w:hAnsi="Times New Roman" w:cs="Times New Roman"/>
          <w:b/>
          <w:sz w:val="24"/>
          <w:szCs w:val="24"/>
        </w:rPr>
        <w:t xml:space="preserve">prevenzione </w:t>
      </w:r>
      <w:r w:rsidR="00AD3F0C">
        <w:rPr>
          <w:rFonts w:ascii="Times New Roman" w:hAnsi="Times New Roman" w:cs="Times New Roman"/>
          <w:b/>
          <w:sz w:val="24"/>
          <w:szCs w:val="24"/>
        </w:rPr>
        <w:t xml:space="preserve">amministrativa </w:t>
      </w:r>
      <w:r w:rsidR="00AD3F0C" w:rsidRPr="002E422E">
        <w:rPr>
          <w:rFonts w:ascii="Times New Roman" w:hAnsi="Times New Roman" w:cs="Times New Roman"/>
          <w:b/>
          <w:sz w:val="24"/>
          <w:szCs w:val="24"/>
        </w:rPr>
        <w:t>antimafia)</w:t>
      </w:r>
      <w:bookmarkEnd w:id="0"/>
      <w:r w:rsidR="002E422E" w:rsidRPr="002E422E">
        <w:rPr>
          <w:rFonts w:ascii="Times New Roman" w:hAnsi="Times New Roman" w:cs="Times New Roman"/>
          <w:b/>
          <w:sz w:val="24"/>
          <w:szCs w:val="24"/>
        </w:rPr>
        <w:t>.</w:t>
      </w:r>
      <w:r w:rsidR="002E422E">
        <w:rPr>
          <w:rStyle w:val="Rimandonotaapidipagina"/>
          <w:rFonts w:ascii="Times New Roman" w:hAnsi="Times New Roman" w:cs="Times New Roman"/>
          <w:b/>
          <w:sz w:val="24"/>
          <w:szCs w:val="24"/>
        </w:rPr>
        <w:footnoteReference w:id="1"/>
      </w:r>
    </w:p>
    <w:p w:rsidR="001B5320" w:rsidRDefault="001B5320" w:rsidP="00B13D98">
      <w:pPr>
        <w:jc w:val="center"/>
        <w:rPr>
          <w:rFonts w:ascii="Times New Roman" w:hAnsi="Times New Roman" w:cs="Times New Roman"/>
          <w:sz w:val="24"/>
          <w:szCs w:val="24"/>
        </w:rPr>
      </w:pPr>
    </w:p>
    <w:p w:rsidR="001B5320" w:rsidRDefault="001B5320" w:rsidP="00B13D98">
      <w:pPr>
        <w:jc w:val="center"/>
        <w:rPr>
          <w:rFonts w:ascii="Times New Roman" w:hAnsi="Times New Roman" w:cs="Times New Roman"/>
          <w:sz w:val="24"/>
          <w:szCs w:val="24"/>
        </w:rPr>
      </w:pPr>
    </w:p>
    <w:p w:rsidR="00E9683E" w:rsidRPr="007F54D7" w:rsidRDefault="00E9683E" w:rsidP="00B13D98">
      <w:pPr>
        <w:jc w:val="center"/>
        <w:rPr>
          <w:rFonts w:ascii="Times New Roman" w:hAnsi="Times New Roman" w:cs="Times New Roman"/>
          <w:sz w:val="24"/>
          <w:szCs w:val="24"/>
        </w:rPr>
      </w:pP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1. Un incontro di studio dedicato alla tutela giurisdizionale nel settore delle misure amministrative di prevenzione antimafia non può non considerare le interazioni esistenti fra le attività delle due giurisdizioni nelle quali solitamente tale tutela si articola, quella penale e quella amministrativa: con particolare riguardo alla circolazione processuale, e segnatamente probatori</w:t>
      </w:r>
      <w:r w:rsidR="00700541">
        <w:rPr>
          <w:rFonts w:ascii="Times New Roman" w:hAnsi="Times New Roman" w:cs="Times New Roman"/>
          <w:sz w:val="24"/>
          <w:szCs w:val="24"/>
        </w:rPr>
        <w:t>a</w:t>
      </w:r>
      <w:r>
        <w:rPr>
          <w:rFonts w:ascii="Times New Roman" w:hAnsi="Times New Roman" w:cs="Times New Roman"/>
          <w:sz w:val="24"/>
          <w:szCs w:val="24"/>
        </w:rPr>
        <w:t>, fra i medesimi elementi di fatto presi in considerazione, sia pure secondo diversi canoni valutativi, in ciascuna sede processuale.</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 xml:space="preserve">Da questa analisi emerge peraltro che il sindacato giurisdizionale sui provvedimenti amministrativi di prevenzione antimafia avrebbe dei caratteri peculiari rispetto al tradizionale sindacato di legittimità che si compie nel giudizio </w:t>
      </w:r>
      <w:proofErr w:type="spellStart"/>
      <w:r>
        <w:rPr>
          <w:rFonts w:ascii="Times New Roman" w:hAnsi="Times New Roman" w:cs="Times New Roman"/>
          <w:sz w:val="24"/>
          <w:szCs w:val="24"/>
        </w:rPr>
        <w:t>impugnatorio</w:t>
      </w:r>
      <w:proofErr w:type="spellEnd"/>
      <w:r>
        <w:rPr>
          <w:rFonts w:ascii="Times New Roman" w:hAnsi="Times New Roman" w:cs="Times New Roman"/>
          <w:sz w:val="24"/>
          <w:szCs w:val="24"/>
        </w:rPr>
        <w:t>.</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Esso ripete in realtà tali tratti dalle caratteristiche del potere che viene esercitato mediante i provvedimenti che costituiscono oggetto di tale giudizio.</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 xml:space="preserve">Non si tratta di potere discrezionale, ma </w:t>
      </w:r>
      <w:r w:rsidRPr="00616DC7">
        <w:rPr>
          <w:rFonts w:ascii="Times New Roman" w:hAnsi="Times New Roman" w:cs="Times New Roman"/>
          <w:i/>
          <w:sz w:val="24"/>
          <w:szCs w:val="24"/>
        </w:rPr>
        <w:t xml:space="preserve">lato </w:t>
      </w:r>
      <w:proofErr w:type="spellStart"/>
      <w:r w:rsidRPr="00616DC7">
        <w:rPr>
          <w:rFonts w:ascii="Times New Roman" w:hAnsi="Times New Roman" w:cs="Times New Roman"/>
          <w:i/>
          <w:sz w:val="24"/>
          <w:szCs w:val="24"/>
        </w:rPr>
        <w:t>sensu</w:t>
      </w:r>
      <w:proofErr w:type="spellEnd"/>
      <w:r>
        <w:rPr>
          <w:rFonts w:ascii="Times New Roman" w:hAnsi="Times New Roman" w:cs="Times New Roman"/>
          <w:sz w:val="24"/>
          <w:szCs w:val="24"/>
        </w:rPr>
        <w:t xml:space="preserve"> cautelare: “</w:t>
      </w:r>
      <w:r w:rsidRPr="00700541">
        <w:rPr>
          <w:rFonts w:ascii="Times New Roman" w:hAnsi="Times New Roman" w:cs="Times New Roman"/>
          <w:i/>
          <w:sz w:val="24"/>
          <w:szCs w:val="24"/>
        </w:rPr>
        <w:t>La valutazione rimessa al Prefetto è certamente opinabile, soggettiva, ma non è discrezionale: attiene alla conoscenza dei fatti, alla determinazione del loro valore indiziario, alla prova (anche non piena) della possibilità che una impresa sia esposta a infiltrazioni da parte della criminalità organizzata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All’amministrazione non è dunque rimesso un giudizio comparativo fra interessi, ma un giudizio prognostico circa la sussistenza di un pericolo d</w:t>
      </w:r>
      <w:r w:rsidR="00700541">
        <w:rPr>
          <w:rFonts w:ascii="Times New Roman" w:hAnsi="Times New Roman" w:cs="Times New Roman"/>
          <w:sz w:val="24"/>
          <w:szCs w:val="24"/>
        </w:rPr>
        <w:t>’</w:t>
      </w:r>
      <w:r>
        <w:rPr>
          <w:rFonts w:ascii="Times New Roman" w:hAnsi="Times New Roman" w:cs="Times New Roman"/>
          <w:sz w:val="24"/>
          <w:szCs w:val="24"/>
        </w:rPr>
        <w:t xml:space="preserve">infiltrazione, desunto dal legame di inferenza logica che avvince determinati fatti posti a fondamento della valutazione (in modo non dissimile da quanto avviene, ad esempio, in </w:t>
      </w:r>
      <w:r w:rsidR="00700541">
        <w:rPr>
          <w:rFonts w:ascii="Times New Roman" w:hAnsi="Times New Roman" w:cs="Times New Roman"/>
          <w:sz w:val="24"/>
          <w:szCs w:val="24"/>
        </w:rPr>
        <w:t>materia di provvedimenti abilitanti all’uso delle armi</w:t>
      </w:r>
      <w:r>
        <w:rPr>
          <w:rFonts w:ascii="Times New Roman" w:hAnsi="Times New Roman" w:cs="Times New Roman"/>
          <w:sz w:val="24"/>
          <w:szCs w:val="24"/>
        </w:rPr>
        <w:t>).</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Per tale ragioni la lettura delle sentenze del giudice amministrativo sembra a volte replicare, nella struttura, una sentenza penale: o, ancor</w:t>
      </w:r>
      <w:r w:rsidR="00700541">
        <w:rPr>
          <w:rFonts w:ascii="Times New Roman" w:hAnsi="Times New Roman" w:cs="Times New Roman"/>
          <w:sz w:val="24"/>
          <w:szCs w:val="24"/>
        </w:rPr>
        <w:t xml:space="preserve"> </w:t>
      </w:r>
      <w:r>
        <w:rPr>
          <w:rFonts w:ascii="Times New Roman" w:hAnsi="Times New Roman" w:cs="Times New Roman"/>
          <w:sz w:val="24"/>
          <w:szCs w:val="24"/>
        </w:rPr>
        <w:t>più</w:t>
      </w:r>
      <w:r w:rsidR="00700541">
        <w:rPr>
          <w:rFonts w:ascii="Times New Roman" w:hAnsi="Times New Roman" w:cs="Times New Roman"/>
          <w:sz w:val="24"/>
          <w:szCs w:val="24"/>
        </w:rPr>
        <w:t xml:space="preserve"> precisamente</w:t>
      </w:r>
      <w:r>
        <w:rPr>
          <w:rFonts w:ascii="Times New Roman" w:hAnsi="Times New Roman" w:cs="Times New Roman"/>
          <w:sz w:val="24"/>
          <w:szCs w:val="24"/>
        </w:rPr>
        <w:t>, un’ordinanza cautelare del giudice penale.</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 xml:space="preserve"> Il sindacato del giudice amministrat</w:t>
      </w:r>
      <w:r w:rsidR="00700541">
        <w:rPr>
          <w:rFonts w:ascii="Times New Roman" w:hAnsi="Times New Roman" w:cs="Times New Roman"/>
          <w:sz w:val="24"/>
          <w:szCs w:val="24"/>
        </w:rPr>
        <w:t>i</w:t>
      </w:r>
      <w:r>
        <w:rPr>
          <w:rFonts w:ascii="Times New Roman" w:hAnsi="Times New Roman" w:cs="Times New Roman"/>
          <w:sz w:val="24"/>
          <w:szCs w:val="24"/>
        </w:rPr>
        <w:t xml:space="preserve">vo, per tale ragione, </w:t>
      </w:r>
      <w:r w:rsidR="00700541">
        <w:rPr>
          <w:rFonts w:ascii="Times New Roman" w:hAnsi="Times New Roman" w:cs="Times New Roman"/>
          <w:sz w:val="24"/>
          <w:szCs w:val="24"/>
        </w:rPr>
        <w:t xml:space="preserve">paradossalmente </w:t>
      </w:r>
      <w:r>
        <w:rPr>
          <w:rFonts w:ascii="Times New Roman" w:hAnsi="Times New Roman" w:cs="Times New Roman"/>
          <w:sz w:val="24"/>
          <w:szCs w:val="24"/>
        </w:rPr>
        <w:t xml:space="preserve">è oggetto di </w:t>
      </w:r>
      <w:r w:rsidR="00700541">
        <w:rPr>
          <w:rFonts w:ascii="Times New Roman" w:hAnsi="Times New Roman" w:cs="Times New Roman"/>
          <w:sz w:val="24"/>
          <w:szCs w:val="24"/>
        </w:rPr>
        <w:t xml:space="preserve">critiche </w:t>
      </w:r>
      <w:r>
        <w:rPr>
          <w:rFonts w:ascii="Times New Roman" w:hAnsi="Times New Roman" w:cs="Times New Roman"/>
          <w:sz w:val="24"/>
          <w:szCs w:val="24"/>
        </w:rPr>
        <w:t>di segno opposto: da taluni lamentandosi un sindacato troppo invasivo rispetto a quello tradizionalmente esercitato ne</w:t>
      </w:r>
      <w:r w:rsidR="00700541">
        <w:rPr>
          <w:rFonts w:ascii="Times New Roman" w:hAnsi="Times New Roman" w:cs="Times New Roman"/>
          <w:sz w:val="24"/>
          <w:szCs w:val="24"/>
        </w:rPr>
        <w:t>llo scrutinio della legittimità</w:t>
      </w:r>
      <w:r>
        <w:rPr>
          <w:rFonts w:ascii="Times New Roman" w:hAnsi="Times New Roman" w:cs="Times New Roman"/>
          <w:sz w:val="24"/>
          <w:szCs w:val="24"/>
        </w:rPr>
        <w:t xml:space="preserve"> dei provvedimenti (discrezionali); da altri, viceversa, </w:t>
      </w:r>
      <w:r>
        <w:rPr>
          <w:rFonts w:ascii="Times New Roman" w:hAnsi="Times New Roman" w:cs="Times New Roman"/>
          <w:sz w:val="24"/>
          <w:szCs w:val="24"/>
        </w:rPr>
        <w:lastRenderedPageBreak/>
        <w:t>ritenendosi che esso si arresterebbe alla legittimità estrinseca, senza un vaglio adeguato del profilo sostanziale della vicenda.</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 xml:space="preserve">Si tratta di un’anomalia solo apparente: come accennato, il sindacato giurisdizionale sugli atti costituenti esercizio di un determinato potere è modellato sulla struttura logica di tale potere, per cui il giudice amministrativo non può che muovere dall’analisi della sussistenza del fatto, del suo significato obiettivo e di quello che assume se posto in una relazione inferenziale con altri fatti: secondo il noto canone </w:t>
      </w:r>
      <w:proofErr w:type="spellStart"/>
      <w:r w:rsidRPr="00C470EF">
        <w:rPr>
          <w:rFonts w:ascii="Times New Roman" w:hAnsi="Times New Roman" w:cs="Times New Roman"/>
          <w:i/>
          <w:sz w:val="24"/>
          <w:szCs w:val="24"/>
        </w:rPr>
        <w:t>quae</w:t>
      </w:r>
      <w:proofErr w:type="spellEnd"/>
      <w:r w:rsidRPr="00C470EF">
        <w:rPr>
          <w:rFonts w:ascii="Times New Roman" w:hAnsi="Times New Roman" w:cs="Times New Roman"/>
          <w:i/>
          <w:sz w:val="24"/>
          <w:szCs w:val="24"/>
        </w:rPr>
        <w:t xml:space="preserve"> </w:t>
      </w:r>
      <w:proofErr w:type="spellStart"/>
      <w:r w:rsidRPr="00C470EF">
        <w:rPr>
          <w:rFonts w:ascii="Times New Roman" w:hAnsi="Times New Roman" w:cs="Times New Roman"/>
          <w:i/>
          <w:sz w:val="24"/>
          <w:szCs w:val="24"/>
        </w:rPr>
        <w:t>singula</w:t>
      </w:r>
      <w:proofErr w:type="spellEnd"/>
      <w:r w:rsidRPr="00C470EF">
        <w:rPr>
          <w:rFonts w:ascii="Times New Roman" w:hAnsi="Times New Roman" w:cs="Times New Roman"/>
          <w:i/>
          <w:sz w:val="24"/>
          <w:szCs w:val="24"/>
        </w:rPr>
        <w:t xml:space="preserve"> non </w:t>
      </w:r>
      <w:proofErr w:type="spellStart"/>
      <w:r w:rsidRPr="00C470EF">
        <w:rPr>
          <w:rFonts w:ascii="Times New Roman" w:hAnsi="Times New Roman" w:cs="Times New Roman"/>
          <w:i/>
          <w:sz w:val="24"/>
          <w:szCs w:val="24"/>
        </w:rPr>
        <w:t>prosunt</w:t>
      </w:r>
      <w:proofErr w:type="spellEnd"/>
      <w:r w:rsidRPr="00C470EF">
        <w:rPr>
          <w:rFonts w:ascii="Times New Roman" w:hAnsi="Times New Roman" w:cs="Times New Roman"/>
          <w:i/>
          <w:sz w:val="24"/>
          <w:szCs w:val="24"/>
        </w:rPr>
        <w:t xml:space="preserve">, </w:t>
      </w:r>
      <w:proofErr w:type="spellStart"/>
      <w:r w:rsidRPr="00C470EF">
        <w:rPr>
          <w:rFonts w:ascii="Times New Roman" w:hAnsi="Times New Roman" w:cs="Times New Roman"/>
          <w:i/>
          <w:sz w:val="24"/>
          <w:szCs w:val="24"/>
        </w:rPr>
        <w:t>collecta</w:t>
      </w:r>
      <w:proofErr w:type="spellEnd"/>
      <w:r w:rsidRPr="00C470EF">
        <w:rPr>
          <w:rFonts w:ascii="Times New Roman" w:hAnsi="Times New Roman" w:cs="Times New Roman"/>
          <w:i/>
          <w:sz w:val="24"/>
          <w:szCs w:val="24"/>
        </w:rPr>
        <w:t xml:space="preserve"> </w:t>
      </w:r>
      <w:proofErr w:type="spellStart"/>
      <w:r w:rsidRPr="00C470EF">
        <w:rPr>
          <w:rFonts w:ascii="Times New Roman" w:hAnsi="Times New Roman" w:cs="Times New Roman"/>
          <w:i/>
          <w:sz w:val="24"/>
          <w:szCs w:val="24"/>
        </w:rPr>
        <w:t>iuvant</w:t>
      </w:r>
      <w:proofErr w:type="spellEnd"/>
      <w:r>
        <w:rPr>
          <w:rFonts w:ascii="Times New Roman" w:hAnsi="Times New Roman" w:cs="Times New Roman"/>
          <w:sz w:val="24"/>
          <w:szCs w:val="24"/>
        </w:rPr>
        <w:t>, che costituisce il fondamento della teoria della prova indiziaria.</w:t>
      </w:r>
      <w:r w:rsidR="000C3212">
        <w:rPr>
          <w:rStyle w:val="Rimandonotaapidipagina"/>
          <w:rFonts w:ascii="Times New Roman" w:hAnsi="Times New Roman" w:cs="Times New Roman"/>
          <w:sz w:val="24"/>
          <w:szCs w:val="24"/>
        </w:rPr>
        <w:footnoteReference w:id="3"/>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Fra tali fatti spiccano sicuramente i reati commessi</w:t>
      </w:r>
      <w:r w:rsidR="00700541">
        <w:rPr>
          <w:rFonts w:ascii="Times New Roman" w:hAnsi="Times New Roman" w:cs="Times New Roman"/>
          <w:sz w:val="24"/>
          <w:szCs w:val="24"/>
        </w:rPr>
        <w:t xml:space="preserve"> dalle persone interessate</w:t>
      </w:r>
      <w:r>
        <w:rPr>
          <w:rFonts w:ascii="Times New Roman" w:hAnsi="Times New Roman" w:cs="Times New Roman"/>
          <w:sz w:val="24"/>
          <w:szCs w:val="24"/>
        </w:rPr>
        <w:t>.</w:t>
      </w:r>
    </w:p>
    <w:p w:rsidR="00AD3F0C" w:rsidRDefault="00AD3F0C" w:rsidP="00AD3F0C">
      <w:pPr>
        <w:jc w:val="both"/>
        <w:rPr>
          <w:rFonts w:ascii="Times New Roman" w:hAnsi="Times New Roman" w:cs="Times New Roman"/>
          <w:sz w:val="24"/>
          <w:szCs w:val="24"/>
        </w:rPr>
      </w:pPr>
      <w:r>
        <w:rPr>
          <w:rFonts w:ascii="Times New Roman" w:hAnsi="Times New Roman" w:cs="Times New Roman"/>
          <w:sz w:val="24"/>
          <w:szCs w:val="24"/>
        </w:rPr>
        <w:t>Esist</w:t>
      </w:r>
      <w:r w:rsidR="009D30A1">
        <w:rPr>
          <w:rFonts w:ascii="Times New Roman" w:hAnsi="Times New Roman" w:cs="Times New Roman"/>
          <w:sz w:val="24"/>
          <w:szCs w:val="24"/>
        </w:rPr>
        <w:t>e</w:t>
      </w:r>
      <w:r>
        <w:rPr>
          <w:rFonts w:ascii="Times New Roman" w:hAnsi="Times New Roman" w:cs="Times New Roman"/>
          <w:sz w:val="24"/>
          <w:szCs w:val="24"/>
        </w:rPr>
        <w:t xml:space="preserve"> pertanto </w:t>
      </w:r>
      <w:r w:rsidR="009D30A1">
        <w:rPr>
          <w:rFonts w:ascii="Times New Roman" w:hAnsi="Times New Roman" w:cs="Times New Roman"/>
          <w:sz w:val="24"/>
          <w:szCs w:val="24"/>
        </w:rPr>
        <w:t>un problema di utilizzabilità dell’</w:t>
      </w:r>
      <w:r>
        <w:rPr>
          <w:rFonts w:ascii="Times New Roman" w:hAnsi="Times New Roman" w:cs="Times New Roman"/>
          <w:sz w:val="24"/>
          <w:szCs w:val="24"/>
        </w:rPr>
        <w:t>accertamento dei reati pregressi</w:t>
      </w:r>
      <w:r w:rsidR="00700541">
        <w:rPr>
          <w:rFonts w:ascii="Times New Roman" w:hAnsi="Times New Roman" w:cs="Times New Roman"/>
          <w:sz w:val="24"/>
          <w:szCs w:val="24"/>
        </w:rPr>
        <w:t>, o quanto meno della loro non inesistenza,</w:t>
      </w:r>
      <w:r>
        <w:rPr>
          <w:rFonts w:ascii="Times New Roman" w:hAnsi="Times New Roman" w:cs="Times New Roman"/>
          <w:sz w:val="24"/>
          <w:szCs w:val="24"/>
        </w:rPr>
        <w:t xml:space="preserve"> </w:t>
      </w:r>
      <w:r w:rsidR="009D30A1">
        <w:rPr>
          <w:rFonts w:ascii="Times New Roman" w:hAnsi="Times New Roman" w:cs="Times New Roman"/>
          <w:sz w:val="24"/>
          <w:szCs w:val="24"/>
        </w:rPr>
        <w:t xml:space="preserve">in sede di </w:t>
      </w:r>
      <w:r>
        <w:rPr>
          <w:rFonts w:ascii="Times New Roman" w:hAnsi="Times New Roman" w:cs="Times New Roman"/>
          <w:sz w:val="24"/>
          <w:szCs w:val="24"/>
        </w:rPr>
        <w:t>sindacato giurisdizionale amministrativo sui provvedimenti di prevenzione antimafia.</w:t>
      </w:r>
    </w:p>
    <w:p w:rsidR="005A23F5" w:rsidRDefault="007914CD" w:rsidP="001E3A4B">
      <w:pPr>
        <w:jc w:val="both"/>
        <w:rPr>
          <w:rFonts w:ascii="Times New Roman" w:hAnsi="Times New Roman" w:cs="Times New Roman"/>
          <w:sz w:val="24"/>
          <w:szCs w:val="24"/>
        </w:rPr>
      </w:pPr>
      <w:r>
        <w:rPr>
          <w:rFonts w:ascii="Times New Roman" w:hAnsi="Times New Roman" w:cs="Times New Roman"/>
          <w:sz w:val="24"/>
          <w:szCs w:val="24"/>
        </w:rPr>
        <w:t>Mi piace ricordare</w:t>
      </w:r>
      <w:r w:rsidR="005A23F5">
        <w:rPr>
          <w:rFonts w:ascii="Times New Roman" w:hAnsi="Times New Roman" w:cs="Times New Roman"/>
          <w:sz w:val="24"/>
          <w:szCs w:val="24"/>
        </w:rPr>
        <w:t>, in questo senso,</w:t>
      </w:r>
      <w:r>
        <w:rPr>
          <w:rFonts w:ascii="Times New Roman" w:hAnsi="Times New Roman" w:cs="Times New Roman"/>
          <w:sz w:val="24"/>
          <w:szCs w:val="24"/>
        </w:rPr>
        <w:t xml:space="preserve"> la giurisprudenza, illuminata, formatasi nella III Sezione del Consiglio di Stato sotto la guida del compi</w:t>
      </w:r>
      <w:r w:rsidR="002D587B">
        <w:rPr>
          <w:rFonts w:ascii="Times New Roman" w:hAnsi="Times New Roman" w:cs="Times New Roman"/>
          <w:sz w:val="24"/>
          <w:szCs w:val="24"/>
        </w:rPr>
        <w:t>anto Presidente Franco Frattini: d</w:t>
      </w:r>
      <w:r w:rsidR="005A23F5">
        <w:rPr>
          <w:rFonts w:ascii="Times New Roman" w:hAnsi="Times New Roman" w:cs="Times New Roman"/>
          <w:sz w:val="24"/>
          <w:szCs w:val="24"/>
        </w:rPr>
        <w:t>ai rapporti fra il sindacato giurisdizionale sulla legittimità dei provvedimenti prefettizi ed il controllo giudiziario (sentenze n. 1049/2021 e n. 319/2021</w:t>
      </w:r>
      <w:r w:rsidR="00225972">
        <w:rPr>
          <w:rFonts w:ascii="Times New Roman" w:hAnsi="Times New Roman" w:cs="Times New Roman"/>
          <w:sz w:val="24"/>
          <w:szCs w:val="24"/>
        </w:rPr>
        <w:t>)</w:t>
      </w:r>
      <w:r w:rsidR="005A23F5">
        <w:rPr>
          <w:rFonts w:ascii="Times New Roman" w:hAnsi="Times New Roman" w:cs="Times New Roman"/>
          <w:sz w:val="24"/>
          <w:szCs w:val="24"/>
        </w:rPr>
        <w:t>, all’autonomia dei canoni valutativi propri del giudizio di legittimità dei provvedimenti amministrativi – in sede di ricognizione degli elementi sintomatici di un pericolo d’infiltrazione mafiosa – rispetto alla valutazione che dei medesimi fatti storici si compie nel processo penale ai fini dell’accertamento dei reati</w:t>
      </w:r>
      <w:r w:rsidR="00225972">
        <w:rPr>
          <w:rFonts w:ascii="Times New Roman" w:hAnsi="Times New Roman" w:cs="Times New Roman"/>
          <w:sz w:val="24"/>
          <w:szCs w:val="24"/>
        </w:rPr>
        <w:t xml:space="preserve"> (sentenza n. </w:t>
      </w:r>
      <w:r w:rsidR="00DC3601">
        <w:rPr>
          <w:rFonts w:ascii="Times New Roman" w:hAnsi="Times New Roman" w:cs="Times New Roman"/>
          <w:sz w:val="24"/>
          <w:szCs w:val="24"/>
        </w:rPr>
        <w:t>957/2021)</w:t>
      </w:r>
      <w:r w:rsidR="005A23F5">
        <w:rPr>
          <w:rFonts w:ascii="Times New Roman" w:hAnsi="Times New Roman" w:cs="Times New Roman"/>
          <w:sz w:val="24"/>
          <w:szCs w:val="24"/>
        </w:rPr>
        <w:t xml:space="preserve">. </w:t>
      </w:r>
    </w:p>
    <w:p w:rsidR="00DC3601" w:rsidRDefault="00DC3601" w:rsidP="001E3A4B">
      <w:pPr>
        <w:jc w:val="both"/>
        <w:rPr>
          <w:rFonts w:ascii="Times New Roman" w:hAnsi="Times New Roman" w:cs="Times New Roman"/>
          <w:sz w:val="24"/>
          <w:szCs w:val="24"/>
        </w:rPr>
      </w:pPr>
      <w:r>
        <w:rPr>
          <w:rFonts w:ascii="Times New Roman" w:hAnsi="Times New Roman" w:cs="Times New Roman"/>
          <w:sz w:val="24"/>
          <w:szCs w:val="24"/>
        </w:rPr>
        <w:t xml:space="preserve">In questo contesto la giurisprudenza della III Sezione, proprio sotto la guida del Presidente Frattini, non ha mancato di rilevare come fosse legittima l’adozione di un provvedimento </w:t>
      </w:r>
      <w:proofErr w:type="spellStart"/>
      <w:r>
        <w:rPr>
          <w:rFonts w:ascii="Times New Roman" w:hAnsi="Times New Roman" w:cs="Times New Roman"/>
          <w:sz w:val="24"/>
          <w:szCs w:val="24"/>
        </w:rPr>
        <w:t>interdittivo</w:t>
      </w:r>
      <w:proofErr w:type="spellEnd"/>
      <w:r>
        <w:rPr>
          <w:rFonts w:ascii="Times New Roman" w:hAnsi="Times New Roman" w:cs="Times New Roman"/>
          <w:sz w:val="24"/>
          <w:szCs w:val="24"/>
        </w:rPr>
        <w:t xml:space="preserve"> antimafia sul presupposto dell’esistenza di una sentenza di applicazione di pena ex art. 444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r w:rsidR="009D30A1">
        <w:rPr>
          <w:rFonts w:ascii="Times New Roman" w:hAnsi="Times New Roman" w:cs="Times New Roman"/>
          <w:sz w:val="24"/>
          <w:szCs w:val="24"/>
        </w:rPr>
        <w:t>p</w:t>
      </w:r>
      <w:r>
        <w:rPr>
          <w:rFonts w:ascii="Times New Roman" w:hAnsi="Times New Roman" w:cs="Times New Roman"/>
          <w:sz w:val="24"/>
          <w:szCs w:val="24"/>
        </w:rPr>
        <w:t>er un c.d. “reato-spia” (sentenza n. 515/2019).</w:t>
      </w:r>
    </w:p>
    <w:p w:rsidR="0030589D" w:rsidRDefault="00DC3601" w:rsidP="001E3A4B">
      <w:pPr>
        <w:jc w:val="both"/>
        <w:rPr>
          <w:rFonts w:ascii="Times New Roman" w:hAnsi="Times New Roman" w:cs="Times New Roman"/>
          <w:sz w:val="24"/>
          <w:szCs w:val="24"/>
        </w:rPr>
      </w:pPr>
      <w:r>
        <w:rPr>
          <w:rFonts w:ascii="Times New Roman" w:hAnsi="Times New Roman" w:cs="Times New Roman"/>
          <w:sz w:val="24"/>
          <w:szCs w:val="24"/>
        </w:rPr>
        <w:t xml:space="preserve">Tale </w:t>
      </w:r>
      <w:r w:rsidR="009D30A1">
        <w:rPr>
          <w:rFonts w:ascii="Times New Roman" w:hAnsi="Times New Roman" w:cs="Times New Roman"/>
          <w:sz w:val="24"/>
          <w:szCs w:val="24"/>
        </w:rPr>
        <w:t>decisione</w:t>
      </w:r>
      <w:r>
        <w:rPr>
          <w:rFonts w:ascii="Times New Roman" w:hAnsi="Times New Roman" w:cs="Times New Roman"/>
          <w:sz w:val="24"/>
          <w:szCs w:val="24"/>
        </w:rPr>
        <w:t xml:space="preserve">, in particolare, ha affermato l’irrilevanza, ai fini dell’utilizzabilità della sentenza di patteggiamento come legittimo presupposto del provvedimento </w:t>
      </w:r>
      <w:proofErr w:type="spellStart"/>
      <w:r>
        <w:rPr>
          <w:rFonts w:ascii="Times New Roman" w:hAnsi="Times New Roman" w:cs="Times New Roman"/>
          <w:sz w:val="24"/>
          <w:szCs w:val="24"/>
        </w:rPr>
        <w:t>interdittivo</w:t>
      </w:r>
      <w:proofErr w:type="spellEnd"/>
      <w:r>
        <w:rPr>
          <w:rFonts w:ascii="Times New Roman" w:hAnsi="Times New Roman" w:cs="Times New Roman"/>
          <w:sz w:val="24"/>
          <w:szCs w:val="24"/>
        </w:rPr>
        <w:t>, dei motivi, del tutto soggettivi, che avevano indotto l’imputato a chiedere nel processo penale l’applicazione di pena.</w:t>
      </w:r>
    </w:p>
    <w:p w:rsidR="00E05D4A" w:rsidRDefault="005F15E5" w:rsidP="001E3A4B">
      <w:pPr>
        <w:jc w:val="both"/>
        <w:rPr>
          <w:rFonts w:ascii="Times New Roman" w:hAnsi="Times New Roman" w:cs="Times New Roman"/>
          <w:sz w:val="24"/>
          <w:szCs w:val="24"/>
        </w:rPr>
      </w:pPr>
      <w:r>
        <w:rPr>
          <w:rFonts w:ascii="Times New Roman" w:hAnsi="Times New Roman" w:cs="Times New Roman"/>
          <w:sz w:val="24"/>
          <w:szCs w:val="24"/>
        </w:rPr>
        <w:t>La</w:t>
      </w:r>
      <w:r w:rsidR="0030589D">
        <w:rPr>
          <w:rFonts w:ascii="Times New Roman" w:hAnsi="Times New Roman" w:cs="Times New Roman"/>
          <w:sz w:val="24"/>
          <w:szCs w:val="24"/>
        </w:rPr>
        <w:t xml:space="preserve"> </w:t>
      </w:r>
      <w:r w:rsidR="009D30A1">
        <w:rPr>
          <w:rFonts w:ascii="Times New Roman" w:hAnsi="Times New Roman" w:cs="Times New Roman"/>
          <w:sz w:val="24"/>
          <w:szCs w:val="24"/>
        </w:rPr>
        <w:t>conclu</w:t>
      </w:r>
      <w:r w:rsidR="0030589D">
        <w:rPr>
          <w:rFonts w:ascii="Times New Roman" w:hAnsi="Times New Roman" w:cs="Times New Roman"/>
          <w:sz w:val="24"/>
          <w:szCs w:val="24"/>
        </w:rPr>
        <w:t>sione riflette del resto coerentemente</w:t>
      </w:r>
      <w:r w:rsidR="00E05D4A">
        <w:rPr>
          <w:rFonts w:ascii="Times New Roman" w:hAnsi="Times New Roman" w:cs="Times New Roman"/>
          <w:sz w:val="24"/>
          <w:szCs w:val="24"/>
        </w:rPr>
        <w:t>,</w:t>
      </w:r>
      <w:r w:rsidR="0030589D">
        <w:rPr>
          <w:rFonts w:ascii="Times New Roman" w:hAnsi="Times New Roman" w:cs="Times New Roman"/>
          <w:sz w:val="24"/>
          <w:szCs w:val="24"/>
        </w:rPr>
        <w:t xml:space="preserve"> nella specifica materia delle informative antimafia</w:t>
      </w:r>
      <w:r w:rsidR="00E05D4A">
        <w:rPr>
          <w:rFonts w:ascii="Times New Roman" w:hAnsi="Times New Roman" w:cs="Times New Roman"/>
          <w:sz w:val="24"/>
          <w:szCs w:val="24"/>
        </w:rPr>
        <w:t>,</w:t>
      </w:r>
      <w:r w:rsidR="0030589D">
        <w:rPr>
          <w:rFonts w:ascii="Times New Roman" w:hAnsi="Times New Roman" w:cs="Times New Roman"/>
          <w:sz w:val="24"/>
          <w:szCs w:val="24"/>
        </w:rPr>
        <w:t xml:space="preserve"> il consolidato orientamento giurisprudenziale</w:t>
      </w:r>
      <w:r w:rsidR="00E05D4A">
        <w:rPr>
          <w:rFonts w:ascii="Times New Roman" w:hAnsi="Times New Roman" w:cs="Times New Roman"/>
          <w:sz w:val="24"/>
          <w:szCs w:val="24"/>
        </w:rPr>
        <w:t xml:space="preserve">, sia del giudice amministrativo che del giudice civile, </w:t>
      </w:r>
      <w:r w:rsidR="0030589D">
        <w:rPr>
          <w:rFonts w:ascii="Times New Roman" w:hAnsi="Times New Roman" w:cs="Times New Roman"/>
          <w:sz w:val="24"/>
          <w:szCs w:val="24"/>
        </w:rPr>
        <w:t xml:space="preserve">che attribuisce alla sentenza patteggiata una </w:t>
      </w:r>
      <w:r>
        <w:rPr>
          <w:rFonts w:ascii="Times New Roman" w:hAnsi="Times New Roman" w:cs="Times New Roman"/>
          <w:sz w:val="24"/>
          <w:szCs w:val="24"/>
        </w:rPr>
        <w:t xml:space="preserve">rilevante </w:t>
      </w:r>
      <w:r w:rsidR="0030589D">
        <w:rPr>
          <w:rFonts w:ascii="Times New Roman" w:hAnsi="Times New Roman" w:cs="Times New Roman"/>
          <w:sz w:val="24"/>
          <w:szCs w:val="24"/>
        </w:rPr>
        <w:t>efficacia</w:t>
      </w:r>
      <w:r>
        <w:rPr>
          <w:rFonts w:ascii="Times New Roman" w:hAnsi="Times New Roman" w:cs="Times New Roman"/>
          <w:sz w:val="24"/>
          <w:szCs w:val="24"/>
        </w:rPr>
        <w:t>, sia pure agli specifici fini propri delle rispettive sedi</w:t>
      </w:r>
      <w:r w:rsidR="00327C79">
        <w:rPr>
          <w:rFonts w:ascii="Times New Roman" w:hAnsi="Times New Roman" w:cs="Times New Roman"/>
          <w:sz w:val="24"/>
          <w:szCs w:val="24"/>
        </w:rPr>
        <w:t xml:space="preserve"> e quanto meno in termini di fatto storico</w:t>
      </w:r>
      <w:r>
        <w:rPr>
          <w:rFonts w:ascii="Times New Roman" w:hAnsi="Times New Roman" w:cs="Times New Roman"/>
          <w:sz w:val="24"/>
          <w:szCs w:val="24"/>
        </w:rPr>
        <w:t>,</w:t>
      </w:r>
      <w:r w:rsidR="0030589D">
        <w:rPr>
          <w:rFonts w:ascii="Times New Roman" w:hAnsi="Times New Roman" w:cs="Times New Roman"/>
          <w:sz w:val="24"/>
          <w:szCs w:val="24"/>
        </w:rPr>
        <w:t xml:space="preserve"> anche nei procedimenti amministrativi e nei giudizi </w:t>
      </w:r>
      <w:proofErr w:type="spellStart"/>
      <w:r w:rsidR="0030589D">
        <w:rPr>
          <w:rFonts w:ascii="Times New Roman" w:hAnsi="Times New Roman" w:cs="Times New Roman"/>
          <w:sz w:val="24"/>
          <w:szCs w:val="24"/>
        </w:rPr>
        <w:t>extrapenali</w:t>
      </w:r>
      <w:proofErr w:type="spellEnd"/>
      <w:r w:rsidR="00E05D4A">
        <w:rPr>
          <w:rFonts w:ascii="Times New Roman" w:hAnsi="Times New Roman" w:cs="Times New Roman"/>
          <w:sz w:val="24"/>
          <w:szCs w:val="24"/>
        </w:rPr>
        <w:t>.</w:t>
      </w:r>
      <w:r w:rsidR="00E05D4A">
        <w:rPr>
          <w:rStyle w:val="Rimandonotaapidipagina"/>
          <w:rFonts w:ascii="Times New Roman" w:hAnsi="Times New Roman" w:cs="Times New Roman"/>
          <w:sz w:val="24"/>
          <w:szCs w:val="24"/>
        </w:rPr>
        <w:footnoteReference w:id="4"/>
      </w:r>
    </w:p>
    <w:p w:rsidR="00B13D98" w:rsidRDefault="005F15E5" w:rsidP="001E3A4B">
      <w:pPr>
        <w:jc w:val="both"/>
        <w:rPr>
          <w:rFonts w:ascii="Times New Roman" w:hAnsi="Times New Roman" w:cs="Times New Roman"/>
          <w:sz w:val="24"/>
          <w:szCs w:val="24"/>
        </w:rPr>
      </w:pPr>
      <w:r>
        <w:rPr>
          <w:rFonts w:ascii="Times New Roman" w:hAnsi="Times New Roman" w:cs="Times New Roman"/>
          <w:sz w:val="24"/>
          <w:szCs w:val="24"/>
        </w:rPr>
        <w:t>2</w:t>
      </w:r>
      <w:r w:rsidR="00E9683E">
        <w:rPr>
          <w:rFonts w:ascii="Times New Roman" w:hAnsi="Times New Roman" w:cs="Times New Roman"/>
          <w:sz w:val="24"/>
          <w:szCs w:val="24"/>
        </w:rPr>
        <w:t>.</w:t>
      </w:r>
      <w:r w:rsidR="00E9683E">
        <w:rPr>
          <w:rFonts w:ascii="Times New Roman" w:hAnsi="Times New Roman" w:cs="Times New Roman"/>
          <w:sz w:val="24"/>
          <w:szCs w:val="24"/>
        </w:rPr>
        <w:tab/>
      </w:r>
      <w:r>
        <w:rPr>
          <w:rFonts w:ascii="Times New Roman" w:hAnsi="Times New Roman" w:cs="Times New Roman"/>
          <w:sz w:val="24"/>
          <w:szCs w:val="24"/>
        </w:rPr>
        <w:t>L’assetto sopra delineato, garante della complessiva coerenza ordinamentale e dell’efficacia sia dell’azione amministrativa che del relativo sindacato giurisdizionale, è destinato ad essere rimeditato per effetto dell’entrata in vigore dell</w:t>
      </w:r>
      <w:r w:rsidR="007F54D7">
        <w:rPr>
          <w:rFonts w:ascii="Times New Roman" w:hAnsi="Times New Roman" w:cs="Times New Roman"/>
          <w:sz w:val="24"/>
          <w:szCs w:val="24"/>
        </w:rPr>
        <w:t>’</w:t>
      </w:r>
      <w:r w:rsidR="007F54D7" w:rsidRPr="007F54D7">
        <w:rPr>
          <w:rFonts w:ascii="Times New Roman" w:hAnsi="Times New Roman" w:cs="Times New Roman"/>
          <w:sz w:val="24"/>
          <w:szCs w:val="24"/>
        </w:rPr>
        <w:t xml:space="preserve">art. 25, comma 1, </w:t>
      </w:r>
      <w:proofErr w:type="spellStart"/>
      <w:r w:rsidR="007F54D7" w:rsidRPr="007F54D7">
        <w:rPr>
          <w:rFonts w:ascii="Times New Roman" w:hAnsi="Times New Roman" w:cs="Times New Roman"/>
          <w:sz w:val="24"/>
          <w:szCs w:val="24"/>
        </w:rPr>
        <w:t>lett</w:t>
      </w:r>
      <w:proofErr w:type="spellEnd"/>
      <w:r w:rsidR="007F54D7" w:rsidRPr="007F54D7">
        <w:rPr>
          <w:rFonts w:ascii="Times New Roman" w:hAnsi="Times New Roman" w:cs="Times New Roman"/>
          <w:sz w:val="24"/>
          <w:szCs w:val="24"/>
        </w:rPr>
        <w:t xml:space="preserve">. b), </w:t>
      </w:r>
      <w:r w:rsidR="007F54D7">
        <w:rPr>
          <w:rFonts w:ascii="Times New Roman" w:hAnsi="Times New Roman" w:cs="Times New Roman"/>
          <w:sz w:val="24"/>
          <w:szCs w:val="24"/>
        </w:rPr>
        <w:t xml:space="preserve">del </w:t>
      </w:r>
      <w:r w:rsidR="00A93B52">
        <w:rPr>
          <w:rFonts w:ascii="Times New Roman" w:hAnsi="Times New Roman" w:cs="Times New Roman"/>
          <w:sz w:val="24"/>
          <w:szCs w:val="24"/>
        </w:rPr>
        <w:t>d</w:t>
      </w:r>
      <w:r w:rsidR="007F54D7" w:rsidRPr="007F54D7">
        <w:rPr>
          <w:rFonts w:ascii="Times New Roman" w:hAnsi="Times New Roman" w:cs="Times New Roman"/>
          <w:sz w:val="24"/>
          <w:szCs w:val="24"/>
        </w:rPr>
        <w:t>.</w:t>
      </w:r>
      <w:r w:rsidR="00A93B52">
        <w:rPr>
          <w:rFonts w:ascii="Times New Roman" w:hAnsi="Times New Roman" w:cs="Times New Roman"/>
          <w:sz w:val="24"/>
          <w:szCs w:val="24"/>
        </w:rPr>
        <w:t xml:space="preserve"> </w:t>
      </w:r>
      <w:proofErr w:type="spellStart"/>
      <w:r w:rsidR="00A93B52">
        <w:rPr>
          <w:rFonts w:ascii="Times New Roman" w:hAnsi="Times New Roman" w:cs="Times New Roman"/>
          <w:sz w:val="24"/>
          <w:szCs w:val="24"/>
        </w:rPr>
        <w:t>l</w:t>
      </w:r>
      <w:r w:rsidR="007F54D7" w:rsidRPr="007F54D7">
        <w:rPr>
          <w:rFonts w:ascii="Times New Roman" w:hAnsi="Times New Roman" w:cs="Times New Roman"/>
          <w:sz w:val="24"/>
          <w:szCs w:val="24"/>
        </w:rPr>
        <w:t>gs</w:t>
      </w:r>
      <w:proofErr w:type="spellEnd"/>
      <w:r w:rsidR="007F54D7" w:rsidRPr="007F54D7">
        <w:rPr>
          <w:rFonts w:ascii="Times New Roman" w:hAnsi="Times New Roman" w:cs="Times New Roman"/>
          <w:sz w:val="24"/>
          <w:szCs w:val="24"/>
        </w:rPr>
        <w:t xml:space="preserve">. 10 ottobre 2022, </w:t>
      </w:r>
      <w:r w:rsidR="007F54D7" w:rsidRPr="007F54D7">
        <w:rPr>
          <w:rFonts w:ascii="Times New Roman" w:hAnsi="Times New Roman" w:cs="Times New Roman"/>
          <w:sz w:val="24"/>
          <w:szCs w:val="24"/>
        </w:rPr>
        <w:lastRenderedPageBreak/>
        <w:t>n. 150,</w:t>
      </w:r>
      <w:r w:rsidR="007F54D7">
        <w:rPr>
          <w:rFonts w:ascii="Times New Roman" w:hAnsi="Times New Roman" w:cs="Times New Roman"/>
          <w:sz w:val="24"/>
          <w:szCs w:val="24"/>
        </w:rPr>
        <w:t xml:space="preserve"> </w:t>
      </w:r>
      <w:r>
        <w:rPr>
          <w:rFonts w:ascii="Times New Roman" w:hAnsi="Times New Roman" w:cs="Times New Roman"/>
          <w:sz w:val="24"/>
          <w:szCs w:val="24"/>
        </w:rPr>
        <w:t xml:space="preserve">che ha modificato </w:t>
      </w:r>
      <w:r w:rsidR="007F54D7">
        <w:rPr>
          <w:rFonts w:ascii="Times New Roman" w:hAnsi="Times New Roman" w:cs="Times New Roman"/>
          <w:sz w:val="24"/>
          <w:szCs w:val="24"/>
        </w:rPr>
        <w:t>il testo del comma 1</w:t>
      </w:r>
      <w:r w:rsidR="007F54D7" w:rsidRPr="007F54D7">
        <w:rPr>
          <w:rFonts w:ascii="Times New Roman" w:hAnsi="Times New Roman" w:cs="Times New Roman"/>
          <w:i/>
          <w:sz w:val="24"/>
          <w:szCs w:val="24"/>
        </w:rPr>
        <w:t>-bis</w:t>
      </w:r>
      <w:r w:rsidR="007F54D7">
        <w:rPr>
          <w:rFonts w:ascii="Times New Roman" w:hAnsi="Times New Roman" w:cs="Times New Roman"/>
          <w:sz w:val="24"/>
          <w:szCs w:val="24"/>
        </w:rPr>
        <w:t xml:space="preserve"> dell’art. 445 cod. </w:t>
      </w:r>
      <w:proofErr w:type="spellStart"/>
      <w:r w:rsidR="007F54D7">
        <w:rPr>
          <w:rFonts w:ascii="Times New Roman" w:hAnsi="Times New Roman" w:cs="Times New Roman"/>
          <w:sz w:val="24"/>
          <w:szCs w:val="24"/>
        </w:rPr>
        <w:t>proc</w:t>
      </w:r>
      <w:proofErr w:type="spellEnd"/>
      <w:r w:rsidR="007F54D7">
        <w:rPr>
          <w:rFonts w:ascii="Times New Roman" w:hAnsi="Times New Roman" w:cs="Times New Roman"/>
          <w:sz w:val="24"/>
          <w:szCs w:val="24"/>
        </w:rPr>
        <w:t xml:space="preserve">. </w:t>
      </w:r>
      <w:proofErr w:type="spellStart"/>
      <w:r w:rsidR="007F54D7">
        <w:rPr>
          <w:rFonts w:ascii="Times New Roman" w:hAnsi="Times New Roman" w:cs="Times New Roman"/>
          <w:sz w:val="24"/>
          <w:szCs w:val="24"/>
        </w:rPr>
        <w:t>pen</w:t>
      </w:r>
      <w:proofErr w:type="spellEnd"/>
      <w:r w:rsidR="007F54D7">
        <w:rPr>
          <w:rFonts w:ascii="Times New Roman" w:hAnsi="Times New Roman" w:cs="Times New Roman"/>
          <w:sz w:val="24"/>
          <w:szCs w:val="24"/>
        </w:rPr>
        <w:t>., riforma</w:t>
      </w:r>
      <w:r>
        <w:rPr>
          <w:rFonts w:ascii="Times New Roman" w:hAnsi="Times New Roman" w:cs="Times New Roman"/>
          <w:sz w:val="24"/>
          <w:szCs w:val="24"/>
        </w:rPr>
        <w:t>ndo</w:t>
      </w:r>
      <w:r w:rsidR="007F54D7">
        <w:rPr>
          <w:rFonts w:ascii="Times New Roman" w:hAnsi="Times New Roman" w:cs="Times New Roman"/>
          <w:sz w:val="24"/>
          <w:szCs w:val="24"/>
        </w:rPr>
        <w:t xml:space="preserve"> il regime dell’efficacia della sentenza di applicazione di pena nei giudizi </w:t>
      </w:r>
      <w:proofErr w:type="spellStart"/>
      <w:r w:rsidR="00070C68">
        <w:rPr>
          <w:rFonts w:ascii="Times New Roman" w:hAnsi="Times New Roman" w:cs="Times New Roman"/>
          <w:sz w:val="24"/>
          <w:szCs w:val="24"/>
        </w:rPr>
        <w:t>extrapenali</w:t>
      </w:r>
      <w:proofErr w:type="spellEnd"/>
      <w:r w:rsidR="007F54D7">
        <w:rPr>
          <w:rFonts w:ascii="Times New Roman" w:hAnsi="Times New Roman" w:cs="Times New Roman"/>
          <w:sz w:val="24"/>
          <w:szCs w:val="24"/>
        </w:rPr>
        <w:t>.</w:t>
      </w:r>
    </w:p>
    <w:p w:rsidR="007F54D7" w:rsidRDefault="007F54D7" w:rsidP="007F54D7">
      <w:pPr>
        <w:jc w:val="both"/>
        <w:rPr>
          <w:rFonts w:ascii="Times New Roman" w:hAnsi="Times New Roman" w:cs="Times New Roman"/>
          <w:sz w:val="24"/>
          <w:szCs w:val="24"/>
        </w:rPr>
      </w:pPr>
      <w:r>
        <w:rPr>
          <w:rFonts w:ascii="Times New Roman" w:hAnsi="Times New Roman" w:cs="Times New Roman"/>
          <w:sz w:val="24"/>
          <w:szCs w:val="24"/>
        </w:rPr>
        <w:t xml:space="preserve">Il testo previgente stabiliva che </w:t>
      </w:r>
      <w:r w:rsidRPr="007F54D7">
        <w:rPr>
          <w:rFonts w:ascii="Times New Roman" w:hAnsi="Times New Roman" w:cs="Times New Roman"/>
          <w:sz w:val="24"/>
          <w:szCs w:val="24"/>
        </w:rPr>
        <w:t>«Salvo quanto previsto dall'articolo 653, la sentenza prevista dall'articolo 444, comma 2, anche quando è pronunciata dopo la chiusura del dibattimento, non ha efficacia nei giudizi civili o amministrativi. Salve diverse disposizioni di legge, la sentenza è equiparata a una pronuncia di condanna.».</w:t>
      </w:r>
    </w:p>
    <w:p w:rsidR="005F15E5" w:rsidRDefault="005F15E5" w:rsidP="007F54D7">
      <w:pPr>
        <w:jc w:val="both"/>
        <w:rPr>
          <w:rFonts w:ascii="Times New Roman" w:hAnsi="Times New Roman" w:cs="Times New Roman"/>
          <w:sz w:val="24"/>
          <w:szCs w:val="24"/>
        </w:rPr>
      </w:pPr>
      <w:r>
        <w:rPr>
          <w:rFonts w:ascii="Times New Roman" w:hAnsi="Times New Roman" w:cs="Times New Roman"/>
          <w:sz w:val="24"/>
          <w:szCs w:val="24"/>
        </w:rPr>
        <w:t>Tale previsione, come si è visto, non ha impedito al giudice civile e al giudice amministrativo di pervenire all’affermazione dei princìpi fatti propri dal consolidato orientamento giurisprudenziale sopra richiamato.</w:t>
      </w:r>
    </w:p>
    <w:p w:rsidR="007F54D7" w:rsidRDefault="005F15E5" w:rsidP="007F54D7">
      <w:pPr>
        <w:jc w:val="both"/>
        <w:rPr>
          <w:rFonts w:ascii="Times New Roman" w:hAnsi="Times New Roman" w:cs="Times New Roman"/>
          <w:sz w:val="24"/>
          <w:szCs w:val="24"/>
        </w:rPr>
      </w:pPr>
      <w:r>
        <w:rPr>
          <w:rFonts w:ascii="Times New Roman" w:hAnsi="Times New Roman" w:cs="Times New Roman"/>
          <w:sz w:val="24"/>
          <w:szCs w:val="24"/>
        </w:rPr>
        <w:t xml:space="preserve">Forse </w:t>
      </w:r>
      <w:r w:rsidR="00E33DE7">
        <w:rPr>
          <w:rFonts w:ascii="Times New Roman" w:hAnsi="Times New Roman" w:cs="Times New Roman"/>
          <w:sz w:val="24"/>
          <w:szCs w:val="24"/>
        </w:rPr>
        <w:t>allo scopo di superare tale orientamento</w:t>
      </w:r>
      <w:r>
        <w:rPr>
          <w:rStyle w:val="Rimandonotaapidipagina"/>
          <w:rFonts w:ascii="Times New Roman" w:hAnsi="Times New Roman" w:cs="Times New Roman"/>
          <w:sz w:val="24"/>
          <w:szCs w:val="24"/>
        </w:rPr>
        <w:footnoteReference w:id="5"/>
      </w:r>
      <w:r w:rsidR="00E33DE7">
        <w:rPr>
          <w:rFonts w:ascii="Times New Roman" w:hAnsi="Times New Roman" w:cs="Times New Roman"/>
          <w:sz w:val="24"/>
          <w:szCs w:val="24"/>
        </w:rPr>
        <w:t>, i</w:t>
      </w:r>
      <w:r w:rsidR="007F54D7">
        <w:rPr>
          <w:rFonts w:ascii="Times New Roman" w:hAnsi="Times New Roman" w:cs="Times New Roman"/>
          <w:sz w:val="24"/>
          <w:szCs w:val="24"/>
        </w:rPr>
        <w:t xml:space="preserve">l testo attualmente vigente </w:t>
      </w:r>
      <w:r w:rsidR="00A93B52">
        <w:rPr>
          <w:rFonts w:ascii="Times New Roman" w:hAnsi="Times New Roman" w:cs="Times New Roman"/>
          <w:sz w:val="24"/>
          <w:szCs w:val="24"/>
        </w:rPr>
        <w:t>prevede</w:t>
      </w:r>
      <w:r w:rsidR="007F54D7">
        <w:rPr>
          <w:rFonts w:ascii="Times New Roman" w:hAnsi="Times New Roman" w:cs="Times New Roman"/>
          <w:sz w:val="24"/>
          <w:szCs w:val="24"/>
        </w:rPr>
        <w:t xml:space="preserve"> invece che “</w:t>
      </w:r>
      <w:r w:rsidR="007F54D7" w:rsidRPr="007F54D7">
        <w:rPr>
          <w:rFonts w:ascii="Times New Roman" w:hAnsi="Times New Roman" w:cs="Times New Roman"/>
          <w:i/>
          <w:sz w:val="24"/>
          <w:szCs w:val="24"/>
        </w:rPr>
        <w:t xml:space="preserve">La sentenza prevista dall'articolo 444, comma 2, anche quando è pronunciata dopo la chiusura del dibattimento, non ha efficacia e non può essere utilizzata a fini di prova nei giudizi civili, disciplinari, tributari o amministrativi, compreso il giudizio per l'accertamento della responsabilità contabile. Se non sono applicate pene accessorie, non producono effetti le disposizioni di leggi diverse da quelle penali che equiparano la sentenza prevista dall'articolo 444, comma 2, alla sentenza di condanna. </w:t>
      </w:r>
      <w:r w:rsidR="007F54D7" w:rsidRPr="007F54D7">
        <w:rPr>
          <w:rFonts w:ascii="Times New Roman" w:hAnsi="Times New Roman" w:cs="Times New Roman"/>
          <w:sz w:val="24"/>
          <w:szCs w:val="24"/>
        </w:rPr>
        <w:t>Salvo quanto previsto dal primo e dal secondo</w:t>
      </w:r>
      <w:r w:rsidR="007F54D7" w:rsidRPr="00C51935">
        <w:rPr>
          <w:rFonts w:ascii="Times New Roman" w:hAnsi="Times New Roman" w:cs="Times New Roman"/>
          <w:i/>
          <w:sz w:val="24"/>
          <w:szCs w:val="24"/>
        </w:rPr>
        <w:t xml:space="preserve"> periodo</w:t>
      </w:r>
      <w:r w:rsidR="007F54D7" w:rsidRPr="007F54D7">
        <w:rPr>
          <w:rFonts w:ascii="Times New Roman" w:hAnsi="Times New Roman" w:cs="Times New Roman"/>
          <w:i/>
          <w:sz w:val="24"/>
          <w:szCs w:val="24"/>
        </w:rPr>
        <w:t xml:space="preserve"> o da diverse disposizioni di legge, la sentenza è equiparata a una pronuncia di condanna</w:t>
      </w:r>
      <w:r w:rsidR="007F54D7">
        <w:rPr>
          <w:rFonts w:ascii="Times New Roman" w:hAnsi="Times New Roman" w:cs="Times New Roman"/>
          <w:sz w:val="24"/>
          <w:szCs w:val="24"/>
        </w:rPr>
        <w:t>”.</w:t>
      </w:r>
    </w:p>
    <w:p w:rsidR="002D587B" w:rsidRDefault="00E33DE7" w:rsidP="007F54D7">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F54D7">
        <w:rPr>
          <w:rFonts w:ascii="Times New Roman" w:hAnsi="Times New Roman" w:cs="Times New Roman"/>
          <w:sz w:val="24"/>
          <w:szCs w:val="24"/>
        </w:rPr>
        <w:t>Le innovazioni concernono quattro punti</w:t>
      </w:r>
      <w:r w:rsidR="002D587B">
        <w:rPr>
          <w:rFonts w:ascii="Times New Roman" w:hAnsi="Times New Roman" w:cs="Times New Roman"/>
          <w:sz w:val="24"/>
          <w:szCs w:val="24"/>
        </w:rPr>
        <w:t>.</w:t>
      </w:r>
    </w:p>
    <w:p w:rsidR="007F54D7" w:rsidRDefault="002D587B" w:rsidP="007F54D7">
      <w:pPr>
        <w:jc w:val="both"/>
        <w:rPr>
          <w:rFonts w:ascii="Times New Roman" w:hAnsi="Times New Roman" w:cs="Times New Roman"/>
          <w:sz w:val="24"/>
          <w:szCs w:val="24"/>
        </w:rPr>
      </w:pPr>
      <w:r>
        <w:rPr>
          <w:rFonts w:ascii="Times New Roman" w:hAnsi="Times New Roman" w:cs="Times New Roman"/>
          <w:sz w:val="24"/>
          <w:szCs w:val="24"/>
        </w:rPr>
        <w:t>L</w:t>
      </w:r>
      <w:r w:rsidR="00E33DE7">
        <w:rPr>
          <w:rFonts w:ascii="Times New Roman" w:hAnsi="Times New Roman" w:cs="Times New Roman"/>
          <w:sz w:val="24"/>
          <w:szCs w:val="24"/>
        </w:rPr>
        <w:t>a nuova disposizione</w:t>
      </w:r>
      <w:r w:rsidR="007F54D7">
        <w:rPr>
          <w:rFonts w:ascii="Times New Roman" w:hAnsi="Times New Roman" w:cs="Times New Roman"/>
          <w:sz w:val="24"/>
          <w:szCs w:val="24"/>
        </w:rPr>
        <w:t>:</w:t>
      </w:r>
    </w:p>
    <w:p w:rsidR="007F54D7" w:rsidRDefault="007F54D7" w:rsidP="007F54D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estende il suo ambito applicativo anche ai giudizi disciplinari, tributari e contabili;</w:t>
      </w:r>
    </w:p>
    <w:p w:rsidR="007F54D7" w:rsidRDefault="007F54D7" w:rsidP="007F54D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aggiunge alla precedente affermazione della “inefficacia” della sentenza di patteggiamento, la regola per cui essa “</w:t>
      </w:r>
      <w:r w:rsidRPr="007F54D7">
        <w:rPr>
          <w:rFonts w:ascii="Times New Roman" w:hAnsi="Times New Roman" w:cs="Times New Roman"/>
          <w:sz w:val="24"/>
          <w:szCs w:val="24"/>
        </w:rPr>
        <w:t>non può essere utilizzata a fini di prov</w:t>
      </w:r>
      <w:r>
        <w:rPr>
          <w:rFonts w:ascii="Times New Roman" w:hAnsi="Times New Roman" w:cs="Times New Roman"/>
          <w:sz w:val="24"/>
          <w:szCs w:val="24"/>
        </w:rPr>
        <w:t>a”;</w:t>
      </w:r>
    </w:p>
    <w:p w:rsidR="007F54D7" w:rsidRDefault="007F54D7" w:rsidP="007F54D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stabilisce che “</w:t>
      </w:r>
      <w:r w:rsidRPr="007F54D7">
        <w:rPr>
          <w:rFonts w:ascii="Times New Roman" w:hAnsi="Times New Roman" w:cs="Times New Roman"/>
          <w:sz w:val="24"/>
          <w:szCs w:val="24"/>
        </w:rPr>
        <w:t>Se non sono applicate pene accessorie, non producono effetti le disposizioni di leggi diverse da quelle penali che equiparano la sentenza prevista dall'articolo 444, com</w:t>
      </w:r>
      <w:r>
        <w:rPr>
          <w:rFonts w:ascii="Times New Roman" w:hAnsi="Times New Roman" w:cs="Times New Roman"/>
          <w:sz w:val="24"/>
          <w:szCs w:val="24"/>
        </w:rPr>
        <w:t>ma 2, alla sentenza di condanna”;</w:t>
      </w:r>
      <w:r w:rsidR="00801C0D">
        <w:rPr>
          <w:rStyle w:val="Rimandonotaapidipagina"/>
          <w:rFonts w:ascii="Times New Roman" w:hAnsi="Times New Roman" w:cs="Times New Roman"/>
          <w:sz w:val="24"/>
          <w:szCs w:val="24"/>
        </w:rPr>
        <w:footnoteReference w:id="6"/>
      </w:r>
    </w:p>
    <w:p w:rsidR="007F54D7" w:rsidRDefault="007F54D7" w:rsidP="007F54D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esclude dall’equiparazione della sentenza di patteggiamento ad una pronuncia di condanna non solo le fattispecie previste da “diverse disposizioni di legge”, ma anche quelle di cui </w:t>
      </w:r>
      <w:r w:rsidR="006C270A">
        <w:rPr>
          <w:rFonts w:ascii="Times New Roman" w:hAnsi="Times New Roman" w:cs="Times New Roman"/>
          <w:sz w:val="24"/>
          <w:szCs w:val="24"/>
        </w:rPr>
        <w:t xml:space="preserve">al </w:t>
      </w:r>
      <w:r w:rsidRPr="007F54D7">
        <w:rPr>
          <w:rFonts w:ascii="Times New Roman" w:hAnsi="Times New Roman" w:cs="Times New Roman"/>
          <w:sz w:val="24"/>
          <w:szCs w:val="24"/>
        </w:rPr>
        <w:t>primo e al secondo periodo</w:t>
      </w:r>
      <w:r w:rsidR="006C270A">
        <w:rPr>
          <w:rFonts w:ascii="Times New Roman" w:hAnsi="Times New Roman" w:cs="Times New Roman"/>
          <w:sz w:val="24"/>
          <w:szCs w:val="24"/>
        </w:rPr>
        <w:t xml:space="preserve"> della disposizione.</w:t>
      </w:r>
    </w:p>
    <w:p w:rsidR="006C270A" w:rsidRDefault="006C270A" w:rsidP="006C270A">
      <w:pPr>
        <w:jc w:val="both"/>
        <w:rPr>
          <w:rFonts w:ascii="Times New Roman" w:hAnsi="Times New Roman" w:cs="Times New Roman"/>
          <w:sz w:val="24"/>
          <w:szCs w:val="24"/>
        </w:rPr>
      </w:pPr>
      <w:r>
        <w:rPr>
          <w:rFonts w:ascii="Times New Roman" w:hAnsi="Times New Roman" w:cs="Times New Roman"/>
          <w:sz w:val="24"/>
          <w:szCs w:val="24"/>
        </w:rPr>
        <w:t>L’obiettivo, evidentemente, è quello di incentivare l’appetibilità – per l’imputato -  del ricorso al rito alternativo del patteggiamento, in un’ottica deflattiva del processo penale</w:t>
      </w:r>
      <w:r w:rsidR="002D587B">
        <w:rPr>
          <w:rFonts w:ascii="Times New Roman" w:hAnsi="Times New Roman" w:cs="Times New Roman"/>
          <w:sz w:val="24"/>
          <w:szCs w:val="24"/>
        </w:rPr>
        <w:t>, riducendo le conseguenze dell’accertamento della sua penale responsabilità</w:t>
      </w:r>
      <w:r w:rsidR="00D64F25">
        <w:rPr>
          <w:rFonts w:ascii="Times New Roman" w:hAnsi="Times New Roman" w:cs="Times New Roman"/>
          <w:sz w:val="24"/>
          <w:szCs w:val="24"/>
        </w:rPr>
        <w:t xml:space="preserve"> (intesa ovviamente nel senso minimo della insussistenza di cause di proscioglimento)</w:t>
      </w:r>
      <w:r w:rsidR="002D587B">
        <w:rPr>
          <w:rFonts w:ascii="Times New Roman" w:hAnsi="Times New Roman" w:cs="Times New Roman"/>
          <w:sz w:val="24"/>
          <w:szCs w:val="24"/>
        </w:rPr>
        <w:t>: quasi collegando alla scelta di tale rito una “immunità” amministrativa dalle conseguenze del reato</w:t>
      </w:r>
      <w:r>
        <w:rPr>
          <w:rFonts w:ascii="Times New Roman" w:hAnsi="Times New Roman" w:cs="Times New Roman"/>
          <w:sz w:val="24"/>
          <w:szCs w:val="24"/>
        </w:rPr>
        <w:t>.</w:t>
      </w:r>
    </w:p>
    <w:p w:rsidR="006C270A" w:rsidRDefault="006C270A" w:rsidP="006C270A">
      <w:pPr>
        <w:jc w:val="both"/>
        <w:rPr>
          <w:rFonts w:ascii="Times New Roman" w:hAnsi="Times New Roman" w:cs="Times New Roman"/>
          <w:sz w:val="24"/>
          <w:szCs w:val="24"/>
        </w:rPr>
      </w:pPr>
      <w:r>
        <w:rPr>
          <w:rFonts w:ascii="Times New Roman" w:hAnsi="Times New Roman" w:cs="Times New Roman"/>
          <w:sz w:val="24"/>
          <w:szCs w:val="24"/>
        </w:rPr>
        <w:t>I profili di criticità sono costituiti dal fatto che tale obiettivo è stato perseguito sacrificando valori</w:t>
      </w:r>
      <w:r w:rsidR="00A93B52">
        <w:rPr>
          <w:rFonts w:ascii="Times New Roman" w:hAnsi="Times New Roman" w:cs="Times New Roman"/>
          <w:sz w:val="24"/>
          <w:szCs w:val="24"/>
        </w:rPr>
        <w:t xml:space="preserve"> affatto secondari, quali</w:t>
      </w:r>
      <w:r>
        <w:rPr>
          <w:rFonts w:ascii="Times New Roman" w:hAnsi="Times New Roman" w:cs="Times New Roman"/>
          <w:sz w:val="24"/>
          <w:szCs w:val="24"/>
        </w:rPr>
        <w:t xml:space="preserve"> la complessiva coerenza dell’ordinamento e la funzionalità dei giudizi </w:t>
      </w:r>
      <w:proofErr w:type="spellStart"/>
      <w:r w:rsidR="00A93B52">
        <w:rPr>
          <w:rFonts w:ascii="Times New Roman" w:hAnsi="Times New Roman" w:cs="Times New Roman"/>
          <w:sz w:val="24"/>
          <w:szCs w:val="24"/>
        </w:rPr>
        <w:t>extrapenali</w:t>
      </w:r>
      <w:proofErr w:type="spellEnd"/>
      <w:r w:rsidR="00A93B52">
        <w:rPr>
          <w:rFonts w:ascii="Times New Roman" w:hAnsi="Times New Roman" w:cs="Times New Roman"/>
          <w:sz w:val="24"/>
          <w:szCs w:val="24"/>
        </w:rPr>
        <w:t xml:space="preserve"> (</w:t>
      </w:r>
      <w:r>
        <w:rPr>
          <w:rFonts w:ascii="Times New Roman" w:hAnsi="Times New Roman" w:cs="Times New Roman"/>
          <w:sz w:val="24"/>
          <w:szCs w:val="24"/>
        </w:rPr>
        <w:t>nei quali rilevi l’accertamento della responsabilità penale</w:t>
      </w:r>
      <w:r w:rsidR="00D64F25">
        <w:rPr>
          <w:rFonts w:ascii="Times New Roman" w:hAnsi="Times New Roman" w:cs="Times New Roman"/>
          <w:sz w:val="24"/>
          <w:szCs w:val="24"/>
        </w:rPr>
        <w:t xml:space="preserve"> -  come sopra inteso - </w:t>
      </w:r>
      <w:r>
        <w:rPr>
          <w:rFonts w:ascii="Times New Roman" w:hAnsi="Times New Roman" w:cs="Times New Roman"/>
          <w:sz w:val="24"/>
          <w:szCs w:val="24"/>
        </w:rPr>
        <w:t xml:space="preserve"> operato con sentenza di applicazione di pena</w:t>
      </w:r>
      <w:r w:rsidR="00A93B52">
        <w:rPr>
          <w:rFonts w:ascii="Times New Roman" w:hAnsi="Times New Roman" w:cs="Times New Roman"/>
          <w:sz w:val="24"/>
          <w:szCs w:val="24"/>
        </w:rPr>
        <w:t>)</w:t>
      </w:r>
      <w:r>
        <w:rPr>
          <w:rFonts w:ascii="Times New Roman" w:hAnsi="Times New Roman" w:cs="Times New Roman"/>
          <w:sz w:val="24"/>
          <w:szCs w:val="24"/>
        </w:rPr>
        <w:t>.</w:t>
      </w:r>
    </w:p>
    <w:p w:rsidR="006C270A" w:rsidRDefault="006C270A" w:rsidP="006C270A">
      <w:pPr>
        <w:jc w:val="both"/>
        <w:rPr>
          <w:rFonts w:ascii="Times New Roman" w:hAnsi="Times New Roman" w:cs="Times New Roman"/>
          <w:sz w:val="24"/>
          <w:szCs w:val="24"/>
        </w:rPr>
      </w:pPr>
      <w:r>
        <w:rPr>
          <w:rFonts w:ascii="Times New Roman" w:hAnsi="Times New Roman" w:cs="Times New Roman"/>
          <w:sz w:val="24"/>
          <w:szCs w:val="24"/>
        </w:rPr>
        <w:t>In</w:t>
      </w:r>
      <w:r w:rsidR="00F95AB8">
        <w:rPr>
          <w:rFonts w:ascii="Times New Roman" w:hAnsi="Times New Roman" w:cs="Times New Roman"/>
          <w:sz w:val="24"/>
          <w:szCs w:val="24"/>
        </w:rPr>
        <w:t>oltre</w:t>
      </w:r>
      <w:r>
        <w:rPr>
          <w:rFonts w:ascii="Times New Roman" w:hAnsi="Times New Roman" w:cs="Times New Roman"/>
          <w:sz w:val="24"/>
          <w:szCs w:val="24"/>
        </w:rPr>
        <w:t xml:space="preserve">, il segnale di politica del diritto che una simile modifica implica, separando </w:t>
      </w:r>
      <w:r w:rsidR="00D64F25">
        <w:rPr>
          <w:rFonts w:ascii="Times New Roman" w:hAnsi="Times New Roman" w:cs="Times New Roman"/>
          <w:sz w:val="24"/>
          <w:szCs w:val="24"/>
        </w:rPr>
        <w:t xml:space="preserve">tale </w:t>
      </w:r>
      <w:r>
        <w:rPr>
          <w:rFonts w:ascii="Times New Roman" w:hAnsi="Times New Roman" w:cs="Times New Roman"/>
          <w:sz w:val="24"/>
          <w:szCs w:val="24"/>
        </w:rPr>
        <w:t xml:space="preserve">accertamento della penale responsabilità dell’imputato dalle sue conseguenze </w:t>
      </w:r>
      <w:proofErr w:type="spellStart"/>
      <w:r>
        <w:rPr>
          <w:rFonts w:ascii="Times New Roman" w:hAnsi="Times New Roman" w:cs="Times New Roman"/>
          <w:sz w:val="24"/>
          <w:szCs w:val="24"/>
        </w:rPr>
        <w:t>extrapenali</w:t>
      </w:r>
      <w:proofErr w:type="spellEnd"/>
      <w:r>
        <w:rPr>
          <w:rFonts w:ascii="Times New Roman" w:hAnsi="Times New Roman" w:cs="Times New Roman"/>
          <w:sz w:val="24"/>
          <w:szCs w:val="24"/>
        </w:rPr>
        <w:t xml:space="preserve">, è un regime di </w:t>
      </w:r>
      <w:proofErr w:type="spellStart"/>
      <w:r w:rsidRPr="00D64F25">
        <w:rPr>
          <w:rFonts w:ascii="Times New Roman" w:hAnsi="Times New Roman" w:cs="Times New Roman"/>
          <w:i/>
          <w:sz w:val="24"/>
          <w:szCs w:val="24"/>
        </w:rPr>
        <w:t>favor</w:t>
      </w:r>
      <w:proofErr w:type="spellEnd"/>
      <w:r>
        <w:rPr>
          <w:rFonts w:ascii="Times New Roman" w:hAnsi="Times New Roman" w:cs="Times New Roman"/>
          <w:sz w:val="24"/>
          <w:szCs w:val="24"/>
        </w:rPr>
        <w:t xml:space="preserve"> per il reo, e dunque un depotenziamento dell’efficacia deterrente </w:t>
      </w:r>
      <w:r w:rsidR="001F0EE5">
        <w:rPr>
          <w:rFonts w:ascii="Times New Roman" w:hAnsi="Times New Roman" w:cs="Times New Roman"/>
          <w:sz w:val="24"/>
          <w:szCs w:val="24"/>
        </w:rPr>
        <w:t xml:space="preserve">dell’incriminazione e </w:t>
      </w:r>
      <w:r>
        <w:rPr>
          <w:rFonts w:ascii="Times New Roman" w:hAnsi="Times New Roman" w:cs="Times New Roman"/>
          <w:sz w:val="24"/>
          <w:szCs w:val="24"/>
        </w:rPr>
        <w:t xml:space="preserve">della </w:t>
      </w:r>
      <w:r w:rsidR="001F0EE5">
        <w:rPr>
          <w:rFonts w:ascii="Times New Roman" w:hAnsi="Times New Roman" w:cs="Times New Roman"/>
          <w:sz w:val="24"/>
          <w:szCs w:val="24"/>
        </w:rPr>
        <w:t>responsabilità</w:t>
      </w:r>
      <w:r>
        <w:rPr>
          <w:rFonts w:ascii="Times New Roman" w:hAnsi="Times New Roman" w:cs="Times New Roman"/>
          <w:sz w:val="24"/>
          <w:szCs w:val="24"/>
        </w:rPr>
        <w:t xml:space="preserve"> penale (</w:t>
      </w:r>
      <w:r w:rsidR="001F0EE5">
        <w:rPr>
          <w:rFonts w:ascii="Times New Roman" w:hAnsi="Times New Roman" w:cs="Times New Roman"/>
          <w:sz w:val="24"/>
          <w:szCs w:val="24"/>
        </w:rPr>
        <w:t>che si vuole privare dei suoi effetti accertativi)</w:t>
      </w:r>
      <w:r w:rsidR="00324F9D">
        <w:rPr>
          <w:rFonts w:ascii="Times New Roman" w:hAnsi="Times New Roman" w:cs="Times New Roman"/>
          <w:sz w:val="24"/>
          <w:szCs w:val="24"/>
        </w:rPr>
        <w:t>: un segnale, quindi, nel senso</w:t>
      </w:r>
      <w:r w:rsidR="00A93B52">
        <w:rPr>
          <w:rFonts w:ascii="Times New Roman" w:hAnsi="Times New Roman" w:cs="Times New Roman"/>
          <w:sz w:val="24"/>
          <w:szCs w:val="24"/>
        </w:rPr>
        <w:t xml:space="preserve"> della immunità </w:t>
      </w:r>
      <w:proofErr w:type="spellStart"/>
      <w:r w:rsidR="00A93B52">
        <w:rPr>
          <w:rFonts w:ascii="Times New Roman" w:hAnsi="Times New Roman" w:cs="Times New Roman"/>
          <w:sz w:val="24"/>
          <w:szCs w:val="24"/>
        </w:rPr>
        <w:t>extrapenale</w:t>
      </w:r>
      <w:proofErr w:type="spellEnd"/>
      <w:r w:rsidR="00A93B52">
        <w:rPr>
          <w:rFonts w:ascii="Times New Roman" w:hAnsi="Times New Roman" w:cs="Times New Roman"/>
          <w:sz w:val="24"/>
          <w:szCs w:val="24"/>
        </w:rPr>
        <w:t xml:space="preserve"> </w:t>
      </w:r>
      <w:r w:rsidR="00B24AC0">
        <w:rPr>
          <w:rFonts w:ascii="Times New Roman" w:hAnsi="Times New Roman" w:cs="Times New Roman"/>
          <w:sz w:val="24"/>
          <w:szCs w:val="24"/>
        </w:rPr>
        <w:t>per l’autore di reati che, anche all’esito del dibattimento, si avvalga dell’applicazione di pena.</w:t>
      </w:r>
      <w:r w:rsidR="00A93B52">
        <w:rPr>
          <w:rFonts w:ascii="Times New Roman" w:hAnsi="Times New Roman" w:cs="Times New Roman"/>
          <w:sz w:val="24"/>
          <w:szCs w:val="24"/>
        </w:rPr>
        <w:t xml:space="preserve"> </w:t>
      </w:r>
    </w:p>
    <w:p w:rsidR="00327C79" w:rsidRDefault="00327C79" w:rsidP="006C270A">
      <w:pPr>
        <w:jc w:val="both"/>
        <w:rPr>
          <w:rFonts w:ascii="Times New Roman" w:hAnsi="Times New Roman" w:cs="Times New Roman"/>
          <w:sz w:val="24"/>
          <w:szCs w:val="24"/>
        </w:rPr>
      </w:pPr>
      <w:r>
        <w:rPr>
          <w:rFonts w:ascii="Times New Roman" w:hAnsi="Times New Roman" w:cs="Times New Roman"/>
          <w:sz w:val="24"/>
          <w:szCs w:val="24"/>
        </w:rPr>
        <w:t xml:space="preserve">Sotto questo profilo la Corte costituzionale, nella sentenza n. 336/2009, aveva chiarito quale fosse, sul piano dei valori in gioco, il significato del riconoscimento di effetti </w:t>
      </w:r>
      <w:proofErr w:type="spellStart"/>
      <w:r>
        <w:rPr>
          <w:rFonts w:ascii="Times New Roman" w:hAnsi="Times New Roman" w:cs="Times New Roman"/>
          <w:sz w:val="24"/>
          <w:szCs w:val="24"/>
        </w:rPr>
        <w:t>extrapenali</w:t>
      </w:r>
      <w:proofErr w:type="spellEnd"/>
      <w:r>
        <w:rPr>
          <w:rFonts w:ascii="Times New Roman" w:hAnsi="Times New Roman" w:cs="Times New Roman"/>
          <w:sz w:val="24"/>
          <w:szCs w:val="24"/>
        </w:rPr>
        <w:t xml:space="preserve"> alla sentenza di patteggiamento</w:t>
      </w:r>
      <w:r w:rsidR="005F7C55">
        <w:rPr>
          <w:rFonts w:ascii="Times New Roman" w:hAnsi="Times New Roman" w:cs="Times New Roman"/>
          <w:sz w:val="24"/>
          <w:szCs w:val="24"/>
        </w:rPr>
        <w:t xml:space="preserve"> </w:t>
      </w:r>
      <w:r w:rsidR="00700541">
        <w:rPr>
          <w:rFonts w:ascii="Times New Roman" w:hAnsi="Times New Roman" w:cs="Times New Roman"/>
          <w:sz w:val="24"/>
          <w:szCs w:val="24"/>
        </w:rPr>
        <w:t xml:space="preserve">(nella fattispecie, si trattava dell’intervento in tal senso </w:t>
      </w:r>
      <w:r w:rsidR="005F7C55">
        <w:rPr>
          <w:rFonts w:ascii="Times New Roman" w:hAnsi="Times New Roman" w:cs="Times New Roman"/>
          <w:sz w:val="24"/>
          <w:szCs w:val="24"/>
        </w:rPr>
        <w:t>operato dalla legge n. 97 del 2001</w:t>
      </w:r>
      <w:r w:rsidR="00D64F25">
        <w:rPr>
          <w:rFonts w:ascii="Times New Roman" w:hAnsi="Times New Roman" w:cs="Times New Roman"/>
          <w:sz w:val="24"/>
          <w:szCs w:val="24"/>
        </w:rPr>
        <w:t xml:space="preserve"> in materia di giudizi disciplinari</w:t>
      </w:r>
      <w:r w:rsidR="00700541">
        <w:rPr>
          <w:rFonts w:ascii="Times New Roman" w:hAnsi="Times New Roman" w:cs="Times New Roman"/>
          <w:sz w:val="24"/>
          <w:szCs w:val="24"/>
        </w:rPr>
        <w:t>)</w:t>
      </w:r>
      <w:r>
        <w:rPr>
          <w:rFonts w:ascii="Times New Roman" w:hAnsi="Times New Roman" w:cs="Times New Roman"/>
          <w:sz w:val="24"/>
          <w:szCs w:val="24"/>
        </w:rPr>
        <w:t>: “</w:t>
      </w:r>
      <w:r w:rsidRPr="00327C79">
        <w:rPr>
          <w:rFonts w:ascii="Times New Roman" w:hAnsi="Times New Roman" w:cs="Times New Roman"/>
          <w:i/>
          <w:sz w:val="24"/>
          <w:szCs w:val="24"/>
        </w:rPr>
        <w:t>il legislatore ha inteso assicurare «non solo una sostanziale coerenza tra sentenza penale ed esito del procedimento amministrativo, ma, soprattutto, una linea di maggiore rigore per garantire il corretto svolgimento dell’azione amministrativa» (v. sentenza n. 186 del 2004). Un rigore, d’altronde, espressamente evocato nei lavori preparatori della citata legge n. 97 del 2001, al punto che lo stesso relatore della iniziativa legislativa non mancò di sottolineare come la opzione prescelta, «pur incidendo negativamente sulla portata deflattiva del contenzioso penale dell’istituto del patteggiamento, (aveva) il sicuro e positivo effetto di impedire che soggetti la cui credibilità è minata dall’applicazione della pena patteggiata, (potessero) continuare a rivestire responsabilità nelle amministrazioni pubbliche»</w:t>
      </w:r>
      <w:r>
        <w:rPr>
          <w:rFonts w:ascii="Times New Roman" w:hAnsi="Times New Roman" w:cs="Times New Roman"/>
          <w:sz w:val="24"/>
          <w:szCs w:val="24"/>
        </w:rPr>
        <w:t>”</w:t>
      </w:r>
      <w:r w:rsidRPr="00327C79">
        <w:rPr>
          <w:rFonts w:ascii="Times New Roman" w:hAnsi="Times New Roman" w:cs="Times New Roman"/>
          <w:sz w:val="24"/>
          <w:szCs w:val="24"/>
        </w:rPr>
        <w:t>.</w:t>
      </w:r>
    </w:p>
    <w:p w:rsidR="00324F9D" w:rsidRDefault="00324F9D" w:rsidP="006C270A">
      <w:pPr>
        <w:jc w:val="both"/>
        <w:rPr>
          <w:rFonts w:ascii="Times New Roman" w:hAnsi="Times New Roman" w:cs="Times New Roman"/>
          <w:sz w:val="24"/>
          <w:szCs w:val="24"/>
        </w:rPr>
      </w:pPr>
      <w:r>
        <w:rPr>
          <w:rFonts w:ascii="Times New Roman" w:hAnsi="Times New Roman" w:cs="Times New Roman"/>
          <w:sz w:val="24"/>
          <w:szCs w:val="24"/>
        </w:rPr>
        <w:t>Sempre</w:t>
      </w:r>
      <w:r w:rsidR="00E9683E">
        <w:rPr>
          <w:rFonts w:ascii="Times New Roman" w:hAnsi="Times New Roman" w:cs="Times New Roman"/>
          <w:sz w:val="24"/>
          <w:szCs w:val="24"/>
        </w:rPr>
        <w:t xml:space="preserve"> che, però,</w:t>
      </w:r>
      <w:r>
        <w:rPr>
          <w:rFonts w:ascii="Times New Roman" w:hAnsi="Times New Roman" w:cs="Times New Roman"/>
          <w:sz w:val="24"/>
          <w:szCs w:val="24"/>
        </w:rPr>
        <w:t xml:space="preserve"> l’ambizioso obiettivo del legislatore</w:t>
      </w:r>
      <w:r w:rsidR="00E9683E">
        <w:rPr>
          <w:rFonts w:ascii="Times New Roman" w:hAnsi="Times New Roman" w:cs="Times New Roman"/>
          <w:sz w:val="24"/>
          <w:szCs w:val="24"/>
        </w:rPr>
        <w:t xml:space="preserve"> – che, tra l’altro, con questa disposizione ha inteso </w:t>
      </w:r>
      <w:r w:rsidR="00F049F2">
        <w:rPr>
          <w:rFonts w:ascii="Times New Roman" w:hAnsi="Times New Roman" w:cs="Times New Roman"/>
          <w:sz w:val="24"/>
          <w:szCs w:val="24"/>
        </w:rPr>
        <w:t>intervenire sul delicato tema del</w:t>
      </w:r>
      <w:r w:rsidR="00E9683E">
        <w:rPr>
          <w:rFonts w:ascii="Times New Roman" w:hAnsi="Times New Roman" w:cs="Times New Roman"/>
          <w:sz w:val="24"/>
          <w:szCs w:val="24"/>
        </w:rPr>
        <w:t xml:space="preserve"> regime della prova nel processo civile, in quello amministrativo e in quello tributario - </w:t>
      </w:r>
      <w:r>
        <w:rPr>
          <w:rFonts w:ascii="Times New Roman" w:hAnsi="Times New Roman" w:cs="Times New Roman"/>
          <w:sz w:val="24"/>
          <w:szCs w:val="24"/>
        </w:rPr>
        <w:t xml:space="preserve"> sia in concreto praticabile.</w:t>
      </w:r>
    </w:p>
    <w:p w:rsidR="00700541" w:rsidRDefault="00700541" w:rsidP="006C270A">
      <w:pPr>
        <w:jc w:val="both"/>
        <w:rPr>
          <w:rFonts w:ascii="Times New Roman" w:hAnsi="Times New Roman" w:cs="Times New Roman"/>
          <w:sz w:val="24"/>
          <w:szCs w:val="24"/>
        </w:rPr>
      </w:pPr>
      <w:r>
        <w:rPr>
          <w:rFonts w:ascii="Times New Roman" w:hAnsi="Times New Roman" w:cs="Times New Roman"/>
          <w:sz w:val="24"/>
          <w:szCs w:val="24"/>
        </w:rPr>
        <w:t xml:space="preserve">Ci si deve infatti chiedere se esistano </w:t>
      </w:r>
      <w:r w:rsidRPr="00700541">
        <w:rPr>
          <w:rFonts w:ascii="Times New Roman" w:hAnsi="Times New Roman" w:cs="Times New Roman"/>
          <w:sz w:val="24"/>
          <w:szCs w:val="24"/>
        </w:rPr>
        <w:t>dei limiti (anche costituzionali) alle oscillazioni del legislatore (più volte intervenuto in materia, non sempre nella stessa direzione) fra politiche di rigore e politiche premiali</w:t>
      </w:r>
      <w:r>
        <w:rPr>
          <w:rFonts w:ascii="Times New Roman" w:hAnsi="Times New Roman" w:cs="Times New Roman"/>
          <w:sz w:val="24"/>
          <w:szCs w:val="24"/>
        </w:rPr>
        <w:t>.</w:t>
      </w:r>
    </w:p>
    <w:p w:rsidR="00E9683E" w:rsidRDefault="00E33DE7" w:rsidP="006C270A">
      <w:pPr>
        <w:jc w:val="both"/>
        <w:rPr>
          <w:rFonts w:ascii="Times New Roman" w:hAnsi="Times New Roman" w:cs="Times New Roman"/>
          <w:sz w:val="24"/>
          <w:szCs w:val="24"/>
        </w:rPr>
      </w:pPr>
      <w:r>
        <w:rPr>
          <w:rFonts w:ascii="Times New Roman" w:hAnsi="Times New Roman" w:cs="Times New Roman"/>
          <w:sz w:val="24"/>
          <w:szCs w:val="24"/>
        </w:rPr>
        <w:t>4</w:t>
      </w:r>
      <w:r w:rsidR="00E9683E">
        <w:rPr>
          <w:rFonts w:ascii="Times New Roman" w:hAnsi="Times New Roman" w:cs="Times New Roman"/>
          <w:sz w:val="24"/>
          <w:szCs w:val="24"/>
        </w:rPr>
        <w:t xml:space="preserve">. Un primo problema </w:t>
      </w:r>
      <w:r w:rsidR="00C51935">
        <w:rPr>
          <w:rFonts w:ascii="Times New Roman" w:hAnsi="Times New Roman" w:cs="Times New Roman"/>
          <w:sz w:val="24"/>
          <w:szCs w:val="24"/>
        </w:rPr>
        <w:t>riguarda il coordinamento fra disciplina del procedimento amministrativo e disciplina del processo.</w:t>
      </w:r>
    </w:p>
    <w:p w:rsidR="00C51935" w:rsidRDefault="00C51935" w:rsidP="006C270A">
      <w:pPr>
        <w:jc w:val="both"/>
        <w:rPr>
          <w:rFonts w:ascii="Times New Roman" w:hAnsi="Times New Roman" w:cs="Times New Roman"/>
          <w:sz w:val="24"/>
          <w:szCs w:val="24"/>
        </w:rPr>
      </w:pPr>
      <w:r>
        <w:rPr>
          <w:rFonts w:ascii="Times New Roman" w:hAnsi="Times New Roman" w:cs="Times New Roman"/>
          <w:sz w:val="24"/>
          <w:szCs w:val="24"/>
        </w:rPr>
        <w:t>La preclusione a desumere elementi di prova dalla sentenza patteggiata è prevista solo per i procedimenti sanzionatori.</w:t>
      </w:r>
    </w:p>
    <w:p w:rsidR="00C51935" w:rsidRDefault="00C51935" w:rsidP="006C270A">
      <w:pPr>
        <w:jc w:val="both"/>
        <w:rPr>
          <w:rFonts w:ascii="Times New Roman" w:hAnsi="Times New Roman" w:cs="Times New Roman"/>
          <w:sz w:val="24"/>
          <w:szCs w:val="24"/>
        </w:rPr>
      </w:pPr>
      <w:r>
        <w:rPr>
          <w:rFonts w:ascii="Times New Roman" w:hAnsi="Times New Roman" w:cs="Times New Roman"/>
          <w:sz w:val="24"/>
          <w:szCs w:val="24"/>
        </w:rPr>
        <w:t>Per ogni altra categoria essa non opera.</w:t>
      </w:r>
    </w:p>
    <w:p w:rsidR="00C51935" w:rsidRDefault="00C51935" w:rsidP="006C270A">
      <w:pPr>
        <w:jc w:val="both"/>
        <w:rPr>
          <w:rFonts w:ascii="Times New Roman" w:hAnsi="Times New Roman" w:cs="Times New Roman"/>
          <w:sz w:val="24"/>
          <w:szCs w:val="24"/>
        </w:rPr>
      </w:pPr>
      <w:r>
        <w:rPr>
          <w:rFonts w:ascii="Times New Roman" w:hAnsi="Times New Roman" w:cs="Times New Roman"/>
          <w:sz w:val="24"/>
          <w:szCs w:val="24"/>
        </w:rPr>
        <w:t xml:space="preserve">Dunque in materia di prevenzione antimafia la Prefettura può continuare a porre a fondamento dei propri provvedimenti </w:t>
      </w:r>
      <w:proofErr w:type="spellStart"/>
      <w:r>
        <w:rPr>
          <w:rFonts w:ascii="Times New Roman" w:hAnsi="Times New Roman" w:cs="Times New Roman"/>
          <w:sz w:val="24"/>
          <w:szCs w:val="24"/>
        </w:rPr>
        <w:t>interdittivi</w:t>
      </w:r>
      <w:proofErr w:type="spellEnd"/>
      <w:r>
        <w:rPr>
          <w:rFonts w:ascii="Times New Roman" w:hAnsi="Times New Roman" w:cs="Times New Roman"/>
          <w:sz w:val="24"/>
          <w:szCs w:val="24"/>
        </w:rPr>
        <w:t xml:space="preserve"> sentenze di patteggiamento, ma il giudice amministrativo davanti al quale l’interessato ricorra non può tenerne conto (ove venga contestata la sussistenza di un sufficiente quadro indiziario, tale da sorreggere la valutazione inferenziale relativa alla prognosi di infiltrazione).</w:t>
      </w:r>
    </w:p>
    <w:p w:rsidR="00700541" w:rsidRDefault="00C51935" w:rsidP="00700541">
      <w:pPr>
        <w:jc w:val="both"/>
        <w:rPr>
          <w:rFonts w:ascii="Times New Roman" w:hAnsi="Times New Roman" w:cs="Times New Roman"/>
          <w:sz w:val="24"/>
          <w:szCs w:val="24"/>
        </w:rPr>
      </w:pPr>
      <w:r>
        <w:rPr>
          <w:rFonts w:ascii="Times New Roman" w:hAnsi="Times New Roman" w:cs="Times New Roman"/>
          <w:sz w:val="24"/>
          <w:szCs w:val="24"/>
        </w:rPr>
        <w:t>È un disallineamento che può porre problemi</w:t>
      </w:r>
      <w:r w:rsidR="005F7C55">
        <w:rPr>
          <w:rFonts w:ascii="Times New Roman" w:hAnsi="Times New Roman" w:cs="Times New Roman"/>
          <w:sz w:val="24"/>
          <w:szCs w:val="24"/>
        </w:rPr>
        <w:t xml:space="preserve"> su</w:t>
      </w:r>
      <w:r w:rsidR="00700541">
        <w:rPr>
          <w:rFonts w:ascii="Times New Roman" w:hAnsi="Times New Roman" w:cs="Times New Roman"/>
          <w:sz w:val="24"/>
          <w:szCs w:val="24"/>
        </w:rPr>
        <w:t>l piano della</w:t>
      </w:r>
      <w:r w:rsidR="005F7C55">
        <w:rPr>
          <w:rFonts w:ascii="Times New Roman" w:hAnsi="Times New Roman" w:cs="Times New Roman"/>
          <w:sz w:val="24"/>
          <w:szCs w:val="24"/>
        </w:rPr>
        <w:t xml:space="preserve"> possibile divaricazione fra regime sostanziale delle misure amministrative di prevenzione antimafia e regime del sindacato giurisdizionale</w:t>
      </w:r>
      <w:r w:rsidR="00700541">
        <w:rPr>
          <w:rFonts w:ascii="Times New Roman" w:hAnsi="Times New Roman" w:cs="Times New Roman"/>
          <w:sz w:val="24"/>
          <w:szCs w:val="24"/>
        </w:rPr>
        <w:t>.</w:t>
      </w:r>
    </w:p>
    <w:p w:rsidR="00C51935" w:rsidRPr="005F7C55" w:rsidRDefault="00700541" w:rsidP="00700541">
      <w:pPr>
        <w:jc w:val="both"/>
        <w:rPr>
          <w:rFonts w:ascii="Times New Roman" w:hAnsi="Times New Roman" w:cs="Times New Roman"/>
          <w:sz w:val="24"/>
          <w:szCs w:val="24"/>
        </w:rPr>
      </w:pPr>
      <w:r>
        <w:rPr>
          <w:rFonts w:ascii="Times New Roman" w:hAnsi="Times New Roman" w:cs="Times New Roman"/>
          <w:sz w:val="24"/>
          <w:szCs w:val="24"/>
        </w:rPr>
        <w:t>I</w:t>
      </w:r>
      <w:r w:rsidR="005F7C55">
        <w:rPr>
          <w:rFonts w:ascii="Times New Roman" w:hAnsi="Times New Roman" w:cs="Times New Roman"/>
          <w:sz w:val="24"/>
          <w:szCs w:val="24"/>
        </w:rPr>
        <w:t xml:space="preserve">n materia di tutela penale della pubblica amministrazione, ad esempio, la legge </w:t>
      </w:r>
      <w:r w:rsidR="005F7C55" w:rsidRPr="005F7C55">
        <w:rPr>
          <w:rFonts w:ascii="Times New Roman" w:hAnsi="Times New Roman" w:cs="Times New Roman"/>
          <w:sz w:val="24"/>
          <w:szCs w:val="24"/>
        </w:rPr>
        <w:t>19 gennaio 2019, n. 3</w:t>
      </w:r>
      <w:r w:rsidR="005F7C55">
        <w:rPr>
          <w:rFonts w:ascii="Times New Roman" w:hAnsi="Times New Roman" w:cs="Times New Roman"/>
          <w:sz w:val="24"/>
          <w:szCs w:val="24"/>
        </w:rPr>
        <w:t xml:space="preserve"> (c.d. </w:t>
      </w:r>
      <w:proofErr w:type="spellStart"/>
      <w:r w:rsidR="005F7C55">
        <w:rPr>
          <w:rFonts w:ascii="Times New Roman" w:hAnsi="Times New Roman" w:cs="Times New Roman"/>
          <w:sz w:val="24"/>
          <w:szCs w:val="24"/>
        </w:rPr>
        <w:t>spazzacorrotti</w:t>
      </w:r>
      <w:proofErr w:type="spellEnd"/>
      <w:r w:rsidR="005F7C55">
        <w:rPr>
          <w:rFonts w:ascii="Times New Roman" w:hAnsi="Times New Roman" w:cs="Times New Roman"/>
          <w:sz w:val="24"/>
          <w:szCs w:val="24"/>
        </w:rPr>
        <w:t>) modificò la disciplina della sentenza di patteggiamento in materia di reati contro la pubblica amministrazione, essendosi il legislatore reso conto che l’inasprimento delle pena previste per tali reati si rivelava strumento in</w:t>
      </w:r>
      <w:r>
        <w:rPr>
          <w:rFonts w:ascii="Times New Roman" w:hAnsi="Times New Roman" w:cs="Times New Roman"/>
          <w:sz w:val="24"/>
          <w:szCs w:val="24"/>
        </w:rPr>
        <w:t>efficace</w:t>
      </w:r>
      <w:r w:rsidR="005F7C55">
        <w:rPr>
          <w:rFonts w:ascii="Times New Roman" w:hAnsi="Times New Roman" w:cs="Times New Roman"/>
          <w:sz w:val="24"/>
          <w:szCs w:val="24"/>
        </w:rPr>
        <w:t xml:space="preserve"> </w:t>
      </w:r>
      <w:r>
        <w:rPr>
          <w:rFonts w:ascii="Times New Roman" w:hAnsi="Times New Roman" w:cs="Times New Roman"/>
          <w:sz w:val="24"/>
          <w:szCs w:val="24"/>
        </w:rPr>
        <w:t xml:space="preserve">sul piano </w:t>
      </w:r>
      <w:proofErr w:type="spellStart"/>
      <w:r>
        <w:rPr>
          <w:rFonts w:ascii="Times New Roman" w:hAnsi="Times New Roman" w:cs="Times New Roman"/>
          <w:sz w:val="24"/>
          <w:szCs w:val="24"/>
        </w:rPr>
        <w:t>dela</w:t>
      </w:r>
      <w:proofErr w:type="spellEnd"/>
      <w:r w:rsidR="005F7C55">
        <w:rPr>
          <w:rFonts w:ascii="Times New Roman" w:hAnsi="Times New Roman" w:cs="Times New Roman"/>
          <w:sz w:val="24"/>
          <w:szCs w:val="24"/>
        </w:rPr>
        <w:t xml:space="preserve"> tutela penale degli interessi pubblici ove si fosse consentito agli autori di tali reati che avesse</w:t>
      </w:r>
      <w:r>
        <w:rPr>
          <w:rFonts w:ascii="Times New Roman" w:hAnsi="Times New Roman" w:cs="Times New Roman"/>
          <w:sz w:val="24"/>
          <w:szCs w:val="24"/>
        </w:rPr>
        <w:t>ro</w:t>
      </w:r>
      <w:r w:rsidR="005F7C55">
        <w:rPr>
          <w:rFonts w:ascii="Times New Roman" w:hAnsi="Times New Roman" w:cs="Times New Roman"/>
          <w:sz w:val="24"/>
          <w:szCs w:val="24"/>
        </w:rPr>
        <w:t xml:space="preserve"> patteggiato di eludere le conseguenze del reato diverse dalla pena applicata.   </w:t>
      </w:r>
    </w:p>
    <w:p w:rsidR="00F95AB8" w:rsidRDefault="00F95AB8" w:rsidP="006C270A">
      <w:pPr>
        <w:jc w:val="both"/>
        <w:rPr>
          <w:rFonts w:ascii="Times New Roman" w:hAnsi="Times New Roman" w:cs="Times New Roman"/>
          <w:sz w:val="24"/>
          <w:szCs w:val="24"/>
        </w:rPr>
      </w:pPr>
      <w:r>
        <w:rPr>
          <w:rFonts w:ascii="Times New Roman" w:hAnsi="Times New Roman" w:cs="Times New Roman"/>
          <w:sz w:val="24"/>
          <w:szCs w:val="24"/>
        </w:rPr>
        <w:t>5. Vi è poi un evidente problema di disparità di trattamento.</w:t>
      </w:r>
    </w:p>
    <w:p w:rsidR="00F95AB8" w:rsidRDefault="003D707D" w:rsidP="006C270A">
      <w:pPr>
        <w:jc w:val="both"/>
        <w:rPr>
          <w:rFonts w:ascii="Times New Roman" w:hAnsi="Times New Roman" w:cs="Times New Roman"/>
          <w:sz w:val="24"/>
          <w:szCs w:val="24"/>
        </w:rPr>
      </w:pPr>
      <w:r>
        <w:rPr>
          <w:rFonts w:ascii="Times New Roman" w:hAnsi="Times New Roman" w:cs="Times New Roman"/>
          <w:sz w:val="24"/>
          <w:szCs w:val="24"/>
        </w:rPr>
        <w:t>La commissione di u</w:t>
      </w:r>
      <w:r w:rsidR="00F95AB8">
        <w:rPr>
          <w:rFonts w:ascii="Times New Roman" w:hAnsi="Times New Roman" w:cs="Times New Roman"/>
          <w:sz w:val="24"/>
          <w:szCs w:val="24"/>
        </w:rPr>
        <w:t>n medesimo reato</w:t>
      </w:r>
      <w:r w:rsidR="00494526">
        <w:rPr>
          <w:rFonts w:ascii="Times New Roman" w:hAnsi="Times New Roman" w:cs="Times New Roman"/>
          <w:sz w:val="24"/>
          <w:szCs w:val="24"/>
        </w:rPr>
        <w:t xml:space="preserve"> vincola l’esito del giudizio amministrativo relativo alla legittimità (dei presupposti) di un provvedimento (la revoca di una licenza, un permesso di soggiorno, un’informativa antimafia), a seconda del rito prescelto in sede di accertamento della responsabilità penale.</w:t>
      </w:r>
    </w:p>
    <w:p w:rsidR="00494526" w:rsidRDefault="00494526" w:rsidP="006C270A">
      <w:pPr>
        <w:jc w:val="both"/>
        <w:rPr>
          <w:rFonts w:ascii="Times New Roman" w:hAnsi="Times New Roman" w:cs="Times New Roman"/>
          <w:sz w:val="24"/>
          <w:szCs w:val="24"/>
        </w:rPr>
      </w:pPr>
      <w:r>
        <w:rPr>
          <w:rFonts w:ascii="Times New Roman" w:hAnsi="Times New Roman" w:cs="Times New Roman"/>
          <w:sz w:val="24"/>
          <w:szCs w:val="24"/>
        </w:rPr>
        <w:t>Il disvalore del fatto è il medesimo, ma le conseguenze in termini di compatibilità con la cura dell’interesse pubblico (come definito dal paradigma normativo regolante l’esercizio del potere) sono diverse ed opposte.</w:t>
      </w:r>
    </w:p>
    <w:p w:rsidR="00494526" w:rsidRDefault="00494526" w:rsidP="006C270A">
      <w:pPr>
        <w:jc w:val="both"/>
        <w:rPr>
          <w:rFonts w:ascii="Times New Roman" w:hAnsi="Times New Roman" w:cs="Times New Roman"/>
          <w:sz w:val="24"/>
          <w:szCs w:val="24"/>
        </w:rPr>
      </w:pPr>
      <w:r>
        <w:rPr>
          <w:rFonts w:ascii="Times New Roman" w:hAnsi="Times New Roman" w:cs="Times New Roman"/>
          <w:sz w:val="24"/>
          <w:szCs w:val="24"/>
        </w:rPr>
        <w:t>Si dirà che la disparità di trattamento è giustificata dal risparmio di attività processuali in tal modo ottenuta nel processo penale.</w:t>
      </w:r>
    </w:p>
    <w:p w:rsidR="00494526" w:rsidRDefault="00494526" w:rsidP="00494526">
      <w:pPr>
        <w:jc w:val="both"/>
        <w:rPr>
          <w:rFonts w:ascii="Times New Roman" w:hAnsi="Times New Roman" w:cs="Times New Roman"/>
          <w:sz w:val="24"/>
          <w:szCs w:val="24"/>
        </w:rPr>
      </w:pPr>
      <w:r>
        <w:rPr>
          <w:rFonts w:ascii="Times New Roman" w:hAnsi="Times New Roman" w:cs="Times New Roman"/>
          <w:sz w:val="24"/>
          <w:szCs w:val="24"/>
        </w:rPr>
        <w:t>In realtà, un simile sacrificio di razionalità sembra anche non proporzionato al beneficio avuto di mira, posto che il regime della (in)efficacia della sentenza di patteggiamento opera “</w:t>
      </w:r>
      <w:r w:rsidRPr="007F54D7">
        <w:rPr>
          <w:rFonts w:ascii="Times New Roman" w:hAnsi="Times New Roman" w:cs="Times New Roman"/>
          <w:i/>
          <w:sz w:val="24"/>
          <w:szCs w:val="24"/>
        </w:rPr>
        <w:t>anche quando è pronunciata dopo la chiusura del dibattimento</w:t>
      </w:r>
      <w:r>
        <w:rPr>
          <w:rFonts w:ascii="Times New Roman" w:hAnsi="Times New Roman" w:cs="Times New Roman"/>
          <w:sz w:val="24"/>
          <w:szCs w:val="24"/>
        </w:rPr>
        <w:t xml:space="preserve">”: dunque, quando non vi è stato alcun apprezzabile risparmio di attività e di impegno processuale nel </w:t>
      </w:r>
      <w:r w:rsidR="00D838D6">
        <w:rPr>
          <w:rFonts w:ascii="Times New Roman" w:hAnsi="Times New Roman" w:cs="Times New Roman"/>
          <w:sz w:val="24"/>
          <w:szCs w:val="24"/>
        </w:rPr>
        <w:t>giudizio</w:t>
      </w:r>
      <w:r>
        <w:rPr>
          <w:rFonts w:ascii="Times New Roman" w:hAnsi="Times New Roman" w:cs="Times New Roman"/>
          <w:sz w:val="24"/>
          <w:szCs w:val="24"/>
        </w:rPr>
        <w:t xml:space="preserve"> penale che giustificherebbe </w:t>
      </w:r>
      <w:r w:rsidR="005C7008">
        <w:rPr>
          <w:rFonts w:ascii="Times New Roman" w:hAnsi="Times New Roman" w:cs="Times New Roman"/>
          <w:sz w:val="24"/>
          <w:szCs w:val="24"/>
        </w:rPr>
        <w:t xml:space="preserve">– se non sul piano della rinuncia alle successive impugnazioni - </w:t>
      </w:r>
      <w:r>
        <w:rPr>
          <w:rFonts w:ascii="Times New Roman" w:hAnsi="Times New Roman" w:cs="Times New Roman"/>
          <w:sz w:val="24"/>
          <w:szCs w:val="24"/>
        </w:rPr>
        <w:t>il sacrificio dei valori</w:t>
      </w:r>
      <w:r w:rsidR="00D825B7">
        <w:rPr>
          <w:rFonts w:ascii="Times New Roman" w:hAnsi="Times New Roman" w:cs="Times New Roman"/>
          <w:sz w:val="24"/>
          <w:szCs w:val="24"/>
        </w:rPr>
        <w:t xml:space="preserve"> </w:t>
      </w:r>
      <w:r>
        <w:rPr>
          <w:rFonts w:ascii="Times New Roman" w:hAnsi="Times New Roman" w:cs="Times New Roman"/>
          <w:sz w:val="24"/>
          <w:szCs w:val="24"/>
        </w:rPr>
        <w:t>e degli interessi antagonisti</w:t>
      </w:r>
      <w:r w:rsidR="00FF29AD">
        <w:rPr>
          <w:rFonts w:ascii="Times New Roman" w:hAnsi="Times New Roman" w:cs="Times New Roman"/>
          <w:sz w:val="24"/>
          <w:szCs w:val="24"/>
        </w:rPr>
        <w:t xml:space="preserve"> (ammesso che il sindacato giurisdizionale sulla cura dell’interesse pubblico che si compie nel processo amministrativo possa essere sacrificato, secondo un canone di proporzionalità, per deflazionare il processo penale).</w:t>
      </w:r>
    </w:p>
    <w:p w:rsidR="005C7008" w:rsidRDefault="005C7008" w:rsidP="00494526">
      <w:pPr>
        <w:jc w:val="both"/>
        <w:rPr>
          <w:rFonts w:ascii="Times New Roman" w:hAnsi="Times New Roman" w:cs="Times New Roman"/>
          <w:sz w:val="24"/>
          <w:szCs w:val="24"/>
        </w:rPr>
      </w:pPr>
      <w:r>
        <w:rPr>
          <w:rFonts w:ascii="Times New Roman" w:hAnsi="Times New Roman" w:cs="Times New Roman"/>
          <w:sz w:val="24"/>
          <w:szCs w:val="24"/>
        </w:rPr>
        <w:t xml:space="preserve">Il fondamento giuridico e razionale della esclusione dell’efficacia </w:t>
      </w:r>
      <w:proofErr w:type="spellStart"/>
      <w:r>
        <w:rPr>
          <w:rFonts w:ascii="Times New Roman" w:hAnsi="Times New Roman" w:cs="Times New Roman"/>
          <w:sz w:val="24"/>
          <w:szCs w:val="24"/>
        </w:rPr>
        <w:t>extrapenale</w:t>
      </w:r>
      <w:proofErr w:type="spellEnd"/>
      <w:r>
        <w:rPr>
          <w:rFonts w:ascii="Times New Roman" w:hAnsi="Times New Roman" w:cs="Times New Roman"/>
          <w:sz w:val="24"/>
          <w:szCs w:val="24"/>
        </w:rPr>
        <w:t xml:space="preserve"> della sentenza di patteggiamento</w:t>
      </w:r>
      <w:r w:rsidR="00595A4E">
        <w:rPr>
          <w:rFonts w:ascii="Times New Roman" w:hAnsi="Times New Roman" w:cs="Times New Roman"/>
          <w:sz w:val="24"/>
          <w:szCs w:val="24"/>
        </w:rPr>
        <w:t xml:space="preserve">, secondo la dottrina </w:t>
      </w:r>
      <w:proofErr w:type="spellStart"/>
      <w:r w:rsidR="00595A4E">
        <w:rPr>
          <w:rFonts w:ascii="Times New Roman" w:hAnsi="Times New Roman" w:cs="Times New Roman"/>
          <w:sz w:val="24"/>
          <w:szCs w:val="24"/>
        </w:rPr>
        <w:t>processualpenalistica</w:t>
      </w:r>
      <w:proofErr w:type="spellEnd"/>
      <w:r w:rsidR="00595A4E">
        <w:rPr>
          <w:rFonts w:ascii="Times New Roman" w:hAnsi="Times New Roman" w:cs="Times New Roman"/>
          <w:sz w:val="24"/>
          <w:szCs w:val="24"/>
        </w:rPr>
        <w:t xml:space="preserve">, </w:t>
      </w:r>
      <w:r>
        <w:rPr>
          <w:rFonts w:ascii="Times New Roman" w:hAnsi="Times New Roman" w:cs="Times New Roman"/>
          <w:sz w:val="24"/>
          <w:szCs w:val="24"/>
        </w:rPr>
        <w:t>non risiede infatti nel suo essere “</w:t>
      </w:r>
      <w:proofErr w:type="spellStart"/>
      <w:r>
        <w:rPr>
          <w:rFonts w:ascii="Times New Roman" w:hAnsi="Times New Roman" w:cs="Times New Roman"/>
          <w:sz w:val="24"/>
          <w:szCs w:val="24"/>
        </w:rPr>
        <w:t>acognitiva</w:t>
      </w:r>
      <w:proofErr w:type="spellEnd"/>
      <w:r>
        <w:rPr>
          <w:rFonts w:ascii="Times New Roman" w:hAnsi="Times New Roman" w:cs="Times New Roman"/>
          <w:sz w:val="24"/>
          <w:szCs w:val="24"/>
        </w:rPr>
        <w:t>”, ma esclusivamente in una logica premiale.</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p>
    <w:p w:rsidR="00494526" w:rsidRDefault="00595A4E" w:rsidP="006C270A">
      <w:pPr>
        <w:jc w:val="both"/>
        <w:rPr>
          <w:rFonts w:ascii="Times New Roman" w:hAnsi="Times New Roman" w:cs="Times New Roman"/>
          <w:sz w:val="24"/>
          <w:szCs w:val="24"/>
        </w:rPr>
      </w:pPr>
      <w:r>
        <w:rPr>
          <w:rFonts w:ascii="Times New Roman" w:hAnsi="Times New Roman" w:cs="Times New Roman"/>
          <w:sz w:val="24"/>
          <w:szCs w:val="24"/>
        </w:rPr>
        <w:t>Tanto più se la sentenza è stata resa all’esito del giudizio: “</w:t>
      </w:r>
      <w:r w:rsidRPr="00595A4E">
        <w:rPr>
          <w:rFonts w:ascii="Times New Roman" w:hAnsi="Times New Roman" w:cs="Times New Roman"/>
          <w:i/>
          <w:sz w:val="24"/>
          <w:szCs w:val="24"/>
        </w:rPr>
        <w:t xml:space="preserve">Invero, quand'anche si ritenessero estranei al contenuto della sentenza di «patteggiamento» l'accertamento della responsabilità dell'imputato e la relativa declaratoria, corrisponde a un punto fermo che la pronuncia applicativa di pena dopo la chiusura del dibattimento - in quanto fondata su una </w:t>
      </w:r>
      <w:proofErr w:type="spellStart"/>
      <w:r w:rsidRPr="00595A4E">
        <w:rPr>
          <w:rFonts w:ascii="Times New Roman" w:hAnsi="Times New Roman" w:cs="Times New Roman"/>
          <w:i/>
          <w:sz w:val="24"/>
          <w:szCs w:val="24"/>
        </w:rPr>
        <w:t>plena</w:t>
      </w:r>
      <w:proofErr w:type="spellEnd"/>
      <w:r w:rsidRPr="00595A4E">
        <w:rPr>
          <w:rFonts w:ascii="Times New Roman" w:hAnsi="Times New Roman" w:cs="Times New Roman"/>
          <w:i/>
          <w:sz w:val="24"/>
          <w:szCs w:val="24"/>
        </w:rPr>
        <w:t xml:space="preserve"> </w:t>
      </w:r>
      <w:proofErr w:type="spellStart"/>
      <w:r w:rsidRPr="00595A4E">
        <w:rPr>
          <w:rFonts w:ascii="Times New Roman" w:hAnsi="Times New Roman" w:cs="Times New Roman"/>
          <w:i/>
          <w:sz w:val="24"/>
          <w:szCs w:val="24"/>
        </w:rPr>
        <w:t>cognitio</w:t>
      </w:r>
      <w:proofErr w:type="spellEnd"/>
      <w:r w:rsidRPr="00595A4E">
        <w:rPr>
          <w:rFonts w:ascii="Times New Roman" w:hAnsi="Times New Roman" w:cs="Times New Roman"/>
          <w:i/>
          <w:sz w:val="24"/>
          <w:szCs w:val="24"/>
        </w:rPr>
        <w:t xml:space="preserve"> - manifesta connotazioni diverse rispetto a quella ex art. 444 tout court, posto che la stessa comporta di sicuro un implicito riconoscimento di responsabilità ben oltre i limiti segnati, ai fini del proscioglimento, dall'art. 129 c.p.p.. Donde la conseguenza che, per tali tipologie di decisioni, l'esclusione degli effetti </w:t>
      </w:r>
      <w:proofErr w:type="spellStart"/>
      <w:r w:rsidRPr="00595A4E">
        <w:rPr>
          <w:rFonts w:ascii="Times New Roman" w:hAnsi="Times New Roman" w:cs="Times New Roman"/>
          <w:i/>
          <w:sz w:val="24"/>
          <w:szCs w:val="24"/>
        </w:rPr>
        <w:t>extrapenali</w:t>
      </w:r>
      <w:proofErr w:type="spellEnd"/>
      <w:r w:rsidRPr="00595A4E">
        <w:rPr>
          <w:rFonts w:ascii="Times New Roman" w:hAnsi="Times New Roman" w:cs="Times New Roman"/>
          <w:i/>
          <w:sz w:val="24"/>
          <w:szCs w:val="24"/>
        </w:rPr>
        <w:t xml:space="preserve"> del giudicato non può che essere direttamente (ed unicamente) correlata alle caratteristiche premiali dell'istituto, a nulla rilevando il richiamo a un diverso fondamento razionale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w:t>
      </w:r>
    </w:p>
    <w:p w:rsidR="001202FB" w:rsidRDefault="00595A4E" w:rsidP="006C270A">
      <w:pPr>
        <w:jc w:val="both"/>
        <w:rPr>
          <w:rFonts w:ascii="Times New Roman" w:hAnsi="Times New Roman" w:cs="Times New Roman"/>
          <w:sz w:val="24"/>
          <w:szCs w:val="24"/>
        </w:rPr>
      </w:pPr>
      <w:r>
        <w:rPr>
          <w:rFonts w:ascii="Times New Roman" w:hAnsi="Times New Roman" w:cs="Times New Roman"/>
          <w:sz w:val="24"/>
          <w:szCs w:val="24"/>
        </w:rPr>
        <w:t>Ne consegue, pertanto, che la discrezionalità del legislatore in materia incontra dei limiti ben precisi</w:t>
      </w:r>
      <w:r w:rsidR="001202FB">
        <w:rPr>
          <w:rFonts w:ascii="Times New Roman" w:hAnsi="Times New Roman" w:cs="Times New Roman"/>
          <w:sz w:val="24"/>
          <w:szCs w:val="24"/>
        </w:rPr>
        <w:t>: “</w:t>
      </w:r>
      <w:r w:rsidR="001202FB" w:rsidRPr="001202FB">
        <w:rPr>
          <w:rFonts w:ascii="Times New Roman" w:hAnsi="Times New Roman" w:cs="Times New Roman"/>
          <w:i/>
          <w:sz w:val="24"/>
          <w:szCs w:val="24"/>
        </w:rPr>
        <w:t>Se da un lato, infatti, con l’avvento del nuovo codice di rito è tramontato il principio della prevalenza della giurisdizione penale, a tutto vantaggio della autonomia dei procedimenti e delle giurisdizioni e della rigorosa limitazione delle questioni pregiudiziali, è altrettanto vero che una “ricomposizione” di sistema doveva essere prefigurata proprio sul versante dei rapporti tra il giudicato penale e le diverse (ma interferenti) sfere di giurisdizione civile, amministrativa o disciplinare davanti alle pubbliche autorità. Ciò ad evitare, evidentemente, da un lato, conflitti e contrasti tra giudicati; e, dall’altro, la perdita di acquisizioni processuali, che avrebbe negativamente inciso sulla economia dei giudizi</w:t>
      </w:r>
      <w:r w:rsidR="001202FB">
        <w:rPr>
          <w:rFonts w:ascii="Times New Roman" w:hAnsi="Times New Roman" w:cs="Times New Roman"/>
          <w:sz w:val="24"/>
          <w:szCs w:val="24"/>
        </w:rPr>
        <w:t>” (Corte costituzionale, sentenza n. 336/2009).</w:t>
      </w:r>
    </w:p>
    <w:p w:rsidR="00595A4E" w:rsidRDefault="001202FB" w:rsidP="006C270A">
      <w:pPr>
        <w:jc w:val="both"/>
        <w:rPr>
          <w:rFonts w:ascii="Times New Roman" w:hAnsi="Times New Roman" w:cs="Times New Roman"/>
          <w:sz w:val="24"/>
          <w:szCs w:val="24"/>
        </w:rPr>
      </w:pPr>
      <w:r>
        <w:rPr>
          <w:rFonts w:ascii="Times New Roman" w:hAnsi="Times New Roman" w:cs="Times New Roman"/>
          <w:sz w:val="24"/>
          <w:szCs w:val="24"/>
        </w:rPr>
        <w:t>Anche perché, come ricorda la Corte nella sentenza da ultimo richiamata, è “</w:t>
      </w:r>
      <w:r w:rsidRPr="001202FB">
        <w:rPr>
          <w:rFonts w:ascii="Times New Roman" w:hAnsi="Times New Roman" w:cs="Times New Roman"/>
          <w:i/>
          <w:sz w:val="24"/>
          <w:szCs w:val="24"/>
        </w:rPr>
        <w:t>mutata (…) la configurazione originaria del patteggiamento come rito circoscritto alle vicende di criminalità “minore”</w:t>
      </w:r>
      <w:r>
        <w:rPr>
          <w:rFonts w:ascii="Times New Roman" w:hAnsi="Times New Roman" w:cs="Times New Roman"/>
          <w:sz w:val="24"/>
          <w:szCs w:val="24"/>
        </w:rPr>
        <w:t>” (il che, nella materia che qui viene specificamente in considerazione, assume un rilievo particolare</w:t>
      </w:r>
      <w:r w:rsidR="00303DB2">
        <w:rPr>
          <w:rFonts w:ascii="Times New Roman" w:hAnsi="Times New Roman" w:cs="Times New Roman"/>
          <w:sz w:val="24"/>
          <w:szCs w:val="24"/>
        </w:rPr>
        <w:t>: eventualmente anche nella prospettiva di un correttivo che introduca l’ennesima logica del “doppio binario”, come nel segnalato intervento in materia di reati contro la pubblica amministrazione</w:t>
      </w:r>
      <w:r>
        <w:rPr>
          <w:rFonts w:ascii="Times New Roman" w:hAnsi="Times New Roman" w:cs="Times New Roman"/>
          <w:sz w:val="24"/>
          <w:szCs w:val="24"/>
        </w:rPr>
        <w:t>);</w:t>
      </w:r>
      <w:r w:rsidRPr="001202FB">
        <w:rPr>
          <w:rFonts w:ascii="Times New Roman" w:hAnsi="Times New Roman" w:cs="Times New Roman"/>
          <w:sz w:val="24"/>
          <w:szCs w:val="24"/>
        </w:rPr>
        <w:t xml:space="preserve"> </w:t>
      </w:r>
      <w:r>
        <w:rPr>
          <w:rFonts w:ascii="Times New Roman" w:hAnsi="Times New Roman" w:cs="Times New Roman"/>
          <w:sz w:val="24"/>
          <w:szCs w:val="24"/>
        </w:rPr>
        <w:t>e l’istituto ha assunto “</w:t>
      </w:r>
      <w:r w:rsidRPr="00C46E8A">
        <w:rPr>
          <w:rFonts w:ascii="Times New Roman" w:hAnsi="Times New Roman" w:cs="Times New Roman"/>
          <w:i/>
          <w:sz w:val="24"/>
          <w:szCs w:val="24"/>
        </w:rPr>
        <w:t xml:space="preserve">una dimensione più “matura”, anche per ciò che attiene allo spazio </w:t>
      </w:r>
      <w:proofErr w:type="spellStart"/>
      <w:r w:rsidRPr="00C46E8A">
        <w:rPr>
          <w:rFonts w:ascii="Times New Roman" w:hAnsi="Times New Roman" w:cs="Times New Roman"/>
          <w:i/>
          <w:sz w:val="24"/>
          <w:szCs w:val="24"/>
        </w:rPr>
        <w:t>delibativo</w:t>
      </w:r>
      <w:proofErr w:type="spellEnd"/>
      <w:r w:rsidRPr="00C46E8A">
        <w:rPr>
          <w:rFonts w:ascii="Times New Roman" w:hAnsi="Times New Roman" w:cs="Times New Roman"/>
          <w:i/>
          <w:sz w:val="24"/>
          <w:szCs w:val="24"/>
        </w:rPr>
        <w:t xml:space="preserve"> riservato al giudice e, conseguentemente, alla relativa “base fattuale</w:t>
      </w:r>
      <w:r>
        <w:rPr>
          <w:rFonts w:ascii="Times New Roman" w:hAnsi="Times New Roman" w:cs="Times New Roman"/>
          <w:sz w:val="24"/>
          <w:szCs w:val="24"/>
        </w:rPr>
        <w:t>”: il che giustifica (impone?) “</w:t>
      </w:r>
      <w:r w:rsidRPr="001202FB">
        <w:rPr>
          <w:rFonts w:ascii="Times New Roman" w:hAnsi="Times New Roman" w:cs="Times New Roman"/>
          <w:i/>
          <w:sz w:val="24"/>
          <w:szCs w:val="24"/>
        </w:rPr>
        <w:t>corrispondenti ampliamenti anche sul versante degli effetti “esterni” del giudicato scaturente dal rito speciale, se riferiti al giudizio disciplinare davanti alle pubbliche autorità, per lo specifico risalto degli interessi coinvolti</w:t>
      </w:r>
      <w:r>
        <w:rPr>
          <w:rFonts w:ascii="Times New Roman" w:hAnsi="Times New Roman" w:cs="Times New Roman"/>
          <w:sz w:val="24"/>
          <w:szCs w:val="24"/>
        </w:rPr>
        <w:t>”</w:t>
      </w:r>
      <w:r w:rsidRPr="001202FB">
        <w:rPr>
          <w:rFonts w:ascii="Times New Roman" w:hAnsi="Times New Roman" w:cs="Times New Roman"/>
          <w:sz w:val="24"/>
          <w:szCs w:val="24"/>
        </w:rPr>
        <w:t>.</w:t>
      </w:r>
    </w:p>
    <w:p w:rsidR="00C46E8A" w:rsidRDefault="00C46E8A" w:rsidP="006C270A">
      <w:pPr>
        <w:jc w:val="both"/>
        <w:rPr>
          <w:rFonts w:ascii="Times New Roman" w:hAnsi="Times New Roman" w:cs="Times New Roman"/>
          <w:sz w:val="24"/>
          <w:szCs w:val="24"/>
        </w:rPr>
      </w:pPr>
    </w:p>
    <w:p w:rsidR="00C51935" w:rsidRDefault="00C51935" w:rsidP="006C270A">
      <w:pPr>
        <w:jc w:val="both"/>
        <w:rPr>
          <w:rFonts w:ascii="Times New Roman" w:hAnsi="Times New Roman" w:cs="Times New Roman"/>
          <w:sz w:val="24"/>
          <w:szCs w:val="24"/>
        </w:rPr>
      </w:pPr>
      <w:r>
        <w:rPr>
          <w:rFonts w:ascii="Times New Roman" w:hAnsi="Times New Roman" w:cs="Times New Roman"/>
          <w:sz w:val="24"/>
          <w:szCs w:val="24"/>
        </w:rPr>
        <w:t xml:space="preserve"> </w:t>
      </w:r>
      <w:r w:rsidR="00361E60">
        <w:rPr>
          <w:rFonts w:ascii="Times New Roman" w:hAnsi="Times New Roman" w:cs="Times New Roman"/>
          <w:sz w:val="24"/>
          <w:szCs w:val="24"/>
        </w:rPr>
        <w:t>6. Conclusione.</w:t>
      </w:r>
    </w:p>
    <w:p w:rsidR="00A82934" w:rsidRDefault="00361E60" w:rsidP="006C270A">
      <w:pPr>
        <w:jc w:val="both"/>
        <w:rPr>
          <w:rFonts w:ascii="Times New Roman" w:hAnsi="Times New Roman" w:cs="Times New Roman"/>
          <w:sz w:val="24"/>
          <w:szCs w:val="24"/>
        </w:rPr>
      </w:pPr>
      <w:r>
        <w:rPr>
          <w:rFonts w:ascii="Times New Roman" w:hAnsi="Times New Roman" w:cs="Times New Roman"/>
          <w:sz w:val="24"/>
          <w:szCs w:val="24"/>
        </w:rPr>
        <w:t xml:space="preserve">Il brocardo latino </w:t>
      </w:r>
      <w:proofErr w:type="spellStart"/>
      <w:r w:rsidRPr="00E70E55">
        <w:rPr>
          <w:rFonts w:ascii="Times New Roman" w:hAnsi="Times New Roman" w:cs="Times New Roman"/>
          <w:i/>
          <w:sz w:val="24"/>
          <w:szCs w:val="24"/>
        </w:rPr>
        <w:t>Quod</w:t>
      </w:r>
      <w:proofErr w:type="spellEnd"/>
      <w:r w:rsidRPr="00E70E55">
        <w:rPr>
          <w:rFonts w:ascii="Times New Roman" w:hAnsi="Times New Roman" w:cs="Times New Roman"/>
          <w:i/>
          <w:sz w:val="24"/>
          <w:szCs w:val="24"/>
        </w:rPr>
        <w:t xml:space="preserve"> factum </w:t>
      </w:r>
      <w:proofErr w:type="spellStart"/>
      <w:r w:rsidRPr="00E70E55">
        <w:rPr>
          <w:rFonts w:ascii="Times New Roman" w:hAnsi="Times New Roman" w:cs="Times New Roman"/>
          <w:i/>
          <w:sz w:val="24"/>
          <w:szCs w:val="24"/>
        </w:rPr>
        <w:t>infectum</w:t>
      </w:r>
      <w:proofErr w:type="spellEnd"/>
      <w:r w:rsidRPr="00E70E55">
        <w:rPr>
          <w:rFonts w:ascii="Times New Roman" w:hAnsi="Times New Roman" w:cs="Times New Roman"/>
          <w:i/>
          <w:sz w:val="24"/>
          <w:szCs w:val="24"/>
        </w:rPr>
        <w:t xml:space="preserve"> fieri </w:t>
      </w:r>
      <w:proofErr w:type="spellStart"/>
      <w:r w:rsidRPr="00E70E55">
        <w:rPr>
          <w:rFonts w:ascii="Times New Roman" w:hAnsi="Times New Roman" w:cs="Times New Roman"/>
          <w:i/>
          <w:sz w:val="24"/>
          <w:szCs w:val="24"/>
        </w:rPr>
        <w:t>nequit</w:t>
      </w:r>
      <w:proofErr w:type="spellEnd"/>
      <w:r>
        <w:rPr>
          <w:rFonts w:ascii="Times New Roman" w:hAnsi="Times New Roman" w:cs="Times New Roman"/>
          <w:sz w:val="24"/>
          <w:szCs w:val="24"/>
        </w:rPr>
        <w:t>, prima ancora di essere una massima che gli studenti di giurisprudenza apprendono all’inizio del loro corso di studi, è un passo</w:t>
      </w:r>
      <w:r w:rsidR="00A82934">
        <w:rPr>
          <w:rFonts w:ascii="Times New Roman" w:hAnsi="Times New Roman" w:cs="Times New Roman"/>
          <w:sz w:val="24"/>
          <w:szCs w:val="24"/>
        </w:rPr>
        <w:t xml:space="preserve"> t</w:t>
      </w:r>
      <w:r>
        <w:rPr>
          <w:rFonts w:ascii="Times New Roman" w:hAnsi="Times New Roman" w:cs="Times New Roman"/>
          <w:sz w:val="24"/>
          <w:szCs w:val="24"/>
        </w:rPr>
        <w:t>ratto da</w:t>
      </w:r>
      <w:r w:rsidR="00A82934">
        <w:rPr>
          <w:rFonts w:ascii="Times New Roman" w:hAnsi="Times New Roman" w:cs="Times New Roman"/>
          <w:sz w:val="24"/>
          <w:szCs w:val="24"/>
        </w:rPr>
        <w:t xml:space="preserve"> una </w:t>
      </w:r>
      <w:r>
        <w:rPr>
          <w:rFonts w:ascii="Times New Roman" w:hAnsi="Times New Roman" w:cs="Times New Roman"/>
          <w:sz w:val="24"/>
          <w:szCs w:val="24"/>
        </w:rPr>
        <w:t>Commedia di Plauto</w:t>
      </w:r>
      <w:r w:rsidR="00A82934">
        <w:rPr>
          <w:rFonts w:ascii="Times New Roman" w:hAnsi="Times New Roman" w:cs="Times New Roman"/>
          <w:sz w:val="24"/>
          <w:szCs w:val="24"/>
        </w:rPr>
        <w:t>.</w:t>
      </w:r>
      <w:r w:rsidR="00A82934">
        <w:rPr>
          <w:rStyle w:val="Rimandonotaapidipagina"/>
          <w:rFonts w:ascii="Times New Roman" w:hAnsi="Times New Roman" w:cs="Times New Roman"/>
          <w:sz w:val="24"/>
          <w:szCs w:val="24"/>
        </w:rPr>
        <w:footnoteReference w:id="9"/>
      </w:r>
    </w:p>
    <w:p w:rsidR="00361E60" w:rsidRDefault="003552B2" w:rsidP="006C270A">
      <w:pPr>
        <w:jc w:val="both"/>
        <w:rPr>
          <w:rFonts w:ascii="Times New Roman" w:hAnsi="Times New Roman" w:cs="Times New Roman"/>
          <w:sz w:val="24"/>
          <w:szCs w:val="24"/>
        </w:rPr>
      </w:pPr>
      <w:r>
        <w:rPr>
          <w:rFonts w:ascii="Times New Roman" w:hAnsi="Times New Roman" w:cs="Times New Roman"/>
          <w:sz w:val="24"/>
          <w:szCs w:val="24"/>
        </w:rPr>
        <w:t>Nei testi giuridici esso viene spesso utilizzato</w:t>
      </w:r>
      <w:r w:rsidR="00AB108C">
        <w:rPr>
          <w:rFonts w:ascii="Times New Roman" w:hAnsi="Times New Roman" w:cs="Times New Roman"/>
          <w:sz w:val="24"/>
          <w:szCs w:val="24"/>
        </w:rPr>
        <w:t xml:space="preserve"> - a fini didascalici - </w:t>
      </w:r>
      <w:r>
        <w:rPr>
          <w:rFonts w:ascii="Times New Roman" w:hAnsi="Times New Roman" w:cs="Times New Roman"/>
          <w:sz w:val="24"/>
          <w:szCs w:val="24"/>
        </w:rPr>
        <w:t>come monito, come limite estremo che il diritto non può superare (nemmeno con la più fervida fantasia)</w:t>
      </w:r>
      <w:r w:rsidR="00F660DD">
        <w:rPr>
          <w:rFonts w:ascii="Times New Roman" w:hAnsi="Times New Roman" w:cs="Times New Roman"/>
          <w:sz w:val="24"/>
          <w:szCs w:val="24"/>
        </w:rPr>
        <w:t>: pena il distacco dalla realtà, e dunque la negazione della sua funzione</w:t>
      </w:r>
      <w:r w:rsidR="00361E60">
        <w:rPr>
          <w:rFonts w:ascii="Times New Roman" w:hAnsi="Times New Roman" w:cs="Times New Roman"/>
          <w:sz w:val="24"/>
          <w:szCs w:val="24"/>
        </w:rPr>
        <w:t>.</w:t>
      </w:r>
    </w:p>
    <w:p w:rsidR="003552B2" w:rsidRDefault="003552B2" w:rsidP="006C270A">
      <w:pPr>
        <w:jc w:val="both"/>
        <w:rPr>
          <w:rFonts w:ascii="Times New Roman" w:hAnsi="Times New Roman" w:cs="Times New Roman"/>
          <w:sz w:val="24"/>
          <w:szCs w:val="24"/>
        </w:rPr>
      </w:pPr>
      <w:r>
        <w:rPr>
          <w:rFonts w:ascii="Times New Roman" w:hAnsi="Times New Roman" w:cs="Times New Roman"/>
          <w:sz w:val="24"/>
          <w:szCs w:val="24"/>
        </w:rPr>
        <w:t>Chi scrive non è certo un difensore del creazionismo giudiziario:</w:t>
      </w:r>
      <w:r w:rsidR="00AA2122">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ma obiettivamente l’onnipotenza manifestata dal legislatore in questa occasione sembra superare ogni</w:t>
      </w:r>
      <w:r w:rsidR="00AA2122">
        <w:rPr>
          <w:rFonts w:ascii="Times New Roman" w:hAnsi="Times New Roman" w:cs="Times New Roman"/>
          <w:sz w:val="24"/>
          <w:szCs w:val="24"/>
        </w:rPr>
        <w:t xml:space="preserve"> pur elevata</w:t>
      </w:r>
      <w:r>
        <w:rPr>
          <w:rFonts w:ascii="Times New Roman" w:hAnsi="Times New Roman" w:cs="Times New Roman"/>
          <w:sz w:val="24"/>
          <w:szCs w:val="24"/>
        </w:rPr>
        <w:t xml:space="preserve"> brama creazionista cui finora la giurisprudenza ci aveva abituati.</w:t>
      </w:r>
    </w:p>
    <w:p w:rsidR="00737E1D" w:rsidRDefault="00F660DD" w:rsidP="00D825B7">
      <w:pPr>
        <w:jc w:val="both"/>
        <w:rPr>
          <w:rFonts w:ascii="Times New Roman" w:hAnsi="Times New Roman" w:cs="Times New Roman"/>
          <w:sz w:val="24"/>
          <w:szCs w:val="24"/>
        </w:rPr>
      </w:pPr>
      <w:r>
        <w:rPr>
          <w:rFonts w:ascii="Times New Roman" w:hAnsi="Times New Roman" w:cs="Times New Roman"/>
          <w:sz w:val="24"/>
          <w:szCs w:val="24"/>
        </w:rPr>
        <w:t xml:space="preserve">Peraltro, l’orientamento giurisprudenziale che la norma in questione si pone di superare </w:t>
      </w:r>
      <w:r w:rsidR="00A82934">
        <w:rPr>
          <w:rFonts w:ascii="Times New Roman" w:hAnsi="Times New Roman" w:cs="Times New Roman"/>
          <w:sz w:val="24"/>
          <w:szCs w:val="24"/>
        </w:rPr>
        <w:t xml:space="preserve">(che registra una totale consonanza fra la giurisprudenza del giudice civile e quella del giudice amministrativo) </w:t>
      </w:r>
      <w:r>
        <w:rPr>
          <w:rFonts w:ascii="Times New Roman" w:hAnsi="Times New Roman" w:cs="Times New Roman"/>
          <w:sz w:val="24"/>
          <w:szCs w:val="24"/>
        </w:rPr>
        <w:t xml:space="preserve">non </w:t>
      </w:r>
      <w:r w:rsidR="00737E1D">
        <w:rPr>
          <w:rFonts w:ascii="Times New Roman" w:hAnsi="Times New Roman" w:cs="Times New Roman"/>
          <w:sz w:val="24"/>
          <w:szCs w:val="24"/>
        </w:rPr>
        <w:t>è</w:t>
      </w:r>
      <w:r>
        <w:rPr>
          <w:rFonts w:ascii="Times New Roman" w:hAnsi="Times New Roman" w:cs="Times New Roman"/>
          <w:sz w:val="24"/>
          <w:szCs w:val="24"/>
        </w:rPr>
        <w:t xml:space="preserve"> affatto </w:t>
      </w:r>
      <w:r w:rsidR="00737E1D">
        <w:rPr>
          <w:rFonts w:ascii="Times New Roman" w:hAnsi="Times New Roman" w:cs="Times New Roman"/>
          <w:sz w:val="24"/>
          <w:szCs w:val="24"/>
        </w:rPr>
        <w:t>“</w:t>
      </w:r>
      <w:r w:rsidR="00830AD4">
        <w:rPr>
          <w:rFonts w:ascii="Times New Roman" w:hAnsi="Times New Roman" w:cs="Times New Roman"/>
          <w:sz w:val="24"/>
          <w:szCs w:val="24"/>
        </w:rPr>
        <w:t>creativo</w:t>
      </w:r>
      <w:r w:rsidR="00737E1D">
        <w:rPr>
          <w:rFonts w:ascii="Times New Roman" w:hAnsi="Times New Roman" w:cs="Times New Roman"/>
          <w:sz w:val="24"/>
          <w:szCs w:val="24"/>
        </w:rPr>
        <w:t>”</w:t>
      </w:r>
      <w:r w:rsidR="00830AD4">
        <w:rPr>
          <w:rFonts w:ascii="Times New Roman" w:hAnsi="Times New Roman" w:cs="Times New Roman"/>
          <w:sz w:val="24"/>
          <w:szCs w:val="24"/>
        </w:rPr>
        <w:t xml:space="preserve">, ma piuttosto fedele ad un’interpretazione della disciplina dell’efficacia </w:t>
      </w:r>
      <w:proofErr w:type="spellStart"/>
      <w:r w:rsidR="00830AD4">
        <w:rPr>
          <w:rFonts w:ascii="Times New Roman" w:hAnsi="Times New Roman" w:cs="Times New Roman"/>
          <w:sz w:val="24"/>
          <w:szCs w:val="24"/>
        </w:rPr>
        <w:t>extrapenale</w:t>
      </w:r>
      <w:proofErr w:type="spellEnd"/>
      <w:r w:rsidR="00830AD4">
        <w:rPr>
          <w:rFonts w:ascii="Times New Roman" w:hAnsi="Times New Roman" w:cs="Times New Roman"/>
          <w:sz w:val="24"/>
          <w:szCs w:val="24"/>
        </w:rPr>
        <w:t xml:space="preserve"> delle sentenze di patteggiamento ispirata anzitutto a</w:t>
      </w:r>
      <w:r w:rsidR="00737E1D">
        <w:rPr>
          <w:rFonts w:ascii="Times New Roman" w:hAnsi="Times New Roman" w:cs="Times New Roman"/>
          <w:sz w:val="24"/>
          <w:szCs w:val="24"/>
        </w:rPr>
        <w:t xml:space="preserve"> </w:t>
      </w:r>
      <w:r w:rsidR="000E1487">
        <w:rPr>
          <w:rFonts w:ascii="Times New Roman" w:hAnsi="Times New Roman" w:cs="Times New Roman"/>
          <w:sz w:val="24"/>
          <w:szCs w:val="24"/>
        </w:rPr>
        <w:t>quelle esigenze di</w:t>
      </w:r>
      <w:r w:rsidR="00830AD4">
        <w:rPr>
          <w:rFonts w:ascii="Times New Roman" w:hAnsi="Times New Roman" w:cs="Times New Roman"/>
          <w:sz w:val="24"/>
          <w:szCs w:val="24"/>
        </w:rPr>
        <w:t xml:space="preserve"> buon senso, logicità e coerenza</w:t>
      </w:r>
      <w:r w:rsidR="000E1487">
        <w:rPr>
          <w:rFonts w:ascii="Times New Roman" w:hAnsi="Times New Roman" w:cs="Times New Roman"/>
          <w:sz w:val="24"/>
          <w:szCs w:val="24"/>
        </w:rPr>
        <w:t xml:space="preserve"> che erano state </w:t>
      </w:r>
      <w:r w:rsidR="00737E1D">
        <w:rPr>
          <w:rFonts w:ascii="Times New Roman" w:hAnsi="Times New Roman" w:cs="Times New Roman"/>
          <w:sz w:val="24"/>
          <w:szCs w:val="24"/>
        </w:rPr>
        <w:t>indicate</w:t>
      </w:r>
      <w:r w:rsidR="000E1487">
        <w:rPr>
          <w:rFonts w:ascii="Times New Roman" w:hAnsi="Times New Roman" w:cs="Times New Roman"/>
          <w:sz w:val="24"/>
          <w:szCs w:val="24"/>
        </w:rPr>
        <w:t xml:space="preserve"> anche dalla Corte costituzionale</w:t>
      </w:r>
      <w:r w:rsidR="00737E1D">
        <w:rPr>
          <w:rFonts w:ascii="Times New Roman" w:hAnsi="Times New Roman" w:cs="Times New Roman"/>
          <w:sz w:val="24"/>
          <w:szCs w:val="24"/>
        </w:rPr>
        <w:t>.</w:t>
      </w:r>
    </w:p>
    <w:p w:rsidR="001D742D" w:rsidRDefault="00737E1D" w:rsidP="00D825B7">
      <w:pPr>
        <w:jc w:val="both"/>
        <w:rPr>
          <w:rFonts w:ascii="Times New Roman" w:hAnsi="Times New Roman" w:cs="Times New Roman"/>
          <w:sz w:val="24"/>
          <w:szCs w:val="24"/>
        </w:rPr>
      </w:pPr>
      <w:r>
        <w:rPr>
          <w:rFonts w:ascii="Times New Roman" w:hAnsi="Times New Roman" w:cs="Times New Roman"/>
          <w:sz w:val="24"/>
          <w:szCs w:val="24"/>
        </w:rPr>
        <w:t>È, soprattutto, un indirizzo interpretativo – memore di quel monito ricevuto negli anni della formazione - consapevole che</w:t>
      </w:r>
      <w:r w:rsidR="00830AD4">
        <w:rPr>
          <w:rFonts w:ascii="Times New Roman" w:hAnsi="Times New Roman" w:cs="Times New Roman"/>
          <w:sz w:val="24"/>
          <w:szCs w:val="24"/>
        </w:rPr>
        <w:t xml:space="preserve"> un fatto, tanto più un fatto di reato, non può diventare non fatto.</w:t>
      </w:r>
    </w:p>
    <w:p w:rsidR="00801C0D" w:rsidRDefault="00801C0D" w:rsidP="00C22BD2">
      <w:pPr>
        <w:jc w:val="both"/>
        <w:rPr>
          <w:rFonts w:ascii="Times New Roman" w:hAnsi="Times New Roman" w:cs="Times New Roman"/>
          <w:sz w:val="24"/>
          <w:szCs w:val="24"/>
        </w:rPr>
      </w:pPr>
    </w:p>
    <w:p w:rsidR="004E2006" w:rsidRPr="002E422E" w:rsidRDefault="004E2006" w:rsidP="004E2006">
      <w:pPr>
        <w:jc w:val="right"/>
        <w:rPr>
          <w:rFonts w:ascii="Times New Roman" w:hAnsi="Times New Roman" w:cs="Times New Roman"/>
          <w:smallCaps/>
          <w:sz w:val="24"/>
          <w:szCs w:val="24"/>
        </w:rPr>
      </w:pPr>
      <w:r w:rsidRPr="004E2006">
        <w:rPr>
          <w:rFonts w:ascii="Times New Roman" w:hAnsi="Times New Roman" w:cs="Times New Roman"/>
          <w:b/>
          <w:smallCaps/>
          <w:sz w:val="24"/>
          <w:szCs w:val="24"/>
        </w:rPr>
        <w:t>Giovanni Tulumello</w:t>
      </w:r>
      <w:r w:rsidRPr="002E422E">
        <w:rPr>
          <w:rStyle w:val="Rimandonotaapidipagina"/>
          <w:rFonts w:ascii="Times New Roman" w:hAnsi="Times New Roman" w:cs="Times New Roman"/>
          <w:smallCaps/>
          <w:sz w:val="24"/>
          <w:szCs w:val="24"/>
        </w:rPr>
        <w:footnoteReference w:customMarkFollows="1" w:id="11"/>
        <w:sym w:font="Symbol" w:char="F02A"/>
      </w:r>
    </w:p>
    <w:p w:rsidR="004E2006" w:rsidRDefault="004E2006" w:rsidP="004E2006">
      <w:pPr>
        <w:pStyle w:val="Testonotaapidipagina"/>
        <w:jc w:val="right"/>
        <w:rPr>
          <w:rFonts w:ascii="Times New Roman" w:hAnsi="Times New Roman" w:cs="Times New Roman"/>
        </w:rPr>
      </w:pPr>
      <w:r w:rsidRPr="00A82934">
        <w:rPr>
          <w:rFonts w:ascii="Times New Roman" w:hAnsi="Times New Roman" w:cs="Times New Roman"/>
        </w:rPr>
        <w:t xml:space="preserve">Consigliere di Stato - Componente dell’Ufficio Studi della Giustizia amministrativa. </w:t>
      </w:r>
    </w:p>
    <w:p w:rsidR="004E2006" w:rsidRDefault="004E2006" w:rsidP="004E2006">
      <w:pPr>
        <w:pStyle w:val="Testonotaapidipagina"/>
        <w:jc w:val="right"/>
        <w:rPr>
          <w:rFonts w:ascii="Times New Roman" w:hAnsi="Times New Roman" w:cs="Times New Roman"/>
        </w:rPr>
      </w:pPr>
    </w:p>
    <w:p w:rsidR="004E2006" w:rsidRPr="00A82934" w:rsidRDefault="004E2006" w:rsidP="004E2006">
      <w:pPr>
        <w:pStyle w:val="Testonotaapidipagina"/>
        <w:jc w:val="right"/>
        <w:rPr>
          <w:rFonts w:ascii="Times New Roman" w:hAnsi="Times New Roman" w:cs="Times New Roman"/>
        </w:rPr>
      </w:pPr>
      <w:r>
        <w:rPr>
          <w:rFonts w:ascii="Times New Roman" w:hAnsi="Times New Roman" w:cs="Times New Roman"/>
        </w:rPr>
        <w:t>Pubblicato il 12 aprile 2023</w:t>
      </w:r>
    </w:p>
    <w:p w:rsidR="004E2006" w:rsidRDefault="004E2006" w:rsidP="00C22BD2">
      <w:pPr>
        <w:jc w:val="both"/>
        <w:rPr>
          <w:rFonts w:ascii="Times New Roman" w:hAnsi="Times New Roman" w:cs="Times New Roman"/>
          <w:sz w:val="24"/>
          <w:szCs w:val="24"/>
        </w:rPr>
      </w:pPr>
    </w:p>
    <w:sectPr w:rsidR="004E20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0D" w:rsidRDefault="00801C0D" w:rsidP="00801C0D">
      <w:pPr>
        <w:spacing w:after="0" w:line="240" w:lineRule="auto"/>
      </w:pPr>
      <w:r>
        <w:separator/>
      </w:r>
    </w:p>
  </w:endnote>
  <w:endnote w:type="continuationSeparator" w:id="0">
    <w:p w:rsidR="00801C0D" w:rsidRDefault="00801C0D" w:rsidP="0080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0D" w:rsidRDefault="00801C0D" w:rsidP="00801C0D">
      <w:pPr>
        <w:spacing w:after="0" w:line="240" w:lineRule="auto"/>
      </w:pPr>
      <w:r>
        <w:separator/>
      </w:r>
    </w:p>
  </w:footnote>
  <w:footnote w:type="continuationSeparator" w:id="0">
    <w:p w:rsidR="00801C0D" w:rsidRDefault="00801C0D" w:rsidP="00801C0D">
      <w:pPr>
        <w:spacing w:after="0" w:line="240" w:lineRule="auto"/>
      </w:pPr>
      <w:r>
        <w:continuationSeparator/>
      </w:r>
    </w:p>
  </w:footnote>
  <w:footnote w:id="1">
    <w:p w:rsidR="002E422E" w:rsidRPr="00A82934" w:rsidRDefault="002E422E"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Testo della relazione svolta il 3 aprile 2023 presso l’Università degli Studi “Roma Tre”, nell’ambito dell’incontro di studi “Misure amministrative di prevenzione antimafia e tutela giurisdizionale”</w:t>
      </w:r>
      <w:r w:rsidR="00C72BED">
        <w:rPr>
          <w:rFonts w:ascii="Times New Roman" w:hAnsi="Times New Roman" w:cs="Times New Roman"/>
        </w:rPr>
        <w:t>, pubblicato</w:t>
      </w:r>
      <w:r w:rsidR="00A912A2">
        <w:rPr>
          <w:rFonts w:ascii="Times New Roman" w:hAnsi="Times New Roman" w:cs="Times New Roman"/>
        </w:rPr>
        <w:t xml:space="preserve"> </w:t>
      </w:r>
      <w:r w:rsidR="00A912A2" w:rsidRPr="00A912A2">
        <w:rPr>
          <w:rFonts w:ascii="Times New Roman" w:hAnsi="Times New Roman" w:cs="Times New Roman"/>
        </w:rPr>
        <w:t>in IUS Amministrativo (ius.giuffrefl.it)</w:t>
      </w:r>
      <w:r w:rsidR="00A912A2">
        <w:rPr>
          <w:rFonts w:ascii="Times New Roman" w:hAnsi="Times New Roman" w:cs="Times New Roman"/>
        </w:rPr>
        <w:t>, “</w:t>
      </w:r>
      <w:r w:rsidR="00A912A2" w:rsidRPr="00A912A2">
        <w:rPr>
          <w:rFonts w:ascii="Times New Roman" w:hAnsi="Times New Roman" w:cs="Times New Roman"/>
        </w:rPr>
        <w:t>Osservatorio antimafia - Le sentenze di patteggiamento e il sindacato giurisdizion</w:t>
      </w:r>
      <w:r w:rsidR="00A912A2">
        <w:rPr>
          <w:rFonts w:ascii="Times New Roman" w:hAnsi="Times New Roman" w:cs="Times New Roman"/>
        </w:rPr>
        <w:t>ale sulle informative antimafia”</w:t>
      </w:r>
      <w:r w:rsidRPr="00A82934">
        <w:rPr>
          <w:rFonts w:ascii="Times New Roman" w:hAnsi="Times New Roman" w:cs="Times New Roman"/>
        </w:rPr>
        <w:t xml:space="preserve">. </w:t>
      </w:r>
    </w:p>
    <w:p w:rsidR="002E422E" w:rsidRPr="00A82934" w:rsidRDefault="002E422E" w:rsidP="00A82934">
      <w:pPr>
        <w:pStyle w:val="Testonotaapidipagina"/>
        <w:jc w:val="both"/>
        <w:rPr>
          <w:rFonts w:ascii="Times New Roman" w:hAnsi="Times New Roman" w:cs="Times New Roman"/>
        </w:rPr>
      </w:pPr>
    </w:p>
  </w:footnote>
  <w:footnote w:id="2">
    <w:p w:rsidR="00AD3F0C" w:rsidRPr="00A82934" w:rsidRDefault="00AD3F0C"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smallCaps/>
        </w:rPr>
        <w:footnoteRef/>
      </w:r>
      <w:r w:rsidRPr="00A82934">
        <w:rPr>
          <w:rFonts w:ascii="Times New Roman" w:hAnsi="Times New Roman" w:cs="Times New Roman"/>
          <w:smallCaps/>
        </w:rPr>
        <w:t xml:space="preserve"> F.G. </w:t>
      </w:r>
      <w:proofErr w:type="spellStart"/>
      <w:r w:rsidRPr="00A82934">
        <w:rPr>
          <w:rFonts w:ascii="Times New Roman" w:hAnsi="Times New Roman" w:cs="Times New Roman"/>
          <w:smallCaps/>
        </w:rPr>
        <w:t>Scoca</w:t>
      </w:r>
      <w:proofErr w:type="spellEnd"/>
      <w:r w:rsidRPr="00A82934">
        <w:rPr>
          <w:rFonts w:ascii="Times New Roman" w:hAnsi="Times New Roman" w:cs="Times New Roman"/>
        </w:rPr>
        <w:t xml:space="preserve">, </w:t>
      </w:r>
      <w:r w:rsidRPr="00A82934">
        <w:rPr>
          <w:rFonts w:ascii="Times New Roman" w:hAnsi="Times New Roman" w:cs="Times New Roman"/>
          <w:i/>
        </w:rPr>
        <w:t xml:space="preserve">Le </w:t>
      </w:r>
      <w:proofErr w:type="spellStart"/>
      <w:r w:rsidRPr="00A82934">
        <w:rPr>
          <w:rFonts w:ascii="Times New Roman" w:hAnsi="Times New Roman" w:cs="Times New Roman"/>
          <w:i/>
        </w:rPr>
        <w:t>interdittive</w:t>
      </w:r>
      <w:proofErr w:type="spellEnd"/>
      <w:r w:rsidRPr="00A82934">
        <w:rPr>
          <w:rFonts w:ascii="Times New Roman" w:hAnsi="Times New Roman" w:cs="Times New Roman"/>
          <w:i/>
        </w:rPr>
        <w:t xml:space="preserve"> antimafia e la razionalità, la ragionevolezza e la costituzionalità della lotta anticipata alla criminalità organizzata</w:t>
      </w:r>
      <w:r w:rsidRPr="00A82934">
        <w:rPr>
          <w:rFonts w:ascii="Times New Roman" w:hAnsi="Times New Roman" w:cs="Times New Roman"/>
        </w:rPr>
        <w:t>, in</w:t>
      </w:r>
      <w:r w:rsidRPr="00A82934">
        <w:rPr>
          <w:rFonts w:ascii="Times New Roman" w:hAnsi="Times New Roman" w:cs="Times New Roman"/>
          <w:i/>
        </w:rPr>
        <w:t xml:space="preserve"> </w:t>
      </w:r>
      <w:proofErr w:type="spellStart"/>
      <w:r w:rsidRPr="00A82934">
        <w:rPr>
          <w:rFonts w:ascii="Times New Roman" w:hAnsi="Times New Roman" w:cs="Times New Roman"/>
          <w:i/>
        </w:rPr>
        <w:t>giustamm</w:t>
      </w:r>
      <w:proofErr w:type="spellEnd"/>
      <w:r w:rsidRPr="00A82934">
        <w:rPr>
          <w:rFonts w:ascii="Times New Roman" w:hAnsi="Times New Roman" w:cs="Times New Roman"/>
          <w:i/>
        </w:rPr>
        <w:t xml:space="preserve">. </w:t>
      </w:r>
      <w:proofErr w:type="spellStart"/>
      <w:r w:rsidRPr="00A82934">
        <w:rPr>
          <w:rFonts w:ascii="Times New Roman" w:hAnsi="Times New Roman" w:cs="Times New Roman"/>
          <w:i/>
        </w:rPr>
        <w:t>it</w:t>
      </w:r>
      <w:proofErr w:type="spellEnd"/>
      <w:r w:rsidRPr="00A82934">
        <w:rPr>
          <w:rFonts w:ascii="Times New Roman" w:hAnsi="Times New Roman" w:cs="Times New Roman"/>
        </w:rPr>
        <w:t>, n. 6/2018.</w:t>
      </w:r>
    </w:p>
  </w:footnote>
  <w:footnote w:id="3">
    <w:p w:rsidR="000C3212" w:rsidRPr="00A82934" w:rsidRDefault="000C3212"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In argomento </w:t>
      </w:r>
      <w:r w:rsidRPr="00A82934">
        <w:rPr>
          <w:rFonts w:ascii="Times New Roman" w:hAnsi="Times New Roman" w:cs="Times New Roman"/>
          <w:smallCaps/>
        </w:rPr>
        <w:t>F. Fracchia – M. Occhiena</w:t>
      </w:r>
      <w:r w:rsidRPr="00A82934">
        <w:rPr>
          <w:rFonts w:ascii="Times New Roman" w:hAnsi="Times New Roman" w:cs="Times New Roman"/>
        </w:rPr>
        <w:t xml:space="preserve">, </w:t>
      </w:r>
      <w:r w:rsidRPr="00A82934">
        <w:rPr>
          <w:rFonts w:ascii="Times New Roman" w:hAnsi="Times New Roman" w:cs="Times New Roman"/>
          <w:i/>
        </w:rPr>
        <w:t xml:space="preserve">Il giudice amministrativo e l’inferenza logica: “più probabile che non” </w:t>
      </w:r>
      <w:proofErr w:type="gramStart"/>
      <w:r w:rsidRPr="00A82934">
        <w:rPr>
          <w:rFonts w:ascii="Times New Roman" w:hAnsi="Times New Roman" w:cs="Times New Roman"/>
          <w:i/>
        </w:rPr>
        <w:t>e “</w:t>
      </w:r>
      <w:proofErr w:type="gramEnd"/>
      <w:r w:rsidRPr="00A82934">
        <w:rPr>
          <w:rFonts w:ascii="Times New Roman" w:hAnsi="Times New Roman" w:cs="Times New Roman"/>
          <w:i/>
        </w:rPr>
        <w:t>oltre”, “rilevante probabilità” e “oltre ogni ragionevole dubbio”. Paradigmi argomentativi e rilevanza dell’interesse pubblico</w:t>
      </w:r>
      <w:r w:rsidRPr="00A82934">
        <w:rPr>
          <w:rFonts w:ascii="Times New Roman" w:hAnsi="Times New Roman" w:cs="Times New Roman"/>
        </w:rPr>
        <w:t>, ne</w:t>
      </w:r>
      <w:r w:rsidRPr="00A82934">
        <w:rPr>
          <w:rFonts w:ascii="Times New Roman" w:hAnsi="Times New Roman" w:cs="Times New Roman"/>
          <w:i/>
        </w:rPr>
        <w:t xml:space="preserve"> Il diritto dell’economia</w:t>
      </w:r>
      <w:r w:rsidRPr="00A82934">
        <w:rPr>
          <w:rFonts w:ascii="Times New Roman" w:hAnsi="Times New Roman" w:cs="Times New Roman"/>
        </w:rPr>
        <w:t xml:space="preserve">, n. 3/2018, </w:t>
      </w:r>
      <w:proofErr w:type="spellStart"/>
      <w:r w:rsidRPr="00A82934">
        <w:rPr>
          <w:rFonts w:ascii="Times New Roman" w:hAnsi="Times New Roman" w:cs="Times New Roman"/>
        </w:rPr>
        <w:t>pagg</w:t>
      </w:r>
      <w:proofErr w:type="spellEnd"/>
      <w:r w:rsidRPr="00A82934">
        <w:rPr>
          <w:rFonts w:ascii="Times New Roman" w:hAnsi="Times New Roman" w:cs="Times New Roman"/>
        </w:rPr>
        <w:t xml:space="preserve">. 1125 e segg. </w:t>
      </w:r>
      <w:r w:rsidRPr="00A82934">
        <w:rPr>
          <w:rFonts w:ascii="Times New Roman" w:hAnsi="Times New Roman" w:cs="Times New Roman"/>
        </w:rPr>
        <w:cr/>
      </w:r>
    </w:p>
  </w:footnote>
  <w:footnote w:id="4">
    <w:p w:rsidR="00327C79" w:rsidRPr="00A82934" w:rsidRDefault="00E05D4A"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w:t>
      </w:r>
      <w:r w:rsidR="00A82934" w:rsidRPr="00A82934">
        <w:rPr>
          <w:rFonts w:ascii="Times New Roman" w:hAnsi="Times New Roman" w:cs="Times New Roman"/>
          <w:i/>
        </w:rPr>
        <w:t xml:space="preserve">Ex </w:t>
      </w:r>
      <w:proofErr w:type="spellStart"/>
      <w:r w:rsidR="00A82934" w:rsidRPr="00A82934">
        <w:rPr>
          <w:rFonts w:ascii="Times New Roman" w:hAnsi="Times New Roman" w:cs="Times New Roman"/>
          <w:i/>
        </w:rPr>
        <w:t>multis</w:t>
      </w:r>
      <w:proofErr w:type="spellEnd"/>
      <w:r w:rsidR="00A82934">
        <w:rPr>
          <w:rFonts w:ascii="Times New Roman" w:hAnsi="Times New Roman" w:cs="Times New Roman"/>
        </w:rPr>
        <w:t xml:space="preserve">: </w:t>
      </w:r>
      <w:r w:rsidRPr="00A82934">
        <w:rPr>
          <w:rFonts w:ascii="Times New Roman" w:hAnsi="Times New Roman" w:cs="Times New Roman"/>
        </w:rPr>
        <w:t>Consiglio di Stato, sez. III, sentenza n. 497/2021</w:t>
      </w:r>
      <w:r w:rsidR="00A82934">
        <w:rPr>
          <w:rFonts w:ascii="Times New Roman" w:hAnsi="Times New Roman" w:cs="Times New Roman"/>
        </w:rPr>
        <w:t xml:space="preserve">; </w:t>
      </w:r>
      <w:proofErr w:type="spellStart"/>
      <w:r w:rsidRPr="00A82934">
        <w:rPr>
          <w:rFonts w:ascii="Times New Roman" w:hAnsi="Times New Roman" w:cs="Times New Roman"/>
        </w:rPr>
        <w:t>Cass</w:t>
      </w:r>
      <w:proofErr w:type="spellEnd"/>
      <w:r w:rsidRPr="00A82934">
        <w:rPr>
          <w:rFonts w:ascii="Times New Roman" w:hAnsi="Times New Roman" w:cs="Times New Roman"/>
        </w:rPr>
        <w:t>. civ. Sez. I, sentenza n. 16505/2019</w:t>
      </w:r>
      <w:r w:rsidR="00A82934">
        <w:rPr>
          <w:rFonts w:ascii="Times New Roman" w:hAnsi="Times New Roman" w:cs="Times New Roman"/>
        </w:rPr>
        <w:t xml:space="preserve">; </w:t>
      </w:r>
      <w:r w:rsidR="00327C79" w:rsidRPr="00A82934">
        <w:rPr>
          <w:rFonts w:ascii="Times New Roman" w:hAnsi="Times New Roman" w:cs="Times New Roman"/>
        </w:rPr>
        <w:t>Cassazione civile sez. lav., 12/10/2022, n.29769</w:t>
      </w:r>
      <w:r w:rsidR="00A82934">
        <w:rPr>
          <w:rFonts w:ascii="Times New Roman" w:hAnsi="Times New Roman" w:cs="Times New Roman"/>
        </w:rPr>
        <w:t xml:space="preserve">; </w:t>
      </w:r>
      <w:r w:rsidR="00327C79" w:rsidRPr="00A82934">
        <w:rPr>
          <w:rFonts w:ascii="Times New Roman" w:hAnsi="Times New Roman" w:cs="Times New Roman"/>
        </w:rPr>
        <w:t>Cassazione civile sez. lav., 31/01/2022, n.2876</w:t>
      </w:r>
      <w:r w:rsidR="00A82934">
        <w:rPr>
          <w:rFonts w:ascii="Times New Roman" w:hAnsi="Times New Roman" w:cs="Times New Roman"/>
        </w:rPr>
        <w:t xml:space="preserve">; </w:t>
      </w:r>
      <w:r w:rsidR="00327C79" w:rsidRPr="00A82934">
        <w:rPr>
          <w:rFonts w:ascii="Times New Roman" w:hAnsi="Times New Roman" w:cs="Times New Roman"/>
        </w:rPr>
        <w:t>Cassazione civile sez. I, 20/12/2021, n.40796</w:t>
      </w:r>
      <w:r w:rsidR="00A82934">
        <w:rPr>
          <w:rFonts w:ascii="Times New Roman" w:hAnsi="Times New Roman" w:cs="Times New Roman"/>
        </w:rPr>
        <w:t xml:space="preserve">; </w:t>
      </w:r>
      <w:r w:rsidR="00327C79" w:rsidRPr="00A82934">
        <w:rPr>
          <w:rFonts w:ascii="Times New Roman" w:hAnsi="Times New Roman" w:cs="Times New Roman"/>
        </w:rPr>
        <w:t>Cassazione civile sez. lav., 19/07/2021, n.20560.</w:t>
      </w:r>
    </w:p>
    <w:p w:rsidR="00E05D4A" w:rsidRPr="00A82934" w:rsidRDefault="00E05D4A" w:rsidP="00A82934">
      <w:pPr>
        <w:pStyle w:val="Testonotaapidipagina"/>
        <w:jc w:val="both"/>
        <w:rPr>
          <w:rFonts w:ascii="Times New Roman" w:hAnsi="Times New Roman" w:cs="Times New Roman"/>
        </w:rPr>
      </w:pPr>
    </w:p>
    <w:p w:rsidR="00E05D4A" w:rsidRPr="00A82934" w:rsidRDefault="00E05D4A" w:rsidP="00A82934">
      <w:pPr>
        <w:pStyle w:val="Testonotaapidipagina"/>
        <w:jc w:val="both"/>
        <w:rPr>
          <w:rFonts w:ascii="Times New Roman" w:hAnsi="Times New Roman" w:cs="Times New Roman"/>
        </w:rPr>
      </w:pPr>
    </w:p>
  </w:footnote>
  <w:footnote w:id="5">
    <w:p w:rsidR="005F15E5" w:rsidRPr="00A82934" w:rsidRDefault="005F15E5"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“Dal tenore della novellata disposizione, sembrerebbe chiaro l'intento di voler superare quell'indirizzo interpretativo, diffusamente affermatosi nella giurisprudenza civile, secondo cui la sentenza di patteggiamento non solo sarebbe dotata di piena efficacia probatoria, ma presupporrebbe un'implicita ammissione di colpevolezza”</w:t>
      </w:r>
      <w:r w:rsidR="00A82934">
        <w:rPr>
          <w:rFonts w:ascii="Times New Roman" w:hAnsi="Times New Roman" w:cs="Times New Roman"/>
        </w:rPr>
        <w:t xml:space="preserve"> (commento all’art. 445 c.p.p., in “C.p.p. commentato”, </w:t>
      </w:r>
      <w:r w:rsidR="00A82934" w:rsidRPr="00A82934">
        <w:rPr>
          <w:rFonts w:ascii="Times New Roman" w:hAnsi="Times New Roman" w:cs="Times New Roman"/>
        </w:rPr>
        <w:t>a cura di F</w:t>
      </w:r>
      <w:r w:rsidR="00A82934">
        <w:rPr>
          <w:rFonts w:ascii="Times New Roman" w:hAnsi="Times New Roman" w:cs="Times New Roman"/>
        </w:rPr>
        <w:t>.</w:t>
      </w:r>
      <w:r w:rsidR="00A82934" w:rsidRPr="00A82934">
        <w:rPr>
          <w:rFonts w:ascii="Times New Roman" w:hAnsi="Times New Roman" w:cs="Times New Roman"/>
        </w:rPr>
        <w:t xml:space="preserve"> Rizzo, aggiornato da F</w:t>
      </w:r>
      <w:r w:rsidR="00A82934">
        <w:rPr>
          <w:rFonts w:ascii="Times New Roman" w:hAnsi="Times New Roman" w:cs="Times New Roman"/>
        </w:rPr>
        <w:t>.</w:t>
      </w:r>
      <w:r w:rsidR="00A82934" w:rsidRPr="00A82934">
        <w:rPr>
          <w:rFonts w:ascii="Times New Roman" w:hAnsi="Times New Roman" w:cs="Times New Roman"/>
        </w:rPr>
        <w:t xml:space="preserve"> </w:t>
      </w:r>
      <w:proofErr w:type="spellStart"/>
      <w:r w:rsidR="00A82934" w:rsidRPr="00A82934">
        <w:rPr>
          <w:rFonts w:ascii="Times New Roman" w:hAnsi="Times New Roman" w:cs="Times New Roman"/>
        </w:rPr>
        <w:t>Giunchedi</w:t>
      </w:r>
      <w:proofErr w:type="spellEnd"/>
      <w:r w:rsidR="00A82934" w:rsidRPr="00A82934">
        <w:rPr>
          <w:rFonts w:ascii="Times New Roman" w:hAnsi="Times New Roman" w:cs="Times New Roman"/>
        </w:rPr>
        <w:t>, C</w:t>
      </w:r>
      <w:r w:rsidR="00A82934">
        <w:rPr>
          <w:rFonts w:ascii="Times New Roman" w:hAnsi="Times New Roman" w:cs="Times New Roman"/>
        </w:rPr>
        <w:t>.</w:t>
      </w:r>
      <w:r w:rsidR="00A82934" w:rsidRPr="00A82934">
        <w:rPr>
          <w:rFonts w:ascii="Times New Roman" w:hAnsi="Times New Roman" w:cs="Times New Roman"/>
        </w:rPr>
        <w:t xml:space="preserve"> Santoriello, G</w:t>
      </w:r>
      <w:r w:rsidR="00A82934">
        <w:rPr>
          <w:rFonts w:ascii="Times New Roman" w:hAnsi="Times New Roman" w:cs="Times New Roman"/>
        </w:rPr>
        <w:t>.</w:t>
      </w:r>
      <w:r w:rsidR="00A82934" w:rsidRPr="00A82934">
        <w:rPr>
          <w:rFonts w:ascii="Times New Roman" w:hAnsi="Times New Roman" w:cs="Times New Roman"/>
        </w:rPr>
        <w:t xml:space="preserve"> Errico</w:t>
      </w:r>
      <w:r w:rsidR="00A82934">
        <w:rPr>
          <w:rFonts w:ascii="Times New Roman" w:hAnsi="Times New Roman" w:cs="Times New Roman"/>
        </w:rPr>
        <w:t xml:space="preserve">, </w:t>
      </w:r>
      <w:proofErr w:type="spellStart"/>
      <w:r w:rsidR="00A82934">
        <w:rPr>
          <w:rFonts w:ascii="Times New Roman" w:hAnsi="Times New Roman" w:cs="Times New Roman"/>
        </w:rPr>
        <w:t>Wolters</w:t>
      </w:r>
      <w:proofErr w:type="spellEnd"/>
      <w:r w:rsidR="00A82934">
        <w:rPr>
          <w:rFonts w:ascii="Times New Roman" w:hAnsi="Times New Roman" w:cs="Times New Roman"/>
        </w:rPr>
        <w:t xml:space="preserve"> </w:t>
      </w:r>
      <w:proofErr w:type="spellStart"/>
      <w:r w:rsidR="00A82934">
        <w:rPr>
          <w:rFonts w:ascii="Times New Roman" w:hAnsi="Times New Roman" w:cs="Times New Roman"/>
        </w:rPr>
        <w:t>Kluver</w:t>
      </w:r>
      <w:proofErr w:type="spellEnd"/>
      <w:r w:rsidR="00A82934">
        <w:rPr>
          <w:rFonts w:ascii="Times New Roman" w:hAnsi="Times New Roman" w:cs="Times New Roman"/>
        </w:rPr>
        <w:t>)</w:t>
      </w:r>
      <w:r w:rsidRPr="00A82934">
        <w:rPr>
          <w:rFonts w:ascii="Times New Roman" w:hAnsi="Times New Roman" w:cs="Times New Roman"/>
        </w:rPr>
        <w:t>.</w:t>
      </w:r>
    </w:p>
    <w:p w:rsidR="000C3212" w:rsidRPr="00A82934" w:rsidRDefault="000C3212" w:rsidP="00A82934">
      <w:pPr>
        <w:pStyle w:val="Testonotaapidipagina"/>
        <w:jc w:val="both"/>
        <w:rPr>
          <w:rFonts w:ascii="Times New Roman" w:hAnsi="Times New Roman" w:cs="Times New Roman"/>
        </w:rPr>
      </w:pPr>
    </w:p>
  </w:footnote>
  <w:footnote w:id="6">
    <w:p w:rsidR="00801C0D" w:rsidRPr="00A82934" w:rsidRDefault="00801C0D"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“Nel caso in cui non siano applicate pene accessorie, si è inoltre previsto che la sentenza di cui all'art. 444, 2° co. possa essere equiparata ad una sentenza di condanna esclusivamente nell'ipotesi in cui vi sia una disposizione di legge penale che lo stabilisca espressamente. Eventuali norme </w:t>
      </w:r>
      <w:proofErr w:type="spellStart"/>
      <w:r w:rsidRPr="00A82934">
        <w:rPr>
          <w:rFonts w:ascii="Times New Roman" w:hAnsi="Times New Roman" w:cs="Times New Roman"/>
        </w:rPr>
        <w:t>extrapenali</w:t>
      </w:r>
      <w:proofErr w:type="spellEnd"/>
      <w:r w:rsidRPr="00A82934">
        <w:rPr>
          <w:rFonts w:ascii="Times New Roman" w:hAnsi="Times New Roman" w:cs="Times New Roman"/>
        </w:rPr>
        <w:t xml:space="preserve"> che dovessero operare tale equiparazione dovranno, pertanto, ritenersi improduttive di effetti”</w:t>
      </w:r>
      <w:r w:rsidR="00A82934">
        <w:rPr>
          <w:rFonts w:ascii="Times New Roman" w:hAnsi="Times New Roman" w:cs="Times New Roman"/>
        </w:rPr>
        <w:t xml:space="preserve"> (op. </w:t>
      </w:r>
      <w:proofErr w:type="spellStart"/>
      <w:r w:rsidR="00A82934">
        <w:rPr>
          <w:rFonts w:ascii="Times New Roman" w:hAnsi="Times New Roman" w:cs="Times New Roman"/>
        </w:rPr>
        <w:t>ult</w:t>
      </w:r>
      <w:proofErr w:type="spellEnd"/>
      <w:r w:rsidR="00A82934">
        <w:rPr>
          <w:rFonts w:ascii="Times New Roman" w:hAnsi="Times New Roman" w:cs="Times New Roman"/>
        </w:rPr>
        <w:t>. cit.)</w:t>
      </w:r>
    </w:p>
  </w:footnote>
  <w:footnote w:id="7">
    <w:p w:rsidR="005C7008" w:rsidRPr="00A82934" w:rsidRDefault="005C7008"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w:t>
      </w:r>
      <w:r w:rsidRPr="00A82934">
        <w:rPr>
          <w:rFonts w:ascii="Times New Roman" w:hAnsi="Times New Roman" w:cs="Times New Roman"/>
          <w:smallCaps/>
        </w:rPr>
        <w:t xml:space="preserve">G. </w:t>
      </w:r>
      <w:proofErr w:type="spellStart"/>
      <w:r w:rsidRPr="00A82934">
        <w:rPr>
          <w:rFonts w:ascii="Times New Roman" w:hAnsi="Times New Roman" w:cs="Times New Roman"/>
          <w:smallCaps/>
        </w:rPr>
        <w:t>Mitja</w:t>
      </w:r>
      <w:proofErr w:type="spellEnd"/>
      <w:r w:rsidRPr="00A82934">
        <w:rPr>
          <w:rFonts w:ascii="Times New Roman" w:hAnsi="Times New Roman" w:cs="Times New Roman"/>
        </w:rPr>
        <w:t xml:space="preserve">, </w:t>
      </w:r>
      <w:r w:rsidRPr="00A82934">
        <w:rPr>
          <w:rFonts w:ascii="Times New Roman" w:hAnsi="Times New Roman" w:cs="Times New Roman"/>
          <w:i/>
        </w:rPr>
        <w:t>Applicazione della pena su richiesta delle parti</w:t>
      </w:r>
      <w:r w:rsidRPr="00A82934">
        <w:rPr>
          <w:rFonts w:ascii="Times New Roman" w:hAnsi="Times New Roman" w:cs="Times New Roman"/>
        </w:rPr>
        <w:t>, in</w:t>
      </w:r>
      <w:r w:rsidRPr="00A82934">
        <w:rPr>
          <w:rFonts w:ascii="Times New Roman" w:hAnsi="Times New Roman" w:cs="Times New Roman"/>
          <w:i/>
        </w:rPr>
        <w:t xml:space="preserve"> </w:t>
      </w:r>
      <w:proofErr w:type="spellStart"/>
      <w:r w:rsidRPr="00A82934">
        <w:rPr>
          <w:rFonts w:ascii="Times New Roman" w:hAnsi="Times New Roman" w:cs="Times New Roman"/>
          <w:i/>
        </w:rPr>
        <w:t>Enc</w:t>
      </w:r>
      <w:proofErr w:type="spellEnd"/>
      <w:r w:rsidRPr="00A82934">
        <w:rPr>
          <w:rFonts w:ascii="Times New Roman" w:hAnsi="Times New Roman" w:cs="Times New Roman"/>
          <w:i/>
        </w:rPr>
        <w:t>. Dir.</w:t>
      </w:r>
      <w:r w:rsidRPr="00A82934">
        <w:rPr>
          <w:rFonts w:ascii="Times New Roman" w:hAnsi="Times New Roman" w:cs="Times New Roman"/>
        </w:rPr>
        <w:t>, Annali, II-1, 2008.</w:t>
      </w:r>
    </w:p>
    <w:p w:rsidR="005C7008" w:rsidRPr="00A82934" w:rsidRDefault="005C7008" w:rsidP="00A82934">
      <w:pPr>
        <w:pStyle w:val="Testonotaapidipagina"/>
        <w:jc w:val="both"/>
        <w:rPr>
          <w:rFonts w:ascii="Times New Roman" w:hAnsi="Times New Roman" w:cs="Times New Roman"/>
        </w:rPr>
      </w:pPr>
      <w:r w:rsidRPr="00A82934">
        <w:rPr>
          <w:rFonts w:ascii="Times New Roman" w:hAnsi="Times New Roman" w:cs="Times New Roman"/>
        </w:rPr>
        <w:t xml:space="preserve"> </w:t>
      </w:r>
    </w:p>
  </w:footnote>
  <w:footnote w:id="8">
    <w:p w:rsidR="00595A4E" w:rsidRPr="00A82934" w:rsidRDefault="00595A4E"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w:t>
      </w:r>
      <w:r w:rsidRPr="00A82934">
        <w:rPr>
          <w:rFonts w:ascii="Times New Roman" w:hAnsi="Times New Roman" w:cs="Times New Roman"/>
          <w:smallCaps/>
        </w:rPr>
        <w:t xml:space="preserve">F. </w:t>
      </w:r>
      <w:proofErr w:type="spellStart"/>
      <w:r w:rsidRPr="00A82934">
        <w:rPr>
          <w:rFonts w:ascii="Times New Roman" w:hAnsi="Times New Roman" w:cs="Times New Roman"/>
          <w:smallCaps/>
        </w:rPr>
        <w:t>Terrusi</w:t>
      </w:r>
      <w:proofErr w:type="spellEnd"/>
      <w:r w:rsidRPr="00A82934">
        <w:rPr>
          <w:rFonts w:ascii="Times New Roman" w:hAnsi="Times New Roman" w:cs="Times New Roman"/>
        </w:rPr>
        <w:t xml:space="preserve">, voce </w:t>
      </w:r>
      <w:r w:rsidRPr="00A82934">
        <w:rPr>
          <w:rFonts w:ascii="Times New Roman" w:hAnsi="Times New Roman" w:cs="Times New Roman"/>
          <w:i/>
        </w:rPr>
        <w:t>Rapporti fra giudicato penale e giudizio amministrativo</w:t>
      </w:r>
      <w:r w:rsidRPr="00A82934">
        <w:rPr>
          <w:rFonts w:ascii="Times New Roman" w:hAnsi="Times New Roman" w:cs="Times New Roman"/>
        </w:rPr>
        <w:t>, in</w:t>
      </w:r>
      <w:r w:rsidRPr="00A82934">
        <w:rPr>
          <w:rFonts w:ascii="Times New Roman" w:hAnsi="Times New Roman" w:cs="Times New Roman"/>
          <w:i/>
        </w:rPr>
        <w:t xml:space="preserve"> Digesto disc. </w:t>
      </w:r>
      <w:proofErr w:type="spellStart"/>
      <w:r w:rsidR="00265139" w:rsidRPr="00A82934">
        <w:rPr>
          <w:rFonts w:ascii="Times New Roman" w:hAnsi="Times New Roman" w:cs="Times New Roman"/>
          <w:i/>
        </w:rPr>
        <w:t>p</w:t>
      </w:r>
      <w:r w:rsidRPr="00A82934">
        <w:rPr>
          <w:rFonts w:ascii="Times New Roman" w:hAnsi="Times New Roman" w:cs="Times New Roman"/>
          <w:i/>
        </w:rPr>
        <w:t>en</w:t>
      </w:r>
      <w:proofErr w:type="spellEnd"/>
      <w:r w:rsidRPr="00A82934">
        <w:rPr>
          <w:rFonts w:ascii="Times New Roman" w:hAnsi="Times New Roman" w:cs="Times New Roman"/>
        </w:rPr>
        <w:t xml:space="preserve">., XI, Utet, 1996. </w:t>
      </w:r>
    </w:p>
    <w:p w:rsidR="00595A4E" w:rsidRPr="00A82934" w:rsidRDefault="00595A4E" w:rsidP="00A82934">
      <w:pPr>
        <w:pStyle w:val="Testonotaapidipagina"/>
        <w:jc w:val="both"/>
        <w:rPr>
          <w:rFonts w:ascii="Times New Roman" w:hAnsi="Times New Roman" w:cs="Times New Roman"/>
        </w:rPr>
      </w:pPr>
      <w:r w:rsidRPr="00A82934">
        <w:rPr>
          <w:rFonts w:ascii="Times New Roman" w:hAnsi="Times New Roman" w:cs="Times New Roman"/>
        </w:rPr>
        <w:t xml:space="preserve"> </w:t>
      </w:r>
    </w:p>
  </w:footnote>
  <w:footnote w:id="9">
    <w:p w:rsidR="00A82934" w:rsidRPr="00A82934" w:rsidRDefault="00A82934" w:rsidP="00A82934">
      <w:pPr>
        <w:jc w:val="both"/>
        <w:rPr>
          <w:rFonts w:ascii="Times New Roman" w:hAnsi="Times New Roman" w:cs="Times New Roman"/>
          <w:sz w:val="20"/>
          <w:szCs w:val="20"/>
        </w:rPr>
      </w:pPr>
      <w:r w:rsidRPr="00A82934">
        <w:rPr>
          <w:rStyle w:val="Rimandonotaapidipagina"/>
          <w:rFonts w:ascii="Times New Roman" w:hAnsi="Times New Roman" w:cs="Times New Roman"/>
          <w:sz w:val="20"/>
          <w:szCs w:val="20"/>
        </w:rPr>
        <w:footnoteRef/>
      </w:r>
      <w:r w:rsidRPr="00A82934">
        <w:rPr>
          <w:rFonts w:ascii="Times New Roman" w:hAnsi="Times New Roman" w:cs="Times New Roman"/>
          <w:sz w:val="20"/>
          <w:szCs w:val="20"/>
        </w:rPr>
        <w:t xml:space="preserve"> Atto IV, scena 10, v. 11 (</w:t>
      </w:r>
      <w:r w:rsidRPr="00A82934">
        <w:rPr>
          <w:rFonts w:ascii="Times New Roman" w:hAnsi="Times New Roman" w:cs="Times New Roman"/>
          <w:i/>
          <w:sz w:val="20"/>
          <w:szCs w:val="20"/>
        </w:rPr>
        <w:t xml:space="preserve">Factum est </w:t>
      </w:r>
      <w:proofErr w:type="spellStart"/>
      <w:r w:rsidRPr="00A82934">
        <w:rPr>
          <w:rFonts w:ascii="Times New Roman" w:hAnsi="Times New Roman" w:cs="Times New Roman"/>
          <w:i/>
          <w:sz w:val="20"/>
          <w:szCs w:val="20"/>
        </w:rPr>
        <w:t>illud</w:t>
      </w:r>
      <w:proofErr w:type="spellEnd"/>
      <w:r w:rsidRPr="00A82934">
        <w:rPr>
          <w:rFonts w:ascii="Times New Roman" w:hAnsi="Times New Roman" w:cs="Times New Roman"/>
          <w:i/>
          <w:sz w:val="20"/>
          <w:szCs w:val="20"/>
        </w:rPr>
        <w:t xml:space="preserve">; fieri </w:t>
      </w:r>
      <w:proofErr w:type="spellStart"/>
      <w:r w:rsidRPr="00A82934">
        <w:rPr>
          <w:rFonts w:ascii="Times New Roman" w:hAnsi="Times New Roman" w:cs="Times New Roman"/>
          <w:i/>
          <w:sz w:val="20"/>
          <w:szCs w:val="20"/>
        </w:rPr>
        <w:t>infectum</w:t>
      </w:r>
      <w:proofErr w:type="spellEnd"/>
      <w:r w:rsidRPr="00A82934">
        <w:rPr>
          <w:rFonts w:ascii="Times New Roman" w:hAnsi="Times New Roman" w:cs="Times New Roman"/>
          <w:i/>
          <w:sz w:val="20"/>
          <w:szCs w:val="20"/>
        </w:rPr>
        <w:t xml:space="preserve"> non </w:t>
      </w:r>
      <w:proofErr w:type="spellStart"/>
      <w:r w:rsidRPr="00A82934">
        <w:rPr>
          <w:rFonts w:ascii="Times New Roman" w:hAnsi="Times New Roman" w:cs="Times New Roman"/>
          <w:i/>
          <w:sz w:val="20"/>
          <w:szCs w:val="20"/>
        </w:rPr>
        <w:t>potest</w:t>
      </w:r>
      <w:proofErr w:type="spellEnd"/>
      <w:r w:rsidRPr="00A82934">
        <w:rPr>
          <w:rFonts w:ascii="Times New Roman" w:hAnsi="Times New Roman" w:cs="Times New Roman"/>
          <w:sz w:val="20"/>
          <w:szCs w:val="20"/>
        </w:rPr>
        <w:t>) dell’</w:t>
      </w:r>
      <w:proofErr w:type="spellStart"/>
      <w:r w:rsidRPr="00A82934">
        <w:rPr>
          <w:rFonts w:ascii="Times New Roman" w:hAnsi="Times New Roman" w:cs="Times New Roman"/>
          <w:i/>
          <w:sz w:val="20"/>
          <w:szCs w:val="20"/>
        </w:rPr>
        <w:t>Aulularia</w:t>
      </w:r>
      <w:proofErr w:type="spellEnd"/>
      <w:r w:rsidRPr="00A82934">
        <w:rPr>
          <w:rFonts w:ascii="Times New Roman" w:hAnsi="Times New Roman" w:cs="Times New Roman"/>
          <w:sz w:val="20"/>
          <w:szCs w:val="20"/>
        </w:rPr>
        <w:t>: meglio nota come “Commedia della pentola”, o “la Pentola d’oro” (una commedia degli equivoci alla quale si sarebbe ispirato Molière per “L’avaro”).</w:t>
      </w:r>
    </w:p>
    <w:p w:rsidR="00A82934" w:rsidRPr="00A82934" w:rsidRDefault="00A82934" w:rsidP="00A82934">
      <w:pPr>
        <w:pStyle w:val="Testonotaapidipagina"/>
        <w:jc w:val="both"/>
        <w:rPr>
          <w:rFonts w:ascii="Times New Roman" w:hAnsi="Times New Roman" w:cs="Times New Roman"/>
        </w:rPr>
      </w:pPr>
    </w:p>
  </w:footnote>
  <w:footnote w:id="10">
    <w:p w:rsidR="00AA2122" w:rsidRPr="00A82934" w:rsidRDefault="00AA2122" w:rsidP="00A82934">
      <w:pPr>
        <w:pStyle w:val="Testonotaapidipagina"/>
        <w:jc w:val="both"/>
        <w:rPr>
          <w:rFonts w:ascii="Times New Roman" w:hAnsi="Times New Roman" w:cs="Times New Roman"/>
        </w:rPr>
      </w:pPr>
      <w:r w:rsidRPr="00A82934">
        <w:rPr>
          <w:rStyle w:val="Rimandonotaapidipagina"/>
          <w:rFonts w:ascii="Times New Roman" w:hAnsi="Times New Roman" w:cs="Times New Roman"/>
        </w:rPr>
        <w:footnoteRef/>
      </w:r>
      <w:r w:rsidRPr="00A82934">
        <w:rPr>
          <w:rFonts w:ascii="Times New Roman" w:hAnsi="Times New Roman" w:cs="Times New Roman"/>
        </w:rPr>
        <w:t xml:space="preserve"> </w:t>
      </w:r>
      <w:r w:rsidRPr="00A82934">
        <w:rPr>
          <w:rFonts w:ascii="Times New Roman" w:hAnsi="Times New Roman" w:cs="Times New Roman"/>
          <w:smallCaps/>
        </w:rPr>
        <w:t>G. Tulumello</w:t>
      </w:r>
      <w:r w:rsidRPr="00A82934">
        <w:rPr>
          <w:rFonts w:ascii="Times New Roman" w:hAnsi="Times New Roman" w:cs="Times New Roman"/>
        </w:rPr>
        <w:t xml:space="preserve">, </w:t>
      </w:r>
      <w:r w:rsidRPr="00A82934">
        <w:rPr>
          <w:rFonts w:ascii="Times New Roman" w:hAnsi="Times New Roman" w:cs="Times New Roman"/>
          <w:i/>
        </w:rPr>
        <w:t>Brevi riflessioni sulla formazione culturale del giurista, e sulle sue conseguenze</w:t>
      </w:r>
      <w:r w:rsidRPr="00A82934">
        <w:rPr>
          <w:rFonts w:ascii="Times New Roman" w:hAnsi="Times New Roman" w:cs="Times New Roman"/>
        </w:rPr>
        <w:t>, in</w:t>
      </w:r>
      <w:r w:rsidRPr="00A82934">
        <w:rPr>
          <w:rFonts w:ascii="Times New Roman" w:hAnsi="Times New Roman" w:cs="Times New Roman"/>
          <w:i/>
        </w:rPr>
        <w:t xml:space="preserve"> </w:t>
      </w:r>
      <w:proofErr w:type="spellStart"/>
      <w:r w:rsidRPr="00A82934">
        <w:rPr>
          <w:rFonts w:ascii="Times New Roman" w:hAnsi="Times New Roman" w:cs="Times New Roman"/>
          <w:i/>
        </w:rPr>
        <w:t>Diritto&amp;Questioni</w:t>
      </w:r>
      <w:proofErr w:type="spellEnd"/>
      <w:r w:rsidRPr="00A82934">
        <w:rPr>
          <w:rFonts w:ascii="Times New Roman" w:hAnsi="Times New Roman" w:cs="Times New Roman"/>
          <w:i/>
        </w:rPr>
        <w:t xml:space="preserve"> pubbliche</w:t>
      </w:r>
      <w:r w:rsidRPr="00A82934">
        <w:rPr>
          <w:rFonts w:ascii="Times New Roman" w:hAnsi="Times New Roman" w:cs="Times New Roman"/>
        </w:rPr>
        <w:t xml:space="preserve">, n. 2/2021, pp. 181-187; </w:t>
      </w:r>
      <w:r w:rsidRPr="00A82934">
        <w:rPr>
          <w:rFonts w:ascii="Times New Roman" w:hAnsi="Times New Roman" w:cs="Times New Roman"/>
          <w:smallCaps/>
        </w:rPr>
        <w:t>Id.</w:t>
      </w:r>
      <w:r w:rsidRPr="00A82934">
        <w:rPr>
          <w:rFonts w:ascii="Times New Roman" w:hAnsi="Times New Roman" w:cs="Times New Roman"/>
        </w:rPr>
        <w:t xml:space="preserve"> </w:t>
      </w:r>
      <w:r w:rsidRPr="00A82934">
        <w:rPr>
          <w:rFonts w:ascii="Times New Roman" w:hAnsi="Times New Roman" w:cs="Times New Roman"/>
          <w:i/>
        </w:rPr>
        <w:t>Dello scrivere del giudice: brevi note su cause ed effetti dell’argomentazione giudiziaria</w:t>
      </w:r>
      <w:r w:rsidRPr="00A82934">
        <w:rPr>
          <w:rFonts w:ascii="Times New Roman" w:hAnsi="Times New Roman" w:cs="Times New Roman"/>
        </w:rPr>
        <w:t>, in</w:t>
      </w:r>
      <w:r w:rsidRPr="00A82934">
        <w:rPr>
          <w:rFonts w:ascii="Times New Roman" w:hAnsi="Times New Roman" w:cs="Times New Roman"/>
          <w:i/>
        </w:rPr>
        <w:t xml:space="preserve"> giustizia-amministrativa.it</w:t>
      </w:r>
      <w:r w:rsidRPr="00A82934">
        <w:rPr>
          <w:rFonts w:ascii="Times New Roman" w:hAnsi="Times New Roman" w:cs="Times New Roman"/>
        </w:rPr>
        <w:t>., 21 ottobre 2021.</w:t>
      </w:r>
    </w:p>
  </w:footnote>
  <w:footnote w:id="11">
    <w:p w:rsidR="004E2006" w:rsidRPr="00A82934" w:rsidRDefault="004E2006" w:rsidP="004E2006">
      <w:pPr>
        <w:pStyle w:val="Testonotaapidipagina"/>
        <w:jc w:val="both"/>
        <w:rPr>
          <w:rFonts w:ascii="Times New Roman" w:hAnsi="Times New Roman" w:cs="Times New Roman"/>
        </w:rPr>
      </w:pPr>
      <w:r>
        <w:rPr>
          <w:rFonts w:ascii="Times New Roman" w:hAnsi="Times New Roman" w:cs="Times New Roman"/>
        </w:rPr>
        <w:t xml:space="preserve">* </w:t>
      </w:r>
      <w:r w:rsidRPr="00A82934">
        <w:rPr>
          <w:rFonts w:ascii="Times New Roman" w:hAnsi="Times New Roman" w:cs="Times New Roman"/>
        </w:rPr>
        <w:t>Le tesi esposte sono opinioni personali dell’autore, e non impegnano l’Istituto cui appartiene.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1040"/>
    <w:multiLevelType w:val="hybridMultilevel"/>
    <w:tmpl w:val="220EC7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5907CE"/>
    <w:multiLevelType w:val="hybridMultilevel"/>
    <w:tmpl w:val="512EB19C"/>
    <w:lvl w:ilvl="0" w:tplc="8F88B842">
      <w:start w:val="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4B"/>
    <w:rsid w:val="00070C68"/>
    <w:rsid w:val="000C3212"/>
    <w:rsid w:val="000E1487"/>
    <w:rsid w:val="001202FB"/>
    <w:rsid w:val="001B5320"/>
    <w:rsid w:val="001D742D"/>
    <w:rsid w:val="001E3A4B"/>
    <w:rsid w:val="001F0EE5"/>
    <w:rsid w:val="00225972"/>
    <w:rsid w:val="00265139"/>
    <w:rsid w:val="002D587B"/>
    <w:rsid w:val="002E422E"/>
    <w:rsid w:val="00303DB2"/>
    <w:rsid w:val="0030589D"/>
    <w:rsid w:val="00324F9D"/>
    <w:rsid w:val="00327C79"/>
    <w:rsid w:val="003552B2"/>
    <w:rsid w:val="00361E60"/>
    <w:rsid w:val="003B773A"/>
    <w:rsid w:val="003D707D"/>
    <w:rsid w:val="00412E7A"/>
    <w:rsid w:val="00494526"/>
    <w:rsid w:val="004C4F5B"/>
    <w:rsid w:val="004E2006"/>
    <w:rsid w:val="005843E5"/>
    <w:rsid w:val="00595A4E"/>
    <w:rsid w:val="005A23F5"/>
    <w:rsid w:val="005C7008"/>
    <w:rsid w:val="005F15E5"/>
    <w:rsid w:val="005F7C55"/>
    <w:rsid w:val="006C270A"/>
    <w:rsid w:val="00700541"/>
    <w:rsid w:val="00737E1D"/>
    <w:rsid w:val="007914CD"/>
    <w:rsid w:val="007A66EE"/>
    <w:rsid w:val="007F54D7"/>
    <w:rsid w:val="00801C0D"/>
    <w:rsid w:val="00830AD4"/>
    <w:rsid w:val="009061C7"/>
    <w:rsid w:val="00980BB3"/>
    <w:rsid w:val="009D30A1"/>
    <w:rsid w:val="00A20591"/>
    <w:rsid w:val="00A82934"/>
    <w:rsid w:val="00A912A2"/>
    <w:rsid w:val="00A93B52"/>
    <w:rsid w:val="00AA2122"/>
    <w:rsid w:val="00AB108C"/>
    <w:rsid w:val="00AD3F0C"/>
    <w:rsid w:val="00B13D98"/>
    <w:rsid w:val="00B24AC0"/>
    <w:rsid w:val="00BA41F3"/>
    <w:rsid w:val="00BC30C5"/>
    <w:rsid w:val="00C22BD2"/>
    <w:rsid w:val="00C46E8A"/>
    <w:rsid w:val="00C51935"/>
    <w:rsid w:val="00C72BED"/>
    <w:rsid w:val="00D64EED"/>
    <w:rsid w:val="00D64F25"/>
    <w:rsid w:val="00D825B7"/>
    <w:rsid w:val="00D838D6"/>
    <w:rsid w:val="00DA453C"/>
    <w:rsid w:val="00DB30B3"/>
    <w:rsid w:val="00DC3601"/>
    <w:rsid w:val="00E05D4A"/>
    <w:rsid w:val="00E33DE7"/>
    <w:rsid w:val="00E70E55"/>
    <w:rsid w:val="00E735BE"/>
    <w:rsid w:val="00E9683E"/>
    <w:rsid w:val="00EC0070"/>
    <w:rsid w:val="00EC021C"/>
    <w:rsid w:val="00F049F2"/>
    <w:rsid w:val="00F660DD"/>
    <w:rsid w:val="00F85031"/>
    <w:rsid w:val="00F95AB8"/>
    <w:rsid w:val="00FE1010"/>
    <w:rsid w:val="00FF2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151B"/>
  <w15:chartTrackingRefBased/>
  <w15:docId w15:val="{A4D464CF-BD48-4D4D-B958-85CD9E1C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4D7"/>
    <w:pPr>
      <w:ind w:left="720"/>
      <w:contextualSpacing/>
    </w:pPr>
  </w:style>
  <w:style w:type="paragraph" w:styleId="Testonotaapidipagina">
    <w:name w:val="footnote text"/>
    <w:basedOn w:val="Normale"/>
    <w:link w:val="TestonotaapidipaginaCarattere"/>
    <w:uiPriority w:val="99"/>
    <w:unhideWhenUsed/>
    <w:rsid w:val="00801C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01C0D"/>
    <w:rPr>
      <w:sz w:val="20"/>
      <w:szCs w:val="20"/>
    </w:rPr>
  </w:style>
  <w:style w:type="character" w:styleId="Rimandonotaapidipagina">
    <w:name w:val="footnote reference"/>
    <w:basedOn w:val="Carpredefinitoparagrafo"/>
    <w:uiPriority w:val="99"/>
    <w:semiHidden/>
    <w:unhideWhenUsed/>
    <w:rsid w:val="00801C0D"/>
    <w:rPr>
      <w:vertAlign w:val="superscript"/>
    </w:rPr>
  </w:style>
  <w:style w:type="paragraph" w:styleId="Testofumetto">
    <w:name w:val="Balloon Text"/>
    <w:basedOn w:val="Normale"/>
    <w:link w:val="TestofumettoCarattere"/>
    <w:uiPriority w:val="99"/>
    <w:semiHidden/>
    <w:unhideWhenUsed/>
    <w:rsid w:val="00BC30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3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3018-E3B4-4016-BF5F-A6E66F53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3</cp:revision>
  <cp:lastPrinted>2023-03-31T07:41:00Z</cp:lastPrinted>
  <dcterms:created xsi:type="dcterms:W3CDTF">2023-04-12T09:57:00Z</dcterms:created>
  <dcterms:modified xsi:type="dcterms:W3CDTF">2023-04-12T10:01:00Z</dcterms:modified>
</cp:coreProperties>
</file>