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452" w:rsidRPr="004F6E28" w:rsidRDefault="00BB3452" w:rsidP="00187907">
      <w:pPr>
        <w:jc w:val="center"/>
        <w:rPr>
          <w:rFonts w:ascii="Arial" w:hAnsi="Arial" w:cs="Arial"/>
          <w:b/>
          <w:color w:val="686868"/>
          <w:sz w:val="24"/>
          <w:szCs w:val="24"/>
          <w:shd w:val="clear" w:color="auto" w:fill="FFFFFF"/>
          <w:lang w:val="it-IT"/>
        </w:rPr>
      </w:pPr>
      <w:r w:rsidRPr="004F6E28">
        <w:rPr>
          <w:rFonts w:ascii="Arial" w:hAnsi="Arial" w:cs="Arial"/>
          <w:b/>
          <w:color w:val="686868"/>
          <w:sz w:val="24"/>
          <w:szCs w:val="24"/>
          <w:shd w:val="clear" w:color="auto" w:fill="FFFFFF"/>
          <w:lang w:val="it-IT"/>
        </w:rPr>
        <w:t>Protezione garanzie e tutele in una società fluida, globalizzata e multilivello</w:t>
      </w:r>
    </w:p>
    <w:p w:rsidR="00BB3452" w:rsidRPr="004F6E28" w:rsidRDefault="00BB3452" w:rsidP="00187907">
      <w:pPr>
        <w:jc w:val="center"/>
        <w:rPr>
          <w:rFonts w:ascii="Arial" w:hAnsi="Arial" w:cs="Arial"/>
          <w:b/>
          <w:color w:val="686868"/>
          <w:sz w:val="24"/>
          <w:szCs w:val="24"/>
          <w:shd w:val="clear" w:color="auto" w:fill="FFFFFF"/>
          <w:lang w:val="it-IT"/>
        </w:rPr>
      </w:pPr>
      <w:r w:rsidRPr="004F6E28">
        <w:rPr>
          <w:rFonts w:ascii="Arial" w:hAnsi="Arial" w:cs="Arial"/>
          <w:b/>
          <w:color w:val="686868"/>
          <w:sz w:val="24"/>
          <w:szCs w:val="24"/>
          <w:shd w:val="clear" w:color="auto" w:fill="FFFFFF"/>
          <w:lang w:val="it-IT"/>
        </w:rPr>
        <w:t>Ravello 27-28 ottobre 2023</w:t>
      </w:r>
    </w:p>
    <w:p w:rsidR="0031596F" w:rsidRDefault="0031596F" w:rsidP="00187907">
      <w:pPr>
        <w:jc w:val="center"/>
        <w:rPr>
          <w:rFonts w:ascii="Arial" w:hAnsi="Arial" w:cs="Arial"/>
          <w:b/>
          <w:color w:val="686868"/>
          <w:sz w:val="24"/>
          <w:szCs w:val="24"/>
          <w:shd w:val="clear" w:color="auto" w:fill="FFFFFF"/>
          <w:lang w:val="it-IT"/>
        </w:rPr>
      </w:pPr>
      <w:r w:rsidRPr="004F6E28">
        <w:rPr>
          <w:rFonts w:ascii="Arial" w:hAnsi="Arial" w:cs="Arial"/>
          <w:b/>
          <w:color w:val="686868"/>
          <w:sz w:val="24"/>
          <w:szCs w:val="24"/>
          <w:shd w:val="clear" w:color="auto" w:fill="FFFFFF"/>
          <w:lang w:val="it-IT"/>
        </w:rPr>
        <w:t>TUTELA DELL’ORDINE PUBBLICO E LIBERTA’ DI IMPRESA.</w:t>
      </w:r>
    </w:p>
    <w:p w:rsidR="005D480D" w:rsidRPr="004F6E28" w:rsidRDefault="005D480D" w:rsidP="00187907">
      <w:pPr>
        <w:jc w:val="center"/>
        <w:rPr>
          <w:rFonts w:ascii="Arial" w:hAnsi="Arial" w:cs="Arial"/>
          <w:b/>
          <w:color w:val="686868"/>
          <w:sz w:val="24"/>
          <w:szCs w:val="24"/>
          <w:shd w:val="clear" w:color="auto" w:fill="FFFFFF"/>
          <w:lang w:val="it-IT"/>
        </w:rPr>
      </w:pPr>
    </w:p>
    <w:p w:rsidR="004563CA" w:rsidRPr="004F6E28" w:rsidRDefault="00C7392F" w:rsidP="004F6E28">
      <w:pPr>
        <w:pStyle w:val="Paragrafoelenco"/>
        <w:numPr>
          <w:ilvl w:val="0"/>
          <w:numId w:val="6"/>
        </w:numPr>
        <w:jc w:val="both"/>
        <w:rPr>
          <w:rFonts w:ascii="Arial" w:hAnsi="Arial" w:cs="Arial"/>
          <w:b/>
          <w:color w:val="686868"/>
          <w:sz w:val="24"/>
          <w:szCs w:val="24"/>
          <w:shd w:val="clear" w:color="auto" w:fill="FFFFFF"/>
          <w:lang w:val="it-IT"/>
        </w:rPr>
      </w:pPr>
      <w:r w:rsidRPr="004F6E28">
        <w:rPr>
          <w:rFonts w:ascii="Arial" w:hAnsi="Arial" w:cs="Arial"/>
          <w:b/>
          <w:color w:val="686868"/>
          <w:sz w:val="24"/>
          <w:szCs w:val="24"/>
          <w:shd w:val="clear" w:color="auto" w:fill="FFFFFF"/>
          <w:lang w:val="it-IT"/>
        </w:rPr>
        <w:t xml:space="preserve">I valori costituzionali e la tecnica del bilanciamento. </w:t>
      </w:r>
    </w:p>
    <w:p w:rsidR="00BB3452" w:rsidRPr="004F6E28" w:rsidRDefault="005A1DB4" w:rsidP="004F6E28">
      <w:pPr>
        <w:jc w:val="both"/>
        <w:rPr>
          <w:rFonts w:ascii="Arial" w:hAnsi="Arial" w:cs="Arial"/>
          <w:color w:val="212529"/>
          <w:sz w:val="24"/>
          <w:szCs w:val="24"/>
          <w:shd w:val="clear" w:color="auto" w:fill="FFFFFF"/>
          <w:lang w:val="it-IT"/>
        </w:rPr>
      </w:pPr>
      <w:r>
        <w:rPr>
          <w:rFonts w:ascii="Arial" w:hAnsi="Arial" w:cs="Arial"/>
          <w:color w:val="686868"/>
          <w:sz w:val="24"/>
          <w:szCs w:val="24"/>
          <w:shd w:val="clear" w:color="auto" w:fill="FFFFFF"/>
          <w:lang w:val="it-IT"/>
        </w:rPr>
        <w:t>La</w:t>
      </w:r>
      <w:r w:rsidR="007E7148" w:rsidRPr="004F6E28">
        <w:rPr>
          <w:rFonts w:ascii="Arial" w:hAnsi="Arial" w:cs="Arial"/>
          <w:color w:val="686868"/>
          <w:sz w:val="24"/>
          <w:szCs w:val="24"/>
          <w:shd w:val="clear" w:color="auto" w:fill="FFFFFF"/>
          <w:lang w:val="it-IT"/>
        </w:rPr>
        <w:t xml:space="preserve"> Corte Costituzionale</w:t>
      </w:r>
      <w:r>
        <w:rPr>
          <w:rFonts w:ascii="Arial" w:hAnsi="Arial" w:cs="Arial"/>
          <w:color w:val="686868"/>
          <w:sz w:val="24"/>
          <w:szCs w:val="24"/>
          <w:shd w:val="clear" w:color="auto" w:fill="FFFFFF"/>
          <w:lang w:val="it-IT"/>
        </w:rPr>
        <w:t xml:space="preserve"> nella sentenza del</w:t>
      </w:r>
      <w:r w:rsidR="007E7148" w:rsidRPr="004F6E28">
        <w:rPr>
          <w:rFonts w:ascii="Arial" w:hAnsi="Arial" w:cs="Arial"/>
          <w:color w:val="686868"/>
          <w:sz w:val="24"/>
          <w:szCs w:val="24"/>
          <w:shd w:val="clear" w:color="auto" w:fill="FFFFFF"/>
          <w:lang w:val="it-IT"/>
        </w:rPr>
        <w:t xml:space="preserve"> </w:t>
      </w:r>
      <w:r w:rsidR="00A21554" w:rsidRPr="004F6E28">
        <w:rPr>
          <w:rFonts w:ascii="Arial" w:hAnsi="Arial" w:cs="Arial"/>
          <w:color w:val="686868"/>
          <w:sz w:val="24"/>
          <w:szCs w:val="24"/>
          <w:shd w:val="clear" w:color="auto" w:fill="FFFFFF"/>
          <w:lang w:val="it-IT"/>
        </w:rPr>
        <w:t>26 marzo</w:t>
      </w:r>
      <w:r w:rsidR="007E7148" w:rsidRPr="004F6E28">
        <w:rPr>
          <w:rFonts w:ascii="Arial" w:hAnsi="Arial" w:cs="Arial"/>
          <w:color w:val="686868"/>
          <w:sz w:val="24"/>
          <w:szCs w:val="24"/>
          <w:shd w:val="clear" w:color="auto" w:fill="FFFFFF"/>
          <w:lang w:val="it-IT"/>
        </w:rPr>
        <w:t xml:space="preserve"> 2020, n. 57</w:t>
      </w:r>
      <w:r>
        <w:rPr>
          <w:rFonts w:ascii="Arial" w:hAnsi="Arial" w:cs="Arial"/>
          <w:color w:val="686868"/>
          <w:sz w:val="24"/>
          <w:szCs w:val="24"/>
          <w:shd w:val="clear" w:color="auto" w:fill="FFFFFF"/>
          <w:lang w:val="it-IT"/>
        </w:rPr>
        <w:t xml:space="preserve"> ha ricordato che</w:t>
      </w:r>
      <w:r w:rsidR="007E7148" w:rsidRPr="004F6E28">
        <w:rPr>
          <w:rFonts w:ascii="Arial" w:hAnsi="Arial" w:cs="Arial"/>
          <w:color w:val="686868"/>
          <w:sz w:val="24"/>
          <w:szCs w:val="24"/>
          <w:shd w:val="clear" w:color="auto" w:fill="FFFFFF"/>
          <w:lang w:val="it-IT"/>
        </w:rPr>
        <w:t xml:space="preserve">: </w:t>
      </w:r>
      <w:r w:rsidR="00A21554" w:rsidRPr="004F6E28">
        <w:rPr>
          <w:rFonts w:ascii="Arial" w:hAnsi="Arial" w:cs="Arial"/>
          <w:color w:val="686868"/>
          <w:sz w:val="24"/>
          <w:szCs w:val="24"/>
          <w:shd w:val="clear" w:color="auto" w:fill="FFFFFF"/>
          <w:lang w:val="it-IT"/>
        </w:rPr>
        <w:t>“</w:t>
      </w:r>
      <w:r w:rsidR="00A21554" w:rsidRPr="004F6E28">
        <w:rPr>
          <w:rFonts w:ascii="Arial" w:hAnsi="Arial" w:cs="Arial"/>
          <w:color w:val="666666"/>
          <w:sz w:val="24"/>
          <w:szCs w:val="24"/>
          <w:shd w:val="clear" w:color="auto" w:fill="FFFFFF"/>
          <w:lang w:val="it-IT"/>
        </w:rPr>
        <w:t> La Commissione parlamentare di inchiesta sul fenomeno delle mafie e sulle altre associazioni criminali, anche straniere (istituita con legge 19 luglio 2013, n. 87), nella relazione conclusiva del 7 febbraio 2018, ha rilevato che sono vulnerabili anche i mercati privati e in particolare i «settori connotati da elevato numero di piccole imprese, basso sviluppo tecnologico, lavoro non qualificato e basso livello di sindacalizzazione, dove il ricorso a pratiche non propriamente conformi con la legalità formale diviene prassi diffusa»”</w:t>
      </w:r>
      <w:r w:rsidR="007129D6">
        <w:rPr>
          <w:rFonts w:ascii="Arial" w:hAnsi="Arial" w:cs="Arial"/>
          <w:color w:val="212529"/>
          <w:sz w:val="24"/>
          <w:szCs w:val="24"/>
          <w:shd w:val="clear" w:color="auto" w:fill="FFFFFF"/>
          <w:lang w:val="it-IT"/>
        </w:rPr>
        <w:t>; inoltre</w:t>
      </w:r>
      <w:r w:rsidR="00A21554" w:rsidRPr="004F6E28">
        <w:rPr>
          <w:rFonts w:ascii="Arial" w:hAnsi="Arial" w:cs="Arial"/>
          <w:color w:val="212529"/>
          <w:sz w:val="24"/>
          <w:szCs w:val="24"/>
          <w:shd w:val="clear" w:color="auto" w:fill="FFFFFF"/>
          <w:lang w:val="it-IT"/>
        </w:rPr>
        <w:t>:</w:t>
      </w:r>
      <w:r w:rsidR="00BB3452" w:rsidRPr="004F6E28">
        <w:rPr>
          <w:rFonts w:ascii="Arial" w:hAnsi="Arial" w:cs="Arial"/>
          <w:color w:val="212529"/>
          <w:sz w:val="24"/>
          <w:szCs w:val="24"/>
          <w:shd w:val="clear" w:color="auto" w:fill="FFFFFF"/>
          <w:lang w:val="it-IT"/>
        </w:rPr>
        <w:t xml:space="preserve"> “le mafie forniscono servizi di diversa natura (protezione, contenimento dei conflitti sindacali, credito assistenza per il riciclaggio dei proventi in nero, adozione di forme di contabilità opaca)”; simile modalità di fare impresa non risulta, come</w:t>
      </w:r>
      <w:r>
        <w:rPr>
          <w:rFonts w:ascii="Arial" w:hAnsi="Arial" w:cs="Arial"/>
          <w:color w:val="212529"/>
          <w:sz w:val="24"/>
          <w:szCs w:val="24"/>
          <w:shd w:val="clear" w:color="auto" w:fill="FFFFFF"/>
          <w:lang w:val="it-IT"/>
        </w:rPr>
        <w:t xml:space="preserve"> è evidente, coerente con la libera iniziativa economica</w:t>
      </w:r>
      <w:r w:rsidR="00BB3452" w:rsidRPr="004F6E28">
        <w:rPr>
          <w:rFonts w:ascii="Arial" w:hAnsi="Arial" w:cs="Arial"/>
          <w:color w:val="212529"/>
          <w:sz w:val="24"/>
          <w:szCs w:val="24"/>
          <w:shd w:val="clear" w:color="auto" w:fill="FFFFFF"/>
          <w:lang w:val="it-IT"/>
        </w:rPr>
        <w:t xml:space="preserve"> oggetto di tutela in forza dell’art 41 della Costituzione, andandosi piuttosto a scontrare frontalmente con i li</w:t>
      </w:r>
      <w:r w:rsidR="00C7392F" w:rsidRPr="004F6E28">
        <w:rPr>
          <w:rFonts w:ascii="Arial" w:hAnsi="Arial" w:cs="Arial"/>
          <w:color w:val="212529"/>
          <w:sz w:val="24"/>
          <w:szCs w:val="24"/>
          <w:shd w:val="clear" w:color="auto" w:fill="FFFFFF"/>
          <w:lang w:val="it-IT"/>
        </w:rPr>
        <w:t>miti ivi contemplati</w:t>
      </w:r>
      <w:r w:rsidR="00230680" w:rsidRPr="004F6E28">
        <w:rPr>
          <w:rFonts w:ascii="Arial" w:hAnsi="Arial" w:cs="Arial"/>
          <w:color w:val="212529"/>
          <w:sz w:val="24"/>
          <w:szCs w:val="24"/>
          <w:shd w:val="clear" w:color="auto" w:fill="FFFFFF"/>
          <w:lang w:val="it-IT"/>
        </w:rPr>
        <w:t xml:space="preserve"> dell’utilità sociale, della sicurezza, della libertà e della dignità umana.</w:t>
      </w:r>
    </w:p>
    <w:p w:rsidR="003E759A" w:rsidRPr="004F6E28" w:rsidRDefault="00BB3452" w:rsidP="004F6E28">
      <w:pPr>
        <w:jc w:val="both"/>
        <w:rPr>
          <w:rFonts w:ascii="Arial" w:hAnsi="Arial" w:cs="Arial"/>
          <w:color w:val="212529"/>
          <w:sz w:val="24"/>
          <w:szCs w:val="24"/>
          <w:shd w:val="clear" w:color="auto" w:fill="FFFFFF"/>
          <w:lang w:val="it-IT"/>
        </w:rPr>
      </w:pPr>
      <w:r w:rsidRPr="004F6E28">
        <w:rPr>
          <w:rFonts w:ascii="Arial" w:hAnsi="Arial" w:cs="Arial"/>
          <w:color w:val="212529"/>
          <w:sz w:val="24"/>
          <w:szCs w:val="24"/>
          <w:shd w:val="clear" w:color="auto" w:fill="FFFFFF"/>
          <w:lang w:val="it-IT"/>
        </w:rPr>
        <w:t>Il sistema della documentazione antimafia, sistematizzato all’esito di un articolato percorso storico nel d.lgs.</w:t>
      </w:r>
      <w:r w:rsidR="007129D6">
        <w:rPr>
          <w:rFonts w:ascii="Arial" w:hAnsi="Arial" w:cs="Arial"/>
          <w:color w:val="212529"/>
          <w:sz w:val="24"/>
          <w:szCs w:val="24"/>
          <w:shd w:val="clear" w:color="auto" w:fill="FFFFFF"/>
          <w:lang w:val="it-IT"/>
        </w:rPr>
        <w:t xml:space="preserve"> 6 settembre 2011 n. 159</w:t>
      </w:r>
      <w:r w:rsidRPr="004F6E28">
        <w:rPr>
          <w:rFonts w:ascii="Arial" w:hAnsi="Arial" w:cs="Arial"/>
          <w:color w:val="212529"/>
          <w:sz w:val="24"/>
          <w:szCs w:val="24"/>
          <w:shd w:val="clear" w:color="auto" w:fill="FFFFFF"/>
          <w:lang w:val="it-IT"/>
        </w:rPr>
        <w:t>, rappresenta un avanzato e sofisticato approccio di tutela preventiva, a fronte di una ugualmente complessa minaccia</w:t>
      </w:r>
      <w:r w:rsidR="007129D6">
        <w:rPr>
          <w:rFonts w:ascii="Arial" w:hAnsi="Arial" w:cs="Arial"/>
          <w:color w:val="212529"/>
          <w:sz w:val="24"/>
          <w:szCs w:val="24"/>
          <w:shd w:val="clear" w:color="auto" w:fill="FFFFFF"/>
          <w:lang w:val="it-IT"/>
        </w:rPr>
        <w:t xml:space="preserve"> e risponde </w:t>
      </w:r>
      <w:r w:rsidR="00E11858" w:rsidRPr="004F6E28">
        <w:rPr>
          <w:rFonts w:ascii="Arial" w:hAnsi="Arial" w:cs="Arial"/>
          <w:color w:val="212529"/>
          <w:sz w:val="24"/>
          <w:szCs w:val="24"/>
          <w:shd w:val="clear" w:color="auto" w:fill="FFFFFF"/>
          <w:lang w:val="it-IT"/>
        </w:rPr>
        <w:t>a</w:t>
      </w:r>
      <w:r w:rsidRPr="004F6E28">
        <w:rPr>
          <w:rFonts w:ascii="Arial" w:hAnsi="Arial" w:cs="Arial"/>
          <w:color w:val="212529"/>
          <w:sz w:val="24"/>
          <w:szCs w:val="24"/>
          <w:shd w:val="clear" w:color="auto" w:fill="FFFFFF"/>
          <w:lang w:val="it-IT"/>
        </w:rPr>
        <w:t xml:space="preserve"> fi</w:t>
      </w:r>
      <w:r w:rsidR="00E11858" w:rsidRPr="004F6E28">
        <w:rPr>
          <w:rFonts w:ascii="Arial" w:hAnsi="Arial" w:cs="Arial"/>
          <w:color w:val="212529"/>
          <w:sz w:val="24"/>
          <w:szCs w:val="24"/>
          <w:shd w:val="clear" w:color="auto" w:fill="FFFFFF"/>
          <w:lang w:val="it-IT"/>
        </w:rPr>
        <w:t xml:space="preserve">nalità di </w:t>
      </w:r>
      <w:r w:rsidRPr="004F6E28">
        <w:rPr>
          <w:rFonts w:ascii="Arial" w:hAnsi="Arial" w:cs="Arial"/>
          <w:color w:val="212529"/>
          <w:sz w:val="24"/>
          <w:szCs w:val="24"/>
          <w:shd w:val="clear" w:color="auto" w:fill="FFFFFF"/>
          <w:lang w:val="it-IT"/>
        </w:rPr>
        <w:t>salvaguardia dei valori fondamentali della persona</w:t>
      </w:r>
      <w:r w:rsidR="005A1DB4">
        <w:rPr>
          <w:rFonts w:ascii="Arial" w:hAnsi="Arial" w:cs="Arial"/>
          <w:color w:val="212529"/>
          <w:sz w:val="24"/>
          <w:szCs w:val="24"/>
          <w:shd w:val="clear" w:color="auto" w:fill="FFFFFF"/>
          <w:lang w:val="it-IT"/>
        </w:rPr>
        <w:t>,</w:t>
      </w:r>
      <w:r w:rsidR="00E11858" w:rsidRPr="004F6E28">
        <w:rPr>
          <w:rFonts w:ascii="Arial" w:hAnsi="Arial" w:cs="Arial"/>
          <w:color w:val="212529"/>
          <w:sz w:val="24"/>
          <w:szCs w:val="24"/>
          <w:shd w:val="clear" w:color="auto" w:fill="FFFFFF"/>
          <w:lang w:val="it-IT"/>
        </w:rPr>
        <w:t xml:space="preserve"> oltre che della nostra Costituzion</w:t>
      </w:r>
      <w:r w:rsidR="003E759A" w:rsidRPr="004F6E28">
        <w:rPr>
          <w:rFonts w:ascii="Arial" w:hAnsi="Arial" w:cs="Arial"/>
          <w:color w:val="212529"/>
          <w:sz w:val="24"/>
          <w:szCs w:val="24"/>
          <w:shd w:val="clear" w:color="auto" w:fill="FFFFFF"/>
          <w:lang w:val="it-IT"/>
        </w:rPr>
        <w:t>e</w:t>
      </w:r>
      <w:r w:rsidR="00E11858" w:rsidRPr="004F6E28">
        <w:rPr>
          <w:rFonts w:ascii="Arial" w:hAnsi="Arial" w:cs="Arial"/>
          <w:color w:val="212529"/>
          <w:sz w:val="24"/>
          <w:szCs w:val="24"/>
          <w:shd w:val="clear" w:color="auto" w:fill="FFFFFF"/>
          <w:lang w:val="it-IT"/>
        </w:rPr>
        <w:t xml:space="preserve"> economica</w:t>
      </w:r>
      <w:r w:rsidR="00EC5142" w:rsidRPr="004F6E28">
        <w:rPr>
          <w:rFonts w:ascii="Arial" w:hAnsi="Arial" w:cs="Arial"/>
          <w:color w:val="212529"/>
          <w:sz w:val="24"/>
          <w:szCs w:val="24"/>
          <w:shd w:val="clear" w:color="auto" w:fill="FFFFFF"/>
          <w:lang w:val="it-IT"/>
        </w:rPr>
        <w:t xml:space="preserve">. </w:t>
      </w:r>
    </w:p>
    <w:p w:rsidR="00D83033" w:rsidRDefault="00EC5142" w:rsidP="004F6E28">
      <w:pPr>
        <w:jc w:val="both"/>
        <w:rPr>
          <w:rFonts w:ascii="Arial" w:hAnsi="Arial" w:cs="Arial"/>
          <w:color w:val="212529"/>
          <w:sz w:val="24"/>
          <w:szCs w:val="24"/>
          <w:shd w:val="clear" w:color="auto" w:fill="FFFFFF"/>
          <w:lang w:val="it-IT"/>
        </w:rPr>
      </w:pPr>
      <w:r w:rsidRPr="004F6E28">
        <w:rPr>
          <w:rFonts w:ascii="Arial" w:hAnsi="Arial" w:cs="Arial"/>
          <w:color w:val="212529"/>
          <w:sz w:val="24"/>
          <w:szCs w:val="24"/>
          <w:shd w:val="clear" w:color="auto" w:fill="FFFFFF"/>
          <w:lang w:val="it-IT"/>
        </w:rPr>
        <w:t>L</w:t>
      </w:r>
      <w:r w:rsidR="00BB3452" w:rsidRPr="004F6E28">
        <w:rPr>
          <w:rFonts w:ascii="Arial" w:hAnsi="Arial" w:cs="Arial"/>
          <w:color w:val="212529"/>
          <w:sz w:val="24"/>
          <w:szCs w:val="24"/>
          <w:shd w:val="clear" w:color="auto" w:fill="FFFFFF"/>
          <w:lang w:val="it-IT"/>
        </w:rPr>
        <w:t xml:space="preserve">a criminalità organizzata </w:t>
      </w:r>
      <w:r w:rsidRPr="004F6E28">
        <w:rPr>
          <w:rFonts w:ascii="Arial" w:hAnsi="Arial" w:cs="Arial"/>
          <w:color w:val="212529"/>
          <w:sz w:val="24"/>
          <w:szCs w:val="24"/>
          <w:shd w:val="clear" w:color="auto" w:fill="FFFFFF"/>
          <w:lang w:val="it-IT"/>
        </w:rPr>
        <w:t xml:space="preserve">si </w:t>
      </w:r>
      <w:r w:rsidR="00BB3452" w:rsidRPr="004F6E28">
        <w:rPr>
          <w:rFonts w:ascii="Arial" w:hAnsi="Arial" w:cs="Arial"/>
          <w:color w:val="212529"/>
          <w:sz w:val="24"/>
          <w:szCs w:val="24"/>
          <w:shd w:val="clear" w:color="auto" w:fill="FFFFFF"/>
          <w:lang w:val="it-IT"/>
        </w:rPr>
        <w:t>adatta bene alla moderna società liquida e globale, nella quale lo sforzo di garantire le regole sfugge ai confini statali, creando ampi margini di incertezza</w:t>
      </w:r>
      <w:r w:rsidR="003E759A" w:rsidRPr="004F6E28">
        <w:rPr>
          <w:rFonts w:ascii="Arial" w:hAnsi="Arial" w:cs="Arial"/>
          <w:color w:val="212529"/>
          <w:sz w:val="24"/>
          <w:szCs w:val="24"/>
          <w:shd w:val="clear" w:color="auto" w:fill="FFFFFF"/>
          <w:lang w:val="it-IT"/>
        </w:rPr>
        <w:t xml:space="preserve"> in cui più facilmente si insinua l’illegalità</w:t>
      </w:r>
      <w:r w:rsidR="00BB3452" w:rsidRPr="004F6E28">
        <w:rPr>
          <w:rFonts w:ascii="Arial" w:hAnsi="Arial" w:cs="Arial"/>
          <w:color w:val="212529"/>
          <w:sz w:val="24"/>
          <w:szCs w:val="24"/>
          <w:shd w:val="clear" w:color="auto" w:fill="FFFFFF"/>
          <w:lang w:val="it-IT"/>
        </w:rPr>
        <w:t>. In questo contesto risulta utile</w:t>
      </w:r>
      <w:r w:rsidR="00E11858" w:rsidRPr="004F6E28">
        <w:rPr>
          <w:rFonts w:ascii="Arial" w:hAnsi="Arial" w:cs="Arial"/>
          <w:color w:val="212529"/>
          <w:sz w:val="24"/>
          <w:szCs w:val="24"/>
          <w:shd w:val="clear" w:color="auto" w:fill="FFFFFF"/>
          <w:lang w:val="it-IT"/>
        </w:rPr>
        <w:t>, se non necessaria,</w:t>
      </w:r>
      <w:r w:rsidR="00BB3452" w:rsidRPr="004F6E28">
        <w:rPr>
          <w:rFonts w:ascii="Arial" w:hAnsi="Arial" w:cs="Arial"/>
          <w:color w:val="212529"/>
          <w:sz w:val="24"/>
          <w:szCs w:val="24"/>
          <w:shd w:val="clear" w:color="auto" w:fill="FFFFFF"/>
          <w:lang w:val="it-IT"/>
        </w:rPr>
        <w:t xml:space="preserve"> una solida identificazion</w:t>
      </w:r>
      <w:r w:rsidRPr="004F6E28">
        <w:rPr>
          <w:rFonts w:ascii="Arial" w:hAnsi="Arial" w:cs="Arial"/>
          <w:color w:val="212529"/>
          <w:sz w:val="24"/>
          <w:szCs w:val="24"/>
          <w:shd w:val="clear" w:color="auto" w:fill="FFFFFF"/>
          <w:lang w:val="it-IT"/>
        </w:rPr>
        <w:t>e dei principi</w:t>
      </w:r>
      <w:r w:rsidR="00BB3452" w:rsidRPr="004F6E28">
        <w:rPr>
          <w:rFonts w:ascii="Arial" w:hAnsi="Arial" w:cs="Arial"/>
          <w:color w:val="212529"/>
          <w:sz w:val="24"/>
          <w:szCs w:val="24"/>
          <w:shd w:val="clear" w:color="auto" w:fill="FFFFFF"/>
          <w:lang w:val="it-IT"/>
        </w:rPr>
        <w:t xml:space="preserve"> che rappresentano</w:t>
      </w:r>
      <w:r w:rsidR="00230680" w:rsidRPr="004F6E28">
        <w:rPr>
          <w:rFonts w:ascii="Arial" w:hAnsi="Arial" w:cs="Arial"/>
          <w:color w:val="212529"/>
          <w:sz w:val="24"/>
          <w:szCs w:val="24"/>
          <w:shd w:val="clear" w:color="auto" w:fill="FFFFFF"/>
          <w:lang w:val="it-IT"/>
        </w:rPr>
        <w:t xml:space="preserve"> il</w:t>
      </w:r>
      <w:r w:rsidR="003E759A" w:rsidRPr="004F6E28">
        <w:rPr>
          <w:rFonts w:ascii="Arial" w:hAnsi="Arial" w:cs="Arial"/>
          <w:color w:val="212529"/>
          <w:sz w:val="24"/>
          <w:szCs w:val="24"/>
          <w:shd w:val="clear" w:color="auto" w:fill="FFFFFF"/>
          <w:lang w:val="it-IT"/>
        </w:rPr>
        <w:t xml:space="preserve"> </w:t>
      </w:r>
      <w:r w:rsidR="00BB3452" w:rsidRPr="004F6E28">
        <w:rPr>
          <w:rFonts w:ascii="Arial" w:hAnsi="Arial" w:cs="Arial"/>
          <w:color w:val="212529"/>
          <w:sz w:val="24"/>
          <w:szCs w:val="24"/>
          <w:shd w:val="clear" w:color="auto" w:fill="FFFFFF"/>
          <w:lang w:val="it-IT"/>
        </w:rPr>
        <w:t>fondamento ed allo stesso tempo</w:t>
      </w:r>
      <w:r w:rsidR="00230680" w:rsidRPr="004F6E28">
        <w:rPr>
          <w:rFonts w:ascii="Arial" w:hAnsi="Arial" w:cs="Arial"/>
          <w:color w:val="212529"/>
          <w:sz w:val="24"/>
          <w:szCs w:val="24"/>
          <w:shd w:val="clear" w:color="auto" w:fill="FFFFFF"/>
          <w:lang w:val="it-IT"/>
        </w:rPr>
        <w:t xml:space="preserve"> il</w:t>
      </w:r>
      <w:r w:rsidR="00BB3452" w:rsidRPr="004F6E28">
        <w:rPr>
          <w:rFonts w:ascii="Arial" w:hAnsi="Arial" w:cs="Arial"/>
          <w:color w:val="212529"/>
          <w:sz w:val="24"/>
          <w:szCs w:val="24"/>
          <w:shd w:val="clear" w:color="auto" w:fill="FFFFFF"/>
          <w:lang w:val="it-IT"/>
        </w:rPr>
        <w:t xml:space="preserve"> limite della prevenzione antimafia, posto che quest’</w:t>
      </w:r>
      <w:r w:rsidRPr="004F6E28">
        <w:rPr>
          <w:rFonts w:ascii="Arial" w:hAnsi="Arial" w:cs="Arial"/>
          <w:color w:val="212529"/>
          <w:sz w:val="24"/>
          <w:szCs w:val="24"/>
          <w:shd w:val="clear" w:color="auto" w:fill="FFFFFF"/>
          <w:lang w:val="it-IT"/>
        </w:rPr>
        <w:t>ultima</w:t>
      </w:r>
      <w:r w:rsidR="00230680" w:rsidRPr="004F6E28">
        <w:rPr>
          <w:rFonts w:ascii="Arial" w:hAnsi="Arial" w:cs="Arial"/>
          <w:color w:val="212529"/>
          <w:sz w:val="24"/>
          <w:szCs w:val="24"/>
          <w:shd w:val="clear" w:color="auto" w:fill="FFFFFF"/>
          <w:lang w:val="it-IT"/>
        </w:rPr>
        <w:t>,</w:t>
      </w:r>
      <w:r w:rsidRPr="004F6E28">
        <w:rPr>
          <w:rFonts w:ascii="Arial" w:hAnsi="Arial" w:cs="Arial"/>
          <w:color w:val="212529"/>
          <w:sz w:val="24"/>
          <w:szCs w:val="24"/>
          <w:shd w:val="clear" w:color="auto" w:fill="FFFFFF"/>
          <w:lang w:val="it-IT"/>
        </w:rPr>
        <w:t xml:space="preserve"> ponendosi alla frontiera delle tutele,</w:t>
      </w:r>
      <w:r w:rsidR="00BB3452" w:rsidRPr="004F6E28">
        <w:rPr>
          <w:rFonts w:ascii="Arial" w:hAnsi="Arial" w:cs="Arial"/>
          <w:color w:val="212529"/>
          <w:sz w:val="24"/>
          <w:szCs w:val="24"/>
          <w:shd w:val="clear" w:color="auto" w:fill="FFFFFF"/>
          <w:lang w:val="it-IT"/>
        </w:rPr>
        <w:t xml:space="preserve"> come tutte le forme di tutela avanzata</w:t>
      </w:r>
      <w:r w:rsidR="003E759A" w:rsidRPr="004F6E28">
        <w:rPr>
          <w:rFonts w:ascii="Arial" w:hAnsi="Arial" w:cs="Arial"/>
          <w:color w:val="212529"/>
          <w:sz w:val="24"/>
          <w:szCs w:val="24"/>
          <w:shd w:val="clear" w:color="auto" w:fill="FFFFFF"/>
          <w:lang w:val="it-IT"/>
        </w:rPr>
        <w:t>,</w:t>
      </w:r>
      <w:r w:rsidR="00D83033">
        <w:rPr>
          <w:rFonts w:ascii="Arial" w:hAnsi="Arial" w:cs="Arial"/>
          <w:color w:val="212529"/>
          <w:sz w:val="24"/>
          <w:szCs w:val="24"/>
          <w:shd w:val="clear" w:color="auto" w:fill="FFFFFF"/>
          <w:lang w:val="it-IT"/>
        </w:rPr>
        <w:t xml:space="preserve"> comporta</w:t>
      </w:r>
      <w:r w:rsidR="003E759A" w:rsidRPr="004F6E28">
        <w:rPr>
          <w:rFonts w:ascii="Arial" w:hAnsi="Arial" w:cs="Arial"/>
          <w:color w:val="212529"/>
          <w:sz w:val="24"/>
          <w:szCs w:val="24"/>
          <w:shd w:val="clear" w:color="auto" w:fill="FFFFFF"/>
          <w:lang w:val="it-IT"/>
        </w:rPr>
        <w:t xml:space="preserve"> possibil</w:t>
      </w:r>
      <w:r w:rsidR="00230680" w:rsidRPr="004F6E28">
        <w:rPr>
          <w:rFonts w:ascii="Arial" w:hAnsi="Arial" w:cs="Arial"/>
          <w:color w:val="212529"/>
          <w:sz w:val="24"/>
          <w:szCs w:val="24"/>
          <w:shd w:val="clear" w:color="auto" w:fill="FFFFFF"/>
          <w:lang w:val="it-IT"/>
        </w:rPr>
        <w:t>i frizioni con</w:t>
      </w:r>
      <w:r w:rsidR="00BB3452" w:rsidRPr="004F6E28">
        <w:rPr>
          <w:rFonts w:ascii="Arial" w:hAnsi="Arial" w:cs="Arial"/>
          <w:color w:val="212529"/>
          <w:sz w:val="24"/>
          <w:szCs w:val="24"/>
          <w:shd w:val="clear" w:color="auto" w:fill="FFFFFF"/>
          <w:lang w:val="it-IT"/>
        </w:rPr>
        <w:t xml:space="preserve"> prerogative individuali</w:t>
      </w:r>
      <w:r w:rsidR="00E11858" w:rsidRPr="004F6E28">
        <w:rPr>
          <w:rFonts w:ascii="Arial" w:hAnsi="Arial" w:cs="Arial"/>
          <w:color w:val="212529"/>
          <w:sz w:val="24"/>
          <w:szCs w:val="24"/>
          <w:shd w:val="clear" w:color="auto" w:fill="FFFFFF"/>
          <w:lang w:val="it-IT"/>
        </w:rPr>
        <w:t xml:space="preserve"> e richiede</w:t>
      </w:r>
      <w:r w:rsidR="00BB3452" w:rsidRPr="004F6E28">
        <w:rPr>
          <w:rFonts w:ascii="Arial" w:hAnsi="Arial" w:cs="Arial"/>
          <w:color w:val="212529"/>
          <w:sz w:val="24"/>
          <w:szCs w:val="24"/>
          <w:shd w:val="clear" w:color="auto" w:fill="FFFFFF"/>
          <w:lang w:val="it-IT"/>
        </w:rPr>
        <w:t xml:space="preserve"> un certosino lavoro di bilanciamento in concreto</w:t>
      </w:r>
      <w:r w:rsidR="00E11858" w:rsidRPr="004F6E28">
        <w:rPr>
          <w:rFonts w:ascii="Arial" w:hAnsi="Arial" w:cs="Arial"/>
          <w:color w:val="212529"/>
          <w:sz w:val="24"/>
          <w:szCs w:val="24"/>
          <w:shd w:val="clear" w:color="auto" w:fill="FFFFFF"/>
          <w:lang w:val="it-IT"/>
        </w:rPr>
        <w:t xml:space="preserve"> d</w:t>
      </w:r>
      <w:r w:rsidRPr="004F6E28">
        <w:rPr>
          <w:rFonts w:ascii="Arial" w:hAnsi="Arial" w:cs="Arial"/>
          <w:color w:val="212529"/>
          <w:sz w:val="24"/>
          <w:szCs w:val="24"/>
          <w:shd w:val="clear" w:color="auto" w:fill="FFFFFF"/>
          <w:lang w:val="it-IT"/>
        </w:rPr>
        <w:t>i valori</w:t>
      </w:r>
      <w:r w:rsidR="00230680" w:rsidRPr="004F6E28">
        <w:rPr>
          <w:rFonts w:ascii="Arial" w:hAnsi="Arial" w:cs="Arial"/>
          <w:color w:val="212529"/>
          <w:sz w:val="24"/>
          <w:szCs w:val="24"/>
          <w:shd w:val="clear" w:color="auto" w:fill="FFFFFF"/>
          <w:lang w:val="it-IT"/>
        </w:rPr>
        <w:t xml:space="preserve"> antagonisti</w:t>
      </w:r>
      <w:r w:rsidR="00E11858" w:rsidRPr="004F6E28">
        <w:rPr>
          <w:rFonts w:ascii="Arial" w:hAnsi="Arial" w:cs="Arial"/>
          <w:color w:val="212529"/>
          <w:sz w:val="24"/>
          <w:szCs w:val="24"/>
          <w:shd w:val="clear" w:color="auto" w:fill="FFFFFF"/>
          <w:lang w:val="it-IT"/>
        </w:rPr>
        <w:t>, onde realizzare un</w:t>
      </w:r>
      <w:r w:rsidRPr="004F6E28">
        <w:rPr>
          <w:rFonts w:ascii="Arial" w:hAnsi="Arial" w:cs="Arial"/>
          <w:color w:val="212529"/>
          <w:sz w:val="24"/>
          <w:szCs w:val="24"/>
          <w:shd w:val="clear" w:color="auto" w:fill="FFFFFF"/>
          <w:lang w:val="it-IT"/>
        </w:rPr>
        <w:t>’armonica proporzionalità</w:t>
      </w:r>
      <w:r w:rsidR="00BB3452" w:rsidRPr="004F6E28">
        <w:rPr>
          <w:rFonts w:ascii="Arial" w:hAnsi="Arial" w:cs="Arial"/>
          <w:color w:val="212529"/>
          <w:sz w:val="24"/>
          <w:szCs w:val="24"/>
          <w:shd w:val="clear" w:color="auto" w:fill="FFFFFF"/>
          <w:lang w:val="it-IT"/>
        </w:rPr>
        <w:t xml:space="preserve"> </w:t>
      </w:r>
      <w:r w:rsidRPr="004F6E28">
        <w:rPr>
          <w:rFonts w:ascii="Arial" w:hAnsi="Arial" w:cs="Arial"/>
          <w:color w:val="212529"/>
          <w:sz w:val="24"/>
          <w:szCs w:val="24"/>
          <w:shd w:val="clear" w:color="auto" w:fill="FFFFFF"/>
          <w:lang w:val="it-IT"/>
        </w:rPr>
        <w:t xml:space="preserve">nel sempre possibile scontro tra </w:t>
      </w:r>
      <w:r w:rsidR="003E759A" w:rsidRPr="004F6E28">
        <w:rPr>
          <w:rFonts w:ascii="Arial" w:hAnsi="Arial" w:cs="Arial"/>
          <w:color w:val="212529"/>
          <w:sz w:val="24"/>
          <w:szCs w:val="24"/>
          <w:shd w:val="clear" w:color="auto" w:fill="FFFFFF"/>
          <w:lang w:val="it-IT"/>
        </w:rPr>
        <w:t>diritti</w:t>
      </w:r>
      <w:r w:rsidRPr="004F6E28">
        <w:rPr>
          <w:rFonts w:ascii="Arial" w:hAnsi="Arial" w:cs="Arial"/>
          <w:color w:val="212529"/>
          <w:sz w:val="24"/>
          <w:szCs w:val="24"/>
          <w:shd w:val="clear" w:color="auto" w:fill="FFFFFF"/>
          <w:lang w:val="it-IT"/>
        </w:rPr>
        <w:t xml:space="preserve"> </w:t>
      </w:r>
      <w:r w:rsidR="00230680" w:rsidRPr="004F6E28">
        <w:rPr>
          <w:rFonts w:ascii="Arial" w:hAnsi="Arial" w:cs="Arial"/>
          <w:color w:val="212529"/>
          <w:sz w:val="24"/>
          <w:szCs w:val="24"/>
          <w:shd w:val="clear" w:color="auto" w:fill="FFFFFF"/>
          <w:lang w:val="it-IT"/>
        </w:rPr>
        <w:t>ugualmente protetti dalla Costituzione</w:t>
      </w:r>
      <w:r w:rsidR="00D83033">
        <w:rPr>
          <w:rFonts w:ascii="Arial" w:hAnsi="Arial" w:cs="Arial"/>
          <w:color w:val="212529"/>
          <w:sz w:val="24"/>
          <w:szCs w:val="24"/>
          <w:shd w:val="clear" w:color="auto" w:fill="FFFFFF"/>
          <w:lang w:val="it-IT"/>
        </w:rPr>
        <w:t xml:space="preserve">. </w:t>
      </w:r>
    </w:p>
    <w:p w:rsidR="00BB3452" w:rsidRPr="004F6E28" w:rsidRDefault="00D83033" w:rsidP="004F6E28">
      <w:pPr>
        <w:jc w:val="both"/>
        <w:rPr>
          <w:rFonts w:ascii="Arial" w:hAnsi="Arial" w:cs="Arial"/>
          <w:color w:val="212529"/>
          <w:sz w:val="24"/>
          <w:szCs w:val="24"/>
          <w:shd w:val="clear" w:color="auto" w:fill="FFFFFF"/>
          <w:lang w:val="it-IT"/>
        </w:rPr>
      </w:pPr>
      <w:r>
        <w:rPr>
          <w:rFonts w:ascii="Arial" w:hAnsi="Arial" w:cs="Arial"/>
          <w:color w:val="212529"/>
          <w:sz w:val="24"/>
          <w:szCs w:val="24"/>
          <w:shd w:val="clear" w:color="auto" w:fill="FFFFFF"/>
          <w:lang w:val="it-IT"/>
        </w:rPr>
        <w:t>L</w:t>
      </w:r>
      <w:r w:rsidR="00EC5142" w:rsidRPr="004F6E28">
        <w:rPr>
          <w:rFonts w:ascii="Arial" w:hAnsi="Arial" w:cs="Arial"/>
          <w:color w:val="212529"/>
          <w:sz w:val="24"/>
          <w:szCs w:val="24"/>
          <w:shd w:val="clear" w:color="auto" w:fill="FFFFFF"/>
          <w:lang w:val="it-IT"/>
        </w:rPr>
        <w:t xml:space="preserve">a complessità </w:t>
      </w:r>
      <w:r w:rsidR="00800170">
        <w:rPr>
          <w:rFonts w:ascii="Arial" w:hAnsi="Arial" w:cs="Arial"/>
          <w:color w:val="212529"/>
          <w:sz w:val="24"/>
          <w:szCs w:val="24"/>
          <w:shd w:val="clear" w:color="auto" w:fill="FFFFFF"/>
          <w:lang w:val="it-IT"/>
        </w:rPr>
        <w:t>del</w:t>
      </w:r>
      <w:r w:rsidR="00EC5142" w:rsidRPr="004F6E28">
        <w:rPr>
          <w:rFonts w:ascii="Arial" w:hAnsi="Arial" w:cs="Arial"/>
          <w:color w:val="212529"/>
          <w:sz w:val="24"/>
          <w:szCs w:val="24"/>
          <w:shd w:val="clear" w:color="auto" w:fill="FFFFFF"/>
          <w:lang w:val="it-IT"/>
        </w:rPr>
        <w:t xml:space="preserve"> mondo moderno</w:t>
      </w:r>
      <w:r w:rsidR="00BB3452" w:rsidRPr="004F6E28">
        <w:rPr>
          <w:rFonts w:ascii="Arial" w:hAnsi="Arial" w:cs="Arial"/>
          <w:color w:val="212529"/>
          <w:sz w:val="24"/>
          <w:szCs w:val="24"/>
          <w:shd w:val="clear" w:color="auto" w:fill="FFFFFF"/>
          <w:lang w:val="it-IT"/>
        </w:rPr>
        <w:t xml:space="preserve"> prec</w:t>
      </w:r>
      <w:r w:rsidR="00F25361" w:rsidRPr="004F6E28">
        <w:rPr>
          <w:rFonts w:ascii="Arial" w:hAnsi="Arial" w:cs="Arial"/>
          <w:color w:val="212529"/>
          <w:sz w:val="24"/>
          <w:szCs w:val="24"/>
          <w:shd w:val="clear" w:color="auto" w:fill="FFFFFF"/>
          <w:lang w:val="it-IT"/>
        </w:rPr>
        <w:t>lude</w:t>
      </w:r>
      <w:r w:rsidR="00EC5142" w:rsidRPr="004F6E28">
        <w:rPr>
          <w:rFonts w:ascii="Arial" w:hAnsi="Arial" w:cs="Arial"/>
          <w:color w:val="212529"/>
          <w:sz w:val="24"/>
          <w:szCs w:val="24"/>
          <w:shd w:val="clear" w:color="auto" w:fill="FFFFFF"/>
          <w:lang w:val="it-IT"/>
        </w:rPr>
        <w:t xml:space="preserve"> </w:t>
      </w:r>
      <w:r w:rsidR="00E11858" w:rsidRPr="004F6E28">
        <w:rPr>
          <w:rFonts w:ascii="Arial" w:hAnsi="Arial" w:cs="Arial"/>
          <w:color w:val="212529"/>
          <w:sz w:val="24"/>
          <w:szCs w:val="24"/>
          <w:shd w:val="clear" w:color="auto" w:fill="FFFFFF"/>
          <w:lang w:val="it-IT"/>
        </w:rPr>
        <w:t xml:space="preserve">infatti </w:t>
      </w:r>
      <w:r w:rsidR="00EC5142" w:rsidRPr="004F6E28">
        <w:rPr>
          <w:rFonts w:ascii="Arial" w:hAnsi="Arial" w:cs="Arial"/>
          <w:color w:val="212529"/>
          <w:sz w:val="24"/>
          <w:szCs w:val="24"/>
          <w:shd w:val="clear" w:color="auto" w:fill="FFFFFF"/>
          <w:lang w:val="it-IT"/>
        </w:rPr>
        <w:t>da tempo di risolvere in termini semplicemente gerarchici</w:t>
      </w:r>
      <w:r w:rsidR="00E11858" w:rsidRPr="004F6E28">
        <w:rPr>
          <w:rFonts w:ascii="Arial" w:hAnsi="Arial" w:cs="Arial"/>
          <w:color w:val="212529"/>
          <w:sz w:val="24"/>
          <w:szCs w:val="24"/>
          <w:shd w:val="clear" w:color="auto" w:fill="FFFFFF"/>
          <w:lang w:val="it-IT"/>
        </w:rPr>
        <w:t xml:space="preserve"> i conflitti tra diritti</w:t>
      </w:r>
      <w:r w:rsidR="00F25361" w:rsidRPr="004F6E28">
        <w:rPr>
          <w:rFonts w:ascii="Arial" w:hAnsi="Arial" w:cs="Arial"/>
          <w:color w:val="212529"/>
          <w:sz w:val="24"/>
          <w:szCs w:val="24"/>
          <w:shd w:val="clear" w:color="auto" w:fill="FFFFFF"/>
          <w:lang w:val="it-IT"/>
        </w:rPr>
        <w:t>, rifuggendo dall’affermazione di principi “tiranni”</w:t>
      </w:r>
      <w:r w:rsidR="00F25361" w:rsidRPr="004F6E28">
        <w:rPr>
          <w:rStyle w:val="Rimandonotaapidipagina"/>
          <w:rFonts w:ascii="Arial" w:hAnsi="Arial" w:cs="Arial"/>
          <w:color w:val="212529"/>
          <w:sz w:val="24"/>
          <w:szCs w:val="24"/>
          <w:shd w:val="clear" w:color="auto" w:fill="FFFFFF"/>
          <w:lang w:val="it-IT"/>
        </w:rPr>
        <w:footnoteReference w:id="1"/>
      </w:r>
      <w:r>
        <w:rPr>
          <w:rFonts w:ascii="Arial" w:hAnsi="Arial" w:cs="Arial"/>
          <w:color w:val="212529"/>
          <w:sz w:val="24"/>
          <w:szCs w:val="24"/>
          <w:shd w:val="clear" w:color="auto" w:fill="FFFFFF"/>
          <w:lang w:val="it-IT"/>
        </w:rPr>
        <w:t xml:space="preserve"> e rendendo indispensabile</w:t>
      </w:r>
      <w:r w:rsidR="00E11858" w:rsidRPr="004F6E28">
        <w:rPr>
          <w:rFonts w:ascii="Arial" w:hAnsi="Arial" w:cs="Arial"/>
          <w:color w:val="212529"/>
          <w:sz w:val="24"/>
          <w:szCs w:val="24"/>
          <w:shd w:val="clear" w:color="auto" w:fill="FFFFFF"/>
          <w:lang w:val="it-IT"/>
        </w:rPr>
        <w:t xml:space="preserve"> un bilanciamento in concreto</w:t>
      </w:r>
      <w:r w:rsidR="00BB3452" w:rsidRPr="004F6E28">
        <w:rPr>
          <w:rFonts w:ascii="Arial" w:hAnsi="Arial" w:cs="Arial"/>
          <w:color w:val="212529"/>
          <w:sz w:val="24"/>
          <w:szCs w:val="24"/>
          <w:shd w:val="clear" w:color="auto" w:fill="FFFFFF"/>
          <w:lang w:val="it-IT"/>
        </w:rPr>
        <w:t>.</w:t>
      </w:r>
      <w:r w:rsidR="00F25361" w:rsidRPr="004F6E28">
        <w:rPr>
          <w:rFonts w:ascii="Arial" w:hAnsi="Arial" w:cs="Arial"/>
          <w:color w:val="212529"/>
          <w:sz w:val="24"/>
          <w:szCs w:val="24"/>
          <w:shd w:val="clear" w:color="auto" w:fill="FFFFFF"/>
          <w:lang w:val="it-IT"/>
        </w:rPr>
        <w:t xml:space="preserve"> Se tanto viene </w:t>
      </w:r>
      <w:r w:rsidR="000E6509" w:rsidRPr="004F6E28">
        <w:rPr>
          <w:rFonts w:ascii="Arial" w:hAnsi="Arial" w:cs="Arial"/>
          <w:color w:val="212529"/>
          <w:sz w:val="24"/>
          <w:szCs w:val="24"/>
          <w:shd w:val="clear" w:color="auto" w:fill="FFFFFF"/>
          <w:lang w:val="it-IT"/>
        </w:rPr>
        <w:t xml:space="preserve">ormai </w:t>
      </w:r>
      <w:r w:rsidR="00F25361" w:rsidRPr="004F6E28">
        <w:rPr>
          <w:rFonts w:ascii="Arial" w:hAnsi="Arial" w:cs="Arial"/>
          <w:color w:val="212529"/>
          <w:sz w:val="24"/>
          <w:szCs w:val="24"/>
          <w:shd w:val="clear" w:color="auto" w:fill="FFFFFF"/>
          <w:lang w:val="it-IT"/>
        </w:rPr>
        <w:t xml:space="preserve">costantemente affermato </w:t>
      </w:r>
      <w:r w:rsidR="000E6509" w:rsidRPr="004F6E28">
        <w:rPr>
          <w:rFonts w:ascii="Arial" w:hAnsi="Arial" w:cs="Arial"/>
          <w:color w:val="212529"/>
          <w:sz w:val="24"/>
          <w:szCs w:val="24"/>
          <w:shd w:val="clear" w:color="auto" w:fill="FFFFFF"/>
          <w:lang w:val="it-IT"/>
        </w:rPr>
        <w:t xml:space="preserve">nella giurisprudenza costituzionale </w:t>
      </w:r>
      <w:r w:rsidR="00E11858" w:rsidRPr="004F6E28">
        <w:rPr>
          <w:rFonts w:ascii="Arial" w:hAnsi="Arial" w:cs="Arial"/>
          <w:color w:val="212529"/>
          <w:sz w:val="24"/>
          <w:szCs w:val="24"/>
          <w:shd w:val="clear" w:color="auto" w:fill="FFFFFF"/>
          <w:lang w:val="it-IT"/>
        </w:rPr>
        <w:t xml:space="preserve">anche </w:t>
      </w:r>
      <w:r w:rsidR="00F25361" w:rsidRPr="004F6E28">
        <w:rPr>
          <w:rFonts w:ascii="Arial" w:hAnsi="Arial" w:cs="Arial"/>
          <w:color w:val="212529"/>
          <w:sz w:val="24"/>
          <w:szCs w:val="24"/>
          <w:shd w:val="clear" w:color="auto" w:fill="FFFFFF"/>
          <w:lang w:val="it-IT"/>
        </w:rPr>
        <w:t>in relazione ai cosiddetti diritti fondamentali</w:t>
      </w:r>
      <w:r w:rsidR="00230680" w:rsidRPr="004F6E28">
        <w:rPr>
          <w:rFonts w:ascii="Arial" w:hAnsi="Arial" w:cs="Arial"/>
          <w:color w:val="212529"/>
          <w:sz w:val="24"/>
          <w:szCs w:val="24"/>
          <w:shd w:val="clear" w:color="auto" w:fill="FFFFFF"/>
          <w:lang w:val="it-IT"/>
        </w:rPr>
        <w:t>,</w:t>
      </w:r>
      <w:r w:rsidR="00E11858" w:rsidRPr="004F6E28">
        <w:rPr>
          <w:rFonts w:ascii="Arial" w:hAnsi="Arial" w:cs="Arial"/>
          <w:color w:val="212529"/>
          <w:sz w:val="24"/>
          <w:szCs w:val="24"/>
          <w:shd w:val="clear" w:color="auto" w:fill="FFFFFF"/>
          <w:lang w:val="it-IT"/>
        </w:rPr>
        <w:t xml:space="preserve"> il meccanismo</w:t>
      </w:r>
      <w:r w:rsidR="00230680" w:rsidRPr="004F6E28">
        <w:rPr>
          <w:rFonts w:ascii="Arial" w:hAnsi="Arial" w:cs="Arial"/>
          <w:color w:val="212529"/>
          <w:sz w:val="24"/>
          <w:szCs w:val="24"/>
          <w:shd w:val="clear" w:color="auto" w:fill="FFFFFF"/>
          <w:lang w:val="it-IT"/>
        </w:rPr>
        <w:t xml:space="preserve"> </w:t>
      </w:r>
      <w:r w:rsidR="00E11858" w:rsidRPr="004F6E28">
        <w:rPr>
          <w:rFonts w:ascii="Arial" w:hAnsi="Arial" w:cs="Arial"/>
          <w:color w:val="212529"/>
          <w:sz w:val="24"/>
          <w:szCs w:val="24"/>
          <w:shd w:val="clear" w:color="auto" w:fill="FFFFFF"/>
          <w:lang w:val="it-IT"/>
        </w:rPr>
        <w:t>del bilanciamento risulta a maggior ragione</w:t>
      </w:r>
      <w:r w:rsidR="00230680" w:rsidRPr="004F6E28">
        <w:rPr>
          <w:rFonts w:ascii="Arial" w:hAnsi="Arial" w:cs="Arial"/>
          <w:color w:val="212529"/>
          <w:sz w:val="24"/>
          <w:szCs w:val="24"/>
          <w:shd w:val="clear" w:color="auto" w:fill="FFFFFF"/>
          <w:lang w:val="it-IT"/>
        </w:rPr>
        <w:t xml:space="preserve"> valido</w:t>
      </w:r>
      <w:r w:rsidR="00E11858" w:rsidRPr="004F6E28">
        <w:rPr>
          <w:rFonts w:ascii="Arial" w:hAnsi="Arial" w:cs="Arial"/>
          <w:color w:val="212529"/>
          <w:sz w:val="24"/>
          <w:szCs w:val="24"/>
          <w:shd w:val="clear" w:color="auto" w:fill="FFFFFF"/>
          <w:lang w:val="it-IT"/>
        </w:rPr>
        <w:t xml:space="preserve"> quando </w:t>
      </w:r>
      <w:r w:rsidR="00E11858" w:rsidRPr="004F6E28">
        <w:rPr>
          <w:rFonts w:ascii="Arial" w:hAnsi="Arial" w:cs="Arial"/>
          <w:color w:val="212529"/>
          <w:sz w:val="24"/>
          <w:szCs w:val="24"/>
          <w:shd w:val="clear" w:color="auto" w:fill="FFFFFF"/>
          <w:lang w:val="it-IT"/>
        </w:rPr>
        <w:lastRenderedPageBreak/>
        <w:t>si discute di</w:t>
      </w:r>
      <w:r w:rsidR="00F25361" w:rsidRPr="004F6E28">
        <w:rPr>
          <w:rFonts w:ascii="Arial" w:hAnsi="Arial" w:cs="Arial"/>
          <w:color w:val="212529"/>
          <w:sz w:val="24"/>
          <w:szCs w:val="24"/>
          <w:shd w:val="clear" w:color="auto" w:fill="FFFFFF"/>
          <w:lang w:val="it-IT"/>
        </w:rPr>
        <w:t xml:space="preserve"> libera iniziativa economica</w:t>
      </w:r>
      <w:r w:rsidR="003E759A" w:rsidRPr="004F6E28">
        <w:rPr>
          <w:rFonts w:ascii="Arial" w:hAnsi="Arial" w:cs="Arial"/>
          <w:color w:val="212529"/>
          <w:sz w:val="24"/>
          <w:szCs w:val="24"/>
          <w:shd w:val="clear" w:color="auto" w:fill="FFFFFF"/>
          <w:lang w:val="it-IT"/>
        </w:rPr>
        <w:t>, che il</w:t>
      </w:r>
      <w:r w:rsidR="00F25361" w:rsidRPr="004F6E28">
        <w:rPr>
          <w:rFonts w:ascii="Arial" w:hAnsi="Arial" w:cs="Arial"/>
          <w:color w:val="212529"/>
          <w:sz w:val="24"/>
          <w:szCs w:val="24"/>
          <w:shd w:val="clear" w:color="auto" w:fill="FFFFFF"/>
          <w:lang w:val="it-IT"/>
        </w:rPr>
        <w:t xml:space="preserve"> testo costituzionale colloca, anche topograficamente, non tra i principi fondamentali ma nell’ambito </w:t>
      </w:r>
      <w:r w:rsidR="00E11858" w:rsidRPr="004F6E28">
        <w:rPr>
          <w:rFonts w:ascii="Arial" w:hAnsi="Arial" w:cs="Arial"/>
          <w:color w:val="212529"/>
          <w:sz w:val="24"/>
          <w:szCs w:val="24"/>
          <w:shd w:val="clear" w:color="auto" w:fill="FFFFFF"/>
          <w:lang w:val="it-IT"/>
        </w:rPr>
        <w:t xml:space="preserve">di disciplina dei rapporti </w:t>
      </w:r>
      <w:r>
        <w:rPr>
          <w:rFonts w:ascii="Arial" w:hAnsi="Arial" w:cs="Arial"/>
          <w:color w:val="212529"/>
          <w:sz w:val="24"/>
          <w:szCs w:val="24"/>
          <w:shd w:val="clear" w:color="auto" w:fill="FFFFFF"/>
          <w:lang w:val="it-IT"/>
        </w:rPr>
        <w:t>economici nel contesto di</w:t>
      </w:r>
      <w:r w:rsidR="005A1DB4">
        <w:rPr>
          <w:rFonts w:ascii="Arial" w:hAnsi="Arial" w:cs="Arial"/>
          <w:color w:val="212529"/>
          <w:sz w:val="24"/>
          <w:szCs w:val="24"/>
          <w:shd w:val="clear" w:color="auto" w:fill="FFFFFF"/>
          <w:lang w:val="it-IT"/>
        </w:rPr>
        <w:t xml:space="preserve"> una carta fondamentale</w:t>
      </w:r>
      <w:r w:rsidR="00E11858" w:rsidRPr="004F6E28">
        <w:rPr>
          <w:rFonts w:ascii="Arial" w:hAnsi="Arial" w:cs="Arial"/>
          <w:color w:val="212529"/>
          <w:sz w:val="24"/>
          <w:szCs w:val="24"/>
          <w:shd w:val="clear" w:color="auto" w:fill="FFFFFF"/>
          <w:lang w:val="it-IT"/>
        </w:rPr>
        <w:t xml:space="preserve"> non a </w:t>
      </w:r>
      <w:r>
        <w:rPr>
          <w:rFonts w:ascii="Arial" w:hAnsi="Arial" w:cs="Arial"/>
          <w:color w:val="212529"/>
          <w:sz w:val="24"/>
          <w:szCs w:val="24"/>
          <w:shd w:val="clear" w:color="auto" w:fill="FFFFFF"/>
          <w:lang w:val="it-IT"/>
        </w:rPr>
        <w:t>caso definita “armistiziale”, in quanto ha optato per una economi</w:t>
      </w:r>
      <w:r w:rsidR="00E11858" w:rsidRPr="004F6E28">
        <w:rPr>
          <w:rFonts w:ascii="Arial" w:hAnsi="Arial" w:cs="Arial"/>
          <w:color w:val="212529"/>
          <w:sz w:val="24"/>
          <w:szCs w:val="24"/>
          <w:shd w:val="clear" w:color="auto" w:fill="FFFFFF"/>
          <w:lang w:val="it-IT"/>
        </w:rPr>
        <w:t xml:space="preserve">a sociale di mercato e dunque </w:t>
      </w:r>
      <w:r w:rsidR="005A1DB4">
        <w:rPr>
          <w:rFonts w:ascii="Arial" w:hAnsi="Arial" w:cs="Arial"/>
          <w:color w:val="212529"/>
          <w:sz w:val="24"/>
          <w:szCs w:val="24"/>
          <w:shd w:val="clear" w:color="auto" w:fill="FFFFFF"/>
          <w:lang w:val="it-IT"/>
        </w:rPr>
        <w:t xml:space="preserve">ha </w:t>
      </w:r>
      <w:r w:rsidR="00E11858" w:rsidRPr="004F6E28">
        <w:rPr>
          <w:rFonts w:ascii="Arial" w:hAnsi="Arial" w:cs="Arial"/>
          <w:color w:val="212529"/>
          <w:sz w:val="24"/>
          <w:szCs w:val="24"/>
          <w:shd w:val="clear" w:color="auto" w:fill="FFFFFF"/>
          <w:lang w:val="it-IT"/>
        </w:rPr>
        <w:t>riconosciuto la necessità a priori di conciliare l’</w:t>
      </w:r>
      <w:r>
        <w:rPr>
          <w:rFonts w:ascii="Arial" w:hAnsi="Arial" w:cs="Arial"/>
          <w:color w:val="212529"/>
          <w:sz w:val="24"/>
          <w:szCs w:val="24"/>
          <w:shd w:val="clear" w:color="auto" w:fill="FFFFFF"/>
          <w:lang w:val="it-IT"/>
        </w:rPr>
        <w:t>iniziativa economica</w:t>
      </w:r>
      <w:r w:rsidR="00E11858" w:rsidRPr="004F6E28">
        <w:rPr>
          <w:rFonts w:ascii="Arial" w:hAnsi="Arial" w:cs="Arial"/>
          <w:color w:val="212529"/>
          <w:sz w:val="24"/>
          <w:szCs w:val="24"/>
          <w:shd w:val="clear" w:color="auto" w:fill="FFFFFF"/>
          <w:lang w:val="it-IT"/>
        </w:rPr>
        <w:t xml:space="preserve"> e le istanze collettive di protezione sociale.</w:t>
      </w:r>
      <w:r w:rsidR="00F25361" w:rsidRPr="004F6E28">
        <w:rPr>
          <w:rFonts w:ascii="Arial" w:hAnsi="Arial" w:cs="Arial"/>
          <w:color w:val="212529"/>
          <w:sz w:val="24"/>
          <w:szCs w:val="24"/>
          <w:shd w:val="clear" w:color="auto" w:fill="FFFFFF"/>
          <w:lang w:val="it-IT"/>
        </w:rPr>
        <w:t xml:space="preserve"> </w:t>
      </w:r>
    </w:p>
    <w:p w:rsidR="0031596F" w:rsidRPr="004F6E28" w:rsidRDefault="00203463" w:rsidP="004F6E28">
      <w:pPr>
        <w:jc w:val="both"/>
        <w:rPr>
          <w:rFonts w:ascii="Arial" w:hAnsi="Arial" w:cs="Arial"/>
          <w:color w:val="212529"/>
          <w:sz w:val="24"/>
          <w:szCs w:val="24"/>
          <w:shd w:val="clear" w:color="auto" w:fill="FFFFFF"/>
          <w:lang w:val="it-IT"/>
        </w:rPr>
      </w:pPr>
      <w:r w:rsidRPr="004F6E28">
        <w:rPr>
          <w:rFonts w:ascii="Arial" w:hAnsi="Arial" w:cs="Arial"/>
          <w:color w:val="212529"/>
          <w:sz w:val="24"/>
          <w:szCs w:val="24"/>
          <w:shd w:val="clear" w:color="auto" w:fill="FFFFFF"/>
          <w:lang w:val="it-IT"/>
        </w:rPr>
        <w:t>La disciplina</w:t>
      </w:r>
      <w:r w:rsidR="00285285" w:rsidRPr="004F6E28">
        <w:rPr>
          <w:rFonts w:ascii="Arial" w:hAnsi="Arial" w:cs="Arial"/>
          <w:color w:val="212529"/>
          <w:sz w:val="24"/>
          <w:szCs w:val="24"/>
          <w:shd w:val="clear" w:color="auto" w:fill="FFFFFF"/>
          <w:lang w:val="it-IT"/>
        </w:rPr>
        <w:t xml:space="preserve"> della documentazione antimafia </w:t>
      </w:r>
      <w:r w:rsidRPr="004F6E28">
        <w:rPr>
          <w:rFonts w:ascii="Arial" w:hAnsi="Arial" w:cs="Arial"/>
          <w:color w:val="212529"/>
          <w:sz w:val="24"/>
          <w:szCs w:val="24"/>
          <w:shd w:val="clear" w:color="auto" w:fill="FFFFFF"/>
          <w:lang w:val="it-IT"/>
        </w:rPr>
        <w:t xml:space="preserve">(che si declina </w:t>
      </w:r>
      <w:r w:rsidR="00C7392F" w:rsidRPr="004F6E28">
        <w:rPr>
          <w:rFonts w:ascii="Arial" w:hAnsi="Arial" w:cs="Arial"/>
          <w:color w:val="212529"/>
          <w:sz w:val="24"/>
          <w:szCs w:val="24"/>
          <w:shd w:val="clear" w:color="auto" w:fill="FFFFFF"/>
          <w:lang w:val="it-IT"/>
        </w:rPr>
        <w:t>nelle forme della comunicazione e dell’informazione,</w:t>
      </w:r>
      <w:r w:rsidR="00D83033">
        <w:rPr>
          <w:rFonts w:ascii="Arial" w:hAnsi="Arial" w:cs="Arial"/>
          <w:color w:val="212529"/>
          <w:sz w:val="24"/>
          <w:szCs w:val="24"/>
          <w:shd w:val="clear" w:color="auto" w:fill="FFFFFF"/>
          <w:lang w:val="it-IT"/>
        </w:rPr>
        <w:t xml:space="preserve"> rispettivamente</w:t>
      </w:r>
      <w:r w:rsidR="00C7392F" w:rsidRPr="004F6E28">
        <w:rPr>
          <w:rFonts w:ascii="Arial" w:hAnsi="Arial" w:cs="Arial"/>
          <w:color w:val="212529"/>
          <w:sz w:val="24"/>
          <w:szCs w:val="24"/>
          <w:shd w:val="clear" w:color="auto" w:fill="FFFFFF"/>
          <w:lang w:val="it-IT"/>
        </w:rPr>
        <w:t xml:space="preserve"> art.</w:t>
      </w:r>
      <w:r w:rsidR="00D83033">
        <w:rPr>
          <w:rFonts w:ascii="Arial" w:hAnsi="Arial" w:cs="Arial"/>
          <w:color w:val="212529"/>
          <w:sz w:val="24"/>
          <w:szCs w:val="24"/>
          <w:shd w:val="clear" w:color="auto" w:fill="FFFFFF"/>
          <w:lang w:val="it-IT"/>
        </w:rPr>
        <w:t xml:space="preserve"> 87 e art.</w:t>
      </w:r>
      <w:r w:rsidR="00800170">
        <w:rPr>
          <w:rFonts w:ascii="Arial" w:hAnsi="Arial" w:cs="Arial"/>
          <w:color w:val="212529"/>
          <w:sz w:val="24"/>
          <w:szCs w:val="24"/>
          <w:shd w:val="clear" w:color="auto" w:fill="FFFFFF"/>
          <w:lang w:val="it-IT"/>
        </w:rPr>
        <w:t xml:space="preserve"> 91 del</w:t>
      </w:r>
      <w:r w:rsidR="00D83033" w:rsidRPr="004F6E28">
        <w:rPr>
          <w:rFonts w:ascii="Arial" w:hAnsi="Arial" w:cs="Arial"/>
          <w:color w:val="212529"/>
          <w:sz w:val="24"/>
          <w:szCs w:val="24"/>
          <w:shd w:val="clear" w:color="auto" w:fill="FFFFFF"/>
          <w:lang w:val="it-IT"/>
        </w:rPr>
        <w:t xml:space="preserve"> d.lgs.</w:t>
      </w:r>
      <w:r w:rsidR="00D83033">
        <w:rPr>
          <w:rFonts w:ascii="Arial" w:hAnsi="Arial" w:cs="Arial"/>
          <w:color w:val="212529"/>
          <w:sz w:val="24"/>
          <w:szCs w:val="24"/>
          <w:shd w:val="clear" w:color="auto" w:fill="FFFFFF"/>
          <w:lang w:val="it-IT"/>
        </w:rPr>
        <w:t xml:space="preserve"> 6 settembre 2011, n. 159</w:t>
      </w:r>
      <w:r w:rsidRPr="004F6E28">
        <w:rPr>
          <w:rFonts w:ascii="Arial" w:hAnsi="Arial" w:cs="Arial"/>
          <w:color w:val="212529"/>
          <w:sz w:val="24"/>
          <w:szCs w:val="24"/>
          <w:shd w:val="clear" w:color="auto" w:fill="FFFFFF"/>
          <w:lang w:val="it-IT"/>
        </w:rPr>
        <w:t>) presenta del</w:t>
      </w:r>
      <w:r w:rsidR="00285285" w:rsidRPr="004F6E28">
        <w:rPr>
          <w:rFonts w:ascii="Arial" w:hAnsi="Arial" w:cs="Arial"/>
          <w:color w:val="212529"/>
          <w:sz w:val="24"/>
          <w:szCs w:val="24"/>
          <w:shd w:val="clear" w:color="auto" w:fill="FFFFFF"/>
          <w:lang w:val="it-IT"/>
        </w:rPr>
        <w:t>l</w:t>
      </w:r>
      <w:r w:rsidR="00F25361" w:rsidRPr="004F6E28">
        <w:rPr>
          <w:rFonts w:ascii="Arial" w:hAnsi="Arial" w:cs="Arial"/>
          <w:color w:val="212529"/>
          <w:sz w:val="24"/>
          <w:szCs w:val="24"/>
          <w:shd w:val="clear" w:color="auto" w:fill="FFFFFF"/>
          <w:lang w:val="it-IT"/>
        </w:rPr>
        <w:t>e gravi</w:t>
      </w:r>
      <w:r w:rsidR="00C7392F" w:rsidRPr="004F6E28">
        <w:rPr>
          <w:rFonts w:ascii="Arial" w:hAnsi="Arial" w:cs="Arial"/>
          <w:color w:val="212529"/>
          <w:sz w:val="24"/>
          <w:szCs w:val="24"/>
          <w:shd w:val="clear" w:color="auto" w:fill="FFFFFF"/>
          <w:lang w:val="it-IT"/>
        </w:rPr>
        <w:t>,</w:t>
      </w:r>
      <w:r w:rsidRPr="004F6E28">
        <w:rPr>
          <w:rFonts w:ascii="Arial" w:hAnsi="Arial" w:cs="Arial"/>
          <w:color w:val="212529"/>
          <w:sz w:val="24"/>
          <w:szCs w:val="24"/>
          <w:shd w:val="clear" w:color="auto" w:fill="FFFFFF"/>
          <w:lang w:val="it-IT"/>
        </w:rPr>
        <w:t xml:space="preserve"> e per altro volute</w:t>
      </w:r>
      <w:r w:rsidR="00C7392F" w:rsidRPr="004F6E28">
        <w:rPr>
          <w:rFonts w:ascii="Arial" w:hAnsi="Arial" w:cs="Arial"/>
          <w:color w:val="212529"/>
          <w:sz w:val="24"/>
          <w:szCs w:val="24"/>
          <w:shd w:val="clear" w:color="auto" w:fill="FFFFFF"/>
          <w:lang w:val="it-IT"/>
        </w:rPr>
        <w:t>,</w:t>
      </w:r>
      <w:r w:rsidR="00285285" w:rsidRPr="004F6E28">
        <w:rPr>
          <w:rFonts w:ascii="Arial" w:hAnsi="Arial" w:cs="Arial"/>
          <w:color w:val="212529"/>
          <w:sz w:val="24"/>
          <w:szCs w:val="24"/>
          <w:shd w:val="clear" w:color="auto" w:fill="FFFFFF"/>
          <w:lang w:val="it-IT"/>
        </w:rPr>
        <w:t xml:space="preserve"> ricadute economiche </w:t>
      </w:r>
      <w:r w:rsidR="00E11858" w:rsidRPr="004F6E28">
        <w:rPr>
          <w:rFonts w:ascii="Arial" w:hAnsi="Arial" w:cs="Arial"/>
          <w:color w:val="212529"/>
          <w:sz w:val="24"/>
          <w:szCs w:val="24"/>
          <w:shd w:val="clear" w:color="auto" w:fill="FFFFFF"/>
          <w:lang w:val="it-IT"/>
        </w:rPr>
        <w:t>le quali</w:t>
      </w:r>
      <w:r w:rsidRPr="004F6E28">
        <w:rPr>
          <w:rFonts w:ascii="Arial" w:hAnsi="Arial" w:cs="Arial"/>
          <w:color w:val="212529"/>
          <w:sz w:val="24"/>
          <w:szCs w:val="24"/>
          <w:shd w:val="clear" w:color="auto" w:fill="FFFFFF"/>
          <w:lang w:val="it-IT"/>
        </w:rPr>
        <w:t xml:space="preserve"> devono trovare la giusta collocazione </w:t>
      </w:r>
      <w:r w:rsidR="00F25361" w:rsidRPr="004F6E28">
        <w:rPr>
          <w:rFonts w:ascii="Arial" w:hAnsi="Arial" w:cs="Arial"/>
          <w:color w:val="212529"/>
          <w:sz w:val="24"/>
          <w:szCs w:val="24"/>
          <w:shd w:val="clear" w:color="auto" w:fill="FFFFFF"/>
          <w:lang w:val="it-IT"/>
        </w:rPr>
        <w:t xml:space="preserve">appunto </w:t>
      </w:r>
      <w:r w:rsidRPr="004F6E28">
        <w:rPr>
          <w:rFonts w:ascii="Arial" w:hAnsi="Arial" w:cs="Arial"/>
          <w:color w:val="212529"/>
          <w:sz w:val="24"/>
          <w:szCs w:val="24"/>
          <w:shd w:val="clear" w:color="auto" w:fill="FFFFFF"/>
          <w:lang w:val="it-IT"/>
        </w:rPr>
        <w:t>nel bilanciamento tra</w:t>
      </w:r>
      <w:r w:rsidR="00285285" w:rsidRPr="004F6E28">
        <w:rPr>
          <w:rFonts w:ascii="Arial" w:hAnsi="Arial" w:cs="Arial"/>
          <w:color w:val="212529"/>
          <w:sz w:val="24"/>
          <w:szCs w:val="24"/>
          <w:shd w:val="clear" w:color="auto" w:fill="FFFFFF"/>
          <w:lang w:val="it-IT"/>
        </w:rPr>
        <w:t xml:space="preserve"> una</w:t>
      </w:r>
      <w:r w:rsidR="00E11858" w:rsidRPr="004F6E28">
        <w:rPr>
          <w:rFonts w:ascii="Arial" w:hAnsi="Arial" w:cs="Arial"/>
          <w:color w:val="212529"/>
          <w:sz w:val="24"/>
          <w:szCs w:val="24"/>
          <w:shd w:val="clear" w:color="auto" w:fill="FFFFFF"/>
          <w:lang w:val="it-IT"/>
        </w:rPr>
        <w:t xml:space="preserve"> legittima ed</w:t>
      </w:r>
      <w:r w:rsidR="00285285" w:rsidRPr="004F6E28">
        <w:rPr>
          <w:rFonts w:ascii="Arial" w:hAnsi="Arial" w:cs="Arial"/>
          <w:color w:val="212529"/>
          <w:sz w:val="24"/>
          <w:szCs w:val="24"/>
          <w:shd w:val="clear" w:color="auto" w:fill="FFFFFF"/>
          <w:lang w:val="it-IT"/>
        </w:rPr>
        <w:t xml:space="preserve"> avanzata tutela dell’ordine p</w:t>
      </w:r>
      <w:r w:rsidR="001C7A29" w:rsidRPr="004F6E28">
        <w:rPr>
          <w:rFonts w:ascii="Arial" w:hAnsi="Arial" w:cs="Arial"/>
          <w:color w:val="212529"/>
          <w:sz w:val="24"/>
          <w:szCs w:val="24"/>
          <w:shd w:val="clear" w:color="auto" w:fill="FFFFFF"/>
          <w:lang w:val="it-IT"/>
        </w:rPr>
        <w:t xml:space="preserve">ubblico </w:t>
      </w:r>
      <w:r w:rsidR="00787363" w:rsidRPr="004F6E28">
        <w:rPr>
          <w:rFonts w:ascii="Arial" w:hAnsi="Arial" w:cs="Arial"/>
          <w:color w:val="212529"/>
          <w:sz w:val="24"/>
          <w:szCs w:val="24"/>
          <w:shd w:val="clear" w:color="auto" w:fill="FFFFFF"/>
          <w:lang w:val="it-IT"/>
        </w:rPr>
        <w:t>e la salvaguardia della libertà di impresa</w:t>
      </w:r>
      <w:r w:rsidR="00E11858" w:rsidRPr="004F6E28">
        <w:rPr>
          <w:rFonts w:ascii="Arial" w:hAnsi="Arial" w:cs="Arial"/>
          <w:color w:val="212529"/>
          <w:sz w:val="24"/>
          <w:szCs w:val="24"/>
          <w:shd w:val="clear" w:color="auto" w:fill="FFFFFF"/>
          <w:lang w:val="it-IT"/>
        </w:rPr>
        <w:t>; quest’ultima si declina</w:t>
      </w:r>
      <w:r w:rsidR="001C7A29" w:rsidRPr="004F6E28">
        <w:rPr>
          <w:rFonts w:ascii="Arial" w:hAnsi="Arial" w:cs="Arial"/>
          <w:color w:val="212529"/>
          <w:sz w:val="24"/>
          <w:szCs w:val="24"/>
          <w:shd w:val="clear" w:color="auto" w:fill="FFFFFF"/>
          <w:lang w:val="it-IT"/>
        </w:rPr>
        <w:t>, in un</w:t>
      </w:r>
      <w:r w:rsidR="00787363" w:rsidRPr="004F6E28">
        <w:rPr>
          <w:rFonts w:ascii="Arial" w:hAnsi="Arial" w:cs="Arial"/>
          <w:color w:val="212529"/>
          <w:sz w:val="24"/>
          <w:szCs w:val="24"/>
          <w:shd w:val="clear" w:color="auto" w:fill="FFFFFF"/>
          <w:lang w:val="it-IT"/>
        </w:rPr>
        <w:t xml:space="preserve"> ordinamento</w:t>
      </w:r>
      <w:r w:rsidR="00230680" w:rsidRPr="004F6E28">
        <w:rPr>
          <w:rFonts w:ascii="Arial" w:hAnsi="Arial" w:cs="Arial"/>
          <w:color w:val="212529"/>
          <w:sz w:val="24"/>
          <w:szCs w:val="24"/>
          <w:shd w:val="clear" w:color="auto" w:fill="FFFFFF"/>
          <w:lang w:val="it-IT"/>
        </w:rPr>
        <w:t xml:space="preserve"> democratico</w:t>
      </w:r>
      <w:r w:rsidR="00E11858" w:rsidRPr="004F6E28">
        <w:rPr>
          <w:rFonts w:ascii="Arial" w:hAnsi="Arial" w:cs="Arial"/>
          <w:color w:val="212529"/>
          <w:sz w:val="24"/>
          <w:szCs w:val="24"/>
          <w:shd w:val="clear" w:color="auto" w:fill="FFFFFF"/>
          <w:lang w:val="it-IT"/>
        </w:rPr>
        <w:t>, come prerogativa</w:t>
      </w:r>
      <w:r w:rsidR="00C7392F" w:rsidRPr="004F6E28">
        <w:rPr>
          <w:rFonts w:ascii="Arial" w:hAnsi="Arial" w:cs="Arial"/>
          <w:color w:val="212529"/>
          <w:sz w:val="24"/>
          <w:szCs w:val="24"/>
          <w:shd w:val="clear" w:color="auto" w:fill="FFFFFF"/>
          <w:lang w:val="it-IT"/>
        </w:rPr>
        <w:t xml:space="preserve"> </w:t>
      </w:r>
      <w:r w:rsidR="00E11858" w:rsidRPr="004F6E28">
        <w:rPr>
          <w:rFonts w:ascii="Arial" w:hAnsi="Arial" w:cs="Arial"/>
          <w:color w:val="212529"/>
          <w:sz w:val="24"/>
          <w:szCs w:val="24"/>
          <w:shd w:val="clear" w:color="auto" w:fill="FFFFFF"/>
          <w:lang w:val="it-IT"/>
        </w:rPr>
        <w:t>individuale di cui è portatrice tanto</w:t>
      </w:r>
      <w:r w:rsidR="00C7392F" w:rsidRPr="004F6E28">
        <w:rPr>
          <w:rFonts w:ascii="Arial" w:hAnsi="Arial" w:cs="Arial"/>
          <w:color w:val="212529"/>
          <w:sz w:val="24"/>
          <w:szCs w:val="24"/>
          <w:shd w:val="clear" w:color="auto" w:fill="FFFFFF"/>
          <w:lang w:val="it-IT"/>
        </w:rPr>
        <w:t xml:space="preserve"> l’impresa colpita</w:t>
      </w:r>
      <w:r w:rsidR="00E11858" w:rsidRPr="004F6E28">
        <w:rPr>
          <w:rFonts w:ascii="Arial" w:hAnsi="Arial" w:cs="Arial"/>
          <w:color w:val="212529"/>
          <w:sz w:val="24"/>
          <w:szCs w:val="24"/>
          <w:shd w:val="clear" w:color="auto" w:fill="FFFFFF"/>
          <w:lang w:val="it-IT"/>
        </w:rPr>
        <w:t xml:space="preserve"> (il cui valore sano non deve essere inutilmente sacrificato)</w:t>
      </w:r>
      <w:r w:rsidR="00C7392F" w:rsidRPr="004F6E28">
        <w:rPr>
          <w:rFonts w:ascii="Arial" w:hAnsi="Arial" w:cs="Arial"/>
          <w:color w:val="212529"/>
          <w:sz w:val="24"/>
          <w:szCs w:val="24"/>
          <w:shd w:val="clear" w:color="auto" w:fill="FFFFFF"/>
          <w:lang w:val="it-IT"/>
        </w:rPr>
        <w:t xml:space="preserve"> che, simmetricamente, l’impresa concorrente</w:t>
      </w:r>
      <w:r w:rsidR="00230680" w:rsidRPr="004F6E28">
        <w:rPr>
          <w:rFonts w:ascii="Arial" w:hAnsi="Arial" w:cs="Arial"/>
          <w:color w:val="212529"/>
          <w:sz w:val="24"/>
          <w:szCs w:val="24"/>
          <w:shd w:val="clear" w:color="auto" w:fill="FFFFFF"/>
          <w:lang w:val="it-IT"/>
        </w:rPr>
        <w:t>,</w:t>
      </w:r>
      <w:r w:rsidR="00C7392F" w:rsidRPr="004F6E28">
        <w:rPr>
          <w:rFonts w:ascii="Arial" w:hAnsi="Arial" w:cs="Arial"/>
          <w:color w:val="212529"/>
          <w:sz w:val="24"/>
          <w:szCs w:val="24"/>
          <w:shd w:val="clear" w:color="auto" w:fill="FFFFFF"/>
          <w:lang w:val="it-IT"/>
        </w:rPr>
        <w:t xml:space="preserve"> la quale </w:t>
      </w:r>
      <w:r w:rsidR="00E11858" w:rsidRPr="004F6E28">
        <w:rPr>
          <w:rFonts w:ascii="Arial" w:hAnsi="Arial" w:cs="Arial"/>
          <w:color w:val="212529"/>
          <w:sz w:val="24"/>
          <w:szCs w:val="24"/>
          <w:shd w:val="clear" w:color="auto" w:fill="FFFFFF"/>
          <w:lang w:val="it-IT"/>
        </w:rPr>
        <w:t xml:space="preserve">ultima </w:t>
      </w:r>
      <w:r w:rsidR="00C7392F" w:rsidRPr="004F6E28">
        <w:rPr>
          <w:rFonts w:ascii="Arial" w:hAnsi="Arial" w:cs="Arial"/>
          <w:color w:val="212529"/>
          <w:sz w:val="24"/>
          <w:szCs w:val="24"/>
          <w:shd w:val="clear" w:color="auto" w:fill="FFFFFF"/>
          <w:lang w:val="it-IT"/>
        </w:rPr>
        <w:t xml:space="preserve">vede le proprie possibilità di </w:t>
      </w:r>
      <w:r w:rsidR="00230680" w:rsidRPr="004F6E28">
        <w:rPr>
          <w:rFonts w:ascii="Arial" w:hAnsi="Arial" w:cs="Arial"/>
          <w:color w:val="212529"/>
          <w:sz w:val="24"/>
          <w:szCs w:val="24"/>
          <w:shd w:val="clear" w:color="auto" w:fill="FFFFFF"/>
          <w:lang w:val="it-IT"/>
        </w:rPr>
        <w:t xml:space="preserve">successo </w:t>
      </w:r>
      <w:r w:rsidR="009E3F26" w:rsidRPr="004F6E28">
        <w:rPr>
          <w:rFonts w:ascii="Arial" w:hAnsi="Arial" w:cs="Arial"/>
          <w:color w:val="212529"/>
          <w:sz w:val="24"/>
          <w:szCs w:val="24"/>
          <w:shd w:val="clear" w:color="auto" w:fill="FFFFFF"/>
          <w:lang w:val="it-IT"/>
        </w:rPr>
        <w:t>ingiustamente condizionate</w:t>
      </w:r>
      <w:r w:rsidR="00230680" w:rsidRPr="004F6E28">
        <w:rPr>
          <w:rFonts w:ascii="Arial" w:hAnsi="Arial" w:cs="Arial"/>
          <w:color w:val="212529"/>
          <w:sz w:val="24"/>
          <w:szCs w:val="24"/>
          <w:shd w:val="clear" w:color="auto" w:fill="FFFFFF"/>
          <w:lang w:val="it-IT"/>
        </w:rPr>
        <w:t xml:space="preserve"> dagli illeciti</w:t>
      </w:r>
      <w:r w:rsidR="00C7392F" w:rsidRPr="004F6E28">
        <w:rPr>
          <w:rFonts w:ascii="Arial" w:hAnsi="Arial" w:cs="Arial"/>
          <w:color w:val="212529"/>
          <w:sz w:val="24"/>
          <w:szCs w:val="24"/>
          <w:shd w:val="clear" w:color="auto" w:fill="FFFFFF"/>
          <w:lang w:val="it-IT"/>
        </w:rPr>
        <w:t xml:space="preserve"> vantaggi</w:t>
      </w:r>
      <w:r w:rsidR="00230680" w:rsidRPr="004F6E28">
        <w:rPr>
          <w:rFonts w:ascii="Arial" w:hAnsi="Arial" w:cs="Arial"/>
          <w:color w:val="212529"/>
          <w:sz w:val="24"/>
          <w:szCs w:val="24"/>
          <w:shd w:val="clear" w:color="auto" w:fill="FFFFFF"/>
          <w:lang w:val="it-IT"/>
        </w:rPr>
        <w:t xml:space="preserve"> concorrenziali (possibilità di prescindere</w:t>
      </w:r>
      <w:r w:rsidR="00C7392F" w:rsidRPr="004F6E28">
        <w:rPr>
          <w:rFonts w:ascii="Arial" w:hAnsi="Arial" w:cs="Arial"/>
          <w:color w:val="212529"/>
          <w:sz w:val="24"/>
          <w:szCs w:val="24"/>
          <w:shd w:val="clear" w:color="auto" w:fill="FFFFFF"/>
          <w:lang w:val="it-IT"/>
        </w:rPr>
        <w:t xml:space="preserve"> </w:t>
      </w:r>
      <w:r w:rsidR="00230680" w:rsidRPr="004F6E28">
        <w:rPr>
          <w:rFonts w:ascii="Arial" w:hAnsi="Arial" w:cs="Arial"/>
          <w:color w:val="212529"/>
          <w:sz w:val="24"/>
          <w:szCs w:val="24"/>
          <w:shd w:val="clear" w:color="auto" w:fill="FFFFFF"/>
          <w:lang w:val="it-IT"/>
        </w:rPr>
        <w:t>d</w:t>
      </w:r>
      <w:r w:rsidR="00C7392F" w:rsidRPr="004F6E28">
        <w:rPr>
          <w:rFonts w:ascii="Arial" w:hAnsi="Arial" w:cs="Arial"/>
          <w:color w:val="212529"/>
          <w:sz w:val="24"/>
          <w:szCs w:val="24"/>
          <w:shd w:val="clear" w:color="auto" w:fill="FFFFFF"/>
          <w:lang w:val="it-IT"/>
        </w:rPr>
        <w:t>ai regolari c</w:t>
      </w:r>
      <w:r w:rsidR="00230680" w:rsidRPr="004F6E28">
        <w:rPr>
          <w:rFonts w:ascii="Arial" w:hAnsi="Arial" w:cs="Arial"/>
          <w:color w:val="212529"/>
          <w:sz w:val="24"/>
          <w:szCs w:val="24"/>
          <w:shd w:val="clear" w:color="auto" w:fill="FFFFFF"/>
          <w:lang w:val="it-IT"/>
        </w:rPr>
        <w:t>anali di credito o di tutela,</w:t>
      </w:r>
      <w:r w:rsidR="00C7392F" w:rsidRPr="004F6E28">
        <w:rPr>
          <w:rFonts w:ascii="Arial" w:hAnsi="Arial" w:cs="Arial"/>
          <w:color w:val="212529"/>
          <w:sz w:val="24"/>
          <w:szCs w:val="24"/>
          <w:shd w:val="clear" w:color="auto" w:fill="FFFFFF"/>
          <w:lang w:val="it-IT"/>
        </w:rPr>
        <w:t xml:space="preserve"> violazione dell</w:t>
      </w:r>
      <w:r w:rsidR="00230680" w:rsidRPr="004F6E28">
        <w:rPr>
          <w:rFonts w:ascii="Arial" w:hAnsi="Arial" w:cs="Arial"/>
          <w:color w:val="212529"/>
          <w:sz w:val="24"/>
          <w:szCs w:val="24"/>
          <w:shd w:val="clear" w:color="auto" w:fill="FFFFFF"/>
          <w:lang w:val="it-IT"/>
        </w:rPr>
        <w:t>e prerogative dei lavoratori,</w:t>
      </w:r>
      <w:r w:rsidR="00C7392F" w:rsidRPr="004F6E28">
        <w:rPr>
          <w:rFonts w:ascii="Arial" w:hAnsi="Arial" w:cs="Arial"/>
          <w:color w:val="212529"/>
          <w:sz w:val="24"/>
          <w:szCs w:val="24"/>
          <w:shd w:val="clear" w:color="auto" w:fill="FFFFFF"/>
          <w:lang w:val="it-IT"/>
        </w:rPr>
        <w:t xml:space="preserve"> evasione fiscale) che il collegamento con la crim</w:t>
      </w:r>
      <w:r w:rsidR="00230680" w:rsidRPr="004F6E28">
        <w:rPr>
          <w:rFonts w:ascii="Arial" w:hAnsi="Arial" w:cs="Arial"/>
          <w:color w:val="212529"/>
          <w:sz w:val="24"/>
          <w:szCs w:val="24"/>
          <w:shd w:val="clear" w:color="auto" w:fill="FFFFFF"/>
          <w:lang w:val="it-IT"/>
        </w:rPr>
        <w:t>inalità organizzata attribuisce all’</w:t>
      </w:r>
      <w:r w:rsidR="003E759A" w:rsidRPr="004F6E28">
        <w:rPr>
          <w:rFonts w:ascii="Arial" w:hAnsi="Arial" w:cs="Arial"/>
          <w:color w:val="212529"/>
          <w:sz w:val="24"/>
          <w:szCs w:val="24"/>
          <w:shd w:val="clear" w:color="auto" w:fill="FFFFFF"/>
          <w:lang w:val="it-IT"/>
        </w:rPr>
        <w:t>attività economica infiltrata.</w:t>
      </w:r>
    </w:p>
    <w:p w:rsidR="00203463" w:rsidRPr="004F6E28" w:rsidRDefault="00787363" w:rsidP="004F6E28">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L’anali</w:t>
      </w:r>
      <w:r w:rsidR="00C7392F" w:rsidRPr="004F6E28">
        <w:rPr>
          <w:rFonts w:ascii="Arial" w:hAnsi="Arial" w:cs="Arial"/>
          <w:color w:val="686868"/>
          <w:sz w:val="24"/>
          <w:szCs w:val="24"/>
          <w:shd w:val="clear" w:color="auto" w:fill="FFFFFF"/>
          <w:lang w:val="it-IT"/>
        </w:rPr>
        <w:t>si verrà</w:t>
      </w:r>
      <w:r w:rsidR="009E3F26" w:rsidRPr="004F6E28">
        <w:rPr>
          <w:rFonts w:ascii="Arial" w:hAnsi="Arial" w:cs="Arial"/>
          <w:color w:val="686868"/>
          <w:sz w:val="24"/>
          <w:szCs w:val="24"/>
          <w:shd w:val="clear" w:color="auto" w:fill="FFFFFF"/>
          <w:lang w:val="it-IT"/>
        </w:rPr>
        <w:t xml:space="preserve"> in questa sede</w:t>
      </w:r>
      <w:r w:rsidR="00203463" w:rsidRPr="004F6E28">
        <w:rPr>
          <w:rFonts w:ascii="Arial" w:hAnsi="Arial" w:cs="Arial"/>
          <w:color w:val="686868"/>
          <w:sz w:val="24"/>
          <w:szCs w:val="24"/>
          <w:shd w:val="clear" w:color="auto" w:fill="FFFFFF"/>
          <w:lang w:val="it-IT"/>
        </w:rPr>
        <w:t xml:space="preserve"> focalizzata su</w:t>
      </w:r>
      <w:r w:rsidR="001C7A29" w:rsidRPr="004F6E28">
        <w:rPr>
          <w:rFonts w:ascii="Arial" w:hAnsi="Arial" w:cs="Arial"/>
          <w:color w:val="686868"/>
          <w:sz w:val="24"/>
          <w:szCs w:val="24"/>
          <w:shd w:val="clear" w:color="auto" w:fill="FFFFFF"/>
          <w:lang w:val="it-IT"/>
        </w:rPr>
        <w:t>lle implicazioni</w:t>
      </w:r>
      <w:r w:rsidRPr="004F6E28">
        <w:rPr>
          <w:rFonts w:ascii="Arial" w:hAnsi="Arial" w:cs="Arial"/>
          <w:color w:val="686868"/>
          <w:sz w:val="24"/>
          <w:szCs w:val="24"/>
          <w:shd w:val="clear" w:color="auto" w:fill="FFFFFF"/>
          <w:lang w:val="it-IT"/>
        </w:rPr>
        <w:t xml:space="preserve"> di tipo sistematico</w:t>
      </w:r>
      <w:r w:rsidR="00D83033">
        <w:rPr>
          <w:rFonts w:ascii="Arial" w:hAnsi="Arial" w:cs="Arial"/>
          <w:color w:val="686868"/>
          <w:sz w:val="24"/>
          <w:szCs w:val="24"/>
          <w:shd w:val="clear" w:color="auto" w:fill="FFFFFF"/>
          <w:lang w:val="it-IT"/>
        </w:rPr>
        <w:t>-</w:t>
      </w:r>
      <w:r w:rsidR="00203463" w:rsidRPr="004F6E28">
        <w:rPr>
          <w:rFonts w:ascii="Arial" w:hAnsi="Arial" w:cs="Arial"/>
          <w:color w:val="686868"/>
          <w:sz w:val="24"/>
          <w:szCs w:val="24"/>
          <w:shd w:val="clear" w:color="auto" w:fill="FFFFFF"/>
          <w:lang w:val="it-IT"/>
        </w:rPr>
        <w:t>costituzionale</w:t>
      </w:r>
      <w:r w:rsidR="001C7A29" w:rsidRPr="004F6E28">
        <w:rPr>
          <w:rFonts w:ascii="Arial" w:hAnsi="Arial" w:cs="Arial"/>
          <w:color w:val="686868"/>
          <w:sz w:val="24"/>
          <w:szCs w:val="24"/>
          <w:shd w:val="clear" w:color="auto" w:fill="FFFFFF"/>
          <w:lang w:val="it-IT"/>
        </w:rPr>
        <w:t xml:space="preserve"> che</w:t>
      </w:r>
      <w:r w:rsidR="00D83033">
        <w:rPr>
          <w:rFonts w:ascii="Arial" w:hAnsi="Arial" w:cs="Arial"/>
          <w:color w:val="686868"/>
          <w:sz w:val="24"/>
          <w:szCs w:val="24"/>
          <w:shd w:val="clear" w:color="auto" w:fill="FFFFFF"/>
          <w:lang w:val="it-IT"/>
        </w:rPr>
        <w:t>, anche in un’ottica multilivello,</w:t>
      </w:r>
      <w:r w:rsidR="001C7A29" w:rsidRPr="004F6E28">
        <w:rPr>
          <w:rFonts w:ascii="Arial" w:hAnsi="Arial" w:cs="Arial"/>
          <w:color w:val="686868"/>
          <w:sz w:val="24"/>
          <w:szCs w:val="24"/>
          <w:shd w:val="clear" w:color="auto" w:fill="FFFFFF"/>
          <w:lang w:val="it-IT"/>
        </w:rPr>
        <w:t xml:space="preserve"> intersecano la disciplina della documentazione antimafia</w:t>
      </w:r>
      <w:r w:rsidRPr="004F6E28">
        <w:rPr>
          <w:rFonts w:ascii="Arial" w:hAnsi="Arial" w:cs="Arial"/>
          <w:color w:val="686868"/>
          <w:sz w:val="24"/>
          <w:szCs w:val="24"/>
          <w:shd w:val="clear" w:color="auto" w:fill="FFFFFF"/>
          <w:lang w:val="it-IT"/>
        </w:rPr>
        <w:t xml:space="preserve"> nel contesto </w:t>
      </w:r>
      <w:r w:rsidR="001C7A29" w:rsidRPr="004F6E28">
        <w:rPr>
          <w:rFonts w:ascii="Arial" w:hAnsi="Arial" w:cs="Arial"/>
          <w:color w:val="686868"/>
          <w:sz w:val="24"/>
          <w:szCs w:val="24"/>
          <w:shd w:val="clear" w:color="auto" w:fill="FFFFFF"/>
          <w:lang w:val="it-IT"/>
        </w:rPr>
        <w:t>dei valori democratici</w:t>
      </w:r>
      <w:r w:rsidR="00117840" w:rsidRPr="004F6E28">
        <w:rPr>
          <w:rFonts w:ascii="Arial" w:hAnsi="Arial" w:cs="Arial"/>
          <w:color w:val="686868"/>
          <w:sz w:val="24"/>
          <w:szCs w:val="24"/>
          <w:shd w:val="clear" w:color="auto" w:fill="FFFFFF"/>
          <w:lang w:val="it-IT"/>
        </w:rPr>
        <w:t xml:space="preserve">. </w:t>
      </w:r>
    </w:p>
    <w:p w:rsidR="007A2DCB" w:rsidRPr="004F6E28" w:rsidRDefault="007A2DCB" w:rsidP="004F6E28">
      <w:pPr>
        <w:pStyle w:val="Paragrafoelenco"/>
        <w:numPr>
          <w:ilvl w:val="0"/>
          <w:numId w:val="6"/>
        </w:numPr>
        <w:jc w:val="both"/>
        <w:rPr>
          <w:rFonts w:ascii="Arial" w:hAnsi="Arial" w:cs="Arial"/>
          <w:b/>
          <w:color w:val="686868"/>
          <w:sz w:val="24"/>
          <w:szCs w:val="24"/>
          <w:shd w:val="clear" w:color="auto" w:fill="FFFFFF"/>
          <w:lang w:val="it-IT"/>
        </w:rPr>
      </w:pPr>
      <w:r w:rsidRPr="004F6E28">
        <w:rPr>
          <w:rFonts w:ascii="Arial" w:hAnsi="Arial" w:cs="Arial"/>
          <w:b/>
          <w:color w:val="686868"/>
          <w:sz w:val="24"/>
          <w:szCs w:val="24"/>
          <w:shd w:val="clear" w:color="auto" w:fill="FFFFFF"/>
          <w:lang w:val="it-IT"/>
        </w:rPr>
        <w:t>L’ordine pubblico economico</w:t>
      </w:r>
      <w:r w:rsidR="000F52DA" w:rsidRPr="004F6E28">
        <w:rPr>
          <w:rFonts w:ascii="Arial" w:hAnsi="Arial" w:cs="Arial"/>
          <w:b/>
          <w:color w:val="686868"/>
          <w:sz w:val="24"/>
          <w:szCs w:val="24"/>
          <w:shd w:val="clear" w:color="auto" w:fill="FFFFFF"/>
          <w:lang w:val="it-IT"/>
        </w:rPr>
        <w:t xml:space="preserve"> come principio legittimante</w:t>
      </w:r>
      <w:r w:rsidR="00230680" w:rsidRPr="004F6E28">
        <w:rPr>
          <w:rFonts w:ascii="Arial" w:hAnsi="Arial" w:cs="Arial"/>
          <w:b/>
          <w:color w:val="686868"/>
          <w:sz w:val="24"/>
          <w:szCs w:val="24"/>
          <w:shd w:val="clear" w:color="auto" w:fill="FFFFFF"/>
          <w:lang w:val="it-IT"/>
        </w:rPr>
        <w:t xml:space="preserve"> </w:t>
      </w:r>
      <w:r w:rsidR="00A21554" w:rsidRPr="004F6E28">
        <w:rPr>
          <w:rFonts w:ascii="Arial" w:hAnsi="Arial" w:cs="Arial"/>
          <w:b/>
          <w:color w:val="686868"/>
          <w:sz w:val="24"/>
          <w:szCs w:val="24"/>
          <w:shd w:val="clear" w:color="auto" w:fill="FFFFFF"/>
          <w:lang w:val="it-IT"/>
        </w:rPr>
        <w:t xml:space="preserve">la disciplina </w:t>
      </w:r>
      <w:r w:rsidR="00230680" w:rsidRPr="004F6E28">
        <w:rPr>
          <w:rFonts w:ascii="Arial" w:hAnsi="Arial" w:cs="Arial"/>
          <w:b/>
          <w:color w:val="686868"/>
          <w:sz w:val="24"/>
          <w:szCs w:val="24"/>
          <w:shd w:val="clear" w:color="auto" w:fill="FFFFFF"/>
          <w:lang w:val="it-IT"/>
        </w:rPr>
        <w:t>del</w:t>
      </w:r>
      <w:r w:rsidR="000F52DA" w:rsidRPr="004F6E28">
        <w:rPr>
          <w:rFonts w:ascii="Arial" w:hAnsi="Arial" w:cs="Arial"/>
          <w:b/>
          <w:color w:val="686868"/>
          <w:sz w:val="24"/>
          <w:szCs w:val="24"/>
          <w:shd w:val="clear" w:color="auto" w:fill="FFFFFF"/>
          <w:lang w:val="it-IT"/>
        </w:rPr>
        <w:t>la documentazione antimafia</w:t>
      </w:r>
      <w:r w:rsidRPr="004F6E28">
        <w:rPr>
          <w:rFonts w:ascii="Arial" w:hAnsi="Arial" w:cs="Arial"/>
          <w:b/>
          <w:color w:val="686868"/>
          <w:sz w:val="24"/>
          <w:szCs w:val="24"/>
          <w:shd w:val="clear" w:color="auto" w:fill="FFFFFF"/>
          <w:lang w:val="it-IT"/>
        </w:rPr>
        <w:t>.</w:t>
      </w:r>
    </w:p>
    <w:p w:rsidR="00CD2983" w:rsidRPr="004F6E28" w:rsidRDefault="00117840" w:rsidP="004F6E28">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 xml:space="preserve">Muovendo </w:t>
      </w:r>
      <w:r w:rsidR="00800170">
        <w:rPr>
          <w:rFonts w:ascii="Arial" w:hAnsi="Arial" w:cs="Arial"/>
          <w:color w:val="686868"/>
          <w:sz w:val="24"/>
          <w:szCs w:val="24"/>
          <w:shd w:val="clear" w:color="auto" w:fill="FFFFFF"/>
          <w:lang w:val="it-IT"/>
        </w:rPr>
        <w:t>da</w:t>
      </w:r>
      <w:r w:rsidR="000E6509" w:rsidRPr="004F6E28">
        <w:rPr>
          <w:rFonts w:ascii="Arial" w:hAnsi="Arial" w:cs="Arial"/>
          <w:color w:val="686868"/>
          <w:sz w:val="24"/>
          <w:szCs w:val="24"/>
          <w:shd w:val="clear" w:color="auto" w:fill="FFFFFF"/>
          <w:lang w:val="it-IT"/>
        </w:rPr>
        <w:t xml:space="preserve">l concetto di </w:t>
      </w:r>
      <w:r w:rsidR="00203463" w:rsidRPr="004F6E28">
        <w:rPr>
          <w:rFonts w:ascii="Arial" w:hAnsi="Arial" w:cs="Arial"/>
          <w:color w:val="686868"/>
          <w:sz w:val="24"/>
          <w:szCs w:val="24"/>
          <w:shd w:val="clear" w:color="auto" w:fill="FFFFFF"/>
          <w:lang w:val="it-IT"/>
        </w:rPr>
        <w:t>ordine pubblico</w:t>
      </w:r>
      <w:r w:rsidR="00CD2983" w:rsidRPr="004F6E28">
        <w:rPr>
          <w:rFonts w:ascii="Arial" w:hAnsi="Arial" w:cs="Arial"/>
          <w:color w:val="686868"/>
          <w:sz w:val="24"/>
          <w:szCs w:val="24"/>
          <w:shd w:val="clear" w:color="auto" w:fill="FFFFFF"/>
          <w:lang w:val="it-IT"/>
        </w:rPr>
        <w:t>,</w:t>
      </w:r>
      <w:r w:rsidR="00203463" w:rsidRPr="004F6E28">
        <w:rPr>
          <w:rFonts w:ascii="Arial" w:hAnsi="Arial" w:cs="Arial"/>
          <w:color w:val="686868"/>
          <w:sz w:val="24"/>
          <w:szCs w:val="24"/>
          <w:shd w:val="clear" w:color="auto" w:fill="FFFFFF"/>
          <w:lang w:val="it-IT"/>
        </w:rPr>
        <w:t xml:space="preserve"> la dottrina francese</w:t>
      </w:r>
      <w:r w:rsidR="001C7A29" w:rsidRPr="004F6E28">
        <w:rPr>
          <w:rFonts w:ascii="Arial" w:hAnsi="Arial" w:cs="Arial"/>
          <w:color w:val="686868"/>
          <w:sz w:val="24"/>
          <w:szCs w:val="24"/>
          <w:shd w:val="clear" w:color="auto" w:fill="FFFFFF"/>
          <w:lang w:val="it-IT"/>
        </w:rPr>
        <w:t xml:space="preserve"> degli anni ‘50</w:t>
      </w:r>
      <w:r w:rsidR="00CD2983" w:rsidRPr="004F6E28">
        <w:rPr>
          <w:rFonts w:ascii="Arial" w:hAnsi="Arial" w:cs="Arial"/>
          <w:color w:val="686868"/>
          <w:sz w:val="24"/>
          <w:szCs w:val="24"/>
          <w:shd w:val="clear" w:color="auto" w:fill="FFFFFF"/>
          <w:lang w:val="it-IT"/>
        </w:rPr>
        <w:t>,</w:t>
      </w:r>
      <w:r w:rsidR="00203463" w:rsidRPr="004F6E28">
        <w:rPr>
          <w:rFonts w:ascii="Arial" w:hAnsi="Arial" w:cs="Arial"/>
          <w:color w:val="686868"/>
          <w:sz w:val="24"/>
          <w:szCs w:val="24"/>
          <w:shd w:val="clear" w:color="auto" w:fill="FFFFFF"/>
          <w:lang w:val="it-IT"/>
        </w:rPr>
        <w:t xml:space="preserve"> </w:t>
      </w:r>
      <w:r w:rsidR="009E3F26" w:rsidRPr="004F6E28">
        <w:rPr>
          <w:rFonts w:ascii="Arial" w:hAnsi="Arial" w:cs="Arial"/>
          <w:color w:val="686868"/>
          <w:sz w:val="24"/>
          <w:szCs w:val="24"/>
          <w:shd w:val="clear" w:color="auto" w:fill="FFFFFF"/>
          <w:lang w:val="it-IT"/>
        </w:rPr>
        <w:t>è stata attraversata</w:t>
      </w:r>
      <w:r w:rsidR="00A22F3D" w:rsidRPr="004F6E28">
        <w:rPr>
          <w:rFonts w:ascii="Arial" w:hAnsi="Arial" w:cs="Arial"/>
          <w:color w:val="686868"/>
          <w:sz w:val="24"/>
          <w:szCs w:val="24"/>
          <w:shd w:val="clear" w:color="auto" w:fill="FFFFFF"/>
          <w:lang w:val="it-IT"/>
        </w:rPr>
        <w:t xml:space="preserve"> da un vivace</w:t>
      </w:r>
      <w:r w:rsidR="007A2DCB" w:rsidRPr="004F6E28">
        <w:rPr>
          <w:rFonts w:ascii="Arial" w:hAnsi="Arial" w:cs="Arial"/>
          <w:color w:val="686868"/>
          <w:sz w:val="24"/>
          <w:szCs w:val="24"/>
          <w:shd w:val="clear" w:color="auto" w:fill="FFFFFF"/>
          <w:lang w:val="it-IT"/>
        </w:rPr>
        <w:t xml:space="preserve"> dibattito</w:t>
      </w:r>
      <w:r w:rsidR="009E3F26" w:rsidRPr="004F6E28">
        <w:rPr>
          <w:rFonts w:ascii="Arial" w:hAnsi="Arial" w:cs="Arial"/>
          <w:color w:val="686868"/>
          <w:sz w:val="24"/>
          <w:szCs w:val="24"/>
          <w:shd w:val="clear" w:color="auto" w:fill="FFFFFF"/>
          <w:lang w:val="it-IT"/>
        </w:rPr>
        <w:t xml:space="preserve"> in materia</w:t>
      </w:r>
      <w:r w:rsidR="00205128" w:rsidRPr="004F6E28">
        <w:rPr>
          <w:rFonts w:ascii="Arial" w:hAnsi="Arial" w:cs="Arial"/>
          <w:color w:val="686868"/>
          <w:sz w:val="24"/>
          <w:szCs w:val="24"/>
          <w:shd w:val="clear" w:color="auto" w:fill="FFFFFF"/>
          <w:lang w:val="it-IT"/>
        </w:rPr>
        <w:t>,</w:t>
      </w:r>
      <w:r w:rsidR="007A2DCB" w:rsidRPr="004F6E28">
        <w:rPr>
          <w:rFonts w:ascii="Arial" w:hAnsi="Arial" w:cs="Arial"/>
          <w:color w:val="686868"/>
          <w:sz w:val="24"/>
          <w:szCs w:val="24"/>
          <w:shd w:val="clear" w:color="auto" w:fill="FFFFFF"/>
          <w:lang w:val="it-IT"/>
        </w:rPr>
        <w:t xml:space="preserve"> in particolare per le </w:t>
      </w:r>
      <w:r w:rsidR="009E3F26" w:rsidRPr="004F6E28">
        <w:rPr>
          <w:rFonts w:ascii="Arial" w:hAnsi="Arial" w:cs="Arial"/>
          <w:color w:val="686868"/>
          <w:sz w:val="24"/>
          <w:szCs w:val="24"/>
          <w:shd w:val="clear" w:color="auto" w:fill="FFFFFF"/>
          <w:lang w:val="it-IT"/>
        </w:rPr>
        <w:t xml:space="preserve">sue </w:t>
      </w:r>
      <w:r w:rsidR="007A2DCB" w:rsidRPr="004F6E28">
        <w:rPr>
          <w:rFonts w:ascii="Arial" w:hAnsi="Arial" w:cs="Arial"/>
          <w:color w:val="686868"/>
          <w:sz w:val="24"/>
          <w:szCs w:val="24"/>
          <w:shd w:val="clear" w:color="auto" w:fill="FFFFFF"/>
          <w:lang w:val="it-IT"/>
        </w:rPr>
        <w:t>implicaz</w:t>
      </w:r>
      <w:r w:rsidR="000E6509" w:rsidRPr="004F6E28">
        <w:rPr>
          <w:rFonts w:ascii="Arial" w:hAnsi="Arial" w:cs="Arial"/>
          <w:color w:val="686868"/>
          <w:sz w:val="24"/>
          <w:szCs w:val="24"/>
          <w:shd w:val="clear" w:color="auto" w:fill="FFFFFF"/>
          <w:lang w:val="it-IT"/>
        </w:rPr>
        <w:t xml:space="preserve">ioni </w:t>
      </w:r>
      <w:r w:rsidR="009E3F26" w:rsidRPr="004F6E28">
        <w:rPr>
          <w:rFonts w:ascii="Arial" w:hAnsi="Arial" w:cs="Arial"/>
          <w:color w:val="686868"/>
          <w:sz w:val="24"/>
          <w:szCs w:val="24"/>
          <w:shd w:val="clear" w:color="auto" w:fill="FFFFFF"/>
          <w:lang w:val="it-IT"/>
        </w:rPr>
        <w:t>di tipo privatistico</w:t>
      </w:r>
      <w:r w:rsidR="001C7A29" w:rsidRPr="004F6E28">
        <w:rPr>
          <w:rFonts w:ascii="Arial" w:hAnsi="Arial" w:cs="Arial"/>
          <w:color w:val="686868"/>
          <w:sz w:val="24"/>
          <w:szCs w:val="24"/>
          <w:shd w:val="clear" w:color="auto" w:fill="FFFFFF"/>
          <w:lang w:val="it-IT"/>
        </w:rPr>
        <w:t>,</w:t>
      </w:r>
      <w:r w:rsidR="009E3F26" w:rsidRPr="004F6E28">
        <w:rPr>
          <w:rFonts w:ascii="Arial" w:hAnsi="Arial" w:cs="Arial"/>
          <w:color w:val="686868"/>
          <w:sz w:val="24"/>
          <w:szCs w:val="24"/>
          <w:shd w:val="clear" w:color="auto" w:fill="FFFFFF"/>
          <w:lang w:val="it-IT"/>
        </w:rPr>
        <w:t xml:space="preserve"> ed</w:t>
      </w:r>
      <w:r w:rsidR="00CD2983" w:rsidRPr="004F6E28">
        <w:rPr>
          <w:rFonts w:ascii="Arial" w:hAnsi="Arial" w:cs="Arial"/>
          <w:color w:val="686868"/>
          <w:sz w:val="24"/>
          <w:szCs w:val="24"/>
          <w:shd w:val="clear" w:color="auto" w:fill="FFFFFF"/>
          <w:lang w:val="it-IT"/>
        </w:rPr>
        <w:t xml:space="preserve"> ha alternativamente definito</w:t>
      </w:r>
      <w:r w:rsidR="009E3F26" w:rsidRPr="004F6E28">
        <w:rPr>
          <w:rFonts w:ascii="Arial" w:hAnsi="Arial" w:cs="Arial"/>
          <w:color w:val="686868"/>
          <w:sz w:val="24"/>
          <w:szCs w:val="24"/>
          <w:shd w:val="clear" w:color="auto" w:fill="FFFFFF"/>
          <w:lang w:val="it-IT"/>
        </w:rPr>
        <w:t xml:space="preserve"> l’argomento</w:t>
      </w:r>
      <w:r w:rsidR="00CD2983" w:rsidRPr="004F6E28">
        <w:rPr>
          <w:rFonts w:ascii="Arial" w:hAnsi="Arial" w:cs="Arial"/>
          <w:color w:val="686868"/>
          <w:sz w:val="24"/>
          <w:szCs w:val="24"/>
          <w:shd w:val="clear" w:color="auto" w:fill="FFFFFF"/>
          <w:lang w:val="it-IT"/>
        </w:rPr>
        <w:t xml:space="preserve"> “supplizio per l’intelligenza”</w:t>
      </w:r>
      <w:r w:rsidR="00F743C4" w:rsidRPr="004F6E28">
        <w:rPr>
          <w:rStyle w:val="Rimandonotaapidipagina"/>
          <w:rFonts w:ascii="Arial" w:hAnsi="Arial" w:cs="Arial"/>
          <w:color w:val="686868"/>
          <w:sz w:val="24"/>
          <w:szCs w:val="24"/>
          <w:shd w:val="clear" w:color="auto" w:fill="FFFFFF"/>
          <w:lang w:val="it-IT"/>
        </w:rPr>
        <w:footnoteReference w:id="2"/>
      </w:r>
      <w:r w:rsidR="00787363" w:rsidRPr="004F6E28">
        <w:rPr>
          <w:rFonts w:ascii="Arial" w:hAnsi="Arial" w:cs="Arial"/>
          <w:color w:val="686868"/>
          <w:sz w:val="24"/>
          <w:szCs w:val="24"/>
          <w:shd w:val="clear" w:color="auto" w:fill="FFFFFF"/>
          <w:lang w:val="it-IT"/>
        </w:rPr>
        <w:t xml:space="preserve"> </w:t>
      </w:r>
      <w:r w:rsidR="00CD2983" w:rsidRPr="004F6E28">
        <w:rPr>
          <w:rFonts w:ascii="Arial" w:hAnsi="Arial" w:cs="Arial"/>
          <w:color w:val="686868"/>
          <w:sz w:val="24"/>
          <w:szCs w:val="24"/>
          <w:shd w:val="clear" w:color="auto" w:fill="FFFFFF"/>
          <w:lang w:val="it-IT"/>
        </w:rPr>
        <w:t>o “soggetto temerario”</w:t>
      </w:r>
      <w:r w:rsidR="000E6509" w:rsidRPr="004F6E28">
        <w:rPr>
          <w:rStyle w:val="Rimandonotaapidipagina"/>
          <w:rFonts w:ascii="Arial" w:hAnsi="Arial" w:cs="Arial"/>
          <w:color w:val="686868"/>
          <w:sz w:val="24"/>
          <w:szCs w:val="24"/>
          <w:shd w:val="clear" w:color="auto" w:fill="FFFFFF"/>
          <w:lang w:val="it-IT"/>
        </w:rPr>
        <w:footnoteReference w:id="3"/>
      </w:r>
      <w:r w:rsidR="000E6509" w:rsidRPr="004F6E28">
        <w:rPr>
          <w:rFonts w:ascii="Arial" w:hAnsi="Arial" w:cs="Arial"/>
          <w:color w:val="686868"/>
          <w:sz w:val="24"/>
          <w:szCs w:val="24"/>
          <w:shd w:val="clear" w:color="auto" w:fill="FFFFFF"/>
          <w:lang w:val="it-IT"/>
        </w:rPr>
        <w:t>,</w:t>
      </w:r>
      <w:r w:rsidR="008E1E63" w:rsidRPr="004F6E28">
        <w:rPr>
          <w:rFonts w:ascii="Arial" w:hAnsi="Arial" w:cs="Arial"/>
          <w:color w:val="686868"/>
          <w:sz w:val="24"/>
          <w:szCs w:val="24"/>
          <w:shd w:val="clear" w:color="auto" w:fill="FFFFFF"/>
          <w:lang w:val="it-IT"/>
        </w:rPr>
        <w:t xml:space="preserve"> concordando per lo più</w:t>
      </w:r>
      <w:r w:rsidR="009E3F26" w:rsidRPr="004F6E28">
        <w:rPr>
          <w:rFonts w:ascii="Arial" w:hAnsi="Arial" w:cs="Arial"/>
          <w:color w:val="686868"/>
          <w:sz w:val="24"/>
          <w:szCs w:val="24"/>
          <w:shd w:val="clear" w:color="auto" w:fill="FFFFFF"/>
          <w:lang w:val="it-IT"/>
        </w:rPr>
        <w:t xml:space="preserve"> su un aspetto:</w:t>
      </w:r>
      <w:r w:rsidR="00CD2983" w:rsidRPr="004F6E28">
        <w:rPr>
          <w:rFonts w:ascii="Arial" w:hAnsi="Arial" w:cs="Arial"/>
          <w:color w:val="686868"/>
          <w:sz w:val="24"/>
          <w:szCs w:val="24"/>
          <w:shd w:val="clear" w:color="auto" w:fill="FFFFFF"/>
          <w:lang w:val="it-IT"/>
        </w:rPr>
        <w:t xml:space="preserve"> si tratta di </w:t>
      </w:r>
      <w:r w:rsidR="00230680" w:rsidRPr="004F6E28">
        <w:rPr>
          <w:rFonts w:ascii="Arial" w:hAnsi="Arial" w:cs="Arial"/>
          <w:color w:val="686868"/>
          <w:sz w:val="24"/>
          <w:szCs w:val="24"/>
          <w:shd w:val="clear" w:color="auto" w:fill="FFFFFF"/>
          <w:lang w:val="it-IT"/>
        </w:rPr>
        <w:t xml:space="preserve">un </w:t>
      </w:r>
      <w:r w:rsidR="00CD2983" w:rsidRPr="004F6E28">
        <w:rPr>
          <w:rFonts w:ascii="Arial" w:hAnsi="Arial" w:cs="Arial"/>
          <w:color w:val="686868"/>
          <w:sz w:val="24"/>
          <w:szCs w:val="24"/>
          <w:shd w:val="clear" w:color="auto" w:fill="FFFFFF"/>
          <w:lang w:val="it-IT"/>
        </w:rPr>
        <w:t>c</w:t>
      </w:r>
      <w:r w:rsidR="005A1DB4">
        <w:rPr>
          <w:rFonts w:ascii="Arial" w:hAnsi="Arial" w:cs="Arial"/>
          <w:color w:val="686868"/>
          <w:sz w:val="24"/>
          <w:szCs w:val="24"/>
          <w:shd w:val="clear" w:color="auto" w:fill="FFFFFF"/>
          <w:lang w:val="it-IT"/>
        </w:rPr>
        <w:t>oncetto</w:t>
      </w:r>
      <w:r w:rsidR="000F52DA" w:rsidRPr="004F6E28">
        <w:rPr>
          <w:rFonts w:ascii="Arial" w:hAnsi="Arial" w:cs="Arial"/>
          <w:color w:val="686868"/>
          <w:sz w:val="24"/>
          <w:szCs w:val="24"/>
          <w:shd w:val="clear" w:color="auto" w:fill="FFFFFF"/>
          <w:lang w:val="it-IT"/>
        </w:rPr>
        <w:t xml:space="preserve"> che</w:t>
      </w:r>
      <w:r w:rsidR="00CD2983" w:rsidRPr="004F6E28">
        <w:rPr>
          <w:rFonts w:ascii="Arial" w:hAnsi="Arial" w:cs="Arial"/>
          <w:color w:val="686868"/>
          <w:sz w:val="24"/>
          <w:szCs w:val="24"/>
          <w:shd w:val="clear" w:color="auto" w:fill="FFFFFF"/>
          <w:lang w:val="it-IT"/>
        </w:rPr>
        <w:t xml:space="preserve"> </w:t>
      </w:r>
      <w:r w:rsidR="001C7A29" w:rsidRPr="004F6E28">
        <w:rPr>
          <w:rFonts w:ascii="Arial" w:hAnsi="Arial" w:cs="Arial"/>
          <w:color w:val="686868"/>
          <w:sz w:val="24"/>
          <w:szCs w:val="24"/>
          <w:shd w:val="clear" w:color="auto" w:fill="FFFFFF"/>
          <w:lang w:val="it-IT"/>
        </w:rPr>
        <w:t xml:space="preserve">sfugge e rigorosi </w:t>
      </w:r>
      <w:r w:rsidR="008E1E63" w:rsidRPr="004F6E28">
        <w:rPr>
          <w:rFonts w:ascii="Arial" w:hAnsi="Arial" w:cs="Arial"/>
          <w:color w:val="686868"/>
          <w:sz w:val="24"/>
          <w:szCs w:val="24"/>
          <w:shd w:val="clear" w:color="auto" w:fill="FFFFFF"/>
          <w:lang w:val="it-IT"/>
        </w:rPr>
        <w:t>inquadramenti</w:t>
      </w:r>
      <w:r w:rsidR="00205128" w:rsidRPr="004F6E28">
        <w:rPr>
          <w:rFonts w:ascii="Arial" w:hAnsi="Arial" w:cs="Arial"/>
          <w:color w:val="686868"/>
          <w:sz w:val="24"/>
          <w:szCs w:val="24"/>
          <w:shd w:val="clear" w:color="auto" w:fill="FFFFFF"/>
          <w:lang w:val="it-IT"/>
        </w:rPr>
        <w:t>,</w:t>
      </w:r>
      <w:r w:rsidR="009E3F26" w:rsidRPr="004F6E28">
        <w:rPr>
          <w:rFonts w:ascii="Arial" w:hAnsi="Arial" w:cs="Arial"/>
          <w:color w:val="686868"/>
          <w:sz w:val="24"/>
          <w:szCs w:val="24"/>
          <w:shd w:val="clear" w:color="auto" w:fill="FFFFFF"/>
          <w:lang w:val="it-IT"/>
        </w:rPr>
        <w:t xml:space="preserve"> in quanto può dirsi che ne sussistono</w:t>
      </w:r>
      <w:r w:rsidR="00CD2983" w:rsidRPr="004F6E28">
        <w:rPr>
          <w:rFonts w:ascii="Arial" w:hAnsi="Arial" w:cs="Arial"/>
          <w:color w:val="686868"/>
          <w:sz w:val="24"/>
          <w:szCs w:val="24"/>
          <w:shd w:val="clear" w:color="auto" w:fill="FFFFFF"/>
          <w:lang w:val="it-IT"/>
        </w:rPr>
        <w:t xml:space="preserve"> divers</w:t>
      </w:r>
      <w:r w:rsidR="005A1DB4">
        <w:rPr>
          <w:rFonts w:ascii="Arial" w:hAnsi="Arial" w:cs="Arial"/>
          <w:color w:val="686868"/>
          <w:sz w:val="24"/>
          <w:szCs w:val="24"/>
          <w:shd w:val="clear" w:color="auto" w:fill="FFFFFF"/>
          <w:lang w:val="it-IT"/>
        </w:rPr>
        <w:t xml:space="preserve">e concezioni </w:t>
      </w:r>
      <w:r w:rsidR="00CD2983" w:rsidRPr="004F6E28">
        <w:rPr>
          <w:rFonts w:ascii="Arial" w:hAnsi="Arial" w:cs="Arial"/>
          <w:color w:val="686868"/>
          <w:sz w:val="24"/>
          <w:szCs w:val="24"/>
          <w:shd w:val="clear" w:color="auto" w:fill="FFFFFF"/>
          <w:lang w:val="it-IT"/>
        </w:rPr>
        <w:t>accomunate d</w:t>
      </w:r>
      <w:r w:rsidR="000F52DA" w:rsidRPr="004F6E28">
        <w:rPr>
          <w:rFonts w:ascii="Arial" w:hAnsi="Arial" w:cs="Arial"/>
          <w:color w:val="686868"/>
          <w:sz w:val="24"/>
          <w:szCs w:val="24"/>
          <w:shd w:val="clear" w:color="auto" w:fill="FFFFFF"/>
          <w:lang w:val="it-IT"/>
        </w:rPr>
        <w:t>a un</w:t>
      </w:r>
      <w:r w:rsidR="00205128" w:rsidRPr="004F6E28">
        <w:rPr>
          <w:rFonts w:ascii="Arial" w:hAnsi="Arial" w:cs="Arial"/>
          <w:color w:val="686868"/>
          <w:sz w:val="24"/>
          <w:szCs w:val="24"/>
          <w:shd w:val="clear" w:color="auto" w:fill="FFFFFF"/>
          <w:lang w:val="it-IT"/>
        </w:rPr>
        <w:t xml:space="preserve"> </w:t>
      </w:r>
      <w:r w:rsidR="009E3F26" w:rsidRPr="004F6E28">
        <w:rPr>
          <w:rFonts w:ascii="Arial" w:hAnsi="Arial" w:cs="Arial"/>
          <w:color w:val="686868"/>
          <w:sz w:val="24"/>
          <w:szCs w:val="24"/>
          <w:shd w:val="clear" w:color="auto" w:fill="FFFFFF"/>
          <w:lang w:val="it-IT"/>
        </w:rPr>
        <w:t xml:space="preserve">solo </w:t>
      </w:r>
      <w:r w:rsidR="00205128" w:rsidRPr="004F6E28">
        <w:rPr>
          <w:rFonts w:ascii="Arial" w:hAnsi="Arial" w:cs="Arial"/>
          <w:color w:val="686868"/>
          <w:sz w:val="24"/>
          <w:szCs w:val="24"/>
          <w:shd w:val="clear" w:color="auto" w:fill="FFFFFF"/>
          <w:lang w:val="it-IT"/>
        </w:rPr>
        <w:t>condiviso</w:t>
      </w:r>
      <w:r w:rsidR="000F52DA" w:rsidRPr="004F6E28">
        <w:rPr>
          <w:rFonts w:ascii="Arial" w:hAnsi="Arial" w:cs="Arial"/>
          <w:color w:val="686868"/>
          <w:sz w:val="24"/>
          <w:szCs w:val="24"/>
          <w:shd w:val="clear" w:color="auto" w:fill="FFFFFF"/>
          <w:lang w:val="it-IT"/>
        </w:rPr>
        <w:t xml:space="preserve"> rilievo</w:t>
      </w:r>
      <w:r w:rsidR="00D83033">
        <w:rPr>
          <w:rFonts w:ascii="Arial" w:hAnsi="Arial" w:cs="Arial"/>
          <w:color w:val="686868"/>
          <w:sz w:val="24"/>
          <w:szCs w:val="24"/>
          <w:shd w:val="clear" w:color="auto" w:fill="FFFFFF"/>
          <w:lang w:val="it-IT"/>
        </w:rPr>
        <w:t>:</w:t>
      </w:r>
      <w:r w:rsidR="009E3F26" w:rsidRPr="004F6E28">
        <w:rPr>
          <w:rFonts w:ascii="Arial" w:hAnsi="Arial" w:cs="Arial"/>
          <w:color w:val="686868"/>
          <w:sz w:val="24"/>
          <w:szCs w:val="24"/>
          <w:shd w:val="clear" w:color="auto" w:fill="FFFFFF"/>
          <w:lang w:val="it-IT"/>
        </w:rPr>
        <w:t xml:space="preserve"> ogni sforzo di sistematizzare l’ordine pubblico risente</w:t>
      </w:r>
      <w:r w:rsidR="001C7A29" w:rsidRPr="004F6E28">
        <w:rPr>
          <w:rFonts w:ascii="Arial" w:hAnsi="Arial" w:cs="Arial"/>
          <w:color w:val="686868"/>
          <w:sz w:val="24"/>
          <w:szCs w:val="24"/>
          <w:shd w:val="clear" w:color="auto" w:fill="FFFFFF"/>
          <w:lang w:val="it-IT"/>
        </w:rPr>
        <w:t xml:space="preserve"> </w:t>
      </w:r>
      <w:r w:rsidR="003E759A" w:rsidRPr="004F6E28">
        <w:rPr>
          <w:rFonts w:ascii="Arial" w:hAnsi="Arial" w:cs="Arial"/>
          <w:color w:val="686868"/>
          <w:sz w:val="24"/>
          <w:szCs w:val="24"/>
          <w:shd w:val="clear" w:color="auto" w:fill="FFFFFF"/>
          <w:lang w:val="it-IT"/>
        </w:rPr>
        <w:t>fisiologicamente d</w:t>
      </w:r>
      <w:r w:rsidR="001C7A29" w:rsidRPr="004F6E28">
        <w:rPr>
          <w:rFonts w:ascii="Arial" w:hAnsi="Arial" w:cs="Arial"/>
          <w:color w:val="686868"/>
          <w:sz w:val="24"/>
          <w:szCs w:val="24"/>
          <w:shd w:val="clear" w:color="auto" w:fill="FFFFFF"/>
          <w:lang w:val="it-IT"/>
        </w:rPr>
        <w:t>el tempo</w:t>
      </w:r>
      <w:r w:rsidR="00CD2983" w:rsidRPr="004F6E28">
        <w:rPr>
          <w:rFonts w:ascii="Arial" w:hAnsi="Arial" w:cs="Arial"/>
          <w:color w:val="686868"/>
          <w:sz w:val="24"/>
          <w:szCs w:val="24"/>
          <w:shd w:val="clear" w:color="auto" w:fill="FFFFFF"/>
          <w:lang w:val="it-IT"/>
        </w:rPr>
        <w:t xml:space="preserve"> </w:t>
      </w:r>
      <w:r w:rsidR="00D83033">
        <w:rPr>
          <w:rFonts w:ascii="Arial" w:hAnsi="Arial" w:cs="Arial"/>
          <w:color w:val="686868"/>
          <w:sz w:val="24"/>
          <w:szCs w:val="24"/>
          <w:shd w:val="clear" w:color="auto" w:fill="FFFFFF"/>
          <w:lang w:val="it-IT"/>
        </w:rPr>
        <w:t>cui è riferita l’analisi</w:t>
      </w:r>
      <w:r w:rsidR="005A1DB4">
        <w:rPr>
          <w:rFonts w:ascii="Arial" w:hAnsi="Arial" w:cs="Arial"/>
          <w:color w:val="686868"/>
          <w:sz w:val="24"/>
          <w:szCs w:val="24"/>
          <w:shd w:val="clear" w:color="auto" w:fill="FFFFFF"/>
          <w:lang w:val="it-IT"/>
        </w:rPr>
        <w:t>,</w:t>
      </w:r>
      <w:r w:rsidR="009E3F26" w:rsidRPr="004F6E28">
        <w:rPr>
          <w:rFonts w:ascii="Arial" w:hAnsi="Arial" w:cs="Arial"/>
          <w:color w:val="686868"/>
          <w:sz w:val="24"/>
          <w:szCs w:val="24"/>
          <w:shd w:val="clear" w:color="auto" w:fill="FFFFFF"/>
          <w:lang w:val="it-IT"/>
        </w:rPr>
        <w:t xml:space="preserve"> </w:t>
      </w:r>
      <w:r w:rsidR="00CD2983" w:rsidRPr="004F6E28">
        <w:rPr>
          <w:rFonts w:ascii="Arial" w:hAnsi="Arial" w:cs="Arial"/>
          <w:color w:val="686868"/>
          <w:sz w:val="24"/>
          <w:szCs w:val="24"/>
          <w:shd w:val="clear" w:color="auto" w:fill="FFFFFF"/>
          <w:lang w:val="it-IT"/>
        </w:rPr>
        <w:t xml:space="preserve">perché </w:t>
      </w:r>
      <w:r w:rsidR="009E3F26" w:rsidRPr="004F6E28">
        <w:rPr>
          <w:rFonts w:ascii="Arial" w:hAnsi="Arial" w:cs="Arial"/>
          <w:color w:val="686868"/>
          <w:sz w:val="24"/>
          <w:szCs w:val="24"/>
          <w:shd w:val="clear" w:color="auto" w:fill="FFFFFF"/>
          <w:lang w:val="it-IT"/>
        </w:rPr>
        <w:t>l’argomento è</w:t>
      </w:r>
      <w:r w:rsidR="003E759A" w:rsidRPr="004F6E28">
        <w:rPr>
          <w:rFonts w:ascii="Arial" w:hAnsi="Arial" w:cs="Arial"/>
          <w:color w:val="686868"/>
          <w:sz w:val="24"/>
          <w:szCs w:val="24"/>
          <w:shd w:val="clear" w:color="auto" w:fill="FFFFFF"/>
          <w:lang w:val="it-IT"/>
        </w:rPr>
        <w:t xml:space="preserve"> </w:t>
      </w:r>
      <w:r w:rsidR="000F52DA" w:rsidRPr="004F6E28">
        <w:rPr>
          <w:rFonts w:ascii="Arial" w:hAnsi="Arial" w:cs="Arial"/>
          <w:color w:val="686868"/>
          <w:sz w:val="24"/>
          <w:szCs w:val="24"/>
          <w:shd w:val="clear" w:color="auto" w:fill="FFFFFF"/>
          <w:lang w:val="it-IT"/>
        </w:rPr>
        <w:t xml:space="preserve">inevitabilmente </w:t>
      </w:r>
      <w:r w:rsidR="00CD2983" w:rsidRPr="004F6E28">
        <w:rPr>
          <w:rFonts w:ascii="Arial" w:hAnsi="Arial" w:cs="Arial"/>
          <w:color w:val="686868"/>
          <w:sz w:val="24"/>
          <w:szCs w:val="24"/>
          <w:shd w:val="clear" w:color="auto" w:fill="FFFFFF"/>
          <w:lang w:val="it-IT"/>
        </w:rPr>
        <w:t>infl</w:t>
      </w:r>
      <w:r w:rsidR="009E3F26" w:rsidRPr="004F6E28">
        <w:rPr>
          <w:rFonts w:ascii="Arial" w:hAnsi="Arial" w:cs="Arial"/>
          <w:color w:val="686868"/>
          <w:sz w:val="24"/>
          <w:szCs w:val="24"/>
          <w:shd w:val="clear" w:color="auto" w:fill="FFFFFF"/>
          <w:lang w:val="it-IT"/>
        </w:rPr>
        <w:t>uenzato</w:t>
      </w:r>
      <w:r w:rsidR="00CD2983" w:rsidRPr="004F6E28">
        <w:rPr>
          <w:rFonts w:ascii="Arial" w:hAnsi="Arial" w:cs="Arial"/>
          <w:color w:val="686868"/>
          <w:sz w:val="24"/>
          <w:szCs w:val="24"/>
          <w:shd w:val="clear" w:color="auto" w:fill="FFFFFF"/>
          <w:lang w:val="it-IT"/>
        </w:rPr>
        <w:t xml:space="preserve"> dall’assetto </w:t>
      </w:r>
      <w:r w:rsidR="000F52DA" w:rsidRPr="004F6E28">
        <w:rPr>
          <w:rFonts w:ascii="Arial" w:hAnsi="Arial" w:cs="Arial"/>
          <w:color w:val="686868"/>
          <w:sz w:val="24"/>
          <w:szCs w:val="24"/>
          <w:shd w:val="clear" w:color="auto" w:fill="FFFFFF"/>
          <w:lang w:val="it-IT"/>
        </w:rPr>
        <w:t>pol</w:t>
      </w:r>
      <w:r w:rsidR="003E759A" w:rsidRPr="004F6E28">
        <w:rPr>
          <w:rFonts w:ascii="Arial" w:hAnsi="Arial" w:cs="Arial"/>
          <w:color w:val="686868"/>
          <w:sz w:val="24"/>
          <w:szCs w:val="24"/>
          <w:shd w:val="clear" w:color="auto" w:fill="FFFFFF"/>
          <w:lang w:val="it-IT"/>
        </w:rPr>
        <w:t>it</w:t>
      </w:r>
      <w:r w:rsidR="009E3F26" w:rsidRPr="004F6E28">
        <w:rPr>
          <w:rFonts w:ascii="Arial" w:hAnsi="Arial" w:cs="Arial"/>
          <w:color w:val="686868"/>
          <w:sz w:val="24"/>
          <w:szCs w:val="24"/>
          <w:shd w:val="clear" w:color="auto" w:fill="FFFFFF"/>
          <w:lang w:val="it-IT"/>
        </w:rPr>
        <w:t>ico istituzionale in cui viene</w:t>
      </w:r>
      <w:r w:rsidR="00CD2983" w:rsidRPr="004F6E28">
        <w:rPr>
          <w:rFonts w:ascii="Arial" w:hAnsi="Arial" w:cs="Arial"/>
          <w:color w:val="686868"/>
          <w:sz w:val="24"/>
          <w:szCs w:val="24"/>
          <w:shd w:val="clear" w:color="auto" w:fill="FFFFFF"/>
          <w:lang w:val="it-IT"/>
        </w:rPr>
        <w:t xml:space="preserve"> declina</w:t>
      </w:r>
      <w:r w:rsidR="009E3F26" w:rsidRPr="004F6E28">
        <w:rPr>
          <w:rFonts w:ascii="Arial" w:hAnsi="Arial" w:cs="Arial"/>
          <w:color w:val="686868"/>
          <w:sz w:val="24"/>
          <w:szCs w:val="24"/>
          <w:shd w:val="clear" w:color="auto" w:fill="FFFFFF"/>
          <w:lang w:val="it-IT"/>
        </w:rPr>
        <w:t>to</w:t>
      </w:r>
      <w:r w:rsidR="00CD2983" w:rsidRPr="004F6E28">
        <w:rPr>
          <w:rFonts w:ascii="Arial" w:hAnsi="Arial" w:cs="Arial"/>
          <w:color w:val="686868"/>
          <w:sz w:val="24"/>
          <w:szCs w:val="24"/>
          <w:shd w:val="clear" w:color="auto" w:fill="FFFFFF"/>
          <w:lang w:val="it-IT"/>
        </w:rPr>
        <w:t>.</w:t>
      </w:r>
    </w:p>
    <w:p w:rsidR="008E1E63" w:rsidRPr="004F6E28" w:rsidRDefault="008E1E63" w:rsidP="004F6E28">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Nella più generale categoria dell’</w:t>
      </w:r>
      <w:r w:rsidR="004D5461" w:rsidRPr="004F6E28">
        <w:rPr>
          <w:rFonts w:ascii="Arial" w:hAnsi="Arial" w:cs="Arial"/>
          <w:color w:val="686868"/>
          <w:sz w:val="24"/>
          <w:szCs w:val="24"/>
          <w:shd w:val="clear" w:color="auto" w:fill="FFFFFF"/>
          <w:lang w:val="it-IT"/>
        </w:rPr>
        <w:t>ordine pubblico</w:t>
      </w:r>
      <w:r w:rsidR="00D83033">
        <w:rPr>
          <w:rFonts w:ascii="Arial" w:hAnsi="Arial" w:cs="Arial"/>
          <w:color w:val="686868"/>
          <w:sz w:val="24"/>
          <w:szCs w:val="24"/>
          <w:shd w:val="clear" w:color="auto" w:fill="FFFFFF"/>
          <w:lang w:val="it-IT"/>
        </w:rPr>
        <w:t>,</w:t>
      </w:r>
      <w:r w:rsidRPr="004F6E28">
        <w:rPr>
          <w:rFonts w:ascii="Arial" w:hAnsi="Arial" w:cs="Arial"/>
          <w:color w:val="686868"/>
          <w:sz w:val="24"/>
          <w:szCs w:val="24"/>
          <w:shd w:val="clear" w:color="auto" w:fill="FFFFFF"/>
          <w:lang w:val="it-IT"/>
        </w:rPr>
        <w:t xml:space="preserve"> sempre </w:t>
      </w:r>
      <w:r w:rsidR="00D83033">
        <w:rPr>
          <w:rFonts w:ascii="Arial" w:hAnsi="Arial" w:cs="Arial"/>
          <w:color w:val="686868"/>
          <w:sz w:val="24"/>
          <w:szCs w:val="24"/>
          <w:shd w:val="clear" w:color="auto" w:fill="FFFFFF"/>
          <w:lang w:val="it-IT"/>
        </w:rPr>
        <w:t xml:space="preserve">per prima </w:t>
      </w:r>
      <w:r w:rsidRPr="004F6E28">
        <w:rPr>
          <w:rFonts w:ascii="Arial" w:hAnsi="Arial" w:cs="Arial"/>
          <w:color w:val="686868"/>
          <w:sz w:val="24"/>
          <w:szCs w:val="24"/>
          <w:shd w:val="clear" w:color="auto" w:fill="FFFFFF"/>
          <w:lang w:val="it-IT"/>
        </w:rPr>
        <w:t>la dottrina francese</w:t>
      </w:r>
      <w:r w:rsidRPr="004F6E28">
        <w:rPr>
          <w:rStyle w:val="Rimandonotaapidipagina"/>
          <w:rFonts w:ascii="Arial" w:hAnsi="Arial" w:cs="Arial"/>
          <w:color w:val="686868"/>
          <w:sz w:val="24"/>
          <w:szCs w:val="24"/>
          <w:shd w:val="clear" w:color="auto" w:fill="FFFFFF"/>
          <w:lang w:val="it-IT"/>
        </w:rPr>
        <w:footnoteReference w:id="4"/>
      </w:r>
      <w:r w:rsidRPr="004F6E28">
        <w:rPr>
          <w:rFonts w:ascii="Arial" w:hAnsi="Arial" w:cs="Arial"/>
          <w:color w:val="686868"/>
          <w:sz w:val="24"/>
          <w:szCs w:val="24"/>
          <w:shd w:val="clear" w:color="auto" w:fill="FFFFFF"/>
          <w:lang w:val="it-IT"/>
        </w:rPr>
        <w:t xml:space="preserve"> </w:t>
      </w:r>
      <w:r w:rsidR="009E3F26" w:rsidRPr="004F6E28">
        <w:rPr>
          <w:rFonts w:ascii="Arial" w:hAnsi="Arial" w:cs="Arial"/>
          <w:color w:val="686868"/>
          <w:sz w:val="24"/>
          <w:szCs w:val="24"/>
          <w:shd w:val="clear" w:color="auto" w:fill="FFFFFF"/>
          <w:lang w:val="it-IT"/>
        </w:rPr>
        <w:t>ha enucleato</w:t>
      </w:r>
      <w:r w:rsidR="00DD44C2" w:rsidRPr="004F6E28">
        <w:rPr>
          <w:rFonts w:ascii="Arial" w:hAnsi="Arial" w:cs="Arial"/>
          <w:color w:val="686868"/>
          <w:sz w:val="24"/>
          <w:szCs w:val="24"/>
          <w:shd w:val="clear" w:color="auto" w:fill="FFFFFF"/>
          <w:lang w:val="it-IT"/>
        </w:rPr>
        <w:t xml:space="preserve"> il sottoinsieme</w:t>
      </w:r>
      <w:r w:rsidR="004563CA" w:rsidRPr="004F6E28">
        <w:rPr>
          <w:rFonts w:ascii="Arial" w:hAnsi="Arial" w:cs="Arial"/>
          <w:color w:val="686868"/>
          <w:sz w:val="24"/>
          <w:szCs w:val="24"/>
          <w:shd w:val="clear" w:color="auto" w:fill="FFFFFF"/>
          <w:lang w:val="it-IT"/>
        </w:rPr>
        <w:t xml:space="preserve"> dell’</w:t>
      </w:r>
      <w:r w:rsidRPr="004F6E28">
        <w:rPr>
          <w:rFonts w:ascii="Arial" w:hAnsi="Arial" w:cs="Arial"/>
          <w:color w:val="686868"/>
          <w:sz w:val="24"/>
          <w:szCs w:val="24"/>
          <w:shd w:val="clear" w:color="auto" w:fill="FFFFFF"/>
          <w:lang w:val="it-IT"/>
        </w:rPr>
        <w:t>ordine pubblico economico</w:t>
      </w:r>
      <w:r w:rsidR="004563CA" w:rsidRPr="004F6E28">
        <w:rPr>
          <w:rStyle w:val="Rimandonotaapidipagina"/>
          <w:rFonts w:ascii="Arial" w:hAnsi="Arial" w:cs="Arial"/>
          <w:color w:val="686868"/>
          <w:sz w:val="24"/>
          <w:szCs w:val="24"/>
          <w:shd w:val="clear" w:color="auto" w:fill="FFFFFF"/>
          <w:lang w:val="it-IT"/>
        </w:rPr>
        <w:footnoteReference w:id="5"/>
      </w:r>
      <w:r w:rsidR="003E759A" w:rsidRPr="004F6E28">
        <w:rPr>
          <w:rFonts w:ascii="Arial" w:hAnsi="Arial" w:cs="Arial"/>
          <w:color w:val="686868"/>
          <w:sz w:val="24"/>
          <w:szCs w:val="24"/>
          <w:shd w:val="clear" w:color="auto" w:fill="FFFFFF"/>
          <w:lang w:val="it-IT"/>
        </w:rPr>
        <w:t>, utile</w:t>
      </w:r>
      <w:r w:rsidR="004D5461" w:rsidRPr="004F6E28">
        <w:rPr>
          <w:rFonts w:ascii="Arial" w:hAnsi="Arial" w:cs="Arial"/>
          <w:color w:val="686868"/>
          <w:sz w:val="24"/>
          <w:szCs w:val="24"/>
          <w:shd w:val="clear" w:color="auto" w:fill="FFFFFF"/>
          <w:lang w:val="it-IT"/>
        </w:rPr>
        <w:t xml:space="preserve"> per sistematizzare, negli ordinamenti  costituzionali europei ad econo</w:t>
      </w:r>
      <w:r w:rsidR="00205128" w:rsidRPr="004F6E28">
        <w:rPr>
          <w:rFonts w:ascii="Arial" w:hAnsi="Arial" w:cs="Arial"/>
          <w:color w:val="686868"/>
          <w:sz w:val="24"/>
          <w:szCs w:val="24"/>
          <w:shd w:val="clear" w:color="auto" w:fill="FFFFFF"/>
          <w:lang w:val="it-IT"/>
        </w:rPr>
        <w:t>mia mista</w:t>
      </w:r>
      <w:r w:rsidR="004D5461" w:rsidRPr="004F6E28">
        <w:rPr>
          <w:rFonts w:ascii="Arial" w:hAnsi="Arial" w:cs="Arial"/>
          <w:color w:val="686868"/>
          <w:sz w:val="24"/>
          <w:szCs w:val="24"/>
          <w:shd w:val="clear" w:color="auto" w:fill="FFFFFF"/>
          <w:lang w:val="it-IT"/>
        </w:rPr>
        <w:t xml:space="preserve"> </w:t>
      </w:r>
      <w:r w:rsidR="00205128" w:rsidRPr="004F6E28">
        <w:rPr>
          <w:rFonts w:ascii="Arial" w:hAnsi="Arial" w:cs="Arial"/>
          <w:color w:val="686868"/>
          <w:sz w:val="24"/>
          <w:szCs w:val="24"/>
          <w:shd w:val="clear" w:color="auto" w:fill="FFFFFF"/>
          <w:lang w:val="it-IT"/>
        </w:rPr>
        <w:t>(</w:t>
      </w:r>
      <w:r w:rsidR="004D5461" w:rsidRPr="004F6E28">
        <w:rPr>
          <w:rFonts w:ascii="Arial" w:hAnsi="Arial" w:cs="Arial"/>
          <w:color w:val="686868"/>
          <w:sz w:val="24"/>
          <w:szCs w:val="24"/>
          <w:shd w:val="clear" w:color="auto" w:fill="FFFFFF"/>
          <w:lang w:val="it-IT"/>
        </w:rPr>
        <w:t xml:space="preserve">quale </w:t>
      </w:r>
      <w:r w:rsidR="009E3F26" w:rsidRPr="004F6E28">
        <w:rPr>
          <w:rFonts w:ascii="Arial" w:hAnsi="Arial" w:cs="Arial"/>
          <w:color w:val="686868"/>
          <w:sz w:val="24"/>
          <w:szCs w:val="24"/>
          <w:shd w:val="clear" w:color="auto" w:fill="FFFFFF"/>
          <w:lang w:val="it-IT"/>
        </w:rPr>
        <w:t>appunto</w:t>
      </w:r>
      <w:r w:rsidR="004D5461" w:rsidRPr="004F6E28">
        <w:rPr>
          <w:rFonts w:ascii="Arial" w:hAnsi="Arial" w:cs="Arial"/>
          <w:color w:val="686868"/>
          <w:sz w:val="24"/>
          <w:szCs w:val="24"/>
          <w:shd w:val="clear" w:color="auto" w:fill="FFFFFF"/>
          <w:lang w:val="it-IT"/>
        </w:rPr>
        <w:t xml:space="preserve"> quello disegn</w:t>
      </w:r>
      <w:r w:rsidR="00936DDA" w:rsidRPr="004F6E28">
        <w:rPr>
          <w:rFonts w:ascii="Arial" w:hAnsi="Arial" w:cs="Arial"/>
          <w:color w:val="686868"/>
          <w:sz w:val="24"/>
          <w:szCs w:val="24"/>
          <w:shd w:val="clear" w:color="auto" w:fill="FFFFFF"/>
          <w:lang w:val="it-IT"/>
        </w:rPr>
        <w:t>ato dalla Costituzione italiana</w:t>
      </w:r>
      <w:r w:rsidR="00205128" w:rsidRPr="004F6E28">
        <w:rPr>
          <w:rFonts w:ascii="Arial" w:hAnsi="Arial" w:cs="Arial"/>
          <w:color w:val="686868"/>
          <w:sz w:val="24"/>
          <w:szCs w:val="24"/>
          <w:shd w:val="clear" w:color="auto" w:fill="FFFFFF"/>
          <w:lang w:val="it-IT"/>
        </w:rPr>
        <w:t>)</w:t>
      </w:r>
      <w:r w:rsidR="009E3F26" w:rsidRPr="004F6E28">
        <w:rPr>
          <w:rFonts w:ascii="Arial" w:hAnsi="Arial" w:cs="Arial"/>
          <w:color w:val="686868"/>
          <w:sz w:val="24"/>
          <w:szCs w:val="24"/>
          <w:shd w:val="clear" w:color="auto" w:fill="FFFFFF"/>
          <w:lang w:val="it-IT"/>
        </w:rPr>
        <w:t>,</w:t>
      </w:r>
      <w:r w:rsidR="004D5461" w:rsidRPr="004F6E28">
        <w:rPr>
          <w:rFonts w:ascii="Arial" w:hAnsi="Arial" w:cs="Arial"/>
          <w:color w:val="686868"/>
          <w:sz w:val="24"/>
          <w:szCs w:val="24"/>
          <w:shd w:val="clear" w:color="auto" w:fill="FFFFFF"/>
          <w:lang w:val="it-IT"/>
        </w:rPr>
        <w:t xml:space="preserve"> </w:t>
      </w:r>
      <w:r w:rsidR="00936DDA" w:rsidRPr="004F6E28">
        <w:rPr>
          <w:rFonts w:ascii="Arial" w:hAnsi="Arial" w:cs="Arial"/>
          <w:color w:val="686868"/>
          <w:sz w:val="24"/>
          <w:szCs w:val="24"/>
          <w:shd w:val="clear" w:color="auto" w:fill="FFFFFF"/>
          <w:lang w:val="it-IT"/>
        </w:rPr>
        <w:t>la struttura di una</w:t>
      </w:r>
      <w:r w:rsidR="004D5461" w:rsidRPr="004F6E28">
        <w:rPr>
          <w:rFonts w:ascii="Arial" w:hAnsi="Arial" w:cs="Arial"/>
          <w:color w:val="686868"/>
          <w:sz w:val="24"/>
          <w:szCs w:val="24"/>
          <w:shd w:val="clear" w:color="auto" w:fill="FFFFFF"/>
          <w:lang w:val="it-IT"/>
        </w:rPr>
        <w:t xml:space="preserve"> economia sociale di mercato</w:t>
      </w:r>
      <w:r w:rsidR="003E759A" w:rsidRPr="004F6E28">
        <w:rPr>
          <w:rFonts w:ascii="Arial" w:hAnsi="Arial" w:cs="Arial"/>
          <w:color w:val="686868"/>
          <w:sz w:val="24"/>
          <w:szCs w:val="24"/>
          <w:shd w:val="clear" w:color="auto" w:fill="FFFFFF"/>
          <w:lang w:val="it-IT"/>
        </w:rPr>
        <w:t>;</w:t>
      </w:r>
      <w:r w:rsidR="009E3F26" w:rsidRPr="004F6E28">
        <w:rPr>
          <w:rFonts w:ascii="Arial" w:hAnsi="Arial" w:cs="Arial"/>
          <w:color w:val="686868"/>
          <w:sz w:val="24"/>
          <w:szCs w:val="24"/>
          <w:shd w:val="clear" w:color="auto" w:fill="FFFFFF"/>
          <w:lang w:val="it-IT"/>
        </w:rPr>
        <w:t xml:space="preserve"> è la coerenza dell’esercizio dell’attività economica con le esigenze fondamentali di uno stato democratico</w:t>
      </w:r>
      <w:r w:rsidR="00205128" w:rsidRPr="004F6E28">
        <w:rPr>
          <w:rFonts w:ascii="Arial" w:hAnsi="Arial" w:cs="Arial"/>
          <w:color w:val="686868"/>
          <w:sz w:val="24"/>
          <w:szCs w:val="24"/>
          <w:shd w:val="clear" w:color="auto" w:fill="FFFFFF"/>
          <w:lang w:val="it-IT"/>
        </w:rPr>
        <w:t xml:space="preserve"> che</w:t>
      </w:r>
      <w:r w:rsidR="009E3F26" w:rsidRPr="004F6E28">
        <w:rPr>
          <w:rFonts w:ascii="Arial" w:hAnsi="Arial" w:cs="Arial"/>
          <w:color w:val="686868"/>
          <w:sz w:val="24"/>
          <w:szCs w:val="24"/>
          <w:shd w:val="clear" w:color="auto" w:fill="FFFFFF"/>
          <w:lang w:val="it-IT"/>
        </w:rPr>
        <w:t>, sintetizzata come ordine pubblico economico,</w:t>
      </w:r>
      <w:r w:rsidR="00205128" w:rsidRPr="004F6E28">
        <w:rPr>
          <w:rFonts w:ascii="Arial" w:hAnsi="Arial" w:cs="Arial"/>
          <w:color w:val="686868"/>
          <w:sz w:val="24"/>
          <w:szCs w:val="24"/>
          <w:shd w:val="clear" w:color="auto" w:fill="FFFFFF"/>
          <w:lang w:val="it-IT"/>
        </w:rPr>
        <w:t xml:space="preserve"> </w:t>
      </w:r>
      <w:r w:rsidR="009E3F26" w:rsidRPr="004F6E28">
        <w:rPr>
          <w:rFonts w:ascii="Arial" w:hAnsi="Arial" w:cs="Arial"/>
          <w:color w:val="686868"/>
          <w:sz w:val="24"/>
          <w:szCs w:val="24"/>
          <w:shd w:val="clear" w:color="auto" w:fill="FFFFFF"/>
          <w:lang w:val="it-IT"/>
        </w:rPr>
        <w:t>può dare un significato al limite</w:t>
      </w:r>
      <w:r w:rsidR="001725F2" w:rsidRPr="004F6E28">
        <w:rPr>
          <w:rFonts w:ascii="Arial" w:hAnsi="Arial" w:cs="Arial"/>
          <w:color w:val="686868"/>
          <w:sz w:val="24"/>
          <w:szCs w:val="24"/>
          <w:shd w:val="clear" w:color="auto" w:fill="FFFFFF"/>
          <w:lang w:val="it-IT"/>
        </w:rPr>
        <w:t xml:space="preserve"> dell’utilità sociale dell’iniziativa economica </w:t>
      </w:r>
      <w:r w:rsidR="009E3F26" w:rsidRPr="004F6E28">
        <w:rPr>
          <w:rFonts w:ascii="Arial" w:hAnsi="Arial" w:cs="Arial"/>
          <w:color w:val="686868"/>
          <w:sz w:val="24"/>
          <w:szCs w:val="24"/>
          <w:shd w:val="clear" w:color="auto" w:fill="FFFFFF"/>
          <w:lang w:val="it-IT"/>
        </w:rPr>
        <w:t>previsto dall’art. 41 ed è sempre in questa logica di</w:t>
      </w:r>
      <w:r w:rsidR="001725F2" w:rsidRPr="004F6E28">
        <w:rPr>
          <w:rFonts w:ascii="Arial" w:hAnsi="Arial" w:cs="Arial"/>
          <w:color w:val="686868"/>
          <w:sz w:val="24"/>
          <w:szCs w:val="24"/>
          <w:shd w:val="clear" w:color="auto" w:fill="FFFFFF"/>
          <w:lang w:val="it-IT"/>
        </w:rPr>
        <w:t xml:space="preserve"> presidio </w:t>
      </w:r>
      <w:r w:rsidR="009E3F26" w:rsidRPr="004F6E28">
        <w:rPr>
          <w:rFonts w:ascii="Arial" w:hAnsi="Arial" w:cs="Arial"/>
          <w:color w:val="686868"/>
          <w:sz w:val="24"/>
          <w:szCs w:val="24"/>
          <w:shd w:val="clear" w:color="auto" w:fill="FFFFFF"/>
          <w:lang w:val="it-IT"/>
        </w:rPr>
        <w:t xml:space="preserve">che </w:t>
      </w:r>
      <w:r w:rsidR="00476045">
        <w:rPr>
          <w:rFonts w:ascii="Arial" w:hAnsi="Arial" w:cs="Arial"/>
          <w:color w:val="686868"/>
          <w:sz w:val="24"/>
          <w:szCs w:val="24"/>
          <w:shd w:val="clear" w:color="auto" w:fill="FFFFFF"/>
          <w:lang w:val="it-IT"/>
        </w:rPr>
        <w:t>si colloca la documentazione</w:t>
      </w:r>
      <w:r w:rsidR="001725F2" w:rsidRPr="004F6E28">
        <w:rPr>
          <w:rFonts w:ascii="Arial" w:hAnsi="Arial" w:cs="Arial"/>
          <w:color w:val="686868"/>
          <w:sz w:val="24"/>
          <w:szCs w:val="24"/>
          <w:shd w:val="clear" w:color="auto" w:fill="FFFFFF"/>
          <w:lang w:val="it-IT"/>
        </w:rPr>
        <w:t xml:space="preserve"> antimafia.</w:t>
      </w:r>
      <w:r w:rsidR="00205128" w:rsidRPr="004F6E28">
        <w:rPr>
          <w:rFonts w:ascii="Arial" w:hAnsi="Arial" w:cs="Arial"/>
          <w:color w:val="686868"/>
          <w:sz w:val="24"/>
          <w:szCs w:val="24"/>
          <w:shd w:val="clear" w:color="auto" w:fill="FFFFFF"/>
          <w:lang w:val="it-IT"/>
        </w:rPr>
        <w:t xml:space="preserve"> </w:t>
      </w:r>
    </w:p>
    <w:p w:rsidR="009862F3" w:rsidRPr="004F6E28" w:rsidRDefault="00476045" w:rsidP="004F6E28">
      <w:pPr>
        <w:pStyle w:val="Testonotaapidipagina"/>
        <w:jc w:val="both"/>
        <w:rPr>
          <w:rFonts w:ascii="Arial" w:hAnsi="Arial" w:cs="Arial"/>
          <w:sz w:val="24"/>
          <w:szCs w:val="24"/>
          <w:lang w:val="it-IT"/>
        </w:rPr>
      </w:pPr>
      <w:r>
        <w:rPr>
          <w:rFonts w:ascii="Arial" w:hAnsi="Arial" w:cs="Arial"/>
          <w:sz w:val="24"/>
          <w:szCs w:val="24"/>
          <w:lang w:val="it-IT"/>
        </w:rPr>
        <w:lastRenderedPageBreak/>
        <w:t>Per parte sua</w:t>
      </w:r>
      <w:r w:rsidR="001725F2" w:rsidRPr="004F6E28">
        <w:rPr>
          <w:rFonts w:ascii="Arial" w:hAnsi="Arial" w:cs="Arial"/>
          <w:sz w:val="24"/>
          <w:szCs w:val="24"/>
          <w:lang w:val="it-IT"/>
        </w:rPr>
        <w:t xml:space="preserve"> la</w:t>
      </w:r>
      <w:r w:rsidR="00205128" w:rsidRPr="004F6E28">
        <w:rPr>
          <w:rFonts w:ascii="Arial" w:hAnsi="Arial" w:cs="Arial"/>
          <w:sz w:val="24"/>
          <w:szCs w:val="24"/>
          <w:lang w:val="it-IT"/>
        </w:rPr>
        <w:t xml:space="preserve"> dottrina italiana</w:t>
      </w:r>
      <w:r w:rsidR="00205128" w:rsidRPr="004F6E28">
        <w:rPr>
          <w:rStyle w:val="Rimandonotaapidipagina"/>
          <w:rFonts w:ascii="Arial" w:hAnsi="Arial" w:cs="Arial"/>
          <w:color w:val="686868"/>
          <w:sz w:val="24"/>
          <w:szCs w:val="24"/>
          <w:shd w:val="clear" w:color="auto" w:fill="FFFFFF"/>
          <w:lang w:val="it-IT"/>
        </w:rPr>
        <w:footnoteReference w:id="6"/>
      </w:r>
      <w:r w:rsidR="001725F2" w:rsidRPr="004F6E28">
        <w:rPr>
          <w:rFonts w:ascii="Arial" w:hAnsi="Arial" w:cs="Arial"/>
          <w:color w:val="686868"/>
          <w:sz w:val="24"/>
          <w:szCs w:val="24"/>
          <w:shd w:val="clear" w:color="auto" w:fill="FFFFFF"/>
          <w:lang w:val="it-IT"/>
        </w:rPr>
        <w:t xml:space="preserve"> ha</w:t>
      </w:r>
      <w:r w:rsidR="001725F2" w:rsidRPr="004F6E28">
        <w:rPr>
          <w:rFonts w:ascii="Arial" w:hAnsi="Arial" w:cs="Arial"/>
          <w:sz w:val="24"/>
          <w:szCs w:val="24"/>
          <w:lang w:val="it-IT"/>
        </w:rPr>
        <w:t xml:space="preserve"> espresso</w:t>
      </w:r>
      <w:r w:rsidR="00205128" w:rsidRPr="004F6E28">
        <w:rPr>
          <w:rFonts w:ascii="Arial" w:hAnsi="Arial" w:cs="Arial"/>
          <w:sz w:val="24"/>
          <w:szCs w:val="24"/>
          <w:lang w:val="it-IT"/>
        </w:rPr>
        <w:t xml:space="preserve"> dubbi sull’utilità della categoria dell’ordine pubblico economico; il ragionamento</w:t>
      </w:r>
      <w:r w:rsidR="001725F2" w:rsidRPr="004F6E28">
        <w:rPr>
          <w:rFonts w:ascii="Arial" w:hAnsi="Arial" w:cs="Arial"/>
          <w:sz w:val="24"/>
          <w:szCs w:val="24"/>
          <w:lang w:val="it-IT"/>
        </w:rPr>
        <w:t>, al proposito,</w:t>
      </w:r>
      <w:r w:rsidR="00205128" w:rsidRPr="004F6E28">
        <w:rPr>
          <w:rFonts w:ascii="Arial" w:hAnsi="Arial" w:cs="Arial"/>
          <w:sz w:val="24"/>
          <w:szCs w:val="24"/>
          <w:lang w:val="it-IT"/>
        </w:rPr>
        <w:t xml:space="preserve"> sembra muovere da una </w:t>
      </w:r>
      <w:proofErr w:type="spellStart"/>
      <w:r w:rsidR="00205128" w:rsidRPr="004F6E28">
        <w:rPr>
          <w:rFonts w:ascii="Arial" w:hAnsi="Arial" w:cs="Arial"/>
          <w:sz w:val="24"/>
          <w:szCs w:val="24"/>
          <w:lang w:val="it-IT"/>
        </w:rPr>
        <w:t>pre</w:t>
      </w:r>
      <w:proofErr w:type="spellEnd"/>
      <w:r w:rsidR="00205128" w:rsidRPr="004F6E28">
        <w:rPr>
          <w:rFonts w:ascii="Arial" w:hAnsi="Arial" w:cs="Arial"/>
          <w:sz w:val="24"/>
          <w:szCs w:val="24"/>
          <w:lang w:val="it-IT"/>
        </w:rPr>
        <w:t xml:space="preserve">-ricostruzione dell’ordine pubblico di tipo dicotomico, con nitida separazione tra diritto pubblico e diritto </w:t>
      </w:r>
      <w:r w:rsidR="009E3F26" w:rsidRPr="004F6E28">
        <w:rPr>
          <w:rFonts w:ascii="Arial" w:hAnsi="Arial" w:cs="Arial"/>
          <w:sz w:val="24"/>
          <w:szCs w:val="24"/>
          <w:lang w:val="it-IT"/>
        </w:rPr>
        <w:t>privato. Secondo tale impostazione</w:t>
      </w:r>
      <w:r w:rsidR="00205128" w:rsidRPr="004F6E28">
        <w:rPr>
          <w:rFonts w:ascii="Arial" w:hAnsi="Arial" w:cs="Arial"/>
          <w:sz w:val="24"/>
          <w:szCs w:val="24"/>
          <w:lang w:val="it-IT"/>
        </w:rPr>
        <w:t xml:space="preserve"> </w:t>
      </w:r>
      <w:r w:rsidR="009E3F26" w:rsidRPr="004F6E28">
        <w:rPr>
          <w:rFonts w:ascii="Arial" w:hAnsi="Arial" w:cs="Arial"/>
          <w:sz w:val="24"/>
          <w:szCs w:val="24"/>
          <w:lang w:val="it-IT"/>
        </w:rPr>
        <w:t>in</w:t>
      </w:r>
      <w:r w:rsidR="001725F2" w:rsidRPr="004F6E28">
        <w:rPr>
          <w:rFonts w:ascii="Arial" w:hAnsi="Arial" w:cs="Arial"/>
          <w:sz w:val="24"/>
          <w:szCs w:val="24"/>
          <w:lang w:val="it-IT"/>
        </w:rPr>
        <w:t xml:space="preserve"> ambito</w:t>
      </w:r>
      <w:r w:rsidR="009E3F26" w:rsidRPr="004F6E28">
        <w:rPr>
          <w:rFonts w:ascii="Arial" w:hAnsi="Arial" w:cs="Arial"/>
          <w:sz w:val="24"/>
          <w:szCs w:val="24"/>
          <w:lang w:val="it-IT"/>
        </w:rPr>
        <w:t xml:space="preserve"> pubblicistico</w:t>
      </w:r>
      <w:r w:rsidR="003E759A" w:rsidRPr="004F6E28">
        <w:rPr>
          <w:rFonts w:ascii="Arial" w:hAnsi="Arial" w:cs="Arial"/>
          <w:sz w:val="24"/>
          <w:szCs w:val="24"/>
          <w:lang w:val="it-IT"/>
        </w:rPr>
        <w:t>,</w:t>
      </w:r>
      <w:r w:rsidR="001725F2" w:rsidRPr="004F6E28">
        <w:rPr>
          <w:rFonts w:ascii="Arial" w:hAnsi="Arial" w:cs="Arial"/>
          <w:sz w:val="24"/>
          <w:szCs w:val="24"/>
          <w:lang w:val="it-IT"/>
        </w:rPr>
        <w:t xml:space="preserve"> l’ordine pubblico</w:t>
      </w:r>
      <w:r w:rsidR="009E3F26" w:rsidRPr="004F6E28">
        <w:rPr>
          <w:rFonts w:ascii="Arial" w:hAnsi="Arial" w:cs="Arial"/>
          <w:sz w:val="24"/>
          <w:szCs w:val="24"/>
          <w:lang w:val="it-IT"/>
        </w:rPr>
        <w:t>, soffrendo</w:t>
      </w:r>
      <w:r w:rsidR="001725F2" w:rsidRPr="004F6E28">
        <w:rPr>
          <w:rFonts w:ascii="Arial" w:hAnsi="Arial" w:cs="Arial"/>
          <w:sz w:val="24"/>
          <w:szCs w:val="24"/>
          <w:lang w:val="it-IT"/>
        </w:rPr>
        <w:t xml:space="preserve"> ragioni storiche di diffidenza</w:t>
      </w:r>
      <w:r w:rsidR="009E3F26" w:rsidRPr="004F6E28">
        <w:rPr>
          <w:rFonts w:ascii="Arial" w:hAnsi="Arial" w:cs="Arial"/>
          <w:sz w:val="24"/>
          <w:szCs w:val="24"/>
          <w:lang w:val="it-IT"/>
        </w:rPr>
        <w:t xml:space="preserve"> (su cui </w:t>
      </w:r>
      <w:r w:rsidR="009E3F26" w:rsidRPr="004F6E28">
        <w:rPr>
          <w:rFonts w:ascii="Arial" w:hAnsi="Arial" w:cs="Arial"/>
          <w:i/>
          <w:sz w:val="24"/>
          <w:szCs w:val="24"/>
          <w:lang w:val="it-IT"/>
        </w:rPr>
        <w:t>infra)</w:t>
      </w:r>
      <w:r w:rsidR="001725F2" w:rsidRPr="004F6E28">
        <w:rPr>
          <w:rFonts w:ascii="Arial" w:hAnsi="Arial" w:cs="Arial"/>
          <w:sz w:val="24"/>
          <w:szCs w:val="24"/>
          <w:lang w:val="it-IT"/>
        </w:rPr>
        <w:t>,</w:t>
      </w:r>
      <w:r w:rsidR="003E759A" w:rsidRPr="004F6E28">
        <w:rPr>
          <w:rFonts w:ascii="Arial" w:hAnsi="Arial" w:cs="Arial"/>
          <w:sz w:val="24"/>
          <w:szCs w:val="24"/>
          <w:lang w:val="it-IT"/>
        </w:rPr>
        <w:t xml:space="preserve"> opera</w:t>
      </w:r>
      <w:r w:rsidR="00205128" w:rsidRPr="004F6E28">
        <w:rPr>
          <w:rFonts w:ascii="Arial" w:hAnsi="Arial" w:cs="Arial"/>
          <w:sz w:val="24"/>
          <w:szCs w:val="24"/>
          <w:lang w:val="it-IT"/>
        </w:rPr>
        <w:t xml:space="preserve"> essenzialmente nella sua accezione materiale, di garanzia dell’incolumità collettiva nell</w:t>
      </w:r>
      <w:r w:rsidR="001725F2" w:rsidRPr="004F6E28">
        <w:rPr>
          <w:rFonts w:ascii="Arial" w:hAnsi="Arial" w:cs="Arial"/>
          <w:sz w:val="24"/>
          <w:szCs w:val="24"/>
          <w:lang w:val="it-IT"/>
        </w:rPr>
        <w:t>’ordinamento dato</w:t>
      </w:r>
      <w:r w:rsidR="009E3F26" w:rsidRPr="004F6E28">
        <w:rPr>
          <w:rFonts w:ascii="Arial" w:hAnsi="Arial" w:cs="Arial"/>
          <w:sz w:val="24"/>
          <w:szCs w:val="24"/>
          <w:lang w:val="it-IT"/>
        </w:rPr>
        <w:t>; per contro</w:t>
      </w:r>
      <w:r w:rsidR="00205128" w:rsidRPr="004F6E28">
        <w:rPr>
          <w:rFonts w:ascii="Arial" w:hAnsi="Arial" w:cs="Arial"/>
          <w:sz w:val="24"/>
          <w:szCs w:val="24"/>
          <w:lang w:val="it-IT"/>
        </w:rPr>
        <w:t xml:space="preserve"> le ricostruzioni valoriali</w:t>
      </w:r>
      <w:r w:rsidR="003E759A" w:rsidRPr="004F6E28">
        <w:rPr>
          <w:rFonts w:ascii="Arial" w:hAnsi="Arial" w:cs="Arial"/>
          <w:sz w:val="24"/>
          <w:szCs w:val="24"/>
          <w:lang w:val="it-IT"/>
        </w:rPr>
        <w:t xml:space="preserve"> dell’ordine pubblico sarebbero</w:t>
      </w:r>
      <w:r w:rsidR="00205128" w:rsidRPr="004F6E28">
        <w:rPr>
          <w:rFonts w:ascii="Arial" w:hAnsi="Arial" w:cs="Arial"/>
          <w:sz w:val="24"/>
          <w:szCs w:val="24"/>
          <w:lang w:val="it-IT"/>
        </w:rPr>
        <w:t xml:space="preserve"> appannaggio del diritto privato (nella declinazione nazionale e internazionale), avendo il precipuo fine</w:t>
      </w:r>
      <w:r w:rsidR="001725F2" w:rsidRPr="004F6E28">
        <w:rPr>
          <w:rFonts w:ascii="Arial" w:hAnsi="Arial" w:cs="Arial"/>
          <w:sz w:val="24"/>
          <w:szCs w:val="24"/>
          <w:lang w:val="it-IT"/>
        </w:rPr>
        <w:t>,</w:t>
      </w:r>
      <w:r w:rsidR="00205128" w:rsidRPr="004F6E28">
        <w:rPr>
          <w:rFonts w:ascii="Arial" w:hAnsi="Arial" w:cs="Arial"/>
          <w:sz w:val="24"/>
          <w:szCs w:val="24"/>
          <w:lang w:val="it-IT"/>
        </w:rPr>
        <w:t xml:space="preserve"> non di circoscrivere le libertà individuali dei cittadini, riconosciute nelle costituzioni moderne come originarie, ben</w:t>
      </w:r>
      <w:r w:rsidR="001725F2" w:rsidRPr="004F6E28">
        <w:rPr>
          <w:rFonts w:ascii="Arial" w:hAnsi="Arial" w:cs="Arial"/>
          <w:sz w:val="24"/>
          <w:szCs w:val="24"/>
          <w:lang w:val="it-IT"/>
        </w:rPr>
        <w:t>sì di espellere dal sistema</w:t>
      </w:r>
      <w:r w:rsidR="00205128" w:rsidRPr="004F6E28">
        <w:rPr>
          <w:rFonts w:ascii="Arial" w:hAnsi="Arial" w:cs="Arial"/>
          <w:sz w:val="24"/>
          <w:szCs w:val="24"/>
          <w:lang w:val="it-IT"/>
        </w:rPr>
        <w:t xml:space="preserve"> singoli atti – di iniziativa privata o di produzione di autorità straniere – incompatibili appunto con i p</w:t>
      </w:r>
      <w:r w:rsidR="009E3F26" w:rsidRPr="004F6E28">
        <w:rPr>
          <w:rFonts w:ascii="Arial" w:hAnsi="Arial" w:cs="Arial"/>
          <w:sz w:val="24"/>
          <w:szCs w:val="24"/>
          <w:lang w:val="it-IT"/>
        </w:rPr>
        <w:t>rincipi fondamentali attorno ai quali</w:t>
      </w:r>
      <w:r w:rsidR="003E759A" w:rsidRPr="004F6E28">
        <w:rPr>
          <w:rFonts w:ascii="Arial" w:hAnsi="Arial" w:cs="Arial"/>
          <w:sz w:val="24"/>
          <w:szCs w:val="24"/>
          <w:lang w:val="it-IT"/>
        </w:rPr>
        <w:t xml:space="preserve"> </w:t>
      </w:r>
      <w:r w:rsidR="00205128" w:rsidRPr="004F6E28">
        <w:rPr>
          <w:rFonts w:ascii="Arial" w:hAnsi="Arial" w:cs="Arial"/>
          <w:sz w:val="24"/>
          <w:szCs w:val="24"/>
          <w:lang w:val="it-IT"/>
        </w:rPr>
        <w:t>l’ordinamento</w:t>
      </w:r>
      <w:r w:rsidR="009E3F26" w:rsidRPr="004F6E28">
        <w:rPr>
          <w:rFonts w:ascii="Arial" w:hAnsi="Arial" w:cs="Arial"/>
          <w:sz w:val="24"/>
          <w:szCs w:val="24"/>
          <w:lang w:val="it-IT"/>
        </w:rPr>
        <w:t xml:space="preserve"> ha scelto di costituirsi</w:t>
      </w:r>
      <w:r w:rsidR="00205128" w:rsidRPr="004F6E28">
        <w:rPr>
          <w:rFonts w:ascii="Arial" w:hAnsi="Arial" w:cs="Arial"/>
          <w:sz w:val="24"/>
          <w:szCs w:val="24"/>
          <w:lang w:val="it-IT"/>
        </w:rPr>
        <w:t>.</w:t>
      </w:r>
      <w:r w:rsidR="003E759A" w:rsidRPr="004F6E28">
        <w:rPr>
          <w:rFonts w:ascii="Arial" w:hAnsi="Arial" w:cs="Arial"/>
          <w:sz w:val="24"/>
          <w:szCs w:val="24"/>
          <w:lang w:val="it-IT"/>
        </w:rPr>
        <w:t xml:space="preserve"> </w:t>
      </w:r>
    </w:p>
    <w:p w:rsidR="003E759A" w:rsidRPr="004F6E28" w:rsidRDefault="00476045" w:rsidP="004F6E28">
      <w:pPr>
        <w:pStyle w:val="Testonotaapidipagina"/>
        <w:jc w:val="both"/>
        <w:rPr>
          <w:rFonts w:ascii="Arial" w:hAnsi="Arial" w:cs="Arial"/>
          <w:sz w:val="24"/>
          <w:szCs w:val="24"/>
          <w:lang w:val="it-IT"/>
        </w:rPr>
      </w:pPr>
      <w:r>
        <w:rPr>
          <w:rFonts w:ascii="Arial" w:hAnsi="Arial" w:cs="Arial"/>
          <w:sz w:val="24"/>
          <w:szCs w:val="24"/>
          <w:lang w:val="it-IT"/>
        </w:rPr>
        <w:t>Q</w:t>
      </w:r>
      <w:r w:rsidR="003E759A" w:rsidRPr="004F6E28">
        <w:rPr>
          <w:rFonts w:ascii="Arial" w:hAnsi="Arial" w:cs="Arial"/>
          <w:sz w:val="24"/>
          <w:szCs w:val="24"/>
          <w:lang w:val="it-IT"/>
        </w:rPr>
        <w:t>uesta dic</w:t>
      </w:r>
      <w:r w:rsidR="009862F3" w:rsidRPr="004F6E28">
        <w:rPr>
          <w:rFonts w:ascii="Arial" w:hAnsi="Arial" w:cs="Arial"/>
          <w:sz w:val="24"/>
          <w:szCs w:val="24"/>
          <w:lang w:val="it-IT"/>
        </w:rPr>
        <w:t>otomia è stata efficacemente riassunta</w:t>
      </w:r>
      <w:r w:rsidR="003E759A" w:rsidRPr="004F6E28">
        <w:rPr>
          <w:rFonts w:ascii="Arial" w:hAnsi="Arial" w:cs="Arial"/>
          <w:sz w:val="24"/>
          <w:szCs w:val="24"/>
          <w:lang w:val="it-IT"/>
        </w:rPr>
        <w:t xml:space="preserve"> nelle due categorie dell’ordine pubblico materiale</w:t>
      </w:r>
      <w:r w:rsidR="002E797E" w:rsidRPr="004F6E28">
        <w:rPr>
          <w:rFonts w:ascii="Arial" w:hAnsi="Arial" w:cs="Arial"/>
          <w:sz w:val="24"/>
          <w:szCs w:val="24"/>
          <w:lang w:val="it-IT"/>
        </w:rPr>
        <w:t xml:space="preserve"> (o, per utilizzare una espressione francese, </w:t>
      </w:r>
      <w:proofErr w:type="spellStart"/>
      <w:r w:rsidR="002E797E" w:rsidRPr="004F6E28">
        <w:rPr>
          <w:rFonts w:ascii="Arial" w:hAnsi="Arial" w:cs="Arial"/>
          <w:i/>
          <w:sz w:val="24"/>
          <w:szCs w:val="24"/>
          <w:lang w:val="it-IT"/>
        </w:rPr>
        <w:t>ordre</w:t>
      </w:r>
      <w:proofErr w:type="spellEnd"/>
      <w:r w:rsidR="002E797E" w:rsidRPr="004F6E28">
        <w:rPr>
          <w:rFonts w:ascii="Arial" w:hAnsi="Arial" w:cs="Arial"/>
          <w:i/>
          <w:sz w:val="24"/>
          <w:szCs w:val="24"/>
          <w:lang w:val="it-IT"/>
        </w:rPr>
        <w:t xml:space="preserve"> </w:t>
      </w:r>
      <w:proofErr w:type="spellStart"/>
      <w:r w:rsidR="002E797E" w:rsidRPr="004F6E28">
        <w:rPr>
          <w:rFonts w:ascii="Arial" w:hAnsi="Arial" w:cs="Arial"/>
          <w:i/>
          <w:sz w:val="24"/>
          <w:szCs w:val="24"/>
          <w:lang w:val="it-IT"/>
        </w:rPr>
        <w:t>dans</w:t>
      </w:r>
      <w:proofErr w:type="spellEnd"/>
      <w:r w:rsidR="002E797E" w:rsidRPr="004F6E28">
        <w:rPr>
          <w:rFonts w:ascii="Arial" w:hAnsi="Arial" w:cs="Arial"/>
          <w:i/>
          <w:sz w:val="24"/>
          <w:szCs w:val="24"/>
          <w:lang w:val="it-IT"/>
        </w:rPr>
        <w:t xml:space="preserve"> la rue</w:t>
      </w:r>
      <w:r w:rsidR="002E797E" w:rsidRPr="004F6E28">
        <w:rPr>
          <w:rFonts w:ascii="Arial" w:hAnsi="Arial" w:cs="Arial"/>
          <w:sz w:val="24"/>
          <w:szCs w:val="24"/>
          <w:lang w:val="it-IT"/>
        </w:rPr>
        <w:t>)</w:t>
      </w:r>
      <w:r w:rsidR="008E0FF2" w:rsidRPr="004F6E28">
        <w:rPr>
          <w:rFonts w:ascii="Arial" w:hAnsi="Arial" w:cs="Arial"/>
          <w:sz w:val="24"/>
          <w:szCs w:val="24"/>
          <w:lang w:val="it-IT"/>
        </w:rPr>
        <w:t>, appannaggio del diritto pubblico</w:t>
      </w:r>
      <w:r w:rsidR="003E759A" w:rsidRPr="004F6E28">
        <w:rPr>
          <w:rFonts w:ascii="Arial" w:hAnsi="Arial" w:cs="Arial"/>
          <w:sz w:val="24"/>
          <w:szCs w:val="24"/>
          <w:lang w:val="it-IT"/>
        </w:rPr>
        <w:t>, e</w:t>
      </w:r>
      <w:r w:rsidR="008E0FF2" w:rsidRPr="004F6E28">
        <w:rPr>
          <w:rFonts w:ascii="Arial" w:hAnsi="Arial" w:cs="Arial"/>
          <w:sz w:val="24"/>
          <w:szCs w:val="24"/>
          <w:lang w:val="it-IT"/>
        </w:rPr>
        <w:t>d ordine pubblico ideale, principal</w:t>
      </w:r>
      <w:r w:rsidR="00800170">
        <w:rPr>
          <w:rFonts w:ascii="Arial" w:hAnsi="Arial" w:cs="Arial"/>
          <w:sz w:val="24"/>
          <w:szCs w:val="24"/>
          <w:lang w:val="it-IT"/>
        </w:rPr>
        <w:t>mente riservato al</w:t>
      </w:r>
      <w:r>
        <w:rPr>
          <w:rFonts w:ascii="Arial" w:hAnsi="Arial" w:cs="Arial"/>
          <w:sz w:val="24"/>
          <w:szCs w:val="24"/>
          <w:lang w:val="it-IT"/>
        </w:rPr>
        <w:t xml:space="preserve"> dibattito</w:t>
      </w:r>
      <w:r w:rsidR="009862F3" w:rsidRPr="004F6E28">
        <w:rPr>
          <w:rFonts w:ascii="Arial" w:hAnsi="Arial" w:cs="Arial"/>
          <w:sz w:val="24"/>
          <w:szCs w:val="24"/>
          <w:lang w:val="it-IT"/>
        </w:rPr>
        <w:t xml:space="preserve"> privat</w:t>
      </w:r>
      <w:r>
        <w:rPr>
          <w:rFonts w:ascii="Arial" w:hAnsi="Arial" w:cs="Arial"/>
          <w:sz w:val="24"/>
          <w:szCs w:val="24"/>
          <w:lang w:val="it-IT"/>
        </w:rPr>
        <w:t>istico</w:t>
      </w:r>
      <w:r w:rsidR="003E759A" w:rsidRPr="004F6E28">
        <w:rPr>
          <w:rStyle w:val="Rimandonotaapidipagina"/>
          <w:rFonts w:ascii="Arial" w:hAnsi="Arial" w:cs="Arial"/>
          <w:sz w:val="24"/>
          <w:szCs w:val="24"/>
          <w:lang w:val="it-IT"/>
        </w:rPr>
        <w:footnoteReference w:id="7"/>
      </w:r>
      <w:r w:rsidR="003E759A" w:rsidRPr="004F6E28">
        <w:rPr>
          <w:rFonts w:ascii="Arial" w:hAnsi="Arial" w:cs="Arial"/>
          <w:sz w:val="24"/>
          <w:szCs w:val="24"/>
          <w:lang w:val="it-IT"/>
        </w:rPr>
        <w:t>.</w:t>
      </w:r>
    </w:p>
    <w:p w:rsidR="00205128" w:rsidRPr="004F6E28" w:rsidRDefault="008E0FF2" w:rsidP="004F6E28">
      <w:pPr>
        <w:pStyle w:val="Testonotaapidipagina"/>
        <w:jc w:val="both"/>
        <w:rPr>
          <w:rFonts w:ascii="Arial" w:hAnsi="Arial" w:cs="Arial"/>
          <w:sz w:val="24"/>
          <w:szCs w:val="24"/>
          <w:lang w:val="it-IT"/>
        </w:rPr>
      </w:pPr>
      <w:r w:rsidRPr="004F6E28">
        <w:rPr>
          <w:rFonts w:ascii="Arial" w:hAnsi="Arial" w:cs="Arial"/>
          <w:sz w:val="24"/>
          <w:szCs w:val="24"/>
          <w:lang w:val="it-IT"/>
        </w:rPr>
        <w:t>Anche</w:t>
      </w:r>
      <w:r w:rsidR="00476045">
        <w:rPr>
          <w:rFonts w:ascii="Arial" w:hAnsi="Arial" w:cs="Arial"/>
          <w:sz w:val="24"/>
          <w:szCs w:val="24"/>
          <w:lang w:val="it-IT"/>
        </w:rPr>
        <w:t xml:space="preserve"> tale</w:t>
      </w:r>
      <w:r w:rsidR="001725F2" w:rsidRPr="004F6E28">
        <w:rPr>
          <w:rFonts w:ascii="Arial" w:hAnsi="Arial" w:cs="Arial"/>
          <w:sz w:val="24"/>
          <w:szCs w:val="24"/>
          <w:lang w:val="it-IT"/>
        </w:rPr>
        <w:t xml:space="preserve"> ricostruzione</w:t>
      </w:r>
      <w:r w:rsidR="009862F3" w:rsidRPr="004F6E28">
        <w:rPr>
          <w:rFonts w:ascii="Arial" w:hAnsi="Arial" w:cs="Arial"/>
          <w:sz w:val="24"/>
          <w:szCs w:val="24"/>
          <w:lang w:val="it-IT"/>
        </w:rPr>
        <w:t>, tuttavia,</w:t>
      </w:r>
      <w:r w:rsidR="001725F2" w:rsidRPr="004F6E28">
        <w:rPr>
          <w:rFonts w:ascii="Arial" w:hAnsi="Arial" w:cs="Arial"/>
          <w:sz w:val="24"/>
          <w:szCs w:val="24"/>
          <w:lang w:val="it-IT"/>
        </w:rPr>
        <w:t xml:space="preserve"> </w:t>
      </w:r>
      <w:r w:rsidR="00205128" w:rsidRPr="004F6E28">
        <w:rPr>
          <w:rFonts w:ascii="Arial" w:hAnsi="Arial" w:cs="Arial"/>
          <w:sz w:val="24"/>
          <w:szCs w:val="24"/>
          <w:lang w:val="it-IT"/>
        </w:rPr>
        <w:t xml:space="preserve">non </w:t>
      </w:r>
      <w:r w:rsidRPr="004F6E28">
        <w:rPr>
          <w:rFonts w:ascii="Arial" w:hAnsi="Arial" w:cs="Arial"/>
          <w:sz w:val="24"/>
          <w:szCs w:val="24"/>
          <w:lang w:val="it-IT"/>
        </w:rPr>
        <w:t xml:space="preserve">ha </w:t>
      </w:r>
      <w:r w:rsidR="00205128" w:rsidRPr="004F6E28">
        <w:rPr>
          <w:rFonts w:ascii="Arial" w:hAnsi="Arial" w:cs="Arial"/>
          <w:sz w:val="24"/>
          <w:szCs w:val="24"/>
          <w:lang w:val="it-IT"/>
        </w:rPr>
        <w:t>trascura</w:t>
      </w:r>
      <w:r w:rsidR="009862F3" w:rsidRPr="004F6E28">
        <w:rPr>
          <w:rFonts w:ascii="Arial" w:hAnsi="Arial" w:cs="Arial"/>
          <w:sz w:val="24"/>
          <w:szCs w:val="24"/>
          <w:lang w:val="it-IT"/>
        </w:rPr>
        <w:t>to</w:t>
      </w:r>
      <w:r w:rsidR="00205128" w:rsidRPr="004F6E28">
        <w:rPr>
          <w:rFonts w:ascii="Arial" w:hAnsi="Arial" w:cs="Arial"/>
          <w:sz w:val="24"/>
          <w:szCs w:val="24"/>
          <w:lang w:val="it-IT"/>
        </w:rPr>
        <w:t xml:space="preserve"> di rilevare come</w:t>
      </w:r>
      <w:r w:rsidRPr="004F6E28">
        <w:rPr>
          <w:rFonts w:ascii="Arial" w:hAnsi="Arial" w:cs="Arial"/>
          <w:sz w:val="24"/>
          <w:szCs w:val="24"/>
          <w:lang w:val="it-IT"/>
        </w:rPr>
        <w:t>,</w:t>
      </w:r>
      <w:r w:rsidR="00205128" w:rsidRPr="004F6E28">
        <w:rPr>
          <w:rFonts w:ascii="Arial" w:hAnsi="Arial" w:cs="Arial"/>
          <w:sz w:val="24"/>
          <w:szCs w:val="24"/>
          <w:lang w:val="it-IT"/>
        </w:rPr>
        <w:t xml:space="preserve"> proprio il limite dell’utilità sociale, imposto dalla nostra Costituzione alla libera iniziativa eco</w:t>
      </w:r>
      <w:r w:rsidRPr="004F6E28">
        <w:rPr>
          <w:rFonts w:ascii="Arial" w:hAnsi="Arial" w:cs="Arial"/>
          <w:sz w:val="24"/>
          <w:szCs w:val="24"/>
          <w:lang w:val="it-IT"/>
        </w:rPr>
        <w:t>nomica, sembri sfuggire alla menzionata</w:t>
      </w:r>
      <w:r w:rsidR="00205128" w:rsidRPr="004F6E28">
        <w:rPr>
          <w:rFonts w:ascii="Arial" w:hAnsi="Arial" w:cs="Arial"/>
          <w:sz w:val="24"/>
          <w:szCs w:val="24"/>
          <w:lang w:val="it-IT"/>
        </w:rPr>
        <w:t xml:space="preserve"> </w:t>
      </w:r>
      <w:r w:rsidR="00205128" w:rsidRPr="004F6E28">
        <w:rPr>
          <w:rFonts w:ascii="Arial" w:hAnsi="Arial" w:cs="Arial"/>
          <w:i/>
          <w:sz w:val="24"/>
          <w:szCs w:val="24"/>
          <w:lang w:val="it-IT"/>
        </w:rPr>
        <w:t xml:space="preserve">summa </w:t>
      </w:r>
      <w:proofErr w:type="spellStart"/>
      <w:r w:rsidR="00205128" w:rsidRPr="004F6E28">
        <w:rPr>
          <w:rFonts w:ascii="Arial" w:hAnsi="Arial" w:cs="Arial"/>
          <w:i/>
          <w:sz w:val="24"/>
          <w:szCs w:val="24"/>
          <w:lang w:val="it-IT"/>
        </w:rPr>
        <w:t>divisio</w:t>
      </w:r>
      <w:proofErr w:type="spellEnd"/>
      <w:r w:rsidR="00205128" w:rsidRPr="004F6E28">
        <w:rPr>
          <w:rFonts w:ascii="Arial" w:hAnsi="Arial" w:cs="Arial"/>
          <w:i/>
          <w:sz w:val="24"/>
          <w:szCs w:val="24"/>
          <w:lang w:val="it-IT"/>
        </w:rPr>
        <w:t>,</w:t>
      </w:r>
      <w:r w:rsidR="00205128" w:rsidRPr="004F6E28">
        <w:rPr>
          <w:rFonts w:ascii="Arial" w:hAnsi="Arial" w:cs="Arial"/>
          <w:sz w:val="24"/>
          <w:szCs w:val="24"/>
          <w:lang w:val="it-IT"/>
        </w:rPr>
        <w:t xml:space="preserve"> rappresentando un presidio di carattere collettivo </w:t>
      </w:r>
      <w:r w:rsidR="00476045">
        <w:rPr>
          <w:rFonts w:ascii="Arial" w:hAnsi="Arial" w:cs="Arial"/>
          <w:sz w:val="24"/>
          <w:szCs w:val="24"/>
          <w:lang w:val="it-IT"/>
        </w:rPr>
        <w:t>di matrice pubblicistica</w:t>
      </w:r>
      <w:r w:rsidRPr="004F6E28">
        <w:rPr>
          <w:rFonts w:ascii="Arial" w:hAnsi="Arial" w:cs="Arial"/>
          <w:sz w:val="24"/>
          <w:szCs w:val="24"/>
          <w:lang w:val="it-IT"/>
        </w:rPr>
        <w:t xml:space="preserve"> </w:t>
      </w:r>
      <w:r w:rsidR="00205128" w:rsidRPr="004F6E28">
        <w:rPr>
          <w:rFonts w:ascii="Arial" w:hAnsi="Arial" w:cs="Arial"/>
          <w:sz w:val="24"/>
          <w:szCs w:val="24"/>
          <w:lang w:val="it-IT"/>
        </w:rPr>
        <w:t>rispetto ad una libertà economica</w:t>
      </w:r>
      <w:r w:rsidR="001725F2" w:rsidRPr="004F6E28">
        <w:rPr>
          <w:rFonts w:ascii="Arial" w:hAnsi="Arial" w:cs="Arial"/>
          <w:sz w:val="24"/>
          <w:szCs w:val="24"/>
          <w:lang w:val="it-IT"/>
        </w:rPr>
        <w:t xml:space="preserve"> </w:t>
      </w:r>
      <w:r w:rsidR="00476045">
        <w:rPr>
          <w:rFonts w:ascii="Arial" w:hAnsi="Arial" w:cs="Arial"/>
          <w:sz w:val="24"/>
          <w:szCs w:val="24"/>
          <w:lang w:val="it-IT"/>
        </w:rPr>
        <w:t>in principio</w:t>
      </w:r>
      <w:r w:rsidR="009862F3" w:rsidRPr="004F6E28">
        <w:rPr>
          <w:rFonts w:ascii="Arial" w:hAnsi="Arial" w:cs="Arial"/>
          <w:sz w:val="24"/>
          <w:szCs w:val="24"/>
          <w:lang w:val="it-IT"/>
        </w:rPr>
        <w:t xml:space="preserve"> </w:t>
      </w:r>
      <w:r w:rsidR="001725F2" w:rsidRPr="004F6E28">
        <w:rPr>
          <w:rFonts w:ascii="Arial" w:hAnsi="Arial" w:cs="Arial"/>
          <w:sz w:val="24"/>
          <w:szCs w:val="24"/>
          <w:lang w:val="it-IT"/>
        </w:rPr>
        <w:t>trattata</w:t>
      </w:r>
      <w:r w:rsidRPr="004F6E28">
        <w:rPr>
          <w:rFonts w:ascii="Arial" w:hAnsi="Arial" w:cs="Arial"/>
          <w:sz w:val="24"/>
          <w:szCs w:val="24"/>
          <w:lang w:val="it-IT"/>
        </w:rPr>
        <w:t xml:space="preserve"> e costruita</w:t>
      </w:r>
      <w:r w:rsidR="001725F2" w:rsidRPr="004F6E28">
        <w:rPr>
          <w:rFonts w:ascii="Arial" w:hAnsi="Arial" w:cs="Arial"/>
          <w:sz w:val="24"/>
          <w:szCs w:val="24"/>
          <w:lang w:val="it-IT"/>
        </w:rPr>
        <w:t xml:space="preserve"> come prerogativa individuale</w:t>
      </w:r>
      <w:r w:rsidR="009862F3" w:rsidRPr="004F6E28">
        <w:rPr>
          <w:rStyle w:val="Rimandonotaapidipagina"/>
          <w:rFonts w:ascii="Arial" w:hAnsi="Arial" w:cs="Arial"/>
          <w:sz w:val="24"/>
          <w:szCs w:val="24"/>
          <w:lang w:val="it-IT"/>
        </w:rPr>
        <w:footnoteReference w:id="8"/>
      </w:r>
      <w:r w:rsidR="00205128" w:rsidRPr="004F6E28">
        <w:rPr>
          <w:rFonts w:ascii="Arial" w:hAnsi="Arial" w:cs="Arial"/>
          <w:sz w:val="24"/>
          <w:szCs w:val="24"/>
          <w:lang w:val="it-IT"/>
        </w:rPr>
        <w:t>. Ciò non di meno</w:t>
      </w:r>
      <w:r w:rsidR="00476045">
        <w:rPr>
          <w:rFonts w:ascii="Arial" w:hAnsi="Arial" w:cs="Arial"/>
          <w:sz w:val="24"/>
          <w:szCs w:val="24"/>
          <w:lang w:val="it-IT"/>
        </w:rPr>
        <w:t>,</w:t>
      </w:r>
      <w:r w:rsidR="00205128" w:rsidRPr="004F6E28">
        <w:rPr>
          <w:rFonts w:ascii="Arial" w:hAnsi="Arial" w:cs="Arial"/>
          <w:sz w:val="24"/>
          <w:szCs w:val="24"/>
          <w:lang w:val="it-IT"/>
        </w:rPr>
        <w:t xml:space="preserve"> il limite si spiegherebbe</w:t>
      </w:r>
      <w:r w:rsidR="00476045">
        <w:rPr>
          <w:rFonts w:ascii="Arial" w:hAnsi="Arial" w:cs="Arial"/>
          <w:sz w:val="24"/>
          <w:szCs w:val="24"/>
          <w:lang w:val="it-IT"/>
        </w:rPr>
        <w:t>, nella</w:t>
      </w:r>
      <w:r w:rsidR="001725F2" w:rsidRPr="004F6E28">
        <w:rPr>
          <w:rFonts w:ascii="Arial" w:hAnsi="Arial" w:cs="Arial"/>
          <w:sz w:val="24"/>
          <w:szCs w:val="24"/>
          <w:lang w:val="it-IT"/>
        </w:rPr>
        <w:t xml:space="preserve"> ricostru</w:t>
      </w:r>
      <w:r w:rsidR="009862F3" w:rsidRPr="004F6E28">
        <w:rPr>
          <w:rFonts w:ascii="Arial" w:hAnsi="Arial" w:cs="Arial"/>
          <w:sz w:val="24"/>
          <w:szCs w:val="24"/>
          <w:lang w:val="it-IT"/>
        </w:rPr>
        <w:t>zione</w:t>
      </w:r>
      <w:r w:rsidR="001725F2" w:rsidRPr="004F6E28">
        <w:rPr>
          <w:rFonts w:ascii="Arial" w:hAnsi="Arial" w:cs="Arial"/>
          <w:sz w:val="24"/>
          <w:szCs w:val="24"/>
          <w:lang w:val="it-IT"/>
        </w:rPr>
        <w:t xml:space="preserve"> in analisi,</w:t>
      </w:r>
      <w:r w:rsidR="00205128" w:rsidRPr="004F6E28">
        <w:rPr>
          <w:rFonts w:ascii="Arial" w:hAnsi="Arial" w:cs="Arial"/>
          <w:sz w:val="24"/>
          <w:szCs w:val="24"/>
          <w:lang w:val="it-IT"/>
        </w:rPr>
        <w:t xml:space="preserve"> in quanto l’iniziativa economica del singolo può essere lim</w:t>
      </w:r>
      <w:r w:rsidR="001725F2" w:rsidRPr="004F6E28">
        <w:rPr>
          <w:rFonts w:ascii="Arial" w:hAnsi="Arial" w:cs="Arial"/>
          <w:sz w:val="24"/>
          <w:szCs w:val="24"/>
          <w:lang w:val="it-IT"/>
        </w:rPr>
        <w:t>itata a corretta tutela della med</w:t>
      </w:r>
      <w:r w:rsidRPr="004F6E28">
        <w:rPr>
          <w:rFonts w:ascii="Arial" w:hAnsi="Arial" w:cs="Arial"/>
          <w:sz w:val="24"/>
          <w:szCs w:val="24"/>
          <w:lang w:val="it-IT"/>
        </w:rPr>
        <w:t>esi</w:t>
      </w:r>
      <w:r w:rsidR="00476045">
        <w:rPr>
          <w:rFonts w:ascii="Arial" w:hAnsi="Arial" w:cs="Arial"/>
          <w:sz w:val="24"/>
          <w:szCs w:val="24"/>
          <w:lang w:val="it-IT"/>
        </w:rPr>
        <w:t>ma iniziativa economica vantata da altro</w:t>
      </w:r>
      <w:r w:rsidR="001725F2" w:rsidRPr="004F6E28">
        <w:rPr>
          <w:rFonts w:ascii="Arial" w:hAnsi="Arial" w:cs="Arial"/>
          <w:sz w:val="24"/>
          <w:szCs w:val="24"/>
          <w:lang w:val="it-IT"/>
        </w:rPr>
        <w:t xml:space="preserve"> concorrente suo</w:t>
      </w:r>
      <w:r w:rsidR="00205128" w:rsidRPr="004F6E28">
        <w:rPr>
          <w:rFonts w:ascii="Arial" w:hAnsi="Arial" w:cs="Arial"/>
          <w:sz w:val="24"/>
          <w:szCs w:val="24"/>
          <w:lang w:val="it-IT"/>
        </w:rPr>
        <w:t xml:space="preserve"> pari. </w:t>
      </w:r>
    </w:p>
    <w:p w:rsidR="002E797E" w:rsidRPr="004F6E28" w:rsidRDefault="009862F3" w:rsidP="004F6E28">
      <w:pPr>
        <w:pStyle w:val="Testonotaapidipagina"/>
        <w:jc w:val="both"/>
        <w:rPr>
          <w:rFonts w:ascii="Arial" w:hAnsi="Arial" w:cs="Arial"/>
          <w:sz w:val="24"/>
          <w:szCs w:val="24"/>
          <w:lang w:val="it-IT"/>
        </w:rPr>
      </w:pPr>
      <w:r w:rsidRPr="004F6E28">
        <w:rPr>
          <w:rFonts w:ascii="Arial" w:hAnsi="Arial" w:cs="Arial"/>
          <w:sz w:val="24"/>
          <w:szCs w:val="24"/>
          <w:lang w:val="it-IT"/>
        </w:rPr>
        <w:t>L’argomento</w:t>
      </w:r>
      <w:r w:rsidR="00205128" w:rsidRPr="004F6E28">
        <w:rPr>
          <w:rFonts w:ascii="Arial" w:hAnsi="Arial" w:cs="Arial"/>
          <w:sz w:val="24"/>
          <w:szCs w:val="24"/>
          <w:lang w:val="it-IT"/>
        </w:rPr>
        <w:t xml:space="preserve"> </w:t>
      </w:r>
      <w:r w:rsidR="002E797E" w:rsidRPr="004F6E28">
        <w:rPr>
          <w:rFonts w:ascii="Arial" w:hAnsi="Arial" w:cs="Arial"/>
          <w:sz w:val="24"/>
          <w:szCs w:val="24"/>
          <w:lang w:val="it-IT"/>
        </w:rPr>
        <w:t>è certamente</w:t>
      </w:r>
      <w:r w:rsidR="00476045">
        <w:rPr>
          <w:rFonts w:ascii="Arial" w:hAnsi="Arial" w:cs="Arial"/>
          <w:sz w:val="24"/>
          <w:szCs w:val="24"/>
          <w:lang w:val="it-IT"/>
        </w:rPr>
        <w:t xml:space="preserve"> condivisibile</w:t>
      </w:r>
      <w:r w:rsidR="008E0FF2" w:rsidRPr="004F6E28">
        <w:rPr>
          <w:rFonts w:ascii="Arial" w:hAnsi="Arial" w:cs="Arial"/>
          <w:sz w:val="24"/>
          <w:szCs w:val="24"/>
          <w:lang w:val="it-IT"/>
        </w:rPr>
        <w:t xml:space="preserve"> ed es</w:t>
      </w:r>
      <w:r w:rsidR="00476045">
        <w:rPr>
          <w:rFonts w:ascii="Arial" w:hAnsi="Arial" w:cs="Arial"/>
          <w:sz w:val="24"/>
          <w:szCs w:val="24"/>
          <w:lang w:val="it-IT"/>
        </w:rPr>
        <w:t>prime un aspetto di tutela</w:t>
      </w:r>
      <w:r w:rsidR="008E0FF2" w:rsidRPr="004F6E28">
        <w:rPr>
          <w:rFonts w:ascii="Arial" w:hAnsi="Arial" w:cs="Arial"/>
          <w:sz w:val="24"/>
          <w:szCs w:val="24"/>
          <w:lang w:val="it-IT"/>
        </w:rPr>
        <w:t xml:space="preserve"> che</w:t>
      </w:r>
      <w:r w:rsidRPr="004F6E28">
        <w:rPr>
          <w:rFonts w:ascii="Arial" w:hAnsi="Arial" w:cs="Arial"/>
          <w:sz w:val="24"/>
          <w:szCs w:val="24"/>
          <w:lang w:val="it-IT"/>
        </w:rPr>
        <w:t>, come già ricordato,</w:t>
      </w:r>
      <w:r w:rsidR="008E0FF2" w:rsidRPr="004F6E28">
        <w:rPr>
          <w:rFonts w:ascii="Arial" w:hAnsi="Arial" w:cs="Arial"/>
          <w:sz w:val="24"/>
          <w:szCs w:val="24"/>
          <w:lang w:val="it-IT"/>
        </w:rPr>
        <w:t xml:space="preserve"> ben si attaglia anche</w:t>
      </w:r>
      <w:r w:rsidR="00205128" w:rsidRPr="004F6E28">
        <w:rPr>
          <w:rFonts w:ascii="Arial" w:hAnsi="Arial" w:cs="Arial"/>
          <w:sz w:val="24"/>
          <w:szCs w:val="24"/>
          <w:lang w:val="it-IT"/>
        </w:rPr>
        <w:t xml:space="preserve"> alla disciplina della documentazione antimafia, dove il blocco delle</w:t>
      </w:r>
      <w:r w:rsidR="008E0FF2" w:rsidRPr="004F6E28">
        <w:rPr>
          <w:rFonts w:ascii="Arial" w:hAnsi="Arial" w:cs="Arial"/>
          <w:sz w:val="24"/>
          <w:szCs w:val="24"/>
          <w:lang w:val="it-IT"/>
        </w:rPr>
        <w:t xml:space="preserve"> infiltrazioni criminali in una attività imprenditoriale</w:t>
      </w:r>
      <w:r w:rsidR="00205128" w:rsidRPr="004F6E28">
        <w:rPr>
          <w:rFonts w:ascii="Arial" w:hAnsi="Arial" w:cs="Arial"/>
          <w:sz w:val="24"/>
          <w:szCs w:val="24"/>
          <w:lang w:val="it-IT"/>
        </w:rPr>
        <w:t xml:space="preserve"> non è solo funzionale a salvaguardare il residuo valore economico dell’</w:t>
      </w:r>
      <w:r w:rsidR="001725F2" w:rsidRPr="004F6E28">
        <w:rPr>
          <w:rFonts w:ascii="Arial" w:hAnsi="Arial" w:cs="Arial"/>
          <w:sz w:val="24"/>
          <w:szCs w:val="24"/>
          <w:lang w:val="it-IT"/>
        </w:rPr>
        <w:t>impresa colpita</w:t>
      </w:r>
      <w:r w:rsidR="00205128" w:rsidRPr="004F6E28">
        <w:rPr>
          <w:rFonts w:ascii="Arial" w:hAnsi="Arial" w:cs="Arial"/>
          <w:sz w:val="24"/>
          <w:szCs w:val="24"/>
          <w:lang w:val="it-IT"/>
        </w:rPr>
        <w:t xml:space="preserve"> ma</w:t>
      </w:r>
      <w:r w:rsidR="008E0FF2" w:rsidRPr="004F6E28">
        <w:rPr>
          <w:rFonts w:ascii="Arial" w:hAnsi="Arial" w:cs="Arial"/>
          <w:sz w:val="24"/>
          <w:szCs w:val="24"/>
          <w:lang w:val="it-IT"/>
        </w:rPr>
        <w:t>,</w:t>
      </w:r>
      <w:r w:rsidR="00205128" w:rsidRPr="004F6E28">
        <w:rPr>
          <w:rFonts w:ascii="Arial" w:hAnsi="Arial" w:cs="Arial"/>
          <w:sz w:val="24"/>
          <w:szCs w:val="24"/>
          <w:lang w:val="it-IT"/>
        </w:rPr>
        <w:t xml:space="preserve"> certamente </w:t>
      </w:r>
      <w:r w:rsidR="008E0FF2" w:rsidRPr="004F6E28">
        <w:rPr>
          <w:rFonts w:ascii="Arial" w:hAnsi="Arial" w:cs="Arial"/>
          <w:sz w:val="24"/>
          <w:szCs w:val="24"/>
          <w:lang w:val="it-IT"/>
        </w:rPr>
        <w:t xml:space="preserve">se non principalmente, </w:t>
      </w:r>
      <w:r w:rsidR="00205128" w:rsidRPr="004F6E28">
        <w:rPr>
          <w:rFonts w:ascii="Arial" w:hAnsi="Arial" w:cs="Arial"/>
          <w:sz w:val="24"/>
          <w:szCs w:val="24"/>
          <w:lang w:val="it-IT"/>
        </w:rPr>
        <w:t>anche la libera iniziativa economica dei concorrenti onesti</w:t>
      </w:r>
      <w:r w:rsidRPr="004F6E28">
        <w:rPr>
          <w:rFonts w:ascii="Arial" w:hAnsi="Arial" w:cs="Arial"/>
          <w:sz w:val="24"/>
          <w:szCs w:val="24"/>
          <w:lang w:val="it-IT"/>
        </w:rPr>
        <w:t xml:space="preserve"> che </w:t>
      </w:r>
      <w:r w:rsidR="00205128" w:rsidRPr="004F6E28">
        <w:rPr>
          <w:rFonts w:ascii="Arial" w:hAnsi="Arial" w:cs="Arial"/>
          <w:sz w:val="24"/>
          <w:szCs w:val="24"/>
          <w:lang w:val="it-IT"/>
        </w:rPr>
        <w:t>dall’economia criminale vengono sistematicamente spiazzati</w:t>
      </w:r>
      <w:r w:rsidR="002E797E" w:rsidRPr="004F6E28">
        <w:rPr>
          <w:rFonts w:ascii="Arial" w:hAnsi="Arial" w:cs="Arial"/>
          <w:sz w:val="24"/>
          <w:szCs w:val="24"/>
          <w:lang w:val="it-IT"/>
        </w:rPr>
        <w:t xml:space="preserve">. </w:t>
      </w:r>
    </w:p>
    <w:p w:rsidR="00205128" w:rsidRPr="004F6E28" w:rsidRDefault="002E797E" w:rsidP="004F6E28">
      <w:pPr>
        <w:pStyle w:val="Testonotaapidipagina"/>
        <w:jc w:val="both"/>
        <w:rPr>
          <w:rFonts w:ascii="Arial" w:hAnsi="Arial" w:cs="Arial"/>
          <w:sz w:val="24"/>
          <w:szCs w:val="24"/>
          <w:lang w:val="it-IT"/>
        </w:rPr>
      </w:pPr>
      <w:r w:rsidRPr="004F6E28">
        <w:rPr>
          <w:rFonts w:ascii="Arial" w:hAnsi="Arial" w:cs="Arial"/>
          <w:sz w:val="24"/>
          <w:szCs w:val="24"/>
          <w:lang w:val="it-IT"/>
        </w:rPr>
        <w:t>P</w:t>
      </w:r>
      <w:r w:rsidR="00205128" w:rsidRPr="004F6E28">
        <w:rPr>
          <w:rFonts w:ascii="Arial" w:hAnsi="Arial" w:cs="Arial"/>
          <w:sz w:val="24"/>
          <w:szCs w:val="24"/>
          <w:lang w:val="it-IT"/>
        </w:rPr>
        <w:t>ar</w:t>
      </w:r>
      <w:r w:rsidR="001725F2" w:rsidRPr="004F6E28">
        <w:rPr>
          <w:rFonts w:ascii="Arial" w:hAnsi="Arial" w:cs="Arial"/>
          <w:sz w:val="24"/>
          <w:szCs w:val="24"/>
          <w:lang w:val="it-IT"/>
        </w:rPr>
        <w:t xml:space="preserve">e </w:t>
      </w:r>
      <w:r w:rsidR="008E0FF2" w:rsidRPr="004F6E28">
        <w:rPr>
          <w:rFonts w:ascii="Arial" w:hAnsi="Arial" w:cs="Arial"/>
          <w:sz w:val="24"/>
          <w:szCs w:val="24"/>
          <w:lang w:val="it-IT"/>
        </w:rPr>
        <w:t>tuttavia</w:t>
      </w:r>
      <w:r w:rsidR="001725F2" w:rsidRPr="004F6E28">
        <w:rPr>
          <w:rFonts w:ascii="Arial" w:hAnsi="Arial" w:cs="Arial"/>
          <w:sz w:val="24"/>
          <w:szCs w:val="24"/>
          <w:lang w:val="it-IT"/>
        </w:rPr>
        <w:t xml:space="preserve"> maturo</w:t>
      </w:r>
      <w:r w:rsidR="00205128" w:rsidRPr="004F6E28">
        <w:rPr>
          <w:rFonts w:ascii="Arial" w:hAnsi="Arial" w:cs="Arial"/>
          <w:sz w:val="24"/>
          <w:szCs w:val="24"/>
          <w:lang w:val="it-IT"/>
        </w:rPr>
        <w:t xml:space="preserve"> il tempo per riconoscere la pien</w:t>
      </w:r>
      <w:r w:rsidR="001725F2" w:rsidRPr="004F6E28">
        <w:rPr>
          <w:rFonts w:ascii="Arial" w:hAnsi="Arial" w:cs="Arial"/>
          <w:sz w:val="24"/>
          <w:szCs w:val="24"/>
          <w:lang w:val="it-IT"/>
        </w:rPr>
        <w:t>a valenza</w:t>
      </w:r>
      <w:r w:rsidR="008E0FF2" w:rsidRPr="004F6E28">
        <w:rPr>
          <w:rFonts w:ascii="Arial" w:hAnsi="Arial" w:cs="Arial"/>
          <w:sz w:val="24"/>
          <w:szCs w:val="24"/>
          <w:lang w:val="it-IT"/>
        </w:rPr>
        <w:t>, anche di diritto pubblico, del concetto</w:t>
      </w:r>
      <w:r w:rsidRPr="004F6E28">
        <w:rPr>
          <w:rFonts w:ascii="Arial" w:hAnsi="Arial" w:cs="Arial"/>
          <w:sz w:val="24"/>
          <w:szCs w:val="24"/>
          <w:lang w:val="it-IT"/>
        </w:rPr>
        <w:t xml:space="preserve"> di </w:t>
      </w:r>
      <w:r w:rsidR="00205128" w:rsidRPr="004F6E28">
        <w:rPr>
          <w:rFonts w:ascii="Arial" w:hAnsi="Arial" w:cs="Arial"/>
          <w:sz w:val="24"/>
          <w:szCs w:val="24"/>
          <w:lang w:val="it-IT"/>
        </w:rPr>
        <w:t>ordine pubblico economico</w:t>
      </w:r>
      <w:r w:rsidR="00FE4A82">
        <w:rPr>
          <w:rFonts w:ascii="Arial" w:hAnsi="Arial" w:cs="Arial"/>
          <w:sz w:val="24"/>
          <w:szCs w:val="24"/>
          <w:lang w:val="it-IT"/>
        </w:rPr>
        <w:t>, nel suo</w:t>
      </w:r>
      <w:r w:rsidR="008E0FF2" w:rsidRPr="004F6E28">
        <w:rPr>
          <w:rFonts w:ascii="Arial" w:hAnsi="Arial" w:cs="Arial"/>
          <w:sz w:val="24"/>
          <w:szCs w:val="24"/>
          <w:lang w:val="it-IT"/>
        </w:rPr>
        <w:t xml:space="preserve"> significato</w:t>
      </w:r>
      <w:r w:rsidR="00FE4A82">
        <w:rPr>
          <w:rFonts w:ascii="Arial" w:hAnsi="Arial" w:cs="Arial"/>
          <w:sz w:val="24"/>
          <w:szCs w:val="24"/>
          <w:lang w:val="it-IT"/>
        </w:rPr>
        <w:t>,</w:t>
      </w:r>
      <w:r w:rsidR="009862F3" w:rsidRPr="004F6E28">
        <w:rPr>
          <w:rFonts w:ascii="Arial" w:hAnsi="Arial" w:cs="Arial"/>
          <w:sz w:val="24"/>
          <w:szCs w:val="24"/>
          <w:lang w:val="it-IT"/>
        </w:rPr>
        <w:t xml:space="preserve"> se non ideale</w:t>
      </w:r>
      <w:r w:rsidR="00FE4A82">
        <w:rPr>
          <w:rFonts w:ascii="Arial" w:hAnsi="Arial" w:cs="Arial"/>
          <w:sz w:val="24"/>
          <w:szCs w:val="24"/>
          <w:lang w:val="it-IT"/>
        </w:rPr>
        <w:t>,</w:t>
      </w:r>
      <w:r w:rsidR="009862F3" w:rsidRPr="004F6E28">
        <w:rPr>
          <w:rFonts w:ascii="Arial" w:hAnsi="Arial" w:cs="Arial"/>
          <w:sz w:val="24"/>
          <w:szCs w:val="24"/>
          <w:lang w:val="it-IT"/>
        </w:rPr>
        <w:t xml:space="preserve"> certamente funzionale,</w:t>
      </w:r>
      <w:r w:rsidR="00205128" w:rsidRPr="004F6E28">
        <w:rPr>
          <w:rFonts w:ascii="Arial" w:hAnsi="Arial" w:cs="Arial"/>
          <w:sz w:val="24"/>
          <w:szCs w:val="24"/>
          <w:lang w:val="it-IT"/>
        </w:rPr>
        <w:t xml:space="preserve"> </w:t>
      </w:r>
      <w:r w:rsidR="001725F2" w:rsidRPr="004F6E28">
        <w:rPr>
          <w:rFonts w:ascii="Arial" w:hAnsi="Arial" w:cs="Arial"/>
          <w:sz w:val="24"/>
          <w:szCs w:val="24"/>
          <w:lang w:val="it-IT"/>
        </w:rPr>
        <w:t>quale elemento di bilanciamento tra iniziative dei singoli ed utilità sociale,</w:t>
      </w:r>
      <w:r w:rsidR="009862F3" w:rsidRPr="004F6E28">
        <w:rPr>
          <w:rFonts w:ascii="Arial" w:hAnsi="Arial" w:cs="Arial"/>
          <w:sz w:val="24"/>
          <w:szCs w:val="24"/>
          <w:lang w:val="it-IT"/>
        </w:rPr>
        <w:t xml:space="preserve"> il tutto</w:t>
      </w:r>
      <w:r w:rsidR="001725F2" w:rsidRPr="004F6E28">
        <w:rPr>
          <w:rFonts w:ascii="Arial" w:hAnsi="Arial" w:cs="Arial"/>
          <w:sz w:val="24"/>
          <w:szCs w:val="24"/>
          <w:lang w:val="it-IT"/>
        </w:rPr>
        <w:t xml:space="preserve"> in un contesto di economia di</w:t>
      </w:r>
      <w:r w:rsidR="009862F3" w:rsidRPr="004F6E28">
        <w:rPr>
          <w:rFonts w:ascii="Arial" w:hAnsi="Arial" w:cs="Arial"/>
          <w:sz w:val="24"/>
          <w:szCs w:val="24"/>
          <w:lang w:val="it-IT"/>
        </w:rPr>
        <w:t xml:space="preserve"> mercato</w:t>
      </w:r>
      <w:r w:rsidR="001725F2" w:rsidRPr="004F6E28">
        <w:rPr>
          <w:rFonts w:ascii="Arial" w:hAnsi="Arial" w:cs="Arial"/>
          <w:sz w:val="24"/>
          <w:szCs w:val="24"/>
          <w:lang w:val="it-IT"/>
        </w:rPr>
        <w:t xml:space="preserve"> non certo dirigista</w:t>
      </w:r>
      <w:r w:rsidR="009862F3" w:rsidRPr="004F6E28">
        <w:rPr>
          <w:rFonts w:ascii="Arial" w:hAnsi="Arial" w:cs="Arial"/>
          <w:sz w:val="24"/>
          <w:szCs w:val="24"/>
          <w:lang w:val="it-IT"/>
        </w:rPr>
        <w:t xml:space="preserve"> ma neppure indifferente ad istanze valoriali</w:t>
      </w:r>
      <w:r w:rsidR="00FE4A82">
        <w:rPr>
          <w:rFonts w:ascii="Arial" w:hAnsi="Arial" w:cs="Arial"/>
          <w:sz w:val="24"/>
          <w:szCs w:val="24"/>
          <w:lang w:val="it-IT"/>
        </w:rPr>
        <w:t>,</w:t>
      </w:r>
      <w:r w:rsidR="008E0FF2" w:rsidRPr="004F6E28">
        <w:rPr>
          <w:rFonts w:ascii="Arial" w:hAnsi="Arial" w:cs="Arial"/>
          <w:sz w:val="24"/>
          <w:szCs w:val="24"/>
          <w:lang w:val="it-IT"/>
        </w:rPr>
        <w:t xml:space="preserve"> là dove</w:t>
      </w:r>
      <w:r w:rsidRPr="004F6E28">
        <w:rPr>
          <w:rFonts w:ascii="Arial" w:hAnsi="Arial" w:cs="Arial"/>
          <w:sz w:val="24"/>
          <w:szCs w:val="24"/>
          <w:lang w:val="it-IT"/>
        </w:rPr>
        <w:t xml:space="preserve"> le ricorrenti crisi e i conseguenti inevitabili interventi pubblici</w:t>
      </w:r>
      <w:r w:rsidR="005A1DB4">
        <w:rPr>
          <w:rFonts w:ascii="Arial" w:hAnsi="Arial" w:cs="Arial"/>
          <w:sz w:val="24"/>
          <w:szCs w:val="24"/>
          <w:lang w:val="it-IT"/>
        </w:rPr>
        <w:t xml:space="preserve"> in economia</w:t>
      </w:r>
      <w:r w:rsidRPr="004F6E28">
        <w:rPr>
          <w:rFonts w:ascii="Arial" w:hAnsi="Arial" w:cs="Arial"/>
          <w:sz w:val="24"/>
          <w:szCs w:val="24"/>
          <w:lang w:val="it-IT"/>
        </w:rPr>
        <w:t>, hanno fatto cadere il m</w:t>
      </w:r>
      <w:r w:rsidR="005A1DB4">
        <w:rPr>
          <w:rFonts w:ascii="Arial" w:hAnsi="Arial" w:cs="Arial"/>
          <w:sz w:val="24"/>
          <w:szCs w:val="24"/>
          <w:lang w:val="it-IT"/>
        </w:rPr>
        <w:t>ito di un sistema</w:t>
      </w:r>
      <w:r w:rsidRPr="004F6E28">
        <w:rPr>
          <w:rFonts w:ascii="Arial" w:hAnsi="Arial" w:cs="Arial"/>
          <w:sz w:val="24"/>
          <w:szCs w:val="24"/>
          <w:lang w:val="it-IT"/>
        </w:rPr>
        <w:t xml:space="preserve"> in grado di autoregolarsi.</w:t>
      </w:r>
      <w:r w:rsidR="008E0FF2" w:rsidRPr="004F6E28">
        <w:rPr>
          <w:rFonts w:ascii="Arial" w:hAnsi="Arial" w:cs="Arial"/>
          <w:sz w:val="24"/>
          <w:szCs w:val="24"/>
          <w:lang w:val="it-IT"/>
        </w:rPr>
        <w:t xml:space="preserve"> </w:t>
      </w:r>
      <w:r w:rsidR="001725F2" w:rsidRPr="004F6E28">
        <w:rPr>
          <w:rFonts w:ascii="Arial" w:hAnsi="Arial" w:cs="Arial"/>
          <w:sz w:val="24"/>
          <w:szCs w:val="24"/>
          <w:lang w:val="it-IT"/>
        </w:rPr>
        <w:t>D’altro canto la fluidità dei concetti</w:t>
      </w:r>
      <w:r w:rsidR="008E0FF2" w:rsidRPr="004F6E28">
        <w:rPr>
          <w:rFonts w:ascii="Arial" w:hAnsi="Arial" w:cs="Arial"/>
          <w:sz w:val="24"/>
          <w:szCs w:val="24"/>
          <w:lang w:val="it-IT"/>
        </w:rPr>
        <w:t xml:space="preserve"> tra diritto pubblico e diritto privato</w:t>
      </w:r>
      <w:r w:rsidR="001725F2" w:rsidRPr="004F6E28">
        <w:rPr>
          <w:rFonts w:ascii="Arial" w:hAnsi="Arial" w:cs="Arial"/>
          <w:sz w:val="24"/>
          <w:szCs w:val="24"/>
          <w:lang w:val="it-IT"/>
        </w:rPr>
        <w:t xml:space="preserve"> si attaglia particolarmente bene ad</w:t>
      </w:r>
      <w:r w:rsidR="00205128" w:rsidRPr="004F6E28">
        <w:rPr>
          <w:rFonts w:ascii="Arial" w:hAnsi="Arial" w:cs="Arial"/>
          <w:sz w:val="24"/>
          <w:szCs w:val="24"/>
          <w:lang w:val="it-IT"/>
        </w:rPr>
        <w:t xml:space="preserve"> </w:t>
      </w:r>
      <w:r w:rsidR="009862F3" w:rsidRPr="004F6E28">
        <w:rPr>
          <w:rFonts w:ascii="Arial" w:hAnsi="Arial" w:cs="Arial"/>
          <w:sz w:val="24"/>
          <w:szCs w:val="24"/>
          <w:lang w:val="it-IT"/>
        </w:rPr>
        <w:t xml:space="preserve">una </w:t>
      </w:r>
      <w:r w:rsidR="00205128" w:rsidRPr="004F6E28">
        <w:rPr>
          <w:rFonts w:ascii="Arial" w:hAnsi="Arial" w:cs="Arial"/>
          <w:sz w:val="24"/>
          <w:szCs w:val="24"/>
          <w:lang w:val="it-IT"/>
        </w:rPr>
        <w:t>società liquida</w:t>
      </w:r>
      <w:r w:rsidR="001725F2" w:rsidRPr="004F6E28">
        <w:rPr>
          <w:rFonts w:ascii="Arial" w:hAnsi="Arial" w:cs="Arial"/>
          <w:sz w:val="24"/>
          <w:szCs w:val="24"/>
          <w:lang w:val="it-IT"/>
        </w:rPr>
        <w:t>,</w:t>
      </w:r>
      <w:r w:rsidR="008E0FF2" w:rsidRPr="004F6E28">
        <w:rPr>
          <w:rFonts w:ascii="Arial" w:hAnsi="Arial" w:cs="Arial"/>
          <w:sz w:val="24"/>
          <w:szCs w:val="24"/>
          <w:lang w:val="it-IT"/>
        </w:rPr>
        <w:t xml:space="preserve"> in cui </w:t>
      </w:r>
      <w:r w:rsidR="00205128" w:rsidRPr="004F6E28">
        <w:rPr>
          <w:rFonts w:ascii="Arial" w:hAnsi="Arial" w:cs="Arial"/>
          <w:sz w:val="24"/>
          <w:szCs w:val="24"/>
          <w:lang w:val="it-IT"/>
        </w:rPr>
        <w:t xml:space="preserve">i confini </w:t>
      </w:r>
      <w:r w:rsidR="008E0FF2" w:rsidRPr="004F6E28">
        <w:rPr>
          <w:rFonts w:ascii="Arial" w:hAnsi="Arial" w:cs="Arial"/>
          <w:sz w:val="24"/>
          <w:szCs w:val="24"/>
          <w:lang w:val="it-IT"/>
        </w:rPr>
        <w:t xml:space="preserve">tra questi tradizionali settori </w:t>
      </w:r>
      <w:r w:rsidR="00FE4A82">
        <w:rPr>
          <w:rFonts w:ascii="Arial" w:hAnsi="Arial" w:cs="Arial"/>
          <w:sz w:val="24"/>
          <w:szCs w:val="24"/>
          <w:lang w:val="it-IT"/>
        </w:rPr>
        <w:t xml:space="preserve">dell’ordinamento </w:t>
      </w:r>
      <w:r w:rsidR="00205128" w:rsidRPr="004F6E28">
        <w:rPr>
          <w:rFonts w:ascii="Arial" w:hAnsi="Arial" w:cs="Arial"/>
          <w:sz w:val="24"/>
          <w:szCs w:val="24"/>
          <w:lang w:val="it-IT"/>
        </w:rPr>
        <w:t>si scolorano</w:t>
      </w:r>
      <w:r w:rsidR="008E0FF2" w:rsidRPr="004F6E28">
        <w:rPr>
          <w:rFonts w:ascii="Arial" w:hAnsi="Arial" w:cs="Arial"/>
          <w:sz w:val="24"/>
          <w:szCs w:val="24"/>
          <w:lang w:val="it-IT"/>
        </w:rPr>
        <w:t xml:space="preserve"> da tempo</w:t>
      </w:r>
      <w:r w:rsidR="00205128" w:rsidRPr="004F6E28">
        <w:rPr>
          <w:rFonts w:ascii="Arial" w:hAnsi="Arial" w:cs="Arial"/>
          <w:sz w:val="24"/>
          <w:szCs w:val="24"/>
          <w:lang w:val="it-IT"/>
        </w:rPr>
        <w:t xml:space="preserve"> e il diritto amministrativo </w:t>
      </w:r>
      <w:r w:rsidR="009862F3" w:rsidRPr="004F6E28">
        <w:rPr>
          <w:rFonts w:ascii="Arial" w:hAnsi="Arial" w:cs="Arial"/>
          <w:sz w:val="24"/>
          <w:szCs w:val="24"/>
          <w:lang w:val="it-IT"/>
        </w:rPr>
        <w:t xml:space="preserve">è </w:t>
      </w:r>
      <w:r w:rsidR="00205128" w:rsidRPr="004F6E28">
        <w:rPr>
          <w:rFonts w:ascii="Arial" w:hAnsi="Arial" w:cs="Arial"/>
          <w:sz w:val="24"/>
          <w:szCs w:val="24"/>
          <w:lang w:val="it-IT"/>
        </w:rPr>
        <w:t>entra</w:t>
      </w:r>
      <w:r w:rsidR="009862F3" w:rsidRPr="004F6E28">
        <w:rPr>
          <w:rFonts w:ascii="Arial" w:hAnsi="Arial" w:cs="Arial"/>
          <w:sz w:val="24"/>
          <w:szCs w:val="24"/>
          <w:lang w:val="it-IT"/>
        </w:rPr>
        <w:t>to</w:t>
      </w:r>
      <w:r w:rsidR="00205128" w:rsidRPr="004F6E28">
        <w:rPr>
          <w:rFonts w:ascii="Arial" w:hAnsi="Arial" w:cs="Arial"/>
          <w:sz w:val="24"/>
          <w:szCs w:val="24"/>
          <w:lang w:val="it-IT"/>
        </w:rPr>
        <w:t xml:space="preserve"> a pieno titolo in </w:t>
      </w:r>
      <w:r w:rsidR="009862F3" w:rsidRPr="004F6E28">
        <w:rPr>
          <w:rFonts w:ascii="Arial" w:hAnsi="Arial" w:cs="Arial"/>
          <w:sz w:val="24"/>
          <w:szCs w:val="24"/>
          <w:lang w:val="it-IT"/>
        </w:rPr>
        <w:t xml:space="preserve">molti </w:t>
      </w:r>
      <w:r w:rsidR="00205128" w:rsidRPr="004F6E28">
        <w:rPr>
          <w:rFonts w:ascii="Arial" w:hAnsi="Arial" w:cs="Arial"/>
          <w:sz w:val="24"/>
          <w:szCs w:val="24"/>
          <w:lang w:val="it-IT"/>
        </w:rPr>
        <w:t xml:space="preserve">ambiti economici tradizionalmente appannaggio del diritto privato.   </w:t>
      </w:r>
    </w:p>
    <w:p w:rsidR="00C94956" w:rsidRPr="004F6E28" w:rsidRDefault="004D5461" w:rsidP="004F6E28">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Senza alcuna pretesa</w:t>
      </w:r>
      <w:r w:rsidR="007A2DCB" w:rsidRPr="004F6E28">
        <w:rPr>
          <w:rFonts w:ascii="Arial" w:hAnsi="Arial" w:cs="Arial"/>
          <w:color w:val="686868"/>
          <w:sz w:val="24"/>
          <w:szCs w:val="24"/>
          <w:shd w:val="clear" w:color="auto" w:fill="FFFFFF"/>
          <w:lang w:val="it-IT"/>
        </w:rPr>
        <w:t xml:space="preserve"> di risolvere in qu</w:t>
      </w:r>
      <w:r w:rsidR="00B30D0F" w:rsidRPr="004F6E28">
        <w:rPr>
          <w:rFonts w:ascii="Arial" w:hAnsi="Arial" w:cs="Arial"/>
          <w:color w:val="686868"/>
          <w:sz w:val="24"/>
          <w:szCs w:val="24"/>
          <w:shd w:val="clear" w:color="auto" w:fill="FFFFFF"/>
          <w:lang w:val="it-IT"/>
        </w:rPr>
        <w:t>esta sede una problematica</w:t>
      </w:r>
      <w:r w:rsidR="000F52DA" w:rsidRPr="004F6E28">
        <w:rPr>
          <w:rFonts w:ascii="Arial" w:hAnsi="Arial" w:cs="Arial"/>
          <w:color w:val="686868"/>
          <w:sz w:val="24"/>
          <w:szCs w:val="24"/>
          <w:shd w:val="clear" w:color="auto" w:fill="FFFFFF"/>
          <w:lang w:val="it-IT"/>
        </w:rPr>
        <w:t xml:space="preserve"> ardua</w:t>
      </w:r>
      <w:r w:rsidR="004563CA" w:rsidRPr="004F6E28">
        <w:rPr>
          <w:rFonts w:ascii="Arial" w:hAnsi="Arial" w:cs="Arial"/>
          <w:color w:val="686868"/>
          <w:sz w:val="24"/>
          <w:szCs w:val="24"/>
          <w:shd w:val="clear" w:color="auto" w:fill="FFFFFF"/>
          <w:lang w:val="it-IT"/>
        </w:rPr>
        <w:t xml:space="preserve">, non si può </w:t>
      </w:r>
      <w:r w:rsidR="009862F3" w:rsidRPr="004F6E28">
        <w:rPr>
          <w:rFonts w:ascii="Arial" w:hAnsi="Arial" w:cs="Arial"/>
          <w:color w:val="686868"/>
          <w:sz w:val="24"/>
          <w:szCs w:val="24"/>
          <w:shd w:val="clear" w:color="auto" w:fill="FFFFFF"/>
          <w:lang w:val="it-IT"/>
        </w:rPr>
        <w:t xml:space="preserve">allora </w:t>
      </w:r>
      <w:r w:rsidR="004563CA" w:rsidRPr="004F6E28">
        <w:rPr>
          <w:rFonts w:ascii="Arial" w:hAnsi="Arial" w:cs="Arial"/>
          <w:color w:val="686868"/>
          <w:sz w:val="24"/>
          <w:szCs w:val="24"/>
          <w:shd w:val="clear" w:color="auto" w:fill="FFFFFF"/>
          <w:lang w:val="it-IT"/>
        </w:rPr>
        <w:t>ignorare che</w:t>
      </w:r>
      <w:r w:rsidR="007A2DCB" w:rsidRPr="004F6E28">
        <w:rPr>
          <w:rFonts w:ascii="Arial" w:hAnsi="Arial" w:cs="Arial"/>
          <w:color w:val="686868"/>
          <w:sz w:val="24"/>
          <w:szCs w:val="24"/>
          <w:shd w:val="clear" w:color="auto" w:fill="FFFFFF"/>
          <w:lang w:val="it-IT"/>
        </w:rPr>
        <w:t xml:space="preserve"> </w:t>
      </w:r>
      <w:r w:rsidR="00C94956" w:rsidRPr="004F6E28">
        <w:rPr>
          <w:rFonts w:ascii="Arial" w:hAnsi="Arial" w:cs="Arial"/>
          <w:color w:val="686868"/>
          <w:sz w:val="24"/>
          <w:szCs w:val="24"/>
          <w:shd w:val="clear" w:color="auto" w:fill="FFFFFF"/>
          <w:lang w:val="it-IT"/>
        </w:rPr>
        <w:t xml:space="preserve">il </w:t>
      </w:r>
      <w:r w:rsidRPr="004F6E28">
        <w:rPr>
          <w:rFonts w:ascii="Arial" w:hAnsi="Arial" w:cs="Arial"/>
          <w:color w:val="686868"/>
          <w:sz w:val="24"/>
          <w:szCs w:val="24"/>
          <w:shd w:val="clear" w:color="auto" w:fill="FFFFFF"/>
          <w:lang w:val="it-IT"/>
        </w:rPr>
        <w:t>necessari</w:t>
      </w:r>
      <w:r w:rsidR="00C94956" w:rsidRPr="004F6E28">
        <w:rPr>
          <w:rFonts w:ascii="Arial" w:hAnsi="Arial" w:cs="Arial"/>
          <w:color w:val="686868"/>
          <w:sz w:val="24"/>
          <w:szCs w:val="24"/>
          <w:shd w:val="clear" w:color="auto" w:fill="FFFFFF"/>
          <w:lang w:val="it-IT"/>
        </w:rPr>
        <w:t>o</w:t>
      </w:r>
      <w:r w:rsidRPr="004F6E28">
        <w:rPr>
          <w:rFonts w:ascii="Arial" w:hAnsi="Arial" w:cs="Arial"/>
          <w:color w:val="686868"/>
          <w:sz w:val="24"/>
          <w:szCs w:val="24"/>
          <w:shd w:val="clear" w:color="auto" w:fill="FFFFFF"/>
          <w:lang w:val="it-IT"/>
        </w:rPr>
        <w:t xml:space="preserve"> bilanciamento di valori che attraversa la</w:t>
      </w:r>
      <w:r w:rsidR="00FE4A82">
        <w:rPr>
          <w:rFonts w:ascii="Arial" w:hAnsi="Arial" w:cs="Arial"/>
          <w:color w:val="686868"/>
          <w:sz w:val="24"/>
          <w:szCs w:val="24"/>
          <w:shd w:val="clear" w:color="auto" w:fill="FFFFFF"/>
          <w:lang w:val="it-IT"/>
        </w:rPr>
        <w:t xml:space="preserve"> disciplina della documentazione</w:t>
      </w:r>
      <w:r w:rsidRPr="004F6E28">
        <w:rPr>
          <w:rFonts w:ascii="Arial" w:hAnsi="Arial" w:cs="Arial"/>
          <w:color w:val="686868"/>
          <w:sz w:val="24"/>
          <w:szCs w:val="24"/>
          <w:shd w:val="clear" w:color="auto" w:fill="FFFFFF"/>
          <w:lang w:val="it-IT"/>
        </w:rPr>
        <w:t xml:space="preserve"> a</w:t>
      </w:r>
      <w:r w:rsidR="00FE4A82">
        <w:rPr>
          <w:rFonts w:ascii="Arial" w:hAnsi="Arial" w:cs="Arial"/>
          <w:color w:val="686868"/>
          <w:sz w:val="24"/>
          <w:szCs w:val="24"/>
          <w:shd w:val="clear" w:color="auto" w:fill="FFFFFF"/>
          <w:lang w:val="it-IT"/>
        </w:rPr>
        <w:t>ntimafia si colloca</w:t>
      </w:r>
      <w:r w:rsidR="004563CA" w:rsidRPr="004F6E28">
        <w:rPr>
          <w:rFonts w:ascii="Arial" w:hAnsi="Arial" w:cs="Arial"/>
          <w:color w:val="686868"/>
          <w:sz w:val="24"/>
          <w:szCs w:val="24"/>
          <w:shd w:val="clear" w:color="auto" w:fill="FFFFFF"/>
          <w:lang w:val="it-IT"/>
        </w:rPr>
        <w:t xml:space="preserve"> </w:t>
      </w:r>
      <w:r w:rsidR="008E0FF2" w:rsidRPr="004F6E28">
        <w:rPr>
          <w:rFonts w:ascii="Arial" w:hAnsi="Arial" w:cs="Arial"/>
          <w:color w:val="686868"/>
          <w:sz w:val="24"/>
          <w:szCs w:val="24"/>
          <w:shd w:val="clear" w:color="auto" w:fill="FFFFFF"/>
          <w:lang w:val="it-IT"/>
        </w:rPr>
        <w:t>al crocevia di questa logica funzionale dell’ordine pubblico economico</w:t>
      </w:r>
      <w:r w:rsidR="009862F3" w:rsidRPr="004F6E28">
        <w:rPr>
          <w:rFonts w:ascii="Arial" w:hAnsi="Arial" w:cs="Arial"/>
          <w:color w:val="686868"/>
          <w:sz w:val="24"/>
          <w:szCs w:val="24"/>
          <w:shd w:val="clear" w:color="auto" w:fill="FFFFFF"/>
          <w:lang w:val="it-IT"/>
        </w:rPr>
        <w:t xml:space="preserve"> e per di più risente</w:t>
      </w:r>
      <w:r w:rsidR="00FE4A82">
        <w:rPr>
          <w:rFonts w:ascii="Arial" w:hAnsi="Arial" w:cs="Arial"/>
          <w:color w:val="686868"/>
          <w:sz w:val="24"/>
          <w:szCs w:val="24"/>
          <w:shd w:val="clear" w:color="auto" w:fill="FFFFFF"/>
          <w:lang w:val="it-IT"/>
        </w:rPr>
        <w:t xml:space="preserve"> della</w:t>
      </w:r>
      <w:r w:rsidR="004563CA" w:rsidRPr="004F6E28">
        <w:rPr>
          <w:rFonts w:ascii="Arial" w:hAnsi="Arial" w:cs="Arial"/>
          <w:color w:val="686868"/>
          <w:sz w:val="24"/>
          <w:szCs w:val="24"/>
          <w:shd w:val="clear" w:color="auto" w:fill="FFFFFF"/>
          <w:lang w:val="it-IT"/>
        </w:rPr>
        <w:t xml:space="preserve"> fisiologica circolazione dei modelli</w:t>
      </w:r>
      <w:r w:rsidR="008E0FF2" w:rsidRPr="004F6E28">
        <w:rPr>
          <w:rFonts w:ascii="Arial" w:hAnsi="Arial" w:cs="Arial"/>
          <w:color w:val="686868"/>
          <w:sz w:val="24"/>
          <w:szCs w:val="24"/>
          <w:shd w:val="clear" w:color="auto" w:fill="FFFFFF"/>
          <w:lang w:val="it-IT"/>
        </w:rPr>
        <w:t xml:space="preserve"> </w:t>
      </w:r>
      <w:r w:rsidR="00FE4A82">
        <w:rPr>
          <w:rFonts w:ascii="Arial" w:hAnsi="Arial" w:cs="Arial"/>
          <w:color w:val="686868"/>
          <w:sz w:val="24"/>
          <w:szCs w:val="24"/>
          <w:shd w:val="clear" w:color="auto" w:fill="FFFFFF"/>
          <w:lang w:val="it-IT"/>
        </w:rPr>
        <w:t xml:space="preserve">valoriali </w:t>
      </w:r>
      <w:r w:rsidR="008E0FF2" w:rsidRPr="004F6E28">
        <w:rPr>
          <w:rFonts w:ascii="Arial" w:hAnsi="Arial" w:cs="Arial"/>
          <w:color w:val="686868"/>
          <w:sz w:val="24"/>
          <w:szCs w:val="24"/>
          <w:shd w:val="clear" w:color="auto" w:fill="FFFFFF"/>
          <w:lang w:val="it-IT"/>
        </w:rPr>
        <w:t>a livello europeo, in senso tanto ascendente che discendente,</w:t>
      </w:r>
      <w:r w:rsidR="004563CA" w:rsidRPr="004F6E28">
        <w:rPr>
          <w:rFonts w:ascii="Arial" w:hAnsi="Arial" w:cs="Arial"/>
          <w:color w:val="686868"/>
          <w:sz w:val="24"/>
          <w:szCs w:val="24"/>
          <w:shd w:val="clear" w:color="auto" w:fill="FFFFFF"/>
          <w:lang w:val="it-IT"/>
        </w:rPr>
        <w:t xml:space="preserve"> </w:t>
      </w:r>
      <w:r w:rsidR="009862F3" w:rsidRPr="004F6E28">
        <w:rPr>
          <w:rFonts w:ascii="Arial" w:hAnsi="Arial" w:cs="Arial"/>
          <w:color w:val="686868"/>
          <w:sz w:val="24"/>
          <w:szCs w:val="24"/>
          <w:shd w:val="clear" w:color="auto" w:fill="FFFFFF"/>
          <w:lang w:val="it-IT"/>
        </w:rPr>
        <w:t>posto che le gar</w:t>
      </w:r>
      <w:r w:rsidR="008E0FF2" w:rsidRPr="004F6E28">
        <w:rPr>
          <w:rFonts w:ascii="Arial" w:hAnsi="Arial" w:cs="Arial"/>
          <w:color w:val="686868"/>
          <w:sz w:val="24"/>
          <w:szCs w:val="24"/>
          <w:shd w:val="clear" w:color="auto" w:fill="FFFFFF"/>
          <w:lang w:val="it-IT"/>
        </w:rPr>
        <w:t>anzie procedimentali della materia</w:t>
      </w:r>
      <w:r w:rsidR="009862F3" w:rsidRPr="004F6E28">
        <w:rPr>
          <w:rFonts w:ascii="Arial" w:hAnsi="Arial" w:cs="Arial"/>
          <w:color w:val="686868"/>
          <w:sz w:val="24"/>
          <w:szCs w:val="24"/>
          <w:shd w:val="clear" w:color="auto" w:fill="FFFFFF"/>
          <w:lang w:val="it-IT"/>
        </w:rPr>
        <w:t xml:space="preserve"> sono state elaborate </w:t>
      </w:r>
      <w:r w:rsidR="008E0FF2" w:rsidRPr="004F6E28">
        <w:rPr>
          <w:rFonts w:ascii="Arial" w:hAnsi="Arial" w:cs="Arial"/>
          <w:color w:val="686868"/>
          <w:sz w:val="24"/>
          <w:szCs w:val="24"/>
          <w:shd w:val="clear" w:color="auto" w:fill="FFFFFF"/>
          <w:lang w:val="it-IT"/>
        </w:rPr>
        <w:t>dalla nostra giurisprudenza anche come esito d</w:t>
      </w:r>
      <w:r w:rsidR="009862F3" w:rsidRPr="004F6E28">
        <w:rPr>
          <w:rFonts w:ascii="Arial" w:hAnsi="Arial" w:cs="Arial"/>
          <w:color w:val="686868"/>
          <w:sz w:val="24"/>
          <w:szCs w:val="24"/>
          <w:shd w:val="clear" w:color="auto" w:fill="FFFFFF"/>
          <w:lang w:val="it-IT"/>
        </w:rPr>
        <w:t>i impulsi sovran</w:t>
      </w:r>
      <w:r w:rsidR="00DD37BC" w:rsidRPr="004F6E28">
        <w:rPr>
          <w:rFonts w:ascii="Arial" w:hAnsi="Arial" w:cs="Arial"/>
          <w:color w:val="686868"/>
          <w:sz w:val="24"/>
          <w:szCs w:val="24"/>
          <w:shd w:val="clear" w:color="auto" w:fill="FFFFFF"/>
          <w:lang w:val="it-IT"/>
        </w:rPr>
        <w:t>a</w:t>
      </w:r>
      <w:r w:rsidR="009862F3" w:rsidRPr="004F6E28">
        <w:rPr>
          <w:rFonts w:ascii="Arial" w:hAnsi="Arial" w:cs="Arial"/>
          <w:color w:val="686868"/>
          <w:sz w:val="24"/>
          <w:szCs w:val="24"/>
          <w:shd w:val="clear" w:color="auto" w:fill="FFFFFF"/>
          <w:lang w:val="it-IT"/>
        </w:rPr>
        <w:t>zionali.</w:t>
      </w:r>
    </w:p>
    <w:p w:rsidR="009862F3" w:rsidRPr="004F6E28" w:rsidRDefault="009862F3" w:rsidP="004F6E28">
      <w:pPr>
        <w:pStyle w:val="Paragrafoelenco"/>
        <w:numPr>
          <w:ilvl w:val="0"/>
          <w:numId w:val="6"/>
        </w:numPr>
        <w:jc w:val="both"/>
        <w:rPr>
          <w:rFonts w:ascii="Arial" w:hAnsi="Arial" w:cs="Arial"/>
          <w:color w:val="686868"/>
          <w:sz w:val="24"/>
          <w:szCs w:val="24"/>
          <w:shd w:val="clear" w:color="auto" w:fill="FFFFFF"/>
          <w:lang w:val="it-IT"/>
        </w:rPr>
      </w:pPr>
      <w:r w:rsidRPr="004F6E28">
        <w:rPr>
          <w:rFonts w:ascii="Arial" w:hAnsi="Arial" w:cs="Arial"/>
          <w:b/>
          <w:color w:val="686868"/>
          <w:sz w:val="24"/>
          <w:szCs w:val="24"/>
          <w:shd w:val="clear" w:color="auto" w:fill="FFFFFF"/>
          <w:lang w:val="it-IT"/>
        </w:rPr>
        <w:t>L’ordine pub</w:t>
      </w:r>
      <w:r w:rsidR="008E0FF2" w:rsidRPr="004F6E28">
        <w:rPr>
          <w:rFonts w:ascii="Arial" w:hAnsi="Arial" w:cs="Arial"/>
          <w:b/>
          <w:color w:val="686868"/>
          <w:sz w:val="24"/>
          <w:szCs w:val="24"/>
          <w:shd w:val="clear" w:color="auto" w:fill="FFFFFF"/>
          <w:lang w:val="it-IT"/>
        </w:rPr>
        <w:t>blico economico nel sistema</w:t>
      </w:r>
      <w:r w:rsidR="00DD37BC" w:rsidRPr="004F6E28">
        <w:rPr>
          <w:rFonts w:ascii="Arial" w:hAnsi="Arial" w:cs="Arial"/>
          <w:b/>
          <w:color w:val="686868"/>
          <w:sz w:val="24"/>
          <w:szCs w:val="24"/>
          <w:shd w:val="clear" w:color="auto" w:fill="FFFFFF"/>
          <w:lang w:val="it-IT"/>
        </w:rPr>
        <w:t xml:space="preserve"> costituzionale</w:t>
      </w:r>
      <w:r w:rsidR="008E0FF2" w:rsidRPr="004F6E28">
        <w:rPr>
          <w:rFonts w:ascii="Arial" w:hAnsi="Arial" w:cs="Arial"/>
          <w:b/>
          <w:color w:val="686868"/>
          <w:sz w:val="24"/>
          <w:szCs w:val="24"/>
          <w:shd w:val="clear" w:color="auto" w:fill="FFFFFF"/>
          <w:lang w:val="it-IT"/>
        </w:rPr>
        <w:t xml:space="preserve"> italiano</w:t>
      </w:r>
      <w:r w:rsidRPr="004F6E28">
        <w:rPr>
          <w:rFonts w:ascii="Arial" w:hAnsi="Arial" w:cs="Arial"/>
          <w:color w:val="686868"/>
          <w:sz w:val="24"/>
          <w:szCs w:val="24"/>
          <w:shd w:val="clear" w:color="auto" w:fill="FFFFFF"/>
          <w:lang w:val="it-IT"/>
        </w:rPr>
        <w:t>.</w:t>
      </w:r>
    </w:p>
    <w:p w:rsidR="002E797E" w:rsidRPr="004F6E28" w:rsidRDefault="00413FA0" w:rsidP="004F6E28">
      <w:pPr>
        <w:jc w:val="both"/>
        <w:rPr>
          <w:rFonts w:ascii="Arial" w:hAnsi="Arial" w:cs="Arial"/>
          <w:color w:val="686868"/>
          <w:sz w:val="24"/>
          <w:szCs w:val="24"/>
          <w:shd w:val="clear" w:color="auto" w:fill="FFFFFF"/>
          <w:lang w:val="it-IT"/>
        </w:rPr>
      </w:pPr>
      <w:r>
        <w:rPr>
          <w:rFonts w:ascii="Arial" w:hAnsi="Arial" w:cs="Arial"/>
          <w:color w:val="686868"/>
          <w:sz w:val="24"/>
          <w:szCs w:val="24"/>
          <w:shd w:val="clear" w:color="auto" w:fill="FFFFFF"/>
          <w:lang w:val="it-IT"/>
        </w:rPr>
        <w:lastRenderedPageBreak/>
        <w:t>Prendendo le mosse</w:t>
      </w:r>
      <w:r w:rsidR="009862F3" w:rsidRPr="004F6E28">
        <w:rPr>
          <w:rFonts w:ascii="Arial" w:hAnsi="Arial" w:cs="Arial"/>
          <w:color w:val="686868"/>
          <w:sz w:val="24"/>
          <w:szCs w:val="24"/>
          <w:shd w:val="clear" w:color="auto" w:fill="FFFFFF"/>
          <w:lang w:val="it-IT"/>
        </w:rPr>
        <w:t xml:space="preserve"> dal contesto nazionale, i</w:t>
      </w:r>
      <w:r w:rsidR="007A2DCB" w:rsidRPr="004F6E28">
        <w:rPr>
          <w:rFonts w:ascii="Arial" w:hAnsi="Arial" w:cs="Arial"/>
          <w:color w:val="686868"/>
          <w:sz w:val="24"/>
          <w:szCs w:val="24"/>
          <w:shd w:val="clear" w:color="auto" w:fill="FFFFFF"/>
          <w:lang w:val="it-IT"/>
        </w:rPr>
        <w:t xml:space="preserve">l condizionamento storico </w:t>
      </w:r>
      <w:r w:rsidR="00B30D0F" w:rsidRPr="004F6E28">
        <w:rPr>
          <w:rFonts w:ascii="Arial" w:hAnsi="Arial" w:cs="Arial"/>
          <w:color w:val="686868"/>
          <w:sz w:val="24"/>
          <w:szCs w:val="24"/>
          <w:shd w:val="clear" w:color="auto" w:fill="FFFFFF"/>
          <w:lang w:val="it-IT"/>
        </w:rPr>
        <w:t>politic</w:t>
      </w:r>
      <w:r w:rsidR="009862F3" w:rsidRPr="004F6E28">
        <w:rPr>
          <w:rFonts w:ascii="Arial" w:hAnsi="Arial" w:cs="Arial"/>
          <w:color w:val="686868"/>
          <w:sz w:val="24"/>
          <w:szCs w:val="24"/>
          <w:shd w:val="clear" w:color="auto" w:fill="FFFFFF"/>
          <w:lang w:val="it-IT"/>
        </w:rPr>
        <w:t>o di cui fisiologicamente ha sofferto</w:t>
      </w:r>
      <w:r w:rsidR="00B30D0F" w:rsidRPr="004F6E28">
        <w:rPr>
          <w:rFonts w:ascii="Arial" w:hAnsi="Arial" w:cs="Arial"/>
          <w:color w:val="686868"/>
          <w:sz w:val="24"/>
          <w:szCs w:val="24"/>
          <w:shd w:val="clear" w:color="auto" w:fill="FFFFFF"/>
          <w:lang w:val="it-IT"/>
        </w:rPr>
        <w:t xml:space="preserve"> il concetto di</w:t>
      </w:r>
      <w:r w:rsidR="007A2DCB" w:rsidRPr="004F6E28">
        <w:rPr>
          <w:rFonts w:ascii="Arial" w:hAnsi="Arial" w:cs="Arial"/>
          <w:color w:val="686868"/>
          <w:sz w:val="24"/>
          <w:szCs w:val="24"/>
          <w:shd w:val="clear" w:color="auto" w:fill="FFFFFF"/>
          <w:lang w:val="it-IT"/>
        </w:rPr>
        <w:t xml:space="preserve"> “ordine pubblico”</w:t>
      </w:r>
      <w:r w:rsidR="005E6804" w:rsidRPr="004F6E28">
        <w:rPr>
          <w:rFonts w:ascii="Arial" w:hAnsi="Arial" w:cs="Arial"/>
          <w:color w:val="686868"/>
          <w:sz w:val="24"/>
          <w:szCs w:val="24"/>
          <w:shd w:val="clear" w:color="auto" w:fill="FFFFFF"/>
          <w:lang w:val="it-IT"/>
        </w:rPr>
        <w:t xml:space="preserve"> risulta</w:t>
      </w:r>
      <w:r w:rsidR="00CD2983" w:rsidRPr="004F6E28">
        <w:rPr>
          <w:rFonts w:ascii="Arial" w:hAnsi="Arial" w:cs="Arial"/>
          <w:color w:val="686868"/>
          <w:sz w:val="24"/>
          <w:szCs w:val="24"/>
          <w:shd w:val="clear" w:color="auto" w:fill="FFFFFF"/>
          <w:lang w:val="it-IT"/>
        </w:rPr>
        <w:t xml:space="preserve"> </w:t>
      </w:r>
      <w:r w:rsidR="00C94956" w:rsidRPr="004F6E28">
        <w:rPr>
          <w:rFonts w:ascii="Arial" w:hAnsi="Arial" w:cs="Arial"/>
          <w:color w:val="686868"/>
          <w:sz w:val="24"/>
          <w:szCs w:val="24"/>
          <w:shd w:val="clear" w:color="auto" w:fill="FFFFFF"/>
          <w:lang w:val="it-IT"/>
        </w:rPr>
        <w:t>evidente</w:t>
      </w:r>
      <w:r w:rsidR="00FE4A82">
        <w:rPr>
          <w:rFonts w:ascii="Arial" w:hAnsi="Arial" w:cs="Arial"/>
          <w:color w:val="686868"/>
          <w:sz w:val="24"/>
          <w:szCs w:val="24"/>
          <w:shd w:val="clear" w:color="auto" w:fill="FFFFFF"/>
          <w:lang w:val="it-IT"/>
        </w:rPr>
        <w:t xml:space="preserve"> dal</w:t>
      </w:r>
      <w:r w:rsidR="00CD2983" w:rsidRPr="004F6E28">
        <w:rPr>
          <w:rFonts w:ascii="Arial" w:hAnsi="Arial" w:cs="Arial"/>
          <w:color w:val="686868"/>
          <w:sz w:val="24"/>
          <w:szCs w:val="24"/>
          <w:shd w:val="clear" w:color="auto" w:fill="FFFFFF"/>
          <w:lang w:val="it-IT"/>
        </w:rPr>
        <w:t xml:space="preserve"> dibattito svoltosi in seno all’assemblea costituente</w:t>
      </w:r>
      <w:r w:rsidR="00C94956" w:rsidRPr="004F6E28">
        <w:rPr>
          <w:rFonts w:ascii="Arial" w:hAnsi="Arial" w:cs="Arial"/>
          <w:color w:val="686868"/>
          <w:sz w:val="24"/>
          <w:szCs w:val="24"/>
          <w:shd w:val="clear" w:color="auto" w:fill="FFFFFF"/>
          <w:lang w:val="it-IT"/>
        </w:rPr>
        <w:t>, da cui</w:t>
      </w:r>
      <w:r w:rsidR="000407DE" w:rsidRPr="004F6E28">
        <w:rPr>
          <w:rFonts w:ascii="Arial" w:hAnsi="Arial" w:cs="Arial"/>
          <w:color w:val="686868"/>
          <w:sz w:val="24"/>
          <w:szCs w:val="24"/>
          <w:shd w:val="clear" w:color="auto" w:fill="FFFFFF"/>
          <w:lang w:val="it-IT"/>
        </w:rPr>
        <w:t xml:space="preserve"> emerge </w:t>
      </w:r>
      <w:r w:rsidR="000F52DA" w:rsidRPr="004F6E28">
        <w:rPr>
          <w:rFonts w:ascii="Arial" w:hAnsi="Arial" w:cs="Arial"/>
          <w:color w:val="686868"/>
          <w:sz w:val="24"/>
          <w:szCs w:val="24"/>
          <w:shd w:val="clear" w:color="auto" w:fill="FFFFFF"/>
          <w:lang w:val="it-IT"/>
        </w:rPr>
        <w:t>una</w:t>
      </w:r>
      <w:r w:rsidR="00B30D0F" w:rsidRPr="004F6E28">
        <w:rPr>
          <w:rFonts w:ascii="Arial" w:hAnsi="Arial" w:cs="Arial"/>
          <w:color w:val="686868"/>
          <w:sz w:val="24"/>
          <w:szCs w:val="24"/>
          <w:shd w:val="clear" w:color="auto" w:fill="FFFFFF"/>
          <w:lang w:val="it-IT"/>
        </w:rPr>
        <w:t xml:space="preserve"> percepibile</w:t>
      </w:r>
      <w:r w:rsidR="00CD2983" w:rsidRPr="004F6E28">
        <w:rPr>
          <w:rFonts w:ascii="Arial" w:hAnsi="Arial" w:cs="Arial"/>
          <w:color w:val="686868"/>
          <w:sz w:val="24"/>
          <w:szCs w:val="24"/>
          <w:shd w:val="clear" w:color="auto" w:fill="FFFFFF"/>
          <w:lang w:val="it-IT"/>
        </w:rPr>
        <w:t xml:space="preserve"> d</w:t>
      </w:r>
      <w:r w:rsidR="00B30D0F" w:rsidRPr="004F6E28">
        <w:rPr>
          <w:rFonts w:ascii="Arial" w:hAnsi="Arial" w:cs="Arial"/>
          <w:color w:val="686868"/>
          <w:sz w:val="24"/>
          <w:szCs w:val="24"/>
          <w:shd w:val="clear" w:color="auto" w:fill="FFFFFF"/>
          <w:lang w:val="it-IT"/>
        </w:rPr>
        <w:t>iffidenza verso l’idea stessa</w:t>
      </w:r>
      <w:r w:rsidR="000407DE" w:rsidRPr="004F6E28">
        <w:rPr>
          <w:rFonts w:ascii="Arial" w:hAnsi="Arial" w:cs="Arial"/>
          <w:color w:val="686868"/>
          <w:sz w:val="24"/>
          <w:szCs w:val="24"/>
          <w:shd w:val="clear" w:color="auto" w:fill="FFFFFF"/>
          <w:lang w:val="it-IT"/>
        </w:rPr>
        <w:t xml:space="preserve"> di </w:t>
      </w:r>
      <w:r w:rsidR="00C94956" w:rsidRPr="004F6E28">
        <w:rPr>
          <w:rFonts w:ascii="Arial" w:hAnsi="Arial" w:cs="Arial"/>
          <w:color w:val="686868"/>
          <w:sz w:val="24"/>
          <w:szCs w:val="24"/>
          <w:shd w:val="clear" w:color="auto" w:fill="FFFFFF"/>
          <w:lang w:val="it-IT"/>
        </w:rPr>
        <w:t>“</w:t>
      </w:r>
      <w:r w:rsidR="000407DE" w:rsidRPr="004F6E28">
        <w:rPr>
          <w:rFonts w:ascii="Arial" w:hAnsi="Arial" w:cs="Arial"/>
          <w:color w:val="686868"/>
          <w:sz w:val="24"/>
          <w:szCs w:val="24"/>
          <w:shd w:val="clear" w:color="auto" w:fill="FFFFFF"/>
          <w:lang w:val="it-IT"/>
        </w:rPr>
        <w:t>ordine pubblico</w:t>
      </w:r>
      <w:r w:rsidR="00C94956" w:rsidRPr="004F6E28">
        <w:rPr>
          <w:rFonts w:ascii="Arial" w:hAnsi="Arial" w:cs="Arial"/>
          <w:color w:val="686868"/>
          <w:sz w:val="24"/>
          <w:szCs w:val="24"/>
          <w:shd w:val="clear" w:color="auto" w:fill="FFFFFF"/>
          <w:lang w:val="it-IT"/>
        </w:rPr>
        <w:t>”</w:t>
      </w:r>
      <w:r w:rsidR="007A2DCB" w:rsidRPr="004F6E28">
        <w:rPr>
          <w:rFonts w:ascii="Arial" w:hAnsi="Arial" w:cs="Arial"/>
          <w:color w:val="686868"/>
          <w:sz w:val="24"/>
          <w:szCs w:val="24"/>
          <w:shd w:val="clear" w:color="auto" w:fill="FFFFFF"/>
          <w:lang w:val="it-IT"/>
        </w:rPr>
        <w:t>,</w:t>
      </w:r>
      <w:r w:rsidR="00CD2983" w:rsidRPr="004F6E28">
        <w:rPr>
          <w:rFonts w:ascii="Arial" w:hAnsi="Arial" w:cs="Arial"/>
          <w:color w:val="686868"/>
          <w:sz w:val="24"/>
          <w:szCs w:val="24"/>
          <w:shd w:val="clear" w:color="auto" w:fill="FFFFFF"/>
          <w:lang w:val="it-IT"/>
        </w:rPr>
        <w:t xml:space="preserve"> perché </w:t>
      </w:r>
      <w:r w:rsidR="00C94956" w:rsidRPr="004F6E28">
        <w:rPr>
          <w:rFonts w:ascii="Arial" w:hAnsi="Arial" w:cs="Arial"/>
          <w:color w:val="686868"/>
          <w:sz w:val="24"/>
          <w:szCs w:val="24"/>
          <w:shd w:val="clear" w:color="auto" w:fill="FFFFFF"/>
          <w:lang w:val="it-IT"/>
        </w:rPr>
        <w:t>vivo era</w:t>
      </w:r>
      <w:r w:rsidR="00800170">
        <w:rPr>
          <w:rFonts w:ascii="Arial" w:hAnsi="Arial" w:cs="Arial"/>
          <w:color w:val="686868"/>
          <w:sz w:val="24"/>
          <w:szCs w:val="24"/>
          <w:shd w:val="clear" w:color="auto" w:fill="FFFFFF"/>
          <w:lang w:val="it-IT"/>
        </w:rPr>
        <w:t xml:space="preserve"> il ricordo de</w:t>
      </w:r>
      <w:r w:rsidR="00CD2983" w:rsidRPr="004F6E28">
        <w:rPr>
          <w:rFonts w:ascii="Arial" w:hAnsi="Arial" w:cs="Arial"/>
          <w:color w:val="686868"/>
          <w:sz w:val="24"/>
          <w:szCs w:val="24"/>
          <w:shd w:val="clear" w:color="auto" w:fill="FFFFFF"/>
          <w:lang w:val="it-IT"/>
        </w:rPr>
        <w:t>lla decli</w:t>
      </w:r>
      <w:r w:rsidR="000407DE" w:rsidRPr="004F6E28">
        <w:rPr>
          <w:rFonts w:ascii="Arial" w:hAnsi="Arial" w:cs="Arial"/>
          <w:color w:val="686868"/>
          <w:sz w:val="24"/>
          <w:szCs w:val="24"/>
          <w:shd w:val="clear" w:color="auto" w:fill="FFFFFF"/>
          <w:lang w:val="it-IT"/>
        </w:rPr>
        <w:t>nazione autoritaria</w:t>
      </w:r>
      <w:r w:rsidR="00C94956" w:rsidRPr="004F6E28">
        <w:rPr>
          <w:rFonts w:ascii="Arial" w:hAnsi="Arial" w:cs="Arial"/>
          <w:color w:val="686868"/>
          <w:sz w:val="24"/>
          <w:szCs w:val="24"/>
          <w:shd w:val="clear" w:color="auto" w:fill="FFFFFF"/>
          <w:lang w:val="it-IT"/>
        </w:rPr>
        <w:t xml:space="preserve"> che ne </w:t>
      </w:r>
      <w:r w:rsidR="004563CA" w:rsidRPr="004F6E28">
        <w:rPr>
          <w:rFonts w:ascii="Arial" w:hAnsi="Arial" w:cs="Arial"/>
          <w:color w:val="686868"/>
          <w:sz w:val="24"/>
          <w:szCs w:val="24"/>
          <w:shd w:val="clear" w:color="auto" w:fill="FFFFFF"/>
          <w:lang w:val="it-IT"/>
        </w:rPr>
        <w:t>aveva dato</w:t>
      </w:r>
      <w:r w:rsidR="00C94956" w:rsidRPr="004F6E28">
        <w:rPr>
          <w:rFonts w:ascii="Arial" w:hAnsi="Arial" w:cs="Arial"/>
          <w:color w:val="686868"/>
          <w:sz w:val="24"/>
          <w:szCs w:val="24"/>
          <w:shd w:val="clear" w:color="auto" w:fill="FFFFFF"/>
          <w:lang w:val="it-IT"/>
        </w:rPr>
        <w:t xml:space="preserve"> lo S</w:t>
      </w:r>
      <w:r w:rsidR="007A2DCB" w:rsidRPr="004F6E28">
        <w:rPr>
          <w:rFonts w:ascii="Arial" w:hAnsi="Arial" w:cs="Arial"/>
          <w:color w:val="686868"/>
          <w:sz w:val="24"/>
          <w:szCs w:val="24"/>
          <w:shd w:val="clear" w:color="auto" w:fill="FFFFFF"/>
          <w:lang w:val="it-IT"/>
        </w:rPr>
        <w:t>tato di polizia</w:t>
      </w:r>
      <w:r w:rsidR="008E0FF2" w:rsidRPr="004F6E28">
        <w:rPr>
          <w:rFonts w:ascii="Arial" w:hAnsi="Arial" w:cs="Arial"/>
          <w:color w:val="686868"/>
          <w:sz w:val="24"/>
          <w:szCs w:val="24"/>
          <w:shd w:val="clear" w:color="auto" w:fill="FFFFFF"/>
          <w:lang w:val="it-IT"/>
        </w:rPr>
        <w:t xml:space="preserve"> nel</w:t>
      </w:r>
      <w:r w:rsidR="00CD2983" w:rsidRPr="004F6E28">
        <w:rPr>
          <w:rFonts w:ascii="Arial" w:hAnsi="Arial" w:cs="Arial"/>
          <w:color w:val="686868"/>
          <w:sz w:val="24"/>
          <w:szCs w:val="24"/>
          <w:shd w:val="clear" w:color="auto" w:fill="FFFFFF"/>
          <w:lang w:val="it-IT"/>
        </w:rPr>
        <w:t xml:space="preserve"> ventennio fasc</w:t>
      </w:r>
      <w:r w:rsidR="000407DE" w:rsidRPr="004F6E28">
        <w:rPr>
          <w:rFonts w:ascii="Arial" w:hAnsi="Arial" w:cs="Arial"/>
          <w:color w:val="686868"/>
          <w:sz w:val="24"/>
          <w:szCs w:val="24"/>
          <w:shd w:val="clear" w:color="auto" w:fill="FFFFFF"/>
          <w:lang w:val="it-IT"/>
        </w:rPr>
        <w:t>ista</w:t>
      </w:r>
      <w:r w:rsidR="007A2DCB" w:rsidRPr="004F6E28">
        <w:rPr>
          <w:rStyle w:val="Rimandonotaapidipagina"/>
          <w:rFonts w:ascii="Arial" w:hAnsi="Arial" w:cs="Arial"/>
          <w:color w:val="686868"/>
          <w:sz w:val="24"/>
          <w:szCs w:val="24"/>
          <w:shd w:val="clear" w:color="auto" w:fill="FFFFFF"/>
          <w:lang w:val="it-IT"/>
        </w:rPr>
        <w:footnoteReference w:id="9"/>
      </w:r>
      <w:r w:rsidR="000407DE" w:rsidRPr="004F6E28">
        <w:rPr>
          <w:rFonts w:ascii="Arial" w:hAnsi="Arial" w:cs="Arial"/>
          <w:color w:val="686868"/>
          <w:sz w:val="24"/>
          <w:szCs w:val="24"/>
          <w:shd w:val="clear" w:color="auto" w:fill="FFFFFF"/>
          <w:lang w:val="it-IT"/>
        </w:rPr>
        <w:t xml:space="preserve">. </w:t>
      </w:r>
    </w:p>
    <w:p w:rsidR="00C94956" w:rsidRPr="004F6E28" w:rsidRDefault="000F52DA" w:rsidP="004F6E28">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Ne derivò</w:t>
      </w:r>
      <w:r w:rsidR="000407DE" w:rsidRPr="004F6E28">
        <w:rPr>
          <w:rFonts w:ascii="Arial" w:hAnsi="Arial" w:cs="Arial"/>
          <w:color w:val="686868"/>
          <w:sz w:val="24"/>
          <w:szCs w:val="24"/>
          <w:shd w:val="clear" w:color="auto" w:fill="FFFFFF"/>
          <w:lang w:val="it-IT"/>
        </w:rPr>
        <w:t xml:space="preserve"> la </w:t>
      </w:r>
      <w:r w:rsidRPr="004F6E28">
        <w:rPr>
          <w:rFonts w:ascii="Arial" w:hAnsi="Arial" w:cs="Arial"/>
          <w:color w:val="686868"/>
          <w:sz w:val="24"/>
          <w:szCs w:val="24"/>
          <w:shd w:val="clear" w:color="auto" w:fill="FFFFFF"/>
          <w:lang w:val="it-IT"/>
        </w:rPr>
        <w:t xml:space="preserve">scelta </w:t>
      </w:r>
      <w:r w:rsidR="00C94956" w:rsidRPr="004F6E28">
        <w:rPr>
          <w:rFonts w:ascii="Arial" w:hAnsi="Arial" w:cs="Arial"/>
          <w:color w:val="686868"/>
          <w:sz w:val="24"/>
          <w:szCs w:val="24"/>
          <w:shd w:val="clear" w:color="auto" w:fill="FFFFFF"/>
          <w:lang w:val="it-IT"/>
        </w:rPr>
        <w:t xml:space="preserve">esplicita </w:t>
      </w:r>
      <w:r w:rsidR="008E0FF2" w:rsidRPr="004F6E28">
        <w:rPr>
          <w:rFonts w:ascii="Arial" w:hAnsi="Arial" w:cs="Arial"/>
          <w:color w:val="686868"/>
          <w:sz w:val="24"/>
          <w:szCs w:val="24"/>
          <w:shd w:val="clear" w:color="auto" w:fill="FFFFFF"/>
          <w:lang w:val="it-IT"/>
        </w:rPr>
        <w:t xml:space="preserve">del legislatore costituente </w:t>
      </w:r>
      <w:r w:rsidR="00C94956" w:rsidRPr="004F6E28">
        <w:rPr>
          <w:rFonts w:ascii="Arial" w:hAnsi="Arial" w:cs="Arial"/>
          <w:color w:val="686868"/>
          <w:sz w:val="24"/>
          <w:szCs w:val="24"/>
          <w:shd w:val="clear" w:color="auto" w:fill="FFFFFF"/>
          <w:lang w:val="it-IT"/>
        </w:rPr>
        <w:t>di non menzionare</w:t>
      </w:r>
      <w:r w:rsidR="00FE4A82">
        <w:rPr>
          <w:rFonts w:ascii="Arial" w:hAnsi="Arial" w:cs="Arial"/>
          <w:color w:val="686868"/>
          <w:sz w:val="24"/>
          <w:szCs w:val="24"/>
          <w:shd w:val="clear" w:color="auto" w:fill="FFFFFF"/>
          <w:lang w:val="it-IT"/>
        </w:rPr>
        <w:t xml:space="preserve"> nella Carta C</w:t>
      </w:r>
      <w:r w:rsidR="00413FA0">
        <w:rPr>
          <w:rFonts w:ascii="Arial" w:hAnsi="Arial" w:cs="Arial"/>
          <w:color w:val="686868"/>
          <w:sz w:val="24"/>
          <w:szCs w:val="24"/>
          <w:shd w:val="clear" w:color="auto" w:fill="FFFFFF"/>
          <w:lang w:val="it-IT"/>
        </w:rPr>
        <w:t>ostituzionale</w:t>
      </w:r>
      <w:r w:rsidR="005E6804" w:rsidRPr="004F6E28">
        <w:rPr>
          <w:rFonts w:ascii="Arial" w:hAnsi="Arial" w:cs="Arial"/>
          <w:color w:val="686868"/>
          <w:sz w:val="24"/>
          <w:szCs w:val="24"/>
          <w:shd w:val="clear" w:color="auto" w:fill="FFFFFF"/>
          <w:lang w:val="it-IT"/>
        </w:rPr>
        <w:t xml:space="preserve"> l’</w:t>
      </w:r>
      <w:r w:rsidR="004B24EB" w:rsidRPr="004F6E28">
        <w:rPr>
          <w:rFonts w:ascii="Arial" w:hAnsi="Arial" w:cs="Arial"/>
          <w:color w:val="686868"/>
          <w:sz w:val="24"/>
          <w:szCs w:val="24"/>
          <w:shd w:val="clear" w:color="auto" w:fill="FFFFFF"/>
          <w:lang w:val="it-IT"/>
        </w:rPr>
        <w:t>“</w:t>
      </w:r>
      <w:r w:rsidR="000407DE" w:rsidRPr="004F6E28">
        <w:rPr>
          <w:rFonts w:ascii="Arial" w:hAnsi="Arial" w:cs="Arial"/>
          <w:color w:val="686868"/>
          <w:sz w:val="24"/>
          <w:szCs w:val="24"/>
          <w:shd w:val="clear" w:color="auto" w:fill="FFFFFF"/>
          <w:lang w:val="it-IT"/>
        </w:rPr>
        <w:t>ordine pubblico</w:t>
      </w:r>
      <w:r w:rsidR="004B24EB" w:rsidRPr="004F6E28">
        <w:rPr>
          <w:rFonts w:ascii="Arial" w:hAnsi="Arial" w:cs="Arial"/>
          <w:color w:val="686868"/>
          <w:sz w:val="24"/>
          <w:szCs w:val="24"/>
          <w:shd w:val="clear" w:color="auto" w:fill="FFFFFF"/>
          <w:lang w:val="it-IT"/>
        </w:rPr>
        <w:t>”</w:t>
      </w:r>
      <w:r w:rsidR="00C94956" w:rsidRPr="004F6E28">
        <w:rPr>
          <w:rFonts w:ascii="Arial" w:hAnsi="Arial" w:cs="Arial"/>
          <w:color w:val="686868"/>
          <w:sz w:val="24"/>
          <w:szCs w:val="24"/>
          <w:shd w:val="clear" w:color="auto" w:fill="FFFFFF"/>
          <w:lang w:val="it-IT"/>
        </w:rPr>
        <w:t>,</w:t>
      </w:r>
      <w:r w:rsidR="005A05EB" w:rsidRPr="004F6E28">
        <w:rPr>
          <w:rFonts w:ascii="Arial" w:hAnsi="Arial" w:cs="Arial"/>
          <w:color w:val="686868"/>
          <w:sz w:val="24"/>
          <w:szCs w:val="24"/>
          <w:shd w:val="clear" w:color="auto" w:fill="FFFFFF"/>
          <w:lang w:val="it-IT"/>
        </w:rPr>
        <w:t xml:space="preserve"> </w:t>
      </w:r>
      <w:r w:rsidR="000407DE" w:rsidRPr="004F6E28">
        <w:rPr>
          <w:rFonts w:ascii="Arial" w:hAnsi="Arial" w:cs="Arial"/>
          <w:color w:val="686868"/>
          <w:sz w:val="24"/>
          <w:szCs w:val="24"/>
          <w:shd w:val="clear" w:color="auto" w:fill="FFFFFF"/>
          <w:lang w:val="it-IT"/>
        </w:rPr>
        <w:t xml:space="preserve">optando, ove necessario, </w:t>
      </w:r>
      <w:r w:rsidR="00413FA0">
        <w:rPr>
          <w:rFonts w:ascii="Arial" w:hAnsi="Arial" w:cs="Arial"/>
          <w:color w:val="686868"/>
          <w:sz w:val="24"/>
          <w:szCs w:val="24"/>
          <w:shd w:val="clear" w:color="auto" w:fill="FFFFFF"/>
          <w:lang w:val="it-IT"/>
        </w:rPr>
        <w:t>per una</w:t>
      </w:r>
      <w:r w:rsidR="00C94956" w:rsidRPr="004F6E28">
        <w:rPr>
          <w:rFonts w:ascii="Arial" w:hAnsi="Arial" w:cs="Arial"/>
          <w:color w:val="686868"/>
          <w:sz w:val="24"/>
          <w:szCs w:val="24"/>
          <w:shd w:val="clear" w:color="auto" w:fill="FFFFFF"/>
          <w:lang w:val="it-IT"/>
        </w:rPr>
        <w:t xml:space="preserve"> </w:t>
      </w:r>
      <w:r w:rsidR="00413FA0">
        <w:rPr>
          <w:rFonts w:ascii="Arial" w:hAnsi="Arial" w:cs="Arial"/>
          <w:color w:val="686868"/>
          <w:sz w:val="24"/>
          <w:szCs w:val="24"/>
          <w:shd w:val="clear" w:color="auto" w:fill="FFFFFF"/>
          <w:lang w:val="it-IT"/>
        </w:rPr>
        <w:t xml:space="preserve">sua </w:t>
      </w:r>
      <w:r w:rsidR="00C94956" w:rsidRPr="004F6E28">
        <w:rPr>
          <w:rFonts w:ascii="Arial" w:hAnsi="Arial" w:cs="Arial"/>
          <w:color w:val="686868"/>
          <w:sz w:val="24"/>
          <w:szCs w:val="24"/>
          <w:shd w:val="clear" w:color="auto" w:fill="FFFFFF"/>
          <w:lang w:val="it-IT"/>
        </w:rPr>
        <w:t>scomposizione nei singoli profili di tranquillità pubblica, incolumità, salute pubblica (così</w:t>
      </w:r>
      <w:r w:rsidR="00413FA0">
        <w:rPr>
          <w:rFonts w:ascii="Arial" w:hAnsi="Arial" w:cs="Arial"/>
          <w:color w:val="686868"/>
          <w:sz w:val="24"/>
          <w:szCs w:val="24"/>
          <w:shd w:val="clear" w:color="auto" w:fill="FFFFFF"/>
          <w:lang w:val="it-IT"/>
        </w:rPr>
        <w:t>,</w:t>
      </w:r>
      <w:r w:rsidR="00C94956" w:rsidRPr="004F6E28">
        <w:rPr>
          <w:rFonts w:ascii="Arial" w:hAnsi="Arial" w:cs="Arial"/>
          <w:color w:val="686868"/>
          <w:sz w:val="24"/>
          <w:szCs w:val="24"/>
          <w:shd w:val="clear" w:color="auto" w:fill="FFFFFF"/>
          <w:lang w:val="it-IT"/>
        </w:rPr>
        <w:t xml:space="preserve"> ad esempio</w:t>
      </w:r>
      <w:r w:rsidR="00413FA0">
        <w:rPr>
          <w:rFonts w:ascii="Arial" w:hAnsi="Arial" w:cs="Arial"/>
          <w:color w:val="686868"/>
          <w:sz w:val="24"/>
          <w:szCs w:val="24"/>
          <w:shd w:val="clear" w:color="auto" w:fill="FFFFFF"/>
          <w:lang w:val="it-IT"/>
        </w:rPr>
        <w:t>,</w:t>
      </w:r>
      <w:r w:rsidR="00C94956" w:rsidRPr="004F6E28">
        <w:rPr>
          <w:rFonts w:ascii="Arial" w:hAnsi="Arial" w:cs="Arial"/>
          <w:color w:val="686868"/>
          <w:sz w:val="24"/>
          <w:szCs w:val="24"/>
          <w:shd w:val="clear" w:color="auto" w:fill="FFFFFF"/>
          <w:lang w:val="it-IT"/>
        </w:rPr>
        <w:t xml:space="preserve"> l’art. 16 ammette limiti alla libertà di circolazione per motivi di sanità e sicurezza, l’art. 21 oppone alla libera manifestazione del pensiero il limite del buon costume, e, come g</w:t>
      </w:r>
      <w:r w:rsidR="008E0FF2" w:rsidRPr="004F6E28">
        <w:rPr>
          <w:rFonts w:ascii="Arial" w:hAnsi="Arial" w:cs="Arial"/>
          <w:color w:val="686868"/>
          <w:sz w:val="24"/>
          <w:szCs w:val="24"/>
          <w:shd w:val="clear" w:color="auto" w:fill="FFFFFF"/>
          <w:lang w:val="it-IT"/>
        </w:rPr>
        <w:t>ià ricordato, l’art. 41 presidia</w:t>
      </w:r>
      <w:r w:rsidR="00C94956" w:rsidRPr="004F6E28">
        <w:rPr>
          <w:rFonts w:ascii="Arial" w:hAnsi="Arial" w:cs="Arial"/>
          <w:color w:val="686868"/>
          <w:sz w:val="24"/>
          <w:szCs w:val="24"/>
          <w:shd w:val="clear" w:color="auto" w:fill="FFFFFF"/>
          <w:lang w:val="it-IT"/>
        </w:rPr>
        <w:t xml:space="preserve"> la</w:t>
      </w:r>
      <w:r w:rsidR="008E0FF2" w:rsidRPr="004F6E28">
        <w:rPr>
          <w:rFonts w:ascii="Arial" w:hAnsi="Arial" w:cs="Arial"/>
          <w:color w:val="686868"/>
          <w:sz w:val="24"/>
          <w:szCs w:val="24"/>
          <w:shd w:val="clear" w:color="auto" w:fill="FFFFFF"/>
          <w:lang w:val="it-IT"/>
        </w:rPr>
        <w:t xml:space="preserve"> libera iniziativa economica con i</w:t>
      </w:r>
      <w:r w:rsidR="00C94956" w:rsidRPr="004F6E28">
        <w:rPr>
          <w:rFonts w:ascii="Arial" w:hAnsi="Arial" w:cs="Arial"/>
          <w:color w:val="686868"/>
          <w:sz w:val="24"/>
          <w:szCs w:val="24"/>
          <w:shd w:val="clear" w:color="auto" w:fill="FFFFFF"/>
          <w:lang w:val="it-IT"/>
        </w:rPr>
        <w:t xml:space="preserve"> limiti della salute, del rispetto dell’ambiente, della sicurezza, della libertà, e della dignità umana</w:t>
      </w:r>
      <w:r w:rsidR="00FE4A82">
        <w:rPr>
          <w:rFonts w:ascii="Arial" w:hAnsi="Arial" w:cs="Arial"/>
          <w:color w:val="686868"/>
          <w:sz w:val="24"/>
          <w:szCs w:val="24"/>
          <w:shd w:val="clear" w:color="auto" w:fill="FFFFFF"/>
          <w:lang w:val="it-IT"/>
        </w:rPr>
        <w:t xml:space="preserve"> oltre che</w:t>
      </w:r>
      <w:r w:rsidR="00413FA0">
        <w:rPr>
          <w:rFonts w:ascii="Arial" w:hAnsi="Arial" w:cs="Arial"/>
          <w:color w:val="686868"/>
          <w:sz w:val="24"/>
          <w:szCs w:val="24"/>
          <w:shd w:val="clear" w:color="auto" w:fill="FFFFFF"/>
          <w:lang w:val="it-IT"/>
        </w:rPr>
        <w:t xml:space="preserve"> con il più ampio concetto di</w:t>
      </w:r>
      <w:r w:rsidR="008E0FF2" w:rsidRPr="004F6E28">
        <w:rPr>
          <w:rFonts w:ascii="Arial" w:hAnsi="Arial" w:cs="Arial"/>
          <w:color w:val="686868"/>
          <w:sz w:val="24"/>
          <w:szCs w:val="24"/>
          <w:shd w:val="clear" w:color="auto" w:fill="FFFFFF"/>
          <w:lang w:val="it-IT"/>
        </w:rPr>
        <w:t xml:space="preserve"> “utilità sociale”</w:t>
      </w:r>
      <w:r w:rsidR="00C94956" w:rsidRPr="004F6E28">
        <w:rPr>
          <w:rFonts w:ascii="Arial" w:hAnsi="Arial" w:cs="Arial"/>
          <w:color w:val="686868"/>
          <w:sz w:val="24"/>
          <w:szCs w:val="24"/>
          <w:shd w:val="clear" w:color="auto" w:fill="FFFFFF"/>
          <w:lang w:val="it-IT"/>
        </w:rPr>
        <w:t xml:space="preserve">). </w:t>
      </w:r>
    </w:p>
    <w:p w:rsidR="0031596F" w:rsidRPr="004F6E28" w:rsidRDefault="00A22F3D" w:rsidP="004F6E28">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So</w:t>
      </w:r>
      <w:r w:rsidR="002E797E" w:rsidRPr="004F6E28">
        <w:rPr>
          <w:rFonts w:ascii="Arial" w:hAnsi="Arial" w:cs="Arial"/>
          <w:color w:val="686868"/>
          <w:sz w:val="24"/>
          <w:szCs w:val="24"/>
          <w:shd w:val="clear" w:color="auto" w:fill="FFFFFF"/>
          <w:lang w:val="it-IT"/>
        </w:rPr>
        <w:t>lo con la riforma</w:t>
      </w:r>
      <w:r w:rsidR="00FE4A82">
        <w:rPr>
          <w:rFonts w:ascii="Arial" w:hAnsi="Arial" w:cs="Arial"/>
          <w:color w:val="686868"/>
          <w:sz w:val="24"/>
          <w:szCs w:val="24"/>
          <w:shd w:val="clear" w:color="auto" w:fill="FFFFFF"/>
          <w:lang w:val="it-IT"/>
        </w:rPr>
        <w:t xml:space="preserve"> del titolo V</w:t>
      </w:r>
      <w:r w:rsidR="00AB155C" w:rsidRPr="004F6E28">
        <w:rPr>
          <w:rFonts w:ascii="Arial" w:hAnsi="Arial" w:cs="Arial"/>
          <w:color w:val="686868"/>
          <w:sz w:val="24"/>
          <w:szCs w:val="24"/>
          <w:shd w:val="clear" w:color="auto" w:fill="FFFFFF"/>
          <w:lang w:val="it-IT"/>
        </w:rPr>
        <w:t xml:space="preserve"> ad opera della legge cost</w:t>
      </w:r>
      <w:r w:rsidR="004B5CCD">
        <w:rPr>
          <w:rFonts w:ascii="Arial" w:hAnsi="Arial" w:cs="Arial"/>
          <w:color w:val="686868"/>
          <w:sz w:val="24"/>
          <w:szCs w:val="24"/>
          <w:shd w:val="clear" w:color="auto" w:fill="FFFFFF"/>
          <w:lang w:val="it-IT"/>
        </w:rPr>
        <w:t>ituzionale 18 ottobre 2001</w:t>
      </w:r>
      <w:r w:rsidR="00FE4A82">
        <w:rPr>
          <w:rFonts w:ascii="Arial" w:hAnsi="Arial" w:cs="Arial"/>
          <w:color w:val="686868"/>
          <w:sz w:val="24"/>
          <w:szCs w:val="24"/>
          <w:shd w:val="clear" w:color="auto" w:fill="FFFFFF"/>
          <w:lang w:val="it-IT"/>
        </w:rPr>
        <w:t>,</w:t>
      </w:r>
      <w:r w:rsidR="004B5CCD">
        <w:rPr>
          <w:rFonts w:ascii="Arial" w:hAnsi="Arial" w:cs="Arial"/>
          <w:color w:val="686868"/>
          <w:sz w:val="24"/>
          <w:szCs w:val="24"/>
          <w:shd w:val="clear" w:color="auto" w:fill="FFFFFF"/>
          <w:lang w:val="it-IT"/>
        </w:rPr>
        <w:t xml:space="preserve"> n. 3</w:t>
      </w:r>
      <w:r w:rsidRPr="004F6E28">
        <w:rPr>
          <w:rFonts w:ascii="Arial" w:hAnsi="Arial" w:cs="Arial"/>
          <w:color w:val="686868"/>
          <w:sz w:val="24"/>
          <w:szCs w:val="24"/>
          <w:shd w:val="clear" w:color="auto" w:fill="FFFFFF"/>
          <w:lang w:val="it-IT"/>
        </w:rPr>
        <w:t xml:space="preserve"> l’espressione </w:t>
      </w:r>
      <w:r w:rsidR="002E797E" w:rsidRPr="004F6E28">
        <w:rPr>
          <w:rFonts w:ascii="Arial" w:hAnsi="Arial" w:cs="Arial"/>
          <w:color w:val="686868"/>
          <w:sz w:val="24"/>
          <w:szCs w:val="24"/>
          <w:shd w:val="clear" w:color="auto" w:fill="FFFFFF"/>
          <w:lang w:val="it-IT"/>
        </w:rPr>
        <w:t>ordine pubblico ha fatto la sua</w:t>
      </w:r>
      <w:r w:rsidR="00C94956" w:rsidRPr="004F6E28">
        <w:rPr>
          <w:rFonts w:ascii="Arial" w:hAnsi="Arial" w:cs="Arial"/>
          <w:color w:val="686868"/>
          <w:sz w:val="24"/>
          <w:szCs w:val="24"/>
          <w:shd w:val="clear" w:color="auto" w:fill="FFFFFF"/>
          <w:lang w:val="it-IT"/>
        </w:rPr>
        <w:t xml:space="preserve"> </w:t>
      </w:r>
      <w:r w:rsidRPr="004F6E28">
        <w:rPr>
          <w:rFonts w:ascii="Arial" w:hAnsi="Arial" w:cs="Arial"/>
          <w:color w:val="686868"/>
          <w:sz w:val="24"/>
          <w:szCs w:val="24"/>
          <w:shd w:val="clear" w:color="auto" w:fill="FFFFFF"/>
          <w:lang w:val="it-IT"/>
        </w:rPr>
        <w:t xml:space="preserve">apparizione nell’art. 117 </w:t>
      </w:r>
      <w:proofErr w:type="spellStart"/>
      <w:r w:rsidRPr="004F6E28">
        <w:rPr>
          <w:rFonts w:ascii="Arial" w:hAnsi="Arial" w:cs="Arial"/>
          <w:color w:val="686868"/>
          <w:sz w:val="24"/>
          <w:szCs w:val="24"/>
          <w:shd w:val="clear" w:color="auto" w:fill="FFFFFF"/>
          <w:lang w:val="it-IT"/>
        </w:rPr>
        <w:t>lett</w:t>
      </w:r>
      <w:proofErr w:type="spellEnd"/>
      <w:r w:rsidRPr="004F6E28">
        <w:rPr>
          <w:rFonts w:ascii="Arial" w:hAnsi="Arial" w:cs="Arial"/>
          <w:color w:val="686868"/>
          <w:sz w:val="24"/>
          <w:szCs w:val="24"/>
          <w:shd w:val="clear" w:color="auto" w:fill="FFFFFF"/>
          <w:lang w:val="it-IT"/>
        </w:rPr>
        <w:t>. h)</w:t>
      </w:r>
      <w:r w:rsidR="00FE4A82">
        <w:rPr>
          <w:rFonts w:ascii="Arial" w:hAnsi="Arial" w:cs="Arial"/>
          <w:color w:val="686868"/>
          <w:sz w:val="24"/>
          <w:szCs w:val="24"/>
          <w:shd w:val="clear" w:color="auto" w:fill="FFFFFF"/>
          <w:lang w:val="it-IT"/>
        </w:rPr>
        <w:t xml:space="preserve"> della Costituzione</w:t>
      </w:r>
      <w:r w:rsidRPr="004F6E28">
        <w:rPr>
          <w:rFonts w:ascii="Arial" w:hAnsi="Arial" w:cs="Arial"/>
          <w:color w:val="686868"/>
          <w:sz w:val="24"/>
          <w:szCs w:val="24"/>
          <w:shd w:val="clear" w:color="auto" w:fill="FFFFFF"/>
          <w:lang w:val="it-IT"/>
        </w:rPr>
        <w:t xml:space="preserve">, </w:t>
      </w:r>
      <w:r w:rsidR="00C94956" w:rsidRPr="004F6E28">
        <w:rPr>
          <w:rFonts w:ascii="Arial" w:hAnsi="Arial" w:cs="Arial"/>
          <w:color w:val="686868"/>
          <w:sz w:val="24"/>
          <w:szCs w:val="24"/>
          <w:shd w:val="clear" w:color="auto" w:fill="FFFFFF"/>
          <w:lang w:val="it-IT"/>
        </w:rPr>
        <w:t xml:space="preserve">per altro </w:t>
      </w:r>
      <w:r w:rsidRPr="004F6E28">
        <w:rPr>
          <w:rFonts w:ascii="Arial" w:hAnsi="Arial" w:cs="Arial"/>
          <w:color w:val="686868"/>
          <w:sz w:val="24"/>
          <w:szCs w:val="24"/>
          <w:shd w:val="clear" w:color="auto" w:fill="FFFFFF"/>
          <w:lang w:val="it-IT"/>
        </w:rPr>
        <w:t>con</w:t>
      </w:r>
      <w:r w:rsidR="004B5CCD">
        <w:rPr>
          <w:rFonts w:ascii="Arial" w:hAnsi="Arial" w:cs="Arial"/>
          <w:color w:val="686868"/>
          <w:sz w:val="24"/>
          <w:szCs w:val="24"/>
          <w:shd w:val="clear" w:color="auto" w:fill="FFFFFF"/>
          <w:lang w:val="it-IT"/>
        </w:rPr>
        <w:t xml:space="preserve"> effetti limitati</w:t>
      </w:r>
      <w:r w:rsidRPr="004F6E28">
        <w:rPr>
          <w:rFonts w:ascii="Arial" w:hAnsi="Arial" w:cs="Arial"/>
          <w:color w:val="686868"/>
          <w:sz w:val="24"/>
          <w:szCs w:val="24"/>
          <w:shd w:val="clear" w:color="auto" w:fill="FFFFFF"/>
          <w:lang w:val="it-IT"/>
        </w:rPr>
        <w:t xml:space="preserve"> al riparto di competenze legislative tra Stato e Regioni</w:t>
      </w:r>
      <w:r w:rsidR="00FA11F5" w:rsidRPr="004F6E28">
        <w:rPr>
          <w:rFonts w:ascii="Arial" w:hAnsi="Arial" w:cs="Arial"/>
          <w:color w:val="686868"/>
          <w:sz w:val="24"/>
          <w:szCs w:val="24"/>
          <w:shd w:val="clear" w:color="auto" w:fill="FFFFFF"/>
          <w:lang w:val="it-IT"/>
        </w:rPr>
        <w:t>;</w:t>
      </w:r>
      <w:r w:rsidR="004B5CCD">
        <w:rPr>
          <w:rFonts w:ascii="Arial" w:hAnsi="Arial" w:cs="Arial"/>
          <w:color w:val="686868"/>
          <w:sz w:val="24"/>
          <w:szCs w:val="24"/>
          <w:shd w:val="clear" w:color="auto" w:fill="FFFFFF"/>
          <w:lang w:val="it-IT"/>
        </w:rPr>
        <w:t xml:space="preserve"> in relazione a questo</w:t>
      </w:r>
      <w:r w:rsidR="00FA11F5" w:rsidRPr="004F6E28">
        <w:rPr>
          <w:rFonts w:ascii="Arial" w:hAnsi="Arial" w:cs="Arial"/>
          <w:color w:val="686868"/>
          <w:sz w:val="24"/>
          <w:szCs w:val="24"/>
          <w:shd w:val="clear" w:color="auto" w:fill="FFFFFF"/>
          <w:lang w:val="it-IT"/>
        </w:rPr>
        <w:t xml:space="preserve"> articolo la lettura proposta dall</w:t>
      </w:r>
      <w:r w:rsidR="00B30D0F" w:rsidRPr="004F6E28">
        <w:rPr>
          <w:rFonts w:ascii="Arial" w:hAnsi="Arial" w:cs="Arial"/>
          <w:color w:val="686868"/>
          <w:sz w:val="24"/>
          <w:szCs w:val="24"/>
          <w:shd w:val="clear" w:color="auto" w:fill="FFFFFF"/>
          <w:lang w:val="it-IT"/>
        </w:rPr>
        <w:t>a Corte Costituzionale è stata</w:t>
      </w:r>
      <w:r w:rsidR="008C6F6B" w:rsidRPr="004F6E28">
        <w:rPr>
          <w:rFonts w:ascii="Arial" w:hAnsi="Arial" w:cs="Arial"/>
          <w:color w:val="686868"/>
          <w:sz w:val="24"/>
          <w:szCs w:val="24"/>
          <w:shd w:val="clear" w:color="auto" w:fill="FFFFFF"/>
          <w:lang w:val="it-IT"/>
        </w:rPr>
        <w:t>, tendenzialmente</w:t>
      </w:r>
      <w:r w:rsidR="004B24EB" w:rsidRPr="004F6E28">
        <w:rPr>
          <w:rFonts w:ascii="Arial" w:hAnsi="Arial" w:cs="Arial"/>
          <w:color w:val="686868"/>
          <w:sz w:val="24"/>
          <w:szCs w:val="24"/>
          <w:shd w:val="clear" w:color="auto" w:fill="FFFFFF"/>
          <w:lang w:val="it-IT"/>
        </w:rPr>
        <w:t>,</w:t>
      </w:r>
      <w:r w:rsidR="00AB155C" w:rsidRPr="004F6E28">
        <w:rPr>
          <w:rFonts w:ascii="Arial" w:hAnsi="Arial" w:cs="Arial"/>
          <w:color w:val="686868"/>
          <w:sz w:val="24"/>
          <w:szCs w:val="24"/>
          <w:shd w:val="clear" w:color="auto" w:fill="FFFFFF"/>
          <w:lang w:val="it-IT"/>
        </w:rPr>
        <w:t xml:space="preserve"> </w:t>
      </w:r>
      <w:r w:rsidR="00FE4A82">
        <w:rPr>
          <w:rFonts w:ascii="Arial" w:hAnsi="Arial" w:cs="Arial"/>
          <w:color w:val="686868"/>
          <w:sz w:val="24"/>
          <w:szCs w:val="24"/>
          <w:shd w:val="clear" w:color="auto" w:fill="FFFFFF"/>
          <w:lang w:val="it-IT"/>
        </w:rPr>
        <w:t>in termini</w:t>
      </w:r>
      <w:r w:rsidR="00C94956" w:rsidRPr="004F6E28">
        <w:rPr>
          <w:rFonts w:ascii="Arial" w:hAnsi="Arial" w:cs="Arial"/>
          <w:color w:val="686868"/>
          <w:sz w:val="24"/>
          <w:szCs w:val="24"/>
          <w:shd w:val="clear" w:color="auto" w:fill="FFFFFF"/>
          <w:lang w:val="it-IT"/>
        </w:rPr>
        <w:t xml:space="preserve"> </w:t>
      </w:r>
      <w:r w:rsidR="00FE4A82">
        <w:rPr>
          <w:rFonts w:ascii="Arial" w:hAnsi="Arial" w:cs="Arial"/>
          <w:color w:val="686868"/>
          <w:sz w:val="24"/>
          <w:szCs w:val="24"/>
          <w:shd w:val="clear" w:color="auto" w:fill="FFFFFF"/>
          <w:lang w:val="it-IT"/>
        </w:rPr>
        <w:t>di</w:t>
      </w:r>
      <w:r w:rsidR="00FA11F5" w:rsidRPr="004F6E28">
        <w:rPr>
          <w:rFonts w:ascii="Arial" w:hAnsi="Arial" w:cs="Arial"/>
          <w:color w:val="686868"/>
          <w:sz w:val="24"/>
          <w:szCs w:val="24"/>
          <w:shd w:val="clear" w:color="auto" w:fill="FFFFFF"/>
          <w:lang w:val="it-IT"/>
        </w:rPr>
        <w:t xml:space="preserve"> ordine pubblico materiale</w:t>
      </w:r>
      <w:r w:rsidR="00AB155C" w:rsidRPr="004F6E28">
        <w:rPr>
          <w:rFonts w:ascii="Arial" w:hAnsi="Arial" w:cs="Arial"/>
          <w:color w:val="686868"/>
          <w:sz w:val="24"/>
          <w:szCs w:val="24"/>
          <w:shd w:val="clear" w:color="auto" w:fill="FFFFFF"/>
          <w:lang w:val="it-IT"/>
        </w:rPr>
        <w:t xml:space="preserve"> o amministrativo</w:t>
      </w:r>
      <w:r w:rsidR="00B30D0F" w:rsidRPr="004F6E28">
        <w:rPr>
          <w:rStyle w:val="Rimandonotaapidipagina"/>
          <w:rFonts w:ascii="Arial" w:hAnsi="Arial" w:cs="Arial"/>
          <w:color w:val="686868"/>
          <w:sz w:val="24"/>
          <w:szCs w:val="24"/>
          <w:shd w:val="clear" w:color="auto" w:fill="FFFFFF"/>
          <w:lang w:val="it-IT"/>
        </w:rPr>
        <w:footnoteReference w:id="10"/>
      </w:r>
      <w:r w:rsidR="00FA11F5" w:rsidRPr="004F6E28">
        <w:rPr>
          <w:rFonts w:ascii="Arial" w:hAnsi="Arial" w:cs="Arial"/>
          <w:color w:val="686868"/>
          <w:sz w:val="24"/>
          <w:szCs w:val="24"/>
          <w:shd w:val="clear" w:color="auto" w:fill="FFFFFF"/>
          <w:lang w:val="it-IT"/>
        </w:rPr>
        <w:t>.</w:t>
      </w:r>
    </w:p>
    <w:p w:rsidR="00FE4A82" w:rsidRDefault="00FA11F5" w:rsidP="004F6E28">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Ciò non di</w:t>
      </w:r>
      <w:r w:rsidR="00AB155C" w:rsidRPr="004F6E28">
        <w:rPr>
          <w:rFonts w:ascii="Arial" w:hAnsi="Arial" w:cs="Arial"/>
          <w:color w:val="686868"/>
          <w:sz w:val="24"/>
          <w:szCs w:val="24"/>
          <w:shd w:val="clear" w:color="auto" w:fill="FFFFFF"/>
          <w:lang w:val="it-IT"/>
        </w:rPr>
        <w:t xml:space="preserve"> meno</w:t>
      </w:r>
      <w:r w:rsidR="002E797E" w:rsidRPr="004F6E28">
        <w:rPr>
          <w:rFonts w:ascii="Arial" w:hAnsi="Arial" w:cs="Arial"/>
          <w:color w:val="686868"/>
          <w:sz w:val="24"/>
          <w:szCs w:val="24"/>
          <w:shd w:val="clear" w:color="auto" w:fill="FFFFFF"/>
          <w:lang w:val="it-IT"/>
        </w:rPr>
        <w:t>,</w:t>
      </w:r>
      <w:r w:rsidR="00C94956" w:rsidRPr="004F6E28">
        <w:rPr>
          <w:rFonts w:ascii="Arial" w:hAnsi="Arial" w:cs="Arial"/>
          <w:color w:val="686868"/>
          <w:sz w:val="24"/>
          <w:szCs w:val="24"/>
          <w:shd w:val="clear" w:color="auto" w:fill="FFFFFF"/>
          <w:lang w:val="it-IT"/>
        </w:rPr>
        <w:t xml:space="preserve"> </w:t>
      </w:r>
      <w:r w:rsidR="00AB155C" w:rsidRPr="004F6E28">
        <w:rPr>
          <w:rFonts w:ascii="Arial" w:hAnsi="Arial" w:cs="Arial"/>
          <w:color w:val="686868"/>
          <w:sz w:val="24"/>
          <w:szCs w:val="24"/>
          <w:shd w:val="clear" w:color="auto" w:fill="FFFFFF"/>
          <w:lang w:val="it-IT"/>
        </w:rPr>
        <w:t xml:space="preserve">a prescindere dal travaglio storico che ha attraversato </w:t>
      </w:r>
      <w:r w:rsidR="00EA2245" w:rsidRPr="004F6E28">
        <w:rPr>
          <w:rFonts w:ascii="Arial" w:hAnsi="Arial" w:cs="Arial"/>
          <w:color w:val="686868"/>
          <w:sz w:val="24"/>
          <w:szCs w:val="24"/>
          <w:shd w:val="clear" w:color="auto" w:fill="FFFFFF"/>
          <w:lang w:val="it-IT"/>
        </w:rPr>
        <w:t xml:space="preserve">il </w:t>
      </w:r>
      <w:r w:rsidR="00C94956" w:rsidRPr="004F6E28">
        <w:rPr>
          <w:rFonts w:ascii="Arial" w:hAnsi="Arial" w:cs="Arial"/>
          <w:color w:val="686868"/>
          <w:sz w:val="24"/>
          <w:szCs w:val="24"/>
          <w:shd w:val="clear" w:color="auto" w:fill="FFFFFF"/>
          <w:lang w:val="it-IT"/>
        </w:rPr>
        <w:t xml:space="preserve">nostro </w:t>
      </w:r>
      <w:r w:rsidR="00EA2245" w:rsidRPr="004F6E28">
        <w:rPr>
          <w:rFonts w:ascii="Arial" w:hAnsi="Arial" w:cs="Arial"/>
          <w:color w:val="686868"/>
          <w:sz w:val="24"/>
          <w:szCs w:val="24"/>
          <w:shd w:val="clear" w:color="auto" w:fill="FFFFFF"/>
          <w:lang w:val="it-IT"/>
        </w:rPr>
        <w:t>paese e che si è riflesso in seno al</w:t>
      </w:r>
      <w:r w:rsidRPr="004F6E28">
        <w:rPr>
          <w:rFonts w:ascii="Arial" w:hAnsi="Arial" w:cs="Arial"/>
          <w:color w:val="686868"/>
          <w:sz w:val="24"/>
          <w:szCs w:val="24"/>
          <w:shd w:val="clear" w:color="auto" w:fill="FFFFFF"/>
          <w:lang w:val="it-IT"/>
        </w:rPr>
        <w:t>l’</w:t>
      </w:r>
      <w:r w:rsidR="00EA2245" w:rsidRPr="004F6E28">
        <w:rPr>
          <w:rFonts w:ascii="Arial" w:hAnsi="Arial" w:cs="Arial"/>
          <w:color w:val="686868"/>
          <w:sz w:val="24"/>
          <w:szCs w:val="24"/>
          <w:shd w:val="clear" w:color="auto" w:fill="FFFFFF"/>
          <w:lang w:val="it-IT"/>
        </w:rPr>
        <w:t>assemblea costituente</w:t>
      </w:r>
      <w:r w:rsidR="004B24EB" w:rsidRPr="004F6E28">
        <w:rPr>
          <w:rFonts w:ascii="Arial" w:hAnsi="Arial" w:cs="Arial"/>
          <w:color w:val="686868"/>
          <w:sz w:val="24"/>
          <w:szCs w:val="24"/>
          <w:shd w:val="clear" w:color="auto" w:fill="FFFFFF"/>
          <w:lang w:val="it-IT"/>
        </w:rPr>
        <w:t>,</w:t>
      </w:r>
      <w:r w:rsidR="00EA2245" w:rsidRPr="004F6E28">
        <w:rPr>
          <w:rFonts w:ascii="Arial" w:hAnsi="Arial" w:cs="Arial"/>
          <w:color w:val="686868"/>
          <w:sz w:val="24"/>
          <w:szCs w:val="24"/>
          <w:shd w:val="clear" w:color="auto" w:fill="FFFFFF"/>
          <w:lang w:val="it-IT"/>
        </w:rPr>
        <w:t xml:space="preserve"> nonché</w:t>
      </w:r>
      <w:r w:rsidRPr="004F6E28">
        <w:rPr>
          <w:rFonts w:ascii="Arial" w:hAnsi="Arial" w:cs="Arial"/>
          <w:color w:val="686868"/>
          <w:sz w:val="24"/>
          <w:szCs w:val="24"/>
          <w:shd w:val="clear" w:color="auto" w:fill="FFFFFF"/>
          <w:lang w:val="it-IT"/>
        </w:rPr>
        <w:t xml:space="preserve"> dalle sistematizzazioni </w:t>
      </w:r>
      <w:r w:rsidR="00610BD9" w:rsidRPr="004F6E28">
        <w:rPr>
          <w:rFonts w:ascii="Arial" w:hAnsi="Arial" w:cs="Arial"/>
          <w:color w:val="686868"/>
          <w:sz w:val="24"/>
          <w:szCs w:val="24"/>
          <w:shd w:val="clear" w:color="auto" w:fill="FFFFFF"/>
          <w:lang w:val="it-IT"/>
        </w:rPr>
        <w:t xml:space="preserve">della categoria dell’ordine pubblico </w:t>
      </w:r>
      <w:r w:rsidRPr="004F6E28">
        <w:rPr>
          <w:rFonts w:ascii="Arial" w:hAnsi="Arial" w:cs="Arial"/>
          <w:color w:val="686868"/>
          <w:sz w:val="24"/>
          <w:szCs w:val="24"/>
          <w:shd w:val="clear" w:color="auto" w:fill="FFFFFF"/>
          <w:lang w:val="it-IT"/>
        </w:rPr>
        <w:t>proposte dalla dottrina</w:t>
      </w:r>
      <w:r w:rsidR="008C6F6B" w:rsidRPr="004F6E28">
        <w:rPr>
          <w:rFonts w:ascii="Arial" w:hAnsi="Arial" w:cs="Arial"/>
          <w:color w:val="686868"/>
          <w:sz w:val="24"/>
          <w:szCs w:val="24"/>
          <w:shd w:val="clear" w:color="auto" w:fill="FFFFFF"/>
          <w:lang w:val="it-IT"/>
        </w:rPr>
        <w:t xml:space="preserve"> già prima ricordate</w:t>
      </w:r>
      <w:r w:rsidR="002E797E" w:rsidRPr="004F6E28">
        <w:rPr>
          <w:rFonts w:ascii="Arial" w:hAnsi="Arial" w:cs="Arial"/>
          <w:color w:val="686868"/>
          <w:sz w:val="24"/>
          <w:szCs w:val="24"/>
          <w:shd w:val="clear" w:color="auto" w:fill="FFFFFF"/>
          <w:lang w:val="it-IT"/>
        </w:rPr>
        <w:t>, il formante giurisprudenziale</w:t>
      </w:r>
      <w:r w:rsidR="00FE4A82">
        <w:rPr>
          <w:rFonts w:ascii="Arial" w:hAnsi="Arial" w:cs="Arial"/>
          <w:color w:val="686868"/>
          <w:sz w:val="24"/>
          <w:szCs w:val="24"/>
          <w:shd w:val="clear" w:color="auto" w:fill="FFFFFF"/>
          <w:lang w:val="it-IT"/>
        </w:rPr>
        <w:t>, là dove chiamato a bilanciare diritti fondamentali, ha percorso</w:t>
      </w:r>
      <w:r w:rsidR="008C6F6B" w:rsidRPr="004F6E28">
        <w:rPr>
          <w:rFonts w:ascii="Arial" w:hAnsi="Arial" w:cs="Arial"/>
          <w:color w:val="686868"/>
          <w:sz w:val="24"/>
          <w:szCs w:val="24"/>
          <w:shd w:val="clear" w:color="auto" w:fill="FFFFFF"/>
          <w:lang w:val="it-IT"/>
        </w:rPr>
        <w:t xml:space="preserve"> binari</w:t>
      </w:r>
      <w:r w:rsidR="004B5CCD">
        <w:rPr>
          <w:rFonts w:ascii="Arial" w:hAnsi="Arial" w:cs="Arial"/>
          <w:color w:val="686868"/>
          <w:sz w:val="24"/>
          <w:szCs w:val="24"/>
          <w:shd w:val="clear" w:color="auto" w:fill="FFFFFF"/>
          <w:lang w:val="it-IT"/>
        </w:rPr>
        <w:t xml:space="preserve"> in parte</w:t>
      </w:r>
      <w:r w:rsidR="00DD37BC" w:rsidRPr="004F6E28">
        <w:rPr>
          <w:rFonts w:ascii="Arial" w:hAnsi="Arial" w:cs="Arial"/>
          <w:color w:val="686868"/>
          <w:sz w:val="24"/>
          <w:szCs w:val="24"/>
          <w:shd w:val="clear" w:color="auto" w:fill="FFFFFF"/>
          <w:lang w:val="it-IT"/>
        </w:rPr>
        <w:t xml:space="preserve"> divergenti dalla prudente scelta del legislatore costituente</w:t>
      </w:r>
      <w:r w:rsidR="002E797E" w:rsidRPr="004F6E28">
        <w:rPr>
          <w:rFonts w:ascii="Arial" w:hAnsi="Arial" w:cs="Arial"/>
          <w:color w:val="686868"/>
          <w:sz w:val="24"/>
          <w:szCs w:val="24"/>
          <w:shd w:val="clear" w:color="auto" w:fill="FFFFFF"/>
          <w:lang w:val="it-IT"/>
        </w:rPr>
        <w:t>,</w:t>
      </w:r>
      <w:r w:rsidR="008C6F6B" w:rsidRPr="004F6E28">
        <w:rPr>
          <w:rFonts w:ascii="Arial" w:hAnsi="Arial" w:cs="Arial"/>
          <w:color w:val="686868"/>
          <w:sz w:val="24"/>
          <w:szCs w:val="24"/>
          <w:shd w:val="clear" w:color="auto" w:fill="FFFFFF"/>
          <w:lang w:val="it-IT"/>
        </w:rPr>
        <w:t xml:space="preserve"> in ciò</w:t>
      </w:r>
      <w:r w:rsidR="00FE4A82">
        <w:rPr>
          <w:rFonts w:ascii="Arial" w:hAnsi="Arial" w:cs="Arial"/>
          <w:color w:val="686868"/>
          <w:sz w:val="24"/>
          <w:szCs w:val="24"/>
          <w:shd w:val="clear" w:color="auto" w:fill="FFFFFF"/>
          <w:lang w:val="it-IT"/>
        </w:rPr>
        <w:t xml:space="preserve"> agevolato</w:t>
      </w:r>
      <w:r w:rsidR="00DD37BC" w:rsidRPr="004F6E28">
        <w:rPr>
          <w:rFonts w:ascii="Arial" w:hAnsi="Arial" w:cs="Arial"/>
          <w:color w:val="686868"/>
          <w:sz w:val="24"/>
          <w:szCs w:val="24"/>
          <w:shd w:val="clear" w:color="auto" w:fill="FFFFFF"/>
          <w:lang w:val="it-IT"/>
        </w:rPr>
        <w:t xml:space="preserve"> </w:t>
      </w:r>
      <w:r w:rsidR="002E797E" w:rsidRPr="004F6E28">
        <w:rPr>
          <w:rFonts w:ascii="Arial" w:hAnsi="Arial" w:cs="Arial"/>
          <w:color w:val="686868"/>
          <w:sz w:val="24"/>
          <w:szCs w:val="24"/>
          <w:shd w:val="clear" w:color="auto" w:fill="FFFFFF"/>
          <w:lang w:val="it-IT"/>
        </w:rPr>
        <w:t>dall’inserimento in un contesto sovranazionale di tradizioni</w:t>
      </w:r>
      <w:r w:rsidR="008C6F6B" w:rsidRPr="004F6E28">
        <w:rPr>
          <w:rFonts w:ascii="Arial" w:hAnsi="Arial" w:cs="Arial"/>
          <w:color w:val="686868"/>
          <w:sz w:val="24"/>
          <w:szCs w:val="24"/>
          <w:shd w:val="clear" w:color="auto" w:fill="FFFFFF"/>
          <w:lang w:val="it-IT"/>
        </w:rPr>
        <w:t xml:space="preserve"> costituzionali</w:t>
      </w:r>
      <w:r w:rsidR="002E797E" w:rsidRPr="004F6E28">
        <w:rPr>
          <w:rFonts w:ascii="Arial" w:hAnsi="Arial" w:cs="Arial"/>
          <w:color w:val="686868"/>
          <w:sz w:val="24"/>
          <w:szCs w:val="24"/>
          <w:shd w:val="clear" w:color="auto" w:fill="FFFFFF"/>
          <w:lang w:val="it-IT"/>
        </w:rPr>
        <w:t xml:space="preserve"> comuni agli Stati europei</w:t>
      </w:r>
      <w:r w:rsidR="00DD37BC" w:rsidRPr="004F6E28">
        <w:rPr>
          <w:rFonts w:ascii="Arial" w:hAnsi="Arial" w:cs="Arial"/>
          <w:color w:val="686868"/>
          <w:sz w:val="24"/>
          <w:szCs w:val="24"/>
          <w:shd w:val="clear" w:color="auto" w:fill="FFFFFF"/>
          <w:lang w:val="it-IT"/>
        </w:rPr>
        <w:t>. I</w:t>
      </w:r>
      <w:r w:rsidR="002E797E" w:rsidRPr="004F6E28">
        <w:rPr>
          <w:rFonts w:ascii="Arial" w:hAnsi="Arial" w:cs="Arial"/>
          <w:color w:val="686868"/>
          <w:sz w:val="24"/>
          <w:szCs w:val="24"/>
          <w:shd w:val="clear" w:color="auto" w:fill="FFFFFF"/>
          <w:lang w:val="it-IT"/>
        </w:rPr>
        <w:t>l</w:t>
      </w:r>
      <w:r w:rsidR="00AB155C" w:rsidRPr="004F6E28">
        <w:rPr>
          <w:rFonts w:ascii="Arial" w:hAnsi="Arial" w:cs="Arial"/>
          <w:color w:val="686868"/>
          <w:sz w:val="24"/>
          <w:szCs w:val="24"/>
          <w:shd w:val="clear" w:color="auto" w:fill="FFFFFF"/>
          <w:lang w:val="it-IT"/>
        </w:rPr>
        <w:t xml:space="preserve"> giudice delle leggi</w:t>
      </w:r>
      <w:r w:rsidR="002E797E" w:rsidRPr="004F6E28">
        <w:rPr>
          <w:rFonts w:ascii="Arial" w:hAnsi="Arial" w:cs="Arial"/>
          <w:color w:val="686868"/>
          <w:sz w:val="24"/>
          <w:szCs w:val="24"/>
          <w:shd w:val="clear" w:color="auto" w:fill="FFFFFF"/>
          <w:lang w:val="it-IT"/>
        </w:rPr>
        <w:t xml:space="preserve"> ha</w:t>
      </w:r>
      <w:r w:rsidR="00DD37BC" w:rsidRPr="004F6E28">
        <w:rPr>
          <w:rFonts w:ascii="Arial" w:hAnsi="Arial" w:cs="Arial"/>
          <w:color w:val="686868"/>
          <w:sz w:val="24"/>
          <w:szCs w:val="24"/>
          <w:shd w:val="clear" w:color="auto" w:fill="FFFFFF"/>
          <w:lang w:val="it-IT"/>
        </w:rPr>
        <w:t xml:space="preserve"> dovuto</w:t>
      </w:r>
      <w:r w:rsidR="005E6804" w:rsidRPr="004F6E28">
        <w:rPr>
          <w:rFonts w:ascii="Arial" w:hAnsi="Arial" w:cs="Arial"/>
          <w:color w:val="686868"/>
          <w:sz w:val="24"/>
          <w:szCs w:val="24"/>
          <w:shd w:val="clear" w:color="auto" w:fill="FFFFFF"/>
          <w:lang w:val="it-IT"/>
        </w:rPr>
        <w:t xml:space="preserve"> infatti</w:t>
      </w:r>
      <w:r w:rsidR="002E797E" w:rsidRPr="004F6E28">
        <w:rPr>
          <w:rFonts w:ascii="Arial" w:hAnsi="Arial" w:cs="Arial"/>
          <w:color w:val="686868"/>
          <w:sz w:val="24"/>
          <w:szCs w:val="24"/>
          <w:shd w:val="clear" w:color="auto" w:fill="FFFFFF"/>
          <w:lang w:val="it-IT"/>
        </w:rPr>
        <w:t xml:space="preserve"> </w:t>
      </w:r>
      <w:r w:rsidRPr="004F6E28">
        <w:rPr>
          <w:rFonts w:ascii="Arial" w:hAnsi="Arial" w:cs="Arial"/>
          <w:color w:val="686868"/>
          <w:sz w:val="24"/>
          <w:szCs w:val="24"/>
          <w:shd w:val="clear" w:color="auto" w:fill="FFFFFF"/>
          <w:lang w:val="it-IT"/>
        </w:rPr>
        <w:t>confrontarsi con la realtà sociale</w:t>
      </w:r>
      <w:r w:rsidR="006A59AA" w:rsidRPr="004F6E28">
        <w:rPr>
          <w:rFonts w:ascii="Arial" w:hAnsi="Arial" w:cs="Arial"/>
          <w:color w:val="686868"/>
          <w:sz w:val="24"/>
          <w:szCs w:val="24"/>
          <w:shd w:val="clear" w:color="auto" w:fill="FFFFFF"/>
          <w:lang w:val="it-IT"/>
        </w:rPr>
        <w:t xml:space="preserve"> ed economica</w:t>
      </w:r>
      <w:r w:rsidR="0058492F" w:rsidRPr="004F6E28">
        <w:rPr>
          <w:rFonts w:ascii="Arial" w:hAnsi="Arial" w:cs="Arial"/>
          <w:color w:val="686868"/>
          <w:sz w:val="24"/>
          <w:szCs w:val="24"/>
          <w:shd w:val="clear" w:color="auto" w:fill="FFFFFF"/>
          <w:lang w:val="it-IT"/>
        </w:rPr>
        <w:t xml:space="preserve"> </w:t>
      </w:r>
      <w:r w:rsidR="00DD37BC" w:rsidRPr="004F6E28">
        <w:rPr>
          <w:rFonts w:ascii="Arial" w:hAnsi="Arial" w:cs="Arial"/>
          <w:color w:val="686868"/>
          <w:sz w:val="24"/>
          <w:szCs w:val="24"/>
          <w:shd w:val="clear" w:color="auto" w:fill="FFFFFF"/>
          <w:lang w:val="it-IT"/>
        </w:rPr>
        <w:t>dell’epoca repubblicana</w:t>
      </w:r>
      <w:r w:rsidR="002E797E" w:rsidRPr="004F6E28">
        <w:rPr>
          <w:rFonts w:ascii="Arial" w:hAnsi="Arial" w:cs="Arial"/>
          <w:color w:val="686868"/>
          <w:sz w:val="24"/>
          <w:szCs w:val="24"/>
          <w:shd w:val="clear" w:color="auto" w:fill="FFFFFF"/>
          <w:lang w:val="it-IT"/>
        </w:rPr>
        <w:t xml:space="preserve"> </w:t>
      </w:r>
      <w:r w:rsidR="00DD37BC" w:rsidRPr="004F6E28">
        <w:rPr>
          <w:rFonts w:ascii="Arial" w:hAnsi="Arial" w:cs="Arial"/>
          <w:color w:val="686868"/>
          <w:sz w:val="24"/>
          <w:szCs w:val="24"/>
          <w:shd w:val="clear" w:color="auto" w:fill="FFFFFF"/>
          <w:lang w:val="it-IT"/>
        </w:rPr>
        <w:t xml:space="preserve">e farsi punto di equilibrio di conflitti che hanno visto contrapposti non tanto o non solo </w:t>
      </w:r>
      <w:r w:rsidR="005E6804" w:rsidRPr="004F6E28">
        <w:rPr>
          <w:rFonts w:ascii="Arial" w:hAnsi="Arial" w:cs="Arial"/>
          <w:color w:val="686868"/>
          <w:sz w:val="24"/>
          <w:szCs w:val="24"/>
          <w:shd w:val="clear" w:color="auto" w:fill="FFFFFF"/>
          <w:lang w:val="it-IT"/>
        </w:rPr>
        <w:t xml:space="preserve">lo </w:t>
      </w:r>
      <w:r w:rsidR="00DD37BC" w:rsidRPr="004F6E28">
        <w:rPr>
          <w:rFonts w:ascii="Arial" w:hAnsi="Arial" w:cs="Arial"/>
          <w:color w:val="686868"/>
          <w:sz w:val="24"/>
          <w:szCs w:val="24"/>
          <w:shd w:val="clear" w:color="auto" w:fill="FFFFFF"/>
          <w:lang w:val="it-IT"/>
        </w:rPr>
        <w:t xml:space="preserve">Stato e </w:t>
      </w:r>
      <w:r w:rsidR="005E6804" w:rsidRPr="004F6E28">
        <w:rPr>
          <w:rFonts w:ascii="Arial" w:hAnsi="Arial" w:cs="Arial"/>
          <w:color w:val="686868"/>
          <w:sz w:val="24"/>
          <w:szCs w:val="24"/>
          <w:shd w:val="clear" w:color="auto" w:fill="FFFFFF"/>
          <w:lang w:val="it-IT"/>
        </w:rPr>
        <w:t xml:space="preserve">il </w:t>
      </w:r>
      <w:r w:rsidR="00DD37BC" w:rsidRPr="004F6E28">
        <w:rPr>
          <w:rFonts w:ascii="Arial" w:hAnsi="Arial" w:cs="Arial"/>
          <w:color w:val="686868"/>
          <w:sz w:val="24"/>
          <w:szCs w:val="24"/>
          <w:shd w:val="clear" w:color="auto" w:fill="FFFFFF"/>
          <w:lang w:val="it-IT"/>
        </w:rPr>
        <w:t xml:space="preserve">cittadino quanto </w:t>
      </w:r>
      <w:r w:rsidR="004B5CCD">
        <w:rPr>
          <w:rFonts w:ascii="Arial" w:hAnsi="Arial" w:cs="Arial"/>
          <w:color w:val="686868"/>
          <w:sz w:val="24"/>
          <w:szCs w:val="24"/>
          <w:shd w:val="clear" w:color="auto" w:fill="FFFFFF"/>
          <w:lang w:val="it-IT"/>
        </w:rPr>
        <w:t xml:space="preserve">i </w:t>
      </w:r>
      <w:r w:rsidR="00DD37BC" w:rsidRPr="004F6E28">
        <w:rPr>
          <w:rFonts w:ascii="Arial" w:hAnsi="Arial" w:cs="Arial"/>
          <w:color w:val="686868"/>
          <w:sz w:val="24"/>
          <w:szCs w:val="24"/>
          <w:shd w:val="clear" w:color="auto" w:fill="FFFFFF"/>
          <w:lang w:val="it-IT"/>
        </w:rPr>
        <w:t>valori ugualmente costituzionalmente protetti</w:t>
      </w:r>
      <w:r w:rsidR="008C6F6B" w:rsidRPr="004F6E28">
        <w:rPr>
          <w:rFonts w:ascii="Arial" w:hAnsi="Arial" w:cs="Arial"/>
          <w:color w:val="686868"/>
          <w:sz w:val="24"/>
          <w:szCs w:val="24"/>
          <w:shd w:val="clear" w:color="auto" w:fill="FFFFFF"/>
          <w:lang w:val="it-IT"/>
        </w:rPr>
        <w:t xml:space="preserve"> e ricono</w:t>
      </w:r>
      <w:r w:rsidR="005E6804" w:rsidRPr="004F6E28">
        <w:rPr>
          <w:rFonts w:ascii="Arial" w:hAnsi="Arial" w:cs="Arial"/>
          <w:color w:val="686868"/>
          <w:sz w:val="24"/>
          <w:szCs w:val="24"/>
          <w:shd w:val="clear" w:color="auto" w:fill="FFFFFF"/>
          <w:lang w:val="it-IT"/>
        </w:rPr>
        <w:t>sciuti come fondamentali in capo ad</w:t>
      </w:r>
      <w:r w:rsidR="004B5CCD">
        <w:rPr>
          <w:rFonts w:ascii="Arial" w:hAnsi="Arial" w:cs="Arial"/>
          <w:color w:val="686868"/>
          <w:sz w:val="24"/>
          <w:szCs w:val="24"/>
          <w:shd w:val="clear" w:color="auto" w:fill="FFFFFF"/>
          <w:lang w:val="it-IT"/>
        </w:rPr>
        <w:t xml:space="preserve"> ogni</w:t>
      </w:r>
      <w:r w:rsidR="008C6F6B" w:rsidRPr="004F6E28">
        <w:rPr>
          <w:rFonts w:ascii="Arial" w:hAnsi="Arial" w:cs="Arial"/>
          <w:color w:val="686868"/>
          <w:sz w:val="24"/>
          <w:szCs w:val="24"/>
          <w:shd w:val="clear" w:color="auto" w:fill="FFFFFF"/>
          <w:lang w:val="it-IT"/>
        </w:rPr>
        <w:t xml:space="preserve"> singo</w:t>
      </w:r>
      <w:r w:rsidR="005E6804" w:rsidRPr="004F6E28">
        <w:rPr>
          <w:rFonts w:ascii="Arial" w:hAnsi="Arial" w:cs="Arial"/>
          <w:color w:val="686868"/>
          <w:sz w:val="24"/>
          <w:szCs w:val="24"/>
          <w:shd w:val="clear" w:color="auto" w:fill="FFFFFF"/>
          <w:lang w:val="it-IT"/>
        </w:rPr>
        <w:t xml:space="preserve">lo soggetto </w:t>
      </w:r>
      <w:r w:rsidR="004B5CCD">
        <w:rPr>
          <w:rFonts w:ascii="Arial" w:hAnsi="Arial" w:cs="Arial"/>
          <w:color w:val="686868"/>
          <w:sz w:val="24"/>
          <w:szCs w:val="24"/>
          <w:shd w:val="clear" w:color="auto" w:fill="FFFFFF"/>
          <w:lang w:val="it-IT"/>
        </w:rPr>
        <w:t xml:space="preserve">dell’ordinamento </w:t>
      </w:r>
      <w:r w:rsidR="00FE4A82">
        <w:rPr>
          <w:rFonts w:ascii="Arial" w:hAnsi="Arial" w:cs="Arial"/>
          <w:color w:val="686868"/>
          <w:sz w:val="24"/>
          <w:szCs w:val="24"/>
          <w:shd w:val="clear" w:color="auto" w:fill="FFFFFF"/>
          <w:lang w:val="it-IT"/>
        </w:rPr>
        <w:t xml:space="preserve">e </w:t>
      </w:r>
      <w:r w:rsidR="004B5CCD">
        <w:rPr>
          <w:rFonts w:ascii="Arial" w:hAnsi="Arial" w:cs="Arial"/>
          <w:color w:val="686868"/>
          <w:sz w:val="24"/>
          <w:szCs w:val="24"/>
          <w:shd w:val="clear" w:color="auto" w:fill="FFFFFF"/>
          <w:lang w:val="it-IT"/>
        </w:rPr>
        <w:t xml:space="preserve">che, calati nel contesto sociale, facilmente comportano lo scontro di simmetriche quanto contrapposte prerogative. </w:t>
      </w:r>
    </w:p>
    <w:p w:rsidR="006A59AA" w:rsidRPr="004F6E28" w:rsidRDefault="004B5CCD" w:rsidP="004F6E28">
      <w:pPr>
        <w:jc w:val="both"/>
        <w:rPr>
          <w:rFonts w:ascii="Arial" w:hAnsi="Arial" w:cs="Arial"/>
          <w:color w:val="686868"/>
          <w:sz w:val="24"/>
          <w:szCs w:val="24"/>
          <w:shd w:val="clear" w:color="auto" w:fill="FFFFFF"/>
          <w:lang w:val="it-IT"/>
        </w:rPr>
      </w:pPr>
      <w:r>
        <w:rPr>
          <w:rFonts w:ascii="Arial" w:hAnsi="Arial" w:cs="Arial"/>
          <w:color w:val="686868"/>
          <w:sz w:val="24"/>
          <w:szCs w:val="24"/>
          <w:shd w:val="clear" w:color="auto" w:fill="FFFFFF"/>
          <w:lang w:val="it-IT"/>
        </w:rPr>
        <w:t>L’</w:t>
      </w:r>
      <w:r w:rsidR="00DD37BC" w:rsidRPr="004F6E28">
        <w:rPr>
          <w:rFonts w:ascii="Arial" w:hAnsi="Arial" w:cs="Arial"/>
          <w:color w:val="686868"/>
          <w:sz w:val="24"/>
          <w:szCs w:val="24"/>
          <w:shd w:val="clear" w:color="auto" w:fill="FFFFFF"/>
          <w:lang w:val="it-IT"/>
        </w:rPr>
        <w:t xml:space="preserve">opera di equilibrio è stata gestita </w:t>
      </w:r>
      <w:r w:rsidR="008C6F6B" w:rsidRPr="004F6E28">
        <w:rPr>
          <w:rFonts w:ascii="Arial" w:hAnsi="Arial" w:cs="Arial"/>
          <w:color w:val="686868"/>
          <w:sz w:val="24"/>
          <w:szCs w:val="24"/>
          <w:shd w:val="clear" w:color="auto" w:fill="FFFFFF"/>
          <w:lang w:val="it-IT"/>
        </w:rPr>
        <w:t xml:space="preserve">dalla Corte </w:t>
      </w:r>
      <w:r w:rsidR="00DD37BC" w:rsidRPr="004F6E28">
        <w:rPr>
          <w:rFonts w:ascii="Arial" w:hAnsi="Arial" w:cs="Arial"/>
          <w:color w:val="686868"/>
          <w:sz w:val="24"/>
          <w:szCs w:val="24"/>
          <w:shd w:val="clear" w:color="auto" w:fill="FFFFFF"/>
          <w:lang w:val="it-IT"/>
        </w:rPr>
        <w:t>dando spazio</w:t>
      </w:r>
      <w:r w:rsidR="008C6F6B" w:rsidRPr="004F6E28">
        <w:rPr>
          <w:rFonts w:ascii="Arial" w:hAnsi="Arial" w:cs="Arial"/>
          <w:color w:val="686868"/>
          <w:sz w:val="24"/>
          <w:szCs w:val="24"/>
          <w:shd w:val="clear" w:color="auto" w:fill="FFFFFF"/>
          <w:lang w:val="it-IT"/>
        </w:rPr>
        <w:t>,</w:t>
      </w:r>
      <w:r>
        <w:rPr>
          <w:rFonts w:ascii="Arial" w:hAnsi="Arial" w:cs="Arial"/>
          <w:color w:val="686868"/>
          <w:sz w:val="24"/>
          <w:szCs w:val="24"/>
          <w:shd w:val="clear" w:color="auto" w:fill="FFFFFF"/>
          <w:lang w:val="it-IT"/>
        </w:rPr>
        <w:t xml:space="preserve"> </w:t>
      </w:r>
      <w:r w:rsidR="006D4FCA" w:rsidRPr="004F6E28">
        <w:rPr>
          <w:rFonts w:ascii="Arial" w:hAnsi="Arial" w:cs="Arial"/>
          <w:color w:val="686868"/>
          <w:sz w:val="24"/>
          <w:szCs w:val="24"/>
          <w:shd w:val="clear" w:color="auto" w:fill="FFFFFF"/>
          <w:lang w:val="it-IT"/>
        </w:rPr>
        <w:t>senza eccessivi timori</w:t>
      </w:r>
      <w:r w:rsidR="008C6F6B" w:rsidRPr="004F6E28">
        <w:rPr>
          <w:rFonts w:ascii="Arial" w:hAnsi="Arial" w:cs="Arial"/>
          <w:color w:val="686868"/>
          <w:sz w:val="24"/>
          <w:szCs w:val="24"/>
          <w:shd w:val="clear" w:color="auto" w:fill="FFFFFF"/>
          <w:lang w:val="it-IT"/>
        </w:rPr>
        <w:t>,</w:t>
      </w:r>
      <w:r w:rsidR="002E797E" w:rsidRPr="004F6E28">
        <w:rPr>
          <w:rFonts w:ascii="Arial" w:hAnsi="Arial" w:cs="Arial"/>
          <w:color w:val="686868"/>
          <w:sz w:val="24"/>
          <w:szCs w:val="24"/>
          <w:shd w:val="clear" w:color="auto" w:fill="FFFFFF"/>
          <w:lang w:val="it-IT"/>
        </w:rPr>
        <w:t xml:space="preserve"> </w:t>
      </w:r>
      <w:r w:rsidR="00DD37BC" w:rsidRPr="004F6E28">
        <w:rPr>
          <w:rFonts w:ascii="Arial" w:hAnsi="Arial" w:cs="Arial"/>
          <w:color w:val="686868"/>
          <w:sz w:val="24"/>
          <w:szCs w:val="24"/>
          <w:shd w:val="clear" w:color="auto" w:fill="FFFFFF"/>
          <w:lang w:val="it-IT"/>
        </w:rPr>
        <w:t xml:space="preserve">ad </w:t>
      </w:r>
      <w:r w:rsidR="00610BD9" w:rsidRPr="004F6E28">
        <w:rPr>
          <w:rFonts w:ascii="Arial" w:hAnsi="Arial" w:cs="Arial"/>
          <w:color w:val="686868"/>
          <w:sz w:val="24"/>
          <w:szCs w:val="24"/>
          <w:shd w:val="clear" w:color="auto" w:fill="FFFFFF"/>
          <w:lang w:val="it-IT"/>
        </w:rPr>
        <w:t>un</w:t>
      </w:r>
      <w:r w:rsidR="00EA2245" w:rsidRPr="004F6E28">
        <w:rPr>
          <w:rFonts w:ascii="Arial" w:hAnsi="Arial" w:cs="Arial"/>
          <w:color w:val="686868"/>
          <w:sz w:val="24"/>
          <w:szCs w:val="24"/>
          <w:shd w:val="clear" w:color="auto" w:fill="FFFFFF"/>
          <w:lang w:val="it-IT"/>
        </w:rPr>
        <w:t xml:space="preserve"> concetto </w:t>
      </w:r>
      <w:r w:rsidR="00DD37BC" w:rsidRPr="004F6E28">
        <w:rPr>
          <w:rFonts w:ascii="Arial" w:hAnsi="Arial" w:cs="Arial"/>
          <w:color w:val="686868"/>
          <w:sz w:val="24"/>
          <w:szCs w:val="24"/>
          <w:shd w:val="clear" w:color="auto" w:fill="FFFFFF"/>
          <w:lang w:val="it-IT"/>
        </w:rPr>
        <w:t xml:space="preserve">pubblicistico </w:t>
      </w:r>
      <w:r w:rsidR="005E6804" w:rsidRPr="004F6E28">
        <w:rPr>
          <w:rFonts w:ascii="Arial" w:hAnsi="Arial" w:cs="Arial"/>
          <w:color w:val="686868"/>
          <w:sz w:val="24"/>
          <w:szCs w:val="24"/>
          <w:shd w:val="clear" w:color="auto" w:fill="FFFFFF"/>
          <w:lang w:val="it-IT"/>
        </w:rPr>
        <w:t xml:space="preserve">ed al tempo stesso ideale </w:t>
      </w:r>
      <w:r w:rsidR="00EA2245" w:rsidRPr="004F6E28">
        <w:rPr>
          <w:rFonts w:ascii="Arial" w:hAnsi="Arial" w:cs="Arial"/>
          <w:color w:val="686868"/>
          <w:sz w:val="24"/>
          <w:szCs w:val="24"/>
          <w:shd w:val="clear" w:color="auto" w:fill="FFFFFF"/>
          <w:lang w:val="it-IT"/>
        </w:rPr>
        <w:t>di ord</w:t>
      </w:r>
      <w:r w:rsidR="005E6804" w:rsidRPr="004F6E28">
        <w:rPr>
          <w:rFonts w:ascii="Arial" w:hAnsi="Arial" w:cs="Arial"/>
          <w:color w:val="686868"/>
          <w:sz w:val="24"/>
          <w:szCs w:val="24"/>
          <w:shd w:val="clear" w:color="auto" w:fill="FFFFFF"/>
          <w:lang w:val="it-IT"/>
        </w:rPr>
        <w:t>ine pubblico</w:t>
      </w:r>
      <w:r w:rsidR="006D4FCA" w:rsidRPr="004F6E28">
        <w:rPr>
          <w:rFonts w:ascii="Arial" w:hAnsi="Arial" w:cs="Arial"/>
          <w:color w:val="686868"/>
          <w:sz w:val="24"/>
          <w:szCs w:val="24"/>
          <w:shd w:val="clear" w:color="auto" w:fill="FFFFFF"/>
          <w:lang w:val="it-IT"/>
        </w:rPr>
        <w:t>,</w:t>
      </w:r>
      <w:r w:rsidR="00DD37BC" w:rsidRPr="004F6E28">
        <w:rPr>
          <w:rFonts w:ascii="Arial" w:hAnsi="Arial" w:cs="Arial"/>
          <w:color w:val="686868"/>
          <w:sz w:val="24"/>
          <w:szCs w:val="24"/>
          <w:shd w:val="clear" w:color="auto" w:fill="FFFFFF"/>
          <w:lang w:val="it-IT"/>
        </w:rPr>
        <w:t xml:space="preserve"> non autoritario</w:t>
      </w:r>
      <w:r w:rsidR="008C6F6B" w:rsidRPr="004F6E28">
        <w:rPr>
          <w:rFonts w:ascii="Arial" w:hAnsi="Arial" w:cs="Arial"/>
          <w:color w:val="686868"/>
          <w:sz w:val="24"/>
          <w:szCs w:val="24"/>
          <w:shd w:val="clear" w:color="auto" w:fill="FFFFFF"/>
          <w:lang w:val="it-IT"/>
        </w:rPr>
        <w:t>,</w:t>
      </w:r>
      <w:r>
        <w:rPr>
          <w:rFonts w:ascii="Arial" w:hAnsi="Arial" w:cs="Arial"/>
          <w:color w:val="686868"/>
          <w:sz w:val="24"/>
          <w:szCs w:val="24"/>
          <w:shd w:val="clear" w:color="auto" w:fill="FFFFFF"/>
          <w:lang w:val="it-IT"/>
        </w:rPr>
        <w:t xml:space="preserve"> in quanto letto</w:t>
      </w:r>
      <w:r w:rsidR="00610BD9" w:rsidRPr="004F6E28">
        <w:rPr>
          <w:rFonts w:ascii="Arial" w:hAnsi="Arial" w:cs="Arial"/>
          <w:color w:val="686868"/>
          <w:sz w:val="24"/>
          <w:szCs w:val="24"/>
          <w:shd w:val="clear" w:color="auto" w:fill="FFFFFF"/>
          <w:lang w:val="it-IT"/>
        </w:rPr>
        <w:t xml:space="preserve"> </w:t>
      </w:r>
      <w:r>
        <w:rPr>
          <w:rFonts w:ascii="Arial" w:hAnsi="Arial" w:cs="Arial"/>
          <w:color w:val="686868"/>
          <w:sz w:val="24"/>
          <w:szCs w:val="24"/>
          <w:shd w:val="clear" w:color="auto" w:fill="FFFFFF"/>
          <w:lang w:val="it-IT"/>
        </w:rPr>
        <w:t>come</w:t>
      </w:r>
      <w:r w:rsidR="006A59AA" w:rsidRPr="004F6E28">
        <w:rPr>
          <w:rFonts w:ascii="Arial" w:hAnsi="Arial" w:cs="Arial"/>
          <w:color w:val="686868"/>
          <w:sz w:val="24"/>
          <w:szCs w:val="24"/>
          <w:shd w:val="clear" w:color="auto" w:fill="FFFFFF"/>
          <w:lang w:val="it-IT"/>
        </w:rPr>
        <w:t xml:space="preserve"> </w:t>
      </w:r>
      <w:r>
        <w:rPr>
          <w:rFonts w:ascii="Arial" w:hAnsi="Arial" w:cs="Arial"/>
          <w:color w:val="686868"/>
          <w:sz w:val="24"/>
          <w:szCs w:val="24"/>
          <w:shd w:val="clear" w:color="auto" w:fill="FFFFFF"/>
          <w:lang w:val="it-IT"/>
        </w:rPr>
        <w:t>insieme di valori democratici e</w:t>
      </w:r>
      <w:r w:rsidR="00610BD9" w:rsidRPr="004F6E28">
        <w:rPr>
          <w:rFonts w:ascii="Arial" w:hAnsi="Arial" w:cs="Arial"/>
          <w:color w:val="686868"/>
          <w:sz w:val="24"/>
          <w:szCs w:val="24"/>
          <w:shd w:val="clear" w:color="auto" w:fill="FFFFFF"/>
          <w:lang w:val="it-IT"/>
        </w:rPr>
        <w:t xml:space="preserve"> </w:t>
      </w:r>
      <w:r w:rsidR="00DD37BC" w:rsidRPr="004F6E28">
        <w:rPr>
          <w:rFonts w:ascii="Arial" w:hAnsi="Arial" w:cs="Arial"/>
          <w:color w:val="686868"/>
          <w:sz w:val="24"/>
          <w:szCs w:val="24"/>
          <w:shd w:val="clear" w:color="auto" w:fill="FFFFFF"/>
          <w:lang w:val="it-IT"/>
        </w:rPr>
        <w:t>precondizione che lo</w:t>
      </w:r>
      <w:r w:rsidR="006A59AA" w:rsidRPr="004F6E28">
        <w:rPr>
          <w:rFonts w:ascii="Arial" w:hAnsi="Arial" w:cs="Arial"/>
          <w:color w:val="686868"/>
          <w:sz w:val="24"/>
          <w:szCs w:val="24"/>
          <w:shd w:val="clear" w:color="auto" w:fill="FFFFFF"/>
          <w:lang w:val="it-IT"/>
        </w:rPr>
        <w:t xml:space="preserve"> Stato</w:t>
      </w:r>
      <w:r>
        <w:rPr>
          <w:rFonts w:ascii="Arial" w:hAnsi="Arial" w:cs="Arial"/>
          <w:color w:val="686868"/>
          <w:sz w:val="24"/>
          <w:szCs w:val="24"/>
          <w:shd w:val="clear" w:color="auto" w:fill="FFFFFF"/>
          <w:lang w:val="it-IT"/>
        </w:rPr>
        <w:t xml:space="preserve"> moderno</w:t>
      </w:r>
      <w:r w:rsidR="006A59AA" w:rsidRPr="004F6E28">
        <w:rPr>
          <w:rFonts w:ascii="Arial" w:hAnsi="Arial" w:cs="Arial"/>
          <w:color w:val="686868"/>
          <w:sz w:val="24"/>
          <w:szCs w:val="24"/>
          <w:shd w:val="clear" w:color="auto" w:fill="FFFFFF"/>
          <w:lang w:val="it-IT"/>
        </w:rPr>
        <w:t xml:space="preserve"> deve garantire</w:t>
      </w:r>
      <w:r w:rsidR="00EA2245" w:rsidRPr="004F6E28">
        <w:rPr>
          <w:rFonts w:ascii="Arial" w:hAnsi="Arial" w:cs="Arial"/>
          <w:color w:val="686868"/>
          <w:sz w:val="24"/>
          <w:szCs w:val="24"/>
          <w:shd w:val="clear" w:color="auto" w:fill="FFFFFF"/>
          <w:lang w:val="it-IT"/>
        </w:rPr>
        <w:t xml:space="preserve"> per </w:t>
      </w:r>
      <w:r w:rsidR="00610BD9" w:rsidRPr="004F6E28">
        <w:rPr>
          <w:rFonts w:ascii="Arial" w:hAnsi="Arial" w:cs="Arial"/>
          <w:color w:val="686868"/>
          <w:sz w:val="24"/>
          <w:szCs w:val="24"/>
          <w:shd w:val="clear" w:color="auto" w:fill="FFFFFF"/>
          <w:lang w:val="it-IT"/>
        </w:rPr>
        <w:t>consentire</w:t>
      </w:r>
      <w:r w:rsidR="00FE4A82">
        <w:rPr>
          <w:rFonts w:ascii="Arial" w:hAnsi="Arial" w:cs="Arial"/>
          <w:color w:val="686868"/>
          <w:sz w:val="24"/>
          <w:szCs w:val="24"/>
          <w:shd w:val="clear" w:color="auto" w:fill="FFFFFF"/>
          <w:lang w:val="it-IT"/>
        </w:rPr>
        <w:t>,</w:t>
      </w:r>
      <w:r w:rsidR="00610BD9" w:rsidRPr="004F6E28">
        <w:rPr>
          <w:rFonts w:ascii="Arial" w:hAnsi="Arial" w:cs="Arial"/>
          <w:color w:val="686868"/>
          <w:sz w:val="24"/>
          <w:szCs w:val="24"/>
          <w:shd w:val="clear" w:color="auto" w:fill="FFFFFF"/>
          <w:lang w:val="it-IT"/>
        </w:rPr>
        <w:t xml:space="preserve"> </w:t>
      </w:r>
      <w:r w:rsidR="005E6804" w:rsidRPr="004F6E28">
        <w:rPr>
          <w:rFonts w:ascii="Arial" w:hAnsi="Arial" w:cs="Arial"/>
          <w:color w:val="686868"/>
          <w:sz w:val="24"/>
          <w:szCs w:val="24"/>
          <w:shd w:val="clear" w:color="auto" w:fill="FFFFFF"/>
          <w:lang w:val="it-IT"/>
        </w:rPr>
        <w:t>a tutti e a ciascuno</w:t>
      </w:r>
      <w:r w:rsidR="00FE4A82">
        <w:rPr>
          <w:rFonts w:ascii="Arial" w:hAnsi="Arial" w:cs="Arial"/>
          <w:color w:val="686868"/>
          <w:sz w:val="24"/>
          <w:szCs w:val="24"/>
          <w:shd w:val="clear" w:color="auto" w:fill="FFFFFF"/>
          <w:lang w:val="it-IT"/>
        </w:rPr>
        <w:t>,</w:t>
      </w:r>
      <w:r w:rsidR="005E6804" w:rsidRPr="004F6E28">
        <w:rPr>
          <w:rFonts w:ascii="Arial" w:hAnsi="Arial" w:cs="Arial"/>
          <w:color w:val="686868"/>
          <w:sz w:val="24"/>
          <w:szCs w:val="24"/>
          <w:shd w:val="clear" w:color="auto" w:fill="FFFFFF"/>
          <w:lang w:val="it-IT"/>
        </w:rPr>
        <w:t xml:space="preserve"> </w:t>
      </w:r>
      <w:r w:rsidR="00EA2245" w:rsidRPr="004F6E28">
        <w:rPr>
          <w:rFonts w:ascii="Arial" w:hAnsi="Arial" w:cs="Arial"/>
          <w:color w:val="686868"/>
          <w:sz w:val="24"/>
          <w:szCs w:val="24"/>
          <w:shd w:val="clear" w:color="auto" w:fill="FFFFFF"/>
          <w:lang w:val="it-IT"/>
        </w:rPr>
        <w:t>l’</w:t>
      </w:r>
      <w:r w:rsidR="006A59AA" w:rsidRPr="004F6E28">
        <w:rPr>
          <w:rFonts w:ascii="Arial" w:hAnsi="Arial" w:cs="Arial"/>
          <w:color w:val="686868"/>
          <w:sz w:val="24"/>
          <w:szCs w:val="24"/>
          <w:shd w:val="clear" w:color="auto" w:fill="FFFFFF"/>
          <w:lang w:val="it-IT"/>
        </w:rPr>
        <w:t xml:space="preserve">effettivo </w:t>
      </w:r>
      <w:r w:rsidR="002E797E" w:rsidRPr="004F6E28">
        <w:rPr>
          <w:rFonts w:ascii="Arial" w:hAnsi="Arial" w:cs="Arial"/>
          <w:color w:val="686868"/>
          <w:sz w:val="24"/>
          <w:szCs w:val="24"/>
          <w:shd w:val="clear" w:color="auto" w:fill="FFFFFF"/>
          <w:lang w:val="it-IT"/>
        </w:rPr>
        <w:t>esercizio di ogni altra</w:t>
      </w:r>
      <w:r w:rsidR="00EA2245" w:rsidRPr="004F6E28">
        <w:rPr>
          <w:rFonts w:ascii="Arial" w:hAnsi="Arial" w:cs="Arial"/>
          <w:color w:val="686868"/>
          <w:sz w:val="24"/>
          <w:szCs w:val="24"/>
          <w:shd w:val="clear" w:color="auto" w:fill="FFFFFF"/>
          <w:lang w:val="it-IT"/>
        </w:rPr>
        <w:t xml:space="preserve"> liber</w:t>
      </w:r>
      <w:r w:rsidR="006D4FCA" w:rsidRPr="004F6E28">
        <w:rPr>
          <w:rFonts w:ascii="Arial" w:hAnsi="Arial" w:cs="Arial"/>
          <w:color w:val="686868"/>
          <w:sz w:val="24"/>
          <w:szCs w:val="24"/>
          <w:shd w:val="clear" w:color="auto" w:fill="FFFFFF"/>
          <w:lang w:val="it-IT"/>
        </w:rPr>
        <w:t>tà individuale</w:t>
      </w:r>
      <w:r w:rsidR="008C6F6B" w:rsidRPr="004F6E28">
        <w:rPr>
          <w:rFonts w:ascii="Arial" w:hAnsi="Arial" w:cs="Arial"/>
          <w:color w:val="686868"/>
          <w:sz w:val="24"/>
          <w:szCs w:val="24"/>
          <w:shd w:val="clear" w:color="auto" w:fill="FFFFFF"/>
          <w:lang w:val="it-IT"/>
        </w:rPr>
        <w:t xml:space="preserve"> che</w:t>
      </w:r>
      <w:r w:rsidR="00FE4A82">
        <w:rPr>
          <w:rFonts w:ascii="Arial" w:hAnsi="Arial" w:cs="Arial"/>
          <w:color w:val="686868"/>
          <w:sz w:val="24"/>
          <w:szCs w:val="24"/>
          <w:shd w:val="clear" w:color="auto" w:fill="FFFFFF"/>
          <w:lang w:val="it-IT"/>
        </w:rPr>
        <w:t xml:space="preserve"> del contesto sicuro necessariamente si nutre</w:t>
      </w:r>
      <w:r w:rsidR="004B24EB" w:rsidRPr="004F6E28">
        <w:rPr>
          <w:rFonts w:ascii="Arial" w:hAnsi="Arial" w:cs="Arial"/>
          <w:color w:val="686868"/>
          <w:sz w:val="24"/>
          <w:szCs w:val="24"/>
          <w:shd w:val="clear" w:color="auto" w:fill="FFFFFF"/>
          <w:lang w:val="it-IT"/>
        </w:rPr>
        <w:t>.</w:t>
      </w:r>
      <w:r w:rsidR="00FA11F5" w:rsidRPr="004F6E28">
        <w:rPr>
          <w:rFonts w:ascii="Arial" w:hAnsi="Arial" w:cs="Arial"/>
          <w:color w:val="686868"/>
          <w:sz w:val="24"/>
          <w:szCs w:val="24"/>
          <w:shd w:val="clear" w:color="auto" w:fill="FFFFFF"/>
          <w:lang w:val="it-IT"/>
        </w:rPr>
        <w:t xml:space="preserve"> </w:t>
      </w:r>
    </w:p>
    <w:p w:rsidR="00991407" w:rsidRDefault="00FE4A82" w:rsidP="004F6E28">
      <w:pPr>
        <w:jc w:val="both"/>
        <w:rPr>
          <w:rFonts w:ascii="Arial" w:hAnsi="Arial" w:cs="Arial"/>
          <w:color w:val="474747"/>
          <w:sz w:val="24"/>
          <w:szCs w:val="24"/>
          <w:lang w:val="it-IT"/>
        </w:rPr>
      </w:pPr>
      <w:r>
        <w:rPr>
          <w:rFonts w:ascii="Arial" w:hAnsi="Arial" w:cs="Arial"/>
          <w:color w:val="686868"/>
          <w:sz w:val="24"/>
          <w:szCs w:val="24"/>
          <w:shd w:val="clear" w:color="auto" w:fill="FFFFFF"/>
          <w:lang w:val="it-IT"/>
        </w:rPr>
        <w:t>U</w:t>
      </w:r>
      <w:r w:rsidR="00EA2245" w:rsidRPr="004F6E28">
        <w:rPr>
          <w:rFonts w:ascii="Arial" w:hAnsi="Arial" w:cs="Arial"/>
          <w:color w:val="686868"/>
          <w:sz w:val="24"/>
          <w:szCs w:val="24"/>
          <w:shd w:val="clear" w:color="auto" w:fill="FFFFFF"/>
          <w:lang w:val="it-IT"/>
        </w:rPr>
        <w:t>n concetto democratico di ordine</w:t>
      </w:r>
      <w:r w:rsidR="00DD37BC" w:rsidRPr="004F6E28">
        <w:rPr>
          <w:rFonts w:ascii="Arial" w:hAnsi="Arial" w:cs="Arial"/>
          <w:color w:val="686868"/>
          <w:sz w:val="24"/>
          <w:szCs w:val="24"/>
          <w:shd w:val="clear" w:color="auto" w:fill="FFFFFF"/>
          <w:lang w:val="it-IT"/>
        </w:rPr>
        <w:t xml:space="preserve"> pubblico </w:t>
      </w:r>
      <w:r w:rsidR="008C6F6B" w:rsidRPr="004F6E28">
        <w:rPr>
          <w:rFonts w:ascii="Arial" w:hAnsi="Arial" w:cs="Arial"/>
          <w:color w:val="686868"/>
          <w:sz w:val="24"/>
          <w:szCs w:val="24"/>
          <w:shd w:val="clear" w:color="auto" w:fill="FFFFFF"/>
          <w:lang w:val="it-IT"/>
        </w:rPr>
        <w:t xml:space="preserve">si rinviene </w:t>
      </w:r>
      <w:r>
        <w:rPr>
          <w:rFonts w:ascii="Arial" w:hAnsi="Arial" w:cs="Arial"/>
          <w:color w:val="686868"/>
          <w:sz w:val="24"/>
          <w:szCs w:val="24"/>
          <w:shd w:val="clear" w:color="auto" w:fill="FFFFFF"/>
          <w:lang w:val="it-IT"/>
        </w:rPr>
        <w:t xml:space="preserve">certamente </w:t>
      </w:r>
      <w:r w:rsidR="008C6F6B" w:rsidRPr="004F6E28">
        <w:rPr>
          <w:rFonts w:ascii="Arial" w:hAnsi="Arial" w:cs="Arial"/>
          <w:color w:val="686868"/>
          <w:sz w:val="24"/>
          <w:szCs w:val="24"/>
          <w:shd w:val="clear" w:color="auto" w:fill="FFFFFF"/>
          <w:lang w:val="it-IT"/>
        </w:rPr>
        <w:t xml:space="preserve">tra i valori fondanti delle </w:t>
      </w:r>
      <w:r w:rsidR="004B5CCD">
        <w:rPr>
          <w:rFonts w:ascii="Arial" w:hAnsi="Arial" w:cs="Arial"/>
          <w:color w:val="686868"/>
          <w:sz w:val="24"/>
          <w:szCs w:val="24"/>
          <w:shd w:val="clear" w:color="auto" w:fill="FFFFFF"/>
          <w:lang w:val="it-IT"/>
        </w:rPr>
        <w:t>costituzioni europee.</w:t>
      </w:r>
      <w:r w:rsidR="008C6F6B" w:rsidRPr="004F6E28">
        <w:rPr>
          <w:rFonts w:ascii="Arial" w:hAnsi="Arial" w:cs="Arial"/>
          <w:color w:val="686868"/>
          <w:sz w:val="24"/>
          <w:szCs w:val="24"/>
          <w:shd w:val="clear" w:color="auto" w:fill="FFFFFF"/>
          <w:lang w:val="it-IT"/>
        </w:rPr>
        <w:t xml:space="preserve"> </w:t>
      </w:r>
      <w:r w:rsidR="004B5CCD">
        <w:rPr>
          <w:rFonts w:ascii="Arial" w:hAnsi="Arial" w:cs="Arial"/>
          <w:color w:val="686868"/>
          <w:sz w:val="24"/>
          <w:szCs w:val="24"/>
          <w:shd w:val="clear" w:color="auto" w:fill="FFFFFF"/>
          <w:lang w:val="it-IT"/>
        </w:rPr>
        <w:t>L</w:t>
      </w:r>
      <w:r w:rsidR="00EA2245" w:rsidRPr="004F6E28">
        <w:rPr>
          <w:rFonts w:ascii="Arial" w:hAnsi="Arial" w:cs="Arial"/>
          <w:color w:val="686868"/>
          <w:sz w:val="24"/>
          <w:szCs w:val="24"/>
          <w:shd w:val="clear" w:color="auto" w:fill="FFFFFF"/>
          <w:lang w:val="it-IT"/>
        </w:rPr>
        <w:t xml:space="preserve">a Dichiarazione dei diritti dell’uomo del </w:t>
      </w:r>
      <w:r w:rsidR="008C6F6B" w:rsidRPr="004F6E28">
        <w:rPr>
          <w:rFonts w:ascii="Arial" w:hAnsi="Arial" w:cs="Arial"/>
          <w:color w:val="686868"/>
          <w:sz w:val="24"/>
          <w:szCs w:val="24"/>
          <w:shd w:val="clear" w:color="auto" w:fill="FFFFFF"/>
          <w:lang w:val="it-IT"/>
        </w:rPr>
        <w:t>26 agosto 1789</w:t>
      </w:r>
      <w:r w:rsidR="00EA2245" w:rsidRPr="004F6E28">
        <w:rPr>
          <w:rFonts w:ascii="Arial" w:hAnsi="Arial" w:cs="Arial"/>
          <w:color w:val="686868"/>
          <w:sz w:val="24"/>
          <w:szCs w:val="24"/>
          <w:shd w:val="clear" w:color="auto" w:fill="FFFFFF"/>
          <w:lang w:val="it-IT"/>
        </w:rPr>
        <w:t xml:space="preserve"> recita</w:t>
      </w:r>
      <w:r w:rsidR="008C6F6B" w:rsidRPr="004F6E28">
        <w:rPr>
          <w:rFonts w:ascii="Arial" w:hAnsi="Arial" w:cs="Arial"/>
          <w:color w:val="686868"/>
          <w:sz w:val="24"/>
          <w:szCs w:val="24"/>
          <w:shd w:val="clear" w:color="auto" w:fill="FFFFFF"/>
          <w:lang w:val="it-IT"/>
        </w:rPr>
        <w:t xml:space="preserve"> all’art. </w:t>
      </w:r>
      <w:r w:rsidR="008C6F6B" w:rsidRPr="004F6E28">
        <w:rPr>
          <w:rFonts w:ascii="Arial" w:hAnsi="Arial" w:cs="Arial"/>
          <w:color w:val="686868"/>
          <w:sz w:val="24"/>
          <w:szCs w:val="24"/>
          <w:shd w:val="clear" w:color="auto" w:fill="FFFFFF"/>
          <w:lang w:val="it-IT"/>
        </w:rPr>
        <w:lastRenderedPageBreak/>
        <w:t>2</w:t>
      </w:r>
      <w:r w:rsidR="00EA2245" w:rsidRPr="004F6E28">
        <w:rPr>
          <w:rFonts w:ascii="Arial" w:hAnsi="Arial" w:cs="Arial"/>
          <w:color w:val="686868"/>
          <w:sz w:val="24"/>
          <w:szCs w:val="24"/>
          <w:shd w:val="clear" w:color="auto" w:fill="FFFFFF"/>
          <w:lang w:val="it-IT"/>
        </w:rPr>
        <w:t xml:space="preserve">: </w:t>
      </w:r>
      <w:r w:rsidR="006A59AA" w:rsidRPr="004F6E28">
        <w:rPr>
          <w:rFonts w:ascii="Arial" w:hAnsi="Arial" w:cs="Arial"/>
          <w:color w:val="474747"/>
          <w:sz w:val="24"/>
          <w:szCs w:val="24"/>
          <w:lang w:val="it-IT"/>
        </w:rPr>
        <w:t>«</w:t>
      </w:r>
      <w:r w:rsidR="00EA2245" w:rsidRPr="004F6E28">
        <w:rPr>
          <w:rStyle w:val="Enfasicorsivo"/>
          <w:rFonts w:ascii="Arial" w:hAnsi="Arial" w:cs="Arial"/>
          <w:color w:val="474747"/>
          <w:sz w:val="24"/>
          <w:szCs w:val="24"/>
          <w:bdr w:val="none" w:sz="0" w:space="0" w:color="auto" w:frame="1"/>
          <w:lang w:val="it-IT"/>
        </w:rPr>
        <w:t xml:space="preserve">Le </w:t>
      </w:r>
      <w:proofErr w:type="spellStart"/>
      <w:r w:rsidR="00EA2245" w:rsidRPr="004F6E28">
        <w:rPr>
          <w:rStyle w:val="Enfasicorsivo"/>
          <w:rFonts w:ascii="Arial" w:hAnsi="Arial" w:cs="Arial"/>
          <w:color w:val="474747"/>
          <w:sz w:val="24"/>
          <w:szCs w:val="24"/>
          <w:bdr w:val="none" w:sz="0" w:space="0" w:color="auto" w:frame="1"/>
          <w:lang w:val="it-IT"/>
        </w:rPr>
        <w:t>but</w:t>
      </w:r>
      <w:proofErr w:type="spellEnd"/>
      <w:r w:rsidR="00EA2245" w:rsidRPr="004F6E28">
        <w:rPr>
          <w:rStyle w:val="Enfasicorsivo"/>
          <w:rFonts w:ascii="Arial" w:hAnsi="Arial" w:cs="Arial"/>
          <w:color w:val="474747"/>
          <w:sz w:val="24"/>
          <w:szCs w:val="24"/>
          <w:bdr w:val="none" w:sz="0" w:space="0" w:color="auto" w:frame="1"/>
          <w:lang w:val="it-IT"/>
        </w:rPr>
        <w:t xml:space="preserve"> de </w:t>
      </w:r>
      <w:proofErr w:type="spellStart"/>
      <w:r w:rsidR="00EA2245" w:rsidRPr="004F6E28">
        <w:rPr>
          <w:rStyle w:val="Enfasicorsivo"/>
          <w:rFonts w:ascii="Arial" w:hAnsi="Arial" w:cs="Arial"/>
          <w:color w:val="474747"/>
          <w:sz w:val="24"/>
          <w:szCs w:val="24"/>
          <w:bdr w:val="none" w:sz="0" w:space="0" w:color="auto" w:frame="1"/>
          <w:lang w:val="it-IT"/>
        </w:rPr>
        <w:t>toute</w:t>
      </w:r>
      <w:proofErr w:type="spellEnd"/>
      <w:r w:rsidR="00EA2245" w:rsidRPr="004F6E28">
        <w:rPr>
          <w:rStyle w:val="Enfasicorsivo"/>
          <w:rFonts w:ascii="Arial" w:hAnsi="Arial" w:cs="Arial"/>
          <w:color w:val="474747"/>
          <w:sz w:val="24"/>
          <w:szCs w:val="24"/>
          <w:bdr w:val="none" w:sz="0" w:space="0" w:color="auto" w:frame="1"/>
          <w:lang w:val="it-IT"/>
        </w:rPr>
        <w:t xml:space="preserve"> </w:t>
      </w:r>
      <w:proofErr w:type="spellStart"/>
      <w:r w:rsidR="00EA2245" w:rsidRPr="004F6E28">
        <w:rPr>
          <w:rStyle w:val="Enfasicorsivo"/>
          <w:rFonts w:ascii="Arial" w:hAnsi="Arial" w:cs="Arial"/>
          <w:color w:val="474747"/>
          <w:sz w:val="24"/>
          <w:szCs w:val="24"/>
          <w:bdr w:val="none" w:sz="0" w:space="0" w:color="auto" w:frame="1"/>
          <w:lang w:val="it-IT"/>
        </w:rPr>
        <w:t>association</w:t>
      </w:r>
      <w:proofErr w:type="spellEnd"/>
      <w:r w:rsidR="00EA2245" w:rsidRPr="004F6E28">
        <w:rPr>
          <w:rStyle w:val="Enfasicorsivo"/>
          <w:rFonts w:ascii="Arial" w:hAnsi="Arial" w:cs="Arial"/>
          <w:color w:val="474747"/>
          <w:sz w:val="24"/>
          <w:szCs w:val="24"/>
          <w:bdr w:val="none" w:sz="0" w:space="0" w:color="auto" w:frame="1"/>
          <w:lang w:val="it-IT"/>
        </w:rPr>
        <w:t xml:space="preserve"> </w:t>
      </w:r>
      <w:proofErr w:type="spellStart"/>
      <w:r w:rsidR="00EA2245" w:rsidRPr="004F6E28">
        <w:rPr>
          <w:rStyle w:val="Enfasicorsivo"/>
          <w:rFonts w:ascii="Arial" w:hAnsi="Arial" w:cs="Arial"/>
          <w:color w:val="474747"/>
          <w:sz w:val="24"/>
          <w:szCs w:val="24"/>
          <w:bdr w:val="none" w:sz="0" w:space="0" w:color="auto" w:frame="1"/>
          <w:lang w:val="it-IT"/>
        </w:rPr>
        <w:t>politique</w:t>
      </w:r>
      <w:proofErr w:type="spellEnd"/>
      <w:r w:rsidR="00EA2245" w:rsidRPr="004F6E28">
        <w:rPr>
          <w:rStyle w:val="Enfasicorsivo"/>
          <w:rFonts w:ascii="Arial" w:hAnsi="Arial" w:cs="Arial"/>
          <w:color w:val="474747"/>
          <w:sz w:val="24"/>
          <w:szCs w:val="24"/>
          <w:bdr w:val="none" w:sz="0" w:space="0" w:color="auto" w:frame="1"/>
          <w:lang w:val="it-IT"/>
        </w:rPr>
        <w:t xml:space="preserve"> est la </w:t>
      </w:r>
      <w:proofErr w:type="spellStart"/>
      <w:r w:rsidR="00EA2245" w:rsidRPr="004F6E28">
        <w:rPr>
          <w:rStyle w:val="Enfasicorsivo"/>
          <w:rFonts w:ascii="Arial" w:hAnsi="Arial" w:cs="Arial"/>
          <w:color w:val="474747"/>
          <w:sz w:val="24"/>
          <w:szCs w:val="24"/>
          <w:bdr w:val="none" w:sz="0" w:space="0" w:color="auto" w:frame="1"/>
          <w:lang w:val="it-IT"/>
        </w:rPr>
        <w:t>conservation</w:t>
      </w:r>
      <w:proofErr w:type="spellEnd"/>
      <w:r w:rsidR="00EA2245" w:rsidRPr="004F6E28">
        <w:rPr>
          <w:rStyle w:val="Enfasicorsivo"/>
          <w:rFonts w:ascii="Arial" w:hAnsi="Arial" w:cs="Arial"/>
          <w:color w:val="474747"/>
          <w:sz w:val="24"/>
          <w:szCs w:val="24"/>
          <w:bdr w:val="none" w:sz="0" w:space="0" w:color="auto" w:frame="1"/>
          <w:lang w:val="it-IT"/>
        </w:rPr>
        <w:t xml:space="preserve"> </w:t>
      </w:r>
      <w:proofErr w:type="spellStart"/>
      <w:r w:rsidR="00EA2245" w:rsidRPr="004F6E28">
        <w:rPr>
          <w:rStyle w:val="Enfasicorsivo"/>
          <w:rFonts w:ascii="Arial" w:hAnsi="Arial" w:cs="Arial"/>
          <w:color w:val="474747"/>
          <w:sz w:val="24"/>
          <w:szCs w:val="24"/>
          <w:bdr w:val="none" w:sz="0" w:space="0" w:color="auto" w:frame="1"/>
          <w:lang w:val="it-IT"/>
        </w:rPr>
        <w:t>des</w:t>
      </w:r>
      <w:proofErr w:type="spellEnd"/>
      <w:r w:rsidR="00EA2245" w:rsidRPr="004F6E28">
        <w:rPr>
          <w:rStyle w:val="Enfasicorsivo"/>
          <w:rFonts w:ascii="Arial" w:hAnsi="Arial" w:cs="Arial"/>
          <w:color w:val="474747"/>
          <w:sz w:val="24"/>
          <w:szCs w:val="24"/>
          <w:bdr w:val="none" w:sz="0" w:space="0" w:color="auto" w:frame="1"/>
          <w:lang w:val="it-IT"/>
        </w:rPr>
        <w:t xml:space="preserve"> </w:t>
      </w:r>
      <w:proofErr w:type="spellStart"/>
      <w:r w:rsidR="00EA2245" w:rsidRPr="004F6E28">
        <w:rPr>
          <w:rStyle w:val="Enfasicorsivo"/>
          <w:rFonts w:ascii="Arial" w:hAnsi="Arial" w:cs="Arial"/>
          <w:color w:val="474747"/>
          <w:sz w:val="24"/>
          <w:szCs w:val="24"/>
          <w:bdr w:val="none" w:sz="0" w:space="0" w:color="auto" w:frame="1"/>
          <w:lang w:val="it-IT"/>
        </w:rPr>
        <w:t>droits</w:t>
      </w:r>
      <w:proofErr w:type="spellEnd"/>
      <w:r w:rsidR="00EA2245" w:rsidRPr="004F6E28">
        <w:rPr>
          <w:rStyle w:val="Enfasicorsivo"/>
          <w:rFonts w:ascii="Arial" w:hAnsi="Arial" w:cs="Arial"/>
          <w:color w:val="474747"/>
          <w:sz w:val="24"/>
          <w:szCs w:val="24"/>
          <w:bdr w:val="none" w:sz="0" w:space="0" w:color="auto" w:frame="1"/>
          <w:lang w:val="it-IT"/>
        </w:rPr>
        <w:t xml:space="preserve"> </w:t>
      </w:r>
      <w:proofErr w:type="spellStart"/>
      <w:r w:rsidR="00EA2245" w:rsidRPr="004F6E28">
        <w:rPr>
          <w:rStyle w:val="Enfasicorsivo"/>
          <w:rFonts w:ascii="Arial" w:hAnsi="Arial" w:cs="Arial"/>
          <w:color w:val="474747"/>
          <w:sz w:val="24"/>
          <w:szCs w:val="24"/>
          <w:bdr w:val="none" w:sz="0" w:space="0" w:color="auto" w:frame="1"/>
          <w:lang w:val="it-IT"/>
        </w:rPr>
        <w:t>naturels</w:t>
      </w:r>
      <w:proofErr w:type="spellEnd"/>
      <w:r w:rsidR="00EA2245" w:rsidRPr="004F6E28">
        <w:rPr>
          <w:rStyle w:val="Enfasicorsivo"/>
          <w:rFonts w:ascii="Arial" w:hAnsi="Arial" w:cs="Arial"/>
          <w:color w:val="474747"/>
          <w:sz w:val="24"/>
          <w:szCs w:val="24"/>
          <w:bdr w:val="none" w:sz="0" w:space="0" w:color="auto" w:frame="1"/>
          <w:lang w:val="it-IT"/>
        </w:rPr>
        <w:t xml:space="preserve"> et </w:t>
      </w:r>
      <w:proofErr w:type="spellStart"/>
      <w:r w:rsidR="00EA2245" w:rsidRPr="004F6E28">
        <w:rPr>
          <w:rStyle w:val="Enfasicorsivo"/>
          <w:rFonts w:ascii="Arial" w:hAnsi="Arial" w:cs="Arial"/>
          <w:color w:val="474747"/>
          <w:sz w:val="24"/>
          <w:szCs w:val="24"/>
          <w:bdr w:val="none" w:sz="0" w:space="0" w:color="auto" w:frame="1"/>
          <w:lang w:val="it-IT"/>
        </w:rPr>
        <w:t>imprescriptibles</w:t>
      </w:r>
      <w:proofErr w:type="spellEnd"/>
      <w:r w:rsidR="00EA2245" w:rsidRPr="004F6E28">
        <w:rPr>
          <w:rStyle w:val="Enfasicorsivo"/>
          <w:rFonts w:ascii="Arial" w:hAnsi="Arial" w:cs="Arial"/>
          <w:color w:val="474747"/>
          <w:sz w:val="24"/>
          <w:szCs w:val="24"/>
          <w:bdr w:val="none" w:sz="0" w:space="0" w:color="auto" w:frame="1"/>
          <w:lang w:val="it-IT"/>
        </w:rPr>
        <w:t xml:space="preserve"> de l'</w:t>
      </w:r>
      <w:proofErr w:type="spellStart"/>
      <w:r w:rsidR="00EA2245" w:rsidRPr="004F6E28">
        <w:rPr>
          <w:rStyle w:val="Enfasicorsivo"/>
          <w:rFonts w:ascii="Arial" w:hAnsi="Arial" w:cs="Arial"/>
          <w:color w:val="474747"/>
          <w:sz w:val="24"/>
          <w:szCs w:val="24"/>
          <w:bdr w:val="none" w:sz="0" w:space="0" w:color="auto" w:frame="1"/>
          <w:lang w:val="it-IT"/>
        </w:rPr>
        <w:t>Homme</w:t>
      </w:r>
      <w:proofErr w:type="spellEnd"/>
      <w:r w:rsidR="00EA2245" w:rsidRPr="004F6E28">
        <w:rPr>
          <w:rStyle w:val="Enfasicorsivo"/>
          <w:rFonts w:ascii="Arial" w:hAnsi="Arial" w:cs="Arial"/>
          <w:color w:val="474747"/>
          <w:sz w:val="24"/>
          <w:szCs w:val="24"/>
          <w:bdr w:val="none" w:sz="0" w:space="0" w:color="auto" w:frame="1"/>
          <w:lang w:val="it-IT"/>
        </w:rPr>
        <w:t xml:space="preserve">. </w:t>
      </w:r>
      <w:proofErr w:type="spellStart"/>
      <w:r w:rsidR="00EA2245" w:rsidRPr="004F6E28">
        <w:rPr>
          <w:rStyle w:val="Enfasicorsivo"/>
          <w:rFonts w:ascii="Arial" w:hAnsi="Arial" w:cs="Arial"/>
          <w:color w:val="474747"/>
          <w:sz w:val="24"/>
          <w:szCs w:val="24"/>
          <w:bdr w:val="none" w:sz="0" w:space="0" w:color="auto" w:frame="1"/>
          <w:lang w:val="it-IT"/>
        </w:rPr>
        <w:t>Ces</w:t>
      </w:r>
      <w:proofErr w:type="spellEnd"/>
      <w:r w:rsidR="00EA2245" w:rsidRPr="004F6E28">
        <w:rPr>
          <w:rStyle w:val="Enfasicorsivo"/>
          <w:rFonts w:ascii="Arial" w:hAnsi="Arial" w:cs="Arial"/>
          <w:color w:val="474747"/>
          <w:sz w:val="24"/>
          <w:szCs w:val="24"/>
          <w:bdr w:val="none" w:sz="0" w:space="0" w:color="auto" w:frame="1"/>
          <w:lang w:val="it-IT"/>
        </w:rPr>
        <w:t xml:space="preserve"> </w:t>
      </w:r>
      <w:proofErr w:type="spellStart"/>
      <w:r w:rsidR="00EA2245" w:rsidRPr="004F6E28">
        <w:rPr>
          <w:rStyle w:val="Enfasicorsivo"/>
          <w:rFonts w:ascii="Arial" w:hAnsi="Arial" w:cs="Arial"/>
          <w:color w:val="474747"/>
          <w:sz w:val="24"/>
          <w:szCs w:val="24"/>
          <w:bdr w:val="none" w:sz="0" w:space="0" w:color="auto" w:frame="1"/>
          <w:lang w:val="it-IT"/>
        </w:rPr>
        <w:t>droits</w:t>
      </w:r>
      <w:proofErr w:type="spellEnd"/>
      <w:r w:rsidR="00EA2245" w:rsidRPr="004F6E28">
        <w:rPr>
          <w:rStyle w:val="Enfasicorsivo"/>
          <w:rFonts w:ascii="Arial" w:hAnsi="Arial" w:cs="Arial"/>
          <w:color w:val="474747"/>
          <w:sz w:val="24"/>
          <w:szCs w:val="24"/>
          <w:bdr w:val="none" w:sz="0" w:space="0" w:color="auto" w:frame="1"/>
          <w:lang w:val="it-IT"/>
        </w:rPr>
        <w:t xml:space="preserve"> </w:t>
      </w:r>
      <w:proofErr w:type="spellStart"/>
      <w:r w:rsidR="00EA2245" w:rsidRPr="004F6E28">
        <w:rPr>
          <w:rStyle w:val="Enfasicorsivo"/>
          <w:rFonts w:ascii="Arial" w:hAnsi="Arial" w:cs="Arial"/>
          <w:color w:val="474747"/>
          <w:sz w:val="24"/>
          <w:szCs w:val="24"/>
          <w:bdr w:val="none" w:sz="0" w:space="0" w:color="auto" w:frame="1"/>
          <w:lang w:val="it-IT"/>
        </w:rPr>
        <w:t>sont</w:t>
      </w:r>
      <w:proofErr w:type="spellEnd"/>
      <w:r w:rsidR="00EA2245" w:rsidRPr="004F6E28">
        <w:rPr>
          <w:rStyle w:val="Enfasicorsivo"/>
          <w:rFonts w:ascii="Arial" w:hAnsi="Arial" w:cs="Arial"/>
          <w:color w:val="474747"/>
          <w:sz w:val="24"/>
          <w:szCs w:val="24"/>
          <w:bdr w:val="none" w:sz="0" w:space="0" w:color="auto" w:frame="1"/>
          <w:lang w:val="it-IT"/>
        </w:rPr>
        <w:t xml:space="preserve"> la </w:t>
      </w:r>
      <w:proofErr w:type="spellStart"/>
      <w:r w:rsidR="00EA2245" w:rsidRPr="004F6E28">
        <w:rPr>
          <w:rStyle w:val="Enfasicorsivo"/>
          <w:rFonts w:ascii="Arial" w:hAnsi="Arial" w:cs="Arial"/>
          <w:color w:val="474747"/>
          <w:sz w:val="24"/>
          <w:szCs w:val="24"/>
          <w:bdr w:val="none" w:sz="0" w:space="0" w:color="auto" w:frame="1"/>
          <w:lang w:val="it-IT"/>
        </w:rPr>
        <w:t>liberté</w:t>
      </w:r>
      <w:proofErr w:type="spellEnd"/>
      <w:r w:rsidR="00EA2245" w:rsidRPr="004F6E28">
        <w:rPr>
          <w:rStyle w:val="Enfasicorsivo"/>
          <w:rFonts w:ascii="Arial" w:hAnsi="Arial" w:cs="Arial"/>
          <w:color w:val="474747"/>
          <w:sz w:val="24"/>
          <w:szCs w:val="24"/>
          <w:bdr w:val="none" w:sz="0" w:space="0" w:color="auto" w:frame="1"/>
          <w:lang w:val="it-IT"/>
        </w:rPr>
        <w:t xml:space="preserve">, la </w:t>
      </w:r>
      <w:proofErr w:type="spellStart"/>
      <w:r w:rsidR="00EA2245" w:rsidRPr="004F6E28">
        <w:rPr>
          <w:rStyle w:val="Enfasicorsivo"/>
          <w:rFonts w:ascii="Arial" w:hAnsi="Arial" w:cs="Arial"/>
          <w:color w:val="474747"/>
          <w:sz w:val="24"/>
          <w:szCs w:val="24"/>
          <w:bdr w:val="none" w:sz="0" w:space="0" w:color="auto" w:frame="1"/>
          <w:lang w:val="it-IT"/>
        </w:rPr>
        <w:t>propriété</w:t>
      </w:r>
      <w:proofErr w:type="spellEnd"/>
      <w:r w:rsidR="00EA2245" w:rsidRPr="004F6E28">
        <w:rPr>
          <w:rStyle w:val="Enfasicorsivo"/>
          <w:rFonts w:ascii="Arial" w:hAnsi="Arial" w:cs="Arial"/>
          <w:color w:val="474747"/>
          <w:sz w:val="24"/>
          <w:szCs w:val="24"/>
          <w:bdr w:val="none" w:sz="0" w:space="0" w:color="auto" w:frame="1"/>
          <w:lang w:val="it-IT"/>
        </w:rPr>
        <w:t xml:space="preserve">, la </w:t>
      </w:r>
      <w:proofErr w:type="spellStart"/>
      <w:r w:rsidR="00EA2245" w:rsidRPr="004F6E28">
        <w:rPr>
          <w:rStyle w:val="Enfasicorsivo"/>
          <w:rFonts w:ascii="Arial" w:hAnsi="Arial" w:cs="Arial"/>
          <w:color w:val="474747"/>
          <w:sz w:val="24"/>
          <w:szCs w:val="24"/>
          <w:bdr w:val="none" w:sz="0" w:space="0" w:color="auto" w:frame="1"/>
          <w:lang w:val="it-IT"/>
        </w:rPr>
        <w:t>sûreté</w:t>
      </w:r>
      <w:proofErr w:type="spellEnd"/>
      <w:r w:rsidR="00EA2245" w:rsidRPr="004F6E28">
        <w:rPr>
          <w:rStyle w:val="Enfasicorsivo"/>
          <w:rFonts w:ascii="Arial" w:hAnsi="Arial" w:cs="Arial"/>
          <w:color w:val="474747"/>
          <w:sz w:val="24"/>
          <w:szCs w:val="24"/>
          <w:bdr w:val="none" w:sz="0" w:space="0" w:color="auto" w:frame="1"/>
          <w:lang w:val="it-IT"/>
        </w:rPr>
        <w:t xml:space="preserve">, et la </w:t>
      </w:r>
      <w:proofErr w:type="spellStart"/>
      <w:r w:rsidR="00EA2245" w:rsidRPr="004F6E28">
        <w:rPr>
          <w:rStyle w:val="Enfasicorsivo"/>
          <w:rFonts w:ascii="Arial" w:hAnsi="Arial" w:cs="Arial"/>
          <w:color w:val="474747"/>
          <w:sz w:val="24"/>
          <w:szCs w:val="24"/>
          <w:bdr w:val="none" w:sz="0" w:space="0" w:color="auto" w:frame="1"/>
          <w:lang w:val="it-IT"/>
        </w:rPr>
        <w:t>résistance</w:t>
      </w:r>
      <w:proofErr w:type="spellEnd"/>
      <w:r w:rsidR="00EA2245" w:rsidRPr="004F6E28">
        <w:rPr>
          <w:rStyle w:val="Enfasicorsivo"/>
          <w:rFonts w:ascii="Arial" w:hAnsi="Arial" w:cs="Arial"/>
          <w:color w:val="474747"/>
          <w:sz w:val="24"/>
          <w:szCs w:val="24"/>
          <w:bdr w:val="none" w:sz="0" w:space="0" w:color="auto" w:frame="1"/>
          <w:lang w:val="it-IT"/>
        </w:rPr>
        <w:t xml:space="preserve"> à l'</w:t>
      </w:r>
      <w:proofErr w:type="spellStart"/>
      <w:r w:rsidR="00EA2245" w:rsidRPr="004F6E28">
        <w:rPr>
          <w:rStyle w:val="Enfasicorsivo"/>
          <w:rFonts w:ascii="Arial" w:hAnsi="Arial" w:cs="Arial"/>
          <w:color w:val="474747"/>
          <w:sz w:val="24"/>
          <w:szCs w:val="24"/>
          <w:bdr w:val="none" w:sz="0" w:space="0" w:color="auto" w:frame="1"/>
          <w:lang w:val="it-IT"/>
        </w:rPr>
        <w:t>oppression</w:t>
      </w:r>
      <w:proofErr w:type="spellEnd"/>
      <w:r>
        <w:rPr>
          <w:rFonts w:ascii="Arial" w:hAnsi="Arial" w:cs="Arial"/>
          <w:color w:val="474747"/>
          <w:sz w:val="24"/>
          <w:szCs w:val="24"/>
          <w:lang w:val="it-IT"/>
        </w:rPr>
        <w:t>».</w:t>
      </w:r>
      <w:r w:rsidR="00610BD9" w:rsidRPr="004F6E28">
        <w:rPr>
          <w:rFonts w:ascii="Arial" w:hAnsi="Arial" w:cs="Arial"/>
          <w:color w:val="474747"/>
          <w:sz w:val="24"/>
          <w:szCs w:val="24"/>
          <w:lang w:val="it-IT"/>
        </w:rPr>
        <w:t xml:space="preserve"> </w:t>
      </w:r>
      <w:r>
        <w:rPr>
          <w:rFonts w:ascii="Arial" w:hAnsi="Arial" w:cs="Arial"/>
          <w:color w:val="474747"/>
          <w:sz w:val="24"/>
          <w:szCs w:val="24"/>
          <w:lang w:val="it-IT"/>
        </w:rPr>
        <w:t>L</w:t>
      </w:r>
      <w:r w:rsidR="006A59AA" w:rsidRPr="004F6E28">
        <w:rPr>
          <w:rFonts w:ascii="Arial" w:hAnsi="Arial" w:cs="Arial"/>
          <w:color w:val="474747"/>
          <w:sz w:val="24"/>
          <w:szCs w:val="24"/>
          <w:lang w:val="it-IT"/>
        </w:rPr>
        <w:t>a disposizione si abbina</w:t>
      </w:r>
      <w:r w:rsidR="008C6F6B" w:rsidRPr="004F6E28">
        <w:rPr>
          <w:rFonts w:ascii="Arial" w:hAnsi="Arial" w:cs="Arial"/>
          <w:color w:val="474747"/>
          <w:sz w:val="24"/>
          <w:szCs w:val="24"/>
          <w:lang w:val="it-IT"/>
        </w:rPr>
        <w:t>, in quella Carta, all’art. 12</w:t>
      </w:r>
      <w:r w:rsidR="002E797E" w:rsidRPr="004F6E28">
        <w:rPr>
          <w:rFonts w:ascii="Arial" w:hAnsi="Arial" w:cs="Arial"/>
          <w:color w:val="474747"/>
          <w:sz w:val="24"/>
          <w:szCs w:val="24"/>
          <w:lang w:val="it-IT"/>
        </w:rPr>
        <w:t xml:space="preserve"> </w:t>
      </w:r>
      <w:r w:rsidR="008C6F6B" w:rsidRPr="004F6E28">
        <w:rPr>
          <w:rFonts w:ascii="Arial" w:hAnsi="Arial" w:cs="Arial"/>
          <w:color w:val="474747"/>
          <w:sz w:val="24"/>
          <w:szCs w:val="24"/>
          <w:lang w:val="it-IT"/>
        </w:rPr>
        <w:t>che recita: «</w:t>
      </w:r>
      <w:r w:rsidR="006A59AA" w:rsidRPr="004F6E28">
        <w:rPr>
          <w:rStyle w:val="Enfasicorsivo"/>
          <w:rFonts w:ascii="Arial" w:hAnsi="Arial" w:cs="Arial"/>
          <w:color w:val="474747"/>
          <w:sz w:val="24"/>
          <w:szCs w:val="24"/>
          <w:bdr w:val="none" w:sz="0" w:space="0" w:color="auto" w:frame="1"/>
          <w:lang w:val="it-IT"/>
        </w:rPr>
        <w:t xml:space="preserve">La </w:t>
      </w:r>
      <w:proofErr w:type="spellStart"/>
      <w:r w:rsidR="006A59AA" w:rsidRPr="004F6E28">
        <w:rPr>
          <w:rStyle w:val="Enfasicorsivo"/>
          <w:rFonts w:ascii="Arial" w:hAnsi="Arial" w:cs="Arial"/>
          <w:color w:val="474747"/>
          <w:sz w:val="24"/>
          <w:szCs w:val="24"/>
          <w:bdr w:val="none" w:sz="0" w:space="0" w:color="auto" w:frame="1"/>
          <w:lang w:val="it-IT"/>
        </w:rPr>
        <w:t>garantie</w:t>
      </w:r>
      <w:proofErr w:type="spellEnd"/>
      <w:r w:rsidR="006A59AA" w:rsidRPr="004F6E28">
        <w:rPr>
          <w:rStyle w:val="Enfasicorsivo"/>
          <w:rFonts w:ascii="Arial" w:hAnsi="Arial" w:cs="Arial"/>
          <w:color w:val="474747"/>
          <w:sz w:val="24"/>
          <w:szCs w:val="24"/>
          <w:bdr w:val="none" w:sz="0" w:space="0" w:color="auto" w:frame="1"/>
          <w:lang w:val="it-IT"/>
        </w:rPr>
        <w:t xml:space="preserve"> </w:t>
      </w:r>
      <w:proofErr w:type="spellStart"/>
      <w:r w:rsidR="006A59AA" w:rsidRPr="004F6E28">
        <w:rPr>
          <w:rStyle w:val="Enfasicorsivo"/>
          <w:rFonts w:ascii="Arial" w:hAnsi="Arial" w:cs="Arial"/>
          <w:color w:val="474747"/>
          <w:sz w:val="24"/>
          <w:szCs w:val="24"/>
          <w:bdr w:val="none" w:sz="0" w:space="0" w:color="auto" w:frame="1"/>
          <w:lang w:val="it-IT"/>
        </w:rPr>
        <w:t>des</w:t>
      </w:r>
      <w:proofErr w:type="spellEnd"/>
      <w:r w:rsidR="006A59AA" w:rsidRPr="004F6E28">
        <w:rPr>
          <w:rStyle w:val="Enfasicorsivo"/>
          <w:rFonts w:ascii="Arial" w:hAnsi="Arial" w:cs="Arial"/>
          <w:color w:val="474747"/>
          <w:sz w:val="24"/>
          <w:szCs w:val="24"/>
          <w:bdr w:val="none" w:sz="0" w:space="0" w:color="auto" w:frame="1"/>
          <w:lang w:val="it-IT"/>
        </w:rPr>
        <w:t xml:space="preserve"> </w:t>
      </w:r>
      <w:proofErr w:type="spellStart"/>
      <w:r w:rsidR="006A59AA" w:rsidRPr="004F6E28">
        <w:rPr>
          <w:rStyle w:val="Enfasicorsivo"/>
          <w:rFonts w:ascii="Arial" w:hAnsi="Arial" w:cs="Arial"/>
          <w:color w:val="474747"/>
          <w:sz w:val="24"/>
          <w:szCs w:val="24"/>
          <w:bdr w:val="none" w:sz="0" w:space="0" w:color="auto" w:frame="1"/>
          <w:lang w:val="it-IT"/>
        </w:rPr>
        <w:t>droits</w:t>
      </w:r>
      <w:proofErr w:type="spellEnd"/>
      <w:r w:rsidR="006A59AA" w:rsidRPr="004F6E28">
        <w:rPr>
          <w:rStyle w:val="Enfasicorsivo"/>
          <w:rFonts w:ascii="Arial" w:hAnsi="Arial" w:cs="Arial"/>
          <w:color w:val="474747"/>
          <w:sz w:val="24"/>
          <w:szCs w:val="24"/>
          <w:bdr w:val="none" w:sz="0" w:space="0" w:color="auto" w:frame="1"/>
          <w:lang w:val="it-IT"/>
        </w:rPr>
        <w:t xml:space="preserve"> de l'</w:t>
      </w:r>
      <w:proofErr w:type="spellStart"/>
      <w:r w:rsidR="006A59AA" w:rsidRPr="004F6E28">
        <w:rPr>
          <w:rStyle w:val="Enfasicorsivo"/>
          <w:rFonts w:ascii="Arial" w:hAnsi="Arial" w:cs="Arial"/>
          <w:color w:val="474747"/>
          <w:sz w:val="24"/>
          <w:szCs w:val="24"/>
          <w:bdr w:val="none" w:sz="0" w:space="0" w:color="auto" w:frame="1"/>
          <w:lang w:val="it-IT"/>
        </w:rPr>
        <w:t>Homme</w:t>
      </w:r>
      <w:proofErr w:type="spellEnd"/>
      <w:r w:rsidR="006A59AA" w:rsidRPr="004F6E28">
        <w:rPr>
          <w:rStyle w:val="Enfasicorsivo"/>
          <w:rFonts w:ascii="Arial" w:hAnsi="Arial" w:cs="Arial"/>
          <w:color w:val="474747"/>
          <w:sz w:val="24"/>
          <w:szCs w:val="24"/>
          <w:bdr w:val="none" w:sz="0" w:space="0" w:color="auto" w:frame="1"/>
          <w:lang w:val="it-IT"/>
        </w:rPr>
        <w:t xml:space="preserve"> et </w:t>
      </w:r>
      <w:proofErr w:type="spellStart"/>
      <w:r w:rsidR="006A59AA" w:rsidRPr="004F6E28">
        <w:rPr>
          <w:rStyle w:val="Enfasicorsivo"/>
          <w:rFonts w:ascii="Arial" w:hAnsi="Arial" w:cs="Arial"/>
          <w:color w:val="474747"/>
          <w:sz w:val="24"/>
          <w:szCs w:val="24"/>
          <w:bdr w:val="none" w:sz="0" w:space="0" w:color="auto" w:frame="1"/>
          <w:lang w:val="it-IT"/>
        </w:rPr>
        <w:t>du</w:t>
      </w:r>
      <w:proofErr w:type="spellEnd"/>
      <w:r w:rsidR="006A59AA" w:rsidRPr="004F6E28">
        <w:rPr>
          <w:rStyle w:val="Enfasicorsivo"/>
          <w:rFonts w:ascii="Arial" w:hAnsi="Arial" w:cs="Arial"/>
          <w:color w:val="474747"/>
          <w:sz w:val="24"/>
          <w:szCs w:val="24"/>
          <w:bdr w:val="none" w:sz="0" w:space="0" w:color="auto" w:frame="1"/>
          <w:lang w:val="it-IT"/>
        </w:rPr>
        <w:t xml:space="preserve"> </w:t>
      </w:r>
      <w:proofErr w:type="spellStart"/>
      <w:r w:rsidR="006A59AA" w:rsidRPr="004F6E28">
        <w:rPr>
          <w:rStyle w:val="Enfasicorsivo"/>
          <w:rFonts w:ascii="Arial" w:hAnsi="Arial" w:cs="Arial"/>
          <w:color w:val="474747"/>
          <w:sz w:val="24"/>
          <w:szCs w:val="24"/>
          <w:bdr w:val="none" w:sz="0" w:space="0" w:color="auto" w:frame="1"/>
          <w:lang w:val="it-IT"/>
        </w:rPr>
        <w:t>Citoy</w:t>
      </w:r>
      <w:r w:rsidR="002E797E" w:rsidRPr="004F6E28">
        <w:rPr>
          <w:rStyle w:val="Enfasicorsivo"/>
          <w:rFonts w:ascii="Arial" w:hAnsi="Arial" w:cs="Arial"/>
          <w:color w:val="474747"/>
          <w:sz w:val="24"/>
          <w:szCs w:val="24"/>
          <w:bdr w:val="none" w:sz="0" w:space="0" w:color="auto" w:frame="1"/>
          <w:lang w:val="it-IT"/>
        </w:rPr>
        <w:t>en</w:t>
      </w:r>
      <w:proofErr w:type="spellEnd"/>
      <w:r w:rsidR="002E797E" w:rsidRPr="004F6E28">
        <w:rPr>
          <w:rStyle w:val="Enfasicorsivo"/>
          <w:rFonts w:ascii="Arial" w:hAnsi="Arial" w:cs="Arial"/>
          <w:color w:val="474747"/>
          <w:sz w:val="24"/>
          <w:szCs w:val="24"/>
          <w:bdr w:val="none" w:sz="0" w:space="0" w:color="auto" w:frame="1"/>
          <w:lang w:val="it-IT"/>
        </w:rPr>
        <w:t xml:space="preserve"> </w:t>
      </w:r>
      <w:proofErr w:type="spellStart"/>
      <w:r w:rsidR="002E797E" w:rsidRPr="004F6E28">
        <w:rPr>
          <w:rStyle w:val="Enfasicorsivo"/>
          <w:rFonts w:ascii="Arial" w:hAnsi="Arial" w:cs="Arial"/>
          <w:color w:val="474747"/>
          <w:sz w:val="24"/>
          <w:szCs w:val="24"/>
          <w:bdr w:val="none" w:sz="0" w:space="0" w:color="auto" w:frame="1"/>
          <w:lang w:val="it-IT"/>
        </w:rPr>
        <w:t>nécessite</w:t>
      </w:r>
      <w:proofErr w:type="spellEnd"/>
      <w:r w:rsidR="002E797E" w:rsidRPr="004F6E28">
        <w:rPr>
          <w:rStyle w:val="Enfasicorsivo"/>
          <w:rFonts w:ascii="Arial" w:hAnsi="Arial" w:cs="Arial"/>
          <w:color w:val="474747"/>
          <w:sz w:val="24"/>
          <w:szCs w:val="24"/>
          <w:bdr w:val="none" w:sz="0" w:space="0" w:color="auto" w:frame="1"/>
          <w:lang w:val="it-IT"/>
        </w:rPr>
        <w:t xml:space="preserve"> une force </w:t>
      </w:r>
      <w:proofErr w:type="spellStart"/>
      <w:r w:rsidR="002E797E" w:rsidRPr="004F6E28">
        <w:rPr>
          <w:rStyle w:val="Enfasicorsivo"/>
          <w:rFonts w:ascii="Arial" w:hAnsi="Arial" w:cs="Arial"/>
          <w:color w:val="474747"/>
          <w:sz w:val="24"/>
          <w:szCs w:val="24"/>
          <w:bdr w:val="none" w:sz="0" w:space="0" w:color="auto" w:frame="1"/>
          <w:lang w:val="it-IT"/>
        </w:rPr>
        <w:t>publique</w:t>
      </w:r>
      <w:proofErr w:type="spellEnd"/>
      <w:r w:rsidR="006A59AA" w:rsidRPr="004F6E28">
        <w:rPr>
          <w:rStyle w:val="Enfasicorsivo"/>
          <w:rFonts w:ascii="Arial" w:hAnsi="Arial" w:cs="Arial"/>
          <w:color w:val="474747"/>
          <w:sz w:val="24"/>
          <w:szCs w:val="24"/>
          <w:bdr w:val="none" w:sz="0" w:space="0" w:color="auto" w:frame="1"/>
          <w:lang w:val="it-IT"/>
        </w:rPr>
        <w:t xml:space="preserve">: </w:t>
      </w:r>
      <w:proofErr w:type="spellStart"/>
      <w:r w:rsidR="006A59AA" w:rsidRPr="004F6E28">
        <w:rPr>
          <w:rStyle w:val="Enfasicorsivo"/>
          <w:rFonts w:ascii="Arial" w:hAnsi="Arial" w:cs="Arial"/>
          <w:color w:val="474747"/>
          <w:sz w:val="24"/>
          <w:szCs w:val="24"/>
          <w:bdr w:val="none" w:sz="0" w:space="0" w:color="auto" w:frame="1"/>
          <w:lang w:val="it-IT"/>
        </w:rPr>
        <w:t>cette</w:t>
      </w:r>
      <w:proofErr w:type="spellEnd"/>
      <w:r w:rsidR="006A59AA" w:rsidRPr="004F6E28">
        <w:rPr>
          <w:rStyle w:val="Enfasicorsivo"/>
          <w:rFonts w:ascii="Arial" w:hAnsi="Arial" w:cs="Arial"/>
          <w:color w:val="474747"/>
          <w:sz w:val="24"/>
          <w:szCs w:val="24"/>
          <w:bdr w:val="none" w:sz="0" w:space="0" w:color="auto" w:frame="1"/>
          <w:lang w:val="it-IT"/>
        </w:rPr>
        <w:t xml:space="preserve"> force est </w:t>
      </w:r>
      <w:proofErr w:type="spellStart"/>
      <w:r w:rsidR="006A59AA" w:rsidRPr="004F6E28">
        <w:rPr>
          <w:rStyle w:val="Enfasicorsivo"/>
          <w:rFonts w:ascii="Arial" w:hAnsi="Arial" w:cs="Arial"/>
          <w:color w:val="474747"/>
          <w:sz w:val="24"/>
          <w:szCs w:val="24"/>
          <w:bdr w:val="none" w:sz="0" w:space="0" w:color="auto" w:frame="1"/>
          <w:lang w:val="it-IT"/>
        </w:rPr>
        <w:t>donc</w:t>
      </w:r>
      <w:proofErr w:type="spellEnd"/>
      <w:r w:rsidR="006A59AA" w:rsidRPr="004F6E28">
        <w:rPr>
          <w:rStyle w:val="Enfasicorsivo"/>
          <w:rFonts w:ascii="Arial" w:hAnsi="Arial" w:cs="Arial"/>
          <w:color w:val="474747"/>
          <w:sz w:val="24"/>
          <w:szCs w:val="24"/>
          <w:bdr w:val="none" w:sz="0" w:space="0" w:color="auto" w:frame="1"/>
          <w:lang w:val="it-IT"/>
        </w:rPr>
        <w:t xml:space="preserve"> </w:t>
      </w:r>
      <w:proofErr w:type="spellStart"/>
      <w:r w:rsidR="006A59AA" w:rsidRPr="004F6E28">
        <w:rPr>
          <w:rStyle w:val="Enfasicorsivo"/>
          <w:rFonts w:ascii="Arial" w:hAnsi="Arial" w:cs="Arial"/>
          <w:color w:val="474747"/>
          <w:sz w:val="24"/>
          <w:szCs w:val="24"/>
          <w:bdr w:val="none" w:sz="0" w:space="0" w:color="auto" w:frame="1"/>
          <w:lang w:val="it-IT"/>
        </w:rPr>
        <w:t>instituée</w:t>
      </w:r>
      <w:proofErr w:type="spellEnd"/>
      <w:r w:rsidR="006A59AA" w:rsidRPr="004F6E28">
        <w:rPr>
          <w:rStyle w:val="Enfasicorsivo"/>
          <w:rFonts w:ascii="Arial" w:hAnsi="Arial" w:cs="Arial"/>
          <w:color w:val="474747"/>
          <w:sz w:val="24"/>
          <w:szCs w:val="24"/>
          <w:bdr w:val="none" w:sz="0" w:space="0" w:color="auto" w:frame="1"/>
          <w:lang w:val="it-IT"/>
        </w:rPr>
        <w:t xml:space="preserve"> pour l'</w:t>
      </w:r>
      <w:proofErr w:type="spellStart"/>
      <w:r w:rsidR="006A59AA" w:rsidRPr="004F6E28">
        <w:rPr>
          <w:rStyle w:val="Enfasicorsivo"/>
          <w:rFonts w:ascii="Arial" w:hAnsi="Arial" w:cs="Arial"/>
          <w:color w:val="474747"/>
          <w:sz w:val="24"/>
          <w:szCs w:val="24"/>
          <w:bdr w:val="none" w:sz="0" w:space="0" w:color="auto" w:frame="1"/>
          <w:lang w:val="it-IT"/>
        </w:rPr>
        <w:t>avantage</w:t>
      </w:r>
      <w:proofErr w:type="spellEnd"/>
      <w:r w:rsidR="006A59AA" w:rsidRPr="004F6E28">
        <w:rPr>
          <w:rStyle w:val="Enfasicorsivo"/>
          <w:rFonts w:ascii="Arial" w:hAnsi="Arial" w:cs="Arial"/>
          <w:color w:val="474747"/>
          <w:sz w:val="24"/>
          <w:szCs w:val="24"/>
          <w:bdr w:val="none" w:sz="0" w:space="0" w:color="auto" w:frame="1"/>
          <w:lang w:val="it-IT"/>
        </w:rPr>
        <w:t xml:space="preserve"> de </w:t>
      </w:r>
      <w:proofErr w:type="spellStart"/>
      <w:r w:rsidR="006A59AA" w:rsidRPr="004F6E28">
        <w:rPr>
          <w:rStyle w:val="Enfasicorsivo"/>
          <w:rFonts w:ascii="Arial" w:hAnsi="Arial" w:cs="Arial"/>
          <w:color w:val="474747"/>
          <w:sz w:val="24"/>
          <w:szCs w:val="24"/>
          <w:bdr w:val="none" w:sz="0" w:space="0" w:color="auto" w:frame="1"/>
          <w:lang w:val="it-IT"/>
        </w:rPr>
        <w:t>tous</w:t>
      </w:r>
      <w:proofErr w:type="spellEnd"/>
      <w:r w:rsidR="006A59AA" w:rsidRPr="004F6E28">
        <w:rPr>
          <w:rStyle w:val="Enfasicorsivo"/>
          <w:rFonts w:ascii="Arial" w:hAnsi="Arial" w:cs="Arial"/>
          <w:color w:val="474747"/>
          <w:sz w:val="24"/>
          <w:szCs w:val="24"/>
          <w:bdr w:val="none" w:sz="0" w:space="0" w:color="auto" w:frame="1"/>
          <w:lang w:val="it-IT"/>
        </w:rPr>
        <w:t>, et non pour l'</w:t>
      </w:r>
      <w:proofErr w:type="spellStart"/>
      <w:r w:rsidR="006A59AA" w:rsidRPr="004F6E28">
        <w:rPr>
          <w:rStyle w:val="Enfasicorsivo"/>
          <w:rFonts w:ascii="Arial" w:hAnsi="Arial" w:cs="Arial"/>
          <w:color w:val="474747"/>
          <w:sz w:val="24"/>
          <w:szCs w:val="24"/>
          <w:bdr w:val="none" w:sz="0" w:space="0" w:color="auto" w:frame="1"/>
          <w:lang w:val="it-IT"/>
        </w:rPr>
        <w:t>utilité</w:t>
      </w:r>
      <w:proofErr w:type="spellEnd"/>
      <w:r w:rsidR="006A59AA" w:rsidRPr="004F6E28">
        <w:rPr>
          <w:rStyle w:val="Enfasicorsivo"/>
          <w:rFonts w:ascii="Arial" w:hAnsi="Arial" w:cs="Arial"/>
          <w:color w:val="474747"/>
          <w:sz w:val="24"/>
          <w:szCs w:val="24"/>
          <w:bdr w:val="none" w:sz="0" w:space="0" w:color="auto" w:frame="1"/>
          <w:lang w:val="it-IT"/>
        </w:rPr>
        <w:t xml:space="preserve"> </w:t>
      </w:r>
      <w:proofErr w:type="spellStart"/>
      <w:r w:rsidR="006A59AA" w:rsidRPr="004F6E28">
        <w:rPr>
          <w:rStyle w:val="Enfasicorsivo"/>
          <w:rFonts w:ascii="Arial" w:hAnsi="Arial" w:cs="Arial"/>
          <w:color w:val="474747"/>
          <w:sz w:val="24"/>
          <w:szCs w:val="24"/>
          <w:bdr w:val="none" w:sz="0" w:space="0" w:color="auto" w:frame="1"/>
          <w:lang w:val="it-IT"/>
        </w:rPr>
        <w:t>particulière</w:t>
      </w:r>
      <w:proofErr w:type="spellEnd"/>
      <w:r w:rsidR="006A59AA" w:rsidRPr="004F6E28">
        <w:rPr>
          <w:rStyle w:val="Enfasicorsivo"/>
          <w:rFonts w:ascii="Arial" w:hAnsi="Arial" w:cs="Arial"/>
          <w:color w:val="474747"/>
          <w:sz w:val="24"/>
          <w:szCs w:val="24"/>
          <w:bdr w:val="none" w:sz="0" w:space="0" w:color="auto" w:frame="1"/>
          <w:lang w:val="it-IT"/>
        </w:rPr>
        <w:t xml:space="preserve"> de </w:t>
      </w:r>
      <w:proofErr w:type="spellStart"/>
      <w:r w:rsidR="006A59AA" w:rsidRPr="004F6E28">
        <w:rPr>
          <w:rStyle w:val="Enfasicorsivo"/>
          <w:rFonts w:ascii="Arial" w:hAnsi="Arial" w:cs="Arial"/>
          <w:color w:val="474747"/>
          <w:sz w:val="24"/>
          <w:szCs w:val="24"/>
          <w:bdr w:val="none" w:sz="0" w:space="0" w:color="auto" w:frame="1"/>
          <w:lang w:val="it-IT"/>
        </w:rPr>
        <w:t>ceux</w:t>
      </w:r>
      <w:proofErr w:type="spellEnd"/>
      <w:r w:rsidR="006A59AA" w:rsidRPr="004F6E28">
        <w:rPr>
          <w:rStyle w:val="Enfasicorsivo"/>
          <w:rFonts w:ascii="Arial" w:hAnsi="Arial" w:cs="Arial"/>
          <w:color w:val="474747"/>
          <w:sz w:val="24"/>
          <w:szCs w:val="24"/>
          <w:bdr w:val="none" w:sz="0" w:space="0" w:color="auto" w:frame="1"/>
          <w:lang w:val="it-IT"/>
        </w:rPr>
        <w:t xml:space="preserve"> </w:t>
      </w:r>
      <w:proofErr w:type="spellStart"/>
      <w:r w:rsidR="006A59AA" w:rsidRPr="004F6E28">
        <w:rPr>
          <w:rStyle w:val="Enfasicorsivo"/>
          <w:rFonts w:ascii="Arial" w:hAnsi="Arial" w:cs="Arial"/>
          <w:color w:val="474747"/>
          <w:sz w:val="24"/>
          <w:szCs w:val="24"/>
          <w:bdr w:val="none" w:sz="0" w:space="0" w:color="auto" w:frame="1"/>
          <w:lang w:val="it-IT"/>
        </w:rPr>
        <w:t>auxquels</w:t>
      </w:r>
      <w:proofErr w:type="spellEnd"/>
      <w:r w:rsidR="006A59AA" w:rsidRPr="004F6E28">
        <w:rPr>
          <w:rStyle w:val="Enfasicorsivo"/>
          <w:rFonts w:ascii="Arial" w:hAnsi="Arial" w:cs="Arial"/>
          <w:color w:val="474747"/>
          <w:sz w:val="24"/>
          <w:szCs w:val="24"/>
          <w:bdr w:val="none" w:sz="0" w:space="0" w:color="auto" w:frame="1"/>
          <w:lang w:val="it-IT"/>
        </w:rPr>
        <w:t xml:space="preserve"> elle est </w:t>
      </w:r>
      <w:proofErr w:type="spellStart"/>
      <w:r w:rsidR="006A59AA" w:rsidRPr="004F6E28">
        <w:rPr>
          <w:rStyle w:val="Enfasicorsivo"/>
          <w:rFonts w:ascii="Arial" w:hAnsi="Arial" w:cs="Arial"/>
          <w:color w:val="474747"/>
          <w:sz w:val="24"/>
          <w:szCs w:val="24"/>
          <w:bdr w:val="none" w:sz="0" w:space="0" w:color="auto" w:frame="1"/>
          <w:lang w:val="it-IT"/>
        </w:rPr>
        <w:t>confiée</w:t>
      </w:r>
      <w:proofErr w:type="spellEnd"/>
      <w:r w:rsidR="006A59AA" w:rsidRPr="004F6E28">
        <w:rPr>
          <w:rFonts w:ascii="Arial" w:hAnsi="Arial" w:cs="Arial"/>
          <w:color w:val="474747"/>
          <w:sz w:val="24"/>
          <w:szCs w:val="24"/>
          <w:lang w:val="it-IT"/>
        </w:rPr>
        <w:t>»</w:t>
      </w:r>
      <w:r w:rsidR="004B5CCD">
        <w:rPr>
          <w:rFonts w:ascii="Arial" w:hAnsi="Arial" w:cs="Arial"/>
          <w:color w:val="474747"/>
          <w:sz w:val="24"/>
          <w:szCs w:val="24"/>
          <w:lang w:val="it-IT"/>
        </w:rPr>
        <w:t xml:space="preserve">. </w:t>
      </w:r>
    </w:p>
    <w:p w:rsidR="006D4FCA" w:rsidRPr="004F6E28" w:rsidRDefault="004B5CCD" w:rsidP="004F6E28">
      <w:pPr>
        <w:jc w:val="both"/>
        <w:rPr>
          <w:rFonts w:ascii="Arial" w:hAnsi="Arial" w:cs="Arial"/>
          <w:color w:val="474747"/>
          <w:sz w:val="24"/>
          <w:szCs w:val="24"/>
          <w:lang w:val="it-IT"/>
        </w:rPr>
      </w:pPr>
      <w:r>
        <w:rPr>
          <w:rFonts w:ascii="Arial" w:hAnsi="Arial" w:cs="Arial"/>
          <w:color w:val="474747"/>
          <w:sz w:val="24"/>
          <w:szCs w:val="24"/>
          <w:lang w:val="it-IT"/>
        </w:rPr>
        <w:t>Viene</w:t>
      </w:r>
      <w:r w:rsidR="008C6F6B" w:rsidRPr="004F6E28">
        <w:rPr>
          <w:rFonts w:ascii="Arial" w:hAnsi="Arial" w:cs="Arial"/>
          <w:color w:val="474747"/>
          <w:sz w:val="24"/>
          <w:szCs w:val="24"/>
          <w:lang w:val="it-IT"/>
        </w:rPr>
        <w:t xml:space="preserve"> così</w:t>
      </w:r>
      <w:r w:rsidR="002E797E" w:rsidRPr="004F6E28">
        <w:rPr>
          <w:rFonts w:ascii="Arial" w:hAnsi="Arial" w:cs="Arial"/>
          <w:color w:val="474747"/>
          <w:sz w:val="24"/>
          <w:szCs w:val="24"/>
          <w:lang w:val="it-IT"/>
        </w:rPr>
        <w:t xml:space="preserve"> disegna</w:t>
      </w:r>
      <w:r>
        <w:rPr>
          <w:rFonts w:ascii="Arial" w:hAnsi="Arial" w:cs="Arial"/>
          <w:color w:val="474747"/>
          <w:sz w:val="24"/>
          <w:szCs w:val="24"/>
          <w:lang w:val="it-IT"/>
        </w:rPr>
        <w:t>to</w:t>
      </w:r>
      <w:r w:rsidR="002E797E" w:rsidRPr="004F6E28">
        <w:rPr>
          <w:rFonts w:ascii="Arial" w:hAnsi="Arial" w:cs="Arial"/>
          <w:color w:val="474747"/>
          <w:sz w:val="24"/>
          <w:szCs w:val="24"/>
          <w:lang w:val="it-IT"/>
        </w:rPr>
        <w:t xml:space="preserve"> un sistema di polizia funzionale allo Stato Comunità e non allo Stato P</w:t>
      </w:r>
      <w:r>
        <w:rPr>
          <w:rFonts w:ascii="Arial" w:hAnsi="Arial" w:cs="Arial"/>
          <w:color w:val="474747"/>
          <w:sz w:val="24"/>
          <w:szCs w:val="24"/>
          <w:lang w:val="it-IT"/>
        </w:rPr>
        <w:t>ersona</w:t>
      </w:r>
      <w:r w:rsidR="00FE4A82">
        <w:rPr>
          <w:rFonts w:ascii="Arial" w:hAnsi="Arial" w:cs="Arial"/>
          <w:color w:val="474747"/>
          <w:sz w:val="24"/>
          <w:szCs w:val="24"/>
          <w:lang w:val="it-IT"/>
        </w:rPr>
        <w:t>,</w:t>
      </w:r>
      <w:r>
        <w:rPr>
          <w:rFonts w:ascii="Arial" w:hAnsi="Arial" w:cs="Arial"/>
          <w:color w:val="474747"/>
          <w:sz w:val="24"/>
          <w:szCs w:val="24"/>
          <w:lang w:val="it-IT"/>
        </w:rPr>
        <w:t xml:space="preserve"> volto a salvaguardare </w:t>
      </w:r>
      <w:r w:rsidR="00FE4A82">
        <w:rPr>
          <w:rFonts w:ascii="Arial" w:hAnsi="Arial" w:cs="Arial"/>
          <w:color w:val="474747"/>
          <w:sz w:val="24"/>
          <w:szCs w:val="24"/>
          <w:lang w:val="it-IT"/>
        </w:rPr>
        <w:t xml:space="preserve">appunto </w:t>
      </w:r>
      <w:r>
        <w:rPr>
          <w:rFonts w:ascii="Arial" w:hAnsi="Arial" w:cs="Arial"/>
          <w:color w:val="474747"/>
          <w:sz w:val="24"/>
          <w:szCs w:val="24"/>
          <w:lang w:val="it-IT"/>
        </w:rPr>
        <w:t>il</w:t>
      </w:r>
      <w:r w:rsidR="008C6F6B" w:rsidRPr="004F6E28">
        <w:rPr>
          <w:rFonts w:ascii="Arial" w:hAnsi="Arial" w:cs="Arial"/>
          <w:color w:val="474747"/>
          <w:sz w:val="24"/>
          <w:szCs w:val="24"/>
          <w:lang w:val="it-IT"/>
        </w:rPr>
        <w:t xml:space="preserve"> valore democratico e collettivo dell’ordine </w:t>
      </w:r>
      <w:r>
        <w:rPr>
          <w:rFonts w:ascii="Arial" w:hAnsi="Arial" w:cs="Arial"/>
          <w:color w:val="474747"/>
          <w:sz w:val="24"/>
          <w:szCs w:val="24"/>
          <w:lang w:val="it-IT"/>
        </w:rPr>
        <w:t>pubblico. Non a caso l’art. 2</w:t>
      </w:r>
      <w:r w:rsidR="006A59AA" w:rsidRPr="004F6E28">
        <w:rPr>
          <w:rFonts w:ascii="Arial" w:hAnsi="Arial" w:cs="Arial"/>
          <w:color w:val="474747"/>
          <w:sz w:val="24"/>
          <w:szCs w:val="24"/>
          <w:lang w:val="it-IT"/>
        </w:rPr>
        <w:t xml:space="preserve"> declina la </w:t>
      </w:r>
      <w:r w:rsidR="00FB1CAB" w:rsidRPr="004F6E28">
        <w:rPr>
          <w:rFonts w:ascii="Arial" w:hAnsi="Arial" w:cs="Arial"/>
          <w:color w:val="474747"/>
          <w:sz w:val="24"/>
          <w:szCs w:val="24"/>
          <w:lang w:val="it-IT"/>
        </w:rPr>
        <w:t>s</w:t>
      </w:r>
      <w:r w:rsidR="006A59AA" w:rsidRPr="004F6E28">
        <w:rPr>
          <w:rFonts w:ascii="Arial" w:hAnsi="Arial" w:cs="Arial"/>
          <w:color w:val="474747"/>
          <w:sz w:val="24"/>
          <w:szCs w:val="24"/>
          <w:lang w:val="it-IT"/>
        </w:rPr>
        <w:t>icurezza</w:t>
      </w:r>
      <w:r w:rsidR="00DD37BC" w:rsidRPr="004F6E28">
        <w:rPr>
          <w:rFonts w:ascii="Arial" w:hAnsi="Arial" w:cs="Arial"/>
          <w:color w:val="474747"/>
          <w:sz w:val="24"/>
          <w:szCs w:val="24"/>
          <w:lang w:val="it-IT"/>
        </w:rPr>
        <w:t xml:space="preserve"> – da gestire in nome dei cittadini e non degli apparati che la governano -</w:t>
      </w:r>
      <w:r w:rsidR="006A59AA" w:rsidRPr="004F6E28">
        <w:rPr>
          <w:rFonts w:ascii="Arial" w:hAnsi="Arial" w:cs="Arial"/>
          <w:color w:val="474747"/>
          <w:sz w:val="24"/>
          <w:szCs w:val="24"/>
          <w:lang w:val="it-IT"/>
        </w:rPr>
        <w:t xml:space="preserve"> </w:t>
      </w:r>
      <w:r w:rsidR="002E797E" w:rsidRPr="004F6E28">
        <w:rPr>
          <w:rFonts w:ascii="Arial" w:hAnsi="Arial" w:cs="Arial"/>
          <w:color w:val="474747"/>
          <w:sz w:val="24"/>
          <w:szCs w:val="24"/>
          <w:lang w:val="it-IT"/>
        </w:rPr>
        <w:t>non</w:t>
      </w:r>
      <w:r w:rsidR="004B24EB" w:rsidRPr="004F6E28">
        <w:rPr>
          <w:rFonts w:ascii="Arial" w:hAnsi="Arial" w:cs="Arial"/>
          <w:color w:val="474747"/>
          <w:sz w:val="24"/>
          <w:szCs w:val="24"/>
          <w:lang w:val="it-IT"/>
        </w:rPr>
        <w:t xml:space="preserve"> </w:t>
      </w:r>
      <w:r w:rsidR="006A59AA" w:rsidRPr="004F6E28">
        <w:rPr>
          <w:rFonts w:ascii="Arial" w:hAnsi="Arial" w:cs="Arial"/>
          <w:color w:val="474747"/>
          <w:sz w:val="24"/>
          <w:szCs w:val="24"/>
          <w:lang w:val="it-IT"/>
        </w:rPr>
        <w:t>come “</w:t>
      </w:r>
      <w:proofErr w:type="spellStart"/>
      <w:r w:rsidR="00AA2428" w:rsidRPr="004F6E28">
        <w:rPr>
          <w:rFonts w:ascii="Arial" w:hAnsi="Arial" w:cs="Arial"/>
          <w:i/>
          <w:color w:val="474747"/>
          <w:sz w:val="24"/>
          <w:szCs w:val="24"/>
          <w:lang w:val="it-IT"/>
        </w:rPr>
        <w:t>sé</w:t>
      </w:r>
      <w:r w:rsidR="00DD37BC" w:rsidRPr="004F6E28">
        <w:rPr>
          <w:rFonts w:ascii="Arial" w:hAnsi="Arial" w:cs="Arial"/>
          <w:i/>
          <w:color w:val="474747"/>
          <w:sz w:val="24"/>
          <w:szCs w:val="24"/>
          <w:lang w:val="it-IT"/>
        </w:rPr>
        <w:t>curité</w:t>
      </w:r>
      <w:proofErr w:type="spellEnd"/>
      <w:r w:rsidR="006A59AA" w:rsidRPr="004F6E28">
        <w:rPr>
          <w:rFonts w:ascii="Arial" w:hAnsi="Arial" w:cs="Arial"/>
          <w:color w:val="474747"/>
          <w:sz w:val="24"/>
          <w:szCs w:val="24"/>
          <w:lang w:val="it-IT"/>
        </w:rPr>
        <w:t>” ma come “</w:t>
      </w:r>
      <w:proofErr w:type="spellStart"/>
      <w:r w:rsidR="002E797E" w:rsidRPr="004F6E28">
        <w:rPr>
          <w:rFonts w:ascii="Arial" w:hAnsi="Arial" w:cs="Arial"/>
          <w:i/>
          <w:color w:val="474747"/>
          <w:sz w:val="24"/>
          <w:szCs w:val="24"/>
          <w:lang w:val="it-IT"/>
        </w:rPr>
        <w:t>s</w:t>
      </w:r>
      <w:r w:rsidR="00AA2428" w:rsidRPr="004F6E28">
        <w:rPr>
          <w:rFonts w:ascii="Arial" w:hAnsi="Arial" w:cs="Arial"/>
          <w:i/>
          <w:color w:val="474747"/>
          <w:sz w:val="24"/>
          <w:szCs w:val="24"/>
          <w:lang w:val="it-IT"/>
        </w:rPr>
        <w:t>û</w:t>
      </w:r>
      <w:r w:rsidR="006A59AA" w:rsidRPr="004F6E28">
        <w:rPr>
          <w:rFonts w:ascii="Arial" w:hAnsi="Arial" w:cs="Arial"/>
          <w:i/>
          <w:color w:val="474747"/>
          <w:sz w:val="24"/>
          <w:szCs w:val="24"/>
          <w:lang w:val="it-IT"/>
        </w:rPr>
        <w:t>reté</w:t>
      </w:r>
      <w:proofErr w:type="spellEnd"/>
      <w:r w:rsidR="006A59AA" w:rsidRPr="004F6E28">
        <w:rPr>
          <w:rFonts w:ascii="Arial" w:hAnsi="Arial" w:cs="Arial"/>
          <w:color w:val="474747"/>
          <w:sz w:val="24"/>
          <w:szCs w:val="24"/>
          <w:lang w:val="it-IT"/>
        </w:rPr>
        <w:t>”. I due termini</w:t>
      </w:r>
      <w:r w:rsidR="00AA2428" w:rsidRPr="004F6E28">
        <w:rPr>
          <w:rFonts w:ascii="Arial" w:hAnsi="Arial" w:cs="Arial"/>
          <w:color w:val="474747"/>
          <w:sz w:val="24"/>
          <w:szCs w:val="24"/>
          <w:lang w:val="it-IT"/>
        </w:rPr>
        <w:t>,</w:t>
      </w:r>
      <w:r w:rsidR="002E797E" w:rsidRPr="004F6E28">
        <w:rPr>
          <w:rFonts w:ascii="Arial" w:hAnsi="Arial" w:cs="Arial"/>
          <w:color w:val="474747"/>
          <w:sz w:val="24"/>
          <w:szCs w:val="24"/>
          <w:lang w:val="it-IT"/>
        </w:rPr>
        <w:t xml:space="preserve"> pur </w:t>
      </w:r>
      <w:r w:rsidR="00DD37BC" w:rsidRPr="004F6E28">
        <w:rPr>
          <w:rFonts w:ascii="Arial" w:hAnsi="Arial" w:cs="Arial"/>
          <w:color w:val="474747"/>
          <w:sz w:val="24"/>
          <w:szCs w:val="24"/>
          <w:lang w:val="it-IT"/>
        </w:rPr>
        <w:t>entrambi traducibili</w:t>
      </w:r>
      <w:r w:rsidR="008C6F6B" w:rsidRPr="004F6E28">
        <w:rPr>
          <w:rFonts w:ascii="Arial" w:hAnsi="Arial" w:cs="Arial"/>
          <w:color w:val="474747"/>
          <w:sz w:val="24"/>
          <w:szCs w:val="24"/>
          <w:lang w:val="it-IT"/>
        </w:rPr>
        <w:t xml:space="preserve"> in italiano con</w:t>
      </w:r>
      <w:r w:rsidR="002E797E" w:rsidRPr="004F6E28">
        <w:rPr>
          <w:rFonts w:ascii="Arial" w:hAnsi="Arial" w:cs="Arial"/>
          <w:color w:val="474747"/>
          <w:sz w:val="24"/>
          <w:szCs w:val="24"/>
          <w:lang w:val="it-IT"/>
        </w:rPr>
        <w:t xml:space="preserve"> </w:t>
      </w:r>
      <w:r w:rsidR="008C6F6B" w:rsidRPr="004F6E28">
        <w:rPr>
          <w:rFonts w:ascii="Arial" w:hAnsi="Arial" w:cs="Arial"/>
          <w:color w:val="474747"/>
          <w:sz w:val="24"/>
          <w:szCs w:val="24"/>
          <w:lang w:val="it-IT"/>
        </w:rPr>
        <w:t>“</w:t>
      </w:r>
      <w:r w:rsidR="002E797E" w:rsidRPr="004F6E28">
        <w:rPr>
          <w:rFonts w:ascii="Arial" w:hAnsi="Arial" w:cs="Arial"/>
          <w:color w:val="474747"/>
          <w:sz w:val="24"/>
          <w:szCs w:val="24"/>
          <w:lang w:val="it-IT"/>
        </w:rPr>
        <w:t>sicurezza</w:t>
      </w:r>
      <w:r w:rsidR="008C6F6B" w:rsidRPr="004F6E28">
        <w:rPr>
          <w:rFonts w:ascii="Arial" w:hAnsi="Arial" w:cs="Arial"/>
          <w:color w:val="474747"/>
          <w:sz w:val="24"/>
          <w:szCs w:val="24"/>
          <w:lang w:val="it-IT"/>
        </w:rPr>
        <w:t>”</w:t>
      </w:r>
      <w:r w:rsidR="00610BD9" w:rsidRPr="004F6E28">
        <w:rPr>
          <w:rFonts w:ascii="Arial" w:hAnsi="Arial" w:cs="Arial"/>
          <w:color w:val="474747"/>
          <w:sz w:val="24"/>
          <w:szCs w:val="24"/>
          <w:lang w:val="it-IT"/>
        </w:rPr>
        <w:t>,</w:t>
      </w:r>
      <w:r w:rsidR="006A59AA" w:rsidRPr="004F6E28">
        <w:rPr>
          <w:rFonts w:ascii="Arial" w:hAnsi="Arial" w:cs="Arial"/>
          <w:color w:val="474747"/>
          <w:sz w:val="24"/>
          <w:szCs w:val="24"/>
          <w:lang w:val="it-IT"/>
        </w:rPr>
        <w:t xml:space="preserve"> </w:t>
      </w:r>
      <w:r w:rsidR="00FB1CAB" w:rsidRPr="004F6E28">
        <w:rPr>
          <w:rFonts w:ascii="Arial" w:hAnsi="Arial" w:cs="Arial"/>
          <w:color w:val="474747"/>
          <w:sz w:val="24"/>
          <w:szCs w:val="24"/>
          <w:lang w:val="it-IT"/>
        </w:rPr>
        <w:t>in francese</w:t>
      </w:r>
      <w:r w:rsidR="006A59AA" w:rsidRPr="004F6E28">
        <w:rPr>
          <w:rFonts w:ascii="Arial" w:hAnsi="Arial" w:cs="Arial"/>
          <w:color w:val="474747"/>
          <w:sz w:val="24"/>
          <w:szCs w:val="24"/>
          <w:lang w:val="it-IT"/>
        </w:rPr>
        <w:t xml:space="preserve"> hanno campi semantici lievemente sfa</w:t>
      </w:r>
      <w:r w:rsidR="00610BD9" w:rsidRPr="004F6E28">
        <w:rPr>
          <w:rFonts w:ascii="Arial" w:hAnsi="Arial" w:cs="Arial"/>
          <w:color w:val="474747"/>
          <w:sz w:val="24"/>
          <w:szCs w:val="24"/>
          <w:lang w:val="it-IT"/>
        </w:rPr>
        <w:t>l</w:t>
      </w:r>
      <w:r w:rsidR="00AA2428" w:rsidRPr="004F6E28">
        <w:rPr>
          <w:rFonts w:ascii="Arial" w:hAnsi="Arial" w:cs="Arial"/>
          <w:color w:val="474747"/>
          <w:sz w:val="24"/>
          <w:szCs w:val="24"/>
          <w:lang w:val="it-IT"/>
        </w:rPr>
        <w:t xml:space="preserve">sati: la </w:t>
      </w:r>
      <w:proofErr w:type="spellStart"/>
      <w:r w:rsidR="00AA2428" w:rsidRPr="004F6E28">
        <w:rPr>
          <w:rFonts w:ascii="Arial" w:hAnsi="Arial" w:cs="Arial"/>
          <w:i/>
          <w:color w:val="474747"/>
          <w:sz w:val="24"/>
          <w:szCs w:val="24"/>
          <w:lang w:val="it-IT"/>
        </w:rPr>
        <w:t>sé</w:t>
      </w:r>
      <w:r w:rsidR="006A59AA" w:rsidRPr="004F6E28">
        <w:rPr>
          <w:rFonts w:ascii="Arial" w:hAnsi="Arial" w:cs="Arial"/>
          <w:i/>
          <w:color w:val="474747"/>
          <w:sz w:val="24"/>
          <w:szCs w:val="24"/>
          <w:lang w:val="it-IT"/>
        </w:rPr>
        <w:t>cu</w:t>
      </w:r>
      <w:r w:rsidR="00DD37BC" w:rsidRPr="004F6E28">
        <w:rPr>
          <w:rFonts w:ascii="Arial" w:hAnsi="Arial" w:cs="Arial"/>
          <w:i/>
          <w:color w:val="474747"/>
          <w:sz w:val="24"/>
          <w:szCs w:val="24"/>
          <w:lang w:val="it-IT"/>
        </w:rPr>
        <w:t>rité</w:t>
      </w:r>
      <w:proofErr w:type="spellEnd"/>
      <w:r w:rsidR="00610BD9" w:rsidRPr="004F6E28">
        <w:rPr>
          <w:rFonts w:ascii="Arial" w:hAnsi="Arial" w:cs="Arial"/>
          <w:color w:val="474747"/>
          <w:sz w:val="24"/>
          <w:szCs w:val="24"/>
          <w:lang w:val="it-IT"/>
        </w:rPr>
        <w:t xml:space="preserve"> evoca</w:t>
      </w:r>
      <w:r w:rsidR="008C6F6B" w:rsidRPr="004F6E28">
        <w:rPr>
          <w:rFonts w:ascii="Arial" w:hAnsi="Arial" w:cs="Arial"/>
          <w:color w:val="474747"/>
          <w:sz w:val="24"/>
          <w:szCs w:val="24"/>
          <w:lang w:val="it-IT"/>
        </w:rPr>
        <w:t>, infatti,</w:t>
      </w:r>
      <w:r w:rsidR="006A59AA" w:rsidRPr="004F6E28">
        <w:rPr>
          <w:rFonts w:ascii="Arial" w:hAnsi="Arial" w:cs="Arial"/>
          <w:color w:val="474747"/>
          <w:sz w:val="24"/>
          <w:szCs w:val="24"/>
          <w:lang w:val="it-IT"/>
        </w:rPr>
        <w:t xml:space="preserve"> l’incolumità </w:t>
      </w:r>
      <w:r w:rsidR="00DD37BC" w:rsidRPr="004F6E28">
        <w:rPr>
          <w:rFonts w:ascii="Arial" w:hAnsi="Arial" w:cs="Arial"/>
          <w:color w:val="474747"/>
          <w:sz w:val="24"/>
          <w:szCs w:val="24"/>
          <w:lang w:val="it-IT"/>
        </w:rPr>
        <w:t>in senso</w:t>
      </w:r>
      <w:r w:rsidR="00FB1CAB" w:rsidRPr="004F6E28">
        <w:rPr>
          <w:rFonts w:ascii="Arial" w:hAnsi="Arial" w:cs="Arial"/>
          <w:color w:val="474747"/>
          <w:sz w:val="24"/>
          <w:szCs w:val="24"/>
          <w:lang w:val="it-IT"/>
        </w:rPr>
        <w:t xml:space="preserve"> materiale</w:t>
      </w:r>
      <w:r w:rsidR="00FE4A82">
        <w:rPr>
          <w:rFonts w:ascii="Arial" w:hAnsi="Arial" w:cs="Arial"/>
          <w:color w:val="474747"/>
          <w:sz w:val="24"/>
          <w:szCs w:val="24"/>
          <w:lang w:val="it-IT"/>
        </w:rPr>
        <w:t>,</w:t>
      </w:r>
      <w:r w:rsidR="00FB1CAB" w:rsidRPr="004F6E28">
        <w:rPr>
          <w:rFonts w:ascii="Arial" w:hAnsi="Arial" w:cs="Arial"/>
          <w:color w:val="474747"/>
          <w:sz w:val="24"/>
          <w:szCs w:val="24"/>
          <w:lang w:val="it-IT"/>
        </w:rPr>
        <w:t xml:space="preserve"> </w:t>
      </w:r>
      <w:r w:rsidR="00AA2428" w:rsidRPr="004F6E28">
        <w:rPr>
          <w:rFonts w:ascii="Arial" w:hAnsi="Arial" w:cs="Arial"/>
          <w:color w:val="474747"/>
          <w:sz w:val="24"/>
          <w:szCs w:val="24"/>
          <w:lang w:val="it-IT"/>
        </w:rPr>
        <w:t xml:space="preserve">mentre la </w:t>
      </w:r>
      <w:proofErr w:type="spellStart"/>
      <w:r w:rsidR="00AA2428" w:rsidRPr="004F6E28">
        <w:rPr>
          <w:rFonts w:ascii="Arial" w:hAnsi="Arial" w:cs="Arial"/>
          <w:i/>
          <w:color w:val="474747"/>
          <w:sz w:val="24"/>
          <w:szCs w:val="24"/>
          <w:lang w:val="it-IT"/>
        </w:rPr>
        <w:t>sû</w:t>
      </w:r>
      <w:r w:rsidR="006A59AA" w:rsidRPr="004F6E28">
        <w:rPr>
          <w:rFonts w:ascii="Arial" w:hAnsi="Arial" w:cs="Arial"/>
          <w:i/>
          <w:color w:val="474747"/>
          <w:sz w:val="24"/>
          <w:szCs w:val="24"/>
          <w:lang w:val="it-IT"/>
        </w:rPr>
        <w:t>reté</w:t>
      </w:r>
      <w:proofErr w:type="spellEnd"/>
      <w:r w:rsidR="006A59AA" w:rsidRPr="004F6E28">
        <w:rPr>
          <w:rFonts w:ascii="Arial" w:hAnsi="Arial" w:cs="Arial"/>
          <w:color w:val="474747"/>
          <w:sz w:val="24"/>
          <w:szCs w:val="24"/>
          <w:lang w:val="it-IT"/>
        </w:rPr>
        <w:t xml:space="preserve"> evoca la p</w:t>
      </w:r>
      <w:r w:rsidR="00AA2428" w:rsidRPr="004F6E28">
        <w:rPr>
          <w:rFonts w:ascii="Arial" w:hAnsi="Arial" w:cs="Arial"/>
          <w:color w:val="474747"/>
          <w:sz w:val="24"/>
          <w:szCs w:val="24"/>
          <w:lang w:val="it-IT"/>
        </w:rPr>
        <w:t>rotezione o garanzia dei citta</w:t>
      </w:r>
      <w:r w:rsidR="006A59AA" w:rsidRPr="004F6E28">
        <w:rPr>
          <w:rFonts w:ascii="Arial" w:hAnsi="Arial" w:cs="Arial"/>
          <w:color w:val="474747"/>
          <w:sz w:val="24"/>
          <w:szCs w:val="24"/>
          <w:lang w:val="it-IT"/>
        </w:rPr>
        <w:t>dini</w:t>
      </w:r>
      <w:r w:rsidR="006D4FCA" w:rsidRPr="004F6E28">
        <w:rPr>
          <w:rFonts w:ascii="Arial" w:hAnsi="Arial" w:cs="Arial"/>
          <w:color w:val="474747"/>
          <w:sz w:val="24"/>
          <w:szCs w:val="24"/>
          <w:lang w:val="it-IT"/>
        </w:rPr>
        <w:t>,</w:t>
      </w:r>
      <w:r w:rsidR="008C6F6B" w:rsidRPr="004F6E28">
        <w:rPr>
          <w:rFonts w:ascii="Arial" w:hAnsi="Arial" w:cs="Arial"/>
          <w:color w:val="474747"/>
          <w:sz w:val="24"/>
          <w:szCs w:val="24"/>
          <w:lang w:val="it-IT"/>
        </w:rPr>
        <w:t xml:space="preserve"> ossia proprio quella</w:t>
      </w:r>
      <w:r w:rsidR="006A59AA" w:rsidRPr="004F6E28">
        <w:rPr>
          <w:rFonts w:ascii="Arial" w:hAnsi="Arial" w:cs="Arial"/>
          <w:color w:val="474747"/>
          <w:sz w:val="24"/>
          <w:szCs w:val="24"/>
          <w:lang w:val="it-IT"/>
        </w:rPr>
        <w:t xml:space="preserve"> precondizione per </w:t>
      </w:r>
      <w:r w:rsidR="00FB1CAB" w:rsidRPr="004F6E28">
        <w:rPr>
          <w:rFonts w:ascii="Arial" w:hAnsi="Arial" w:cs="Arial"/>
          <w:color w:val="474747"/>
          <w:sz w:val="24"/>
          <w:szCs w:val="24"/>
          <w:lang w:val="it-IT"/>
        </w:rPr>
        <w:t>l’effettività di tutte le</w:t>
      </w:r>
      <w:r>
        <w:rPr>
          <w:rFonts w:ascii="Arial" w:hAnsi="Arial" w:cs="Arial"/>
          <w:color w:val="474747"/>
          <w:sz w:val="24"/>
          <w:szCs w:val="24"/>
          <w:lang w:val="it-IT"/>
        </w:rPr>
        <w:t xml:space="preserve"> altre</w:t>
      </w:r>
      <w:r w:rsidR="006A59AA" w:rsidRPr="004F6E28">
        <w:rPr>
          <w:rFonts w:ascii="Arial" w:hAnsi="Arial" w:cs="Arial"/>
          <w:color w:val="474747"/>
          <w:sz w:val="24"/>
          <w:szCs w:val="24"/>
          <w:lang w:val="it-IT"/>
        </w:rPr>
        <w:t xml:space="preserve"> </w:t>
      </w:r>
      <w:r w:rsidR="00610BD9" w:rsidRPr="004F6E28">
        <w:rPr>
          <w:rFonts w:ascii="Arial" w:hAnsi="Arial" w:cs="Arial"/>
          <w:color w:val="474747"/>
          <w:sz w:val="24"/>
          <w:szCs w:val="24"/>
          <w:lang w:val="it-IT"/>
        </w:rPr>
        <w:t>libertà riconosciute</w:t>
      </w:r>
      <w:r w:rsidR="008C6F6B" w:rsidRPr="004F6E28">
        <w:rPr>
          <w:rFonts w:ascii="Arial" w:hAnsi="Arial" w:cs="Arial"/>
          <w:color w:val="474747"/>
          <w:sz w:val="24"/>
          <w:szCs w:val="24"/>
          <w:lang w:val="it-IT"/>
        </w:rPr>
        <w:t xml:space="preserve"> già </w:t>
      </w:r>
      <w:r>
        <w:rPr>
          <w:rFonts w:ascii="Arial" w:hAnsi="Arial" w:cs="Arial"/>
          <w:color w:val="474747"/>
          <w:sz w:val="24"/>
          <w:szCs w:val="24"/>
          <w:lang w:val="it-IT"/>
        </w:rPr>
        <w:t xml:space="preserve">prima </w:t>
      </w:r>
      <w:r w:rsidR="008C6F6B" w:rsidRPr="004F6E28">
        <w:rPr>
          <w:rFonts w:ascii="Arial" w:hAnsi="Arial" w:cs="Arial"/>
          <w:color w:val="474747"/>
          <w:sz w:val="24"/>
          <w:szCs w:val="24"/>
          <w:lang w:val="it-IT"/>
        </w:rPr>
        <w:t>ricordata. Si aggiunga che, nel momento stesso in cui venivano declinati dei</w:t>
      </w:r>
      <w:r w:rsidR="00DD37BC" w:rsidRPr="004F6E28">
        <w:rPr>
          <w:rFonts w:ascii="Arial" w:hAnsi="Arial" w:cs="Arial"/>
          <w:color w:val="474747"/>
          <w:sz w:val="24"/>
          <w:szCs w:val="24"/>
          <w:lang w:val="it-IT"/>
        </w:rPr>
        <w:t xml:space="preserve"> diritti definiti come fondamentali </w:t>
      </w:r>
      <w:r w:rsidR="008C6F6B" w:rsidRPr="004F6E28">
        <w:rPr>
          <w:rFonts w:ascii="Arial" w:hAnsi="Arial" w:cs="Arial"/>
          <w:color w:val="474747"/>
          <w:sz w:val="24"/>
          <w:szCs w:val="24"/>
          <w:lang w:val="it-IT"/>
        </w:rPr>
        <w:t>e/o as</w:t>
      </w:r>
      <w:r>
        <w:rPr>
          <w:rFonts w:ascii="Arial" w:hAnsi="Arial" w:cs="Arial"/>
          <w:color w:val="474747"/>
          <w:sz w:val="24"/>
          <w:szCs w:val="24"/>
          <w:lang w:val="it-IT"/>
        </w:rPr>
        <w:t>soluti, nasceva inesorabilmente il problema</w:t>
      </w:r>
      <w:r w:rsidR="00DD37BC" w:rsidRPr="004F6E28">
        <w:rPr>
          <w:rFonts w:ascii="Arial" w:hAnsi="Arial" w:cs="Arial"/>
          <w:color w:val="474747"/>
          <w:sz w:val="24"/>
          <w:szCs w:val="24"/>
          <w:lang w:val="it-IT"/>
        </w:rPr>
        <w:t>, sul pi</w:t>
      </w:r>
      <w:r>
        <w:rPr>
          <w:rFonts w:ascii="Arial" w:hAnsi="Arial" w:cs="Arial"/>
          <w:color w:val="474747"/>
          <w:sz w:val="24"/>
          <w:szCs w:val="24"/>
          <w:lang w:val="it-IT"/>
        </w:rPr>
        <w:t>ano collettivo,</w:t>
      </w:r>
      <w:r w:rsidR="008C6F6B" w:rsidRPr="004F6E28">
        <w:rPr>
          <w:rFonts w:ascii="Arial" w:hAnsi="Arial" w:cs="Arial"/>
          <w:color w:val="474747"/>
          <w:sz w:val="24"/>
          <w:szCs w:val="24"/>
          <w:lang w:val="it-IT"/>
        </w:rPr>
        <w:t xml:space="preserve"> di come</w:t>
      </w:r>
      <w:r w:rsidR="00991407">
        <w:rPr>
          <w:rFonts w:ascii="Arial" w:hAnsi="Arial" w:cs="Arial"/>
          <w:color w:val="474747"/>
          <w:sz w:val="24"/>
          <w:szCs w:val="24"/>
          <w:lang w:val="it-IT"/>
        </w:rPr>
        <w:t xml:space="preserve"> gestir</w:t>
      </w:r>
      <w:r w:rsidR="00DD37BC" w:rsidRPr="004F6E28">
        <w:rPr>
          <w:rFonts w:ascii="Arial" w:hAnsi="Arial" w:cs="Arial"/>
          <w:color w:val="474747"/>
          <w:sz w:val="24"/>
          <w:szCs w:val="24"/>
          <w:lang w:val="it-IT"/>
        </w:rPr>
        <w:t xml:space="preserve">e </w:t>
      </w:r>
      <w:r w:rsidR="008C6F6B" w:rsidRPr="004F6E28">
        <w:rPr>
          <w:rFonts w:ascii="Arial" w:hAnsi="Arial" w:cs="Arial"/>
          <w:color w:val="474747"/>
          <w:sz w:val="24"/>
          <w:szCs w:val="24"/>
          <w:lang w:val="it-IT"/>
        </w:rPr>
        <w:t xml:space="preserve">in modo armonico </w:t>
      </w:r>
      <w:r>
        <w:rPr>
          <w:rFonts w:ascii="Arial" w:hAnsi="Arial" w:cs="Arial"/>
          <w:color w:val="474747"/>
          <w:sz w:val="24"/>
          <w:szCs w:val="24"/>
          <w:lang w:val="it-IT"/>
        </w:rPr>
        <w:t>il pu</w:t>
      </w:r>
      <w:r w:rsidR="00FE4A82">
        <w:rPr>
          <w:rFonts w:ascii="Arial" w:hAnsi="Arial" w:cs="Arial"/>
          <w:color w:val="474747"/>
          <w:sz w:val="24"/>
          <w:szCs w:val="24"/>
          <w:lang w:val="it-IT"/>
        </w:rPr>
        <w:t>r possibile conflitto tra</w:t>
      </w:r>
      <w:r>
        <w:rPr>
          <w:rFonts w:ascii="Arial" w:hAnsi="Arial" w:cs="Arial"/>
          <w:color w:val="474747"/>
          <w:sz w:val="24"/>
          <w:szCs w:val="24"/>
          <w:lang w:val="it-IT"/>
        </w:rPr>
        <w:t xml:space="preserve"> </w:t>
      </w:r>
      <w:r w:rsidR="001B74E9">
        <w:rPr>
          <w:rFonts w:ascii="Arial" w:hAnsi="Arial" w:cs="Arial"/>
          <w:color w:val="474747"/>
          <w:sz w:val="24"/>
          <w:szCs w:val="24"/>
          <w:lang w:val="it-IT"/>
        </w:rPr>
        <w:t>preroga</w:t>
      </w:r>
      <w:r w:rsidR="00F31D97">
        <w:rPr>
          <w:rFonts w:ascii="Arial" w:hAnsi="Arial" w:cs="Arial"/>
          <w:color w:val="474747"/>
          <w:sz w:val="24"/>
          <w:szCs w:val="24"/>
          <w:lang w:val="it-IT"/>
        </w:rPr>
        <w:t>tive tutte fondamentali per il tramite di</w:t>
      </w:r>
      <w:r w:rsidR="001B74E9">
        <w:rPr>
          <w:rFonts w:ascii="Arial" w:hAnsi="Arial" w:cs="Arial"/>
          <w:color w:val="474747"/>
          <w:sz w:val="24"/>
          <w:szCs w:val="24"/>
          <w:lang w:val="it-IT"/>
        </w:rPr>
        <w:t xml:space="preserve"> un parametro di </w:t>
      </w:r>
      <w:r w:rsidR="00F31D97">
        <w:rPr>
          <w:rFonts w:ascii="Arial" w:hAnsi="Arial" w:cs="Arial"/>
          <w:color w:val="474747"/>
          <w:sz w:val="24"/>
          <w:szCs w:val="24"/>
          <w:lang w:val="it-IT"/>
        </w:rPr>
        <w:t>“</w:t>
      </w:r>
      <w:r w:rsidR="001B74E9">
        <w:rPr>
          <w:rFonts w:ascii="Arial" w:hAnsi="Arial" w:cs="Arial"/>
          <w:color w:val="474747"/>
          <w:sz w:val="24"/>
          <w:szCs w:val="24"/>
          <w:lang w:val="it-IT"/>
        </w:rPr>
        <w:t>interesse generale</w:t>
      </w:r>
      <w:r w:rsidR="00F31D97">
        <w:rPr>
          <w:rFonts w:ascii="Arial" w:hAnsi="Arial" w:cs="Arial"/>
          <w:color w:val="474747"/>
          <w:sz w:val="24"/>
          <w:szCs w:val="24"/>
          <w:lang w:val="it-IT"/>
        </w:rPr>
        <w:t>”</w:t>
      </w:r>
      <w:r w:rsidR="001B74E9">
        <w:rPr>
          <w:rFonts w:ascii="Arial" w:hAnsi="Arial" w:cs="Arial"/>
          <w:color w:val="474747"/>
          <w:sz w:val="24"/>
          <w:szCs w:val="24"/>
          <w:lang w:val="it-IT"/>
        </w:rPr>
        <w:t xml:space="preserve"> costruito intorno ad un nucleo forte e comune di valori.</w:t>
      </w:r>
    </w:p>
    <w:p w:rsidR="00EA2245" w:rsidRPr="004F6E28" w:rsidRDefault="00DD37BC" w:rsidP="004F6E28">
      <w:pPr>
        <w:spacing w:after="0" w:line="240" w:lineRule="auto"/>
        <w:jc w:val="both"/>
        <w:rPr>
          <w:rFonts w:ascii="Arial" w:hAnsi="Arial" w:cs="Arial"/>
          <w:color w:val="474747"/>
          <w:sz w:val="24"/>
          <w:szCs w:val="24"/>
          <w:lang w:val="it-IT"/>
        </w:rPr>
      </w:pPr>
      <w:r w:rsidRPr="004F6E28">
        <w:rPr>
          <w:rFonts w:ascii="Arial" w:hAnsi="Arial" w:cs="Arial"/>
          <w:color w:val="474747"/>
          <w:sz w:val="24"/>
          <w:szCs w:val="24"/>
          <w:lang w:val="it-IT"/>
        </w:rPr>
        <w:t>Risulta dunque esplicito</w:t>
      </w:r>
      <w:r w:rsidR="00FB1F16" w:rsidRPr="004F6E28">
        <w:rPr>
          <w:rFonts w:ascii="Arial" w:hAnsi="Arial" w:cs="Arial"/>
          <w:color w:val="474747"/>
          <w:sz w:val="24"/>
          <w:szCs w:val="24"/>
          <w:lang w:val="it-IT"/>
        </w:rPr>
        <w:t>,</w:t>
      </w:r>
      <w:r w:rsidR="005E6804" w:rsidRPr="004F6E28">
        <w:rPr>
          <w:rFonts w:ascii="Arial" w:hAnsi="Arial" w:cs="Arial"/>
          <w:color w:val="474747"/>
          <w:sz w:val="24"/>
          <w:szCs w:val="24"/>
          <w:lang w:val="it-IT"/>
        </w:rPr>
        <w:t xml:space="preserve"> nella tradizione europea e segnatamente francese</w:t>
      </w:r>
      <w:r w:rsidR="00FB1F16" w:rsidRPr="004F6E28">
        <w:rPr>
          <w:rFonts w:ascii="Arial" w:hAnsi="Arial" w:cs="Arial"/>
          <w:color w:val="474747"/>
          <w:sz w:val="24"/>
          <w:szCs w:val="24"/>
          <w:lang w:val="it-IT"/>
        </w:rPr>
        <w:t>,</w:t>
      </w:r>
      <w:r w:rsidR="00A94113" w:rsidRPr="004F6E28">
        <w:rPr>
          <w:rFonts w:ascii="Arial" w:hAnsi="Arial" w:cs="Arial"/>
          <w:color w:val="474747"/>
          <w:sz w:val="24"/>
          <w:szCs w:val="24"/>
          <w:lang w:val="it-IT"/>
        </w:rPr>
        <w:t xml:space="preserve"> un concetto di ordine pubblico </w:t>
      </w:r>
      <w:r w:rsidR="006D4FCA" w:rsidRPr="004F6E28">
        <w:rPr>
          <w:rFonts w:ascii="Arial" w:hAnsi="Arial" w:cs="Arial"/>
          <w:color w:val="474747"/>
          <w:sz w:val="24"/>
          <w:szCs w:val="24"/>
          <w:lang w:val="it-IT"/>
        </w:rPr>
        <w:t xml:space="preserve">ideale di tipo </w:t>
      </w:r>
      <w:r w:rsidR="00A94113" w:rsidRPr="004F6E28">
        <w:rPr>
          <w:rFonts w:ascii="Arial" w:hAnsi="Arial" w:cs="Arial"/>
          <w:color w:val="474747"/>
          <w:sz w:val="24"/>
          <w:szCs w:val="24"/>
          <w:lang w:val="it-IT"/>
        </w:rPr>
        <w:t>democratico</w:t>
      </w:r>
      <w:r w:rsidR="0079465E" w:rsidRPr="004F6E28">
        <w:rPr>
          <w:rFonts w:ascii="Arial" w:hAnsi="Arial" w:cs="Arial"/>
          <w:color w:val="474747"/>
          <w:sz w:val="24"/>
          <w:szCs w:val="24"/>
          <w:lang w:val="it-IT"/>
        </w:rPr>
        <w:t>,</w:t>
      </w:r>
      <w:r w:rsidR="006D4FCA" w:rsidRPr="004F6E28">
        <w:rPr>
          <w:rFonts w:ascii="Arial" w:hAnsi="Arial" w:cs="Arial"/>
          <w:color w:val="474747"/>
          <w:sz w:val="24"/>
          <w:szCs w:val="24"/>
          <w:lang w:val="it-IT"/>
        </w:rPr>
        <w:t xml:space="preserve"> </w:t>
      </w:r>
      <w:r w:rsidR="00AA2428" w:rsidRPr="004F6E28">
        <w:rPr>
          <w:rFonts w:ascii="Arial" w:hAnsi="Arial" w:cs="Arial"/>
          <w:color w:val="474747"/>
          <w:sz w:val="24"/>
          <w:szCs w:val="24"/>
          <w:lang w:val="it-IT"/>
        </w:rPr>
        <w:t xml:space="preserve">che </w:t>
      </w:r>
      <w:r w:rsidR="006D4FCA" w:rsidRPr="004F6E28">
        <w:rPr>
          <w:rFonts w:ascii="Arial" w:hAnsi="Arial" w:cs="Arial"/>
          <w:color w:val="474747"/>
          <w:sz w:val="24"/>
          <w:szCs w:val="24"/>
          <w:lang w:val="it-IT"/>
        </w:rPr>
        <w:t>legittimamente si confronta con le libertà individuali anche di rango fondamentale</w:t>
      </w:r>
      <w:r w:rsidR="005E6804" w:rsidRPr="004F6E28">
        <w:rPr>
          <w:rFonts w:ascii="Arial" w:hAnsi="Arial" w:cs="Arial"/>
          <w:color w:val="474747"/>
          <w:sz w:val="24"/>
          <w:szCs w:val="24"/>
          <w:lang w:val="it-IT"/>
        </w:rPr>
        <w:t>, da cui la dottrina</w:t>
      </w:r>
      <w:r w:rsidR="00F31D97">
        <w:rPr>
          <w:rFonts w:ascii="Arial" w:hAnsi="Arial" w:cs="Arial"/>
          <w:color w:val="474747"/>
          <w:sz w:val="24"/>
          <w:szCs w:val="24"/>
          <w:lang w:val="it-IT"/>
        </w:rPr>
        <w:t>, sempre in prima battuta</w:t>
      </w:r>
      <w:r w:rsidR="001B74E9">
        <w:rPr>
          <w:rFonts w:ascii="Arial" w:hAnsi="Arial" w:cs="Arial"/>
          <w:color w:val="474747"/>
          <w:sz w:val="24"/>
          <w:szCs w:val="24"/>
          <w:lang w:val="it-IT"/>
        </w:rPr>
        <w:t xml:space="preserve"> francese,</w:t>
      </w:r>
      <w:r w:rsidR="005E6804" w:rsidRPr="004F6E28">
        <w:rPr>
          <w:rFonts w:ascii="Arial" w:hAnsi="Arial" w:cs="Arial"/>
          <w:color w:val="474747"/>
          <w:sz w:val="24"/>
          <w:szCs w:val="24"/>
          <w:lang w:val="it-IT"/>
        </w:rPr>
        <w:t xml:space="preserve"> ha preso le mosse per elaborare</w:t>
      </w:r>
      <w:r w:rsidR="0079465E" w:rsidRPr="004F6E28">
        <w:rPr>
          <w:rFonts w:ascii="Arial" w:hAnsi="Arial" w:cs="Arial"/>
          <w:color w:val="474747"/>
          <w:sz w:val="24"/>
          <w:szCs w:val="24"/>
          <w:lang w:val="it-IT"/>
        </w:rPr>
        <w:t xml:space="preserve"> il concetto di ordine pubblico economico e che,</w:t>
      </w:r>
      <w:r w:rsidR="008C6F6B" w:rsidRPr="004F6E28">
        <w:rPr>
          <w:rFonts w:ascii="Arial" w:hAnsi="Arial" w:cs="Arial"/>
          <w:color w:val="474747"/>
          <w:sz w:val="24"/>
          <w:szCs w:val="24"/>
          <w:lang w:val="it-IT"/>
        </w:rPr>
        <w:t xml:space="preserve"> ad esempio e</w:t>
      </w:r>
      <w:r w:rsidR="0079465E" w:rsidRPr="004F6E28">
        <w:rPr>
          <w:rFonts w:ascii="Arial" w:hAnsi="Arial" w:cs="Arial"/>
          <w:color w:val="474747"/>
          <w:sz w:val="24"/>
          <w:szCs w:val="24"/>
          <w:lang w:val="it-IT"/>
        </w:rPr>
        <w:t xml:space="preserve"> quanto alla circolazione dei modelli, </w:t>
      </w:r>
      <w:r w:rsidR="00AA2428" w:rsidRPr="004F6E28">
        <w:rPr>
          <w:rFonts w:ascii="Arial" w:hAnsi="Arial" w:cs="Arial"/>
          <w:color w:val="474747"/>
          <w:sz w:val="24"/>
          <w:szCs w:val="24"/>
          <w:lang w:val="it-IT"/>
        </w:rPr>
        <w:t>è</w:t>
      </w:r>
      <w:r w:rsidR="00A16F7F" w:rsidRPr="004F6E28">
        <w:rPr>
          <w:rFonts w:ascii="Arial" w:hAnsi="Arial" w:cs="Arial"/>
          <w:color w:val="474747"/>
          <w:sz w:val="24"/>
          <w:szCs w:val="24"/>
          <w:lang w:val="it-IT"/>
        </w:rPr>
        <w:t xml:space="preserve"> </w:t>
      </w:r>
      <w:r w:rsidR="00FB1CAB" w:rsidRPr="004F6E28">
        <w:rPr>
          <w:rFonts w:ascii="Arial" w:hAnsi="Arial" w:cs="Arial"/>
          <w:color w:val="474747"/>
          <w:sz w:val="24"/>
          <w:szCs w:val="24"/>
          <w:lang w:val="it-IT"/>
        </w:rPr>
        <w:t>migrato</w:t>
      </w:r>
      <w:r w:rsidR="00610BD9" w:rsidRPr="004F6E28">
        <w:rPr>
          <w:rFonts w:ascii="Arial" w:hAnsi="Arial" w:cs="Arial"/>
          <w:color w:val="474747"/>
          <w:sz w:val="24"/>
          <w:szCs w:val="24"/>
          <w:lang w:val="it-IT"/>
        </w:rPr>
        <w:t>,</w:t>
      </w:r>
      <w:r w:rsidR="00FB1CAB" w:rsidRPr="004F6E28">
        <w:rPr>
          <w:rFonts w:ascii="Arial" w:hAnsi="Arial" w:cs="Arial"/>
          <w:color w:val="474747"/>
          <w:sz w:val="24"/>
          <w:szCs w:val="24"/>
          <w:lang w:val="it-IT"/>
        </w:rPr>
        <w:t xml:space="preserve"> nell</w:t>
      </w:r>
      <w:r w:rsidR="0079465E" w:rsidRPr="004F6E28">
        <w:rPr>
          <w:rFonts w:ascii="Arial" w:hAnsi="Arial" w:cs="Arial"/>
          <w:color w:val="474747"/>
          <w:sz w:val="24"/>
          <w:szCs w:val="24"/>
          <w:lang w:val="it-IT"/>
        </w:rPr>
        <w:t>’art. 2 del protocollo 4 della C</w:t>
      </w:r>
      <w:r w:rsidR="00FB1CAB" w:rsidRPr="004F6E28">
        <w:rPr>
          <w:rFonts w:ascii="Arial" w:hAnsi="Arial" w:cs="Arial"/>
          <w:color w:val="474747"/>
          <w:sz w:val="24"/>
          <w:szCs w:val="24"/>
          <w:lang w:val="it-IT"/>
        </w:rPr>
        <w:t>onvenzione EDU</w:t>
      </w:r>
      <w:r w:rsidR="00AA2428" w:rsidRPr="004F6E28">
        <w:rPr>
          <w:rFonts w:ascii="Arial" w:hAnsi="Arial" w:cs="Arial"/>
          <w:color w:val="474747"/>
          <w:sz w:val="24"/>
          <w:szCs w:val="24"/>
          <w:lang w:val="it-IT"/>
        </w:rPr>
        <w:t>,</w:t>
      </w:r>
      <w:r w:rsidR="00FB1CAB" w:rsidRPr="004F6E28">
        <w:rPr>
          <w:rFonts w:ascii="Arial" w:hAnsi="Arial" w:cs="Arial"/>
          <w:color w:val="474747"/>
          <w:sz w:val="24"/>
          <w:szCs w:val="24"/>
          <w:lang w:val="it-IT"/>
        </w:rPr>
        <w:t xml:space="preserve"> là dove, con riferimento alla libertà di circolazi</w:t>
      </w:r>
      <w:r w:rsidR="008C6F6B" w:rsidRPr="004F6E28">
        <w:rPr>
          <w:rFonts w:ascii="Arial" w:hAnsi="Arial" w:cs="Arial"/>
          <w:color w:val="474747"/>
          <w:sz w:val="24"/>
          <w:szCs w:val="24"/>
          <w:lang w:val="it-IT"/>
        </w:rPr>
        <w:t xml:space="preserve">one, </w:t>
      </w:r>
      <w:r w:rsidR="005E6804" w:rsidRPr="004F6E28">
        <w:rPr>
          <w:rFonts w:ascii="Arial" w:hAnsi="Arial" w:cs="Arial"/>
          <w:color w:val="474747"/>
          <w:sz w:val="24"/>
          <w:szCs w:val="24"/>
          <w:lang w:val="it-IT"/>
        </w:rPr>
        <w:t>si ammettono</w:t>
      </w:r>
      <w:r w:rsidR="00AA2428" w:rsidRPr="004F6E28">
        <w:rPr>
          <w:rFonts w:ascii="Arial" w:hAnsi="Arial" w:cs="Arial"/>
          <w:color w:val="474747"/>
          <w:sz w:val="24"/>
          <w:szCs w:val="24"/>
          <w:lang w:val="it-IT"/>
        </w:rPr>
        <w:t xml:space="preserve"> limiti</w:t>
      </w:r>
      <w:r w:rsidR="0079465E" w:rsidRPr="004F6E28">
        <w:rPr>
          <w:rFonts w:ascii="Arial" w:hAnsi="Arial" w:cs="Arial"/>
          <w:color w:val="474747"/>
          <w:sz w:val="24"/>
          <w:szCs w:val="24"/>
          <w:lang w:val="it-IT"/>
        </w:rPr>
        <w:t xml:space="preserve"> espliciti di ordine pubblico se ed in</w:t>
      </w:r>
      <w:r w:rsidR="006D4FCA" w:rsidRPr="004F6E28">
        <w:rPr>
          <w:rFonts w:ascii="Arial" w:hAnsi="Arial" w:cs="Arial"/>
          <w:color w:val="474747"/>
          <w:sz w:val="24"/>
          <w:szCs w:val="24"/>
          <w:lang w:val="it-IT"/>
        </w:rPr>
        <w:t xml:space="preserve"> quanto</w:t>
      </w:r>
      <w:r w:rsidR="00AA2428" w:rsidRPr="004F6E28">
        <w:rPr>
          <w:rFonts w:ascii="Arial" w:hAnsi="Arial" w:cs="Arial"/>
          <w:color w:val="474747"/>
          <w:sz w:val="24"/>
          <w:szCs w:val="24"/>
          <w:lang w:val="it-IT"/>
        </w:rPr>
        <w:t>, “</w:t>
      </w:r>
      <w:proofErr w:type="spellStart"/>
      <w:r w:rsidR="00AA2428" w:rsidRPr="00F31D97">
        <w:rPr>
          <w:rFonts w:ascii="Arial" w:hAnsi="Arial" w:cs="Arial"/>
          <w:i/>
          <w:sz w:val="24"/>
          <w:szCs w:val="24"/>
          <w:lang w:val="it-IT"/>
        </w:rPr>
        <w:t>prévues</w:t>
      </w:r>
      <w:proofErr w:type="spellEnd"/>
      <w:r w:rsidR="00AA2428" w:rsidRPr="00F31D97">
        <w:rPr>
          <w:rFonts w:ascii="Arial" w:hAnsi="Arial" w:cs="Arial"/>
          <w:i/>
          <w:sz w:val="24"/>
          <w:szCs w:val="24"/>
          <w:lang w:val="it-IT"/>
        </w:rPr>
        <w:t xml:space="preserve"> par la </w:t>
      </w:r>
      <w:proofErr w:type="spellStart"/>
      <w:r w:rsidR="00AA2428" w:rsidRPr="00F31D97">
        <w:rPr>
          <w:rFonts w:ascii="Arial" w:hAnsi="Arial" w:cs="Arial"/>
          <w:i/>
          <w:sz w:val="24"/>
          <w:szCs w:val="24"/>
          <w:lang w:val="it-IT"/>
        </w:rPr>
        <w:t>loi</w:t>
      </w:r>
      <w:proofErr w:type="spellEnd"/>
      <w:r w:rsidR="00AA2428" w:rsidRPr="00F31D97">
        <w:rPr>
          <w:rFonts w:ascii="Arial" w:hAnsi="Arial" w:cs="Arial"/>
          <w:i/>
          <w:sz w:val="24"/>
          <w:szCs w:val="24"/>
          <w:lang w:val="it-IT"/>
        </w:rPr>
        <w:t xml:space="preserve">, </w:t>
      </w:r>
      <w:proofErr w:type="spellStart"/>
      <w:r w:rsidR="00AA2428" w:rsidRPr="00F31D97">
        <w:rPr>
          <w:rFonts w:ascii="Arial" w:hAnsi="Arial" w:cs="Arial"/>
          <w:i/>
          <w:sz w:val="24"/>
          <w:szCs w:val="24"/>
          <w:lang w:val="it-IT"/>
        </w:rPr>
        <w:t>constituent</w:t>
      </w:r>
      <w:proofErr w:type="spellEnd"/>
      <w:r w:rsidR="00AA2428" w:rsidRPr="00F31D97">
        <w:rPr>
          <w:rFonts w:ascii="Arial" w:hAnsi="Arial" w:cs="Arial"/>
          <w:i/>
          <w:sz w:val="24"/>
          <w:szCs w:val="24"/>
          <w:lang w:val="it-IT"/>
        </w:rPr>
        <w:t xml:space="preserve"> </w:t>
      </w:r>
      <w:proofErr w:type="spellStart"/>
      <w:r w:rsidR="00AA2428" w:rsidRPr="00F31D97">
        <w:rPr>
          <w:rFonts w:ascii="Arial" w:hAnsi="Arial" w:cs="Arial"/>
          <w:i/>
          <w:sz w:val="24"/>
          <w:szCs w:val="24"/>
          <w:lang w:val="it-IT"/>
        </w:rPr>
        <w:t>des</w:t>
      </w:r>
      <w:proofErr w:type="spellEnd"/>
      <w:r w:rsidR="00AA2428" w:rsidRPr="00F31D97">
        <w:rPr>
          <w:rFonts w:ascii="Arial" w:hAnsi="Arial" w:cs="Arial"/>
          <w:i/>
          <w:sz w:val="24"/>
          <w:szCs w:val="24"/>
          <w:lang w:val="it-IT"/>
        </w:rPr>
        <w:t xml:space="preserve"> </w:t>
      </w:r>
      <w:proofErr w:type="spellStart"/>
      <w:r w:rsidR="00AA2428" w:rsidRPr="00F31D97">
        <w:rPr>
          <w:rFonts w:ascii="Arial" w:hAnsi="Arial" w:cs="Arial"/>
          <w:i/>
          <w:sz w:val="24"/>
          <w:szCs w:val="24"/>
          <w:lang w:val="it-IT"/>
        </w:rPr>
        <w:t>mesures</w:t>
      </w:r>
      <w:proofErr w:type="spellEnd"/>
      <w:r w:rsidR="00AA2428" w:rsidRPr="00F31D97">
        <w:rPr>
          <w:rFonts w:ascii="Arial" w:hAnsi="Arial" w:cs="Arial"/>
          <w:i/>
          <w:sz w:val="24"/>
          <w:szCs w:val="24"/>
          <w:lang w:val="it-IT"/>
        </w:rPr>
        <w:t xml:space="preserve"> nécessaires, </w:t>
      </w:r>
      <w:proofErr w:type="spellStart"/>
      <w:r w:rsidR="00AA2428" w:rsidRPr="00F31D97">
        <w:rPr>
          <w:rFonts w:ascii="Arial" w:hAnsi="Arial" w:cs="Arial"/>
          <w:i/>
          <w:sz w:val="24"/>
          <w:szCs w:val="24"/>
          <w:lang w:val="it-IT"/>
        </w:rPr>
        <w:t>dans</w:t>
      </w:r>
      <w:proofErr w:type="spellEnd"/>
      <w:r w:rsidR="00AA2428" w:rsidRPr="00F31D97">
        <w:rPr>
          <w:rFonts w:ascii="Arial" w:hAnsi="Arial" w:cs="Arial"/>
          <w:i/>
          <w:sz w:val="24"/>
          <w:szCs w:val="24"/>
          <w:lang w:val="it-IT"/>
        </w:rPr>
        <w:t xml:space="preserve"> une </w:t>
      </w:r>
      <w:proofErr w:type="spellStart"/>
      <w:r w:rsidR="00AA2428" w:rsidRPr="00F31D97">
        <w:rPr>
          <w:rFonts w:ascii="Arial" w:hAnsi="Arial" w:cs="Arial"/>
          <w:i/>
          <w:sz w:val="24"/>
          <w:szCs w:val="24"/>
          <w:lang w:val="it-IT"/>
        </w:rPr>
        <w:t>société</w:t>
      </w:r>
      <w:proofErr w:type="spellEnd"/>
      <w:r w:rsidR="00AA2428" w:rsidRPr="00F31D97">
        <w:rPr>
          <w:rFonts w:ascii="Arial" w:hAnsi="Arial" w:cs="Arial"/>
          <w:i/>
          <w:sz w:val="24"/>
          <w:szCs w:val="24"/>
          <w:lang w:val="it-IT"/>
        </w:rPr>
        <w:t xml:space="preserve"> </w:t>
      </w:r>
      <w:proofErr w:type="spellStart"/>
      <w:r w:rsidR="00AA2428" w:rsidRPr="00F31D97">
        <w:rPr>
          <w:rFonts w:ascii="Arial" w:hAnsi="Arial" w:cs="Arial"/>
          <w:i/>
          <w:sz w:val="24"/>
          <w:szCs w:val="24"/>
          <w:lang w:val="it-IT"/>
        </w:rPr>
        <w:t>démocratique</w:t>
      </w:r>
      <w:proofErr w:type="spellEnd"/>
      <w:r w:rsidR="00AA2428" w:rsidRPr="00F31D97">
        <w:rPr>
          <w:rFonts w:ascii="Arial" w:hAnsi="Arial" w:cs="Arial"/>
          <w:i/>
          <w:sz w:val="24"/>
          <w:szCs w:val="24"/>
          <w:lang w:val="it-IT"/>
        </w:rPr>
        <w:t xml:space="preserve">, à la </w:t>
      </w:r>
      <w:proofErr w:type="spellStart"/>
      <w:r w:rsidR="00AA2428" w:rsidRPr="00F31D97">
        <w:rPr>
          <w:rFonts w:ascii="Arial" w:hAnsi="Arial" w:cs="Arial"/>
          <w:i/>
          <w:sz w:val="24"/>
          <w:szCs w:val="24"/>
          <w:lang w:val="it-IT"/>
        </w:rPr>
        <w:t>sécurité</w:t>
      </w:r>
      <w:proofErr w:type="spellEnd"/>
      <w:r w:rsidR="00AA2428" w:rsidRPr="00F31D97">
        <w:rPr>
          <w:rFonts w:ascii="Arial" w:hAnsi="Arial" w:cs="Arial"/>
          <w:i/>
          <w:sz w:val="24"/>
          <w:szCs w:val="24"/>
          <w:lang w:val="it-IT"/>
        </w:rPr>
        <w:t xml:space="preserve"> </w:t>
      </w:r>
      <w:proofErr w:type="spellStart"/>
      <w:r w:rsidR="00AA2428" w:rsidRPr="00F31D97">
        <w:rPr>
          <w:rFonts w:ascii="Arial" w:hAnsi="Arial" w:cs="Arial"/>
          <w:i/>
          <w:sz w:val="24"/>
          <w:szCs w:val="24"/>
          <w:lang w:val="it-IT"/>
        </w:rPr>
        <w:t>nationale</w:t>
      </w:r>
      <w:proofErr w:type="spellEnd"/>
      <w:r w:rsidR="00AA2428" w:rsidRPr="00F31D97">
        <w:rPr>
          <w:rFonts w:ascii="Arial" w:hAnsi="Arial" w:cs="Arial"/>
          <w:i/>
          <w:sz w:val="24"/>
          <w:szCs w:val="24"/>
          <w:lang w:val="it-IT"/>
        </w:rPr>
        <w:t xml:space="preserve">, à la </w:t>
      </w:r>
      <w:proofErr w:type="spellStart"/>
      <w:r w:rsidR="00AA2428" w:rsidRPr="00F31D97">
        <w:rPr>
          <w:rFonts w:ascii="Arial" w:hAnsi="Arial" w:cs="Arial"/>
          <w:i/>
          <w:sz w:val="24"/>
          <w:szCs w:val="24"/>
          <w:lang w:val="it-IT"/>
        </w:rPr>
        <w:t>sûreté</w:t>
      </w:r>
      <w:proofErr w:type="spellEnd"/>
      <w:r w:rsidR="00AA2428" w:rsidRPr="00F31D97">
        <w:rPr>
          <w:rFonts w:ascii="Arial" w:hAnsi="Arial" w:cs="Arial"/>
          <w:i/>
          <w:sz w:val="24"/>
          <w:szCs w:val="24"/>
          <w:lang w:val="it-IT"/>
        </w:rPr>
        <w:t xml:space="preserve"> </w:t>
      </w:r>
      <w:proofErr w:type="spellStart"/>
      <w:r w:rsidR="00AA2428" w:rsidRPr="00F31D97">
        <w:rPr>
          <w:rFonts w:ascii="Arial" w:hAnsi="Arial" w:cs="Arial"/>
          <w:i/>
          <w:sz w:val="24"/>
          <w:szCs w:val="24"/>
          <w:lang w:val="it-IT"/>
        </w:rPr>
        <w:t>publique</w:t>
      </w:r>
      <w:proofErr w:type="spellEnd"/>
      <w:r w:rsidR="00AA2428" w:rsidRPr="00F31D97">
        <w:rPr>
          <w:rFonts w:ascii="Arial" w:hAnsi="Arial" w:cs="Arial"/>
          <w:i/>
          <w:sz w:val="24"/>
          <w:szCs w:val="24"/>
          <w:lang w:val="it-IT"/>
        </w:rPr>
        <w:t>,</w:t>
      </w:r>
      <w:r w:rsidR="008C6F6B" w:rsidRPr="00F31D97">
        <w:rPr>
          <w:rFonts w:ascii="Arial" w:hAnsi="Arial" w:cs="Arial"/>
          <w:i/>
          <w:sz w:val="24"/>
          <w:szCs w:val="24"/>
          <w:lang w:val="it-IT"/>
        </w:rPr>
        <w:t xml:space="preserve"> </w:t>
      </w:r>
      <w:proofErr w:type="spellStart"/>
      <w:r w:rsidR="008C6F6B" w:rsidRPr="00F31D97">
        <w:rPr>
          <w:rFonts w:ascii="Arial" w:hAnsi="Arial" w:cs="Arial"/>
          <w:i/>
          <w:sz w:val="24"/>
          <w:szCs w:val="24"/>
          <w:lang w:val="it-IT"/>
        </w:rPr>
        <w:t>au</w:t>
      </w:r>
      <w:proofErr w:type="spellEnd"/>
      <w:r w:rsidR="008C6F6B" w:rsidRPr="00F31D97">
        <w:rPr>
          <w:rFonts w:ascii="Arial" w:hAnsi="Arial" w:cs="Arial"/>
          <w:i/>
          <w:sz w:val="24"/>
          <w:szCs w:val="24"/>
          <w:lang w:val="it-IT"/>
        </w:rPr>
        <w:t xml:space="preserve"> </w:t>
      </w:r>
      <w:proofErr w:type="spellStart"/>
      <w:r w:rsidR="008C6F6B" w:rsidRPr="00F31D97">
        <w:rPr>
          <w:rFonts w:ascii="Arial" w:hAnsi="Arial" w:cs="Arial"/>
          <w:i/>
          <w:sz w:val="24"/>
          <w:szCs w:val="24"/>
          <w:lang w:val="it-IT"/>
        </w:rPr>
        <w:t>maintien</w:t>
      </w:r>
      <w:proofErr w:type="spellEnd"/>
      <w:r w:rsidR="008C6F6B" w:rsidRPr="00F31D97">
        <w:rPr>
          <w:rFonts w:ascii="Arial" w:hAnsi="Arial" w:cs="Arial"/>
          <w:i/>
          <w:sz w:val="24"/>
          <w:szCs w:val="24"/>
          <w:lang w:val="it-IT"/>
        </w:rPr>
        <w:t xml:space="preserve"> de l’</w:t>
      </w:r>
      <w:proofErr w:type="spellStart"/>
      <w:r w:rsidR="008C6F6B" w:rsidRPr="00F31D97">
        <w:rPr>
          <w:rFonts w:ascii="Arial" w:hAnsi="Arial" w:cs="Arial"/>
          <w:i/>
          <w:sz w:val="24"/>
          <w:szCs w:val="24"/>
          <w:lang w:val="it-IT"/>
        </w:rPr>
        <w:t>ordre</w:t>
      </w:r>
      <w:proofErr w:type="spellEnd"/>
      <w:r w:rsidR="008C6F6B" w:rsidRPr="00F31D97">
        <w:rPr>
          <w:rFonts w:ascii="Arial" w:hAnsi="Arial" w:cs="Arial"/>
          <w:i/>
          <w:sz w:val="24"/>
          <w:szCs w:val="24"/>
          <w:lang w:val="it-IT"/>
        </w:rPr>
        <w:t xml:space="preserve"> public</w:t>
      </w:r>
      <w:r w:rsidR="008C6F6B" w:rsidRPr="004F6E28">
        <w:rPr>
          <w:rFonts w:ascii="Arial" w:hAnsi="Arial" w:cs="Arial"/>
          <w:sz w:val="24"/>
          <w:szCs w:val="24"/>
          <w:lang w:val="it-IT"/>
        </w:rPr>
        <w:t>”</w:t>
      </w:r>
      <w:r w:rsidR="00FB1CAB" w:rsidRPr="004F6E28">
        <w:rPr>
          <w:rFonts w:ascii="Arial" w:hAnsi="Arial" w:cs="Arial"/>
          <w:color w:val="474747"/>
          <w:sz w:val="24"/>
          <w:szCs w:val="24"/>
          <w:lang w:val="it-IT"/>
        </w:rPr>
        <w:t>.</w:t>
      </w:r>
    </w:p>
    <w:p w:rsidR="001B74E9" w:rsidRDefault="001B74E9" w:rsidP="004F6E28">
      <w:pPr>
        <w:spacing w:after="0" w:line="240" w:lineRule="auto"/>
        <w:jc w:val="both"/>
        <w:rPr>
          <w:rFonts w:ascii="Arial" w:hAnsi="Arial" w:cs="Arial"/>
          <w:color w:val="686868"/>
          <w:sz w:val="24"/>
          <w:szCs w:val="24"/>
          <w:shd w:val="clear" w:color="auto" w:fill="FFFFFF"/>
          <w:lang w:val="it-IT"/>
        </w:rPr>
      </w:pPr>
      <w:r>
        <w:rPr>
          <w:rFonts w:ascii="Arial" w:hAnsi="Arial" w:cs="Arial"/>
          <w:color w:val="686868"/>
          <w:sz w:val="24"/>
          <w:szCs w:val="24"/>
          <w:shd w:val="clear" w:color="auto" w:fill="FFFFFF"/>
          <w:lang w:val="it-IT"/>
        </w:rPr>
        <w:t>Questa</w:t>
      </w:r>
      <w:r w:rsidR="005E6804" w:rsidRPr="004F6E28">
        <w:rPr>
          <w:rFonts w:ascii="Arial" w:hAnsi="Arial" w:cs="Arial"/>
          <w:color w:val="686868"/>
          <w:sz w:val="24"/>
          <w:szCs w:val="24"/>
          <w:shd w:val="clear" w:color="auto" w:fill="FFFFFF"/>
          <w:lang w:val="it-IT"/>
        </w:rPr>
        <w:t xml:space="preserve"> matrice culturale dell’</w:t>
      </w:r>
      <w:r w:rsidR="00610BD9" w:rsidRPr="004F6E28">
        <w:rPr>
          <w:rFonts w:ascii="Arial" w:hAnsi="Arial" w:cs="Arial"/>
          <w:color w:val="686868"/>
          <w:sz w:val="24"/>
          <w:szCs w:val="24"/>
          <w:shd w:val="clear" w:color="auto" w:fill="FFFFFF"/>
          <w:lang w:val="it-IT"/>
        </w:rPr>
        <w:t>ordine pubblico</w:t>
      </w:r>
      <w:r w:rsidR="005E6804" w:rsidRPr="004F6E28">
        <w:rPr>
          <w:rFonts w:ascii="Arial" w:hAnsi="Arial" w:cs="Arial"/>
          <w:color w:val="686868"/>
          <w:sz w:val="24"/>
          <w:szCs w:val="24"/>
          <w:shd w:val="clear" w:color="auto" w:fill="FFFFFF"/>
          <w:lang w:val="it-IT"/>
        </w:rPr>
        <w:t xml:space="preserve"> democratico</w:t>
      </w:r>
      <w:r w:rsidR="00AB155C" w:rsidRPr="004F6E28">
        <w:rPr>
          <w:rFonts w:ascii="Arial" w:hAnsi="Arial" w:cs="Arial"/>
          <w:color w:val="686868"/>
          <w:sz w:val="24"/>
          <w:szCs w:val="24"/>
          <w:shd w:val="clear" w:color="auto" w:fill="FFFFFF"/>
          <w:lang w:val="it-IT"/>
        </w:rPr>
        <w:t xml:space="preserve"> </w:t>
      </w:r>
      <w:r w:rsidR="006D4FCA" w:rsidRPr="004F6E28">
        <w:rPr>
          <w:rFonts w:ascii="Arial" w:hAnsi="Arial" w:cs="Arial"/>
          <w:color w:val="686868"/>
          <w:sz w:val="24"/>
          <w:szCs w:val="24"/>
          <w:shd w:val="clear" w:color="auto" w:fill="FFFFFF"/>
          <w:lang w:val="it-IT"/>
        </w:rPr>
        <w:t xml:space="preserve">è </w:t>
      </w:r>
      <w:r w:rsidR="005E6804" w:rsidRPr="004F6E28">
        <w:rPr>
          <w:rFonts w:ascii="Arial" w:hAnsi="Arial" w:cs="Arial"/>
          <w:color w:val="686868"/>
          <w:sz w:val="24"/>
          <w:szCs w:val="24"/>
          <w:shd w:val="clear" w:color="auto" w:fill="FFFFFF"/>
          <w:lang w:val="it-IT"/>
        </w:rPr>
        <w:t xml:space="preserve">appunto </w:t>
      </w:r>
      <w:r w:rsidR="002E3F81">
        <w:rPr>
          <w:rFonts w:ascii="Arial" w:hAnsi="Arial" w:cs="Arial"/>
          <w:color w:val="686868"/>
          <w:sz w:val="24"/>
          <w:szCs w:val="24"/>
          <w:shd w:val="clear" w:color="auto" w:fill="FFFFFF"/>
          <w:lang w:val="it-IT"/>
        </w:rPr>
        <w:t>quella fatta</w:t>
      </w:r>
      <w:r>
        <w:rPr>
          <w:rFonts w:ascii="Arial" w:hAnsi="Arial" w:cs="Arial"/>
          <w:color w:val="686868"/>
          <w:sz w:val="24"/>
          <w:szCs w:val="24"/>
          <w:shd w:val="clear" w:color="auto" w:fill="FFFFFF"/>
          <w:lang w:val="it-IT"/>
        </w:rPr>
        <w:t xml:space="preserve"> propria</w:t>
      </w:r>
      <w:r w:rsidR="00AB155C" w:rsidRPr="004F6E28">
        <w:rPr>
          <w:rFonts w:ascii="Arial" w:hAnsi="Arial" w:cs="Arial"/>
          <w:color w:val="686868"/>
          <w:sz w:val="24"/>
          <w:szCs w:val="24"/>
          <w:shd w:val="clear" w:color="auto" w:fill="FFFFFF"/>
          <w:lang w:val="it-IT"/>
        </w:rPr>
        <w:t xml:space="preserve"> </w:t>
      </w:r>
      <w:r>
        <w:rPr>
          <w:rFonts w:ascii="Arial" w:hAnsi="Arial" w:cs="Arial"/>
          <w:color w:val="686868"/>
          <w:sz w:val="24"/>
          <w:szCs w:val="24"/>
          <w:shd w:val="clear" w:color="auto" w:fill="FFFFFF"/>
          <w:lang w:val="it-IT"/>
        </w:rPr>
        <w:t>da</w:t>
      </w:r>
      <w:r w:rsidR="0058492F" w:rsidRPr="004F6E28">
        <w:rPr>
          <w:rFonts w:ascii="Arial" w:hAnsi="Arial" w:cs="Arial"/>
          <w:color w:val="686868"/>
          <w:sz w:val="24"/>
          <w:szCs w:val="24"/>
          <w:shd w:val="clear" w:color="auto" w:fill="FFFFFF"/>
          <w:lang w:val="it-IT"/>
        </w:rPr>
        <w:t>lle p</w:t>
      </w:r>
      <w:r w:rsidR="00A16F7F" w:rsidRPr="004F6E28">
        <w:rPr>
          <w:rFonts w:ascii="Arial" w:hAnsi="Arial" w:cs="Arial"/>
          <w:color w:val="686868"/>
          <w:sz w:val="24"/>
          <w:szCs w:val="24"/>
          <w:shd w:val="clear" w:color="auto" w:fill="FFFFFF"/>
          <w:lang w:val="it-IT"/>
        </w:rPr>
        <w:t xml:space="preserve">ronunce </w:t>
      </w:r>
      <w:r w:rsidR="006D4FCA" w:rsidRPr="004F6E28">
        <w:rPr>
          <w:rFonts w:ascii="Arial" w:hAnsi="Arial" w:cs="Arial"/>
          <w:color w:val="686868"/>
          <w:sz w:val="24"/>
          <w:szCs w:val="24"/>
          <w:shd w:val="clear" w:color="auto" w:fill="FFFFFF"/>
          <w:lang w:val="it-IT"/>
        </w:rPr>
        <w:t>della Corte Costituzionale italiana</w:t>
      </w:r>
      <w:r>
        <w:rPr>
          <w:rFonts w:ascii="Arial" w:hAnsi="Arial" w:cs="Arial"/>
          <w:color w:val="686868"/>
          <w:sz w:val="24"/>
          <w:szCs w:val="24"/>
          <w:shd w:val="clear" w:color="auto" w:fill="FFFFFF"/>
          <w:lang w:val="it-IT"/>
        </w:rPr>
        <w:t xml:space="preserve"> nell’</w:t>
      </w:r>
      <w:r w:rsidR="002E3F81">
        <w:rPr>
          <w:rFonts w:ascii="Arial" w:hAnsi="Arial" w:cs="Arial"/>
          <w:color w:val="686868"/>
          <w:sz w:val="24"/>
          <w:szCs w:val="24"/>
          <w:shd w:val="clear" w:color="auto" w:fill="FFFFFF"/>
          <w:lang w:val="it-IT"/>
        </w:rPr>
        <w:t>af</w:t>
      </w:r>
      <w:r w:rsidR="00800170">
        <w:rPr>
          <w:rFonts w:ascii="Arial" w:hAnsi="Arial" w:cs="Arial"/>
          <w:color w:val="686868"/>
          <w:sz w:val="24"/>
          <w:szCs w:val="24"/>
          <w:shd w:val="clear" w:color="auto" w:fill="FFFFFF"/>
          <w:lang w:val="it-IT"/>
        </w:rPr>
        <w:t>frontare ipotesi di conflitto</w:t>
      </w:r>
      <w:r w:rsidR="002E3F81">
        <w:rPr>
          <w:rFonts w:ascii="Arial" w:hAnsi="Arial" w:cs="Arial"/>
          <w:color w:val="686868"/>
          <w:sz w:val="24"/>
          <w:szCs w:val="24"/>
          <w:shd w:val="clear" w:color="auto" w:fill="FFFFFF"/>
          <w:lang w:val="it-IT"/>
        </w:rPr>
        <w:t xml:space="preserve"> </w:t>
      </w:r>
      <w:r w:rsidR="00F31D97">
        <w:rPr>
          <w:rFonts w:ascii="Arial" w:hAnsi="Arial" w:cs="Arial"/>
          <w:color w:val="686868"/>
          <w:sz w:val="24"/>
          <w:szCs w:val="24"/>
          <w:shd w:val="clear" w:color="auto" w:fill="FFFFFF"/>
          <w:lang w:val="it-IT"/>
        </w:rPr>
        <w:t>della libera iniziativa economica</w:t>
      </w:r>
      <w:r w:rsidR="002E3F81">
        <w:rPr>
          <w:rFonts w:ascii="Arial" w:hAnsi="Arial" w:cs="Arial"/>
          <w:color w:val="686868"/>
          <w:sz w:val="24"/>
          <w:szCs w:val="24"/>
          <w:shd w:val="clear" w:color="auto" w:fill="FFFFFF"/>
          <w:lang w:val="it-IT"/>
        </w:rPr>
        <w:t xml:space="preserve"> con </w:t>
      </w:r>
      <w:r w:rsidR="008C6F6B" w:rsidRPr="004F6E28">
        <w:rPr>
          <w:rFonts w:ascii="Arial" w:hAnsi="Arial" w:cs="Arial"/>
          <w:color w:val="686868"/>
          <w:sz w:val="24"/>
          <w:szCs w:val="24"/>
          <w:shd w:val="clear" w:color="auto" w:fill="FFFFFF"/>
          <w:lang w:val="it-IT"/>
        </w:rPr>
        <w:t>i limiti collettivi</w:t>
      </w:r>
      <w:r w:rsidR="00F31D97">
        <w:rPr>
          <w:rFonts w:ascii="Arial" w:hAnsi="Arial" w:cs="Arial"/>
          <w:color w:val="686868"/>
          <w:sz w:val="24"/>
          <w:szCs w:val="24"/>
          <w:shd w:val="clear" w:color="auto" w:fill="FFFFFF"/>
          <w:lang w:val="it-IT"/>
        </w:rPr>
        <w:t xml:space="preserve"> di interesse generale dettati dall’art. 41</w:t>
      </w:r>
      <w:r>
        <w:rPr>
          <w:rFonts w:ascii="Arial" w:hAnsi="Arial" w:cs="Arial"/>
          <w:color w:val="686868"/>
          <w:sz w:val="24"/>
          <w:szCs w:val="24"/>
          <w:shd w:val="clear" w:color="auto" w:fill="FFFFFF"/>
          <w:lang w:val="it-IT"/>
        </w:rPr>
        <w:t>.</w:t>
      </w:r>
    </w:p>
    <w:p w:rsidR="0079465E" w:rsidRPr="004F6E28" w:rsidRDefault="001B74E9" w:rsidP="001B74E9">
      <w:pPr>
        <w:spacing w:after="0" w:line="240" w:lineRule="auto"/>
        <w:jc w:val="both"/>
        <w:rPr>
          <w:rFonts w:ascii="Arial" w:hAnsi="Arial" w:cs="Arial"/>
          <w:color w:val="686868"/>
          <w:sz w:val="24"/>
          <w:szCs w:val="24"/>
          <w:shd w:val="clear" w:color="auto" w:fill="FFFFFF"/>
          <w:lang w:val="it-IT"/>
        </w:rPr>
      </w:pPr>
      <w:r>
        <w:rPr>
          <w:rFonts w:ascii="Arial" w:hAnsi="Arial" w:cs="Arial"/>
          <w:color w:val="686868"/>
          <w:sz w:val="24"/>
          <w:szCs w:val="24"/>
          <w:shd w:val="clear" w:color="auto" w:fill="FFFFFF"/>
          <w:lang w:val="it-IT"/>
        </w:rPr>
        <w:t>Il percorso seguito dalla giurispr</w:t>
      </w:r>
      <w:r w:rsidR="00F31D97">
        <w:rPr>
          <w:rFonts w:ascii="Arial" w:hAnsi="Arial" w:cs="Arial"/>
          <w:color w:val="686868"/>
          <w:sz w:val="24"/>
          <w:szCs w:val="24"/>
          <w:shd w:val="clear" w:color="auto" w:fill="FFFFFF"/>
          <w:lang w:val="it-IT"/>
        </w:rPr>
        <w:t>udenza costituzionale</w:t>
      </w:r>
      <w:r>
        <w:rPr>
          <w:rFonts w:ascii="Arial" w:hAnsi="Arial" w:cs="Arial"/>
          <w:color w:val="686868"/>
          <w:sz w:val="24"/>
          <w:szCs w:val="24"/>
          <w:shd w:val="clear" w:color="auto" w:fill="FFFFFF"/>
          <w:lang w:val="it-IT"/>
        </w:rPr>
        <w:t xml:space="preserve"> rappresenta </w:t>
      </w:r>
      <w:r w:rsidR="00991407">
        <w:rPr>
          <w:rFonts w:ascii="Arial" w:hAnsi="Arial" w:cs="Arial"/>
          <w:color w:val="686868"/>
          <w:sz w:val="24"/>
          <w:szCs w:val="24"/>
          <w:shd w:val="clear" w:color="auto" w:fill="FFFFFF"/>
          <w:lang w:val="it-IT"/>
        </w:rPr>
        <w:t xml:space="preserve">così </w:t>
      </w:r>
      <w:r>
        <w:rPr>
          <w:rFonts w:ascii="Arial" w:hAnsi="Arial" w:cs="Arial"/>
          <w:color w:val="686868"/>
          <w:sz w:val="24"/>
          <w:szCs w:val="24"/>
          <w:shd w:val="clear" w:color="auto" w:fill="FFFFFF"/>
          <w:lang w:val="it-IT"/>
        </w:rPr>
        <w:t>un esempio</w:t>
      </w:r>
      <w:r w:rsidR="002E3F81">
        <w:rPr>
          <w:rFonts w:ascii="Arial" w:hAnsi="Arial" w:cs="Arial"/>
          <w:color w:val="686868"/>
          <w:sz w:val="24"/>
          <w:szCs w:val="24"/>
          <w:shd w:val="clear" w:color="auto" w:fill="FFFFFF"/>
          <w:lang w:val="it-IT"/>
        </w:rPr>
        <w:t xml:space="preserve"> </w:t>
      </w:r>
      <w:r>
        <w:rPr>
          <w:rFonts w:ascii="Arial" w:hAnsi="Arial" w:cs="Arial"/>
          <w:color w:val="686868"/>
          <w:sz w:val="24"/>
          <w:szCs w:val="24"/>
          <w:shd w:val="clear" w:color="auto" w:fill="FFFFFF"/>
          <w:lang w:val="it-IT"/>
        </w:rPr>
        <w:t>del fenomeno della</w:t>
      </w:r>
      <w:r w:rsidR="008C6F6B" w:rsidRPr="004F6E28">
        <w:rPr>
          <w:rFonts w:ascii="Arial" w:hAnsi="Arial" w:cs="Arial"/>
          <w:color w:val="686868"/>
          <w:sz w:val="24"/>
          <w:szCs w:val="24"/>
          <w:shd w:val="clear" w:color="auto" w:fill="FFFFFF"/>
          <w:lang w:val="it-IT"/>
        </w:rPr>
        <w:t xml:space="preserve"> circolazione</w:t>
      </w:r>
      <w:r w:rsidR="00F31D97">
        <w:rPr>
          <w:rFonts w:ascii="Arial" w:hAnsi="Arial" w:cs="Arial"/>
          <w:color w:val="686868"/>
          <w:sz w:val="24"/>
          <w:szCs w:val="24"/>
          <w:shd w:val="clear" w:color="auto" w:fill="FFFFFF"/>
          <w:lang w:val="it-IT"/>
        </w:rPr>
        <w:t xml:space="preserve"> tra</w:t>
      </w:r>
      <w:r>
        <w:rPr>
          <w:rFonts w:ascii="Arial" w:hAnsi="Arial" w:cs="Arial"/>
          <w:color w:val="686868"/>
          <w:sz w:val="24"/>
          <w:szCs w:val="24"/>
          <w:shd w:val="clear" w:color="auto" w:fill="FFFFFF"/>
          <w:lang w:val="it-IT"/>
        </w:rPr>
        <w:t xml:space="preserve"> modelli ordiname</w:t>
      </w:r>
      <w:r w:rsidR="00F31D97">
        <w:rPr>
          <w:rFonts w:ascii="Arial" w:hAnsi="Arial" w:cs="Arial"/>
          <w:color w:val="686868"/>
          <w:sz w:val="24"/>
          <w:szCs w:val="24"/>
          <w:shd w:val="clear" w:color="auto" w:fill="FFFFFF"/>
          <w:lang w:val="it-IT"/>
        </w:rPr>
        <w:t>ntali affini secondo modalità disallineate</w:t>
      </w:r>
      <w:r>
        <w:rPr>
          <w:rFonts w:ascii="Arial" w:hAnsi="Arial" w:cs="Arial"/>
          <w:color w:val="686868"/>
          <w:sz w:val="24"/>
          <w:szCs w:val="24"/>
          <w:shd w:val="clear" w:color="auto" w:fill="FFFFFF"/>
          <w:lang w:val="it-IT"/>
        </w:rPr>
        <w:t xml:space="preserve"> tra i</w:t>
      </w:r>
      <w:r w:rsidR="008C6F6B" w:rsidRPr="004F6E28">
        <w:rPr>
          <w:rFonts w:ascii="Arial" w:hAnsi="Arial" w:cs="Arial"/>
          <w:color w:val="686868"/>
          <w:sz w:val="24"/>
          <w:szCs w:val="24"/>
          <w:shd w:val="clear" w:color="auto" w:fill="FFFFFF"/>
          <w:lang w:val="it-IT"/>
        </w:rPr>
        <w:t xml:space="preserve"> </w:t>
      </w:r>
      <w:r w:rsidR="005E6804" w:rsidRPr="004F6E28">
        <w:rPr>
          <w:rFonts w:ascii="Arial" w:hAnsi="Arial" w:cs="Arial"/>
          <w:color w:val="686868"/>
          <w:sz w:val="24"/>
          <w:szCs w:val="24"/>
          <w:shd w:val="clear" w:color="auto" w:fill="FFFFFF"/>
          <w:lang w:val="it-IT"/>
        </w:rPr>
        <w:t>diversi formanti (normativo, giurisprudenziale e dottrinario) che</w:t>
      </w:r>
      <w:r w:rsidR="00F31D97">
        <w:rPr>
          <w:rFonts w:ascii="Arial" w:hAnsi="Arial" w:cs="Arial"/>
          <w:color w:val="686868"/>
          <w:sz w:val="24"/>
          <w:szCs w:val="24"/>
          <w:shd w:val="clear" w:color="auto" w:fill="FFFFFF"/>
          <w:lang w:val="it-IT"/>
        </w:rPr>
        <w:t xml:space="preserve"> li</w:t>
      </w:r>
      <w:r>
        <w:rPr>
          <w:rFonts w:ascii="Arial" w:hAnsi="Arial" w:cs="Arial"/>
          <w:color w:val="686868"/>
          <w:sz w:val="24"/>
          <w:szCs w:val="24"/>
          <w:shd w:val="clear" w:color="auto" w:fill="FFFFFF"/>
          <w:lang w:val="it-IT"/>
        </w:rPr>
        <w:t xml:space="preserve"> compongono, fenomeno che spiega perché quelle che, lette in un’ottica puramente nazionale</w:t>
      </w:r>
      <w:r w:rsidR="00991407">
        <w:rPr>
          <w:rFonts w:ascii="Arial" w:hAnsi="Arial" w:cs="Arial"/>
          <w:color w:val="686868"/>
          <w:sz w:val="24"/>
          <w:szCs w:val="24"/>
          <w:shd w:val="clear" w:color="auto" w:fill="FFFFFF"/>
          <w:lang w:val="it-IT"/>
        </w:rPr>
        <w:t>,</w:t>
      </w:r>
      <w:r>
        <w:rPr>
          <w:rFonts w:ascii="Arial" w:hAnsi="Arial" w:cs="Arial"/>
          <w:color w:val="686868"/>
          <w:sz w:val="24"/>
          <w:szCs w:val="24"/>
          <w:shd w:val="clear" w:color="auto" w:fill="FFFFFF"/>
          <w:lang w:val="it-IT"/>
        </w:rPr>
        <w:t xml:space="preserve"> appaiono come contraddizioni interne</w:t>
      </w:r>
      <w:r w:rsidR="002E3F81">
        <w:rPr>
          <w:rFonts w:ascii="Arial" w:hAnsi="Arial" w:cs="Arial"/>
          <w:color w:val="686868"/>
          <w:sz w:val="24"/>
          <w:szCs w:val="24"/>
          <w:shd w:val="clear" w:color="auto" w:fill="FFFFFF"/>
          <w:lang w:val="it-IT"/>
        </w:rPr>
        <w:t>,</w:t>
      </w:r>
      <w:r>
        <w:rPr>
          <w:rFonts w:ascii="Arial" w:hAnsi="Arial" w:cs="Arial"/>
          <w:color w:val="686868"/>
          <w:sz w:val="24"/>
          <w:szCs w:val="24"/>
          <w:shd w:val="clear" w:color="auto" w:fill="FFFFFF"/>
          <w:lang w:val="it-IT"/>
        </w:rPr>
        <w:t xml:space="preserve"> rappresentano invece fisiologiche forme di evoluzione e permeabilità dei sistemi</w:t>
      </w:r>
      <w:r w:rsidR="008C6F6B" w:rsidRPr="004F6E28">
        <w:rPr>
          <w:rFonts w:ascii="Arial" w:hAnsi="Arial" w:cs="Arial"/>
          <w:color w:val="686868"/>
          <w:sz w:val="24"/>
          <w:szCs w:val="24"/>
          <w:shd w:val="clear" w:color="auto" w:fill="FFFFFF"/>
          <w:lang w:val="it-IT"/>
        </w:rPr>
        <w:t>.</w:t>
      </w:r>
      <w:r w:rsidR="0079465E" w:rsidRPr="004F6E28">
        <w:rPr>
          <w:rFonts w:ascii="Arial" w:hAnsi="Arial" w:cs="Arial"/>
          <w:color w:val="686868"/>
          <w:sz w:val="24"/>
          <w:szCs w:val="24"/>
          <w:shd w:val="clear" w:color="auto" w:fill="FFFFFF"/>
          <w:lang w:val="it-IT"/>
        </w:rPr>
        <w:t xml:space="preserve"> </w:t>
      </w:r>
    </w:p>
    <w:p w:rsidR="00991407" w:rsidRDefault="006D4FCA" w:rsidP="001B74E9">
      <w:pPr>
        <w:spacing w:after="0" w:line="240" w:lineRule="auto"/>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Nella giurisprudenza della Corte</w:t>
      </w:r>
      <w:r w:rsidR="002E3F81">
        <w:rPr>
          <w:rFonts w:ascii="Arial" w:hAnsi="Arial" w:cs="Arial"/>
          <w:color w:val="686868"/>
          <w:sz w:val="24"/>
          <w:szCs w:val="24"/>
          <w:shd w:val="clear" w:color="auto" w:fill="FFFFFF"/>
          <w:lang w:val="it-IT"/>
        </w:rPr>
        <w:t xml:space="preserve"> Costituzionale, infatti</w:t>
      </w:r>
      <w:r w:rsidR="00211A66" w:rsidRPr="004F6E28">
        <w:rPr>
          <w:rFonts w:ascii="Arial" w:hAnsi="Arial" w:cs="Arial"/>
          <w:color w:val="686868"/>
          <w:sz w:val="24"/>
          <w:szCs w:val="24"/>
          <w:shd w:val="clear" w:color="auto" w:fill="FFFFFF"/>
          <w:lang w:val="it-IT"/>
        </w:rPr>
        <w:t>,</w:t>
      </w:r>
      <w:r w:rsidRPr="004F6E28">
        <w:rPr>
          <w:rFonts w:ascii="Arial" w:hAnsi="Arial" w:cs="Arial"/>
          <w:color w:val="686868"/>
          <w:sz w:val="24"/>
          <w:szCs w:val="24"/>
          <w:shd w:val="clear" w:color="auto" w:fill="FFFFFF"/>
          <w:lang w:val="it-IT"/>
        </w:rPr>
        <w:t xml:space="preserve"> l’ordine pubblic</w:t>
      </w:r>
      <w:r w:rsidR="002E3F81">
        <w:rPr>
          <w:rFonts w:ascii="Arial" w:hAnsi="Arial" w:cs="Arial"/>
          <w:color w:val="686868"/>
          <w:sz w:val="24"/>
          <w:szCs w:val="24"/>
          <w:shd w:val="clear" w:color="auto" w:fill="FFFFFF"/>
          <w:lang w:val="it-IT"/>
        </w:rPr>
        <w:t>o</w:t>
      </w:r>
      <w:r w:rsidR="00283C7C" w:rsidRPr="004F6E28">
        <w:rPr>
          <w:rFonts w:ascii="Arial" w:hAnsi="Arial" w:cs="Arial"/>
          <w:color w:val="686868"/>
          <w:sz w:val="24"/>
          <w:szCs w:val="24"/>
          <w:shd w:val="clear" w:color="auto" w:fill="FFFFFF"/>
          <w:lang w:val="it-IT"/>
        </w:rPr>
        <w:t xml:space="preserve"> in ambiti pubblici e collettivi</w:t>
      </w:r>
      <w:r w:rsidR="002E3F81">
        <w:rPr>
          <w:rFonts w:ascii="Arial" w:hAnsi="Arial" w:cs="Arial"/>
          <w:color w:val="686868"/>
          <w:sz w:val="24"/>
          <w:szCs w:val="24"/>
          <w:shd w:val="clear" w:color="auto" w:fill="FFFFFF"/>
          <w:lang w:val="it-IT"/>
        </w:rPr>
        <w:t xml:space="preserve"> supera</w:t>
      </w:r>
      <w:r w:rsidR="00F31D97">
        <w:rPr>
          <w:rFonts w:ascii="Arial" w:hAnsi="Arial" w:cs="Arial"/>
          <w:color w:val="686868"/>
          <w:sz w:val="24"/>
          <w:szCs w:val="24"/>
          <w:shd w:val="clear" w:color="auto" w:fill="FFFFFF"/>
          <w:lang w:val="it-IT"/>
        </w:rPr>
        <w:t xml:space="preserve"> il concetto di</w:t>
      </w:r>
      <w:r w:rsidRPr="004F6E28">
        <w:rPr>
          <w:rFonts w:ascii="Arial" w:hAnsi="Arial" w:cs="Arial"/>
          <w:color w:val="686868"/>
          <w:sz w:val="24"/>
          <w:szCs w:val="24"/>
          <w:shd w:val="clear" w:color="auto" w:fill="FFFFFF"/>
          <w:lang w:val="it-IT"/>
        </w:rPr>
        <w:t xml:space="preserve"> sicurezza in</w:t>
      </w:r>
      <w:r w:rsidR="00F31D97">
        <w:rPr>
          <w:rFonts w:ascii="Arial" w:hAnsi="Arial" w:cs="Arial"/>
          <w:color w:val="686868"/>
          <w:sz w:val="24"/>
          <w:szCs w:val="24"/>
          <w:shd w:val="clear" w:color="auto" w:fill="FFFFFF"/>
          <w:lang w:val="it-IT"/>
        </w:rPr>
        <w:t>teso</w:t>
      </w:r>
      <w:r w:rsidR="001B74E9">
        <w:rPr>
          <w:rFonts w:ascii="Arial" w:hAnsi="Arial" w:cs="Arial"/>
          <w:color w:val="686868"/>
          <w:sz w:val="24"/>
          <w:szCs w:val="24"/>
          <w:shd w:val="clear" w:color="auto" w:fill="FFFFFF"/>
          <w:lang w:val="it-IT"/>
        </w:rPr>
        <w:t xml:space="preserve"> come </w:t>
      </w:r>
      <w:r w:rsidR="00F31D97">
        <w:rPr>
          <w:rFonts w:ascii="Arial" w:hAnsi="Arial" w:cs="Arial"/>
          <w:color w:val="686868"/>
          <w:sz w:val="24"/>
          <w:szCs w:val="24"/>
          <w:shd w:val="clear" w:color="auto" w:fill="FFFFFF"/>
          <w:lang w:val="it-IT"/>
        </w:rPr>
        <w:t xml:space="preserve">mera </w:t>
      </w:r>
      <w:r w:rsidR="001B74E9">
        <w:rPr>
          <w:rFonts w:ascii="Arial" w:hAnsi="Arial" w:cs="Arial"/>
          <w:color w:val="686868"/>
          <w:sz w:val="24"/>
          <w:szCs w:val="24"/>
          <w:shd w:val="clear" w:color="auto" w:fill="FFFFFF"/>
          <w:lang w:val="it-IT"/>
        </w:rPr>
        <w:t>incolumità ed entra</w:t>
      </w:r>
      <w:r w:rsidRPr="004F6E28">
        <w:rPr>
          <w:rFonts w:ascii="Arial" w:hAnsi="Arial" w:cs="Arial"/>
          <w:color w:val="686868"/>
          <w:sz w:val="24"/>
          <w:szCs w:val="24"/>
          <w:shd w:val="clear" w:color="auto" w:fill="FFFFFF"/>
          <w:lang w:val="it-IT"/>
        </w:rPr>
        <w:t xml:space="preserve"> nel necessario bil</w:t>
      </w:r>
      <w:r w:rsidR="00211A66" w:rsidRPr="004F6E28">
        <w:rPr>
          <w:rFonts w:ascii="Arial" w:hAnsi="Arial" w:cs="Arial"/>
          <w:color w:val="686868"/>
          <w:sz w:val="24"/>
          <w:szCs w:val="24"/>
          <w:shd w:val="clear" w:color="auto" w:fill="FFFFFF"/>
          <w:lang w:val="it-IT"/>
        </w:rPr>
        <w:t>anciamento dei diritti</w:t>
      </w:r>
      <w:r w:rsidR="00F31D97">
        <w:rPr>
          <w:rFonts w:ascii="Arial" w:hAnsi="Arial" w:cs="Arial"/>
          <w:color w:val="686868"/>
          <w:sz w:val="24"/>
          <w:szCs w:val="24"/>
          <w:shd w:val="clear" w:color="auto" w:fill="FFFFFF"/>
          <w:lang w:val="it-IT"/>
        </w:rPr>
        <w:t xml:space="preserve"> secondo logiche democratiche</w:t>
      </w:r>
      <w:r w:rsidRPr="004F6E28">
        <w:rPr>
          <w:rFonts w:ascii="Arial" w:hAnsi="Arial" w:cs="Arial"/>
          <w:color w:val="686868"/>
          <w:sz w:val="24"/>
          <w:szCs w:val="24"/>
          <w:shd w:val="clear" w:color="auto" w:fill="FFFFFF"/>
          <w:lang w:val="it-IT"/>
        </w:rPr>
        <w:t xml:space="preserve">. </w:t>
      </w:r>
    </w:p>
    <w:p w:rsidR="006D4FCA" w:rsidRPr="004F6E28" w:rsidRDefault="002E2160" w:rsidP="001B74E9">
      <w:pPr>
        <w:spacing w:after="0" w:line="240" w:lineRule="auto"/>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N</w:t>
      </w:r>
      <w:r w:rsidR="006D4FCA" w:rsidRPr="004F6E28">
        <w:rPr>
          <w:rFonts w:ascii="Arial" w:hAnsi="Arial" w:cs="Arial"/>
          <w:color w:val="686868"/>
          <w:sz w:val="24"/>
          <w:szCs w:val="24"/>
          <w:shd w:val="clear" w:color="auto" w:fill="FFFFFF"/>
          <w:lang w:val="it-IT"/>
        </w:rPr>
        <w:t xml:space="preserve">ella sentenza n. 2 del 1956, </w:t>
      </w:r>
      <w:r w:rsidR="00211A66" w:rsidRPr="004F6E28">
        <w:rPr>
          <w:rFonts w:ascii="Arial" w:hAnsi="Arial" w:cs="Arial"/>
          <w:color w:val="686868"/>
          <w:sz w:val="24"/>
          <w:szCs w:val="24"/>
          <w:shd w:val="clear" w:color="auto" w:fill="FFFFFF"/>
          <w:lang w:val="it-IT"/>
        </w:rPr>
        <w:t xml:space="preserve">ad esempio, </w:t>
      </w:r>
      <w:r w:rsidR="002E3F81">
        <w:rPr>
          <w:rFonts w:ascii="Arial" w:hAnsi="Arial" w:cs="Arial"/>
          <w:color w:val="686868"/>
          <w:sz w:val="24"/>
          <w:szCs w:val="24"/>
          <w:shd w:val="clear" w:color="auto" w:fill="FFFFFF"/>
          <w:lang w:val="it-IT"/>
        </w:rPr>
        <w:t xml:space="preserve">resa </w:t>
      </w:r>
      <w:r w:rsidR="006D4FCA" w:rsidRPr="004F6E28">
        <w:rPr>
          <w:rFonts w:ascii="Arial" w:hAnsi="Arial" w:cs="Arial"/>
          <w:color w:val="686868"/>
          <w:sz w:val="24"/>
          <w:szCs w:val="24"/>
          <w:shd w:val="clear" w:color="auto" w:fill="FFFFFF"/>
          <w:lang w:val="it-IT"/>
        </w:rPr>
        <w:t xml:space="preserve">proprio in materia di misure di sicurezza, </w:t>
      </w:r>
      <w:r w:rsidR="009D21CB" w:rsidRPr="004F6E28">
        <w:rPr>
          <w:rFonts w:ascii="Arial" w:hAnsi="Arial" w:cs="Arial"/>
          <w:color w:val="686868"/>
          <w:sz w:val="24"/>
          <w:szCs w:val="24"/>
          <w:shd w:val="clear" w:color="auto" w:fill="FFFFFF"/>
          <w:lang w:val="it-IT"/>
        </w:rPr>
        <w:t xml:space="preserve">ancorché personali, </w:t>
      </w:r>
      <w:r w:rsidR="006D4FCA" w:rsidRPr="004F6E28">
        <w:rPr>
          <w:rFonts w:ascii="Arial" w:hAnsi="Arial" w:cs="Arial"/>
          <w:color w:val="686868"/>
          <w:sz w:val="24"/>
          <w:szCs w:val="24"/>
          <w:shd w:val="clear" w:color="auto" w:fill="FFFFFF"/>
          <w:lang w:val="it-IT"/>
        </w:rPr>
        <w:t xml:space="preserve">si legge: “esclusa l’interpretazione, inammissibilmente angusta che la sicurezza riguardi solo l’incolumità fisica, sembra razionale e conforme allo spirito della Costituzione dare alla parola “sicurezza” il significato di situazione nella quale sia assicurato </w:t>
      </w:r>
      <w:r w:rsidR="00211A66" w:rsidRPr="004F6E28">
        <w:rPr>
          <w:rFonts w:ascii="Arial" w:hAnsi="Arial" w:cs="Arial"/>
          <w:color w:val="686868"/>
          <w:sz w:val="24"/>
          <w:szCs w:val="24"/>
          <w:shd w:val="clear" w:color="auto" w:fill="FFFFFF"/>
          <w:lang w:val="it-IT"/>
        </w:rPr>
        <w:t>a</w:t>
      </w:r>
      <w:r w:rsidR="006D4FCA" w:rsidRPr="004F6E28">
        <w:rPr>
          <w:rFonts w:ascii="Arial" w:hAnsi="Arial" w:cs="Arial"/>
          <w:color w:val="686868"/>
          <w:sz w:val="24"/>
          <w:szCs w:val="24"/>
          <w:shd w:val="clear" w:color="auto" w:fill="FFFFFF"/>
          <w:lang w:val="it-IT"/>
        </w:rPr>
        <w:t>i cittadini, per quanto possibile, il pacifico esercizio di quei diritti di libertà che la Costituzione garantisce con ta</w:t>
      </w:r>
      <w:r w:rsidR="00211A66" w:rsidRPr="004F6E28">
        <w:rPr>
          <w:rFonts w:ascii="Arial" w:hAnsi="Arial" w:cs="Arial"/>
          <w:color w:val="686868"/>
          <w:sz w:val="24"/>
          <w:szCs w:val="24"/>
          <w:shd w:val="clear" w:color="auto" w:fill="FFFFFF"/>
          <w:lang w:val="it-IT"/>
        </w:rPr>
        <w:t>nta forza. Sicurezza si ha quand</w:t>
      </w:r>
      <w:r w:rsidR="006D4FCA" w:rsidRPr="004F6E28">
        <w:rPr>
          <w:rFonts w:ascii="Arial" w:hAnsi="Arial" w:cs="Arial"/>
          <w:color w:val="686868"/>
          <w:sz w:val="24"/>
          <w:szCs w:val="24"/>
          <w:shd w:val="clear" w:color="auto" w:fill="FFFFFF"/>
          <w:lang w:val="it-IT"/>
        </w:rPr>
        <w:t xml:space="preserve">o il cittadino può svolgere la propria lecita attività senza essere minacciato da offese alla propria personalità fisica o morale; è l’ordinato vivere civile che è indubbiamente la meta di uno stato di diritto libero e democratico”.   </w:t>
      </w:r>
    </w:p>
    <w:p w:rsidR="006D4FCA" w:rsidRPr="004F6E28" w:rsidRDefault="002E2160" w:rsidP="004F6E28">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lastRenderedPageBreak/>
        <w:t>Ancora si afferma</w:t>
      </w:r>
      <w:r w:rsidR="009D21CB" w:rsidRPr="004F6E28">
        <w:rPr>
          <w:rFonts w:ascii="Arial" w:hAnsi="Arial" w:cs="Arial"/>
          <w:color w:val="686868"/>
          <w:sz w:val="24"/>
          <w:szCs w:val="24"/>
          <w:shd w:val="clear" w:color="auto" w:fill="FFFFFF"/>
          <w:lang w:val="it-IT"/>
        </w:rPr>
        <w:t xml:space="preserve"> nella</w:t>
      </w:r>
      <w:r w:rsidR="00AB155C" w:rsidRPr="004F6E28">
        <w:rPr>
          <w:rFonts w:ascii="Arial" w:hAnsi="Arial" w:cs="Arial"/>
          <w:color w:val="686868"/>
          <w:sz w:val="24"/>
          <w:szCs w:val="24"/>
          <w:shd w:val="clear" w:color="auto" w:fill="FFFFFF"/>
          <w:lang w:val="it-IT"/>
        </w:rPr>
        <w:t xml:space="preserve"> </w:t>
      </w:r>
      <w:r w:rsidR="009D21CB" w:rsidRPr="004F6E28">
        <w:rPr>
          <w:rFonts w:ascii="Arial" w:hAnsi="Arial" w:cs="Arial"/>
          <w:color w:val="686868"/>
          <w:sz w:val="24"/>
          <w:szCs w:val="24"/>
          <w:shd w:val="clear" w:color="auto" w:fill="FFFFFF"/>
          <w:lang w:val="it-IT"/>
        </w:rPr>
        <w:t>decisione</w:t>
      </w:r>
      <w:r w:rsidR="00AB155C" w:rsidRPr="004F6E28">
        <w:rPr>
          <w:rFonts w:ascii="Arial" w:hAnsi="Arial" w:cs="Arial"/>
          <w:color w:val="686868"/>
          <w:sz w:val="24"/>
          <w:szCs w:val="24"/>
          <w:shd w:val="clear" w:color="auto" w:fill="FFFFFF"/>
          <w:lang w:val="it-IT"/>
        </w:rPr>
        <w:t xml:space="preserve"> 16 marzo 1962</w:t>
      </w:r>
      <w:r w:rsidR="00F31D97">
        <w:rPr>
          <w:rFonts w:ascii="Arial" w:hAnsi="Arial" w:cs="Arial"/>
          <w:color w:val="686868"/>
          <w:sz w:val="24"/>
          <w:szCs w:val="24"/>
          <w:shd w:val="clear" w:color="auto" w:fill="FFFFFF"/>
          <w:lang w:val="it-IT"/>
        </w:rPr>
        <w:t>,</w:t>
      </w:r>
      <w:r w:rsidR="00AB155C" w:rsidRPr="004F6E28">
        <w:rPr>
          <w:rFonts w:ascii="Arial" w:hAnsi="Arial" w:cs="Arial"/>
          <w:color w:val="686868"/>
          <w:sz w:val="24"/>
          <w:szCs w:val="24"/>
          <w:shd w:val="clear" w:color="auto" w:fill="FFFFFF"/>
          <w:lang w:val="it-IT"/>
        </w:rPr>
        <w:t xml:space="preserve"> </w:t>
      </w:r>
      <w:r w:rsidR="0058492F" w:rsidRPr="004F6E28">
        <w:rPr>
          <w:rFonts w:ascii="Arial" w:hAnsi="Arial" w:cs="Arial"/>
          <w:color w:val="686868"/>
          <w:sz w:val="24"/>
          <w:szCs w:val="24"/>
          <w:shd w:val="clear" w:color="auto" w:fill="FFFFFF"/>
          <w:lang w:val="it-IT"/>
        </w:rPr>
        <w:t>n. 19</w:t>
      </w:r>
      <w:r w:rsidR="009D21CB" w:rsidRPr="004F6E28">
        <w:rPr>
          <w:rFonts w:ascii="Arial" w:hAnsi="Arial" w:cs="Arial"/>
          <w:color w:val="686868"/>
          <w:sz w:val="24"/>
          <w:szCs w:val="24"/>
          <w:shd w:val="clear" w:color="auto" w:fill="FFFFFF"/>
          <w:lang w:val="it-IT"/>
        </w:rPr>
        <w:t>,</w:t>
      </w:r>
      <w:r w:rsidR="00211A66" w:rsidRPr="004F6E28">
        <w:rPr>
          <w:rFonts w:ascii="Arial" w:hAnsi="Arial" w:cs="Arial"/>
          <w:color w:val="686868"/>
          <w:sz w:val="24"/>
          <w:szCs w:val="24"/>
          <w:shd w:val="clear" w:color="auto" w:fill="FFFFFF"/>
          <w:lang w:val="it-IT"/>
        </w:rPr>
        <w:t xml:space="preserve"> affrontando</w:t>
      </w:r>
      <w:r w:rsidR="00AF161C" w:rsidRPr="004F6E28">
        <w:rPr>
          <w:rFonts w:ascii="Arial" w:hAnsi="Arial" w:cs="Arial"/>
          <w:color w:val="686868"/>
          <w:sz w:val="24"/>
          <w:szCs w:val="24"/>
          <w:shd w:val="clear" w:color="auto" w:fill="FFFFFF"/>
          <w:lang w:val="it-IT"/>
        </w:rPr>
        <w:t xml:space="preserve"> la</w:t>
      </w:r>
      <w:r w:rsidR="00211A66" w:rsidRPr="004F6E28">
        <w:rPr>
          <w:rFonts w:ascii="Arial" w:hAnsi="Arial" w:cs="Arial"/>
          <w:color w:val="686868"/>
          <w:sz w:val="24"/>
          <w:szCs w:val="24"/>
          <w:shd w:val="clear" w:color="auto" w:fill="FFFFFF"/>
          <w:lang w:val="it-IT"/>
        </w:rPr>
        <w:t xml:space="preserve"> delicata quanto attuale</w:t>
      </w:r>
      <w:r w:rsidR="00610BD9" w:rsidRPr="004F6E28">
        <w:rPr>
          <w:rFonts w:ascii="Arial" w:hAnsi="Arial" w:cs="Arial"/>
          <w:color w:val="686868"/>
          <w:sz w:val="24"/>
          <w:szCs w:val="24"/>
          <w:shd w:val="clear" w:color="auto" w:fill="FFFFFF"/>
          <w:lang w:val="it-IT"/>
        </w:rPr>
        <w:t xml:space="preserve"> tematica dei limiti alla</w:t>
      </w:r>
      <w:r w:rsidR="00AF161C" w:rsidRPr="004F6E28">
        <w:rPr>
          <w:rFonts w:ascii="Arial" w:hAnsi="Arial" w:cs="Arial"/>
          <w:color w:val="686868"/>
          <w:sz w:val="24"/>
          <w:szCs w:val="24"/>
          <w:shd w:val="clear" w:color="auto" w:fill="FFFFFF"/>
          <w:lang w:val="it-IT"/>
        </w:rPr>
        <w:t xml:space="preserve"> libertà di manifestazione del pensiero</w:t>
      </w:r>
      <w:r w:rsidR="006D4FCA" w:rsidRPr="004F6E28">
        <w:rPr>
          <w:rFonts w:ascii="Arial" w:hAnsi="Arial" w:cs="Arial"/>
          <w:color w:val="686868"/>
          <w:sz w:val="24"/>
          <w:szCs w:val="24"/>
          <w:shd w:val="clear" w:color="auto" w:fill="FFFFFF"/>
          <w:lang w:val="it-IT"/>
        </w:rPr>
        <w:t>,</w:t>
      </w:r>
      <w:r w:rsidR="00AF161C" w:rsidRPr="004F6E28">
        <w:rPr>
          <w:rFonts w:ascii="Arial" w:hAnsi="Arial" w:cs="Arial"/>
          <w:color w:val="686868"/>
          <w:sz w:val="24"/>
          <w:szCs w:val="24"/>
          <w:shd w:val="clear" w:color="auto" w:fill="FFFFFF"/>
          <w:lang w:val="it-IT"/>
        </w:rPr>
        <w:t xml:space="preserve"> che: </w:t>
      </w:r>
      <w:r w:rsidR="00AF161C" w:rsidRPr="004F6E28">
        <w:rPr>
          <w:rFonts w:ascii="Arial" w:hAnsi="Arial" w:cs="Arial"/>
          <w:sz w:val="24"/>
          <w:szCs w:val="24"/>
          <w:lang w:val="it-IT"/>
        </w:rPr>
        <w:t>“l’esigenza dell’ordine pubblico, per quanto altrimenti ispirata rispetto agli ordinamenti autoritari, non è affatto estranea agli ordinamenti democratici e legalitari, né è incompatibile con essi. In particolare, al regime democratico e legalitario, consacrato dalla Costituzione vigente, e basato sull’appartenenza della sovranità al popolo, sull’uguaglianza dei cittadini e sull’impero della legge, è connaturale un sistema giuridico, in cui gli obiettivi consentiti ai consociati e alle formazioni sociali non possono essere realizzati se non con gli strumenti e attraverso i procedimenti previsti dalla legge. Tale sistema rappresenta l’ordine istituzionale del regime vigente; e appunto in esso va identificato l’ordine pubblico del regime stesso”.</w:t>
      </w:r>
      <w:r w:rsidR="00AF161C" w:rsidRPr="004F6E28">
        <w:rPr>
          <w:rFonts w:ascii="Arial" w:hAnsi="Arial" w:cs="Arial"/>
          <w:color w:val="686868"/>
          <w:sz w:val="24"/>
          <w:szCs w:val="24"/>
          <w:shd w:val="clear" w:color="auto" w:fill="FFFFFF"/>
          <w:lang w:val="it-IT"/>
        </w:rPr>
        <w:t xml:space="preserve"> </w:t>
      </w:r>
    </w:p>
    <w:p w:rsidR="006B5281" w:rsidRPr="004F6E28" w:rsidRDefault="00D25AB7" w:rsidP="004F6E28">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Se</w:t>
      </w:r>
      <w:r w:rsidR="009D21CB" w:rsidRPr="004F6E28">
        <w:rPr>
          <w:rFonts w:ascii="Arial" w:hAnsi="Arial" w:cs="Arial"/>
          <w:color w:val="686868"/>
          <w:sz w:val="24"/>
          <w:szCs w:val="24"/>
          <w:shd w:val="clear" w:color="auto" w:fill="FFFFFF"/>
          <w:lang w:val="it-IT"/>
        </w:rPr>
        <w:t xml:space="preserve"> l’accenno all</w:t>
      </w:r>
      <w:r w:rsidR="002E2160" w:rsidRPr="004F6E28">
        <w:rPr>
          <w:rFonts w:ascii="Arial" w:hAnsi="Arial" w:cs="Arial"/>
          <w:color w:val="686868"/>
          <w:sz w:val="24"/>
          <w:szCs w:val="24"/>
          <w:shd w:val="clear" w:color="auto" w:fill="FFFFFF"/>
          <w:lang w:val="it-IT"/>
        </w:rPr>
        <w:t>’ “</w:t>
      </w:r>
      <w:r w:rsidR="009D21CB" w:rsidRPr="004F6E28">
        <w:rPr>
          <w:rFonts w:ascii="Arial" w:hAnsi="Arial" w:cs="Arial"/>
          <w:color w:val="686868"/>
          <w:sz w:val="24"/>
          <w:szCs w:val="24"/>
          <w:shd w:val="clear" w:color="auto" w:fill="FFFFFF"/>
          <w:lang w:val="it-IT"/>
        </w:rPr>
        <w:t>ordine costituito</w:t>
      </w:r>
      <w:r w:rsidR="002E2160" w:rsidRPr="004F6E28">
        <w:rPr>
          <w:rFonts w:ascii="Arial" w:hAnsi="Arial" w:cs="Arial"/>
          <w:color w:val="686868"/>
          <w:sz w:val="24"/>
          <w:szCs w:val="24"/>
          <w:shd w:val="clear" w:color="auto" w:fill="FFFFFF"/>
          <w:lang w:val="it-IT"/>
        </w:rPr>
        <w:t>”</w:t>
      </w:r>
      <w:r w:rsidR="0079465E" w:rsidRPr="004F6E28">
        <w:rPr>
          <w:rFonts w:ascii="Arial" w:hAnsi="Arial" w:cs="Arial"/>
          <w:color w:val="686868"/>
          <w:sz w:val="24"/>
          <w:szCs w:val="24"/>
          <w:shd w:val="clear" w:color="auto" w:fill="FFFFFF"/>
          <w:lang w:val="it-IT"/>
        </w:rPr>
        <w:t xml:space="preserve"> appare</w:t>
      </w:r>
      <w:r w:rsidR="002E2160" w:rsidRPr="004F6E28">
        <w:rPr>
          <w:rFonts w:ascii="Arial" w:hAnsi="Arial" w:cs="Arial"/>
          <w:color w:val="686868"/>
          <w:sz w:val="24"/>
          <w:szCs w:val="24"/>
          <w:shd w:val="clear" w:color="auto" w:fill="FFFFFF"/>
          <w:lang w:val="it-IT"/>
        </w:rPr>
        <w:t xml:space="preserve"> datato</w:t>
      </w:r>
      <w:r w:rsidR="00211A66" w:rsidRPr="004F6E28">
        <w:rPr>
          <w:rFonts w:ascii="Arial" w:hAnsi="Arial" w:cs="Arial"/>
          <w:color w:val="686868"/>
          <w:sz w:val="24"/>
          <w:szCs w:val="24"/>
          <w:shd w:val="clear" w:color="auto" w:fill="FFFFFF"/>
          <w:lang w:val="it-IT"/>
        </w:rPr>
        <w:t>,</w:t>
      </w:r>
      <w:r w:rsidR="00107D56" w:rsidRPr="004F6E28">
        <w:rPr>
          <w:rFonts w:ascii="Arial" w:hAnsi="Arial" w:cs="Arial"/>
          <w:color w:val="686868"/>
          <w:sz w:val="24"/>
          <w:szCs w:val="24"/>
          <w:shd w:val="clear" w:color="auto" w:fill="FFFFFF"/>
          <w:lang w:val="it-IT"/>
        </w:rPr>
        <w:t xml:space="preserve"> e può evocare</w:t>
      </w:r>
      <w:r w:rsidR="009D21CB" w:rsidRPr="004F6E28">
        <w:rPr>
          <w:rFonts w:ascii="Arial" w:hAnsi="Arial" w:cs="Arial"/>
          <w:color w:val="686868"/>
          <w:sz w:val="24"/>
          <w:szCs w:val="24"/>
          <w:shd w:val="clear" w:color="auto" w:fill="FFFFFF"/>
          <w:lang w:val="it-IT"/>
        </w:rPr>
        <w:t xml:space="preserve"> quei timori che </w:t>
      </w:r>
      <w:r w:rsidR="00107D56" w:rsidRPr="004F6E28">
        <w:rPr>
          <w:rFonts w:ascii="Arial" w:hAnsi="Arial" w:cs="Arial"/>
          <w:color w:val="686868"/>
          <w:sz w:val="24"/>
          <w:szCs w:val="24"/>
          <w:shd w:val="clear" w:color="auto" w:fill="FFFFFF"/>
          <w:lang w:val="it-IT"/>
        </w:rPr>
        <w:t xml:space="preserve">legittimamente </w:t>
      </w:r>
      <w:r w:rsidR="009D21CB" w:rsidRPr="004F6E28">
        <w:rPr>
          <w:rFonts w:ascii="Arial" w:hAnsi="Arial" w:cs="Arial"/>
          <w:color w:val="686868"/>
          <w:sz w:val="24"/>
          <w:szCs w:val="24"/>
          <w:shd w:val="clear" w:color="auto" w:fill="FFFFFF"/>
          <w:lang w:val="it-IT"/>
        </w:rPr>
        <w:t xml:space="preserve">erano stati esplicitati in seno </w:t>
      </w:r>
      <w:r w:rsidR="002E3F81">
        <w:rPr>
          <w:rFonts w:ascii="Arial" w:hAnsi="Arial" w:cs="Arial"/>
          <w:color w:val="686868"/>
          <w:sz w:val="24"/>
          <w:szCs w:val="24"/>
          <w:shd w:val="clear" w:color="auto" w:fill="FFFFFF"/>
          <w:lang w:val="it-IT"/>
        </w:rPr>
        <w:t>all’</w:t>
      </w:r>
      <w:r w:rsidR="009D21CB" w:rsidRPr="004F6E28">
        <w:rPr>
          <w:rFonts w:ascii="Arial" w:hAnsi="Arial" w:cs="Arial"/>
          <w:color w:val="686868"/>
          <w:sz w:val="24"/>
          <w:szCs w:val="24"/>
          <w:shd w:val="clear" w:color="auto" w:fill="FFFFFF"/>
          <w:lang w:val="it-IT"/>
        </w:rPr>
        <w:t>assemblea costituente, è evidente che</w:t>
      </w:r>
      <w:r w:rsidR="00107D56" w:rsidRPr="004F6E28">
        <w:rPr>
          <w:rFonts w:ascii="Arial" w:hAnsi="Arial" w:cs="Arial"/>
          <w:color w:val="686868"/>
          <w:sz w:val="24"/>
          <w:szCs w:val="24"/>
          <w:shd w:val="clear" w:color="auto" w:fill="FFFFFF"/>
          <w:lang w:val="it-IT"/>
        </w:rPr>
        <w:t>,</w:t>
      </w:r>
      <w:r w:rsidR="0079465E" w:rsidRPr="004F6E28">
        <w:rPr>
          <w:rFonts w:ascii="Arial" w:hAnsi="Arial" w:cs="Arial"/>
          <w:color w:val="686868"/>
          <w:sz w:val="24"/>
          <w:szCs w:val="24"/>
          <w:shd w:val="clear" w:color="auto" w:fill="FFFFFF"/>
          <w:lang w:val="it-IT"/>
        </w:rPr>
        <w:t xml:space="preserve"> là dove si assume</w:t>
      </w:r>
      <w:r w:rsidR="009D21CB" w:rsidRPr="004F6E28">
        <w:rPr>
          <w:rFonts w:ascii="Arial" w:hAnsi="Arial" w:cs="Arial"/>
          <w:color w:val="686868"/>
          <w:sz w:val="24"/>
          <w:szCs w:val="24"/>
          <w:shd w:val="clear" w:color="auto" w:fill="FFFFFF"/>
          <w:lang w:val="it-IT"/>
        </w:rPr>
        <w:t xml:space="preserve"> come dato acquisito che l’</w:t>
      </w:r>
      <w:r w:rsidR="0079465E" w:rsidRPr="004F6E28">
        <w:rPr>
          <w:rFonts w:ascii="Arial" w:hAnsi="Arial" w:cs="Arial"/>
          <w:color w:val="686868"/>
          <w:sz w:val="24"/>
          <w:szCs w:val="24"/>
          <w:shd w:val="clear" w:color="auto" w:fill="FFFFFF"/>
          <w:lang w:val="it-IT"/>
        </w:rPr>
        <w:t>ordine costituito sia</w:t>
      </w:r>
      <w:r w:rsidR="009D21CB" w:rsidRPr="004F6E28">
        <w:rPr>
          <w:rFonts w:ascii="Arial" w:hAnsi="Arial" w:cs="Arial"/>
          <w:color w:val="686868"/>
          <w:sz w:val="24"/>
          <w:szCs w:val="24"/>
          <w:shd w:val="clear" w:color="auto" w:fill="FFFFFF"/>
          <w:lang w:val="it-IT"/>
        </w:rPr>
        <w:t xml:space="preserve"> quello democratico, il quale accoglie al suo interno fisiologiche contrapposizioni</w:t>
      </w:r>
      <w:r w:rsidR="00211A66" w:rsidRPr="004F6E28">
        <w:rPr>
          <w:rFonts w:ascii="Arial" w:hAnsi="Arial" w:cs="Arial"/>
          <w:color w:val="686868"/>
          <w:sz w:val="24"/>
          <w:szCs w:val="24"/>
          <w:shd w:val="clear" w:color="auto" w:fill="FFFFFF"/>
          <w:lang w:val="it-IT"/>
        </w:rPr>
        <w:t xml:space="preserve"> al potere</w:t>
      </w:r>
      <w:r w:rsidR="00107D56" w:rsidRPr="004F6E28">
        <w:rPr>
          <w:rFonts w:ascii="Arial" w:hAnsi="Arial" w:cs="Arial"/>
          <w:color w:val="686868"/>
          <w:sz w:val="24"/>
          <w:szCs w:val="24"/>
          <w:shd w:val="clear" w:color="auto" w:fill="FFFFFF"/>
          <w:lang w:val="it-IT"/>
        </w:rPr>
        <w:t xml:space="preserve"> ed esclude una gestione</w:t>
      </w:r>
      <w:r w:rsidR="00F31D97">
        <w:rPr>
          <w:rFonts w:ascii="Arial" w:hAnsi="Arial" w:cs="Arial"/>
          <w:color w:val="686868"/>
          <w:sz w:val="24"/>
          <w:szCs w:val="24"/>
          <w:shd w:val="clear" w:color="auto" w:fill="FFFFFF"/>
          <w:lang w:val="it-IT"/>
        </w:rPr>
        <w:t xml:space="preserve"> </w:t>
      </w:r>
      <w:r w:rsidR="002E3F81">
        <w:rPr>
          <w:rFonts w:ascii="Arial" w:hAnsi="Arial" w:cs="Arial"/>
          <w:color w:val="686868"/>
          <w:sz w:val="24"/>
          <w:szCs w:val="24"/>
          <w:shd w:val="clear" w:color="auto" w:fill="FFFFFF"/>
          <w:lang w:val="it-IT"/>
        </w:rPr>
        <w:t>secondo il modello dello</w:t>
      </w:r>
      <w:r w:rsidR="00107D56" w:rsidRPr="004F6E28">
        <w:rPr>
          <w:rFonts w:ascii="Arial" w:hAnsi="Arial" w:cs="Arial"/>
          <w:color w:val="686868"/>
          <w:sz w:val="24"/>
          <w:szCs w:val="24"/>
          <w:shd w:val="clear" w:color="auto" w:fill="FFFFFF"/>
          <w:lang w:val="it-IT"/>
        </w:rPr>
        <w:t xml:space="preserve"> S</w:t>
      </w:r>
      <w:r w:rsidR="0079465E" w:rsidRPr="004F6E28">
        <w:rPr>
          <w:rFonts w:ascii="Arial" w:hAnsi="Arial" w:cs="Arial"/>
          <w:color w:val="686868"/>
          <w:sz w:val="24"/>
          <w:szCs w:val="24"/>
          <w:shd w:val="clear" w:color="auto" w:fill="FFFFFF"/>
          <w:lang w:val="it-IT"/>
        </w:rPr>
        <w:t>tato di P</w:t>
      </w:r>
      <w:r w:rsidR="009D21CB" w:rsidRPr="004F6E28">
        <w:rPr>
          <w:rFonts w:ascii="Arial" w:hAnsi="Arial" w:cs="Arial"/>
          <w:color w:val="686868"/>
          <w:sz w:val="24"/>
          <w:szCs w:val="24"/>
          <w:shd w:val="clear" w:color="auto" w:fill="FFFFFF"/>
          <w:lang w:val="it-IT"/>
        </w:rPr>
        <w:t xml:space="preserve">olizia, </w:t>
      </w:r>
      <w:r w:rsidRPr="004F6E28">
        <w:rPr>
          <w:rFonts w:ascii="Arial" w:hAnsi="Arial" w:cs="Arial"/>
          <w:color w:val="686868"/>
          <w:sz w:val="24"/>
          <w:szCs w:val="24"/>
          <w:shd w:val="clear" w:color="auto" w:fill="FFFFFF"/>
          <w:lang w:val="it-IT"/>
        </w:rPr>
        <w:t>l’ordine</w:t>
      </w:r>
      <w:r w:rsidR="00283C7C" w:rsidRPr="004F6E28">
        <w:rPr>
          <w:rFonts w:ascii="Arial" w:hAnsi="Arial" w:cs="Arial"/>
          <w:color w:val="686868"/>
          <w:sz w:val="24"/>
          <w:szCs w:val="24"/>
          <w:shd w:val="clear" w:color="auto" w:fill="FFFFFF"/>
          <w:lang w:val="it-IT"/>
        </w:rPr>
        <w:t xml:space="preserve"> pubblico rappresenta</w:t>
      </w:r>
      <w:r w:rsidR="00211A66" w:rsidRPr="004F6E28">
        <w:rPr>
          <w:rFonts w:ascii="Arial" w:hAnsi="Arial" w:cs="Arial"/>
          <w:color w:val="686868"/>
          <w:sz w:val="24"/>
          <w:szCs w:val="24"/>
          <w:shd w:val="clear" w:color="auto" w:fill="FFFFFF"/>
          <w:lang w:val="it-IT"/>
        </w:rPr>
        <w:t xml:space="preserve">, secondo la sua </w:t>
      </w:r>
      <w:r w:rsidR="00283C7C" w:rsidRPr="004F6E28">
        <w:rPr>
          <w:rFonts w:ascii="Arial" w:hAnsi="Arial" w:cs="Arial"/>
          <w:color w:val="686868"/>
          <w:sz w:val="24"/>
          <w:szCs w:val="24"/>
          <w:shd w:val="clear" w:color="auto" w:fill="FFFFFF"/>
          <w:lang w:val="it-IT"/>
        </w:rPr>
        <w:t>fisiologica caratteristica di specchio di ogni</w:t>
      </w:r>
      <w:r w:rsidR="00211A66" w:rsidRPr="004F6E28">
        <w:rPr>
          <w:rFonts w:ascii="Arial" w:hAnsi="Arial" w:cs="Arial"/>
          <w:color w:val="686868"/>
          <w:sz w:val="24"/>
          <w:szCs w:val="24"/>
          <w:shd w:val="clear" w:color="auto" w:fill="FFFFFF"/>
          <w:lang w:val="it-IT"/>
        </w:rPr>
        <w:t xml:space="preserve"> momento sto</w:t>
      </w:r>
      <w:r w:rsidR="00283C7C" w:rsidRPr="004F6E28">
        <w:rPr>
          <w:rFonts w:ascii="Arial" w:hAnsi="Arial" w:cs="Arial"/>
          <w:color w:val="686868"/>
          <w:sz w:val="24"/>
          <w:szCs w:val="24"/>
          <w:shd w:val="clear" w:color="auto" w:fill="FFFFFF"/>
          <w:lang w:val="it-IT"/>
        </w:rPr>
        <w:t>rico</w:t>
      </w:r>
      <w:r w:rsidR="00211A66" w:rsidRPr="004F6E28">
        <w:rPr>
          <w:rFonts w:ascii="Arial" w:hAnsi="Arial" w:cs="Arial"/>
          <w:color w:val="686868"/>
          <w:sz w:val="24"/>
          <w:szCs w:val="24"/>
          <w:shd w:val="clear" w:color="auto" w:fill="FFFFFF"/>
          <w:lang w:val="it-IT"/>
        </w:rPr>
        <w:t>,</w:t>
      </w:r>
      <w:r w:rsidR="00107D56" w:rsidRPr="004F6E28">
        <w:rPr>
          <w:rFonts w:ascii="Arial" w:hAnsi="Arial" w:cs="Arial"/>
          <w:color w:val="686868"/>
          <w:sz w:val="24"/>
          <w:szCs w:val="24"/>
          <w:shd w:val="clear" w:color="auto" w:fill="FFFFFF"/>
          <w:lang w:val="it-IT"/>
        </w:rPr>
        <w:t xml:space="preserve"> un</w:t>
      </w:r>
      <w:r w:rsidRPr="004F6E28">
        <w:rPr>
          <w:rFonts w:ascii="Arial" w:hAnsi="Arial" w:cs="Arial"/>
          <w:color w:val="686868"/>
          <w:sz w:val="24"/>
          <w:szCs w:val="24"/>
          <w:shd w:val="clear" w:color="auto" w:fill="FFFFFF"/>
          <w:lang w:val="it-IT"/>
        </w:rPr>
        <w:t xml:space="preserve"> </w:t>
      </w:r>
      <w:r w:rsidR="009D21CB" w:rsidRPr="004F6E28">
        <w:rPr>
          <w:rFonts w:ascii="Arial" w:hAnsi="Arial" w:cs="Arial"/>
          <w:color w:val="686868"/>
          <w:sz w:val="24"/>
          <w:szCs w:val="24"/>
          <w:shd w:val="clear" w:color="auto" w:fill="FFFFFF"/>
          <w:lang w:val="it-IT"/>
        </w:rPr>
        <w:t xml:space="preserve">legittimo argine </w:t>
      </w:r>
      <w:r w:rsidRPr="004F6E28">
        <w:rPr>
          <w:rFonts w:ascii="Arial" w:hAnsi="Arial" w:cs="Arial"/>
          <w:color w:val="686868"/>
          <w:sz w:val="24"/>
          <w:szCs w:val="24"/>
          <w:shd w:val="clear" w:color="auto" w:fill="FFFFFF"/>
          <w:lang w:val="it-IT"/>
        </w:rPr>
        <w:t>all’esercizio indiscrimina</w:t>
      </w:r>
      <w:r w:rsidR="006B5281" w:rsidRPr="004F6E28">
        <w:rPr>
          <w:rFonts w:ascii="Arial" w:hAnsi="Arial" w:cs="Arial"/>
          <w:color w:val="686868"/>
          <w:sz w:val="24"/>
          <w:szCs w:val="24"/>
          <w:shd w:val="clear" w:color="auto" w:fill="FFFFFF"/>
          <w:lang w:val="it-IT"/>
        </w:rPr>
        <w:t xml:space="preserve">to </w:t>
      </w:r>
      <w:r w:rsidR="00211A66" w:rsidRPr="004F6E28">
        <w:rPr>
          <w:rFonts w:ascii="Arial" w:hAnsi="Arial" w:cs="Arial"/>
          <w:color w:val="686868"/>
          <w:sz w:val="24"/>
          <w:szCs w:val="24"/>
          <w:shd w:val="clear" w:color="auto" w:fill="FFFFFF"/>
          <w:lang w:val="it-IT"/>
        </w:rPr>
        <w:t xml:space="preserve">di libertà individuali </w:t>
      </w:r>
      <w:r w:rsidR="0079465E" w:rsidRPr="004F6E28">
        <w:rPr>
          <w:rFonts w:ascii="Arial" w:hAnsi="Arial" w:cs="Arial"/>
          <w:color w:val="686868"/>
          <w:sz w:val="24"/>
          <w:szCs w:val="24"/>
          <w:shd w:val="clear" w:color="auto" w:fill="FFFFFF"/>
          <w:lang w:val="it-IT"/>
        </w:rPr>
        <w:t xml:space="preserve">nell’interesse dei più volte ricordati valori democratici. </w:t>
      </w:r>
      <w:r w:rsidR="002E3F81">
        <w:rPr>
          <w:rFonts w:ascii="Arial" w:hAnsi="Arial" w:cs="Arial"/>
          <w:color w:val="686868"/>
          <w:sz w:val="24"/>
          <w:szCs w:val="24"/>
          <w:shd w:val="clear" w:color="auto" w:fill="FFFFFF"/>
          <w:lang w:val="it-IT"/>
        </w:rPr>
        <w:t>E’ in</w:t>
      </w:r>
      <w:r w:rsidR="00283C7C" w:rsidRPr="004F6E28">
        <w:rPr>
          <w:rFonts w:ascii="Arial" w:hAnsi="Arial" w:cs="Arial"/>
          <w:color w:val="686868"/>
          <w:sz w:val="24"/>
          <w:szCs w:val="24"/>
          <w:shd w:val="clear" w:color="auto" w:fill="FFFFFF"/>
          <w:lang w:val="it-IT"/>
        </w:rPr>
        <w:t xml:space="preserve"> quest’ottica </w:t>
      </w:r>
      <w:r w:rsidR="002E3F81">
        <w:rPr>
          <w:rFonts w:ascii="Arial" w:hAnsi="Arial" w:cs="Arial"/>
          <w:color w:val="686868"/>
          <w:sz w:val="24"/>
          <w:szCs w:val="24"/>
          <w:shd w:val="clear" w:color="auto" w:fill="FFFFFF"/>
          <w:lang w:val="it-IT"/>
        </w:rPr>
        <w:t xml:space="preserve">che </w:t>
      </w:r>
      <w:r w:rsidR="00283C7C" w:rsidRPr="004F6E28">
        <w:rPr>
          <w:rFonts w:ascii="Arial" w:hAnsi="Arial" w:cs="Arial"/>
          <w:color w:val="686868"/>
          <w:sz w:val="24"/>
          <w:szCs w:val="24"/>
          <w:shd w:val="clear" w:color="auto" w:fill="FFFFFF"/>
          <w:lang w:val="it-IT"/>
        </w:rPr>
        <w:t>l’</w:t>
      </w:r>
      <w:r w:rsidR="00211A66" w:rsidRPr="004F6E28">
        <w:rPr>
          <w:rFonts w:ascii="Arial" w:hAnsi="Arial" w:cs="Arial"/>
          <w:color w:val="686868"/>
          <w:sz w:val="24"/>
          <w:szCs w:val="24"/>
          <w:shd w:val="clear" w:color="auto" w:fill="FFFFFF"/>
          <w:lang w:val="it-IT"/>
        </w:rPr>
        <w:t>ordine pubblico</w:t>
      </w:r>
      <w:r w:rsidR="002E3F81">
        <w:rPr>
          <w:rFonts w:ascii="Arial" w:hAnsi="Arial" w:cs="Arial"/>
          <w:color w:val="686868"/>
          <w:sz w:val="24"/>
          <w:szCs w:val="24"/>
          <w:shd w:val="clear" w:color="auto" w:fill="FFFFFF"/>
          <w:lang w:val="it-IT"/>
        </w:rPr>
        <w:t xml:space="preserve"> (nella sua declinazione economica)</w:t>
      </w:r>
      <w:r w:rsidR="00211A66" w:rsidRPr="004F6E28">
        <w:rPr>
          <w:rFonts w:ascii="Arial" w:hAnsi="Arial" w:cs="Arial"/>
          <w:color w:val="686868"/>
          <w:sz w:val="24"/>
          <w:szCs w:val="24"/>
          <w:shd w:val="clear" w:color="auto" w:fill="FFFFFF"/>
          <w:lang w:val="it-IT"/>
        </w:rPr>
        <w:t xml:space="preserve"> risulta</w:t>
      </w:r>
      <w:r w:rsidR="0079465E" w:rsidRPr="004F6E28">
        <w:rPr>
          <w:rFonts w:ascii="Arial" w:hAnsi="Arial" w:cs="Arial"/>
          <w:color w:val="686868"/>
          <w:sz w:val="24"/>
          <w:szCs w:val="24"/>
          <w:shd w:val="clear" w:color="auto" w:fill="FFFFFF"/>
          <w:lang w:val="it-IT"/>
        </w:rPr>
        <w:t xml:space="preserve"> </w:t>
      </w:r>
      <w:r w:rsidRPr="004F6E28">
        <w:rPr>
          <w:rFonts w:ascii="Arial" w:hAnsi="Arial" w:cs="Arial"/>
          <w:color w:val="686868"/>
          <w:sz w:val="24"/>
          <w:szCs w:val="24"/>
          <w:shd w:val="clear" w:color="auto" w:fill="FFFFFF"/>
          <w:lang w:val="it-IT"/>
        </w:rPr>
        <w:t xml:space="preserve">idoneo </w:t>
      </w:r>
      <w:r w:rsidR="00283C7C" w:rsidRPr="004F6E28">
        <w:rPr>
          <w:rFonts w:ascii="Arial" w:hAnsi="Arial" w:cs="Arial"/>
          <w:color w:val="686868"/>
          <w:sz w:val="24"/>
          <w:szCs w:val="24"/>
          <w:shd w:val="clear" w:color="auto" w:fill="FFFFFF"/>
          <w:lang w:val="it-IT"/>
        </w:rPr>
        <w:t>a dare un significato al limite dell’”</w:t>
      </w:r>
      <w:r w:rsidR="00211A66" w:rsidRPr="004F6E28">
        <w:rPr>
          <w:rFonts w:ascii="Arial" w:hAnsi="Arial" w:cs="Arial"/>
          <w:color w:val="686868"/>
          <w:sz w:val="24"/>
          <w:szCs w:val="24"/>
          <w:shd w:val="clear" w:color="auto" w:fill="FFFFFF"/>
          <w:lang w:val="it-IT"/>
        </w:rPr>
        <w:t>utilità sociale</w:t>
      </w:r>
      <w:r w:rsidR="00283C7C" w:rsidRPr="004F6E28">
        <w:rPr>
          <w:rFonts w:ascii="Arial" w:hAnsi="Arial" w:cs="Arial"/>
          <w:color w:val="686868"/>
          <w:sz w:val="24"/>
          <w:szCs w:val="24"/>
          <w:shd w:val="clear" w:color="auto" w:fill="FFFFFF"/>
          <w:lang w:val="it-IT"/>
        </w:rPr>
        <w:t>”</w:t>
      </w:r>
      <w:r w:rsidR="002E3F81">
        <w:rPr>
          <w:rFonts w:ascii="Arial" w:hAnsi="Arial" w:cs="Arial"/>
          <w:color w:val="686868"/>
          <w:sz w:val="24"/>
          <w:szCs w:val="24"/>
          <w:shd w:val="clear" w:color="auto" w:fill="FFFFFF"/>
          <w:lang w:val="it-IT"/>
        </w:rPr>
        <w:t xml:space="preserve"> menzionato</w:t>
      </w:r>
      <w:r w:rsidR="00211A66" w:rsidRPr="004F6E28">
        <w:rPr>
          <w:rFonts w:ascii="Arial" w:hAnsi="Arial" w:cs="Arial"/>
          <w:color w:val="686868"/>
          <w:sz w:val="24"/>
          <w:szCs w:val="24"/>
          <w:shd w:val="clear" w:color="auto" w:fill="FFFFFF"/>
          <w:lang w:val="it-IT"/>
        </w:rPr>
        <w:t xml:space="preserve"> nel</w:t>
      </w:r>
      <w:r w:rsidR="00283C7C" w:rsidRPr="004F6E28">
        <w:rPr>
          <w:rFonts w:ascii="Arial" w:hAnsi="Arial" w:cs="Arial"/>
          <w:color w:val="686868"/>
          <w:sz w:val="24"/>
          <w:szCs w:val="24"/>
          <w:shd w:val="clear" w:color="auto" w:fill="FFFFFF"/>
          <w:lang w:val="it-IT"/>
        </w:rPr>
        <w:t>l’art. 41 della Costituzione per</w:t>
      </w:r>
      <w:r w:rsidRPr="004F6E28">
        <w:rPr>
          <w:rFonts w:ascii="Arial" w:hAnsi="Arial" w:cs="Arial"/>
          <w:color w:val="686868"/>
          <w:sz w:val="24"/>
          <w:szCs w:val="24"/>
          <w:shd w:val="clear" w:color="auto" w:fill="FFFFFF"/>
          <w:lang w:val="it-IT"/>
        </w:rPr>
        <w:t xml:space="preserve"> circoscrivere le libertà economiche</w:t>
      </w:r>
      <w:r w:rsidR="00AF161C" w:rsidRPr="004F6E28">
        <w:rPr>
          <w:rFonts w:ascii="Arial" w:hAnsi="Arial" w:cs="Arial"/>
          <w:color w:val="686868"/>
          <w:sz w:val="24"/>
          <w:szCs w:val="24"/>
          <w:shd w:val="clear" w:color="auto" w:fill="FFFFFF"/>
          <w:lang w:val="it-IT"/>
        </w:rPr>
        <w:t>, che</w:t>
      </w:r>
      <w:r w:rsidR="002E3F81">
        <w:rPr>
          <w:rFonts w:ascii="Arial" w:hAnsi="Arial" w:cs="Arial"/>
          <w:color w:val="686868"/>
          <w:sz w:val="24"/>
          <w:szCs w:val="24"/>
          <w:shd w:val="clear" w:color="auto" w:fill="FFFFFF"/>
          <w:lang w:val="it-IT"/>
        </w:rPr>
        <w:t xml:space="preserve"> per di più</w:t>
      </w:r>
      <w:r w:rsidR="00AF161C" w:rsidRPr="004F6E28">
        <w:rPr>
          <w:rFonts w:ascii="Arial" w:hAnsi="Arial" w:cs="Arial"/>
          <w:color w:val="686868"/>
          <w:sz w:val="24"/>
          <w:szCs w:val="24"/>
          <w:shd w:val="clear" w:color="auto" w:fill="FFFFFF"/>
          <w:lang w:val="it-IT"/>
        </w:rPr>
        <w:t xml:space="preserve"> il costituente </w:t>
      </w:r>
      <w:r w:rsidR="006B5281" w:rsidRPr="004F6E28">
        <w:rPr>
          <w:rFonts w:ascii="Arial" w:hAnsi="Arial" w:cs="Arial"/>
          <w:color w:val="686868"/>
          <w:sz w:val="24"/>
          <w:szCs w:val="24"/>
          <w:shd w:val="clear" w:color="auto" w:fill="FFFFFF"/>
          <w:lang w:val="it-IT"/>
        </w:rPr>
        <w:t>stesso</w:t>
      </w:r>
      <w:r w:rsidR="00AF161C" w:rsidRPr="004F6E28">
        <w:rPr>
          <w:rFonts w:ascii="Arial" w:hAnsi="Arial" w:cs="Arial"/>
          <w:color w:val="686868"/>
          <w:sz w:val="24"/>
          <w:szCs w:val="24"/>
          <w:shd w:val="clear" w:color="auto" w:fill="FFFFFF"/>
          <w:lang w:val="it-IT"/>
        </w:rPr>
        <w:t xml:space="preserve"> </w:t>
      </w:r>
      <w:r w:rsidR="0079465E" w:rsidRPr="004F6E28">
        <w:rPr>
          <w:rFonts w:ascii="Arial" w:hAnsi="Arial" w:cs="Arial"/>
          <w:color w:val="686868"/>
          <w:sz w:val="24"/>
          <w:szCs w:val="24"/>
          <w:shd w:val="clear" w:color="auto" w:fill="FFFFFF"/>
          <w:lang w:val="it-IT"/>
        </w:rPr>
        <w:t>non ha qualificato involabili</w:t>
      </w:r>
      <w:r w:rsidR="00400075" w:rsidRPr="004F6E28">
        <w:rPr>
          <w:rStyle w:val="Rimandonotaapidipagina"/>
          <w:rFonts w:ascii="Arial" w:hAnsi="Arial" w:cs="Arial"/>
          <w:color w:val="686868"/>
          <w:sz w:val="24"/>
          <w:szCs w:val="24"/>
          <w:shd w:val="clear" w:color="auto" w:fill="FFFFFF"/>
          <w:lang w:val="it-IT"/>
        </w:rPr>
        <w:footnoteReference w:id="11"/>
      </w:r>
      <w:r w:rsidR="00283C7C" w:rsidRPr="004F6E28">
        <w:rPr>
          <w:rFonts w:ascii="Arial" w:hAnsi="Arial" w:cs="Arial"/>
          <w:color w:val="686868"/>
          <w:sz w:val="24"/>
          <w:szCs w:val="24"/>
          <w:shd w:val="clear" w:color="auto" w:fill="FFFFFF"/>
          <w:lang w:val="it-IT"/>
        </w:rPr>
        <w:t>,</w:t>
      </w:r>
      <w:r w:rsidR="00211A66" w:rsidRPr="004F6E28">
        <w:rPr>
          <w:rFonts w:ascii="Arial" w:hAnsi="Arial" w:cs="Arial"/>
          <w:color w:val="686868"/>
          <w:sz w:val="24"/>
          <w:szCs w:val="24"/>
          <w:shd w:val="clear" w:color="auto" w:fill="FFFFFF"/>
          <w:lang w:val="it-IT"/>
        </w:rPr>
        <w:t xml:space="preserve"> benché rappresenti</w:t>
      </w:r>
      <w:r w:rsidR="00283C7C" w:rsidRPr="004F6E28">
        <w:rPr>
          <w:rFonts w:ascii="Arial" w:hAnsi="Arial" w:cs="Arial"/>
          <w:color w:val="686868"/>
          <w:sz w:val="24"/>
          <w:szCs w:val="24"/>
          <w:shd w:val="clear" w:color="auto" w:fill="FFFFFF"/>
          <w:lang w:val="it-IT"/>
        </w:rPr>
        <w:t>no</w:t>
      </w:r>
      <w:r w:rsidR="0079465E" w:rsidRPr="004F6E28">
        <w:rPr>
          <w:rFonts w:ascii="Arial" w:hAnsi="Arial" w:cs="Arial"/>
          <w:color w:val="686868"/>
          <w:sz w:val="24"/>
          <w:szCs w:val="24"/>
          <w:shd w:val="clear" w:color="auto" w:fill="FFFFFF"/>
          <w:lang w:val="it-IT"/>
        </w:rPr>
        <w:t xml:space="preserve"> un </w:t>
      </w:r>
      <w:r w:rsidR="00211A66" w:rsidRPr="004F6E28">
        <w:rPr>
          <w:rFonts w:ascii="Arial" w:hAnsi="Arial" w:cs="Arial"/>
          <w:color w:val="686868"/>
          <w:sz w:val="24"/>
          <w:szCs w:val="24"/>
          <w:shd w:val="clear" w:color="auto" w:fill="FFFFFF"/>
          <w:lang w:val="it-IT"/>
        </w:rPr>
        <w:t xml:space="preserve">sicuro </w:t>
      </w:r>
      <w:r w:rsidR="0079465E" w:rsidRPr="004F6E28">
        <w:rPr>
          <w:rFonts w:ascii="Arial" w:hAnsi="Arial" w:cs="Arial"/>
          <w:color w:val="686868"/>
          <w:sz w:val="24"/>
          <w:szCs w:val="24"/>
          <w:shd w:val="clear" w:color="auto" w:fill="FFFFFF"/>
          <w:lang w:val="it-IT"/>
        </w:rPr>
        <w:t>pilastro delle società democratiche</w:t>
      </w:r>
      <w:r w:rsidR="00A16F7F" w:rsidRPr="004F6E28">
        <w:rPr>
          <w:rFonts w:ascii="Arial" w:hAnsi="Arial" w:cs="Arial"/>
          <w:color w:val="686868"/>
          <w:sz w:val="24"/>
          <w:szCs w:val="24"/>
          <w:shd w:val="clear" w:color="auto" w:fill="FFFFFF"/>
          <w:lang w:val="it-IT"/>
        </w:rPr>
        <w:t>.</w:t>
      </w:r>
      <w:r w:rsidRPr="004F6E28">
        <w:rPr>
          <w:rFonts w:ascii="Arial" w:hAnsi="Arial" w:cs="Arial"/>
          <w:color w:val="686868"/>
          <w:sz w:val="24"/>
          <w:szCs w:val="24"/>
          <w:shd w:val="clear" w:color="auto" w:fill="FFFFFF"/>
          <w:lang w:val="it-IT"/>
        </w:rPr>
        <w:t xml:space="preserve"> </w:t>
      </w:r>
    </w:p>
    <w:p w:rsidR="00107D56" w:rsidRPr="004F6E28" w:rsidRDefault="00F31D97" w:rsidP="004F6E28">
      <w:pPr>
        <w:jc w:val="both"/>
        <w:rPr>
          <w:rFonts w:ascii="Arial" w:hAnsi="Arial" w:cs="Arial"/>
          <w:color w:val="686868"/>
          <w:sz w:val="24"/>
          <w:szCs w:val="24"/>
          <w:shd w:val="clear" w:color="auto" w:fill="FFFFFF"/>
          <w:lang w:val="it-IT"/>
        </w:rPr>
      </w:pPr>
      <w:r>
        <w:rPr>
          <w:rFonts w:ascii="Arial" w:hAnsi="Arial" w:cs="Arial"/>
          <w:color w:val="686868"/>
          <w:sz w:val="24"/>
          <w:szCs w:val="24"/>
          <w:shd w:val="clear" w:color="auto" w:fill="FFFFFF"/>
          <w:lang w:val="it-IT"/>
        </w:rPr>
        <w:t>L</w:t>
      </w:r>
      <w:r w:rsidRPr="004F6E28">
        <w:rPr>
          <w:rFonts w:ascii="Arial" w:hAnsi="Arial" w:cs="Arial"/>
          <w:color w:val="686868"/>
          <w:sz w:val="24"/>
          <w:szCs w:val="24"/>
          <w:shd w:val="clear" w:color="auto" w:fill="FFFFFF"/>
          <w:lang w:val="it-IT"/>
        </w:rPr>
        <w:t>a documentazione antimafia</w:t>
      </w:r>
      <w:r>
        <w:rPr>
          <w:rFonts w:ascii="Arial" w:hAnsi="Arial" w:cs="Arial"/>
          <w:color w:val="686868"/>
          <w:sz w:val="24"/>
          <w:szCs w:val="24"/>
          <w:shd w:val="clear" w:color="auto" w:fill="FFFFFF"/>
          <w:lang w:val="it-IT"/>
        </w:rPr>
        <w:t xml:space="preserve"> si inserisce appunto i</w:t>
      </w:r>
      <w:r w:rsidR="002E3F81">
        <w:rPr>
          <w:rFonts w:ascii="Arial" w:hAnsi="Arial" w:cs="Arial"/>
          <w:color w:val="686868"/>
          <w:sz w:val="24"/>
          <w:szCs w:val="24"/>
          <w:shd w:val="clear" w:color="auto" w:fill="FFFFFF"/>
          <w:lang w:val="it-IT"/>
        </w:rPr>
        <w:t>n</w:t>
      </w:r>
      <w:r w:rsidR="00211A66" w:rsidRPr="004F6E28">
        <w:rPr>
          <w:rFonts w:ascii="Arial" w:hAnsi="Arial" w:cs="Arial"/>
          <w:color w:val="686868"/>
          <w:sz w:val="24"/>
          <w:szCs w:val="24"/>
          <w:shd w:val="clear" w:color="auto" w:fill="FFFFFF"/>
          <w:lang w:val="it-IT"/>
        </w:rPr>
        <w:t xml:space="preserve"> questa logica </w:t>
      </w:r>
      <w:r w:rsidR="002E3F81">
        <w:rPr>
          <w:rFonts w:ascii="Arial" w:hAnsi="Arial" w:cs="Arial"/>
          <w:color w:val="686868"/>
          <w:sz w:val="24"/>
          <w:szCs w:val="24"/>
          <w:shd w:val="clear" w:color="auto" w:fill="FFFFFF"/>
          <w:lang w:val="it-IT"/>
        </w:rPr>
        <w:t>di paziente</w:t>
      </w:r>
      <w:r w:rsidR="00211A66" w:rsidRPr="004F6E28">
        <w:rPr>
          <w:rFonts w:ascii="Arial" w:hAnsi="Arial" w:cs="Arial"/>
          <w:color w:val="686868"/>
          <w:sz w:val="24"/>
          <w:szCs w:val="24"/>
          <w:shd w:val="clear" w:color="auto" w:fill="FFFFFF"/>
          <w:lang w:val="it-IT"/>
        </w:rPr>
        <w:t xml:space="preserve"> bilanciamento di conflitti tra valori di pur pari rango e dignità.</w:t>
      </w:r>
    </w:p>
    <w:p w:rsidR="005220EF" w:rsidRPr="002E3F81" w:rsidRDefault="002E3F81" w:rsidP="004F6E28">
      <w:pPr>
        <w:jc w:val="both"/>
        <w:rPr>
          <w:rFonts w:ascii="Arial" w:hAnsi="Arial" w:cs="Arial"/>
          <w:color w:val="686868"/>
          <w:sz w:val="24"/>
          <w:szCs w:val="24"/>
          <w:shd w:val="clear" w:color="auto" w:fill="FFFFFF"/>
          <w:lang w:val="it-IT"/>
        </w:rPr>
      </w:pPr>
      <w:r>
        <w:rPr>
          <w:rFonts w:ascii="Arial" w:hAnsi="Arial" w:cs="Arial"/>
          <w:color w:val="686868"/>
          <w:sz w:val="24"/>
          <w:szCs w:val="24"/>
          <w:shd w:val="clear" w:color="auto" w:fill="FFFFFF"/>
          <w:lang w:val="it-IT"/>
        </w:rPr>
        <w:t>Nella</w:t>
      </w:r>
      <w:r w:rsidR="00567EED" w:rsidRPr="004F6E28">
        <w:rPr>
          <w:rFonts w:ascii="Arial" w:hAnsi="Arial" w:cs="Arial"/>
          <w:color w:val="686868"/>
          <w:sz w:val="24"/>
          <w:szCs w:val="24"/>
          <w:shd w:val="clear" w:color="auto" w:fill="FFFFFF"/>
          <w:lang w:val="it-IT"/>
        </w:rPr>
        <w:t xml:space="preserve"> </w:t>
      </w:r>
      <w:r w:rsidR="00F31D97">
        <w:rPr>
          <w:rFonts w:ascii="Arial" w:hAnsi="Arial" w:cs="Arial"/>
          <w:color w:val="686868"/>
          <w:sz w:val="24"/>
          <w:szCs w:val="24"/>
          <w:shd w:val="clear" w:color="auto" w:fill="FFFFFF"/>
          <w:lang w:val="it-IT"/>
        </w:rPr>
        <w:t>giurisprudenza costituzionale</w:t>
      </w:r>
      <w:r w:rsidR="00991407">
        <w:rPr>
          <w:rFonts w:ascii="Arial" w:hAnsi="Arial" w:cs="Arial"/>
          <w:color w:val="686868"/>
          <w:sz w:val="24"/>
          <w:szCs w:val="24"/>
          <w:shd w:val="clear" w:color="auto" w:fill="FFFFFF"/>
          <w:lang w:val="it-IT"/>
        </w:rPr>
        <w:t>,</w:t>
      </w:r>
      <w:r w:rsidR="00F31D97">
        <w:rPr>
          <w:rFonts w:ascii="Arial" w:hAnsi="Arial" w:cs="Arial"/>
          <w:color w:val="686868"/>
          <w:sz w:val="24"/>
          <w:szCs w:val="24"/>
          <w:shd w:val="clear" w:color="auto" w:fill="FFFFFF"/>
          <w:lang w:val="it-IT"/>
        </w:rPr>
        <w:t xml:space="preserve"> con specifico riferimento alla</w:t>
      </w:r>
      <w:r w:rsidR="002E2160" w:rsidRPr="004F6E28">
        <w:rPr>
          <w:rFonts w:ascii="Arial" w:hAnsi="Arial" w:cs="Arial"/>
          <w:color w:val="686868"/>
          <w:sz w:val="24"/>
          <w:szCs w:val="24"/>
          <w:shd w:val="clear" w:color="auto" w:fill="FFFFFF"/>
          <w:lang w:val="it-IT"/>
        </w:rPr>
        <w:t xml:space="preserve"> libera iniziativa economica</w:t>
      </w:r>
      <w:r w:rsidR="00991407">
        <w:rPr>
          <w:rFonts w:ascii="Arial" w:hAnsi="Arial" w:cs="Arial"/>
          <w:color w:val="686868"/>
          <w:sz w:val="24"/>
          <w:szCs w:val="24"/>
          <w:shd w:val="clear" w:color="auto" w:fill="FFFFFF"/>
          <w:lang w:val="it-IT"/>
        </w:rPr>
        <w:t>, è stata riconosciuta</w:t>
      </w:r>
      <w:r w:rsidR="005220EF" w:rsidRPr="004F6E28">
        <w:rPr>
          <w:rFonts w:ascii="Arial" w:hAnsi="Arial" w:cs="Arial"/>
          <w:color w:val="686868"/>
          <w:sz w:val="24"/>
          <w:szCs w:val="24"/>
          <w:shd w:val="clear" w:color="auto" w:fill="FFFFFF"/>
          <w:lang w:val="it-IT"/>
        </w:rPr>
        <w:t xml:space="preserve"> innanzitutto</w:t>
      </w:r>
      <w:r w:rsidR="00AF161C" w:rsidRPr="004F6E28">
        <w:rPr>
          <w:rFonts w:ascii="Arial" w:hAnsi="Arial" w:cs="Arial"/>
          <w:color w:val="686868"/>
          <w:sz w:val="24"/>
          <w:szCs w:val="24"/>
          <w:shd w:val="clear" w:color="auto" w:fill="FFFFFF"/>
          <w:lang w:val="it-IT"/>
        </w:rPr>
        <w:t xml:space="preserve"> </w:t>
      </w:r>
      <w:r w:rsidR="00F31D97">
        <w:rPr>
          <w:rFonts w:ascii="Arial" w:hAnsi="Arial" w:cs="Arial"/>
          <w:color w:val="686868"/>
          <w:sz w:val="24"/>
          <w:szCs w:val="24"/>
          <w:shd w:val="clear" w:color="auto" w:fill="FFFFFF"/>
          <w:lang w:val="it-IT"/>
        </w:rPr>
        <w:t>l’esistenza di</w:t>
      </w:r>
      <w:r w:rsidR="00F149B7" w:rsidRPr="004F6E28">
        <w:rPr>
          <w:rFonts w:ascii="Arial" w:hAnsi="Arial" w:cs="Arial"/>
          <w:color w:val="686868"/>
          <w:sz w:val="24"/>
          <w:szCs w:val="24"/>
          <w:shd w:val="clear" w:color="auto" w:fill="FFFFFF"/>
          <w:lang w:val="it-IT"/>
        </w:rPr>
        <w:t xml:space="preserve"> </w:t>
      </w:r>
      <w:r w:rsidR="00AF161C" w:rsidRPr="004F6E28">
        <w:rPr>
          <w:rFonts w:ascii="Arial" w:hAnsi="Arial" w:cs="Arial"/>
          <w:color w:val="686868"/>
          <w:sz w:val="24"/>
          <w:szCs w:val="24"/>
          <w:shd w:val="clear" w:color="auto" w:fill="FFFFFF"/>
          <w:lang w:val="it-IT"/>
        </w:rPr>
        <w:t>una riserva di legge</w:t>
      </w:r>
      <w:r w:rsidR="00F31D97">
        <w:rPr>
          <w:rFonts w:ascii="Arial" w:hAnsi="Arial" w:cs="Arial"/>
          <w:color w:val="686868"/>
          <w:sz w:val="24"/>
          <w:szCs w:val="24"/>
          <w:shd w:val="clear" w:color="auto" w:fill="FFFFFF"/>
          <w:lang w:val="it-IT"/>
        </w:rPr>
        <w:t xml:space="preserve"> per quanto concerne la possibilità dello Stato di apporre</w:t>
      </w:r>
      <w:r w:rsidR="00400075" w:rsidRPr="004F6E28">
        <w:rPr>
          <w:rFonts w:ascii="Arial" w:hAnsi="Arial" w:cs="Arial"/>
          <w:color w:val="686868"/>
          <w:sz w:val="24"/>
          <w:szCs w:val="24"/>
          <w:shd w:val="clear" w:color="auto" w:fill="FFFFFF"/>
          <w:lang w:val="it-IT"/>
        </w:rPr>
        <w:t xml:space="preserve"> li</w:t>
      </w:r>
      <w:r w:rsidR="00F31D97">
        <w:rPr>
          <w:rFonts w:ascii="Arial" w:hAnsi="Arial" w:cs="Arial"/>
          <w:color w:val="686868"/>
          <w:sz w:val="24"/>
          <w:szCs w:val="24"/>
          <w:shd w:val="clear" w:color="auto" w:fill="FFFFFF"/>
          <w:lang w:val="it-IT"/>
        </w:rPr>
        <w:t>miti</w:t>
      </w:r>
      <w:r w:rsidR="00610BD9" w:rsidRPr="004F6E28">
        <w:rPr>
          <w:rFonts w:ascii="Arial" w:hAnsi="Arial" w:cs="Arial"/>
          <w:color w:val="686868"/>
          <w:sz w:val="24"/>
          <w:szCs w:val="24"/>
          <w:shd w:val="clear" w:color="auto" w:fill="FFFFFF"/>
          <w:lang w:val="it-IT"/>
        </w:rPr>
        <w:t xml:space="preserve"> </w:t>
      </w:r>
      <w:r>
        <w:rPr>
          <w:rFonts w:ascii="Arial" w:hAnsi="Arial" w:cs="Arial"/>
          <w:color w:val="686868"/>
          <w:sz w:val="24"/>
          <w:szCs w:val="24"/>
          <w:shd w:val="clear" w:color="auto" w:fill="FFFFFF"/>
          <w:lang w:val="it-IT"/>
        </w:rPr>
        <w:t>in nome dell’utilità sociale</w:t>
      </w:r>
      <w:r w:rsidR="00E8209F" w:rsidRPr="004F6E28">
        <w:rPr>
          <w:rStyle w:val="Rimandonotaapidipagina"/>
          <w:rFonts w:ascii="Arial" w:hAnsi="Arial" w:cs="Arial"/>
          <w:color w:val="686868"/>
          <w:sz w:val="24"/>
          <w:szCs w:val="24"/>
          <w:shd w:val="clear" w:color="auto" w:fill="FFFFFF"/>
          <w:lang w:val="it-IT"/>
        </w:rPr>
        <w:footnoteReference w:id="12"/>
      </w:r>
      <w:r w:rsidR="005220EF" w:rsidRPr="004F6E28">
        <w:rPr>
          <w:rFonts w:ascii="Arial" w:hAnsi="Arial" w:cs="Arial"/>
          <w:color w:val="686868"/>
          <w:sz w:val="24"/>
          <w:szCs w:val="24"/>
          <w:shd w:val="clear" w:color="auto" w:fill="FFFFFF"/>
          <w:lang w:val="it-IT"/>
        </w:rPr>
        <w:t>.</w:t>
      </w:r>
      <w:r>
        <w:rPr>
          <w:rFonts w:ascii="Arial" w:hAnsi="Arial" w:cs="Arial"/>
          <w:color w:val="686868"/>
          <w:sz w:val="24"/>
          <w:szCs w:val="24"/>
          <w:shd w:val="clear" w:color="auto" w:fill="FFFFFF"/>
          <w:lang w:val="it-IT"/>
        </w:rPr>
        <w:t xml:space="preserve"> </w:t>
      </w:r>
      <w:r w:rsidR="00283C7C" w:rsidRPr="004F6E28">
        <w:rPr>
          <w:rFonts w:ascii="Arial" w:hAnsi="Arial" w:cs="Arial"/>
          <w:color w:val="686868"/>
          <w:sz w:val="24"/>
          <w:szCs w:val="24"/>
          <w:shd w:val="clear" w:color="auto" w:fill="FFFFFF"/>
          <w:lang w:val="it-IT"/>
        </w:rPr>
        <w:t>N</w:t>
      </w:r>
      <w:r w:rsidR="005220EF" w:rsidRPr="004F6E28">
        <w:rPr>
          <w:rFonts w:ascii="Arial" w:hAnsi="Arial" w:cs="Arial"/>
          <w:color w:val="686868"/>
          <w:sz w:val="24"/>
          <w:szCs w:val="24"/>
          <w:shd w:val="clear" w:color="auto" w:fill="FFFFFF"/>
          <w:lang w:val="it-IT"/>
        </w:rPr>
        <w:t>ella  materia</w:t>
      </w:r>
      <w:r w:rsidR="00F31D97">
        <w:rPr>
          <w:rFonts w:ascii="Arial" w:hAnsi="Arial" w:cs="Arial"/>
          <w:color w:val="686868"/>
          <w:sz w:val="24"/>
          <w:szCs w:val="24"/>
          <w:shd w:val="clear" w:color="auto" w:fill="FFFFFF"/>
          <w:lang w:val="it-IT"/>
        </w:rPr>
        <w:t xml:space="preserve"> qui di interesse</w:t>
      </w:r>
      <w:r w:rsidR="005220EF" w:rsidRPr="004F6E28">
        <w:rPr>
          <w:rFonts w:ascii="Arial" w:hAnsi="Arial" w:cs="Arial"/>
          <w:color w:val="686868"/>
          <w:sz w:val="24"/>
          <w:szCs w:val="24"/>
          <w:shd w:val="clear" w:color="auto" w:fill="FFFFFF"/>
          <w:lang w:val="it-IT"/>
        </w:rPr>
        <w:t xml:space="preserve"> appare </w:t>
      </w:r>
      <w:r w:rsidR="00F31D97">
        <w:rPr>
          <w:rFonts w:ascii="Arial" w:hAnsi="Arial" w:cs="Arial"/>
          <w:color w:val="686868"/>
          <w:sz w:val="24"/>
          <w:szCs w:val="24"/>
          <w:shd w:val="clear" w:color="auto" w:fill="FFFFFF"/>
          <w:lang w:val="it-IT"/>
        </w:rPr>
        <w:t xml:space="preserve">in particolare </w:t>
      </w:r>
      <w:r w:rsidR="005220EF" w:rsidRPr="004F6E28">
        <w:rPr>
          <w:rFonts w:ascii="Arial" w:hAnsi="Arial" w:cs="Arial"/>
          <w:color w:val="686868"/>
          <w:sz w:val="24"/>
          <w:szCs w:val="24"/>
          <w:shd w:val="clear" w:color="auto" w:fill="FFFFFF"/>
          <w:lang w:val="it-IT"/>
        </w:rPr>
        <w:t>p</w:t>
      </w:r>
      <w:r w:rsidR="00F31D97">
        <w:rPr>
          <w:rFonts w:ascii="Arial" w:hAnsi="Arial" w:cs="Arial"/>
          <w:sz w:val="24"/>
          <w:szCs w:val="24"/>
          <w:lang w:val="it-IT"/>
        </w:rPr>
        <w:t>ertinente, anche se</w:t>
      </w:r>
      <w:r w:rsidR="005220EF" w:rsidRPr="004F6E28">
        <w:rPr>
          <w:rFonts w:ascii="Arial" w:hAnsi="Arial" w:cs="Arial"/>
          <w:sz w:val="24"/>
          <w:szCs w:val="24"/>
          <w:lang w:val="it-IT"/>
        </w:rPr>
        <w:t xml:space="preserve"> riferi</w:t>
      </w:r>
      <w:r w:rsidR="00F31D97">
        <w:rPr>
          <w:rFonts w:ascii="Arial" w:hAnsi="Arial" w:cs="Arial"/>
          <w:sz w:val="24"/>
          <w:szCs w:val="24"/>
          <w:lang w:val="it-IT"/>
        </w:rPr>
        <w:t>ta</w:t>
      </w:r>
      <w:r w:rsidR="00F149B7" w:rsidRPr="004F6E28">
        <w:rPr>
          <w:rFonts w:ascii="Arial" w:hAnsi="Arial" w:cs="Arial"/>
          <w:sz w:val="24"/>
          <w:szCs w:val="24"/>
          <w:lang w:val="it-IT"/>
        </w:rPr>
        <w:t xml:space="preserve"> alle misure</w:t>
      </w:r>
      <w:r w:rsidR="005220EF" w:rsidRPr="004F6E28">
        <w:rPr>
          <w:rFonts w:ascii="Arial" w:hAnsi="Arial" w:cs="Arial"/>
          <w:sz w:val="24"/>
          <w:szCs w:val="24"/>
          <w:lang w:val="it-IT"/>
        </w:rPr>
        <w:t xml:space="preserve"> pers</w:t>
      </w:r>
      <w:r w:rsidR="00F31D97">
        <w:rPr>
          <w:rFonts w:ascii="Arial" w:hAnsi="Arial" w:cs="Arial"/>
          <w:sz w:val="24"/>
          <w:szCs w:val="24"/>
          <w:lang w:val="it-IT"/>
        </w:rPr>
        <w:t>onali o</w:t>
      </w:r>
      <w:r>
        <w:rPr>
          <w:rFonts w:ascii="Arial" w:hAnsi="Arial" w:cs="Arial"/>
          <w:sz w:val="24"/>
          <w:szCs w:val="24"/>
          <w:lang w:val="it-IT"/>
        </w:rPr>
        <w:t xml:space="preserve"> anche patrimoniali</w:t>
      </w:r>
      <w:r w:rsidR="00F31D97">
        <w:rPr>
          <w:rFonts w:ascii="Arial" w:hAnsi="Arial" w:cs="Arial"/>
          <w:sz w:val="24"/>
          <w:szCs w:val="24"/>
          <w:lang w:val="it-IT"/>
        </w:rPr>
        <w:t xml:space="preserve"> ma</w:t>
      </w:r>
      <w:r>
        <w:rPr>
          <w:rFonts w:ascii="Arial" w:hAnsi="Arial" w:cs="Arial"/>
          <w:sz w:val="24"/>
          <w:szCs w:val="24"/>
          <w:lang w:val="it-IT"/>
        </w:rPr>
        <w:t xml:space="preserve"> la cui </w:t>
      </w:r>
      <w:r w:rsidR="005220EF" w:rsidRPr="004F6E28">
        <w:rPr>
          <w:rFonts w:ascii="Arial" w:hAnsi="Arial" w:cs="Arial"/>
          <w:sz w:val="24"/>
          <w:szCs w:val="24"/>
          <w:lang w:val="it-IT"/>
        </w:rPr>
        <w:t>applicazion</w:t>
      </w:r>
      <w:r>
        <w:rPr>
          <w:rFonts w:ascii="Arial" w:hAnsi="Arial" w:cs="Arial"/>
          <w:sz w:val="24"/>
          <w:szCs w:val="24"/>
          <w:lang w:val="it-IT"/>
        </w:rPr>
        <w:t>e è demandata al giudice penale,</w:t>
      </w:r>
      <w:r w:rsidR="005220EF" w:rsidRPr="004F6E28">
        <w:rPr>
          <w:rFonts w:ascii="Arial" w:hAnsi="Arial" w:cs="Arial"/>
          <w:sz w:val="24"/>
          <w:szCs w:val="24"/>
          <w:lang w:val="it-IT"/>
        </w:rPr>
        <w:t xml:space="preserve"> quanto si legge </w:t>
      </w:r>
      <w:r>
        <w:rPr>
          <w:rFonts w:ascii="Arial" w:hAnsi="Arial" w:cs="Arial"/>
          <w:sz w:val="24"/>
          <w:szCs w:val="24"/>
          <w:lang w:val="it-IT"/>
        </w:rPr>
        <w:t>a proposito del</w:t>
      </w:r>
      <w:r w:rsidR="00F149B7" w:rsidRPr="004F6E28">
        <w:rPr>
          <w:rFonts w:ascii="Arial" w:hAnsi="Arial" w:cs="Arial"/>
          <w:sz w:val="24"/>
          <w:szCs w:val="24"/>
          <w:lang w:val="it-IT"/>
        </w:rPr>
        <w:t xml:space="preserve"> rispetto del principio di legalità </w:t>
      </w:r>
      <w:r w:rsidR="005220EF" w:rsidRPr="004F6E28">
        <w:rPr>
          <w:rFonts w:ascii="Arial" w:hAnsi="Arial" w:cs="Arial"/>
          <w:sz w:val="24"/>
          <w:szCs w:val="24"/>
          <w:lang w:val="it-IT"/>
        </w:rPr>
        <w:t>nella sentenza</w:t>
      </w:r>
      <w:r w:rsidR="00F149B7" w:rsidRPr="004F6E28">
        <w:rPr>
          <w:rFonts w:ascii="Arial" w:hAnsi="Arial" w:cs="Arial"/>
          <w:sz w:val="24"/>
          <w:szCs w:val="24"/>
          <w:lang w:val="it-IT"/>
        </w:rPr>
        <w:t xml:space="preserve"> della</w:t>
      </w:r>
      <w:r w:rsidR="005220EF" w:rsidRPr="004F6E28">
        <w:rPr>
          <w:rFonts w:ascii="Arial" w:hAnsi="Arial" w:cs="Arial"/>
          <w:sz w:val="24"/>
          <w:szCs w:val="24"/>
          <w:lang w:val="it-IT"/>
        </w:rPr>
        <w:t xml:space="preserve"> Corte Costituzionale 24 gennaio 2019 n. 24</w:t>
      </w:r>
      <w:r w:rsidR="00F31D97">
        <w:rPr>
          <w:rFonts w:ascii="Arial" w:hAnsi="Arial" w:cs="Arial"/>
          <w:sz w:val="24"/>
          <w:szCs w:val="24"/>
          <w:lang w:val="it-IT"/>
        </w:rPr>
        <w:t xml:space="preserve"> e</w:t>
      </w:r>
      <w:r w:rsidR="00F149B7" w:rsidRPr="004F6E28">
        <w:rPr>
          <w:rFonts w:ascii="Arial" w:hAnsi="Arial" w:cs="Arial"/>
          <w:sz w:val="24"/>
          <w:szCs w:val="24"/>
          <w:lang w:val="it-IT"/>
        </w:rPr>
        <w:t xml:space="preserve"> secondo la quale</w:t>
      </w:r>
      <w:r w:rsidR="005220EF" w:rsidRPr="004F6E28">
        <w:rPr>
          <w:rFonts w:ascii="Arial" w:hAnsi="Arial" w:cs="Arial"/>
          <w:sz w:val="24"/>
          <w:szCs w:val="24"/>
          <w:lang w:val="it-IT"/>
        </w:rPr>
        <w:t>: “..allorché si versi – come nelle questioni ora all’esame – al di fuori della materia penale, non può del tutto escludersi che l’esigenza di predeterminazione delle condizioni in presenza delle quali può legittimamente limitarsi un diritto costituzionalmente e convenzionalmente protetto possa essere soddisfatta anche sulla base dell’interpretazione, fornita da una giurisprudenza costante e uniforme, di disposizioni legislative pure caratterizzate dall’uso di clausole generali, o comunque da formule connotate</w:t>
      </w:r>
      <w:r w:rsidR="00FC3C16">
        <w:rPr>
          <w:rFonts w:ascii="Arial" w:hAnsi="Arial" w:cs="Arial"/>
          <w:sz w:val="24"/>
          <w:szCs w:val="24"/>
          <w:lang w:val="it-IT"/>
        </w:rPr>
        <w:t>,</w:t>
      </w:r>
      <w:r w:rsidR="005220EF" w:rsidRPr="004F6E28">
        <w:rPr>
          <w:rFonts w:ascii="Arial" w:hAnsi="Arial" w:cs="Arial"/>
          <w:sz w:val="24"/>
          <w:szCs w:val="24"/>
          <w:lang w:val="it-IT"/>
        </w:rPr>
        <w:t xml:space="preserve"> in origine</w:t>
      </w:r>
      <w:r w:rsidR="00FC3C16">
        <w:rPr>
          <w:rFonts w:ascii="Arial" w:hAnsi="Arial" w:cs="Arial"/>
          <w:sz w:val="24"/>
          <w:szCs w:val="24"/>
          <w:lang w:val="it-IT"/>
        </w:rPr>
        <w:t>,</w:t>
      </w:r>
      <w:r w:rsidR="005220EF" w:rsidRPr="004F6E28">
        <w:rPr>
          <w:rFonts w:ascii="Arial" w:hAnsi="Arial" w:cs="Arial"/>
          <w:sz w:val="24"/>
          <w:szCs w:val="24"/>
          <w:lang w:val="it-IT"/>
        </w:rPr>
        <w:t xml:space="preserve"> da un certo grado di imprecisione. Essenziale – nell’ottica </w:t>
      </w:r>
      <w:r w:rsidR="005220EF" w:rsidRPr="004F6E28">
        <w:rPr>
          <w:rFonts w:ascii="Arial" w:hAnsi="Arial" w:cs="Arial"/>
          <w:sz w:val="24"/>
          <w:szCs w:val="24"/>
          <w:lang w:val="it-IT"/>
        </w:rPr>
        <w:lastRenderedPageBreak/>
        <w:t>costituzionale così come in quella convenzionale (</w:t>
      </w:r>
      <w:r w:rsidR="005220EF" w:rsidRPr="002E3F81">
        <w:rPr>
          <w:rFonts w:ascii="Arial" w:hAnsi="Arial" w:cs="Arial"/>
          <w:i/>
          <w:sz w:val="24"/>
          <w:szCs w:val="24"/>
          <w:lang w:val="it-IT"/>
        </w:rPr>
        <w:t xml:space="preserve">ex </w:t>
      </w:r>
      <w:proofErr w:type="spellStart"/>
      <w:r w:rsidR="005220EF" w:rsidRPr="002E3F81">
        <w:rPr>
          <w:rFonts w:ascii="Arial" w:hAnsi="Arial" w:cs="Arial"/>
          <w:i/>
          <w:sz w:val="24"/>
          <w:szCs w:val="24"/>
          <w:lang w:val="it-IT"/>
        </w:rPr>
        <w:t>multis</w:t>
      </w:r>
      <w:proofErr w:type="spellEnd"/>
      <w:r w:rsidR="005220EF" w:rsidRPr="004F6E28">
        <w:rPr>
          <w:rFonts w:ascii="Arial" w:hAnsi="Arial" w:cs="Arial"/>
          <w:sz w:val="24"/>
          <w:szCs w:val="24"/>
          <w:lang w:val="it-IT"/>
        </w:rPr>
        <w:t xml:space="preserve">, Corte EDU, sezione quinta, sentenza 26 novembre 2011, </w:t>
      </w:r>
      <w:proofErr w:type="spellStart"/>
      <w:r w:rsidR="005220EF" w:rsidRPr="004F6E28">
        <w:rPr>
          <w:rFonts w:ascii="Arial" w:hAnsi="Arial" w:cs="Arial"/>
          <w:sz w:val="24"/>
          <w:szCs w:val="24"/>
          <w:lang w:val="it-IT"/>
        </w:rPr>
        <w:t>Gochev</w:t>
      </w:r>
      <w:proofErr w:type="spellEnd"/>
      <w:r w:rsidR="005220EF" w:rsidRPr="004F6E28">
        <w:rPr>
          <w:rFonts w:ascii="Arial" w:hAnsi="Arial" w:cs="Arial"/>
          <w:sz w:val="24"/>
          <w:szCs w:val="24"/>
          <w:lang w:val="it-IT"/>
        </w:rPr>
        <w:t xml:space="preserve"> c. Bulgaria; Corte EDU, sezione prima, sentenza 4 giugno 2002, </w:t>
      </w:r>
      <w:proofErr w:type="spellStart"/>
      <w:r w:rsidR="005220EF" w:rsidRPr="004F6E28">
        <w:rPr>
          <w:rFonts w:ascii="Arial" w:hAnsi="Arial" w:cs="Arial"/>
          <w:sz w:val="24"/>
          <w:szCs w:val="24"/>
          <w:lang w:val="it-IT"/>
        </w:rPr>
        <w:t>Olivieiria</w:t>
      </w:r>
      <w:proofErr w:type="spellEnd"/>
      <w:r w:rsidR="005220EF" w:rsidRPr="004F6E28">
        <w:rPr>
          <w:rFonts w:ascii="Arial" w:hAnsi="Arial" w:cs="Arial"/>
          <w:sz w:val="24"/>
          <w:szCs w:val="24"/>
          <w:lang w:val="it-IT"/>
        </w:rPr>
        <w:t xml:space="preserve"> c. Paesi Bassi; Corte EDU, sezione prima, sentenza 20 maggio 2010, </w:t>
      </w:r>
      <w:proofErr w:type="spellStart"/>
      <w:r w:rsidR="005220EF" w:rsidRPr="004F6E28">
        <w:rPr>
          <w:rFonts w:ascii="Arial" w:hAnsi="Arial" w:cs="Arial"/>
          <w:sz w:val="24"/>
          <w:szCs w:val="24"/>
          <w:lang w:val="it-IT"/>
        </w:rPr>
        <w:t>Lelas</w:t>
      </w:r>
      <w:proofErr w:type="spellEnd"/>
      <w:r w:rsidR="005220EF" w:rsidRPr="004F6E28">
        <w:rPr>
          <w:rFonts w:ascii="Arial" w:hAnsi="Arial" w:cs="Arial"/>
          <w:sz w:val="24"/>
          <w:szCs w:val="24"/>
          <w:lang w:val="it-IT"/>
        </w:rPr>
        <w:t xml:space="preserve"> c. Croazia) – è, infatti, che tale interpretazione giurisprudenziale sia in grado di porre la persona potenzialmente destinataria delle misure limitative del diritto in condizioni di poter ragionevolmente prevedere l’applicazione della misura stessa.”</w:t>
      </w:r>
    </w:p>
    <w:p w:rsidR="005220EF" w:rsidRPr="004F6E28" w:rsidRDefault="005220EF" w:rsidP="004F6E28">
      <w:pPr>
        <w:jc w:val="both"/>
        <w:rPr>
          <w:rFonts w:ascii="Arial" w:hAnsi="Arial" w:cs="Arial"/>
          <w:sz w:val="24"/>
          <w:szCs w:val="24"/>
          <w:lang w:val="it-IT"/>
        </w:rPr>
      </w:pPr>
      <w:r w:rsidRPr="004F6E28">
        <w:rPr>
          <w:rFonts w:ascii="Arial" w:hAnsi="Arial" w:cs="Arial"/>
          <w:sz w:val="24"/>
          <w:szCs w:val="24"/>
          <w:lang w:val="it-IT"/>
        </w:rPr>
        <w:t>Siffatta let</w:t>
      </w:r>
      <w:r w:rsidR="00A21554" w:rsidRPr="004F6E28">
        <w:rPr>
          <w:rFonts w:ascii="Arial" w:hAnsi="Arial" w:cs="Arial"/>
          <w:sz w:val="24"/>
          <w:szCs w:val="24"/>
          <w:lang w:val="it-IT"/>
        </w:rPr>
        <w:t>tura del principio di legalità</w:t>
      </w:r>
      <w:r w:rsidRPr="004F6E28">
        <w:rPr>
          <w:rFonts w:ascii="Arial" w:hAnsi="Arial" w:cs="Arial"/>
          <w:sz w:val="24"/>
          <w:szCs w:val="24"/>
          <w:lang w:val="it-IT"/>
        </w:rPr>
        <w:t>, nella sempre attiva circolazione di principi e model</w:t>
      </w:r>
      <w:r w:rsidR="00F149B7" w:rsidRPr="004F6E28">
        <w:rPr>
          <w:rFonts w:ascii="Arial" w:hAnsi="Arial" w:cs="Arial"/>
          <w:sz w:val="24"/>
          <w:szCs w:val="24"/>
          <w:lang w:val="it-IT"/>
        </w:rPr>
        <w:t>li derivata</w:t>
      </w:r>
      <w:r w:rsidRPr="004F6E28">
        <w:rPr>
          <w:rFonts w:ascii="Arial" w:hAnsi="Arial" w:cs="Arial"/>
          <w:sz w:val="24"/>
          <w:szCs w:val="24"/>
          <w:lang w:val="it-IT"/>
        </w:rPr>
        <w:t xml:space="preserve"> dall’</w:t>
      </w:r>
      <w:r w:rsidR="00A21554" w:rsidRPr="004F6E28">
        <w:rPr>
          <w:rFonts w:ascii="Arial" w:hAnsi="Arial" w:cs="Arial"/>
          <w:sz w:val="24"/>
          <w:szCs w:val="24"/>
          <w:lang w:val="it-IT"/>
        </w:rPr>
        <w:t>inquadramento</w:t>
      </w:r>
      <w:r w:rsidRPr="004F6E28">
        <w:rPr>
          <w:rFonts w:ascii="Arial" w:hAnsi="Arial" w:cs="Arial"/>
          <w:sz w:val="24"/>
          <w:szCs w:val="24"/>
          <w:lang w:val="it-IT"/>
        </w:rPr>
        <w:t xml:space="preserve"> di queste </w:t>
      </w:r>
      <w:r w:rsidR="00F149B7" w:rsidRPr="004F6E28">
        <w:rPr>
          <w:rFonts w:ascii="Arial" w:hAnsi="Arial" w:cs="Arial"/>
          <w:sz w:val="24"/>
          <w:szCs w:val="24"/>
          <w:lang w:val="it-IT"/>
        </w:rPr>
        <w:t>misure nella cornice de</w:t>
      </w:r>
      <w:r w:rsidRPr="004F6E28">
        <w:rPr>
          <w:rFonts w:ascii="Arial" w:hAnsi="Arial" w:cs="Arial"/>
          <w:sz w:val="24"/>
          <w:szCs w:val="24"/>
          <w:lang w:val="it-IT"/>
        </w:rPr>
        <w:t xml:space="preserve">lla giurisprudenza della Corte EDU (su cui </w:t>
      </w:r>
      <w:r w:rsidRPr="004F6E28">
        <w:rPr>
          <w:rFonts w:ascii="Arial" w:hAnsi="Arial" w:cs="Arial"/>
          <w:i/>
          <w:sz w:val="24"/>
          <w:szCs w:val="24"/>
          <w:lang w:val="it-IT"/>
        </w:rPr>
        <w:t>infra</w:t>
      </w:r>
      <w:r w:rsidRPr="004F6E28">
        <w:rPr>
          <w:rFonts w:ascii="Arial" w:hAnsi="Arial" w:cs="Arial"/>
          <w:sz w:val="24"/>
          <w:szCs w:val="24"/>
          <w:lang w:val="it-IT"/>
        </w:rPr>
        <w:t>)</w:t>
      </w:r>
      <w:r w:rsidR="00F149B7" w:rsidRPr="004F6E28">
        <w:rPr>
          <w:rFonts w:ascii="Arial" w:hAnsi="Arial" w:cs="Arial"/>
          <w:sz w:val="24"/>
          <w:szCs w:val="24"/>
          <w:lang w:val="it-IT"/>
        </w:rPr>
        <w:t>, porta a concludere che la cosiddetta “</w:t>
      </w:r>
      <w:proofErr w:type="spellStart"/>
      <w:r w:rsidR="00F149B7" w:rsidRPr="004F6E28">
        <w:rPr>
          <w:rFonts w:ascii="Arial" w:hAnsi="Arial" w:cs="Arial"/>
          <w:sz w:val="24"/>
          <w:szCs w:val="24"/>
          <w:lang w:val="it-IT"/>
        </w:rPr>
        <w:t>tassativizzazione</w:t>
      </w:r>
      <w:proofErr w:type="spellEnd"/>
      <w:r w:rsidR="00F149B7" w:rsidRPr="004F6E28">
        <w:rPr>
          <w:rFonts w:ascii="Arial" w:hAnsi="Arial" w:cs="Arial"/>
          <w:sz w:val="24"/>
          <w:szCs w:val="24"/>
          <w:lang w:val="it-IT"/>
        </w:rPr>
        <w:t>” delle fattispecie in materia ben può es</w:t>
      </w:r>
      <w:r w:rsidR="00FC3C16">
        <w:rPr>
          <w:rFonts w:ascii="Arial" w:hAnsi="Arial" w:cs="Arial"/>
          <w:sz w:val="24"/>
          <w:szCs w:val="24"/>
          <w:lang w:val="it-IT"/>
        </w:rPr>
        <w:t>sere realizzata</w:t>
      </w:r>
      <w:r w:rsidR="00E42307">
        <w:rPr>
          <w:rFonts w:ascii="Arial" w:hAnsi="Arial" w:cs="Arial"/>
          <w:sz w:val="24"/>
          <w:szCs w:val="24"/>
          <w:lang w:val="it-IT"/>
        </w:rPr>
        <w:t xml:space="preserve"> attraverso</w:t>
      </w:r>
      <w:r w:rsidR="00F149B7" w:rsidRPr="004F6E28">
        <w:rPr>
          <w:rFonts w:ascii="Arial" w:hAnsi="Arial" w:cs="Arial"/>
          <w:sz w:val="24"/>
          <w:szCs w:val="24"/>
          <w:lang w:val="it-IT"/>
        </w:rPr>
        <w:t xml:space="preserve"> una</w:t>
      </w:r>
      <w:r w:rsidR="00E42307">
        <w:rPr>
          <w:rFonts w:ascii="Arial" w:hAnsi="Arial" w:cs="Arial"/>
          <w:sz w:val="24"/>
          <w:szCs w:val="24"/>
          <w:lang w:val="it-IT"/>
        </w:rPr>
        <w:t xml:space="preserve"> lettura giurisprudenziale</w:t>
      </w:r>
      <w:r w:rsidR="00F149B7" w:rsidRPr="004F6E28">
        <w:rPr>
          <w:rFonts w:ascii="Arial" w:hAnsi="Arial" w:cs="Arial"/>
          <w:sz w:val="24"/>
          <w:szCs w:val="24"/>
          <w:lang w:val="it-IT"/>
        </w:rPr>
        <w:t xml:space="preserve"> puntuale e, appunto, prevedibile degli indici che possono giustifi</w:t>
      </w:r>
      <w:r w:rsidR="00FC3C16">
        <w:rPr>
          <w:rFonts w:ascii="Arial" w:hAnsi="Arial" w:cs="Arial"/>
          <w:sz w:val="24"/>
          <w:szCs w:val="24"/>
          <w:lang w:val="it-IT"/>
        </w:rPr>
        <w:t>care l’esito negativo della documentazione antimafia</w:t>
      </w:r>
      <w:r w:rsidR="00E42307">
        <w:rPr>
          <w:rFonts w:ascii="Arial" w:hAnsi="Arial" w:cs="Arial"/>
          <w:sz w:val="24"/>
          <w:szCs w:val="24"/>
          <w:lang w:val="it-IT"/>
        </w:rPr>
        <w:t>,</w:t>
      </w:r>
      <w:r w:rsidR="00991407">
        <w:rPr>
          <w:rFonts w:ascii="Arial" w:hAnsi="Arial" w:cs="Arial"/>
          <w:sz w:val="24"/>
          <w:szCs w:val="24"/>
          <w:lang w:val="it-IT"/>
        </w:rPr>
        <w:t xml:space="preserve"> così da</w:t>
      </w:r>
      <w:r w:rsidR="00F149B7" w:rsidRPr="004F6E28">
        <w:rPr>
          <w:rFonts w:ascii="Arial" w:hAnsi="Arial" w:cs="Arial"/>
          <w:sz w:val="24"/>
          <w:szCs w:val="24"/>
          <w:lang w:val="it-IT"/>
        </w:rPr>
        <w:t xml:space="preserve"> conciliare, da u</w:t>
      </w:r>
      <w:r w:rsidR="00FC3C16">
        <w:rPr>
          <w:rFonts w:ascii="Arial" w:hAnsi="Arial" w:cs="Arial"/>
          <w:sz w:val="24"/>
          <w:szCs w:val="24"/>
          <w:lang w:val="it-IT"/>
        </w:rPr>
        <w:t>n lato, l’esigenza di</w:t>
      </w:r>
      <w:r w:rsidR="00F149B7" w:rsidRPr="004F6E28">
        <w:rPr>
          <w:rFonts w:ascii="Arial" w:hAnsi="Arial" w:cs="Arial"/>
          <w:sz w:val="24"/>
          <w:szCs w:val="24"/>
          <w:lang w:val="it-IT"/>
        </w:rPr>
        <w:t xml:space="preserve"> valutazioni flessibili imprescindibili per l’</w:t>
      </w:r>
      <w:r w:rsidR="00283C7C" w:rsidRPr="004F6E28">
        <w:rPr>
          <w:rFonts w:ascii="Arial" w:hAnsi="Arial" w:cs="Arial"/>
          <w:sz w:val="24"/>
          <w:szCs w:val="24"/>
          <w:lang w:val="it-IT"/>
        </w:rPr>
        <w:t>efficacia di questi strumenti, e</w:t>
      </w:r>
      <w:r w:rsidR="00E42307">
        <w:rPr>
          <w:rFonts w:ascii="Arial" w:hAnsi="Arial" w:cs="Arial"/>
          <w:sz w:val="24"/>
          <w:szCs w:val="24"/>
          <w:lang w:val="it-IT"/>
        </w:rPr>
        <w:t>, dall’altro,</w:t>
      </w:r>
      <w:r w:rsidR="00283C7C" w:rsidRPr="004F6E28">
        <w:rPr>
          <w:rFonts w:ascii="Arial" w:hAnsi="Arial" w:cs="Arial"/>
          <w:sz w:val="24"/>
          <w:szCs w:val="24"/>
          <w:lang w:val="it-IT"/>
        </w:rPr>
        <w:t xml:space="preserve"> le garanzie individuali</w:t>
      </w:r>
      <w:r w:rsidR="00F149B7" w:rsidRPr="004F6E28">
        <w:rPr>
          <w:rFonts w:ascii="Arial" w:hAnsi="Arial" w:cs="Arial"/>
          <w:sz w:val="24"/>
          <w:szCs w:val="24"/>
          <w:lang w:val="it-IT"/>
        </w:rPr>
        <w:t>.</w:t>
      </w:r>
    </w:p>
    <w:p w:rsidR="00A21554" w:rsidRPr="004F6E28" w:rsidRDefault="00E42307" w:rsidP="00FC3C16">
      <w:pPr>
        <w:pStyle w:val="dt"/>
        <w:shd w:val="clear" w:color="auto" w:fill="FFFFFF"/>
        <w:spacing w:before="0" w:beforeAutospacing="0" w:after="0" w:afterAutospacing="0"/>
        <w:jc w:val="both"/>
        <w:rPr>
          <w:rFonts w:ascii="Arial" w:hAnsi="Arial" w:cs="Arial"/>
          <w:color w:val="666666"/>
        </w:rPr>
      </w:pPr>
      <w:r>
        <w:rPr>
          <w:rFonts w:ascii="Arial" w:hAnsi="Arial" w:cs="Arial"/>
        </w:rPr>
        <w:t>Il quadro di insieme</w:t>
      </w:r>
      <w:r w:rsidR="00991407">
        <w:rPr>
          <w:rFonts w:ascii="Arial" w:hAnsi="Arial" w:cs="Arial"/>
        </w:rPr>
        <w:t>,</w:t>
      </w:r>
      <w:r>
        <w:rPr>
          <w:rFonts w:ascii="Arial" w:hAnsi="Arial" w:cs="Arial"/>
        </w:rPr>
        <w:t xml:space="preserve"> </w:t>
      </w:r>
      <w:r w:rsidR="00FC3C16">
        <w:rPr>
          <w:rFonts w:ascii="Arial" w:hAnsi="Arial" w:cs="Arial"/>
        </w:rPr>
        <w:t>proprio in tema di documentazione antimafia</w:t>
      </w:r>
      <w:r w:rsidR="00991407">
        <w:rPr>
          <w:rFonts w:ascii="Arial" w:hAnsi="Arial" w:cs="Arial"/>
        </w:rPr>
        <w:t>,</w:t>
      </w:r>
      <w:r w:rsidR="00FC3C16">
        <w:rPr>
          <w:rFonts w:ascii="Arial" w:hAnsi="Arial" w:cs="Arial"/>
        </w:rPr>
        <w:t xml:space="preserve"> </w:t>
      </w:r>
      <w:r>
        <w:rPr>
          <w:rFonts w:ascii="Arial" w:hAnsi="Arial" w:cs="Arial"/>
        </w:rPr>
        <w:t>appare</w:t>
      </w:r>
      <w:r w:rsidR="00283C7C" w:rsidRPr="004F6E28">
        <w:rPr>
          <w:rFonts w:ascii="Arial" w:hAnsi="Arial" w:cs="Arial"/>
        </w:rPr>
        <w:t xml:space="preserve"> riassuntivamente esposto nella sentenza della Corte costituzionale</w:t>
      </w:r>
      <w:r w:rsidR="001E4E5B" w:rsidRPr="004F6E28">
        <w:rPr>
          <w:rFonts w:ascii="Arial" w:hAnsi="Arial" w:cs="Arial"/>
        </w:rPr>
        <w:t xml:space="preserve"> 26 marzo 2020</w:t>
      </w:r>
      <w:r w:rsidR="00FC3C16">
        <w:rPr>
          <w:rFonts w:ascii="Arial" w:hAnsi="Arial" w:cs="Arial"/>
        </w:rPr>
        <w:t>,</w:t>
      </w:r>
      <w:r w:rsidR="001E4E5B" w:rsidRPr="004F6E28">
        <w:rPr>
          <w:rFonts w:ascii="Arial" w:hAnsi="Arial" w:cs="Arial"/>
        </w:rPr>
        <w:t xml:space="preserve"> n. 57</w:t>
      </w:r>
      <w:r w:rsidR="00A21554" w:rsidRPr="004F6E28">
        <w:rPr>
          <w:rFonts w:ascii="Arial" w:hAnsi="Arial" w:cs="Arial"/>
        </w:rPr>
        <w:t xml:space="preserve">: </w:t>
      </w:r>
      <w:r w:rsidR="00283C7C" w:rsidRPr="004F6E28">
        <w:rPr>
          <w:rFonts w:ascii="Arial" w:hAnsi="Arial" w:cs="Arial"/>
        </w:rPr>
        <w:t>“</w:t>
      </w:r>
      <w:r w:rsidR="00A21554" w:rsidRPr="004F6E28">
        <w:rPr>
          <w:rFonts w:ascii="Arial" w:hAnsi="Arial" w:cs="Arial"/>
          <w:color w:val="666666"/>
        </w:rPr>
        <w:t>È in prospettiva anticipatoria della difesa della legalità che si colloca il provvedimento in questione, al quale, infatti, viene riconosciuta dalla giurisprudenza natura «cautelare e preventiva» (Consiglio di Stato, adunanza plenaria, sentenza 6 aprile 2018, n. 3), comportando un giudizio prognostico circa probabili sbocchi illegali della infiltrazione mafiosa.</w:t>
      </w:r>
      <w:r w:rsidR="00283C7C" w:rsidRPr="004F6E28">
        <w:rPr>
          <w:rFonts w:ascii="Arial" w:hAnsi="Arial" w:cs="Arial"/>
          <w:color w:val="666666"/>
        </w:rPr>
        <w:t xml:space="preserve"> </w:t>
      </w:r>
      <w:r w:rsidR="00A21554" w:rsidRPr="004F6E28">
        <w:rPr>
          <w:rFonts w:ascii="Arial" w:hAnsi="Arial" w:cs="Arial"/>
          <w:color w:val="666666"/>
        </w:rPr>
        <w:t>Deriva dalla natura stessa dell’informazione antimafia che essa risulti fondata su elementi fattuali più sfumati di quelli che si pretendono in sede giudiziaria, perché sintomatici e indiziari.</w:t>
      </w:r>
      <w:r>
        <w:rPr>
          <w:rFonts w:ascii="Arial" w:hAnsi="Arial" w:cs="Arial"/>
          <w:color w:val="666666"/>
        </w:rPr>
        <w:t xml:space="preserve"> </w:t>
      </w:r>
      <w:r w:rsidR="00A21554" w:rsidRPr="004F6E28">
        <w:rPr>
          <w:rFonts w:ascii="Arial" w:hAnsi="Arial" w:cs="Arial"/>
          <w:color w:val="666666"/>
        </w:rPr>
        <w:t>Si afferma infatti nella giurisprudenza amministrativa (Consiglio di Stato, sezione terza, sentenze 30 gennaio 2019, n. 758 e 3 aprile 2019, n. 2211), che l’atto implica una valutazione tecnico-discrezionale dell’autorità prefettizia in ordine al pericolo di infiltrazione mafiosa, capace di condizionare le scelte e gli indirizzi dell’impresa, e se, da una parte, deve considerare una serie di elementi fattuali, taluni dei quali tipizzati dal legislatore (art. 84, comma 4, del d.lgs. n. 159 del 2011: quali i cosiddetti delitti spia), altri, a condotta libera, sono lasciati al prudente e motivato apprezzamento discrezionale dell’autorità amministrativa, che «può» desumere il tentativo di infiltrazione mafiosa, ai sensi dell’art. 91, comma 6, del d.lgs. n. 159 del 2011, da provvedimenti di condanna non definitiva per reati strumentali all’attività delle organizzazioni criminali «unitamente a concreti elementi da cui risulti che l’attività di impresa possa, anche in modo indiretto, agevolare le attività criminose o esserne in qualche modo condizionata» (citato art. 91, comma 6).</w:t>
      </w:r>
    </w:p>
    <w:p w:rsidR="00A21554" w:rsidRPr="004F6E28" w:rsidRDefault="00A21554" w:rsidP="004F6E28">
      <w:pPr>
        <w:pStyle w:val="dt"/>
        <w:shd w:val="clear" w:color="auto" w:fill="FFFFFF"/>
        <w:spacing w:before="0" w:beforeAutospacing="0" w:after="0" w:afterAutospacing="0"/>
        <w:ind w:firstLine="397"/>
        <w:jc w:val="both"/>
        <w:rPr>
          <w:rFonts w:ascii="Arial" w:hAnsi="Arial" w:cs="Arial"/>
          <w:color w:val="666666"/>
        </w:rPr>
      </w:pPr>
      <w:r w:rsidRPr="004F6E28">
        <w:rPr>
          <w:rFonts w:ascii="Arial" w:hAnsi="Arial" w:cs="Arial"/>
          <w:color w:val="666666"/>
        </w:rPr>
        <w:t>Tutto ciò, peraltro, non comporta che</w:t>
      </w:r>
      <w:r w:rsidR="00991407">
        <w:rPr>
          <w:rFonts w:ascii="Arial" w:hAnsi="Arial" w:cs="Arial"/>
          <w:color w:val="666666"/>
        </w:rPr>
        <w:t>,</w:t>
      </w:r>
      <w:r w:rsidRPr="004F6E28">
        <w:rPr>
          <w:rFonts w:ascii="Arial" w:hAnsi="Arial" w:cs="Arial"/>
          <w:color w:val="666666"/>
        </w:rPr>
        <w:t xml:space="preserve"> nella specie</w:t>
      </w:r>
      <w:r w:rsidR="00991407">
        <w:rPr>
          <w:rFonts w:ascii="Arial" w:hAnsi="Arial" w:cs="Arial"/>
          <w:color w:val="666666"/>
        </w:rPr>
        <w:t>,</w:t>
      </w:r>
      <w:r w:rsidRPr="004F6E28">
        <w:rPr>
          <w:rFonts w:ascii="Arial" w:hAnsi="Arial" w:cs="Arial"/>
          <w:color w:val="666666"/>
        </w:rPr>
        <w:t xml:space="preserve"> si debba ritenere violato il principio fondamentale di legalità sostanziale, che presiede all’esercizio di ogni attività amministrativa.</w:t>
      </w:r>
      <w:r w:rsidR="00283C7C" w:rsidRPr="004F6E28">
        <w:rPr>
          <w:rFonts w:ascii="Arial" w:hAnsi="Arial" w:cs="Arial"/>
          <w:color w:val="666666"/>
        </w:rPr>
        <w:t xml:space="preserve"> </w:t>
      </w:r>
      <w:r w:rsidRPr="004F6E28">
        <w:rPr>
          <w:rFonts w:ascii="Arial" w:hAnsi="Arial" w:cs="Arial"/>
          <w:color w:val="666666"/>
        </w:rPr>
        <w:t>Al riguardo, la stessa giurisprudenza ha anzitutto precisato (</w:t>
      </w:r>
      <w:r w:rsidRPr="00E42307">
        <w:rPr>
          <w:rFonts w:ascii="Arial" w:hAnsi="Arial" w:cs="Arial"/>
          <w:i/>
          <w:color w:val="666666"/>
        </w:rPr>
        <w:t xml:space="preserve">ex </w:t>
      </w:r>
      <w:proofErr w:type="spellStart"/>
      <w:r w:rsidRPr="00E42307">
        <w:rPr>
          <w:rFonts w:ascii="Arial" w:hAnsi="Arial" w:cs="Arial"/>
          <w:i/>
          <w:color w:val="666666"/>
        </w:rPr>
        <w:t>plurimis</w:t>
      </w:r>
      <w:proofErr w:type="spellEnd"/>
      <w:r w:rsidRPr="004F6E28">
        <w:rPr>
          <w:rFonts w:ascii="Arial" w:hAnsi="Arial" w:cs="Arial"/>
          <w:color w:val="666666"/>
        </w:rPr>
        <w:t>, Consiglio di Stato, sezione terza, sentenze 9 febbraio 2017, n. 565, punto 12) che «l’equilibrata ponderazione dei contrapposti valori costituzionali in gioco, la libertà di impresa, da un lato, e la tutela dei fondamentali beni che presidiano il principio di legalità sostanziale […], richiedano alla prefettura una attenta valutazione di tali elementi, che devono offrire un quadro chiaro, completo e convincente del pericolo di infiltrazione mafiosa».</w:t>
      </w:r>
      <w:r w:rsidR="00E42307">
        <w:rPr>
          <w:rFonts w:ascii="Arial" w:hAnsi="Arial" w:cs="Arial"/>
          <w:color w:val="666666"/>
        </w:rPr>
        <w:t xml:space="preserve"> </w:t>
      </w:r>
      <w:r w:rsidRPr="004F6E28">
        <w:rPr>
          <w:rFonts w:ascii="Arial" w:hAnsi="Arial" w:cs="Arial"/>
          <w:color w:val="666666"/>
        </w:rPr>
        <w:t>Tale quadro deve emergere, poi, da una motivazione accurata che nella specie assume una rilevanza affatto particolare (sentenza prima citata) come ha affermato anche questa Corte in un caso affine (sentenza n. 103 del 1993, che ha preso in esame la disciplina dei provvedimenti di scioglimento di consigli comunali e provinciali allorché emergono elementi su collegamenti diretti o indiretti con la criminalità organizzata, o su forme di condizionamento).</w:t>
      </w:r>
      <w:r w:rsidR="00283C7C" w:rsidRPr="004F6E28">
        <w:rPr>
          <w:rFonts w:ascii="Arial" w:hAnsi="Arial" w:cs="Arial"/>
          <w:color w:val="666666"/>
        </w:rPr>
        <w:t xml:space="preserve"> </w:t>
      </w:r>
      <w:r w:rsidRPr="004F6E28">
        <w:rPr>
          <w:rFonts w:ascii="Arial" w:hAnsi="Arial" w:cs="Arial"/>
          <w:color w:val="666666"/>
        </w:rPr>
        <w:t>Infine, queste complesse valutazioni che – come si è rilevato – sono, sì, discrezionali, ma dalla forte componente tecnica, sono soggette ad un vaglio giurisdizionale pieno ed effettivo.</w:t>
      </w:r>
      <w:r w:rsidR="00283C7C" w:rsidRPr="004F6E28">
        <w:rPr>
          <w:rFonts w:ascii="Arial" w:hAnsi="Arial" w:cs="Arial"/>
          <w:color w:val="666666"/>
        </w:rPr>
        <w:t xml:space="preserve"> </w:t>
      </w:r>
      <w:r w:rsidRPr="004F6E28">
        <w:rPr>
          <w:rFonts w:ascii="Arial" w:hAnsi="Arial" w:cs="Arial"/>
          <w:color w:val="666666"/>
        </w:rPr>
        <w:t xml:space="preserve">Di fatto è questa la portata delle numerose sentenze amministrative che </w:t>
      </w:r>
      <w:r w:rsidRPr="004F6E28">
        <w:rPr>
          <w:rFonts w:ascii="Arial" w:hAnsi="Arial" w:cs="Arial"/>
          <w:color w:val="666666"/>
        </w:rPr>
        <w:lastRenderedPageBreak/>
        <w:t>si sono occupate dell’istituto. Esse non si limitano ad un controllo “estrinseco” (così ancora una volta la relazione citata) e, pur dando il giusto rilievo alla motivazione, procedono ad un esame sostanziale degli elementi raccolti dal prefetto, verificandone la consistenza e la coerenza.</w:t>
      </w:r>
      <w:r w:rsidR="00283C7C" w:rsidRPr="004F6E28">
        <w:rPr>
          <w:rFonts w:ascii="Arial" w:hAnsi="Arial" w:cs="Arial"/>
          <w:color w:val="666666"/>
        </w:rPr>
        <w:t xml:space="preserve"> </w:t>
      </w:r>
      <w:r w:rsidRPr="004F6E28">
        <w:rPr>
          <w:rFonts w:ascii="Arial" w:hAnsi="Arial" w:cs="Arial"/>
          <w:color w:val="666666"/>
        </w:rPr>
        <w:t>Il risultato di questo impegno è la individuazione di un nucleo consolidato (sin dalla sentenza del Consiglio di Stato, sezione terza, 3 maggio 2016, n. 1743, come ricorda la sentenza della terza sezione, 5 settembre 2019, n. 6105) di situazioni indiziarie, che sviluppano e completano le indicazioni legislative, costruendo un sistema di tassatività sostanziale.</w:t>
      </w:r>
      <w:r w:rsidR="001E4E5B" w:rsidRPr="004F6E28">
        <w:rPr>
          <w:rFonts w:ascii="Arial" w:hAnsi="Arial" w:cs="Arial"/>
          <w:color w:val="666666"/>
        </w:rPr>
        <w:t>…</w:t>
      </w:r>
      <w:r w:rsidRPr="004F6E28">
        <w:rPr>
          <w:rFonts w:ascii="Arial" w:hAnsi="Arial" w:cs="Arial"/>
          <w:color w:val="666666"/>
        </w:rPr>
        <w:t>Si tratta di puntualizzazioni di cui va apprezzata la rilevanza alla luce di quella giurisprudenza costituzionale (sentenza n. 24 del 2019) che, anche se relativa a fattispecie diversa, ha valorizzato l’apporto fornito da una giurisprudenza costante e uniforme, al fine di delimitare l’applicazione di disposizioni legislative incidenti su diritti costituzionalmente protetti, pure caratterizzate da una certa genericità.</w:t>
      </w:r>
    </w:p>
    <w:p w:rsidR="001E4E5B" w:rsidRPr="004F6E28" w:rsidRDefault="00A21554" w:rsidP="004F6E28">
      <w:pPr>
        <w:pStyle w:val="dt"/>
        <w:shd w:val="clear" w:color="auto" w:fill="FFFFFF"/>
        <w:spacing w:before="0" w:beforeAutospacing="0" w:after="0" w:afterAutospacing="0"/>
        <w:ind w:firstLine="397"/>
        <w:jc w:val="both"/>
        <w:rPr>
          <w:rFonts w:ascii="Arial" w:hAnsi="Arial" w:cs="Arial"/>
          <w:color w:val="666666"/>
        </w:rPr>
      </w:pPr>
      <w:r w:rsidRPr="004F6E28">
        <w:rPr>
          <w:rFonts w:ascii="Arial" w:hAnsi="Arial" w:cs="Arial"/>
          <w:color w:val="666666"/>
        </w:rPr>
        <w:t>Il dato normativo, arricchito dell’articolato quadro giurisprudenziale, esclude, dunque, la fondatezza dei dubbi di costituzionalità avanzat</w:t>
      </w:r>
      <w:r w:rsidR="00E42307">
        <w:rPr>
          <w:rFonts w:ascii="Arial" w:hAnsi="Arial" w:cs="Arial"/>
          <w:color w:val="666666"/>
        </w:rPr>
        <w:t>i dal rimettente in ordine all’</w:t>
      </w:r>
      <w:r w:rsidRPr="004F6E28">
        <w:rPr>
          <w:rFonts w:ascii="Arial" w:hAnsi="Arial" w:cs="Arial"/>
          <w:color w:val="666666"/>
        </w:rPr>
        <w:t>ammissibilità, in sé, del ricorso allo strumento amministrativo, e quindi alla legittimità della pur grave limitazione della libertà di impresa che ne deriva</w:t>
      </w:r>
      <w:r w:rsidR="001E4E5B" w:rsidRPr="004F6E28">
        <w:rPr>
          <w:rFonts w:ascii="Arial" w:hAnsi="Arial" w:cs="Arial"/>
          <w:color w:val="666666"/>
        </w:rPr>
        <w:t>”.</w:t>
      </w:r>
    </w:p>
    <w:p w:rsidR="00A21554" w:rsidRPr="004F6E28" w:rsidRDefault="001E4E5B" w:rsidP="004F6E28">
      <w:pPr>
        <w:pStyle w:val="dt"/>
        <w:shd w:val="clear" w:color="auto" w:fill="FFFFFF"/>
        <w:spacing w:before="0" w:beforeAutospacing="0" w:after="0" w:afterAutospacing="0"/>
        <w:ind w:firstLine="397"/>
        <w:jc w:val="both"/>
        <w:rPr>
          <w:rFonts w:ascii="Arial" w:hAnsi="Arial" w:cs="Arial"/>
          <w:color w:val="666666"/>
        </w:rPr>
      </w:pPr>
      <w:r w:rsidRPr="004F6E28">
        <w:rPr>
          <w:rFonts w:ascii="Arial" w:hAnsi="Arial" w:cs="Arial"/>
          <w:color w:val="666666"/>
        </w:rPr>
        <w:t xml:space="preserve">Chiariti </w:t>
      </w:r>
      <w:r w:rsidR="00E42307">
        <w:rPr>
          <w:rFonts w:ascii="Arial" w:hAnsi="Arial" w:cs="Arial"/>
          <w:color w:val="666666"/>
        </w:rPr>
        <w:t xml:space="preserve">in questi termini </w:t>
      </w:r>
      <w:r w:rsidRPr="004F6E28">
        <w:rPr>
          <w:rFonts w:ascii="Arial" w:hAnsi="Arial" w:cs="Arial"/>
          <w:color w:val="666666"/>
        </w:rPr>
        <w:t>i parametri di rispetto del principio di legalità che governano la mater</w:t>
      </w:r>
      <w:r w:rsidR="00E42307">
        <w:rPr>
          <w:rFonts w:ascii="Arial" w:hAnsi="Arial" w:cs="Arial"/>
          <w:color w:val="666666"/>
        </w:rPr>
        <w:t>ia</w:t>
      </w:r>
      <w:r w:rsidR="00FC3C16">
        <w:rPr>
          <w:rFonts w:ascii="Arial" w:hAnsi="Arial" w:cs="Arial"/>
          <w:color w:val="666666"/>
        </w:rPr>
        <w:t>,</w:t>
      </w:r>
      <w:r w:rsidR="00E42307">
        <w:rPr>
          <w:rFonts w:ascii="Arial" w:hAnsi="Arial" w:cs="Arial"/>
          <w:color w:val="666666"/>
        </w:rPr>
        <w:t xml:space="preserve"> la Corte ha analizzato </w:t>
      </w:r>
      <w:r w:rsidRPr="004F6E28">
        <w:rPr>
          <w:rFonts w:ascii="Arial" w:hAnsi="Arial" w:cs="Arial"/>
          <w:color w:val="666666"/>
        </w:rPr>
        <w:t>i criteri che devono presidiare il giudizio di bilanciamento nei casi in cui la normativa in questione si pon</w:t>
      </w:r>
      <w:r w:rsidR="00283C7C" w:rsidRPr="004F6E28">
        <w:rPr>
          <w:rFonts w:ascii="Arial" w:hAnsi="Arial" w:cs="Arial"/>
          <w:color w:val="666666"/>
        </w:rPr>
        <w:t>ga in confitto con prerogative economiche di tipo individuale.</w:t>
      </w:r>
    </w:p>
    <w:p w:rsidR="001C1C57" w:rsidRPr="004F6E28" w:rsidRDefault="00BC0D86" w:rsidP="004F6E28">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“S</w:t>
      </w:r>
      <w:r w:rsidR="00930778" w:rsidRPr="004F6E28">
        <w:rPr>
          <w:rFonts w:ascii="Arial" w:hAnsi="Arial" w:cs="Arial"/>
          <w:color w:val="686868"/>
          <w:sz w:val="24"/>
          <w:szCs w:val="24"/>
          <w:shd w:val="clear" w:color="auto" w:fill="FFFFFF"/>
          <w:lang w:val="it-IT"/>
        </w:rPr>
        <w:t>econdo il costante insegnamento di questa Corte (</w:t>
      </w:r>
      <w:r w:rsidR="00930778" w:rsidRPr="004F6E28">
        <w:rPr>
          <w:rFonts w:ascii="Arial" w:hAnsi="Arial" w:cs="Arial"/>
          <w:i/>
          <w:color w:val="686868"/>
          <w:sz w:val="24"/>
          <w:szCs w:val="24"/>
          <w:shd w:val="clear" w:color="auto" w:fill="FFFFFF"/>
          <w:lang w:val="it-IT"/>
        </w:rPr>
        <w:t>ex pluribus</w:t>
      </w:r>
      <w:r w:rsidR="00930778" w:rsidRPr="004F6E28">
        <w:rPr>
          <w:rFonts w:ascii="Arial" w:hAnsi="Arial" w:cs="Arial"/>
          <w:color w:val="686868"/>
          <w:sz w:val="24"/>
          <w:szCs w:val="24"/>
          <w:shd w:val="clear" w:color="auto" w:fill="FFFFFF"/>
          <w:lang w:val="it-IT"/>
        </w:rPr>
        <w:t xml:space="preserve"> sentenza n. 151 e n. 47 del 2018, n. 16 del 2017 e n. 56 del 2015</w:t>
      </w:r>
      <w:r w:rsidR="00E42307">
        <w:rPr>
          <w:rFonts w:ascii="Arial" w:hAnsi="Arial" w:cs="Arial"/>
          <w:color w:val="686868"/>
          <w:sz w:val="24"/>
          <w:szCs w:val="24"/>
          <w:shd w:val="clear" w:color="auto" w:fill="FFFFFF"/>
          <w:lang w:val="it-IT"/>
        </w:rPr>
        <w:t>)</w:t>
      </w:r>
      <w:r w:rsidR="00930778" w:rsidRPr="004F6E28">
        <w:rPr>
          <w:rFonts w:ascii="Arial" w:hAnsi="Arial" w:cs="Arial"/>
          <w:color w:val="686868"/>
          <w:sz w:val="24"/>
          <w:szCs w:val="24"/>
          <w:shd w:val="clear" w:color="auto" w:fill="FFFFFF"/>
          <w:lang w:val="it-IT"/>
        </w:rPr>
        <w:t xml:space="preserve"> non è configurabile una lesione della libertà di iniziativa economica privata allorché l’apposizione di limiti di ordine generale al suo esercizio corrisponda</w:t>
      </w:r>
      <w:r w:rsidR="00283C7C" w:rsidRPr="004F6E28">
        <w:rPr>
          <w:rFonts w:ascii="Arial" w:hAnsi="Arial" w:cs="Arial"/>
          <w:color w:val="686868"/>
          <w:sz w:val="24"/>
          <w:szCs w:val="24"/>
          <w:shd w:val="clear" w:color="auto" w:fill="FFFFFF"/>
          <w:lang w:val="it-IT"/>
        </w:rPr>
        <w:t>, oltre che</w:t>
      </w:r>
      <w:r w:rsidR="009355D2" w:rsidRPr="004F6E28">
        <w:rPr>
          <w:rFonts w:ascii="Arial" w:hAnsi="Arial" w:cs="Arial"/>
          <w:color w:val="686868"/>
          <w:sz w:val="24"/>
          <w:szCs w:val="24"/>
          <w:shd w:val="clear" w:color="auto" w:fill="FFFFFF"/>
          <w:lang w:val="it-IT"/>
        </w:rPr>
        <w:t xml:space="preserve"> alla protezione di valori primari attinenti alla persona umana, come sancito dall’art. 41 co. secondo, all’utilità sociale, purché l’individuazione di quest’ultima, che spetta al legislatore, non appaia arbitraria e non venga perseguita mediante misure palesemente incongrue</w:t>
      </w:r>
      <w:r w:rsidR="00FA07B8" w:rsidRPr="004F6E28">
        <w:rPr>
          <w:rFonts w:ascii="Arial" w:hAnsi="Arial" w:cs="Arial"/>
          <w:color w:val="686868"/>
          <w:sz w:val="24"/>
          <w:szCs w:val="24"/>
          <w:shd w:val="clear" w:color="auto" w:fill="FFFFFF"/>
          <w:lang w:val="it-IT"/>
        </w:rPr>
        <w:t>”</w:t>
      </w:r>
      <w:r w:rsidR="001B1B43" w:rsidRPr="004F6E28">
        <w:rPr>
          <w:rFonts w:ascii="Arial" w:hAnsi="Arial" w:cs="Arial"/>
          <w:color w:val="686868"/>
          <w:sz w:val="24"/>
          <w:szCs w:val="24"/>
          <w:shd w:val="clear" w:color="auto" w:fill="FFFFFF"/>
          <w:lang w:val="it-IT"/>
        </w:rPr>
        <w:t xml:space="preserve"> (Corte C</w:t>
      </w:r>
      <w:r w:rsidR="006B5281" w:rsidRPr="004F6E28">
        <w:rPr>
          <w:rFonts w:ascii="Arial" w:hAnsi="Arial" w:cs="Arial"/>
          <w:color w:val="686868"/>
          <w:sz w:val="24"/>
          <w:szCs w:val="24"/>
          <w:shd w:val="clear" w:color="auto" w:fill="FFFFFF"/>
          <w:lang w:val="it-IT"/>
        </w:rPr>
        <w:t>ostituzionale 16 giugno 2022 n. 150).</w:t>
      </w:r>
      <w:r w:rsidR="009355D2" w:rsidRPr="004F6E28">
        <w:rPr>
          <w:rFonts w:ascii="Arial" w:hAnsi="Arial" w:cs="Arial"/>
          <w:color w:val="686868"/>
          <w:sz w:val="24"/>
          <w:szCs w:val="24"/>
          <w:shd w:val="clear" w:color="auto" w:fill="FFFFFF"/>
          <w:lang w:val="it-IT"/>
        </w:rPr>
        <w:t xml:space="preserve"> </w:t>
      </w:r>
      <w:r w:rsidR="001C1C57" w:rsidRPr="004F6E28">
        <w:rPr>
          <w:rFonts w:ascii="Arial" w:hAnsi="Arial" w:cs="Arial"/>
          <w:color w:val="686868"/>
          <w:sz w:val="24"/>
          <w:szCs w:val="24"/>
          <w:shd w:val="clear" w:color="auto" w:fill="FFFFFF"/>
          <w:lang w:val="it-IT"/>
        </w:rPr>
        <w:t>Ancora: “</w:t>
      </w:r>
      <w:r w:rsidR="001C1C57" w:rsidRPr="004F6E28">
        <w:rPr>
          <w:rFonts w:ascii="Arial" w:hAnsi="Arial" w:cs="Arial"/>
          <w:sz w:val="24"/>
          <w:szCs w:val="24"/>
          <w:lang w:val="it-IT"/>
        </w:rPr>
        <w:t>costante è la giurisprudenza di questa Corte nell’affermare che la restrizione della libertà di iniziativa economica è giustificata dall’utilità sociale, ma alla condizione che gli interventi del legislatore non la perseguano mediante «misure palesemente incongrue» (</w:t>
      </w:r>
      <w:r w:rsidR="001C1C57" w:rsidRPr="004F6E28">
        <w:rPr>
          <w:rFonts w:ascii="Arial" w:hAnsi="Arial" w:cs="Arial"/>
          <w:i/>
          <w:sz w:val="24"/>
          <w:szCs w:val="24"/>
          <w:lang w:val="it-IT"/>
        </w:rPr>
        <w:t xml:space="preserve">ex </w:t>
      </w:r>
      <w:proofErr w:type="spellStart"/>
      <w:r w:rsidR="001C1C57" w:rsidRPr="004F6E28">
        <w:rPr>
          <w:rFonts w:ascii="Arial" w:hAnsi="Arial" w:cs="Arial"/>
          <w:i/>
          <w:sz w:val="24"/>
          <w:szCs w:val="24"/>
          <w:lang w:val="it-IT"/>
        </w:rPr>
        <w:t>plurimis</w:t>
      </w:r>
      <w:proofErr w:type="spellEnd"/>
      <w:r w:rsidR="001C1C57" w:rsidRPr="004F6E28">
        <w:rPr>
          <w:rFonts w:ascii="Arial" w:hAnsi="Arial" w:cs="Arial"/>
          <w:sz w:val="24"/>
          <w:szCs w:val="24"/>
          <w:lang w:val="it-IT"/>
        </w:rPr>
        <w:t>, sentenze n. 150 e n. 113 del 2022, n. 218 del 2021, n. 85 del 2020) e che sussista un «giusto equilibrio» tra le esigenze dell’interesse generale della comunità e l’ingerenza nel diritto individuale al godimento dei beni</w:t>
      </w:r>
      <w:r w:rsidR="00211A66" w:rsidRPr="004F6E28">
        <w:rPr>
          <w:rFonts w:ascii="Arial" w:hAnsi="Arial" w:cs="Arial"/>
          <w:sz w:val="24"/>
          <w:szCs w:val="24"/>
          <w:lang w:val="it-IT"/>
        </w:rPr>
        <w:t>” (Corte C</w:t>
      </w:r>
      <w:r w:rsidR="001C1C57" w:rsidRPr="004F6E28">
        <w:rPr>
          <w:rFonts w:ascii="Arial" w:hAnsi="Arial" w:cs="Arial"/>
          <w:sz w:val="24"/>
          <w:szCs w:val="24"/>
          <w:lang w:val="it-IT"/>
        </w:rPr>
        <w:t>ost</w:t>
      </w:r>
      <w:r w:rsidR="00211A66" w:rsidRPr="004F6E28">
        <w:rPr>
          <w:rFonts w:ascii="Arial" w:hAnsi="Arial" w:cs="Arial"/>
          <w:sz w:val="24"/>
          <w:szCs w:val="24"/>
          <w:lang w:val="it-IT"/>
        </w:rPr>
        <w:t>ituzionale</w:t>
      </w:r>
      <w:r w:rsidRPr="004F6E28">
        <w:rPr>
          <w:rFonts w:ascii="Arial" w:hAnsi="Arial" w:cs="Arial"/>
          <w:sz w:val="24"/>
          <w:szCs w:val="24"/>
          <w:lang w:val="it-IT"/>
        </w:rPr>
        <w:t xml:space="preserve"> 11 novembre</w:t>
      </w:r>
      <w:r w:rsidR="001C1C57" w:rsidRPr="004F6E28">
        <w:rPr>
          <w:rFonts w:ascii="Arial" w:hAnsi="Arial" w:cs="Arial"/>
          <w:sz w:val="24"/>
          <w:szCs w:val="24"/>
          <w:lang w:val="it-IT"/>
        </w:rPr>
        <w:t xml:space="preserve"> 2021</w:t>
      </w:r>
      <w:r w:rsidRPr="004F6E28">
        <w:rPr>
          <w:rFonts w:ascii="Arial" w:hAnsi="Arial" w:cs="Arial"/>
          <w:sz w:val="24"/>
          <w:szCs w:val="24"/>
          <w:lang w:val="it-IT"/>
        </w:rPr>
        <w:t>,</w:t>
      </w:r>
      <w:r w:rsidR="001C1C57" w:rsidRPr="004F6E28">
        <w:rPr>
          <w:rFonts w:ascii="Arial" w:hAnsi="Arial" w:cs="Arial"/>
          <w:sz w:val="24"/>
          <w:szCs w:val="24"/>
          <w:lang w:val="it-IT"/>
        </w:rPr>
        <w:t xml:space="preserve"> n. 213</w:t>
      </w:r>
      <w:r w:rsidR="00230641" w:rsidRPr="004F6E28">
        <w:rPr>
          <w:rFonts w:ascii="Arial" w:hAnsi="Arial" w:cs="Arial"/>
          <w:sz w:val="24"/>
          <w:szCs w:val="24"/>
          <w:lang w:val="it-IT"/>
        </w:rPr>
        <w:t xml:space="preserve">; </w:t>
      </w:r>
      <w:r w:rsidR="00230641" w:rsidRPr="004F6E28">
        <w:rPr>
          <w:rFonts w:ascii="Arial" w:hAnsi="Arial" w:cs="Arial"/>
          <w:i/>
          <w:sz w:val="24"/>
          <w:szCs w:val="24"/>
          <w:lang w:val="it-IT"/>
        </w:rPr>
        <w:t xml:space="preserve">idem </w:t>
      </w:r>
      <w:r w:rsidR="00230641" w:rsidRPr="004F6E28">
        <w:rPr>
          <w:rFonts w:ascii="Arial" w:hAnsi="Arial" w:cs="Arial"/>
          <w:sz w:val="24"/>
          <w:szCs w:val="24"/>
          <w:lang w:val="it-IT"/>
        </w:rPr>
        <w:t>Corte Costituzionale 23 maggio 2023, n. 101</w:t>
      </w:r>
      <w:r w:rsidR="00211A66" w:rsidRPr="004F6E28">
        <w:rPr>
          <w:rFonts w:ascii="Arial" w:hAnsi="Arial" w:cs="Arial"/>
          <w:sz w:val="24"/>
          <w:szCs w:val="24"/>
          <w:lang w:val="it-IT"/>
        </w:rPr>
        <w:t>)</w:t>
      </w:r>
      <w:r w:rsidRPr="004F6E28">
        <w:rPr>
          <w:rFonts w:ascii="Arial" w:hAnsi="Arial" w:cs="Arial"/>
          <w:sz w:val="24"/>
          <w:szCs w:val="24"/>
          <w:lang w:val="it-IT"/>
        </w:rPr>
        <w:t>.</w:t>
      </w:r>
    </w:p>
    <w:p w:rsidR="001C1C57" w:rsidRPr="004F6E28" w:rsidRDefault="001E4E5B" w:rsidP="004F6E28">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Il quadro dei limiti</w:t>
      </w:r>
      <w:r w:rsidR="00BC0D86" w:rsidRPr="004F6E28">
        <w:rPr>
          <w:rFonts w:ascii="Arial" w:hAnsi="Arial" w:cs="Arial"/>
          <w:color w:val="686868"/>
          <w:sz w:val="24"/>
          <w:szCs w:val="24"/>
          <w:shd w:val="clear" w:color="auto" w:fill="FFFFFF"/>
          <w:lang w:val="it-IT"/>
        </w:rPr>
        <w:t xml:space="preserve"> dell’iniziativa economica, declinati nel rispetto dei </w:t>
      </w:r>
      <w:r w:rsidR="001B1B43" w:rsidRPr="004F6E28">
        <w:rPr>
          <w:rFonts w:ascii="Arial" w:hAnsi="Arial" w:cs="Arial"/>
          <w:color w:val="686868"/>
          <w:sz w:val="24"/>
          <w:szCs w:val="24"/>
          <w:shd w:val="clear" w:color="auto" w:fill="FFFFFF"/>
          <w:lang w:val="it-IT"/>
        </w:rPr>
        <w:t>parametri</w:t>
      </w:r>
      <w:r w:rsidR="001C1C57" w:rsidRPr="004F6E28">
        <w:rPr>
          <w:rFonts w:ascii="Arial" w:hAnsi="Arial" w:cs="Arial"/>
          <w:color w:val="686868"/>
          <w:sz w:val="24"/>
          <w:szCs w:val="24"/>
          <w:shd w:val="clear" w:color="auto" w:fill="FFFFFF"/>
          <w:lang w:val="it-IT"/>
        </w:rPr>
        <w:t xml:space="preserve"> costituzionali</w:t>
      </w:r>
      <w:r w:rsidR="00283C7C" w:rsidRPr="004F6E28">
        <w:rPr>
          <w:rFonts w:ascii="Arial" w:hAnsi="Arial" w:cs="Arial"/>
          <w:color w:val="686868"/>
          <w:sz w:val="24"/>
          <w:szCs w:val="24"/>
          <w:shd w:val="clear" w:color="auto" w:fill="FFFFFF"/>
          <w:lang w:val="it-IT"/>
        </w:rPr>
        <w:t xml:space="preserve"> ed in particolare</w:t>
      </w:r>
      <w:r w:rsidR="00FC3C16">
        <w:rPr>
          <w:rFonts w:ascii="Arial" w:hAnsi="Arial" w:cs="Arial"/>
          <w:color w:val="686868"/>
          <w:sz w:val="24"/>
          <w:szCs w:val="24"/>
          <w:shd w:val="clear" w:color="auto" w:fill="FFFFFF"/>
          <w:lang w:val="it-IT"/>
        </w:rPr>
        <w:t xml:space="preserve"> di quello dell’utilità sociale</w:t>
      </w:r>
      <w:r w:rsidRPr="004F6E28">
        <w:rPr>
          <w:rFonts w:ascii="Arial" w:hAnsi="Arial" w:cs="Arial"/>
          <w:color w:val="686868"/>
          <w:sz w:val="24"/>
          <w:szCs w:val="24"/>
          <w:shd w:val="clear" w:color="auto" w:fill="FFFFFF"/>
          <w:lang w:val="it-IT"/>
        </w:rPr>
        <w:t xml:space="preserve"> disegnato dalla giurisprudenza della Corte</w:t>
      </w:r>
      <w:r w:rsidR="00FC3C16">
        <w:rPr>
          <w:rFonts w:ascii="Arial" w:hAnsi="Arial" w:cs="Arial"/>
          <w:color w:val="686868"/>
          <w:sz w:val="24"/>
          <w:szCs w:val="24"/>
          <w:shd w:val="clear" w:color="auto" w:fill="FFFFFF"/>
          <w:lang w:val="it-IT"/>
        </w:rPr>
        <w:t>,</w:t>
      </w:r>
      <w:r w:rsidRPr="004F6E28">
        <w:rPr>
          <w:rFonts w:ascii="Arial" w:hAnsi="Arial" w:cs="Arial"/>
          <w:color w:val="686868"/>
          <w:sz w:val="24"/>
          <w:szCs w:val="24"/>
          <w:shd w:val="clear" w:color="auto" w:fill="FFFFFF"/>
          <w:lang w:val="it-IT"/>
        </w:rPr>
        <w:t xml:space="preserve"> può in definitiva così riassumersi:</w:t>
      </w:r>
      <w:r w:rsidR="00BC0D86" w:rsidRPr="004F6E28">
        <w:rPr>
          <w:rFonts w:ascii="Arial" w:hAnsi="Arial" w:cs="Arial"/>
          <w:color w:val="686868"/>
          <w:sz w:val="24"/>
          <w:szCs w:val="24"/>
          <w:shd w:val="clear" w:color="auto" w:fill="FFFFFF"/>
          <w:lang w:val="it-IT"/>
        </w:rPr>
        <w:t xml:space="preserve"> </w:t>
      </w:r>
    </w:p>
    <w:p w:rsidR="001C1C57" w:rsidRPr="004F6E28" w:rsidRDefault="001B1B43" w:rsidP="004F6E28">
      <w:pPr>
        <w:pStyle w:val="Paragrafoelenco"/>
        <w:numPr>
          <w:ilvl w:val="0"/>
          <w:numId w:val="7"/>
        </w:num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 xml:space="preserve">i limiti </w:t>
      </w:r>
      <w:r w:rsidR="001E4E5B" w:rsidRPr="004F6E28">
        <w:rPr>
          <w:rFonts w:ascii="Arial" w:hAnsi="Arial" w:cs="Arial"/>
          <w:color w:val="686868"/>
          <w:sz w:val="24"/>
          <w:szCs w:val="24"/>
          <w:shd w:val="clear" w:color="auto" w:fill="FFFFFF"/>
          <w:lang w:val="it-IT"/>
        </w:rPr>
        <w:t xml:space="preserve">all’iniziativa economica </w:t>
      </w:r>
      <w:r w:rsidRPr="004F6E28">
        <w:rPr>
          <w:rFonts w:ascii="Arial" w:hAnsi="Arial" w:cs="Arial"/>
          <w:color w:val="686868"/>
          <w:sz w:val="24"/>
          <w:szCs w:val="24"/>
          <w:shd w:val="clear" w:color="auto" w:fill="FFFFFF"/>
          <w:lang w:val="it-IT"/>
        </w:rPr>
        <w:t xml:space="preserve">soggiacciono ad una riserva di legge; </w:t>
      </w:r>
    </w:p>
    <w:p w:rsidR="00BC0D86" w:rsidRPr="004F6E28" w:rsidRDefault="001B1B43" w:rsidP="004F6E28">
      <w:pPr>
        <w:pStyle w:val="Paragrafoelenco"/>
        <w:numPr>
          <w:ilvl w:val="0"/>
          <w:numId w:val="7"/>
        </w:num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la pertin</w:t>
      </w:r>
      <w:r w:rsidR="00FC3C16">
        <w:rPr>
          <w:rFonts w:ascii="Arial" w:hAnsi="Arial" w:cs="Arial"/>
          <w:color w:val="686868"/>
          <w:sz w:val="24"/>
          <w:szCs w:val="24"/>
          <w:shd w:val="clear" w:color="auto" w:fill="FFFFFF"/>
          <w:lang w:val="it-IT"/>
        </w:rPr>
        <w:t>ente normativa non deve</w:t>
      </w:r>
      <w:r w:rsidRPr="004F6E28">
        <w:rPr>
          <w:rFonts w:ascii="Arial" w:hAnsi="Arial" w:cs="Arial"/>
          <w:color w:val="686868"/>
          <w:sz w:val="24"/>
          <w:szCs w:val="24"/>
          <w:shd w:val="clear" w:color="auto" w:fill="FFFFFF"/>
          <w:lang w:val="it-IT"/>
        </w:rPr>
        <w:t xml:space="preserve"> presentare una tassatività analoga a quella che, ad esempio, governa</w:t>
      </w:r>
      <w:r w:rsidR="001E4E5B" w:rsidRPr="004F6E28">
        <w:rPr>
          <w:rFonts w:ascii="Arial" w:hAnsi="Arial" w:cs="Arial"/>
          <w:color w:val="686868"/>
          <w:sz w:val="24"/>
          <w:szCs w:val="24"/>
          <w:shd w:val="clear" w:color="auto" w:fill="FFFFFF"/>
          <w:lang w:val="it-IT"/>
        </w:rPr>
        <w:t xml:space="preserve"> il diritto penale ma deve</w:t>
      </w:r>
      <w:r w:rsidRPr="004F6E28">
        <w:rPr>
          <w:rFonts w:ascii="Arial" w:hAnsi="Arial" w:cs="Arial"/>
          <w:color w:val="686868"/>
          <w:sz w:val="24"/>
          <w:szCs w:val="24"/>
          <w:shd w:val="clear" w:color="auto" w:fill="FFFFFF"/>
          <w:lang w:val="it-IT"/>
        </w:rPr>
        <w:t xml:space="preserve"> garantire</w:t>
      </w:r>
      <w:r w:rsidR="001C1C57" w:rsidRPr="004F6E28">
        <w:rPr>
          <w:rFonts w:ascii="Arial" w:hAnsi="Arial" w:cs="Arial"/>
          <w:color w:val="686868"/>
          <w:sz w:val="24"/>
          <w:szCs w:val="24"/>
          <w:shd w:val="clear" w:color="auto" w:fill="FFFFFF"/>
          <w:lang w:val="it-IT"/>
        </w:rPr>
        <w:t xml:space="preserve"> ad ogni interessato</w:t>
      </w:r>
      <w:r w:rsidRPr="004F6E28">
        <w:rPr>
          <w:rFonts w:ascii="Arial" w:hAnsi="Arial" w:cs="Arial"/>
          <w:color w:val="686868"/>
          <w:sz w:val="24"/>
          <w:szCs w:val="24"/>
          <w:shd w:val="clear" w:color="auto" w:fill="FFFFFF"/>
          <w:lang w:val="it-IT"/>
        </w:rPr>
        <w:t xml:space="preserve"> una prevedibilità</w:t>
      </w:r>
      <w:r w:rsidR="001E4E5B" w:rsidRPr="004F6E28">
        <w:rPr>
          <w:rFonts w:ascii="Arial" w:hAnsi="Arial" w:cs="Arial"/>
          <w:color w:val="686868"/>
          <w:sz w:val="24"/>
          <w:szCs w:val="24"/>
          <w:shd w:val="clear" w:color="auto" w:fill="FFFFFF"/>
          <w:lang w:val="it-IT"/>
        </w:rPr>
        <w:t xml:space="preserve"> di ciò che esula dalla tutela</w:t>
      </w:r>
      <w:r w:rsidR="00FC3C16">
        <w:rPr>
          <w:rFonts w:ascii="Arial" w:hAnsi="Arial" w:cs="Arial"/>
          <w:color w:val="686868"/>
          <w:sz w:val="24"/>
          <w:szCs w:val="24"/>
          <w:shd w:val="clear" w:color="auto" w:fill="FFFFFF"/>
          <w:lang w:val="it-IT"/>
        </w:rPr>
        <w:t>,</w:t>
      </w:r>
      <w:r w:rsidR="00BC0D86" w:rsidRPr="004F6E28">
        <w:rPr>
          <w:rFonts w:ascii="Arial" w:hAnsi="Arial" w:cs="Arial"/>
          <w:color w:val="686868"/>
          <w:sz w:val="24"/>
          <w:szCs w:val="24"/>
          <w:shd w:val="clear" w:color="auto" w:fill="FFFFFF"/>
          <w:lang w:val="it-IT"/>
        </w:rPr>
        <w:t xml:space="preserve"> perché contrario al significato c</w:t>
      </w:r>
      <w:r w:rsidR="001C1C57" w:rsidRPr="004F6E28">
        <w:rPr>
          <w:rFonts w:ascii="Arial" w:hAnsi="Arial" w:cs="Arial"/>
          <w:color w:val="686868"/>
          <w:sz w:val="24"/>
          <w:szCs w:val="24"/>
          <w:shd w:val="clear" w:color="auto" w:fill="FFFFFF"/>
          <w:lang w:val="it-IT"/>
        </w:rPr>
        <w:t>ostituzionale</w:t>
      </w:r>
      <w:r w:rsidR="00BC0D86" w:rsidRPr="004F6E28">
        <w:rPr>
          <w:rFonts w:ascii="Arial" w:hAnsi="Arial" w:cs="Arial"/>
          <w:color w:val="686868"/>
          <w:sz w:val="24"/>
          <w:szCs w:val="24"/>
          <w:shd w:val="clear" w:color="auto" w:fill="FFFFFF"/>
          <w:lang w:val="it-IT"/>
        </w:rPr>
        <w:t xml:space="preserve"> di libera </w:t>
      </w:r>
      <w:r w:rsidR="00283C7C" w:rsidRPr="004F6E28">
        <w:rPr>
          <w:rFonts w:ascii="Arial" w:hAnsi="Arial" w:cs="Arial"/>
          <w:color w:val="686868"/>
          <w:sz w:val="24"/>
          <w:szCs w:val="24"/>
          <w:shd w:val="clear" w:color="auto" w:fill="FFFFFF"/>
          <w:lang w:val="it-IT"/>
        </w:rPr>
        <w:t>iniziativa economica;</w:t>
      </w:r>
      <w:r w:rsidR="001E4E5B" w:rsidRPr="004F6E28">
        <w:rPr>
          <w:rFonts w:ascii="Arial" w:hAnsi="Arial" w:cs="Arial"/>
          <w:color w:val="686868"/>
          <w:sz w:val="24"/>
          <w:szCs w:val="24"/>
          <w:shd w:val="clear" w:color="auto" w:fill="FFFFFF"/>
          <w:lang w:val="it-IT"/>
        </w:rPr>
        <w:t xml:space="preserve"> siffatta garanzia può derivare dall’insieme dell’ordinamento</w:t>
      </w:r>
      <w:r w:rsidR="00E42307">
        <w:rPr>
          <w:rFonts w:ascii="Arial" w:hAnsi="Arial" w:cs="Arial"/>
          <w:color w:val="686868"/>
          <w:sz w:val="24"/>
          <w:szCs w:val="24"/>
          <w:shd w:val="clear" w:color="auto" w:fill="FFFFFF"/>
          <w:lang w:val="it-IT"/>
        </w:rPr>
        <w:t>,</w:t>
      </w:r>
      <w:r w:rsidR="001E4E5B" w:rsidRPr="004F6E28">
        <w:rPr>
          <w:rFonts w:ascii="Arial" w:hAnsi="Arial" w:cs="Arial"/>
          <w:color w:val="686868"/>
          <w:sz w:val="24"/>
          <w:szCs w:val="24"/>
          <w:shd w:val="clear" w:color="auto" w:fill="FFFFFF"/>
          <w:lang w:val="it-IT"/>
        </w:rPr>
        <w:t xml:space="preserve"> ivi incluso lo sforzo di </w:t>
      </w:r>
      <w:proofErr w:type="spellStart"/>
      <w:r w:rsidR="001E4E5B" w:rsidRPr="004F6E28">
        <w:rPr>
          <w:rFonts w:ascii="Arial" w:hAnsi="Arial" w:cs="Arial"/>
          <w:color w:val="686868"/>
          <w:sz w:val="24"/>
          <w:szCs w:val="24"/>
          <w:shd w:val="clear" w:color="auto" w:fill="FFFFFF"/>
          <w:lang w:val="it-IT"/>
        </w:rPr>
        <w:t>tassativizzazione</w:t>
      </w:r>
      <w:proofErr w:type="spellEnd"/>
      <w:r w:rsidR="001E4E5B" w:rsidRPr="004F6E28">
        <w:rPr>
          <w:rFonts w:ascii="Arial" w:hAnsi="Arial" w:cs="Arial"/>
          <w:color w:val="686868"/>
          <w:sz w:val="24"/>
          <w:szCs w:val="24"/>
          <w:shd w:val="clear" w:color="auto" w:fill="FFFFFF"/>
          <w:lang w:val="it-IT"/>
        </w:rPr>
        <w:t xml:space="preserve"> (sostanziale) dei sintomi di infiltrazione da parte </w:t>
      </w:r>
      <w:r w:rsidR="00E42307">
        <w:rPr>
          <w:rFonts w:ascii="Arial" w:hAnsi="Arial" w:cs="Arial"/>
          <w:color w:val="686868"/>
          <w:sz w:val="24"/>
          <w:szCs w:val="24"/>
          <w:shd w:val="clear" w:color="auto" w:fill="FFFFFF"/>
          <w:lang w:val="it-IT"/>
        </w:rPr>
        <w:t xml:space="preserve">di </w:t>
      </w:r>
      <w:r w:rsidR="001E4E5B" w:rsidRPr="004F6E28">
        <w:rPr>
          <w:rFonts w:ascii="Arial" w:hAnsi="Arial" w:cs="Arial"/>
          <w:color w:val="686868"/>
          <w:sz w:val="24"/>
          <w:szCs w:val="24"/>
          <w:shd w:val="clear" w:color="auto" w:fill="FFFFFF"/>
          <w:lang w:val="it-IT"/>
        </w:rPr>
        <w:t>una giurisprudenza prevedibile</w:t>
      </w:r>
      <w:r w:rsidR="00BC0D86" w:rsidRPr="004F6E28">
        <w:rPr>
          <w:rFonts w:ascii="Arial" w:hAnsi="Arial" w:cs="Arial"/>
          <w:color w:val="686868"/>
          <w:sz w:val="24"/>
          <w:szCs w:val="24"/>
          <w:shd w:val="clear" w:color="auto" w:fill="FFFFFF"/>
          <w:lang w:val="it-IT"/>
        </w:rPr>
        <w:t xml:space="preserve"> </w:t>
      </w:r>
      <w:r w:rsidR="00283C7C" w:rsidRPr="004F6E28">
        <w:rPr>
          <w:rFonts w:ascii="Arial" w:hAnsi="Arial" w:cs="Arial"/>
          <w:color w:val="686868"/>
          <w:sz w:val="24"/>
          <w:szCs w:val="24"/>
          <w:shd w:val="clear" w:color="auto" w:fill="FFFFFF"/>
          <w:lang w:val="it-IT"/>
        </w:rPr>
        <w:t xml:space="preserve">ed </w:t>
      </w:r>
      <w:r w:rsidR="001E4E5B" w:rsidRPr="004F6E28">
        <w:rPr>
          <w:rFonts w:ascii="Arial" w:hAnsi="Arial" w:cs="Arial"/>
          <w:color w:val="686868"/>
          <w:sz w:val="24"/>
          <w:szCs w:val="24"/>
          <w:shd w:val="clear" w:color="auto" w:fill="FFFFFF"/>
          <w:lang w:val="it-IT"/>
        </w:rPr>
        <w:t xml:space="preserve">ancorata al riscontro </w:t>
      </w:r>
      <w:r w:rsidR="00283C7C" w:rsidRPr="004F6E28">
        <w:rPr>
          <w:rFonts w:ascii="Arial" w:hAnsi="Arial" w:cs="Arial"/>
          <w:color w:val="686868"/>
          <w:sz w:val="24"/>
          <w:szCs w:val="24"/>
          <w:shd w:val="clear" w:color="auto" w:fill="FFFFFF"/>
          <w:lang w:val="it-IT"/>
        </w:rPr>
        <w:t>nella motivazione degli atti adottati</w:t>
      </w:r>
      <w:r w:rsidR="00FC3C16">
        <w:rPr>
          <w:rFonts w:ascii="Arial" w:hAnsi="Arial" w:cs="Arial"/>
          <w:color w:val="686868"/>
          <w:sz w:val="24"/>
          <w:szCs w:val="24"/>
          <w:shd w:val="clear" w:color="auto" w:fill="FFFFFF"/>
          <w:lang w:val="it-IT"/>
        </w:rPr>
        <w:t>,</w:t>
      </w:r>
      <w:r w:rsidR="00283C7C" w:rsidRPr="004F6E28">
        <w:rPr>
          <w:rFonts w:ascii="Arial" w:hAnsi="Arial" w:cs="Arial"/>
          <w:color w:val="686868"/>
          <w:sz w:val="24"/>
          <w:szCs w:val="24"/>
          <w:shd w:val="clear" w:color="auto" w:fill="FFFFFF"/>
          <w:lang w:val="it-IT"/>
        </w:rPr>
        <w:t xml:space="preserve"> in sede amministrativa </w:t>
      </w:r>
      <w:r w:rsidR="00E42307">
        <w:rPr>
          <w:rFonts w:ascii="Arial" w:hAnsi="Arial" w:cs="Arial"/>
          <w:color w:val="686868"/>
          <w:sz w:val="24"/>
          <w:szCs w:val="24"/>
          <w:shd w:val="clear" w:color="auto" w:fill="FFFFFF"/>
          <w:lang w:val="it-IT"/>
        </w:rPr>
        <w:t xml:space="preserve">prima </w:t>
      </w:r>
      <w:r w:rsidR="00283C7C" w:rsidRPr="004F6E28">
        <w:rPr>
          <w:rFonts w:ascii="Arial" w:hAnsi="Arial" w:cs="Arial"/>
          <w:color w:val="686868"/>
          <w:sz w:val="24"/>
          <w:szCs w:val="24"/>
          <w:shd w:val="clear" w:color="auto" w:fill="FFFFFF"/>
          <w:lang w:val="it-IT"/>
        </w:rPr>
        <w:t>e in giudizio</w:t>
      </w:r>
      <w:r w:rsidR="00E42307">
        <w:rPr>
          <w:rFonts w:ascii="Arial" w:hAnsi="Arial" w:cs="Arial"/>
          <w:color w:val="686868"/>
          <w:sz w:val="24"/>
          <w:szCs w:val="24"/>
          <w:shd w:val="clear" w:color="auto" w:fill="FFFFFF"/>
          <w:lang w:val="it-IT"/>
        </w:rPr>
        <w:t xml:space="preserve"> poi</w:t>
      </w:r>
      <w:r w:rsidR="00283C7C" w:rsidRPr="004F6E28">
        <w:rPr>
          <w:rFonts w:ascii="Arial" w:hAnsi="Arial" w:cs="Arial"/>
          <w:color w:val="686868"/>
          <w:sz w:val="24"/>
          <w:szCs w:val="24"/>
          <w:shd w:val="clear" w:color="auto" w:fill="FFFFFF"/>
          <w:lang w:val="it-IT"/>
        </w:rPr>
        <w:t xml:space="preserve"> </w:t>
      </w:r>
      <w:r w:rsidR="00E42307">
        <w:rPr>
          <w:rFonts w:ascii="Arial" w:hAnsi="Arial" w:cs="Arial"/>
          <w:color w:val="686868"/>
          <w:sz w:val="24"/>
          <w:szCs w:val="24"/>
          <w:shd w:val="clear" w:color="auto" w:fill="FFFFFF"/>
          <w:lang w:val="it-IT"/>
        </w:rPr>
        <w:t>(</w:t>
      </w:r>
      <w:proofErr w:type="spellStart"/>
      <w:r w:rsidR="00E42307">
        <w:rPr>
          <w:rFonts w:ascii="Arial" w:hAnsi="Arial" w:cs="Arial"/>
          <w:color w:val="686868"/>
          <w:sz w:val="24"/>
          <w:szCs w:val="24"/>
          <w:shd w:val="clear" w:color="auto" w:fill="FFFFFF"/>
          <w:lang w:val="it-IT"/>
        </w:rPr>
        <w:t>tassativizzazione</w:t>
      </w:r>
      <w:proofErr w:type="spellEnd"/>
      <w:r w:rsidR="00E42307">
        <w:rPr>
          <w:rFonts w:ascii="Arial" w:hAnsi="Arial" w:cs="Arial"/>
          <w:color w:val="686868"/>
          <w:sz w:val="24"/>
          <w:szCs w:val="24"/>
          <w:shd w:val="clear" w:color="auto" w:fill="FFFFFF"/>
          <w:lang w:val="it-IT"/>
        </w:rPr>
        <w:t xml:space="preserve"> processuale)</w:t>
      </w:r>
      <w:r w:rsidR="00FC3C16">
        <w:rPr>
          <w:rFonts w:ascii="Arial" w:hAnsi="Arial" w:cs="Arial"/>
          <w:color w:val="686868"/>
          <w:sz w:val="24"/>
          <w:szCs w:val="24"/>
          <w:shd w:val="clear" w:color="auto" w:fill="FFFFFF"/>
          <w:lang w:val="it-IT"/>
        </w:rPr>
        <w:t>,</w:t>
      </w:r>
      <w:r w:rsidR="00283C7C" w:rsidRPr="004F6E28">
        <w:rPr>
          <w:rFonts w:ascii="Arial" w:hAnsi="Arial" w:cs="Arial"/>
          <w:color w:val="686868"/>
          <w:sz w:val="24"/>
          <w:szCs w:val="24"/>
          <w:shd w:val="clear" w:color="auto" w:fill="FFFFFF"/>
          <w:lang w:val="it-IT"/>
        </w:rPr>
        <w:t xml:space="preserve"> </w:t>
      </w:r>
      <w:r w:rsidR="001E4E5B" w:rsidRPr="004F6E28">
        <w:rPr>
          <w:rFonts w:ascii="Arial" w:hAnsi="Arial" w:cs="Arial"/>
          <w:color w:val="686868"/>
          <w:sz w:val="24"/>
          <w:szCs w:val="24"/>
          <w:shd w:val="clear" w:color="auto" w:fill="FFFFFF"/>
          <w:lang w:val="it-IT"/>
        </w:rPr>
        <w:t xml:space="preserve">di elementi </w:t>
      </w:r>
      <w:r w:rsidRPr="004F6E28">
        <w:rPr>
          <w:rFonts w:ascii="Arial" w:hAnsi="Arial" w:cs="Arial"/>
          <w:color w:val="686868"/>
          <w:sz w:val="24"/>
          <w:szCs w:val="24"/>
          <w:shd w:val="clear" w:color="auto" w:fill="FFFFFF"/>
          <w:lang w:val="it-IT"/>
        </w:rPr>
        <w:t>c</w:t>
      </w:r>
      <w:r w:rsidR="00FC3C16">
        <w:rPr>
          <w:rFonts w:ascii="Arial" w:hAnsi="Arial" w:cs="Arial"/>
          <w:color w:val="686868"/>
          <w:sz w:val="24"/>
          <w:szCs w:val="24"/>
          <w:shd w:val="clear" w:color="auto" w:fill="FFFFFF"/>
          <w:lang w:val="it-IT"/>
        </w:rPr>
        <w:t>oncreti e concretamente verific</w:t>
      </w:r>
      <w:r w:rsidRPr="004F6E28">
        <w:rPr>
          <w:rFonts w:ascii="Arial" w:hAnsi="Arial" w:cs="Arial"/>
          <w:color w:val="686868"/>
          <w:sz w:val="24"/>
          <w:szCs w:val="24"/>
          <w:shd w:val="clear" w:color="auto" w:fill="FFFFFF"/>
          <w:lang w:val="it-IT"/>
        </w:rPr>
        <w:t>abili;</w:t>
      </w:r>
    </w:p>
    <w:p w:rsidR="001B1B43" w:rsidRPr="004F6E28" w:rsidRDefault="001B1B43" w:rsidP="004F6E28">
      <w:pPr>
        <w:pStyle w:val="Paragrafoelenco"/>
        <w:numPr>
          <w:ilvl w:val="0"/>
          <w:numId w:val="7"/>
        </w:num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lastRenderedPageBreak/>
        <w:t>il bilanciamento</w:t>
      </w:r>
      <w:r w:rsidR="001E4E5B" w:rsidRPr="004F6E28">
        <w:rPr>
          <w:rFonts w:ascii="Arial" w:hAnsi="Arial" w:cs="Arial"/>
          <w:color w:val="686868"/>
          <w:sz w:val="24"/>
          <w:szCs w:val="24"/>
          <w:shd w:val="clear" w:color="auto" w:fill="FFFFFF"/>
          <w:lang w:val="it-IT"/>
        </w:rPr>
        <w:t xml:space="preserve"> in concreto dei valori in gioco</w:t>
      </w:r>
      <w:r w:rsidR="00BC0D86" w:rsidRPr="004F6E28">
        <w:rPr>
          <w:rFonts w:ascii="Arial" w:hAnsi="Arial" w:cs="Arial"/>
          <w:color w:val="686868"/>
          <w:sz w:val="24"/>
          <w:szCs w:val="24"/>
          <w:shd w:val="clear" w:color="auto" w:fill="FFFFFF"/>
          <w:lang w:val="it-IT"/>
        </w:rPr>
        <w:t xml:space="preserve"> dovrà</w:t>
      </w:r>
      <w:r w:rsidRPr="004F6E28">
        <w:rPr>
          <w:rFonts w:ascii="Arial" w:hAnsi="Arial" w:cs="Arial"/>
          <w:color w:val="686868"/>
          <w:sz w:val="24"/>
          <w:szCs w:val="24"/>
          <w:shd w:val="clear" w:color="auto" w:fill="FFFFFF"/>
          <w:lang w:val="it-IT"/>
        </w:rPr>
        <w:t xml:space="preserve"> </w:t>
      </w:r>
      <w:r w:rsidR="00BC0D86" w:rsidRPr="004F6E28">
        <w:rPr>
          <w:rFonts w:ascii="Arial" w:hAnsi="Arial" w:cs="Arial"/>
          <w:color w:val="686868"/>
          <w:sz w:val="24"/>
          <w:szCs w:val="24"/>
          <w:shd w:val="clear" w:color="auto" w:fill="FFFFFF"/>
          <w:lang w:val="it-IT"/>
        </w:rPr>
        <w:t>seguire</w:t>
      </w:r>
      <w:r w:rsidR="001C1C57" w:rsidRPr="004F6E28">
        <w:rPr>
          <w:rFonts w:ascii="Arial" w:hAnsi="Arial" w:cs="Arial"/>
          <w:color w:val="686868"/>
          <w:sz w:val="24"/>
          <w:szCs w:val="24"/>
          <w:shd w:val="clear" w:color="auto" w:fill="FFFFFF"/>
          <w:lang w:val="it-IT"/>
        </w:rPr>
        <w:t xml:space="preserve"> parametri di proporzionalità</w:t>
      </w:r>
      <w:r w:rsidR="00BC0D86" w:rsidRPr="004F6E28">
        <w:rPr>
          <w:rFonts w:ascii="Arial" w:hAnsi="Arial" w:cs="Arial"/>
          <w:color w:val="686868"/>
          <w:sz w:val="24"/>
          <w:szCs w:val="24"/>
          <w:shd w:val="clear" w:color="auto" w:fill="FFFFFF"/>
          <w:lang w:val="it-IT"/>
        </w:rPr>
        <w:t xml:space="preserve"> (giusto equilibrio)</w:t>
      </w:r>
      <w:r w:rsidR="001C1C57" w:rsidRPr="004F6E28">
        <w:rPr>
          <w:rFonts w:ascii="Arial" w:hAnsi="Arial" w:cs="Arial"/>
          <w:color w:val="686868"/>
          <w:sz w:val="24"/>
          <w:szCs w:val="24"/>
          <w:shd w:val="clear" w:color="auto" w:fill="FFFFFF"/>
          <w:lang w:val="it-IT"/>
        </w:rPr>
        <w:t xml:space="preserve"> ed adeguatezza</w:t>
      </w:r>
      <w:r w:rsidR="00BC0D86" w:rsidRPr="004F6E28">
        <w:rPr>
          <w:rFonts w:ascii="Arial" w:hAnsi="Arial" w:cs="Arial"/>
          <w:color w:val="686868"/>
          <w:sz w:val="24"/>
          <w:szCs w:val="24"/>
          <w:shd w:val="clear" w:color="auto" w:fill="FFFFFF"/>
          <w:lang w:val="it-IT"/>
        </w:rPr>
        <w:t xml:space="preserve"> (con espulsione di misure palesemente incongrue)</w:t>
      </w:r>
      <w:r w:rsidR="001C1C57" w:rsidRPr="004F6E28">
        <w:rPr>
          <w:rFonts w:ascii="Arial" w:hAnsi="Arial" w:cs="Arial"/>
          <w:color w:val="686868"/>
          <w:sz w:val="24"/>
          <w:szCs w:val="24"/>
          <w:shd w:val="clear" w:color="auto" w:fill="FFFFFF"/>
          <w:lang w:val="it-IT"/>
        </w:rPr>
        <w:t>.</w:t>
      </w:r>
      <w:r w:rsidRPr="004F6E28">
        <w:rPr>
          <w:rFonts w:ascii="Arial" w:hAnsi="Arial" w:cs="Arial"/>
          <w:color w:val="686868"/>
          <w:sz w:val="24"/>
          <w:szCs w:val="24"/>
          <w:shd w:val="clear" w:color="auto" w:fill="FFFFFF"/>
          <w:lang w:val="it-IT"/>
        </w:rPr>
        <w:t xml:space="preserve"> </w:t>
      </w:r>
    </w:p>
    <w:p w:rsidR="00E42307" w:rsidRDefault="001E4E5B" w:rsidP="004F6E28">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Nel concreto u</w:t>
      </w:r>
      <w:r w:rsidR="007E7148" w:rsidRPr="004F6E28">
        <w:rPr>
          <w:rFonts w:ascii="Arial" w:hAnsi="Arial" w:cs="Arial"/>
          <w:color w:val="686868"/>
          <w:sz w:val="24"/>
          <w:szCs w:val="24"/>
          <w:shd w:val="clear" w:color="auto" w:fill="FFFFFF"/>
          <w:lang w:val="it-IT"/>
        </w:rPr>
        <w:t>na v</w:t>
      </w:r>
      <w:r w:rsidR="00230641" w:rsidRPr="004F6E28">
        <w:rPr>
          <w:rFonts w:ascii="Arial" w:hAnsi="Arial" w:cs="Arial"/>
          <w:color w:val="686868"/>
          <w:sz w:val="24"/>
          <w:szCs w:val="24"/>
          <w:shd w:val="clear" w:color="auto" w:fill="FFFFFF"/>
          <w:lang w:val="it-IT"/>
        </w:rPr>
        <w:t>iolazi</w:t>
      </w:r>
      <w:r w:rsidR="007E7148" w:rsidRPr="004F6E28">
        <w:rPr>
          <w:rFonts w:ascii="Arial" w:hAnsi="Arial" w:cs="Arial"/>
          <w:color w:val="686868"/>
          <w:sz w:val="24"/>
          <w:szCs w:val="24"/>
          <w:shd w:val="clear" w:color="auto" w:fill="FFFFFF"/>
          <w:lang w:val="it-IT"/>
        </w:rPr>
        <w:t>one del giusto bilanciamento</w:t>
      </w:r>
      <w:r w:rsidR="00230641" w:rsidRPr="004F6E28">
        <w:rPr>
          <w:rFonts w:ascii="Arial" w:hAnsi="Arial" w:cs="Arial"/>
          <w:color w:val="686868"/>
          <w:sz w:val="24"/>
          <w:szCs w:val="24"/>
          <w:shd w:val="clear" w:color="auto" w:fill="FFFFFF"/>
          <w:lang w:val="it-IT"/>
        </w:rPr>
        <w:t xml:space="preserve"> </w:t>
      </w:r>
      <w:r w:rsidR="007E7148" w:rsidRPr="004F6E28">
        <w:rPr>
          <w:rFonts w:ascii="Arial" w:hAnsi="Arial" w:cs="Arial"/>
          <w:color w:val="686868"/>
          <w:sz w:val="24"/>
          <w:szCs w:val="24"/>
          <w:shd w:val="clear" w:color="auto" w:fill="FFFFFF"/>
          <w:lang w:val="it-IT"/>
        </w:rPr>
        <w:t>de</w:t>
      </w:r>
      <w:r w:rsidR="00230641" w:rsidRPr="004F6E28">
        <w:rPr>
          <w:rFonts w:ascii="Arial" w:hAnsi="Arial" w:cs="Arial"/>
          <w:color w:val="686868"/>
          <w:sz w:val="24"/>
          <w:szCs w:val="24"/>
          <w:shd w:val="clear" w:color="auto" w:fill="FFFFFF"/>
          <w:lang w:val="it-IT"/>
        </w:rPr>
        <w:t>gli interessi coinvolti</w:t>
      </w:r>
      <w:r w:rsidR="007E7148" w:rsidRPr="004F6E28">
        <w:rPr>
          <w:rFonts w:ascii="Arial" w:hAnsi="Arial" w:cs="Arial"/>
          <w:color w:val="686868"/>
          <w:sz w:val="24"/>
          <w:szCs w:val="24"/>
          <w:shd w:val="clear" w:color="auto" w:fill="FFFFFF"/>
          <w:lang w:val="it-IT"/>
        </w:rPr>
        <w:t>,</w:t>
      </w:r>
      <w:r w:rsidR="00230641" w:rsidRPr="004F6E28">
        <w:rPr>
          <w:rFonts w:ascii="Arial" w:hAnsi="Arial" w:cs="Arial"/>
          <w:color w:val="686868"/>
          <w:sz w:val="24"/>
          <w:szCs w:val="24"/>
          <w:shd w:val="clear" w:color="auto" w:fill="FFFFFF"/>
          <w:lang w:val="it-IT"/>
        </w:rPr>
        <w:t xml:space="preserve"> con conseguente lesione dell’art. 41 della Costituzione</w:t>
      </w:r>
      <w:r w:rsidRPr="004F6E28">
        <w:rPr>
          <w:rFonts w:ascii="Arial" w:hAnsi="Arial" w:cs="Arial"/>
          <w:color w:val="686868"/>
          <w:sz w:val="24"/>
          <w:szCs w:val="24"/>
          <w:shd w:val="clear" w:color="auto" w:fill="FFFFFF"/>
          <w:lang w:val="it-IT"/>
        </w:rPr>
        <w:t xml:space="preserve"> e declaratoria di illegittimità costituzionale della norma</w:t>
      </w:r>
      <w:r w:rsidR="007E7148" w:rsidRPr="004F6E28">
        <w:rPr>
          <w:rFonts w:ascii="Arial" w:hAnsi="Arial" w:cs="Arial"/>
          <w:color w:val="686868"/>
          <w:sz w:val="24"/>
          <w:szCs w:val="24"/>
          <w:shd w:val="clear" w:color="auto" w:fill="FFFFFF"/>
          <w:lang w:val="it-IT"/>
        </w:rPr>
        <w:t xml:space="preserve">, </w:t>
      </w:r>
      <w:r w:rsidR="00283C7C" w:rsidRPr="004F6E28">
        <w:rPr>
          <w:rFonts w:ascii="Arial" w:hAnsi="Arial" w:cs="Arial"/>
          <w:color w:val="686868"/>
          <w:sz w:val="24"/>
          <w:szCs w:val="24"/>
          <w:shd w:val="clear" w:color="auto" w:fill="FFFFFF"/>
          <w:lang w:val="it-IT"/>
        </w:rPr>
        <w:t xml:space="preserve">è stata </w:t>
      </w:r>
      <w:r w:rsidR="00E42307" w:rsidRPr="004F6E28">
        <w:rPr>
          <w:rFonts w:ascii="Arial" w:hAnsi="Arial" w:cs="Arial"/>
          <w:color w:val="686868"/>
          <w:sz w:val="24"/>
          <w:szCs w:val="24"/>
          <w:shd w:val="clear" w:color="auto" w:fill="FFFFFF"/>
          <w:lang w:val="it-IT"/>
        </w:rPr>
        <w:t xml:space="preserve">riscontrata </w:t>
      </w:r>
      <w:r w:rsidR="00283C7C" w:rsidRPr="004F6E28">
        <w:rPr>
          <w:rFonts w:ascii="Arial" w:hAnsi="Arial" w:cs="Arial"/>
          <w:color w:val="686868"/>
          <w:sz w:val="24"/>
          <w:szCs w:val="24"/>
          <w:shd w:val="clear" w:color="auto" w:fill="FFFFFF"/>
          <w:lang w:val="it-IT"/>
        </w:rPr>
        <w:t>dalla Corte</w:t>
      </w:r>
      <w:r w:rsidR="00FC3C16">
        <w:rPr>
          <w:rFonts w:ascii="Arial" w:hAnsi="Arial" w:cs="Arial"/>
          <w:color w:val="686868"/>
          <w:sz w:val="24"/>
          <w:szCs w:val="24"/>
          <w:shd w:val="clear" w:color="auto" w:fill="FFFFFF"/>
          <w:lang w:val="it-IT"/>
        </w:rPr>
        <w:t xml:space="preserve"> Costituzionale</w:t>
      </w:r>
      <w:r w:rsidR="00283C7C" w:rsidRPr="004F6E28">
        <w:rPr>
          <w:rFonts w:ascii="Arial" w:hAnsi="Arial" w:cs="Arial"/>
          <w:color w:val="686868"/>
          <w:sz w:val="24"/>
          <w:szCs w:val="24"/>
          <w:shd w:val="clear" w:color="auto" w:fill="FFFFFF"/>
          <w:lang w:val="it-IT"/>
        </w:rPr>
        <w:t xml:space="preserve"> ad esempio</w:t>
      </w:r>
      <w:r w:rsidR="00230641" w:rsidRPr="004F6E28">
        <w:rPr>
          <w:rFonts w:ascii="Arial" w:hAnsi="Arial" w:cs="Arial"/>
          <w:color w:val="686868"/>
          <w:sz w:val="24"/>
          <w:szCs w:val="24"/>
          <w:shd w:val="clear" w:color="auto" w:fill="FFFFFF"/>
          <w:lang w:val="it-IT"/>
        </w:rPr>
        <w:t xml:space="preserve"> nella previsione</w:t>
      </w:r>
      <w:r w:rsidR="007E7148" w:rsidRPr="004F6E28">
        <w:rPr>
          <w:rFonts w:ascii="Arial" w:hAnsi="Arial" w:cs="Arial"/>
          <w:color w:val="686868"/>
          <w:sz w:val="24"/>
          <w:szCs w:val="24"/>
          <w:shd w:val="clear" w:color="auto" w:fill="FFFFFF"/>
          <w:lang w:val="it-IT"/>
        </w:rPr>
        <w:t xml:space="preserve"> de</w:t>
      </w:r>
      <w:r w:rsidRPr="004F6E28">
        <w:rPr>
          <w:rFonts w:ascii="Arial" w:hAnsi="Arial" w:cs="Arial"/>
          <w:color w:val="686868"/>
          <w:sz w:val="24"/>
          <w:szCs w:val="24"/>
          <w:shd w:val="clear" w:color="auto" w:fill="FFFFFF"/>
          <w:lang w:val="it-IT"/>
        </w:rPr>
        <w:t xml:space="preserve">gli effetti </w:t>
      </w:r>
      <w:proofErr w:type="spellStart"/>
      <w:r w:rsidRPr="004F6E28">
        <w:rPr>
          <w:rFonts w:ascii="Arial" w:hAnsi="Arial" w:cs="Arial"/>
          <w:color w:val="686868"/>
          <w:sz w:val="24"/>
          <w:szCs w:val="24"/>
          <w:shd w:val="clear" w:color="auto" w:fill="FFFFFF"/>
          <w:lang w:val="it-IT"/>
        </w:rPr>
        <w:t>interdittivi</w:t>
      </w:r>
      <w:proofErr w:type="spellEnd"/>
      <w:r w:rsidRPr="004F6E28">
        <w:rPr>
          <w:rFonts w:ascii="Arial" w:hAnsi="Arial" w:cs="Arial"/>
          <w:color w:val="686868"/>
          <w:sz w:val="24"/>
          <w:szCs w:val="24"/>
          <w:shd w:val="clear" w:color="auto" w:fill="FFFFFF"/>
          <w:lang w:val="it-IT"/>
        </w:rPr>
        <w:t xml:space="preserve"> propri</w:t>
      </w:r>
      <w:r w:rsidR="007E7148" w:rsidRPr="004F6E28">
        <w:rPr>
          <w:rFonts w:ascii="Arial" w:hAnsi="Arial" w:cs="Arial"/>
          <w:color w:val="686868"/>
          <w:sz w:val="24"/>
          <w:szCs w:val="24"/>
          <w:shd w:val="clear" w:color="auto" w:fill="FFFFFF"/>
          <w:lang w:val="it-IT"/>
        </w:rPr>
        <w:t xml:space="preserve"> della comunicazione antimafia in caso di condanna, definitiva o non definitiva, per il reato di cui all’art. 640 bis c.p. (Corte costitu</w:t>
      </w:r>
      <w:r w:rsidR="00FC3C16">
        <w:rPr>
          <w:rFonts w:ascii="Arial" w:hAnsi="Arial" w:cs="Arial"/>
          <w:color w:val="686868"/>
          <w:sz w:val="24"/>
          <w:szCs w:val="24"/>
          <w:shd w:val="clear" w:color="auto" w:fill="FFFFFF"/>
          <w:lang w:val="it-IT"/>
        </w:rPr>
        <w:t>zionale 30 luglio 2021, n. 178). U</w:t>
      </w:r>
      <w:r w:rsidR="007E7148" w:rsidRPr="004F6E28">
        <w:rPr>
          <w:rFonts w:ascii="Arial" w:hAnsi="Arial" w:cs="Arial"/>
          <w:color w:val="686868"/>
          <w:sz w:val="24"/>
          <w:szCs w:val="24"/>
          <w:shd w:val="clear" w:color="auto" w:fill="FFFFFF"/>
          <w:lang w:val="it-IT"/>
        </w:rPr>
        <w:t>na più radicale violazione dell’</w:t>
      </w:r>
      <w:r w:rsidR="00E42307">
        <w:rPr>
          <w:rFonts w:ascii="Arial" w:hAnsi="Arial" w:cs="Arial"/>
          <w:color w:val="686868"/>
          <w:sz w:val="24"/>
          <w:szCs w:val="24"/>
          <w:shd w:val="clear" w:color="auto" w:fill="FFFFFF"/>
          <w:lang w:val="it-IT"/>
        </w:rPr>
        <w:t>art. 3 è stata</w:t>
      </w:r>
      <w:r w:rsidRPr="004F6E28">
        <w:rPr>
          <w:rFonts w:ascii="Arial" w:hAnsi="Arial" w:cs="Arial"/>
          <w:color w:val="686868"/>
          <w:sz w:val="24"/>
          <w:szCs w:val="24"/>
          <w:shd w:val="clear" w:color="auto" w:fill="FFFFFF"/>
          <w:lang w:val="it-IT"/>
        </w:rPr>
        <w:t xml:space="preserve"> prospettata</w:t>
      </w:r>
      <w:r w:rsidR="00FC3C16">
        <w:rPr>
          <w:rFonts w:ascii="Arial" w:hAnsi="Arial" w:cs="Arial"/>
          <w:color w:val="686868"/>
          <w:sz w:val="24"/>
          <w:szCs w:val="24"/>
          <w:shd w:val="clear" w:color="auto" w:fill="FFFFFF"/>
          <w:lang w:val="it-IT"/>
        </w:rPr>
        <w:t>,</w:t>
      </w:r>
      <w:r w:rsidR="00E42307">
        <w:rPr>
          <w:rFonts w:ascii="Arial" w:hAnsi="Arial" w:cs="Arial"/>
          <w:color w:val="686868"/>
          <w:sz w:val="24"/>
          <w:szCs w:val="24"/>
          <w:shd w:val="clear" w:color="auto" w:fill="FFFFFF"/>
          <w:lang w:val="it-IT"/>
        </w:rPr>
        <w:t xml:space="preserve"> in ragione de</w:t>
      </w:r>
      <w:r w:rsidR="007E7148" w:rsidRPr="004F6E28">
        <w:rPr>
          <w:rFonts w:ascii="Arial" w:hAnsi="Arial" w:cs="Arial"/>
          <w:color w:val="686868"/>
          <w:sz w:val="24"/>
          <w:szCs w:val="24"/>
          <w:shd w:val="clear" w:color="auto" w:fill="FFFFFF"/>
          <w:lang w:val="it-IT"/>
        </w:rPr>
        <w:t xml:space="preserve">lla mancata previsione della garanzia di un minimo vitale di sussistenza per il destinatario della misura </w:t>
      </w:r>
      <w:proofErr w:type="spellStart"/>
      <w:r w:rsidR="007E7148" w:rsidRPr="004F6E28">
        <w:rPr>
          <w:rFonts w:ascii="Arial" w:hAnsi="Arial" w:cs="Arial"/>
          <w:color w:val="686868"/>
          <w:sz w:val="24"/>
          <w:szCs w:val="24"/>
          <w:shd w:val="clear" w:color="auto" w:fill="FFFFFF"/>
          <w:lang w:val="it-IT"/>
        </w:rPr>
        <w:t>interdittiva</w:t>
      </w:r>
      <w:proofErr w:type="spellEnd"/>
      <w:r w:rsidR="007E7148" w:rsidRPr="004F6E28">
        <w:rPr>
          <w:rFonts w:ascii="Arial" w:hAnsi="Arial" w:cs="Arial"/>
          <w:color w:val="686868"/>
          <w:sz w:val="24"/>
          <w:szCs w:val="24"/>
          <w:shd w:val="clear" w:color="auto" w:fill="FFFFFF"/>
          <w:lang w:val="it-IT"/>
        </w:rPr>
        <w:t xml:space="preserve"> e dei s</w:t>
      </w:r>
      <w:r w:rsidRPr="004F6E28">
        <w:rPr>
          <w:rFonts w:ascii="Arial" w:hAnsi="Arial" w:cs="Arial"/>
          <w:color w:val="686868"/>
          <w:sz w:val="24"/>
          <w:szCs w:val="24"/>
          <w:shd w:val="clear" w:color="auto" w:fill="FFFFFF"/>
          <w:lang w:val="it-IT"/>
        </w:rPr>
        <w:t>uoi familiari; tale</w:t>
      </w:r>
      <w:r w:rsidR="007E7148" w:rsidRPr="004F6E28">
        <w:rPr>
          <w:rFonts w:ascii="Arial" w:hAnsi="Arial" w:cs="Arial"/>
          <w:color w:val="686868"/>
          <w:sz w:val="24"/>
          <w:szCs w:val="24"/>
          <w:shd w:val="clear" w:color="auto" w:fill="FFFFFF"/>
          <w:lang w:val="it-IT"/>
        </w:rPr>
        <w:t xml:space="preserve"> esigenza </w:t>
      </w:r>
      <w:r w:rsidRPr="004F6E28">
        <w:rPr>
          <w:rFonts w:ascii="Arial" w:hAnsi="Arial" w:cs="Arial"/>
          <w:color w:val="686868"/>
          <w:sz w:val="24"/>
          <w:szCs w:val="24"/>
          <w:shd w:val="clear" w:color="auto" w:fill="FFFFFF"/>
          <w:lang w:val="it-IT"/>
        </w:rPr>
        <w:t>risulta</w:t>
      </w:r>
      <w:r w:rsidR="00E42307">
        <w:rPr>
          <w:rFonts w:ascii="Arial" w:hAnsi="Arial" w:cs="Arial"/>
          <w:color w:val="686868"/>
          <w:sz w:val="24"/>
          <w:szCs w:val="24"/>
          <w:shd w:val="clear" w:color="auto" w:fill="FFFFFF"/>
          <w:lang w:val="it-IT"/>
        </w:rPr>
        <w:t xml:space="preserve"> infatti</w:t>
      </w:r>
      <w:r w:rsidRPr="004F6E28">
        <w:rPr>
          <w:rFonts w:ascii="Arial" w:hAnsi="Arial" w:cs="Arial"/>
          <w:color w:val="686868"/>
          <w:sz w:val="24"/>
          <w:szCs w:val="24"/>
          <w:shd w:val="clear" w:color="auto" w:fill="FFFFFF"/>
          <w:lang w:val="it-IT"/>
        </w:rPr>
        <w:t xml:space="preserve"> </w:t>
      </w:r>
      <w:r w:rsidR="007E7148" w:rsidRPr="004F6E28">
        <w:rPr>
          <w:rFonts w:ascii="Arial" w:hAnsi="Arial" w:cs="Arial"/>
          <w:color w:val="686868"/>
          <w:sz w:val="24"/>
          <w:szCs w:val="24"/>
          <w:shd w:val="clear" w:color="auto" w:fill="FFFFFF"/>
          <w:lang w:val="it-IT"/>
        </w:rPr>
        <w:t xml:space="preserve">contemplata nel caso di applicazione delle misure di prevenzione patrimoniali </w:t>
      </w:r>
      <w:r w:rsidR="00FC3C16">
        <w:rPr>
          <w:rFonts w:ascii="Arial" w:hAnsi="Arial" w:cs="Arial"/>
          <w:color w:val="686868"/>
          <w:sz w:val="24"/>
          <w:szCs w:val="24"/>
          <w:shd w:val="clear" w:color="auto" w:fill="FFFFFF"/>
          <w:lang w:val="it-IT"/>
        </w:rPr>
        <w:t xml:space="preserve">in sede di prevenzione penale </w:t>
      </w:r>
      <w:r w:rsidR="007E7148" w:rsidRPr="004F6E28">
        <w:rPr>
          <w:rFonts w:ascii="Arial" w:hAnsi="Arial" w:cs="Arial"/>
          <w:color w:val="686868"/>
          <w:sz w:val="24"/>
          <w:szCs w:val="24"/>
          <w:shd w:val="clear" w:color="auto" w:fill="FFFFFF"/>
          <w:lang w:val="it-IT"/>
        </w:rPr>
        <w:t xml:space="preserve">e non nel caso di adozione di </w:t>
      </w:r>
      <w:proofErr w:type="spellStart"/>
      <w:r w:rsidR="007E7148" w:rsidRPr="004F6E28">
        <w:rPr>
          <w:rFonts w:ascii="Arial" w:hAnsi="Arial" w:cs="Arial"/>
          <w:color w:val="686868"/>
          <w:sz w:val="24"/>
          <w:szCs w:val="24"/>
          <w:shd w:val="clear" w:color="auto" w:fill="FFFFFF"/>
          <w:lang w:val="it-IT"/>
        </w:rPr>
        <w:t>interdit</w:t>
      </w:r>
      <w:r w:rsidR="00E42307">
        <w:rPr>
          <w:rFonts w:ascii="Arial" w:hAnsi="Arial" w:cs="Arial"/>
          <w:color w:val="686868"/>
          <w:sz w:val="24"/>
          <w:szCs w:val="24"/>
          <w:shd w:val="clear" w:color="auto" w:fill="FFFFFF"/>
          <w:lang w:val="it-IT"/>
        </w:rPr>
        <w:t>tive</w:t>
      </w:r>
      <w:proofErr w:type="spellEnd"/>
      <w:r w:rsidR="00E42307">
        <w:rPr>
          <w:rFonts w:ascii="Arial" w:hAnsi="Arial" w:cs="Arial"/>
          <w:color w:val="686868"/>
          <w:sz w:val="24"/>
          <w:szCs w:val="24"/>
          <w:shd w:val="clear" w:color="auto" w:fill="FFFFFF"/>
          <w:lang w:val="it-IT"/>
        </w:rPr>
        <w:t xml:space="preserve"> antimafia; ciò non di meno</w:t>
      </w:r>
      <w:r w:rsidR="007E7148" w:rsidRPr="004F6E28">
        <w:rPr>
          <w:rFonts w:ascii="Arial" w:hAnsi="Arial" w:cs="Arial"/>
          <w:color w:val="686868"/>
          <w:sz w:val="24"/>
          <w:szCs w:val="24"/>
          <w:shd w:val="clear" w:color="auto" w:fill="FFFFFF"/>
          <w:lang w:val="it-IT"/>
        </w:rPr>
        <w:t xml:space="preserve"> la Corte, pur esprimendo un monito per il legislatore, ha rite</w:t>
      </w:r>
      <w:r w:rsidRPr="004F6E28">
        <w:rPr>
          <w:rFonts w:ascii="Arial" w:hAnsi="Arial" w:cs="Arial"/>
          <w:color w:val="686868"/>
          <w:sz w:val="24"/>
          <w:szCs w:val="24"/>
          <w:shd w:val="clear" w:color="auto" w:fill="FFFFFF"/>
          <w:lang w:val="it-IT"/>
        </w:rPr>
        <w:t xml:space="preserve">nuto che la correzione dell’asimmetrico trattamento di posizioni analoghe </w:t>
      </w:r>
      <w:r w:rsidR="007E7148" w:rsidRPr="004F6E28">
        <w:rPr>
          <w:rFonts w:ascii="Arial" w:hAnsi="Arial" w:cs="Arial"/>
          <w:color w:val="686868"/>
          <w:sz w:val="24"/>
          <w:szCs w:val="24"/>
          <w:shd w:val="clear" w:color="auto" w:fill="FFFFFF"/>
          <w:lang w:val="it-IT"/>
        </w:rPr>
        <w:t>richiederebbe soluzioni eccessivamente manipolative</w:t>
      </w:r>
      <w:r w:rsidR="005E6804" w:rsidRPr="004F6E28">
        <w:rPr>
          <w:rFonts w:ascii="Arial" w:hAnsi="Arial" w:cs="Arial"/>
          <w:color w:val="686868"/>
          <w:sz w:val="24"/>
          <w:szCs w:val="24"/>
          <w:shd w:val="clear" w:color="auto" w:fill="FFFFFF"/>
          <w:lang w:val="it-IT"/>
        </w:rPr>
        <w:t>,</w:t>
      </w:r>
      <w:r w:rsidR="007E7148" w:rsidRPr="004F6E28">
        <w:rPr>
          <w:rFonts w:ascii="Arial" w:hAnsi="Arial" w:cs="Arial"/>
          <w:color w:val="686868"/>
          <w:sz w:val="24"/>
          <w:szCs w:val="24"/>
          <w:shd w:val="clear" w:color="auto" w:fill="FFFFFF"/>
          <w:lang w:val="it-IT"/>
        </w:rPr>
        <w:t xml:space="preserve"> che non possono prescindere dalla discrezionalità del legislatore ed ha quindi dichiarato la questione inammissibile (Corte Costituzionale 9 luglio 2022, n. 180).</w:t>
      </w:r>
      <w:r w:rsidR="00C7640B" w:rsidRPr="004F6E28">
        <w:rPr>
          <w:rFonts w:ascii="Arial" w:hAnsi="Arial" w:cs="Arial"/>
          <w:color w:val="686868"/>
          <w:sz w:val="24"/>
          <w:szCs w:val="24"/>
          <w:shd w:val="clear" w:color="auto" w:fill="FFFFFF"/>
          <w:lang w:val="it-IT"/>
        </w:rPr>
        <w:t xml:space="preserve"> </w:t>
      </w:r>
    </w:p>
    <w:p w:rsidR="00230641" w:rsidRPr="004F6E28" w:rsidRDefault="00C7640B" w:rsidP="004F6E28">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Nella sentenza 31 gennaio 2018, n. 4 la Corte ha invece escluso che l’estensione degli effetti propri delle comunicazioni antimafia anche, per</w:t>
      </w:r>
      <w:r w:rsidR="00E42307">
        <w:rPr>
          <w:rFonts w:ascii="Arial" w:hAnsi="Arial" w:cs="Arial"/>
          <w:color w:val="686868"/>
          <w:sz w:val="24"/>
          <w:szCs w:val="24"/>
          <w:shd w:val="clear" w:color="auto" w:fill="FFFFFF"/>
          <w:lang w:val="it-IT"/>
        </w:rPr>
        <w:t xml:space="preserve"> via di</w:t>
      </w:r>
      <w:r w:rsidRPr="004F6E28">
        <w:rPr>
          <w:rFonts w:ascii="Arial" w:hAnsi="Arial" w:cs="Arial"/>
          <w:color w:val="686868"/>
          <w:sz w:val="24"/>
          <w:szCs w:val="24"/>
          <w:shd w:val="clear" w:color="auto" w:fill="FFFFFF"/>
          <w:lang w:val="it-IT"/>
        </w:rPr>
        <w:t xml:space="preserve"> connessione dei procedimenti, alle </w:t>
      </w:r>
      <w:proofErr w:type="spellStart"/>
      <w:r w:rsidRPr="004F6E28">
        <w:rPr>
          <w:rFonts w:ascii="Arial" w:hAnsi="Arial" w:cs="Arial"/>
          <w:color w:val="686868"/>
          <w:sz w:val="24"/>
          <w:szCs w:val="24"/>
          <w:shd w:val="clear" w:color="auto" w:fill="FFFFFF"/>
          <w:lang w:val="it-IT"/>
        </w:rPr>
        <w:t>interditti</w:t>
      </w:r>
      <w:r w:rsidR="00E42307">
        <w:rPr>
          <w:rFonts w:ascii="Arial" w:hAnsi="Arial" w:cs="Arial"/>
          <w:color w:val="686868"/>
          <w:sz w:val="24"/>
          <w:szCs w:val="24"/>
          <w:shd w:val="clear" w:color="auto" w:fill="FFFFFF"/>
          <w:lang w:val="it-IT"/>
        </w:rPr>
        <w:t>ve</w:t>
      </w:r>
      <w:proofErr w:type="spellEnd"/>
      <w:r w:rsidR="00FC3C16">
        <w:rPr>
          <w:rFonts w:ascii="Arial" w:hAnsi="Arial" w:cs="Arial"/>
          <w:color w:val="686868"/>
          <w:sz w:val="24"/>
          <w:szCs w:val="24"/>
          <w:shd w:val="clear" w:color="auto" w:fill="FFFFFF"/>
          <w:lang w:val="it-IT"/>
        </w:rPr>
        <w:t>,</w:t>
      </w:r>
      <w:r w:rsidR="00E42307">
        <w:rPr>
          <w:rFonts w:ascii="Arial" w:hAnsi="Arial" w:cs="Arial"/>
          <w:color w:val="686868"/>
          <w:sz w:val="24"/>
          <w:szCs w:val="24"/>
          <w:shd w:val="clear" w:color="auto" w:fill="FFFFFF"/>
          <w:lang w:val="it-IT"/>
        </w:rPr>
        <w:t xml:space="preserve"> violi l’art. 3; non ha tuttavia</w:t>
      </w:r>
      <w:r w:rsidRPr="004F6E28">
        <w:rPr>
          <w:rFonts w:ascii="Arial" w:hAnsi="Arial" w:cs="Arial"/>
          <w:color w:val="686868"/>
          <w:sz w:val="24"/>
          <w:szCs w:val="24"/>
          <w:shd w:val="clear" w:color="auto" w:fill="FFFFFF"/>
          <w:lang w:val="it-IT"/>
        </w:rPr>
        <w:t xml:space="preserve"> affrontato la questione sotto il profilo dell’art. 41</w:t>
      </w:r>
      <w:r w:rsidR="00E42307">
        <w:rPr>
          <w:rFonts w:ascii="Arial" w:hAnsi="Arial" w:cs="Arial"/>
          <w:color w:val="686868"/>
          <w:sz w:val="24"/>
          <w:szCs w:val="24"/>
          <w:shd w:val="clear" w:color="auto" w:fill="FFFFFF"/>
          <w:lang w:val="it-IT"/>
        </w:rPr>
        <w:t>,</w:t>
      </w:r>
      <w:r w:rsidRPr="004F6E28">
        <w:rPr>
          <w:rFonts w:ascii="Arial" w:hAnsi="Arial" w:cs="Arial"/>
          <w:color w:val="686868"/>
          <w:sz w:val="24"/>
          <w:szCs w:val="24"/>
          <w:shd w:val="clear" w:color="auto" w:fill="FFFFFF"/>
          <w:lang w:val="it-IT"/>
        </w:rPr>
        <w:t xml:space="preserve"> chiarendo che non risultava posto alla sua attenzione.</w:t>
      </w:r>
    </w:p>
    <w:p w:rsidR="00991407" w:rsidRDefault="001C1C57" w:rsidP="004F6E28">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L</w:t>
      </w:r>
      <w:r w:rsidR="00283C7C" w:rsidRPr="004F6E28">
        <w:rPr>
          <w:rFonts w:ascii="Arial" w:hAnsi="Arial" w:cs="Arial"/>
          <w:color w:val="686868"/>
          <w:sz w:val="24"/>
          <w:szCs w:val="24"/>
          <w:shd w:val="clear" w:color="auto" w:fill="FFFFFF"/>
          <w:lang w:val="it-IT"/>
        </w:rPr>
        <w:t>a Corte ha in definitiva</w:t>
      </w:r>
      <w:r w:rsidR="00BC0D86" w:rsidRPr="004F6E28">
        <w:rPr>
          <w:rFonts w:ascii="Arial" w:hAnsi="Arial" w:cs="Arial"/>
          <w:color w:val="686868"/>
          <w:sz w:val="24"/>
          <w:szCs w:val="24"/>
          <w:shd w:val="clear" w:color="auto" w:fill="FFFFFF"/>
          <w:lang w:val="it-IT"/>
        </w:rPr>
        <w:t xml:space="preserve"> </w:t>
      </w:r>
      <w:r w:rsidRPr="004F6E28">
        <w:rPr>
          <w:rFonts w:ascii="Arial" w:hAnsi="Arial" w:cs="Arial"/>
          <w:color w:val="686868"/>
          <w:sz w:val="24"/>
          <w:szCs w:val="24"/>
          <w:shd w:val="clear" w:color="auto" w:fill="FFFFFF"/>
          <w:lang w:val="it-IT"/>
        </w:rPr>
        <w:t xml:space="preserve">percorso un </w:t>
      </w:r>
      <w:r w:rsidR="00283C7C" w:rsidRPr="004F6E28">
        <w:rPr>
          <w:rFonts w:ascii="Arial" w:hAnsi="Arial" w:cs="Arial"/>
          <w:color w:val="686868"/>
          <w:sz w:val="24"/>
          <w:szCs w:val="24"/>
          <w:shd w:val="clear" w:color="auto" w:fill="FFFFFF"/>
          <w:lang w:val="it-IT"/>
        </w:rPr>
        <w:t xml:space="preserve">lungo </w:t>
      </w:r>
      <w:r w:rsidRPr="004F6E28">
        <w:rPr>
          <w:rFonts w:ascii="Arial" w:hAnsi="Arial" w:cs="Arial"/>
          <w:color w:val="686868"/>
          <w:sz w:val="24"/>
          <w:szCs w:val="24"/>
          <w:shd w:val="clear" w:color="auto" w:fill="FFFFFF"/>
          <w:lang w:val="it-IT"/>
        </w:rPr>
        <w:t>cammino nella configurazione del diritto</w:t>
      </w:r>
      <w:r w:rsidR="00BC0D86" w:rsidRPr="004F6E28">
        <w:rPr>
          <w:rFonts w:ascii="Arial" w:hAnsi="Arial" w:cs="Arial"/>
          <w:color w:val="686868"/>
          <w:sz w:val="24"/>
          <w:szCs w:val="24"/>
          <w:shd w:val="clear" w:color="auto" w:fill="FFFFFF"/>
          <w:lang w:val="it-IT"/>
        </w:rPr>
        <w:t xml:space="preserve"> di libera iniziativa economica</w:t>
      </w:r>
      <w:r w:rsidRPr="004F6E28">
        <w:rPr>
          <w:rFonts w:ascii="Arial" w:hAnsi="Arial" w:cs="Arial"/>
          <w:color w:val="686868"/>
          <w:sz w:val="24"/>
          <w:szCs w:val="24"/>
          <w:shd w:val="clear" w:color="auto" w:fill="FFFFFF"/>
          <w:lang w:val="it-IT"/>
        </w:rPr>
        <w:t xml:space="preserve"> e dei suoi limiti</w:t>
      </w:r>
      <w:r w:rsidR="00283C7C" w:rsidRPr="004F6E28">
        <w:rPr>
          <w:rFonts w:ascii="Arial" w:hAnsi="Arial" w:cs="Arial"/>
          <w:color w:val="686868"/>
          <w:sz w:val="24"/>
          <w:szCs w:val="24"/>
          <w:shd w:val="clear" w:color="auto" w:fill="FFFFFF"/>
          <w:lang w:val="it-IT"/>
        </w:rPr>
        <w:t>,</w:t>
      </w:r>
      <w:r w:rsidR="005E6804" w:rsidRPr="004F6E28">
        <w:rPr>
          <w:rFonts w:ascii="Arial" w:hAnsi="Arial" w:cs="Arial"/>
          <w:color w:val="686868"/>
          <w:sz w:val="24"/>
          <w:szCs w:val="24"/>
          <w:shd w:val="clear" w:color="auto" w:fill="FFFFFF"/>
          <w:lang w:val="it-IT"/>
        </w:rPr>
        <w:t xml:space="preserve"> nel cui contesto si colloca</w:t>
      </w:r>
      <w:r w:rsidR="00BC0D86" w:rsidRPr="004F6E28">
        <w:rPr>
          <w:rFonts w:ascii="Arial" w:hAnsi="Arial" w:cs="Arial"/>
          <w:color w:val="686868"/>
          <w:sz w:val="24"/>
          <w:szCs w:val="24"/>
          <w:shd w:val="clear" w:color="auto" w:fill="FFFFFF"/>
          <w:lang w:val="it-IT"/>
        </w:rPr>
        <w:t xml:space="preserve"> la disciplina della documentazione antimafia</w:t>
      </w:r>
      <w:r w:rsidR="00C46D2B">
        <w:rPr>
          <w:rFonts w:ascii="Arial" w:hAnsi="Arial" w:cs="Arial"/>
          <w:color w:val="686868"/>
          <w:sz w:val="24"/>
          <w:szCs w:val="24"/>
          <w:shd w:val="clear" w:color="auto" w:fill="FFFFFF"/>
          <w:lang w:val="it-IT"/>
        </w:rPr>
        <w:t xml:space="preserve"> quale uno dei</w:t>
      </w:r>
      <w:r w:rsidR="00AB432C" w:rsidRPr="004F6E28">
        <w:rPr>
          <w:rFonts w:ascii="Arial" w:hAnsi="Arial" w:cs="Arial"/>
          <w:color w:val="686868"/>
          <w:sz w:val="24"/>
          <w:szCs w:val="24"/>
          <w:shd w:val="clear" w:color="auto" w:fill="FFFFFF"/>
          <w:lang w:val="it-IT"/>
        </w:rPr>
        <w:t xml:space="preserve"> </w:t>
      </w:r>
      <w:r w:rsidR="00283C7C" w:rsidRPr="004F6E28">
        <w:rPr>
          <w:rFonts w:ascii="Arial" w:hAnsi="Arial" w:cs="Arial"/>
          <w:color w:val="686868"/>
          <w:sz w:val="24"/>
          <w:szCs w:val="24"/>
          <w:shd w:val="clear" w:color="auto" w:fill="FFFFFF"/>
          <w:lang w:val="it-IT"/>
        </w:rPr>
        <w:t>più recenti epigoni</w:t>
      </w:r>
      <w:r w:rsidR="00C46D2B">
        <w:rPr>
          <w:rFonts w:ascii="Arial" w:hAnsi="Arial" w:cs="Arial"/>
          <w:color w:val="686868"/>
          <w:sz w:val="24"/>
          <w:szCs w:val="24"/>
          <w:shd w:val="clear" w:color="auto" w:fill="FFFFFF"/>
          <w:lang w:val="it-IT"/>
        </w:rPr>
        <w:t>.</w:t>
      </w:r>
    </w:p>
    <w:p w:rsidR="00BC0D86" w:rsidRPr="004F6E28" w:rsidRDefault="00C46D2B" w:rsidP="004F6E28">
      <w:pPr>
        <w:jc w:val="both"/>
        <w:rPr>
          <w:rFonts w:ascii="Arial" w:hAnsi="Arial" w:cs="Arial"/>
          <w:color w:val="686868"/>
          <w:sz w:val="24"/>
          <w:szCs w:val="24"/>
          <w:shd w:val="clear" w:color="auto" w:fill="FFFFFF"/>
          <w:lang w:val="it-IT"/>
        </w:rPr>
      </w:pPr>
      <w:r>
        <w:rPr>
          <w:rFonts w:ascii="Arial" w:hAnsi="Arial" w:cs="Arial"/>
          <w:color w:val="686868"/>
          <w:sz w:val="24"/>
          <w:szCs w:val="24"/>
          <w:shd w:val="clear" w:color="auto" w:fill="FFFFFF"/>
          <w:lang w:val="it-IT"/>
        </w:rPr>
        <w:t>La documentazione antimafia</w:t>
      </w:r>
      <w:r w:rsidR="00AB432C" w:rsidRPr="004F6E28">
        <w:rPr>
          <w:rFonts w:ascii="Arial" w:hAnsi="Arial" w:cs="Arial"/>
          <w:color w:val="686868"/>
          <w:sz w:val="24"/>
          <w:szCs w:val="24"/>
          <w:shd w:val="clear" w:color="auto" w:fill="FFFFFF"/>
          <w:lang w:val="it-IT"/>
        </w:rPr>
        <w:t>,</w:t>
      </w:r>
      <w:r w:rsidR="00BC0D86" w:rsidRPr="004F6E28">
        <w:rPr>
          <w:rFonts w:ascii="Arial" w:hAnsi="Arial" w:cs="Arial"/>
          <w:color w:val="686868"/>
          <w:sz w:val="24"/>
          <w:szCs w:val="24"/>
          <w:shd w:val="clear" w:color="auto" w:fill="FFFFFF"/>
          <w:lang w:val="it-IT"/>
        </w:rPr>
        <w:t xml:space="preserve"> come ha ricordato l’adunanza plenaria del Consiglio di Stato </w:t>
      </w:r>
      <w:r w:rsidR="00FC3C16">
        <w:rPr>
          <w:rFonts w:ascii="Arial" w:hAnsi="Arial" w:cs="Arial"/>
          <w:color w:val="686868"/>
          <w:sz w:val="24"/>
          <w:szCs w:val="24"/>
          <w:shd w:val="clear" w:color="auto" w:fill="FFFFFF"/>
          <w:lang w:val="it-IT"/>
        </w:rPr>
        <w:t xml:space="preserve">6 aprile </w:t>
      </w:r>
      <w:r w:rsidR="00BC0D86" w:rsidRPr="004F6E28">
        <w:rPr>
          <w:rFonts w:ascii="Arial" w:hAnsi="Arial" w:cs="Arial"/>
          <w:color w:val="686868"/>
          <w:sz w:val="24"/>
          <w:szCs w:val="24"/>
          <w:shd w:val="clear" w:color="auto" w:fill="FFFFFF"/>
          <w:lang w:val="it-IT"/>
        </w:rPr>
        <w:t>2018</w:t>
      </w:r>
      <w:r w:rsidR="00FC3C16">
        <w:rPr>
          <w:rFonts w:ascii="Arial" w:hAnsi="Arial" w:cs="Arial"/>
          <w:color w:val="686868"/>
          <w:sz w:val="24"/>
          <w:szCs w:val="24"/>
          <w:shd w:val="clear" w:color="auto" w:fill="FFFFFF"/>
          <w:lang w:val="it-IT"/>
        </w:rPr>
        <w:t xml:space="preserve"> n. 3</w:t>
      </w:r>
      <w:r w:rsidR="005E6804" w:rsidRPr="004F6E28">
        <w:rPr>
          <w:rFonts w:ascii="Arial" w:hAnsi="Arial" w:cs="Arial"/>
          <w:color w:val="686868"/>
          <w:sz w:val="24"/>
          <w:szCs w:val="24"/>
          <w:shd w:val="clear" w:color="auto" w:fill="FFFFFF"/>
          <w:lang w:val="it-IT"/>
        </w:rPr>
        <w:t>,</w:t>
      </w:r>
      <w:r w:rsidR="00BC0D86" w:rsidRPr="004F6E28">
        <w:rPr>
          <w:rFonts w:ascii="Arial" w:hAnsi="Arial" w:cs="Arial"/>
          <w:color w:val="686868"/>
          <w:sz w:val="24"/>
          <w:szCs w:val="24"/>
          <w:shd w:val="clear" w:color="auto" w:fill="FFFFFF"/>
          <w:lang w:val="it-IT"/>
        </w:rPr>
        <w:t xml:space="preserve"> è presidi</w:t>
      </w:r>
      <w:r w:rsidR="00A26158" w:rsidRPr="004F6E28">
        <w:rPr>
          <w:rFonts w:ascii="Arial" w:hAnsi="Arial" w:cs="Arial"/>
          <w:color w:val="686868"/>
          <w:sz w:val="24"/>
          <w:szCs w:val="24"/>
          <w:shd w:val="clear" w:color="auto" w:fill="FFFFFF"/>
          <w:lang w:val="it-IT"/>
        </w:rPr>
        <w:t>o dell’ordine pubblico economico, della concorrenza e del buon andamento dell’amministrazione</w:t>
      </w:r>
      <w:r w:rsidR="005E6804" w:rsidRPr="004F6E28">
        <w:rPr>
          <w:rFonts w:ascii="Arial" w:hAnsi="Arial" w:cs="Arial"/>
          <w:color w:val="686868"/>
          <w:sz w:val="24"/>
          <w:szCs w:val="24"/>
          <w:shd w:val="clear" w:color="auto" w:fill="FFFFFF"/>
          <w:lang w:val="it-IT"/>
        </w:rPr>
        <w:t xml:space="preserve"> e,</w:t>
      </w:r>
      <w:r w:rsidR="00C7640B" w:rsidRPr="004F6E28">
        <w:rPr>
          <w:rFonts w:ascii="Arial" w:hAnsi="Arial" w:cs="Arial"/>
          <w:color w:val="686868"/>
          <w:sz w:val="24"/>
          <w:szCs w:val="24"/>
          <w:shd w:val="clear" w:color="auto" w:fill="FFFFFF"/>
          <w:lang w:val="it-IT"/>
        </w:rPr>
        <w:t xml:space="preserve"> alla luce dell’</w:t>
      </w:r>
      <w:r w:rsidR="005E6804" w:rsidRPr="004F6E28">
        <w:rPr>
          <w:rFonts w:ascii="Arial" w:hAnsi="Arial" w:cs="Arial"/>
          <w:color w:val="686868"/>
          <w:sz w:val="24"/>
          <w:szCs w:val="24"/>
          <w:shd w:val="clear" w:color="auto" w:fill="FFFFFF"/>
          <w:lang w:val="it-IT"/>
        </w:rPr>
        <w:t>inquadramento</w:t>
      </w:r>
      <w:r w:rsidR="00C7640B" w:rsidRPr="004F6E28">
        <w:rPr>
          <w:rFonts w:ascii="Arial" w:hAnsi="Arial" w:cs="Arial"/>
          <w:color w:val="686868"/>
          <w:sz w:val="24"/>
          <w:szCs w:val="24"/>
          <w:shd w:val="clear" w:color="auto" w:fill="FFFFFF"/>
          <w:lang w:val="it-IT"/>
        </w:rPr>
        <w:t xml:space="preserve"> sin qui descritto</w:t>
      </w:r>
      <w:r w:rsidR="005E6804" w:rsidRPr="004F6E28">
        <w:rPr>
          <w:rFonts w:ascii="Arial" w:hAnsi="Arial" w:cs="Arial"/>
          <w:color w:val="686868"/>
          <w:sz w:val="24"/>
          <w:szCs w:val="24"/>
          <w:shd w:val="clear" w:color="auto" w:fill="FFFFFF"/>
          <w:lang w:val="it-IT"/>
        </w:rPr>
        <w:t xml:space="preserve">, deve bilanciarsi con le prerogative individuali sia rispettando </w:t>
      </w:r>
      <w:r w:rsidR="00FC3C16">
        <w:rPr>
          <w:rFonts w:ascii="Arial" w:hAnsi="Arial" w:cs="Arial"/>
          <w:color w:val="686868"/>
          <w:sz w:val="24"/>
          <w:szCs w:val="24"/>
          <w:shd w:val="clear" w:color="auto" w:fill="FFFFFF"/>
          <w:lang w:val="it-IT"/>
        </w:rPr>
        <w:t xml:space="preserve">il </w:t>
      </w:r>
      <w:r w:rsidR="005E6804" w:rsidRPr="004F6E28">
        <w:rPr>
          <w:rFonts w:ascii="Arial" w:hAnsi="Arial" w:cs="Arial"/>
          <w:color w:val="686868"/>
          <w:sz w:val="24"/>
          <w:szCs w:val="24"/>
          <w:shd w:val="clear" w:color="auto" w:fill="FFFFFF"/>
          <w:lang w:val="it-IT"/>
        </w:rPr>
        <w:t xml:space="preserve">principio di </w:t>
      </w:r>
      <w:r w:rsidR="00C7640B" w:rsidRPr="004F6E28">
        <w:rPr>
          <w:rFonts w:ascii="Arial" w:hAnsi="Arial" w:cs="Arial"/>
          <w:color w:val="686868"/>
          <w:sz w:val="24"/>
          <w:szCs w:val="24"/>
          <w:shd w:val="clear" w:color="auto" w:fill="FFFFFF"/>
          <w:lang w:val="it-IT"/>
        </w:rPr>
        <w:t>tassatività/</w:t>
      </w:r>
      <w:r w:rsidR="005E6804" w:rsidRPr="004F6E28">
        <w:rPr>
          <w:rFonts w:ascii="Arial" w:hAnsi="Arial" w:cs="Arial"/>
          <w:color w:val="686868"/>
          <w:sz w:val="24"/>
          <w:szCs w:val="24"/>
          <w:shd w:val="clear" w:color="auto" w:fill="FFFFFF"/>
          <w:lang w:val="it-IT"/>
        </w:rPr>
        <w:t>prevedibilità dell</w:t>
      </w:r>
      <w:r w:rsidR="00C7640B" w:rsidRPr="004F6E28">
        <w:rPr>
          <w:rFonts w:ascii="Arial" w:hAnsi="Arial" w:cs="Arial"/>
          <w:color w:val="686868"/>
          <w:sz w:val="24"/>
          <w:szCs w:val="24"/>
          <w:shd w:val="clear" w:color="auto" w:fill="FFFFFF"/>
          <w:lang w:val="it-IT"/>
        </w:rPr>
        <w:t xml:space="preserve">e </w:t>
      </w:r>
      <w:r w:rsidR="005E6804" w:rsidRPr="004F6E28">
        <w:rPr>
          <w:rFonts w:ascii="Arial" w:hAnsi="Arial" w:cs="Arial"/>
          <w:color w:val="686868"/>
          <w:sz w:val="24"/>
          <w:szCs w:val="24"/>
          <w:shd w:val="clear" w:color="auto" w:fill="FFFFFF"/>
          <w:lang w:val="it-IT"/>
        </w:rPr>
        <w:t>ingerenze del potere pubblico nell’iniziativa economica sia armonizzando</w:t>
      </w:r>
      <w:r w:rsidR="00C7640B" w:rsidRPr="004F6E28">
        <w:rPr>
          <w:rFonts w:ascii="Arial" w:hAnsi="Arial" w:cs="Arial"/>
          <w:color w:val="686868"/>
          <w:sz w:val="24"/>
          <w:szCs w:val="24"/>
          <w:shd w:val="clear" w:color="auto" w:fill="FFFFFF"/>
          <w:lang w:val="it-IT"/>
        </w:rPr>
        <w:t>si in modo</w:t>
      </w:r>
      <w:r w:rsidR="005E6804" w:rsidRPr="004F6E28">
        <w:rPr>
          <w:rFonts w:ascii="Arial" w:hAnsi="Arial" w:cs="Arial"/>
          <w:color w:val="686868"/>
          <w:sz w:val="24"/>
          <w:szCs w:val="24"/>
          <w:shd w:val="clear" w:color="auto" w:fill="FFFFFF"/>
          <w:lang w:val="it-IT"/>
        </w:rPr>
        <w:t xml:space="preserve"> proporzionale con le </w:t>
      </w:r>
      <w:r w:rsidR="00686E82">
        <w:rPr>
          <w:rFonts w:ascii="Arial" w:hAnsi="Arial" w:cs="Arial"/>
          <w:color w:val="686868"/>
          <w:sz w:val="24"/>
          <w:szCs w:val="24"/>
          <w:shd w:val="clear" w:color="auto" w:fill="FFFFFF"/>
          <w:lang w:val="it-IT"/>
        </w:rPr>
        <w:t>varie prerogative</w:t>
      </w:r>
      <w:r w:rsidR="005E6804" w:rsidRPr="004F6E28">
        <w:rPr>
          <w:rFonts w:ascii="Arial" w:hAnsi="Arial" w:cs="Arial"/>
          <w:color w:val="686868"/>
          <w:sz w:val="24"/>
          <w:szCs w:val="24"/>
          <w:shd w:val="clear" w:color="auto" w:fill="FFFFFF"/>
          <w:lang w:val="it-IT"/>
        </w:rPr>
        <w:t xml:space="preserve"> individuali</w:t>
      </w:r>
      <w:r w:rsidR="00686E82">
        <w:rPr>
          <w:rFonts w:ascii="Arial" w:hAnsi="Arial" w:cs="Arial"/>
          <w:color w:val="686868"/>
          <w:sz w:val="24"/>
          <w:szCs w:val="24"/>
          <w:shd w:val="clear" w:color="auto" w:fill="FFFFFF"/>
          <w:lang w:val="it-IT"/>
        </w:rPr>
        <w:t xml:space="preserve"> coinvolte</w:t>
      </w:r>
      <w:r w:rsidR="005E6804" w:rsidRPr="004F6E28">
        <w:rPr>
          <w:rFonts w:ascii="Arial" w:hAnsi="Arial" w:cs="Arial"/>
          <w:color w:val="686868"/>
          <w:sz w:val="24"/>
          <w:szCs w:val="24"/>
          <w:shd w:val="clear" w:color="auto" w:fill="FFFFFF"/>
          <w:lang w:val="it-IT"/>
        </w:rPr>
        <w:t xml:space="preserve">. </w:t>
      </w:r>
    </w:p>
    <w:p w:rsidR="00A26158" w:rsidRPr="004F6E28" w:rsidRDefault="00C7640B" w:rsidP="004F6E28">
      <w:pPr>
        <w:pStyle w:val="Paragrafoelenco"/>
        <w:numPr>
          <w:ilvl w:val="0"/>
          <w:numId w:val="6"/>
        </w:numPr>
        <w:jc w:val="both"/>
        <w:rPr>
          <w:rFonts w:ascii="Arial" w:hAnsi="Arial" w:cs="Arial"/>
          <w:color w:val="686868"/>
          <w:sz w:val="24"/>
          <w:szCs w:val="24"/>
          <w:shd w:val="clear" w:color="auto" w:fill="FFFFFF"/>
          <w:lang w:val="it-IT"/>
        </w:rPr>
      </w:pPr>
      <w:r w:rsidRPr="004F6E28">
        <w:rPr>
          <w:rFonts w:ascii="Arial" w:hAnsi="Arial" w:cs="Arial"/>
          <w:b/>
          <w:color w:val="686868"/>
          <w:sz w:val="24"/>
          <w:szCs w:val="24"/>
          <w:shd w:val="clear" w:color="auto" w:fill="FFFFFF"/>
          <w:lang w:val="it-IT"/>
        </w:rPr>
        <w:t>La documentazi</w:t>
      </w:r>
      <w:r w:rsidR="004F6E28">
        <w:rPr>
          <w:rFonts w:ascii="Arial" w:hAnsi="Arial" w:cs="Arial"/>
          <w:b/>
          <w:color w:val="686868"/>
          <w:sz w:val="24"/>
          <w:szCs w:val="24"/>
          <w:shd w:val="clear" w:color="auto" w:fill="FFFFFF"/>
          <w:lang w:val="it-IT"/>
        </w:rPr>
        <w:t>one</w:t>
      </w:r>
      <w:r w:rsidR="00187907">
        <w:rPr>
          <w:rFonts w:ascii="Arial" w:hAnsi="Arial" w:cs="Arial"/>
          <w:b/>
          <w:color w:val="686868"/>
          <w:sz w:val="24"/>
          <w:szCs w:val="24"/>
          <w:shd w:val="clear" w:color="auto" w:fill="FFFFFF"/>
          <w:lang w:val="it-IT"/>
        </w:rPr>
        <w:t xml:space="preserve"> antimafia a confronto con le</w:t>
      </w:r>
      <w:r w:rsidR="00686E82">
        <w:rPr>
          <w:rFonts w:ascii="Arial" w:hAnsi="Arial" w:cs="Arial"/>
          <w:b/>
          <w:color w:val="686868"/>
          <w:sz w:val="24"/>
          <w:szCs w:val="24"/>
          <w:shd w:val="clear" w:color="auto" w:fill="FFFFFF"/>
          <w:lang w:val="it-IT"/>
        </w:rPr>
        <w:t xml:space="preserve"> garanzie della</w:t>
      </w:r>
      <w:r w:rsidR="00F74880">
        <w:rPr>
          <w:rFonts w:ascii="Arial" w:hAnsi="Arial" w:cs="Arial"/>
          <w:b/>
          <w:color w:val="686868"/>
          <w:sz w:val="24"/>
          <w:szCs w:val="24"/>
          <w:shd w:val="clear" w:color="auto" w:fill="FFFFFF"/>
          <w:lang w:val="it-IT"/>
        </w:rPr>
        <w:t xml:space="preserve"> Convenzione Europea dei D</w:t>
      </w:r>
      <w:r w:rsidR="004F6E28">
        <w:rPr>
          <w:rFonts w:ascii="Arial" w:hAnsi="Arial" w:cs="Arial"/>
          <w:b/>
          <w:color w:val="686868"/>
          <w:sz w:val="24"/>
          <w:szCs w:val="24"/>
          <w:shd w:val="clear" w:color="auto" w:fill="FFFFFF"/>
          <w:lang w:val="it-IT"/>
        </w:rPr>
        <w:t>iritti dell’</w:t>
      </w:r>
      <w:r w:rsidR="00F74880">
        <w:rPr>
          <w:rFonts w:ascii="Arial" w:hAnsi="Arial" w:cs="Arial"/>
          <w:b/>
          <w:color w:val="686868"/>
          <w:sz w:val="24"/>
          <w:szCs w:val="24"/>
          <w:shd w:val="clear" w:color="auto" w:fill="FFFFFF"/>
          <w:lang w:val="it-IT"/>
        </w:rPr>
        <w:t>Uomo</w:t>
      </w:r>
      <w:r w:rsidRPr="004F6E28">
        <w:rPr>
          <w:rFonts w:ascii="Arial" w:hAnsi="Arial" w:cs="Arial"/>
          <w:color w:val="686868"/>
          <w:sz w:val="24"/>
          <w:szCs w:val="24"/>
          <w:shd w:val="clear" w:color="auto" w:fill="FFFFFF"/>
          <w:lang w:val="it-IT"/>
        </w:rPr>
        <w:t>.</w:t>
      </w:r>
    </w:p>
    <w:p w:rsidR="00A26158" w:rsidRPr="004F6E28" w:rsidRDefault="00C7640B" w:rsidP="004F6E28">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 xml:space="preserve">Ponendo la problematica del bilanciamento tra diritti individuali </w:t>
      </w:r>
      <w:r w:rsidR="00AB432C" w:rsidRPr="004F6E28">
        <w:rPr>
          <w:rFonts w:ascii="Arial" w:hAnsi="Arial" w:cs="Arial"/>
          <w:color w:val="686868"/>
          <w:sz w:val="24"/>
          <w:szCs w:val="24"/>
          <w:shd w:val="clear" w:color="auto" w:fill="FFFFFF"/>
          <w:lang w:val="it-IT"/>
        </w:rPr>
        <w:t>e</w:t>
      </w:r>
      <w:r w:rsidR="008444F3" w:rsidRPr="004F6E28">
        <w:rPr>
          <w:rFonts w:ascii="Arial" w:hAnsi="Arial" w:cs="Arial"/>
          <w:color w:val="686868"/>
          <w:sz w:val="24"/>
          <w:szCs w:val="24"/>
          <w:shd w:val="clear" w:color="auto" w:fill="FFFFFF"/>
          <w:lang w:val="it-IT"/>
        </w:rPr>
        <w:t>d</w:t>
      </w:r>
      <w:r w:rsidR="00AB432C" w:rsidRPr="004F6E28">
        <w:rPr>
          <w:rFonts w:ascii="Arial" w:hAnsi="Arial" w:cs="Arial"/>
          <w:color w:val="686868"/>
          <w:sz w:val="24"/>
          <w:szCs w:val="24"/>
          <w:shd w:val="clear" w:color="auto" w:fill="FFFFFF"/>
          <w:lang w:val="it-IT"/>
        </w:rPr>
        <w:t xml:space="preserve"> ingerenze d</w:t>
      </w:r>
      <w:r w:rsidR="00F74880">
        <w:rPr>
          <w:rFonts w:ascii="Arial" w:hAnsi="Arial" w:cs="Arial"/>
          <w:color w:val="686868"/>
          <w:sz w:val="24"/>
          <w:szCs w:val="24"/>
          <w:shd w:val="clear" w:color="auto" w:fill="FFFFFF"/>
          <w:lang w:val="it-IT"/>
        </w:rPr>
        <w:t>el potere pubblico negli stessi</w:t>
      </w:r>
      <w:r w:rsidR="00187907">
        <w:rPr>
          <w:rFonts w:ascii="Arial" w:hAnsi="Arial" w:cs="Arial"/>
          <w:color w:val="686868"/>
          <w:sz w:val="24"/>
          <w:szCs w:val="24"/>
          <w:shd w:val="clear" w:color="auto" w:fill="FFFFFF"/>
          <w:lang w:val="it-IT"/>
        </w:rPr>
        <w:t>,</w:t>
      </w:r>
      <w:r w:rsidR="00AB432C" w:rsidRPr="004F6E28">
        <w:rPr>
          <w:rFonts w:ascii="Arial" w:hAnsi="Arial" w:cs="Arial"/>
          <w:color w:val="686868"/>
          <w:sz w:val="24"/>
          <w:szCs w:val="24"/>
          <w:shd w:val="clear" w:color="auto" w:fill="FFFFFF"/>
          <w:lang w:val="it-IT"/>
        </w:rPr>
        <w:t xml:space="preserve"> </w:t>
      </w:r>
      <w:r w:rsidRPr="004F6E28">
        <w:rPr>
          <w:rFonts w:ascii="Arial" w:hAnsi="Arial" w:cs="Arial"/>
          <w:color w:val="686868"/>
          <w:sz w:val="24"/>
          <w:szCs w:val="24"/>
          <w:shd w:val="clear" w:color="auto" w:fill="FFFFFF"/>
          <w:lang w:val="it-IT"/>
        </w:rPr>
        <w:t>la disciplina della documentazione antimafia si è dovuta naturalmente confrontare con la giurisprudenza della Corte Europea dei diritti dell’Uomo.</w:t>
      </w:r>
    </w:p>
    <w:p w:rsidR="00C7640B" w:rsidRPr="004F6E28" w:rsidRDefault="009A29ED" w:rsidP="004F6E28">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L</w:t>
      </w:r>
      <w:r w:rsidR="00C7640B" w:rsidRPr="004F6E28">
        <w:rPr>
          <w:rFonts w:ascii="Arial" w:hAnsi="Arial" w:cs="Arial"/>
          <w:color w:val="686868"/>
          <w:sz w:val="24"/>
          <w:szCs w:val="24"/>
          <w:shd w:val="clear" w:color="auto" w:fill="FFFFFF"/>
          <w:lang w:val="it-IT"/>
        </w:rPr>
        <w:t xml:space="preserve">e misure </w:t>
      </w:r>
      <w:r w:rsidR="008444F3" w:rsidRPr="004F6E28">
        <w:rPr>
          <w:rFonts w:ascii="Arial" w:hAnsi="Arial" w:cs="Arial"/>
          <w:color w:val="686868"/>
          <w:sz w:val="24"/>
          <w:szCs w:val="24"/>
          <w:shd w:val="clear" w:color="auto" w:fill="FFFFFF"/>
          <w:lang w:val="it-IT"/>
        </w:rPr>
        <w:t xml:space="preserve">di prevenzione </w:t>
      </w:r>
      <w:r w:rsidR="00C7640B" w:rsidRPr="004F6E28">
        <w:rPr>
          <w:rFonts w:ascii="Arial" w:hAnsi="Arial" w:cs="Arial"/>
          <w:color w:val="686868"/>
          <w:sz w:val="24"/>
          <w:szCs w:val="24"/>
          <w:shd w:val="clear" w:color="auto" w:fill="FFFFFF"/>
          <w:lang w:val="it-IT"/>
        </w:rPr>
        <w:t>che</w:t>
      </w:r>
      <w:r w:rsidR="001450C4" w:rsidRPr="004F6E28">
        <w:rPr>
          <w:rFonts w:ascii="Arial" w:hAnsi="Arial" w:cs="Arial"/>
          <w:color w:val="686868"/>
          <w:sz w:val="24"/>
          <w:szCs w:val="24"/>
          <w:shd w:val="clear" w:color="auto" w:fill="FFFFFF"/>
          <w:lang w:val="it-IT"/>
        </w:rPr>
        <w:t xml:space="preserve"> più</w:t>
      </w:r>
      <w:r w:rsidR="00C7640B" w:rsidRPr="004F6E28">
        <w:rPr>
          <w:rFonts w:ascii="Arial" w:hAnsi="Arial" w:cs="Arial"/>
          <w:color w:val="686868"/>
          <w:sz w:val="24"/>
          <w:szCs w:val="24"/>
          <w:shd w:val="clear" w:color="auto" w:fill="FFFFFF"/>
          <w:lang w:val="it-IT"/>
        </w:rPr>
        <w:t xml:space="preserve"> sono </w:t>
      </w:r>
      <w:r w:rsidR="00AB432C" w:rsidRPr="004F6E28">
        <w:rPr>
          <w:rFonts w:ascii="Arial" w:hAnsi="Arial" w:cs="Arial"/>
          <w:color w:val="686868"/>
          <w:sz w:val="24"/>
          <w:szCs w:val="24"/>
          <w:shd w:val="clear" w:color="auto" w:fill="FFFFFF"/>
          <w:lang w:val="it-IT"/>
        </w:rPr>
        <w:t>venute</w:t>
      </w:r>
      <w:r w:rsidR="00C7640B" w:rsidRPr="004F6E28">
        <w:rPr>
          <w:rFonts w:ascii="Arial" w:hAnsi="Arial" w:cs="Arial"/>
          <w:color w:val="686868"/>
          <w:sz w:val="24"/>
          <w:szCs w:val="24"/>
          <w:shd w:val="clear" w:color="auto" w:fill="FFFFFF"/>
          <w:lang w:val="it-IT"/>
        </w:rPr>
        <w:t xml:space="preserve"> all’</w:t>
      </w:r>
      <w:r w:rsidRPr="004F6E28">
        <w:rPr>
          <w:rFonts w:ascii="Arial" w:hAnsi="Arial" w:cs="Arial"/>
          <w:color w:val="686868"/>
          <w:sz w:val="24"/>
          <w:szCs w:val="24"/>
          <w:shd w:val="clear" w:color="auto" w:fill="FFFFFF"/>
          <w:lang w:val="it-IT"/>
        </w:rPr>
        <w:t>attenzione della</w:t>
      </w:r>
      <w:r w:rsidR="00F74880">
        <w:rPr>
          <w:rFonts w:ascii="Arial" w:hAnsi="Arial" w:cs="Arial"/>
          <w:color w:val="686868"/>
          <w:sz w:val="24"/>
          <w:szCs w:val="24"/>
          <w:shd w:val="clear" w:color="auto" w:fill="FFFFFF"/>
          <w:lang w:val="it-IT"/>
        </w:rPr>
        <w:t xml:space="preserve"> Corte</w:t>
      </w:r>
      <w:r w:rsidRPr="004F6E28">
        <w:rPr>
          <w:rFonts w:ascii="Arial" w:hAnsi="Arial" w:cs="Arial"/>
          <w:color w:val="686868"/>
          <w:sz w:val="24"/>
          <w:szCs w:val="24"/>
          <w:shd w:val="clear" w:color="auto" w:fill="FFFFFF"/>
          <w:lang w:val="it-IT"/>
        </w:rPr>
        <w:t xml:space="preserve"> </w:t>
      </w:r>
      <w:r w:rsidR="00C7640B" w:rsidRPr="004F6E28">
        <w:rPr>
          <w:rFonts w:ascii="Arial" w:hAnsi="Arial" w:cs="Arial"/>
          <w:color w:val="686868"/>
          <w:sz w:val="24"/>
          <w:szCs w:val="24"/>
          <w:shd w:val="clear" w:color="auto" w:fill="FFFFFF"/>
          <w:lang w:val="it-IT"/>
        </w:rPr>
        <w:t>sono</w:t>
      </w:r>
      <w:r w:rsidR="00F74880">
        <w:rPr>
          <w:rFonts w:ascii="Arial" w:hAnsi="Arial" w:cs="Arial"/>
          <w:color w:val="686868"/>
          <w:sz w:val="24"/>
          <w:szCs w:val="24"/>
          <w:shd w:val="clear" w:color="auto" w:fill="FFFFFF"/>
          <w:lang w:val="it-IT"/>
        </w:rPr>
        <w:t xml:space="preserve"> state</w:t>
      </w:r>
      <w:r w:rsidR="00C7640B" w:rsidRPr="004F6E28">
        <w:rPr>
          <w:rFonts w:ascii="Arial" w:hAnsi="Arial" w:cs="Arial"/>
          <w:color w:val="686868"/>
          <w:sz w:val="24"/>
          <w:szCs w:val="24"/>
          <w:shd w:val="clear" w:color="auto" w:fill="FFFFFF"/>
          <w:lang w:val="it-IT"/>
        </w:rPr>
        <w:t xml:space="preserve"> quelle di natura personale, intuitivamente più in</w:t>
      </w:r>
      <w:r w:rsidR="00AB432C" w:rsidRPr="004F6E28">
        <w:rPr>
          <w:rFonts w:ascii="Arial" w:hAnsi="Arial" w:cs="Arial"/>
          <w:color w:val="686868"/>
          <w:sz w:val="24"/>
          <w:szCs w:val="24"/>
          <w:shd w:val="clear" w:color="auto" w:fill="FFFFFF"/>
          <w:lang w:val="it-IT"/>
        </w:rPr>
        <w:t>vasive</w:t>
      </w:r>
      <w:r w:rsidRPr="004F6E28">
        <w:rPr>
          <w:rFonts w:ascii="Arial" w:hAnsi="Arial" w:cs="Arial"/>
          <w:color w:val="686868"/>
          <w:sz w:val="24"/>
          <w:szCs w:val="24"/>
          <w:shd w:val="clear" w:color="auto" w:fill="FFFFFF"/>
          <w:lang w:val="it-IT"/>
        </w:rPr>
        <w:t>,</w:t>
      </w:r>
      <w:r w:rsidR="00AB432C" w:rsidRPr="004F6E28">
        <w:rPr>
          <w:rFonts w:ascii="Arial" w:hAnsi="Arial" w:cs="Arial"/>
          <w:color w:val="686868"/>
          <w:sz w:val="24"/>
          <w:szCs w:val="24"/>
          <w:shd w:val="clear" w:color="auto" w:fill="FFFFFF"/>
          <w:lang w:val="it-IT"/>
        </w:rPr>
        <w:t xml:space="preserve"> in quanto</w:t>
      </w:r>
      <w:r w:rsidR="00C7640B" w:rsidRPr="004F6E28">
        <w:rPr>
          <w:rFonts w:ascii="Arial" w:hAnsi="Arial" w:cs="Arial"/>
          <w:color w:val="686868"/>
          <w:sz w:val="24"/>
          <w:szCs w:val="24"/>
          <w:shd w:val="clear" w:color="auto" w:fill="FFFFFF"/>
          <w:lang w:val="it-IT"/>
        </w:rPr>
        <w:t xml:space="preserve"> incidenti</w:t>
      </w:r>
      <w:r w:rsidR="00AB432C" w:rsidRPr="004F6E28">
        <w:rPr>
          <w:rFonts w:ascii="Arial" w:hAnsi="Arial" w:cs="Arial"/>
          <w:color w:val="686868"/>
          <w:sz w:val="24"/>
          <w:szCs w:val="24"/>
          <w:shd w:val="clear" w:color="auto" w:fill="FFFFFF"/>
          <w:lang w:val="it-IT"/>
        </w:rPr>
        <w:t>, se non sulla</w:t>
      </w:r>
      <w:r w:rsidR="00C7640B" w:rsidRPr="004F6E28">
        <w:rPr>
          <w:rFonts w:ascii="Arial" w:hAnsi="Arial" w:cs="Arial"/>
          <w:color w:val="686868"/>
          <w:sz w:val="24"/>
          <w:szCs w:val="24"/>
          <w:shd w:val="clear" w:color="auto" w:fill="FFFFFF"/>
          <w:lang w:val="it-IT"/>
        </w:rPr>
        <w:t xml:space="preserve"> liber</w:t>
      </w:r>
      <w:r w:rsidR="00AB432C" w:rsidRPr="004F6E28">
        <w:rPr>
          <w:rFonts w:ascii="Arial" w:hAnsi="Arial" w:cs="Arial"/>
          <w:color w:val="686868"/>
          <w:sz w:val="24"/>
          <w:szCs w:val="24"/>
          <w:shd w:val="clear" w:color="auto" w:fill="FFFFFF"/>
          <w:lang w:val="it-IT"/>
        </w:rPr>
        <w:t xml:space="preserve">tà personale nel suo complesso, </w:t>
      </w:r>
      <w:r w:rsidRPr="004F6E28">
        <w:rPr>
          <w:rFonts w:ascii="Arial" w:hAnsi="Arial" w:cs="Arial"/>
          <w:color w:val="686868"/>
          <w:sz w:val="24"/>
          <w:szCs w:val="24"/>
          <w:shd w:val="clear" w:color="auto" w:fill="FFFFFF"/>
          <w:lang w:val="it-IT"/>
        </w:rPr>
        <w:t xml:space="preserve">certamente </w:t>
      </w:r>
      <w:r w:rsidR="00AB432C" w:rsidRPr="004F6E28">
        <w:rPr>
          <w:rFonts w:ascii="Arial" w:hAnsi="Arial" w:cs="Arial"/>
          <w:color w:val="686868"/>
          <w:sz w:val="24"/>
          <w:szCs w:val="24"/>
          <w:shd w:val="clear" w:color="auto" w:fill="FFFFFF"/>
          <w:lang w:val="it-IT"/>
        </w:rPr>
        <w:t xml:space="preserve">su </w:t>
      </w:r>
      <w:r w:rsidR="00F74880">
        <w:rPr>
          <w:rFonts w:ascii="Arial" w:hAnsi="Arial" w:cs="Arial"/>
          <w:color w:val="686868"/>
          <w:sz w:val="24"/>
          <w:szCs w:val="24"/>
          <w:shd w:val="clear" w:color="auto" w:fill="FFFFFF"/>
          <w:lang w:val="it-IT"/>
        </w:rPr>
        <w:t xml:space="preserve">suoi </w:t>
      </w:r>
      <w:r w:rsidR="00AB432C" w:rsidRPr="004F6E28">
        <w:rPr>
          <w:rFonts w:ascii="Arial" w:hAnsi="Arial" w:cs="Arial"/>
          <w:color w:val="686868"/>
          <w:sz w:val="24"/>
          <w:szCs w:val="24"/>
          <w:shd w:val="clear" w:color="auto" w:fill="FFFFFF"/>
          <w:lang w:val="it-IT"/>
        </w:rPr>
        <w:t>singoli</w:t>
      </w:r>
      <w:r w:rsidR="00F74880">
        <w:rPr>
          <w:rFonts w:ascii="Arial" w:hAnsi="Arial" w:cs="Arial"/>
          <w:color w:val="686868"/>
          <w:sz w:val="24"/>
          <w:szCs w:val="24"/>
          <w:shd w:val="clear" w:color="auto" w:fill="FFFFFF"/>
          <w:lang w:val="it-IT"/>
        </w:rPr>
        <w:t xml:space="preserve"> aspetti</w:t>
      </w:r>
      <w:r w:rsidR="008444F3" w:rsidRPr="004F6E28">
        <w:rPr>
          <w:rFonts w:ascii="Arial" w:hAnsi="Arial" w:cs="Arial"/>
          <w:color w:val="686868"/>
          <w:sz w:val="24"/>
          <w:szCs w:val="24"/>
          <w:shd w:val="clear" w:color="auto" w:fill="FFFFFF"/>
          <w:lang w:val="it-IT"/>
        </w:rPr>
        <w:t xml:space="preserve"> </w:t>
      </w:r>
      <w:r w:rsidRPr="004F6E28">
        <w:rPr>
          <w:rFonts w:ascii="Arial" w:hAnsi="Arial" w:cs="Arial"/>
          <w:color w:val="686868"/>
          <w:sz w:val="24"/>
          <w:szCs w:val="24"/>
          <w:shd w:val="clear" w:color="auto" w:fill="FFFFFF"/>
          <w:lang w:val="it-IT"/>
        </w:rPr>
        <w:t>(</w:t>
      </w:r>
      <w:r w:rsidR="008444F3" w:rsidRPr="004F6E28">
        <w:rPr>
          <w:rFonts w:ascii="Arial" w:hAnsi="Arial" w:cs="Arial"/>
          <w:color w:val="686868"/>
          <w:sz w:val="24"/>
          <w:szCs w:val="24"/>
          <w:shd w:val="clear" w:color="auto" w:fill="FFFFFF"/>
          <w:lang w:val="it-IT"/>
        </w:rPr>
        <w:t>quali</w:t>
      </w:r>
      <w:r w:rsidR="00AB432C" w:rsidRPr="004F6E28">
        <w:rPr>
          <w:rFonts w:ascii="Arial" w:hAnsi="Arial" w:cs="Arial"/>
          <w:color w:val="686868"/>
          <w:sz w:val="24"/>
          <w:szCs w:val="24"/>
          <w:shd w:val="clear" w:color="auto" w:fill="FFFFFF"/>
          <w:lang w:val="it-IT"/>
        </w:rPr>
        <w:t xml:space="preserve"> la libertà di circolazione o di comunicazione</w:t>
      </w:r>
      <w:r w:rsidRPr="004F6E28">
        <w:rPr>
          <w:rFonts w:ascii="Arial" w:hAnsi="Arial" w:cs="Arial"/>
          <w:color w:val="686868"/>
          <w:sz w:val="24"/>
          <w:szCs w:val="24"/>
          <w:shd w:val="clear" w:color="auto" w:fill="FFFFFF"/>
          <w:lang w:val="it-IT"/>
        </w:rPr>
        <w:t>)</w:t>
      </w:r>
      <w:r w:rsidR="00C46D2B">
        <w:rPr>
          <w:rFonts w:ascii="Arial" w:hAnsi="Arial" w:cs="Arial"/>
          <w:color w:val="686868"/>
          <w:sz w:val="24"/>
          <w:szCs w:val="24"/>
          <w:shd w:val="clear" w:color="auto" w:fill="FFFFFF"/>
          <w:lang w:val="it-IT"/>
        </w:rPr>
        <w:t xml:space="preserve"> </w:t>
      </w:r>
      <w:r w:rsidR="00686E82">
        <w:rPr>
          <w:rFonts w:ascii="Arial" w:hAnsi="Arial" w:cs="Arial"/>
          <w:color w:val="686868"/>
          <w:sz w:val="24"/>
          <w:szCs w:val="24"/>
          <w:shd w:val="clear" w:color="auto" w:fill="FFFFFF"/>
          <w:lang w:val="it-IT"/>
        </w:rPr>
        <w:t>che</w:t>
      </w:r>
      <w:r w:rsidR="00C46D2B">
        <w:rPr>
          <w:rFonts w:ascii="Arial" w:hAnsi="Arial" w:cs="Arial"/>
          <w:color w:val="686868"/>
          <w:sz w:val="24"/>
          <w:szCs w:val="24"/>
          <w:shd w:val="clear" w:color="auto" w:fill="FFFFFF"/>
          <w:lang w:val="it-IT"/>
        </w:rPr>
        <w:t xml:space="preserve"> </w:t>
      </w:r>
      <w:r w:rsidR="00187907">
        <w:rPr>
          <w:rFonts w:ascii="Arial" w:hAnsi="Arial" w:cs="Arial"/>
          <w:color w:val="686868"/>
          <w:sz w:val="24"/>
          <w:szCs w:val="24"/>
          <w:shd w:val="clear" w:color="auto" w:fill="FFFFFF"/>
          <w:lang w:val="it-IT"/>
        </w:rPr>
        <w:t>chiamano</w:t>
      </w:r>
      <w:r w:rsidR="00AB432C" w:rsidRPr="004F6E28">
        <w:rPr>
          <w:rFonts w:ascii="Arial" w:hAnsi="Arial" w:cs="Arial"/>
          <w:color w:val="686868"/>
          <w:sz w:val="24"/>
          <w:szCs w:val="24"/>
          <w:shd w:val="clear" w:color="auto" w:fill="FFFFFF"/>
          <w:lang w:val="it-IT"/>
        </w:rPr>
        <w:t xml:space="preserve"> </w:t>
      </w:r>
      <w:r w:rsidR="008444F3" w:rsidRPr="004F6E28">
        <w:rPr>
          <w:rFonts w:ascii="Arial" w:hAnsi="Arial" w:cs="Arial"/>
          <w:color w:val="686868"/>
          <w:sz w:val="24"/>
          <w:szCs w:val="24"/>
          <w:shd w:val="clear" w:color="auto" w:fill="FFFFFF"/>
          <w:lang w:val="it-IT"/>
        </w:rPr>
        <w:t xml:space="preserve">direttamente in causa </w:t>
      </w:r>
      <w:r w:rsidR="00AB432C" w:rsidRPr="004F6E28">
        <w:rPr>
          <w:rFonts w:ascii="Arial" w:hAnsi="Arial" w:cs="Arial"/>
          <w:color w:val="686868"/>
          <w:sz w:val="24"/>
          <w:szCs w:val="24"/>
          <w:shd w:val="clear" w:color="auto" w:fill="FFFFFF"/>
          <w:lang w:val="it-IT"/>
        </w:rPr>
        <w:t>la tradizione giuridi</w:t>
      </w:r>
      <w:r w:rsidR="008444F3" w:rsidRPr="004F6E28">
        <w:rPr>
          <w:rFonts w:ascii="Arial" w:hAnsi="Arial" w:cs="Arial"/>
          <w:color w:val="686868"/>
          <w:sz w:val="24"/>
          <w:szCs w:val="24"/>
          <w:shd w:val="clear" w:color="auto" w:fill="FFFFFF"/>
          <w:lang w:val="it-IT"/>
        </w:rPr>
        <w:t>ca riconducibile al presidio del</w:t>
      </w:r>
      <w:r w:rsidRPr="004F6E28">
        <w:rPr>
          <w:rFonts w:ascii="Arial" w:hAnsi="Arial" w:cs="Arial"/>
          <w:color w:val="686868"/>
          <w:sz w:val="24"/>
          <w:szCs w:val="24"/>
          <w:shd w:val="clear" w:color="auto" w:fill="FFFFFF"/>
          <w:lang w:val="it-IT"/>
        </w:rPr>
        <w:t>l’</w:t>
      </w:r>
      <w:proofErr w:type="spellStart"/>
      <w:r w:rsidR="00AB432C" w:rsidRPr="004F6E28">
        <w:rPr>
          <w:rFonts w:ascii="Arial" w:hAnsi="Arial" w:cs="Arial"/>
          <w:i/>
          <w:color w:val="686868"/>
          <w:sz w:val="24"/>
          <w:szCs w:val="24"/>
          <w:shd w:val="clear" w:color="auto" w:fill="FFFFFF"/>
          <w:lang w:val="it-IT"/>
        </w:rPr>
        <w:t>habeas</w:t>
      </w:r>
      <w:proofErr w:type="spellEnd"/>
      <w:r w:rsidR="00AB432C" w:rsidRPr="004F6E28">
        <w:rPr>
          <w:rFonts w:ascii="Arial" w:hAnsi="Arial" w:cs="Arial"/>
          <w:i/>
          <w:color w:val="686868"/>
          <w:sz w:val="24"/>
          <w:szCs w:val="24"/>
          <w:shd w:val="clear" w:color="auto" w:fill="FFFFFF"/>
          <w:lang w:val="it-IT"/>
        </w:rPr>
        <w:t xml:space="preserve"> corpus</w:t>
      </w:r>
      <w:r w:rsidR="00AB432C" w:rsidRPr="004F6E28">
        <w:rPr>
          <w:rFonts w:ascii="Arial" w:hAnsi="Arial" w:cs="Arial"/>
          <w:color w:val="686868"/>
          <w:sz w:val="24"/>
          <w:szCs w:val="24"/>
          <w:shd w:val="clear" w:color="auto" w:fill="FFFFFF"/>
          <w:lang w:val="it-IT"/>
        </w:rPr>
        <w:t xml:space="preserve">. </w:t>
      </w:r>
      <w:r w:rsidR="00633409" w:rsidRPr="004F6E28">
        <w:rPr>
          <w:rFonts w:ascii="Arial" w:hAnsi="Arial" w:cs="Arial"/>
          <w:color w:val="686868"/>
          <w:sz w:val="24"/>
          <w:szCs w:val="24"/>
          <w:shd w:val="clear" w:color="auto" w:fill="FFFFFF"/>
          <w:lang w:val="it-IT"/>
        </w:rPr>
        <w:t>Così</w:t>
      </w:r>
      <w:r w:rsidRPr="004F6E28">
        <w:rPr>
          <w:rFonts w:ascii="Arial" w:hAnsi="Arial" w:cs="Arial"/>
          <w:color w:val="686868"/>
          <w:sz w:val="24"/>
          <w:szCs w:val="24"/>
          <w:shd w:val="clear" w:color="auto" w:fill="FFFFFF"/>
          <w:lang w:val="it-IT"/>
        </w:rPr>
        <w:t>,</w:t>
      </w:r>
      <w:r w:rsidR="00633409" w:rsidRPr="004F6E28">
        <w:rPr>
          <w:rFonts w:ascii="Arial" w:hAnsi="Arial" w:cs="Arial"/>
          <w:color w:val="686868"/>
          <w:sz w:val="24"/>
          <w:szCs w:val="24"/>
          <w:shd w:val="clear" w:color="auto" w:fill="FFFFFF"/>
          <w:lang w:val="it-IT"/>
        </w:rPr>
        <w:t xml:space="preserve"> ad esempio</w:t>
      </w:r>
      <w:r w:rsidRPr="004F6E28">
        <w:rPr>
          <w:rFonts w:ascii="Arial" w:hAnsi="Arial" w:cs="Arial"/>
          <w:color w:val="686868"/>
          <w:sz w:val="24"/>
          <w:szCs w:val="24"/>
          <w:shd w:val="clear" w:color="auto" w:fill="FFFFFF"/>
          <w:lang w:val="it-IT"/>
        </w:rPr>
        <w:t>,</w:t>
      </w:r>
      <w:r w:rsidR="00633409" w:rsidRPr="004F6E28">
        <w:rPr>
          <w:rFonts w:ascii="Arial" w:hAnsi="Arial" w:cs="Arial"/>
          <w:color w:val="686868"/>
          <w:sz w:val="24"/>
          <w:szCs w:val="24"/>
          <w:shd w:val="clear" w:color="auto" w:fill="FFFFFF"/>
          <w:lang w:val="it-IT"/>
        </w:rPr>
        <w:t xml:space="preserve"> </w:t>
      </w:r>
      <w:r w:rsidRPr="004F6E28">
        <w:rPr>
          <w:rFonts w:ascii="Arial" w:hAnsi="Arial" w:cs="Arial"/>
          <w:color w:val="686868"/>
          <w:sz w:val="24"/>
          <w:szCs w:val="24"/>
          <w:shd w:val="clear" w:color="auto" w:fill="FFFFFF"/>
          <w:lang w:val="it-IT"/>
        </w:rPr>
        <w:t>nella</w:t>
      </w:r>
      <w:r w:rsidR="00633409" w:rsidRPr="004F6E28">
        <w:rPr>
          <w:rFonts w:ascii="Arial" w:hAnsi="Arial" w:cs="Arial"/>
          <w:color w:val="686868"/>
          <w:sz w:val="24"/>
          <w:szCs w:val="24"/>
          <w:shd w:val="clear" w:color="auto" w:fill="FFFFFF"/>
          <w:lang w:val="it-IT"/>
        </w:rPr>
        <w:t xml:space="preserve"> d</w:t>
      </w:r>
      <w:r w:rsidR="00E17858" w:rsidRPr="004F6E28">
        <w:rPr>
          <w:rFonts w:ascii="Arial" w:hAnsi="Arial" w:cs="Arial"/>
          <w:color w:val="686868"/>
          <w:sz w:val="24"/>
          <w:szCs w:val="24"/>
          <w:shd w:val="clear" w:color="auto" w:fill="FFFFFF"/>
          <w:lang w:val="it-IT"/>
        </w:rPr>
        <w:t>ecisione del 6 novembre 1980,</w:t>
      </w:r>
      <w:r w:rsidR="00633409" w:rsidRPr="004F6E28">
        <w:rPr>
          <w:rFonts w:ascii="Arial" w:hAnsi="Arial" w:cs="Arial"/>
          <w:color w:val="686868"/>
          <w:sz w:val="24"/>
          <w:szCs w:val="24"/>
          <w:shd w:val="clear" w:color="auto" w:fill="FFFFFF"/>
          <w:lang w:val="it-IT"/>
        </w:rPr>
        <w:t xml:space="preserve"> </w:t>
      </w:r>
      <w:proofErr w:type="spellStart"/>
      <w:r w:rsidR="00633409" w:rsidRPr="004F6E28">
        <w:rPr>
          <w:rFonts w:ascii="Arial" w:hAnsi="Arial" w:cs="Arial"/>
          <w:color w:val="686868"/>
          <w:sz w:val="24"/>
          <w:szCs w:val="24"/>
          <w:shd w:val="clear" w:color="auto" w:fill="FFFFFF"/>
          <w:lang w:val="it-IT"/>
        </w:rPr>
        <w:t>Guzzardi</w:t>
      </w:r>
      <w:proofErr w:type="spellEnd"/>
      <w:r w:rsidR="00E17858" w:rsidRPr="004F6E28">
        <w:rPr>
          <w:rFonts w:ascii="Arial" w:hAnsi="Arial" w:cs="Arial"/>
          <w:color w:val="686868"/>
          <w:sz w:val="24"/>
          <w:szCs w:val="24"/>
          <w:shd w:val="clear" w:color="auto" w:fill="FFFFFF"/>
          <w:lang w:val="it-IT"/>
        </w:rPr>
        <w:t>,</w:t>
      </w:r>
      <w:r w:rsidR="00187907">
        <w:rPr>
          <w:rFonts w:ascii="Arial" w:hAnsi="Arial" w:cs="Arial"/>
          <w:color w:val="686868"/>
          <w:sz w:val="24"/>
          <w:szCs w:val="24"/>
          <w:shd w:val="clear" w:color="auto" w:fill="FFFFFF"/>
          <w:lang w:val="it-IT"/>
        </w:rPr>
        <w:t xml:space="preserve"> la Corte</w:t>
      </w:r>
      <w:r w:rsidR="001450C4" w:rsidRPr="004F6E28">
        <w:rPr>
          <w:rFonts w:ascii="Arial" w:hAnsi="Arial" w:cs="Arial"/>
          <w:color w:val="686868"/>
          <w:sz w:val="24"/>
          <w:szCs w:val="24"/>
          <w:shd w:val="clear" w:color="auto" w:fill="FFFFFF"/>
          <w:lang w:val="it-IT"/>
        </w:rPr>
        <w:t xml:space="preserve"> </w:t>
      </w:r>
      <w:r w:rsidR="00187907">
        <w:rPr>
          <w:rFonts w:ascii="Arial" w:hAnsi="Arial" w:cs="Arial"/>
          <w:color w:val="686868"/>
          <w:sz w:val="24"/>
          <w:szCs w:val="24"/>
          <w:shd w:val="clear" w:color="auto" w:fill="FFFFFF"/>
          <w:lang w:val="it-IT"/>
        </w:rPr>
        <w:t>è giunta a qualificare</w:t>
      </w:r>
      <w:r w:rsidR="00633409" w:rsidRPr="004F6E28">
        <w:rPr>
          <w:rFonts w:ascii="Arial" w:hAnsi="Arial" w:cs="Arial"/>
          <w:color w:val="686868"/>
          <w:sz w:val="24"/>
          <w:szCs w:val="24"/>
          <w:shd w:val="clear" w:color="auto" w:fill="FFFFFF"/>
          <w:lang w:val="it-IT"/>
        </w:rPr>
        <w:t xml:space="preserve"> le misure di </w:t>
      </w:r>
      <w:r w:rsidR="00187907">
        <w:rPr>
          <w:rFonts w:ascii="Arial" w:hAnsi="Arial" w:cs="Arial"/>
          <w:color w:val="686868"/>
          <w:sz w:val="24"/>
          <w:szCs w:val="24"/>
          <w:shd w:val="clear" w:color="auto" w:fill="FFFFFF"/>
          <w:lang w:val="it-IT"/>
        </w:rPr>
        <w:t xml:space="preserve">prevenzione </w:t>
      </w:r>
      <w:r w:rsidR="00633409" w:rsidRPr="004F6E28">
        <w:rPr>
          <w:rFonts w:ascii="Arial" w:hAnsi="Arial" w:cs="Arial"/>
          <w:color w:val="686868"/>
          <w:sz w:val="24"/>
          <w:szCs w:val="24"/>
          <w:shd w:val="clear" w:color="auto" w:fill="FFFFFF"/>
          <w:lang w:val="it-IT"/>
        </w:rPr>
        <w:t>personali applicate</w:t>
      </w:r>
      <w:r w:rsidR="00187907">
        <w:rPr>
          <w:rFonts w:ascii="Arial" w:hAnsi="Arial" w:cs="Arial"/>
          <w:color w:val="686868"/>
          <w:sz w:val="24"/>
          <w:szCs w:val="24"/>
          <w:shd w:val="clear" w:color="auto" w:fill="FFFFFF"/>
          <w:lang w:val="it-IT"/>
        </w:rPr>
        <w:t xml:space="preserve"> quali</w:t>
      </w:r>
      <w:r w:rsidR="00187907" w:rsidRPr="00187907">
        <w:rPr>
          <w:rFonts w:ascii="Arial" w:hAnsi="Arial" w:cs="Arial"/>
          <w:color w:val="686868"/>
          <w:sz w:val="24"/>
          <w:szCs w:val="24"/>
          <w:shd w:val="clear" w:color="auto" w:fill="FFFFFF"/>
          <w:lang w:val="it-IT"/>
        </w:rPr>
        <w:t xml:space="preserve"> vera e propria privazione della libertà personale</w:t>
      </w:r>
      <w:r w:rsidR="00187907">
        <w:rPr>
          <w:rFonts w:ascii="Arial" w:hAnsi="Arial" w:cs="Arial"/>
          <w:color w:val="686868"/>
          <w:sz w:val="24"/>
          <w:szCs w:val="24"/>
          <w:shd w:val="clear" w:color="auto" w:fill="FFFFFF"/>
          <w:lang w:val="it-IT"/>
        </w:rPr>
        <w:t xml:space="preserve"> in ragione della </w:t>
      </w:r>
      <w:r w:rsidR="00633409" w:rsidRPr="004F6E28">
        <w:rPr>
          <w:rFonts w:ascii="Arial" w:hAnsi="Arial" w:cs="Arial"/>
          <w:color w:val="686868"/>
          <w:sz w:val="24"/>
          <w:szCs w:val="24"/>
          <w:shd w:val="clear" w:color="auto" w:fill="FFFFFF"/>
          <w:lang w:val="it-IT"/>
        </w:rPr>
        <w:t xml:space="preserve">loro particolare </w:t>
      </w:r>
      <w:r w:rsidR="00F74880">
        <w:rPr>
          <w:rFonts w:ascii="Arial" w:hAnsi="Arial" w:cs="Arial"/>
          <w:color w:val="686868"/>
          <w:sz w:val="24"/>
          <w:szCs w:val="24"/>
          <w:shd w:val="clear" w:color="auto" w:fill="FFFFFF"/>
          <w:lang w:val="it-IT"/>
        </w:rPr>
        <w:t xml:space="preserve">e </w:t>
      </w:r>
      <w:r w:rsidR="00633409" w:rsidRPr="004F6E28">
        <w:rPr>
          <w:rFonts w:ascii="Arial" w:hAnsi="Arial" w:cs="Arial"/>
          <w:color w:val="686868"/>
          <w:sz w:val="24"/>
          <w:szCs w:val="24"/>
          <w:shd w:val="clear" w:color="auto" w:fill="FFFFFF"/>
          <w:lang w:val="it-IT"/>
        </w:rPr>
        <w:t>complessiva incisività</w:t>
      </w:r>
      <w:r w:rsidR="00686E82">
        <w:rPr>
          <w:rFonts w:ascii="Arial" w:hAnsi="Arial" w:cs="Arial"/>
          <w:color w:val="686868"/>
          <w:sz w:val="24"/>
          <w:szCs w:val="24"/>
          <w:shd w:val="clear" w:color="auto" w:fill="FFFFFF"/>
          <w:lang w:val="it-IT"/>
        </w:rPr>
        <w:t xml:space="preserve"> nel caso specifico</w:t>
      </w:r>
      <w:r w:rsidR="001450C4" w:rsidRPr="004F6E28">
        <w:rPr>
          <w:rFonts w:ascii="Arial" w:hAnsi="Arial" w:cs="Arial"/>
          <w:color w:val="686868"/>
          <w:sz w:val="24"/>
          <w:szCs w:val="24"/>
          <w:shd w:val="clear" w:color="auto" w:fill="FFFFFF"/>
          <w:lang w:val="it-IT"/>
        </w:rPr>
        <w:t xml:space="preserve"> e</w:t>
      </w:r>
      <w:r w:rsidR="00187907">
        <w:rPr>
          <w:rFonts w:ascii="Arial" w:hAnsi="Arial" w:cs="Arial"/>
          <w:color w:val="686868"/>
          <w:sz w:val="24"/>
          <w:szCs w:val="24"/>
          <w:shd w:val="clear" w:color="auto" w:fill="FFFFFF"/>
          <w:lang w:val="it-IT"/>
        </w:rPr>
        <w:t>,</w:t>
      </w:r>
      <w:r w:rsidR="001450C4" w:rsidRPr="004F6E28">
        <w:rPr>
          <w:rFonts w:ascii="Arial" w:hAnsi="Arial" w:cs="Arial"/>
          <w:color w:val="686868"/>
          <w:sz w:val="24"/>
          <w:szCs w:val="24"/>
          <w:shd w:val="clear" w:color="auto" w:fill="FFFFFF"/>
          <w:lang w:val="it-IT"/>
        </w:rPr>
        <w:t xml:space="preserve"> in questa </w:t>
      </w:r>
      <w:r w:rsidR="00F74880">
        <w:rPr>
          <w:rFonts w:ascii="Arial" w:hAnsi="Arial" w:cs="Arial"/>
          <w:color w:val="686868"/>
          <w:sz w:val="24"/>
          <w:szCs w:val="24"/>
          <w:shd w:val="clear" w:color="auto" w:fill="FFFFFF"/>
          <w:lang w:val="it-IT"/>
        </w:rPr>
        <w:t>logica, ha riscontrato</w:t>
      </w:r>
      <w:r w:rsidR="00633409" w:rsidRPr="004F6E28">
        <w:rPr>
          <w:rFonts w:ascii="Arial" w:hAnsi="Arial" w:cs="Arial"/>
          <w:color w:val="686868"/>
          <w:sz w:val="24"/>
          <w:szCs w:val="24"/>
          <w:shd w:val="clear" w:color="auto" w:fill="FFFFFF"/>
          <w:lang w:val="it-IT"/>
        </w:rPr>
        <w:t xml:space="preserve"> una violazione dell’art. 5 della Convenzione EDU.</w:t>
      </w:r>
    </w:p>
    <w:p w:rsidR="001450C4" w:rsidRPr="004F6E28" w:rsidRDefault="00187907" w:rsidP="004F6E28">
      <w:pPr>
        <w:jc w:val="both"/>
        <w:rPr>
          <w:rFonts w:ascii="Arial" w:hAnsi="Arial" w:cs="Arial"/>
          <w:color w:val="686868"/>
          <w:sz w:val="24"/>
          <w:szCs w:val="24"/>
          <w:shd w:val="clear" w:color="auto" w:fill="FFFFFF"/>
          <w:lang w:val="it-IT"/>
        </w:rPr>
      </w:pPr>
      <w:r>
        <w:rPr>
          <w:rFonts w:ascii="Arial" w:hAnsi="Arial" w:cs="Arial"/>
          <w:color w:val="686868"/>
          <w:sz w:val="24"/>
          <w:szCs w:val="24"/>
          <w:shd w:val="clear" w:color="auto" w:fill="FFFFFF"/>
          <w:lang w:val="it-IT"/>
        </w:rPr>
        <w:lastRenderedPageBreak/>
        <w:t xml:space="preserve">Quando </w:t>
      </w:r>
      <w:r w:rsidR="00C46D2B">
        <w:rPr>
          <w:rFonts w:ascii="Arial" w:hAnsi="Arial" w:cs="Arial"/>
          <w:color w:val="686868"/>
          <w:sz w:val="24"/>
          <w:szCs w:val="24"/>
          <w:shd w:val="clear" w:color="auto" w:fill="FFFFFF"/>
          <w:lang w:val="it-IT"/>
        </w:rPr>
        <w:t xml:space="preserve">vengono invece </w:t>
      </w:r>
      <w:r>
        <w:rPr>
          <w:rFonts w:ascii="Arial" w:hAnsi="Arial" w:cs="Arial"/>
          <w:color w:val="686868"/>
          <w:sz w:val="24"/>
          <w:szCs w:val="24"/>
          <w:shd w:val="clear" w:color="auto" w:fill="FFFFFF"/>
          <w:lang w:val="it-IT"/>
        </w:rPr>
        <w:t>analizza</w:t>
      </w:r>
      <w:r w:rsidR="00C46D2B">
        <w:rPr>
          <w:rFonts w:ascii="Arial" w:hAnsi="Arial" w:cs="Arial"/>
          <w:color w:val="686868"/>
          <w:sz w:val="24"/>
          <w:szCs w:val="24"/>
          <w:shd w:val="clear" w:color="auto" w:fill="FFFFFF"/>
          <w:lang w:val="it-IT"/>
        </w:rPr>
        <w:t>te</w:t>
      </w:r>
      <w:r w:rsidRPr="004F6E28">
        <w:rPr>
          <w:rFonts w:ascii="Arial" w:hAnsi="Arial" w:cs="Arial"/>
          <w:color w:val="686868"/>
          <w:sz w:val="24"/>
          <w:szCs w:val="24"/>
          <w:shd w:val="clear" w:color="auto" w:fill="FFFFFF"/>
          <w:lang w:val="it-IT"/>
        </w:rPr>
        <w:t xml:space="preserve"> misure, come la documentazione antimafia, aventi ricadute di tipo patrimoniale</w:t>
      </w:r>
      <w:r w:rsidR="00686E82">
        <w:rPr>
          <w:rFonts w:ascii="Arial" w:hAnsi="Arial" w:cs="Arial"/>
          <w:color w:val="686868"/>
          <w:sz w:val="24"/>
          <w:szCs w:val="24"/>
          <w:shd w:val="clear" w:color="auto" w:fill="FFFFFF"/>
          <w:lang w:val="it-IT"/>
        </w:rPr>
        <w:t>, e</w:t>
      </w:r>
      <w:r>
        <w:rPr>
          <w:rFonts w:ascii="Arial" w:hAnsi="Arial" w:cs="Arial"/>
          <w:color w:val="686868"/>
          <w:sz w:val="24"/>
          <w:szCs w:val="24"/>
          <w:shd w:val="clear" w:color="auto" w:fill="FFFFFF"/>
          <w:lang w:val="it-IT"/>
        </w:rPr>
        <w:t xml:space="preserve"> dunque incidenti </w:t>
      </w:r>
      <w:r w:rsidRPr="004F6E28">
        <w:rPr>
          <w:rFonts w:ascii="Arial" w:hAnsi="Arial" w:cs="Arial"/>
          <w:color w:val="686868"/>
          <w:sz w:val="24"/>
          <w:szCs w:val="24"/>
          <w:shd w:val="clear" w:color="auto" w:fill="FFFFFF"/>
          <w:lang w:val="it-IT"/>
        </w:rPr>
        <w:t>sulla libera iniziativa economic</w:t>
      </w:r>
      <w:r>
        <w:rPr>
          <w:rFonts w:ascii="Arial" w:hAnsi="Arial" w:cs="Arial"/>
          <w:color w:val="686868"/>
          <w:sz w:val="24"/>
          <w:szCs w:val="24"/>
          <w:shd w:val="clear" w:color="auto" w:fill="FFFFFF"/>
          <w:lang w:val="it-IT"/>
        </w:rPr>
        <w:t>a, l</w:t>
      </w:r>
      <w:r w:rsidR="009A29ED" w:rsidRPr="004F6E28">
        <w:rPr>
          <w:rFonts w:ascii="Arial" w:hAnsi="Arial" w:cs="Arial"/>
          <w:color w:val="686868"/>
          <w:sz w:val="24"/>
          <w:szCs w:val="24"/>
          <w:shd w:val="clear" w:color="auto" w:fill="FFFFFF"/>
          <w:lang w:val="it-IT"/>
        </w:rPr>
        <w:t>a prospettiva della Corte resta garantista ma muta</w:t>
      </w:r>
      <w:r w:rsidR="00686E82">
        <w:rPr>
          <w:rFonts w:ascii="Arial" w:hAnsi="Arial" w:cs="Arial"/>
          <w:color w:val="686868"/>
          <w:sz w:val="24"/>
          <w:szCs w:val="24"/>
          <w:shd w:val="clear" w:color="auto" w:fill="FFFFFF"/>
          <w:lang w:val="it-IT"/>
        </w:rPr>
        <w:t xml:space="preserve"> parametro di riferimento;</w:t>
      </w:r>
      <w:r>
        <w:rPr>
          <w:rFonts w:ascii="Arial" w:hAnsi="Arial" w:cs="Arial"/>
          <w:color w:val="686868"/>
          <w:sz w:val="24"/>
          <w:szCs w:val="24"/>
          <w:shd w:val="clear" w:color="auto" w:fill="FFFFFF"/>
          <w:lang w:val="it-IT"/>
        </w:rPr>
        <w:t xml:space="preserve"> </w:t>
      </w:r>
      <w:r w:rsidR="00686E82">
        <w:rPr>
          <w:rFonts w:ascii="Arial" w:hAnsi="Arial" w:cs="Arial"/>
          <w:color w:val="686868"/>
          <w:sz w:val="24"/>
          <w:szCs w:val="24"/>
          <w:shd w:val="clear" w:color="auto" w:fill="FFFFFF"/>
          <w:lang w:val="it-IT"/>
        </w:rPr>
        <w:t xml:space="preserve">la </w:t>
      </w:r>
      <w:r>
        <w:rPr>
          <w:rFonts w:ascii="Arial" w:hAnsi="Arial" w:cs="Arial"/>
          <w:color w:val="686868"/>
          <w:sz w:val="24"/>
          <w:szCs w:val="24"/>
          <w:shd w:val="clear" w:color="auto" w:fill="FFFFFF"/>
          <w:lang w:val="it-IT"/>
        </w:rPr>
        <w:t>verifica</w:t>
      </w:r>
      <w:r w:rsidR="00C46D2B">
        <w:rPr>
          <w:rFonts w:ascii="Arial" w:hAnsi="Arial" w:cs="Arial"/>
          <w:color w:val="686868"/>
          <w:sz w:val="24"/>
          <w:szCs w:val="24"/>
          <w:shd w:val="clear" w:color="auto" w:fill="FFFFFF"/>
          <w:lang w:val="it-IT"/>
        </w:rPr>
        <w:t xml:space="preserve"> dell’equo bilanciamento di valori</w:t>
      </w:r>
      <w:r w:rsidR="00686E82">
        <w:rPr>
          <w:rFonts w:ascii="Arial" w:hAnsi="Arial" w:cs="Arial"/>
          <w:color w:val="686868"/>
          <w:sz w:val="24"/>
          <w:szCs w:val="24"/>
          <w:shd w:val="clear" w:color="auto" w:fill="FFFFFF"/>
          <w:lang w:val="it-IT"/>
        </w:rPr>
        <w:t xml:space="preserve"> chiama infatti in causa lo statuto della</w:t>
      </w:r>
      <w:r w:rsidR="00C46D2B">
        <w:rPr>
          <w:rFonts w:ascii="Arial" w:hAnsi="Arial" w:cs="Arial"/>
          <w:color w:val="686868"/>
          <w:sz w:val="24"/>
          <w:szCs w:val="24"/>
          <w:shd w:val="clear" w:color="auto" w:fill="FFFFFF"/>
          <w:lang w:val="it-IT"/>
        </w:rPr>
        <w:t xml:space="preserve"> proprietà e non quello delle</w:t>
      </w:r>
      <w:r>
        <w:rPr>
          <w:rFonts w:ascii="Arial" w:hAnsi="Arial" w:cs="Arial"/>
          <w:color w:val="686868"/>
          <w:sz w:val="24"/>
          <w:szCs w:val="24"/>
          <w:shd w:val="clear" w:color="auto" w:fill="FFFFFF"/>
          <w:lang w:val="it-IT"/>
        </w:rPr>
        <w:t xml:space="preserve"> libertà fondamentali</w:t>
      </w:r>
      <w:r w:rsidR="009A29ED" w:rsidRPr="004F6E28">
        <w:rPr>
          <w:rFonts w:ascii="Arial" w:hAnsi="Arial" w:cs="Arial"/>
          <w:color w:val="686868"/>
          <w:sz w:val="24"/>
          <w:szCs w:val="24"/>
          <w:shd w:val="clear" w:color="auto" w:fill="FFFFFF"/>
          <w:lang w:val="it-IT"/>
        </w:rPr>
        <w:t>.</w:t>
      </w:r>
      <w:r w:rsidR="00C46D2B">
        <w:rPr>
          <w:rFonts w:ascii="Arial" w:hAnsi="Arial" w:cs="Arial"/>
          <w:color w:val="686868"/>
          <w:sz w:val="24"/>
          <w:szCs w:val="24"/>
          <w:shd w:val="clear" w:color="auto" w:fill="FFFFFF"/>
          <w:lang w:val="it-IT"/>
        </w:rPr>
        <w:t xml:space="preserve"> L</w:t>
      </w:r>
      <w:r w:rsidR="00686E82">
        <w:rPr>
          <w:rFonts w:ascii="Arial" w:hAnsi="Arial" w:cs="Arial"/>
          <w:color w:val="686868"/>
          <w:sz w:val="24"/>
          <w:szCs w:val="24"/>
          <w:shd w:val="clear" w:color="auto" w:fill="FFFFFF"/>
          <w:lang w:val="it-IT"/>
        </w:rPr>
        <w:t>a tutela</w:t>
      </w:r>
      <w:r>
        <w:rPr>
          <w:rFonts w:ascii="Arial" w:hAnsi="Arial" w:cs="Arial"/>
          <w:color w:val="686868"/>
          <w:sz w:val="24"/>
          <w:szCs w:val="24"/>
          <w:shd w:val="clear" w:color="auto" w:fill="FFFFFF"/>
          <w:lang w:val="it-IT"/>
        </w:rPr>
        <w:t xml:space="preserve"> è </w:t>
      </w:r>
      <w:r w:rsidR="00C46D2B">
        <w:rPr>
          <w:rFonts w:ascii="Arial" w:hAnsi="Arial" w:cs="Arial"/>
          <w:color w:val="686868"/>
          <w:sz w:val="24"/>
          <w:szCs w:val="24"/>
          <w:shd w:val="clear" w:color="auto" w:fill="FFFFFF"/>
          <w:lang w:val="it-IT"/>
        </w:rPr>
        <w:t xml:space="preserve">dunque quella </w:t>
      </w:r>
      <w:r>
        <w:rPr>
          <w:rFonts w:ascii="Arial" w:hAnsi="Arial" w:cs="Arial"/>
          <w:color w:val="686868"/>
          <w:sz w:val="24"/>
          <w:szCs w:val="24"/>
          <w:shd w:val="clear" w:color="auto" w:fill="FFFFFF"/>
          <w:lang w:val="it-IT"/>
        </w:rPr>
        <w:t>disegnata</w:t>
      </w:r>
      <w:r w:rsidR="001450C4" w:rsidRPr="004F6E28">
        <w:rPr>
          <w:rFonts w:ascii="Arial" w:hAnsi="Arial" w:cs="Arial"/>
          <w:color w:val="686868"/>
          <w:sz w:val="24"/>
          <w:szCs w:val="24"/>
          <w:shd w:val="clear" w:color="auto" w:fill="FFFFFF"/>
          <w:lang w:val="it-IT"/>
        </w:rPr>
        <w:t xml:space="preserve"> dall’art. 1 del Protocollo 1 alla C</w:t>
      </w:r>
      <w:r w:rsidR="00F74880">
        <w:rPr>
          <w:rFonts w:ascii="Arial" w:hAnsi="Arial" w:cs="Arial"/>
          <w:color w:val="686868"/>
          <w:sz w:val="24"/>
          <w:szCs w:val="24"/>
          <w:shd w:val="clear" w:color="auto" w:fill="FFFFFF"/>
          <w:lang w:val="it-IT"/>
        </w:rPr>
        <w:t>onvenzione Europea dei Diritti dell’Uomo</w:t>
      </w:r>
      <w:r w:rsidR="001450C4" w:rsidRPr="004F6E28">
        <w:rPr>
          <w:rFonts w:ascii="Arial" w:hAnsi="Arial" w:cs="Arial"/>
          <w:color w:val="686868"/>
          <w:sz w:val="24"/>
          <w:szCs w:val="24"/>
          <w:shd w:val="clear" w:color="auto" w:fill="FFFFFF"/>
          <w:lang w:val="it-IT"/>
        </w:rPr>
        <w:t xml:space="preserve"> che recita: “</w:t>
      </w:r>
      <w:r w:rsidR="001450C4" w:rsidRPr="00187907">
        <w:rPr>
          <w:rFonts w:ascii="Arial" w:hAnsi="Arial" w:cs="Arial"/>
          <w:sz w:val="24"/>
          <w:szCs w:val="24"/>
          <w:lang w:val="it-IT"/>
        </w:rPr>
        <w:t>Protezione della proprietà</w:t>
      </w:r>
      <w:r w:rsidR="00F74880" w:rsidRPr="00187907">
        <w:rPr>
          <w:rFonts w:ascii="Arial" w:hAnsi="Arial" w:cs="Arial"/>
          <w:sz w:val="24"/>
          <w:szCs w:val="24"/>
          <w:lang w:val="it-IT"/>
        </w:rPr>
        <w:t>.</w:t>
      </w:r>
      <w:r w:rsidR="001450C4" w:rsidRPr="004F6E28">
        <w:rPr>
          <w:rFonts w:ascii="Arial" w:hAnsi="Arial" w:cs="Arial"/>
          <w:sz w:val="24"/>
          <w:szCs w:val="24"/>
          <w:lang w:val="it-IT"/>
        </w:rPr>
        <w:t xml:space="preserve"> Ogni persona fisica o giuridica ha diritto al rispetto dei suoi beni. Nessuno può essere privato della sua proprietà se non per causa di utilità pubblica e nelle condizioni previste dalla legge e dai principi generali del diritto internazionale. </w:t>
      </w:r>
      <w:r w:rsidR="00F74880">
        <w:rPr>
          <w:rFonts w:ascii="Arial" w:hAnsi="Arial" w:cs="Arial"/>
          <w:sz w:val="24"/>
          <w:szCs w:val="24"/>
          <w:lang w:val="it-IT"/>
        </w:rPr>
        <w:t>Le disposizioni p</w:t>
      </w:r>
      <w:r w:rsidR="001450C4" w:rsidRPr="004F6E28">
        <w:rPr>
          <w:rFonts w:ascii="Arial" w:hAnsi="Arial" w:cs="Arial"/>
          <w:sz w:val="24"/>
          <w:szCs w:val="24"/>
          <w:lang w:val="it-IT"/>
        </w:rPr>
        <w:t>recedenti non portano pregiudizio al diritto degli Stati di mettere in vigore le leggi da essi ritenute necessarie per disciplinare l'uso dei beni in modo conforme all'interesse generale o per assicurare il pagamento delle imposte o di altri contributi o delle ammende.</w:t>
      </w:r>
      <w:r w:rsidR="00F74880">
        <w:rPr>
          <w:rFonts w:ascii="Arial" w:hAnsi="Arial" w:cs="Arial"/>
          <w:sz w:val="24"/>
          <w:szCs w:val="24"/>
          <w:lang w:val="it-IT"/>
        </w:rPr>
        <w:t>”</w:t>
      </w:r>
    </w:p>
    <w:p w:rsidR="00686E82" w:rsidRDefault="00C46D2B" w:rsidP="00C46D2B">
      <w:pPr>
        <w:jc w:val="both"/>
        <w:rPr>
          <w:rFonts w:ascii="Arial" w:hAnsi="Arial" w:cs="Arial"/>
          <w:color w:val="686868"/>
          <w:sz w:val="24"/>
          <w:szCs w:val="24"/>
          <w:shd w:val="clear" w:color="auto" w:fill="FFFFFF"/>
          <w:lang w:val="it-IT"/>
        </w:rPr>
      </w:pPr>
      <w:proofErr w:type="gramStart"/>
      <w:r>
        <w:rPr>
          <w:rFonts w:ascii="Arial" w:hAnsi="Arial" w:cs="Arial"/>
          <w:color w:val="686868"/>
          <w:sz w:val="24"/>
          <w:szCs w:val="24"/>
          <w:shd w:val="clear" w:color="auto" w:fill="FFFFFF"/>
          <w:lang w:val="it-IT"/>
        </w:rPr>
        <w:t>E’</w:t>
      </w:r>
      <w:proofErr w:type="gramEnd"/>
      <w:r w:rsidR="00F74880">
        <w:rPr>
          <w:rFonts w:ascii="Arial" w:hAnsi="Arial" w:cs="Arial"/>
          <w:color w:val="686868"/>
          <w:sz w:val="24"/>
          <w:szCs w:val="24"/>
          <w:shd w:val="clear" w:color="auto" w:fill="FFFFFF"/>
          <w:lang w:val="it-IT"/>
        </w:rPr>
        <w:t xml:space="preserve"> in </w:t>
      </w:r>
      <w:r w:rsidR="001450C4" w:rsidRPr="004F6E28">
        <w:rPr>
          <w:rFonts w:ascii="Arial" w:hAnsi="Arial" w:cs="Arial"/>
          <w:color w:val="686868"/>
          <w:sz w:val="24"/>
          <w:szCs w:val="24"/>
          <w:shd w:val="clear" w:color="auto" w:fill="FFFFFF"/>
          <w:lang w:val="it-IT"/>
        </w:rPr>
        <w:t>questo contesto</w:t>
      </w:r>
      <w:r w:rsidR="00F74880">
        <w:rPr>
          <w:rFonts w:ascii="Arial" w:hAnsi="Arial" w:cs="Arial"/>
          <w:color w:val="686868"/>
          <w:sz w:val="24"/>
          <w:szCs w:val="24"/>
          <w:shd w:val="clear" w:color="auto" w:fill="FFFFFF"/>
          <w:lang w:val="it-IT"/>
        </w:rPr>
        <w:t xml:space="preserve">, che </w:t>
      </w:r>
      <w:r w:rsidR="00F74880" w:rsidRPr="00187907">
        <w:rPr>
          <w:rFonts w:ascii="Arial" w:hAnsi="Arial" w:cs="Arial"/>
          <w:i/>
          <w:color w:val="686868"/>
          <w:sz w:val="24"/>
          <w:szCs w:val="24"/>
          <w:shd w:val="clear" w:color="auto" w:fill="FFFFFF"/>
          <w:lang w:val="it-IT"/>
        </w:rPr>
        <w:t>ab origine</w:t>
      </w:r>
      <w:r w:rsidR="00187907">
        <w:rPr>
          <w:rFonts w:ascii="Arial" w:hAnsi="Arial" w:cs="Arial"/>
          <w:color w:val="686868"/>
          <w:sz w:val="24"/>
          <w:szCs w:val="24"/>
          <w:shd w:val="clear" w:color="auto" w:fill="FFFFFF"/>
          <w:lang w:val="it-IT"/>
        </w:rPr>
        <w:t xml:space="preserve"> ammette un bilanciamento con</w:t>
      </w:r>
      <w:r w:rsidR="00F74880">
        <w:rPr>
          <w:rFonts w:ascii="Arial" w:hAnsi="Arial" w:cs="Arial"/>
          <w:color w:val="686868"/>
          <w:sz w:val="24"/>
          <w:szCs w:val="24"/>
          <w:shd w:val="clear" w:color="auto" w:fill="FFFFFF"/>
          <w:lang w:val="it-IT"/>
        </w:rPr>
        <w:t xml:space="preserve"> esigen</w:t>
      </w:r>
      <w:r w:rsidR="00187907">
        <w:rPr>
          <w:rFonts w:ascii="Arial" w:hAnsi="Arial" w:cs="Arial"/>
          <w:color w:val="686868"/>
          <w:sz w:val="24"/>
          <w:szCs w:val="24"/>
          <w:shd w:val="clear" w:color="auto" w:fill="FFFFFF"/>
          <w:lang w:val="it-IT"/>
        </w:rPr>
        <w:t>ze di interesse generale, nonché</w:t>
      </w:r>
      <w:r w:rsidR="001450C4" w:rsidRPr="004F6E28">
        <w:rPr>
          <w:rFonts w:ascii="Arial" w:hAnsi="Arial" w:cs="Arial"/>
          <w:color w:val="686868"/>
          <w:sz w:val="24"/>
          <w:szCs w:val="24"/>
          <w:shd w:val="clear" w:color="auto" w:fill="FFFFFF"/>
          <w:lang w:val="it-IT"/>
        </w:rPr>
        <w:t xml:space="preserve"> alla luce dell</w:t>
      </w:r>
      <w:r w:rsidR="00E17858" w:rsidRPr="004F6E28">
        <w:rPr>
          <w:rFonts w:ascii="Arial" w:hAnsi="Arial" w:cs="Arial"/>
          <w:color w:val="686868"/>
          <w:sz w:val="24"/>
          <w:szCs w:val="24"/>
          <w:shd w:val="clear" w:color="auto" w:fill="FFFFFF"/>
          <w:lang w:val="it-IT"/>
        </w:rPr>
        <w:t xml:space="preserve">a giurisprudenza </w:t>
      </w:r>
      <w:r w:rsidR="00187907">
        <w:rPr>
          <w:rFonts w:ascii="Arial" w:hAnsi="Arial" w:cs="Arial"/>
          <w:color w:val="686868"/>
          <w:sz w:val="24"/>
          <w:szCs w:val="24"/>
          <w:shd w:val="clear" w:color="auto" w:fill="FFFFFF"/>
          <w:lang w:val="it-IT"/>
        </w:rPr>
        <w:t>elaborata sulla scorta di questa disposizione</w:t>
      </w:r>
      <w:r>
        <w:rPr>
          <w:rFonts w:ascii="Arial" w:hAnsi="Arial" w:cs="Arial"/>
          <w:color w:val="686868"/>
          <w:sz w:val="24"/>
          <w:szCs w:val="24"/>
          <w:shd w:val="clear" w:color="auto" w:fill="FFFFFF"/>
          <w:lang w:val="it-IT"/>
        </w:rPr>
        <w:t>,</w:t>
      </w:r>
      <w:r w:rsidR="00F74880">
        <w:rPr>
          <w:rFonts w:ascii="Arial" w:hAnsi="Arial" w:cs="Arial"/>
          <w:color w:val="686868"/>
          <w:sz w:val="24"/>
          <w:szCs w:val="24"/>
          <w:shd w:val="clear" w:color="auto" w:fill="FFFFFF"/>
          <w:lang w:val="it-IT"/>
        </w:rPr>
        <w:t xml:space="preserve"> che la documentazione antimafia deve essere analizzata</w:t>
      </w:r>
      <w:r w:rsidR="00686E82">
        <w:rPr>
          <w:rFonts w:ascii="Arial" w:hAnsi="Arial" w:cs="Arial"/>
          <w:color w:val="686868"/>
          <w:sz w:val="24"/>
          <w:szCs w:val="24"/>
          <w:shd w:val="clear" w:color="auto" w:fill="FFFFFF"/>
          <w:lang w:val="it-IT"/>
        </w:rPr>
        <w:t xml:space="preserve"> nella logica convenzionale</w:t>
      </w:r>
      <w:r>
        <w:rPr>
          <w:rFonts w:ascii="Arial" w:hAnsi="Arial" w:cs="Arial"/>
          <w:color w:val="686868"/>
          <w:sz w:val="24"/>
          <w:szCs w:val="24"/>
          <w:shd w:val="clear" w:color="auto" w:fill="FFFFFF"/>
          <w:lang w:val="it-IT"/>
        </w:rPr>
        <w:t>.</w:t>
      </w:r>
      <w:r w:rsidR="009A29ED" w:rsidRPr="004F6E28">
        <w:rPr>
          <w:rFonts w:ascii="Arial" w:hAnsi="Arial" w:cs="Arial"/>
          <w:color w:val="686868"/>
          <w:sz w:val="24"/>
          <w:szCs w:val="24"/>
          <w:shd w:val="clear" w:color="auto" w:fill="FFFFFF"/>
          <w:lang w:val="it-IT"/>
        </w:rPr>
        <w:t xml:space="preserve"> </w:t>
      </w:r>
    </w:p>
    <w:p w:rsidR="009A29ED" w:rsidRPr="00C46D2B" w:rsidRDefault="009A29ED" w:rsidP="00C46D2B">
      <w:pPr>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 xml:space="preserve">Nella decisione </w:t>
      </w:r>
      <w:r w:rsidR="00187907">
        <w:rPr>
          <w:rFonts w:ascii="Arial" w:hAnsi="Arial" w:cs="Arial"/>
          <w:color w:val="686868"/>
          <w:sz w:val="24"/>
          <w:szCs w:val="24"/>
          <w:shd w:val="clear" w:color="auto" w:fill="FFFFFF"/>
          <w:lang w:val="it-IT"/>
        </w:rPr>
        <w:t>del 17 giugno 2014 Cacucci-</w:t>
      </w:r>
      <w:r w:rsidRPr="004F6E28">
        <w:rPr>
          <w:rFonts w:ascii="Arial" w:hAnsi="Arial" w:cs="Arial"/>
          <w:color w:val="686868"/>
          <w:sz w:val="24"/>
          <w:szCs w:val="24"/>
          <w:shd w:val="clear" w:color="auto" w:fill="FFFFFF"/>
          <w:lang w:val="it-IT"/>
        </w:rPr>
        <w:t>Sabatelli la Corte, in tema di confisca,</w:t>
      </w:r>
      <w:r w:rsidR="00F74880">
        <w:rPr>
          <w:rFonts w:ascii="Arial" w:hAnsi="Arial" w:cs="Arial"/>
          <w:color w:val="686868"/>
          <w:sz w:val="24"/>
          <w:szCs w:val="24"/>
          <w:shd w:val="clear" w:color="auto" w:fill="FFFFFF"/>
          <w:lang w:val="it-IT"/>
        </w:rPr>
        <w:t xml:space="preserve"> pur sempre misura di carattere patrimoniale,</w:t>
      </w:r>
      <w:r w:rsidR="00187907">
        <w:rPr>
          <w:rFonts w:ascii="Arial" w:hAnsi="Arial" w:cs="Arial"/>
          <w:color w:val="686868"/>
          <w:sz w:val="24"/>
          <w:szCs w:val="24"/>
          <w:shd w:val="clear" w:color="auto" w:fill="FFFFFF"/>
          <w:lang w:val="it-IT"/>
        </w:rPr>
        <w:t xml:space="preserve"> ha,</w:t>
      </w:r>
      <w:r w:rsidR="001450C4" w:rsidRPr="004F6E28">
        <w:rPr>
          <w:rFonts w:ascii="Arial" w:hAnsi="Arial" w:cs="Arial"/>
          <w:color w:val="686868"/>
          <w:sz w:val="24"/>
          <w:szCs w:val="24"/>
          <w:shd w:val="clear" w:color="auto" w:fill="FFFFFF"/>
          <w:lang w:val="it-IT"/>
        </w:rPr>
        <w:t xml:space="preserve"> ad esempio,</w:t>
      </w:r>
      <w:r w:rsidR="00187907">
        <w:rPr>
          <w:rFonts w:ascii="Arial" w:hAnsi="Arial" w:cs="Arial"/>
          <w:color w:val="686868"/>
          <w:sz w:val="24"/>
          <w:szCs w:val="24"/>
          <w:shd w:val="clear" w:color="auto" w:fill="FFFFFF"/>
          <w:lang w:val="it-IT"/>
        </w:rPr>
        <w:t xml:space="preserve"> </w:t>
      </w:r>
      <w:r w:rsidR="00F74880">
        <w:rPr>
          <w:rFonts w:ascii="Arial" w:hAnsi="Arial" w:cs="Arial"/>
          <w:color w:val="686868"/>
          <w:sz w:val="24"/>
          <w:szCs w:val="24"/>
          <w:shd w:val="clear" w:color="auto" w:fill="FFFFFF"/>
          <w:lang w:val="it-IT"/>
        </w:rPr>
        <w:t xml:space="preserve">riassuntivamente </w:t>
      </w:r>
      <w:r w:rsidR="00E17858" w:rsidRPr="004F6E28">
        <w:rPr>
          <w:rFonts w:ascii="Arial" w:hAnsi="Arial" w:cs="Arial"/>
          <w:color w:val="686868"/>
          <w:sz w:val="24"/>
          <w:szCs w:val="24"/>
          <w:shd w:val="clear" w:color="auto" w:fill="FFFFFF"/>
          <w:lang w:val="it-IT"/>
        </w:rPr>
        <w:t>ricordato</w:t>
      </w:r>
      <w:r w:rsidRPr="004F6E28">
        <w:rPr>
          <w:rFonts w:ascii="Arial" w:hAnsi="Arial" w:cs="Arial"/>
          <w:color w:val="686868"/>
          <w:sz w:val="24"/>
          <w:szCs w:val="24"/>
          <w:shd w:val="clear" w:color="auto" w:fill="FFFFFF"/>
          <w:lang w:val="it-IT"/>
        </w:rPr>
        <w:t>:</w:t>
      </w:r>
      <w:r w:rsidR="00C46D2B">
        <w:rPr>
          <w:rFonts w:ascii="Arial" w:hAnsi="Arial" w:cs="Arial"/>
          <w:color w:val="686868"/>
          <w:sz w:val="24"/>
          <w:szCs w:val="24"/>
          <w:shd w:val="clear" w:color="auto" w:fill="FFFFFF"/>
          <w:lang w:val="it-IT"/>
        </w:rPr>
        <w:t xml:space="preserve"> </w:t>
      </w:r>
      <w:r w:rsidRPr="004F6E28">
        <w:rPr>
          <w:rFonts w:ascii="Arial" w:hAnsi="Arial" w:cs="Arial"/>
          <w:color w:val="686868"/>
          <w:sz w:val="24"/>
          <w:szCs w:val="24"/>
          <w:shd w:val="clear" w:color="auto" w:fill="FFFFFF"/>
          <w:lang w:val="it-IT"/>
        </w:rPr>
        <w:t>“</w:t>
      </w:r>
      <w:r w:rsidRPr="004F6E28">
        <w:rPr>
          <w:rFonts w:ascii="Arial" w:hAnsi="Arial" w:cs="Arial"/>
          <w:sz w:val="24"/>
          <w:szCs w:val="24"/>
          <w:lang w:val="it-IT"/>
        </w:rPr>
        <w:t>37. La Corte c</w:t>
      </w:r>
      <w:r w:rsidR="00187907">
        <w:rPr>
          <w:rFonts w:ascii="Arial" w:hAnsi="Arial" w:cs="Arial"/>
          <w:sz w:val="24"/>
          <w:szCs w:val="24"/>
          <w:lang w:val="it-IT"/>
        </w:rPr>
        <w:t>onstata che la confisca</w:t>
      </w:r>
      <w:proofErr w:type="gramStart"/>
      <w:r w:rsidR="00187907">
        <w:rPr>
          <w:rFonts w:ascii="Arial" w:hAnsi="Arial" w:cs="Arial"/>
          <w:sz w:val="24"/>
          <w:szCs w:val="24"/>
          <w:lang w:val="it-IT"/>
        </w:rPr>
        <w:t xml:space="preserve"> ..</w:t>
      </w:r>
      <w:proofErr w:type="gramEnd"/>
      <w:r w:rsidRPr="004F6E28">
        <w:rPr>
          <w:rFonts w:ascii="Arial" w:hAnsi="Arial" w:cs="Arial"/>
          <w:sz w:val="24"/>
          <w:szCs w:val="24"/>
          <w:lang w:val="it-IT"/>
        </w:rPr>
        <w:t xml:space="preserve"> configura una ingerenza nel godimento del diritto delle ricorrenti al rispetto dei loro beni. Nota inoltre che, anche se la misura in questione ha comportato una privazione d</w:t>
      </w:r>
      <w:r w:rsidR="00187907">
        <w:rPr>
          <w:rFonts w:ascii="Arial" w:hAnsi="Arial" w:cs="Arial"/>
          <w:sz w:val="24"/>
          <w:szCs w:val="24"/>
          <w:lang w:val="it-IT"/>
        </w:rPr>
        <w:t>ella proprietà, rientra</w:t>
      </w:r>
      <w:r w:rsidRPr="004F6E28">
        <w:rPr>
          <w:rFonts w:ascii="Arial" w:hAnsi="Arial" w:cs="Arial"/>
          <w:sz w:val="24"/>
          <w:szCs w:val="24"/>
          <w:lang w:val="it-IT"/>
        </w:rPr>
        <w:t xml:space="preserve"> in una regolamentazione dell’uso dei beni nel senso del secondo comma dell’articolo 1 del Protocollo n. 1 alla Convenzione, in quanto questa disposizione lascia agli Stati il diritto di adottare «le leggi che ritengono necessarie per disciplinare l’uso dei beni in modo conforme all’interesse generale» (Arcuri e altri tre c. Italia (</w:t>
      </w:r>
      <w:proofErr w:type="spellStart"/>
      <w:r w:rsidRPr="004F6E28">
        <w:rPr>
          <w:rFonts w:ascii="Arial" w:hAnsi="Arial" w:cs="Arial"/>
          <w:sz w:val="24"/>
          <w:szCs w:val="24"/>
          <w:lang w:val="it-IT"/>
        </w:rPr>
        <w:t>dec</w:t>
      </w:r>
      <w:proofErr w:type="spellEnd"/>
      <w:r w:rsidRPr="004F6E28">
        <w:rPr>
          <w:rFonts w:ascii="Arial" w:hAnsi="Arial" w:cs="Arial"/>
          <w:sz w:val="24"/>
          <w:szCs w:val="24"/>
          <w:lang w:val="it-IT"/>
        </w:rPr>
        <w:t xml:space="preserve">.), n. 52024/99, CEDU 2001-VII, </w:t>
      </w:r>
      <w:proofErr w:type="spellStart"/>
      <w:r w:rsidRPr="004F6E28">
        <w:rPr>
          <w:rFonts w:ascii="Arial" w:hAnsi="Arial" w:cs="Arial"/>
          <w:sz w:val="24"/>
          <w:szCs w:val="24"/>
          <w:lang w:val="it-IT"/>
        </w:rPr>
        <w:t>Riela</w:t>
      </w:r>
      <w:proofErr w:type="spellEnd"/>
      <w:r w:rsidRPr="004F6E28">
        <w:rPr>
          <w:rFonts w:ascii="Arial" w:hAnsi="Arial" w:cs="Arial"/>
          <w:sz w:val="24"/>
          <w:szCs w:val="24"/>
          <w:lang w:val="it-IT"/>
        </w:rPr>
        <w:t xml:space="preserve"> e altri c. Italia (</w:t>
      </w:r>
      <w:proofErr w:type="spellStart"/>
      <w:r w:rsidRPr="004F6E28">
        <w:rPr>
          <w:rFonts w:ascii="Arial" w:hAnsi="Arial" w:cs="Arial"/>
          <w:sz w:val="24"/>
          <w:szCs w:val="24"/>
          <w:lang w:val="it-IT"/>
        </w:rPr>
        <w:t>dec</w:t>
      </w:r>
      <w:proofErr w:type="spellEnd"/>
      <w:r w:rsidRPr="004F6E28">
        <w:rPr>
          <w:rFonts w:ascii="Arial" w:hAnsi="Arial" w:cs="Arial"/>
          <w:sz w:val="24"/>
          <w:szCs w:val="24"/>
          <w:lang w:val="it-IT"/>
        </w:rPr>
        <w:t>.), n. 52439/99, 4 settembre 2001, e Bongiorno, sopra citata, § 42).</w:t>
      </w:r>
      <w:r w:rsidR="00187907">
        <w:rPr>
          <w:rFonts w:ascii="Arial" w:hAnsi="Arial" w:cs="Arial"/>
          <w:sz w:val="24"/>
          <w:szCs w:val="24"/>
          <w:lang w:val="it-IT"/>
        </w:rPr>
        <w:t>..</w:t>
      </w:r>
      <w:r w:rsidRPr="004F6E28">
        <w:rPr>
          <w:rFonts w:ascii="Arial" w:hAnsi="Arial" w:cs="Arial"/>
          <w:sz w:val="24"/>
          <w:szCs w:val="24"/>
          <w:lang w:val="it-IT"/>
        </w:rPr>
        <w:t xml:space="preserve">39….. Resta tuttavia da verificare se tale ingerenza sia proporzionata allo scopo legittimo perseguito. Al riguardo, la Corte sottolinea che la misura in causa si inserisce nel quadro di una politica di prevenzione criminale e considera che, nell’attuazione di tale politica, il legislatore debba godere di un’ampia libertà per pronunciarsi sia sull’esistenza di un problema di interesse pubblico che richiede una regolamentazione sia sulla scelta delle modalità di applicazione di quest’ultima (Bongiorno, sopra citata, § 45). 41. La Corte osserva, peraltro, che il fenomeno della criminalità organizzata ha raggiunto in Italia proporzioni davvero preoccupanti. I profitti smisurati che le associazioni di stampo mafioso traggono dalle loro attività illecite conferiscono loro un potere la cui esistenza mette in discussione la supremazia del diritto nello Stato. Così, i mezzi utilizzati per contrastare questo potere economico - quali la confisca denunciata nel caso di specie - possono risultare indispensabili per contrastare efficacemente tali associazioni (Arcuri, decisione sopra citata, e </w:t>
      </w:r>
      <w:r w:rsidR="001450C4" w:rsidRPr="004F6E28">
        <w:rPr>
          <w:rFonts w:ascii="Arial" w:hAnsi="Arial" w:cs="Arial"/>
          <w:sz w:val="24"/>
          <w:szCs w:val="24"/>
          <w:lang w:val="it-IT"/>
        </w:rPr>
        <w:t xml:space="preserve">Bongiorno, sopra citata, § </w:t>
      </w:r>
      <w:proofErr w:type="gramStart"/>
      <w:r w:rsidR="001450C4" w:rsidRPr="004F6E28">
        <w:rPr>
          <w:rFonts w:ascii="Arial" w:hAnsi="Arial" w:cs="Arial"/>
          <w:sz w:val="24"/>
          <w:szCs w:val="24"/>
          <w:lang w:val="it-IT"/>
        </w:rPr>
        <w:t>45).</w:t>
      </w:r>
      <w:r w:rsidR="00187907">
        <w:rPr>
          <w:rFonts w:ascii="Arial" w:hAnsi="Arial" w:cs="Arial"/>
          <w:sz w:val="24"/>
          <w:szCs w:val="24"/>
          <w:lang w:val="it-IT"/>
        </w:rPr>
        <w:t>..</w:t>
      </w:r>
      <w:proofErr w:type="gramEnd"/>
      <w:r w:rsidRPr="004F6E28">
        <w:rPr>
          <w:rFonts w:ascii="Arial" w:hAnsi="Arial" w:cs="Arial"/>
          <w:sz w:val="24"/>
          <w:szCs w:val="24"/>
          <w:lang w:val="it-IT"/>
        </w:rPr>
        <w:t>47. In tali circostanze, tenuto conto del margine di apprezzamento che hanno gli Stati quando disciplinano «l’uso dei beni conformemente all’interesse generale», in particolare nell’ambito di una politica criminale avente lo scopo di contrastare il fenomeno della grande criminalità, la Corte conclude che l’ingerenza nel diritto delle ricorrenti al rispetto dei loro beni non sia stata sproporzionata rispetto allo scopo legittimo perseguito.</w:t>
      </w:r>
      <w:r w:rsidR="00187907">
        <w:rPr>
          <w:rFonts w:ascii="Arial" w:hAnsi="Arial" w:cs="Arial"/>
          <w:sz w:val="24"/>
          <w:szCs w:val="24"/>
          <w:lang w:val="it-IT"/>
        </w:rPr>
        <w:t>..</w:t>
      </w:r>
      <w:r w:rsidRPr="004F6E28">
        <w:rPr>
          <w:rFonts w:ascii="Arial" w:hAnsi="Arial" w:cs="Arial"/>
          <w:sz w:val="24"/>
          <w:szCs w:val="24"/>
          <w:lang w:val="it-IT"/>
        </w:rPr>
        <w:t xml:space="preserve">51. La Corte rammenta la sua giurisprudenza consolidata secondo la quale le misure di prevenzione previste dalle leggi italiane del 1956, 1965 e 1982 – che non importano un giudizio di colpevolezza, ma hanno lo scopo di impedire il compimento di atti criminali – non possono essere paragonate ad una </w:t>
      </w:r>
      <w:r w:rsidRPr="004F6E28">
        <w:rPr>
          <w:rFonts w:ascii="Arial" w:hAnsi="Arial" w:cs="Arial"/>
          <w:sz w:val="24"/>
          <w:szCs w:val="24"/>
          <w:lang w:val="it-IT"/>
        </w:rPr>
        <w:lastRenderedPageBreak/>
        <w:t xml:space="preserve">«pena». Pertanto, il relativo procedimento non può avere ad oggetto «la fondatezza» di una «accusa penale» (Arcuri e </w:t>
      </w:r>
      <w:proofErr w:type="spellStart"/>
      <w:r w:rsidRPr="004F6E28">
        <w:rPr>
          <w:rFonts w:ascii="Arial" w:hAnsi="Arial" w:cs="Arial"/>
          <w:sz w:val="24"/>
          <w:szCs w:val="24"/>
          <w:lang w:val="it-IT"/>
        </w:rPr>
        <w:t>Riela</w:t>
      </w:r>
      <w:proofErr w:type="spellEnd"/>
      <w:r w:rsidRPr="004F6E28">
        <w:rPr>
          <w:rFonts w:ascii="Arial" w:hAnsi="Arial" w:cs="Arial"/>
          <w:sz w:val="24"/>
          <w:szCs w:val="24"/>
          <w:lang w:val="it-IT"/>
        </w:rPr>
        <w:t xml:space="preserve">, decisioni sopra citate, e </w:t>
      </w:r>
      <w:proofErr w:type="spellStart"/>
      <w:r w:rsidRPr="004F6E28">
        <w:rPr>
          <w:rFonts w:ascii="Arial" w:hAnsi="Arial" w:cs="Arial"/>
          <w:sz w:val="24"/>
          <w:szCs w:val="24"/>
          <w:lang w:val="it-IT"/>
        </w:rPr>
        <w:t>Andersson</w:t>
      </w:r>
      <w:proofErr w:type="spellEnd"/>
      <w:r w:rsidRPr="004F6E28">
        <w:rPr>
          <w:rFonts w:ascii="Arial" w:hAnsi="Arial" w:cs="Arial"/>
          <w:sz w:val="24"/>
          <w:szCs w:val="24"/>
          <w:lang w:val="it-IT"/>
        </w:rPr>
        <w:t xml:space="preserve"> c. Italia (</w:t>
      </w:r>
      <w:proofErr w:type="spellStart"/>
      <w:r w:rsidRPr="004F6E28">
        <w:rPr>
          <w:rFonts w:ascii="Arial" w:hAnsi="Arial" w:cs="Arial"/>
          <w:sz w:val="24"/>
          <w:szCs w:val="24"/>
          <w:lang w:val="it-IT"/>
        </w:rPr>
        <w:t>dec</w:t>
      </w:r>
      <w:proofErr w:type="spellEnd"/>
      <w:r w:rsidRPr="004F6E28">
        <w:rPr>
          <w:rFonts w:ascii="Arial" w:hAnsi="Arial" w:cs="Arial"/>
          <w:sz w:val="24"/>
          <w:szCs w:val="24"/>
          <w:lang w:val="it-IT"/>
        </w:rPr>
        <w:t>.), n, 55504/00, 20 giugno 2002)”.</w:t>
      </w:r>
    </w:p>
    <w:p w:rsidR="00686E82" w:rsidRDefault="00310080" w:rsidP="00C46D2B">
      <w:pPr>
        <w:shd w:val="clear" w:color="auto" w:fill="FFFFFF"/>
        <w:spacing w:after="0" w:line="240" w:lineRule="auto"/>
        <w:jc w:val="both"/>
        <w:rPr>
          <w:rFonts w:ascii="Arial" w:hAnsi="Arial" w:cs="Arial"/>
          <w:sz w:val="24"/>
          <w:szCs w:val="24"/>
          <w:lang w:val="it-IT"/>
        </w:rPr>
      </w:pPr>
      <w:r w:rsidRPr="004F6E28">
        <w:rPr>
          <w:rFonts w:ascii="Arial" w:hAnsi="Arial" w:cs="Arial"/>
          <w:sz w:val="24"/>
          <w:szCs w:val="24"/>
          <w:lang w:val="it-IT"/>
        </w:rPr>
        <w:t>In sintesi le misure che hanno una ricaduta di tipo</w:t>
      </w:r>
      <w:r w:rsidR="00C46D2B">
        <w:rPr>
          <w:rFonts w:ascii="Arial" w:hAnsi="Arial" w:cs="Arial"/>
          <w:sz w:val="24"/>
          <w:szCs w:val="24"/>
          <w:lang w:val="it-IT"/>
        </w:rPr>
        <w:t xml:space="preserve"> </w:t>
      </w:r>
      <w:r w:rsidR="00686E82">
        <w:rPr>
          <w:rFonts w:ascii="Arial" w:hAnsi="Arial" w:cs="Arial"/>
          <w:sz w:val="24"/>
          <w:szCs w:val="24"/>
          <w:lang w:val="it-IT"/>
        </w:rPr>
        <w:t xml:space="preserve">economico </w:t>
      </w:r>
      <w:r w:rsidR="00C46D2B">
        <w:rPr>
          <w:rFonts w:ascii="Arial" w:hAnsi="Arial" w:cs="Arial"/>
          <w:sz w:val="24"/>
          <w:szCs w:val="24"/>
          <w:lang w:val="it-IT"/>
        </w:rPr>
        <w:t>in virtù della</w:t>
      </w:r>
      <w:r w:rsidRPr="004F6E28">
        <w:rPr>
          <w:rFonts w:ascii="Arial" w:hAnsi="Arial" w:cs="Arial"/>
          <w:sz w:val="24"/>
          <w:szCs w:val="24"/>
          <w:lang w:val="it-IT"/>
        </w:rPr>
        <w:t xml:space="preserve"> norma</w:t>
      </w:r>
      <w:r w:rsidR="00C46D2B">
        <w:rPr>
          <w:rFonts w:ascii="Arial" w:hAnsi="Arial" w:cs="Arial"/>
          <w:sz w:val="24"/>
          <w:szCs w:val="24"/>
          <w:lang w:val="it-IT"/>
        </w:rPr>
        <w:t>tiva</w:t>
      </w:r>
      <w:r w:rsidRPr="004F6E28">
        <w:rPr>
          <w:rFonts w:ascii="Arial" w:hAnsi="Arial" w:cs="Arial"/>
          <w:sz w:val="24"/>
          <w:szCs w:val="24"/>
          <w:lang w:val="it-IT"/>
        </w:rPr>
        <w:t xml:space="preserve"> di salvaguardia</w:t>
      </w:r>
      <w:r w:rsidR="00686E82">
        <w:rPr>
          <w:rFonts w:ascii="Arial" w:hAnsi="Arial" w:cs="Arial"/>
          <w:sz w:val="24"/>
          <w:szCs w:val="24"/>
          <w:lang w:val="it-IT"/>
        </w:rPr>
        <w:t xml:space="preserve"> pertinente</w:t>
      </w:r>
      <w:r w:rsidRPr="004F6E28">
        <w:rPr>
          <w:rFonts w:ascii="Arial" w:hAnsi="Arial" w:cs="Arial"/>
          <w:sz w:val="24"/>
          <w:szCs w:val="24"/>
          <w:lang w:val="it-IT"/>
        </w:rPr>
        <w:t>,</w:t>
      </w:r>
      <w:r w:rsidR="00E17858" w:rsidRPr="004F6E28">
        <w:rPr>
          <w:rFonts w:ascii="Arial" w:hAnsi="Arial" w:cs="Arial"/>
          <w:sz w:val="24"/>
          <w:szCs w:val="24"/>
          <w:lang w:val="it-IT"/>
        </w:rPr>
        <w:t xml:space="preserve"> richiedono</w:t>
      </w:r>
      <w:r w:rsidRPr="004F6E28">
        <w:rPr>
          <w:rFonts w:ascii="Arial" w:hAnsi="Arial" w:cs="Arial"/>
          <w:sz w:val="24"/>
          <w:szCs w:val="24"/>
          <w:lang w:val="it-IT"/>
        </w:rPr>
        <w:t xml:space="preserve"> la legalità della misura (intesa come riserva di legge</w:t>
      </w:r>
      <w:r w:rsidR="00C46D2B">
        <w:rPr>
          <w:rFonts w:ascii="Arial" w:hAnsi="Arial" w:cs="Arial"/>
          <w:sz w:val="24"/>
          <w:szCs w:val="24"/>
          <w:lang w:val="it-IT"/>
        </w:rPr>
        <w:t>) ma non escludono per lo</w:t>
      </w:r>
      <w:r w:rsidR="00187907">
        <w:rPr>
          <w:rFonts w:ascii="Arial" w:hAnsi="Arial" w:cs="Arial"/>
          <w:sz w:val="24"/>
          <w:szCs w:val="24"/>
          <w:lang w:val="it-IT"/>
        </w:rPr>
        <w:t xml:space="preserve"> Stato</w:t>
      </w:r>
      <w:r w:rsidR="00C46D2B">
        <w:rPr>
          <w:rFonts w:ascii="Arial" w:hAnsi="Arial" w:cs="Arial"/>
          <w:sz w:val="24"/>
          <w:szCs w:val="24"/>
          <w:lang w:val="it-IT"/>
        </w:rPr>
        <w:t xml:space="preserve"> il potere</w:t>
      </w:r>
      <w:r w:rsidR="00187907">
        <w:rPr>
          <w:rFonts w:ascii="Arial" w:hAnsi="Arial" w:cs="Arial"/>
          <w:sz w:val="24"/>
          <w:szCs w:val="24"/>
          <w:lang w:val="it-IT"/>
        </w:rPr>
        <w:t xml:space="preserve"> di</w:t>
      </w:r>
      <w:r w:rsidR="00F74880">
        <w:rPr>
          <w:rFonts w:ascii="Arial" w:hAnsi="Arial" w:cs="Arial"/>
          <w:sz w:val="24"/>
          <w:szCs w:val="24"/>
          <w:lang w:val="it-IT"/>
        </w:rPr>
        <w:t xml:space="preserve"> </w:t>
      </w:r>
      <w:r w:rsidRPr="004F6E28">
        <w:rPr>
          <w:rFonts w:ascii="Arial" w:hAnsi="Arial" w:cs="Arial"/>
          <w:sz w:val="24"/>
          <w:szCs w:val="24"/>
          <w:lang w:val="it-IT"/>
        </w:rPr>
        <w:t xml:space="preserve">porre limiti </w:t>
      </w:r>
      <w:r w:rsidR="00E17858" w:rsidRPr="004F6E28">
        <w:rPr>
          <w:rFonts w:ascii="Arial" w:hAnsi="Arial" w:cs="Arial"/>
          <w:sz w:val="24"/>
          <w:szCs w:val="24"/>
          <w:lang w:val="it-IT"/>
        </w:rPr>
        <w:t xml:space="preserve">di </w:t>
      </w:r>
      <w:r w:rsidRPr="004F6E28">
        <w:rPr>
          <w:rFonts w:ascii="Arial" w:hAnsi="Arial" w:cs="Arial"/>
          <w:sz w:val="24"/>
          <w:szCs w:val="24"/>
          <w:lang w:val="it-IT"/>
        </w:rPr>
        <w:t>interesse pubblico</w:t>
      </w:r>
      <w:r w:rsidR="00F74880">
        <w:rPr>
          <w:rFonts w:ascii="Arial" w:hAnsi="Arial" w:cs="Arial"/>
          <w:sz w:val="24"/>
          <w:szCs w:val="24"/>
          <w:lang w:val="it-IT"/>
        </w:rPr>
        <w:t>, restando</w:t>
      </w:r>
      <w:r w:rsidR="00E17858" w:rsidRPr="004F6E28">
        <w:rPr>
          <w:rFonts w:ascii="Arial" w:hAnsi="Arial" w:cs="Arial"/>
          <w:sz w:val="24"/>
          <w:szCs w:val="24"/>
          <w:lang w:val="it-IT"/>
        </w:rPr>
        <w:t xml:space="preserve"> sempre</w:t>
      </w:r>
      <w:r w:rsidRPr="004F6E28">
        <w:rPr>
          <w:rFonts w:ascii="Arial" w:hAnsi="Arial" w:cs="Arial"/>
          <w:sz w:val="24"/>
          <w:szCs w:val="24"/>
          <w:lang w:val="it-IT"/>
        </w:rPr>
        <w:t xml:space="preserve"> verificabile l’</w:t>
      </w:r>
      <w:r w:rsidR="00E17858" w:rsidRPr="004F6E28">
        <w:rPr>
          <w:rFonts w:ascii="Arial" w:hAnsi="Arial" w:cs="Arial"/>
          <w:sz w:val="24"/>
          <w:szCs w:val="24"/>
          <w:lang w:val="it-IT"/>
        </w:rPr>
        <w:t>effettiva rispondenza</w:t>
      </w:r>
      <w:r w:rsidR="00C46D2B">
        <w:rPr>
          <w:rFonts w:ascii="Arial" w:hAnsi="Arial" w:cs="Arial"/>
          <w:sz w:val="24"/>
          <w:szCs w:val="24"/>
          <w:lang w:val="it-IT"/>
        </w:rPr>
        <w:t xml:space="preserve"> del limite apposto</w:t>
      </w:r>
      <w:r w:rsidR="00E17858" w:rsidRPr="004F6E28">
        <w:rPr>
          <w:rFonts w:ascii="Arial" w:hAnsi="Arial" w:cs="Arial"/>
          <w:sz w:val="24"/>
          <w:szCs w:val="24"/>
          <w:lang w:val="it-IT"/>
        </w:rPr>
        <w:t xml:space="preserve"> all’invocato</w:t>
      </w:r>
      <w:r w:rsidR="00C46D2B">
        <w:rPr>
          <w:rFonts w:ascii="Arial" w:hAnsi="Arial" w:cs="Arial"/>
          <w:sz w:val="24"/>
          <w:szCs w:val="24"/>
          <w:lang w:val="it-IT"/>
        </w:rPr>
        <w:t xml:space="preserve"> interesse pubblico</w:t>
      </w:r>
      <w:r w:rsidR="00E17858" w:rsidRPr="004F6E28">
        <w:rPr>
          <w:rFonts w:ascii="Arial" w:hAnsi="Arial" w:cs="Arial"/>
          <w:sz w:val="24"/>
          <w:szCs w:val="24"/>
          <w:lang w:val="it-IT"/>
        </w:rPr>
        <w:t xml:space="preserve"> </w:t>
      </w:r>
      <w:r w:rsidRPr="004F6E28">
        <w:rPr>
          <w:rFonts w:ascii="Arial" w:hAnsi="Arial" w:cs="Arial"/>
          <w:sz w:val="24"/>
          <w:szCs w:val="24"/>
          <w:lang w:val="it-IT"/>
        </w:rPr>
        <w:t xml:space="preserve">e la </w:t>
      </w:r>
      <w:r w:rsidR="005741DE">
        <w:rPr>
          <w:rFonts w:ascii="Arial" w:hAnsi="Arial" w:cs="Arial"/>
          <w:sz w:val="24"/>
          <w:szCs w:val="24"/>
          <w:lang w:val="it-IT"/>
        </w:rPr>
        <w:t>sua proporzionalità</w:t>
      </w:r>
      <w:r w:rsidR="00C46D2B">
        <w:rPr>
          <w:rFonts w:ascii="Arial" w:hAnsi="Arial" w:cs="Arial"/>
          <w:sz w:val="24"/>
          <w:szCs w:val="24"/>
          <w:lang w:val="it-IT"/>
        </w:rPr>
        <w:t xml:space="preserve">. </w:t>
      </w:r>
      <w:r w:rsidR="00F74880">
        <w:rPr>
          <w:rFonts w:ascii="Arial" w:hAnsi="Arial" w:cs="Arial"/>
          <w:sz w:val="24"/>
          <w:szCs w:val="24"/>
          <w:lang w:val="it-IT"/>
        </w:rPr>
        <w:t>La Corte ha</w:t>
      </w:r>
      <w:r w:rsidR="001450C4" w:rsidRPr="004F6E28">
        <w:rPr>
          <w:rFonts w:ascii="Arial" w:hAnsi="Arial" w:cs="Arial"/>
          <w:sz w:val="24"/>
          <w:szCs w:val="24"/>
          <w:lang w:val="it-IT"/>
        </w:rPr>
        <w:t xml:space="preserve"> </w:t>
      </w:r>
      <w:r w:rsidR="005741DE">
        <w:rPr>
          <w:rFonts w:ascii="Arial" w:hAnsi="Arial" w:cs="Arial"/>
          <w:sz w:val="24"/>
          <w:szCs w:val="24"/>
          <w:lang w:val="it-IT"/>
        </w:rPr>
        <w:t>più volte</w:t>
      </w:r>
      <w:r w:rsidR="001450C4" w:rsidRPr="004F6E28">
        <w:rPr>
          <w:rFonts w:ascii="Arial" w:hAnsi="Arial" w:cs="Arial"/>
          <w:sz w:val="24"/>
          <w:szCs w:val="24"/>
          <w:lang w:val="it-IT"/>
        </w:rPr>
        <w:t xml:space="preserve"> ribadito questi</w:t>
      </w:r>
      <w:r w:rsidR="005741DE">
        <w:rPr>
          <w:rFonts w:ascii="Arial" w:hAnsi="Arial" w:cs="Arial"/>
          <w:sz w:val="24"/>
          <w:szCs w:val="24"/>
          <w:lang w:val="it-IT"/>
        </w:rPr>
        <w:t xml:space="preserve"> assunti</w:t>
      </w:r>
      <w:r w:rsidR="005741DE" w:rsidRPr="00C46D2B">
        <w:rPr>
          <w:rFonts w:ascii="Arial" w:hAnsi="Arial" w:cs="Arial"/>
          <w:sz w:val="24"/>
          <w:szCs w:val="24"/>
          <w:lang w:val="it-IT"/>
        </w:rPr>
        <w:t xml:space="preserve">. </w:t>
      </w:r>
    </w:p>
    <w:p w:rsidR="00D9027C" w:rsidRDefault="00D9027C" w:rsidP="00C46D2B">
      <w:pPr>
        <w:shd w:val="clear" w:color="auto" w:fill="FFFFFF"/>
        <w:spacing w:after="0" w:line="240" w:lineRule="auto"/>
        <w:jc w:val="both"/>
        <w:rPr>
          <w:rFonts w:ascii="Arial" w:hAnsi="Arial" w:cs="Arial"/>
          <w:sz w:val="24"/>
          <w:szCs w:val="24"/>
          <w:lang w:val="it-IT"/>
        </w:rPr>
      </w:pPr>
    </w:p>
    <w:p w:rsidR="00E17858" w:rsidRPr="007129D6" w:rsidRDefault="00310080" w:rsidP="00C46D2B">
      <w:pPr>
        <w:shd w:val="clear" w:color="auto" w:fill="FFFFFF"/>
        <w:spacing w:after="0" w:line="240" w:lineRule="auto"/>
        <w:jc w:val="both"/>
        <w:rPr>
          <w:rFonts w:ascii="Arial" w:hAnsi="Arial" w:cs="Arial"/>
          <w:i/>
          <w:sz w:val="24"/>
          <w:szCs w:val="24"/>
        </w:rPr>
      </w:pPr>
      <w:r w:rsidRPr="00C46D2B">
        <w:rPr>
          <w:rFonts w:ascii="Arial" w:hAnsi="Arial" w:cs="Arial"/>
          <w:sz w:val="24"/>
          <w:szCs w:val="24"/>
          <w:lang w:val="it-IT"/>
        </w:rPr>
        <w:t>Si legge</w:t>
      </w:r>
      <w:r w:rsidR="00E17858" w:rsidRPr="00C46D2B">
        <w:rPr>
          <w:rFonts w:ascii="Arial" w:hAnsi="Arial" w:cs="Arial"/>
          <w:sz w:val="24"/>
          <w:szCs w:val="24"/>
          <w:lang w:val="it-IT"/>
        </w:rPr>
        <w:t>, infatti,</w:t>
      </w:r>
      <w:r w:rsidRPr="00C46D2B">
        <w:rPr>
          <w:rFonts w:ascii="Arial" w:hAnsi="Arial" w:cs="Arial"/>
          <w:sz w:val="24"/>
          <w:szCs w:val="24"/>
          <w:lang w:val="it-IT"/>
        </w:rPr>
        <w:t xml:space="preserve"> nella sentenza </w:t>
      </w:r>
      <w:proofErr w:type="spellStart"/>
      <w:r w:rsidR="00E17858" w:rsidRPr="00C46D2B">
        <w:rPr>
          <w:rFonts w:ascii="Arial" w:hAnsi="Arial" w:cs="Arial"/>
          <w:sz w:val="24"/>
          <w:szCs w:val="24"/>
          <w:lang w:val="it-IT"/>
        </w:rPr>
        <w:t>Gogitidze</w:t>
      </w:r>
      <w:proofErr w:type="spellEnd"/>
      <w:r w:rsidR="00E17858" w:rsidRPr="00C46D2B">
        <w:rPr>
          <w:rFonts w:ascii="Arial" w:hAnsi="Arial" w:cs="Arial"/>
          <w:sz w:val="24"/>
          <w:szCs w:val="24"/>
          <w:lang w:val="it-IT"/>
        </w:rPr>
        <w:t xml:space="preserve"> and </w:t>
      </w:r>
      <w:proofErr w:type="spellStart"/>
      <w:r w:rsidR="00E17858" w:rsidRPr="00C46D2B">
        <w:rPr>
          <w:rFonts w:ascii="Arial" w:hAnsi="Arial" w:cs="Arial"/>
          <w:sz w:val="24"/>
          <w:szCs w:val="24"/>
          <w:lang w:val="it-IT"/>
        </w:rPr>
        <w:t>others</w:t>
      </w:r>
      <w:proofErr w:type="spellEnd"/>
      <w:r w:rsidR="00E17858" w:rsidRPr="00C46D2B">
        <w:rPr>
          <w:rFonts w:ascii="Arial" w:hAnsi="Arial" w:cs="Arial"/>
          <w:sz w:val="24"/>
          <w:szCs w:val="24"/>
          <w:lang w:val="it-IT"/>
        </w:rPr>
        <w:t xml:space="preserve"> v. Georgia del 12 maggio 2015 (r</w:t>
      </w:r>
      <w:r w:rsidR="00A21D83" w:rsidRPr="00C46D2B">
        <w:rPr>
          <w:rFonts w:ascii="Arial" w:hAnsi="Arial" w:cs="Arial"/>
          <w:sz w:val="24"/>
          <w:szCs w:val="24"/>
          <w:lang w:val="it-IT"/>
        </w:rPr>
        <w:t>eperibile nella banca dati HUDOC</w:t>
      </w:r>
      <w:r w:rsidR="00E17858" w:rsidRPr="00C46D2B">
        <w:rPr>
          <w:rFonts w:ascii="Arial" w:hAnsi="Arial" w:cs="Arial"/>
          <w:sz w:val="24"/>
          <w:szCs w:val="24"/>
          <w:lang w:val="it-IT"/>
        </w:rPr>
        <w:t xml:space="preserve"> </w:t>
      </w:r>
      <w:r w:rsidR="001450C4" w:rsidRPr="00C46D2B">
        <w:rPr>
          <w:rFonts w:ascii="Arial" w:hAnsi="Arial" w:cs="Arial"/>
          <w:sz w:val="24"/>
          <w:szCs w:val="24"/>
          <w:lang w:val="it-IT"/>
        </w:rPr>
        <w:t>i</w:t>
      </w:r>
      <w:r w:rsidR="005741DE" w:rsidRPr="00C46D2B">
        <w:rPr>
          <w:rFonts w:ascii="Arial" w:hAnsi="Arial" w:cs="Arial"/>
          <w:sz w:val="24"/>
          <w:szCs w:val="24"/>
          <w:lang w:val="it-IT"/>
        </w:rPr>
        <w:t>n</w:t>
      </w:r>
      <w:r w:rsidR="001450C4" w:rsidRPr="00C46D2B">
        <w:rPr>
          <w:rFonts w:ascii="Arial" w:hAnsi="Arial" w:cs="Arial"/>
          <w:sz w:val="24"/>
          <w:szCs w:val="24"/>
          <w:lang w:val="it-IT"/>
        </w:rPr>
        <w:t xml:space="preserve"> versione italiana </w:t>
      </w:r>
      <w:r w:rsidR="00E17858" w:rsidRPr="00C46D2B">
        <w:rPr>
          <w:rFonts w:ascii="Arial" w:hAnsi="Arial" w:cs="Arial"/>
          <w:sz w:val="24"/>
          <w:szCs w:val="24"/>
          <w:lang w:val="it-IT"/>
        </w:rPr>
        <w:t>solo in</w:t>
      </w:r>
      <w:r w:rsidR="001450C4" w:rsidRPr="00C46D2B">
        <w:rPr>
          <w:rFonts w:ascii="Arial" w:hAnsi="Arial" w:cs="Arial"/>
          <w:sz w:val="24"/>
          <w:szCs w:val="24"/>
          <w:lang w:val="it-IT"/>
        </w:rPr>
        <w:t xml:space="preserve"> sintesi</w:t>
      </w:r>
      <w:r w:rsidR="005741DE" w:rsidRPr="00C46D2B">
        <w:rPr>
          <w:rFonts w:ascii="Arial" w:hAnsi="Arial" w:cs="Arial"/>
          <w:sz w:val="24"/>
          <w:szCs w:val="24"/>
          <w:lang w:val="it-IT"/>
        </w:rPr>
        <w:t>, ragion</w:t>
      </w:r>
      <w:r w:rsidR="00F74880" w:rsidRPr="00C46D2B">
        <w:rPr>
          <w:rFonts w:ascii="Arial" w:hAnsi="Arial" w:cs="Arial"/>
          <w:sz w:val="24"/>
          <w:szCs w:val="24"/>
          <w:lang w:val="it-IT"/>
        </w:rPr>
        <w:t xml:space="preserve"> </w:t>
      </w:r>
      <w:r w:rsidR="005741DE" w:rsidRPr="00C46D2B">
        <w:rPr>
          <w:rFonts w:ascii="Arial" w:hAnsi="Arial" w:cs="Arial"/>
          <w:sz w:val="24"/>
          <w:szCs w:val="24"/>
          <w:lang w:val="it-IT"/>
        </w:rPr>
        <w:t>per cui si riporta in esteso la versione ing</w:t>
      </w:r>
      <w:r w:rsidR="00F74880" w:rsidRPr="00C46D2B">
        <w:rPr>
          <w:rFonts w:ascii="Arial" w:hAnsi="Arial" w:cs="Arial"/>
          <w:sz w:val="24"/>
          <w:szCs w:val="24"/>
          <w:lang w:val="it-IT"/>
        </w:rPr>
        <w:t>lese</w:t>
      </w:r>
      <w:r w:rsidR="001450C4" w:rsidRPr="00C46D2B">
        <w:rPr>
          <w:rFonts w:ascii="Arial" w:hAnsi="Arial" w:cs="Arial"/>
          <w:sz w:val="24"/>
          <w:szCs w:val="24"/>
          <w:lang w:val="it-IT"/>
        </w:rPr>
        <w:t>), avente sempre ad oggetto</w:t>
      </w:r>
      <w:r w:rsidR="00E17858" w:rsidRPr="00C46D2B">
        <w:rPr>
          <w:rFonts w:ascii="Arial" w:hAnsi="Arial" w:cs="Arial"/>
          <w:sz w:val="24"/>
          <w:szCs w:val="24"/>
          <w:lang w:val="it-IT"/>
        </w:rPr>
        <w:t xml:space="preserve"> misure di prevenzione a carattere patrimoniale che: “</w:t>
      </w:r>
      <w:r w:rsidR="00E17858" w:rsidRPr="00C46D2B">
        <w:rPr>
          <w:rStyle w:val="sbb9ee52a"/>
          <w:rFonts w:ascii="Arial" w:hAnsi="Arial" w:cs="Arial"/>
          <w:color w:val="000000"/>
          <w:sz w:val="24"/>
          <w:szCs w:val="24"/>
          <w:lang w:val="it-IT"/>
        </w:rPr>
        <w:t>96</w:t>
      </w:r>
      <w:r w:rsidR="00E17858" w:rsidRPr="00C46D2B">
        <w:rPr>
          <w:rStyle w:val="sbb9ee52a"/>
          <w:rFonts w:ascii="Arial" w:hAnsi="Arial" w:cs="Arial"/>
          <w:i/>
          <w:color w:val="000000"/>
          <w:sz w:val="24"/>
          <w:szCs w:val="24"/>
          <w:lang w:val="it-IT"/>
        </w:rPr>
        <w:t>.  </w:t>
      </w:r>
      <w:r w:rsidR="00E17858" w:rsidRPr="00C46D2B">
        <w:rPr>
          <w:rStyle w:val="sbb9ee52a"/>
          <w:rFonts w:ascii="Arial" w:hAnsi="Arial" w:cs="Arial"/>
          <w:i/>
          <w:color w:val="000000"/>
          <w:sz w:val="24"/>
          <w:szCs w:val="24"/>
        </w:rPr>
        <w:t xml:space="preserve">An essential condition for interference to </w:t>
      </w:r>
      <w:proofErr w:type="gramStart"/>
      <w:r w:rsidR="00E17858" w:rsidRPr="00C46D2B">
        <w:rPr>
          <w:rStyle w:val="sbb9ee52a"/>
          <w:rFonts w:ascii="Arial" w:hAnsi="Arial" w:cs="Arial"/>
          <w:i/>
          <w:color w:val="000000"/>
          <w:sz w:val="24"/>
          <w:szCs w:val="24"/>
        </w:rPr>
        <w:t>be deemed</w:t>
      </w:r>
      <w:proofErr w:type="gramEnd"/>
      <w:r w:rsidR="00E17858" w:rsidRPr="00C46D2B">
        <w:rPr>
          <w:rStyle w:val="sbb9ee52a"/>
          <w:rFonts w:ascii="Arial" w:hAnsi="Arial" w:cs="Arial"/>
          <w:i/>
          <w:color w:val="000000"/>
          <w:sz w:val="24"/>
          <w:szCs w:val="24"/>
        </w:rPr>
        <w:t xml:space="preserve"> compatible with Article 1 of Protocol No. 1 is that it should be lawful: the second paragraph recognises that States have the right to control the use of property by enforcing “laws”. Furthermore, any interference by a public authority with the peaceful enjoyment of possessions can only be justified if it serves a legitimate public (or general) interest. Because of their direct knowledge of their society and its needs, the national authorities are in principle better placed </w:t>
      </w:r>
      <w:proofErr w:type="gramStart"/>
      <w:r w:rsidR="00E17858" w:rsidRPr="00C46D2B">
        <w:rPr>
          <w:rStyle w:val="sbb9ee52a"/>
          <w:rFonts w:ascii="Arial" w:hAnsi="Arial" w:cs="Arial"/>
          <w:i/>
          <w:color w:val="000000"/>
          <w:sz w:val="24"/>
          <w:szCs w:val="24"/>
        </w:rPr>
        <w:t>than the international judge</w:t>
      </w:r>
      <w:proofErr w:type="gramEnd"/>
      <w:r w:rsidR="00E17858" w:rsidRPr="00C46D2B">
        <w:rPr>
          <w:rStyle w:val="sbb9ee52a"/>
          <w:rFonts w:ascii="Arial" w:hAnsi="Arial" w:cs="Arial"/>
          <w:i/>
          <w:color w:val="000000"/>
          <w:sz w:val="24"/>
          <w:szCs w:val="24"/>
        </w:rPr>
        <w:t xml:space="preserve"> to decide what is “in the public interest”. Under the system of protection established by the Convention, it is thus for the national authorities to make the initial assessment as to the existence of a problem of public concern warranting measures interfering with the peaceful enjoyment of possessions (see </w:t>
      </w:r>
      <w:proofErr w:type="spellStart"/>
      <w:r w:rsidR="00E17858" w:rsidRPr="00C46D2B">
        <w:rPr>
          <w:rStyle w:val="sa36b60a1"/>
          <w:rFonts w:ascii="Arial" w:hAnsi="Arial" w:cs="Arial"/>
          <w:i/>
          <w:iCs/>
          <w:color w:val="000000"/>
          <w:sz w:val="24"/>
          <w:szCs w:val="24"/>
        </w:rPr>
        <w:t>Terazzi</w:t>
      </w:r>
      <w:proofErr w:type="spellEnd"/>
      <w:r w:rsidR="00E17858" w:rsidRPr="00C46D2B">
        <w:rPr>
          <w:rStyle w:val="sa36b60a1"/>
          <w:rFonts w:ascii="Arial" w:hAnsi="Arial" w:cs="Arial"/>
          <w:i/>
          <w:iCs/>
          <w:color w:val="000000"/>
          <w:sz w:val="24"/>
          <w:szCs w:val="24"/>
        </w:rPr>
        <w:t xml:space="preserve"> </w:t>
      </w:r>
      <w:proofErr w:type="spellStart"/>
      <w:r w:rsidR="00E17858" w:rsidRPr="00C46D2B">
        <w:rPr>
          <w:rStyle w:val="sa36b60a1"/>
          <w:rFonts w:ascii="Arial" w:hAnsi="Arial" w:cs="Arial"/>
          <w:i/>
          <w:iCs/>
          <w:color w:val="000000"/>
          <w:sz w:val="24"/>
          <w:szCs w:val="24"/>
        </w:rPr>
        <w:t>S.r.l</w:t>
      </w:r>
      <w:proofErr w:type="spellEnd"/>
      <w:r w:rsidR="00E17858" w:rsidRPr="00C46D2B">
        <w:rPr>
          <w:rStyle w:val="sa36b60a1"/>
          <w:rFonts w:ascii="Arial" w:hAnsi="Arial" w:cs="Arial"/>
          <w:i/>
          <w:iCs/>
          <w:color w:val="000000"/>
          <w:sz w:val="24"/>
          <w:szCs w:val="24"/>
        </w:rPr>
        <w:t>. v. Italy</w:t>
      </w:r>
      <w:r w:rsidR="00E17858" w:rsidRPr="00C46D2B">
        <w:rPr>
          <w:rStyle w:val="sbb9ee52a"/>
          <w:rFonts w:ascii="Arial" w:hAnsi="Arial" w:cs="Arial"/>
          <w:i/>
          <w:color w:val="000000"/>
          <w:sz w:val="24"/>
          <w:szCs w:val="24"/>
        </w:rPr>
        <w:t>, no. </w:t>
      </w:r>
      <w:hyperlink r:id="rId8" w:anchor="{%22appno%22:[%2227265/95%22]}" w:tgtFrame="_blank" w:history="1">
        <w:proofErr w:type="gramStart"/>
        <w:r w:rsidR="00E17858" w:rsidRPr="00C46D2B">
          <w:rPr>
            <w:rStyle w:val="Collegamentoipertestuale"/>
            <w:rFonts w:ascii="Arial" w:hAnsi="Arial" w:cs="Arial"/>
            <w:i/>
            <w:color w:val="auto"/>
            <w:sz w:val="24"/>
            <w:szCs w:val="24"/>
            <w:u w:val="none"/>
          </w:rPr>
          <w:t>27265/95</w:t>
        </w:r>
        <w:proofErr w:type="gramEnd"/>
      </w:hyperlink>
      <w:r w:rsidR="00E17858" w:rsidRPr="00C46D2B">
        <w:rPr>
          <w:rStyle w:val="sbb9ee52a"/>
          <w:rFonts w:ascii="Arial" w:hAnsi="Arial" w:cs="Arial"/>
          <w:i/>
          <w:sz w:val="24"/>
          <w:szCs w:val="24"/>
        </w:rPr>
        <w:t xml:space="preserve">, </w:t>
      </w:r>
      <w:r w:rsidR="00E17858" w:rsidRPr="00C46D2B">
        <w:rPr>
          <w:rStyle w:val="sbb9ee52a"/>
          <w:rFonts w:ascii="Arial" w:hAnsi="Arial" w:cs="Arial"/>
          <w:i/>
          <w:color w:val="000000"/>
          <w:sz w:val="24"/>
          <w:szCs w:val="24"/>
        </w:rPr>
        <w:t>§ 85, 17 October 2002, and </w:t>
      </w:r>
      <w:proofErr w:type="spellStart"/>
      <w:r w:rsidR="00E17858" w:rsidRPr="00C46D2B">
        <w:rPr>
          <w:rStyle w:val="sa36b60a1"/>
          <w:rFonts w:ascii="Arial" w:hAnsi="Arial" w:cs="Arial"/>
          <w:i/>
          <w:iCs/>
          <w:color w:val="000000"/>
          <w:sz w:val="24"/>
          <w:szCs w:val="24"/>
        </w:rPr>
        <w:t>Wieczorek</w:t>
      </w:r>
      <w:proofErr w:type="spellEnd"/>
      <w:r w:rsidR="00E17858" w:rsidRPr="00C46D2B">
        <w:rPr>
          <w:rStyle w:val="sa36b60a1"/>
          <w:rFonts w:ascii="Arial" w:hAnsi="Arial" w:cs="Arial"/>
          <w:i/>
          <w:iCs/>
          <w:color w:val="000000"/>
          <w:sz w:val="24"/>
          <w:szCs w:val="24"/>
        </w:rPr>
        <w:t xml:space="preserve"> v. Poland</w:t>
      </w:r>
      <w:r w:rsidR="00E17858" w:rsidRPr="00C46D2B">
        <w:rPr>
          <w:rStyle w:val="sbb9ee52a"/>
          <w:rFonts w:ascii="Arial" w:hAnsi="Arial" w:cs="Arial"/>
          <w:i/>
          <w:color w:val="000000"/>
          <w:sz w:val="24"/>
          <w:szCs w:val="24"/>
        </w:rPr>
        <w:t>, no. </w:t>
      </w:r>
      <w:hyperlink r:id="rId9" w:anchor="{%22appno%22:[%2218176/05%22]}" w:tgtFrame="_blank" w:history="1">
        <w:r w:rsidR="00E17858" w:rsidRPr="00C46D2B">
          <w:rPr>
            <w:rStyle w:val="Collegamentoipertestuale"/>
            <w:rFonts w:ascii="Arial" w:hAnsi="Arial" w:cs="Arial"/>
            <w:i/>
            <w:color w:val="auto"/>
            <w:sz w:val="24"/>
            <w:szCs w:val="24"/>
            <w:u w:val="none"/>
          </w:rPr>
          <w:t>18176/05</w:t>
        </w:r>
      </w:hyperlink>
      <w:r w:rsidR="00E17858" w:rsidRPr="00C46D2B">
        <w:rPr>
          <w:rStyle w:val="sbb9ee52a"/>
          <w:rFonts w:ascii="Arial" w:hAnsi="Arial" w:cs="Arial"/>
          <w:i/>
          <w:sz w:val="24"/>
          <w:szCs w:val="24"/>
        </w:rPr>
        <w:t>, § 59, 8 December 2009).</w:t>
      </w:r>
    </w:p>
    <w:p w:rsidR="00E17858" w:rsidRDefault="00E17858" w:rsidP="004F6E28">
      <w:pPr>
        <w:pStyle w:val="s9793a85b"/>
        <w:shd w:val="clear" w:color="auto" w:fill="FFFFFF"/>
        <w:spacing w:before="0" w:beforeAutospacing="0" w:after="0" w:afterAutospacing="0"/>
        <w:ind w:firstLine="284"/>
        <w:jc w:val="both"/>
        <w:rPr>
          <w:rStyle w:val="sbb9ee52a"/>
          <w:rFonts w:ascii="Arial" w:hAnsi="Arial" w:cs="Arial"/>
          <w:color w:val="000000"/>
        </w:rPr>
      </w:pPr>
      <w:r w:rsidRPr="00C46D2B">
        <w:rPr>
          <w:rStyle w:val="sbb9ee52a"/>
          <w:rFonts w:ascii="Arial" w:hAnsi="Arial" w:cs="Arial"/>
          <w:i/>
          <w:lang w:val="en-GB"/>
        </w:rPr>
        <w:t xml:space="preserve">97.  Article 1 of Protocol No. 1 also requires that any interference be reasonably proportionate to the aim sought to be realised. In other words, a “fair balance” </w:t>
      </w:r>
      <w:proofErr w:type="gramStart"/>
      <w:r w:rsidRPr="00C46D2B">
        <w:rPr>
          <w:rStyle w:val="sbb9ee52a"/>
          <w:rFonts w:ascii="Arial" w:hAnsi="Arial" w:cs="Arial"/>
          <w:i/>
          <w:lang w:val="en-GB"/>
        </w:rPr>
        <w:t>must be struck</w:t>
      </w:r>
      <w:proofErr w:type="gramEnd"/>
      <w:r w:rsidRPr="00C46D2B">
        <w:rPr>
          <w:rStyle w:val="sbb9ee52a"/>
          <w:rFonts w:ascii="Arial" w:hAnsi="Arial" w:cs="Arial"/>
          <w:i/>
          <w:lang w:val="en-GB"/>
        </w:rPr>
        <w:t xml:space="preserve"> between the demands of the general interest of the community and the requirements of the protection of the individual’s fundamental rights. The requisite balance </w:t>
      </w:r>
      <w:proofErr w:type="gramStart"/>
      <w:r w:rsidRPr="00C46D2B">
        <w:rPr>
          <w:rStyle w:val="sbb9ee52a"/>
          <w:rFonts w:ascii="Arial" w:hAnsi="Arial" w:cs="Arial"/>
          <w:i/>
          <w:lang w:val="en-GB"/>
        </w:rPr>
        <w:t>will not be found</w:t>
      </w:r>
      <w:proofErr w:type="gramEnd"/>
      <w:r w:rsidRPr="00C46D2B">
        <w:rPr>
          <w:rStyle w:val="sbb9ee52a"/>
          <w:rFonts w:ascii="Arial" w:hAnsi="Arial" w:cs="Arial"/>
          <w:i/>
          <w:lang w:val="en-GB"/>
        </w:rPr>
        <w:t xml:space="preserve"> if the person or persons concerned have had to bear an individual and excessive burden (see, amongst many other authorities, </w:t>
      </w:r>
      <w:r w:rsidRPr="00C46D2B">
        <w:rPr>
          <w:rStyle w:val="sa36b60a1"/>
          <w:rFonts w:ascii="Arial" w:hAnsi="Arial" w:cs="Arial"/>
          <w:i/>
          <w:iCs/>
          <w:lang w:val="en-GB"/>
        </w:rPr>
        <w:t>The Former King of Greece and Others v. Greece</w:t>
      </w:r>
      <w:r w:rsidRPr="00C46D2B">
        <w:rPr>
          <w:rStyle w:val="sbb9ee52a"/>
          <w:rFonts w:ascii="Arial" w:hAnsi="Arial" w:cs="Arial"/>
          <w:i/>
          <w:lang w:val="en-GB"/>
        </w:rPr>
        <w:t> [GC], no. </w:t>
      </w:r>
      <w:hyperlink r:id="rId10" w:anchor="{%22appno%22:[%2225701/94%22]}" w:tgtFrame="_blank" w:history="1">
        <w:proofErr w:type="gramStart"/>
        <w:r w:rsidRPr="00C46D2B">
          <w:rPr>
            <w:rStyle w:val="Collegamentoipertestuale"/>
            <w:rFonts w:ascii="Arial" w:hAnsi="Arial" w:cs="Arial"/>
            <w:i/>
            <w:color w:val="auto"/>
            <w:u w:val="none"/>
            <w:lang w:val="en-GB"/>
          </w:rPr>
          <w:t>25701/94</w:t>
        </w:r>
        <w:proofErr w:type="gramEnd"/>
      </w:hyperlink>
      <w:r w:rsidRPr="00C46D2B">
        <w:rPr>
          <w:rStyle w:val="sbb9ee52a"/>
          <w:rFonts w:ascii="Arial" w:hAnsi="Arial" w:cs="Arial"/>
          <w:i/>
          <w:lang w:val="en-GB"/>
        </w:rPr>
        <w:t>, §§ 79 and 82, ECHR 2000-XII, and </w:t>
      </w:r>
      <w:proofErr w:type="spellStart"/>
      <w:r w:rsidRPr="00C46D2B">
        <w:rPr>
          <w:rStyle w:val="sa36b60a1"/>
          <w:rFonts w:ascii="Arial" w:hAnsi="Arial" w:cs="Arial"/>
          <w:i/>
          <w:iCs/>
          <w:lang w:val="en-GB"/>
        </w:rPr>
        <w:t>Jahn</w:t>
      </w:r>
      <w:proofErr w:type="spellEnd"/>
      <w:r w:rsidRPr="00C46D2B">
        <w:rPr>
          <w:rStyle w:val="sa36b60a1"/>
          <w:rFonts w:ascii="Arial" w:hAnsi="Arial" w:cs="Arial"/>
          <w:i/>
          <w:iCs/>
          <w:lang w:val="en-GB"/>
        </w:rPr>
        <w:t> and Others v. Germany</w:t>
      </w:r>
      <w:r w:rsidRPr="00C46D2B">
        <w:rPr>
          <w:rStyle w:val="sbb9ee52a"/>
          <w:rFonts w:ascii="Arial" w:hAnsi="Arial" w:cs="Arial"/>
          <w:i/>
          <w:lang w:val="en-GB"/>
        </w:rPr>
        <w:t> [GC], nos. </w:t>
      </w:r>
      <w:hyperlink r:id="rId11" w:anchor="{%22appno%22:[%2246720/99%22]}" w:tgtFrame="_blank" w:history="1">
        <w:r w:rsidRPr="00C46D2B">
          <w:rPr>
            <w:rStyle w:val="Collegamentoipertestuale"/>
            <w:rFonts w:ascii="Arial" w:hAnsi="Arial" w:cs="Arial"/>
            <w:i/>
            <w:color w:val="auto"/>
            <w:u w:val="none"/>
            <w:lang w:val="en-GB"/>
          </w:rPr>
          <w:t>46720/99</w:t>
        </w:r>
      </w:hyperlink>
      <w:r w:rsidRPr="00C46D2B">
        <w:rPr>
          <w:rStyle w:val="sbb9ee52a"/>
          <w:rFonts w:ascii="Arial" w:hAnsi="Arial" w:cs="Arial"/>
          <w:i/>
          <w:lang w:val="en-GB"/>
        </w:rPr>
        <w:t>, </w:t>
      </w:r>
      <w:hyperlink r:id="rId12" w:anchor="{%22appno%22:[%2272203/01%22]}" w:tgtFrame="_blank" w:history="1">
        <w:r w:rsidRPr="00C46D2B">
          <w:rPr>
            <w:rStyle w:val="Collegamentoipertestuale"/>
            <w:rFonts w:ascii="Arial" w:hAnsi="Arial" w:cs="Arial"/>
            <w:i/>
            <w:color w:val="auto"/>
            <w:u w:val="none"/>
            <w:lang w:val="en-GB"/>
          </w:rPr>
          <w:t>72203/01</w:t>
        </w:r>
      </w:hyperlink>
      <w:r w:rsidRPr="00C46D2B">
        <w:rPr>
          <w:rStyle w:val="sbb9ee52a"/>
          <w:rFonts w:ascii="Arial" w:hAnsi="Arial" w:cs="Arial"/>
          <w:i/>
          <w:lang w:val="en-GB"/>
        </w:rPr>
        <w:t> and </w:t>
      </w:r>
      <w:hyperlink r:id="rId13" w:anchor="{%22appno%22:[%2272552/01%22]}" w:tgtFrame="_blank" w:history="1">
        <w:r w:rsidRPr="00C46D2B">
          <w:rPr>
            <w:rStyle w:val="Collegamentoipertestuale"/>
            <w:rFonts w:ascii="Arial" w:hAnsi="Arial" w:cs="Arial"/>
            <w:i/>
            <w:color w:val="auto"/>
            <w:u w:val="none"/>
            <w:lang w:val="en-GB"/>
          </w:rPr>
          <w:t>72552/01</w:t>
        </w:r>
      </w:hyperlink>
      <w:r w:rsidRPr="00C46D2B">
        <w:rPr>
          <w:rStyle w:val="sbb9ee52a"/>
          <w:rFonts w:ascii="Arial" w:hAnsi="Arial" w:cs="Arial"/>
          <w:i/>
          <w:lang w:val="en-GB"/>
        </w:rPr>
        <w:t>, §§ 81</w:t>
      </w:r>
      <w:r w:rsidRPr="00C46D2B">
        <w:rPr>
          <w:rStyle w:val="sbb9ee52a"/>
          <w:rFonts w:ascii="Arial" w:hAnsi="Arial" w:cs="Arial"/>
          <w:i/>
          <w:lang w:val="en-GB"/>
        </w:rPr>
        <w:noBreakHyphen/>
        <w:t>94, ECHR 2005-VI). Furthermore, a wide margin of appreciation is usually allowed to the State under the Convention when it comes to general measures of political, economic or social strategy, and the Court generally respects the legislature’s policy choice unless it is “manifestly without reasonable foundation” (see </w:t>
      </w:r>
      <w:proofErr w:type="spellStart"/>
      <w:r w:rsidRPr="00C46D2B">
        <w:rPr>
          <w:rStyle w:val="sa36b60a1"/>
          <w:rFonts w:ascii="Arial" w:hAnsi="Arial" w:cs="Arial"/>
          <w:i/>
          <w:iCs/>
          <w:lang w:val="en-GB"/>
        </w:rPr>
        <w:t>Azienda</w:t>
      </w:r>
      <w:proofErr w:type="spellEnd"/>
      <w:r w:rsidRPr="00C46D2B">
        <w:rPr>
          <w:rStyle w:val="sa36b60a1"/>
          <w:rFonts w:ascii="Arial" w:hAnsi="Arial" w:cs="Arial"/>
          <w:i/>
          <w:iCs/>
          <w:lang w:val="en-GB"/>
        </w:rPr>
        <w:t xml:space="preserve"> Agricola </w:t>
      </w:r>
      <w:proofErr w:type="spellStart"/>
      <w:r w:rsidRPr="00C46D2B">
        <w:rPr>
          <w:rStyle w:val="sa36b60a1"/>
          <w:rFonts w:ascii="Arial" w:hAnsi="Arial" w:cs="Arial"/>
          <w:i/>
          <w:iCs/>
          <w:lang w:val="en-GB"/>
        </w:rPr>
        <w:t>Silverfunghi</w:t>
      </w:r>
      <w:proofErr w:type="spellEnd"/>
      <w:r w:rsidRPr="00C46D2B">
        <w:rPr>
          <w:rStyle w:val="sa36b60a1"/>
          <w:rFonts w:ascii="Arial" w:hAnsi="Arial" w:cs="Arial"/>
          <w:i/>
          <w:iCs/>
          <w:lang w:val="en-GB"/>
        </w:rPr>
        <w:t xml:space="preserve"> </w:t>
      </w:r>
      <w:proofErr w:type="spellStart"/>
      <w:r w:rsidRPr="00C46D2B">
        <w:rPr>
          <w:rStyle w:val="sa36b60a1"/>
          <w:rFonts w:ascii="Arial" w:hAnsi="Arial" w:cs="Arial"/>
          <w:i/>
          <w:iCs/>
          <w:lang w:val="en-GB"/>
        </w:rPr>
        <w:t>S.a.s</w:t>
      </w:r>
      <w:proofErr w:type="spellEnd"/>
      <w:r w:rsidRPr="00C46D2B">
        <w:rPr>
          <w:rStyle w:val="sa36b60a1"/>
          <w:rFonts w:ascii="Arial" w:hAnsi="Arial" w:cs="Arial"/>
          <w:i/>
          <w:iCs/>
          <w:lang w:val="en-GB"/>
        </w:rPr>
        <w:t>.</w:t>
      </w:r>
      <w:r w:rsidRPr="00C46D2B">
        <w:rPr>
          <w:rStyle w:val="sbb9ee52a"/>
          <w:rFonts w:ascii="Arial" w:hAnsi="Arial" w:cs="Arial"/>
          <w:i/>
          <w:lang w:val="en-GB"/>
        </w:rPr>
        <w:t> </w:t>
      </w:r>
      <w:r w:rsidRPr="00C46D2B">
        <w:rPr>
          <w:rStyle w:val="sa36b60a1"/>
          <w:rFonts w:ascii="Arial" w:hAnsi="Arial" w:cs="Arial"/>
          <w:i/>
          <w:iCs/>
          <w:lang w:val="en-GB"/>
        </w:rPr>
        <w:t>and Others v. Italy</w:t>
      </w:r>
      <w:r w:rsidRPr="00C46D2B">
        <w:rPr>
          <w:rStyle w:val="sbb9ee52a"/>
          <w:rFonts w:ascii="Arial" w:hAnsi="Arial" w:cs="Arial"/>
          <w:i/>
          <w:lang w:val="en-GB"/>
        </w:rPr>
        <w:t>, nos. </w:t>
      </w:r>
      <w:hyperlink r:id="rId14" w:anchor="{%22appno%22:[%2248357/07%22]}" w:tgtFrame="_blank" w:history="1">
        <w:r w:rsidRPr="00C46D2B">
          <w:rPr>
            <w:rStyle w:val="Collegamentoipertestuale"/>
            <w:rFonts w:ascii="Arial" w:hAnsi="Arial" w:cs="Arial"/>
            <w:i/>
            <w:color w:val="auto"/>
            <w:u w:val="none"/>
          </w:rPr>
          <w:t>48357/07</w:t>
        </w:r>
      </w:hyperlink>
      <w:r w:rsidRPr="00C46D2B">
        <w:rPr>
          <w:rStyle w:val="sbb9ee52a"/>
          <w:rFonts w:ascii="Arial" w:hAnsi="Arial" w:cs="Arial"/>
          <w:i/>
        </w:rPr>
        <w:t>, </w:t>
      </w:r>
      <w:hyperlink r:id="rId15" w:anchor="{%22appno%22:[%2252677/07%22]}" w:tgtFrame="_blank" w:history="1">
        <w:r w:rsidRPr="00C46D2B">
          <w:rPr>
            <w:rStyle w:val="Collegamentoipertestuale"/>
            <w:rFonts w:ascii="Arial" w:hAnsi="Arial" w:cs="Arial"/>
            <w:i/>
            <w:color w:val="auto"/>
            <w:u w:val="none"/>
          </w:rPr>
          <w:t>52677/07</w:t>
        </w:r>
      </w:hyperlink>
      <w:r w:rsidRPr="00C46D2B">
        <w:rPr>
          <w:rStyle w:val="sbb9ee52a"/>
          <w:rFonts w:ascii="Arial" w:hAnsi="Arial" w:cs="Arial"/>
          <w:i/>
        </w:rPr>
        <w:t>, </w:t>
      </w:r>
      <w:hyperlink r:id="rId16" w:anchor="{%22appno%22:[%2252687/07%22]}" w:tgtFrame="_blank" w:history="1">
        <w:r w:rsidRPr="00C46D2B">
          <w:rPr>
            <w:rStyle w:val="Collegamentoipertestuale"/>
            <w:rFonts w:ascii="Arial" w:hAnsi="Arial" w:cs="Arial"/>
            <w:i/>
            <w:color w:val="auto"/>
            <w:u w:val="none"/>
          </w:rPr>
          <w:t>52687/07</w:t>
        </w:r>
      </w:hyperlink>
      <w:r w:rsidRPr="00C46D2B">
        <w:rPr>
          <w:rStyle w:val="sbb9ee52a"/>
          <w:rFonts w:ascii="Arial" w:hAnsi="Arial" w:cs="Arial"/>
          <w:i/>
        </w:rPr>
        <w:t> and </w:t>
      </w:r>
      <w:hyperlink r:id="rId17" w:anchor="{%22appno%22:[%2252701/07%22]}" w:tgtFrame="_blank" w:history="1">
        <w:r w:rsidRPr="00C46D2B">
          <w:rPr>
            <w:rStyle w:val="Collegamentoipertestuale"/>
            <w:rFonts w:ascii="Arial" w:hAnsi="Arial" w:cs="Arial"/>
            <w:i/>
            <w:color w:val="auto"/>
            <w:u w:val="none"/>
          </w:rPr>
          <w:t>52701/07</w:t>
        </w:r>
      </w:hyperlink>
      <w:r w:rsidRPr="00C46D2B">
        <w:rPr>
          <w:rStyle w:val="sbb9ee52a"/>
          <w:rFonts w:ascii="Arial" w:hAnsi="Arial" w:cs="Arial"/>
          <w:i/>
        </w:rPr>
        <w:t>, § 103, 24</w:t>
      </w:r>
      <w:r w:rsidRPr="00C46D2B">
        <w:rPr>
          <w:rStyle w:val="sbb9ee52a"/>
          <w:rFonts w:ascii="Arial" w:hAnsi="Arial" w:cs="Arial"/>
          <w:i/>
          <w:color w:val="000000"/>
        </w:rPr>
        <w:t> </w:t>
      </w:r>
      <w:proofErr w:type="spellStart"/>
      <w:r w:rsidRPr="00C46D2B">
        <w:rPr>
          <w:rStyle w:val="sbb9ee52a"/>
          <w:rFonts w:ascii="Arial" w:hAnsi="Arial" w:cs="Arial"/>
          <w:i/>
          <w:color w:val="000000"/>
        </w:rPr>
        <w:t>June</w:t>
      </w:r>
      <w:proofErr w:type="spellEnd"/>
      <w:r w:rsidRPr="00C46D2B">
        <w:rPr>
          <w:rStyle w:val="sbb9ee52a"/>
          <w:rFonts w:ascii="Arial" w:hAnsi="Arial" w:cs="Arial"/>
          <w:i/>
          <w:color w:val="000000"/>
        </w:rPr>
        <w:t xml:space="preserve"> 2014</w:t>
      </w:r>
      <w:r w:rsidRPr="004F6E28">
        <w:rPr>
          <w:rStyle w:val="sbb9ee52a"/>
          <w:rFonts w:ascii="Arial" w:hAnsi="Arial" w:cs="Arial"/>
          <w:color w:val="000000"/>
        </w:rPr>
        <w:t>)</w:t>
      </w:r>
      <w:r w:rsidR="001450C4" w:rsidRPr="004F6E28">
        <w:rPr>
          <w:rStyle w:val="sbb9ee52a"/>
          <w:rFonts w:ascii="Arial" w:hAnsi="Arial" w:cs="Arial"/>
          <w:color w:val="000000"/>
        </w:rPr>
        <w:t>”</w:t>
      </w:r>
      <w:r w:rsidRPr="004F6E28">
        <w:rPr>
          <w:rStyle w:val="sbb9ee52a"/>
          <w:rFonts w:ascii="Arial" w:hAnsi="Arial" w:cs="Arial"/>
          <w:color w:val="000000"/>
        </w:rPr>
        <w:t>.</w:t>
      </w:r>
    </w:p>
    <w:p w:rsidR="001450C4" w:rsidRDefault="00A21D83" w:rsidP="004F6E28">
      <w:pPr>
        <w:shd w:val="clear" w:color="auto" w:fill="FFFFFF"/>
        <w:spacing w:after="0" w:line="240" w:lineRule="auto"/>
        <w:jc w:val="both"/>
        <w:rPr>
          <w:rFonts w:ascii="Arial" w:hAnsi="Arial" w:cs="Arial"/>
          <w:color w:val="666666"/>
          <w:sz w:val="24"/>
          <w:szCs w:val="24"/>
          <w:shd w:val="clear" w:color="auto" w:fill="FFFFFF"/>
        </w:rPr>
      </w:pPr>
      <w:r w:rsidRPr="004F6E28">
        <w:rPr>
          <w:rFonts w:ascii="Arial" w:hAnsi="Arial" w:cs="Arial"/>
          <w:color w:val="666666"/>
          <w:sz w:val="24"/>
          <w:szCs w:val="24"/>
          <w:shd w:val="clear" w:color="auto" w:fill="FFFFFF"/>
          <w:lang w:val="it-IT"/>
        </w:rPr>
        <w:t>N</w:t>
      </w:r>
      <w:r w:rsidR="001450C4" w:rsidRPr="004F6E28">
        <w:rPr>
          <w:rFonts w:ascii="Arial" w:hAnsi="Arial" w:cs="Arial"/>
          <w:color w:val="666666"/>
          <w:sz w:val="24"/>
          <w:szCs w:val="24"/>
          <w:shd w:val="clear" w:color="auto" w:fill="FFFFFF"/>
          <w:lang w:val="it-IT"/>
        </w:rPr>
        <w:t>ella stessa</w:t>
      </w:r>
      <w:r w:rsidR="00C46D2B">
        <w:rPr>
          <w:rFonts w:ascii="Arial" w:hAnsi="Arial" w:cs="Arial"/>
          <w:color w:val="666666"/>
          <w:sz w:val="24"/>
          <w:szCs w:val="24"/>
          <w:shd w:val="clear" w:color="auto" w:fill="FFFFFF"/>
          <w:lang w:val="it-IT"/>
        </w:rPr>
        <w:t xml:space="preserve"> decisione</w:t>
      </w:r>
      <w:r w:rsidR="00A02157">
        <w:rPr>
          <w:rFonts w:ascii="Arial" w:hAnsi="Arial" w:cs="Arial"/>
          <w:color w:val="666666"/>
          <w:sz w:val="24"/>
          <w:szCs w:val="24"/>
          <w:shd w:val="clear" w:color="auto" w:fill="FFFFFF"/>
          <w:lang w:val="it-IT"/>
        </w:rPr>
        <w:t xml:space="preserve"> la Corte</w:t>
      </w:r>
      <w:r w:rsidR="001450C4" w:rsidRPr="004F6E28">
        <w:rPr>
          <w:rFonts w:ascii="Arial" w:hAnsi="Arial" w:cs="Arial"/>
          <w:color w:val="666666"/>
          <w:sz w:val="24"/>
          <w:szCs w:val="24"/>
          <w:shd w:val="clear" w:color="auto" w:fill="FFFFFF"/>
          <w:lang w:val="it-IT"/>
        </w:rPr>
        <w:t xml:space="preserve"> </w:t>
      </w:r>
      <w:r w:rsidR="00D50E1A" w:rsidRPr="004F6E28">
        <w:rPr>
          <w:rFonts w:ascii="Arial" w:hAnsi="Arial" w:cs="Arial"/>
          <w:color w:val="666666"/>
          <w:sz w:val="24"/>
          <w:szCs w:val="24"/>
          <w:shd w:val="clear" w:color="auto" w:fill="FFFFFF"/>
          <w:lang w:val="it-IT"/>
        </w:rPr>
        <w:t>ha precisato che la lotta alla corruzione ed al crimine organizzato</w:t>
      </w:r>
      <w:r w:rsidR="00F74880">
        <w:rPr>
          <w:rFonts w:ascii="Arial" w:hAnsi="Arial" w:cs="Arial"/>
          <w:color w:val="666666"/>
          <w:sz w:val="24"/>
          <w:szCs w:val="24"/>
          <w:shd w:val="clear" w:color="auto" w:fill="FFFFFF"/>
          <w:lang w:val="it-IT"/>
        </w:rPr>
        <w:t>,</w:t>
      </w:r>
      <w:r w:rsidR="00D50E1A" w:rsidRPr="004F6E28">
        <w:rPr>
          <w:rFonts w:ascii="Arial" w:hAnsi="Arial" w:cs="Arial"/>
          <w:color w:val="666666"/>
          <w:sz w:val="24"/>
          <w:szCs w:val="24"/>
          <w:shd w:val="clear" w:color="auto" w:fill="FFFFFF"/>
          <w:lang w:val="it-IT"/>
        </w:rPr>
        <w:t xml:space="preserve"> nell’impalcatura </w:t>
      </w:r>
      <w:r w:rsidR="001450C4" w:rsidRPr="004F6E28">
        <w:rPr>
          <w:rFonts w:ascii="Arial" w:hAnsi="Arial" w:cs="Arial"/>
          <w:color w:val="666666"/>
          <w:sz w:val="24"/>
          <w:szCs w:val="24"/>
          <w:shd w:val="clear" w:color="auto" w:fill="FFFFFF"/>
          <w:lang w:val="it-IT"/>
        </w:rPr>
        <w:t>europea dei diritti</w:t>
      </w:r>
      <w:r w:rsidR="00F74880">
        <w:rPr>
          <w:rFonts w:ascii="Arial" w:hAnsi="Arial" w:cs="Arial"/>
          <w:color w:val="666666"/>
          <w:sz w:val="24"/>
          <w:szCs w:val="24"/>
          <w:shd w:val="clear" w:color="auto" w:fill="FFFFFF"/>
          <w:lang w:val="it-IT"/>
        </w:rPr>
        <w:t>,</w:t>
      </w:r>
      <w:r w:rsidR="00A02157">
        <w:rPr>
          <w:rFonts w:ascii="Arial" w:hAnsi="Arial" w:cs="Arial"/>
          <w:color w:val="666666"/>
          <w:sz w:val="24"/>
          <w:szCs w:val="24"/>
          <w:shd w:val="clear" w:color="auto" w:fill="FFFFFF"/>
          <w:lang w:val="it-IT"/>
        </w:rPr>
        <w:t xml:space="preserve"> ammette</w:t>
      </w:r>
      <w:r w:rsidR="00D50E1A" w:rsidRPr="004F6E28">
        <w:rPr>
          <w:rFonts w:ascii="Arial" w:hAnsi="Arial" w:cs="Arial"/>
          <w:color w:val="666666"/>
          <w:sz w:val="24"/>
          <w:szCs w:val="24"/>
          <w:shd w:val="clear" w:color="auto" w:fill="FFFFFF"/>
          <w:lang w:val="it-IT"/>
        </w:rPr>
        <w:t xml:space="preserve"> misure che colpiscono la proprietà privata anche in assenza di condanne e sulla base di un quadro indiziario sufficientemente concreto. </w:t>
      </w:r>
      <w:proofErr w:type="gramStart"/>
      <w:r w:rsidR="00D50E1A" w:rsidRPr="004F6E28">
        <w:rPr>
          <w:rFonts w:ascii="Arial" w:hAnsi="Arial" w:cs="Arial"/>
          <w:color w:val="666666"/>
          <w:sz w:val="24"/>
          <w:szCs w:val="24"/>
          <w:shd w:val="clear" w:color="auto" w:fill="FFFFFF"/>
        </w:rPr>
        <w:t>Vi</w:t>
      </w:r>
      <w:proofErr w:type="gramEnd"/>
      <w:r w:rsidR="00D50E1A" w:rsidRPr="004F6E28">
        <w:rPr>
          <w:rFonts w:ascii="Arial" w:hAnsi="Arial" w:cs="Arial"/>
          <w:color w:val="666666"/>
          <w:sz w:val="24"/>
          <w:szCs w:val="24"/>
          <w:shd w:val="clear" w:color="auto" w:fill="FFFFFF"/>
        </w:rPr>
        <w:t xml:space="preserve"> </w:t>
      </w:r>
      <w:proofErr w:type="spellStart"/>
      <w:r w:rsidR="00D50E1A" w:rsidRPr="004F6E28">
        <w:rPr>
          <w:rFonts w:ascii="Arial" w:hAnsi="Arial" w:cs="Arial"/>
          <w:color w:val="666666"/>
          <w:sz w:val="24"/>
          <w:szCs w:val="24"/>
          <w:shd w:val="clear" w:color="auto" w:fill="FFFFFF"/>
        </w:rPr>
        <w:t>si</w:t>
      </w:r>
      <w:proofErr w:type="spellEnd"/>
      <w:r w:rsidR="00D50E1A" w:rsidRPr="004F6E28">
        <w:rPr>
          <w:rFonts w:ascii="Arial" w:hAnsi="Arial" w:cs="Arial"/>
          <w:color w:val="666666"/>
          <w:sz w:val="24"/>
          <w:szCs w:val="24"/>
          <w:shd w:val="clear" w:color="auto" w:fill="FFFFFF"/>
        </w:rPr>
        <w:t xml:space="preserve"> </w:t>
      </w:r>
      <w:proofErr w:type="spellStart"/>
      <w:r w:rsidR="00D50E1A" w:rsidRPr="004F6E28">
        <w:rPr>
          <w:rFonts w:ascii="Arial" w:hAnsi="Arial" w:cs="Arial"/>
          <w:color w:val="666666"/>
          <w:sz w:val="24"/>
          <w:szCs w:val="24"/>
          <w:shd w:val="clear" w:color="auto" w:fill="FFFFFF"/>
        </w:rPr>
        <w:t>legge</w:t>
      </w:r>
      <w:proofErr w:type="spellEnd"/>
      <w:r w:rsidR="00D50E1A" w:rsidRPr="004F6E28">
        <w:rPr>
          <w:rFonts w:ascii="Arial" w:hAnsi="Arial" w:cs="Arial"/>
          <w:color w:val="666666"/>
          <w:sz w:val="24"/>
          <w:szCs w:val="24"/>
          <w:shd w:val="clear" w:color="auto" w:fill="FFFFFF"/>
        </w:rPr>
        <w:t xml:space="preserve"> </w:t>
      </w:r>
      <w:proofErr w:type="spellStart"/>
      <w:r w:rsidR="00D50E1A" w:rsidRPr="004F6E28">
        <w:rPr>
          <w:rFonts w:ascii="Arial" w:hAnsi="Arial" w:cs="Arial"/>
          <w:color w:val="666666"/>
          <w:sz w:val="24"/>
          <w:szCs w:val="24"/>
          <w:shd w:val="clear" w:color="auto" w:fill="FFFFFF"/>
        </w:rPr>
        <w:t>infatti</w:t>
      </w:r>
      <w:proofErr w:type="spellEnd"/>
      <w:r w:rsidR="00D50E1A" w:rsidRPr="004F6E28">
        <w:rPr>
          <w:rFonts w:ascii="Arial" w:hAnsi="Arial" w:cs="Arial"/>
          <w:color w:val="666666"/>
          <w:sz w:val="24"/>
          <w:szCs w:val="24"/>
          <w:shd w:val="clear" w:color="auto" w:fill="FFFFFF"/>
        </w:rPr>
        <w:t>: “</w:t>
      </w:r>
      <w:r w:rsidR="00D50E1A" w:rsidRPr="00C46D2B">
        <w:rPr>
          <w:rStyle w:val="sbb9ee52a"/>
          <w:rFonts w:ascii="Arial" w:hAnsi="Arial" w:cs="Arial"/>
          <w:i/>
          <w:color w:val="000000"/>
          <w:sz w:val="24"/>
          <w:szCs w:val="24"/>
          <w:shd w:val="clear" w:color="auto" w:fill="FFFFFF"/>
        </w:rPr>
        <w:t xml:space="preserve">The Court also recalls previous cases in which it was required to examine, from the standpoint of the proportionality test of Article 1 of Protocol No. 1, broadly similar procedures for the forfeiture of property linked to the alleged commission of various serious offences entailing unjust enrichment. As regards property </w:t>
      </w:r>
      <w:proofErr w:type="gramStart"/>
      <w:r w:rsidR="00D50E1A" w:rsidRPr="00C46D2B">
        <w:rPr>
          <w:rStyle w:val="sbb9ee52a"/>
          <w:rFonts w:ascii="Arial" w:hAnsi="Arial" w:cs="Arial"/>
          <w:i/>
          <w:color w:val="000000"/>
          <w:sz w:val="24"/>
          <w:szCs w:val="24"/>
          <w:shd w:val="clear" w:color="auto" w:fill="FFFFFF"/>
        </w:rPr>
        <w:t>presumed to have been acquired</w:t>
      </w:r>
      <w:proofErr w:type="gramEnd"/>
      <w:r w:rsidR="00D50E1A" w:rsidRPr="00C46D2B">
        <w:rPr>
          <w:rStyle w:val="sbb9ee52a"/>
          <w:rFonts w:ascii="Arial" w:hAnsi="Arial" w:cs="Arial"/>
          <w:i/>
          <w:color w:val="000000"/>
          <w:sz w:val="24"/>
          <w:szCs w:val="24"/>
          <w:shd w:val="clear" w:color="auto" w:fill="FFFFFF"/>
        </w:rPr>
        <w:t xml:space="preserve"> either in full or in part with the proceeds of drug-trafficking offences or other illicit activities of mafia-type or criminal organisations, the Court did not see any problem in finding the confiscation measures to be proportionate even in the absence of a conviction establishing the guilt of the accused persons. The Court also found it legitimate for the relevant domestic authorities to issue confiscation orders </w:t>
      </w:r>
      <w:proofErr w:type="gramStart"/>
      <w:r w:rsidR="00D50E1A" w:rsidRPr="00C46D2B">
        <w:rPr>
          <w:rStyle w:val="sbb9ee52a"/>
          <w:rFonts w:ascii="Arial" w:hAnsi="Arial" w:cs="Arial"/>
          <w:i/>
          <w:color w:val="000000"/>
          <w:sz w:val="24"/>
          <w:szCs w:val="24"/>
          <w:shd w:val="clear" w:color="auto" w:fill="FFFFFF"/>
        </w:rPr>
        <w:t>on the basis of</w:t>
      </w:r>
      <w:proofErr w:type="gramEnd"/>
      <w:r w:rsidR="00D50E1A" w:rsidRPr="00C46D2B">
        <w:rPr>
          <w:rStyle w:val="sbb9ee52a"/>
          <w:rFonts w:ascii="Arial" w:hAnsi="Arial" w:cs="Arial"/>
          <w:i/>
          <w:color w:val="000000"/>
          <w:sz w:val="24"/>
          <w:szCs w:val="24"/>
          <w:shd w:val="clear" w:color="auto" w:fill="FFFFFF"/>
        </w:rPr>
        <w:t xml:space="preserve"> a preponderance of evidence which suggested that the respondents’ lawful incomes could not have sufficed </w:t>
      </w:r>
      <w:r w:rsidR="00D50E1A" w:rsidRPr="00C46D2B">
        <w:rPr>
          <w:rStyle w:val="sbb9ee52a"/>
          <w:rFonts w:ascii="Arial" w:hAnsi="Arial" w:cs="Arial"/>
          <w:i/>
          <w:color w:val="000000"/>
          <w:sz w:val="24"/>
          <w:szCs w:val="24"/>
          <w:shd w:val="clear" w:color="auto" w:fill="FFFFFF"/>
        </w:rPr>
        <w:lastRenderedPageBreak/>
        <w:t>for them to acquire the property in question. Indeed, whenever a confiscation order was the result of civil proceedings </w:t>
      </w:r>
      <w:r w:rsidR="00D50E1A" w:rsidRPr="00C46D2B">
        <w:rPr>
          <w:rStyle w:val="sa36b60a1"/>
          <w:rFonts w:ascii="Arial" w:hAnsi="Arial" w:cs="Arial"/>
          <w:i/>
          <w:iCs/>
          <w:color w:val="000000"/>
          <w:sz w:val="24"/>
          <w:szCs w:val="24"/>
          <w:shd w:val="clear" w:color="auto" w:fill="FFFFFF"/>
        </w:rPr>
        <w:t>in rem</w:t>
      </w:r>
      <w:r w:rsidR="00D50E1A" w:rsidRPr="00C46D2B">
        <w:rPr>
          <w:rStyle w:val="sbb9ee52a"/>
          <w:rFonts w:ascii="Arial" w:hAnsi="Arial" w:cs="Arial"/>
          <w:i/>
          <w:color w:val="000000"/>
          <w:sz w:val="24"/>
          <w:szCs w:val="24"/>
          <w:shd w:val="clear" w:color="auto" w:fill="FFFFFF"/>
        </w:rPr>
        <w:t xml:space="preserve"> which related to the proceeds of crime derived from serious offences, the Court did not require proof “beyond reasonable doubt” of the illicit origins of the property in such proceedings. Instead, proof on a balance of probabilities or a high probability of illicit origins, combined with the inability of the owner to prove the contrary, </w:t>
      </w:r>
      <w:proofErr w:type="gramStart"/>
      <w:r w:rsidR="00D50E1A" w:rsidRPr="00C46D2B">
        <w:rPr>
          <w:rStyle w:val="sbb9ee52a"/>
          <w:rFonts w:ascii="Arial" w:hAnsi="Arial" w:cs="Arial"/>
          <w:i/>
          <w:color w:val="000000"/>
          <w:sz w:val="24"/>
          <w:szCs w:val="24"/>
          <w:shd w:val="clear" w:color="auto" w:fill="FFFFFF"/>
        </w:rPr>
        <w:t>was</w:t>
      </w:r>
      <w:proofErr w:type="gramEnd"/>
      <w:r w:rsidR="00D50E1A" w:rsidRPr="00C46D2B">
        <w:rPr>
          <w:rStyle w:val="sbb9ee52a"/>
          <w:rFonts w:ascii="Arial" w:hAnsi="Arial" w:cs="Arial"/>
          <w:i/>
          <w:color w:val="000000"/>
          <w:sz w:val="24"/>
          <w:szCs w:val="24"/>
          <w:shd w:val="clear" w:color="auto" w:fill="FFFFFF"/>
        </w:rPr>
        <w:t xml:space="preserve"> found to suffice for the purposes of the proportionality test under Article 1 of Protocol No. 1. </w:t>
      </w:r>
      <w:proofErr w:type="gramStart"/>
      <w:r w:rsidR="00D50E1A" w:rsidRPr="00C46D2B">
        <w:rPr>
          <w:rStyle w:val="sbb9ee52a"/>
          <w:rFonts w:ascii="Arial" w:hAnsi="Arial" w:cs="Arial"/>
          <w:i/>
          <w:color w:val="000000"/>
          <w:sz w:val="24"/>
          <w:szCs w:val="24"/>
          <w:shd w:val="clear" w:color="auto" w:fill="FFFFFF"/>
        </w:rPr>
        <w:t>The domestic authorities were further given leeway under the Convention to apply confiscation measures not only to persons directly accused of offences but also to their family members and other close relatives who were presumed to possess and manage the ill-gotten property informally on behalf of the suspected offenders, or who otherwise lacked the necessary </w:t>
      </w:r>
      <w:r w:rsidR="00D50E1A" w:rsidRPr="00C46D2B">
        <w:rPr>
          <w:rStyle w:val="sa36b60a1"/>
          <w:rFonts w:ascii="Arial" w:hAnsi="Arial" w:cs="Arial"/>
          <w:i/>
          <w:iCs/>
          <w:color w:val="000000"/>
          <w:sz w:val="24"/>
          <w:szCs w:val="24"/>
          <w:shd w:val="clear" w:color="auto" w:fill="FFFFFF"/>
        </w:rPr>
        <w:t>bona fide</w:t>
      </w:r>
      <w:r w:rsidR="00D50E1A" w:rsidRPr="00C46D2B">
        <w:rPr>
          <w:rStyle w:val="sbb9ee52a"/>
          <w:rFonts w:ascii="Arial" w:hAnsi="Arial" w:cs="Arial"/>
          <w:i/>
          <w:color w:val="000000"/>
          <w:sz w:val="24"/>
          <w:szCs w:val="24"/>
          <w:shd w:val="clear" w:color="auto" w:fill="FFFFFF"/>
        </w:rPr>
        <w:t> status (see </w:t>
      </w:r>
      <w:r w:rsidR="00D50E1A" w:rsidRPr="00C46D2B">
        <w:rPr>
          <w:rStyle w:val="sa36b60a1"/>
          <w:rFonts w:ascii="Arial" w:hAnsi="Arial" w:cs="Arial"/>
          <w:i/>
          <w:iCs/>
          <w:color w:val="000000"/>
          <w:sz w:val="24"/>
          <w:szCs w:val="24"/>
          <w:shd w:val="clear" w:color="auto" w:fill="FFFFFF"/>
        </w:rPr>
        <w:t>Raimondo</w:t>
      </w:r>
      <w:r w:rsidR="00D50E1A" w:rsidRPr="00C46D2B">
        <w:rPr>
          <w:rStyle w:val="sbb9ee52a"/>
          <w:rFonts w:ascii="Arial" w:hAnsi="Arial" w:cs="Arial"/>
          <w:i/>
          <w:color w:val="000000"/>
          <w:sz w:val="24"/>
          <w:szCs w:val="24"/>
          <w:shd w:val="clear" w:color="auto" w:fill="FFFFFF"/>
        </w:rPr>
        <w:t>, cited above, § 30; </w:t>
      </w:r>
      <w:proofErr w:type="spellStart"/>
      <w:r w:rsidR="00D50E1A" w:rsidRPr="00C46D2B">
        <w:rPr>
          <w:rStyle w:val="sa36b60a1"/>
          <w:rFonts w:ascii="Arial" w:hAnsi="Arial" w:cs="Arial"/>
          <w:i/>
          <w:iCs/>
          <w:color w:val="000000"/>
          <w:sz w:val="24"/>
          <w:szCs w:val="24"/>
          <w:shd w:val="clear" w:color="auto" w:fill="FFFFFF"/>
        </w:rPr>
        <w:t>Arcuri</w:t>
      </w:r>
      <w:proofErr w:type="spellEnd"/>
      <w:r w:rsidR="00D50E1A" w:rsidRPr="00C46D2B">
        <w:rPr>
          <w:rStyle w:val="sa36b60a1"/>
          <w:rFonts w:ascii="Arial" w:hAnsi="Arial" w:cs="Arial"/>
          <w:i/>
          <w:iCs/>
          <w:color w:val="000000"/>
          <w:sz w:val="24"/>
          <w:szCs w:val="24"/>
          <w:shd w:val="clear" w:color="auto" w:fill="FFFFFF"/>
        </w:rPr>
        <w:t xml:space="preserve"> and Others v. Italy</w:t>
      </w:r>
      <w:r w:rsidR="00D50E1A" w:rsidRPr="00C46D2B">
        <w:rPr>
          <w:rStyle w:val="sbb9ee52a"/>
          <w:rFonts w:ascii="Arial" w:hAnsi="Arial" w:cs="Arial"/>
          <w:i/>
          <w:color w:val="000000"/>
          <w:sz w:val="24"/>
          <w:szCs w:val="24"/>
          <w:shd w:val="clear" w:color="auto" w:fill="FFFFFF"/>
        </w:rPr>
        <w:t> (</w:t>
      </w:r>
      <w:proofErr w:type="spellStart"/>
      <w:r w:rsidR="00D50E1A" w:rsidRPr="00C46D2B">
        <w:rPr>
          <w:rStyle w:val="sbb9ee52a"/>
          <w:rFonts w:ascii="Arial" w:hAnsi="Arial" w:cs="Arial"/>
          <w:i/>
          <w:color w:val="000000"/>
          <w:sz w:val="24"/>
          <w:szCs w:val="24"/>
          <w:shd w:val="clear" w:color="auto" w:fill="FFFFFF"/>
        </w:rPr>
        <w:t>dec.</w:t>
      </w:r>
      <w:proofErr w:type="spellEnd"/>
      <w:r w:rsidR="00D50E1A" w:rsidRPr="00C46D2B">
        <w:rPr>
          <w:rStyle w:val="sbb9ee52a"/>
          <w:rFonts w:ascii="Arial" w:hAnsi="Arial" w:cs="Arial"/>
          <w:i/>
          <w:color w:val="000000"/>
          <w:sz w:val="24"/>
          <w:szCs w:val="24"/>
          <w:shd w:val="clear" w:color="auto" w:fill="FFFFFF"/>
        </w:rPr>
        <w:t xml:space="preserve">), </w:t>
      </w:r>
      <w:r w:rsidR="00D50E1A" w:rsidRPr="00C46D2B">
        <w:rPr>
          <w:rStyle w:val="sbb9ee52a"/>
          <w:rFonts w:ascii="Arial" w:hAnsi="Arial" w:cs="Arial"/>
          <w:i/>
          <w:sz w:val="24"/>
          <w:szCs w:val="24"/>
          <w:shd w:val="clear" w:color="auto" w:fill="FFFFFF"/>
        </w:rPr>
        <w:t>no. </w:t>
      </w:r>
      <w:proofErr w:type="gramEnd"/>
      <w:r w:rsidR="00D50E1A" w:rsidRPr="00C46D2B">
        <w:rPr>
          <w:rStyle w:val="sbb9ee52a"/>
          <w:rFonts w:ascii="Arial" w:hAnsi="Arial" w:cs="Arial"/>
          <w:i/>
          <w:sz w:val="24"/>
          <w:szCs w:val="24"/>
          <w:shd w:val="clear" w:color="auto" w:fill="FFFFFF"/>
        </w:rPr>
        <w:fldChar w:fldCharType="begin"/>
      </w:r>
      <w:r w:rsidR="00D50E1A" w:rsidRPr="00C46D2B">
        <w:rPr>
          <w:rStyle w:val="sbb9ee52a"/>
          <w:rFonts w:ascii="Arial" w:hAnsi="Arial" w:cs="Arial"/>
          <w:i/>
          <w:sz w:val="24"/>
          <w:szCs w:val="24"/>
          <w:shd w:val="clear" w:color="auto" w:fill="FFFFFF"/>
        </w:rPr>
        <w:instrText xml:space="preserve"> HYPERLINK "https://hudoc.echr.coe.int/eng" \l "{%22appno%22:[%2252024/99%22]}" \t "_blank" </w:instrText>
      </w:r>
      <w:r w:rsidR="00D50E1A" w:rsidRPr="00C46D2B">
        <w:rPr>
          <w:rStyle w:val="sbb9ee52a"/>
          <w:rFonts w:ascii="Arial" w:hAnsi="Arial" w:cs="Arial"/>
          <w:i/>
          <w:sz w:val="24"/>
          <w:szCs w:val="24"/>
          <w:shd w:val="clear" w:color="auto" w:fill="FFFFFF"/>
        </w:rPr>
        <w:fldChar w:fldCharType="separate"/>
      </w:r>
      <w:proofErr w:type="gramStart"/>
      <w:r w:rsidR="00D50E1A" w:rsidRPr="00C46D2B">
        <w:rPr>
          <w:rStyle w:val="Collegamentoipertestuale"/>
          <w:rFonts w:ascii="Arial" w:hAnsi="Arial" w:cs="Arial"/>
          <w:i/>
          <w:color w:val="auto"/>
          <w:sz w:val="24"/>
          <w:szCs w:val="24"/>
          <w:u w:val="none"/>
        </w:rPr>
        <w:t>52024/99</w:t>
      </w:r>
      <w:proofErr w:type="gramEnd"/>
      <w:r w:rsidR="00D50E1A" w:rsidRPr="00C46D2B">
        <w:rPr>
          <w:rStyle w:val="sbb9ee52a"/>
          <w:rFonts w:ascii="Arial" w:hAnsi="Arial" w:cs="Arial"/>
          <w:i/>
          <w:sz w:val="24"/>
          <w:szCs w:val="24"/>
          <w:shd w:val="clear" w:color="auto" w:fill="FFFFFF"/>
        </w:rPr>
        <w:fldChar w:fldCharType="end"/>
      </w:r>
      <w:r w:rsidR="00D50E1A" w:rsidRPr="00C46D2B">
        <w:rPr>
          <w:rStyle w:val="sbb9ee52a"/>
          <w:rFonts w:ascii="Arial" w:hAnsi="Arial" w:cs="Arial"/>
          <w:i/>
          <w:sz w:val="24"/>
          <w:szCs w:val="24"/>
          <w:shd w:val="clear" w:color="auto" w:fill="FFFFFF"/>
        </w:rPr>
        <w:t>, ECHR 2001</w:t>
      </w:r>
      <w:r w:rsidR="00D50E1A" w:rsidRPr="00C46D2B">
        <w:rPr>
          <w:rStyle w:val="sbb9ee52a"/>
          <w:rFonts w:ascii="Arial" w:hAnsi="Arial" w:cs="Arial"/>
          <w:i/>
          <w:sz w:val="24"/>
          <w:szCs w:val="24"/>
          <w:shd w:val="clear" w:color="auto" w:fill="FFFFFF"/>
        </w:rPr>
        <w:noBreakHyphen/>
        <w:t>VII; </w:t>
      </w:r>
      <w:proofErr w:type="spellStart"/>
      <w:r w:rsidR="00D50E1A" w:rsidRPr="00C46D2B">
        <w:rPr>
          <w:rStyle w:val="sa36b60a1"/>
          <w:rFonts w:ascii="Arial" w:hAnsi="Arial" w:cs="Arial"/>
          <w:i/>
          <w:iCs/>
          <w:sz w:val="24"/>
          <w:szCs w:val="24"/>
          <w:shd w:val="clear" w:color="auto" w:fill="FFFFFF"/>
        </w:rPr>
        <w:t>Morabito</w:t>
      </w:r>
      <w:proofErr w:type="spellEnd"/>
      <w:r w:rsidR="00D50E1A" w:rsidRPr="00C46D2B">
        <w:rPr>
          <w:rStyle w:val="sa36b60a1"/>
          <w:rFonts w:ascii="Arial" w:hAnsi="Arial" w:cs="Arial"/>
          <w:i/>
          <w:iCs/>
          <w:sz w:val="24"/>
          <w:szCs w:val="24"/>
          <w:shd w:val="clear" w:color="auto" w:fill="FFFFFF"/>
        </w:rPr>
        <w:t xml:space="preserve"> and Others v. Italy</w:t>
      </w:r>
      <w:r w:rsidR="00D50E1A" w:rsidRPr="00C46D2B">
        <w:rPr>
          <w:rStyle w:val="sbb9ee52a"/>
          <w:rFonts w:ascii="Arial" w:hAnsi="Arial" w:cs="Arial"/>
          <w:i/>
          <w:sz w:val="24"/>
          <w:szCs w:val="24"/>
          <w:shd w:val="clear" w:color="auto" w:fill="FFFFFF"/>
        </w:rPr>
        <w:t> (</w:t>
      </w:r>
      <w:proofErr w:type="spellStart"/>
      <w:r w:rsidR="00D50E1A" w:rsidRPr="00C46D2B">
        <w:rPr>
          <w:rStyle w:val="sbb9ee52a"/>
          <w:rFonts w:ascii="Arial" w:hAnsi="Arial" w:cs="Arial"/>
          <w:i/>
          <w:sz w:val="24"/>
          <w:szCs w:val="24"/>
          <w:shd w:val="clear" w:color="auto" w:fill="FFFFFF"/>
        </w:rPr>
        <w:t>dec.</w:t>
      </w:r>
      <w:proofErr w:type="spellEnd"/>
      <w:r w:rsidR="00D50E1A" w:rsidRPr="00C46D2B">
        <w:rPr>
          <w:rStyle w:val="sbb9ee52a"/>
          <w:rFonts w:ascii="Arial" w:hAnsi="Arial" w:cs="Arial"/>
          <w:i/>
          <w:sz w:val="24"/>
          <w:szCs w:val="24"/>
          <w:shd w:val="clear" w:color="auto" w:fill="FFFFFF"/>
        </w:rPr>
        <w:t>), </w:t>
      </w:r>
      <w:hyperlink r:id="rId18" w:anchor="{%22appno%22:[%2258572/00%22]}" w:tgtFrame="_blank" w:history="1">
        <w:r w:rsidR="00D50E1A" w:rsidRPr="00C46D2B">
          <w:rPr>
            <w:rStyle w:val="Collegamentoipertestuale"/>
            <w:rFonts w:ascii="Arial" w:hAnsi="Arial" w:cs="Arial"/>
            <w:i/>
            <w:color w:val="auto"/>
            <w:sz w:val="24"/>
            <w:szCs w:val="24"/>
            <w:u w:val="none"/>
          </w:rPr>
          <w:t>58572/00</w:t>
        </w:r>
      </w:hyperlink>
      <w:r w:rsidR="00D50E1A" w:rsidRPr="00C46D2B">
        <w:rPr>
          <w:rStyle w:val="sbb9ee52a"/>
          <w:rFonts w:ascii="Arial" w:hAnsi="Arial" w:cs="Arial"/>
          <w:i/>
          <w:sz w:val="24"/>
          <w:szCs w:val="24"/>
          <w:shd w:val="clear" w:color="auto" w:fill="FFFFFF"/>
        </w:rPr>
        <w:t>, ECHR 7 June 2005; </w:t>
      </w:r>
      <w:r w:rsidR="00D50E1A" w:rsidRPr="00C46D2B">
        <w:rPr>
          <w:rStyle w:val="sa36b60a1"/>
          <w:rFonts w:ascii="Arial" w:hAnsi="Arial" w:cs="Arial"/>
          <w:i/>
          <w:iCs/>
          <w:sz w:val="24"/>
          <w:szCs w:val="24"/>
          <w:shd w:val="clear" w:color="auto" w:fill="FFFFFF"/>
        </w:rPr>
        <w:t>Butler v. the United Kingdom</w:t>
      </w:r>
      <w:r w:rsidR="00D50E1A" w:rsidRPr="00C46D2B">
        <w:rPr>
          <w:rStyle w:val="sbb9ee52a"/>
          <w:rFonts w:ascii="Arial" w:hAnsi="Arial" w:cs="Arial"/>
          <w:i/>
          <w:sz w:val="24"/>
          <w:szCs w:val="24"/>
          <w:shd w:val="clear" w:color="auto" w:fill="FFFFFF"/>
        </w:rPr>
        <w:t> (</w:t>
      </w:r>
      <w:proofErr w:type="spellStart"/>
      <w:r w:rsidR="00D50E1A" w:rsidRPr="00C46D2B">
        <w:rPr>
          <w:rStyle w:val="sbb9ee52a"/>
          <w:rFonts w:ascii="Arial" w:hAnsi="Arial" w:cs="Arial"/>
          <w:i/>
          <w:sz w:val="24"/>
          <w:szCs w:val="24"/>
          <w:shd w:val="clear" w:color="auto" w:fill="FFFFFF"/>
        </w:rPr>
        <w:t>dec.</w:t>
      </w:r>
      <w:proofErr w:type="spellEnd"/>
      <w:r w:rsidR="00D50E1A" w:rsidRPr="00C46D2B">
        <w:rPr>
          <w:rStyle w:val="sbb9ee52a"/>
          <w:rFonts w:ascii="Arial" w:hAnsi="Arial" w:cs="Arial"/>
          <w:i/>
          <w:sz w:val="24"/>
          <w:szCs w:val="24"/>
          <w:shd w:val="clear" w:color="auto" w:fill="FFFFFF"/>
        </w:rPr>
        <w:t>), no. </w:t>
      </w:r>
      <w:hyperlink r:id="rId19" w:anchor="{%22appno%22:[%2241661/98%22]}" w:tgtFrame="_blank" w:history="1">
        <w:proofErr w:type="gramStart"/>
        <w:r w:rsidR="00D50E1A" w:rsidRPr="00C46D2B">
          <w:rPr>
            <w:rStyle w:val="Collegamentoipertestuale"/>
            <w:rFonts w:ascii="Arial" w:hAnsi="Arial" w:cs="Arial"/>
            <w:i/>
            <w:color w:val="auto"/>
            <w:sz w:val="24"/>
            <w:szCs w:val="24"/>
            <w:u w:val="none"/>
          </w:rPr>
          <w:t>41661/98</w:t>
        </w:r>
        <w:proofErr w:type="gramEnd"/>
      </w:hyperlink>
      <w:r w:rsidR="00D50E1A" w:rsidRPr="00C46D2B">
        <w:rPr>
          <w:rStyle w:val="sbb9ee52a"/>
          <w:rFonts w:ascii="Arial" w:hAnsi="Arial" w:cs="Arial"/>
          <w:i/>
          <w:sz w:val="24"/>
          <w:szCs w:val="24"/>
          <w:shd w:val="clear" w:color="auto" w:fill="FFFFFF"/>
        </w:rPr>
        <w:t>, 27 June 2002; </w:t>
      </w:r>
      <w:r w:rsidR="00D50E1A" w:rsidRPr="00C46D2B">
        <w:rPr>
          <w:rStyle w:val="sa36b60a1"/>
          <w:rFonts w:ascii="Arial" w:hAnsi="Arial" w:cs="Arial"/>
          <w:i/>
          <w:iCs/>
          <w:sz w:val="24"/>
          <w:szCs w:val="24"/>
          <w:shd w:val="clear" w:color="auto" w:fill="FFFFFF"/>
        </w:rPr>
        <w:t>Webb v. the United Kingdom</w:t>
      </w:r>
      <w:r w:rsidR="00D50E1A" w:rsidRPr="00C46D2B">
        <w:rPr>
          <w:rStyle w:val="sbb9ee52a"/>
          <w:rFonts w:ascii="Arial" w:hAnsi="Arial" w:cs="Arial"/>
          <w:i/>
          <w:sz w:val="24"/>
          <w:szCs w:val="24"/>
          <w:shd w:val="clear" w:color="auto" w:fill="FFFFFF"/>
        </w:rPr>
        <w:t> (</w:t>
      </w:r>
      <w:proofErr w:type="spellStart"/>
      <w:r w:rsidR="00D50E1A" w:rsidRPr="00C46D2B">
        <w:rPr>
          <w:rStyle w:val="sbb9ee52a"/>
          <w:rFonts w:ascii="Arial" w:hAnsi="Arial" w:cs="Arial"/>
          <w:i/>
          <w:sz w:val="24"/>
          <w:szCs w:val="24"/>
          <w:shd w:val="clear" w:color="auto" w:fill="FFFFFF"/>
        </w:rPr>
        <w:t>dec.</w:t>
      </w:r>
      <w:proofErr w:type="spellEnd"/>
      <w:r w:rsidR="00D50E1A" w:rsidRPr="00C46D2B">
        <w:rPr>
          <w:rStyle w:val="sbb9ee52a"/>
          <w:rFonts w:ascii="Arial" w:hAnsi="Arial" w:cs="Arial"/>
          <w:i/>
          <w:sz w:val="24"/>
          <w:szCs w:val="24"/>
          <w:shd w:val="clear" w:color="auto" w:fill="FFFFFF"/>
        </w:rPr>
        <w:t>), no. </w:t>
      </w:r>
      <w:hyperlink r:id="rId20" w:anchor="{%22appno%22:[%2256054/00%22]}" w:tgtFrame="_blank" w:history="1">
        <w:proofErr w:type="gramStart"/>
        <w:r w:rsidR="00D50E1A" w:rsidRPr="00C46D2B">
          <w:rPr>
            <w:rStyle w:val="Collegamentoipertestuale"/>
            <w:rFonts w:ascii="Arial" w:hAnsi="Arial" w:cs="Arial"/>
            <w:i/>
            <w:color w:val="auto"/>
            <w:sz w:val="24"/>
            <w:szCs w:val="24"/>
            <w:u w:val="none"/>
          </w:rPr>
          <w:t>56054/00</w:t>
        </w:r>
        <w:proofErr w:type="gramEnd"/>
      </w:hyperlink>
      <w:r w:rsidR="00D50E1A" w:rsidRPr="00C46D2B">
        <w:rPr>
          <w:rStyle w:val="sbb9ee52a"/>
          <w:rFonts w:ascii="Arial" w:hAnsi="Arial" w:cs="Arial"/>
          <w:i/>
          <w:sz w:val="24"/>
          <w:szCs w:val="24"/>
          <w:shd w:val="clear" w:color="auto" w:fill="FFFFFF"/>
        </w:rPr>
        <w:t>, 10 February 2004; and </w:t>
      </w:r>
      <w:proofErr w:type="spellStart"/>
      <w:r w:rsidR="00D50E1A" w:rsidRPr="00C46D2B">
        <w:rPr>
          <w:rStyle w:val="sa36b60a1"/>
          <w:rFonts w:ascii="Arial" w:hAnsi="Arial" w:cs="Arial"/>
          <w:i/>
          <w:iCs/>
          <w:sz w:val="24"/>
          <w:szCs w:val="24"/>
          <w:shd w:val="clear" w:color="auto" w:fill="FFFFFF"/>
        </w:rPr>
        <w:t>Saccoccia</w:t>
      </w:r>
      <w:proofErr w:type="spellEnd"/>
      <w:r w:rsidR="00D50E1A" w:rsidRPr="00C46D2B">
        <w:rPr>
          <w:rStyle w:val="sa36b60a1"/>
          <w:rFonts w:ascii="Arial" w:hAnsi="Arial" w:cs="Arial"/>
          <w:i/>
          <w:iCs/>
          <w:sz w:val="24"/>
          <w:szCs w:val="24"/>
          <w:shd w:val="clear" w:color="auto" w:fill="FFFFFF"/>
        </w:rPr>
        <w:t xml:space="preserve"> v. Austria</w:t>
      </w:r>
      <w:r w:rsidR="00D50E1A" w:rsidRPr="00C46D2B">
        <w:rPr>
          <w:rStyle w:val="sbb9ee52a"/>
          <w:rFonts w:ascii="Arial" w:hAnsi="Arial" w:cs="Arial"/>
          <w:i/>
          <w:sz w:val="24"/>
          <w:szCs w:val="24"/>
          <w:shd w:val="clear" w:color="auto" w:fill="FFFFFF"/>
        </w:rPr>
        <w:t>, no. </w:t>
      </w:r>
      <w:hyperlink r:id="rId21" w:anchor="{%22appno%22:[%2269917/01%22]}" w:tgtFrame="_blank" w:history="1">
        <w:r w:rsidR="00D50E1A" w:rsidRPr="00C46D2B">
          <w:rPr>
            <w:rStyle w:val="Collegamentoipertestuale"/>
            <w:rFonts w:ascii="Arial" w:hAnsi="Arial" w:cs="Arial"/>
            <w:i/>
            <w:color w:val="auto"/>
            <w:sz w:val="24"/>
            <w:szCs w:val="24"/>
            <w:u w:val="none"/>
          </w:rPr>
          <w:t>69917/01</w:t>
        </w:r>
      </w:hyperlink>
      <w:r w:rsidR="00D50E1A" w:rsidRPr="00C46D2B">
        <w:rPr>
          <w:rStyle w:val="sbb9ee52a"/>
          <w:rFonts w:ascii="Arial" w:hAnsi="Arial" w:cs="Arial"/>
          <w:i/>
          <w:sz w:val="24"/>
          <w:szCs w:val="24"/>
          <w:shd w:val="clear" w:color="auto" w:fill="FFFFFF"/>
        </w:rPr>
        <w:t xml:space="preserve">, </w:t>
      </w:r>
      <w:r w:rsidR="00D50E1A" w:rsidRPr="00C46D2B">
        <w:rPr>
          <w:rStyle w:val="sbb9ee52a"/>
          <w:rFonts w:ascii="Arial" w:hAnsi="Arial" w:cs="Arial"/>
          <w:i/>
          <w:color w:val="000000"/>
          <w:sz w:val="24"/>
          <w:szCs w:val="24"/>
          <w:shd w:val="clear" w:color="auto" w:fill="FFFFFF"/>
        </w:rPr>
        <w:t>§§ 87</w:t>
      </w:r>
      <w:r w:rsidR="00D50E1A" w:rsidRPr="00C46D2B">
        <w:rPr>
          <w:rStyle w:val="sbb9ee52a"/>
          <w:rFonts w:ascii="Arial" w:hAnsi="Arial" w:cs="Arial"/>
          <w:i/>
          <w:color w:val="000000"/>
          <w:sz w:val="24"/>
          <w:szCs w:val="24"/>
          <w:shd w:val="clear" w:color="auto" w:fill="FFFFFF"/>
        </w:rPr>
        <w:noBreakHyphen/>
        <w:t>91, 18 December 2008; compare also with the more recent case of </w:t>
      </w:r>
      <w:proofErr w:type="spellStart"/>
      <w:r w:rsidR="00D50E1A" w:rsidRPr="00C46D2B">
        <w:rPr>
          <w:rStyle w:val="sa36b60a1"/>
          <w:rFonts w:ascii="Arial" w:hAnsi="Arial" w:cs="Arial"/>
          <w:i/>
          <w:iCs/>
          <w:color w:val="000000"/>
          <w:sz w:val="24"/>
          <w:szCs w:val="24"/>
          <w:shd w:val="clear" w:color="auto" w:fill="FFFFFF"/>
        </w:rPr>
        <w:t>Silickienė</w:t>
      </w:r>
      <w:proofErr w:type="spellEnd"/>
      <w:r w:rsidR="00D50E1A" w:rsidRPr="00C46D2B">
        <w:rPr>
          <w:rStyle w:val="sbb9ee52a"/>
          <w:rFonts w:ascii="Arial" w:hAnsi="Arial" w:cs="Arial"/>
          <w:i/>
          <w:color w:val="000000"/>
          <w:sz w:val="24"/>
          <w:szCs w:val="24"/>
          <w:shd w:val="clear" w:color="auto" w:fill="FFFFFF"/>
        </w:rPr>
        <w:t>, cited above, §§ 60-70, where a confiscation measure was applied to the widow of a corrupt public official</w:t>
      </w:r>
      <w:r w:rsidR="00D50E1A" w:rsidRPr="004F6E28">
        <w:rPr>
          <w:rStyle w:val="sbb9ee52a"/>
          <w:rFonts w:ascii="Arial" w:hAnsi="Arial" w:cs="Arial"/>
          <w:color w:val="000000"/>
          <w:sz w:val="24"/>
          <w:szCs w:val="24"/>
          <w:shd w:val="clear" w:color="auto" w:fill="FFFFFF"/>
        </w:rPr>
        <w:t>).</w:t>
      </w:r>
      <w:r w:rsidR="00C46D2B">
        <w:rPr>
          <w:rStyle w:val="sbb9ee52a"/>
          <w:rFonts w:ascii="Arial" w:hAnsi="Arial" w:cs="Arial"/>
          <w:color w:val="000000"/>
          <w:sz w:val="24"/>
          <w:szCs w:val="24"/>
          <w:shd w:val="clear" w:color="auto" w:fill="FFFFFF"/>
        </w:rPr>
        <w:t>”</w:t>
      </w:r>
      <w:r w:rsidR="00D50E1A" w:rsidRPr="004F6E28">
        <w:rPr>
          <w:rFonts w:ascii="Arial" w:hAnsi="Arial" w:cs="Arial"/>
          <w:color w:val="666666"/>
          <w:sz w:val="24"/>
          <w:szCs w:val="24"/>
          <w:shd w:val="clear" w:color="auto" w:fill="FFFFFF"/>
        </w:rPr>
        <w:t xml:space="preserve"> </w:t>
      </w:r>
    </w:p>
    <w:p w:rsidR="00A21D83" w:rsidRPr="004F6E28" w:rsidRDefault="00D50E1A" w:rsidP="004F6E28">
      <w:pPr>
        <w:shd w:val="clear" w:color="auto" w:fill="FFFFFF"/>
        <w:spacing w:after="0" w:line="240" w:lineRule="auto"/>
        <w:jc w:val="both"/>
        <w:rPr>
          <w:rFonts w:ascii="Arial" w:hAnsi="Arial" w:cs="Arial"/>
          <w:color w:val="666666"/>
          <w:sz w:val="24"/>
          <w:szCs w:val="24"/>
          <w:shd w:val="clear" w:color="auto" w:fill="FFFFFF"/>
          <w:lang w:val="it-IT"/>
        </w:rPr>
      </w:pPr>
      <w:r w:rsidRPr="004F6E28">
        <w:rPr>
          <w:rFonts w:ascii="Arial" w:hAnsi="Arial" w:cs="Arial"/>
          <w:color w:val="666666"/>
          <w:sz w:val="24"/>
          <w:szCs w:val="24"/>
          <w:shd w:val="clear" w:color="auto" w:fill="FFFFFF"/>
          <w:lang w:val="it-IT"/>
        </w:rPr>
        <w:t xml:space="preserve">Significativo appare il passaggio </w:t>
      </w:r>
      <w:r w:rsidR="00A21D83" w:rsidRPr="004F6E28">
        <w:rPr>
          <w:rFonts w:ascii="Arial" w:hAnsi="Arial" w:cs="Arial"/>
          <w:color w:val="666666"/>
          <w:sz w:val="24"/>
          <w:szCs w:val="24"/>
          <w:shd w:val="clear" w:color="auto" w:fill="FFFFFF"/>
          <w:lang w:val="it-IT"/>
        </w:rPr>
        <w:t>relativo</w:t>
      </w:r>
      <w:r w:rsidRPr="004F6E28">
        <w:rPr>
          <w:rFonts w:ascii="Arial" w:hAnsi="Arial" w:cs="Arial"/>
          <w:color w:val="666666"/>
          <w:sz w:val="24"/>
          <w:szCs w:val="24"/>
          <w:shd w:val="clear" w:color="auto" w:fill="FFFFFF"/>
          <w:lang w:val="it-IT"/>
        </w:rPr>
        <w:t xml:space="preserve"> all’onere della prova che</w:t>
      </w:r>
      <w:r w:rsidR="00A21D83" w:rsidRPr="004F6E28">
        <w:rPr>
          <w:rFonts w:ascii="Arial" w:hAnsi="Arial" w:cs="Arial"/>
          <w:color w:val="666666"/>
          <w:sz w:val="24"/>
          <w:szCs w:val="24"/>
          <w:shd w:val="clear" w:color="auto" w:fill="FFFFFF"/>
          <w:lang w:val="it-IT"/>
        </w:rPr>
        <w:t>,</w:t>
      </w:r>
      <w:r w:rsidRPr="004F6E28">
        <w:rPr>
          <w:rFonts w:ascii="Arial" w:hAnsi="Arial" w:cs="Arial"/>
          <w:color w:val="666666"/>
          <w:sz w:val="24"/>
          <w:szCs w:val="24"/>
          <w:shd w:val="clear" w:color="auto" w:fill="FFFFFF"/>
          <w:lang w:val="it-IT"/>
        </w:rPr>
        <w:t xml:space="preserve"> oltre a contemplare</w:t>
      </w:r>
      <w:r w:rsidR="00F24E67">
        <w:rPr>
          <w:rFonts w:ascii="Arial" w:hAnsi="Arial" w:cs="Arial"/>
          <w:color w:val="666666"/>
          <w:sz w:val="24"/>
          <w:szCs w:val="24"/>
          <w:shd w:val="clear" w:color="auto" w:fill="FFFFFF"/>
          <w:lang w:val="it-IT"/>
        </w:rPr>
        <w:t>, per la natura delle misure,</w:t>
      </w:r>
      <w:r w:rsidRPr="004F6E28">
        <w:rPr>
          <w:rFonts w:ascii="Arial" w:hAnsi="Arial" w:cs="Arial"/>
          <w:color w:val="666666"/>
          <w:sz w:val="24"/>
          <w:szCs w:val="24"/>
          <w:shd w:val="clear" w:color="auto" w:fill="FFFFFF"/>
          <w:lang w:val="it-IT"/>
        </w:rPr>
        <w:t xml:space="preserve"> </w:t>
      </w:r>
      <w:r w:rsidR="00A21D83" w:rsidRPr="004F6E28">
        <w:rPr>
          <w:rFonts w:ascii="Arial" w:hAnsi="Arial" w:cs="Arial"/>
          <w:color w:val="666666"/>
          <w:sz w:val="24"/>
          <w:szCs w:val="24"/>
          <w:shd w:val="clear" w:color="auto" w:fill="FFFFFF"/>
          <w:lang w:val="it-IT"/>
        </w:rPr>
        <w:t>il criterio di va</w:t>
      </w:r>
      <w:r w:rsidR="00F24E67">
        <w:rPr>
          <w:rFonts w:ascii="Arial" w:hAnsi="Arial" w:cs="Arial"/>
          <w:color w:val="666666"/>
          <w:sz w:val="24"/>
          <w:szCs w:val="24"/>
          <w:shd w:val="clear" w:color="auto" w:fill="FFFFFF"/>
          <w:lang w:val="it-IT"/>
        </w:rPr>
        <w:t>lutazione</w:t>
      </w:r>
      <w:r w:rsidR="00A21D83" w:rsidRPr="004F6E28">
        <w:rPr>
          <w:rFonts w:ascii="Arial" w:hAnsi="Arial" w:cs="Arial"/>
          <w:color w:val="666666"/>
          <w:sz w:val="24"/>
          <w:szCs w:val="24"/>
          <w:shd w:val="clear" w:color="auto" w:fill="FFFFFF"/>
          <w:lang w:val="it-IT"/>
        </w:rPr>
        <w:t xml:space="preserve"> </w:t>
      </w:r>
      <w:r w:rsidR="00F24E67">
        <w:rPr>
          <w:rFonts w:ascii="Arial" w:hAnsi="Arial" w:cs="Arial"/>
          <w:color w:val="666666"/>
          <w:sz w:val="24"/>
          <w:szCs w:val="24"/>
          <w:shd w:val="clear" w:color="auto" w:fill="FFFFFF"/>
          <w:lang w:val="it-IT"/>
        </w:rPr>
        <w:t xml:space="preserve">secondo il parametro </w:t>
      </w:r>
      <w:r w:rsidR="00C46D2B">
        <w:rPr>
          <w:rFonts w:ascii="Arial" w:hAnsi="Arial" w:cs="Arial"/>
          <w:color w:val="666666"/>
          <w:sz w:val="24"/>
          <w:szCs w:val="24"/>
          <w:shd w:val="clear" w:color="auto" w:fill="FFFFFF"/>
          <w:lang w:val="it-IT"/>
        </w:rPr>
        <w:t>del “più probabile che non”</w:t>
      </w:r>
      <w:r w:rsidR="00A21D83" w:rsidRPr="004F6E28">
        <w:rPr>
          <w:rFonts w:ascii="Arial" w:hAnsi="Arial" w:cs="Arial"/>
          <w:color w:val="666666"/>
          <w:sz w:val="24"/>
          <w:szCs w:val="24"/>
          <w:shd w:val="clear" w:color="auto" w:fill="FFFFFF"/>
          <w:lang w:val="it-IT"/>
        </w:rPr>
        <w:t xml:space="preserve"> </w:t>
      </w:r>
      <w:r w:rsidR="00C46D2B">
        <w:rPr>
          <w:rFonts w:ascii="Arial" w:hAnsi="Arial" w:cs="Arial"/>
          <w:color w:val="666666"/>
          <w:sz w:val="24"/>
          <w:szCs w:val="24"/>
          <w:shd w:val="clear" w:color="auto" w:fill="FFFFFF"/>
          <w:lang w:val="it-IT"/>
        </w:rPr>
        <w:t>(</w:t>
      </w:r>
      <w:r w:rsidR="00686E82">
        <w:rPr>
          <w:rFonts w:ascii="Arial" w:hAnsi="Arial" w:cs="Arial"/>
          <w:color w:val="666666"/>
          <w:sz w:val="24"/>
          <w:szCs w:val="24"/>
          <w:shd w:val="clear" w:color="auto" w:fill="FFFFFF"/>
          <w:lang w:val="it-IT"/>
        </w:rPr>
        <w:t>ormai pacificamente recepito</w:t>
      </w:r>
      <w:r w:rsidR="00A21D83" w:rsidRPr="004F6E28">
        <w:rPr>
          <w:rFonts w:ascii="Arial" w:hAnsi="Arial" w:cs="Arial"/>
          <w:color w:val="666666"/>
          <w:sz w:val="24"/>
          <w:szCs w:val="24"/>
          <w:shd w:val="clear" w:color="auto" w:fill="FFFFFF"/>
          <w:lang w:val="it-IT"/>
        </w:rPr>
        <w:t xml:space="preserve"> </w:t>
      </w:r>
      <w:r w:rsidR="00F24E67">
        <w:rPr>
          <w:rFonts w:ascii="Arial" w:hAnsi="Arial" w:cs="Arial"/>
          <w:color w:val="666666"/>
          <w:sz w:val="24"/>
          <w:szCs w:val="24"/>
          <w:shd w:val="clear" w:color="auto" w:fill="FFFFFF"/>
          <w:lang w:val="it-IT"/>
        </w:rPr>
        <w:t xml:space="preserve">anche </w:t>
      </w:r>
      <w:r w:rsidR="00A21D83" w:rsidRPr="004F6E28">
        <w:rPr>
          <w:rFonts w:ascii="Arial" w:hAnsi="Arial" w:cs="Arial"/>
          <w:color w:val="666666"/>
          <w:sz w:val="24"/>
          <w:szCs w:val="24"/>
          <w:shd w:val="clear" w:color="auto" w:fill="FFFFFF"/>
          <w:lang w:val="it-IT"/>
        </w:rPr>
        <w:t>dalla giuris</w:t>
      </w:r>
      <w:r w:rsidR="00686E82">
        <w:rPr>
          <w:rFonts w:ascii="Arial" w:hAnsi="Arial" w:cs="Arial"/>
          <w:color w:val="666666"/>
          <w:sz w:val="24"/>
          <w:szCs w:val="24"/>
          <w:shd w:val="clear" w:color="auto" w:fill="FFFFFF"/>
          <w:lang w:val="it-IT"/>
        </w:rPr>
        <w:t>prudenza del Consiglio di Stato</w:t>
      </w:r>
      <w:r w:rsidR="00C46D2B">
        <w:rPr>
          <w:rFonts w:ascii="Arial" w:hAnsi="Arial" w:cs="Arial"/>
          <w:color w:val="666666"/>
          <w:sz w:val="24"/>
          <w:szCs w:val="24"/>
          <w:shd w:val="clear" w:color="auto" w:fill="FFFFFF"/>
          <w:lang w:val="it-IT"/>
        </w:rPr>
        <w:t>)</w:t>
      </w:r>
      <w:r w:rsidR="00F24E67">
        <w:rPr>
          <w:rFonts w:ascii="Arial" w:hAnsi="Arial" w:cs="Arial"/>
          <w:color w:val="666666"/>
          <w:sz w:val="24"/>
          <w:szCs w:val="24"/>
          <w:shd w:val="clear" w:color="auto" w:fill="FFFFFF"/>
          <w:lang w:val="it-IT"/>
        </w:rPr>
        <w:t xml:space="preserve">, e non “della prova al di là di </w:t>
      </w:r>
      <w:r w:rsidR="00A02157">
        <w:rPr>
          <w:rFonts w:ascii="Arial" w:hAnsi="Arial" w:cs="Arial"/>
          <w:color w:val="666666"/>
          <w:sz w:val="24"/>
          <w:szCs w:val="24"/>
          <w:shd w:val="clear" w:color="auto" w:fill="FFFFFF"/>
          <w:lang w:val="it-IT"/>
        </w:rPr>
        <w:t>ogni ragionevole dubbio”</w:t>
      </w:r>
      <w:r w:rsidR="00C46D2B">
        <w:rPr>
          <w:rFonts w:ascii="Arial" w:hAnsi="Arial" w:cs="Arial"/>
          <w:color w:val="666666"/>
          <w:sz w:val="24"/>
          <w:szCs w:val="24"/>
          <w:shd w:val="clear" w:color="auto" w:fill="FFFFFF"/>
          <w:lang w:val="it-IT"/>
        </w:rPr>
        <w:t>,</w:t>
      </w:r>
      <w:r w:rsidR="00A02157">
        <w:rPr>
          <w:rFonts w:ascii="Arial" w:hAnsi="Arial" w:cs="Arial"/>
          <w:color w:val="666666"/>
          <w:sz w:val="24"/>
          <w:szCs w:val="24"/>
          <w:shd w:val="clear" w:color="auto" w:fill="FFFFFF"/>
          <w:lang w:val="it-IT"/>
        </w:rPr>
        <w:t xml:space="preserve"> proprio</w:t>
      </w:r>
      <w:r w:rsidR="00F24E67">
        <w:rPr>
          <w:rFonts w:ascii="Arial" w:hAnsi="Arial" w:cs="Arial"/>
          <w:color w:val="666666"/>
          <w:sz w:val="24"/>
          <w:szCs w:val="24"/>
          <w:shd w:val="clear" w:color="auto" w:fill="FFFFFF"/>
          <w:lang w:val="it-IT"/>
        </w:rPr>
        <w:t xml:space="preserve"> dell’ambito penale</w:t>
      </w:r>
      <w:r w:rsidR="00A21D83" w:rsidRPr="004F6E28">
        <w:rPr>
          <w:rFonts w:ascii="Arial" w:hAnsi="Arial" w:cs="Arial"/>
          <w:color w:val="666666"/>
          <w:sz w:val="24"/>
          <w:szCs w:val="24"/>
          <w:shd w:val="clear" w:color="auto" w:fill="FFFFFF"/>
          <w:lang w:val="it-IT"/>
        </w:rPr>
        <w:t>, non esclude spazio per un onere dell’interessato di fornire</w:t>
      </w:r>
      <w:r w:rsidR="001450C4" w:rsidRPr="004F6E28">
        <w:rPr>
          <w:rFonts w:ascii="Arial" w:hAnsi="Arial" w:cs="Arial"/>
          <w:color w:val="666666"/>
          <w:sz w:val="24"/>
          <w:szCs w:val="24"/>
          <w:shd w:val="clear" w:color="auto" w:fill="FFFFFF"/>
          <w:lang w:val="it-IT"/>
        </w:rPr>
        <w:t xml:space="preserve"> a sua volta</w:t>
      </w:r>
      <w:r w:rsidR="00F24E67">
        <w:rPr>
          <w:rFonts w:ascii="Arial" w:hAnsi="Arial" w:cs="Arial"/>
          <w:color w:val="666666"/>
          <w:sz w:val="24"/>
          <w:szCs w:val="24"/>
          <w:shd w:val="clear" w:color="auto" w:fill="FFFFFF"/>
          <w:lang w:val="it-IT"/>
        </w:rPr>
        <w:t xml:space="preserve"> elementi utili per identificare</w:t>
      </w:r>
      <w:r w:rsidR="00A21D83" w:rsidRPr="004F6E28">
        <w:rPr>
          <w:rFonts w:ascii="Arial" w:hAnsi="Arial" w:cs="Arial"/>
          <w:color w:val="666666"/>
          <w:sz w:val="24"/>
          <w:szCs w:val="24"/>
          <w:shd w:val="clear" w:color="auto" w:fill="FFFFFF"/>
          <w:lang w:val="it-IT"/>
        </w:rPr>
        <w:t xml:space="preserve"> la </w:t>
      </w:r>
      <w:r w:rsidR="00C46D2B">
        <w:rPr>
          <w:rFonts w:ascii="Arial" w:hAnsi="Arial" w:cs="Arial"/>
          <w:color w:val="666666"/>
          <w:sz w:val="24"/>
          <w:szCs w:val="24"/>
          <w:shd w:val="clear" w:color="auto" w:fill="FFFFFF"/>
          <w:lang w:val="it-IT"/>
        </w:rPr>
        <w:t xml:space="preserve">fonte </w:t>
      </w:r>
      <w:r w:rsidR="00A21D83" w:rsidRPr="004F6E28">
        <w:rPr>
          <w:rFonts w:ascii="Arial" w:hAnsi="Arial" w:cs="Arial"/>
          <w:color w:val="666666"/>
          <w:sz w:val="24"/>
          <w:szCs w:val="24"/>
          <w:shd w:val="clear" w:color="auto" w:fill="FFFFFF"/>
          <w:lang w:val="it-IT"/>
        </w:rPr>
        <w:t xml:space="preserve">lecita </w:t>
      </w:r>
      <w:r w:rsidR="00C46D2B">
        <w:rPr>
          <w:rFonts w:ascii="Arial" w:hAnsi="Arial" w:cs="Arial"/>
          <w:color w:val="666666"/>
          <w:sz w:val="24"/>
          <w:szCs w:val="24"/>
          <w:shd w:val="clear" w:color="auto" w:fill="FFFFFF"/>
          <w:lang w:val="it-IT"/>
        </w:rPr>
        <w:t xml:space="preserve">di </w:t>
      </w:r>
      <w:r w:rsidR="00A21D83" w:rsidRPr="004F6E28">
        <w:rPr>
          <w:rFonts w:ascii="Arial" w:hAnsi="Arial" w:cs="Arial"/>
          <w:color w:val="666666"/>
          <w:sz w:val="24"/>
          <w:szCs w:val="24"/>
          <w:shd w:val="clear" w:color="auto" w:fill="FFFFFF"/>
          <w:lang w:val="it-IT"/>
        </w:rPr>
        <w:t>acquisizione dei be</w:t>
      </w:r>
      <w:r w:rsidR="001450C4" w:rsidRPr="004F6E28">
        <w:rPr>
          <w:rFonts w:ascii="Arial" w:hAnsi="Arial" w:cs="Arial"/>
          <w:color w:val="666666"/>
          <w:sz w:val="24"/>
          <w:szCs w:val="24"/>
          <w:shd w:val="clear" w:color="auto" w:fill="FFFFFF"/>
          <w:lang w:val="it-IT"/>
        </w:rPr>
        <w:t>ni</w:t>
      </w:r>
      <w:r w:rsidR="00597466">
        <w:rPr>
          <w:rFonts w:ascii="Arial" w:hAnsi="Arial" w:cs="Arial"/>
          <w:color w:val="666666"/>
          <w:sz w:val="24"/>
          <w:szCs w:val="24"/>
          <w:shd w:val="clear" w:color="auto" w:fill="FFFFFF"/>
          <w:lang w:val="it-IT"/>
        </w:rPr>
        <w:t>,</w:t>
      </w:r>
      <w:r w:rsidR="001450C4" w:rsidRPr="004F6E28">
        <w:rPr>
          <w:rFonts w:ascii="Arial" w:hAnsi="Arial" w:cs="Arial"/>
          <w:color w:val="666666"/>
          <w:sz w:val="24"/>
          <w:szCs w:val="24"/>
          <w:shd w:val="clear" w:color="auto" w:fill="FFFFFF"/>
          <w:lang w:val="it-IT"/>
        </w:rPr>
        <w:t xml:space="preserve"> secondo meccanismi di prossimità della prova che</w:t>
      </w:r>
      <w:r w:rsidR="00597466">
        <w:rPr>
          <w:rFonts w:ascii="Arial" w:hAnsi="Arial" w:cs="Arial"/>
          <w:color w:val="666666"/>
          <w:sz w:val="24"/>
          <w:szCs w:val="24"/>
          <w:shd w:val="clear" w:color="auto" w:fill="FFFFFF"/>
          <w:lang w:val="it-IT"/>
        </w:rPr>
        <w:t>,</w:t>
      </w:r>
      <w:r w:rsidR="001450C4" w:rsidRPr="004F6E28">
        <w:rPr>
          <w:rFonts w:ascii="Arial" w:hAnsi="Arial" w:cs="Arial"/>
          <w:color w:val="666666"/>
          <w:sz w:val="24"/>
          <w:szCs w:val="24"/>
          <w:shd w:val="clear" w:color="auto" w:fill="FFFFFF"/>
          <w:lang w:val="it-IT"/>
        </w:rPr>
        <w:t xml:space="preserve"> se sono alieni al diritto penale</w:t>
      </w:r>
      <w:r w:rsidR="00597466">
        <w:rPr>
          <w:rFonts w:ascii="Arial" w:hAnsi="Arial" w:cs="Arial"/>
          <w:color w:val="666666"/>
          <w:sz w:val="24"/>
          <w:szCs w:val="24"/>
          <w:shd w:val="clear" w:color="auto" w:fill="FFFFFF"/>
          <w:lang w:val="it-IT"/>
        </w:rPr>
        <w:t>,</w:t>
      </w:r>
      <w:r w:rsidR="001450C4" w:rsidRPr="004F6E28">
        <w:rPr>
          <w:rFonts w:ascii="Arial" w:hAnsi="Arial" w:cs="Arial"/>
          <w:color w:val="666666"/>
          <w:sz w:val="24"/>
          <w:szCs w:val="24"/>
          <w:shd w:val="clear" w:color="auto" w:fill="FFFFFF"/>
          <w:lang w:val="it-IT"/>
        </w:rPr>
        <w:t xml:space="preserve"> sono certamente compatibili con il diritto civile ed amministrativo</w:t>
      </w:r>
      <w:r w:rsidR="00A21D83" w:rsidRPr="004F6E28">
        <w:rPr>
          <w:rFonts w:ascii="Arial" w:hAnsi="Arial" w:cs="Arial"/>
          <w:color w:val="666666"/>
          <w:sz w:val="24"/>
          <w:szCs w:val="24"/>
          <w:shd w:val="clear" w:color="auto" w:fill="FFFFFF"/>
          <w:lang w:val="it-IT"/>
        </w:rPr>
        <w:t>.</w:t>
      </w:r>
    </w:p>
    <w:p w:rsidR="0049134E" w:rsidRDefault="00A21D83" w:rsidP="00A02157">
      <w:pPr>
        <w:shd w:val="clear" w:color="auto" w:fill="FFFFFF"/>
        <w:spacing w:after="0" w:line="240" w:lineRule="auto"/>
        <w:jc w:val="both"/>
        <w:rPr>
          <w:rFonts w:ascii="Arial" w:hAnsi="Arial" w:cs="Arial"/>
          <w:color w:val="666666"/>
          <w:sz w:val="24"/>
          <w:szCs w:val="24"/>
          <w:shd w:val="clear" w:color="auto" w:fill="FFFFFF"/>
          <w:lang w:val="it-IT"/>
        </w:rPr>
      </w:pPr>
      <w:r w:rsidRPr="004F6E28">
        <w:rPr>
          <w:rFonts w:ascii="Arial" w:hAnsi="Arial" w:cs="Arial"/>
          <w:color w:val="666666"/>
          <w:sz w:val="24"/>
          <w:szCs w:val="24"/>
          <w:shd w:val="clear" w:color="auto" w:fill="FFFFFF"/>
          <w:lang w:val="it-IT"/>
        </w:rPr>
        <w:t>Dal pun</w:t>
      </w:r>
      <w:r w:rsidR="0049134E">
        <w:rPr>
          <w:rFonts w:ascii="Arial" w:hAnsi="Arial" w:cs="Arial"/>
          <w:color w:val="666666"/>
          <w:sz w:val="24"/>
          <w:szCs w:val="24"/>
          <w:shd w:val="clear" w:color="auto" w:fill="FFFFFF"/>
          <w:lang w:val="it-IT"/>
        </w:rPr>
        <w:t>to di vista procedurale</w:t>
      </w:r>
      <w:r w:rsidR="00686E82">
        <w:rPr>
          <w:rFonts w:ascii="Arial" w:hAnsi="Arial" w:cs="Arial"/>
          <w:color w:val="666666"/>
          <w:sz w:val="24"/>
          <w:szCs w:val="24"/>
          <w:shd w:val="clear" w:color="auto" w:fill="FFFFFF"/>
          <w:lang w:val="it-IT"/>
        </w:rPr>
        <w:t>,</w:t>
      </w:r>
      <w:r w:rsidRPr="004F6E28">
        <w:rPr>
          <w:rFonts w:ascii="Arial" w:hAnsi="Arial" w:cs="Arial"/>
          <w:color w:val="666666"/>
          <w:sz w:val="24"/>
          <w:szCs w:val="24"/>
          <w:shd w:val="clear" w:color="auto" w:fill="FFFFFF"/>
          <w:lang w:val="it-IT"/>
        </w:rPr>
        <w:t xml:space="preserve"> sempre secondo la Corte EDU, deve trovare spazio il contraddittorio</w:t>
      </w:r>
      <w:r w:rsidR="00597466">
        <w:rPr>
          <w:rFonts w:ascii="Arial" w:hAnsi="Arial" w:cs="Arial"/>
          <w:color w:val="666666"/>
          <w:sz w:val="24"/>
          <w:szCs w:val="24"/>
          <w:shd w:val="clear" w:color="auto" w:fill="FFFFFF"/>
          <w:lang w:val="it-IT"/>
        </w:rPr>
        <w:t>,</w:t>
      </w:r>
      <w:r w:rsidR="001450C4" w:rsidRPr="004F6E28">
        <w:rPr>
          <w:rFonts w:ascii="Arial" w:hAnsi="Arial" w:cs="Arial"/>
          <w:color w:val="666666"/>
          <w:sz w:val="24"/>
          <w:szCs w:val="24"/>
          <w:shd w:val="clear" w:color="auto" w:fill="FFFFFF"/>
          <w:lang w:val="it-IT"/>
        </w:rPr>
        <w:t xml:space="preserve"> in quanto garanzia procedimentale che assiste ogni interferenza legittima </w:t>
      </w:r>
      <w:r w:rsidR="00F24E67">
        <w:rPr>
          <w:rFonts w:ascii="Arial" w:hAnsi="Arial" w:cs="Arial"/>
          <w:color w:val="666666"/>
          <w:sz w:val="24"/>
          <w:szCs w:val="24"/>
          <w:shd w:val="clear" w:color="auto" w:fill="FFFFFF"/>
          <w:lang w:val="it-IT"/>
        </w:rPr>
        <w:t xml:space="preserve">dell’autorità </w:t>
      </w:r>
      <w:r w:rsidR="00A02157">
        <w:rPr>
          <w:rFonts w:ascii="Arial" w:hAnsi="Arial" w:cs="Arial"/>
          <w:color w:val="666666"/>
          <w:sz w:val="24"/>
          <w:szCs w:val="24"/>
          <w:shd w:val="clear" w:color="auto" w:fill="FFFFFF"/>
          <w:lang w:val="it-IT"/>
        </w:rPr>
        <w:t>in</w:t>
      </w:r>
      <w:r w:rsidR="001450C4" w:rsidRPr="004F6E28">
        <w:rPr>
          <w:rFonts w:ascii="Arial" w:hAnsi="Arial" w:cs="Arial"/>
          <w:color w:val="666666"/>
          <w:sz w:val="24"/>
          <w:szCs w:val="24"/>
          <w:shd w:val="clear" w:color="auto" w:fill="FFFFFF"/>
          <w:lang w:val="it-IT"/>
        </w:rPr>
        <w:t xml:space="preserve"> prerogative individuali</w:t>
      </w:r>
      <w:r w:rsidR="00A02157">
        <w:rPr>
          <w:rFonts w:ascii="Arial" w:hAnsi="Arial" w:cs="Arial"/>
          <w:color w:val="666666"/>
          <w:sz w:val="24"/>
          <w:szCs w:val="24"/>
          <w:shd w:val="clear" w:color="auto" w:fill="FFFFFF"/>
          <w:lang w:val="it-IT"/>
        </w:rPr>
        <w:t xml:space="preserve"> convenzionalmente protette</w:t>
      </w:r>
      <w:r w:rsidR="00F24E67">
        <w:rPr>
          <w:rFonts w:ascii="Arial" w:hAnsi="Arial" w:cs="Arial"/>
          <w:color w:val="666666"/>
          <w:sz w:val="24"/>
          <w:szCs w:val="24"/>
          <w:shd w:val="clear" w:color="auto" w:fill="FFFFFF"/>
          <w:lang w:val="it-IT"/>
        </w:rPr>
        <w:t xml:space="preserve">; </w:t>
      </w:r>
      <w:r w:rsidRPr="004F6E28">
        <w:rPr>
          <w:rFonts w:ascii="Arial" w:hAnsi="Arial" w:cs="Arial"/>
          <w:color w:val="666666"/>
          <w:sz w:val="24"/>
          <w:szCs w:val="24"/>
          <w:shd w:val="clear" w:color="auto" w:fill="FFFFFF"/>
          <w:lang w:val="it-IT"/>
        </w:rPr>
        <w:t>trat</w:t>
      </w:r>
      <w:r w:rsidR="00A02157">
        <w:rPr>
          <w:rFonts w:ascii="Arial" w:hAnsi="Arial" w:cs="Arial"/>
          <w:color w:val="666666"/>
          <w:sz w:val="24"/>
          <w:szCs w:val="24"/>
          <w:shd w:val="clear" w:color="auto" w:fill="FFFFFF"/>
          <w:lang w:val="it-IT"/>
        </w:rPr>
        <w:t>tasi</w:t>
      </w:r>
      <w:r w:rsidR="00F24E67">
        <w:rPr>
          <w:rFonts w:ascii="Arial" w:hAnsi="Arial" w:cs="Arial"/>
          <w:color w:val="666666"/>
          <w:sz w:val="24"/>
          <w:szCs w:val="24"/>
          <w:shd w:val="clear" w:color="auto" w:fill="FFFFFF"/>
          <w:lang w:val="it-IT"/>
        </w:rPr>
        <w:t xml:space="preserve"> </w:t>
      </w:r>
      <w:r w:rsidR="001450C4" w:rsidRPr="004F6E28">
        <w:rPr>
          <w:rFonts w:ascii="Arial" w:hAnsi="Arial" w:cs="Arial"/>
          <w:color w:val="666666"/>
          <w:sz w:val="24"/>
          <w:szCs w:val="24"/>
          <w:shd w:val="clear" w:color="auto" w:fill="FFFFFF"/>
          <w:lang w:val="it-IT"/>
        </w:rPr>
        <w:t>di una garanzia che</w:t>
      </w:r>
      <w:r w:rsidR="0049134E">
        <w:rPr>
          <w:rFonts w:ascii="Arial" w:hAnsi="Arial" w:cs="Arial"/>
          <w:color w:val="666666"/>
          <w:sz w:val="24"/>
          <w:szCs w:val="24"/>
          <w:shd w:val="clear" w:color="auto" w:fill="FFFFFF"/>
          <w:lang w:val="it-IT"/>
        </w:rPr>
        <w:t>, come già detto,</w:t>
      </w:r>
      <w:r w:rsidR="001450C4" w:rsidRPr="004F6E28">
        <w:rPr>
          <w:rFonts w:ascii="Arial" w:hAnsi="Arial" w:cs="Arial"/>
          <w:color w:val="666666"/>
          <w:sz w:val="24"/>
          <w:szCs w:val="24"/>
          <w:shd w:val="clear" w:color="auto" w:fill="FFFFFF"/>
          <w:lang w:val="it-IT"/>
        </w:rPr>
        <w:t xml:space="preserve"> non </w:t>
      </w:r>
      <w:r w:rsidR="00F24E67">
        <w:rPr>
          <w:rFonts w:ascii="Arial" w:hAnsi="Arial" w:cs="Arial"/>
          <w:color w:val="666666"/>
          <w:sz w:val="24"/>
          <w:szCs w:val="24"/>
          <w:shd w:val="clear" w:color="auto" w:fill="FFFFFF"/>
          <w:lang w:val="it-IT"/>
        </w:rPr>
        <w:t xml:space="preserve">comporta </w:t>
      </w:r>
      <w:r w:rsidRPr="004F6E28">
        <w:rPr>
          <w:rFonts w:ascii="Arial" w:hAnsi="Arial" w:cs="Arial"/>
          <w:color w:val="666666"/>
          <w:sz w:val="24"/>
          <w:szCs w:val="24"/>
          <w:shd w:val="clear" w:color="auto" w:fill="FFFFFF"/>
          <w:lang w:val="it-IT"/>
        </w:rPr>
        <w:t>l’a</w:t>
      </w:r>
      <w:r w:rsidR="00A02157">
        <w:rPr>
          <w:rFonts w:ascii="Arial" w:hAnsi="Arial" w:cs="Arial"/>
          <w:color w:val="666666"/>
          <w:sz w:val="24"/>
          <w:szCs w:val="24"/>
          <w:shd w:val="clear" w:color="auto" w:fill="FFFFFF"/>
          <w:lang w:val="it-IT"/>
        </w:rPr>
        <w:t>pplicazione integrale delle</w:t>
      </w:r>
      <w:r w:rsidRPr="004F6E28">
        <w:rPr>
          <w:rFonts w:ascii="Arial" w:hAnsi="Arial" w:cs="Arial"/>
          <w:color w:val="666666"/>
          <w:sz w:val="24"/>
          <w:szCs w:val="24"/>
          <w:shd w:val="clear" w:color="auto" w:fill="FFFFFF"/>
          <w:lang w:val="it-IT"/>
        </w:rPr>
        <w:t xml:space="preserve"> garanzie </w:t>
      </w:r>
      <w:r w:rsidR="001450C4" w:rsidRPr="004F6E28">
        <w:rPr>
          <w:rFonts w:ascii="Arial" w:hAnsi="Arial" w:cs="Arial"/>
          <w:color w:val="666666"/>
          <w:sz w:val="24"/>
          <w:szCs w:val="24"/>
          <w:shd w:val="clear" w:color="auto" w:fill="FFFFFF"/>
          <w:lang w:val="it-IT"/>
        </w:rPr>
        <w:t>dettate</w:t>
      </w:r>
      <w:r w:rsidR="00A02157">
        <w:rPr>
          <w:rFonts w:ascii="Arial" w:hAnsi="Arial" w:cs="Arial"/>
          <w:color w:val="666666"/>
          <w:sz w:val="24"/>
          <w:szCs w:val="24"/>
          <w:shd w:val="clear" w:color="auto" w:fill="FFFFFF"/>
          <w:lang w:val="it-IT"/>
        </w:rPr>
        <w:t>, in parte per il solo</w:t>
      </w:r>
      <w:r w:rsidR="001450C4" w:rsidRPr="004F6E28">
        <w:rPr>
          <w:rFonts w:ascii="Arial" w:hAnsi="Arial" w:cs="Arial"/>
          <w:color w:val="666666"/>
          <w:sz w:val="24"/>
          <w:szCs w:val="24"/>
          <w:shd w:val="clear" w:color="auto" w:fill="FFFFFF"/>
          <w:lang w:val="it-IT"/>
        </w:rPr>
        <w:t xml:space="preserve"> ambito penale, </w:t>
      </w:r>
      <w:r w:rsidRPr="004F6E28">
        <w:rPr>
          <w:rFonts w:ascii="Arial" w:hAnsi="Arial" w:cs="Arial"/>
          <w:color w:val="666666"/>
          <w:sz w:val="24"/>
          <w:szCs w:val="24"/>
          <w:shd w:val="clear" w:color="auto" w:fill="FFFFFF"/>
          <w:lang w:val="it-IT"/>
        </w:rPr>
        <w:t>dell’art.</w:t>
      </w:r>
      <w:r w:rsidR="001450C4" w:rsidRPr="004F6E28">
        <w:rPr>
          <w:rFonts w:ascii="Arial" w:hAnsi="Arial" w:cs="Arial"/>
          <w:color w:val="666666"/>
          <w:sz w:val="24"/>
          <w:szCs w:val="24"/>
          <w:shd w:val="clear" w:color="auto" w:fill="FFFFFF"/>
          <w:lang w:val="it-IT"/>
        </w:rPr>
        <w:t xml:space="preserve"> 6 della Convezione</w:t>
      </w:r>
      <w:r w:rsidR="00F24E67">
        <w:rPr>
          <w:rFonts w:ascii="Arial" w:hAnsi="Arial" w:cs="Arial"/>
          <w:color w:val="666666"/>
          <w:sz w:val="24"/>
          <w:szCs w:val="24"/>
          <w:shd w:val="clear" w:color="auto" w:fill="FFFFFF"/>
          <w:lang w:val="it-IT"/>
        </w:rPr>
        <w:t>,</w:t>
      </w:r>
      <w:r w:rsidR="001450C4" w:rsidRPr="004F6E28">
        <w:rPr>
          <w:rFonts w:ascii="Arial" w:hAnsi="Arial" w:cs="Arial"/>
          <w:color w:val="666666"/>
          <w:sz w:val="24"/>
          <w:szCs w:val="24"/>
          <w:shd w:val="clear" w:color="auto" w:fill="FFFFFF"/>
          <w:lang w:val="it-IT"/>
        </w:rPr>
        <w:t xml:space="preserve"> venendo i</w:t>
      </w:r>
      <w:r w:rsidR="00A02157">
        <w:rPr>
          <w:rFonts w:ascii="Arial" w:hAnsi="Arial" w:cs="Arial"/>
          <w:color w:val="666666"/>
          <w:sz w:val="24"/>
          <w:szCs w:val="24"/>
          <w:shd w:val="clear" w:color="auto" w:fill="FFFFFF"/>
          <w:lang w:val="it-IT"/>
        </w:rPr>
        <w:t>n causa solo</w:t>
      </w:r>
      <w:r w:rsidR="00686E82">
        <w:rPr>
          <w:rFonts w:ascii="Arial" w:hAnsi="Arial" w:cs="Arial"/>
          <w:color w:val="666666"/>
          <w:sz w:val="24"/>
          <w:szCs w:val="24"/>
          <w:shd w:val="clear" w:color="auto" w:fill="FFFFFF"/>
          <w:lang w:val="it-IT"/>
        </w:rPr>
        <w:t xml:space="preserve"> il par. 1 del</w:t>
      </w:r>
      <w:r w:rsidR="00A02157">
        <w:rPr>
          <w:rFonts w:ascii="Arial" w:hAnsi="Arial" w:cs="Arial"/>
          <w:color w:val="666666"/>
          <w:sz w:val="24"/>
          <w:szCs w:val="24"/>
          <w:shd w:val="clear" w:color="auto" w:fill="FFFFFF"/>
          <w:lang w:val="it-IT"/>
        </w:rPr>
        <w:t>l</w:t>
      </w:r>
      <w:r w:rsidR="00686E82">
        <w:rPr>
          <w:rFonts w:ascii="Arial" w:hAnsi="Arial" w:cs="Arial"/>
          <w:color w:val="666666"/>
          <w:sz w:val="24"/>
          <w:szCs w:val="24"/>
          <w:shd w:val="clear" w:color="auto" w:fill="FFFFFF"/>
          <w:lang w:val="it-IT"/>
        </w:rPr>
        <w:t>’art. 6</w:t>
      </w:r>
      <w:r w:rsidR="00F24E67">
        <w:rPr>
          <w:rFonts w:ascii="Arial" w:hAnsi="Arial" w:cs="Arial"/>
          <w:color w:val="666666"/>
          <w:sz w:val="24"/>
          <w:szCs w:val="24"/>
          <w:shd w:val="clear" w:color="auto" w:fill="FFFFFF"/>
          <w:lang w:val="it-IT"/>
        </w:rPr>
        <w:t>,</w:t>
      </w:r>
      <w:r w:rsidR="0049134E">
        <w:rPr>
          <w:rFonts w:ascii="Arial" w:hAnsi="Arial" w:cs="Arial"/>
          <w:color w:val="666666"/>
          <w:sz w:val="24"/>
          <w:szCs w:val="24"/>
          <w:shd w:val="clear" w:color="auto" w:fill="FFFFFF"/>
          <w:lang w:val="it-IT"/>
        </w:rPr>
        <w:t xml:space="preserve"> il quale</w:t>
      </w:r>
      <w:r w:rsidRPr="004F6E28">
        <w:rPr>
          <w:rFonts w:ascii="Arial" w:hAnsi="Arial" w:cs="Arial"/>
          <w:color w:val="666666"/>
          <w:sz w:val="24"/>
          <w:szCs w:val="24"/>
          <w:shd w:val="clear" w:color="auto" w:fill="FFFFFF"/>
          <w:lang w:val="it-IT"/>
        </w:rPr>
        <w:t xml:space="preserve"> esplicitame</w:t>
      </w:r>
      <w:r w:rsidR="00A02157">
        <w:rPr>
          <w:rFonts w:ascii="Arial" w:hAnsi="Arial" w:cs="Arial"/>
          <w:color w:val="666666"/>
          <w:sz w:val="24"/>
          <w:szCs w:val="24"/>
          <w:shd w:val="clear" w:color="auto" w:fill="FFFFFF"/>
          <w:lang w:val="it-IT"/>
        </w:rPr>
        <w:t>nte interessa</w:t>
      </w:r>
      <w:r w:rsidRPr="004F6E28">
        <w:rPr>
          <w:rFonts w:ascii="Arial" w:hAnsi="Arial" w:cs="Arial"/>
          <w:color w:val="666666"/>
          <w:sz w:val="24"/>
          <w:szCs w:val="24"/>
          <w:shd w:val="clear" w:color="auto" w:fill="FFFFFF"/>
          <w:lang w:val="it-IT"/>
        </w:rPr>
        <w:t xml:space="preserve"> anche le obbligazioni di carattere prettamente civile</w:t>
      </w:r>
      <w:r w:rsidR="00A02157">
        <w:rPr>
          <w:rFonts w:ascii="Arial" w:hAnsi="Arial" w:cs="Arial"/>
          <w:color w:val="666666"/>
          <w:sz w:val="24"/>
          <w:szCs w:val="24"/>
          <w:shd w:val="clear" w:color="auto" w:fill="FFFFFF"/>
          <w:lang w:val="it-IT"/>
        </w:rPr>
        <w:t>.</w:t>
      </w:r>
      <w:r w:rsidRPr="004F6E28">
        <w:rPr>
          <w:rFonts w:ascii="Arial" w:hAnsi="Arial" w:cs="Arial"/>
          <w:color w:val="666666"/>
          <w:sz w:val="24"/>
          <w:szCs w:val="24"/>
          <w:shd w:val="clear" w:color="auto" w:fill="FFFFFF"/>
          <w:lang w:val="it-IT"/>
        </w:rPr>
        <w:t xml:space="preserve">  </w:t>
      </w:r>
    </w:p>
    <w:p w:rsidR="00A21D83" w:rsidRPr="004F6E28" w:rsidRDefault="00A21D83" w:rsidP="00A02157">
      <w:pPr>
        <w:shd w:val="clear" w:color="auto" w:fill="FFFFFF"/>
        <w:spacing w:after="0" w:line="240" w:lineRule="auto"/>
        <w:jc w:val="both"/>
        <w:rPr>
          <w:rStyle w:val="sbb9ee52a"/>
          <w:rFonts w:ascii="Arial" w:hAnsi="Arial" w:cs="Arial"/>
          <w:color w:val="666666"/>
          <w:sz w:val="24"/>
          <w:szCs w:val="24"/>
          <w:shd w:val="clear" w:color="auto" w:fill="FFFFFF"/>
          <w:lang w:val="it-IT"/>
        </w:rPr>
      </w:pPr>
      <w:r w:rsidRPr="004F6E28">
        <w:rPr>
          <w:rFonts w:ascii="Arial" w:hAnsi="Arial" w:cs="Arial"/>
          <w:color w:val="666666"/>
          <w:sz w:val="24"/>
          <w:szCs w:val="24"/>
          <w:shd w:val="clear" w:color="auto" w:fill="FFFFFF"/>
          <w:lang w:val="it-IT"/>
        </w:rPr>
        <w:t xml:space="preserve">Si legge </w:t>
      </w:r>
      <w:r w:rsidR="00A02157">
        <w:rPr>
          <w:rFonts w:ascii="Arial" w:hAnsi="Arial" w:cs="Arial"/>
          <w:color w:val="666666"/>
          <w:sz w:val="24"/>
          <w:szCs w:val="24"/>
          <w:shd w:val="clear" w:color="auto" w:fill="FFFFFF"/>
          <w:lang w:val="it-IT"/>
        </w:rPr>
        <w:t>al proposito</w:t>
      </w:r>
      <w:r w:rsidRPr="004F6E28">
        <w:rPr>
          <w:rFonts w:ascii="Arial" w:hAnsi="Arial" w:cs="Arial"/>
          <w:color w:val="666666"/>
          <w:sz w:val="24"/>
          <w:szCs w:val="24"/>
          <w:shd w:val="clear" w:color="auto" w:fill="FFFFFF"/>
          <w:lang w:val="it-IT"/>
        </w:rPr>
        <w:t xml:space="preserve"> nella decisione Arcuri del 5 luglio del 2001:</w:t>
      </w:r>
    </w:p>
    <w:p w:rsidR="00D50E1A" w:rsidRPr="0049134E" w:rsidRDefault="00A21D83" w:rsidP="00A02157">
      <w:pPr>
        <w:pStyle w:val="s9793a85b"/>
        <w:shd w:val="clear" w:color="auto" w:fill="FFFFFF"/>
        <w:spacing w:before="0" w:beforeAutospacing="0" w:after="0" w:afterAutospacing="0"/>
        <w:ind w:firstLine="284"/>
        <w:jc w:val="both"/>
        <w:rPr>
          <w:rFonts w:ascii="Arial" w:hAnsi="Arial" w:cs="Arial"/>
          <w:i/>
          <w:color w:val="000000"/>
          <w:lang w:val="en-GB"/>
        </w:rPr>
      </w:pPr>
      <w:proofErr w:type="gramStart"/>
      <w:r w:rsidRPr="004F6E28">
        <w:rPr>
          <w:rStyle w:val="sbb9ee52a"/>
          <w:rFonts w:ascii="Arial" w:hAnsi="Arial" w:cs="Arial"/>
          <w:color w:val="000000"/>
          <w:lang w:val="en-GB"/>
        </w:rPr>
        <w:t>“</w:t>
      </w:r>
      <w:r w:rsidR="00D50E1A" w:rsidRPr="0049134E">
        <w:rPr>
          <w:rStyle w:val="sbb9ee52a"/>
          <w:rFonts w:ascii="Arial" w:hAnsi="Arial" w:cs="Arial"/>
          <w:i/>
          <w:color w:val="000000"/>
          <w:lang w:val="en-GB"/>
        </w:rPr>
        <w:t xml:space="preserve">The Court reiterates that, according to the case-law of the Convention institutions, the preventive measures prescribed by the Italian Acts of 1956, 1965 and 1982, which do not involve a finding of guilt, but are designed to prevent the commission of offences, are not comparable to a criminal “sanction” (see the Raimondo judgment cited above, p. 20, § 43; the </w:t>
      </w:r>
      <w:proofErr w:type="spellStart"/>
      <w:r w:rsidR="00D50E1A" w:rsidRPr="0049134E">
        <w:rPr>
          <w:rStyle w:val="sbb9ee52a"/>
          <w:rFonts w:ascii="Arial" w:hAnsi="Arial" w:cs="Arial"/>
          <w:i/>
          <w:color w:val="000000"/>
          <w:lang w:val="en-GB"/>
        </w:rPr>
        <w:t>Ciulla</w:t>
      </w:r>
      <w:proofErr w:type="spellEnd"/>
      <w:r w:rsidR="00D50E1A" w:rsidRPr="0049134E">
        <w:rPr>
          <w:rStyle w:val="sbb9ee52a"/>
          <w:rFonts w:ascii="Arial" w:hAnsi="Arial" w:cs="Arial"/>
          <w:i/>
          <w:color w:val="000000"/>
          <w:lang w:val="en-GB"/>
        </w:rPr>
        <w:t xml:space="preserve"> v. Italy judgment of 22 February 1989, Series A no. 148, p. 17, § 39; the </w:t>
      </w:r>
      <w:proofErr w:type="spellStart"/>
      <w:r w:rsidR="00D50E1A" w:rsidRPr="0049134E">
        <w:rPr>
          <w:rStyle w:val="sbb9ee52a"/>
          <w:rFonts w:ascii="Arial" w:hAnsi="Arial" w:cs="Arial"/>
          <w:i/>
          <w:color w:val="000000"/>
          <w:lang w:val="en-GB"/>
        </w:rPr>
        <w:t>Guzzardi</w:t>
      </w:r>
      <w:proofErr w:type="spellEnd"/>
      <w:r w:rsidR="00D50E1A" w:rsidRPr="0049134E">
        <w:rPr>
          <w:rStyle w:val="sbb9ee52a"/>
          <w:rFonts w:ascii="Arial" w:hAnsi="Arial" w:cs="Arial"/>
          <w:i/>
          <w:color w:val="000000"/>
          <w:lang w:val="en-GB"/>
        </w:rPr>
        <w:t xml:space="preserve"> v. Italy judgment of 6 November 1980, Series A no. 39, p. 37, § 100; and the Commission decision in the M. v. Italy case cited above, p. 59, at pp. 94-98).</w:t>
      </w:r>
      <w:proofErr w:type="gramEnd"/>
    </w:p>
    <w:p w:rsidR="00D50E1A" w:rsidRPr="0049134E" w:rsidRDefault="00D50E1A" w:rsidP="004F6E28">
      <w:pPr>
        <w:pStyle w:val="s9793a85b"/>
        <w:shd w:val="clear" w:color="auto" w:fill="FFFFFF"/>
        <w:spacing w:before="0" w:beforeAutospacing="0" w:after="0" w:afterAutospacing="0"/>
        <w:ind w:firstLine="284"/>
        <w:jc w:val="both"/>
        <w:rPr>
          <w:rFonts w:ascii="Arial" w:hAnsi="Arial" w:cs="Arial"/>
          <w:i/>
          <w:color w:val="000000"/>
          <w:lang w:val="en-GB"/>
        </w:rPr>
      </w:pPr>
      <w:r w:rsidRPr="0049134E">
        <w:rPr>
          <w:rStyle w:val="sbb9ee52a"/>
          <w:rFonts w:ascii="Arial" w:hAnsi="Arial" w:cs="Arial"/>
          <w:i/>
          <w:color w:val="000000"/>
          <w:lang w:val="en-GB"/>
        </w:rPr>
        <w:t xml:space="preserve">Accordingly, the proceedings under those provisions did not involve “the determination ... of a criminal charge” (see the Raimondo judgment cited above, p. 20, § 43, and the </w:t>
      </w:r>
      <w:proofErr w:type="spellStart"/>
      <w:r w:rsidRPr="0049134E">
        <w:rPr>
          <w:rStyle w:val="sbb9ee52a"/>
          <w:rFonts w:ascii="Arial" w:hAnsi="Arial" w:cs="Arial"/>
          <w:i/>
          <w:color w:val="000000"/>
          <w:lang w:val="en-GB"/>
        </w:rPr>
        <w:t>Guzzardi</w:t>
      </w:r>
      <w:proofErr w:type="spellEnd"/>
      <w:r w:rsidRPr="0049134E">
        <w:rPr>
          <w:rStyle w:val="sbb9ee52a"/>
          <w:rFonts w:ascii="Arial" w:hAnsi="Arial" w:cs="Arial"/>
          <w:i/>
          <w:color w:val="000000"/>
          <w:lang w:val="en-GB"/>
        </w:rPr>
        <w:t xml:space="preserve"> judgment cited above, p. 40, § 108). The third paragraph of Article 6, which concerns the rights of persons charged with a criminal offence, does not therefore apply to the instant case.</w:t>
      </w:r>
    </w:p>
    <w:p w:rsidR="00D50E1A" w:rsidRPr="0049134E" w:rsidRDefault="00D50E1A" w:rsidP="004F6E28">
      <w:pPr>
        <w:pStyle w:val="s9793a85b"/>
        <w:shd w:val="clear" w:color="auto" w:fill="FFFFFF"/>
        <w:spacing w:before="0" w:beforeAutospacing="0" w:after="0" w:afterAutospacing="0"/>
        <w:ind w:firstLine="284"/>
        <w:jc w:val="both"/>
        <w:rPr>
          <w:rFonts w:ascii="Arial" w:hAnsi="Arial" w:cs="Arial"/>
          <w:i/>
          <w:color w:val="000000"/>
          <w:lang w:val="en-GB"/>
        </w:rPr>
      </w:pPr>
      <w:r w:rsidRPr="0049134E">
        <w:rPr>
          <w:rStyle w:val="sbb9ee52a"/>
          <w:rFonts w:ascii="Arial" w:hAnsi="Arial" w:cs="Arial"/>
          <w:i/>
          <w:color w:val="000000"/>
          <w:lang w:val="en-GB"/>
        </w:rPr>
        <w:t>It remains to be established whether the proceedings brought against the applicants concerned “civil rights and obligations” within the meaning of the first paragraph of Article 6.</w:t>
      </w:r>
    </w:p>
    <w:p w:rsidR="00D50E1A" w:rsidRPr="0049134E" w:rsidRDefault="00D50E1A" w:rsidP="004F6E28">
      <w:pPr>
        <w:pStyle w:val="s9793a85b"/>
        <w:shd w:val="clear" w:color="auto" w:fill="FFFFFF"/>
        <w:spacing w:before="0" w:beforeAutospacing="0" w:after="0" w:afterAutospacing="0"/>
        <w:ind w:firstLine="284"/>
        <w:jc w:val="both"/>
        <w:rPr>
          <w:rFonts w:ascii="Arial" w:hAnsi="Arial" w:cs="Arial"/>
          <w:i/>
          <w:color w:val="000000"/>
          <w:lang w:val="en-GB"/>
        </w:rPr>
      </w:pPr>
      <w:proofErr w:type="gramStart"/>
      <w:r w:rsidRPr="0049134E">
        <w:rPr>
          <w:rStyle w:val="sbb9ee52a"/>
          <w:rFonts w:ascii="Arial" w:hAnsi="Arial" w:cs="Arial"/>
          <w:i/>
          <w:color w:val="000000"/>
          <w:lang w:val="en-GB"/>
        </w:rPr>
        <w:t xml:space="preserve">The Court observes in this connection that Article 6 applies to any action whose subject matter is “pecuniary” in nature and which is founded on an alleged infringement of rights that were likewise of a pecuniary nature (see the Raimondo judgment cited above, p. 20, § 43, and the Editions </w:t>
      </w:r>
      <w:proofErr w:type="spellStart"/>
      <w:r w:rsidRPr="0049134E">
        <w:rPr>
          <w:rStyle w:val="sbb9ee52a"/>
          <w:rFonts w:ascii="Arial" w:hAnsi="Arial" w:cs="Arial"/>
          <w:i/>
          <w:color w:val="000000"/>
          <w:lang w:val="en-GB"/>
        </w:rPr>
        <w:t>Périscope</w:t>
      </w:r>
      <w:proofErr w:type="spellEnd"/>
      <w:r w:rsidRPr="0049134E">
        <w:rPr>
          <w:rStyle w:val="sbb9ee52a"/>
          <w:rFonts w:ascii="Arial" w:hAnsi="Arial" w:cs="Arial"/>
          <w:i/>
          <w:color w:val="000000"/>
          <w:lang w:val="en-GB"/>
        </w:rPr>
        <w:t xml:space="preserve"> v. France judgment of 26 March 1992, Series A no. 234-B, p. 66, § 40).</w:t>
      </w:r>
      <w:proofErr w:type="gramEnd"/>
    </w:p>
    <w:p w:rsidR="00D50E1A" w:rsidRDefault="00D50E1A" w:rsidP="004F6E28">
      <w:pPr>
        <w:pStyle w:val="s9793a85b"/>
        <w:shd w:val="clear" w:color="auto" w:fill="FFFFFF"/>
        <w:spacing w:before="0" w:beforeAutospacing="0" w:after="0" w:afterAutospacing="0"/>
        <w:ind w:firstLine="284"/>
        <w:jc w:val="both"/>
        <w:rPr>
          <w:rStyle w:val="sbb9ee52a"/>
          <w:rFonts w:ascii="Arial" w:hAnsi="Arial" w:cs="Arial"/>
          <w:color w:val="000000"/>
          <w:lang w:val="en-GB"/>
        </w:rPr>
      </w:pPr>
      <w:r w:rsidRPr="0049134E">
        <w:rPr>
          <w:rStyle w:val="sbb9ee52a"/>
          <w:rFonts w:ascii="Arial" w:hAnsi="Arial" w:cs="Arial"/>
          <w:i/>
          <w:color w:val="000000"/>
          <w:lang w:val="en-GB"/>
        </w:rPr>
        <w:lastRenderedPageBreak/>
        <w:t>That being the case here, Article 6 § 1, under its civil head, is applicable to the proceedings in question</w:t>
      </w:r>
      <w:r w:rsidRPr="004F6E28">
        <w:rPr>
          <w:rStyle w:val="sbb9ee52a"/>
          <w:rFonts w:ascii="Arial" w:hAnsi="Arial" w:cs="Arial"/>
          <w:color w:val="000000"/>
          <w:lang w:val="en-GB"/>
        </w:rPr>
        <w:t>.</w:t>
      </w:r>
      <w:r w:rsidR="00A21D83" w:rsidRPr="004F6E28">
        <w:rPr>
          <w:rStyle w:val="sbb9ee52a"/>
          <w:rFonts w:ascii="Arial" w:hAnsi="Arial" w:cs="Arial"/>
          <w:color w:val="000000"/>
          <w:lang w:val="en-GB"/>
        </w:rPr>
        <w:t>”</w:t>
      </w:r>
    </w:p>
    <w:p w:rsidR="005A5730" w:rsidRPr="005A5730" w:rsidRDefault="005A5730" w:rsidP="004F6E28">
      <w:pPr>
        <w:pStyle w:val="s9793a85b"/>
        <w:shd w:val="clear" w:color="auto" w:fill="FFFFFF"/>
        <w:spacing w:before="0" w:beforeAutospacing="0" w:after="0" w:afterAutospacing="0"/>
        <w:ind w:firstLine="284"/>
        <w:jc w:val="both"/>
        <w:rPr>
          <w:rFonts w:ascii="Arial" w:hAnsi="Arial" w:cs="Arial"/>
          <w:color w:val="000000"/>
        </w:rPr>
      </w:pPr>
      <w:r w:rsidRPr="005A5730">
        <w:rPr>
          <w:rStyle w:val="sbb9ee52a"/>
          <w:rFonts w:ascii="Arial" w:hAnsi="Arial" w:cs="Arial"/>
          <w:color w:val="000000"/>
        </w:rPr>
        <w:t xml:space="preserve">La Corte ritiene dunque applicabili alla </w:t>
      </w:r>
      <w:r>
        <w:rPr>
          <w:rStyle w:val="sbb9ee52a"/>
          <w:rFonts w:ascii="Arial" w:hAnsi="Arial" w:cs="Arial"/>
          <w:color w:val="000000"/>
        </w:rPr>
        <w:t>materia</w:t>
      </w:r>
      <w:r w:rsidRPr="005A5730">
        <w:rPr>
          <w:rStyle w:val="sbb9ee52a"/>
          <w:rFonts w:ascii="Arial" w:hAnsi="Arial" w:cs="Arial"/>
          <w:color w:val="000000"/>
        </w:rPr>
        <w:t xml:space="preserve"> i canoni del giusto processo o, </w:t>
      </w:r>
      <w:proofErr w:type="spellStart"/>
      <w:r w:rsidRPr="005A5730">
        <w:rPr>
          <w:rStyle w:val="sbb9ee52a"/>
          <w:rFonts w:ascii="Arial" w:hAnsi="Arial" w:cs="Arial"/>
          <w:i/>
          <w:color w:val="000000"/>
        </w:rPr>
        <w:t>rectius</w:t>
      </w:r>
      <w:proofErr w:type="spellEnd"/>
      <w:r w:rsidRPr="005A5730">
        <w:rPr>
          <w:rStyle w:val="sbb9ee52a"/>
          <w:rFonts w:ascii="Arial" w:hAnsi="Arial" w:cs="Arial"/>
          <w:i/>
          <w:color w:val="000000"/>
        </w:rPr>
        <w:t>,</w:t>
      </w:r>
      <w:r w:rsidRPr="005A5730">
        <w:rPr>
          <w:rStyle w:val="sbb9ee52a"/>
          <w:rFonts w:ascii="Arial" w:hAnsi="Arial" w:cs="Arial"/>
          <w:color w:val="000000"/>
        </w:rPr>
        <w:t xml:space="preserve"> </w:t>
      </w:r>
      <w:r w:rsidR="0049134E">
        <w:rPr>
          <w:rStyle w:val="sbb9ee52a"/>
          <w:rFonts w:ascii="Arial" w:hAnsi="Arial" w:cs="Arial"/>
          <w:color w:val="000000"/>
        </w:rPr>
        <w:t xml:space="preserve">giusto </w:t>
      </w:r>
      <w:r w:rsidRPr="005A5730">
        <w:rPr>
          <w:rStyle w:val="sbb9ee52a"/>
          <w:rFonts w:ascii="Arial" w:hAnsi="Arial" w:cs="Arial"/>
          <w:color w:val="000000"/>
        </w:rPr>
        <w:t>procedimento</w:t>
      </w:r>
      <w:r w:rsidR="00A02157">
        <w:rPr>
          <w:rStyle w:val="sbb9ee52a"/>
          <w:rFonts w:ascii="Arial" w:hAnsi="Arial" w:cs="Arial"/>
          <w:color w:val="000000"/>
        </w:rPr>
        <w:t xml:space="preserve"> quando si verta nella fase amministrativa di applicazione della misura</w:t>
      </w:r>
      <w:r w:rsidRPr="005A5730">
        <w:rPr>
          <w:rStyle w:val="sbb9ee52a"/>
          <w:rFonts w:ascii="Arial" w:hAnsi="Arial" w:cs="Arial"/>
          <w:color w:val="000000"/>
        </w:rPr>
        <w:t>, che implicano</w:t>
      </w:r>
      <w:r w:rsidR="00A02157">
        <w:rPr>
          <w:rStyle w:val="sbb9ee52a"/>
          <w:rFonts w:ascii="Arial" w:hAnsi="Arial" w:cs="Arial"/>
          <w:color w:val="000000"/>
        </w:rPr>
        <w:t>,</w:t>
      </w:r>
      <w:r w:rsidRPr="005A5730">
        <w:rPr>
          <w:rStyle w:val="sbb9ee52a"/>
          <w:rFonts w:ascii="Arial" w:hAnsi="Arial" w:cs="Arial"/>
          <w:color w:val="000000"/>
        </w:rPr>
        <w:t xml:space="preserve"> </w:t>
      </w:r>
      <w:r>
        <w:rPr>
          <w:rStyle w:val="sbb9ee52a"/>
          <w:rFonts w:ascii="Arial" w:hAnsi="Arial" w:cs="Arial"/>
          <w:color w:val="000000"/>
        </w:rPr>
        <w:t>n</w:t>
      </w:r>
      <w:r w:rsidRPr="005A5730">
        <w:rPr>
          <w:rStyle w:val="sbb9ee52a"/>
          <w:rFonts w:ascii="Arial" w:hAnsi="Arial" w:cs="Arial"/>
          <w:color w:val="000000"/>
        </w:rPr>
        <w:t>ella logica</w:t>
      </w:r>
      <w:r w:rsidR="00A02157">
        <w:rPr>
          <w:rStyle w:val="sbb9ee52a"/>
          <w:rFonts w:ascii="Arial" w:hAnsi="Arial" w:cs="Arial"/>
          <w:color w:val="000000"/>
        </w:rPr>
        <w:t xml:space="preserve"> della Convenzione,</w:t>
      </w:r>
      <w:r>
        <w:rPr>
          <w:rStyle w:val="sbb9ee52a"/>
          <w:rFonts w:ascii="Arial" w:hAnsi="Arial" w:cs="Arial"/>
          <w:color w:val="000000"/>
        </w:rPr>
        <w:t xml:space="preserve"> il rispetto del principio del contraddittorio.</w:t>
      </w:r>
      <w:r w:rsidRPr="005A5730">
        <w:rPr>
          <w:rStyle w:val="sbb9ee52a"/>
          <w:rFonts w:ascii="Arial" w:hAnsi="Arial" w:cs="Arial"/>
          <w:color w:val="000000"/>
        </w:rPr>
        <w:t xml:space="preserve">  </w:t>
      </w:r>
    </w:p>
    <w:p w:rsidR="00686E82" w:rsidRDefault="00E62C01" w:rsidP="004F6E28">
      <w:pPr>
        <w:spacing w:after="0"/>
        <w:jc w:val="both"/>
        <w:rPr>
          <w:rFonts w:ascii="Arial" w:hAnsi="Arial" w:cs="Arial"/>
          <w:color w:val="686868"/>
          <w:sz w:val="24"/>
          <w:szCs w:val="24"/>
          <w:shd w:val="clear" w:color="auto" w:fill="FFFFFF"/>
          <w:lang w:val="it-IT"/>
        </w:rPr>
      </w:pPr>
      <w:r w:rsidRPr="004F6E28">
        <w:rPr>
          <w:rFonts w:ascii="Arial" w:hAnsi="Arial" w:cs="Arial"/>
          <w:color w:val="686868"/>
          <w:sz w:val="24"/>
          <w:szCs w:val="24"/>
          <w:shd w:val="clear" w:color="auto" w:fill="FFFFFF"/>
          <w:lang w:val="it-IT"/>
        </w:rPr>
        <w:t>In que</w:t>
      </w:r>
      <w:r w:rsidR="0049134E">
        <w:rPr>
          <w:rFonts w:ascii="Arial" w:hAnsi="Arial" w:cs="Arial"/>
          <w:color w:val="686868"/>
          <w:sz w:val="24"/>
          <w:szCs w:val="24"/>
          <w:shd w:val="clear" w:color="auto" w:fill="FFFFFF"/>
          <w:lang w:val="it-IT"/>
        </w:rPr>
        <w:t>sto</w:t>
      </w:r>
      <w:r w:rsidRPr="004F6E28">
        <w:rPr>
          <w:rFonts w:ascii="Arial" w:hAnsi="Arial" w:cs="Arial"/>
          <w:color w:val="686868"/>
          <w:sz w:val="24"/>
          <w:szCs w:val="24"/>
          <w:shd w:val="clear" w:color="auto" w:fill="FFFFFF"/>
          <w:lang w:val="it-IT"/>
        </w:rPr>
        <w:t xml:space="preserve"> </w:t>
      </w:r>
      <w:r w:rsidR="00A02157">
        <w:rPr>
          <w:rFonts w:ascii="Arial" w:hAnsi="Arial" w:cs="Arial"/>
          <w:color w:val="686868"/>
          <w:sz w:val="24"/>
          <w:szCs w:val="24"/>
          <w:shd w:val="clear" w:color="auto" w:fill="FFFFFF"/>
          <w:lang w:val="it-IT"/>
        </w:rPr>
        <w:t xml:space="preserve">orientamento giurisprudenziale </w:t>
      </w:r>
      <w:r w:rsidR="00F24E67">
        <w:rPr>
          <w:rFonts w:ascii="Arial" w:hAnsi="Arial" w:cs="Arial"/>
          <w:color w:val="686868"/>
          <w:sz w:val="24"/>
          <w:szCs w:val="24"/>
          <w:shd w:val="clear" w:color="auto" w:fill="FFFFFF"/>
          <w:lang w:val="it-IT"/>
        </w:rPr>
        <w:t>si inserisce</w:t>
      </w:r>
      <w:r w:rsidR="0049134E">
        <w:rPr>
          <w:rFonts w:ascii="Arial" w:hAnsi="Arial" w:cs="Arial"/>
          <w:color w:val="686868"/>
          <w:sz w:val="24"/>
          <w:szCs w:val="24"/>
          <w:shd w:val="clear" w:color="auto" w:fill="FFFFFF"/>
          <w:lang w:val="it-IT"/>
        </w:rPr>
        <w:t xml:space="preserve"> anche</w:t>
      </w:r>
      <w:r w:rsidR="005A5730">
        <w:rPr>
          <w:rFonts w:ascii="Arial" w:hAnsi="Arial" w:cs="Arial"/>
          <w:color w:val="686868"/>
          <w:sz w:val="24"/>
          <w:szCs w:val="24"/>
          <w:shd w:val="clear" w:color="auto" w:fill="FFFFFF"/>
          <w:lang w:val="it-IT"/>
        </w:rPr>
        <w:t xml:space="preserve"> </w:t>
      </w:r>
      <w:r w:rsidR="00A02157">
        <w:rPr>
          <w:rFonts w:ascii="Arial" w:hAnsi="Arial" w:cs="Arial"/>
          <w:color w:val="686868"/>
          <w:sz w:val="24"/>
          <w:szCs w:val="24"/>
          <w:shd w:val="clear" w:color="auto" w:fill="FFFFFF"/>
          <w:lang w:val="it-IT"/>
        </w:rPr>
        <w:t>la</w:t>
      </w:r>
      <w:r w:rsidRPr="004F6E28">
        <w:rPr>
          <w:rFonts w:ascii="Arial" w:hAnsi="Arial" w:cs="Arial"/>
          <w:color w:val="686868"/>
          <w:sz w:val="24"/>
          <w:szCs w:val="24"/>
          <w:shd w:val="clear" w:color="auto" w:fill="FFFFFF"/>
          <w:lang w:val="it-IT"/>
        </w:rPr>
        <w:t xml:space="preserve"> </w:t>
      </w:r>
      <w:r w:rsidR="00B543EC" w:rsidRPr="004F6E28">
        <w:rPr>
          <w:rFonts w:ascii="Arial" w:hAnsi="Arial" w:cs="Arial"/>
          <w:color w:val="686868"/>
          <w:sz w:val="24"/>
          <w:szCs w:val="24"/>
          <w:shd w:val="clear" w:color="auto" w:fill="FFFFFF"/>
          <w:lang w:val="it-IT"/>
        </w:rPr>
        <w:t>sentenza De Tommaso del 23 febbraio 2017</w:t>
      </w:r>
      <w:r w:rsidR="00686E82">
        <w:rPr>
          <w:rFonts w:ascii="Arial" w:hAnsi="Arial" w:cs="Arial"/>
          <w:color w:val="686868"/>
          <w:sz w:val="24"/>
          <w:szCs w:val="24"/>
          <w:shd w:val="clear" w:color="auto" w:fill="FFFFFF"/>
          <w:lang w:val="it-IT"/>
        </w:rPr>
        <w:t>,</w:t>
      </w:r>
      <w:r w:rsidR="00A02157">
        <w:rPr>
          <w:rFonts w:ascii="Arial" w:hAnsi="Arial" w:cs="Arial"/>
          <w:color w:val="686868"/>
          <w:sz w:val="24"/>
          <w:szCs w:val="24"/>
          <w:shd w:val="clear" w:color="auto" w:fill="FFFFFF"/>
          <w:lang w:val="it-IT"/>
        </w:rPr>
        <w:t xml:space="preserve"> che h</w:t>
      </w:r>
      <w:r w:rsidR="005A5730">
        <w:rPr>
          <w:rFonts w:ascii="Arial" w:hAnsi="Arial" w:cs="Arial"/>
          <w:color w:val="686868"/>
          <w:sz w:val="24"/>
          <w:szCs w:val="24"/>
          <w:shd w:val="clear" w:color="auto" w:fill="FFFFFF"/>
          <w:lang w:val="it-IT"/>
        </w:rPr>
        <w:t xml:space="preserve">a </w:t>
      </w:r>
      <w:r w:rsidR="00A02157">
        <w:rPr>
          <w:rFonts w:ascii="Arial" w:hAnsi="Arial" w:cs="Arial"/>
          <w:color w:val="686868"/>
          <w:sz w:val="24"/>
          <w:szCs w:val="24"/>
          <w:shd w:val="clear" w:color="auto" w:fill="FFFFFF"/>
          <w:lang w:val="it-IT"/>
        </w:rPr>
        <w:t xml:space="preserve">avuto </w:t>
      </w:r>
      <w:r w:rsidR="005A5730">
        <w:rPr>
          <w:rFonts w:ascii="Arial" w:hAnsi="Arial" w:cs="Arial"/>
          <w:color w:val="686868"/>
          <w:sz w:val="24"/>
          <w:szCs w:val="24"/>
          <w:shd w:val="clear" w:color="auto" w:fill="FFFFFF"/>
          <w:lang w:val="it-IT"/>
        </w:rPr>
        <w:t>per altro</w:t>
      </w:r>
      <w:r w:rsidR="00B543EC" w:rsidRPr="004F6E28">
        <w:rPr>
          <w:rFonts w:ascii="Arial" w:hAnsi="Arial" w:cs="Arial"/>
          <w:color w:val="686868"/>
          <w:sz w:val="24"/>
          <w:szCs w:val="24"/>
          <w:shd w:val="clear" w:color="auto" w:fill="FFFFFF"/>
          <w:lang w:val="it-IT"/>
        </w:rPr>
        <w:t xml:space="preserve"> ad oggetto una misura di prevenzione di carattere personale</w:t>
      </w:r>
      <w:r w:rsidR="00686E82">
        <w:rPr>
          <w:rFonts w:ascii="Arial" w:hAnsi="Arial" w:cs="Arial"/>
          <w:color w:val="686868"/>
          <w:sz w:val="24"/>
          <w:szCs w:val="24"/>
          <w:shd w:val="clear" w:color="auto" w:fill="FFFFFF"/>
          <w:lang w:val="it-IT"/>
        </w:rPr>
        <w:t>.</w:t>
      </w:r>
    </w:p>
    <w:p w:rsidR="00E62C01" w:rsidRPr="004F6E28" w:rsidRDefault="00A02157" w:rsidP="004F6E28">
      <w:pPr>
        <w:spacing w:after="0"/>
        <w:jc w:val="both"/>
        <w:rPr>
          <w:rFonts w:ascii="Arial" w:hAnsi="Arial" w:cs="Arial"/>
          <w:color w:val="686868"/>
          <w:sz w:val="24"/>
          <w:szCs w:val="24"/>
          <w:shd w:val="clear" w:color="auto" w:fill="FFFFFF"/>
          <w:lang w:val="it-IT"/>
        </w:rPr>
      </w:pPr>
      <w:r>
        <w:rPr>
          <w:rFonts w:ascii="Arial" w:hAnsi="Arial" w:cs="Arial"/>
          <w:color w:val="686868"/>
          <w:sz w:val="24"/>
          <w:szCs w:val="24"/>
          <w:shd w:val="clear" w:color="auto" w:fill="FFFFFF"/>
          <w:lang w:val="it-IT"/>
        </w:rPr>
        <w:t>Certamente</w:t>
      </w:r>
      <w:r w:rsidR="005A5730">
        <w:rPr>
          <w:rFonts w:ascii="Arial" w:hAnsi="Arial" w:cs="Arial"/>
          <w:color w:val="686868"/>
          <w:sz w:val="24"/>
          <w:szCs w:val="24"/>
          <w:shd w:val="clear" w:color="auto" w:fill="FFFFFF"/>
          <w:lang w:val="it-IT"/>
        </w:rPr>
        <w:t xml:space="preserve"> </w:t>
      </w:r>
      <w:r w:rsidR="0049134E">
        <w:rPr>
          <w:rFonts w:ascii="Arial" w:hAnsi="Arial" w:cs="Arial"/>
          <w:color w:val="686868"/>
          <w:sz w:val="24"/>
          <w:szCs w:val="24"/>
          <w:shd w:val="clear" w:color="auto" w:fill="FFFFFF"/>
          <w:lang w:val="it-IT"/>
        </w:rPr>
        <w:t>pertinenti</w:t>
      </w:r>
      <w:r w:rsidR="00E62C01" w:rsidRPr="004F6E28">
        <w:rPr>
          <w:rFonts w:ascii="Arial" w:hAnsi="Arial" w:cs="Arial"/>
          <w:color w:val="686868"/>
          <w:sz w:val="24"/>
          <w:szCs w:val="24"/>
          <w:shd w:val="clear" w:color="auto" w:fill="FFFFFF"/>
          <w:lang w:val="it-IT"/>
        </w:rPr>
        <w:t xml:space="preserve"> alla documentazione antimafia</w:t>
      </w:r>
      <w:r w:rsidR="001450C4" w:rsidRPr="004F6E28">
        <w:rPr>
          <w:rFonts w:ascii="Arial" w:hAnsi="Arial" w:cs="Arial"/>
          <w:color w:val="686868"/>
          <w:sz w:val="24"/>
          <w:szCs w:val="24"/>
          <w:shd w:val="clear" w:color="auto" w:fill="FFFFFF"/>
          <w:lang w:val="it-IT"/>
        </w:rPr>
        <w:t xml:space="preserve"> sono </w:t>
      </w:r>
      <w:r w:rsidR="00686E82">
        <w:rPr>
          <w:rFonts w:ascii="Arial" w:hAnsi="Arial" w:cs="Arial"/>
          <w:color w:val="686868"/>
          <w:sz w:val="24"/>
          <w:szCs w:val="24"/>
          <w:shd w:val="clear" w:color="auto" w:fill="FFFFFF"/>
          <w:lang w:val="it-IT"/>
        </w:rPr>
        <w:t>comunque</w:t>
      </w:r>
      <w:r w:rsidR="0049134E">
        <w:rPr>
          <w:rFonts w:ascii="Arial" w:hAnsi="Arial" w:cs="Arial"/>
          <w:color w:val="686868"/>
          <w:sz w:val="24"/>
          <w:szCs w:val="24"/>
          <w:shd w:val="clear" w:color="auto" w:fill="FFFFFF"/>
          <w:lang w:val="it-IT"/>
        </w:rPr>
        <w:t xml:space="preserve"> </w:t>
      </w:r>
      <w:r w:rsidR="001450C4" w:rsidRPr="004F6E28">
        <w:rPr>
          <w:rFonts w:ascii="Arial" w:hAnsi="Arial" w:cs="Arial"/>
          <w:color w:val="686868"/>
          <w:sz w:val="24"/>
          <w:szCs w:val="24"/>
          <w:shd w:val="clear" w:color="auto" w:fill="FFFFFF"/>
          <w:lang w:val="it-IT"/>
        </w:rPr>
        <w:t>i principi</w:t>
      </w:r>
      <w:r w:rsidR="00E62C01" w:rsidRPr="004F6E28">
        <w:rPr>
          <w:rFonts w:ascii="Arial" w:hAnsi="Arial" w:cs="Arial"/>
          <w:color w:val="686868"/>
          <w:sz w:val="24"/>
          <w:szCs w:val="24"/>
          <w:shd w:val="clear" w:color="auto" w:fill="FFFFFF"/>
          <w:lang w:val="it-IT"/>
        </w:rPr>
        <w:t xml:space="preserve"> ivi</w:t>
      </w:r>
      <w:r w:rsidR="001450C4" w:rsidRPr="004F6E28">
        <w:rPr>
          <w:rFonts w:ascii="Arial" w:hAnsi="Arial" w:cs="Arial"/>
          <w:color w:val="686868"/>
          <w:sz w:val="24"/>
          <w:szCs w:val="24"/>
          <w:shd w:val="clear" w:color="auto" w:fill="FFFFFF"/>
          <w:lang w:val="it-IT"/>
        </w:rPr>
        <w:t xml:space="preserve"> espressi in tema di riserva di legge, </w:t>
      </w:r>
      <w:r>
        <w:rPr>
          <w:rFonts w:ascii="Arial" w:hAnsi="Arial" w:cs="Arial"/>
          <w:color w:val="686868"/>
          <w:sz w:val="24"/>
          <w:szCs w:val="24"/>
          <w:shd w:val="clear" w:color="auto" w:fill="FFFFFF"/>
          <w:lang w:val="it-IT"/>
        </w:rPr>
        <w:t>essendo</w:t>
      </w:r>
      <w:r w:rsidR="0049134E">
        <w:rPr>
          <w:rFonts w:ascii="Arial" w:hAnsi="Arial" w:cs="Arial"/>
          <w:color w:val="686868"/>
          <w:sz w:val="24"/>
          <w:szCs w:val="24"/>
          <w:shd w:val="clear" w:color="auto" w:fill="FFFFFF"/>
          <w:lang w:val="it-IT"/>
        </w:rPr>
        <w:t>, come detto,</w:t>
      </w:r>
      <w:r>
        <w:rPr>
          <w:rFonts w:ascii="Arial" w:hAnsi="Arial" w:cs="Arial"/>
          <w:color w:val="686868"/>
          <w:sz w:val="24"/>
          <w:szCs w:val="24"/>
          <w:shd w:val="clear" w:color="auto" w:fill="FFFFFF"/>
          <w:lang w:val="it-IT"/>
        </w:rPr>
        <w:t xml:space="preserve"> il princi</w:t>
      </w:r>
      <w:r w:rsidR="0049134E">
        <w:rPr>
          <w:rFonts w:ascii="Arial" w:hAnsi="Arial" w:cs="Arial"/>
          <w:color w:val="686868"/>
          <w:sz w:val="24"/>
          <w:szCs w:val="24"/>
          <w:shd w:val="clear" w:color="auto" w:fill="FFFFFF"/>
          <w:lang w:val="it-IT"/>
        </w:rPr>
        <w:t>pio di legalità prescritto</w:t>
      </w:r>
      <w:r>
        <w:rPr>
          <w:rFonts w:ascii="Arial" w:hAnsi="Arial" w:cs="Arial"/>
          <w:color w:val="686868"/>
          <w:sz w:val="24"/>
          <w:szCs w:val="24"/>
          <w:shd w:val="clear" w:color="auto" w:fill="FFFFFF"/>
          <w:lang w:val="it-IT"/>
        </w:rPr>
        <w:t xml:space="preserve"> dal</w:t>
      </w:r>
      <w:r w:rsidR="001450C4" w:rsidRPr="004F6E28">
        <w:rPr>
          <w:rFonts w:ascii="Arial" w:hAnsi="Arial" w:cs="Arial"/>
          <w:color w:val="686868"/>
          <w:sz w:val="24"/>
          <w:szCs w:val="24"/>
          <w:shd w:val="clear" w:color="auto" w:fill="FFFFFF"/>
          <w:lang w:val="it-IT"/>
        </w:rPr>
        <w:t>l’art. 1 del Protocollo 1 della CEDU</w:t>
      </w:r>
      <w:r w:rsidR="00E62C01" w:rsidRPr="004F6E28">
        <w:rPr>
          <w:rFonts w:ascii="Arial" w:hAnsi="Arial" w:cs="Arial"/>
          <w:color w:val="686868"/>
          <w:sz w:val="24"/>
          <w:szCs w:val="24"/>
          <w:shd w:val="clear" w:color="auto" w:fill="FFFFFF"/>
          <w:lang w:val="it-IT"/>
        </w:rPr>
        <w:t>.</w:t>
      </w:r>
    </w:p>
    <w:p w:rsidR="00E62C01" w:rsidRPr="00E62C01" w:rsidRDefault="00686E82" w:rsidP="0049134E">
      <w:pPr>
        <w:pStyle w:val="NormaleWeb"/>
        <w:shd w:val="clear" w:color="auto" w:fill="FFFFFF"/>
        <w:spacing w:before="0" w:beforeAutospacing="0" w:after="0" w:afterAutospacing="0"/>
        <w:jc w:val="both"/>
        <w:rPr>
          <w:rFonts w:ascii="Arial" w:hAnsi="Arial" w:cs="Arial"/>
          <w:color w:val="19191A"/>
        </w:rPr>
      </w:pPr>
      <w:r>
        <w:rPr>
          <w:rFonts w:ascii="Arial" w:hAnsi="Arial" w:cs="Arial"/>
          <w:color w:val="686868"/>
          <w:shd w:val="clear" w:color="auto" w:fill="FFFFFF"/>
        </w:rPr>
        <w:t>S</w:t>
      </w:r>
      <w:r w:rsidR="00A02157">
        <w:rPr>
          <w:rFonts w:ascii="Arial" w:hAnsi="Arial" w:cs="Arial"/>
          <w:color w:val="686868"/>
          <w:shd w:val="clear" w:color="auto" w:fill="FFFFFF"/>
        </w:rPr>
        <w:t>i legge nella decisione:</w:t>
      </w:r>
      <w:r w:rsidR="00E62C01" w:rsidRPr="004F6E28">
        <w:rPr>
          <w:rFonts w:ascii="Arial" w:hAnsi="Arial" w:cs="Arial"/>
          <w:color w:val="686868"/>
          <w:shd w:val="clear" w:color="auto" w:fill="FFFFFF"/>
        </w:rPr>
        <w:t xml:space="preserve"> </w:t>
      </w:r>
      <w:r w:rsidR="00E62C01" w:rsidRPr="004F6E28">
        <w:rPr>
          <w:rFonts w:ascii="Arial" w:hAnsi="Arial" w:cs="Arial"/>
        </w:rPr>
        <w:t>“</w:t>
      </w:r>
      <w:r w:rsidR="00E62C01" w:rsidRPr="004F6E28">
        <w:rPr>
          <w:rFonts w:ascii="Arial" w:hAnsi="Arial" w:cs="Arial"/>
          <w:color w:val="19191A"/>
        </w:rPr>
        <w:t xml:space="preserve">La Corte ribadisce la sua giurisprudenza costante, secondo la quale l'espressione “prevista dalla legge” esige non solo che la misura contestata abbia qualche base nel diritto interno, ma si riferisce anche alla qualità della legge in questione, esigendo che debba essere accessibile alle persone interessate e che i suoi effetti debbano essere </w:t>
      </w:r>
      <w:r w:rsidR="00F24E67">
        <w:rPr>
          <w:rFonts w:ascii="Arial" w:hAnsi="Arial" w:cs="Arial"/>
          <w:color w:val="19191A"/>
        </w:rPr>
        <w:t>prevedibili (si vedano X c. Lettonia</w:t>
      </w:r>
      <w:r w:rsidR="00E62C01" w:rsidRPr="004F6E28">
        <w:rPr>
          <w:rFonts w:ascii="Arial" w:hAnsi="Arial" w:cs="Arial"/>
          <w:color w:val="19191A"/>
        </w:rPr>
        <w:t>, n. 27853/09, § 58, CEDU 2013; Centro Europa 7 S.r.l. e Di Stefano c. I</w:t>
      </w:r>
      <w:r w:rsidR="00F24E67">
        <w:rPr>
          <w:rFonts w:ascii="Arial" w:hAnsi="Arial" w:cs="Arial"/>
          <w:color w:val="19191A"/>
        </w:rPr>
        <w:t>talia</w:t>
      </w:r>
      <w:r w:rsidR="00E62C01" w:rsidRPr="004F6E28">
        <w:rPr>
          <w:rFonts w:ascii="Arial" w:hAnsi="Arial" w:cs="Arial"/>
          <w:color w:val="19191A"/>
        </w:rPr>
        <w:t>, n. 38433/09, § 140, C</w:t>
      </w:r>
      <w:r w:rsidR="00F24E67">
        <w:rPr>
          <w:rFonts w:ascii="Arial" w:hAnsi="Arial" w:cs="Arial"/>
          <w:color w:val="19191A"/>
        </w:rPr>
        <w:t xml:space="preserve">EDU 2012; </w:t>
      </w:r>
      <w:proofErr w:type="spellStart"/>
      <w:r w:rsidR="00F24E67">
        <w:rPr>
          <w:rFonts w:ascii="Arial" w:hAnsi="Arial" w:cs="Arial"/>
          <w:color w:val="19191A"/>
        </w:rPr>
        <w:t>Rotaru</w:t>
      </w:r>
      <w:proofErr w:type="spellEnd"/>
      <w:r w:rsidR="00F24E67">
        <w:rPr>
          <w:rFonts w:ascii="Arial" w:hAnsi="Arial" w:cs="Arial"/>
          <w:color w:val="19191A"/>
        </w:rPr>
        <w:t xml:space="preserve"> c. Romania</w:t>
      </w:r>
      <w:r w:rsidR="00E62C01" w:rsidRPr="004F6E28">
        <w:rPr>
          <w:rFonts w:ascii="Arial" w:hAnsi="Arial" w:cs="Arial"/>
          <w:color w:val="19191A"/>
        </w:rPr>
        <w:t xml:space="preserve">, n. 28341/95, § 52, CEDU </w:t>
      </w:r>
      <w:r w:rsidR="00F24E67">
        <w:rPr>
          <w:rFonts w:ascii="Arial" w:hAnsi="Arial" w:cs="Arial"/>
          <w:color w:val="19191A"/>
        </w:rPr>
        <w:t>2000-V; e Maestri c. Italia</w:t>
      </w:r>
      <w:r w:rsidR="00E62C01" w:rsidRPr="004F6E28">
        <w:rPr>
          <w:rFonts w:ascii="Arial" w:hAnsi="Arial" w:cs="Arial"/>
          <w:color w:val="19191A"/>
        </w:rPr>
        <w:t>, n. 39748/98, § 30, CEDU 2004-I).</w:t>
      </w:r>
      <w:r w:rsidR="0049134E">
        <w:rPr>
          <w:rFonts w:ascii="Arial" w:hAnsi="Arial" w:cs="Arial"/>
          <w:color w:val="19191A"/>
        </w:rPr>
        <w:t xml:space="preserve"> </w:t>
      </w:r>
      <w:r w:rsidR="000D18B9">
        <w:rPr>
          <w:rFonts w:ascii="Arial" w:hAnsi="Arial" w:cs="Arial"/>
          <w:color w:val="19191A"/>
        </w:rPr>
        <w:t>Uno dei requisiti derivanti </w:t>
      </w:r>
      <w:r w:rsidR="00E62C01" w:rsidRPr="00E62C01">
        <w:rPr>
          <w:rFonts w:ascii="Arial" w:hAnsi="Arial" w:cs="Arial"/>
          <w:color w:val="19191A"/>
        </w:rPr>
        <w:t xml:space="preserve">dall'espressione “prevista dalla legge” è la prevedibilità. Pertanto, una norma non può essere considerata una “legge” se non è formulata con sufficiente precisione in modo da consentire ai cittadini di regolare la loro condotta; essi devono essere in grado - se necessario, mediante appropriata consulenza – di prevedere, a un livello ragionevole nelle specifiche circostanze, le conseguenze che un determinato atto può comportare. Tali conseguenze non devono essere prevedibili con assoluta certezza: l'esperienza dimostra che ciò è irrealizzabile. Ancora una volta, mentre la certezza è altamente auspicabile, può portare come strascico un’eccessiva rigidità, e la legge deve essere in grado di tenere il passo con il mutare delle circostanze. Di conseguenza, molte leggi sono inevitabilmente formulate in termini che, in misura maggiore o minore, sono vaghi e la cui interpretazione e applicazione sono questioni di pratica (si vedano </w:t>
      </w:r>
      <w:proofErr w:type="spellStart"/>
      <w:r w:rsidR="00E62C01" w:rsidRPr="00E62C01">
        <w:rPr>
          <w:rFonts w:ascii="Arial" w:hAnsi="Arial" w:cs="Arial"/>
          <w:color w:val="19191A"/>
        </w:rPr>
        <w:t>Sunday</w:t>
      </w:r>
      <w:proofErr w:type="spellEnd"/>
      <w:r w:rsidR="00E62C01" w:rsidRPr="00E62C01">
        <w:rPr>
          <w:rFonts w:ascii="Arial" w:hAnsi="Arial" w:cs="Arial"/>
          <w:color w:val="19191A"/>
        </w:rPr>
        <w:t xml:space="preserve"> Times c. Regno Unito (n. 1), 26 </w:t>
      </w:r>
      <w:r w:rsidR="000D18B9">
        <w:rPr>
          <w:rFonts w:ascii="Arial" w:hAnsi="Arial" w:cs="Arial"/>
          <w:color w:val="19191A"/>
        </w:rPr>
        <w:t>aprile 1979, § 49, Serie A n. 30</w:t>
      </w:r>
      <w:r w:rsidR="00E62C01" w:rsidRPr="00E62C01">
        <w:rPr>
          <w:rFonts w:ascii="Arial" w:hAnsi="Arial" w:cs="Arial"/>
          <w:color w:val="19191A"/>
        </w:rPr>
        <w:t xml:space="preserve">; </w:t>
      </w:r>
      <w:proofErr w:type="spellStart"/>
      <w:r w:rsidR="00E62C01" w:rsidRPr="00E62C01">
        <w:rPr>
          <w:rFonts w:ascii="Arial" w:hAnsi="Arial" w:cs="Arial"/>
          <w:color w:val="19191A"/>
        </w:rPr>
        <w:t>Kokkinakis</w:t>
      </w:r>
      <w:proofErr w:type="spellEnd"/>
      <w:r w:rsidR="00E62C01" w:rsidRPr="00E62C01">
        <w:rPr>
          <w:rFonts w:ascii="Arial" w:hAnsi="Arial" w:cs="Arial"/>
          <w:color w:val="19191A"/>
        </w:rPr>
        <w:t xml:space="preserve"> c. Grecia 25 maggio 1993, § 40, Serie A n. 260-A; </w:t>
      </w:r>
      <w:proofErr w:type="spellStart"/>
      <w:r w:rsidR="00E62C01" w:rsidRPr="00E62C01">
        <w:rPr>
          <w:rFonts w:ascii="Arial" w:hAnsi="Arial" w:cs="Arial"/>
          <w:color w:val="19191A"/>
        </w:rPr>
        <w:t>Rekvényi</w:t>
      </w:r>
      <w:proofErr w:type="spellEnd"/>
      <w:r w:rsidR="00E62C01" w:rsidRPr="00E62C01">
        <w:rPr>
          <w:rFonts w:ascii="Arial" w:hAnsi="Arial" w:cs="Arial"/>
          <w:color w:val="19191A"/>
        </w:rPr>
        <w:t xml:space="preserve"> c. Ungheria [GC], n. 25390/94, § 34, CEDU 1999-III; e Centro Europa 7 S.r.l. e Di Stefano, sopra citata, § 141).</w:t>
      </w:r>
      <w:r w:rsidR="0049134E">
        <w:rPr>
          <w:rFonts w:ascii="Arial" w:hAnsi="Arial" w:cs="Arial"/>
          <w:color w:val="19191A"/>
        </w:rPr>
        <w:t xml:space="preserve"> </w:t>
      </w:r>
      <w:r w:rsidR="000D18B9">
        <w:rPr>
          <w:rFonts w:ascii="Arial" w:hAnsi="Arial" w:cs="Arial"/>
          <w:color w:val="19191A"/>
        </w:rPr>
        <w:t>I</w:t>
      </w:r>
      <w:r w:rsidR="00E62C01" w:rsidRPr="00E62C01">
        <w:rPr>
          <w:rFonts w:ascii="Arial" w:hAnsi="Arial" w:cs="Arial"/>
          <w:color w:val="19191A"/>
        </w:rPr>
        <w:t xml:space="preserve">l livello di precisione della legislazione nazionale richiesto - che non può in ogni caso prevedere ogni eventualità - dipende in larga misura dal contenuto della legge in questione, dal campo che essa è finalizzata a contemplare e dal numero e dalla qualità di coloro cui è destinata (si vedano RTBF c. Belgio, n. 50084/06, § 104, CEDU 2011; </w:t>
      </w:r>
      <w:proofErr w:type="spellStart"/>
      <w:r w:rsidR="00E62C01" w:rsidRPr="00E62C01">
        <w:rPr>
          <w:rFonts w:ascii="Arial" w:hAnsi="Arial" w:cs="Arial"/>
          <w:color w:val="19191A"/>
        </w:rPr>
        <w:t>Rekvényi</w:t>
      </w:r>
      <w:proofErr w:type="spellEnd"/>
      <w:r w:rsidR="00E62C01" w:rsidRPr="00E62C01">
        <w:rPr>
          <w:rFonts w:ascii="Arial" w:hAnsi="Arial" w:cs="Arial"/>
          <w:color w:val="19191A"/>
        </w:rPr>
        <w:t xml:space="preserve">, sopra citata, § 34; Vogt c. Germania, 26 settembre 1995, § 48, Serie A n. 323; e Centro Europa 7 S.r.l. e Di Stefano, sopra citata, § 142). La Corte ribadisce che una norma è “prevedibile” quando offre una misura di protezione contro le ingerenze arbitrarie da parte delle autorità pubbliche (si vedano Centro Europa 7 S.r.l. e </w:t>
      </w:r>
      <w:r w:rsidR="000D18B9">
        <w:rPr>
          <w:rFonts w:ascii="Arial" w:hAnsi="Arial" w:cs="Arial"/>
          <w:color w:val="19191A"/>
        </w:rPr>
        <w:t>Di Stefano, sopra citata, § 143</w:t>
      </w:r>
      <w:r w:rsidR="00E62C01" w:rsidRPr="00E62C01">
        <w:rPr>
          <w:rFonts w:ascii="Arial" w:hAnsi="Arial" w:cs="Arial"/>
          <w:color w:val="19191A"/>
        </w:rPr>
        <w:t>). Una legge che conferisce una discrezionalità deve indicare la portata di tale discrezionalità, benché le particolareggiate procedure e condizioni d</w:t>
      </w:r>
      <w:r w:rsidR="000D18B9">
        <w:rPr>
          <w:rFonts w:ascii="Arial" w:hAnsi="Arial" w:cs="Arial"/>
          <w:color w:val="19191A"/>
        </w:rPr>
        <w:t>a osservare non debbano essere </w:t>
      </w:r>
      <w:r w:rsidR="00E62C01" w:rsidRPr="00E62C01">
        <w:rPr>
          <w:rFonts w:ascii="Arial" w:hAnsi="Arial" w:cs="Arial"/>
          <w:color w:val="19191A"/>
        </w:rPr>
        <w:t>necessariamente comprese nelle norme del diritto sostanziale (si veda Silver e altri c. Regno Unito, 25 marzo 1983, § 88, Serie A n. 61)</w:t>
      </w:r>
      <w:r w:rsidR="000D18B9">
        <w:rPr>
          <w:rFonts w:ascii="Arial" w:hAnsi="Arial" w:cs="Arial"/>
          <w:color w:val="19191A"/>
        </w:rPr>
        <w:t>”</w:t>
      </w:r>
      <w:r w:rsidR="00E62C01" w:rsidRPr="00E62C01">
        <w:rPr>
          <w:rFonts w:ascii="Arial" w:hAnsi="Arial" w:cs="Arial"/>
          <w:color w:val="19191A"/>
        </w:rPr>
        <w:t>.</w:t>
      </w:r>
    </w:p>
    <w:p w:rsidR="00E62C01" w:rsidRPr="0049134E" w:rsidRDefault="00E62C01" w:rsidP="000D18B9">
      <w:pPr>
        <w:shd w:val="clear" w:color="auto" w:fill="FFFFFF"/>
        <w:spacing w:after="0" w:line="240" w:lineRule="auto"/>
        <w:jc w:val="both"/>
        <w:rPr>
          <w:rFonts w:ascii="Arial" w:eastAsia="Times New Roman" w:hAnsi="Arial" w:cs="Arial"/>
          <w:color w:val="19191A"/>
          <w:sz w:val="24"/>
          <w:szCs w:val="24"/>
          <w:lang w:val="it-IT" w:eastAsia="it-IT"/>
        </w:rPr>
      </w:pPr>
      <w:r w:rsidRPr="004F6E28">
        <w:rPr>
          <w:rFonts w:ascii="Arial" w:eastAsia="Times New Roman" w:hAnsi="Arial" w:cs="Arial"/>
          <w:color w:val="19191A"/>
          <w:sz w:val="24"/>
          <w:szCs w:val="24"/>
          <w:lang w:val="it-IT" w:eastAsia="it-IT"/>
        </w:rPr>
        <w:t>In definitiva</w:t>
      </w:r>
      <w:r w:rsidR="004F6E28" w:rsidRPr="004F6E28">
        <w:rPr>
          <w:rFonts w:ascii="Arial" w:eastAsia="Times New Roman" w:hAnsi="Arial" w:cs="Arial"/>
          <w:color w:val="19191A"/>
          <w:sz w:val="24"/>
          <w:szCs w:val="24"/>
          <w:lang w:val="it-IT" w:eastAsia="it-IT"/>
        </w:rPr>
        <w:t>,</w:t>
      </w:r>
      <w:r w:rsidRPr="004F6E28">
        <w:rPr>
          <w:rFonts w:ascii="Arial" w:eastAsia="Times New Roman" w:hAnsi="Arial" w:cs="Arial"/>
          <w:color w:val="19191A"/>
          <w:sz w:val="24"/>
          <w:szCs w:val="24"/>
          <w:lang w:val="it-IT" w:eastAsia="it-IT"/>
        </w:rPr>
        <w:t xml:space="preserve"> nella costruzione della Corte EDU</w:t>
      </w:r>
      <w:r w:rsidR="0049134E">
        <w:rPr>
          <w:rFonts w:ascii="Arial" w:eastAsia="Times New Roman" w:hAnsi="Arial" w:cs="Arial"/>
          <w:color w:val="19191A"/>
          <w:sz w:val="24"/>
          <w:szCs w:val="24"/>
          <w:lang w:val="it-IT" w:eastAsia="it-IT"/>
        </w:rPr>
        <w:t>,</w:t>
      </w:r>
      <w:r w:rsidRPr="004F6E28">
        <w:rPr>
          <w:rFonts w:ascii="Arial" w:eastAsia="Times New Roman" w:hAnsi="Arial" w:cs="Arial"/>
          <w:color w:val="19191A"/>
          <w:sz w:val="24"/>
          <w:szCs w:val="24"/>
          <w:lang w:val="it-IT" w:eastAsia="it-IT"/>
        </w:rPr>
        <w:t xml:space="preserve"> l</w:t>
      </w:r>
      <w:r w:rsidR="00A02157">
        <w:rPr>
          <w:rFonts w:ascii="Arial" w:eastAsia="Times New Roman" w:hAnsi="Arial" w:cs="Arial"/>
          <w:color w:val="19191A"/>
          <w:sz w:val="24"/>
          <w:szCs w:val="24"/>
          <w:lang w:val="it-IT" w:eastAsia="it-IT"/>
        </w:rPr>
        <w:t>a documentazione antimafia è soggetta</w:t>
      </w:r>
      <w:r w:rsidRPr="004F6E28">
        <w:rPr>
          <w:rFonts w:ascii="Arial" w:eastAsia="Times New Roman" w:hAnsi="Arial" w:cs="Arial"/>
          <w:color w:val="19191A"/>
          <w:sz w:val="24"/>
          <w:szCs w:val="24"/>
          <w:lang w:val="it-IT" w:eastAsia="it-IT"/>
        </w:rPr>
        <w:t xml:space="preserve"> alle seguenti garanzie</w:t>
      </w:r>
      <w:r w:rsidR="004F6E28" w:rsidRPr="004F6E28">
        <w:rPr>
          <w:rFonts w:ascii="Arial" w:eastAsia="Times New Roman" w:hAnsi="Arial" w:cs="Arial"/>
          <w:color w:val="19191A"/>
          <w:sz w:val="24"/>
          <w:szCs w:val="24"/>
          <w:lang w:val="it-IT" w:eastAsia="it-IT"/>
        </w:rPr>
        <w:t>,</w:t>
      </w:r>
      <w:r w:rsidRPr="004F6E28">
        <w:rPr>
          <w:rFonts w:ascii="Arial" w:eastAsia="Times New Roman" w:hAnsi="Arial" w:cs="Arial"/>
          <w:color w:val="19191A"/>
          <w:sz w:val="24"/>
          <w:szCs w:val="24"/>
          <w:lang w:val="it-IT" w:eastAsia="it-IT"/>
        </w:rPr>
        <w:t xml:space="preserve"> </w:t>
      </w:r>
      <w:r w:rsidR="00A02157">
        <w:rPr>
          <w:rFonts w:ascii="Arial" w:eastAsia="Times New Roman" w:hAnsi="Arial" w:cs="Arial"/>
          <w:color w:val="19191A"/>
          <w:sz w:val="24"/>
          <w:szCs w:val="24"/>
          <w:lang w:val="it-IT" w:eastAsia="it-IT"/>
        </w:rPr>
        <w:t>ormai fissate in modo</w:t>
      </w:r>
      <w:r w:rsidR="000D18B9">
        <w:rPr>
          <w:rFonts w:ascii="Arial" w:eastAsia="Times New Roman" w:hAnsi="Arial" w:cs="Arial"/>
          <w:color w:val="19191A"/>
          <w:sz w:val="24"/>
          <w:szCs w:val="24"/>
          <w:lang w:val="it-IT" w:eastAsia="it-IT"/>
        </w:rPr>
        <w:t xml:space="preserve"> simmetrico</w:t>
      </w:r>
      <w:r w:rsidRPr="004F6E28">
        <w:rPr>
          <w:rFonts w:ascii="Arial" w:eastAsia="Times New Roman" w:hAnsi="Arial" w:cs="Arial"/>
          <w:color w:val="19191A"/>
          <w:sz w:val="24"/>
          <w:szCs w:val="24"/>
          <w:lang w:val="it-IT" w:eastAsia="it-IT"/>
        </w:rPr>
        <w:t xml:space="preserve"> tr</w:t>
      </w:r>
      <w:r w:rsidR="0049134E">
        <w:rPr>
          <w:rFonts w:ascii="Arial" w:eastAsia="Times New Roman" w:hAnsi="Arial" w:cs="Arial"/>
          <w:color w:val="19191A"/>
          <w:sz w:val="24"/>
          <w:szCs w:val="24"/>
          <w:lang w:val="it-IT" w:eastAsia="it-IT"/>
        </w:rPr>
        <w:t>a giurisprudenza europea</w:t>
      </w:r>
      <w:r w:rsidR="000D18B9">
        <w:rPr>
          <w:rFonts w:ascii="Arial" w:eastAsia="Times New Roman" w:hAnsi="Arial" w:cs="Arial"/>
          <w:color w:val="19191A"/>
          <w:sz w:val="24"/>
          <w:szCs w:val="24"/>
          <w:lang w:val="it-IT" w:eastAsia="it-IT"/>
        </w:rPr>
        <w:t xml:space="preserve"> e giurisprudenza costituzionale</w:t>
      </w:r>
      <w:r w:rsidR="0049134E">
        <w:rPr>
          <w:rFonts w:ascii="Arial" w:eastAsia="Times New Roman" w:hAnsi="Arial" w:cs="Arial"/>
          <w:color w:val="19191A"/>
          <w:sz w:val="24"/>
          <w:szCs w:val="24"/>
          <w:lang w:val="it-IT" w:eastAsia="it-IT"/>
        </w:rPr>
        <w:t xml:space="preserve"> italiana: </w:t>
      </w:r>
      <w:r w:rsidRPr="004F6E28">
        <w:rPr>
          <w:rFonts w:ascii="Arial" w:eastAsia="Times New Roman" w:hAnsi="Arial" w:cs="Arial"/>
          <w:color w:val="19191A"/>
          <w:sz w:val="24"/>
          <w:szCs w:val="24"/>
          <w:lang w:val="it-IT" w:eastAsia="it-IT"/>
        </w:rPr>
        <w:t>“</w:t>
      </w:r>
      <w:r w:rsidRPr="004F6E28">
        <w:rPr>
          <w:rFonts w:ascii="Arial" w:hAnsi="Arial" w:cs="Arial"/>
          <w:color w:val="666666"/>
          <w:sz w:val="24"/>
          <w:szCs w:val="24"/>
          <w:shd w:val="clear" w:color="auto" w:fill="FFFFFF"/>
          <w:lang w:val="it-IT"/>
        </w:rPr>
        <w:t xml:space="preserve">a) la previsione attraverso una legge (artt. 41 e 42 </w:t>
      </w:r>
      <w:proofErr w:type="spellStart"/>
      <w:r w:rsidRPr="004F6E28">
        <w:rPr>
          <w:rFonts w:ascii="Arial" w:hAnsi="Arial" w:cs="Arial"/>
          <w:color w:val="666666"/>
          <w:sz w:val="24"/>
          <w:szCs w:val="24"/>
          <w:shd w:val="clear" w:color="auto" w:fill="FFFFFF"/>
          <w:lang w:val="it-IT"/>
        </w:rPr>
        <w:t>Cost</w:t>
      </w:r>
      <w:proofErr w:type="spellEnd"/>
      <w:r w:rsidRPr="004F6E28">
        <w:rPr>
          <w:rFonts w:ascii="Arial" w:hAnsi="Arial" w:cs="Arial"/>
          <w:color w:val="666666"/>
          <w:sz w:val="24"/>
          <w:szCs w:val="24"/>
          <w:shd w:val="clear" w:color="auto" w:fill="FFFFFF"/>
          <w:lang w:val="it-IT"/>
        </w:rPr>
        <w:t xml:space="preserve">.) che possa consentire ai propri destinatari, in conformità alla costante giurisprudenza della Corte EDU sui requisiti di qualità della “base legale” della restrizione, di prevedere la futura possibile applicazione di tali misure (art. 1 </w:t>
      </w:r>
      <w:proofErr w:type="spellStart"/>
      <w:r w:rsidRPr="004F6E28">
        <w:rPr>
          <w:rFonts w:ascii="Arial" w:hAnsi="Arial" w:cs="Arial"/>
          <w:color w:val="666666"/>
          <w:sz w:val="24"/>
          <w:szCs w:val="24"/>
          <w:shd w:val="clear" w:color="auto" w:fill="FFFFFF"/>
          <w:lang w:val="it-IT"/>
        </w:rPr>
        <w:t>Prot</w:t>
      </w:r>
      <w:proofErr w:type="spellEnd"/>
      <w:r w:rsidRPr="004F6E28">
        <w:rPr>
          <w:rFonts w:ascii="Arial" w:hAnsi="Arial" w:cs="Arial"/>
          <w:color w:val="666666"/>
          <w:sz w:val="24"/>
          <w:szCs w:val="24"/>
          <w:shd w:val="clear" w:color="auto" w:fill="FFFFFF"/>
          <w:lang w:val="it-IT"/>
        </w:rPr>
        <w:t xml:space="preserve">. </w:t>
      </w:r>
      <w:proofErr w:type="spellStart"/>
      <w:r w:rsidRPr="004F6E28">
        <w:rPr>
          <w:rFonts w:ascii="Arial" w:hAnsi="Arial" w:cs="Arial"/>
          <w:color w:val="666666"/>
          <w:sz w:val="24"/>
          <w:szCs w:val="24"/>
          <w:shd w:val="clear" w:color="auto" w:fill="FFFFFF"/>
          <w:lang w:val="it-IT"/>
        </w:rPr>
        <w:t>addiz</w:t>
      </w:r>
      <w:proofErr w:type="spellEnd"/>
      <w:r w:rsidRPr="004F6E28">
        <w:rPr>
          <w:rFonts w:ascii="Arial" w:hAnsi="Arial" w:cs="Arial"/>
          <w:color w:val="666666"/>
          <w:sz w:val="24"/>
          <w:szCs w:val="24"/>
          <w:shd w:val="clear" w:color="auto" w:fill="FFFFFF"/>
          <w:lang w:val="it-IT"/>
        </w:rPr>
        <w:t xml:space="preserve">. CEDU); b) l’essere la restrizione “necessaria” rispetto ai legittimi obiettivi perseguiti (art. 1 </w:t>
      </w:r>
      <w:proofErr w:type="spellStart"/>
      <w:r w:rsidRPr="004F6E28">
        <w:rPr>
          <w:rFonts w:ascii="Arial" w:hAnsi="Arial" w:cs="Arial"/>
          <w:color w:val="666666"/>
          <w:sz w:val="24"/>
          <w:szCs w:val="24"/>
          <w:shd w:val="clear" w:color="auto" w:fill="FFFFFF"/>
          <w:lang w:val="it-IT"/>
        </w:rPr>
        <w:t>Prot</w:t>
      </w:r>
      <w:proofErr w:type="spellEnd"/>
      <w:r w:rsidRPr="004F6E28">
        <w:rPr>
          <w:rFonts w:ascii="Arial" w:hAnsi="Arial" w:cs="Arial"/>
          <w:color w:val="666666"/>
          <w:sz w:val="24"/>
          <w:szCs w:val="24"/>
          <w:shd w:val="clear" w:color="auto" w:fill="FFFFFF"/>
          <w:lang w:val="it-IT"/>
        </w:rPr>
        <w:t xml:space="preserve">. </w:t>
      </w:r>
      <w:proofErr w:type="spellStart"/>
      <w:r w:rsidRPr="004F6E28">
        <w:rPr>
          <w:rFonts w:ascii="Arial" w:hAnsi="Arial" w:cs="Arial"/>
          <w:color w:val="666666"/>
          <w:sz w:val="24"/>
          <w:szCs w:val="24"/>
          <w:shd w:val="clear" w:color="auto" w:fill="FFFFFF"/>
          <w:lang w:val="it-IT"/>
        </w:rPr>
        <w:t>addiz</w:t>
      </w:r>
      <w:proofErr w:type="spellEnd"/>
      <w:r w:rsidRPr="004F6E28">
        <w:rPr>
          <w:rFonts w:ascii="Arial" w:hAnsi="Arial" w:cs="Arial"/>
          <w:color w:val="666666"/>
          <w:sz w:val="24"/>
          <w:szCs w:val="24"/>
          <w:shd w:val="clear" w:color="auto" w:fill="FFFFFF"/>
          <w:lang w:val="it-IT"/>
        </w:rPr>
        <w:t xml:space="preserve">. CEDU), e pertanto proporzionata rispetto a tali obiettivi, ciò che rappresenta un requisito di sistema </w:t>
      </w:r>
      <w:r w:rsidRPr="004F6E28">
        <w:rPr>
          <w:rFonts w:ascii="Arial" w:hAnsi="Arial" w:cs="Arial"/>
          <w:color w:val="666666"/>
          <w:sz w:val="24"/>
          <w:szCs w:val="24"/>
          <w:shd w:val="clear" w:color="auto" w:fill="FFFFFF"/>
          <w:lang w:val="it-IT"/>
        </w:rPr>
        <w:lastRenderedPageBreak/>
        <w:t xml:space="preserve">anche nell’ordinamento costituzionale italiano per ogni misura della pubblica autorità che incide sui diritti dell’individuo, alla luce dell’art. 3 </w:t>
      </w:r>
      <w:proofErr w:type="spellStart"/>
      <w:r w:rsidRPr="004F6E28">
        <w:rPr>
          <w:rFonts w:ascii="Arial" w:hAnsi="Arial" w:cs="Arial"/>
          <w:color w:val="666666"/>
          <w:sz w:val="24"/>
          <w:szCs w:val="24"/>
          <w:shd w:val="clear" w:color="auto" w:fill="FFFFFF"/>
          <w:lang w:val="it-IT"/>
        </w:rPr>
        <w:t>Cost</w:t>
      </w:r>
      <w:proofErr w:type="spellEnd"/>
      <w:r w:rsidRPr="004F6E28">
        <w:rPr>
          <w:rFonts w:ascii="Arial" w:hAnsi="Arial" w:cs="Arial"/>
          <w:color w:val="666666"/>
          <w:sz w:val="24"/>
          <w:szCs w:val="24"/>
          <w:shd w:val="clear" w:color="auto" w:fill="FFFFFF"/>
          <w:lang w:val="it-IT"/>
        </w:rPr>
        <w:t xml:space="preserve">.; nonché c) la necessità che la applicazione sia disposta in esito a un procedimento che – pur non dovendo necessariamente conformarsi ai principi che la Costituzione e il diritto convenzionale dettano specificamente per il processo penale – deve tuttavia rispettare i canoni generali di ogni “giusto” processo garantito dalla legge (artt. 111, primo, secondo e sesto comma, </w:t>
      </w:r>
      <w:proofErr w:type="spellStart"/>
      <w:r w:rsidRPr="004F6E28">
        <w:rPr>
          <w:rFonts w:ascii="Arial" w:hAnsi="Arial" w:cs="Arial"/>
          <w:color w:val="666666"/>
          <w:sz w:val="24"/>
          <w:szCs w:val="24"/>
          <w:shd w:val="clear" w:color="auto" w:fill="FFFFFF"/>
          <w:lang w:val="it-IT"/>
        </w:rPr>
        <w:t>Cost</w:t>
      </w:r>
      <w:proofErr w:type="spellEnd"/>
      <w:r w:rsidRPr="004F6E28">
        <w:rPr>
          <w:rFonts w:ascii="Arial" w:hAnsi="Arial" w:cs="Arial"/>
          <w:color w:val="666666"/>
          <w:sz w:val="24"/>
          <w:szCs w:val="24"/>
          <w:shd w:val="clear" w:color="auto" w:fill="FFFFFF"/>
          <w:lang w:val="it-IT"/>
        </w:rPr>
        <w:t>., e 6 CEDU, nel suo “</w:t>
      </w:r>
      <w:proofErr w:type="spellStart"/>
      <w:r w:rsidRPr="00A02157">
        <w:rPr>
          <w:rFonts w:ascii="Arial" w:hAnsi="Arial" w:cs="Arial"/>
          <w:i/>
          <w:color w:val="666666"/>
          <w:sz w:val="24"/>
          <w:szCs w:val="24"/>
          <w:shd w:val="clear" w:color="auto" w:fill="FFFFFF"/>
          <w:lang w:val="it-IT"/>
        </w:rPr>
        <w:t>volet</w:t>
      </w:r>
      <w:proofErr w:type="spellEnd"/>
      <w:r w:rsidRPr="00A02157">
        <w:rPr>
          <w:rFonts w:ascii="Arial" w:hAnsi="Arial" w:cs="Arial"/>
          <w:i/>
          <w:color w:val="666666"/>
          <w:sz w:val="24"/>
          <w:szCs w:val="24"/>
          <w:shd w:val="clear" w:color="auto" w:fill="FFFFFF"/>
          <w:lang w:val="it-IT"/>
        </w:rPr>
        <w:t xml:space="preserve"> </w:t>
      </w:r>
      <w:proofErr w:type="spellStart"/>
      <w:r w:rsidRPr="00A02157">
        <w:rPr>
          <w:rFonts w:ascii="Arial" w:hAnsi="Arial" w:cs="Arial"/>
          <w:i/>
          <w:color w:val="666666"/>
          <w:sz w:val="24"/>
          <w:szCs w:val="24"/>
          <w:shd w:val="clear" w:color="auto" w:fill="FFFFFF"/>
          <w:lang w:val="it-IT"/>
        </w:rPr>
        <w:t>civil</w:t>
      </w:r>
      <w:proofErr w:type="spellEnd"/>
      <w:r w:rsidRPr="004F6E28">
        <w:rPr>
          <w:rFonts w:ascii="Arial" w:hAnsi="Arial" w:cs="Arial"/>
          <w:color w:val="666666"/>
          <w:sz w:val="24"/>
          <w:szCs w:val="24"/>
          <w:shd w:val="clear" w:color="auto" w:fill="FFFFFF"/>
          <w:lang w:val="it-IT"/>
        </w:rPr>
        <w:t xml:space="preserve">”), assicurando in particolare la piena tutela al diritto di difesa (art. 24 </w:t>
      </w:r>
      <w:proofErr w:type="spellStart"/>
      <w:r w:rsidRPr="004F6E28">
        <w:rPr>
          <w:rFonts w:ascii="Arial" w:hAnsi="Arial" w:cs="Arial"/>
          <w:color w:val="666666"/>
          <w:sz w:val="24"/>
          <w:szCs w:val="24"/>
          <w:shd w:val="clear" w:color="auto" w:fill="FFFFFF"/>
          <w:lang w:val="it-IT"/>
        </w:rPr>
        <w:t>Cost</w:t>
      </w:r>
      <w:proofErr w:type="spellEnd"/>
      <w:r w:rsidRPr="004F6E28">
        <w:rPr>
          <w:rFonts w:ascii="Arial" w:hAnsi="Arial" w:cs="Arial"/>
          <w:color w:val="666666"/>
          <w:sz w:val="24"/>
          <w:szCs w:val="24"/>
          <w:shd w:val="clear" w:color="auto" w:fill="FFFFFF"/>
          <w:lang w:val="it-IT"/>
        </w:rPr>
        <w:t>.) di colui nei cui co</w:t>
      </w:r>
      <w:r w:rsidR="00D9027C">
        <w:rPr>
          <w:rFonts w:ascii="Arial" w:hAnsi="Arial" w:cs="Arial"/>
          <w:color w:val="666666"/>
          <w:sz w:val="24"/>
          <w:szCs w:val="24"/>
          <w:shd w:val="clear" w:color="auto" w:fill="FFFFFF"/>
          <w:lang w:val="it-IT"/>
        </w:rPr>
        <w:t>nfronti la misura sia richiesta</w:t>
      </w:r>
      <w:r w:rsidR="004F6E28" w:rsidRPr="004F6E28">
        <w:rPr>
          <w:rFonts w:ascii="Arial" w:hAnsi="Arial" w:cs="Arial"/>
          <w:color w:val="666666"/>
          <w:sz w:val="24"/>
          <w:szCs w:val="24"/>
          <w:shd w:val="clear" w:color="auto" w:fill="FFFFFF"/>
          <w:lang w:val="it-IT"/>
        </w:rPr>
        <w:t>” (</w:t>
      </w:r>
      <w:r w:rsidR="000D18B9">
        <w:rPr>
          <w:rFonts w:ascii="Arial" w:hAnsi="Arial" w:cs="Arial"/>
          <w:color w:val="666666"/>
          <w:sz w:val="24"/>
          <w:szCs w:val="24"/>
          <w:shd w:val="clear" w:color="auto" w:fill="FFFFFF"/>
          <w:lang w:val="it-IT"/>
        </w:rPr>
        <w:t xml:space="preserve">così </w:t>
      </w:r>
      <w:r w:rsidR="004F6E28" w:rsidRPr="004F6E28">
        <w:rPr>
          <w:rFonts w:ascii="Arial" w:hAnsi="Arial" w:cs="Arial"/>
          <w:color w:val="666666"/>
          <w:sz w:val="24"/>
          <w:szCs w:val="24"/>
          <w:shd w:val="clear" w:color="auto" w:fill="FFFFFF"/>
          <w:lang w:val="it-IT"/>
        </w:rPr>
        <w:t>Corte Co</w:t>
      </w:r>
      <w:r w:rsidR="00D9027C">
        <w:rPr>
          <w:rFonts w:ascii="Arial" w:hAnsi="Arial" w:cs="Arial"/>
          <w:color w:val="666666"/>
          <w:sz w:val="24"/>
          <w:szCs w:val="24"/>
          <w:shd w:val="clear" w:color="auto" w:fill="FFFFFF"/>
          <w:lang w:val="it-IT"/>
        </w:rPr>
        <w:t>stituzionale 27 febbraio 2019,</w:t>
      </w:r>
      <w:r w:rsidR="00E92A1B">
        <w:rPr>
          <w:rFonts w:ascii="Arial" w:hAnsi="Arial" w:cs="Arial"/>
          <w:color w:val="666666"/>
          <w:sz w:val="24"/>
          <w:szCs w:val="24"/>
          <w:shd w:val="clear" w:color="auto" w:fill="FFFFFF"/>
          <w:lang w:val="it-IT"/>
        </w:rPr>
        <w:t xml:space="preserve"> n</w:t>
      </w:r>
      <w:r w:rsidR="004F6E28" w:rsidRPr="004F6E28">
        <w:rPr>
          <w:rFonts w:ascii="Arial" w:hAnsi="Arial" w:cs="Arial"/>
          <w:color w:val="666666"/>
          <w:sz w:val="24"/>
          <w:szCs w:val="24"/>
          <w:shd w:val="clear" w:color="auto" w:fill="FFFFFF"/>
          <w:lang w:val="it-IT"/>
        </w:rPr>
        <w:t>. 24).</w:t>
      </w:r>
    </w:p>
    <w:p w:rsidR="00E92A1B" w:rsidRDefault="004F6E28" w:rsidP="00E92A1B">
      <w:pPr>
        <w:shd w:val="clear" w:color="auto" w:fill="FFFFFF"/>
        <w:spacing w:after="0" w:line="240" w:lineRule="auto"/>
        <w:jc w:val="both"/>
        <w:rPr>
          <w:rFonts w:ascii="Arial" w:eastAsia="Times New Roman" w:hAnsi="Arial" w:cs="Arial"/>
          <w:color w:val="19191A"/>
          <w:sz w:val="24"/>
          <w:szCs w:val="24"/>
          <w:lang w:val="it-IT" w:eastAsia="it-IT"/>
        </w:rPr>
      </w:pPr>
      <w:r>
        <w:rPr>
          <w:rFonts w:ascii="Arial" w:eastAsia="Times New Roman" w:hAnsi="Arial" w:cs="Arial"/>
          <w:color w:val="19191A"/>
          <w:sz w:val="24"/>
          <w:szCs w:val="24"/>
          <w:lang w:val="it-IT" w:eastAsia="it-IT"/>
        </w:rPr>
        <w:t xml:space="preserve">Dal </w:t>
      </w:r>
      <w:r w:rsidR="005A5730">
        <w:rPr>
          <w:rFonts w:ascii="Arial" w:eastAsia="Times New Roman" w:hAnsi="Arial" w:cs="Arial"/>
          <w:color w:val="19191A"/>
          <w:sz w:val="24"/>
          <w:szCs w:val="24"/>
          <w:lang w:val="it-IT" w:eastAsia="it-IT"/>
        </w:rPr>
        <w:t>sistema di garanzie convenzionali</w:t>
      </w:r>
      <w:r>
        <w:rPr>
          <w:rFonts w:ascii="Arial" w:eastAsia="Times New Roman" w:hAnsi="Arial" w:cs="Arial"/>
          <w:color w:val="19191A"/>
          <w:sz w:val="24"/>
          <w:szCs w:val="24"/>
          <w:lang w:val="it-IT" w:eastAsia="it-IT"/>
        </w:rPr>
        <w:t xml:space="preserve"> il nostro ordinamento</w:t>
      </w:r>
      <w:r w:rsidR="000D18B9">
        <w:rPr>
          <w:rFonts w:ascii="Arial" w:eastAsia="Times New Roman" w:hAnsi="Arial" w:cs="Arial"/>
          <w:color w:val="19191A"/>
          <w:sz w:val="24"/>
          <w:szCs w:val="24"/>
          <w:lang w:val="it-IT" w:eastAsia="it-IT"/>
        </w:rPr>
        <w:t xml:space="preserve"> costituzionale</w:t>
      </w:r>
      <w:r>
        <w:rPr>
          <w:rFonts w:ascii="Arial" w:eastAsia="Times New Roman" w:hAnsi="Arial" w:cs="Arial"/>
          <w:color w:val="19191A"/>
          <w:sz w:val="24"/>
          <w:szCs w:val="24"/>
          <w:lang w:val="it-IT" w:eastAsia="it-IT"/>
        </w:rPr>
        <w:t xml:space="preserve"> ha</w:t>
      </w:r>
      <w:r w:rsidR="005A5730">
        <w:rPr>
          <w:rFonts w:ascii="Arial" w:eastAsia="Times New Roman" w:hAnsi="Arial" w:cs="Arial"/>
          <w:color w:val="19191A"/>
          <w:sz w:val="24"/>
          <w:szCs w:val="24"/>
          <w:lang w:val="it-IT" w:eastAsia="it-IT"/>
        </w:rPr>
        <w:t>,</w:t>
      </w:r>
      <w:r w:rsidR="0049134E">
        <w:rPr>
          <w:rFonts w:ascii="Arial" w:eastAsia="Times New Roman" w:hAnsi="Arial" w:cs="Arial"/>
          <w:color w:val="19191A"/>
          <w:sz w:val="24"/>
          <w:szCs w:val="24"/>
          <w:lang w:val="it-IT" w:eastAsia="it-IT"/>
        </w:rPr>
        <w:t xml:space="preserve"> in particolare</w:t>
      </w:r>
      <w:r w:rsidR="005A5730">
        <w:rPr>
          <w:rFonts w:ascii="Arial" w:eastAsia="Times New Roman" w:hAnsi="Arial" w:cs="Arial"/>
          <w:color w:val="19191A"/>
          <w:sz w:val="24"/>
          <w:szCs w:val="24"/>
          <w:lang w:val="it-IT" w:eastAsia="it-IT"/>
        </w:rPr>
        <w:t>,</w:t>
      </w:r>
      <w:r w:rsidR="00E92A1B">
        <w:rPr>
          <w:rFonts w:ascii="Arial" w:eastAsia="Times New Roman" w:hAnsi="Arial" w:cs="Arial"/>
          <w:color w:val="19191A"/>
          <w:sz w:val="24"/>
          <w:szCs w:val="24"/>
          <w:lang w:val="it-IT" w:eastAsia="it-IT"/>
        </w:rPr>
        <w:t xml:space="preserve"> mutuato l’obbligo</w:t>
      </w:r>
      <w:r>
        <w:rPr>
          <w:rFonts w:ascii="Arial" w:eastAsia="Times New Roman" w:hAnsi="Arial" w:cs="Arial"/>
          <w:color w:val="19191A"/>
          <w:sz w:val="24"/>
          <w:szCs w:val="24"/>
          <w:lang w:val="it-IT" w:eastAsia="it-IT"/>
        </w:rPr>
        <w:t xml:space="preserve"> di instaurare un contraddittorio con l’interessato</w:t>
      </w:r>
      <w:r w:rsidR="00E92A1B">
        <w:rPr>
          <w:rFonts w:ascii="Arial" w:eastAsia="Times New Roman" w:hAnsi="Arial" w:cs="Arial"/>
          <w:color w:val="19191A"/>
          <w:sz w:val="24"/>
          <w:szCs w:val="24"/>
          <w:lang w:val="it-IT" w:eastAsia="it-IT"/>
        </w:rPr>
        <w:t xml:space="preserve"> in fase di applicazione delle misure</w:t>
      </w:r>
      <w:r>
        <w:rPr>
          <w:rFonts w:ascii="Arial" w:eastAsia="Times New Roman" w:hAnsi="Arial" w:cs="Arial"/>
          <w:color w:val="19191A"/>
          <w:sz w:val="24"/>
          <w:szCs w:val="24"/>
          <w:lang w:val="it-IT" w:eastAsia="it-IT"/>
        </w:rPr>
        <w:t>, aspetto sul q</w:t>
      </w:r>
      <w:r w:rsidR="005A5730">
        <w:rPr>
          <w:rFonts w:ascii="Arial" w:eastAsia="Times New Roman" w:hAnsi="Arial" w:cs="Arial"/>
          <w:color w:val="19191A"/>
          <w:sz w:val="24"/>
          <w:szCs w:val="24"/>
          <w:lang w:val="it-IT" w:eastAsia="it-IT"/>
        </w:rPr>
        <w:t>uale la giurisprudenza</w:t>
      </w:r>
      <w:r w:rsidR="00E92A1B">
        <w:rPr>
          <w:rFonts w:ascii="Arial" w:eastAsia="Times New Roman" w:hAnsi="Arial" w:cs="Arial"/>
          <w:color w:val="19191A"/>
          <w:sz w:val="24"/>
          <w:szCs w:val="24"/>
          <w:lang w:val="it-IT" w:eastAsia="it-IT"/>
        </w:rPr>
        <w:t>,</w:t>
      </w:r>
      <w:r w:rsidR="005A5730">
        <w:rPr>
          <w:rFonts w:ascii="Arial" w:eastAsia="Times New Roman" w:hAnsi="Arial" w:cs="Arial"/>
          <w:color w:val="19191A"/>
          <w:sz w:val="24"/>
          <w:szCs w:val="24"/>
          <w:lang w:val="it-IT" w:eastAsia="it-IT"/>
        </w:rPr>
        <w:t xml:space="preserve"> anche costituzionale</w:t>
      </w:r>
      <w:r w:rsidR="00E92A1B">
        <w:rPr>
          <w:rFonts w:ascii="Arial" w:eastAsia="Times New Roman" w:hAnsi="Arial" w:cs="Arial"/>
          <w:color w:val="19191A"/>
          <w:sz w:val="24"/>
          <w:szCs w:val="24"/>
          <w:lang w:val="it-IT" w:eastAsia="it-IT"/>
        </w:rPr>
        <w:t>,</w:t>
      </w:r>
      <w:r w:rsidR="0049134E">
        <w:rPr>
          <w:rFonts w:ascii="Arial" w:eastAsia="Times New Roman" w:hAnsi="Arial" w:cs="Arial"/>
          <w:color w:val="19191A"/>
          <w:sz w:val="24"/>
          <w:szCs w:val="24"/>
          <w:lang w:val="it-IT" w:eastAsia="it-IT"/>
        </w:rPr>
        <w:t xml:space="preserve"> italiana si è,</w:t>
      </w:r>
      <w:r w:rsidR="005A5730">
        <w:rPr>
          <w:rFonts w:ascii="Arial" w:eastAsia="Times New Roman" w:hAnsi="Arial" w:cs="Arial"/>
          <w:color w:val="19191A"/>
          <w:sz w:val="24"/>
          <w:szCs w:val="24"/>
          <w:lang w:val="it-IT" w:eastAsia="it-IT"/>
        </w:rPr>
        <w:t xml:space="preserve"> per un certo</w:t>
      </w:r>
      <w:r>
        <w:rPr>
          <w:rFonts w:ascii="Arial" w:eastAsia="Times New Roman" w:hAnsi="Arial" w:cs="Arial"/>
          <w:color w:val="19191A"/>
          <w:sz w:val="24"/>
          <w:szCs w:val="24"/>
          <w:lang w:val="it-IT" w:eastAsia="it-IT"/>
        </w:rPr>
        <w:t xml:space="preserve"> </w:t>
      </w:r>
      <w:r w:rsidR="00E92A1B">
        <w:rPr>
          <w:rFonts w:ascii="Arial" w:eastAsia="Times New Roman" w:hAnsi="Arial" w:cs="Arial"/>
          <w:color w:val="19191A"/>
          <w:sz w:val="24"/>
          <w:szCs w:val="24"/>
          <w:lang w:val="it-IT" w:eastAsia="it-IT"/>
        </w:rPr>
        <w:t xml:space="preserve">periodo di </w:t>
      </w:r>
      <w:r>
        <w:rPr>
          <w:rFonts w:ascii="Arial" w:eastAsia="Times New Roman" w:hAnsi="Arial" w:cs="Arial"/>
          <w:color w:val="19191A"/>
          <w:sz w:val="24"/>
          <w:szCs w:val="24"/>
          <w:lang w:val="it-IT" w:eastAsia="it-IT"/>
        </w:rPr>
        <w:t>tempo</w:t>
      </w:r>
      <w:r w:rsidR="0049134E">
        <w:rPr>
          <w:rFonts w:ascii="Arial" w:eastAsia="Times New Roman" w:hAnsi="Arial" w:cs="Arial"/>
          <w:color w:val="19191A"/>
          <w:sz w:val="24"/>
          <w:szCs w:val="24"/>
          <w:lang w:val="it-IT" w:eastAsia="it-IT"/>
        </w:rPr>
        <w:t>, attestata su un più basso livello di garanzia</w:t>
      </w:r>
      <w:r w:rsidR="005A5730">
        <w:rPr>
          <w:rFonts w:ascii="Arial" w:eastAsia="Times New Roman" w:hAnsi="Arial" w:cs="Arial"/>
          <w:color w:val="19191A"/>
          <w:sz w:val="24"/>
          <w:szCs w:val="24"/>
          <w:lang w:val="it-IT" w:eastAsia="it-IT"/>
        </w:rPr>
        <w:t xml:space="preserve"> (ancora nella decisione </w:t>
      </w:r>
      <w:r w:rsidR="005A5730" w:rsidRPr="004F6E28">
        <w:rPr>
          <w:rFonts w:ascii="Arial" w:hAnsi="Arial" w:cs="Arial"/>
          <w:color w:val="686868"/>
          <w:sz w:val="24"/>
          <w:szCs w:val="24"/>
          <w:shd w:val="clear" w:color="auto" w:fill="FFFFFF"/>
          <w:lang w:val="it-IT"/>
        </w:rPr>
        <w:t>26 marzo 2020, n. 57</w:t>
      </w:r>
      <w:r w:rsidR="005A5730">
        <w:rPr>
          <w:rFonts w:ascii="Arial" w:hAnsi="Arial" w:cs="Arial"/>
          <w:color w:val="686868"/>
          <w:sz w:val="24"/>
          <w:szCs w:val="24"/>
          <w:shd w:val="clear" w:color="auto" w:fill="FFFFFF"/>
          <w:lang w:val="it-IT"/>
        </w:rPr>
        <w:t xml:space="preserve"> la Corte </w:t>
      </w:r>
      <w:r w:rsidR="0049134E">
        <w:rPr>
          <w:rFonts w:ascii="Arial" w:hAnsi="Arial" w:cs="Arial"/>
          <w:color w:val="686868"/>
          <w:sz w:val="24"/>
          <w:szCs w:val="24"/>
          <w:shd w:val="clear" w:color="auto" w:fill="FFFFFF"/>
          <w:lang w:val="it-IT"/>
        </w:rPr>
        <w:t xml:space="preserve">Costituzionale </w:t>
      </w:r>
      <w:r w:rsidR="005A5730">
        <w:rPr>
          <w:rFonts w:ascii="Arial" w:hAnsi="Arial" w:cs="Arial"/>
          <w:color w:val="686868"/>
          <w:sz w:val="24"/>
          <w:szCs w:val="24"/>
          <w:shd w:val="clear" w:color="auto" w:fill="FFFFFF"/>
          <w:lang w:val="it-IT"/>
        </w:rPr>
        <w:t>configurava il contraddittorio c</w:t>
      </w:r>
      <w:r w:rsidR="00E92A1B">
        <w:rPr>
          <w:rFonts w:ascii="Arial" w:hAnsi="Arial" w:cs="Arial"/>
          <w:color w:val="686868"/>
          <w:sz w:val="24"/>
          <w:szCs w:val="24"/>
          <w:shd w:val="clear" w:color="auto" w:fill="FFFFFF"/>
          <w:lang w:val="it-IT"/>
        </w:rPr>
        <w:t>ome meramente eventuale</w:t>
      </w:r>
      <w:r w:rsidR="005A5730">
        <w:rPr>
          <w:rFonts w:ascii="Arial" w:hAnsi="Arial" w:cs="Arial"/>
          <w:color w:val="686868"/>
          <w:sz w:val="24"/>
          <w:szCs w:val="24"/>
          <w:shd w:val="clear" w:color="auto" w:fill="FFFFFF"/>
          <w:lang w:val="it-IT"/>
        </w:rPr>
        <w:t>)</w:t>
      </w:r>
      <w:r>
        <w:rPr>
          <w:rFonts w:ascii="Arial" w:eastAsia="Times New Roman" w:hAnsi="Arial" w:cs="Arial"/>
          <w:color w:val="19191A"/>
          <w:sz w:val="24"/>
          <w:szCs w:val="24"/>
          <w:lang w:val="it-IT" w:eastAsia="it-IT"/>
        </w:rPr>
        <w:t>. Occorre tuttavia ricordare</w:t>
      </w:r>
      <w:r w:rsidR="00800170">
        <w:rPr>
          <w:rFonts w:ascii="Arial" w:eastAsia="Times New Roman" w:hAnsi="Arial" w:cs="Arial"/>
          <w:color w:val="19191A"/>
          <w:sz w:val="24"/>
          <w:szCs w:val="24"/>
          <w:lang w:val="it-IT" w:eastAsia="it-IT"/>
        </w:rPr>
        <w:t>, alla luce degli orientamenti</w:t>
      </w:r>
      <w:r w:rsidR="0049134E">
        <w:rPr>
          <w:rFonts w:ascii="Arial" w:eastAsia="Times New Roman" w:hAnsi="Arial" w:cs="Arial"/>
          <w:color w:val="19191A"/>
          <w:sz w:val="24"/>
          <w:szCs w:val="24"/>
          <w:lang w:val="it-IT" w:eastAsia="it-IT"/>
        </w:rPr>
        <w:t xml:space="preserve"> giurisprudenziali sin qui ricostruiti</w:t>
      </w:r>
      <w:r w:rsidR="00E92A1B">
        <w:rPr>
          <w:rFonts w:ascii="Arial" w:eastAsia="Times New Roman" w:hAnsi="Arial" w:cs="Arial"/>
          <w:color w:val="19191A"/>
          <w:sz w:val="24"/>
          <w:szCs w:val="24"/>
          <w:lang w:val="it-IT" w:eastAsia="it-IT"/>
        </w:rPr>
        <w:t>,</w:t>
      </w:r>
      <w:r>
        <w:rPr>
          <w:rFonts w:ascii="Arial" w:eastAsia="Times New Roman" w:hAnsi="Arial" w:cs="Arial"/>
          <w:color w:val="19191A"/>
          <w:sz w:val="24"/>
          <w:szCs w:val="24"/>
          <w:lang w:val="it-IT" w:eastAsia="it-IT"/>
        </w:rPr>
        <w:t xml:space="preserve"> che il contraddittorio che </w:t>
      </w:r>
      <w:r w:rsidR="004D6ED1">
        <w:rPr>
          <w:rFonts w:ascii="Arial" w:eastAsia="Times New Roman" w:hAnsi="Arial" w:cs="Arial"/>
          <w:color w:val="19191A"/>
          <w:sz w:val="24"/>
          <w:szCs w:val="24"/>
          <w:lang w:val="it-IT" w:eastAsia="it-IT"/>
        </w:rPr>
        <w:t xml:space="preserve">entra nel procedimento </w:t>
      </w:r>
      <w:r w:rsidR="00E92A1B">
        <w:rPr>
          <w:rFonts w:ascii="Arial" w:eastAsia="Times New Roman" w:hAnsi="Arial" w:cs="Arial"/>
          <w:color w:val="19191A"/>
          <w:sz w:val="24"/>
          <w:szCs w:val="24"/>
          <w:lang w:val="it-IT" w:eastAsia="it-IT"/>
        </w:rPr>
        <w:t xml:space="preserve">di adozione della documentazione antimafia </w:t>
      </w:r>
      <w:r w:rsidR="004D6ED1">
        <w:rPr>
          <w:rFonts w:ascii="Arial" w:eastAsia="Times New Roman" w:hAnsi="Arial" w:cs="Arial"/>
          <w:color w:val="19191A"/>
          <w:sz w:val="24"/>
          <w:szCs w:val="24"/>
          <w:lang w:val="it-IT" w:eastAsia="it-IT"/>
        </w:rPr>
        <w:t xml:space="preserve">per il tramite della giurisprudenza della Corte europea dei diritti umani </w:t>
      </w:r>
      <w:r>
        <w:rPr>
          <w:rFonts w:ascii="Arial" w:eastAsia="Times New Roman" w:hAnsi="Arial" w:cs="Arial"/>
          <w:color w:val="19191A"/>
          <w:sz w:val="24"/>
          <w:szCs w:val="24"/>
          <w:lang w:val="it-IT" w:eastAsia="it-IT"/>
        </w:rPr>
        <w:t>è quello proprio di ogni procedimento amministrativo</w:t>
      </w:r>
      <w:r w:rsidR="0049134E">
        <w:rPr>
          <w:rFonts w:ascii="Arial" w:eastAsia="Times New Roman" w:hAnsi="Arial" w:cs="Arial"/>
          <w:color w:val="19191A"/>
          <w:sz w:val="24"/>
          <w:szCs w:val="24"/>
          <w:lang w:val="it-IT" w:eastAsia="it-IT"/>
        </w:rPr>
        <w:t xml:space="preserve"> in ambito sovranazionale</w:t>
      </w:r>
      <w:r>
        <w:rPr>
          <w:rFonts w:ascii="Arial" w:eastAsia="Times New Roman" w:hAnsi="Arial" w:cs="Arial"/>
          <w:color w:val="19191A"/>
          <w:sz w:val="24"/>
          <w:szCs w:val="24"/>
          <w:lang w:val="it-IT" w:eastAsia="it-IT"/>
        </w:rPr>
        <w:t>; non</w:t>
      </w:r>
      <w:r w:rsidR="000D18B9">
        <w:rPr>
          <w:rFonts w:ascii="Arial" w:eastAsia="Times New Roman" w:hAnsi="Arial" w:cs="Arial"/>
          <w:color w:val="19191A"/>
          <w:sz w:val="24"/>
          <w:szCs w:val="24"/>
          <w:lang w:val="it-IT" w:eastAsia="it-IT"/>
        </w:rPr>
        <w:t xml:space="preserve"> si tratta quindi delle garanzie</w:t>
      </w:r>
      <w:r w:rsidR="004D6ED1">
        <w:rPr>
          <w:rFonts w:ascii="Arial" w:eastAsia="Times New Roman" w:hAnsi="Arial" w:cs="Arial"/>
          <w:color w:val="19191A"/>
          <w:sz w:val="24"/>
          <w:szCs w:val="24"/>
          <w:lang w:val="it-IT" w:eastAsia="it-IT"/>
        </w:rPr>
        <w:t>, caratteristiche</w:t>
      </w:r>
      <w:r>
        <w:rPr>
          <w:rFonts w:ascii="Arial" w:eastAsia="Times New Roman" w:hAnsi="Arial" w:cs="Arial"/>
          <w:color w:val="19191A"/>
          <w:sz w:val="24"/>
          <w:szCs w:val="24"/>
          <w:lang w:val="it-IT" w:eastAsia="it-IT"/>
        </w:rPr>
        <w:t xml:space="preserve"> del </w:t>
      </w:r>
      <w:r w:rsidR="00E92A1B">
        <w:rPr>
          <w:rFonts w:ascii="Arial" w:eastAsia="Times New Roman" w:hAnsi="Arial" w:cs="Arial"/>
          <w:color w:val="19191A"/>
          <w:sz w:val="24"/>
          <w:szCs w:val="24"/>
          <w:lang w:val="it-IT" w:eastAsia="it-IT"/>
        </w:rPr>
        <w:t>solo diritto penale, che comprendono il</w:t>
      </w:r>
      <w:r>
        <w:rPr>
          <w:rFonts w:ascii="Arial" w:eastAsia="Times New Roman" w:hAnsi="Arial" w:cs="Arial"/>
          <w:color w:val="19191A"/>
          <w:sz w:val="24"/>
          <w:szCs w:val="24"/>
          <w:lang w:val="it-IT" w:eastAsia="it-IT"/>
        </w:rPr>
        <w:t xml:space="preserve"> d</w:t>
      </w:r>
      <w:r w:rsidR="00E92A1B">
        <w:rPr>
          <w:rFonts w:ascii="Arial" w:eastAsia="Times New Roman" w:hAnsi="Arial" w:cs="Arial"/>
          <w:color w:val="19191A"/>
          <w:sz w:val="24"/>
          <w:szCs w:val="24"/>
          <w:lang w:val="it-IT" w:eastAsia="it-IT"/>
        </w:rPr>
        <w:t>iritto, ad esempio,</w:t>
      </w:r>
      <w:r>
        <w:rPr>
          <w:rFonts w:ascii="Arial" w:eastAsia="Times New Roman" w:hAnsi="Arial" w:cs="Arial"/>
          <w:color w:val="19191A"/>
          <w:sz w:val="24"/>
          <w:szCs w:val="24"/>
          <w:lang w:val="it-IT" w:eastAsia="it-IT"/>
        </w:rPr>
        <w:t xml:space="preserve"> di tacere o mentire</w:t>
      </w:r>
      <w:r w:rsidR="003D13B7">
        <w:rPr>
          <w:rFonts w:ascii="Arial" w:eastAsia="Times New Roman" w:hAnsi="Arial" w:cs="Arial"/>
          <w:color w:val="19191A"/>
          <w:sz w:val="24"/>
          <w:szCs w:val="24"/>
          <w:lang w:val="it-IT" w:eastAsia="it-IT"/>
        </w:rPr>
        <w:t>, quanto</w:t>
      </w:r>
      <w:r>
        <w:rPr>
          <w:rFonts w:ascii="Arial" w:eastAsia="Times New Roman" w:hAnsi="Arial" w:cs="Arial"/>
          <w:color w:val="19191A"/>
          <w:sz w:val="24"/>
          <w:szCs w:val="24"/>
          <w:lang w:val="it-IT" w:eastAsia="it-IT"/>
        </w:rPr>
        <w:t xml:space="preserve"> più pro</w:t>
      </w:r>
      <w:r w:rsidR="000D18B9">
        <w:rPr>
          <w:rFonts w:ascii="Arial" w:eastAsia="Times New Roman" w:hAnsi="Arial" w:cs="Arial"/>
          <w:color w:val="19191A"/>
          <w:sz w:val="24"/>
          <w:szCs w:val="24"/>
          <w:lang w:val="it-IT" w:eastAsia="it-IT"/>
        </w:rPr>
        <w:t>priamente</w:t>
      </w:r>
      <w:r>
        <w:rPr>
          <w:rFonts w:ascii="Arial" w:eastAsia="Times New Roman" w:hAnsi="Arial" w:cs="Arial"/>
          <w:color w:val="19191A"/>
          <w:sz w:val="24"/>
          <w:szCs w:val="24"/>
          <w:lang w:val="it-IT" w:eastAsia="it-IT"/>
        </w:rPr>
        <w:t xml:space="preserve"> d</w:t>
      </w:r>
      <w:r w:rsidR="004D6ED1">
        <w:rPr>
          <w:rFonts w:ascii="Arial" w:eastAsia="Times New Roman" w:hAnsi="Arial" w:cs="Arial"/>
          <w:color w:val="19191A"/>
          <w:sz w:val="24"/>
          <w:szCs w:val="24"/>
          <w:lang w:val="it-IT" w:eastAsia="it-IT"/>
        </w:rPr>
        <w:t>ella garanzia di poter replicare</w:t>
      </w:r>
      <w:r w:rsidR="00E92A1B">
        <w:rPr>
          <w:rFonts w:ascii="Arial" w:eastAsia="Times New Roman" w:hAnsi="Arial" w:cs="Arial"/>
          <w:color w:val="19191A"/>
          <w:sz w:val="24"/>
          <w:szCs w:val="24"/>
          <w:lang w:val="it-IT" w:eastAsia="it-IT"/>
        </w:rPr>
        <w:t xml:space="preserve"> e fornire un apporto</w:t>
      </w:r>
      <w:r w:rsidR="004D6ED1">
        <w:rPr>
          <w:rFonts w:ascii="Arial" w:eastAsia="Times New Roman" w:hAnsi="Arial" w:cs="Arial"/>
          <w:color w:val="19191A"/>
          <w:sz w:val="24"/>
          <w:szCs w:val="24"/>
          <w:lang w:val="it-IT" w:eastAsia="it-IT"/>
        </w:rPr>
        <w:t xml:space="preserve"> partecipativo</w:t>
      </w:r>
      <w:r>
        <w:rPr>
          <w:rFonts w:ascii="Arial" w:eastAsia="Times New Roman" w:hAnsi="Arial" w:cs="Arial"/>
          <w:color w:val="19191A"/>
          <w:sz w:val="24"/>
          <w:szCs w:val="24"/>
          <w:lang w:val="it-IT" w:eastAsia="it-IT"/>
        </w:rPr>
        <w:t xml:space="preserve"> </w:t>
      </w:r>
      <w:r w:rsidR="000D18B9">
        <w:rPr>
          <w:rFonts w:ascii="Arial" w:eastAsia="Times New Roman" w:hAnsi="Arial" w:cs="Arial"/>
          <w:color w:val="19191A"/>
          <w:sz w:val="24"/>
          <w:szCs w:val="24"/>
          <w:lang w:val="it-IT" w:eastAsia="it-IT"/>
        </w:rPr>
        <w:t xml:space="preserve">utile </w:t>
      </w:r>
      <w:r>
        <w:rPr>
          <w:rFonts w:ascii="Arial" w:eastAsia="Times New Roman" w:hAnsi="Arial" w:cs="Arial"/>
          <w:color w:val="19191A"/>
          <w:sz w:val="24"/>
          <w:szCs w:val="24"/>
          <w:lang w:val="it-IT" w:eastAsia="it-IT"/>
        </w:rPr>
        <w:t xml:space="preserve">al quadro </w:t>
      </w:r>
      <w:r w:rsidR="00E92A1B">
        <w:rPr>
          <w:rFonts w:ascii="Arial" w:eastAsia="Times New Roman" w:hAnsi="Arial" w:cs="Arial"/>
          <w:color w:val="19191A"/>
          <w:sz w:val="24"/>
          <w:szCs w:val="24"/>
          <w:lang w:val="it-IT" w:eastAsia="it-IT"/>
        </w:rPr>
        <w:t xml:space="preserve">istruttorio </w:t>
      </w:r>
      <w:r>
        <w:rPr>
          <w:rFonts w:ascii="Arial" w:eastAsia="Times New Roman" w:hAnsi="Arial" w:cs="Arial"/>
          <w:color w:val="19191A"/>
          <w:sz w:val="24"/>
          <w:szCs w:val="24"/>
          <w:lang w:val="it-IT" w:eastAsia="it-IT"/>
        </w:rPr>
        <w:t xml:space="preserve">che l’amministrazione </w:t>
      </w:r>
      <w:r w:rsidR="004D6ED1">
        <w:rPr>
          <w:rFonts w:ascii="Arial" w:eastAsia="Times New Roman" w:hAnsi="Arial" w:cs="Arial"/>
          <w:color w:val="19191A"/>
          <w:sz w:val="24"/>
          <w:szCs w:val="24"/>
          <w:lang w:val="it-IT" w:eastAsia="it-IT"/>
        </w:rPr>
        <w:t>prospetta come</w:t>
      </w:r>
      <w:r>
        <w:rPr>
          <w:rFonts w:ascii="Arial" w:eastAsia="Times New Roman" w:hAnsi="Arial" w:cs="Arial"/>
          <w:color w:val="19191A"/>
          <w:sz w:val="24"/>
          <w:szCs w:val="24"/>
          <w:lang w:val="it-IT" w:eastAsia="it-IT"/>
        </w:rPr>
        <w:t xml:space="preserve"> base d</w:t>
      </w:r>
      <w:r w:rsidR="0049134E">
        <w:rPr>
          <w:rFonts w:ascii="Arial" w:eastAsia="Times New Roman" w:hAnsi="Arial" w:cs="Arial"/>
          <w:color w:val="19191A"/>
          <w:sz w:val="24"/>
          <w:szCs w:val="24"/>
          <w:lang w:val="it-IT" w:eastAsia="it-IT"/>
        </w:rPr>
        <w:t>el provvedimento. I</w:t>
      </w:r>
      <w:r>
        <w:rPr>
          <w:rFonts w:ascii="Arial" w:eastAsia="Times New Roman" w:hAnsi="Arial" w:cs="Arial"/>
          <w:color w:val="19191A"/>
          <w:sz w:val="24"/>
          <w:szCs w:val="24"/>
          <w:lang w:val="it-IT" w:eastAsia="it-IT"/>
        </w:rPr>
        <w:t xml:space="preserve">l contraddittorio procedimentale </w:t>
      </w:r>
      <w:r w:rsidR="0049134E">
        <w:rPr>
          <w:rFonts w:ascii="Arial" w:eastAsia="Times New Roman" w:hAnsi="Arial" w:cs="Arial"/>
          <w:color w:val="19191A"/>
          <w:sz w:val="24"/>
          <w:szCs w:val="24"/>
          <w:lang w:val="it-IT" w:eastAsia="it-IT"/>
        </w:rPr>
        <w:t xml:space="preserve">che viene qui in considerazione </w:t>
      </w:r>
      <w:r>
        <w:rPr>
          <w:rFonts w:ascii="Arial" w:eastAsia="Times New Roman" w:hAnsi="Arial" w:cs="Arial"/>
          <w:color w:val="19191A"/>
          <w:sz w:val="24"/>
          <w:szCs w:val="24"/>
          <w:lang w:val="it-IT" w:eastAsia="it-IT"/>
        </w:rPr>
        <w:t xml:space="preserve">si basa </w:t>
      </w:r>
      <w:r w:rsidR="0049134E">
        <w:rPr>
          <w:rFonts w:ascii="Arial" w:eastAsia="Times New Roman" w:hAnsi="Arial" w:cs="Arial"/>
          <w:color w:val="19191A"/>
          <w:sz w:val="24"/>
          <w:szCs w:val="24"/>
          <w:lang w:val="it-IT" w:eastAsia="it-IT"/>
        </w:rPr>
        <w:t xml:space="preserve">infatti </w:t>
      </w:r>
      <w:r>
        <w:rPr>
          <w:rFonts w:ascii="Arial" w:eastAsia="Times New Roman" w:hAnsi="Arial" w:cs="Arial"/>
          <w:color w:val="19191A"/>
          <w:sz w:val="24"/>
          <w:szCs w:val="24"/>
          <w:lang w:val="it-IT" w:eastAsia="it-IT"/>
        </w:rPr>
        <w:t>su un’idea di leale collaborazione tra le parti ed impli</w:t>
      </w:r>
      <w:r w:rsidR="004D6ED1">
        <w:rPr>
          <w:rFonts w:ascii="Arial" w:eastAsia="Times New Roman" w:hAnsi="Arial" w:cs="Arial"/>
          <w:color w:val="19191A"/>
          <w:sz w:val="24"/>
          <w:szCs w:val="24"/>
          <w:lang w:val="it-IT" w:eastAsia="it-IT"/>
        </w:rPr>
        <w:t>ca un vero e proprio dovere</w:t>
      </w:r>
      <w:r w:rsidR="0049134E">
        <w:rPr>
          <w:rFonts w:ascii="Arial" w:eastAsia="Times New Roman" w:hAnsi="Arial" w:cs="Arial"/>
          <w:color w:val="19191A"/>
          <w:sz w:val="24"/>
          <w:szCs w:val="24"/>
          <w:lang w:val="it-IT" w:eastAsia="it-IT"/>
        </w:rPr>
        <w:t xml:space="preserve"> del privato</w:t>
      </w:r>
      <w:r>
        <w:rPr>
          <w:rFonts w:ascii="Arial" w:eastAsia="Times New Roman" w:hAnsi="Arial" w:cs="Arial"/>
          <w:color w:val="19191A"/>
          <w:sz w:val="24"/>
          <w:szCs w:val="24"/>
          <w:lang w:val="it-IT" w:eastAsia="it-IT"/>
        </w:rPr>
        <w:t xml:space="preserve"> </w:t>
      </w:r>
      <w:r w:rsidR="0049134E">
        <w:rPr>
          <w:rFonts w:ascii="Arial" w:eastAsia="Times New Roman" w:hAnsi="Arial" w:cs="Arial"/>
          <w:color w:val="19191A"/>
          <w:sz w:val="24"/>
          <w:szCs w:val="24"/>
          <w:lang w:val="it-IT" w:eastAsia="it-IT"/>
        </w:rPr>
        <w:t>coinvolto</w:t>
      </w:r>
      <w:r w:rsidR="004D6ED1">
        <w:rPr>
          <w:rFonts w:ascii="Arial" w:eastAsia="Times New Roman" w:hAnsi="Arial" w:cs="Arial"/>
          <w:color w:val="19191A"/>
          <w:sz w:val="24"/>
          <w:szCs w:val="24"/>
          <w:lang w:val="it-IT" w:eastAsia="it-IT"/>
        </w:rPr>
        <w:t xml:space="preserve"> </w:t>
      </w:r>
      <w:r>
        <w:rPr>
          <w:rFonts w:ascii="Arial" w:eastAsia="Times New Roman" w:hAnsi="Arial" w:cs="Arial"/>
          <w:color w:val="19191A"/>
          <w:sz w:val="24"/>
          <w:szCs w:val="24"/>
          <w:lang w:val="it-IT" w:eastAsia="it-IT"/>
        </w:rPr>
        <w:t>di fornire, secondo</w:t>
      </w:r>
      <w:r w:rsidR="0049134E">
        <w:rPr>
          <w:rFonts w:ascii="Arial" w:eastAsia="Times New Roman" w:hAnsi="Arial" w:cs="Arial"/>
          <w:color w:val="19191A"/>
          <w:sz w:val="24"/>
          <w:szCs w:val="24"/>
          <w:lang w:val="it-IT" w:eastAsia="it-IT"/>
        </w:rPr>
        <w:t xml:space="preserve"> anche i già</w:t>
      </w:r>
      <w:r>
        <w:rPr>
          <w:rFonts w:ascii="Arial" w:eastAsia="Times New Roman" w:hAnsi="Arial" w:cs="Arial"/>
          <w:color w:val="19191A"/>
          <w:sz w:val="24"/>
          <w:szCs w:val="24"/>
          <w:lang w:val="it-IT" w:eastAsia="it-IT"/>
        </w:rPr>
        <w:t xml:space="preserve"> ricordati principi di prossimità della</w:t>
      </w:r>
      <w:r w:rsidR="003D13B7">
        <w:rPr>
          <w:rFonts w:ascii="Arial" w:eastAsia="Times New Roman" w:hAnsi="Arial" w:cs="Arial"/>
          <w:color w:val="19191A"/>
          <w:sz w:val="24"/>
          <w:szCs w:val="24"/>
          <w:lang w:val="it-IT" w:eastAsia="it-IT"/>
        </w:rPr>
        <w:t xml:space="preserve"> prova, un apporto sostanziale</w:t>
      </w:r>
      <w:r>
        <w:rPr>
          <w:rFonts w:ascii="Arial" w:eastAsia="Times New Roman" w:hAnsi="Arial" w:cs="Arial"/>
          <w:color w:val="19191A"/>
          <w:sz w:val="24"/>
          <w:szCs w:val="24"/>
          <w:lang w:val="it-IT" w:eastAsia="it-IT"/>
        </w:rPr>
        <w:t>.</w:t>
      </w:r>
      <w:r w:rsidR="007129D6">
        <w:rPr>
          <w:rFonts w:ascii="Arial" w:eastAsia="Times New Roman" w:hAnsi="Arial" w:cs="Arial"/>
          <w:color w:val="19191A"/>
          <w:sz w:val="24"/>
          <w:szCs w:val="24"/>
          <w:lang w:val="it-IT" w:eastAsia="it-IT"/>
        </w:rPr>
        <w:t xml:space="preserve"> </w:t>
      </w:r>
    </w:p>
    <w:p w:rsidR="007129D6" w:rsidRPr="00E92A1B" w:rsidRDefault="007129D6" w:rsidP="00E92A1B">
      <w:pPr>
        <w:shd w:val="clear" w:color="auto" w:fill="FFFFFF"/>
        <w:spacing w:after="0" w:line="240" w:lineRule="auto"/>
        <w:jc w:val="both"/>
        <w:rPr>
          <w:rFonts w:ascii="Arial" w:eastAsia="Times New Roman" w:hAnsi="Arial" w:cs="Arial"/>
          <w:color w:val="19191A"/>
          <w:sz w:val="24"/>
          <w:szCs w:val="24"/>
          <w:lang w:val="it-IT" w:eastAsia="it-IT"/>
        </w:rPr>
      </w:pPr>
    </w:p>
    <w:p w:rsidR="00E62C01" w:rsidRPr="004D6ED1" w:rsidRDefault="004F6E28" w:rsidP="004D6ED1">
      <w:pPr>
        <w:pStyle w:val="Paragrafoelenco"/>
        <w:numPr>
          <w:ilvl w:val="0"/>
          <w:numId w:val="6"/>
        </w:numPr>
        <w:shd w:val="clear" w:color="auto" w:fill="FFFFFF"/>
        <w:spacing w:after="100" w:afterAutospacing="1" w:line="240" w:lineRule="auto"/>
        <w:jc w:val="both"/>
        <w:rPr>
          <w:rFonts w:ascii="Arial" w:eastAsia="Times New Roman" w:hAnsi="Arial" w:cs="Arial"/>
          <w:b/>
          <w:color w:val="19191A"/>
          <w:sz w:val="24"/>
          <w:szCs w:val="24"/>
          <w:lang w:val="it-IT" w:eastAsia="it-IT"/>
        </w:rPr>
      </w:pPr>
      <w:r w:rsidRPr="004D6ED1">
        <w:rPr>
          <w:rFonts w:ascii="Arial" w:eastAsia="Times New Roman" w:hAnsi="Arial" w:cs="Arial"/>
          <w:b/>
          <w:color w:val="19191A"/>
          <w:sz w:val="24"/>
          <w:szCs w:val="24"/>
          <w:lang w:val="it-IT" w:eastAsia="it-IT"/>
        </w:rPr>
        <w:t xml:space="preserve">La documentazione antimafia e l’ordinamento </w:t>
      </w:r>
      <w:proofErr w:type="spellStart"/>
      <w:r w:rsidRPr="004D6ED1">
        <w:rPr>
          <w:rFonts w:ascii="Arial" w:eastAsia="Times New Roman" w:hAnsi="Arial" w:cs="Arial"/>
          <w:b/>
          <w:color w:val="19191A"/>
          <w:sz w:val="24"/>
          <w:szCs w:val="24"/>
          <w:lang w:val="it-IT" w:eastAsia="it-IT"/>
        </w:rPr>
        <w:t>unionale</w:t>
      </w:r>
      <w:proofErr w:type="spellEnd"/>
      <w:r w:rsidRPr="004D6ED1">
        <w:rPr>
          <w:rFonts w:ascii="Arial" w:eastAsia="Times New Roman" w:hAnsi="Arial" w:cs="Arial"/>
          <w:b/>
          <w:color w:val="19191A"/>
          <w:sz w:val="24"/>
          <w:szCs w:val="24"/>
          <w:lang w:val="it-IT" w:eastAsia="it-IT"/>
        </w:rPr>
        <w:t xml:space="preserve">. </w:t>
      </w:r>
    </w:p>
    <w:p w:rsidR="00E62C01" w:rsidRDefault="000D18B9" w:rsidP="000D18B9">
      <w:pPr>
        <w:shd w:val="clear" w:color="auto" w:fill="FFFFFF"/>
        <w:spacing w:after="0" w:line="240" w:lineRule="auto"/>
        <w:jc w:val="both"/>
        <w:rPr>
          <w:rFonts w:ascii="Arial" w:hAnsi="Arial" w:cs="Arial"/>
          <w:sz w:val="24"/>
          <w:szCs w:val="24"/>
          <w:lang w:val="it-IT"/>
        </w:rPr>
      </w:pPr>
      <w:r>
        <w:rPr>
          <w:rFonts w:ascii="Arial" w:hAnsi="Arial" w:cs="Arial"/>
          <w:sz w:val="24"/>
          <w:szCs w:val="24"/>
          <w:lang w:val="it-IT"/>
        </w:rPr>
        <w:t xml:space="preserve">Da ultimo, </w:t>
      </w:r>
      <w:r w:rsidR="004D6ED1">
        <w:rPr>
          <w:rFonts w:ascii="Arial" w:hAnsi="Arial" w:cs="Arial"/>
          <w:sz w:val="24"/>
          <w:szCs w:val="24"/>
          <w:lang w:val="it-IT"/>
        </w:rPr>
        <w:t xml:space="preserve">sempre </w:t>
      </w:r>
      <w:r>
        <w:rPr>
          <w:rFonts w:ascii="Arial" w:hAnsi="Arial" w:cs="Arial"/>
          <w:sz w:val="24"/>
          <w:szCs w:val="24"/>
          <w:lang w:val="it-IT"/>
        </w:rPr>
        <w:t>in una logica multilivello, occorre interrogarsi su come</w:t>
      </w:r>
      <w:r w:rsidR="004D6ED1">
        <w:rPr>
          <w:rFonts w:ascii="Arial" w:hAnsi="Arial" w:cs="Arial"/>
          <w:sz w:val="24"/>
          <w:szCs w:val="24"/>
          <w:lang w:val="it-IT"/>
        </w:rPr>
        <w:t xml:space="preserve"> l</w:t>
      </w:r>
      <w:r w:rsidR="00E92A1B">
        <w:rPr>
          <w:rFonts w:ascii="Arial" w:hAnsi="Arial" w:cs="Arial"/>
          <w:sz w:val="24"/>
          <w:szCs w:val="24"/>
          <w:lang w:val="it-IT"/>
        </w:rPr>
        <w:t>a doc</w:t>
      </w:r>
      <w:r w:rsidR="0049134E">
        <w:rPr>
          <w:rFonts w:ascii="Arial" w:hAnsi="Arial" w:cs="Arial"/>
          <w:sz w:val="24"/>
          <w:szCs w:val="24"/>
          <w:lang w:val="it-IT"/>
        </w:rPr>
        <w:t>umentazione antimafia</w:t>
      </w:r>
      <w:r w:rsidR="00A00302">
        <w:rPr>
          <w:rFonts w:ascii="Arial" w:hAnsi="Arial" w:cs="Arial"/>
          <w:sz w:val="24"/>
          <w:szCs w:val="24"/>
          <w:lang w:val="it-IT"/>
        </w:rPr>
        <w:t xml:space="preserve"> si confronti con la costituzione</w:t>
      </w:r>
      <w:r w:rsidR="0049134E">
        <w:rPr>
          <w:rFonts w:ascii="Arial" w:hAnsi="Arial" w:cs="Arial"/>
          <w:sz w:val="24"/>
          <w:szCs w:val="24"/>
          <w:lang w:val="it-IT"/>
        </w:rPr>
        <w:t xml:space="preserve"> economica dell’Union</w:t>
      </w:r>
      <w:r>
        <w:rPr>
          <w:rFonts w:ascii="Arial" w:hAnsi="Arial" w:cs="Arial"/>
          <w:sz w:val="24"/>
          <w:szCs w:val="24"/>
          <w:lang w:val="it-IT"/>
        </w:rPr>
        <w:t>e</w:t>
      </w:r>
      <w:r w:rsidR="0049134E">
        <w:rPr>
          <w:rFonts w:ascii="Arial" w:hAnsi="Arial" w:cs="Arial"/>
          <w:sz w:val="24"/>
          <w:szCs w:val="24"/>
          <w:lang w:val="it-IT"/>
        </w:rPr>
        <w:t xml:space="preserve"> europea</w:t>
      </w:r>
      <w:r>
        <w:rPr>
          <w:rFonts w:ascii="Arial" w:hAnsi="Arial" w:cs="Arial"/>
          <w:sz w:val="24"/>
          <w:szCs w:val="24"/>
          <w:lang w:val="it-IT"/>
        </w:rPr>
        <w:t>.</w:t>
      </w:r>
    </w:p>
    <w:p w:rsidR="000D18B9" w:rsidRDefault="000D18B9" w:rsidP="000D18B9">
      <w:pPr>
        <w:shd w:val="clear" w:color="auto" w:fill="FFFFFF"/>
        <w:spacing w:after="0" w:line="240" w:lineRule="auto"/>
        <w:jc w:val="both"/>
        <w:rPr>
          <w:rFonts w:ascii="Arial" w:hAnsi="Arial" w:cs="Arial"/>
          <w:sz w:val="24"/>
          <w:szCs w:val="24"/>
          <w:lang w:val="it-IT"/>
        </w:rPr>
      </w:pPr>
      <w:r>
        <w:rPr>
          <w:rFonts w:ascii="Arial" w:hAnsi="Arial" w:cs="Arial"/>
          <w:sz w:val="24"/>
          <w:szCs w:val="24"/>
          <w:lang w:val="it-IT"/>
        </w:rPr>
        <w:t>Ad uno sguardo superf</w:t>
      </w:r>
      <w:r w:rsidR="004D6ED1">
        <w:rPr>
          <w:rFonts w:ascii="Arial" w:hAnsi="Arial" w:cs="Arial"/>
          <w:sz w:val="24"/>
          <w:szCs w:val="24"/>
          <w:lang w:val="it-IT"/>
        </w:rPr>
        <w:t>iciale potrebbe concludersi</w:t>
      </w:r>
      <w:r>
        <w:rPr>
          <w:rFonts w:ascii="Arial" w:hAnsi="Arial" w:cs="Arial"/>
          <w:sz w:val="24"/>
          <w:szCs w:val="24"/>
          <w:lang w:val="it-IT"/>
        </w:rPr>
        <w:t xml:space="preserve"> che </w:t>
      </w:r>
      <w:r w:rsidR="00E92A1B">
        <w:rPr>
          <w:rFonts w:ascii="Arial" w:hAnsi="Arial" w:cs="Arial"/>
          <w:sz w:val="24"/>
          <w:szCs w:val="24"/>
          <w:lang w:val="it-IT"/>
        </w:rPr>
        <w:t>la prevenzione antimafia</w:t>
      </w:r>
      <w:r w:rsidR="0049134E">
        <w:rPr>
          <w:rFonts w:ascii="Arial" w:hAnsi="Arial" w:cs="Arial"/>
          <w:sz w:val="24"/>
          <w:szCs w:val="24"/>
          <w:lang w:val="it-IT"/>
        </w:rPr>
        <w:t>, appartenendo all’ordine pubblico nazionale,</w:t>
      </w:r>
      <w:r w:rsidR="00E92A1B">
        <w:rPr>
          <w:rFonts w:ascii="Arial" w:hAnsi="Arial" w:cs="Arial"/>
          <w:sz w:val="24"/>
          <w:szCs w:val="24"/>
          <w:lang w:val="it-IT"/>
        </w:rPr>
        <w:t xml:space="preserve"> sia un ambito che sfugge alle tipiche competenze dell’Unione europea e</w:t>
      </w:r>
      <w:r w:rsidR="003D13B7">
        <w:rPr>
          <w:rFonts w:ascii="Arial" w:hAnsi="Arial" w:cs="Arial"/>
          <w:sz w:val="24"/>
          <w:szCs w:val="24"/>
          <w:lang w:val="it-IT"/>
        </w:rPr>
        <w:t>,</w:t>
      </w:r>
      <w:r w:rsidR="00E92A1B">
        <w:rPr>
          <w:rFonts w:ascii="Arial" w:hAnsi="Arial" w:cs="Arial"/>
          <w:sz w:val="24"/>
          <w:szCs w:val="24"/>
          <w:lang w:val="it-IT"/>
        </w:rPr>
        <w:t xml:space="preserve"> come tale</w:t>
      </w:r>
      <w:r w:rsidR="003D13B7">
        <w:rPr>
          <w:rFonts w:ascii="Arial" w:hAnsi="Arial" w:cs="Arial"/>
          <w:sz w:val="24"/>
          <w:szCs w:val="24"/>
          <w:lang w:val="it-IT"/>
        </w:rPr>
        <w:t>, non interferisca</w:t>
      </w:r>
      <w:r w:rsidR="00E92A1B">
        <w:rPr>
          <w:rFonts w:ascii="Arial" w:hAnsi="Arial" w:cs="Arial"/>
          <w:sz w:val="24"/>
          <w:szCs w:val="24"/>
          <w:lang w:val="it-IT"/>
        </w:rPr>
        <w:t xml:space="preserve"> con le stesse</w:t>
      </w:r>
      <w:r>
        <w:rPr>
          <w:rFonts w:ascii="Arial" w:hAnsi="Arial" w:cs="Arial"/>
          <w:sz w:val="24"/>
          <w:szCs w:val="24"/>
          <w:lang w:val="it-IT"/>
        </w:rPr>
        <w:t>.</w:t>
      </w:r>
    </w:p>
    <w:p w:rsidR="00D9027C" w:rsidRDefault="000D18B9" w:rsidP="003D13B7">
      <w:pPr>
        <w:shd w:val="clear" w:color="auto" w:fill="FFFFFF"/>
        <w:spacing w:after="0" w:line="240" w:lineRule="auto"/>
        <w:jc w:val="both"/>
        <w:rPr>
          <w:rFonts w:ascii="Arial" w:hAnsi="Arial" w:cs="Arial"/>
          <w:sz w:val="24"/>
          <w:szCs w:val="24"/>
          <w:lang w:val="it-IT"/>
        </w:rPr>
      </w:pPr>
      <w:r>
        <w:rPr>
          <w:rFonts w:ascii="Arial" w:hAnsi="Arial" w:cs="Arial"/>
          <w:sz w:val="24"/>
          <w:szCs w:val="24"/>
          <w:lang w:val="it-IT"/>
        </w:rPr>
        <w:t>Nell’ordinanza 28 maggio 2020</w:t>
      </w:r>
      <w:r w:rsidR="0049134E">
        <w:rPr>
          <w:rFonts w:ascii="Arial" w:hAnsi="Arial" w:cs="Arial"/>
          <w:sz w:val="24"/>
          <w:szCs w:val="24"/>
          <w:lang w:val="it-IT"/>
        </w:rPr>
        <w:t xml:space="preserve"> resa</w:t>
      </w:r>
      <w:r>
        <w:rPr>
          <w:rFonts w:ascii="Arial" w:hAnsi="Arial" w:cs="Arial"/>
          <w:sz w:val="24"/>
          <w:szCs w:val="24"/>
          <w:lang w:val="it-IT"/>
        </w:rPr>
        <w:t xml:space="preserve"> in causa C-17</w:t>
      </w:r>
      <w:r w:rsidR="00E92A1B">
        <w:rPr>
          <w:rFonts w:ascii="Arial" w:hAnsi="Arial" w:cs="Arial"/>
          <w:sz w:val="24"/>
          <w:szCs w:val="24"/>
          <w:lang w:val="it-IT"/>
        </w:rPr>
        <w:t>/20, ad esempio</w:t>
      </w:r>
      <w:r>
        <w:rPr>
          <w:rFonts w:ascii="Arial" w:hAnsi="Arial" w:cs="Arial"/>
          <w:sz w:val="24"/>
          <w:szCs w:val="24"/>
          <w:lang w:val="it-IT"/>
        </w:rPr>
        <w:t>, la Corte di giustizia ha dichiarato la ma</w:t>
      </w:r>
      <w:r w:rsidR="004D6ED1">
        <w:rPr>
          <w:rFonts w:ascii="Arial" w:hAnsi="Arial" w:cs="Arial"/>
          <w:sz w:val="24"/>
          <w:szCs w:val="24"/>
          <w:lang w:val="it-IT"/>
        </w:rPr>
        <w:t>nifes</w:t>
      </w:r>
      <w:r>
        <w:rPr>
          <w:rFonts w:ascii="Arial" w:hAnsi="Arial" w:cs="Arial"/>
          <w:sz w:val="24"/>
          <w:szCs w:val="24"/>
          <w:lang w:val="it-IT"/>
        </w:rPr>
        <w:t>ta irricevibilità di un rinvio pregiudiziale</w:t>
      </w:r>
      <w:r w:rsidR="004D6ED1">
        <w:rPr>
          <w:rFonts w:ascii="Arial" w:hAnsi="Arial" w:cs="Arial"/>
          <w:sz w:val="24"/>
          <w:szCs w:val="24"/>
          <w:lang w:val="it-IT"/>
        </w:rPr>
        <w:t xml:space="preserve"> proposto</w:t>
      </w:r>
      <w:r w:rsidR="00E92A1B">
        <w:rPr>
          <w:rFonts w:ascii="Arial" w:hAnsi="Arial" w:cs="Arial"/>
          <w:sz w:val="24"/>
          <w:szCs w:val="24"/>
          <w:lang w:val="it-IT"/>
        </w:rPr>
        <w:t xml:space="preserve"> a partire da</w:t>
      </w:r>
      <w:r>
        <w:rPr>
          <w:rFonts w:ascii="Arial" w:hAnsi="Arial" w:cs="Arial"/>
          <w:sz w:val="24"/>
          <w:szCs w:val="24"/>
          <w:lang w:val="it-IT"/>
        </w:rPr>
        <w:t xml:space="preserve"> una vertenza avente ad oggetto una informazione </w:t>
      </w:r>
      <w:proofErr w:type="spellStart"/>
      <w:r>
        <w:rPr>
          <w:rFonts w:ascii="Arial" w:hAnsi="Arial" w:cs="Arial"/>
          <w:sz w:val="24"/>
          <w:szCs w:val="24"/>
          <w:lang w:val="it-IT"/>
        </w:rPr>
        <w:t>interdittiva</w:t>
      </w:r>
      <w:proofErr w:type="spellEnd"/>
      <w:r>
        <w:rPr>
          <w:rFonts w:ascii="Arial" w:hAnsi="Arial" w:cs="Arial"/>
          <w:sz w:val="24"/>
          <w:szCs w:val="24"/>
          <w:lang w:val="it-IT"/>
        </w:rPr>
        <w:t xml:space="preserve"> antimafia che aveva </w:t>
      </w:r>
      <w:r w:rsidR="00E92A1B">
        <w:rPr>
          <w:rFonts w:ascii="Arial" w:hAnsi="Arial" w:cs="Arial"/>
          <w:sz w:val="24"/>
          <w:szCs w:val="24"/>
          <w:lang w:val="it-IT"/>
        </w:rPr>
        <w:t xml:space="preserve">comportato </w:t>
      </w:r>
      <w:r>
        <w:rPr>
          <w:rFonts w:ascii="Arial" w:hAnsi="Arial" w:cs="Arial"/>
          <w:sz w:val="24"/>
          <w:szCs w:val="24"/>
          <w:lang w:val="it-IT"/>
        </w:rPr>
        <w:t>la revoca della concessione di un terreno per attività di estrazione</w:t>
      </w:r>
      <w:r w:rsidR="00E92A1B">
        <w:rPr>
          <w:rFonts w:ascii="Arial" w:hAnsi="Arial" w:cs="Arial"/>
          <w:sz w:val="24"/>
          <w:szCs w:val="24"/>
          <w:lang w:val="it-IT"/>
        </w:rPr>
        <w:t>;</w:t>
      </w:r>
      <w:r w:rsidR="005A5730">
        <w:rPr>
          <w:rFonts w:ascii="Arial" w:hAnsi="Arial" w:cs="Arial"/>
          <w:sz w:val="24"/>
          <w:szCs w:val="24"/>
          <w:lang w:val="it-IT"/>
        </w:rPr>
        <w:t xml:space="preserve"> la Corte </w:t>
      </w:r>
      <w:r w:rsidR="004D6ED1">
        <w:rPr>
          <w:rFonts w:ascii="Arial" w:hAnsi="Arial" w:cs="Arial"/>
          <w:sz w:val="24"/>
          <w:szCs w:val="24"/>
          <w:lang w:val="it-IT"/>
        </w:rPr>
        <w:t xml:space="preserve">era stata interrogata </w:t>
      </w:r>
      <w:r w:rsidR="005A5730">
        <w:rPr>
          <w:rFonts w:ascii="Arial" w:hAnsi="Arial" w:cs="Arial"/>
          <w:sz w:val="24"/>
          <w:szCs w:val="24"/>
          <w:lang w:val="it-IT"/>
        </w:rPr>
        <w:t>circa la compatibil</w:t>
      </w:r>
      <w:r w:rsidR="004D6ED1">
        <w:rPr>
          <w:rFonts w:ascii="Arial" w:hAnsi="Arial" w:cs="Arial"/>
          <w:sz w:val="24"/>
          <w:szCs w:val="24"/>
          <w:lang w:val="it-IT"/>
        </w:rPr>
        <w:t>i</w:t>
      </w:r>
      <w:r w:rsidR="005A5730">
        <w:rPr>
          <w:rFonts w:ascii="Arial" w:hAnsi="Arial" w:cs="Arial"/>
          <w:sz w:val="24"/>
          <w:szCs w:val="24"/>
          <w:lang w:val="it-IT"/>
        </w:rPr>
        <w:t xml:space="preserve">tà </w:t>
      </w:r>
      <w:proofErr w:type="spellStart"/>
      <w:r w:rsidR="005A5730">
        <w:rPr>
          <w:rFonts w:ascii="Arial" w:hAnsi="Arial" w:cs="Arial"/>
          <w:sz w:val="24"/>
          <w:szCs w:val="24"/>
          <w:lang w:val="it-IT"/>
        </w:rPr>
        <w:t>eurounitaria</w:t>
      </w:r>
      <w:proofErr w:type="spellEnd"/>
      <w:r w:rsidR="005A5730">
        <w:rPr>
          <w:rFonts w:ascii="Arial" w:hAnsi="Arial" w:cs="Arial"/>
          <w:sz w:val="24"/>
          <w:szCs w:val="24"/>
          <w:lang w:val="it-IT"/>
        </w:rPr>
        <w:t xml:space="preserve"> dell’adozione di una siffatta misura</w:t>
      </w:r>
      <w:r w:rsidR="0049134E">
        <w:rPr>
          <w:rFonts w:ascii="Arial" w:hAnsi="Arial" w:cs="Arial"/>
          <w:sz w:val="24"/>
          <w:szCs w:val="24"/>
          <w:lang w:val="it-IT"/>
        </w:rPr>
        <w:t xml:space="preserve"> in assenza di contraddittorio. </w:t>
      </w:r>
      <w:r w:rsidR="005A5730" w:rsidRPr="004D6ED1">
        <w:rPr>
          <w:rFonts w:ascii="Arial" w:hAnsi="Arial" w:cs="Arial"/>
          <w:sz w:val="24"/>
          <w:szCs w:val="24"/>
          <w:lang w:val="it-IT"/>
        </w:rPr>
        <w:t>Al di là del fatto che, nelle more,</w:t>
      </w:r>
      <w:r w:rsidR="00E92A1B">
        <w:rPr>
          <w:rFonts w:ascii="Arial" w:hAnsi="Arial" w:cs="Arial"/>
          <w:sz w:val="24"/>
          <w:szCs w:val="24"/>
          <w:lang w:val="it-IT"/>
        </w:rPr>
        <w:t xml:space="preserve"> la risposta è pervenuta per il tramite del</w:t>
      </w:r>
      <w:r w:rsidR="004D6ED1" w:rsidRPr="004D6ED1">
        <w:rPr>
          <w:rFonts w:ascii="Arial" w:hAnsi="Arial" w:cs="Arial"/>
          <w:sz w:val="24"/>
          <w:szCs w:val="24"/>
          <w:lang w:val="it-IT"/>
        </w:rPr>
        <w:t xml:space="preserve"> sistema di garanzie predisposto in ambito</w:t>
      </w:r>
      <w:r w:rsidR="005A5730" w:rsidRPr="004D6ED1">
        <w:rPr>
          <w:rFonts w:ascii="Arial" w:hAnsi="Arial" w:cs="Arial"/>
          <w:sz w:val="24"/>
          <w:szCs w:val="24"/>
          <w:lang w:val="it-IT"/>
        </w:rPr>
        <w:t xml:space="preserve"> CEDU</w:t>
      </w:r>
      <w:r w:rsidR="004D6ED1" w:rsidRPr="004D6ED1">
        <w:rPr>
          <w:rFonts w:ascii="Arial" w:hAnsi="Arial" w:cs="Arial"/>
          <w:sz w:val="24"/>
          <w:szCs w:val="24"/>
          <w:lang w:val="it-IT"/>
        </w:rPr>
        <w:t xml:space="preserve">, </w:t>
      </w:r>
      <w:r w:rsidR="00E92A1B">
        <w:rPr>
          <w:rFonts w:ascii="Arial" w:hAnsi="Arial" w:cs="Arial"/>
          <w:sz w:val="24"/>
          <w:szCs w:val="24"/>
          <w:lang w:val="it-IT"/>
        </w:rPr>
        <w:t xml:space="preserve">in quel giudizio </w:t>
      </w:r>
      <w:r w:rsidR="004D6ED1" w:rsidRPr="004D6ED1">
        <w:rPr>
          <w:rFonts w:ascii="Arial" w:hAnsi="Arial" w:cs="Arial"/>
          <w:sz w:val="24"/>
          <w:szCs w:val="24"/>
          <w:lang w:val="it-IT"/>
        </w:rPr>
        <w:t>la Corte</w:t>
      </w:r>
      <w:r w:rsidR="00E92A1B">
        <w:rPr>
          <w:rFonts w:ascii="Arial" w:hAnsi="Arial" w:cs="Arial"/>
          <w:sz w:val="24"/>
          <w:szCs w:val="24"/>
          <w:lang w:val="it-IT"/>
        </w:rPr>
        <w:t>,</w:t>
      </w:r>
      <w:r w:rsidR="004D6ED1" w:rsidRPr="004D6ED1">
        <w:rPr>
          <w:rFonts w:ascii="Arial" w:hAnsi="Arial" w:cs="Arial"/>
          <w:sz w:val="24"/>
          <w:szCs w:val="24"/>
          <w:lang w:val="it-IT"/>
        </w:rPr>
        <w:t xml:space="preserve"> pur ribadendo </w:t>
      </w:r>
      <w:r w:rsidR="00E92A1B">
        <w:rPr>
          <w:rFonts w:ascii="Arial" w:hAnsi="Arial" w:cs="Arial"/>
          <w:sz w:val="24"/>
          <w:szCs w:val="24"/>
          <w:lang w:val="it-IT"/>
        </w:rPr>
        <w:t xml:space="preserve">quasi in </w:t>
      </w:r>
      <w:proofErr w:type="spellStart"/>
      <w:r w:rsidR="00E92A1B">
        <w:rPr>
          <w:rFonts w:ascii="Arial" w:hAnsi="Arial" w:cs="Arial"/>
          <w:i/>
          <w:sz w:val="24"/>
          <w:szCs w:val="24"/>
          <w:lang w:val="it-IT"/>
        </w:rPr>
        <w:t>obiter</w:t>
      </w:r>
      <w:proofErr w:type="spellEnd"/>
      <w:r w:rsidR="00E92A1B">
        <w:rPr>
          <w:rFonts w:ascii="Arial" w:hAnsi="Arial" w:cs="Arial"/>
          <w:i/>
          <w:sz w:val="24"/>
          <w:szCs w:val="24"/>
          <w:lang w:val="it-IT"/>
        </w:rPr>
        <w:t xml:space="preserve"> </w:t>
      </w:r>
      <w:proofErr w:type="spellStart"/>
      <w:r w:rsidR="00E92A1B">
        <w:rPr>
          <w:rFonts w:ascii="Arial" w:hAnsi="Arial" w:cs="Arial"/>
          <w:i/>
          <w:sz w:val="24"/>
          <w:szCs w:val="24"/>
          <w:lang w:val="it-IT"/>
        </w:rPr>
        <w:t>dictum</w:t>
      </w:r>
      <w:proofErr w:type="spellEnd"/>
      <w:r w:rsidR="00E92A1B">
        <w:rPr>
          <w:rFonts w:ascii="Arial" w:hAnsi="Arial" w:cs="Arial"/>
          <w:i/>
          <w:sz w:val="24"/>
          <w:szCs w:val="24"/>
          <w:lang w:val="it-IT"/>
        </w:rPr>
        <w:t xml:space="preserve"> </w:t>
      </w:r>
      <w:r w:rsidR="004D6ED1" w:rsidRPr="004D6ED1">
        <w:rPr>
          <w:rFonts w:ascii="Arial" w:hAnsi="Arial" w:cs="Arial"/>
          <w:sz w:val="24"/>
          <w:szCs w:val="24"/>
          <w:lang w:val="it-IT"/>
        </w:rPr>
        <w:t>che il rispetto del diritto di difesa “</w:t>
      </w:r>
      <w:r w:rsidR="004D6ED1" w:rsidRPr="004D6ED1">
        <w:rPr>
          <w:rFonts w:ascii="Arial" w:hAnsi="Arial" w:cs="Arial"/>
          <w:color w:val="000000"/>
          <w:sz w:val="24"/>
          <w:szCs w:val="24"/>
          <w:lang w:val="it-IT"/>
        </w:rPr>
        <w:t>costituisce un principio generale del diritto dell’Unione che trova applicazione quando l’amministrazione intende adottare nei confronti di una persona un atto che le arrechi pregiudizio” e che “In forza di tale principio i destinatari di decisioni che incidono sensibilmente sui loro interessi devono essere messi in condizione di manifestare utilmente il loro punto di vista in merito agli elementi sui quali l’amministrazione intende fondare la sua decisione”</w:t>
      </w:r>
      <w:r w:rsidR="00343451">
        <w:rPr>
          <w:rFonts w:ascii="Arial" w:hAnsi="Arial" w:cs="Arial"/>
          <w:color w:val="000000"/>
          <w:sz w:val="24"/>
          <w:szCs w:val="24"/>
          <w:lang w:val="it-IT"/>
        </w:rPr>
        <w:t>,</w:t>
      </w:r>
      <w:r w:rsidR="004D6ED1" w:rsidRPr="004D6ED1">
        <w:rPr>
          <w:rFonts w:ascii="Arial" w:hAnsi="Arial" w:cs="Arial"/>
          <w:color w:val="000000"/>
          <w:sz w:val="24"/>
          <w:szCs w:val="24"/>
          <w:lang w:val="it-IT"/>
        </w:rPr>
        <w:t xml:space="preserve"> </w:t>
      </w:r>
      <w:r w:rsidR="00343451">
        <w:rPr>
          <w:rFonts w:ascii="Arial" w:hAnsi="Arial" w:cs="Arial"/>
          <w:color w:val="000000"/>
          <w:sz w:val="24"/>
          <w:szCs w:val="24"/>
          <w:lang w:val="it-IT"/>
        </w:rPr>
        <w:t>ha</w:t>
      </w:r>
      <w:r w:rsidR="00E92A1B">
        <w:rPr>
          <w:rFonts w:ascii="Arial" w:hAnsi="Arial" w:cs="Arial"/>
          <w:color w:val="000000"/>
          <w:sz w:val="24"/>
          <w:szCs w:val="24"/>
          <w:lang w:val="it-IT"/>
        </w:rPr>
        <w:t xml:space="preserve"> concluso</w:t>
      </w:r>
      <w:r w:rsidR="004D6ED1" w:rsidRPr="004D6ED1">
        <w:rPr>
          <w:rFonts w:ascii="Arial" w:hAnsi="Arial" w:cs="Arial"/>
          <w:color w:val="000000"/>
          <w:sz w:val="24"/>
          <w:szCs w:val="24"/>
          <w:lang w:val="it-IT"/>
        </w:rPr>
        <w:t xml:space="preserve"> per l’assenza di un criteri</w:t>
      </w:r>
      <w:r w:rsidR="00E92A1B">
        <w:rPr>
          <w:rFonts w:ascii="Arial" w:hAnsi="Arial" w:cs="Arial"/>
          <w:color w:val="000000"/>
          <w:sz w:val="24"/>
          <w:szCs w:val="24"/>
          <w:lang w:val="it-IT"/>
        </w:rPr>
        <w:t>o di collegamento tra le materie</w:t>
      </w:r>
      <w:r w:rsidR="004D6ED1" w:rsidRPr="004D6ED1">
        <w:rPr>
          <w:rFonts w:ascii="Arial" w:hAnsi="Arial" w:cs="Arial"/>
          <w:color w:val="000000"/>
          <w:sz w:val="24"/>
          <w:szCs w:val="24"/>
          <w:lang w:val="it-IT"/>
        </w:rPr>
        <w:t xml:space="preserve"> di competenza dell’Unione e la disciplina del</w:t>
      </w:r>
      <w:r w:rsidR="00E92A1B">
        <w:rPr>
          <w:rFonts w:ascii="Arial" w:hAnsi="Arial" w:cs="Arial"/>
          <w:color w:val="000000"/>
          <w:sz w:val="24"/>
          <w:szCs w:val="24"/>
          <w:lang w:val="it-IT"/>
        </w:rPr>
        <w:t>la documentazione</w:t>
      </w:r>
      <w:r w:rsidR="004D6ED1" w:rsidRPr="004D6ED1">
        <w:rPr>
          <w:rFonts w:ascii="Arial" w:hAnsi="Arial" w:cs="Arial"/>
          <w:color w:val="000000"/>
          <w:sz w:val="24"/>
          <w:szCs w:val="24"/>
          <w:lang w:val="it-IT"/>
        </w:rPr>
        <w:t xml:space="preserve"> antimafia.</w:t>
      </w:r>
      <w:r w:rsidR="003D13B7">
        <w:rPr>
          <w:rFonts w:ascii="Arial" w:hAnsi="Arial" w:cs="Arial"/>
          <w:sz w:val="24"/>
          <w:szCs w:val="24"/>
          <w:lang w:val="it-IT"/>
        </w:rPr>
        <w:t xml:space="preserve"> </w:t>
      </w:r>
    </w:p>
    <w:p w:rsidR="00343451" w:rsidRPr="003D13B7" w:rsidRDefault="003D13B7" w:rsidP="003D13B7">
      <w:pPr>
        <w:shd w:val="clear" w:color="auto" w:fill="FFFFFF"/>
        <w:spacing w:after="0" w:line="240" w:lineRule="auto"/>
        <w:jc w:val="both"/>
        <w:rPr>
          <w:rFonts w:ascii="Arial" w:hAnsi="Arial" w:cs="Arial"/>
          <w:sz w:val="24"/>
          <w:szCs w:val="24"/>
          <w:lang w:val="it-IT"/>
        </w:rPr>
      </w:pPr>
      <w:r>
        <w:rPr>
          <w:rFonts w:ascii="Arial" w:hAnsi="Arial" w:cs="Arial"/>
          <w:sz w:val="24"/>
          <w:szCs w:val="24"/>
          <w:lang w:val="it-IT"/>
        </w:rPr>
        <w:t>L</w:t>
      </w:r>
      <w:r w:rsidR="00E92A1B">
        <w:rPr>
          <w:rFonts w:ascii="Arial" w:hAnsi="Arial" w:cs="Arial"/>
          <w:color w:val="686868"/>
          <w:sz w:val="24"/>
          <w:szCs w:val="24"/>
          <w:shd w:val="clear" w:color="auto" w:fill="FFFFFF"/>
          <w:lang w:val="it-IT"/>
        </w:rPr>
        <w:t>a Corte ha verosimilmente letto</w:t>
      </w:r>
      <w:r w:rsidR="004D6ED1">
        <w:rPr>
          <w:rFonts w:ascii="Arial" w:hAnsi="Arial" w:cs="Arial"/>
          <w:color w:val="686868"/>
          <w:sz w:val="24"/>
          <w:szCs w:val="24"/>
          <w:shd w:val="clear" w:color="auto" w:fill="FFFFFF"/>
          <w:lang w:val="it-IT"/>
        </w:rPr>
        <w:t xml:space="preserve"> la que</w:t>
      </w:r>
      <w:r w:rsidR="00E92A1B">
        <w:rPr>
          <w:rFonts w:ascii="Arial" w:hAnsi="Arial" w:cs="Arial"/>
          <w:color w:val="686868"/>
          <w:sz w:val="24"/>
          <w:szCs w:val="24"/>
          <w:shd w:val="clear" w:color="auto" w:fill="FFFFFF"/>
          <w:lang w:val="it-IT"/>
        </w:rPr>
        <w:t xml:space="preserve">stione come afferente alla </w:t>
      </w:r>
      <w:r w:rsidR="004D6ED1">
        <w:rPr>
          <w:rFonts w:ascii="Arial" w:hAnsi="Arial" w:cs="Arial"/>
          <w:color w:val="686868"/>
          <w:sz w:val="24"/>
          <w:szCs w:val="24"/>
          <w:shd w:val="clear" w:color="auto" w:fill="FFFFFF"/>
          <w:lang w:val="it-IT"/>
        </w:rPr>
        <w:t xml:space="preserve">materia dell’ordine pubblico, che rappresenta una di quelle funzioni cosiddette </w:t>
      </w:r>
      <w:proofErr w:type="spellStart"/>
      <w:r w:rsidR="004D6ED1" w:rsidRPr="004D6ED1">
        <w:rPr>
          <w:rFonts w:ascii="Arial" w:hAnsi="Arial" w:cs="Arial"/>
          <w:i/>
          <w:color w:val="686868"/>
          <w:sz w:val="24"/>
          <w:szCs w:val="24"/>
          <w:shd w:val="clear" w:color="auto" w:fill="FFFFFF"/>
          <w:lang w:val="it-IT"/>
        </w:rPr>
        <w:t>régaliennes</w:t>
      </w:r>
      <w:proofErr w:type="spellEnd"/>
      <w:r w:rsidR="00D9027C">
        <w:rPr>
          <w:rFonts w:ascii="Arial" w:hAnsi="Arial" w:cs="Arial"/>
          <w:color w:val="686868"/>
          <w:sz w:val="24"/>
          <w:szCs w:val="24"/>
          <w:shd w:val="clear" w:color="auto" w:fill="FFFFFF"/>
          <w:lang w:val="it-IT"/>
        </w:rPr>
        <w:t xml:space="preserve"> con</w:t>
      </w:r>
      <w:r w:rsidR="004D6ED1">
        <w:rPr>
          <w:rFonts w:ascii="Arial" w:hAnsi="Arial" w:cs="Arial"/>
          <w:color w:val="686868"/>
          <w:sz w:val="24"/>
          <w:szCs w:val="24"/>
          <w:shd w:val="clear" w:color="auto" w:fill="FFFFFF"/>
          <w:lang w:val="it-IT"/>
        </w:rPr>
        <w:t xml:space="preserve"> cui il sistema </w:t>
      </w:r>
      <w:proofErr w:type="spellStart"/>
      <w:r w:rsidR="004D6ED1">
        <w:rPr>
          <w:rFonts w:ascii="Arial" w:hAnsi="Arial" w:cs="Arial"/>
          <w:color w:val="686868"/>
          <w:sz w:val="24"/>
          <w:szCs w:val="24"/>
          <w:shd w:val="clear" w:color="auto" w:fill="FFFFFF"/>
          <w:lang w:val="it-IT"/>
        </w:rPr>
        <w:t>eurounitario</w:t>
      </w:r>
      <w:proofErr w:type="spellEnd"/>
      <w:r w:rsidR="00E92A1B">
        <w:rPr>
          <w:rFonts w:ascii="Arial" w:hAnsi="Arial" w:cs="Arial"/>
          <w:color w:val="686868"/>
          <w:sz w:val="24"/>
          <w:szCs w:val="24"/>
          <w:shd w:val="clear" w:color="auto" w:fill="FFFFFF"/>
          <w:lang w:val="it-IT"/>
        </w:rPr>
        <w:t>,</w:t>
      </w:r>
      <w:r w:rsidR="004D6ED1">
        <w:rPr>
          <w:rFonts w:ascii="Arial" w:hAnsi="Arial" w:cs="Arial"/>
          <w:color w:val="686868"/>
          <w:sz w:val="24"/>
          <w:szCs w:val="24"/>
          <w:shd w:val="clear" w:color="auto" w:fill="FFFFFF"/>
          <w:lang w:val="it-IT"/>
        </w:rPr>
        <w:t xml:space="preserve"> allo stato dell’Unione</w:t>
      </w:r>
      <w:r w:rsidR="00E92A1B">
        <w:rPr>
          <w:rFonts w:ascii="Arial" w:hAnsi="Arial" w:cs="Arial"/>
          <w:color w:val="686868"/>
          <w:sz w:val="24"/>
          <w:szCs w:val="24"/>
          <w:shd w:val="clear" w:color="auto" w:fill="FFFFFF"/>
          <w:lang w:val="it-IT"/>
        </w:rPr>
        <w:t>,</w:t>
      </w:r>
      <w:r w:rsidR="004D6ED1">
        <w:rPr>
          <w:rFonts w:ascii="Arial" w:hAnsi="Arial" w:cs="Arial"/>
          <w:color w:val="686868"/>
          <w:sz w:val="24"/>
          <w:szCs w:val="24"/>
          <w:shd w:val="clear" w:color="auto" w:fill="FFFFFF"/>
          <w:lang w:val="it-IT"/>
        </w:rPr>
        <w:t xml:space="preserve"> si astiene per lo più dall’interferire.</w:t>
      </w:r>
    </w:p>
    <w:p w:rsidR="004D6ED1" w:rsidRPr="00543FA5" w:rsidRDefault="00E92A1B" w:rsidP="00343451">
      <w:pPr>
        <w:spacing w:after="0"/>
        <w:jc w:val="both"/>
        <w:rPr>
          <w:rFonts w:ascii="Arial" w:hAnsi="Arial" w:cs="Arial"/>
          <w:color w:val="686868"/>
          <w:sz w:val="24"/>
          <w:szCs w:val="24"/>
          <w:shd w:val="clear" w:color="auto" w:fill="FFFFFF"/>
          <w:lang w:val="it-IT"/>
        </w:rPr>
      </w:pPr>
      <w:r>
        <w:rPr>
          <w:rFonts w:ascii="Arial" w:hAnsi="Arial" w:cs="Arial"/>
          <w:color w:val="686868"/>
          <w:sz w:val="24"/>
          <w:szCs w:val="24"/>
          <w:shd w:val="clear" w:color="auto" w:fill="FFFFFF"/>
          <w:lang w:val="it-IT"/>
        </w:rPr>
        <w:lastRenderedPageBreak/>
        <w:t>Ciò non di meno sarebbe</w:t>
      </w:r>
      <w:r w:rsidR="004D6ED1">
        <w:rPr>
          <w:rFonts w:ascii="Arial" w:hAnsi="Arial" w:cs="Arial"/>
          <w:color w:val="686868"/>
          <w:sz w:val="24"/>
          <w:szCs w:val="24"/>
          <w:shd w:val="clear" w:color="auto" w:fill="FFFFFF"/>
          <w:lang w:val="it-IT"/>
        </w:rPr>
        <w:t xml:space="preserve"> semplicistico concludere per l’estraneità della materia </w:t>
      </w:r>
      <w:r>
        <w:rPr>
          <w:rFonts w:ascii="Arial" w:hAnsi="Arial" w:cs="Arial"/>
          <w:color w:val="686868"/>
          <w:sz w:val="24"/>
          <w:szCs w:val="24"/>
          <w:shd w:val="clear" w:color="auto" w:fill="FFFFFF"/>
          <w:lang w:val="it-IT"/>
        </w:rPr>
        <w:t xml:space="preserve">della documentazione antimafia </w:t>
      </w:r>
      <w:r w:rsidR="004D6ED1">
        <w:rPr>
          <w:rFonts w:ascii="Arial" w:hAnsi="Arial" w:cs="Arial"/>
          <w:color w:val="686868"/>
          <w:sz w:val="24"/>
          <w:szCs w:val="24"/>
          <w:shd w:val="clear" w:color="auto" w:fill="FFFFFF"/>
          <w:lang w:val="it-IT"/>
        </w:rPr>
        <w:t>a pr</w:t>
      </w:r>
      <w:r>
        <w:rPr>
          <w:rFonts w:ascii="Arial" w:hAnsi="Arial" w:cs="Arial"/>
          <w:color w:val="686868"/>
          <w:sz w:val="24"/>
          <w:szCs w:val="24"/>
          <w:shd w:val="clear" w:color="auto" w:fill="FFFFFF"/>
          <w:lang w:val="it-IT"/>
        </w:rPr>
        <w:t xml:space="preserve">oblematiche di diritto </w:t>
      </w:r>
      <w:proofErr w:type="spellStart"/>
      <w:r>
        <w:rPr>
          <w:rFonts w:ascii="Arial" w:hAnsi="Arial" w:cs="Arial"/>
          <w:color w:val="686868"/>
          <w:sz w:val="24"/>
          <w:szCs w:val="24"/>
          <w:shd w:val="clear" w:color="auto" w:fill="FFFFFF"/>
          <w:lang w:val="it-IT"/>
        </w:rPr>
        <w:t>unionale</w:t>
      </w:r>
      <w:proofErr w:type="spellEnd"/>
      <w:r>
        <w:rPr>
          <w:rFonts w:ascii="Arial" w:hAnsi="Arial" w:cs="Arial"/>
          <w:color w:val="686868"/>
          <w:sz w:val="24"/>
          <w:szCs w:val="24"/>
          <w:shd w:val="clear" w:color="auto" w:fill="FFFFFF"/>
          <w:lang w:val="it-IT"/>
        </w:rPr>
        <w:t>; è ovvio infatti che, trattandosi di mi</w:t>
      </w:r>
      <w:r w:rsidR="00B322E7">
        <w:rPr>
          <w:rFonts w:ascii="Arial" w:hAnsi="Arial" w:cs="Arial"/>
          <w:color w:val="686868"/>
          <w:sz w:val="24"/>
          <w:szCs w:val="24"/>
          <w:shd w:val="clear" w:color="auto" w:fill="FFFFFF"/>
          <w:lang w:val="it-IT"/>
        </w:rPr>
        <w:t>sure che</w:t>
      </w:r>
      <w:r>
        <w:rPr>
          <w:rFonts w:ascii="Arial" w:hAnsi="Arial" w:cs="Arial"/>
          <w:color w:val="686868"/>
          <w:sz w:val="24"/>
          <w:szCs w:val="24"/>
          <w:shd w:val="clear" w:color="auto" w:fill="FFFFFF"/>
          <w:lang w:val="it-IT"/>
        </w:rPr>
        <w:t xml:space="preserve"> interferiscono con la libera iniziativa economica ed essendo l’Unione una struttura che nella creazione di un mercato unico trova la sua stessa ragione di</w:t>
      </w:r>
      <w:r w:rsidR="00343451">
        <w:rPr>
          <w:rFonts w:ascii="Arial" w:hAnsi="Arial" w:cs="Arial"/>
          <w:color w:val="686868"/>
          <w:sz w:val="24"/>
          <w:szCs w:val="24"/>
          <w:shd w:val="clear" w:color="auto" w:fill="FFFFFF"/>
          <w:lang w:val="it-IT"/>
        </w:rPr>
        <w:t xml:space="preserve"> genesi ed </w:t>
      </w:r>
      <w:r w:rsidR="00B322E7">
        <w:rPr>
          <w:rFonts w:ascii="Arial" w:hAnsi="Arial" w:cs="Arial"/>
          <w:color w:val="686868"/>
          <w:sz w:val="24"/>
          <w:szCs w:val="24"/>
          <w:shd w:val="clear" w:color="auto" w:fill="FFFFFF"/>
          <w:lang w:val="it-IT"/>
        </w:rPr>
        <w:t>esistenza</w:t>
      </w:r>
      <w:r>
        <w:rPr>
          <w:rFonts w:ascii="Arial" w:hAnsi="Arial" w:cs="Arial"/>
          <w:color w:val="686868"/>
          <w:sz w:val="24"/>
          <w:szCs w:val="24"/>
          <w:shd w:val="clear" w:color="auto" w:fill="FFFFFF"/>
          <w:lang w:val="it-IT"/>
        </w:rPr>
        <w:t>, se la gestione dell’ordine pubblico</w:t>
      </w:r>
      <w:r w:rsidR="00B322E7">
        <w:rPr>
          <w:rFonts w:ascii="Arial" w:hAnsi="Arial" w:cs="Arial"/>
          <w:color w:val="686868"/>
          <w:sz w:val="24"/>
          <w:szCs w:val="24"/>
          <w:shd w:val="clear" w:color="auto" w:fill="FFFFFF"/>
          <w:lang w:val="it-IT"/>
        </w:rPr>
        <w:t xml:space="preserve"> in quanto tale</w:t>
      </w:r>
      <w:r w:rsidR="00343451">
        <w:rPr>
          <w:rFonts w:ascii="Arial" w:hAnsi="Arial" w:cs="Arial"/>
          <w:color w:val="686868"/>
          <w:sz w:val="24"/>
          <w:szCs w:val="24"/>
          <w:shd w:val="clear" w:color="auto" w:fill="FFFFFF"/>
          <w:lang w:val="it-IT"/>
        </w:rPr>
        <w:t xml:space="preserve"> non impatta</w:t>
      </w:r>
      <w:r w:rsidR="00800170">
        <w:rPr>
          <w:rFonts w:ascii="Arial" w:hAnsi="Arial" w:cs="Arial"/>
          <w:color w:val="686868"/>
          <w:sz w:val="24"/>
          <w:szCs w:val="24"/>
          <w:shd w:val="clear" w:color="auto" w:fill="FFFFFF"/>
          <w:lang w:val="it-IT"/>
        </w:rPr>
        <w:t xml:space="preserve"> con l’ordinamento</w:t>
      </w:r>
      <w:r>
        <w:rPr>
          <w:rFonts w:ascii="Arial" w:hAnsi="Arial" w:cs="Arial"/>
          <w:color w:val="686868"/>
          <w:sz w:val="24"/>
          <w:szCs w:val="24"/>
          <w:shd w:val="clear" w:color="auto" w:fill="FFFFFF"/>
          <w:lang w:val="it-IT"/>
        </w:rPr>
        <w:t xml:space="preserve"> </w:t>
      </w:r>
      <w:proofErr w:type="spellStart"/>
      <w:r>
        <w:rPr>
          <w:rFonts w:ascii="Arial" w:hAnsi="Arial" w:cs="Arial"/>
          <w:color w:val="686868"/>
          <w:sz w:val="24"/>
          <w:szCs w:val="24"/>
          <w:shd w:val="clear" w:color="auto" w:fill="FFFFFF"/>
          <w:lang w:val="it-IT"/>
        </w:rPr>
        <w:t>unionale</w:t>
      </w:r>
      <w:proofErr w:type="spellEnd"/>
      <w:r>
        <w:rPr>
          <w:rFonts w:ascii="Arial" w:hAnsi="Arial" w:cs="Arial"/>
          <w:color w:val="686868"/>
          <w:sz w:val="24"/>
          <w:szCs w:val="24"/>
          <w:shd w:val="clear" w:color="auto" w:fill="FFFFFF"/>
          <w:lang w:val="it-IT"/>
        </w:rPr>
        <w:t xml:space="preserve"> essa diviene rilevante</w:t>
      </w:r>
      <w:r w:rsidR="00B322E7">
        <w:rPr>
          <w:rFonts w:ascii="Arial" w:hAnsi="Arial" w:cs="Arial"/>
          <w:color w:val="686868"/>
          <w:sz w:val="24"/>
          <w:szCs w:val="24"/>
          <w:shd w:val="clear" w:color="auto" w:fill="FFFFFF"/>
          <w:lang w:val="it-IT"/>
        </w:rPr>
        <w:t xml:space="preserve"> </w:t>
      </w:r>
      <w:r w:rsidR="003D13B7">
        <w:rPr>
          <w:rFonts w:ascii="Arial" w:hAnsi="Arial" w:cs="Arial"/>
          <w:color w:val="686868"/>
          <w:sz w:val="24"/>
          <w:szCs w:val="24"/>
          <w:shd w:val="clear" w:color="auto" w:fill="FFFFFF"/>
          <w:lang w:val="it-IT"/>
        </w:rPr>
        <w:t>quando si traduce</w:t>
      </w:r>
      <w:r w:rsidR="00343451">
        <w:rPr>
          <w:rFonts w:ascii="Arial" w:hAnsi="Arial" w:cs="Arial"/>
          <w:color w:val="686868"/>
          <w:sz w:val="24"/>
          <w:szCs w:val="24"/>
          <w:shd w:val="clear" w:color="auto" w:fill="FFFFFF"/>
          <w:lang w:val="it-IT"/>
        </w:rPr>
        <w:t xml:space="preserve"> in</w:t>
      </w:r>
      <w:r w:rsidRPr="00543FA5">
        <w:rPr>
          <w:rFonts w:ascii="Arial" w:hAnsi="Arial" w:cs="Arial"/>
          <w:color w:val="686868"/>
          <w:sz w:val="24"/>
          <w:szCs w:val="24"/>
          <w:shd w:val="clear" w:color="auto" w:fill="FFFFFF"/>
          <w:lang w:val="it-IT"/>
        </w:rPr>
        <w:t xml:space="preserve"> un legittimo limite all’iniziativa economica</w:t>
      </w:r>
      <w:r w:rsidR="00641EAB" w:rsidRPr="00543FA5">
        <w:rPr>
          <w:rFonts w:ascii="Arial" w:hAnsi="Arial" w:cs="Arial"/>
          <w:color w:val="686868"/>
          <w:sz w:val="24"/>
          <w:szCs w:val="24"/>
          <w:shd w:val="clear" w:color="auto" w:fill="FFFFFF"/>
          <w:lang w:val="it-IT"/>
        </w:rPr>
        <w:t>.</w:t>
      </w:r>
      <w:r w:rsidRPr="00543FA5">
        <w:rPr>
          <w:rFonts w:ascii="Arial" w:hAnsi="Arial" w:cs="Arial"/>
          <w:color w:val="686868"/>
          <w:sz w:val="24"/>
          <w:szCs w:val="24"/>
          <w:shd w:val="clear" w:color="auto" w:fill="FFFFFF"/>
          <w:lang w:val="it-IT"/>
        </w:rPr>
        <w:t xml:space="preserve"> </w:t>
      </w:r>
    </w:p>
    <w:p w:rsidR="00543FA5" w:rsidRDefault="00B322E7" w:rsidP="00543FA5">
      <w:pPr>
        <w:spacing w:after="0"/>
        <w:jc w:val="both"/>
        <w:rPr>
          <w:rFonts w:ascii="Arial" w:hAnsi="Arial" w:cs="Arial"/>
          <w:color w:val="333333"/>
          <w:sz w:val="24"/>
          <w:szCs w:val="24"/>
          <w:lang w:val="it-IT"/>
        </w:rPr>
      </w:pPr>
      <w:r w:rsidRPr="00543FA5">
        <w:rPr>
          <w:rFonts w:ascii="Arial" w:hAnsi="Arial" w:cs="Arial"/>
          <w:color w:val="686868"/>
          <w:sz w:val="24"/>
          <w:szCs w:val="24"/>
          <w:shd w:val="clear" w:color="auto" w:fill="FFFFFF"/>
          <w:lang w:val="it-IT"/>
        </w:rPr>
        <w:t xml:space="preserve">Tanto è vero che la Corte non ha avuto alcuna remora a valutare la compatibilità </w:t>
      </w:r>
      <w:proofErr w:type="spellStart"/>
      <w:r w:rsidRPr="00543FA5">
        <w:rPr>
          <w:rFonts w:ascii="Arial" w:hAnsi="Arial" w:cs="Arial"/>
          <w:color w:val="686868"/>
          <w:sz w:val="24"/>
          <w:szCs w:val="24"/>
          <w:shd w:val="clear" w:color="auto" w:fill="FFFFFF"/>
          <w:lang w:val="it-IT"/>
        </w:rPr>
        <w:t>eurounitaria</w:t>
      </w:r>
      <w:proofErr w:type="spellEnd"/>
      <w:r w:rsidRPr="00543FA5">
        <w:rPr>
          <w:rFonts w:ascii="Arial" w:hAnsi="Arial" w:cs="Arial"/>
          <w:color w:val="686868"/>
          <w:sz w:val="24"/>
          <w:szCs w:val="24"/>
          <w:shd w:val="clear" w:color="auto" w:fill="FFFFFF"/>
          <w:lang w:val="it-IT"/>
        </w:rPr>
        <w:t xml:space="preserve"> dei protocolli di legalità, per il tramite dei quali il rispetto della normativa antimafia diviene chiave convenzionale di accesso</w:t>
      </w:r>
      <w:r w:rsidR="00543FA5" w:rsidRPr="00543FA5">
        <w:rPr>
          <w:rFonts w:ascii="Arial" w:hAnsi="Arial" w:cs="Arial"/>
          <w:color w:val="686868"/>
          <w:sz w:val="24"/>
          <w:szCs w:val="24"/>
          <w:shd w:val="clear" w:color="auto" w:fill="FFFFFF"/>
          <w:lang w:val="it-IT"/>
        </w:rPr>
        <w:t xml:space="preserve"> alle</w:t>
      </w:r>
      <w:r w:rsidRPr="00543FA5">
        <w:rPr>
          <w:rFonts w:ascii="Arial" w:hAnsi="Arial" w:cs="Arial"/>
          <w:color w:val="686868"/>
          <w:sz w:val="24"/>
          <w:szCs w:val="24"/>
          <w:shd w:val="clear" w:color="auto" w:fill="FFFFFF"/>
          <w:lang w:val="it-IT"/>
        </w:rPr>
        <w:t xml:space="preserve"> gare di appalto</w:t>
      </w:r>
      <w:r w:rsidR="00543FA5">
        <w:rPr>
          <w:rFonts w:ascii="Arial" w:hAnsi="Arial" w:cs="Arial"/>
          <w:color w:val="686868"/>
          <w:sz w:val="24"/>
          <w:szCs w:val="24"/>
          <w:shd w:val="clear" w:color="auto" w:fill="FFFFFF"/>
          <w:lang w:val="it-IT"/>
        </w:rPr>
        <w:t>,</w:t>
      </w:r>
      <w:r w:rsidRPr="00543FA5">
        <w:rPr>
          <w:rFonts w:ascii="Arial" w:hAnsi="Arial" w:cs="Arial"/>
          <w:color w:val="686868"/>
          <w:sz w:val="24"/>
          <w:szCs w:val="24"/>
          <w:shd w:val="clear" w:color="auto" w:fill="FFFFFF"/>
          <w:lang w:val="it-IT"/>
        </w:rPr>
        <w:t xml:space="preserve"> nella sentenza 22 ottobre 2015, in causa C-425/14</w:t>
      </w:r>
      <w:r w:rsidR="00543FA5">
        <w:rPr>
          <w:rFonts w:ascii="Arial" w:hAnsi="Arial" w:cs="Arial"/>
          <w:color w:val="686868"/>
          <w:sz w:val="24"/>
          <w:szCs w:val="24"/>
          <w:shd w:val="clear" w:color="auto" w:fill="FFFFFF"/>
          <w:lang w:val="it-IT"/>
        </w:rPr>
        <w:t>,</w:t>
      </w:r>
      <w:r w:rsidR="00543FA5" w:rsidRPr="00543FA5">
        <w:rPr>
          <w:rFonts w:ascii="Arial" w:hAnsi="Arial" w:cs="Arial"/>
          <w:color w:val="686868"/>
          <w:sz w:val="24"/>
          <w:szCs w:val="24"/>
          <w:shd w:val="clear" w:color="auto" w:fill="FFFFFF"/>
          <w:lang w:val="it-IT"/>
        </w:rPr>
        <w:t xml:space="preserve"> in cui si legge: “28 </w:t>
      </w:r>
      <w:r w:rsidR="00543FA5" w:rsidRPr="00543FA5">
        <w:rPr>
          <w:rFonts w:ascii="Arial" w:hAnsi="Arial" w:cs="Arial"/>
          <w:color w:val="333333"/>
          <w:sz w:val="24"/>
          <w:szCs w:val="24"/>
          <w:lang w:val="it-IT"/>
        </w:rPr>
        <w:t xml:space="preserve">Si deve necessariamente constatare che, ostacolando l’attività criminale e distorsioni della concorrenza nel settore degli appalti pubblici, una misura quale l’obbligo di dichiarare l’accettazione di un tale protocollo di legalità appare idonea a rafforzare la parità di trattamento e la trasparenza nell’aggiudicazione di appalti. Inoltre, poiché incombe su qualsiasi candidato od offerente indistintamente, detto obbligo non viola il principio di non discriminazione. 29. Tuttavia, conformemente al principio di proporzionalità, che costituisce un principio generale del diritto dell’Unione, una siffatta misura non deve eccedere quanto necessario per raggiungere l’obiettivo perseguito (v., in tal senso, sentenza </w:t>
      </w:r>
      <w:proofErr w:type="spellStart"/>
      <w:r w:rsidR="00543FA5" w:rsidRPr="00543FA5">
        <w:rPr>
          <w:rFonts w:ascii="Arial" w:hAnsi="Arial" w:cs="Arial"/>
          <w:color w:val="333333"/>
          <w:sz w:val="24"/>
          <w:szCs w:val="24"/>
          <w:lang w:val="it-IT"/>
        </w:rPr>
        <w:t>Serrantoni</w:t>
      </w:r>
      <w:proofErr w:type="spellEnd"/>
      <w:r w:rsidR="00543FA5" w:rsidRPr="00543FA5">
        <w:rPr>
          <w:rFonts w:ascii="Arial" w:hAnsi="Arial" w:cs="Arial"/>
          <w:color w:val="333333"/>
          <w:sz w:val="24"/>
          <w:szCs w:val="24"/>
          <w:lang w:val="it-IT"/>
        </w:rPr>
        <w:t xml:space="preserve"> e Consorzio stabile edili, </w:t>
      </w:r>
      <w:hyperlink r:id="rId22" w:tgtFrame="CourtTab" w:history="1">
        <w:r w:rsidR="00543FA5" w:rsidRPr="001066A3">
          <w:rPr>
            <w:rStyle w:val="Collegamentoipertestuale"/>
            <w:rFonts w:ascii="Arial" w:hAnsi="Arial" w:cs="Arial"/>
            <w:color w:val="auto"/>
            <w:sz w:val="24"/>
            <w:szCs w:val="24"/>
            <w:u w:val="none"/>
            <w:lang w:val="it-IT"/>
          </w:rPr>
          <w:t>C</w:t>
        </w:r>
        <w:r w:rsidR="00543FA5" w:rsidRPr="001066A3">
          <w:rPr>
            <w:rStyle w:val="Collegamentoipertestuale"/>
            <w:rFonts w:ascii="Arial" w:hAnsi="Arial" w:cs="Arial"/>
            <w:color w:val="auto"/>
            <w:sz w:val="24"/>
            <w:szCs w:val="24"/>
            <w:u w:val="none"/>
            <w:lang w:val="it-IT"/>
          </w:rPr>
          <w:noBreakHyphen/>
          <w:t>376/08</w:t>
        </w:r>
      </w:hyperlink>
      <w:r w:rsidR="00543FA5" w:rsidRPr="001066A3">
        <w:rPr>
          <w:rFonts w:ascii="Arial" w:hAnsi="Arial" w:cs="Arial"/>
          <w:sz w:val="24"/>
          <w:szCs w:val="24"/>
          <w:lang w:val="it-IT"/>
        </w:rPr>
        <w:t>, </w:t>
      </w:r>
      <w:hyperlink r:id="rId23" w:tgtFrame="CourtTab" w:history="1">
        <w:r w:rsidR="00543FA5" w:rsidRPr="001066A3">
          <w:rPr>
            <w:rStyle w:val="Collegamentoipertestuale"/>
            <w:rFonts w:ascii="Arial" w:hAnsi="Arial" w:cs="Arial"/>
            <w:color w:val="auto"/>
            <w:sz w:val="24"/>
            <w:szCs w:val="24"/>
            <w:u w:val="none"/>
            <w:lang w:val="it-IT"/>
          </w:rPr>
          <w:t>EU:C:2009:808</w:t>
        </w:r>
      </w:hyperlink>
      <w:r w:rsidR="00543FA5" w:rsidRPr="001066A3">
        <w:rPr>
          <w:rFonts w:ascii="Arial" w:hAnsi="Arial" w:cs="Arial"/>
          <w:sz w:val="24"/>
          <w:szCs w:val="24"/>
          <w:lang w:val="it-IT"/>
        </w:rPr>
        <w:t>, punto </w:t>
      </w:r>
      <w:hyperlink r:id="rId24" w:anchor="point33" w:tgtFrame="CourtTab" w:history="1">
        <w:r w:rsidR="00543FA5" w:rsidRPr="001066A3">
          <w:rPr>
            <w:rStyle w:val="Collegamentoipertestuale"/>
            <w:rFonts w:ascii="Arial" w:hAnsi="Arial" w:cs="Arial"/>
            <w:color w:val="auto"/>
            <w:sz w:val="24"/>
            <w:szCs w:val="24"/>
            <w:u w:val="none"/>
            <w:lang w:val="it-IT"/>
          </w:rPr>
          <w:t>33</w:t>
        </w:r>
      </w:hyperlink>
      <w:r w:rsidR="00543FA5" w:rsidRPr="001066A3">
        <w:rPr>
          <w:rFonts w:ascii="Arial" w:hAnsi="Arial" w:cs="Arial"/>
          <w:sz w:val="24"/>
          <w:szCs w:val="24"/>
          <w:lang w:val="it-IT"/>
        </w:rPr>
        <w:t> e giurisprudenza citata). 30. Al riguardo si deve, in primo luogo, respingere l’argo</w:t>
      </w:r>
      <w:r w:rsidR="00D4568D" w:rsidRPr="001066A3">
        <w:rPr>
          <w:rFonts w:ascii="Arial" w:hAnsi="Arial" w:cs="Arial"/>
          <w:sz w:val="24"/>
          <w:szCs w:val="24"/>
          <w:lang w:val="it-IT"/>
        </w:rPr>
        <w:t>mento …</w:t>
      </w:r>
      <w:r w:rsidR="00543FA5" w:rsidRPr="001066A3">
        <w:rPr>
          <w:rFonts w:ascii="Arial" w:hAnsi="Arial" w:cs="Arial"/>
          <w:sz w:val="24"/>
          <w:szCs w:val="24"/>
          <w:lang w:val="it-IT"/>
        </w:rPr>
        <w:t xml:space="preserve"> secondo il quale una dichiarazione di accettazione di determinati impegni costituisce uno strumento inefficace per contrastare l’infiltrazione</w:t>
      </w:r>
      <w:r w:rsidR="00543FA5" w:rsidRPr="00543FA5">
        <w:rPr>
          <w:rFonts w:ascii="Arial" w:hAnsi="Arial" w:cs="Arial"/>
          <w:color w:val="333333"/>
          <w:sz w:val="24"/>
          <w:szCs w:val="24"/>
          <w:lang w:val="it-IT"/>
        </w:rPr>
        <w:t xml:space="preserve"> della criminalità organizzata poiché il rispetto di tali impegni può essere verificato solo successivamente all’aggiudicazione dell’appalto considerato. 31. Infatti, il giudice del rinvio precisa che, per essere obbligatorie, le clausole dei protocolli di legalità devono essere previamente accettate quale condizione di ammissione alla procedura di affidamento dell’appalto e che, se fosse suscettibile di sanzione unicamente la loro inosservanza in fase di esecuzione, verrebbe meno l’effetto di anticipazione massima della soglia di tutela e di deterrenza. </w:t>
      </w:r>
      <w:r w:rsidR="00543FA5" w:rsidRPr="008C4805">
        <w:rPr>
          <w:rFonts w:ascii="Arial" w:hAnsi="Arial" w:cs="Arial"/>
          <w:color w:val="333333"/>
          <w:sz w:val="24"/>
          <w:szCs w:val="24"/>
          <w:lang w:val="it-IT"/>
        </w:rPr>
        <w:t>In tali circostanze, tenuto conto del potere discrezionale riconosciuto agli Stati membri e ricordato al punto 26 della presente sentenza, non si può ritenere che l’obbligo di dichiarare l’accettazione degli impegni contenuti in un protocollo di legalità sin dall’inizio della partecipazione a una gara per l’aggiudicazione di un appalto ecceda quanto necessario al fine del raggiungimento degli obiettivi perseguiti</w:t>
      </w:r>
      <w:r w:rsidR="008C4805" w:rsidRPr="008C4805">
        <w:rPr>
          <w:rFonts w:ascii="Arial" w:hAnsi="Arial" w:cs="Arial"/>
          <w:color w:val="333333"/>
          <w:sz w:val="24"/>
          <w:szCs w:val="24"/>
          <w:lang w:val="it-IT"/>
        </w:rPr>
        <w:t>”</w:t>
      </w:r>
      <w:r w:rsidR="00543FA5" w:rsidRPr="008C4805">
        <w:rPr>
          <w:rFonts w:ascii="Arial" w:hAnsi="Arial" w:cs="Arial"/>
          <w:color w:val="333333"/>
          <w:sz w:val="24"/>
          <w:szCs w:val="24"/>
          <w:lang w:val="it-IT"/>
        </w:rPr>
        <w:t>.</w:t>
      </w:r>
    </w:p>
    <w:p w:rsidR="008C4805" w:rsidRDefault="008C4805" w:rsidP="00543FA5">
      <w:pPr>
        <w:spacing w:after="0"/>
        <w:jc w:val="both"/>
        <w:rPr>
          <w:rFonts w:ascii="Arial" w:hAnsi="Arial" w:cs="Arial"/>
          <w:color w:val="333333"/>
          <w:sz w:val="24"/>
          <w:szCs w:val="24"/>
          <w:shd w:val="clear" w:color="auto" w:fill="FFFFFF"/>
          <w:lang w:val="it-IT"/>
        </w:rPr>
      </w:pPr>
      <w:r>
        <w:rPr>
          <w:rFonts w:ascii="Arial" w:hAnsi="Arial" w:cs="Arial"/>
          <w:color w:val="333333"/>
          <w:sz w:val="24"/>
          <w:szCs w:val="24"/>
          <w:lang w:val="it-IT"/>
        </w:rPr>
        <w:t xml:space="preserve">La Corte prosegue poi con la dettagliata analisi </w:t>
      </w:r>
      <w:r w:rsidR="00F55E7F">
        <w:rPr>
          <w:rFonts w:ascii="Arial" w:hAnsi="Arial" w:cs="Arial"/>
          <w:color w:val="333333"/>
          <w:sz w:val="24"/>
          <w:szCs w:val="24"/>
          <w:lang w:val="it-IT"/>
        </w:rPr>
        <w:t xml:space="preserve">dei singoli impegni previsti dal protocollo di legalità del giudizio </w:t>
      </w:r>
      <w:r w:rsidR="00F55E7F" w:rsidRPr="00F55E7F">
        <w:rPr>
          <w:rFonts w:ascii="Arial" w:hAnsi="Arial" w:cs="Arial"/>
          <w:i/>
          <w:color w:val="333333"/>
          <w:sz w:val="24"/>
          <w:szCs w:val="24"/>
          <w:lang w:val="it-IT"/>
        </w:rPr>
        <w:t>a quo</w:t>
      </w:r>
      <w:r w:rsidR="00F55E7F">
        <w:rPr>
          <w:rFonts w:ascii="Arial" w:hAnsi="Arial" w:cs="Arial"/>
          <w:color w:val="333333"/>
          <w:sz w:val="24"/>
          <w:szCs w:val="24"/>
          <w:lang w:val="it-IT"/>
        </w:rPr>
        <w:t xml:space="preserve"> e conclude per la violazione del principio di proporzionalità di alcune specifiche previsioni, che sottintendevano forme di presunzione assoluta di irregolarità nella condotta, pur affermando, in linea di principio, che: </w:t>
      </w:r>
      <w:r w:rsidR="00F55E7F" w:rsidRPr="00F55E7F">
        <w:rPr>
          <w:rFonts w:ascii="Arial" w:hAnsi="Arial" w:cs="Arial"/>
          <w:color w:val="333333"/>
          <w:sz w:val="24"/>
          <w:szCs w:val="24"/>
          <w:lang w:val="it-IT"/>
        </w:rPr>
        <w:t>“</w:t>
      </w:r>
      <w:r w:rsidR="00F55E7F" w:rsidRPr="00F55E7F">
        <w:rPr>
          <w:rFonts w:ascii="Arial" w:hAnsi="Arial" w:cs="Arial"/>
          <w:color w:val="333333"/>
          <w:sz w:val="24"/>
          <w:szCs w:val="24"/>
          <w:shd w:val="clear" w:color="auto" w:fill="FFFFFF"/>
          <w:lang w:val="it-IT"/>
        </w:rPr>
        <w:t>le norme fondamentali e i principi generali del Trattato FUE, segnatamente i principi di parità di trattamento e di non discriminazione nonché l’obbligo di trasparenza che ne deriva, devono essere interpretati nel senso che essi non ostano a una disposizione di diritto nazionale in forza della quale un’amministrazione aggiudicatrice possa prevedere che un candidato o un offerente sia escluso automaticamente da una procedura di gara relativa a un appalto pubblico per non aver depositato, unitamente alla sua offerta, un’accettazione scritta degli impegni e delle dichiarazioni contenuti in un protocollo di legalità, come quello di cui trattasi nel procedimento principale, finalizzato a contrastare le infiltrazioni della criminalità organizzata nel settore degli appalti pubblici.</w:t>
      </w:r>
      <w:r w:rsidR="00F55E7F">
        <w:rPr>
          <w:rFonts w:ascii="Arial" w:hAnsi="Arial" w:cs="Arial"/>
          <w:color w:val="333333"/>
          <w:sz w:val="24"/>
          <w:szCs w:val="24"/>
          <w:shd w:val="clear" w:color="auto" w:fill="FFFFFF"/>
          <w:lang w:val="it-IT"/>
        </w:rPr>
        <w:t>”</w:t>
      </w:r>
      <w:r w:rsidR="00F55E7F" w:rsidRPr="00F55E7F">
        <w:rPr>
          <w:rFonts w:ascii="Arial" w:hAnsi="Arial" w:cs="Arial"/>
          <w:color w:val="333333"/>
          <w:sz w:val="24"/>
          <w:szCs w:val="24"/>
          <w:shd w:val="clear" w:color="auto" w:fill="FFFFFF"/>
          <w:lang w:val="it-IT"/>
        </w:rPr>
        <w:t> </w:t>
      </w:r>
    </w:p>
    <w:p w:rsidR="00D9027C" w:rsidRDefault="00F55E7F" w:rsidP="00543FA5">
      <w:pPr>
        <w:spacing w:after="0"/>
        <w:jc w:val="both"/>
        <w:rPr>
          <w:rFonts w:ascii="Arial" w:hAnsi="Arial" w:cs="Arial"/>
          <w:color w:val="333333"/>
          <w:sz w:val="24"/>
          <w:szCs w:val="24"/>
          <w:shd w:val="clear" w:color="auto" w:fill="FFFFFF"/>
          <w:lang w:val="it-IT"/>
        </w:rPr>
      </w:pPr>
      <w:r>
        <w:rPr>
          <w:rFonts w:ascii="Arial" w:hAnsi="Arial" w:cs="Arial"/>
          <w:color w:val="333333"/>
          <w:sz w:val="24"/>
          <w:szCs w:val="24"/>
          <w:shd w:val="clear" w:color="auto" w:fill="FFFFFF"/>
          <w:lang w:val="it-IT"/>
        </w:rPr>
        <w:t xml:space="preserve">Per comprendere l’approccio dell’Unione alle possibili interferenze tra iniziativa economica e criminalità organizzata deve </w:t>
      </w:r>
      <w:r w:rsidR="003D13B7">
        <w:rPr>
          <w:rFonts w:ascii="Arial" w:hAnsi="Arial" w:cs="Arial"/>
          <w:color w:val="333333"/>
          <w:sz w:val="24"/>
          <w:szCs w:val="24"/>
          <w:shd w:val="clear" w:color="auto" w:fill="FFFFFF"/>
          <w:lang w:val="it-IT"/>
        </w:rPr>
        <w:t xml:space="preserve">allora </w:t>
      </w:r>
      <w:r>
        <w:rPr>
          <w:rFonts w:ascii="Arial" w:hAnsi="Arial" w:cs="Arial"/>
          <w:color w:val="333333"/>
          <w:sz w:val="24"/>
          <w:szCs w:val="24"/>
          <w:shd w:val="clear" w:color="auto" w:fill="FFFFFF"/>
          <w:lang w:val="it-IT"/>
        </w:rPr>
        <w:t xml:space="preserve">considerarsi, anche in questo caso, l’evoluzione </w:t>
      </w:r>
      <w:r>
        <w:rPr>
          <w:rFonts w:ascii="Arial" w:hAnsi="Arial" w:cs="Arial"/>
          <w:color w:val="333333"/>
          <w:sz w:val="24"/>
          <w:szCs w:val="24"/>
          <w:shd w:val="clear" w:color="auto" w:fill="FFFFFF"/>
          <w:lang w:val="it-IT"/>
        </w:rPr>
        <w:lastRenderedPageBreak/>
        <w:t>diacronica del sistema</w:t>
      </w:r>
      <w:r w:rsidR="00343451">
        <w:rPr>
          <w:rFonts w:ascii="Arial" w:hAnsi="Arial" w:cs="Arial"/>
          <w:color w:val="333333"/>
          <w:sz w:val="24"/>
          <w:szCs w:val="24"/>
          <w:shd w:val="clear" w:color="auto" w:fill="FFFFFF"/>
          <w:lang w:val="it-IT"/>
        </w:rPr>
        <w:t>,</w:t>
      </w:r>
      <w:r>
        <w:rPr>
          <w:rFonts w:ascii="Arial" w:hAnsi="Arial" w:cs="Arial"/>
          <w:color w:val="333333"/>
          <w:sz w:val="24"/>
          <w:szCs w:val="24"/>
          <w:shd w:val="clear" w:color="auto" w:fill="FFFFFF"/>
          <w:lang w:val="it-IT"/>
        </w:rPr>
        <w:t xml:space="preserve"> propiziata dalla circolazione delle tradizioni co</w:t>
      </w:r>
      <w:r w:rsidR="00234A7D">
        <w:rPr>
          <w:rFonts w:ascii="Arial" w:hAnsi="Arial" w:cs="Arial"/>
          <w:color w:val="333333"/>
          <w:sz w:val="24"/>
          <w:szCs w:val="24"/>
          <w:shd w:val="clear" w:color="auto" w:fill="FFFFFF"/>
          <w:lang w:val="it-IT"/>
        </w:rPr>
        <w:t>stituzionali comuni agli Stati m</w:t>
      </w:r>
      <w:r>
        <w:rPr>
          <w:rFonts w:ascii="Arial" w:hAnsi="Arial" w:cs="Arial"/>
          <w:color w:val="333333"/>
          <w:sz w:val="24"/>
          <w:szCs w:val="24"/>
          <w:shd w:val="clear" w:color="auto" w:fill="FFFFFF"/>
          <w:lang w:val="it-IT"/>
        </w:rPr>
        <w:t>embri.</w:t>
      </w:r>
      <w:r w:rsidR="003D13B7">
        <w:rPr>
          <w:rFonts w:ascii="Arial" w:hAnsi="Arial" w:cs="Arial"/>
          <w:color w:val="333333"/>
          <w:sz w:val="24"/>
          <w:szCs w:val="24"/>
          <w:shd w:val="clear" w:color="auto" w:fill="FFFFFF"/>
          <w:lang w:val="it-IT"/>
        </w:rPr>
        <w:t xml:space="preserve"> Se</w:t>
      </w:r>
      <w:r w:rsidR="00343451">
        <w:rPr>
          <w:rFonts w:ascii="Arial" w:hAnsi="Arial" w:cs="Arial"/>
          <w:color w:val="333333"/>
          <w:sz w:val="24"/>
          <w:szCs w:val="24"/>
          <w:shd w:val="clear" w:color="auto" w:fill="FFFFFF"/>
          <w:lang w:val="it-IT"/>
        </w:rPr>
        <w:t xml:space="preserve"> infatti</w:t>
      </w:r>
      <w:r>
        <w:rPr>
          <w:rFonts w:ascii="Arial" w:hAnsi="Arial" w:cs="Arial"/>
          <w:color w:val="333333"/>
          <w:sz w:val="24"/>
          <w:szCs w:val="24"/>
          <w:shd w:val="clear" w:color="auto" w:fill="FFFFFF"/>
          <w:lang w:val="it-IT"/>
        </w:rPr>
        <w:t xml:space="preserve"> l’originaria costruzione della Comunità Europea presentava una forte ispirazione di tipo </w:t>
      </w:r>
      <w:proofErr w:type="spellStart"/>
      <w:r>
        <w:rPr>
          <w:rFonts w:ascii="Arial" w:hAnsi="Arial" w:cs="Arial"/>
          <w:color w:val="333333"/>
          <w:sz w:val="24"/>
          <w:szCs w:val="24"/>
          <w:shd w:val="clear" w:color="auto" w:fill="FFFFFF"/>
          <w:lang w:val="it-IT"/>
        </w:rPr>
        <w:t>ordo</w:t>
      </w:r>
      <w:proofErr w:type="spellEnd"/>
      <w:r>
        <w:rPr>
          <w:rFonts w:ascii="Arial" w:hAnsi="Arial" w:cs="Arial"/>
          <w:color w:val="333333"/>
          <w:sz w:val="24"/>
          <w:szCs w:val="24"/>
          <w:shd w:val="clear" w:color="auto" w:fill="FFFFFF"/>
          <w:lang w:val="it-IT"/>
        </w:rPr>
        <w:t>-liberista</w:t>
      </w:r>
      <w:r w:rsidR="00C538D1">
        <w:rPr>
          <w:rFonts w:ascii="Arial" w:hAnsi="Arial" w:cs="Arial"/>
          <w:color w:val="333333"/>
          <w:sz w:val="24"/>
          <w:szCs w:val="24"/>
          <w:shd w:val="clear" w:color="auto" w:fill="FFFFFF"/>
          <w:lang w:val="it-IT"/>
        </w:rPr>
        <w:t>,</w:t>
      </w:r>
      <w:r w:rsidR="006D03B7">
        <w:rPr>
          <w:rFonts w:ascii="Arial" w:hAnsi="Arial" w:cs="Arial"/>
          <w:color w:val="333333"/>
          <w:sz w:val="24"/>
          <w:szCs w:val="24"/>
          <w:shd w:val="clear" w:color="auto" w:fill="FFFFFF"/>
          <w:lang w:val="it-IT"/>
        </w:rPr>
        <w:t xml:space="preserve"> per la quale l’instaurazione di un sistema concorrenziale era il fine principale da perseguire, è ugualmente vero che il crollo del mito della crescita indefinita</w:t>
      </w:r>
      <w:r w:rsidR="00343451">
        <w:rPr>
          <w:rFonts w:ascii="Arial" w:hAnsi="Arial" w:cs="Arial"/>
          <w:color w:val="333333"/>
          <w:sz w:val="24"/>
          <w:szCs w:val="24"/>
          <w:shd w:val="clear" w:color="auto" w:fill="FFFFFF"/>
          <w:lang w:val="it-IT"/>
        </w:rPr>
        <w:t>,</w:t>
      </w:r>
      <w:r w:rsidR="006D03B7">
        <w:rPr>
          <w:rFonts w:ascii="Arial" w:hAnsi="Arial" w:cs="Arial"/>
          <w:color w:val="333333"/>
          <w:sz w:val="24"/>
          <w:szCs w:val="24"/>
          <w:shd w:val="clear" w:color="auto" w:fill="FFFFFF"/>
          <w:lang w:val="it-IT"/>
        </w:rPr>
        <w:t xml:space="preserve"> </w:t>
      </w:r>
      <w:r w:rsidR="003D13B7">
        <w:rPr>
          <w:rFonts w:ascii="Arial" w:hAnsi="Arial" w:cs="Arial"/>
          <w:color w:val="333333"/>
          <w:sz w:val="24"/>
          <w:szCs w:val="24"/>
          <w:shd w:val="clear" w:color="auto" w:fill="FFFFFF"/>
          <w:lang w:val="it-IT"/>
        </w:rPr>
        <w:t>le ricorrenti crisi</w:t>
      </w:r>
      <w:r w:rsidR="00C538D1">
        <w:rPr>
          <w:rFonts w:ascii="Arial" w:hAnsi="Arial" w:cs="Arial"/>
          <w:color w:val="333333"/>
          <w:sz w:val="24"/>
          <w:szCs w:val="24"/>
          <w:shd w:val="clear" w:color="auto" w:fill="FFFFFF"/>
          <w:lang w:val="it-IT"/>
        </w:rPr>
        <w:t xml:space="preserve"> </w:t>
      </w:r>
      <w:r w:rsidR="006D03B7">
        <w:rPr>
          <w:rFonts w:ascii="Arial" w:hAnsi="Arial" w:cs="Arial"/>
          <w:color w:val="333333"/>
          <w:sz w:val="24"/>
          <w:szCs w:val="24"/>
          <w:shd w:val="clear" w:color="auto" w:fill="FFFFFF"/>
          <w:lang w:val="it-IT"/>
        </w:rPr>
        <w:t>e il dialogo tra ordinamenti</w:t>
      </w:r>
      <w:r w:rsidR="00343451">
        <w:rPr>
          <w:rFonts w:ascii="Arial" w:hAnsi="Arial" w:cs="Arial"/>
          <w:color w:val="333333"/>
          <w:sz w:val="24"/>
          <w:szCs w:val="24"/>
          <w:shd w:val="clear" w:color="auto" w:fill="FFFFFF"/>
          <w:lang w:val="it-IT"/>
        </w:rPr>
        <w:t xml:space="preserve"> costituzionali</w:t>
      </w:r>
      <w:r w:rsidR="006D03B7">
        <w:rPr>
          <w:rFonts w:ascii="Arial" w:hAnsi="Arial" w:cs="Arial"/>
          <w:color w:val="333333"/>
          <w:sz w:val="24"/>
          <w:szCs w:val="24"/>
          <w:shd w:val="clear" w:color="auto" w:fill="FFFFFF"/>
          <w:lang w:val="it-IT"/>
        </w:rPr>
        <w:t xml:space="preserve"> nazionali e ordinamento sovra</w:t>
      </w:r>
      <w:r w:rsidR="00C538D1">
        <w:rPr>
          <w:rFonts w:ascii="Arial" w:hAnsi="Arial" w:cs="Arial"/>
          <w:color w:val="333333"/>
          <w:sz w:val="24"/>
          <w:szCs w:val="24"/>
          <w:shd w:val="clear" w:color="auto" w:fill="FFFFFF"/>
          <w:lang w:val="it-IT"/>
        </w:rPr>
        <w:t>nazionale ha</w:t>
      </w:r>
      <w:r w:rsidR="00343451">
        <w:rPr>
          <w:rFonts w:ascii="Arial" w:hAnsi="Arial" w:cs="Arial"/>
          <w:color w:val="333333"/>
          <w:sz w:val="24"/>
          <w:szCs w:val="24"/>
          <w:shd w:val="clear" w:color="auto" w:fill="FFFFFF"/>
          <w:lang w:val="it-IT"/>
        </w:rPr>
        <w:t>nno</w:t>
      </w:r>
      <w:r w:rsidR="00C538D1">
        <w:rPr>
          <w:rFonts w:ascii="Arial" w:hAnsi="Arial" w:cs="Arial"/>
          <w:color w:val="333333"/>
          <w:sz w:val="24"/>
          <w:szCs w:val="24"/>
          <w:shd w:val="clear" w:color="auto" w:fill="FFFFFF"/>
          <w:lang w:val="it-IT"/>
        </w:rPr>
        <w:t xml:space="preserve"> indotto</w:t>
      </w:r>
      <w:r w:rsidR="006D03B7">
        <w:rPr>
          <w:rFonts w:ascii="Arial" w:hAnsi="Arial" w:cs="Arial"/>
          <w:color w:val="333333"/>
          <w:sz w:val="24"/>
          <w:szCs w:val="24"/>
          <w:shd w:val="clear" w:color="auto" w:fill="FFFFFF"/>
          <w:lang w:val="it-IT"/>
        </w:rPr>
        <w:t xml:space="preserve"> una significativa evoluzione di logiche; è ormai acquisito</w:t>
      </w:r>
      <w:r w:rsidR="003D13B7">
        <w:rPr>
          <w:rFonts w:ascii="Arial" w:hAnsi="Arial" w:cs="Arial"/>
          <w:color w:val="333333"/>
          <w:sz w:val="24"/>
          <w:szCs w:val="24"/>
          <w:shd w:val="clear" w:color="auto" w:fill="FFFFFF"/>
          <w:lang w:val="it-IT"/>
        </w:rPr>
        <w:t>,</w:t>
      </w:r>
      <w:r w:rsidR="006D03B7">
        <w:rPr>
          <w:rFonts w:ascii="Arial" w:hAnsi="Arial" w:cs="Arial"/>
          <w:color w:val="333333"/>
          <w:sz w:val="24"/>
          <w:szCs w:val="24"/>
          <w:shd w:val="clear" w:color="auto" w:fill="FFFFFF"/>
          <w:lang w:val="it-IT"/>
        </w:rPr>
        <w:t xml:space="preserve"> nell’ordinamento </w:t>
      </w:r>
      <w:proofErr w:type="spellStart"/>
      <w:r w:rsidR="006D03B7">
        <w:rPr>
          <w:rFonts w:ascii="Arial" w:hAnsi="Arial" w:cs="Arial"/>
          <w:color w:val="333333"/>
          <w:sz w:val="24"/>
          <w:szCs w:val="24"/>
          <w:shd w:val="clear" w:color="auto" w:fill="FFFFFF"/>
          <w:lang w:val="it-IT"/>
        </w:rPr>
        <w:t>eurounitario</w:t>
      </w:r>
      <w:proofErr w:type="spellEnd"/>
      <w:r w:rsidR="003D13B7">
        <w:rPr>
          <w:rFonts w:ascii="Arial" w:hAnsi="Arial" w:cs="Arial"/>
          <w:color w:val="333333"/>
          <w:sz w:val="24"/>
          <w:szCs w:val="24"/>
          <w:shd w:val="clear" w:color="auto" w:fill="FFFFFF"/>
          <w:lang w:val="it-IT"/>
        </w:rPr>
        <w:t>, grazie anche</w:t>
      </w:r>
      <w:r w:rsidR="00D9027C">
        <w:rPr>
          <w:rFonts w:ascii="Arial" w:hAnsi="Arial" w:cs="Arial"/>
          <w:color w:val="333333"/>
          <w:sz w:val="24"/>
          <w:szCs w:val="24"/>
          <w:shd w:val="clear" w:color="auto" w:fill="FFFFFF"/>
          <w:lang w:val="it-IT"/>
        </w:rPr>
        <w:t xml:space="preserve"> appunto</w:t>
      </w:r>
      <w:r w:rsidR="003D13B7">
        <w:rPr>
          <w:rFonts w:ascii="Arial" w:hAnsi="Arial" w:cs="Arial"/>
          <w:color w:val="333333"/>
          <w:sz w:val="24"/>
          <w:szCs w:val="24"/>
          <w:shd w:val="clear" w:color="auto" w:fill="FFFFFF"/>
          <w:lang w:val="it-IT"/>
        </w:rPr>
        <w:t xml:space="preserve"> al</w:t>
      </w:r>
      <w:r w:rsidR="00C538D1">
        <w:rPr>
          <w:rFonts w:ascii="Arial" w:hAnsi="Arial" w:cs="Arial"/>
          <w:color w:val="333333"/>
          <w:sz w:val="24"/>
          <w:szCs w:val="24"/>
          <w:shd w:val="clear" w:color="auto" w:fill="FFFFFF"/>
          <w:lang w:val="it-IT"/>
        </w:rPr>
        <w:t xml:space="preserve"> tramite della circolazione dei modelli costituzionali europei, che la concorrenza non</w:t>
      </w:r>
      <w:r w:rsidR="006D03B7">
        <w:rPr>
          <w:rFonts w:ascii="Arial" w:hAnsi="Arial" w:cs="Arial"/>
          <w:color w:val="333333"/>
          <w:sz w:val="24"/>
          <w:szCs w:val="24"/>
          <w:shd w:val="clear" w:color="auto" w:fill="FFFFFF"/>
          <w:lang w:val="it-IT"/>
        </w:rPr>
        <w:t xml:space="preserve"> </w:t>
      </w:r>
      <w:r w:rsidR="00343451">
        <w:rPr>
          <w:rFonts w:ascii="Arial" w:hAnsi="Arial" w:cs="Arial"/>
          <w:color w:val="333333"/>
          <w:sz w:val="24"/>
          <w:szCs w:val="24"/>
          <w:shd w:val="clear" w:color="auto" w:fill="FFFFFF"/>
          <w:lang w:val="it-IT"/>
        </w:rPr>
        <w:t xml:space="preserve">è </w:t>
      </w:r>
      <w:r w:rsidR="006D03B7">
        <w:rPr>
          <w:rFonts w:ascii="Arial" w:hAnsi="Arial" w:cs="Arial"/>
          <w:color w:val="333333"/>
          <w:sz w:val="24"/>
          <w:szCs w:val="24"/>
          <w:shd w:val="clear" w:color="auto" w:fill="FFFFFF"/>
          <w:lang w:val="it-IT"/>
        </w:rPr>
        <w:t xml:space="preserve">un fine bensì un mezzo per perseguire altri e superiori valori di cui l’Unione, in un logica sempre più permeabile </w:t>
      </w:r>
      <w:r w:rsidR="00C538D1">
        <w:rPr>
          <w:rFonts w:ascii="Arial" w:hAnsi="Arial" w:cs="Arial"/>
          <w:color w:val="333333"/>
          <w:sz w:val="24"/>
          <w:szCs w:val="24"/>
          <w:shd w:val="clear" w:color="auto" w:fill="FFFFFF"/>
          <w:lang w:val="it-IT"/>
        </w:rPr>
        <w:t xml:space="preserve">a ragioni da </w:t>
      </w:r>
      <w:r w:rsidR="003D13B7">
        <w:rPr>
          <w:rFonts w:ascii="Arial" w:hAnsi="Arial" w:cs="Arial"/>
          <w:color w:val="333333"/>
          <w:sz w:val="24"/>
          <w:szCs w:val="24"/>
          <w:shd w:val="clear" w:color="auto" w:fill="FFFFFF"/>
          <w:lang w:val="it-IT"/>
        </w:rPr>
        <w:t>economia sociale</w:t>
      </w:r>
      <w:r w:rsidR="006D03B7">
        <w:rPr>
          <w:rFonts w:ascii="Arial" w:hAnsi="Arial" w:cs="Arial"/>
          <w:color w:val="333333"/>
          <w:sz w:val="24"/>
          <w:szCs w:val="24"/>
          <w:shd w:val="clear" w:color="auto" w:fill="FFFFFF"/>
          <w:lang w:val="it-IT"/>
        </w:rPr>
        <w:t xml:space="preserve"> sottese a molte costituzioni nazionali</w:t>
      </w:r>
      <w:r w:rsidR="003D13B7">
        <w:rPr>
          <w:rFonts w:ascii="Arial" w:hAnsi="Arial" w:cs="Arial"/>
          <w:color w:val="333333"/>
          <w:sz w:val="24"/>
          <w:szCs w:val="24"/>
          <w:shd w:val="clear" w:color="auto" w:fill="FFFFFF"/>
          <w:lang w:val="it-IT"/>
        </w:rPr>
        <w:t>,</w:t>
      </w:r>
      <w:r w:rsidR="006D03B7">
        <w:rPr>
          <w:rFonts w:ascii="Arial" w:hAnsi="Arial" w:cs="Arial"/>
          <w:color w:val="333333"/>
          <w:sz w:val="24"/>
          <w:szCs w:val="24"/>
          <w:shd w:val="clear" w:color="auto" w:fill="FFFFFF"/>
          <w:lang w:val="it-IT"/>
        </w:rPr>
        <w:t xml:space="preserve"> ha deciso di farsi carico</w:t>
      </w:r>
      <w:r w:rsidR="00343451">
        <w:rPr>
          <w:rFonts w:ascii="Arial" w:hAnsi="Arial" w:cs="Arial"/>
          <w:color w:val="333333"/>
          <w:sz w:val="24"/>
          <w:szCs w:val="24"/>
          <w:shd w:val="clear" w:color="auto" w:fill="FFFFFF"/>
          <w:lang w:val="it-IT"/>
        </w:rPr>
        <w:t xml:space="preserve">. </w:t>
      </w:r>
    </w:p>
    <w:p w:rsidR="00343451" w:rsidRDefault="00343451" w:rsidP="00543FA5">
      <w:pPr>
        <w:spacing w:after="0"/>
        <w:jc w:val="both"/>
        <w:rPr>
          <w:rFonts w:ascii="Arial" w:hAnsi="Arial" w:cs="Arial"/>
          <w:color w:val="333333"/>
          <w:sz w:val="24"/>
          <w:szCs w:val="24"/>
          <w:shd w:val="clear" w:color="auto" w:fill="FFFFFF"/>
          <w:lang w:val="it-IT"/>
        </w:rPr>
      </w:pPr>
      <w:r>
        <w:rPr>
          <w:rFonts w:ascii="Arial" w:hAnsi="Arial" w:cs="Arial"/>
          <w:color w:val="333333"/>
          <w:sz w:val="24"/>
          <w:szCs w:val="24"/>
          <w:shd w:val="clear" w:color="auto" w:fill="FFFFFF"/>
          <w:lang w:val="it-IT"/>
        </w:rPr>
        <w:t>In questa evoluzione</w:t>
      </w:r>
      <w:r w:rsidR="006D03B7">
        <w:rPr>
          <w:rFonts w:ascii="Arial" w:hAnsi="Arial" w:cs="Arial"/>
          <w:color w:val="333333"/>
          <w:sz w:val="24"/>
          <w:szCs w:val="24"/>
          <w:shd w:val="clear" w:color="auto" w:fill="FFFFFF"/>
          <w:lang w:val="it-IT"/>
        </w:rPr>
        <w:t xml:space="preserve"> </w:t>
      </w:r>
      <w:r>
        <w:rPr>
          <w:rFonts w:ascii="Arial" w:hAnsi="Arial" w:cs="Arial"/>
          <w:color w:val="333333"/>
          <w:sz w:val="24"/>
          <w:szCs w:val="24"/>
          <w:shd w:val="clear" w:color="auto" w:fill="FFFFFF"/>
          <w:lang w:val="it-IT"/>
        </w:rPr>
        <w:t>obiettivi che s</w:t>
      </w:r>
      <w:r w:rsidR="003D13B7">
        <w:rPr>
          <w:rFonts w:ascii="Arial" w:hAnsi="Arial" w:cs="Arial"/>
          <w:color w:val="333333"/>
          <w:sz w:val="24"/>
          <w:szCs w:val="24"/>
          <w:shd w:val="clear" w:color="auto" w:fill="FFFFFF"/>
          <w:lang w:val="it-IT"/>
        </w:rPr>
        <w:t>paziano dalla tutela ambientale</w:t>
      </w:r>
      <w:r>
        <w:rPr>
          <w:rFonts w:ascii="Arial" w:hAnsi="Arial" w:cs="Arial"/>
          <w:color w:val="333333"/>
          <w:sz w:val="24"/>
          <w:szCs w:val="24"/>
          <w:shd w:val="clear" w:color="auto" w:fill="FFFFFF"/>
          <w:lang w:val="it-IT"/>
        </w:rPr>
        <w:t xml:space="preserve"> alla tutela del lavoro, in specifico per le categorie svantaggiate, alla coesione sociale</w:t>
      </w:r>
      <w:r w:rsidR="003D13B7">
        <w:rPr>
          <w:rFonts w:ascii="Arial" w:hAnsi="Arial" w:cs="Arial"/>
          <w:color w:val="333333"/>
          <w:sz w:val="24"/>
          <w:szCs w:val="24"/>
          <w:shd w:val="clear" w:color="auto" w:fill="FFFFFF"/>
          <w:lang w:val="it-IT"/>
        </w:rPr>
        <w:t xml:space="preserve"> sono assurti</w:t>
      </w:r>
      <w:r>
        <w:rPr>
          <w:rFonts w:ascii="Arial" w:hAnsi="Arial" w:cs="Arial"/>
          <w:color w:val="333333"/>
          <w:sz w:val="24"/>
          <w:szCs w:val="24"/>
          <w:shd w:val="clear" w:color="auto" w:fill="FFFFFF"/>
          <w:lang w:val="it-IT"/>
        </w:rPr>
        <w:t xml:space="preserve"> dapprima ad </w:t>
      </w:r>
      <w:r w:rsidR="006D03B7">
        <w:rPr>
          <w:rFonts w:ascii="Arial" w:hAnsi="Arial" w:cs="Arial"/>
          <w:color w:val="333333"/>
          <w:sz w:val="24"/>
          <w:szCs w:val="24"/>
          <w:shd w:val="clear" w:color="auto" w:fill="FFFFFF"/>
          <w:lang w:val="it-IT"/>
        </w:rPr>
        <w:t>obiettivi secondari od orizzontali rispetto al</w:t>
      </w:r>
      <w:r w:rsidR="00EA4C22">
        <w:rPr>
          <w:rFonts w:ascii="Arial" w:hAnsi="Arial" w:cs="Arial"/>
          <w:color w:val="333333"/>
          <w:sz w:val="24"/>
          <w:szCs w:val="24"/>
          <w:shd w:val="clear" w:color="auto" w:fill="FFFFFF"/>
          <w:lang w:val="it-IT"/>
        </w:rPr>
        <w:t>la concorrenza e al</w:t>
      </w:r>
      <w:r w:rsidR="006D03B7">
        <w:rPr>
          <w:rFonts w:ascii="Arial" w:hAnsi="Arial" w:cs="Arial"/>
          <w:color w:val="333333"/>
          <w:sz w:val="24"/>
          <w:szCs w:val="24"/>
          <w:shd w:val="clear" w:color="auto" w:fill="FFFFFF"/>
          <w:lang w:val="it-IT"/>
        </w:rPr>
        <w:t xml:space="preserve"> mercato e</w:t>
      </w:r>
      <w:r>
        <w:rPr>
          <w:rFonts w:ascii="Arial" w:hAnsi="Arial" w:cs="Arial"/>
          <w:color w:val="333333"/>
          <w:sz w:val="24"/>
          <w:szCs w:val="24"/>
          <w:shd w:val="clear" w:color="auto" w:fill="FFFFFF"/>
          <w:lang w:val="it-IT"/>
        </w:rPr>
        <w:t>,</w:t>
      </w:r>
      <w:r w:rsidR="006D03B7">
        <w:rPr>
          <w:rFonts w:ascii="Arial" w:hAnsi="Arial" w:cs="Arial"/>
          <w:color w:val="333333"/>
          <w:sz w:val="24"/>
          <w:szCs w:val="24"/>
          <w:shd w:val="clear" w:color="auto" w:fill="FFFFFF"/>
          <w:lang w:val="it-IT"/>
        </w:rPr>
        <w:t xml:space="preserve"> progressivam</w:t>
      </w:r>
      <w:r w:rsidR="001F65EB">
        <w:rPr>
          <w:rFonts w:ascii="Arial" w:hAnsi="Arial" w:cs="Arial"/>
          <w:color w:val="333333"/>
          <w:sz w:val="24"/>
          <w:szCs w:val="24"/>
          <w:shd w:val="clear" w:color="auto" w:fill="FFFFFF"/>
          <w:lang w:val="it-IT"/>
        </w:rPr>
        <w:t>ente</w:t>
      </w:r>
      <w:r>
        <w:rPr>
          <w:rFonts w:ascii="Arial" w:hAnsi="Arial" w:cs="Arial"/>
          <w:color w:val="333333"/>
          <w:sz w:val="24"/>
          <w:szCs w:val="24"/>
          <w:shd w:val="clear" w:color="auto" w:fill="FFFFFF"/>
          <w:lang w:val="it-IT"/>
        </w:rPr>
        <w:t>, ad</w:t>
      </w:r>
      <w:r w:rsidR="001F65EB">
        <w:rPr>
          <w:rFonts w:ascii="Arial" w:hAnsi="Arial" w:cs="Arial"/>
          <w:color w:val="333333"/>
          <w:sz w:val="24"/>
          <w:szCs w:val="24"/>
          <w:shd w:val="clear" w:color="auto" w:fill="FFFFFF"/>
          <w:lang w:val="it-IT"/>
        </w:rPr>
        <w:t xml:space="preserve"> obiettivi strategici</w:t>
      </w:r>
      <w:r w:rsidR="006D03B7">
        <w:rPr>
          <w:rStyle w:val="Rimandonotaapidipagina"/>
          <w:rFonts w:ascii="Arial" w:hAnsi="Arial" w:cs="Arial"/>
          <w:color w:val="333333"/>
          <w:sz w:val="24"/>
          <w:szCs w:val="24"/>
          <w:shd w:val="clear" w:color="auto" w:fill="FFFFFF"/>
          <w:lang w:val="it-IT"/>
        </w:rPr>
        <w:footnoteReference w:id="13"/>
      </w:r>
      <w:r>
        <w:rPr>
          <w:rFonts w:ascii="Arial" w:hAnsi="Arial" w:cs="Arial"/>
          <w:color w:val="333333"/>
          <w:sz w:val="24"/>
          <w:szCs w:val="24"/>
          <w:shd w:val="clear" w:color="auto" w:fill="FFFFFF"/>
          <w:lang w:val="it-IT"/>
        </w:rPr>
        <w:t>.</w:t>
      </w:r>
      <w:r w:rsidR="00EA4C22">
        <w:rPr>
          <w:rFonts w:ascii="Arial" w:hAnsi="Arial" w:cs="Arial"/>
          <w:color w:val="333333"/>
          <w:sz w:val="24"/>
          <w:szCs w:val="24"/>
          <w:shd w:val="clear" w:color="auto" w:fill="FFFFFF"/>
          <w:lang w:val="it-IT"/>
        </w:rPr>
        <w:t xml:space="preserve"> </w:t>
      </w:r>
    </w:p>
    <w:p w:rsidR="00343451" w:rsidRDefault="00EA4C22" w:rsidP="00343451">
      <w:pPr>
        <w:spacing w:after="0"/>
        <w:jc w:val="both"/>
        <w:rPr>
          <w:rFonts w:ascii="Arial" w:hAnsi="Arial" w:cs="Arial"/>
          <w:color w:val="686868"/>
          <w:sz w:val="24"/>
          <w:szCs w:val="24"/>
          <w:shd w:val="clear" w:color="auto" w:fill="FFFFFF"/>
          <w:lang w:val="it-IT"/>
        </w:rPr>
      </w:pPr>
      <w:proofErr w:type="gramStart"/>
      <w:r>
        <w:rPr>
          <w:rFonts w:ascii="Arial" w:hAnsi="Arial" w:cs="Arial"/>
          <w:color w:val="333333"/>
          <w:sz w:val="24"/>
          <w:szCs w:val="24"/>
          <w:shd w:val="clear" w:color="auto" w:fill="FFFFFF"/>
          <w:lang w:val="it-IT"/>
        </w:rPr>
        <w:t>E’</w:t>
      </w:r>
      <w:proofErr w:type="gramEnd"/>
      <w:r>
        <w:rPr>
          <w:rFonts w:ascii="Arial" w:hAnsi="Arial" w:cs="Arial"/>
          <w:color w:val="333333"/>
          <w:sz w:val="24"/>
          <w:szCs w:val="24"/>
          <w:shd w:val="clear" w:color="auto" w:fill="FFFFFF"/>
          <w:lang w:val="it-IT"/>
        </w:rPr>
        <w:t xml:space="preserve"> evidente come la prevenzione antimafia risulti del tutto in linea con la salvaguardia della coesione sociale, </w:t>
      </w:r>
      <w:r>
        <w:rPr>
          <w:rFonts w:ascii="Arial" w:hAnsi="Arial" w:cs="Arial"/>
          <w:color w:val="686868"/>
          <w:sz w:val="24"/>
          <w:szCs w:val="24"/>
          <w:shd w:val="clear" w:color="auto" w:fill="FFFFFF"/>
          <w:lang w:val="it-IT"/>
        </w:rPr>
        <w:t>del lavoro legale</w:t>
      </w:r>
      <w:r w:rsidR="003D13B7">
        <w:rPr>
          <w:rFonts w:ascii="Arial" w:hAnsi="Arial" w:cs="Arial"/>
          <w:color w:val="686868"/>
          <w:sz w:val="24"/>
          <w:szCs w:val="24"/>
          <w:shd w:val="clear" w:color="auto" w:fill="FFFFFF"/>
          <w:lang w:val="it-IT"/>
        </w:rPr>
        <w:t>,</w:t>
      </w:r>
      <w:r w:rsidR="00343451">
        <w:rPr>
          <w:rFonts w:ascii="Arial" w:hAnsi="Arial" w:cs="Arial"/>
          <w:color w:val="686868"/>
          <w:sz w:val="24"/>
          <w:szCs w:val="24"/>
          <w:shd w:val="clear" w:color="auto" w:fill="FFFFFF"/>
          <w:lang w:val="it-IT"/>
        </w:rPr>
        <w:t xml:space="preserve"> dello stesso ambiente</w:t>
      </w:r>
      <w:r w:rsidR="00234A7D">
        <w:rPr>
          <w:rFonts w:ascii="Arial" w:hAnsi="Arial" w:cs="Arial"/>
          <w:color w:val="686868"/>
          <w:sz w:val="24"/>
          <w:szCs w:val="24"/>
          <w:shd w:val="clear" w:color="auto" w:fill="FFFFFF"/>
          <w:lang w:val="it-IT"/>
        </w:rPr>
        <w:t xml:space="preserve"> nonché</w:t>
      </w:r>
      <w:r>
        <w:rPr>
          <w:rFonts w:ascii="Arial" w:hAnsi="Arial" w:cs="Arial"/>
          <w:color w:val="686868"/>
          <w:sz w:val="24"/>
          <w:szCs w:val="24"/>
          <w:shd w:val="clear" w:color="auto" w:fill="FFFFFF"/>
          <w:lang w:val="it-IT"/>
        </w:rPr>
        <w:t xml:space="preserve"> con la cres</w:t>
      </w:r>
      <w:r w:rsidR="00343451">
        <w:rPr>
          <w:rFonts w:ascii="Arial" w:hAnsi="Arial" w:cs="Arial"/>
          <w:color w:val="686868"/>
          <w:sz w:val="24"/>
          <w:szCs w:val="24"/>
          <w:shd w:val="clear" w:color="auto" w:fill="FFFFFF"/>
          <w:lang w:val="it-IT"/>
        </w:rPr>
        <w:t>cita della piccola impresa sana</w:t>
      </w:r>
      <w:r w:rsidR="003D13B7">
        <w:rPr>
          <w:rFonts w:ascii="Arial" w:hAnsi="Arial" w:cs="Arial"/>
          <w:color w:val="686868"/>
          <w:sz w:val="24"/>
          <w:szCs w:val="24"/>
          <w:shd w:val="clear" w:color="auto" w:fill="FFFFFF"/>
          <w:lang w:val="it-IT"/>
        </w:rPr>
        <w:t>,</w:t>
      </w:r>
      <w:r w:rsidR="00343451">
        <w:rPr>
          <w:rFonts w:ascii="Arial" w:hAnsi="Arial" w:cs="Arial"/>
          <w:color w:val="686868"/>
          <w:sz w:val="24"/>
          <w:szCs w:val="24"/>
          <w:shd w:val="clear" w:color="auto" w:fill="FFFFFF"/>
          <w:lang w:val="it-IT"/>
        </w:rPr>
        <w:t xml:space="preserve"> liberando</w:t>
      </w:r>
      <w:r w:rsidR="003D13B7">
        <w:rPr>
          <w:rFonts w:ascii="Arial" w:hAnsi="Arial" w:cs="Arial"/>
          <w:color w:val="686868"/>
          <w:sz w:val="24"/>
          <w:szCs w:val="24"/>
          <w:shd w:val="clear" w:color="auto" w:fill="FFFFFF"/>
          <w:lang w:val="it-IT"/>
        </w:rPr>
        <w:t>la</w:t>
      </w:r>
      <w:r w:rsidR="00343451">
        <w:rPr>
          <w:rFonts w:ascii="Arial" w:hAnsi="Arial" w:cs="Arial"/>
          <w:color w:val="686868"/>
          <w:sz w:val="24"/>
          <w:szCs w:val="24"/>
          <w:shd w:val="clear" w:color="auto" w:fill="FFFFFF"/>
          <w:lang w:val="it-IT"/>
        </w:rPr>
        <w:t xml:space="preserve"> appunto </w:t>
      </w:r>
      <w:r w:rsidR="003D13B7">
        <w:rPr>
          <w:rFonts w:ascii="Arial" w:hAnsi="Arial" w:cs="Arial"/>
          <w:color w:val="686868"/>
          <w:sz w:val="24"/>
          <w:szCs w:val="24"/>
          <w:shd w:val="clear" w:color="auto" w:fill="FFFFFF"/>
          <w:lang w:val="it-IT"/>
        </w:rPr>
        <w:t xml:space="preserve">da </w:t>
      </w:r>
      <w:r w:rsidR="00343451">
        <w:rPr>
          <w:rFonts w:ascii="Arial" w:hAnsi="Arial" w:cs="Arial"/>
          <w:color w:val="686868"/>
          <w:sz w:val="24"/>
          <w:szCs w:val="24"/>
          <w:shd w:val="clear" w:color="auto" w:fill="FFFFFF"/>
          <w:lang w:val="it-IT"/>
        </w:rPr>
        <w:t xml:space="preserve">una concorrenza fondata su basi </w:t>
      </w:r>
      <w:r w:rsidR="003D13B7">
        <w:rPr>
          <w:rFonts w:ascii="Arial" w:hAnsi="Arial" w:cs="Arial"/>
          <w:color w:val="686868"/>
          <w:sz w:val="24"/>
          <w:szCs w:val="24"/>
          <w:shd w:val="clear" w:color="auto" w:fill="FFFFFF"/>
          <w:lang w:val="it-IT"/>
        </w:rPr>
        <w:t>il</w:t>
      </w:r>
      <w:r w:rsidR="00343451">
        <w:rPr>
          <w:rFonts w:ascii="Arial" w:hAnsi="Arial" w:cs="Arial"/>
          <w:color w:val="686868"/>
          <w:sz w:val="24"/>
          <w:szCs w:val="24"/>
          <w:shd w:val="clear" w:color="auto" w:fill="FFFFFF"/>
          <w:lang w:val="it-IT"/>
        </w:rPr>
        <w:t>lecite.</w:t>
      </w:r>
    </w:p>
    <w:p w:rsidR="00EA4C22" w:rsidRPr="00343451" w:rsidRDefault="00EA4C22" w:rsidP="00343451">
      <w:pPr>
        <w:spacing w:after="0"/>
        <w:jc w:val="both"/>
        <w:rPr>
          <w:rFonts w:ascii="Arial" w:hAnsi="Arial" w:cs="Arial"/>
          <w:color w:val="686868"/>
          <w:sz w:val="24"/>
          <w:szCs w:val="24"/>
          <w:shd w:val="clear" w:color="auto" w:fill="FFFFFF"/>
          <w:lang w:val="it-IT"/>
        </w:rPr>
      </w:pPr>
      <w:r>
        <w:rPr>
          <w:rFonts w:ascii="Arial" w:hAnsi="Arial" w:cs="Arial"/>
          <w:color w:val="686868"/>
          <w:sz w:val="24"/>
          <w:szCs w:val="24"/>
          <w:shd w:val="clear" w:color="auto" w:fill="FFFFFF"/>
          <w:lang w:val="it-IT"/>
        </w:rPr>
        <w:t>D’altro canto</w:t>
      </w:r>
      <w:r w:rsidR="00343451">
        <w:rPr>
          <w:rFonts w:ascii="Arial" w:hAnsi="Arial" w:cs="Arial"/>
          <w:color w:val="686868"/>
          <w:sz w:val="24"/>
          <w:szCs w:val="24"/>
          <w:shd w:val="clear" w:color="auto" w:fill="FFFFFF"/>
          <w:lang w:val="it-IT"/>
        </w:rPr>
        <w:t xml:space="preserve"> il sistema </w:t>
      </w:r>
      <w:proofErr w:type="spellStart"/>
      <w:r w:rsidR="00343451">
        <w:rPr>
          <w:rFonts w:ascii="Arial" w:hAnsi="Arial" w:cs="Arial"/>
          <w:color w:val="686868"/>
          <w:sz w:val="24"/>
          <w:szCs w:val="24"/>
          <w:shd w:val="clear" w:color="auto" w:fill="FFFFFF"/>
          <w:lang w:val="it-IT"/>
        </w:rPr>
        <w:t>unionale</w:t>
      </w:r>
      <w:proofErr w:type="spellEnd"/>
      <w:r w:rsidR="00343451">
        <w:rPr>
          <w:rFonts w:ascii="Arial" w:hAnsi="Arial" w:cs="Arial"/>
          <w:color w:val="686868"/>
          <w:sz w:val="24"/>
          <w:szCs w:val="24"/>
          <w:shd w:val="clear" w:color="auto" w:fill="FFFFFF"/>
          <w:lang w:val="it-IT"/>
        </w:rPr>
        <w:t xml:space="preserve"> riconosce che</w:t>
      </w:r>
      <w:r>
        <w:rPr>
          <w:rFonts w:ascii="Arial" w:hAnsi="Arial" w:cs="Arial"/>
          <w:color w:val="686868"/>
          <w:sz w:val="24"/>
          <w:szCs w:val="24"/>
          <w:shd w:val="clear" w:color="auto" w:fill="FFFFFF"/>
          <w:lang w:val="it-IT"/>
        </w:rPr>
        <w:t xml:space="preserve"> limiti alle libertà economiche vengano apposti</w:t>
      </w:r>
      <w:r w:rsidR="002D039D">
        <w:rPr>
          <w:rFonts w:ascii="Arial" w:hAnsi="Arial" w:cs="Arial"/>
          <w:color w:val="686868"/>
          <w:sz w:val="24"/>
          <w:szCs w:val="24"/>
          <w:shd w:val="clear" w:color="auto" w:fill="FFFFFF"/>
          <w:lang w:val="it-IT"/>
        </w:rPr>
        <w:t xml:space="preserve"> dagli Stati m</w:t>
      </w:r>
      <w:r w:rsidR="003D13B7">
        <w:rPr>
          <w:rFonts w:ascii="Arial" w:hAnsi="Arial" w:cs="Arial"/>
          <w:color w:val="686868"/>
          <w:sz w:val="24"/>
          <w:szCs w:val="24"/>
          <w:shd w:val="clear" w:color="auto" w:fill="FFFFFF"/>
          <w:lang w:val="it-IT"/>
        </w:rPr>
        <w:t>embri</w:t>
      </w:r>
      <w:r w:rsidR="00343451" w:rsidRPr="00343451">
        <w:rPr>
          <w:rFonts w:ascii="Arial" w:hAnsi="Arial" w:cs="Arial"/>
          <w:color w:val="686868"/>
          <w:sz w:val="24"/>
          <w:szCs w:val="24"/>
          <w:shd w:val="clear" w:color="auto" w:fill="FFFFFF"/>
          <w:lang w:val="it-IT"/>
        </w:rPr>
        <w:t xml:space="preserve"> </w:t>
      </w:r>
      <w:r w:rsidRPr="00343451">
        <w:rPr>
          <w:rFonts w:ascii="Arial" w:hAnsi="Arial" w:cs="Arial"/>
          <w:color w:val="686868"/>
          <w:sz w:val="24"/>
          <w:szCs w:val="24"/>
          <w:shd w:val="clear" w:color="auto" w:fill="FFFFFF"/>
          <w:lang w:val="it-IT"/>
        </w:rPr>
        <w:t>in nome</w:t>
      </w:r>
      <w:r w:rsidR="00343451">
        <w:rPr>
          <w:rFonts w:ascii="Arial" w:hAnsi="Arial" w:cs="Arial"/>
          <w:color w:val="686868"/>
          <w:sz w:val="24"/>
          <w:szCs w:val="24"/>
          <w:shd w:val="clear" w:color="auto" w:fill="FFFFFF"/>
          <w:lang w:val="it-IT"/>
        </w:rPr>
        <w:t xml:space="preserve"> di esigenze di ordine pubblico. S</w:t>
      </w:r>
      <w:r w:rsidRPr="00343451">
        <w:rPr>
          <w:rFonts w:ascii="Arial" w:hAnsi="Arial" w:cs="Arial"/>
          <w:color w:val="686868"/>
          <w:sz w:val="24"/>
          <w:szCs w:val="24"/>
          <w:shd w:val="clear" w:color="auto" w:fill="FFFFFF"/>
          <w:lang w:val="it-IT"/>
        </w:rPr>
        <w:t>i legge ad esempio nella sentenza</w:t>
      </w:r>
      <w:r w:rsidRPr="00343451">
        <w:rPr>
          <w:rFonts w:ascii="Arial" w:hAnsi="Arial" w:cs="Arial"/>
          <w:color w:val="19191A"/>
          <w:sz w:val="24"/>
          <w:szCs w:val="24"/>
          <w:lang w:val="it-IT"/>
        </w:rPr>
        <w:t xml:space="preserve"> 22 settembre 2022 in cause </w:t>
      </w:r>
      <w:r w:rsidRPr="00343451">
        <w:rPr>
          <w:rFonts w:ascii="Arial" w:hAnsi="Arial" w:cs="Arial"/>
          <w:color w:val="000000"/>
          <w:sz w:val="24"/>
          <w:szCs w:val="24"/>
          <w:shd w:val="clear" w:color="auto" w:fill="FFFFFF"/>
          <w:lang w:val="it-IT"/>
        </w:rPr>
        <w:t>C-475/20 a C-482/20</w:t>
      </w:r>
      <w:r w:rsidR="00413FA0" w:rsidRPr="00343451">
        <w:rPr>
          <w:rFonts w:ascii="Arial" w:hAnsi="Arial" w:cs="Arial"/>
          <w:color w:val="000000"/>
          <w:sz w:val="24"/>
          <w:szCs w:val="24"/>
          <w:shd w:val="clear" w:color="auto" w:fill="FFFFFF"/>
          <w:lang w:val="it-IT"/>
        </w:rPr>
        <w:t>,</w:t>
      </w:r>
      <w:r w:rsidRPr="00343451">
        <w:rPr>
          <w:rFonts w:ascii="Arial" w:hAnsi="Arial" w:cs="Arial"/>
          <w:color w:val="19191A"/>
          <w:sz w:val="24"/>
          <w:szCs w:val="24"/>
          <w:lang w:val="it-IT"/>
        </w:rPr>
        <w:t xml:space="preserve"> che ha vagliato la possibilità </w:t>
      </w:r>
      <w:r w:rsidR="002D039D">
        <w:rPr>
          <w:rFonts w:ascii="Arial" w:hAnsi="Arial" w:cs="Arial"/>
          <w:color w:val="19191A"/>
          <w:sz w:val="24"/>
          <w:szCs w:val="24"/>
          <w:lang w:val="it-IT"/>
        </w:rPr>
        <w:t>degli Stati m</w:t>
      </w:r>
      <w:r w:rsidR="00413FA0" w:rsidRPr="00343451">
        <w:rPr>
          <w:rFonts w:ascii="Arial" w:hAnsi="Arial" w:cs="Arial"/>
          <w:color w:val="19191A"/>
          <w:sz w:val="24"/>
          <w:szCs w:val="24"/>
          <w:lang w:val="it-IT"/>
        </w:rPr>
        <w:t xml:space="preserve">embri </w:t>
      </w:r>
      <w:r w:rsidRPr="00343451">
        <w:rPr>
          <w:rFonts w:ascii="Arial" w:hAnsi="Arial" w:cs="Arial"/>
          <w:color w:val="19191A"/>
          <w:sz w:val="24"/>
          <w:szCs w:val="24"/>
          <w:lang w:val="it-IT"/>
        </w:rPr>
        <w:t>di apporre limiti all’iniziativa economica in materia di gioco d’azzardo a tutela dei consumatori (</w:t>
      </w:r>
      <w:r w:rsidR="00343451">
        <w:rPr>
          <w:rFonts w:ascii="Arial" w:hAnsi="Arial" w:cs="Arial"/>
          <w:color w:val="19191A"/>
          <w:sz w:val="24"/>
          <w:szCs w:val="24"/>
          <w:lang w:val="it-IT"/>
        </w:rPr>
        <w:t xml:space="preserve">principio di </w:t>
      </w:r>
      <w:r w:rsidRPr="00343451">
        <w:rPr>
          <w:rFonts w:ascii="Arial" w:hAnsi="Arial" w:cs="Arial"/>
          <w:color w:val="19191A"/>
          <w:sz w:val="24"/>
          <w:szCs w:val="24"/>
          <w:lang w:val="it-IT"/>
        </w:rPr>
        <w:t>o</w:t>
      </w:r>
      <w:r w:rsidR="00413FA0" w:rsidRPr="00343451">
        <w:rPr>
          <w:rFonts w:ascii="Arial" w:hAnsi="Arial" w:cs="Arial"/>
          <w:color w:val="19191A"/>
          <w:sz w:val="24"/>
          <w:szCs w:val="24"/>
          <w:lang w:val="it-IT"/>
        </w:rPr>
        <w:t>rdine pubblico economico</w:t>
      </w:r>
      <w:r w:rsidR="00343451">
        <w:rPr>
          <w:rFonts w:ascii="Arial" w:hAnsi="Arial" w:cs="Arial"/>
          <w:color w:val="19191A"/>
          <w:sz w:val="24"/>
          <w:szCs w:val="24"/>
          <w:lang w:val="it-IT"/>
        </w:rPr>
        <w:t xml:space="preserve"> di protezione in ambito privatistico</w:t>
      </w:r>
      <w:r w:rsidR="00413FA0" w:rsidRPr="00343451">
        <w:rPr>
          <w:rFonts w:ascii="Arial" w:hAnsi="Arial" w:cs="Arial"/>
          <w:color w:val="19191A"/>
          <w:sz w:val="24"/>
          <w:szCs w:val="24"/>
          <w:lang w:val="it-IT"/>
        </w:rPr>
        <w:t>) e dell’ordine sociale come</w:t>
      </w:r>
      <w:r w:rsidR="00343451">
        <w:rPr>
          <w:rFonts w:ascii="Arial" w:hAnsi="Arial" w:cs="Arial"/>
          <w:color w:val="19191A"/>
          <w:sz w:val="24"/>
          <w:szCs w:val="24"/>
          <w:lang w:val="it-IT"/>
        </w:rPr>
        <w:t>,</w:t>
      </w:r>
      <w:r w:rsidR="00413FA0" w:rsidRPr="00343451">
        <w:rPr>
          <w:rFonts w:ascii="Arial" w:hAnsi="Arial" w:cs="Arial"/>
          <w:color w:val="19191A"/>
          <w:sz w:val="24"/>
          <w:szCs w:val="24"/>
          <w:lang w:val="it-IT"/>
        </w:rPr>
        <w:t xml:space="preserve"> in mancanza di una specifica armonizzazione di settore: “48…</w:t>
      </w:r>
      <w:r w:rsidRPr="00343451">
        <w:rPr>
          <w:rFonts w:ascii="Arial" w:hAnsi="Arial" w:cs="Arial"/>
          <w:color w:val="000000"/>
          <w:sz w:val="24"/>
          <w:szCs w:val="24"/>
          <w:lang w:val="it-IT"/>
        </w:rPr>
        <w:t xml:space="preserve">gli Stati membri godono di un ampio potere discrezionale per quanto riguarda la scelta del livello di tutela dei consumatori e dell'ordine sociale che essi considerano più appropriato (sentenza del 20 dicembre 2017, Global </w:t>
      </w:r>
      <w:proofErr w:type="spellStart"/>
      <w:r w:rsidRPr="00343451">
        <w:rPr>
          <w:rFonts w:ascii="Arial" w:hAnsi="Arial" w:cs="Arial"/>
          <w:color w:val="000000"/>
          <w:sz w:val="24"/>
          <w:szCs w:val="24"/>
          <w:lang w:val="it-IT"/>
        </w:rPr>
        <w:t>Starnet</w:t>
      </w:r>
      <w:proofErr w:type="spellEnd"/>
      <w:r w:rsidRPr="00343451">
        <w:rPr>
          <w:rFonts w:ascii="Arial" w:hAnsi="Arial" w:cs="Arial"/>
          <w:color w:val="000000"/>
          <w:sz w:val="24"/>
          <w:szCs w:val="24"/>
          <w:lang w:val="it-IT"/>
        </w:rPr>
        <w:t>, C-322/16, EU:C:2017:985, punto 39 e la giurisprudenza ivi citata).</w:t>
      </w:r>
      <w:r w:rsidR="00343451">
        <w:rPr>
          <w:rFonts w:ascii="Arial" w:hAnsi="Arial" w:cs="Arial"/>
          <w:color w:val="686868"/>
          <w:sz w:val="24"/>
          <w:szCs w:val="24"/>
          <w:shd w:val="clear" w:color="auto" w:fill="FFFFFF"/>
          <w:lang w:val="it-IT"/>
        </w:rPr>
        <w:t xml:space="preserve"> </w:t>
      </w:r>
      <w:r w:rsidRPr="004F6E28">
        <w:rPr>
          <w:rFonts w:ascii="Arial" w:eastAsia="Times New Roman" w:hAnsi="Arial" w:cs="Arial"/>
          <w:color w:val="000000"/>
          <w:sz w:val="24"/>
          <w:szCs w:val="24"/>
          <w:lang w:val="it-IT" w:eastAsia="it-IT"/>
        </w:rPr>
        <w:t xml:space="preserve">49. Gli Stati membri sono, di conseguenza, liberi di fissare gli obiettivi della loro politica in materia di giochi d'azzardo e, eventualmente, di definire con precisione il livello di tutela perseguito. Tuttavia, le restrizioni che essi impongono devono soddisfare le condizioni che risultano dalla giurisprudenza della Corte per quanto riguarda, segnatamente, la loro giustificazione sulla base di motivi imperativi di interesse generale e la loro proporzionalità (sentenza del 20 dicembre 2017, Global </w:t>
      </w:r>
      <w:proofErr w:type="spellStart"/>
      <w:r w:rsidRPr="004F6E28">
        <w:rPr>
          <w:rFonts w:ascii="Arial" w:eastAsia="Times New Roman" w:hAnsi="Arial" w:cs="Arial"/>
          <w:color w:val="000000"/>
          <w:sz w:val="24"/>
          <w:szCs w:val="24"/>
          <w:lang w:val="it-IT" w:eastAsia="it-IT"/>
        </w:rPr>
        <w:t>Starnet</w:t>
      </w:r>
      <w:proofErr w:type="spellEnd"/>
      <w:r w:rsidRPr="004F6E28">
        <w:rPr>
          <w:rFonts w:ascii="Arial" w:eastAsia="Times New Roman" w:hAnsi="Arial" w:cs="Arial"/>
          <w:color w:val="000000"/>
          <w:sz w:val="24"/>
          <w:szCs w:val="24"/>
          <w:lang w:val="it-IT" w:eastAsia="it-IT"/>
        </w:rPr>
        <w:t xml:space="preserve">, C-322/16, EU:C:2017:985, punto 40 e la giurisprudenza ivi citata). Pertanto, purché esse soddisfino quest'ultimo requisito, eventuali restrizioni delle attività di gioco d'azzardo possono essere giustificate </w:t>
      </w:r>
      <w:r w:rsidRPr="00413FA0">
        <w:rPr>
          <w:rFonts w:ascii="Arial" w:eastAsia="Times New Roman" w:hAnsi="Arial" w:cs="Arial"/>
          <w:color w:val="000000"/>
          <w:sz w:val="24"/>
          <w:szCs w:val="24"/>
          <w:lang w:val="it-IT" w:eastAsia="it-IT"/>
        </w:rPr>
        <w:t>in virtù di motivi imperativi di interesse generale, quali la tutela dei consumatori e la prevenzione delle frodi e dell'incitamento dei cittadini a spese eccessive legate al gioco</w:t>
      </w:r>
      <w:r w:rsidRPr="004F6E28">
        <w:rPr>
          <w:rFonts w:ascii="Arial" w:eastAsia="Times New Roman" w:hAnsi="Arial" w:cs="Arial"/>
          <w:color w:val="000000"/>
          <w:sz w:val="24"/>
          <w:szCs w:val="24"/>
          <w:lang w:val="it-IT" w:eastAsia="it-IT"/>
        </w:rPr>
        <w:t xml:space="preserve"> (sentenza del 22 gennaio 2015, Stanley International </w:t>
      </w:r>
      <w:proofErr w:type="spellStart"/>
      <w:r w:rsidRPr="004F6E28">
        <w:rPr>
          <w:rFonts w:ascii="Arial" w:eastAsia="Times New Roman" w:hAnsi="Arial" w:cs="Arial"/>
          <w:color w:val="000000"/>
          <w:sz w:val="24"/>
          <w:szCs w:val="24"/>
          <w:lang w:val="it-IT" w:eastAsia="it-IT"/>
        </w:rPr>
        <w:t>Betting</w:t>
      </w:r>
      <w:proofErr w:type="spellEnd"/>
      <w:r w:rsidRPr="004F6E28">
        <w:rPr>
          <w:rFonts w:ascii="Arial" w:eastAsia="Times New Roman" w:hAnsi="Arial" w:cs="Arial"/>
          <w:color w:val="000000"/>
          <w:sz w:val="24"/>
          <w:szCs w:val="24"/>
          <w:lang w:val="it-IT" w:eastAsia="it-IT"/>
        </w:rPr>
        <w:t xml:space="preserve"> e </w:t>
      </w:r>
      <w:proofErr w:type="spellStart"/>
      <w:r w:rsidRPr="004F6E28">
        <w:rPr>
          <w:rFonts w:ascii="Arial" w:eastAsia="Times New Roman" w:hAnsi="Arial" w:cs="Arial"/>
          <w:color w:val="000000"/>
          <w:sz w:val="24"/>
          <w:szCs w:val="24"/>
          <w:lang w:val="it-IT" w:eastAsia="it-IT"/>
        </w:rPr>
        <w:t>Stanleybet</w:t>
      </w:r>
      <w:proofErr w:type="spellEnd"/>
      <w:r w:rsidRPr="004F6E28">
        <w:rPr>
          <w:rFonts w:ascii="Arial" w:eastAsia="Times New Roman" w:hAnsi="Arial" w:cs="Arial"/>
          <w:color w:val="000000"/>
          <w:sz w:val="24"/>
          <w:szCs w:val="24"/>
          <w:lang w:val="it-IT" w:eastAsia="it-IT"/>
        </w:rPr>
        <w:t xml:space="preserve"> Malta, C-463/13, EU:C:2015:25, punto 48 nonché la giurisprudenza ivi citata).</w:t>
      </w:r>
      <w:r w:rsidR="00413FA0">
        <w:rPr>
          <w:rFonts w:ascii="Arial" w:eastAsia="Times New Roman" w:hAnsi="Arial" w:cs="Arial"/>
          <w:color w:val="000000"/>
          <w:sz w:val="24"/>
          <w:szCs w:val="24"/>
          <w:lang w:val="it-IT" w:eastAsia="it-IT"/>
        </w:rPr>
        <w:t>”</w:t>
      </w:r>
    </w:p>
    <w:p w:rsidR="00413FA0" w:rsidRPr="004F6E28" w:rsidRDefault="00413FA0" w:rsidP="00EA4C22">
      <w:pPr>
        <w:shd w:val="clear" w:color="auto" w:fill="FFFFFF"/>
        <w:spacing w:after="150" w:line="240" w:lineRule="auto"/>
        <w:jc w:val="both"/>
        <w:textAlignment w:val="baseline"/>
        <w:rPr>
          <w:rFonts w:ascii="Arial" w:eastAsia="Times New Roman" w:hAnsi="Arial" w:cs="Arial"/>
          <w:color w:val="000000"/>
          <w:sz w:val="24"/>
          <w:szCs w:val="24"/>
          <w:lang w:val="it-IT" w:eastAsia="it-IT"/>
        </w:rPr>
      </w:pPr>
      <w:r>
        <w:rPr>
          <w:rFonts w:ascii="Arial" w:eastAsia="Times New Roman" w:hAnsi="Arial" w:cs="Arial"/>
          <w:color w:val="000000"/>
          <w:sz w:val="24"/>
          <w:szCs w:val="24"/>
          <w:lang w:val="it-IT" w:eastAsia="it-IT"/>
        </w:rPr>
        <w:lastRenderedPageBreak/>
        <w:t>Ferma la specificità del set</w:t>
      </w:r>
      <w:r w:rsidR="00343451">
        <w:rPr>
          <w:rFonts w:ascii="Arial" w:eastAsia="Times New Roman" w:hAnsi="Arial" w:cs="Arial"/>
          <w:color w:val="000000"/>
          <w:sz w:val="24"/>
          <w:szCs w:val="24"/>
          <w:lang w:val="it-IT" w:eastAsia="it-IT"/>
        </w:rPr>
        <w:t>tore per il quale il prin</w:t>
      </w:r>
      <w:r>
        <w:rPr>
          <w:rFonts w:ascii="Arial" w:eastAsia="Times New Roman" w:hAnsi="Arial" w:cs="Arial"/>
          <w:color w:val="000000"/>
          <w:sz w:val="24"/>
          <w:szCs w:val="24"/>
          <w:lang w:val="it-IT" w:eastAsia="it-IT"/>
        </w:rPr>
        <w:t>cipio è stato enunciato</w:t>
      </w:r>
      <w:r w:rsidR="002D039D">
        <w:rPr>
          <w:rFonts w:ascii="Arial" w:eastAsia="Times New Roman" w:hAnsi="Arial" w:cs="Arial"/>
          <w:color w:val="000000"/>
          <w:sz w:val="24"/>
          <w:szCs w:val="24"/>
          <w:lang w:val="it-IT" w:eastAsia="it-IT"/>
        </w:rPr>
        <w:t>,</w:t>
      </w:r>
      <w:r>
        <w:rPr>
          <w:rFonts w:ascii="Arial" w:eastAsia="Times New Roman" w:hAnsi="Arial" w:cs="Arial"/>
          <w:color w:val="000000"/>
          <w:sz w:val="24"/>
          <w:szCs w:val="24"/>
          <w:lang w:val="it-IT" w:eastAsia="it-IT"/>
        </w:rPr>
        <w:t xml:space="preserve"> pare evidente l’assonanza del bilanciamento prospettato dalla Corte di giustizia tra iniziativa economica e in</w:t>
      </w:r>
      <w:r w:rsidR="00343451">
        <w:rPr>
          <w:rFonts w:ascii="Arial" w:eastAsia="Times New Roman" w:hAnsi="Arial" w:cs="Arial"/>
          <w:color w:val="000000"/>
          <w:sz w:val="24"/>
          <w:szCs w:val="24"/>
          <w:lang w:val="it-IT" w:eastAsia="it-IT"/>
        </w:rPr>
        <w:t>teressi generali che la nostra C</w:t>
      </w:r>
      <w:r>
        <w:rPr>
          <w:rFonts w:ascii="Arial" w:eastAsia="Times New Roman" w:hAnsi="Arial" w:cs="Arial"/>
          <w:color w:val="000000"/>
          <w:sz w:val="24"/>
          <w:szCs w:val="24"/>
          <w:lang w:val="it-IT" w:eastAsia="it-IT"/>
        </w:rPr>
        <w:t>ostituzione cristalliz</w:t>
      </w:r>
      <w:r w:rsidR="00343451">
        <w:rPr>
          <w:rFonts w:ascii="Arial" w:eastAsia="Times New Roman" w:hAnsi="Arial" w:cs="Arial"/>
          <w:color w:val="000000"/>
          <w:sz w:val="24"/>
          <w:szCs w:val="24"/>
          <w:lang w:val="it-IT" w:eastAsia="it-IT"/>
        </w:rPr>
        <w:t>za all’art. 41 e che risponde dunque ad</w:t>
      </w:r>
      <w:r w:rsidR="002D039D">
        <w:rPr>
          <w:rFonts w:ascii="Arial" w:eastAsia="Times New Roman" w:hAnsi="Arial" w:cs="Arial"/>
          <w:color w:val="000000"/>
          <w:sz w:val="24"/>
          <w:szCs w:val="24"/>
          <w:lang w:val="it-IT" w:eastAsia="it-IT"/>
        </w:rPr>
        <w:t xml:space="preserve"> un</w:t>
      </w:r>
      <w:r>
        <w:rPr>
          <w:rFonts w:ascii="Arial" w:eastAsia="Times New Roman" w:hAnsi="Arial" w:cs="Arial"/>
          <w:color w:val="000000"/>
          <w:sz w:val="24"/>
          <w:szCs w:val="24"/>
          <w:lang w:val="it-IT" w:eastAsia="it-IT"/>
        </w:rPr>
        <w:t xml:space="preserve"> sistema omogeneo e multilivello </w:t>
      </w:r>
      <w:r w:rsidR="00343451">
        <w:rPr>
          <w:rFonts w:ascii="Arial" w:eastAsia="Times New Roman" w:hAnsi="Arial" w:cs="Arial"/>
          <w:color w:val="000000"/>
          <w:sz w:val="24"/>
          <w:szCs w:val="24"/>
          <w:lang w:val="it-IT" w:eastAsia="it-IT"/>
        </w:rPr>
        <w:t>di garanzie nella cui cornice</w:t>
      </w:r>
      <w:r>
        <w:rPr>
          <w:rFonts w:ascii="Arial" w:eastAsia="Times New Roman" w:hAnsi="Arial" w:cs="Arial"/>
          <w:color w:val="000000"/>
          <w:sz w:val="24"/>
          <w:szCs w:val="24"/>
          <w:lang w:val="it-IT" w:eastAsia="it-IT"/>
        </w:rPr>
        <w:t xml:space="preserve"> si inquadra il sistema della documentazione antimafia.</w:t>
      </w:r>
    </w:p>
    <w:p w:rsidR="00EA4C22" w:rsidRDefault="00EA4C22" w:rsidP="00543FA5">
      <w:pPr>
        <w:spacing w:after="0"/>
        <w:jc w:val="both"/>
        <w:rPr>
          <w:rFonts w:ascii="Arial" w:hAnsi="Arial" w:cs="Arial"/>
          <w:color w:val="333333"/>
          <w:sz w:val="24"/>
          <w:szCs w:val="24"/>
          <w:shd w:val="clear" w:color="auto" w:fill="FFFFFF"/>
          <w:lang w:val="it-IT"/>
        </w:rPr>
      </w:pPr>
    </w:p>
    <w:p w:rsidR="002E2160" w:rsidRPr="004F6E28" w:rsidRDefault="005D480D" w:rsidP="005D480D">
      <w:pPr>
        <w:jc w:val="right"/>
        <w:rPr>
          <w:rFonts w:ascii="Arial" w:hAnsi="Arial" w:cs="Arial"/>
          <w:color w:val="686868"/>
          <w:sz w:val="24"/>
          <w:szCs w:val="24"/>
          <w:shd w:val="clear" w:color="auto" w:fill="FFFFFF"/>
          <w:lang w:val="it-IT"/>
        </w:rPr>
      </w:pPr>
      <w:r>
        <w:rPr>
          <w:rFonts w:ascii="Arial" w:hAnsi="Arial" w:cs="Arial"/>
          <w:color w:val="686868"/>
          <w:sz w:val="24"/>
          <w:szCs w:val="24"/>
          <w:shd w:val="clear" w:color="auto" w:fill="FFFFFF"/>
          <w:lang w:val="it-IT"/>
        </w:rPr>
        <w:t xml:space="preserve">Paola </w:t>
      </w:r>
      <w:proofErr w:type="spellStart"/>
      <w:r>
        <w:rPr>
          <w:rFonts w:ascii="Arial" w:hAnsi="Arial" w:cs="Arial"/>
          <w:color w:val="686868"/>
          <w:sz w:val="24"/>
          <w:szCs w:val="24"/>
          <w:shd w:val="clear" w:color="auto" w:fill="FFFFFF"/>
          <w:lang w:val="it-IT"/>
        </w:rPr>
        <w:t>Malanetto</w:t>
      </w:r>
      <w:proofErr w:type="spellEnd"/>
      <w:r>
        <w:rPr>
          <w:rFonts w:ascii="Arial" w:hAnsi="Arial" w:cs="Arial"/>
          <w:color w:val="686868"/>
          <w:sz w:val="24"/>
          <w:szCs w:val="24"/>
          <w:shd w:val="clear" w:color="auto" w:fill="FFFFFF"/>
          <w:lang w:val="it-IT"/>
        </w:rPr>
        <w:t xml:space="preserve"> Consigliere</w:t>
      </w:r>
      <w:bookmarkStart w:id="0" w:name="_GoBack"/>
      <w:bookmarkEnd w:id="0"/>
      <w:r>
        <w:rPr>
          <w:rFonts w:ascii="Arial" w:hAnsi="Arial" w:cs="Arial"/>
          <w:color w:val="686868"/>
          <w:sz w:val="24"/>
          <w:szCs w:val="24"/>
          <w:shd w:val="clear" w:color="auto" w:fill="FFFFFF"/>
          <w:lang w:val="it-IT"/>
        </w:rPr>
        <w:t xml:space="preserve"> TAR Piemonte</w:t>
      </w:r>
    </w:p>
    <w:p w:rsidR="002E2160" w:rsidRPr="004F6E28" w:rsidRDefault="002E2160" w:rsidP="004F6E28">
      <w:pPr>
        <w:jc w:val="both"/>
        <w:rPr>
          <w:rFonts w:ascii="Arial" w:hAnsi="Arial" w:cs="Arial"/>
          <w:color w:val="686868"/>
          <w:sz w:val="24"/>
          <w:szCs w:val="24"/>
          <w:shd w:val="clear" w:color="auto" w:fill="FFFFFF"/>
          <w:lang w:val="it-IT"/>
        </w:rPr>
      </w:pPr>
    </w:p>
    <w:p w:rsidR="0031596F" w:rsidRPr="004F6E28" w:rsidRDefault="0031596F" w:rsidP="004F6E28">
      <w:pPr>
        <w:jc w:val="both"/>
        <w:rPr>
          <w:rFonts w:ascii="Arial" w:hAnsi="Arial" w:cs="Arial"/>
          <w:color w:val="686868"/>
          <w:sz w:val="24"/>
          <w:szCs w:val="24"/>
          <w:shd w:val="clear" w:color="auto" w:fill="FFFFFF"/>
          <w:lang w:val="it-IT"/>
        </w:rPr>
      </w:pPr>
    </w:p>
    <w:p w:rsidR="00F20E54" w:rsidRPr="004F6E28" w:rsidRDefault="00F20E54" w:rsidP="004F6E28">
      <w:pPr>
        <w:jc w:val="both"/>
        <w:rPr>
          <w:rFonts w:ascii="Arial" w:hAnsi="Arial" w:cs="Arial"/>
          <w:b/>
          <w:color w:val="474747"/>
          <w:sz w:val="24"/>
          <w:szCs w:val="24"/>
          <w:lang w:val="it-IT"/>
        </w:rPr>
      </w:pPr>
    </w:p>
    <w:p w:rsidR="00495250" w:rsidRPr="004F6E28" w:rsidRDefault="00495250" w:rsidP="004F6E28">
      <w:pPr>
        <w:jc w:val="both"/>
        <w:rPr>
          <w:rFonts w:ascii="Arial" w:hAnsi="Arial" w:cs="Arial"/>
          <w:sz w:val="24"/>
          <w:szCs w:val="24"/>
          <w:lang w:val="it-IT"/>
        </w:rPr>
      </w:pPr>
    </w:p>
    <w:p w:rsidR="00750D9C" w:rsidRPr="004F6E28" w:rsidRDefault="00750D9C" w:rsidP="004F6E28">
      <w:pPr>
        <w:jc w:val="both"/>
        <w:rPr>
          <w:rFonts w:ascii="Arial" w:hAnsi="Arial" w:cs="Arial"/>
          <w:color w:val="000000"/>
          <w:sz w:val="24"/>
          <w:szCs w:val="24"/>
          <w:shd w:val="clear" w:color="auto" w:fill="FFFFFF"/>
          <w:lang w:val="it-IT"/>
        </w:rPr>
      </w:pPr>
    </w:p>
    <w:p w:rsidR="00BD35E4" w:rsidRPr="004F6E28" w:rsidRDefault="00BD35E4" w:rsidP="004F6E28">
      <w:pPr>
        <w:jc w:val="both"/>
        <w:rPr>
          <w:rFonts w:ascii="Arial" w:hAnsi="Arial" w:cs="Arial"/>
          <w:color w:val="000000"/>
          <w:sz w:val="24"/>
          <w:szCs w:val="24"/>
          <w:shd w:val="clear" w:color="auto" w:fill="FFFFFF"/>
          <w:lang w:val="it-IT"/>
        </w:rPr>
      </w:pPr>
    </w:p>
    <w:p w:rsidR="005A4FAD" w:rsidRPr="004F6E28" w:rsidRDefault="005A4FAD" w:rsidP="004F6E28">
      <w:pPr>
        <w:jc w:val="both"/>
        <w:rPr>
          <w:rFonts w:ascii="Arial" w:hAnsi="Arial" w:cs="Arial"/>
          <w:color w:val="000000"/>
          <w:sz w:val="24"/>
          <w:szCs w:val="24"/>
          <w:shd w:val="clear" w:color="auto" w:fill="FFFFFF"/>
          <w:lang w:val="it-IT"/>
        </w:rPr>
      </w:pPr>
    </w:p>
    <w:p w:rsidR="005A4FAD" w:rsidRPr="004F6E28" w:rsidRDefault="005A4FAD" w:rsidP="004F6E28">
      <w:pPr>
        <w:jc w:val="both"/>
        <w:rPr>
          <w:rFonts w:ascii="Arial" w:hAnsi="Arial" w:cs="Arial"/>
          <w:b/>
          <w:color w:val="000000"/>
          <w:sz w:val="24"/>
          <w:szCs w:val="24"/>
          <w:shd w:val="clear" w:color="auto" w:fill="FFFFFF"/>
          <w:lang w:val="it-IT"/>
        </w:rPr>
      </w:pPr>
    </w:p>
    <w:p w:rsidR="00EF4A5E" w:rsidRPr="004F6E28" w:rsidRDefault="00EF4A5E" w:rsidP="004F6E28">
      <w:pPr>
        <w:jc w:val="both"/>
        <w:rPr>
          <w:rFonts w:ascii="Arial" w:hAnsi="Arial" w:cs="Arial"/>
          <w:b/>
          <w:color w:val="212529"/>
          <w:sz w:val="24"/>
          <w:szCs w:val="24"/>
          <w:shd w:val="clear" w:color="auto" w:fill="FFFFFF"/>
          <w:lang w:val="it-IT"/>
        </w:rPr>
      </w:pPr>
    </w:p>
    <w:p w:rsidR="008E3E83" w:rsidRPr="004F6E28" w:rsidRDefault="008E3E83" w:rsidP="004F6E28">
      <w:pPr>
        <w:jc w:val="both"/>
        <w:rPr>
          <w:rFonts w:ascii="Arial" w:hAnsi="Arial" w:cs="Arial"/>
          <w:color w:val="212529"/>
          <w:sz w:val="24"/>
          <w:szCs w:val="24"/>
          <w:shd w:val="clear" w:color="auto" w:fill="FFFFFF"/>
          <w:lang w:val="it-IT"/>
        </w:rPr>
      </w:pPr>
    </w:p>
    <w:p w:rsidR="00897852" w:rsidRPr="004F6E28" w:rsidRDefault="00897852" w:rsidP="004F6E28">
      <w:pPr>
        <w:jc w:val="both"/>
        <w:rPr>
          <w:rFonts w:ascii="Arial" w:hAnsi="Arial" w:cs="Arial"/>
          <w:color w:val="212529"/>
          <w:sz w:val="24"/>
          <w:szCs w:val="24"/>
          <w:shd w:val="clear" w:color="auto" w:fill="FFFFFF"/>
          <w:lang w:val="it-IT"/>
        </w:rPr>
      </w:pPr>
    </w:p>
    <w:p w:rsidR="00897852" w:rsidRPr="004F6E28" w:rsidRDefault="00897852" w:rsidP="004F6E28">
      <w:pPr>
        <w:jc w:val="both"/>
        <w:rPr>
          <w:rFonts w:ascii="Arial" w:hAnsi="Arial" w:cs="Arial"/>
          <w:color w:val="212529"/>
          <w:sz w:val="24"/>
          <w:szCs w:val="24"/>
          <w:shd w:val="clear" w:color="auto" w:fill="FFFFFF"/>
          <w:lang w:val="it-IT"/>
        </w:rPr>
      </w:pPr>
    </w:p>
    <w:p w:rsidR="005B3690" w:rsidRPr="004F6E28" w:rsidRDefault="005B3690" w:rsidP="004F6E28">
      <w:pPr>
        <w:jc w:val="both"/>
        <w:rPr>
          <w:rFonts w:ascii="Arial" w:hAnsi="Arial" w:cs="Arial"/>
          <w:sz w:val="24"/>
          <w:szCs w:val="24"/>
          <w:lang w:val="it-IT"/>
        </w:rPr>
      </w:pPr>
    </w:p>
    <w:p w:rsidR="00D94AF5" w:rsidRPr="004F6E28" w:rsidRDefault="00D94AF5" w:rsidP="004F6E28">
      <w:pPr>
        <w:shd w:val="clear" w:color="auto" w:fill="FFFFFF"/>
        <w:spacing w:before="100" w:beforeAutospacing="1" w:after="100" w:afterAutospacing="1" w:line="240" w:lineRule="auto"/>
        <w:jc w:val="both"/>
        <w:rPr>
          <w:rFonts w:ascii="Arial" w:hAnsi="Arial" w:cs="Arial"/>
          <w:color w:val="666666"/>
          <w:sz w:val="24"/>
          <w:szCs w:val="24"/>
          <w:shd w:val="clear" w:color="auto" w:fill="FFFFFF"/>
          <w:lang w:val="it-IT"/>
        </w:rPr>
      </w:pPr>
      <w:r w:rsidRPr="004F6E28">
        <w:rPr>
          <w:rFonts w:ascii="Arial" w:hAnsi="Arial" w:cs="Arial"/>
          <w:color w:val="666666"/>
          <w:sz w:val="24"/>
          <w:szCs w:val="24"/>
          <w:shd w:val="clear" w:color="auto" w:fill="FFFFFF"/>
          <w:lang w:val="it-IT"/>
        </w:rPr>
        <w:t>.</w:t>
      </w:r>
    </w:p>
    <w:p w:rsidR="00D94AF5" w:rsidRPr="004F6E28" w:rsidRDefault="00D94AF5" w:rsidP="004F6E28">
      <w:pPr>
        <w:shd w:val="clear" w:color="auto" w:fill="FFFFFF"/>
        <w:spacing w:before="100" w:beforeAutospacing="1" w:after="100" w:afterAutospacing="1" w:line="240" w:lineRule="auto"/>
        <w:jc w:val="both"/>
        <w:rPr>
          <w:rFonts w:ascii="Arial" w:hAnsi="Arial" w:cs="Arial"/>
          <w:color w:val="666666"/>
          <w:sz w:val="24"/>
          <w:szCs w:val="24"/>
          <w:shd w:val="clear" w:color="auto" w:fill="FFFFFF"/>
          <w:lang w:val="it-IT"/>
        </w:rPr>
      </w:pPr>
    </w:p>
    <w:p w:rsidR="00383E48" w:rsidRPr="004F6E28" w:rsidRDefault="00383E48" w:rsidP="004F6E28">
      <w:pPr>
        <w:shd w:val="clear" w:color="auto" w:fill="FFFFFF"/>
        <w:spacing w:before="100" w:beforeAutospacing="1" w:after="100" w:afterAutospacing="1" w:line="240" w:lineRule="auto"/>
        <w:jc w:val="both"/>
        <w:rPr>
          <w:rFonts w:ascii="Arial" w:eastAsia="Times New Roman" w:hAnsi="Arial" w:cs="Arial"/>
          <w:color w:val="19191A"/>
          <w:sz w:val="24"/>
          <w:szCs w:val="24"/>
          <w:lang w:val="it-IT" w:eastAsia="it-IT"/>
        </w:rPr>
      </w:pPr>
    </w:p>
    <w:p w:rsidR="009F132B" w:rsidRPr="004F6E28" w:rsidRDefault="009F132B" w:rsidP="004F6E28">
      <w:pPr>
        <w:shd w:val="clear" w:color="auto" w:fill="FFFFFF"/>
        <w:spacing w:before="100" w:beforeAutospacing="1" w:after="100" w:afterAutospacing="1" w:line="240" w:lineRule="auto"/>
        <w:jc w:val="both"/>
        <w:rPr>
          <w:rFonts w:ascii="Arial" w:eastAsia="Times New Roman" w:hAnsi="Arial" w:cs="Arial"/>
          <w:color w:val="19191A"/>
          <w:sz w:val="24"/>
          <w:szCs w:val="24"/>
          <w:lang w:val="it-IT" w:eastAsia="it-IT"/>
        </w:rPr>
      </w:pPr>
    </w:p>
    <w:p w:rsidR="005B3690" w:rsidRPr="004F6E28" w:rsidRDefault="005B3690" w:rsidP="004F6E28">
      <w:pPr>
        <w:jc w:val="both"/>
        <w:rPr>
          <w:rFonts w:ascii="Arial" w:hAnsi="Arial" w:cs="Arial"/>
          <w:sz w:val="24"/>
          <w:szCs w:val="24"/>
          <w:lang w:val="it-IT"/>
        </w:rPr>
      </w:pPr>
    </w:p>
    <w:sectPr w:rsidR="005B3690" w:rsidRPr="004F6E2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748" w:rsidRDefault="00DC7748" w:rsidP="00AB155C">
      <w:pPr>
        <w:spacing w:after="0" w:line="240" w:lineRule="auto"/>
      </w:pPr>
      <w:r>
        <w:separator/>
      </w:r>
    </w:p>
  </w:endnote>
  <w:endnote w:type="continuationSeparator" w:id="0">
    <w:p w:rsidR="00DC7748" w:rsidRDefault="00DC7748" w:rsidP="00AB1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748" w:rsidRDefault="00DC7748" w:rsidP="00AB155C">
      <w:pPr>
        <w:spacing w:after="0" w:line="240" w:lineRule="auto"/>
      </w:pPr>
      <w:r>
        <w:separator/>
      </w:r>
    </w:p>
  </w:footnote>
  <w:footnote w:type="continuationSeparator" w:id="0">
    <w:p w:rsidR="00DC7748" w:rsidRDefault="00DC7748" w:rsidP="00AB155C">
      <w:pPr>
        <w:spacing w:after="0" w:line="240" w:lineRule="auto"/>
      </w:pPr>
      <w:r>
        <w:continuationSeparator/>
      </w:r>
    </w:p>
  </w:footnote>
  <w:footnote w:id="1">
    <w:p w:rsidR="002E3F81" w:rsidRPr="00F25361" w:rsidRDefault="002E3F81" w:rsidP="00F25361">
      <w:pPr>
        <w:pStyle w:val="Testonotaapidipagina"/>
        <w:jc w:val="both"/>
        <w:rPr>
          <w:lang w:val="it-IT"/>
        </w:rPr>
      </w:pPr>
      <w:r>
        <w:rPr>
          <w:rStyle w:val="Rimandonotaapidipagina"/>
        </w:rPr>
        <w:footnoteRef/>
      </w:r>
      <w:r w:rsidRPr="00F25361">
        <w:rPr>
          <w:lang w:val="it-IT"/>
        </w:rPr>
        <w:t xml:space="preserve"> </w:t>
      </w:r>
      <w:r>
        <w:rPr>
          <w:lang w:val="it-IT"/>
        </w:rPr>
        <w:t xml:space="preserve">Emblematica sul punto la nota sentenza Corte </w:t>
      </w:r>
      <w:proofErr w:type="spellStart"/>
      <w:r>
        <w:rPr>
          <w:lang w:val="it-IT"/>
        </w:rPr>
        <w:t>Cost</w:t>
      </w:r>
      <w:proofErr w:type="spellEnd"/>
      <w:r>
        <w:rPr>
          <w:lang w:val="it-IT"/>
        </w:rPr>
        <w:t>. 9 aprile 2013, n. 85 sul caso ILVA in cui si legge: “</w:t>
      </w:r>
      <w:r w:rsidRPr="00F25361">
        <w:rPr>
          <w:color w:val="666666"/>
          <w:shd w:val="clear" w:color="auto" w:fill="FFFFFF"/>
          <w:lang w:val="it-IT"/>
        </w:rPr>
        <w:t>Tutti i diritti fondamentali tutelati dalla Costituzione si trovano in rapporto di integrazione reciproca e non è possibile pertanto individuare uno di essi che abbia la prevalenza assoluta sugli altri. La tutela deve essere sempre «sistemica e non frazionata in una serie di norme non coordinate ed in potenziale conflitto tra loro» (sentenza n. 264 del 2012). Se così non fosse, si verificherebbe l’illimitata espansione di uno dei diritti, che diverrebbe “tiranno” nei confronti delle altre situazioni giuridiche costituzionalmente riconosciute e protette, che costituiscono, nel loro insieme, espressione della dignità della persona.</w:t>
      </w:r>
      <w:r>
        <w:rPr>
          <w:color w:val="666666"/>
          <w:shd w:val="clear" w:color="auto" w:fill="FFFFFF"/>
          <w:lang w:val="it-IT"/>
        </w:rPr>
        <w:t>”</w:t>
      </w:r>
    </w:p>
  </w:footnote>
  <w:footnote w:id="2">
    <w:p w:rsidR="002E3F81" w:rsidRPr="00E11858" w:rsidRDefault="002E3F81" w:rsidP="004563CA">
      <w:pPr>
        <w:pStyle w:val="Testonotaapidipagina"/>
        <w:jc w:val="both"/>
        <w:rPr>
          <w:lang w:val="it-IT"/>
        </w:rPr>
      </w:pPr>
      <w:r>
        <w:rPr>
          <w:rStyle w:val="Rimandonotaapidipagina"/>
        </w:rPr>
        <w:footnoteRef/>
      </w:r>
      <w:r w:rsidRPr="00E11858">
        <w:rPr>
          <w:lang w:val="it-IT"/>
        </w:rPr>
        <w:t xml:space="preserve"> Gabriel de </w:t>
      </w:r>
      <w:proofErr w:type="spellStart"/>
      <w:r w:rsidRPr="00E11858">
        <w:rPr>
          <w:lang w:val="it-IT"/>
        </w:rPr>
        <w:t>Labroue</w:t>
      </w:r>
      <w:proofErr w:type="spellEnd"/>
      <w:r w:rsidRPr="00E11858">
        <w:rPr>
          <w:lang w:val="it-IT"/>
        </w:rPr>
        <w:t xml:space="preserve"> de </w:t>
      </w:r>
      <w:proofErr w:type="spellStart"/>
      <w:r w:rsidRPr="00E11858">
        <w:rPr>
          <w:lang w:val="it-IT"/>
        </w:rPr>
        <w:t>Vareilles-Sommières</w:t>
      </w:r>
      <w:proofErr w:type="spellEnd"/>
      <w:r w:rsidRPr="00E11858">
        <w:rPr>
          <w:lang w:val="it-IT"/>
        </w:rPr>
        <w:t xml:space="preserve">, </w:t>
      </w:r>
      <w:r w:rsidRPr="00E11858">
        <w:rPr>
          <w:i/>
          <w:lang w:val="it-IT"/>
        </w:rPr>
        <w:t xml:space="preserve">M </w:t>
      </w:r>
      <w:proofErr w:type="spellStart"/>
      <w:r w:rsidRPr="00E11858">
        <w:rPr>
          <w:i/>
          <w:lang w:val="it-IT"/>
        </w:rPr>
        <w:t>Lainé</w:t>
      </w:r>
      <w:proofErr w:type="spellEnd"/>
      <w:r w:rsidRPr="00E11858">
        <w:rPr>
          <w:i/>
          <w:lang w:val="it-IT"/>
        </w:rPr>
        <w:t xml:space="preserve"> et </w:t>
      </w:r>
      <w:proofErr w:type="spellStart"/>
      <w:r w:rsidRPr="00E11858">
        <w:rPr>
          <w:i/>
          <w:lang w:val="it-IT"/>
        </w:rPr>
        <w:t>les</w:t>
      </w:r>
      <w:proofErr w:type="spellEnd"/>
      <w:r w:rsidRPr="00E11858">
        <w:rPr>
          <w:i/>
          <w:lang w:val="it-IT"/>
        </w:rPr>
        <w:t xml:space="preserve"> </w:t>
      </w:r>
      <w:proofErr w:type="spellStart"/>
      <w:r w:rsidRPr="00E11858">
        <w:rPr>
          <w:i/>
          <w:lang w:val="it-IT"/>
        </w:rPr>
        <w:t>lois</w:t>
      </w:r>
      <w:proofErr w:type="spellEnd"/>
      <w:r w:rsidRPr="00E11858">
        <w:rPr>
          <w:i/>
          <w:lang w:val="it-IT"/>
        </w:rPr>
        <w:t xml:space="preserve"> d’</w:t>
      </w:r>
      <w:proofErr w:type="spellStart"/>
      <w:r w:rsidRPr="00E11858">
        <w:rPr>
          <w:i/>
          <w:lang w:val="it-IT"/>
        </w:rPr>
        <w:t>ordre</w:t>
      </w:r>
      <w:proofErr w:type="spellEnd"/>
      <w:r w:rsidRPr="00E11858">
        <w:rPr>
          <w:i/>
          <w:lang w:val="it-IT"/>
        </w:rPr>
        <w:t xml:space="preserve"> public</w:t>
      </w:r>
      <w:r w:rsidRPr="00E11858">
        <w:rPr>
          <w:lang w:val="it-IT"/>
        </w:rPr>
        <w:t xml:space="preserve">, </w:t>
      </w:r>
      <w:proofErr w:type="spellStart"/>
      <w:r w:rsidRPr="00E11858">
        <w:rPr>
          <w:lang w:val="it-IT"/>
        </w:rPr>
        <w:t>Revue</w:t>
      </w:r>
      <w:proofErr w:type="spellEnd"/>
      <w:r w:rsidRPr="00E11858">
        <w:rPr>
          <w:lang w:val="it-IT"/>
        </w:rPr>
        <w:t xml:space="preserve"> de Lille 1903.</w:t>
      </w:r>
    </w:p>
  </w:footnote>
  <w:footnote w:id="3">
    <w:p w:rsidR="002E3F81" w:rsidRPr="000E6509" w:rsidRDefault="002E3F81" w:rsidP="004563CA">
      <w:pPr>
        <w:pStyle w:val="Testonotaapidipagina"/>
        <w:jc w:val="both"/>
        <w:rPr>
          <w:lang w:val="it-IT"/>
        </w:rPr>
      </w:pPr>
      <w:r>
        <w:rPr>
          <w:rStyle w:val="Rimandonotaapidipagina"/>
        </w:rPr>
        <w:footnoteRef/>
      </w:r>
      <w:r w:rsidRPr="000E6509">
        <w:rPr>
          <w:lang w:val="it-IT"/>
        </w:rPr>
        <w:t xml:space="preserve"> </w:t>
      </w:r>
      <w:proofErr w:type="spellStart"/>
      <w:r>
        <w:rPr>
          <w:lang w:val="it-IT"/>
        </w:rPr>
        <w:t>Malaurie</w:t>
      </w:r>
      <w:proofErr w:type="spellEnd"/>
      <w:r>
        <w:rPr>
          <w:lang w:val="it-IT"/>
        </w:rPr>
        <w:t xml:space="preserve"> P. </w:t>
      </w:r>
      <w:r>
        <w:rPr>
          <w:i/>
          <w:lang w:val="it-IT"/>
        </w:rPr>
        <w:t>L’</w:t>
      </w:r>
      <w:proofErr w:type="spellStart"/>
      <w:r>
        <w:rPr>
          <w:i/>
          <w:lang w:val="it-IT"/>
        </w:rPr>
        <w:t>ordre</w:t>
      </w:r>
      <w:proofErr w:type="spellEnd"/>
      <w:r>
        <w:rPr>
          <w:i/>
          <w:lang w:val="it-IT"/>
        </w:rPr>
        <w:t xml:space="preserve"> public et le </w:t>
      </w:r>
      <w:proofErr w:type="spellStart"/>
      <w:r>
        <w:rPr>
          <w:i/>
          <w:lang w:val="it-IT"/>
        </w:rPr>
        <w:t>contrat</w:t>
      </w:r>
      <w:proofErr w:type="spellEnd"/>
      <w:r>
        <w:rPr>
          <w:i/>
          <w:lang w:val="it-IT"/>
        </w:rPr>
        <w:t xml:space="preserve">, </w:t>
      </w:r>
      <w:proofErr w:type="spellStart"/>
      <w:r>
        <w:rPr>
          <w:i/>
          <w:lang w:val="it-IT"/>
        </w:rPr>
        <w:t>étude</w:t>
      </w:r>
      <w:proofErr w:type="spellEnd"/>
      <w:r>
        <w:rPr>
          <w:i/>
          <w:lang w:val="it-IT"/>
        </w:rPr>
        <w:t xml:space="preserve"> </w:t>
      </w:r>
      <w:proofErr w:type="spellStart"/>
      <w:r>
        <w:rPr>
          <w:i/>
          <w:lang w:val="it-IT"/>
        </w:rPr>
        <w:t>droit</w:t>
      </w:r>
      <w:proofErr w:type="spellEnd"/>
      <w:r>
        <w:rPr>
          <w:i/>
          <w:lang w:val="it-IT"/>
        </w:rPr>
        <w:t xml:space="preserve"> </w:t>
      </w:r>
      <w:proofErr w:type="spellStart"/>
      <w:r>
        <w:rPr>
          <w:i/>
          <w:lang w:val="it-IT"/>
        </w:rPr>
        <w:t>civil</w:t>
      </w:r>
      <w:proofErr w:type="spellEnd"/>
      <w:r>
        <w:rPr>
          <w:i/>
          <w:lang w:val="it-IT"/>
        </w:rPr>
        <w:t xml:space="preserve"> </w:t>
      </w:r>
      <w:proofErr w:type="spellStart"/>
      <w:r>
        <w:rPr>
          <w:i/>
          <w:lang w:val="it-IT"/>
        </w:rPr>
        <w:t>comparé</w:t>
      </w:r>
      <w:proofErr w:type="spellEnd"/>
      <w:r>
        <w:rPr>
          <w:i/>
          <w:lang w:val="it-IT"/>
        </w:rPr>
        <w:t xml:space="preserve">, Ed. </w:t>
      </w:r>
      <w:proofErr w:type="spellStart"/>
      <w:r>
        <w:rPr>
          <w:i/>
          <w:lang w:val="it-IT"/>
        </w:rPr>
        <w:t>Matot-Braine</w:t>
      </w:r>
      <w:proofErr w:type="spellEnd"/>
      <w:r w:rsidRPr="000E6509">
        <w:rPr>
          <w:lang w:val="it-IT"/>
        </w:rPr>
        <w:t>, 195</w:t>
      </w:r>
      <w:r>
        <w:rPr>
          <w:lang w:val="it-IT"/>
        </w:rPr>
        <w:t>3.</w:t>
      </w:r>
    </w:p>
  </w:footnote>
  <w:footnote w:id="4">
    <w:p w:rsidR="002E3F81" w:rsidRPr="008E1E63" w:rsidRDefault="002E3F81" w:rsidP="004563CA">
      <w:pPr>
        <w:pStyle w:val="Testonotaapidipagina"/>
        <w:jc w:val="both"/>
        <w:rPr>
          <w:lang w:val="it-IT"/>
        </w:rPr>
      </w:pPr>
      <w:r>
        <w:rPr>
          <w:rStyle w:val="Rimandonotaapidipagina"/>
        </w:rPr>
        <w:footnoteRef/>
      </w:r>
      <w:r w:rsidRPr="008E1E63">
        <w:rPr>
          <w:lang w:val="it-IT"/>
        </w:rPr>
        <w:t xml:space="preserve"> </w:t>
      </w:r>
      <w:proofErr w:type="spellStart"/>
      <w:r>
        <w:rPr>
          <w:lang w:val="it-IT"/>
        </w:rPr>
        <w:t>Farjat</w:t>
      </w:r>
      <w:proofErr w:type="spellEnd"/>
      <w:r>
        <w:rPr>
          <w:lang w:val="it-IT"/>
        </w:rPr>
        <w:t xml:space="preserve"> G</w:t>
      </w:r>
      <w:r w:rsidRPr="008E1E63">
        <w:rPr>
          <w:i/>
          <w:lang w:val="it-IT"/>
        </w:rPr>
        <w:t>., L’</w:t>
      </w:r>
      <w:proofErr w:type="spellStart"/>
      <w:r w:rsidRPr="008E1E63">
        <w:rPr>
          <w:i/>
          <w:lang w:val="it-IT"/>
        </w:rPr>
        <w:t>ordre</w:t>
      </w:r>
      <w:proofErr w:type="spellEnd"/>
      <w:r w:rsidRPr="008E1E63">
        <w:rPr>
          <w:i/>
          <w:lang w:val="it-IT"/>
        </w:rPr>
        <w:t xml:space="preserve"> public </w:t>
      </w:r>
      <w:proofErr w:type="spellStart"/>
      <w:r w:rsidRPr="008E1E63">
        <w:rPr>
          <w:i/>
          <w:lang w:val="it-IT"/>
        </w:rPr>
        <w:t>économique</w:t>
      </w:r>
      <w:proofErr w:type="spellEnd"/>
      <w:r>
        <w:rPr>
          <w:lang w:val="it-IT"/>
        </w:rPr>
        <w:t xml:space="preserve">, Parigi, 1963; per una ricostruzione dell’elaborazione dottrinale del concetto si veda Bianco G., </w:t>
      </w:r>
      <w:r>
        <w:rPr>
          <w:i/>
          <w:lang w:val="it-IT"/>
        </w:rPr>
        <w:t xml:space="preserve">Ordine pubblico economico, </w:t>
      </w:r>
      <w:r>
        <w:rPr>
          <w:lang w:val="it-IT"/>
        </w:rPr>
        <w:t>in Digesto, 2005.</w:t>
      </w:r>
    </w:p>
  </w:footnote>
  <w:footnote w:id="5">
    <w:p w:rsidR="002E3F81" w:rsidRPr="004563CA" w:rsidRDefault="002E3F81" w:rsidP="004563CA">
      <w:pPr>
        <w:pStyle w:val="Testonotaapidipagina"/>
        <w:jc w:val="both"/>
        <w:rPr>
          <w:lang w:val="it-IT"/>
        </w:rPr>
      </w:pPr>
      <w:r>
        <w:rPr>
          <w:rStyle w:val="Rimandonotaapidipagina"/>
        </w:rPr>
        <w:footnoteRef/>
      </w:r>
      <w:r w:rsidRPr="004563CA">
        <w:rPr>
          <w:lang w:val="it-IT"/>
        </w:rPr>
        <w:t xml:space="preserve"> </w:t>
      </w:r>
      <w:r>
        <w:rPr>
          <w:lang w:val="it-IT"/>
        </w:rPr>
        <w:t xml:space="preserve">Per una ricostruzione dell’elaborazione dottrinale del concetto si veda Bianco G., </w:t>
      </w:r>
      <w:r>
        <w:rPr>
          <w:i/>
          <w:lang w:val="it-IT"/>
        </w:rPr>
        <w:t xml:space="preserve">Ordine pubblico economico, </w:t>
      </w:r>
      <w:r>
        <w:rPr>
          <w:lang w:val="it-IT"/>
        </w:rPr>
        <w:t>in Digesto, 2005.</w:t>
      </w:r>
    </w:p>
  </w:footnote>
  <w:footnote w:id="6">
    <w:p w:rsidR="002E3F81" w:rsidRPr="00936DDA" w:rsidRDefault="002E3F81" w:rsidP="00205128">
      <w:pPr>
        <w:pStyle w:val="Testonotaapidipagina"/>
        <w:jc w:val="both"/>
        <w:rPr>
          <w:lang w:val="it-IT"/>
        </w:rPr>
      </w:pPr>
      <w:r>
        <w:rPr>
          <w:rStyle w:val="Rimandonotaapidipagina"/>
        </w:rPr>
        <w:footnoteRef/>
      </w:r>
      <w:r w:rsidRPr="00936DDA">
        <w:rPr>
          <w:lang w:val="it-IT"/>
        </w:rPr>
        <w:t xml:space="preserve"> </w:t>
      </w:r>
      <w:r>
        <w:rPr>
          <w:lang w:val="it-IT"/>
        </w:rPr>
        <w:t xml:space="preserve">Ferri G.B., </w:t>
      </w:r>
      <w:r w:rsidRPr="009862F3">
        <w:rPr>
          <w:i/>
          <w:lang w:val="it-IT"/>
        </w:rPr>
        <w:t xml:space="preserve">Ordine pubblico (dir. </w:t>
      </w:r>
      <w:proofErr w:type="spellStart"/>
      <w:r w:rsidRPr="009862F3">
        <w:rPr>
          <w:i/>
          <w:lang w:val="it-IT"/>
        </w:rPr>
        <w:t>priv</w:t>
      </w:r>
      <w:proofErr w:type="spellEnd"/>
      <w:r w:rsidRPr="009862F3">
        <w:rPr>
          <w:i/>
          <w:lang w:val="it-IT"/>
        </w:rPr>
        <w:t>.)</w:t>
      </w:r>
      <w:r>
        <w:rPr>
          <w:lang w:val="it-IT"/>
        </w:rPr>
        <w:t xml:space="preserve">, </w:t>
      </w:r>
      <w:proofErr w:type="gramStart"/>
      <w:r>
        <w:rPr>
          <w:lang w:val="it-IT"/>
        </w:rPr>
        <w:t>ED</w:t>
      </w:r>
      <w:proofErr w:type="gramEnd"/>
      <w:r>
        <w:rPr>
          <w:lang w:val="it-IT"/>
        </w:rPr>
        <w:t xml:space="preserve">, XXX, 1964. </w:t>
      </w:r>
    </w:p>
  </w:footnote>
  <w:footnote w:id="7">
    <w:p w:rsidR="002E3F81" w:rsidRPr="003E759A" w:rsidRDefault="002E3F81">
      <w:pPr>
        <w:pStyle w:val="Testonotaapidipagina"/>
        <w:rPr>
          <w:lang w:val="it-IT"/>
        </w:rPr>
      </w:pPr>
      <w:r>
        <w:rPr>
          <w:rStyle w:val="Rimandonotaapidipagina"/>
        </w:rPr>
        <w:footnoteRef/>
      </w:r>
      <w:r w:rsidRPr="003E759A">
        <w:rPr>
          <w:lang w:val="it-IT"/>
        </w:rPr>
        <w:t xml:space="preserve"> </w:t>
      </w:r>
      <w:r>
        <w:rPr>
          <w:lang w:val="it-IT"/>
        </w:rPr>
        <w:t xml:space="preserve">Per una accurata ricostruzione di questo percorso Corso G., </w:t>
      </w:r>
      <w:r>
        <w:rPr>
          <w:i/>
          <w:lang w:val="it-IT"/>
        </w:rPr>
        <w:t xml:space="preserve">Ordine pubblico (dir. </w:t>
      </w:r>
      <w:proofErr w:type="spellStart"/>
      <w:r>
        <w:rPr>
          <w:i/>
          <w:lang w:val="it-IT"/>
        </w:rPr>
        <w:t>pubbl</w:t>
      </w:r>
      <w:proofErr w:type="spellEnd"/>
      <w:r>
        <w:rPr>
          <w:i/>
          <w:lang w:val="it-IT"/>
        </w:rPr>
        <w:t xml:space="preserve">.), </w:t>
      </w:r>
      <w:proofErr w:type="gramStart"/>
      <w:r w:rsidRPr="009862F3">
        <w:rPr>
          <w:lang w:val="it-IT"/>
        </w:rPr>
        <w:t>ED</w:t>
      </w:r>
      <w:proofErr w:type="gramEnd"/>
      <w:r>
        <w:rPr>
          <w:lang w:val="it-IT"/>
        </w:rPr>
        <w:t>,</w:t>
      </w:r>
      <w:r w:rsidRPr="009862F3">
        <w:rPr>
          <w:lang w:val="it-IT"/>
        </w:rPr>
        <w:t xml:space="preserve"> XXX, 1980</w:t>
      </w:r>
      <w:r>
        <w:rPr>
          <w:lang w:val="it-IT"/>
        </w:rPr>
        <w:t xml:space="preserve">. </w:t>
      </w:r>
    </w:p>
  </w:footnote>
  <w:footnote w:id="8">
    <w:p w:rsidR="002E3F81" w:rsidRPr="009862F3" w:rsidRDefault="002E3F81">
      <w:pPr>
        <w:pStyle w:val="Testonotaapidipagina"/>
        <w:rPr>
          <w:lang w:val="it-IT"/>
        </w:rPr>
      </w:pPr>
      <w:r>
        <w:rPr>
          <w:rStyle w:val="Rimandonotaapidipagina"/>
        </w:rPr>
        <w:footnoteRef/>
      </w:r>
      <w:r w:rsidRPr="009862F3">
        <w:rPr>
          <w:lang w:val="it-IT"/>
        </w:rPr>
        <w:t xml:space="preserve"> </w:t>
      </w:r>
      <w:r>
        <w:rPr>
          <w:lang w:val="it-IT"/>
        </w:rPr>
        <w:t xml:space="preserve">Ferri G.B., </w:t>
      </w:r>
      <w:r w:rsidRPr="009862F3">
        <w:rPr>
          <w:i/>
          <w:lang w:val="it-IT"/>
        </w:rPr>
        <w:t xml:space="preserve">Ordine pubblico (dir. </w:t>
      </w:r>
      <w:proofErr w:type="spellStart"/>
      <w:r w:rsidRPr="009862F3">
        <w:rPr>
          <w:i/>
          <w:lang w:val="it-IT"/>
        </w:rPr>
        <w:t>priv</w:t>
      </w:r>
      <w:proofErr w:type="spellEnd"/>
      <w:r w:rsidRPr="009862F3">
        <w:rPr>
          <w:i/>
          <w:lang w:val="it-IT"/>
        </w:rPr>
        <w:t>.)</w:t>
      </w:r>
      <w:r>
        <w:rPr>
          <w:lang w:val="it-IT"/>
        </w:rPr>
        <w:t xml:space="preserve">, </w:t>
      </w:r>
      <w:proofErr w:type="gramStart"/>
      <w:r>
        <w:rPr>
          <w:lang w:val="it-IT"/>
        </w:rPr>
        <w:t>ED</w:t>
      </w:r>
      <w:proofErr w:type="gramEnd"/>
      <w:r>
        <w:rPr>
          <w:lang w:val="it-IT"/>
        </w:rPr>
        <w:t>, XXX, 1964.</w:t>
      </w:r>
    </w:p>
  </w:footnote>
  <w:footnote w:id="9">
    <w:p w:rsidR="002E3F81" w:rsidRPr="007A2DCB" w:rsidRDefault="002E3F81" w:rsidP="004563CA">
      <w:pPr>
        <w:pStyle w:val="Testonotaapidipagina"/>
        <w:jc w:val="both"/>
        <w:rPr>
          <w:lang w:val="it-IT"/>
        </w:rPr>
      </w:pPr>
      <w:r>
        <w:rPr>
          <w:rStyle w:val="Rimandonotaapidipagina"/>
        </w:rPr>
        <w:footnoteRef/>
      </w:r>
      <w:r w:rsidRPr="00BB3452">
        <w:rPr>
          <w:lang w:val="it-IT"/>
        </w:rPr>
        <w:t xml:space="preserve"> </w:t>
      </w:r>
      <w:r>
        <w:rPr>
          <w:lang w:val="it-IT"/>
        </w:rPr>
        <w:t xml:space="preserve">A mero titolo esemplificativo, nella seduta dell’assemblea costituente del 26 marzo 1947 l’onorevole Preti sottolineava la necessità di porre una cesura con il passato e contestava l’uso del concetto di “ordine pubblico “di cui si servì il governo fascista “per legittimare i propri soprusi e che domani potrebbe servire per consimili scopi”; egli auspicava che ci si liberasse “da una clausola ipocrita che significa, in pratica, arbitrio di polizia”; ancora il richiamo all’ordine pubblico venne espunto della disciplina della libertà di religione su istanza di </w:t>
      </w:r>
      <w:proofErr w:type="spellStart"/>
      <w:r>
        <w:rPr>
          <w:lang w:val="it-IT"/>
        </w:rPr>
        <w:t>Calamandrei</w:t>
      </w:r>
      <w:proofErr w:type="spellEnd"/>
      <w:r>
        <w:rPr>
          <w:lang w:val="it-IT"/>
        </w:rPr>
        <w:t xml:space="preserve">, che considerava il concetto troppo elastico e, come tale, pericoloso. </w:t>
      </w:r>
    </w:p>
  </w:footnote>
  <w:footnote w:id="10">
    <w:p w:rsidR="002E3F81" w:rsidRPr="00B30D0F" w:rsidRDefault="002E3F81" w:rsidP="00EA2245">
      <w:pPr>
        <w:pStyle w:val="Testonotaapidipagina"/>
        <w:jc w:val="both"/>
        <w:rPr>
          <w:lang w:val="it-IT"/>
        </w:rPr>
      </w:pPr>
      <w:r>
        <w:rPr>
          <w:rStyle w:val="Rimandonotaapidipagina"/>
        </w:rPr>
        <w:footnoteRef/>
      </w:r>
      <w:r w:rsidRPr="00BB3452">
        <w:rPr>
          <w:lang w:val="it-IT"/>
        </w:rPr>
        <w:t xml:space="preserve"> </w:t>
      </w:r>
      <w:r>
        <w:rPr>
          <w:lang w:val="it-IT"/>
        </w:rPr>
        <w:t>In tema di riparto di competenze si veda Corte Costituzionale 24 febbraio 2005 n. 95: “sin dalla sentenza n. 407 del 2002 questa Corte ha sempre ribadito che tale materia (</w:t>
      </w:r>
      <w:proofErr w:type="spellStart"/>
      <w:r w:rsidRPr="00EA2245">
        <w:rPr>
          <w:i/>
          <w:lang w:val="it-IT"/>
        </w:rPr>
        <w:t>ndr</w:t>
      </w:r>
      <w:proofErr w:type="spellEnd"/>
      <w:r>
        <w:rPr>
          <w:lang w:val="it-IT"/>
        </w:rPr>
        <w:t xml:space="preserve"> ordine pubblico) si riferisce all’adozione delle misure relative alla prevenzione dei reati ed al mantenimento dell’ordine pubblico”.</w:t>
      </w:r>
    </w:p>
  </w:footnote>
  <w:footnote w:id="11">
    <w:p w:rsidR="002E3F81" w:rsidRPr="00400075" w:rsidRDefault="002E3F81" w:rsidP="00400075">
      <w:pPr>
        <w:pStyle w:val="Testonotaapidipagina"/>
        <w:jc w:val="both"/>
        <w:rPr>
          <w:lang w:val="it-IT"/>
        </w:rPr>
      </w:pPr>
      <w:r>
        <w:rPr>
          <w:rStyle w:val="Rimandonotaapidipagina"/>
        </w:rPr>
        <w:footnoteRef/>
      </w:r>
      <w:r w:rsidRPr="00BB3452">
        <w:rPr>
          <w:lang w:val="it-IT"/>
        </w:rPr>
        <w:t xml:space="preserve"> </w:t>
      </w:r>
      <w:r>
        <w:rPr>
          <w:lang w:val="it-IT"/>
        </w:rPr>
        <w:t>Corte costituzionale n. 289 dell’8 settembre 2010: “lo stesso legislatore costituzionale ha opportunamente costituito tale libertà non come assoluta ma l’ha subordinata al vincolo costituito dal mancato contrasto, tra l’altro, con l’utilità sociale”.</w:t>
      </w:r>
    </w:p>
  </w:footnote>
  <w:footnote w:id="12">
    <w:p w:rsidR="002E3F81" w:rsidRPr="00E8209F" w:rsidRDefault="002E3F81" w:rsidP="00117840">
      <w:pPr>
        <w:pStyle w:val="Testonotaapidipagina"/>
        <w:jc w:val="both"/>
        <w:rPr>
          <w:lang w:val="it-IT"/>
        </w:rPr>
      </w:pPr>
      <w:r>
        <w:rPr>
          <w:rStyle w:val="Rimandonotaapidipagina"/>
        </w:rPr>
        <w:footnoteRef/>
      </w:r>
      <w:r w:rsidRPr="00BB3452">
        <w:rPr>
          <w:lang w:val="it-IT"/>
        </w:rPr>
        <w:t xml:space="preserve"> Si legge, ad esempio, nella pronuncia della </w:t>
      </w:r>
      <w:r>
        <w:rPr>
          <w:lang w:val="it-IT"/>
        </w:rPr>
        <w:t>Corte costituzionale n. 40 del 23 maggio 1964  che le disposizioni di carattere economico della Carta Costituzionale, siano esse afferenti la proprietà o la libera iniziativa economica, sono chiaramente ispirate da una logica unitaria della quale “la riserva di legge, pur senza che si possa negare una certa sua varia modulazione rappresenta sicuramente una costante” e che “i limiti previsti per l’iniziativa economica privata nel secondo comma dell’art. 41 e quelli previsti per la proprietà privata dal secondo comma dell’art. 42 sono di identica portata e sono entrambe di quelli che non precludono alla legge la possibilità di deferire, purché con adeguata specificazione, ad autorità amministrative particolari poteri di incidenza nel campo dei diritti economici, garantiti dai due menzionati articoli”.</w:t>
      </w:r>
    </w:p>
  </w:footnote>
  <w:footnote w:id="13">
    <w:p w:rsidR="002E3F81" w:rsidRPr="00BA007E" w:rsidRDefault="002E3F81" w:rsidP="006D03B7">
      <w:pPr>
        <w:pStyle w:val="Testonotaapidipagina"/>
        <w:jc w:val="both"/>
        <w:rPr>
          <w:rFonts w:ascii="Garamond" w:hAnsi="Garamond"/>
          <w:sz w:val="16"/>
          <w:szCs w:val="16"/>
          <w:lang w:val="it-IT"/>
        </w:rPr>
      </w:pPr>
      <w:r>
        <w:rPr>
          <w:rStyle w:val="Rimandonotaapidipagina"/>
        </w:rPr>
        <w:footnoteRef/>
      </w:r>
      <w:r w:rsidRPr="006D03B7">
        <w:rPr>
          <w:lang w:val="it-IT"/>
        </w:rPr>
        <w:t xml:space="preserve"> </w:t>
      </w:r>
      <w:r w:rsidRPr="00BA007E">
        <w:rPr>
          <w:rFonts w:ascii="Garamond" w:hAnsi="Garamond"/>
          <w:sz w:val="16"/>
          <w:szCs w:val="16"/>
          <w:lang w:val="it-IT"/>
        </w:rPr>
        <w:t>Comunicazione della Commissione europea COM (2010) intitolata “Europa 2020: una strategia per una crescita intelligente, sostenibile e inclusiva</w:t>
      </w:r>
      <w:r>
        <w:rPr>
          <w:rFonts w:ascii="Garamond" w:hAnsi="Garamond"/>
          <w:sz w:val="16"/>
          <w:szCs w:val="16"/>
          <w:lang w:val="it-IT"/>
        </w:rPr>
        <w:t xml:space="preserve"> del 3 marzo 2010; ancora il considerando n. 2 della direttiva 2014/24/Ue recita: </w:t>
      </w:r>
      <w:r>
        <w:rPr>
          <w:rFonts w:ascii="Garamond" w:hAnsi="Garamond"/>
          <w:bCs/>
          <w:lang w:val="it-IT"/>
        </w:rPr>
        <w:t>“</w:t>
      </w:r>
      <w:r>
        <w:rPr>
          <w:rFonts w:ascii="Garamond" w:hAnsi="Garamond"/>
          <w:lang w:val="it-IT"/>
        </w:rPr>
        <w:t>g</w:t>
      </w:r>
      <w:r w:rsidRPr="00402361">
        <w:rPr>
          <w:rFonts w:ascii="Garamond" w:hAnsi="Garamond"/>
          <w:lang w:val="it-IT"/>
        </w:rPr>
        <w:t>li appalti pubblici svolgono un ruolo fondament</w:t>
      </w:r>
      <w:r>
        <w:rPr>
          <w:rFonts w:ascii="Garamond" w:hAnsi="Garamond"/>
          <w:lang w:val="it-IT"/>
        </w:rPr>
        <w:t>ale nella strategia Europa 2020…</w:t>
      </w:r>
      <w:r w:rsidRPr="00402361">
        <w:rPr>
          <w:rFonts w:ascii="Garamond" w:hAnsi="Garamond"/>
          <w:lang w:val="it-IT"/>
        </w:rPr>
        <w:t xml:space="preserve">, in quanto costituiscono uno degli strumenti basati sul mercato necessari alla realizzazione di una </w:t>
      </w:r>
      <w:r w:rsidRPr="00A61DB5">
        <w:rPr>
          <w:rFonts w:ascii="Garamond" w:hAnsi="Garamond"/>
          <w:b/>
          <w:lang w:val="it-IT"/>
        </w:rPr>
        <w:t xml:space="preserve">crescita intelligente, sostenibile e inclusiva </w:t>
      </w:r>
      <w:r w:rsidRPr="00402361">
        <w:rPr>
          <w:rFonts w:ascii="Garamond" w:hAnsi="Garamond"/>
          <w:lang w:val="it-IT"/>
        </w:rPr>
        <w:t>garantendo contemporaneamente l’uso più efficiente possibile dei finanziamenti pubblici. A tal fine, la normativa sugli appalti adottata ai sensi della direttiva 2004/17/CE del Parlamento europeo e d</w:t>
      </w:r>
      <w:r>
        <w:rPr>
          <w:rFonts w:ascii="Garamond" w:hAnsi="Garamond"/>
          <w:lang w:val="it-IT"/>
        </w:rPr>
        <w:t>el Consiglio</w:t>
      </w:r>
      <w:r w:rsidRPr="00402361">
        <w:rPr>
          <w:rFonts w:ascii="Garamond" w:hAnsi="Garamond"/>
          <w:lang w:val="it-IT"/>
        </w:rPr>
        <w:t xml:space="preserve"> e della direttiva 2004/18/CE del Parlam</w:t>
      </w:r>
      <w:r>
        <w:rPr>
          <w:rFonts w:ascii="Garamond" w:hAnsi="Garamond"/>
          <w:lang w:val="it-IT"/>
        </w:rPr>
        <w:t>ento europeo e del Consiglio</w:t>
      </w:r>
      <w:r w:rsidRPr="00402361">
        <w:rPr>
          <w:rFonts w:ascii="Garamond" w:hAnsi="Garamond"/>
          <w:lang w:val="it-IT"/>
        </w:rPr>
        <w:t xml:space="preserve"> dovrebbe essere rivista e aggiornata in modo da accrescere l’efficienza della spesa pubblica, facilitando in particolare la partecipazione delle piccole e medie imprese (PMI) agli appalti pubblici e permettendo ai committenti di farne un miglior uso per sostenere il conseguimento di obiettivi condivisi a valenza sociale</w:t>
      </w:r>
    </w:p>
    <w:p w:rsidR="002E3F81" w:rsidRPr="006D03B7" w:rsidRDefault="002E3F81">
      <w:pPr>
        <w:pStyle w:val="Testonotaapidipagina"/>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2BB1"/>
    <w:multiLevelType w:val="hybridMultilevel"/>
    <w:tmpl w:val="C1185618"/>
    <w:lvl w:ilvl="0" w:tplc="18A2561C">
      <w:start w:val="1"/>
      <w:numFmt w:val="decimal"/>
      <w:lvlText w:val="%1."/>
      <w:lvlJc w:val="left"/>
      <w:pPr>
        <w:ind w:left="720" w:hanging="360"/>
      </w:pPr>
      <w:rPr>
        <w:rFonts w:hint="default"/>
        <w:color w:val="68686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987BED"/>
    <w:multiLevelType w:val="hybridMultilevel"/>
    <w:tmpl w:val="9AC4F8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7221CB"/>
    <w:multiLevelType w:val="hybridMultilevel"/>
    <w:tmpl w:val="5DD677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537896"/>
    <w:multiLevelType w:val="hybridMultilevel"/>
    <w:tmpl w:val="031453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A3429DD"/>
    <w:multiLevelType w:val="hybridMultilevel"/>
    <w:tmpl w:val="766800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81D4B46"/>
    <w:multiLevelType w:val="hybridMultilevel"/>
    <w:tmpl w:val="7194A298"/>
    <w:lvl w:ilvl="0" w:tplc="6880587E">
      <w:start w:val="1"/>
      <w:numFmt w:val="decimal"/>
      <w:lvlText w:val="%1."/>
      <w:lvlJc w:val="left"/>
      <w:pPr>
        <w:ind w:left="720" w:hanging="360"/>
      </w:pPr>
      <w:rPr>
        <w:rFonts w:hint="default"/>
        <w:b/>
        <w:color w:val="68686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C4875EA"/>
    <w:multiLevelType w:val="multilevel"/>
    <w:tmpl w:val="A2C87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BD5"/>
    <w:rsid w:val="00036351"/>
    <w:rsid w:val="000407DE"/>
    <w:rsid w:val="00092CBB"/>
    <w:rsid w:val="000A4E55"/>
    <w:rsid w:val="000C7053"/>
    <w:rsid w:val="000D18B9"/>
    <w:rsid w:val="000E6509"/>
    <w:rsid w:val="000F041F"/>
    <w:rsid w:val="000F52DA"/>
    <w:rsid w:val="00104F66"/>
    <w:rsid w:val="001066A3"/>
    <w:rsid w:val="00107D56"/>
    <w:rsid w:val="00117840"/>
    <w:rsid w:val="001450C4"/>
    <w:rsid w:val="001725F2"/>
    <w:rsid w:val="00175912"/>
    <w:rsid w:val="00187907"/>
    <w:rsid w:val="001B1B43"/>
    <w:rsid w:val="001B74E9"/>
    <w:rsid w:val="001C1C57"/>
    <w:rsid w:val="001C7A29"/>
    <w:rsid w:val="001E4E5B"/>
    <w:rsid w:val="001E7CFF"/>
    <w:rsid w:val="001F65EB"/>
    <w:rsid w:val="00203463"/>
    <w:rsid w:val="00205128"/>
    <w:rsid w:val="00211A66"/>
    <w:rsid w:val="00230641"/>
    <w:rsid w:val="00230680"/>
    <w:rsid w:val="00234A7D"/>
    <w:rsid w:val="00234FB6"/>
    <w:rsid w:val="00283C7C"/>
    <w:rsid w:val="00285285"/>
    <w:rsid w:val="002D039D"/>
    <w:rsid w:val="002E2160"/>
    <w:rsid w:val="002E3F81"/>
    <w:rsid w:val="002E797E"/>
    <w:rsid w:val="00307AB1"/>
    <w:rsid w:val="00310080"/>
    <w:rsid w:val="0031596F"/>
    <w:rsid w:val="00343451"/>
    <w:rsid w:val="00370CB2"/>
    <w:rsid w:val="00383E48"/>
    <w:rsid w:val="003D13B7"/>
    <w:rsid w:val="003E759A"/>
    <w:rsid w:val="003F660B"/>
    <w:rsid w:val="00400075"/>
    <w:rsid w:val="00413FA0"/>
    <w:rsid w:val="00432CEC"/>
    <w:rsid w:val="004563CA"/>
    <w:rsid w:val="00460316"/>
    <w:rsid w:val="00476045"/>
    <w:rsid w:val="00490EEF"/>
    <w:rsid w:val="0049134E"/>
    <w:rsid w:val="00495250"/>
    <w:rsid w:val="004B24EB"/>
    <w:rsid w:val="004B2E11"/>
    <w:rsid w:val="004B5CCD"/>
    <w:rsid w:val="004D5461"/>
    <w:rsid w:val="004D6ED1"/>
    <w:rsid w:val="004F504A"/>
    <w:rsid w:val="004F6E28"/>
    <w:rsid w:val="00521C44"/>
    <w:rsid w:val="005220EF"/>
    <w:rsid w:val="00543FA5"/>
    <w:rsid w:val="00567EED"/>
    <w:rsid w:val="005741DE"/>
    <w:rsid w:val="005803FB"/>
    <w:rsid w:val="0058492F"/>
    <w:rsid w:val="00597466"/>
    <w:rsid w:val="005A05EB"/>
    <w:rsid w:val="005A1DB4"/>
    <w:rsid w:val="005A4FAD"/>
    <w:rsid w:val="005A5730"/>
    <w:rsid w:val="005B3690"/>
    <w:rsid w:val="005D480D"/>
    <w:rsid w:val="005E6804"/>
    <w:rsid w:val="005E71C8"/>
    <w:rsid w:val="00610BD9"/>
    <w:rsid w:val="00633409"/>
    <w:rsid w:val="00641EAB"/>
    <w:rsid w:val="00686E82"/>
    <w:rsid w:val="006A59AA"/>
    <w:rsid w:val="006B5281"/>
    <w:rsid w:val="006D03B7"/>
    <w:rsid w:val="006D4FCA"/>
    <w:rsid w:val="006F770E"/>
    <w:rsid w:val="007129D6"/>
    <w:rsid w:val="00750D9C"/>
    <w:rsid w:val="007746C6"/>
    <w:rsid w:val="007758D9"/>
    <w:rsid w:val="00787363"/>
    <w:rsid w:val="0079465E"/>
    <w:rsid w:val="007A2DCB"/>
    <w:rsid w:val="007E4C32"/>
    <w:rsid w:val="007E7148"/>
    <w:rsid w:val="00800170"/>
    <w:rsid w:val="00843359"/>
    <w:rsid w:val="008444F3"/>
    <w:rsid w:val="00897852"/>
    <w:rsid w:val="008C4805"/>
    <w:rsid w:val="008C5A2E"/>
    <w:rsid w:val="008C6F6B"/>
    <w:rsid w:val="008E0FF2"/>
    <w:rsid w:val="008E1E63"/>
    <w:rsid w:val="008E3E83"/>
    <w:rsid w:val="00930778"/>
    <w:rsid w:val="009355D2"/>
    <w:rsid w:val="00936DDA"/>
    <w:rsid w:val="009843FC"/>
    <w:rsid w:val="009862F3"/>
    <w:rsid w:val="00991407"/>
    <w:rsid w:val="009979C8"/>
    <w:rsid w:val="009A29ED"/>
    <w:rsid w:val="009C66EE"/>
    <w:rsid w:val="009D21CB"/>
    <w:rsid w:val="009E3F26"/>
    <w:rsid w:val="009F132B"/>
    <w:rsid w:val="00A00302"/>
    <w:rsid w:val="00A02157"/>
    <w:rsid w:val="00A0635A"/>
    <w:rsid w:val="00A16F7F"/>
    <w:rsid w:val="00A21554"/>
    <w:rsid w:val="00A21D83"/>
    <w:rsid w:val="00A22F3D"/>
    <w:rsid w:val="00A26158"/>
    <w:rsid w:val="00A518C2"/>
    <w:rsid w:val="00A561C5"/>
    <w:rsid w:val="00A576DC"/>
    <w:rsid w:val="00A828BD"/>
    <w:rsid w:val="00A94113"/>
    <w:rsid w:val="00AA2428"/>
    <w:rsid w:val="00AA4B88"/>
    <w:rsid w:val="00AB155C"/>
    <w:rsid w:val="00AB432C"/>
    <w:rsid w:val="00AF161C"/>
    <w:rsid w:val="00B30D0F"/>
    <w:rsid w:val="00B322E7"/>
    <w:rsid w:val="00B543EC"/>
    <w:rsid w:val="00B54ADB"/>
    <w:rsid w:val="00BB3452"/>
    <w:rsid w:val="00BC0D86"/>
    <w:rsid w:val="00BD35E4"/>
    <w:rsid w:val="00C46D2B"/>
    <w:rsid w:val="00C538D1"/>
    <w:rsid w:val="00C7392F"/>
    <w:rsid w:val="00C7640B"/>
    <w:rsid w:val="00C869B5"/>
    <w:rsid w:val="00C94956"/>
    <w:rsid w:val="00CA4CB8"/>
    <w:rsid w:val="00CD2983"/>
    <w:rsid w:val="00D0725B"/>
    <w:rsid w:val="00D25AB7"/>
    <w:rsid w:val="00D42A76"/>
    <w:rsid w:val="00D45393"/>
    <w:rsid w:val="00D4568D"/>
    <w:rsid w:val="00D50E1A"/>
    <w:rsid w:val="00D83033"/>
    <w:rsid w:val="00D9027C"/>
    <w:rsid w:val="00D94AF5"/>
    <w:rsid w:val="00DC7748"/>
    <w:rsid w:val="00DD37BC"/>
    <w:rsid w:val="00DD44C2"/>
    <w:rsid w:val="00E11858"/>
    <w:rsid w:val="00E17858"/>
    <w:rsid w:val="00E179DA"/>
    <w:rsid w:val="00E42307"/>
    <w:rsid w:val="00E62C01"/>
    <w:rsid w:val="00E8209F"/>
    <w:rsid w:val="00E92A1B"/>
    <w:rsid w:val="00EA0412"/>
    <w:rsid w:val="00EA2245"/>
    <w:rsid w:val="00EA4C22"/>
    <w:rsid w:val="00EC5142"/>
    <w:rsid w:val="00EF4A5E"/>
    <w:rsid w:val="00F149B7"/>
    <w:rsid w:val="00F20E54"/>
    <w:rsid w:val="00F24E67"/>
    <w:rsid w:val="00F25361"/>
    <w:rsid w:val="00F31D97"/>
    <w:rsid w:val="00F55E7F"/>
    <w:rsid w:val="00F743C4"/>
    <w:rsid w:val="00F74880"/>
    <w:rsid w:val="00F86FE8"/>
    <w:rsid w:val="00FA07B8"/>
    <w:rsid w:val="00FA11F5"/>
    <w:rsid w:val="00FB1CAB"/>
    <w:rsid w:val="00FB1F16"/>
    <w:rsid w:val="00FC3C16"/>
    <w:rsid w:val="00FD4BD5"/>
    <w:rsid w:val="00FE4A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317E"/>
  <w15:chartTrackingRefBased/>
  <w15:docId w15:val="{F33C156A-1EB4-441E-AF13-B7A1725F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62C01"/>
    <w:rPr>
      <w:lang w:val="en-GB"/>
    </w:rPr>
  </w:style>
  <w:style w:type="paragraph" w:styleId="Titolo2">
    <w:name w:val="heading 2"/>
    <w:basedOn w:val="Normale"/>
    <w:link w:val="Titolo2Carattere"/>
    <w:uiPriority w:val="9"/>
    <w:qFormat/>
    <w:rsid w:val="00495250"/>
    <w:pPr>
      <w:spacing w:before="100" w:beforeAutospacing="1" w:after="100" w:afterAutospacing="1" w:line="240" w:lineRule="auto"/>
      <w:outlineLvl w:val="1"/>
    </w:pPr>
    <w:rPr>
      <w:rFonts w:ascii="Times New Roman" w:eastAsia="Times New Roman" w:hAnsi="Times New Roman" w:cs="Times New Roman"/>
      <w:b/>
      <w:bCs/>
      <w:sz w:val="36"/>
      <w:szCs w:val="3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A561C5"/>
    <w:rPr>
      <w:i/>
      <w:iCs/>
    </w:rPr>
  </w:style>
  <w:style w:type="character" w:customStyle="1" w:styleId="Titolo2Carattere">
    <w:name w:val="Titolo 2 Carattere"/>
    <w:basedOn w:val="Carpredefinitoparagrafo"/>
    <w:link w:val="Titolo2"/>
    <w:uiPriority w:val="9"/>
    <w:rsid w:val="00495250"/>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495250"/>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Paragrafoelenco">
    <w:name w:val="List Paragraph"/>
    <w:basedOn w:val="Normale"/>
    <w:uiPriority w:val="34"/>
    <w:qFormat/>
    <w:rsid w:val="00F20E54"/>
    <w:pPr>
      <w:ind w:left="720"/>
      <w:contextualSpacing/>
    </w:pPr>
  </w:style>
  <w:style w:type="paragraph" w:customStyle="1" w:styleId="s9793a85b">
    <w:name w:val="s9793a85b"/>
    <w:basedOn w:val="Normale"/>
    <w:rsid w:val="005803F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sbb9ee52a">
    <w:name w:val="sbb9ee52a"/>
    <w:basedOn w:val="Carpredefinitoparagrafo"/>
    <w:rsid w:val="005803FB"/>
  </w:style>
  <w:style w:type="paragraph" w:customStyle="1" w:styleId="se8eb5753">
    <w:name w:val="se8eb5753"/>
    <w:basedOn w:val="Normale"/>
    <w:rsid w:val="005803F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s6bbacbd8">
    <w:name w:val="s6bbacbd8"/>
    <w:basedOn w:val="Normale"/>
    <w:rsid w:val="005803F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seee3ce35">
    <w:name w:val="seee3ce35"/>
    <w:basedOn w:val="Normale"/>
    <w:rsid w:val="005803F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s160bbe39">
    <w:name w:val="s160bbe39"/>
    <w:basedOn w:val="Normale"/>
    <w:rsid w:val="005803F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s451a1bf5">
    <w:name w:val="s451a1bf5"/>
    <w:basedOn w:val="Normale"/>
    <w:rsid w:val="005803F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sa36b60a1">
    <w:name w:val="sa36b60a1"/>
    <w:basedOn w:val="Carpredefinitoparagrafo"/>
    <w:rsid w:val="005803FB"/>
  </w:style>
  <w:style w:type="character" w:customStyle="1" w:styleId="highlight">
    <w:name w:val="highlight"/>
    <w:basedOn w:val="Carpredefinitoparagrafo"/>
    <w:rsid w:val="009979C8"/>
  </w:style>
  <w:style w:type="character" w:styleId="Collegamentoipertestuale">
    <w:name w:val="Hyperlink"/>
    <w:basedOn w:val="Carpredefinitoparagrafo"/>
    <w:uiPriority w:val="99"/>
    <w:semiHidden/>
    <w:unhideWhenUsed/>
    <w:rsid w:val="009979C8"/>
    <w:rPr>
      <w:color w:val="0000FF"/>
      <w:u w:val="single"/>
    </w:rPr>
  </w:style>
  <w:style w:type="paragraph" w:styleId="Testofumetto">
    <w:name w:val="Balloon Text"/>
    <w:basedOn w:val="Normale"/>
    <w:link w:val="TestofumettoCarattere"/>
    <w:uiPriority w:val="99"/>
    <w:semiHidden/>
    <w:unhideWhenUsed/>
    <w:rsid w:val="00104F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4F66"/>
    <w:rPr>
      <w:rFonts w:ascii="Segoe UI" w:hAnsi="Segoe UI" w:cs="Segoe UI"/>
      <w:sz w:val="18"/>
      <w:szCs w:val="18"/>
      <w:lang w:val="en-GB"/>
    </w:rPr>
  </w:style>
  <w:style w:type="paragraph" w:styleId="Testonotaapidipagina">
    <w:name w:val="footnote text"/>
    <w:basedOn w:val="Normale"/>
    <w:link w:val="TestonotaapidipaginaCarattere"/>
    <w:uiPriority w:val="99"/>
    <w:unhideWhenUsed/>
    <w:rsid w:val="00AB155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B155C"/>
    <w:rPr>
      <w:sz w:val="20"/>
      <w:szCs w:val="20"/>
      <w:lang w:val="en-GB"/>
    </w:rPr>
  </w:style>
  <w:style w:type="character" w:styleId="Rimandonotaapidipagina">
    <w:name w:val="footnote reference"/>
    <w:basedOn w:val="Carpredefinitoparagrafo"/>
    <w:uiPriority w:val="99"/>
    <w:semiHidden/>
    <w:unhideWhenUsed/>
    <w:rsid w:val="00AB155C"/>
    <w:rPr>
      <w:vertAlign w:val="superscript"/>
    </w:rPr>
  </w:style>
  <w:style w:type="paragraph" w:customStyle="1" w:styleId="dt">
    <w:name w:val="dt"/>
    <w:basedOn w:val="Normale"/>
    <w:rsid w:val="00A21554"/>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Normale1">
    <w:name w:val="Normale1"/>
    <w:basedOn w:val="Normale"/>
    <w:rsid w:val="00543FA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count">
    <w:name w:val="count"/>
    <w:basedOn w:val="Normale"/>
    <w:rsid w:val="00543FA5"/>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30497">
      <w:bodyDiv w:val="1"/>
      <w:marLeft w:val="0"/>
      <w:marRight w:val="0"/>
      <w:marTop w:val="0"/>
      <w:marBottom w:val="0"/>
      <w:divBdr>
        <w:top w:val="none" w:sz="0" w:space="0" w:color="auto"/>
        <w:left w:val="none" w:sz="0" w:space="0" w:color="auto"/>
        <w:bottom w:val="none" w:sz="0" w:space="0" w:color="auto"/>
        <w:right w:val="none" w:sz="0" w:space="0" w:color="auto"/>
      </w:divBdr>
    </w:div>
    <w:div w:id="620651394">
      <w:bodyDiv w:val="1"/>
      <w:marLeft w:val="0"/>
      <w:marRight w:val="0"/>
      <w:marTop w:val="0"/>
      <w:marBottom w:val="0"/>
      <w:divBdr>
        <w:top w:val="none" w:sz="0" w:space="0" w:color="auto"/>
        <w:left w:val="none" w:sz="0" w:space="0" w:color="auto"/>
        <w:bottom w:val="none" w:sz="0" w:space="0" w:color="auto"/>
        <w:right w:val="none" w:sz="0" w:space="0" w:color="auto"/>
      </w:divBdr>
    </w:div>
    <w:div w:id="794983099">
      <w:bodyDiv w:val="1"/>
      <w:marLeft w:val="0"/>
      <w:marRight w:val="0"/>
      <w:marTop w:val="0"/>
      <w:marBottom w:val="0"/>
      <w:divBdr>
        <w:top w:val="none" w:sz="0" w:space="0" w:color="auto"/>
        <w:left w:val="none" w:sz="0" w:space="0" w:color="auto"/>
        <w:bottom w:val="none" w:sz="0" w:space="0" w:color="auto"/>
        <w:right w:val="none" w:sz="0" w:space="0" w:color="auto"/>
      </w:divBdr>
    </w:div>
    <w:div w:id="800457601">
      <w:bodyDiv w:val="1"/>
      <w:marLeft w:val="0"/>
      <w:marRight w:val="0"/>
      <w:marTop w:val="0"/>
      <w:marBottom w:val="0"/>
      <w:divBdr>
        <w:top w:val="none" w:sz="0" w:space="0" w:color="auto"/>
        <w:left w:val="none" w:sz="0" w:space="0" w:color="auto"/>
        <w:bottom w:val="none" w:sz="0" w:space="0" w:color="auto"/>
        <w:right w:val="none" w:sz="0" w:space="0" w:color="auto"/>
      </w:divBdr>
      <w:divsChild>
        <w:div w:id="2115665478">
          <w:marLeft w:val="0"/>
          <w:marRight w:val="0"/>
          <w:marTop w:val="300"/>
          <w:marBottom w:val="0"/>
          <w:divBdr>
            <w:top w:val="none" w:sz="0" w:space="0" w:color="auto"/>
            <w:left w:val="none" w:sz="0" w:space="0" w:color="auto"/>
            <w:bottom w:val="none" w:sz="0" w:space="0" w:color="auto"/>
            <w:right w:val="none" w:sz="0" w:space="0" w:color="auto"/>
          </w:divBdr>
          <w:divsChild>
            <w:div w:id="168493059">
              <w:marLeft w:val="0"/>
              <w:marRight w:val="0"/>
              <w:marTop w:val="0"/>
              <w:marBottom w:val="0"/>
              <w:divBdr>
                <w:top w:val="none" w:sz="0" w:space="0" w:color="auto"/>
                <w:left w:val="none" w:sz="0" w:space="0" w:color="auto"/>
                <w:bottom w:val="none" w:sz="0" w:space="0" w:color="auto"/>
                <w:right w:val="none" w:sz="0" w:space="0" w:color="auto"/>
              </w:divBdr>
            </w:div>
          </w:divsChild>
        </w:div>
        <w:div w:id="1856339081">
          <w:marLeft w:val="0"/>
          <w:marRight w:val="0"/>
          <w:marTop w:val="0"/>
          <w:marBottom w:val="0"/>
          <w:divBdr>
            <w:top w:val="none" w:sz="0" w:space="0" w:color="auto"/>
            <w:left w:val="none" w:sz="0" w:space="0" w:color="auto"/>
            <w:bottom w:val="none" w:sz="0" w:space="0" w:color="auto"/>
            <w:right w:val="none" w:sz="0" w:space="0" w:color="auto"/>
          </w:divBdr>
          <w:divsChild>
            <w:div w:id="19326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9651">
      <w:bodyDiv w:val="1"/>
      <w:marLeft w:val="0"/>
      <w:marRight w:val="0"/>
      <w:marTop w:val="0"/>
      <w:marBottom w:val="0"/>
      <w:divBdr>
        <w:top w:val="none" w:sz="0" w:space="0" w:color="auto"/>
        <w:left w:val="none" w:sz="0" w:space="0" w:color="auto"/>
        <w:bottom w:val="none" w:sz="0" w:space="0" w:color="auto"/>
        <w:right w:val="none" w:sz="0" w:space="0" w:color="auto"/>
      </w:divBdr>
    </w:div>
    <w:div w:id="1276641418">
      <w:bodyDiv w:val="1"/>
      <w:marLeft w:val="0"/>
      <w:marRight w:val="0"/>
      <w:marTop w:val="0"/>
      <w:marBottom w:val="0"/>
      <w:divBdr>
        <w:top w:val="none" w:sz="0" w:space="0" w:color="auto"/>
        <w:left w:val="none" w:sz="0" w:space="0" w:color="auto"/>
        <w:bottom w:val="none" w:sz="0" w:space="0" w:color="auto"/>
        <w:right w:val="none" w:sz="0" w:space="0" w:color="auto"/>
      </w:divBdr>
    </w:div>
    <w:div w:id="1657415588">
      <w:bodyDiv w:val="1"/>
      <w:marLeft w:val="0"/>
      <w:marRight w:val="0"/>
      <w:marTop w:val="0"/>
      <w:marBottom w:val="0"/>
      <w:divBdr>
        <w:top w:val="none" w:sz="0" w:space="0" w:color="auto"/>
        <w:left w:val="none" w:sz="0" w:space="0" w:color="auto"/>
        <w:bottom w:val="none" w:sz="0" w:space="0" w:color="auto"/>
        <w:right w:val="none" w:sz="0" w:space="0" w:color="auto"/>
      </w:divBdr>
    </w:div>
    <w:div w:id="1930693201">
      <w:bodyDiv w:val="1"/>
      <w:marLeft w:val="0"/>
      <w:marRight w:val="0"/>
      <w:marTop w:val="0"/>
      <w:marBottom w:val="0"/>
      <w:divBdr>
        <w:top w:val="none" w:sz="0" w:space="0" w:color="auto"/>
        <w:left w:val="none" w:sz="0" w:space="0" w:color="auto"/>
        <w:bottom w:val="none" w:sz="0" w:space="0" w:color="auto"/>
        <w:right w:val="none" w:sz="0" w:space="0" w:color="auto"/>
      </w:divBdr>
    </w:div>
    <w:div w:id="1978535169">
      <w:bodyDiv w:val="1"/>
      <w:marLeft w:val="0"/>
      <w:marRight w:val="0"/>
      <w:marTop w:val="0"/>
      <w:marBottom w:val="0"/>
      <w:divBdr>
        <w:top w:val="none" w:sz="0" w:space="0" w:color="auto"/>
        <w:left w:val="none" w:sz="0" w:space="0" w:color="auto"/>
        <w:bottom w:val="none" w:sz="0" w:space="0" w:color="auto"/>
        <w:right w:val="none" w:sz="0" w:space="0" w:color="auto"/>
      </w:divBdr>
    </w:div>
    <w:div w:id="2073963876">
      <w:bodyDiv w:val="1"/>
      <w:marLeft w:val="0"/>
      <w:marRight w:val="0"/>
      <w:marTop w:val="0"/>
      <w:marBottom w:val="0"/>
      <w:divBdr>
        <w:top w:val="none" w:sz="0" w:space="0" w:color="auto"/>
        <w:left w:val="none" w:sz="0" w:space="0" w:color="auto"/>
        <w:bottom w:val="none" w:sz="0" w:space="0" w:color="auto"/>
        <w:right w:val="none" w:sz="0" w:space="0" w:color="auto"/>
      </w:divBdr>
    </w:div>
    <w:div w:id="210823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hudoc.echr.coe.int/eng" TargetMode="External"/><Relationship Id="rId7" Type="http://schemas.openxmlformats.org/officeDocument/2006/relationships/endnotes" Target="endnotes.xml"/><Relationship Id="rId12"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24" Type="http://schemas.openxmlformats.org/officeDocument/2006/relationships/hyperlink" Target="https://eur-lex.europa.eu/legal-content/redirect/?urn=ecli:ECLI%3AEU%3AC%3A2009%3A808&amp;lang=IT&amp;format=html&amp;target=CourtTab&amp;anchor=" TargetMode="External"/><Relationship Id="rId5" Type="http://schemas.openxmlformats.org/officeDocument/2006/relationships/webSettings" Target="webSettings.xml"/><Relationship Id="rId15" Type="http://schemas.openxmlformats.org/officeDocument/2006/relationships/hyperlink" Target="https://hudoc.echr.coe.int/eng" TargetMode="External"/><Relationship Id="rId23" Type="http://schemas.openxmlformats.org/officeDocument/2006/relationships/hyperlink" Target="https://eur-lex.europa.eu/legal-content/redirect/?urn=ecli:ECLI%3AEU%3AC%3A2009%3A808&amp;lang=IT&amp;format=pdf&amp;target=CourtTab" TargetMode="External"/><Relationship Id="rId10" Type="http://schemas.openxmlformats.org/officeDocument/2006/relationships/hyperlink" Target="https://hudoc.echr.coe.int/eng" TargetMode="External"/><Relationship Id="rId19"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hyperlink" Target="https://hudoc.echr.coe.int/eng" TargetMode="External"/><Relationship Id="rId14" Type="http://schemas.openxmlformats.org/officeDocument/2006/relationships/hyperlink" Target="https://hudoc.echr.coe.int/eng" TargetMode="External"/><Relationship Id="rId22" Type="http://schemas.openxmlformats.org/officeDocument/2006/relationships/hyperlink" Target="https://eur-lex.europa.eu/legal-content/IT/AUTO/?uri=ecli:ECLI%3AEU%3AC%3A2009%3A808&amp;loc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7AAFF-DC1F-4D4C-ADA1-49AA6BE0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9651</TotalTime>
  <Pages>17</Pages>
  <Words>9534</Words>
  <Characters>54346</Characters>
  <Application>Microsoft Office Word</Application>
  <DocSecurity>0</DocSecurity>
  <Lines>452</Lines>
  <Paragraphs>127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MALANETTO Paola</dc:creator>
  <cp:keywords/>
  <dc:description/>
  <cp:lastModifiedBy>MALANETTO Paola</cp:lastModifiedBy>
  <cp:revision>13</cp:revision>
  <cp:lastPrinted>2023-10-25T19:05:00Z</cp:lastPrinted>
  <dcterms:created xsi:type="dcterms:W3CDTF">2023-10-20T10:48:00Z</dcterms:created>
  <dcterms:modified xsi:type="dcterms:W3CDTF">2023-11-09T15:49:00Z</dcterms:modified>
</cp:coreProperties>
</file>