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3526F" w14:textId="77777777" w:rsidR="006317E3" w:rsidRDefault="0037016C" w:rsidP="00DF7DB8">
      <w:pPr>
        <w:spacing w:line="360" w:lineRule="auto"/>
        <w:jc w:val="center"/>
        <w:rPr>
          <w:rFonts w:ascii="Garamond" w:hAnsi="Garamond"/>
          <w:b/>
          <w:sz w:val="32"/>
          <w:szCs w:val="32"/>
        </w:rPr>
      </w:pPr>
      <w:r>
        <w:rPr>
          <w:rFonts w:ascii="Garamond" w:hAnsi="Garamond"/>
          <w:b/>
          <w:sz w:val="32"/>
          <w:szCs w:val="32"/>
        </w:rPr>
        <w:t>Il diritto a respirare aria pulita non supera l’esame dinanzi alla Corte di giustizia dell’Unione europea</w:t>
      </w:r>
      <w:r>
        <w:rPr>
          <w:rStyle w:val="Rimandonotaapidipagina"/>
          <w:rFonts w:ascii="Garamond" w:hAnsi="Garamond"/>
          <w:b/>
          <w:sz w:val="32"/>
          <w:szCs w:val="32"/>
        </w:rPr>
        <w:footnoteReference w:id="1"/>
      </w:r>
    </w:p>
    <w:p w14:paraId="7A37AB0E" w14:textId="2EA43034" w:rsidR="0037016C" w:rsidRPr="00DF7DB8" w:rsidRDefault="0037016C" w:rsidP="00F453D4">
      <w:pPr>
        <w:spacing w:line="360" w:lineRule="auto"/>
        <w:jc w:val="both"/>
        <w:rPr>
          <w:rFonts w:ascii="Garamond" w:hAnsi="Garamond"/>
          <w:b/>
          <w:sz w:val="32"/>
          <w:szCs w:val="32"/>
        </w:rPr>
      </w:pPr>
      <w:r>
        <w:rPr>
          <w:rFonts w:ascii="Garamond" w:hAnsi="Garamond"/>
          <w:sz w:val="32"/>
          <w:szCs w:val="32"/>
        </w:rPr>
        <w:t xml:space="preserve"> </w:t>
      </w:r>
      <w:r w:rsidR="006317E3">
        <w:rPr>
          <w:rFonts w:ascii="Garamond" w:hAnsi="Garamond"/>
          <w:sz w:val="32"/>
          <w:szCs w:val="32"/>
        </w:rPr>
        <w:t>L</w:t>
      </w:r>
      <w:r>
        <w:rPr>
          <w:rFonts w:ascii="Garamond" w:hAnsi="Garamond"/>
          <w:sz w:val="32"/>
          <w:szCs w:val="32"/>
        </w:rPr>
        <w:t xml:space="preserve">a Corte di giustizia dell’Unione Europea </w:t>
      </w:r>
      <w:r w:rsidR="00D67D84">
        <w:rPr>
          <w:rFonts w:ascii="Garamond" w:hAnsi="Garamond"/>
          <w:sz w:val="32"/>
          <w:szCs w:val="32"/>
        </w:rPr>
        <w:t xml:space="preserve">ancora una volta </w:t>
      </w:r>
      <w:r>
        <w:rPr>
          <w:rFonts w:ascii="Garamond" w:hAnsi="Garamond"/>
          <w:sz w:val="32"/>
          <w:szCs w:val="32"/>
        </w:rPr>
        <w:t>affronta</w:t>
      </w:r>
      <w:r w:rsidR="00465821">
        <w:rPr>
          <w:rFonts w:ascii="Garamond" w:hAnsi="Garamond"/>
          <w:sz w:val="32"/>
          <w:szCs w:val="32"/>
        </w:rPr>
        <w:t xml:space="preserve"> la questione</w:t>
      </w:r>
      <w:r>
        <w:rPr>
          <w:rFonts w:ascii="Garamond" w:hAnsi="Garamond"/>
          <w:sz w:val="32"/>
          <w:szCs w:val="32"/>
        </w:rPr>
        <w:t xml:space="preserve"> della risarcibilità dei danni derivanti dalla violazione del diritto dell’Unione, verificando le condizioni per l’ottenimento del ristoro</w:t>
      </w:r>
      <w:r>
        <w:rPr>
          <w:rStyle w:val="Rimandonotaapidipagina"/>
          <w:rFonts w:ascii="Garamond" w:hAnsi="Garamond"/>
          <w:sz w:val="32"/>
          <w:szCs w:val="32"/>
        </w:rPr>
        <w:footnoteReference w:id="2"/>
      </w:r>
      <w:r>
        <w:rPr>
          <w:rFonts w:ascii="Garamond" w:hAnsi="Garamond"/>
          <w:sz w:val="32"/>
          <w:szCs w:val="32"/>
        </w:rPr>
        <w:t>.</w:t>
      </w:r>
    </w:p>
    <w:p w14:paraId="44AA3897" w14:textId="1DABBFCD" w:rsidR="0037016C" w:rsidRDefault="0037016C" w:rsidP="0037016C">
      <w:pPr>
        <w:spacing w:line="360" w:lineRule="auto"/>
        <w:jc w:val="both"/>
        <w:rPr>
          <w:rFonts w:ascii="Garamond" w:hAnsi="Garamond"/>
          <w:sz w:val="32"/>
          <w:szCs w:val="32"/>
        </w:rPr>
      </w:pPr>
      <w:r>
        <w:rPr>
          <w:rFonts w:ascii="Garamond" w:hAnsi="Garamond"/>
          <w:sz w:val="32"/>
          <w:szCs w:val="32"/>
        </w:rPr>
        <w:t xml:space="preserve">Per citare solo le tappe più significative, il percorso giurisprudenziale è stato segnato dal riconoscimento del diritto del signor </w:t>
      </w:r>
      <w:proofErr w:type="spellStart"/>
      <w:r>
        <w:rPr>
          <w:rFonts w:ascii="Garamond" w:hAnsi="Garamond"/>
          <w:sz w:val="32"/>
          <w:szCs w:val="32"/>
        </w:rPr>
        <w:t>Francovich</w:t>
      </w:r>
      <w:proofErr w:type="spellEnd"/>
      <w:r>
        <w:rPr>
          <w:rFonts w:ascii="Garamond" w:hAnsi="Garamond"/>
          <w:sz w:val="32"/>
          <w:szCs w:val="32"/>
        </w:rPr>
        <w:t xml:space="preserve"> </w:t>
      </w:r>
      <w:r w:rsidR="00051AC4">
        <w:rPr>
          <w:rFonts w:ascii="Garamond" w:hAnsi="Garamond"/>
          <w:sz w:val="32"/>
          <w:szCs w:val="32"/>
        </w:rPr>
        <w:t>(</w:t>
      </w:r>
      <w:r w:rsidR="008756C1">
        <w:rPr>
          <w:rFonts w:ascii="Garamond" w:hAnsi="Garamond"/>
          <w:sz w:val="32"/>
          <w:szCs w:val="32"/>
        </w:rPr>
        <w:t>e di altri lavoratori dipendenti</w:t>
      </w:r>
      <w:r w:rsidR="005758A0">
        <w:rPr>
          <w:rFonts w:ascii="Garamond" w:hAnsi="Garamond"/>
          <w:sz w:val="32"/>
          <w:szCs w:val="32"/>
        </w:rPr>
        <w:t>)</w:t>
      </w:r>
      <w:r w:rsidR="00F453D4">
        <w:rPr>
          <w:rStyle w:val="Rimandonotaapidipagina"/>
          <w:rFonts w:ascii="Garamond" w:hAnsi="Garamond"/>
          <w:sz w:val="32"/>
          <w:szCs w:val="32"/>
        </w:rPr>
        <w:footnoteReference w:id="3"/>
      </w:r>
      <w:r w:rsidR="005758A0">
        <w:rPr>
          <w:rFonts w:ascii="Garamond" w:hAnsi="Garamond"/>
          <w:sz w:val="32"/>
          <w:szCs w:val="32"/>
        </w:rPr>
        <w:t xml:space="preserve"> </w:t>
      </w:r>
      <w:r>
        <w:rPr>
          <w:rFonts w:ascii="Garamond" w:hAnsi="Garamond"/>
          <w:sz w:val="32"/>
          <w:szCs w:val="32"/>
        </w:rPr>
        <w:t>ad essere risarcito dallo Stato italiano che non aveva istituito il meccanismo di garanzia per i crediti retributivi imposto dalla direttiva 80/987/CEE</w:t>
      </w:r>
      <w:r>
        <w:rPr>
          <w:rStyle w:val="Rimandonotaapidipagina"/>
          <w:rFonts w:ascii="Garamond" w:hAnsi="Garamond"/>
          <w:sz w:val="32"/>
          <w:szCs w:val="32"/>
        </w:rPr>
        <w:footnoteReference w:id="4"/>
      </w:r>
      <w:r>
        <w:rPr>
          <w:rFonts w:ascii="Garamond" w:hAnsi="Garamond"/>
          <w:sz w:val="32"/>
          <w:szCs w:val="32"/>
        </w:rPr>
        <w:t xml:space="preserve"> e dalla pronuncia in favore delle società Brasserie </w:t>
      </w:r>
      <w:proofErr w:type="spellStart"/>
      <w:r>
        <w:rPr>
          <w:rFonts w:ascii="Garamond" w:hAnsi="Garamond"/>
          <w:sz w:val="32"/>
          <w:szCs w:val="32"/>
        </w:rPr>
        <w:t>du</w:t>
      </w:r>
      <w:proofErr w:type="spellEnd"/>
      <w:r>
        <w:rPr>
          <w:rFonts w:ascii="Garamond" w:hAnsi="Garamond"/>
          <w:sz w:val="32"/>
          <w:szCs w:val="32"/>
        </w:rPr>
        <w:t xml:space="preserve"> </w:t>
      </w:r>
      <w:proofErr w:type="spellStart"/>
      <w:r>
        <w:rPr>
          <w:rFonts w:ascii="Garamond" w:hAnsi="Garamond"/>
          <w:sz w:val="32"/>
          <w:szCs w:val="32"/>
        </w:rPr>
        <w:t>pêcheur</w:t>
      </w:r>
      <w:proofErr w:type="spellEnd"/>
      <w:r>
        <w:rPr>
          <w:rFonts w:ascii="Garamond" w:hAnsi="Garamond"/>
          <w:sz w:val="32"/>
          <w:szCs w:val="32"/>
        </w:rPr>
        <w:t xml:space="preserve"> e </w:t>
      </w:r>
      <w:proofErr w:type="spellStart"/>
      <w:r>
        <w:rPr>
          <w:rFonts w:ascii="Garamond" w:hAnsi="Garamond"/>
          <w:sz w:val="32"/>
          <w:szCs w:val="32"/>
        </w:rPr>
        <w:t>Factortame</w:t>
      </w:r>
      <w:proofErr w:type="spellEnd"/>
      <w:r>
        <w:rPr>
          <w:rFonts w:ascii="Garamond" w:hAnsi="Garamond"/>
          <w:sz w:val="32"/>
          <w:szCs w:val="32"/>
        </w:rPr>
        <w:t>: la prima non aveva potuto esportare la propria birra in Germania in violazione della libertà di circolazione delle merci e la seconda non aveva potuto esercitare la propria attività di pesca in Gran Bretagna in ragione di una legislazione nazionale discriminatoria in base alla nazionalità</w:t>
      </w:r>
      <w:r>
        <w:rPr>
          <w:rStyle w:val="Rimandonotaapidipagina"/>
          <w:rFonts w:ascii="Garamond" w:hAnsi="Garamond"/>
          <w:sz w:val="32"/>
          <w:szCs w:val="32"/>
        </w:rPr>
        <w:footnoteReference w:id="5"/>
      </w:r>
      <w:r>
        <w:rPr>
          <w:rFonts w:ascii="Garamond" w:hAnsi="Garamond"/>
          <w:sz w:val="32"/>
          <w:szCs w:val="32"/>
        </w:rPr>
        <w:t xml:space="preserve">. La responsabilità dello Stato è stata poi affermata nei confronti dei viaggiatori con </w:t>
      </w:r>
      <w:r w:rsidRPr="00BF3813">
        <w:rPr>
          <w:rFonts w:ascii="Garamond" w:hAnsi="Garamond"/>
          <w:sz w:val="32"/>
          <w:szCs w:val="32"/>
        </w:rPr>
        <w:t xml:space="preserve">pacchetti </w:t>
      </w:r>
      <w:r w:rsidRPr="00BF3813">
        <w:rPr>
          <w:rFonts w:ascii="Garamond" w:hAnsi="Garamond"/>
          <w:sz w:val="32"/>
          <w:szCs w:val="32"/>
        </w:rPr>
        <w:lastRenderedPageBreak/>
        <w:t>turistici “tutto compreso”</w:t>
      </w:r>
      <w:r w:rsidR="00FE3BE3" w:rsidRPr="00BF3813">
        <w:rPr>
          <w:rStyle w:val="Rimandonotaapidipagina"/>
          <w:rFonts w:ascii="Garamond" w:hAnsi="Garamond"/>
          <w:sz w:val="32"/>
          <w:szCs w:val="32"/>
        </w:rPr>
        <w:footnoteReference w:id="6"/>
      </w:r>
      <w:r w:rsidRPr="00BF3813">
        <w:rPr>
          <w:rFonts w:ascii="Garamond" w:hAnsi="Garamond"/>
          <w:sz w:val="32"/>
          <w:szCs w:val="32"/>
        </w:rPr>
        <w:t xml:space="preserve"> nell’ipotesi di fallimento dell’operatore, </w:t>
      </w:r>
      <w:r w:rsidR="00C96D69">
        <w:rPr>
          <w:rFonts w:ascii="Garamond" w:hAnsi="Garamond"/>
          <w:sz w:val="32"/>
          <w:szCs w:val="32"/>
        </w:rPr>
        <w:t>de</w:t>
      </w:r>
      <w:r w:rsidRPr="00BF3813">
        <w:rPr>
          <w:rFonts w:ascii="Garamond" w:hAnsi="Garamond"/>
          <w:sz w:val="32"/>
          <w:szCs w:val="32"/>
        </w:rPr>
        <w:t>i titolari di depositi</w:t>
      </w:r>
      <w:r w:rsidR="00FE3BE3" w:rsidRPr="00BF3813">
        <w:rPr>
          <w:rFonts w:ascii="Garamond" w:hAnsi="Garamond"/>
          <w:sz w:val="32"/>
          <w:szCs w:val="32"/>
        </w:rPr>
        <w:t xml:space="preserve"> bancari a cui non erano state restituite le somme di spettanza da parte di </w:t>
      </w:r>
      <w:r w:rsidR="00E33CCC">
        <w:rPr>
          <w:rFonts w:ascii="Garamond" w:hAnsi="Garamond"/>
          <w:sz w:val="32"/>
          <w:szCs w:val="32"/>
        </w:rPr>
        <w:t xml:space="preserve">un istituto di </w:t>
      </w:r>
      <w:r w:rsidR="00FE3BE3" w:rsidRPr="00BF3813">
        <w:rPr>
          <w:rFonts w:ascii="Garamond" w:hAnsi="Garamond"/>
          <w:sz w:val="32"/>
          <w:szCs w:val="32"/>
        </w:rPr>
        <w:t>credito in crisi</w:t>
      </w:r>
      <w:r w:rsidR="00C624CD" w:rsidRPr="00BF3813">
        <w:rPr>
          <w:rStyle w:val="Rimandonotaapidipagina"/>
          <w:rFonts w:ascii="Garamond" w:hAnsi="Garamond"/>
          <w:sz w:val="32"/>
          <w:szCs w:val="32"/>
        </w:rPr>
        <w:footnoteReference w:id="7"/>
      </w:r>
      <w:r w:rsidR="00C624CD" w:rsidRPr="00BF3813">
        <w:rPr>
          <w:rFonts w:ascii="Garamond" w:hAnsi="Garamond"/>
          <w:sz w:val="32"/>
          <w:szCs w:val="32"/>
        </w:rPr>
        <w:t>, d</w:t>
      </w:r>
      <w:r w:rsidRPr="00BF3813">
        <w:rPr>
          <w:rFonts w:ascii="Garamond" w:hAnsi="Garamond"/>
          <w:sz w:val="32"/>
          <w:szCs w:val="32"/>
        </w:rPr>
        <w:t>egli investitori</w:t>
      </w:r>
      <w:r w:rsidR="00C624CD" w:rsidRPr="00BF3813">
        <w:rPr>
          <w:rFonts w:ascii="Garamond" w:hAnsi="Garamond"/>
          <w:sz w:val="32"/>
          <w:szCs w:val="32"/>
        </w:rPr>
        <w:t xml:space="preserve"> a cui </w:t>
      </w:r>
      <w:r w:rsidR="00712D1F">
        <w:rPr>
          <w:rFonts w:ascii="Garamond" w:hAnsi="Garamond"/>
          <w:sz w:val="32"/>
          <w:szCs w:val="32"/>
        </w:rPr>
        <w:t xml:space="preserve">il </w:t>
      </w:r>
      <w:r w:rsidR="00C624CD" w:rsidRPr="00BF3813">
        <w:rPr>
          <w:rFonts w:ascii="Garamond" w:hAnsi="Garamond"/>
          <w:sz w:val="32"/>
          <w:szCs w:val="32"/>
        </w:rPr>
        <w:t>socio di maggioranza non aveva presentato una proposta di acquisto delle azioni a prezzo equo</w:t>
      </w:r>
      <w:r w:rsidR="00C624CD" w:rsidRPr="00BF3813">
        <w:rPr>
          <w:rStyle w:val="Rimandonotaapidipagina"/>
          <w:rFonts w:ascii="Garamond" w:hAnsi="Garamond"/>
          <w:sz w:val="32"/>
          <w:szCs w:val="32"/>
        </w:rPr>
        <w:footnoteReference w:id="8"/>
      </w:r>
      <w:r w:rsidR="00E2791B" w:rsidRPr="00BF3813">
        <w:rPr>
          <w:rFonts w:ascii="Garamond" w:hAnsi="Garamond"/>
          <w:sz w:val="32"/>
          <w:szCs w:val="32"/>
        </w:rPr>
        <w:t xml:space="preserve"> ,</w:t>
      </w:r>
      <w:r w:rsidRPr="00BF3813">
        <w:rPr>
          <w:rFonts w:ascii="Garamond" w:hAnsi="Garamond"/>
          <w:sz w:val="32"/>
          <w:szCs w:val="32"/>
        </w:rPr>
        <w:t xml:space="preserve"> delle vittime di reato</w:t>
      </w:r>
      <w:r w:rsidRPr="00BF3813">
        <w:rPr>
          <w:rStyle w:val="Rimandonotaapidipagina"/>
          <w:rFonts w:ascii="Garamond" w:hAnsi="Garamond"/>
          <w:sz w:val="32"/>
          <w:szCs w:val="32"/>
        </w:rPr>
        <w:footnoteReference w:id="9"/>
      </w:r>
      <w:r w:rsidR="006F71AB" w:rsidRPr="00BF3813">
        <w:rPr>
          <w:rFonts w:ascii="Garamond" w:hAnsi="Garamond"/>
          <w:sz w:val="32"/>
          <w:szCs w:val="32"/>
        </w:rPr>
        <w:t xml:space="preserve"> e dei professionisti compensati </w:t>
      </w:r>
      <w:r w:rsidR="00BF3813" w:rsidRPr="00BF3813">
        <w:rPr>
          <w:rFonts w:ascii="Garamond" w:hAnsi="Garamond"/>
          <w:sz w:val="32"/>
          <w:szCs w:val="32"/>
        </w:rPr>
        <w:t xml:space="preserve">in misura inferiore a quanto previsto dalle </w:t>
      </w:r>
      <w:r w:rsidR="006F71AB" w:rsidRPr="00BF3813">
        <w:rPr>
          <w:rFonts w:ascii="Garamond" w:hAnsi="Garamond"/>
          <w:sz w:val="32"/>
          <w:szCs w:val="32"/>
        </w:rPr>
        <w:t>tariffe</w:t>
      </w:r>
      <w:r w:rsidR="00BF3813" w:rsidRPr="00BF3813">
        <w:rPr>
          <w:rStyle w:val="Rimandonotaapidipagina"/>
          <w:rFonts w:ascii="Garamond" w:hAnsi="Garamond"/>
          <w:sz w:val="32"/>
          <w:szCs w:val="32"/>
        </w:rPr>
        <w:footnoteReference w:id="10"/>
      </w:r>
      <w:r w:rsidRPr="00BF3813">
        <w:rPr>
          <w:rFonts w:ascii="Garamond" w:hAnsi="Garamond"/>
          <w:sz w:val="32"/>
          <w:szCs w:val="32"/>
        </w:rPr>
        <w:t>.</w:t>
      </w:r>
    </w:p>
    <w:p w14:paraId="5149C01D" w14:textId="77777777" w:rsidR="0037016C" w:rsidRDefault="0037016C" w:rsidP="0037016C">
      <w:pPr>
        <w:spacing w:line="360" w:lineRule="auto"/>
        <w:jc w:val="both"/>
        <w:rPr>
          <w:rFonts w:ascii="Garamond" w:hAnsi="Garamond"/>
          <w:sz w:val="32"/>
          <w:szCs w:val="32"/>
        </w:rPr>
      </w:pPr>
      <w:r>
        <w:rPr>
          <w:rFonts w:ascii="Garamond" w:hAnsi="Garamond"/>
          <w:sz w:val="32"/>
          <w:szCs w:val="32"/>
        </w:rPr>
        <w:t xml:space="preserve">La pretesa di cui si occupa la Corte di giustizia (Grande Sezione) nella </w:t>
      </w:r>
      <w:r w:rsidR="006E775D">
        <w:rPr>
          <w:rFonts w:ascii="Garamond" w:hAnsi="Garamond"/>
          <w:sz w:val="32"/>
          <w:szCs w:val="32"/>
        </w:rPr>
        <w:t>sentenza</w:t>
      </w:r>
      <w:r w:rsidR="00C734B4">
        <w:rPr>
          <w:rFonts w:ascii="Garamond" w:hAnsi="Garamond"/>
          <w:sz w:val="32"/>
          <w:szCs w:val="32"/>
        </w:rPr>
        <w:t xml:space="preserve"> del 22 dicembre 2022</w:t>
      </w:r>
      <w:r>
        <w:rPr>
          <w:rFonts w:ascii="Garamond" w:hAnsi="Garamond"/>
          <w:sz w:val="32"/>
          <w:szCs w:val="32"/>
        </w:rPr>
        <w:t xml:space="preserve"> presenta caratteristiche completamente diverse. In concreto, il sig. JP ha contestato prima dinanzi al Tribunale amministrativo di </w:t>
      </w:r>
      <w:proofErr w:type="spellStart"/>
      <w:r>
        <w:rPr>
          <w:rFonts w:ascii="Garamond" w:hAnsi="Garamond"/>
          <w:sz w:val="32"/>
          <w:szCs w:val="32"/>
        </w:rPr>
        <w:t>Cergy-Pontoise</w:t>
      </w:r>
      <w:proofErr w:type="spellEnd"/>
      <w:r>
        <w:rPr>
          <w:rFonts w:ascii="Garamond" w:hAnsi="Garamond"/>
          <w:sz w:val="32"/>
          <w:szCs w:val="32"/>
        </w:rPr>
        <w:t>, Francia, e poi, in appello, rivolgendosi alla Corte amministrativa di Versailles</w:t>
      </w:r>
      <w:r w:rsidR="00A17759">
        <w:rPr>
          <w:rFonts w:ascii="Garamond" w:hAnsi="Garamond"/>
          <w:sz w:val="32"/>
          <w:szCs w:val="32"/>
        </w:rPr>
        <w:t>,</w:t>
      </w:r>
      <w:r>
        <w:rPr>
          <w:rFonts w:ascii="Garamond" w:hAnsi="Garamond"/>
          <w:sz w:val="32"/>
          <w:szCs w:val="32"/>
        </w:rPr>
        <w:t xml:space="preserve"> il rifiuto del prefetto di Val-</w:t>
      </w:r>
      <w:proofErr w:type="spellStart"/>
      <w:r>
        <w:rPr>
          <w:rFonts w:ascii="Garamond" w:hAnsi="Garamond"/>
          <w:sz w:val="32"/>
          <w:szCs w:val="32"/>
        </w:rPr>
        <w:t>d’Oise</w:t>
      </w:r>
      <w:proofErr w:type="spellEnd"/>
      <w:r>
        <w:rPr>
          <w:rFonts w:ascii="Garamond" w:hAnsi="Garamond"/>
          <w:sz w:val="32"/>
          <w:szCs w:val="32"/>
        </w:rPr>
        <w:t xml:space="preserve"> di adottare le misure (previste dal diritto europeo o comunque a questo conformi) volte a risolvere i suoi problemi di salute connessi all’inquinamento ambientale nell’area geografica della regione </w:t>
      </w:r>
      <w:proofErr w:type="spellStart"/>
      <w:r>
        <w:rPr>
          <w:rFonts w:ascii="Garamond" w:hAnsi="Garamond"/>
          <w:sz w:val="32"/>
          <w:szCs w:val="32"/>
        </w:rPr>
        <w:t>Île</w:t>
      </w:r>
      <w:proofErr w:type="spellEnd"/>
      <w:r>
        <w:rPr>
          <w:rFonts w:ascii="Garamond" w:hAnsi="Garamond"/>
          <w:sz w:val="32"/>
          <w:szCs w:val="32"/>
        </w:rPr>
        <w:t>-de-France in cui risiede e, in subordine, ha domandato la condanna dello Stato al risarcimento dei danni conseguentemente a lui arrecati alla salute, morali, biologici, estetici, fisici e psichici.</w:t>
      </w:r>
    </w:p>
    <w:p w14:paraId="155BE869" w14:textId="4ADFDED0" w:rsidR="0037016C" w:rsidRDefault="0037016C" w:rsidP="0037016C">
      <w:pPr>
        <w:spacing w:line="360" w:lineRule="auto"/>
        <w:jc w:val="both"/>
        <w:rPr>
          <w:rFonts w:ascii="Garamond" w:hAnsi="Garamond"/>
          <w:sz w:val="32"/>
          <w:szCs w:val="32"/>
        </w:rPr>
      </w:pPr>
      <w:r>
        <w:rPr>
          <w:rFonts w:ascii="Garamond" w:hAnsi="Garamond"/>
          <w:sz w:val="32"/>
          <w:szCs w:val="32"/>
        </w:rPr>
        <w:lastRenderedPageBreak/>
        <w:t>La Corte amministrativa d’appello ha sottoposto allora alla Corte di giustizia la questione se e in che limiti la direttiva 2008/50/CE</w:t>
      </w:r>
      <w:r>
        <w:rPr>
          <w:rStyle w:val="Rimandonotaapidipagina"/>
          <w:rFonts w:ascii="Garamond" w:hAnsi="Garamond"/>
          <w:sz w:val="32"/>
          <w:szCs w:val="32"/>
        </w:rPr>
        <w:footnoteReference w:id="11"/>
      </w:r>
      <w:r>
        <w:rPr>
          <w:rFonts w:ascii="Garamond" w:hAnsi="Garamond"/>
          <w:sz w:val="32"/>
          <w:szCs w:val="32"/>
        </w:rPr>
        <w:t xml:space="preserve"> sia da interpretare nel senso che attribuisca ai singoli, in caso di violazione sufficientemente </w:t>
      </w:r>
      <w:r w:rsidR="00F453D4">
        <w:rPr>
          <w:rFonts w:ascii="Garamond" w:hAnsi="Garamond"/>
          <w:sz w:val="32"/>
          <w:szCs w:val="32"/>
        </w:rPr>
        <w:t>qualificata</w:t>
      </w:r>
      <w:r>
        <w:rPr>
          <w:rFonts w:ascii="Garamond" w:hAnsi="Garamond"/>
          <w:sz w:val="32"/>
          <w:szCs w:val="32"/>
        </w:rPr>
        <w:t xml:space="preserve"> da parte di uno Stato membro degli obblighi che derivano da tale atto derivato, un diritto a ottenere dal medesimo Stato il risarcimento dei danni causati alla loro salute che presentano un nesso di causalità diretto e certo con il deterioramento della qualità dell’aria.</w:t>
      </w:r>
    </w:p>
    <w:p w14:paraId="01EFCFC0" w14:textId="77777777" w:rsidR="0037016C" w:rsidRDefault="0037016C" w:rsidP="0037016C">
      <w:pPr>
        <w:spacing w:line="360" w:lineRule="auto"/>
        <w:jc w:val="both"/>
        <w:rPr>
          <w:rFonts w:ascii="Garamond" w:hAnsi="Garamond"/>
          <w:sz w:val="32"/>
          <w:szCs w:val="32"/>
        </w:rPr>
      </w:pPr>
      <w:r>
        <w:rPr>
          <w:rFonts w:ascii="Garamond" w:hAnsi="Garamond"/>
          <w:sz w:val="32"/>
          <w:szCs w:val="32"/>
        </w:rPr>
        <w:t>È evidente che la questione presenta rilevanti differenze rispetto ai casi summenzionati, in occasione dei quali la Corte di giustizia ha elaborato i criteri per il riconoscimento del diritto al risarcimento: da un lato, la direttiva che si assume violata non riguarda interessi economici; dall’altro, la cerchia dei potenziali richiedenti è indeterminata, per quanto possa ragionevolmente restringersi a coloro che abbiano la dimora o lavorino abitualmente nelle zone inquinate.</w:t>
      </w:r>
    </w:p>
    <w:p w14:paraId="6801B6CA" w14:textId="233686C2" w:rsidR="0037016C" w:rsidRDefault="0037016C" w:rsidP="0037016C">
      <w:pPr>
        <w:spacing w:line="360" w:lineRule="auto"/>
        <w:jc w:val="both"/>
        <w:rPr>
          <w:rFonts w:ascii="Garamond" w:hAnsi="Garamond"/>
          <w:sz w:val="32"/>
          <w:szCs w:val="32"/>
        </w:rPr>
      </w:pPr>
      <w:r>
        <w:rPr>
          <w:rFonts w:ascii="Garamond" w:hAnsi="Garamond"/>
          <w:sz w:val="32"/>
          <w:szCs w:val="32"/>
        </w:rPr>
        <w:t xml:space="preserve">In ogni caso, la questione non rappresenta una novità assoluta. Essa </w:t>
      </w:r>
      <w:r w:rsidR="00F453D4">
        <w:rPr>
          <w:rFonts w:ascii="Garamond" w:hAnsi="Garamond"/>
          <w:sz w:val="32"/>
          <w:szCs w:val="32"/>
        </w:rPr>
        <w:t xml:space="preserve">si pone nel solco di </w:t>
      </w:r>
      <w:r>
        <w:rPr>
          <w:rFonts w:ascii="Garamond" w:hAnsi="Garamond"/>
          <w:sz w:val="32"/>
          <w:szCs w:val="32"/>
        </w:rPr>
        <w:t>una serie di “liti strategiche”</w:t>
      </w:r>
      <w:r>
        <w:rPr>
          <w:rStyle w:val="Rimandonotaapidipagina"/>
          <w:rFonts w:ascii="Garamond" w:hAnsi="Garamond"/>
          <w:sz w:val="32"/>
          <w:szCs w:val="32"/>
        </w:rPr>
        <w:footnoteReference w:id="12"/>
      </w:r>
      <w:r>
        <w:rPr>
          <w:rFonts w:ascii="Garamond" w:hAnsi="Garamond"/>
          <w:sz w:val="32"/>
          <w:szCs w:val="32"/>
        </w:rPr>
        <w:t xml:space="preserve"> davanti agli organi giurisdizionali di </w:t>
      </w:r>
      <w:r>
        <w:rPr>
          <w:rFonts w:ascii="Garamond" w:hAnsi="Garamond"/>
          <w:sz w:val="32"/>
          <w:szCs w:val="32"/>
        </w:rPr>
        <w:lastRenderedPageBreak/>
        <w:t xml:space="preserve">vari Paesi europei, </w:t>
      </w:r>
      <w:r w:rsidR="00F453D4" w:rsidRPr="00F453D4">
        <w:rPr>
          <w:rFonts w:ascii="Garamond" w:hAnsi="Garamond"/>
          <w:sz w:val="32"/>
          <w:szCs w:val="32"/>
        </w:rPr>
        <w:t xml:space="preserve">nelle quali </w:t>
      </w:r>
      <w:r>
        <w:rPr>
          <w:rFonts w:ascii="Garamond" w:hAnsi="Garamond"/>
          <w:sz w:val="32"/>
          <w:szCs w:val="32"/>
        </w:rPr>
        <w:t>lo Stato è stato chiamato quale responsabile della tutela dell’ambiente, spesso nella prospettiva di prevenire i cambiamenti climatici</w:t>
      </w:r>
      <w:r>
        <w:rPr>
          <w:rStyle w:val="Rimandonotaapidipagina"/>
          <w:rFonts w:ascii="Garamond" w:hAnsi="Garamond"/>
          <w:sz w:val="32"/>
          <w:szCs w:val="32"/>
        </w:rPr>
        <w:footnoteReference w:id="13"/>
      </w:r>
      <w:r>
        <w:rPr>
          <w:rFonts w:ascii="Garamond" w:hAnsi="Garamond"/>
          <w:sz w:val="32"/>
          <w:szCs w:val="32"/>
        </w:rPr>
        <w:t>.</w:t>
      </w:r>
    </w:p>
    <w:p w14:paraId="24CE4C83" w14:textId="77777777" w:rsidR="0037016C" w:rsidRDefault="0037016C" w:rsidP="0037016C">
      <w:pPr>
        <w:spacing w:line="360" w:lineRule="auto"/>
        <w:jc w:val="both"/>
        <w:rPr>
          <w:rFonts w:ascii="Garamond" w:hAnsi="Garamond"/>
          <w:sz w:val="32"/>
          <w:szCs w:val="32"/>
        </w:rPr>
      </w:pPr>
      <w:r>
        <w:rPr>
          <w:rFonts w:ascii="Garamond" w:hAnsi="Garamond"/>
          <w:sz w:val="32"/>
          <w:szCs w:val="32"/>
        </w:rPr>
        <w:lastRenderedPageBreak/>
        <w:t>In sostanza queste pronunce hanno finito per ribadire l’obbligo dello Stato di adottare le misure necessarie a ridurre il livello di inquinamento, ancorandolo perlopiù al rispetto dei valori-limite</w:t>
      </w:r>
      <w:r w:rsidR="00013922" w:rsidRPr="00013922">
        <w:rPr>
          <w:rFonts w:ascii="Garamond" w:hAnsi="Garamond"/>
          <w:sz w:val="32"/>
          <w:szCs w:val="32"/>
        </w:rPr>
        <w:t xml:space="preserve"> </w:t>
      </w:r>
      <w:r w:rsidR="00013922">
        <w:rPr>
          <w:rFonts w:ascii="Garamond" w:hAnsi="Garamond"/>
          <w:sz w:val="32"/>
          <w:szCs w:val="32"/>
        </w:rPr>
        <w:t>fissati per</w:t>
      </w:r>
      <w:r>
        <w:rPr>
          <w:rFonts w:ascii="Garamond" w:hAnsi="Garamond"/>
          <w:sz w:val="32"/>
          <w:szCs w:val="32"/>
        </w:rPr>
        <w:t xml:space="preserve"> l’emissione di sostanze nocive nelle direttive dell’Unione Europea. </w:t>
      </w:r>
    </w:p>
    <w:p w14:paraId="195A0201" w14:textId="77777777" w:rsidR="0037016C" w:rsidRDefault="0037016C" w:rsidP="0037016C">
      <w:pPr>
        <w:spacing w:line="360" w:lineRule="auto"/>
        <w:jc w:val="both"/>
        <w:rPr>
          <w:rFonts w:ascii="Garamond" w:hAnsi="Garamond"/>
          <w:sz w:val="32"/>
          <w:szCs w:val="32"/>
        </w:rPr>
      </w:pPr>
      <w:r>
        <w:rPr>
          <w:rFonts w:ascii="Garamond" w:hAnsi="Garamond"/>
          <w:sz w:val="32"/>
          <w:szCs w:val="32"/>
        </w:rPr>
        <w:t>Diversa è l’impostazione della Corte europea dei diritti dell’uomo, nell’esercizio della sua giurisdizione di tipo soggettivo.</w:t>
      </w:r>
    </w:p>
    <w:p w14:paraId="2D0B8D9F" w14:textId="77777777" w:rsidR="0037016C" w:rsidRDefault="0037016C" w:rsidP="0037016C">
      <w:pPr>
        <w:spacing w:line="360" w:lineRule="auto"/>
        <w:jc w:val="both"/>
        <w:rPr>
          <w:rFonts w:ascii="Garamond" w:hAnsi="Garamond"/>
          <w:sz w:val="32"/>
          <w:szCs w:val="32"/>
        </w:rPr>
      </w:pPr>
      <w:r>
        <w:rPr>
          <w:rFonts w:ascii="Garamond" w:hAnsi="Garamond"/>
          <w:sz w:val="32"/>
          <w:szCs w:val="32"/>
        </w:rPr>
        <w:t>La Corte deduce dall’articolo 1 (Obbligo di rispettare i diritti dell’uomo) della Convenzione la conseguenza per cui le parti contraenti sono tenute non solo agli ovvi obblighi negativi di astensione, cioè di non violazione dei diritti, ma anche agli obblighi positivi di prevenire lesioni dei diritti e delle libertà fondamentali delle persone derivanti da azioni di terzi. Sulla base di questo presupposto condanna gli Stati laddove abbiano omesso di adottare tutte le misure necessarie per assicurare la protezione effettiva dei diritti riconosciuti dall’articolo 8</w:t>
      </w:r>
      <w:r>
        <w:rPr>
          <w:rStyle w:val="Rimandonotaapidipagina"/>
          <w:rFonts w:ascii="Garamond" w:hAnsi="Garamond"/>
          <w:sz w:val="32"/>
          <w:szCs w:val="32"/>
        </w:rPr>
        <w:footnoteReference w:id="14"/>
      </w:r>
      <w:r>
        <w:rPr>
          <w:rFonts w:ascii="Garamond" w:hAnsi="Garamond"/>
          <w:sz w:val="32"/>
          <w:szCs w:val="32"/>
        </w:rPr>
        <w:t>, disposizione che il Giudice di Strasburgo interpreta evolutivamente e teleologicamente nel senso che la tutela della vita privata e familiare si estenda anche all’ambiente sano, avendo individuato un legame tra l’indisturbato godimento dello spazio domestico e un livello accettabile di inquinamento ambientale</w:t>
      </w:r>
      <w:r>
        <w:rPr>
          <w:rStyle w:val="Rimandonotaapidipagina"/>
          <w:rFonts w:ascii="Garamond" w:hAnsi="Garamond"/>
          <w:sz w:val="32"/>
          <w:szCs w:val="32"/>
        </w:rPr>
        <w:footnoteReference w:id="15"/>
      </w:r>
      <w:r>
        <w:rPr>
          <w:rFonts w:ascii="Garamond" w:hAnsi="Garamond"/>
          <w:sz w:val="32"/>
          <w:szCs w:val="32"/>
        </w:rPr>
        <w:t>.</w:t>
      </w:r>
    </w:p>
    <w:p w14:paraId="2F44DB83" w14:textId="77777777" w:rsidR="0037016C" w:rsidRDefault="0037016C" w:rsidP="0037016C">
      <w:pPr>
        <w:spacing w:line="360" w:lineRule="auto"/>
        <w:jc w:val="both"/>
        <w:rPr>
          <w:rFonts w:ascii="Garamond" w:hAnsi="Garamond"/>
          <w:sz w:val="32"/>
          <w:szCs w:val="32"/>
        </w:rPr>
      </w:pPr>
      <w:r>
        <w:rPr>
          <w:rFonts w:ascii="Garamond" w:hAnsi="Garamond"/>
          <w:sz w:val="32"/>
          <w:szCs w:val="32"/>
        </w:rPr>
        <w:lastRenderedPageBreak/>
        <w:t>In questi casi, ai sensi dell’articolo 41 della Convenzione</w:t>
      </w:r>
      <w:r>
        <w:rPr>
          <w:rStyle w:val="Rimandonotaapidipagina"/>
          <w:rFonts w:ascii="Garamond" w:hAnsi="Garamond"/>
          <w:sz w:val="32"/>
          <w:szCs w:val="32"/>
        </w:rPr>
        <w:footnoteReference w:id="16"/>
      </w:r>
      <w:r>
        <w:rPr>
          <w:rFonts w:ascii="Garamond" w:hAnsi="Garamond"/>
          <w:sz w:val="32"/>
          <w:szCs w:val="32"/>
        </w:rPr>
        <w:t xml:space="preserve">, la Corte europea dei diritti dell’uomo stabilisce a carico dello Stato una somma a titolo di equa soddisfazione delle ragioni degli interessati. </w:t>
      </w:r>
    </w:p>
    <w:p w14:paraId="7FA606C1" w14:textId="77777777" w:rsidR="0037016C" w:rsidRDefault="0037016C" w:rsidP="0037016C">
      <w:pPr>
        <w:spacing w:line="360" w:lineRule="auto"/>
        <w:jc w:val="both"/>
      </w:pPr>
      <w:r>
        <w:rPr>
          <w:rFonts w:ascii="Garamond" w:hAnsi="Garamond"/>
          <w:sz w:val="32"/>
          <w:szCs w:val="32"/>
        </w:rPr>
        <w:t xml:space="preserve">Il sistema rimediale è però volto ad ottenere la </w:t>
      </w:r>
      <w:proofErr w:type="spellStart"/>
      <w:r>
        <w:rPr>
          <w:rFonts w:ascii="Garamond" w:hAnsi="Garamond"/>
          <w:i/>
          <w:sz w:val="32"/>
          <w:szCs w:val="32"/>
        </w:rPr>
        <w:t>restitutio</w:t>
      </w:r>
      <w:proofErr w:type="spellEnd"/>
      <w:r>
        <w:rPr>
          <w:rFonts w:ascii="Garamond" w:hAnsi="Garamond"/>
          <w:i/>
          <w:sz w:val="32"/>
          <w:szCs w:val="32"/>
        </w:rPr>
        <w:t xml:space="preserve"> in </w:t>
      </w:r>
      <w:proofErr w:type="spellStart"/>
      <w:r>
        <w:rPr>
          <w:rFonts w:ascii="Garamond" w:hAnsi="Garamond"/>
          <w:i/>
          <w:sz w:val="32"/>
          <w:szCs w:val="32"/>
        </w:rPr>
        <w:t>integrum</w:t>
      </w:r>
      <w:proofErr w:type="spellEnd"/>
      <w:r>
        <w:rPr>
          <w:rFonts w:ascii="Garamond" w:hAnsi="Garamond"/>
          <w:sz w:val="32"/>
          <w:szCs w:val="32"/>
        </w:rPr>
        <w:t xml:space="preserve"> (sia per quanto riguarda la posizione del ricorrente sia per ciò che concerne la risoluzione del problema sottostante al fine di evitare una proliferazione di ricorsi simili); quindi, lo Stato è tenuto innanzitutto alla rimozione delle cause dell'accertata lesione, attraverso misure generali o individuali; solo secondariamente ed eventualmente, qualora l'accertamento della violazione non sia ritenuto sufficiente, al pagamento di un ristoro equitativamente determinato</w:t>
      </w:r>
      <w:r>
        <w:rPr>
          <w:rStyle w:val="Rimandonotaapidipagina"/>
          <w:rFonts w:ascii="Garamond" w:hAnsi="Garamond"/>
          <w:sz w:val="32"/>
          <w:szCs w:val="32"/>
        </w:rPr>
        <w:footnoteReference w:id="17"/>
      </w:r>
      <w:r>
        <w:rPr>
          <w:rFonts w:ascii="Garamond" w:hAnsi="Garamond"/>
          <w:sz w:val="32"/>
          <w:szCs w:val="32"/>
        </w:rPr>
        <w:t xml:space="preserve">. Di conseguenza, tale compensazione svolge un ruolo integrativo e sussidiario (non sovrapponibile perciò al risarcimento del danno </w:t>
      </w:r>
      <w:r w:rsidR="00A17759">
        <w:rPr>
          <w:rFonts w:ascii="Garamond" w:hAnsi="Garamond"/>
          <w:sz w:val="32"/>
          <w:szCs w:val="32"/>
        </w:rPr>
        <w:t xml:space="preserve">come ordinariamente inteso </w:t>
      </w:r>
      <w:r>
        <w:rPr>
          <w:rFonts w:ascii="Garamond" w:hAnsi="Garamond"/>
          <w:sz w:val="32"/>
          <w:szCs w:val="32"/>
        </w:rPr>
        <w:t>nel diritto interno) rispetto alle misure che la Corte può adottare in sentenza. Queste ultime tendono sempre di più a limitare il margine di apprezzamento dello Stato nell’esecuzione della pronuncia. Ciò è avvenuto anche in materia di ambiente, imponendo l’adozione e l’implementazione di adeguati piani di risanamento, facendo con ciò riferimento alla disciplina dettata dal Unione europea</w:t>
      </w:r>
      <w:r>
        <w:rPr>
          <w:rStyle w:val="Rimandonotaapidipagina"/>
          <w:rFonts w:ascii="Garamond" w:hAnsi="Garamond"/>
          <w:sz w:val="32"/>
          <w:szCs w:val="32"/>
        </w:rPr>
        <w:footnoteReference w:id="18"/>
      </w:r>
      <w:r>
        <w:rPr>
          <w:rFonts w:ascii="Garamond" w:hAnsi="Garamond"/>
          <w:sz w:val="32"/>
          <w:szCs w:val="32"/>
        </w:rPr>
        <w:t xml:space="preserve">. </w:t>
      </w:r>
    </w:p>
    <w:p w14:paraId="1F5E15F9" w14:textId="7F795CD6" w:rsidR="0037016C" w:rsidRDefault="0037016C" w:rsidP="0037016C">
      <w:pPr>
        <w:spacing w:line="360" w:lineRule="auto"/>
        <w:jc w:val="both"/>
        <w:rPr>
          <w:rFonts w:ascii="Garamond" w:hAnsi="Garamond"/>
          <w:sz w:val="32"/>
          <w:szCs w:val="32"/>
        </w:rPr>
      </w:pPr>
      <w:r>
        <w:rPr>
          <w:rFonts w:ascii="Garamond" w:hAnsi="Garamond"/>
          <w:sz w:val="32"/>
          <w:szCs w:val="32"/>
        </w:rPr>
        <w:lastRenderedPageBreak/>
        <w:t>In Italia, mentre la responsabilità per danno ambientale arrecato dal soggetto che ha prodotto inquinamento ai singoli è stata prevalentemente riportata alla violazione della salute tutelata a livello costituzionale dall’articolo 32</w:t>
      </w:r>
      <w:r>
        <w:rPr>
          <w:rStyle w:val="Rimandonotaapidipagina"/>
          <w:rFonts w:ascii="Garamond" w:hAnsi="Garamond"/>
          <w:sz w:val="32"/>
          <w:szCs w:val="32"/>
        </w:rPr>
        <w:footnoteReference w:id="19"/>
      </w:r>
      <w:r>
        <w:rPr>
          <w:rFonts w:ascii="Garamond" w:hAnsi="Garamond"/>
          <w:sz w:val="32"/>
          <w:szCs w:val="32"/>
        </w:rPr>
        <w:t>, le leggi ambientali (dall’articolo 18 della legge 8 luglio 1986, n. 349 all’articolo 311 del decreto legislativo 3 aprile 2006, n. 152</w:t>
      </w:r>
      <w:r>
        <w:rPr>
          <w:rStyle w:val="Rimandonotaapidipagina"/>
          <w:rFonts w:ascii="Garamond" w:hAnsi="Garamond"/>
          <w:sz w:val="32"/>
          <w:szCs w:val="32"/>
        </w:rPr>
        <w:footnoteReference w:id="20"/>
      </w:r>
      <w:r>
        <w:rPr>
          <w:rFonts w:ascii="Garamond" w:hAnsi="Garamond"/>
          <w:sz w:val="32"/>
          <w:szCs w:val="32"/>
        </w:rPr>
        <w:t xml:space="preserve">) hanno invece sempre riservato alla parte pubblica (infine solo allo Stato) l’azione “generale“ per il risarcimento del danno. Il rimedio è difficilmente inquadrabile nelle categorie civilistiche, teso, com’è, innanzitutto alla realizzazione delle opere di riparazione «primaria», «complementare» o «compensativa» descritte dagli allegati 3 e 4 alla </w:t>
      </w:r>
      <w:r w:rsidR="00B90988">
        <w:rPr>
          <w:rFonts w:ascii="Garamond" w:hAnsi="Garamond"/>
          <w:sz w:val="32"/>
          <w:szCs w:val="32"/>
        </w:rPr>
        <w:t>p</w:t>
      </w:r>
      <w:r>
        <w:rPr>
          <w:rFonts w:ascii="Garamond" w:hAnsi="Garamond"/>
          <w:sz w:val="32"/>
          <w:szCs w:val="32"/>
        </w:rPr>
        <w:t>arte sesta del codice dell’ambiente.</w:t>
      </w:r>
    </w:p>
    <w:p w14:paraId="777DAEAC" w14:textId="77777777" w:rsidR="0037016C" w:rsidRDefault="0037016C" w:rsidP="0037016C">
      <w:pPr>
        <w:spacing w:line="360" w:lineRule="auto"/>
        <w:jc w:val="both"/>
      </w:pPr>
      <w:r>
        <w:rPr>
          <w:rFonts w:ascii="Garamond" w:hAnsi="Garamond"/>
          <w:sz w:val="32"/>
          <w:szCs w:val="32"/>
        </w:rPr>
        <w:t>Il risarcimento per equivalente rimane così confinato in un ruolo marginale e suppletivo volto non a ristorare il danno ambientale in sé, bensì il mancato adempimento delle misure preventive e ripristinatorie che il responsabile avrebbe dovuto adottare e implementare</w:t>
      </w:r>
      <w:r>
        <w:rPr>
          <w:rStyle w:val="Rimandonotaapidipagina"/>
          <w:rFonts w:ascii="Garamond" w:hAnsi="Garamond"/>
          <w:sz w:val="32"/>
          <w:szCs w:val="32"/>
        </w:rPr>
        <w:footnoteReference w:id="21"/>
      </w:r>
      <w:r>
        <w:rPr>
          <w:rFonts w:ascii="Garamond" w:hAnsi="Garamond"/>
          <w:sz w:val="32"/>
          <w:szCs w:val="32"/>
        </w:rPr>
        <w:t>.</w:t>
      </w:r>
      <w:r>
        <w:t xml:space="preserve"> </w:t>
      </w:r>
    </w:p>
    <w:p w14:paraId="2BA2E5AF" w14:textId="77777777" w:rsidR="0037016C" w:rsidRDefault="0037016C" w:rsidP="0037016C">
      <w:pPr>
        <w:spacing w:line="360" w:lineRule="auto"/>
        <w:jc w:val="both"/>
        <w:rPr>
          <w:rFonts w:ascii="Garamond" w:hAnsi="Garamond"/>
          <w:sz w:val="32"/>
          <w:szCs w:val="32"/>
        </w:rPr>
      </w:pPr>
      <w:r>
        <w:rPr>
          <w:rFonts w:ascii="Garamond" w:hAnsi="Garamond"/>
          <w:sz w:val="32"/>
          <w:szCs w:val="32"/>
        </w:rPr>
        <w:t xml:space="preserve">Il quadro descritto non è mutato dopo la riforma degli articoli 9 e 41 della Costituzione, poiché la chiara indicazione dell’ambiente come “compito” della Repubblica, nell’ambito dei “Principi fondamentali”, configura l’interesse alla tutela ambientale come “valore costituzionale”, di carattere oggettivo, da perseguire attraverso politiche pubbliche, “scongiurandone, per ciò stesso, il </w:t>
      </w:r>
      <w:r>
        <w:rPr>
          <w:rFonts w:ascii="Garamond" w:hAnsi="Garamond"/>
          <w:sz w:val="32"/>
          <w:szCs w:val="32"/>
        </w:rPr>
        <w:lastRenderedPageBreak/>
        <w:t>rischio di una qualificazione giuridica in termini di situazione soggettiva e, in particolare, di farne l’oggetto di un “diritto fondamentale””</w:t>
      </w:r>
      <w:r>
        <w:rPr>
          <w:rStyle w:val="Rimandonotaapidipagina"/>
          <w:rFonts w:ascii="Garamond" w:hAnsi="Garamond"/>
          <w:sz w:val="32"/>
          <w:szCs w:val="32"/>
        </w:rPr>
        <w:footnoteReference w:id="22"/>
      </w:r>
      <w:r>
        <w:rPr>
          <w:rFonts w:ascii="Garamond" w:hAnsi="Garamond"/>
          <w:sz w:val="32"/>
          <w:szCs w:val="32"/>
        </w:rPr>
        <w:t>.</w:t>
      </w:r>
    </w:p>
    <w:p w14:paraId="23524551" w14:textId="4A41196D" w:rsidR="0037016C" w:rsidRDefault="00A13554" w:rsidP="0037016C">
      <w:pPr>
        <w:spacing w:line="360" w:lineRule="auto"/>
        <w:jc w:val="both"/>
        <w:rPr>
          <w:rFonts w:ascii="Garamond" w:hAnsi="Garamond"/>
          <w:sz w:val="32"/>
          <w:szCs w:val="32"/>
        </w:rPr>
      </w:pPr>
      <w:r>
        <w:rPr>
          <w:rFonts w:ascii="Garamond" w:hAnsi="Garamond"/>
          <w:sz w:val="32"/>
          <w:szCs w:val="32"/>
        </w:rPr>
        <w:t>L</w:t>
      </w:r>
      <w:r w:rsidR="0037016C">
        <w:rPr>
          <w:rFonts w:ascii="Garamond" w:hAnsi="Garamond"/>
          <w:sz w:val="32"/>
          <w:szCs w:val="32"/>
        </w:rPr>
        <w:t>a Corte di giustizia</w:t>
      </w:r>
      <w:r>
        <w:rPr>
          <w:rFonts w:ascii="Garamond" w:hAnsi="Garamond"/>
          <w:sz w:val="32"/>
          <w:szCs w:val="32"/>
        </w:rPr>
        <w:t xml:space="preserve"> ha comunque affrontato la questione sottopostale attenendosi </w:t>
      </w:r>
      <w:r w:rsidR="0037016C">
        <w:rPr>
          <w:rFonts w:ascii="Garamond" w:hAnsi="Garamond"/>
          <w:sz w:val="32"/>
          <w:szCs w:val="32"/>
        </w:rPr>
        <w:t xml:space="preserve">ai criteri elaborati nelle proprie sentenze, nella piena consapevolezza che </w:t>
      </w:r>
      <w:r w:rsidR="00E82FDB">
        <w:rPr>
          <w:rFonts w:ascii="Garamond" w:hAnsi="Garamond"/>
          <w:sz w:val="32"/>
          <w:szCs w:val="32"/>
        </w:rPr>
        <w:t>il caso</w:t>
      </w:r>
      <w:r w:rsidR="0037016C">
        <w:rPr>
          <w:rFonts w:ascii="Garamond" w:hAnsi="Garamond"/>
          <w:sz w:val="32"/>
          <w:szCs w:val="32"/>
        </w:rPr>
        <w:t xml:space="preserve"> </w:t>
      </w:r>
      <w:r w:rsidR="00E82FDB">
        <w:rPr>
          <w:rFonts w:ascii="Garamond" w:hAnsi="Garamond"/>
          <w:sz w:val="32"/>
          <w:szCs w:val="32"/>
        </w:rPr>
        <w:t>specifico</w:t>
      </w:r>
      <w:r>
        <w:rPr>
          <w:rFonts w:ascii="Garamond" w:hAnsi="Garamond"/>
          <w:sz w:val="32"/>
          <w:szCs w:val="32"/>
        </w:rPr>
        <w:t xml:space="preserve"> presentasse </w:t>
      </w:r>
      <w:r w:rsidR="0037016C">
        <w:rPr>
          <w:rFonts w:ascii="Garamond" w:hAnsi="Garamond"/>
          <w:sz w:val="32"/>
          <w:szCs w:val="32"/>
        </w:rPr>
        <w:t xml:space="preserve">un’ampiezza e un impatto ben diversi dai consolidati esiti della giurisprudenza </w:t>
      </w:r>
      <w:proofErr w:type="spellStart"/>
      <w:r w:rsidR="0037016C">
        <w:rPr>
          <w:rFonts w:ascii="Garamond" w:hAnsi="Garamond"/>
          <w:sz w:val="32"/>
          <w:szCs w:val="32"/>
        </w:rPr>
        <w:t>unionale</w:t>
      </w:r>
      <w:proofErr w:type="spellEnd"/>
      <w:r w:rsidR="0037016C">
        <w:rPr>
          <w:rFonts w:ascii="Garamond" w:hAnsi="Garamond"/>
          <w:sz w:val="32"/>
          <w:szCs w:val="32"/>
        </w:rPr>
        <w:t xml:space="preserve"> già richiamati.</w:t>
      </w:r>
    </w:p>
    <w:p w14:paraId="2639E6A1" w14:textId="3A4D289C" w:rsidR="0037016C" w:rsidRDefault="00A13554" w:rsidP="0037016C">
      <w:pPr>
        <w:spacing w:line="360" w:lineRule="auto"/>
        <w:jc w:val="both"/>
        <w:rPr>
          <w:rFonts w:ascii="Garamond" w:hAnsi="Garamond"/>
          <w:sz w:val="32"/>
          <w:szCs w:val="32"/>
        </w:rPr>
      </w:pPr>
      <w:r>
        <w:rPr>
          <w:rFonts w:ascii="Garamond" w:hAnsi="Garamond"/>
          <w:sz w:val="32"/>
          <w:szCs w:val="32"/>
        </w:rPr>
        <w:t xml:space="preserve">Il quesito </w:t>
      </w:r>
      <w:r w:rsidR="0037016C">
        <w:rPr>
          <w:rFonts w:ascii="Garamond" w:hAnsi="Garamond"/>
          <w:sz w:val="32"/>
          <w:szCs w:val="32"/>
        </w:rPr>
        <w:t>all’esame della Corte è in sintesi se i singoli possano chiedere un risarcimento per i danni alla salute causati dalla violazione dei valori</w:t>
      </w:r>
      <w:r w:rsidR="0014017A">
        <w:rPr>
          <w:rFonts w:ascii="Garamond" w:hAnsi="Garamond"/>
          <w:sz w:val="32"/>
          <w:szCs w:val="32"/>
        </w:rPr>
        <w:t>-</w:t>
      </w:r>
      <w:r w:rsidR="0037016C">
        <w:rPr>
          <w:rFonts w:ascii="Garamond" w:hAnsi="Garamond"/>
          <w:sz w:val="32"/>
          <w:szCs w:val="32"/>
        </w:rPr>
        <w:t xml:space="preserve">limite fissati dalla direttiva 2008/50/CE. La sentenza si concentra perciò sulla verifica della sussistenza delle condizioni per affermare la responsabilità extracontrattuale degli Stati membri per violazione del diritto dell'Unione, così enucleabili in base alla giurisprudenza europea: </w:t>
      </w:r>
    </w:p>
    <w:p w14:paraId="16517CCB" w14:textId="7F8369F2" w:rsidR="0037016C" w:rsidRDefault="0037016C" w:rsidP="0037016C">
      <w:pPr>
        <w:pStyle w:val="Paragrafoelenco"/>
        <w:numPr>
          <w:ilvl w:val="0"/>
          <w:numId w:val="1"/>
        </w:numPr>
        <w:spacing w:line="360" w:lineRule="auto"/>
        <w:jc w:val="both"/>
        <w:rPr>
          <w:rFonts w:ascii="Garamond" w:hAnsi="Garamond"/>
          <w:sz w:val="32"/>
          <w:szCs w:val="32"/>
        </w:rPr>
      </w:pPr>
      <w:r>
        <w:rPr>
          <w:rFonts w:ascii="Garamond" w:hAnsi="Garamond"/>
          <w:sz w:val="32"/>
          <w:szCs w:val="32"/>
        </w:rPr>
        <w:t>se la norma giuridica dell’Unione violata sia preordinata a conferire diritti</w:t>
      </w:r>
      <w:r w:rsidR="006A533B">
        <w:rPr>
          <w:rFonts w:ascii="Garamond" w:hAnsi="Garamond"/>
          <w:sz w:val="32"/>
          <w:szCs w:val="32"/>
        </w:rPr>
        <w:t xml:space="preserve"> </w:t>
      </w:r>
      <w:r w:rsidR="00D87B85">
        <w:rPr>
          <w:rFonts w:ascii="Garamond" w:hAnsi="Garamond"/>
          <w:sz w:val="32"/>
          <w:szCs w:val="32"/>
        </w:rPr>
        <w:t>individuali</w:t>
      </w:r>
      <w:r>
        <w:rPr>
          <w:rFonts w:ascii="Garamond" w:hAnsi="Garamond"/>
          <w:sz w:val="32"/>
          <w:szCs w:val="32"/>
        </w:rPr>
        <w:t>;</w:t>
      </w:r>
    </w:p>
    <w:p w14:paraId="4F2D241A" w14:textId="77777777" w:rsidR="0037016C" w:rsidRDefault="0037016C" w:rsidP="0037016C">
      <w:pPr>
        <w:pStyle w:val="Paragrafoelenco"/>
        <w:numPr>
          <w:ilvl w:val="0"/>
          <w:numId w:val="1"/>
        </w:numPr>
        <w:spacing w:line="360" w:lineRule="auto"/>
        <w:jc w:val="both"/>
        <w:rPr>
          <w:rFonts w:ascii="Garamond" w:hAnsi="Garamond"/>
          <w:sz w:val="32"/>
          <w:szCs w:val="32"/>
        </w:rPr>
      </w:pPr>
      <w:r>
        <w:rPr>
          <w:rFonts w:ascii="Garamond" w:hAnsi="Garamond"/>
          <w:sz w:val="32"/>
          <w:szCs w:val="32"/>
        </w:rPr>
        <w:t>se la violazione di tale norma sia sufficientemente qualificata;</w:t>
      </w:r>
    </w:p>
    <w:p w14:paraId="11CEE7AB" w14:textId="2616AEAC" w:rsidR="0037016C" w:rsidRDefault="0037016C" w:rsidP="0037016C">
      <w:pPr>
        <w:pStyle w:val="Paragrafoelenco"/>
        <w:numPr>
          <w:ilvl w:val="0"/>
          <w:numId w:val="1"/>
        </w:numPr>
        <w:spacing w:line="360" w:lineRule="auto"/>
        <w:jc w:val="both"/>
        <w:rPr>
          <w:rFonts w:ascii="Garamond" w:hAnsi="Garamond"/>
          <w:sz w:val="32"/>
          <w:szCs w:val="32"/>
        </w:rPr>
      </w:pPr>
      <w:r>
        <w:rPr>
          <w:rFonts w:ascii="Garamond" w:hAnsi="Garamond"/>
          <w:sz w:val="32"/>
          <w:szCs w:val="32"/>
        </w:rPr>
        <w:t xml:space="preserve">se sussista un nesso causale diretto tra </w:t>
      </w:r>
      <w:r w:rsidR="00D87B85">
        <w:rPr>
          <w:rFonts w:ascii="Garamond" w:hAnsi="Garamond"/>
          <w:sz w:val="32"/>
          <w:szCs w:val="32"/>
        </w:rPr>
        <w:t>la</w:t>
      </w:r>
      <w:r>
        <w:rPr>
          <w:rFonts w:ascii="Garamond" w:hAnsi="Garamond"/>
          <w:sz w:val="32"/>
          <w:szCs w:val="32"/>
        </w:rPr>
        <w:t xml:space="preserve"> violazione (nello specifico, tra il comportamento omissivo) e il danno subito.</w:t>
      </w:r>
    </w:p>
    <w:p w14:paraId="499A4604" w14:textId="1A2958CB" w:rsidR="0037016C" w:rsidRDefault="0037016C" w:rsidP="0037016C">
      <w:pPr>
        <w:spacing w:line="360" w:lineRule="auto"/>
        <w:jc w:val="both"/>
        <w:rPr>
          <w:rFonts w:ascii="Garamond" w:hAnsi="Garamond"/>
          <w:sz w:val="32"/>
          <w:szCs w:val="32"/>
        </w:rPr>
      </w:pPr>
      <w:r>
        <w:rPr>
          <w:rFonts w:ascii="Garamond" w:hAnsi="Garamond"/>
          <w:sz w:val="32"/>
          <w:szCs w:val="32"/>
        </w:rPr>
        <w:t xml:space="preserve">La verifica ha avuto esito negativo: a giudizio della Corte, la disciplina europea applicabile non è preordinata a conferire diritti ai singoli </w:t>
      </w:r>
      <w:r w:rsidR="002809D2">
        <w:rPr>
          <w:rFonts w:ascii="Garamond" w:hAnsi="Garamond"/>
          <w:sz w:val="32"/>
          <w:szCs w:val="32"/>
        </w:rPr>
        <w:t xml:space="preserve">in relazione ai quali </w:t>
      </w:r>
      <w:r w:rsidR="004A0639">
        <w:rPr>
          <w:rFonts w:ascii="Garamond" w:hAnsi="Garamond"/>
          <w:sz w:val="32"/>
          <w:szCs w:val="32"/>
        </w:rPr>
        <w:t xml:space="preserve">possa </w:t>
      </w:r>
      <w:r w:rsidR="003D50A3">
        <w:rPr>
          <w:rFonts w:ascii="Garamond" w:hAnsi="Garamond"/>
          <w:sz w:val="32"/>
          <w:szCs w:val="32"/>
        </w:rPr>
        <w:t xml:space="preserve">riconoscersi un </w:t>
      </w:r>
      <w:r>
        <w:rPr>
          <w:rFonts w:ascii="Garamond" w:hAnsi="Garamond"/>
          <w:sz w:val="32"/>
          <w:szCs w:val="32"/>
        </w:rPr>
        <w:t xml:space="preserve">risarcimento </w:t>
      </w:r>
      <w:r w:rsidR="003D50A3">
        <w:rPr>
          <w:rFonts w:ascii="Garamond" w:hAnsi="Garamond"/>
          <w:sz w:val="32"/>
          <w:szCs w:val="32"/>
        </w:rPr>
        <w:t>a carico dello</w:t>
      </w:r>
      <w:r>
        <w:rPr>
          <w:rFonts w:ascii="Garamond" w:hAnsi="Garamond"/>
          <w:sz w:val="32"/>
          <w:szCs w:val="32"/>
        </w:rPr>
        <w:t xml:space="preserve"> Stato membro, a titolo</w:t>
      </w:r>
      <w:r w:rsidR="00A17759">
        <w:rPr>
          <w:rFonts w:ascii="Garamond" w:hAnsi="Garamond"/>
          <w:sz w:val="32"/>
          <w:szCs w:val="32"/>
        </w:rPr>
        <w:t xml:space="preserve"> di </w:t>
      </w:r>
      <w:r>
        <w:rPr>
          <w:rFonts w:ascii="Garamond" w:hAnsi="Garamond"/>
          <w:sz w:val="32"/>
          <w:szCs w:val="32"/>
        </w:rPr>
        <w:lastRenderedPageBreak/>
        <w:t>responsabilità per i danni causati da violazioni del diritto dell’Unione ad esso imputabili.</w:t>
      </w:r>
    </w:p>
    <w:p w14:paraId="3E7CD873" w14:textId="77777777" w:rsidR="0037016C" w:rsidRDefault="0037016C" w:rsidP="0037016C">
      <w:pPr>
        <w:spacing w:line="360" w:lineRule="auto"/>
        <w:jc w:val="both"/>
        <w:rPr>
          <w:rFonts w:ascii="Garamond" w:hAnsi="Garamond"/>
          <w:sz w:val="32"/>
          <w:szCs w:val="32"/>
        </w:rPr>
      </w:pPr>
      <w:r>
        <w:rPr>
          <w:rFonts w:ascii="Garamond" w:hAnsi="Garamond"/>
          <w:sz w:val="32"/>
          <w:szCs w:val="32"/>
        </w:rPr>
        <w:t xml:space="preserve">Alla luce di questa conclusione, l’esame delle altre condizioni viene ritenuto superfluo. </w:t>
      </w:r>
    </w:p>
    <w:p w14:paraId="56889B2D" w14:textId="77777777" w:rsidR="0037016C" w:rsidRDefault="0037016C" w:rsidP="0037016C">
      <w:pPr>
        <w:spacing w:line="360" w:lineRule="auto"/>
        <w:jc w:val="both"/>
        <w:rPr>
          <w:rFonts w:ascii="Garamond" w:hAnsi="Garamond"/>
          <w:sz w:val="32"/>
          <w:szCs w:val="32"/>
        </w:rPr>
      </w:pPr>
      <w:r>
        <w:rPr>
          <w:rFonts w:ascii="Garamond" w:hAnsi="Garamond"/>
          <w:sz w:val="32"/>
          <w:szCs w:val="32"/>
        </w:rPr>
        <w:t>Prima di ripercorrere l’</w:t>
      </w:r>
      <w:r>
        <w:rPr>
          <w:rFonts w:ascii="Garamond" w:hAnsi="Garamond"/>
          <w:i/>
          <w:sz w:val="32"/>
          <w:szCs w:val="32"/>
        </w:rPr>
        <w:t>iter</w:t>
      </w:r>
      <w:r>
        <w:rPr>
          <w:rFonts w:ascii="Garamond" w:hAnsi="Garamond"/>
          <w:sz w:val="32"/>
          <w:szCs w:val="32"/>
        </w:rPr>
        <w:t xml:space="preserve"> logico seguito, si reputa opportuno fare un cenno alle questioni non affrontate che </w:t>
      </w:r>
      <w:r w:rsidR="00A17759">
        <w:rPr>
          <w:rFonts w:ascii="Garamond" w:hAnsi="Garamond"/>
          <w:sz w:val="32"/>
          <w:szCs w:val="32"/>
        </w:rPr>
        <w:t xml:space="preserve">pure </w:t>
      </w:r>
      <w:r>
        <w:rPr>
          <w:rFonts w:ascii="Garamond" w:hAnsi="Garamond"/>
          <w:sz w:val="32"/>
          <w:szCs w:val="32"/>
        </w:rPr>
        <w:t>offrono alcuni spunti per la comprensione dell’intera vicenda.</w:t>
      </w:r>
    </w:p>
    <w:p w14:paraId="51B600A9" w14:textId="77777777" w:rsidR="0037016C" w:rsidRDefault="0037016C" w:rsidP="0037016C">
      <w:pPr>
        <w:spacing w:line="360" w:lineRule="auto"/>
        <w:jc w:val="both"/>
        <w:rPr>
          <w:rFonts w:ascii="Garamond" w:hAnsi="Garamond"/>
          <w:sz w:val="32"/>
          <w:szCs w:val="32"/>
        </w:rPr>
      </w:pPr>
      <w:r>
        <w:rPr>
          <w:rFonts w:ascii="Garamond" w:hAnsi="Garamond"/>
          <w:sz w:val="32"/>
          <w:szCs w:val="32"/>
        </w:rPr>
        <w:t>In primo luogo, la violazione qualificata, ovvero “grave e manifesta”</w:t>
      </w:r>
      <w:r>
        <w:rPr>
          <w:rStyle w:val="Rimandonotaapidipagina"/>
          <w:rFonts w:ascii="Garamond" w:hAnsi="Garamond"/>
          <w:sz w:val="32"/>
          <w:szCs w:val="32"/>
        </w:rPr>
        <w:footnoteReference w:id="23"/>
      </w:r>
      <w:r>
        <w:rPr>
          <w:rFonts w:ascii="Garamond" w:hAnsi="Garamond"/>
          <w:sz w:val="32"/>
          <w:szCs w:val="32"/>
        </w:rPr>
        <w:t xml:space="preserve"> era in questo caso indiscutibile perché lo sforamento nella zona di Parigi dei valori-limite fissati dalla direttiva era già stata accertata, a livello europeo, dalla Corte </w:t>
      </w:r>
      <w:r>
        <w:rPr>
          <w:rFonts w:ascii="Garamond" w:hAnsi="Garamond"/>
          <w:sz w:val="32"/>
          <w:szCs w:val="32"/>
        </w:rPr>
        <w:lastRenderedPageBreak/>
        <w:t>di giustizia all’esito di due procedure di infrazione</w:t>
      </w:r>
      <w:r>
        <w:rPr>
          <w:rStyle w:val="Rimandonotaapidipagina"/>
          <w:rFonts w:ascii="Garamond" w:hAnsi="Garamond"/>
          <w:sz w:val="32"/>
          <w:szCs w:val="32"/>
        </w:rPr>
        <w:footnoteReference w:id="24"/>
      </w:r>
      <w:r>
        <w:rPr>
          <w:rFonts w:ascii="Garamond" w:hAnsi="Garamond"/>
          <w:sz w:val="32"/>
          <w:szCs w:val="32"/>
        </w:rPr>
        <w:t xml:space="preserve"> e, a livello nazionale, dal </w:t>
      </w:r>
      <w:proofErr w:type="spellStart"/>
      <w:r>
        <w:rPr>
          <w:rFonts w:ascii="Garamond" w:hAnsi="Garamond"/>
          <w:i/>
          <w:sz w:val="32"/>
          <w:szCs w:val="32"/>
        </w:rPr>
        <w:t>Conseil</w:t>
      </w:r>
      <w:proofErr w:type="spellEnd"/>
      <w:r>
        <w:rPr>
          <w:rFonts w:ascii="Garamond" w:hAnsi="Garamond"/>
          <w:i/>
          <w:sz w:val="32"/>
          <w:szCs w:val="32"/>
        </w:rPr>
        <w:t xml:space="preserve"> d’</w:t>
      </w:r>
      <w:proofErr w:type="spellStart"/>
      <w:r>
        <w:rPr>
          <w:rFonts w:ascii="Garamond" w:hAnsi="Garamond"/>
          <w:i/>
          <w:sz w:val="32"/>
          <w:szCs w:val="32"/>
        </w:rPr>
        <w:t>État</w:t>
      </w:r>
      <w:proofErr w:type="spellEnd"/>
      <w:r>
        <w:rPr>
          <w:rStyle w:val="Rimandonotaapidipagina"/>
          <w:rFonts w:ascii="Garamond" w:hAnsi="Garamond"/>
          <w:sz w:val="32"/>
          <w:szCs w:val="32"/>
        </w:rPr>
        <w:footnoteReference w:id="25"/>
      </w:r>
      <w:r>
        <w:rPr>
          <w:rFonts w:ascii="Garamond" w:hAnsi="Garamond"/>
          <w:sz w:val="32"/>
          <w:szCs w:val="32"/>
        </w:rPr>
        <w:t>.</w:t>
      </w:r>
    </w:p>
    <w:p w14:paraId="4E444223" w14:textId="2650AD99" w:rsidR="0037016C" w:rsidRDefault="0037016C" w:rsidP="0037016C">
      <w:pPr>
        <w:spacing w:line="360" w:lineRule="auto"/>
        <w:jc w:val="both"/>
        <w:rPr>
          <w:rFonts w:ascii="Garamond" w:hAnsi="Garamond"/>
          <w:sz w:val="32"/>
          <w:szCs w:val="32"/>
        </w:rPr>
      </w:pPr>
      <w:r>
        <w:rPr>
          <w:rFonts w:ascii="Garamond" w:hAnsi="Garamond"/>
          <w:sz w:val="32"/>
          <w:szCs w:val="32"/>
        </w:rPr>
        <w:t>Il dato più eclatante (e forse più imbarazzante) è però che questa situazione riguardante la Francia rappresenta solo la punta dell’</w:t>
      </w:r>
      <w:r>
        <w:rPr>
          <w:rFonts w:ascii="Garamond" w:hAnsi="Garamond"/>
          <w:i/>
          <w:sz w:val="32"/>
          <w:szCs w:val="32"/>
        </w:rPr>
        <w:t>iceberg</w:t>
      </w:r>
      <w:r>
        <w:rPr>
          <w:rFonts w:ascii="Garamond" w:hAnsi="Garamond"/>
          <w:sz w:val="32"/>
          <w:szCs w:val="32"/>
        </w:rPr>
        <w:t xml:space="preserve"> di un fenomeno generale di diffusa e persistente violazione delle misure europee tese a migliorare la qualità dell'aria sistematicamente</w:t>
      </w:r>
      <w:r w:rsidR="00A17759">
        <w:rPr>
          <w:rFonts w:ascii="Garamond" w:hAnsi="Garamond"/>
          <w:sz w:val="32"/>
          <w:szCs w:val="32"/>
        </w:rPr>
        <w:t xml:space="preserve"> riscontrata </w:t>
      </w:r>
      <w:r>
        <w:rPr>
          <w:rFonts w:ascii="Garamond" w:hAnsi="Garamond"/>
          <w:sz w:val="32"/>
          <w:szCs w:val="32"/>
        </w:rPr>
        <w:t>dagli studi di settore</w:t>
      </w:r>
      <w:r>
        <w:rPr>
          <w:rStyle w:val="Rimandonotaapidipagina"/>
          <w:rFonts w:ascii="Garamond" w:hAnsi="Garamond"/>
          <w:sz w:val="32"/>
          <w:szCs w:val="32"/>
        </w:rPr>
        <w:footnoteReference w:id="26"/>
      </w:r>
      <w:r>
        <w:rPr>
          <w:rFonts w:ascii="Garamond" w:hAnsi="Garamond"/>
          <w:sz w:val="32"/>
          <w:szCs w:val="32"/>
        </w:rPr>
        <w:t xml:space="preserve"> e dalle sentenze della Corte in sede di</w:t>
      </w:r>
      <w:r>
        <w:t xml:space="preserve"> </w:t>
      </w:r>
      <w:r>
        <w:rPr>
          <w:rFonts w:ascii="Garamond" w:hAnsi="Garamond"/>
          <w:sz w:val="32"/>
          <w:szCs w:val="32"/>
        </w:rPr>
        <w:t>ricorso per inadempimento proposto dalla Commissione</w:t>
      </w:r>
      <w:r>
        <w:rPr>
          <w:rStyle w:val="Rimandonotaapidipagina"/>
          <w:rFonts w:ascii="Garamond" w:hAnsi="Garamond"/>
          <w:sz w:val="32"/>
          <w:szCs w:val="32"/>
        </w:rPr>
        <w:footnoteReference w:id="27"/>
      </w:r>
      <w:r w:rsidR="00A138B8">
        <w:rPr>
          <w:rFonts w:ascii="Garamond" w:hAnsi="Garamond"/>
          <w:sz w:val="32"/>
          <w:szCs w:val="32"/>
        </w:rPr>
        <w:t>, situazione</w:t>
      </w:r>
      <w:r w:rsidR="00B22DFB">
        <w:rPr>
          <w:rFonts w:ascii="Garamond" w:hAnsi="Garamond"/>
          <w:sz w:val="32"/>
          <w:szCs w:val="32"/>
        </w:rPr>
        <w:t xml:space="preserve"> che al momento non sembra facilmente superabile con gli attuali strumenti giuridici e finanziari</w:t>
      </w:r>
      <w:r>
        <w:rPr>
          <w:rFonts w:ascii="Garamond" w:hAnsi="Garamond"/>
          <w:sz w:val="32"/>
          <w:szCs w:val="32"/>
        </w:rPr>
        <w:t xml:space="preserve">. </w:t>
      </w:r>
    </w:p>
    <w:p w14:paraId="2BAA2463" w14:textId="77777777" w:rsidR="0037016C" w:rsidRDefault="0037016C" w:rsidP="0037016C">
      <w:pPr>
        <w:spacing w:line="360" w:lineRule="auto"/>
        <w:jc w:val="both"/>
        <w:rPr>
          <w:rFonts w:ascii="Garamond" w:hAnsi="Garamond" w:cstheme="minorHAnsi"/>
          <w:sz w:val="32"/>
          <w:szCs w:val="32"/>
        </w:rPr>
      </w:pPr>
      <w:r>
        <w:rPr>
          <w:rFonts w:ascii="Garamond" w:hAnsi="Garamond" w:cstheme="minorHAnsi"/>
          <w:sz w:val="32"/>
          <w:szCs w:val="32"/>
        </w:rPr>
        <w:lastRenderedPageBreak/>
        <w:t xml:space="preserve">In secondo luogo, la sentenza non si occupa ovviamente nemmeno del terzo elemento, ovvero del nesso eziologico tra la violazione del diritto </w:t>
      </w:r>
      <w:proofErr w:type="spellStart"/>
      <w:r>
        <w:rPr>
          <w:rFonts w:ascii="Garamond" w:hAnsi="Garamond" w:cstheme="minorHAnsi"/>
          <w:sz w:val="32"/>
          <w:szCs w:val="32"/>
        </w:rPr>
        <w:t>unionale</w:t>
      </w:r>
      <w:proofErr w:type="spellEnd"/>
      <w:r>
        <w:rPr>
          <w:rFonts w:ascii="Garamond" w:hAnsi="Garamond" w:cstheme="minorHAnsi"/>
          <w:sz w:val="32"/>
          <w:szCs w:val="32"/>
        </w:rPr>
        <w:t xml:space="preserve"> e il danno lamentato dal singolo. </w:t>
      </w:r>
    </w:p>
    <w:p w14:paraId="3942C47B" w14:textId="1164B26A" w:rsidR="0037016C" w:rsidRDefault="0037016C" w:rsidP="0037016C">
      <w:pPr>
        <w:spacing w:line="360" w:lineRule="auto"/>
        <w:jc w:val="both"/>
        <w:rPr>
          <w:rFonts w:ascii="Garamond" w:hAnsi="Garamond" w:cstheme="minorHAnsi"/>
          <w:sz w:val="32"/>
          <w:szCs w:val="32"/>
        </w:rPr>
      </w:pPr>
      <w:r>
        <w:rPr>
          <w:rFonts w:ascii="Garamond" w:hAnsi="Garamond" w:cstheme="minorHAnsi"/>
          <w:sz w:val="32"/>
          <w:szCs w:val="32"/>
        </w:rPr>
        <w:t>Nelle conclusioni dell’Avvocato generale</w:t>
      </w:r>
      <w:r>
        <w:rPr>
          <w:rFonts w:ascii="Garamond" w:hAnsi="Garamond"/>
          <w:sz w:val="32"/>
          <w:szCs w:val="32"/>
        </w:rPr>
        <w:t xml:space="preserve"> </w:t>
      </w:r>
      <w:proofErr w:type="spellStart"/>
      <w:r>
        <w:rPr>
          <w:rFonts w:ascii="Garamond" w:hAnsi="Garamond" w:cstheme="minorHAnsi"/>
          <w:sz w:val="32"/>
          <w:szCs w:val="32"/>
        </w:rPr>
        <w:t>Kokott</w:t>
      </w:r>
      <w:proofErr w:type="spellEnd"/>
      <w:r>
        <w:rPr>
          <w:rFonts w:ascii="Garamond" w:hAnsi="Garamond" w:cstheme="minorHAnsi"/>
          <w:sz w:val="32"/>
          <w:szCs w:val="32"/>
        </w:rPr>
        <w:t>, presentate il 5 maggio 2022</w:t>
      </w:r>
      <w:r>
        <w:rPr>
          <w:rStyle w:val="Rimandonotaapidipagina"/>
          <w:rFonts w:ascii="Garamond" w:hAnsi="Garamond"/>
          <w:sz w:val="32"/>
          <w:szCs w:val="32"/>
        </w:rPr>
        <w:footnoteReference w:id="28"/>
      </w:r>
      <w:r>
        <w:rPr>
          <w:rFonts w:ascii="Garamond" w:hAnsi="Garamond" w:cstheme="minorHAnsi"/>
          <w:sz w:val="32"/>
          <w:szCs w:val="32"/>
        </w:rPr>
        <w:t>, che, come meglio riferito in seguito, esprime un parere diverso sulla</w:t>
      </w:r>
      <w:r w:rsidR="00A138B8">
        <w:rPr>
          <w:rFonts w:ascii="Garamond" w:hAnsi="Garamond" w:cstheme="minorHAnsi"/>
          <w:sz w:val="32"/>
          <w:szCs w:val="32"/>
        </w:rPr>
        <w:t xml:space="preserve"> posizione </w:t>
      </w:r>
      <w:r>
        <w:rPr>
          <w:rFonts w:ascii="Garamond" w:hAnsi="Garamond" w:cstheme="minorHAnsi"/>
          <w:sz w:val="32"/>
          <w:szCs w:val="32"/>
        </w:rPr>
        <w:t>giuridica del ricorrente, il tema viene invece toccato. In realtà soprattutto vengono qui evidenziate,</w:t>
      </w:r>
      <w:r w:rsidR="00576F5B">
        <w:rPr>
          <w:rFonts w:ascii="Garamond" w:hAnsi="Garamond" w:cstheme="minorHAnsi"/>
          <w:sz w:val="32"/>
          <w:szCs w:val="32"/>
        </w:rPr>
        <w:t xml:space="preserve"> con osservazioni di carattere </w:t>
      </w:r>
      <w:r>
        <w:rPr>
          <w:rFonts w:ascii="Garamond" w:hAnsi="Garamond" w:cstheme="minorHAnsi"/>
          <w:sz w:val="32"/>
          <w:szCs w:val="32"/>
        </w:rPr>
        <w:t>generale, le difficoltà di accertamento del nesso causale,</w:t>
      </w:r>
      <w:r w:rsidR="00576F5B">
        <w:rPr>
          <w:rFonts w:ascii="Garamond" w:hAnsi="Garamond" w:cstheme="minorHAnsi"/>
          <w:sz w:val="32"/>
          <w:szCs w:val="32"/>
        </w:rPr>
        <w:t xml:space="preserve"> dato che </w:t>
      </w:r>
      <w:r>
        <w:rPr>
          <w:rFonts w:ascii="Garamond" w:hAnsi="Garamond" w:cstheme="minorHAnsi"/>
          <w:sz w:val="32"/>
          <w:szCs w:val="32"/>
        </w:rPr>
        <w:t>la valutazione delle prove e gli accertamenti sul fatto rimangono riservati al giudice nazionale sulla base delle norme di procedura dello Stato membro.</w:t>
      </w:r>
    </w:p>
    <w:p w14:paraId="51786658" w14:textId="77777777" w:rsidR="0037016C" w:rsidRDefault="0037016C" w:rsidP="0037016C">
      <w:pPr>
        <w:spacing w:line="360" w:lineRule="auto"/>
        <w:jc w:val="both"/>
        <w:rPr>
          <w:rFonts w:ascii="Garamond" w:hAnsi="Garamond" w:cstheme="minorHAnsi"/>
          <w:sz w:val="32"/>
          <w:szCs w:val="32"/>
        </w:rPr>
      </w:pPr>
      <w:r>
        <w:rPr>
          <w:rFonts w:ascii="Garamond" w:hAnsi="Garamond" w:cstheme="minorHAnsi"/>
          <w:sz w:val="32"/>
          <w:szCs w:val="32"/>
        </w:rPr>
        <w:t>In questo ristretto ambito (e prescindendo dalle regole processuali dei singoli Paesi), l’Avvocato generale si limita a sottolineare che la dimostrazione rigorosa necessita, tra l’altro, di una documentazione medica completa che segua il decorso della malattia e di studi clinici che dimostrino la correlazione tra il livello di inquinamento (anche questo d’attestare) e la patologia, sicché la prova difficilmente può essere raggiunta senza l’utilizzo di criteri presuntivi.</w:t>
      </w:r>
    </w:p>
    <w:p w14:paraId="12FB18A3" w14:textId="03D9E4F6" w:rsidR="0037016C" w:rsidRDefault="0037016C" w:rsidP="0037016C">
      <w:pPr>
        <w:spacing w:line="360" w:lineRule="auto"/>
        <w:jc w:val="both"/>
        <w:rPr>
          <w:rFonts w:ascii="Garamond" w:hAnsi="Garamond" w:cstheme="minorHAnsi"/>
          <w:sz w:val="32"/>
          <w:szCs w:val="32"/>
        </w:rPr>
      </w:pPr>
      <w:r>
        <w:rPr>
          <w:rFonts w:ascii="Garamond" w:hAnsi="Garamond" w:cstheme="minorHAnsi"/>
          <w:sz w:val="32"/>
          <w:szCs w:val="32"/>
        </w:rPr>
        <w:t xml:space="preserve">Nel complesso viene evocata una serie di questioni inerenti al nesso causale dibattuta anche a livello nazionale a cui si può in questa sede solo accennare: da un lato, la ricerca di metodi oggettivi </w:t>
      </w:r>
      <w:r w:rsidR="00391656">
        <w:rPr>
          <w:rFonts w:ascii="Garamond" w:hAnsi="Garamond" w:cstheme="minorHAnsi"/>
          <w:sz w:val="32"/>
          <w:szCs w:val="32"/>
        </w:rPr>
        <w:t xml:space="preserve">di </w:t>
      </w:r>
      <w:r>
        <w:rPr>
          <w:rFonts w:ascii="Garamond" w:hAnsi="Garamond" w:cstheme="minorHAnsi"/>
          <w:sz w:val="32"/>
          <w:szCs w:val="32"/>
        </w:rPr>
        <w:t>tipo scientifico per risalire al fatto, con l’applicazione di criteri</w:t>
      </w:r>
      <w:r>
        <w:t xml:space="preserve"> </w:t>
      </w:r>
      <w:r>
        <w:rPr>
          <w:rFonts w:ascii="Garamond" w:hAnsi="Garamond" w:cstheme="minorHAnsi"/>
          <w:sz w:val="32"/>
          <w:szCs w:val="32"/>
        </w:rPr>
        <w:t xml:space="preserve">statistici di probabilità; dall’altro, l’esigenza di </w:t>
      </w:r>
      <w:r>
        <w:rPr>
          <w:rFonts w:ascii="Garamond" w:hAnsi="Garamond" w:cstheme="minorHAnsi"/>
          <w:sz w:val="32"/>
          <w:szCs w:val="32"/>
        </w:rPr>
        <w:lastRenderedPageBreak/>
        <w:t>delimitare ragionevolmente l’area del risarcimento nei casi di</w:t>
      </w:r>
      <w:r>
        <w:t xml:space="preserve"> </w:t>
      </w:r>
      <w:r>
        <w:rPr>
          <w:rFonts w:ascii="Garamond" w:hAnsi="Garamond" w:cstheme="minorHAnsi"/>
          <w:sz w:val="32"/>
          <w:szCs w:val="32"/>
        </w:rPr>
        <w:t>responsabilità per colpa, soprattutto se derivante da</w:t>
      </w:r>
      <w:r>
        <w:t xml:space="preserve"> </w:t>
      </w:r>
      <w:r>
        <w:rPr>
          <w:rFonts w:ascii="Garamond" w:hAnsi="Garamond" w:cstheme="minorHAnsi"/>
          <w:sz w:val="32"/>
          <w:szCs w:val="32"/>
        </w:rPr>
        <w:t>omissione</w:t>
      </w:r>
      <w:r>
        <w:rPr>
          <w:rStyle w:val="Rimandonotaapidipagina"/>
          <w:rFonts w:ascii="Garamond" w:hAnsi="Garamond" w:cstheme="minorHAnsi"/>
          <w:sz w:val="32"/>
          <w:szCs w:val="32"/>
        </w:rPr>
        <w:footnoteReference w:id="29"/>
      </w:r>
      <w:r>
        <w:rPr>
          <w:rFonts w:ascii="Garamond" w:hAnsi="Garamond" w:cstheme="minorHAnsi"/>
          <w:sz w:val="32"/>
          <w:szCs w:val="32"/>
        </w:rPr>
        <w:t xml:space="preserve">. </w:t>
      </w:r>
    </w:p>
    <w:p w14:paraId="45ECD073" w14:textId="77777777" w:rsidR="0037016C" w:rsidRDefault="0037016C" w:rsidP="0037016C">
      <w:pPr>
        <w:spacing w:line="360" w:lineRule="auto"/>
        <w:jc w:val="both"/>
        <w:rPr>
          <w:rFonts w:ascii="Garamond" w:hAnsi="Garamond" w:cstheme="minorHAnsi"/>
          <w:sz w:val="32"/>
          <w:szCs w:val="32"/>
        </w:rPr>
      </w:pPr>
      <w:r>
        <w:rPr>
          <w:rFonts w:ascii="Garamond" w:hAnsi="Garamond" w:cstheme="minorHAnsi"/>
          <w:sz w:val="32"/>
          <w:szCs w:val="32"/>
        </w:rPr>
        <w:t>È inevitabile allora riflettere sul dato comune costituito dal ruolo del nesso eziologico, che, in un’epoca in cui la giurisprudenza ha reso mobili i confini del danno ingiusto</w:t>
      </w:r>
      <w:r>
        <w:rPr>
          <w:rStyle w:val="Rimandonotaapidipagina"/>
          <w:rFonts w:ascii="Garamond" w:hAnsi="Garamond" w:cstheme="minorHAnsi"/>
          <w:sz w:val="32"/>
          <w:szCs w:val="32"/>
        </w:rPr>
        <w:footnoteReference w:id="30"/>
      </w:r>
      <w:r>
        <w:rPr>
          <w:rFonts w:ascii="Garamond" w:hAnsi="Garamond" w:cstheme="minorHAnsi"/>
          <w:sz w:val="32"/>
          <w:szCs w:val="32"/>
        </w:rPr>
        <w:t xml:space="preserve"> e in cui il diffondersi delle attività umane complesse e spesso pericolose ha moltiplicato e inasprito i doveri di protezione e di sorveglianza, finisce per assumere il ruolo di meccanismo di modulazione in concreto della risarcibilità dei danni</w:t>
      </w:r>
      <w:r>
        <w:rPr>
          <w:rStyle w:val="Rimandonotaapidipagina"/>
          <w:rFonts w:ascii="Garamond" w:hAnsi="Garamond" w:cstheme="minorHAnsi"/>
          <w:sz w:val="32"/>
          <w:szCs w:val="32"/>
        </w:rPr>
        <w:footnoteReference w:id="31"/>
      </w:r>
      <w:r>
        <w:rPr>
          <w:rFonts w:ascii="Garamond" w:hAnsi="Garamond" w:cstheme="minorHAnsi"/>
          <w:sz w:val="32"/>
          <w:szCs w:val="32"/>
        </w:rPr>
        <w:t xml:space="preserve">. </w:t>
      </w:r>
    </w:p>
    <w:p w14:paraId="29059E33" w14:textId="77777777" w:rsidR="0037016C" w:rsidRDefault="0037016C" w:rsidP="0037016C">
      <w:pPr>
        <w:spacing w:line="360" w:lineRule="auto"/>
        <w:jc w:val="both"/>
        <w:rPr>
          <w:rFonts w:ascii="Garamond" w:hAnsi="Garamond" w:cstheme="minorHAnsi"/>
          <w:sz w:val="32"/>
          <w:szCs w:val="32"/>
        </w:rPr>
      </w:pPr>
      <w:r>
        <w:rPr>
          <w:rFonts w:ascii="Garamond" w:hAnsi="Garamond" w:cstheme="minorHAnsi"/>
          <w:sz w:val="32"/>
          <w:szCs w:val="32"/>
        </w:rPr>
        <w:t>Per tornare al contenuto della sentenza, la motivazione è incentrata</w:t>
      </w:r>
      <w:r>
        <w:rPr>
          <w:rFonts w:ascii="Garamond" w:hAnsi="Garamond"/>
          <w:sz w:val="32"/>
          <w:szCs w:val="32"/>
        </w:rPr>
        <w:t xml:space="preserve"> sulla questione se le norme </w:t>
      </w:r>
      <w:r>
        <w:rPr>
          <w:rFonts w:ascii="Garamond" w:hAnsi="Garamond" w:cstheme="minorHAnsi"/>
          <w:sz w:val="32"/>
          <w:szCs w:val="32"/>
        </w:rPr>
        <w:t>dell’Unione che si occupano di qualità dell’aria siano (o meno) preordinate a conferire diritti ai singoli, sicché questi possano agire per l’accertamento della responsabilità dello Stato.</w:t>
      </w:r>
    </w:p>
    <w:p w14:paraId="5792DCDF" w14:textId="21EF14DC" w:rsidR="0037016C" w:rsidRDefault="0037016C" w:rsidP="0037016C">
      <w:pPr>
        <w:spacing w:line="360" w:lineRule="auto"/>
        <w:jc w:val="both"/>
        <w:rPr>
          <w:rFonts w:ascii="Garamond" w:hAnsi="Garamond" w:cstheme="minorHAnsi"/>
          <w:sz w:val="32"/>
          <w:szCs w:val="32"/>
        </w:rPr>
      </w:pPr>
      <w:r>
        <w:rPr>
          <w:rFonts w:ascii="Garamond" w:hAnsi="Garamond" w:cstheme="minorHAnsi"/>
          <w:sz w:val="32"/>
          <w:szCs w:val="32"/>
        </w:rPr>
        <w:t xml:space="preserve">Il ragionamento parte dall’individuazione degli obblighi degli Stati membri stabiliti dalle direttive 2008/50, </w:t>
      </w:r>
      <w:r w:rsidR="00326676">
        <w:rPr>
          <w:rFonts w:ascii="Garamond" w:hAnsi="Garamond" w:cstheme="minorHAnsi"/>
          <w:sz w:val="32"/>
          <w:szCs w:val="32"/>
        </w:rPr>
        <w:t>19</w:t>
      </w:r>
      <w:r>
        <w:rPr>
          <w:rFonts w:ascii="Garamond" w:hAnsi="Garamond" w:cstheme="minorHAnsi"/>
          <w:sz w:val="32"/>
          <w:szCs w:val="32"/>
        </w:rPr>
        <w:t xml:space="preserve">96/62, 1999/30, </w:t>
      </w:r>
      <w:r w:rsidR="00B06E6C">
        <w:rPr>
          <w:rFonts w:ascii="Garamond" w:hAnsi="Garamond" w:cstheme="minorHAnsi"/>
          <w:sz w:val="32"/>
          <w:szCs w:val="32"/>
        </w:rPr>
        <w:t>19</w:t>
      </w:r>
      <w:r>
        <w:rPr>
          <w:rFonts w:ascii="Garamond" w:hAnsi="Garamond" w:cstheme="minorHAnsi"/>
          <w:sz w:val="32"/>
          <w:szCs w:val="32"/>
        </w:rPr>
        <w:t xml:space="preserve">80/779 e </w:t>
      </w:r>
      <w:r w:rsidR="00B06E6C">
        <w:rPr>
          <w:rFonts w:ascii="Garamond" w:hAnsi="Garamond" w:cstheme="minorHAnsi"/>
          <w:sz w:val="32"/>
          <w:szCs w:val="32"/>
        </w:rPr>
        <w:t>19</w:t>
      </w:r>
      <w:r>
        <w:rPr>
          <w:rFonts w:ascii="Garamond" w:hAnsi="Garamond" w:cstheme="minorHAnsi"/>
          <w:sz w:val="32"/>
          <w:szCs w:val="32"/>
        </w:rPr>
        <w:t>85/203</w:t>
      </w:r>
      <w:r>
        <w:rPr>
          <w:rStyle w:val="Rimandonotaapidipagina"/>
          <w:rFonts w:ascii="Garamond" w:hAnsi="Garamond" w:cstheme="minorHAnsi"/>
          <w:sz w:val="32"/>
          <w:szCs w:val="32"/>
        </w:rPr>
        <w:footnoteReference w:id="32"/>
      </w:r>
      <w:r>
        <w:rPr>
          <w:rFonts w:ascii="Garamond" w:hAnsi="Garamond" w:cstheme="minorHAnsi"/>
          <w:sz w:val="32"/>
          <w:szCs w:val="32"/>
        </w:rPr>
        <w:t xml:space="preserve">, per giungere alla conclusione che, attraverso questi, l’Unione persegua “un obiettivo generale di protezione della salute umana e dell’ambiente nel suo complesso”. Di conseguenza, la Corte reputa che non siano attribuiti, né </w:t>
      </w:r>
      <w:r>
        <w:rPr>
          <w:rFonts w:ascii="Garamond" w:hAnsi="Garamond" w:cstheme="minorHAnsi"/>
          <w:sz w:val="32"/>
          <w:szCs w:val="32"/>
        </w:rPr>
        <w:lastRenderedPageBreak/>
        <w:t xml:space="preserve">esplicitamente (perché le direttive non ne fanno menzione), né implicitamente (stante la finalità generale degli atti </w:t>
      </w:r>
      <w:proofErr w:type="spellStart"/>
      <w:r>
        <w:rPr>
          <w:rFonts w:ascii="Garamond" w:hAnsi="Garamond" w:cstheme="minorHAnsi"/>
          <w:sz w:val="32"/>
          <w:szCs w:val="32"/>
        </w:rPr>
        <w:t>unionali</w:t>
      </w:r>
      <w:proofErr w:type="spellEnd"/>
      <w:r>
        <w:rPr>
          <w:rFonts w:ascii="Garamond" w:hAnsi="Garamond" w:cstheme="minorHAnsi"/>
          <w:sz w:val="32"/>
          <w:szCs w:val="32"/>
        </w:rPr>
        <w:t>), “diritti individuali la cui violazione possa far sorgere la responsabilità di uno Stato membro per danni causati ai singoli” (punti 55 e 56). Questi ultimi possono invece “ottenere</w:t>
      </w:r>
      <w:r>
        <w:t xml:space="preserve"> </w:t>
      </w:r>
      <w:r>
        <w:rPr>
          <w:rFonts w:ascii="Garamond" w:hAnsi="Garamond" w:cstheme="minorHAnsi"/>
          <w:sz w:val="32"/>
          <w:szCs w:val="32"/>
        </w:rPr>
        <w:t>dalle autorità nazionali, eventualmente agendo dinanzi ai giudici competenti, l’adozione delle misure richieste da tali direttive”, compresa la predisposizione dei piani colà previsti</w:t>
      </w:r>
      <w:r>
        <w:rPr>
          <w:rStyle w:val="Rimandonotaapidipagina"/>
          <w:rFonts w:ascii="Garamond" w:hAnsi="Garamond" w:cstheme="minorHAnsi"/>
          <w:sz w:val="32"/>
          <w:szCs w:val="32"/>
        </w:rPr>
        <w:footnoteReference w:id="33"/>
      </w:r>
      <w:r>
        <w:rPr>
          <w:rFonts w:ascii="Garamond" w:hAnsi="Garamond" w:cstheme="minorHAnsi"/>
          <w:sz w:val="32"/>
          <w:szCs w:val="32"/>
        </w:rPr>
        <w:t xml:space="preserve">. </w:t>
      </w:r>
    </w:p>
    <w:p w14:paraId="383048C1" w14:textId="69CCA671" w:rsidR="0037016C" w:rsidRDefault="0037016C" w:rsidP="0037016C">
      <w:pPr>
        <w:spacing w:line="360" w:lineRule="auto"/>
        <w:jc w:val="both"/>
        <w:rPr>
          <w:rFonts w:ascii="Garamond" w:hAnsi="Garamond" w:cstheme="minorHAnsi"/>
          <w:sz w:val="32"/>
          <w:szCs w:val="32"/>
        </w:rPr>
      </w:pPr>
      <w:r>
        <w:rPr>
          <w:rFonts w:ascii="Garamond" w:hAnsi="Garamond" w:cstheme="minorHAnsi"/>
          <w:sz w:val="32"/>
          <w:szCs w:val="32"/>
        </w:rPr>
        <w:t>Puntualizza infine la Corte</w:t>
      </w:r>
      <w:r w:rsidR="00343CEF">
        <w:rPr>
          <w:rFonts w:ascii="Garamond" w:hAnsi="Garamond" w:cstheme="minorHAnsi"/>
          <w:sz w:val="32"/>
          <w:szCs w:val="32"/>
        </w:rPr>
        <w:t>, in un quadro di integrazione degli strumenti di tutela,</w:t>
      </w:r>
      <w:r>
        <w:rPr>
          <w:rFonts w:ascii="Garamond" w:hAnsi="Garamond" w:cstheme="minorHAnsi"/>
          <w:sz w:val="32"/>
          <w:szCs w:val="32"/>
        </w:rPr>
        <w:t xml:space="preserve"> che non possono escludersi </w:t>
      </w:r>
      <w:r>
        <w:rPr>
          <w:rFonts w:ascii="Garamond" w:hAnsi="Garamond" w:cstheme="minorHAnsi"/>
          <w:i/>
          <w:sz w:val="32"/>
          <w:szCs w:val="32"/>
        </w:rPr>
        <w:t>tout court</w:t>
      </w:r>
      <w:r>
        <w:rPr>
          <w:rFonts w:ascii="Garamond" w:hAnsi="Garamond" w:cstheme="minorHAnsi"/>
          <w:sz w:val="32"/>
          <w:szCs w:val="32"/>
        </w:rPr>
        <w:t xml:space="preserve"> né la responsabilità dello Stato nei confronti dell’individuo (essa però dovrà essere comunque</w:t>
      </w:r>
      <w:r w:rsidR="00226B21">
        <w:rPr>
          <w:rFonts w:ascii="Garamond" w:hAnsi="Garamond" w:cstheme="minorHAnsi"/>
          <w:sz w:val="32"/>
          <w:szCs w:val="32"/>
        </w:rPr>
        <w:t xml:space="preserve"> accertata </w:t>
      </w:r>
      <w:r>
        <w:rPr>
          <w:rFonts w:ascii="Garamond" w:hAnsi="Garamond" w:cstheme="minorHAnsi"/>
          <w:sz w:val="32"/>
          <w:szCs w:val="32"/>
        </w:rPr>
        <w:t>in base al diritto nazionale, proprio perché il diritto dell’Unione non la riconosce), né altre pronunce di giudici nazionali di condanna o di tipo propulsivo (punti 63 e 64)</w:t>
      </w:r>
      <w:r>
        <w:rPr>
          <w:rStyle w:val="Rimandonotaapidipagina"/>
          <w:rFonts w:ascii="Garamond" w:hAnsi="Garamond" w:cstheme="minorHAnsi"/>
          <w:sz w:val="32"/>
          <w:szCs w:val="32"/>
        </w:rPr>
        <w:footnoteReference w:id="34"/>
      </w:r>
      <w:r>
        <w:rPr>
          <w:rFonts w:ascii="Garamond" w:hAnsi="Garamond" w:cstheme="minorHAnsi"/>
          <w:sz w:val="32"/>
          <w:szCs w:val="32"/>
        </w:rPr>
        <w:t>.</w:t>
      </w:r>
    </w:p>
    <w:p w14:paraId="2F63E39D" w14:textId="5E339985" w:rsidR="0037016C" w:rsidRDefault="0037016C" w:rsidP="0037016C">
      <w:pPr>
        <w:spacing w:line="360" w:lineRule="auto"/>
        <w:jc w:val="both"/>
        <w:rPr>
          <w:rFonts w:ascii="Garamond" w:hAnsi="Garamond" w:cstheme="minorHAnsi"/>
          <w:sz w:val="32"/>
          <w:szCs w:val="32"/>
        </w:rPr>
      </w:pPr>
      <w:r>
        <w:rPr>
          <w:rFonts w:ascii="Garamond" w:hAnsi="Garamond" w:cstheme="minorHAnsi"/>
          <w:sz w:val="32"/>
          <w:szCs w:val="32"/>
        </w:rPr>
        <w:t>La</w:t>
      </w:r>
      <w:r w:rsidR="00226B21">
        <w:rPr>
          <w:rFonts w:ascii="Garamond" w:hAnsi="Garamond" w:cstheme="minorHAnsi"/>
          <w:sz w:val="32"/>
          <w:szCs w:val="32"/>
        </w:rPr>
        <w:t xml:space="preserve"> sentenza </w:t>
      </w:r>
      <w:r>
        <w:rPr>
          <w:rFonts w:ascii="Garamond" w:hAnsi="Garamond" w:cstheme="minorHAnsi"/>
          <w:sz w:val="32"/>
          <w:szCs w:val="32"/>
        </w:rPr>
        <w:t>apre le porte a più interrogativi e a più riflessioni.</w:t>
      </w:r>
    </w:p>
    <w:p w14:paraId="261FCD29" w14:textId="77777777" w:rsidR="0037016C" w:rsidRDefault="0037016C" w:rsidP="0037016C">
      <w:pPr>
        <w:spacing w:line="360" w:lineRule="auto"/>
        <w:jc w:val="both"/>
        <w:rPr>
          <w:rFonts w:ascii="Garamond" w:hAnsi="Garamond" w:cstheme="minorHAnsi"/>
          <w:sz w:val="32"/>
          <w:szCs w:val="32"/>
        </w:rPr>
      </w:pPr>
      <w:r>
        <w:rPr>
          <w:rFonts w:ascii="Garamond" w:hAnsi="Garamond" w:cstheme="minorHAnsi"/>
          <w:sz w:val="32"/>
          <w:szCs w:val="32"/>
        </w:rPr>
        <w:t>Innanzitutto, risulta subito evidente che il nucleo problematico della decisione consiste nella definizione della norma protettiva (cioè di quella norma dell’Unione europea che attribuisce diritti individuali).</w:t>
      </w:r>
    </w:p>
    <w:p w14:paraId="2D0E708B" w14:textId="0FBF4671" w:rsidR="0037016C" w:rsidRDefault="0037016C" w:rsidP="0037016C">
      <w:pPr>
        <w:spacing w:line="360" w:lineRule="auto"/>
        <w:jc w:val="both"/>
        <w:rPr>
          <w:rFonts w:ascii="Garamond" w:hAnsi="Garamond" w:cstheme="minorHAnsi"/>
          <w:sz w:val="32"/>
          <w:szCs w:val="32"/>
        </w:rPr>
      </w:pPr>
      <w:r>
        <w:rPr>
          <w:rFonts w:ascii="Garamond" w:hAnsi="Garamond" w:cstheme="minorHAnsi"/>
          <w:sz w:val="32"/>
          <w:szCs w:val="32"/>
        </w:rPr>
        <w:t>È una nozione tratta dalla dottrina tedesca che ha</w:t>
      </w:r>
      <w:r w:rsidR="00A138B8">
        <w:rPr>
          <w:rFonts w:ascii="Garamond" w:hAnsi="Garamond" w:cstheme="minorHAnsi"/>
          <w:sz w:val="32"/>
          <w:szCs w:val="32"/>
        </w:rPr>
        <w:t xml:space="preserve"> lambito </w:t>
      </w:r>
      <w:r>
        <w:rPr>
          <w:rFonts w:ascii="Garamond" w:hAnsi="Garamond" w:cstheme="minorHAnsi"/>
          <w:sz w:val="32"/>
          <w:szCs w:val="32"/>
        </w:rPr>
        <w:t xml:space="preserve">anche il dibattito </w:t>
      </w:r>
      <w:r w:rsidR="0070044C" w:rsidRPr="0070044C">
        <w:rPr>
          <w:rFonts w:ascii="Garamond" w:hAnsi="Garamond"/>
          <w:sz w:val="32"/>
          <w:szCs w:val="32"/>
        </w:rPr>
        <w:t>sulla</w:t>
      </w:r>
      <w:r w:rsidR="0070044C">
        <w:t xml:space="preserve"> </w:t>
      </w:r>
      <w:r w:rsidR="0070044C" w:rsidRPr="0070044C">
        <w:rPr>
          <w:rFonts w:ascii="Garamond" w:hAnsi="Garamond" w:cstheme="minorHAnsi"/>
          <w:sz w:val="32"/>
          <w:szCs w:val="32"/>
        </w:rPr>
        <w:t>figura dell’interesse legittimo e</w:t>
      </w:r>
      <w:r w:rsidR="0070044C">
        <w:rPr>
          <w:rFonts w:ascii="Garamond" w:hAnsi="Garamond" w:cstheme="minorHAnsi"/>
          <w:sz w:val="32"/>
          <w:szCs w:val="32"/>
        </w:rPr>
        <w:t xml:space="preserve"> sulla </w:t>
      </w:r>
      <w:r w:rsidR="0070044C" w:rsidRPr="0070044C">
        <w:rPr>
          <w:rFonts w:ascii="Garamond" w:hAnsi="Garamond" w:cstheme="minorHAnsi"/>
          <w:sz w:val="32"/>
          <w:szCs w:val="32"/>
        </w:rPr>
        <w:t>sua risarcibilità e</w:t>
      </w:r>
      <w:r w:rsidR="0070044C">
        <w:rPr>
          <w:rFonts w:ascii="Garamond" w:hAnsi="Garamond" w:cstheme="minorHAnsi"/>
          <w:sz w:val="32"/>
          <w:szCs w:val="32"/>
        </w:rPr>
        <w:t xml:space="preserve"> di riflesso sul </w:t>
      </w:r>
      <w:r w:rsidR="0070044C" w:rsidRPr="0070044C">
        <w:rPr>
          <w:rFonts w:ascii="Garamond" w:hAnsi="Garamond" w:cstheme="minorHAnsi"/>
          <w:sz w:val="32"/>
          <w:szCs w:val="32"/>
        </w:rPr>
        <w:t xml:space="preserve">riparto </w:t>
      </w:r>
      <w:r w:rsidR="0070044C" w:rsidRPr="0070044C">
        <w:rPr>
          <w:rFonts w:ascii="Garamond" w:hAnsi="Garamond" w:cstheme="minorHAnsi"/>
          <w:sz w:val="32"/>
          <w:szCs w:val="32"/>
        </w:rPr>
        <w:lastRenderedPageBreak/>
        <w:t>di giurisdizione</w:t>
      </w:r>
      <w:r w:rsidR="002B7407">
        <w:rPr>
          <w:rFonts w:ascii="Garamond" w:hAnsi="Garamond" w:cstheme="minorHAnsi"/>
          <w:sz w:val="32"/>
          <w:szCs w:val="32"/>
        </w:rPr>
        <w:t xml:space="preserve"> tra i </w:t>
      </w:r>
      <w:r w:rsidR="002B7407" w:rsidRPr="002B7407">
        <w:rPr>
          <w:rFonts w:ascii="Garamond" w:hAnsi="Garamond" w:cstheme="minorHAnsi"/>
          <w:sz w:val="32"/>
          <w:szCs w:val="32"/>
        </w:rPr>
        <w:t>pubblicisti in Italia</w:t>
      </w:r>
      <w:r>
        <w:rPr>
          <w:rFonts w:ascii="Garamond" w:hAnsi="Garamond" w:cstheme="minorHAnsi"/>
          <w:sz w:val="32"/>
          <w:szCs w:val="32"/>
        </w:rPr>
        <w:t xml:space="preserve">, soprattutto </w:t>
      </w:r>
      <w:r w:rsidR="00A138B8">
        <w:rPr>
          <w:rFonts w:ascii="Garamond" w:hAnsi="Garamond" w:cstheme="minorHAnsi"/>
          <w:sz w:val="32"/>
          <w:szCs w:val="32"/>
        </w:rPr>
        <w:t xml:space="preserve">nella prima parte del secolo </w:t>
      </w:r>
      <w:r w:rsidR="00E12A9E">
        <w:rPr>
          <w:rFonts w:ascii="Garamond" w:hAnsi="Garamond" w:cstheme="minorHAnsi"/>
          <w:sz w:val="32"/>
          <w:szCs w:val="32"/>
        </w:rPr>
        <w:t>scorso</w:t>
      </w:r>
      <w:r>
        <w:rPr>
          <w:rFonts w:ascii="Garamond" w:hAnsi="Garamond" w:cstheme="minorHAnsi"/>
          <w:sz w:val="32"/>
          <w:szCs w:val="32"/>
        </w:rPr>
        <w:t>.</w:t>
      </w:r>
    </w:p>
    <w:p w14:paraId="1E004563" w14:textId="77777777" w:rsidR="0037016C" w:rsidRDefault="0037016C" w:rsidP="0037016C">
      <w:pPr>
        <w:spacing w:line="360" w:lineRule="auto"/>
        <w:jc w:val="both"/>
        <w:rPr>
          <w:rFonts w:ascii="Garamond" w:hAnsi="Garamond" w:cstheme="minorHAnsi"/>
          <w:sz w:val="32"/>
          <w:szCs w:val="32"/>
        </w:rPr>
      </w:pPr>
      <w:r>
        <w:rPr>
          <w:rFonts w:ascii="Garamond" w:hAnsi="Garamond" w:cstheme="minorHAnsi"/>
          <w:sz w:val="32"/>
          <w:szCs w:val="32"/>
        </w:rPr>
        <w:t xml:space="preserve">In sintesi, nell’ambito dell’elaborazione del diritto pubblico soggettivo (consistente in un potere del singolo funzionale al perseguimento di un proprio interesse attribuito, esplicitamente o implicitamente, da una norma di diritto pubblico), compiuta alla fine del XIX secolo principalmente da Carl von </w:t>
      </w:r>
      <w:proofErr w:type="spellStart"/>
      <w:r>
        <w:rPr>
          <w:rFonts w:ascii="Garamond" w:hAnsi="Garamond" w:cstheme="minorHAnsi"/>
          <w:sz w:val="32"/>
          <w:szCs w:val="32"/>
        </w:rPr>
        <w:t>Gerber</w:t>
      </w:r>
      <w:proofErr w:type="spellEnd"/>
      <w:r>
        <w:rPr>
          <w:rFonts w:ascii="Garamond" w:hAnsi="Garamond" w:cstheme="minorHAnsi"/>
          <w:sz w:val="32"/>
          <w:szCs w:val="32"/>
        </w:rPr>
        <w:t xml:space="preserve"> e Georg </w:t>
      </w:r>
      <w:proofErr w:type="spellStart"/>
      <w:r>
        <w:rPr>
          <w:rFonts w:ascii="Garamond" w:hAnsi="Garamond" w:cstheme="minorHAnsi"/>
          <w:sz w:val="32"/>
          <w:szCs w:val="32"/>
        </w:rPr>
        <w:t>Jellinek</w:t>
      </w:r>
      <w:proofErr w:type="spellEnd"/>
      <w:r>
        <w:rPr>
          <w:rFonts w:ascii="Garamond" w:hAnsi="Garamond" w:cstheme="minorHAnsi"/>
          <w:sz w:val="32"/>
          <w:szCs w:val="32"/>
        </w:rPr>
        <w:t>,</w:t>
      </w:r>
      <w:r>
        <w:t xml:space="preserve"> </w:t>
      </w:r>
      <w:r>
        <w:rPr>
          <w:rFonts w:ascii="Garamond" w:hAnsi="Garamond"/>
          <w:sz w:val="32"/>
          <w:szCs w:val="32"/>
        </w:rPr>
        <w:t xml:space="preserve">la </w:t>
      </w:r>
      <w:proofErr w:type="spellStart"/>
      <w:r>
        <w:rPr>
          <w:rFonts w:ascii="Garamond" w:hAnsi="Garamond"/>
          <w:i/>
          <w:sz w:val="32"/>
          <w:szCs w:val="32"/>
        </w:rPr>
        <w:t>Schutznormlehre</w:t>
      </w:r>
      <w:proofErr w:type="spellEnd"/>
      <w:r>
        <w:rPr>
          <w:rFonts w:ascii="Garamond" w:hAnsi="Garamond"/>
          <w:sz w:val="32"/>
          <w:szCs w:val="32"/>
        </w:rPr>
        <w:t xml:space="preserve"> o </w:t>
      </w:r>
      <w:proofErr w:type="spellStart"/>
      <w:r>
        <w:rPr>
          <w:rFonts w:ascii="Garamond" w:hAnsi="Garamond"/>
          <w:i/>
          <w:sz w:val="32"/>
          <w:szCs w:val="32"/>
        </w:rPr>
        <w:t>Schutznormtheorie</w:t>
      </w:r>
      <w:proofErr w:type="spellEnd"/>
      <w:r>
        <w:rPr>
          <w:rFonts w:ascii="Garamond" w:hAnsi="Garamond"/>
          <w:sz w:val="32"/>
          <w:szCs w:val="32"/>
        </w:rPr>
        <w:t xml:space="preserve"> fu sviluppata da </w:t>
      </w:r>
      <w:proofErr w:type="spellStart"/>
      <w:r>
        <w:rPr>
          <w:rFonts w:ascii="Garamond" w:hAnsi="Garamond" w:cstheme="minorHAnsi"/>
          <w:sz w:val="32"/>
          <w:szCs w:val="32"/>
        </w:rPr>
        <w:t>Ottmar</w:t>
      </w:r>
      <w:proofErr w:type="spellEnd"/>
      <w:r>
        <w:rPr>
          <w:rFonts w:ascii="Garamond" w:hAnsi="Garamond" w:cstheme="minorHAnsi"/>
          <w:sz w:val="32"/>
          <w:szCs w:val="32"/>
        </w:rPr>
        <w:t xml:space="preserve"> </w:t>
      </w:r>
      <w:proofErr w:type="spellStart"/>
      <w:r>
        <w:rPr>
          <w:rFonts w:ascii="Garamond" w:hAnsi="Garamond" w:cstheme="minorHAnsi"/>
          <w:sz w:val="32"/>
          <w:szCs w:val="32"/>
        </w:rPr>
        <w:t>Bühler</w:t>
      </w:r>
      <w:proofErr w:type="spellEnd"/>
      <w:r>
        <w:rPr>
          <w:rFonts w:ascii="Garamond" w:hAnsi="Garamond" w:cstheme="minorHAnsi"/>
          <w:sz w:val="32"/>
          <w:szCs w:val="32"/>
        </w:rPr>
        <w:t xml:space="preserve"> per distinguere il vero e proprio diritto pubblico soggettivo da altre situazioni di vantaggio che potevano discendere, come</w:t>
      </w:r>
      <w:r>
        <w:t xml:space="preserve"> </w:t>
      </w:r>
      <w:r>
        <w:rPr>
          <w:rFonts w:ascii="Garamond" w:hAnsi="Garamond" w:cstheme="minorHAnsi"/>
          <w:sz w:val="32"/>
          <w:szCs w:val="32"/>
        </w:rPr>
        <w:t>mero effetto riflesso (</w:t>
      </w:r>
      <w:proofErr w:type="spellStart"/>
      <w:r>
        <w:rPr>
          <w:rFonts w:ascii="Garamond" w:hAnsi="Garamond" w:cstheme="minorHAnsi"/>
          <w:i/>
          <w:sz w:val="32"/>
          <w:szCs w:val="32"/>
        </w:rPr>
        <w:t>Reflexrechte</w:t>
      </w:r>
      <w:proofErr w:type="spellEnd"/>
      <w:r>
        <w:rPr>
          <w:rFonts w:ascii="Garamond" w:hAnsi="Garamond" w:cstheme="minorHAnsi"/>
          <w:sz w:val="32"/>
          <w:szCs w:val="32"/>
        </w:rPr>
        <w:t>), dalla norma. In base a questa ricostruzione, l’interprete può riconoscere il diritto soggettivo pubblico laddove il legislatore</w:t>
      </w:r>
      <w:r>
        <w:t xml:space="preserve"> </w:t>
      </w:r>
      <w:r>
        <w:rPr>
          <w:rFonts w:ascii="Garamond" w:hAnsi="Garamond"/>
          <w:sz w:val="32"/>
          <w:szCs w:val="32"/>
        </w:rPr>
        <w:t xml:space="preserve">abbia </w:t>
      </w:r>
      <w:r>
        <w:rPr>
          <w:rFonts w:ascii="Garamond" w:hAnsi="Garamond" w:cstheme="minorHAnsi"/>
          <w:sz w:val="32"/>
          <w:szCs w:val="32"/>
        </w:rPr>
        <w:t>ricompreso nello scopo applicativo di una norma l’interesse dell’individuo</w:t>
      </w:r>
      <w:r>
        <w:rPr>
          <w:rStyle w:val="Rimandonotaapidipagina"/>
          <w:rFonts w:ascii="Garamond" w:hAnsi="Garamond" w:cstheme="minorHAnsi"/>
          <w:sz w:val="32"/>
          <w:szCs w:val="32"/>
        </w:rPr>
        <w:footnoteReference w:id="35"/>
      </w:r>
      <w:r>
        <w:rPr>
          <w:rFonts w:ascii="Garamond" w:hAnsi="Garamond" w:cstheme="minorHAnsi"/>
          <w:sz w:val="32"/>
          <w:szCs w:val="32"/>
        </w:rPr>
        <w:t>.</w:t>
      </w:r>
    </w:p>
    <w:p w14:paraId="0B72A5FC" w14:textId="3C6B51CC" w:rsidR="0037016C" w:rsidRDefault="0037016C" w:rsidP="0037016C">
      <w:pPr>
        <w:spacing w:line="360" w:lineRule="auto"/>
        <w:jc w:val="both"/>
        <w:rPr>
          <w:rFonts w:ascii="Garamond" w:hAnsi="Garamond" w:cstheme="minorHAnsi"/>
          <w:sz w:val="32"/>
          <w:szCs w:val="32"/>
        </w:rPr>
      </w:pPr>
      <w:r>
        <w:rPr>
          <w:rFonts w:ascii="Garamond" w:hAnsi="Garamond" w:cstheme="minorHAnsi"/>
          <w:sz w:val="32"/>
          <w:szCs w:val="32"/>
        </w:rPr>
        <w:lastRenderedPageBreak/>
        <w:t xml:space="preserve">Questo caso offre un esempio del motivo per cui la teoria ha incontrato sempre critiche, perché affida alla sensibilità dell’interprete (e quindi principalmente del giudice) il giudizio sulla </w:t>
      </w:r>
      <w:proofErr w:type="spellStart"/>
      <w:r>
        <w:rPr>
          <w:rFonts w:ascii="Garamond" w:hAnsi="Garamond" w:cstheme="minorHAnsi"/>
          <w:sz w:val="32"/>
          <w:szCs w:val="32"/>
        </w:rPr>
        <w:t>qualific</w:t>
      </w:r>
      <w:r w:rsidR="00367C76">
        <w:rPr>
          <w:rFonts w:ascii="Garamond" w:hAnsi="Garamond" w:cstheme="minorHAnsi"/>
          <w:sz w:val="32"/>
          <w:szCs w:val="32"/>
        </w:rPr>
        <w:t>abilit</w:t>
      </w:r>
      <w:r w:rsidR="00C170EB">
        <w:rPr>
          <w:rFonts w:ascii="Garamond" w:hAnsi="Garamond" w:cstheme="minorHAnsi"/>
          <w:sz w:val="32"/>
          <w:szCs w:val="32"/>
        </w:rPr>
        <w:t>à</w:t>
      </w:r>
      <w:proofErr w:type="spellEnd"/>
      <w:r>
        <w:rPr>
          <w:rFonts w:ascii="Garamond" w:hAnsi="Garamond" w:cstheme="minorHAnsi"/>
          <w:sz w:val="32"/>
          <w:szCs w:val="32"/>
        </w:rPr>
        <w:t xml:space="preserve"> di diritto soggettivo della situazione giuridica del singolo</w:t>
      </w:r>
      <w:r w:rsidR="003F41CE">
        <w:rPr>
          <w:rStyle w:val="Rimandonotaapidipagina"/>
          <w:rFonts w:ascii="Garamond" w:hAnsi="Garamond" w:cstheme="minorHAnsi"/>
          <w:sz w:val="32"/>
          <w:szCs w:val="32"/>
        </w:rPr>
        <w:footnoteReference w:id="36"/>
      </w:r>
      <w:r>
        <w:rPr>
          <w:rFonts w:ascii="Garamond" w:hAnsi="Garamond" w:cstheme="minorHAnsi"/>
          <w:sz w:val="32"/>
          <w:szCs w:val="32"/>
        </w:rPr>
        <w:t>.</w:t>
      </w:r>
    </w:p>
    <w:p w14:paraId="48565ECE" w14:textId="1C878DAC" w:rsidR="0037016C" w:rsidRDefault="0037016C" w:rsidP="0037016C">
      <w:pPr>
        <w:spacing w:line="360" w:lineRule="auto"/>
        <w:jc w:val="both"/>
        <w:rPr>
          <w:rFonts w:ascii="Garamond" w:hAnsi="Garamond"/>
          <w:sz w:val="32"/>
          <w:szCs w:val="32"/>
        </w:rPr>
      </w:pPr>
      <w:r>
        <w:rPr>
          <w:rFonts w:ascii="Garamond" w:hAnsi="Garamond" w:cstheme="minorHAnsi"/>
          <w:sz w:val="32"/>
          <w:szCs w:val="32"/>
        </w:rPr>
        <w:t>Non si può sottacere infatti che la negazione del diritto individuale, contenuta nella sentenza, non solo</w:t>
      </w:r>
      <w:r w:rsidR="002B7407">
        <w:rPr>
          <w:rFonts w:ascii="Garamond" w:hAnsi="Garamond" w:cstheme="minorHAnsi"/>
          <w:sz w:val="32"/>
          <w:szCs w:val="32"/>
        </w:rPr>
        <w:t xml:space="preserve"> diverge dalle </w:t>
      </w:r>
      <w:r>
        <w:rPr>
          <w:rFonts w:ascii="Garamond" w:hAnsi="Garamond" w:cstheme="minorHAnsi"/>
          <w:sz w:val="32"/>
          <w:szCs w:val="32"/>
        </w:rPr>
        <w:t>conclusioni dell’Avvocato generale</w:t>
      </w:r>
      <w:r>
        <w:rPr>
          <w:rStyle w:val="Rimandonotaapidipagina"/>
          <w:rFonts w:ascii="Garamond" w:hAnsi="Garamond" w:cstheme="minorHAnsi"/>
          <w:sz w:val="32"/>
          <w:szCs w:val="32"/>
        </w:rPr>
        <w:footnoteReference w:id="37"/>
      </w:r>
      <w:r>
        <w:rPr>
          <w:rFonts w:ascii="Garamond" w:hAnsi="Garamond" w:cstheme="minorHAnsi"/>
          <w:sz w:val="32"/>
          <w:szCs w:val="32"/>
        </w:rPr>
        <w:t xml:space="preserve"> e</w:t>
      </w:r>
      <w:r w:rsidR="002B7407">
        <w:rPr>
          <w:rFonts w:ascii="Garamond" w:hAnsi="Garamond" w:cstheme="minorHAnsi"/>
          <w:sz w:val="32"/>
          <w:szCs w:val="32"/>
        </w:rPr>
        <w:t xml:space="preserve"> si allontana dalla </w:t>
      </w:r>
      <w:r>
        <w:rPr>
          <w:rFonts w:ascii="Garamond" w:hAnsi="Garamond" w:cstheme="minorHAnsi"/>
          <w:sz w:val="32"/>
          <w:szCs w:val="32"/>
        </w:rPr>
        <w:t>posizione più volte espressa dalla Commissione</w:t>
      </w:r>
      <w:r>
        <w:rPr>
          <w:rStyle w:val="Rimandonotaapidipagina"/>
          <w:rFonts w:ascii="Garamond" w:hAnsi="Garamond"/>
          <w:sz w:val="32"/>
          <w:szCs w:val="32"/>
        </w:rPr>
        <w:footnoteReference w:id="38"/>
      </w:r>
      <w:r>
        <w:rPr>
          <w:rFonts w:ascii="Garamond" w:hAnsi="Garamond" w:cstheme="minorHAnsi"/>
          <w:sz w:val="32"/>
          <w:szCs w:val="32"/>
        </w:rPr>
        <w:t xml:space="preserve"> nell’ambito delle procedure di infrazione,</w:t>
      </w:r>
      <w:r>
        <w:rPr>
          <w:rFonts w:ascii="Garamond" w:hAnsi="Garamond"/>
          <w:sz w:val="32"/>
          <w:szCs w:val="32"/>
        </w:rPr>
        <w:t xml:space="preserve"> </w:t>
      </w:r>
      <w:r>
        <w:rPr>
          <w:rFonts w:ascii="Garamond" w:hAnsi="Garamond" w:cstheme="minorHAnsi"/>
          <w:sz w:val="32"/>
          <w:szCs w:val="32"/>
        </w:rPr>
        <w:t xml:space="preserve"> ma anche si discosta da precedenti affermazioni della Corte di giustizia</w:t>
      </w:r>
      <w:r>
        <w:rPr>
          <w:rStyle w:val="Rimandonotaapidipagina"/>
          <w:rFonts w:ascii="Garamond" w:hAnsi="Garamond"/>
          <w:sz w:val="32"/>
          <w:szCs w:val="32"/>
        </w:rPr>
        <w:footnoteReference w:id="39"/>
      </w:r>
      <w:r>
        <w:rPr>
          <w:rFonts w:ascii="Garamond" w:hAnsi="Garamond"/>
          <w:sz w:val="32"/>
          <w:szCs w:val="32"/>
        </w:rPr>
        <w:t>,</w:t>
      </w:r>
      <w:r w:rsidR="006916A6">
        <w:rPr>
          <w:rFonts w:ascii="Garamond" w:hAnsi="Garamond"/>
          <w:sz w:val="32"/>
          <w:szCs w:val="32"/>
        </w:rPr>
        <w:t xml:space="preserve"> per quanto </w:t>
      </w:r>
      <w:r>
        <w:rPr>
          <w:rFonts w:ascii="Garamond" w:hAnsi="Garamond"/>
          <w:sz w:val="32"/>
          <w:szCs w:val="32"/>
        </w:rPr>
        <w:t xml:space="preserve">sostanzialmente generiche e costituenti </w:t>
      </w:r>
      <w:r>
        <w:rPr>
          <w:rFonts w:ascii="Garamond" w:hAnsi="Garamond"/>
          <w:sz w:val="32"/>
          <w:szCs w:val="32"/>
        </w:rPr>
        <w:lastRenderedPageBreak/>
        <w:t>meri</w:t>
      </w:r>
      <w:r>
        <w:rPr>
          <w:rFonts w:ascii="Garamond" w:hAnsi="Garamond"/>
          <w:i/>
          <w:sz w:val="32"/>
          <w:szCs w:val="32"/>
        </w:rPr>
        <w:t xml:space="preserve"> </w:t>
      </w:r>
      <w:proofErr w:type="spellStart"/>
      <w:r>
        <w:rPr>
          <w:rFonts w:ascii="Garamond" w:hAnsi="Garamond"/>
          <w:i/>
          <w:sz w:val="32"/>
          <w:szCs w:val="32"/>
        </w:rPr>
        <w:t>obiter</w:t>
      </w:r>
      <w:proofErr w:type="spellEnd"/>
      <w:r>
        <w:rPr>
          <w:rFonts w:ascii="Garamond" w:hAnsi="Garamond"/>
          <w:i/>
          <w:sz w:val="32"/>
          <w:szCs w:val="32"/>
        </w:rPr>
        <w:t xml:space="preserve"> </w:t>
      </w:r>
      <w:proofErr w:type="spellStart"/>
      <w:r>
        <w:rPr>
          <w:rFonts w:ascii="Garamond" w:hAnsi="Garamond"/>
          <w:i/>
          <w:sz w:val="32"/>
          <w:szCs w:val="32"/>
        </w:rPr>
        <w:t>dicta</w:t>
      </w:r>
      <w:proofErr w:type="spellEnd"/>
      <w:r w:rsidR="006916A6">
        <w:rPr>
          <w:rFonts w:ascii="Garamond" w:hAnsi="Garamond"/>
          <w:sz w:val="32"/>
          <w:szCs w:val="32"/>
        </w:rPr>
        <w:t xml:space="preserve">. In </w:t>
      </w:r>
      <w:r>
        <w:rPr>
          <w:rFonts w:ascii="Garamond" w:hAnsi="Garamond"/>
          <w:sz w:val="32"/>
          <w:szCs w:val="32"/>
        </w:rPr>
        <w:t xml:space="preserve">quelle occasioni, </w:t>
      </w:r>
      <w:r w:rsidR="00C170EB">
        <w:rPr>
          <w:rFonts w:ascii="Garamond" w:hAnsi="Garamond"/>
          <w:sz w:val="32"/>
          <w:szCs w:val="32"/>
        </w:rPr>
        <w:t>invero</w:t>
      </w:r>
      <w:r w:rsidR="006916A6">
        <w:rPr>
          <w:rFonts w:ascii="Garamond" w:hAnsi="Garamond"/>
          <w:sz w:val="32"/>
          <w:szCs w:val="32"/>
        </w:rPr>
        <w:t xml:space="preserve">, </w:t>
      </w:r>
      <w:r>
        <w:rPr>
          <w:rFonts w:ascii="Garamond" w:hAnsi="Garamond"/>
          <w:sz w:val="32"/>
          <w:szCs w:val="32"/>
        </w:rPr>
        <w:t xml:space="preserve">la pretesa azionata dinanzi al giudice </w:t>
      </w:r>
      <w:r>
        <w:rPr>
          <w:rFonts w:ascii="Garamond" w:hAnsi="Garamond"/>
          <w:i/>
          <w:sz w:val="32"/>
          <w:szCs w:val="32"/>
        </w:rPr>
        <w:t>a quo</w:t>
      </w:r>
      <w:r>
        <w:rPr>
          <w:rFonts w:ascii="Garamond" w:hAnsi="Garamond"/>
          <w:sz w:val="32"/>
          <w:szCs w:val="32"/>
        </w:rPr>
        <w:t xml:space="preserve"> nazionale</w:t>
      </w:r>
      <w:r w:rsidR="006916A6">
        <w:rPr>
          <w:rFonts w:ascii="Garamond" w:hAnsi="Garamond"/>
          <w:sz w:val="32"/>
          <w:szCs w:val="32"/>
        </w:rPr>
        <w:t xml:space="preserve"> mirava a ottenere </w:t>
      </w:r>
      <w:r>
        <w:rPr>
          <w:rFonts w:ascii="Garamond" w:hAnsi="Garamond"/>
          <w:sz w:val="32"/>
          <w:szCs w:val="32"/>
        </w:rPr>
        <w:t xml:space="preserve">dalle pubbliche autorità l’adozione di un adeguato piano ambientale. </w:t>
      </w:r>
    </w:p>
    <w:p w14:paraId="347FEFC2" w14:textId="77777777" w:rsidR="0037016C" w:rsidRDefault="0037016C" w:rsidP="0037016C">
      <w:pPr>
        <w:spacing w:line="360" w:lineRule="auto"/>
        <w:jc w:val="both"/>
        <w:rPr>
          <w:rFonts w:ascii="Garamond" w:hAnsi="Garamond"/>
          <w:sz w:val="32"/>
          <w:szCs w:val="32"/>
        </w:rPr>
      </w:pPr>
      <w:r>
        <w:rPr>
          <w:rFonts w:ascii="Garamond" w:hAnsi="Garamond"/>
          <w:sz w:val="32"/>
          <w:szCs w:val="32"/>
        </w:rPr>
        <w:t xml:space="preserve">In definitiva, la motivazione della sentenza risolve il caso ma lascia aperte molte questioni che si pongono su piani diversi. </w:t>
      </w:r>
    </w:p>
    <w:p w14:paraId="2B1DC709" w14:textId="77777777" w:rsidR="0037016C" w:rsidRDefault="0037016C" w:rsidP="0037016C">
      <w:pPr>
        <w:spacing w:line="360" w:lineRule="auto"/>
        <w:jc w:val="both"/>
        <w:rPr>
          <w:rFonts w:ascii="Garamond" w:hAnsi="Garamond"/>
          <w:sz w:val="32"/>
          <w:szCs w:val="32"/>
        </w:rPr>
      </w:pPr>
      <w:r>
        <w:rPr>
          <w:rFonts w:ascii="Garamond" w:hAnsi="Garamond"/>
          <w:sz w:val="32"/>
          <w:szCs w:val="32"/>
        </w:rPr>
        <w:t>In generale, viene da chiedersi se, a livello nazionale e anche a livello europeo, manchi una riflessione sul concetto stesso di diritto soggettivo adeguato ai tempi: in una realtà cioè in cui è difficile ipotizzare diritti puramente negativi e in cui anzi la maggior parte dei diritti (intesi come aggregati molecolari” [come</w:t>
      </w:r>
      <w:r>
        <w:t xml:space="preserve"> </w:t>
      </w:r>
      <w:r>
        <w:rPr>
          <w:rFonts w:ascii="Garamond" w:hAnsi="Garamond"/>
          <w:sz w:val="32"/>
          <w:szCs w:val="32"/>
        </w:rPr>
        <w:t>un insieme più o meno complesso di posizioni soggettive]“) esibiscono al contempo aspetti attivi, passivi, positivi o negativi”</w:t>
      </w:r>
      <w:r>
        <w:rPr>
          <w:rStyle w:val="Rimandonotaapidipagina"/>
          <w:rFonts w:ascii="Garamond" w:hAnsi="Garamond"/>
          <w:sz w:val="32"/>
          <w:szCs w:val="32"/>
        </w:rPr>
        <w:footnoteReference w:id="40"/>
      </w:r>
      <w:r>
        <w:rPr>
          <w:rFonts w:ascii="Garamond" w:hAnsi="Garamond"/>
          <w:sz w:val="32"/>
          <w:szCs w:val="32"/>
        </w:rPr>
        <w:t xml:space="preserve">. Ancor meno sono riscontrabili diritti che non costano e che siano auto-esecutivi: essi necessitano invece, quasi sempre, di misure di attuazione </w:t>
      </w:r>
      <w:r w:rsidR="006916A6">
        <w:rPr>
          <w:rFonts w:ascii="Garamond" w:hAnsi="Garamond"/>
          <w:sz w:val="32"/>
          <w:szCs w:val="32"/>
        </w:rPr>
        <w:t>(</w:t>
      </w:r>
      <w:r>
        <w:rPr>
          <w:rFonts w:ascii="Garamond" w:hAnsi="Garamond"/>
          <w:sz w:val="32"/>
          <w:szCs w:val="32"/>
        </w:rPr>
        <w:t>affidate a scelte politiche che, nella gestione di risorse finanziarie limitate, pongono un ordine di priorità</w:t>
      </w:r>
      <w:r w:rsidR="006916A6">
        <w:rPr>
          <w:rFonts w:ascii="Garamond" w:hAnsi="Garamond"/>
          <w:sz w:val="32"/>
          <w:szCs w:val="32"/>
        </w:rPr>
        <w:t xml:space="preserve">) </w:t>
      </w:r>
      <w:r>
        <w:rPr>
          <w:rFonts w:ascii="Garamond" w:hAnsi="Garamond"/>
          <w:sz w:val="32"/>
          <w:szCs w:val="32"/>
        </w:rPr>
        <w:t>e di garanzia (anche giurisdizionale) specifica.</w:t>
      </w:r>
    </w:p>
    <w:p w14:paraId="30696AC7" w14:textId="31CBCCD3" w:rsidR="0037016C" w:rsidRDefault="0037016C" w:rsidP="0037016C">
      <w:pPr>
        <w:spacing w:line="360" w:lineRule="auto"/>
        <w:jc w:val="both"/>
        <w:rPr>
          <w:rFonts w:ascii="Garamond" w:hAnsi="Garamond"/>
          <w:sz w:val="32"/>
          <w:szCs w:val="32"/>
        </w:rPr>
      </w:pPr>
      <w:r>
        <w:rPr>
          <w:rFonts w:ascii="Garamond" w:hAnsi="Garamond"/>
          <w:sz w:val="32"/>
          <w:szCs w:val="32"/>
        </w:rPr>
        <w:t xml:space="preserve">In questo quadro quindi una maggiore consapevolezza della complessità odierna delle situazioni giuridiche soggettive porterebbe a superare l’utilizzo generico del termine diritto, tanto comune nella </w:t>
      </w:r>
      <w:proofErr w:type="spellStart"/>
      <w:r>
        <w:rPr>
          <w:rFonts w:ascii="Garamond" w:hAnsi="Garamond"/>
          <w:i/>
          <w:sz w:val="32"/>
          <w:szCs w:val="32"/>
        </w:rPr>
        <w:t>koiné</w:t>
      </w:r>
      <w:proofErr w:type="spellEnd"/>
      <w:r>
        <w:rPr>
          <w:rFonts w:ascii="Garamond" w:hAnsi="Garamond"/>
          <w:sz w:val="32"/>
          <w:szCs w:val="32"/>
        </w:rPr>
        <w:t xml:space="preserve"> degli atti internazionali contenenti decaloghi di diritti</w:t>
      </w:r>
      <w:r w:rsidR="007702A5">
        <w:rPr>
          <w:rFonts w:ascii="Garamond" w:hAnsi="Garamond"/>
          <w:sz w:val="32"/>
          <w:szCs w:val="32"/>
        </w:rPr>
        <w:t>,</w:t>
      </w:r>
      <w:r>
        <w:rPr>
          <w:rFonts w:ascii="Garamond" w:hAnsi="Garamond"/>
          <w:sz w:val="32"/>
          <w:szCs w:val="32"/>
        </w:rPr>
        <w:t xml:space="preserve"> e a differenziarsi dai Paesi di </w:t>
      </w:r>
      <w:r>
        <w:rPr>
          <w:rFonts w:ascii="Garamond" w:hAnsi="Garamond"/>
          <w:i/>
          <w:sz w:val="32"/>
          <w:szCs w:val="32"/>
        </w:rPr>
        <w:t>common law</w:t>
      </w:r>
      <w:r>
        <w:rPr>
          <w:rFonts w:ascii="Garamond" w:hAnsi="Garamond"/>
          <w:sz w:val="32"/>
          <w:szCs w:val="32"/>
        </w:rPr>
        <w:t xml:space="preserve">, in cui il sintagma </w:t>
      </w:r>
      <w:r>
        <w:rPr>
          <w:rFonts w:ascii="Garamond" w:hAnsi="Garamond"/>
          <w:i/>
          <w:sz w:val="32"/>
          <w:szCs w:val="32"/>
        </w:rPr>
        <w:t>right</w:t>
      </w:r>
      <w:r>
        <w:rPr>
          <w:rFonts w:ascii="Garamond" w:hAnsi="Garamond"/>
          <w:sz w:val="32"/>
          <w:szCs w:val="32"/>
        </w:rPr>
        <w:t xml:space="preserve"> è un termine “camaleontico” che tende a indicare qualsivoglia vantaggio giuridico o oggi ancora più latamente un interesse ritenuto degno di tutela (prevalentemente attraverso l’opera del giudice), tanto da meritare l’attribuzione di una posizione di vantaggio e correlativamente di un dovere </w:t>
      </w:r>
      <w:r>
        <w:rPr>
          <w:rFonts w:ascii="Garamond" w:hAnsi="Garamond"/>
          <w:sz w:val="32"/>
          <w:szCs w:val="32"/>
        </w:rPr>
        <w:lastRenderedPageBreak/>
        <w:t>(</w:t>
      </w:r>
      <w:r>
        <w:rPr>
          <w:rFonts w:ascii="Garamond" w:hAnsi="Garamond"/>
          <w:i/>
          <w:sz w:val="32"/>
          <w:szCs w:val="32"/>
        </w:rPr>
        <w:t>duty</w:t>
      </w:r>
      <w:r>
        <w:rPr>
          <w:rFonts w:ascii="Garamond" w:hAnsi="Garamond"/>
          <w:sz w:val="32"/>
          <w:szCs w:val="32"/>
        </w:rPr>
        <w:t>)</w:t>
      </w:r>
      <w:r>
        <w:rPr>
          <w:rStyle w:val="Rimandonotaapidipagina"/>
          <w:rFonts w:ascii="Garamond" w:hAnsi="Garamond"/>
          <w:sz w:val="32"/>
          <w:szCs w:val="32"/>
        </w:rPr>
        <w:footnoteReference w:id="41"/>
      </w:r>
      <w:r>
        <w:rPr>
          <w:rFonts w:ascii="Garamond" w:hAnsi="Garamond"/>
          <w:sz w:val="32"/>
          <w:szCs w:val="32"/>
        </w:rPr>
        <w:t>, quest’ultimo altrettanto indefinito anche rispetto all’obbligo e all’obbligazione</w:t>
      </w:r>
      <w:r w:rsidR="003B47A2">
        <w:rPr>
          <w:rStyle w:val="Rimandonotaapidipagina"/>
          <w:rFonts w:ascii="Garamond" w:hAnsi="Garamond"/>
          <w:sz w:val="32"/>
          <w:szCs w:val="32"/>
        </w:rPr>
        <w:footnoteReference w:id="42"/>
      </w:r>
      <w:r>
        <w:rPr>
          <w:rFonts w:ascii="Garamond" w:hAnsi="Garamond"/>
          <w:sz w:val="32"/>
          <w:szCs w:val="32"/>
        </w:rPr>
        <w:t xml:space="preserve">. </w:t>
      </w:r>
    </w:p>
    <w:p w14:paraId="57322B35" w14:textId="77777777" w:rsidR="0037016C" w:rsidRDefault="0037016C" w:rsidP="0037016C">
      <w:pPr>
        <w:spacing w:line="360" w:lineRule="auto"/>
        <w:jc w:val="both"/>
        <w:rPr>
          <w:rFonts w:ascii="Garamond" w:hAnsi="Garamond"/>
          <w:sz w:val="32"/>
          <w:szCs w:val="32"/>
        </w:rPr>
      </w:pPr>
      <w:r>
        <w:rPr>
          <w:rFonts w:ascii="Garamond" w:hAnsi="Garamond"/>
          <w:sz w:val="32"/>
          <w:szCs w:val="32"/>
        </w:rPr>
        <w:t>Al riguardo non è inutile ricordare che</w:t>
      </w:r>
      <w:r w:rsidR="00CF1745">
        <w:rPr>
          <w:rFonts w:ascii="Garamond" w:hAnsi="Garamond"/>
          <w:sz w:val="32"/>
          <w:szCs w:val="32"/>
        </w:rPr>
        <w:t xml:space="preserve"> prevalentemente</w:t>
      </w:r>
      <w:r>
        <w:rPr>
          <w:rFonts w:ascii="Garamond" w:hAnsi="Garamond"/>
          <w:sz w:val="32"/>
          <w:szCs w:val="32"/>
        </w:rPr>
        <w:t xml:space="preserve"> la dottrina italiana ha escluso che il diritto all’ambiente possa essere inteso come una pretesa soggettiva riferita a tale bene, d’incerta definizione</w:t>
      </w:r>
      <w:r w:rsidR="00CF1745">
        <w:rPr>
          <w:rFonts w:ascii="Garamond" w:hAnsi="Garamond"/>
          <w:sz w:val="32"/>
          <w:szCs w:val="32"/>
        </w:rPr>
        <w:t>. Ogni tentativo</w:t>
      </w:r>
      <w:r>
        <w:rPr>
          <w:rFonts w:ascii="Garamond" w:hAnsi="Garamond"/>
          <w:sz w:val="32"/>
          <w:szCs w:val="32"/>
        </w:rPr>
        <w:t xml:space="preserve"> in tal senso si</w:t>
      </w:r>
      <w:r w:rsidR="00CF1745">
        <w:rPr>
          <w:rFonts w:ascii="Garamond" w:hAnsi="Garamond"/>
          <w:sz w:val="32"/>
          <w:szCs w:val="32"/>
        </w:rPr>
        <w:t xml:space="preserve"> risolverebbe in </w:t>
      </w:r>
      <w:r>
        <w:rPr>
          <w:rFonts w:ascii="Garamond" w:hAnsi="Garamond"/>
          <w:sz w:val="32"/>
          <w:szCs w:val="32"/>
        </w:rPr>
        <w:t xml:space="preserve">una formula di stile, del tutto </w:t>
      </w:r>
      <w:proofErr w:type="spellStart"/>
      <w:r>
        <w:rPr>
          <w:rFonts w:ascii="Garamond" w:hAnsi="Garamond"/>
          <w:sz w:val="32"/>
          <w:szCs w:val="32"/>
        </w:rPr>
        <w:t>atecnica</w:t>
      </w:r>
      <w:proofErr w:type="spellEnd"/>
      <w:r>
        <w:rPr>
          <w:rFonts w:ascii="Garamond" w:hAnsi="Garamond"/>
          <w:sz w:val="32"/>
          <w:szCs w:val="32"/>
        </w:rPr>
        <w:t xml:space="preserve">, se non scorretta, dal punto di vista giuridico, </w:t>
      </w:r>
      <w:r w:rsidR="00CF1745">
        <w:rPr>
          <w:rFonts w:ascii="Garamond" w:hAnsi="Garamond"/>
          <w:sz w:val="32"/>
          <w:szCs w:val="32"/>
        </w:rPr>
        <w:t xml:space="preserve">mentre </w:t>
      </w:r>
      <w:r w:rsidR="004D540C">
        <w:rPr>
          <w:rFonts w:ascii="Garamond" w:hAnsi="Garamond"/>
          <w:sz w:val="32"/>
          <w:szCs w:val="32"/>
        </w:rPr>
        <w:t>si è ritenuto configurabile</w:t>
      </w:r>
      <w:r>
        <w:rPr>
          <w:rFonts w:ascii="Garamond" w:hAnsi="Garamond"/>
          <w:sz w:val="32"/>
          <w:szCs w:val="32"/>
        </w:rPr>
        <w:t xml:space="preserve">, sulla base del complesso normativo delle norme ambientali, un insieme di posizioni soggettive che però sono diversamente articolate e </w:t>
      </w:r>
      <w:r w:rsidR="00CF1745">
        <w:rPr>
          <w:rFonts w:ascii="Garamond" w:hAnsi="Garamond"/>
          <w:sz w:val="32"/>
          <w:szCs w:val="32"/>
        </w:rPr>
        <w:t xml:space="preserve">variamente </w:t>
      </w:r>
      <w:r>
        <w:rPr>
          <w:rFonts w:ascii="Garamond" w:hAnsi="Garamond"/>
          <w:sz w:val="32"/>
          <w:szCs w:val="32"/>
        </w:rPr>
        <w:t>tutelate</w:t>
      </w:r>
      <w:r>
        <w:rPr>
          <w:rStyle w:val="Rimandonotaapidipagina"/>
          <w:rFonts w:ascii="Garamond" w:hAnsi="Garamond"/>
          <w:sz w:val="32"/>
          <w:szCs w:val="32"/>
        </w:rPr>
        <w:footnoteReference w:id="43"/>
      </w:r>
      <w:r>
        <w:rPr>
          <w:rFonts w:ascii="Garamond" w:hAnsi="Garamond"/>
          <w:sz w:val="32"/>
          <w:szCs w:val="32"/>
        </w:rPr>
        <w:t xml:space="preserve">. </w:t>
      </w:r>
    </w:p>
    <w:p w14:paraId="3AB08511" w14:textId="77777777" w:rsidR="0037016C" w:rsidRDefault="0037016C" w:rsidP="0037016C">
      <w:pPr>
        <w:spacing w:line="360" w:lineRule="auto"/>
        <w:jc w:val="both"/>
        <w:rPr>
          <w:rFonts w:ascii="Garamond" w:hAnsi="Garamond"/>
          <w:sz w:val="32"/>
          <w:szCs w:val="32"/>
        </w:rPr>
      </w:pPr>
      <w:r>
        <w:rPr>
          <w:rFonts w:ascii="Garamond" w:hAnsi="Garamond"/>
          <w:sz w:val="32"/>
          <w:szCs w:val="32"/>
        </w:rPr>
        <w:t xml:space="preserve">In definitiva, come emerge dagli articoli 191-193 del TFUE, dall’articolo 37 della Carta dei diritti fondamentali dell'Unione europea, della Costituzione italiana riformata e dall'articolo 20a della </w:t>
      </w:r>
      <w:proofErr w:type="spellStart"/>
      <w:r>
        <w:rPr>
          <w:rFonts w:ascii="Garamond" w:hAnsi="Garamond"/>
          <w:i/>
          <w:sz w:val="32"/>
          <w:szCs w:val="32"/>
        </w:rPr>
        <w:t>Grundgesetz</w:t>
      </w:r>
      <w:proofErr w:type="spellEnd"/>
      <w:r>
        <w:rPr>
          <w:rFonts w:ascii="Garamond" w:hAnsi="Garamond"/>
          <w:sz w:val="32"/>
          <w:szCs w:val="32"/>
        </w:rPr>
        <w:t xml:space="preserve">, la tutela dell’ambiente è affidata non al riconoscimento di situazioni di diritto di individui e di gruppi, </w:t>
      </w:r>
      <w:r>
        <w:rPr>
          <w:rFonts w:ascii="Garamond" w:hAnsi="Garamond"/>
          <w:sz w:val="32"/>
          <w:szCs w:val="32"/>
        </w:rPr>
        <w:lastRenderedPageBreak/>
        <w:t>bensì essenzialmente a politiche e programmi pubblici, strumenti tecnicamente più adeguati alle peculiarità dell’oggetto</w:t>
      </w:r>
      <w:r>
        <w:rPr>
          <w:rStyle w:val="Rimandonotaapidipagina"/>
          <w:rFonts w:ascii="Garamond" w:hAnsi="Garamond"/>
          <w:sz w:val="32"/>
          <w:szCs w:val="32"/>
        </w:rPr>
        <w:footnoteReference w:id="44"/>
      </w:r>
      <w:r>
        <w:rPr>
          <w:rFonts w:ascii="Garamond" w:hAnsi="Garamond"/>
          <w:sz w:val="32"/>
          <w:szCs w:val="32"/>
        </w:rPr>
        <w:t xml:space="preserve">. </w:t>
      </w:r>
    </w:p>
    <w:p w14:paraId="20EDBDD6" w14:textId="4C4C2EB5" w:rsidR="0037016C" w:rsidRDefault="0037016C" w:rsidP="0037016C">
      <w:pPr>
        <w:spacing w:line="360" w:lineRule="auto"/>
        <w:jc w:val="both"/>
        <w:rPr>
          <w:rFonts w:ascii="Garamond" w:hAnsi="Garamond"/>
          <w:sz w:val="32"/>
          <w:szCs w:val="32"/>
        </w:rPr>
      </w:pPr>
      <w:r>
        <w:rPr>
          <w:rFonts w:ascii="Garamond" w:hAnsi="Garamond"/>
          <w:sz w:val="32"/>
          <w:szCs w:val="32"/>
        </w:rPr>
        <w:t>L'esigenza di delimitazione del diritto rispetto ad altre situazioni di vantaggio, in particolare, sembra ancora più pressante alla luce di una giurisprudenza</w:t>
      </w:r>
      <w:r w:rsidR="00D44FE0">
        <w:rPr>
          <w:rFonts w:ascii="Garamond" w:hAnsi="Garamond"/>
          <w:sz w:val="32"/>
          <w:szCs w:val="32"/>
        </w:rPr>
        <w:t xml:space="preserve">, come quella della Corte di giustizia </w:t>
      </w:r>
      <w:r>
        <w:rPr>
          <w:rFonts w:ascii="Garamond" w:hAnsi="Garamond"/>
          <w:sz w:val="32"/>
          <w:szCs w:val="32"/>
        </w:rPr>
        <w:t>che, nell’ambito di una giurisdizione prevalentemente oggettiva, ha ampliato oltremodo la legittimazione a far</w:t>
      </w:r>
      <w:r w:rsidR="00CD1E4D">
        <w:rPr>
          <w:rFonts w:ascii="Garamond" w:hAnsi="Garamond"/>
          <w:sz w:val="32"/>
          <w:szCs w:val="32"/>
        </w:rPr>
        <w:t xml:space="preserve"> valere </w:t>
      </w:r>
      <w:r>
        <w:rPr>
          <w:rFonts w:ascii="Garamond" w:hAnsi="Garamond"/>
          <w:sz w:val="32"/>
          <w:szCs w:val="32"/>
        </w:rPr>
        <w:t>pretese fondate sul diritto</w:t>
      </w:r>
      <w:r w:rsidR="00CD1E4D">
        <w:rPr>
          <w:rFonts w:ascii="Garamond" w:hAnsi="Garamond"/>
          <w:sz w:val="32"/>
          <w:szCs w:val="32"/>
        </w:rPr>
        <w:t xml:space="preserve"> europeo</w:t>
      </w:r>
      <w:r>
        <w:rPr>
          <w:rFonts w:ascii="Garamond" w:hAnsi="Garamond"/>
          <w:sz w:val="32"/>
          <w:szCs w:val="32"/>
        </w:rPr>
        <w:t>. Ciò per renderla funzionale ad un controllo esteso del rispetto e dell’uniforme applicazione del diritto dell’Unione</w:t>
      </w:r>
      <w:r w:rsidR="00692A2A">
        <w:rPr>
          <w:rStyle w:val="Rimandonotaapidipagina"/>
          <w:rFonts w:ascii="Garamond" w:hAnsi="Garamond"/>
          <w:sz w:val="32"/>
          <w:szCs w:val="32"/>
        </w:rPr>
        <w:footnoteReference w:id="45"/>
      </w:r>
      <w:r>
        <w:rPr>
          <w:rFonts w:ascii="Garamond" w:hAnsi="Garamond"/>
          <w:sz w:val="32"/>
          <w:szCs w:val="32"/>
        </w:rPr>
        <w:t xml:space="preserve">, attraverso l’attivazione di una forma di </w:t>
      </w:r>
      <w:r>
        <w:rPr>
          <w:rFonts w:ascii="Garamond" w:hAnsi="Garamond"/>
          <w:i/>
          <w:sz w:val="32"/>
          <w:szCs w:val="32"/>
        </w:rPr>
        <w:t xml:space="preserve">private </w:t>
      </w:r>
      <w:proofErr w:type="spellStart"/>
      <w:r>
        <w:rPr>
          <w:rFonts w:ascii="Garamond" w:hAnsi="Garamond"/>
          <w:i/>
          <w:sz w:val="32"/>
          <w:szCs w:val="32"/>
        </w:rPr>
        <w:t>enforcement</w:t>
      </w:r>
      <w:proofErr w:type="spellEnd"/>
      <w:r>
        <w:rPr>
          <w:rFonts w:ascii="Garamond" w:hAnsi="Garamond"/>
          <w:sz w:val="32"/>
          <w:szCs w:val="32"/>
        </w:rPr>
        <w:t>, in</w:t>
      </w:r>
      <w:r w:rsidR="00CD1E4D">
        <w:rPr>
          <w:rFonts w:ascii="Garamond" w:hAnsi="Garamond"/>
          <w:sz w:val="32"/>
          <w:szCs w:val="32"/>
        </w:rPr>
        <w:t xml:space="preserve"> grado di </w:t>
      </w:r>
      <w:r>
        <w:rPr>
          <w:rFonts w:ascii="Garamond" w:hAnsi="Garamond"/>
          <w:sz w:val="32"/>
          <w:szCs w:val="32"/>
        </w:rPr>
        <w:t xml:space="preserve">colmare le eventuali lacune che uno strumento accentrato </w:t>
      </w:r>
      <w:r w:rsidR="00CD1E4D">
        <w:rPr>
          <w:rFonts w:ascii="Garamond" w:hAnsi="Garamond"/>
          <w:sz w:val="32"/>
          <w:szCs w:val="32"/>
        </w:rPr>
        <w:t xml:space="preserve">e necessariamente episodico </w:t>
      </w:r>
      <w:r>
        <w:rPr>
          <w:rFonts w:ascii="Garamond" w:hAnsi="Garamond"/>
          <w:sz w:val="32"/>
          <w:szCs w:val="32"/>
        </w:rPr>
        <w:t>come la procedura di infrazione fisiologicamente presenta</w:t>
      </w:r>
      <w:r>
        <w:rPr>
          <w:rStyle w:val="Rimandonotaapidipagina"/>
          <w:rFonts w:ascii="Garamond" w:hAnsi="Garamond"/>
          <w:sz w:val="32"/>
          <w:szCs w:val="32"/>
        </w:rPr>
        <w:footnoteReference w:id="46"/>
      </w:r>
      <w:r>
        <w:rPr>
          <w:rFonts w:ascii="Garamond" w:hAnsi="Garamond"/>
          <w:sz w:val="32"/>
          <w:szCs w:val="32"/>
        </w:rPr>
        <w:t>.</w:t>
      </w:r>
    </w:p>
    <w:p w14:paraId="5B987A5B" w14:textId="77777777" w:rsidR="0037016C" w:rsidRDefault="0037016C" w:rsidP="0037016C">
      <w:pPr>
        <w:spacing w:line="360" w:lineRule="auto"/>
        <w:jc w:val="both"/>
        <w:rPr>
          <w:rFonts w:ascii="Garamond" w:hAnsi="Garamond"/>
          <w:sz w:val="32"/>
          <w:szCs w:val="32"/>
        </w:rPr>
      </w:pPr>
      <w:r>
        <w:rPr>
          <w:rFonts w:ascii="Garamond" w:hAnsi="Garamond"/>
          <w:sz w:val="32"/>
          <w:szCs w:val="32"/>
        </w:rPr>
        <w:lastRenderedPageBreak/>
        <w:t>La Corte invero sembra consapevole di questa divaricazione tra il dato sostanziale e quello processuale, tanto da precisare (al punto 62) che “Tuttavia, la facoltà così riconosciuta dalla giurisprudenza della Corte, derivante in particolare dal principio di effettività del diritto dell’Unione, effettività alla quale i singoli interessati sono legittimati a contribuire, avviando procedimenti amministrativi o giurisdizionali a motivo della situazione particolare che costituisce la loro, non implica che gli obblighi derivanti dall’articolo 13, paragrafo 1, e dall’articolo 23, paragrafo 1, della direttiva 2008/50, nonché dalle disposizioni analoghe delle direttive precedenti, abbiano avuto lo scopo di conferire agli interessati diritti individuali”.</w:t>
      </w:r>
    </w:p>
    <w:p w14:paraId="039AD712" w14:textId="77777777" w:rsidR="00963086" w:rsidRDefault="0034243C" w:rsidP="0037016C">
      <w:pPr>
        <w:spacing w:line="360" w:lineRule="auto"/>
        <w:jc w:val="both"/>
        <w:rPr>
          <w:rFonts w:ascii="Garamond" w:hAnsi="Garamond"/>
          <w:sz w:val="32"/>
          <w:szCs w:val="32"/>
        </w:rPr>
      </w:pPr>
      <w:r>
        <w:rPr>
          <w:rFonts w:ascii="Garamond" w:hAnsi="Garamond"/>
          <w:sz w:val="32"/>
          <w:szCs w:val="32"/>
        </w:rPr>
        <w:t>Viene infine da chiedersi se la sentenz</w:t>
      </w:r>
      <w:r w:rsidR="001D4F63">
        <w:rPr>
          <w:rFonts w:ascii="Garamond" w:hAnsi="Garamond"/>
          <w:sz w:val="32"/>
          <w:szCs w:val="32"/>
        </w:rPr>
        <w:t xml:space="preserve">a non induca a prestare attenzione anche a un profilo </w:t>
      </w:r>
      <w:r>
        <w:rPr>
          <w:rFonts w:ascii="Garamond" w:hAnsi="Garamond"/>
          <w:sz w:val="32"/>
          <w:szCs w:val="32"/>
        </w:rPr>
        <w:t>diverso e più ampio</w:t>
      </w:r>
      <w:r w:rsidR="001D4F63">
        <w:rPr>
          <w:rFonts w:ascii="Garamond" w:hAnsi="Garamond"/>
          <w:sz w:val="32"/>
          <w:szCs w:val="32"/>
        </w:rPr>
        <w:t xml:space="preserve">, quale quello </w:t>
      </w:r>
      <w:r w:rsidR="001D4F63" w:rsidRPr="001D4F63">
        <w:rPr>
          <w:rFonts w:ascii="Garamond" w:hAnsi="Garamond"/>
          <w:sz w:val="32"/>
          <w:szCs w:val="32"/>
        </w:rPr>
        <w:t>dei metodi ermeneutici elaborati dalla Corte</w:t>
      </w:r>
      <w:r w:rsidR="00AE1AA7">
        <w:rPr>
          <w:rStyle w:val="Rimandonotaapidipagina"/>
          <w:rFonts w:ascii="Garamond" w:hAnsi="Garamond"/>
          <w:sz w:val="32"/>
          <w:szCs w:val="32"/>
        </w:rPr>
        <w:footnoteReference w:id="47"/>
      </w:r>
      <w:r>
        <w:rPr>
          <w:rFonts w:ascii="Garamond" w:hAnsi="Garamond"/>
          <w:sz w:val="32"/>
          <w:szCs w:val="32"/>
        </w:rPr>
        <w:t xml:space="preserve">. </w:t>
      </w:r>
    </w:p>
    <w:p w14:paraId="66397121" w14:textId="77777777" w:rsidR="00963086" w:rsidRDefault="0034243C" w:rsidP="0037016C">
      <w:pPr>
        <w:spacing w:line="360" w:lineRule="auto"/>
        <w:jc w:val="both"/>
        <w:rPr>
          <w:rFonts w:ascii="Garamond" w:hAnsi="Garamond"/>
          <w:sz w:val="32"/>
          <w:szCs w:val="32"/>
        </w:rPr>
      </w:pPr>
      <w:r>
        <w:rPr>
          <w:rFonts w:ascii="Garamond" w:hAnsi="Garamond"/>
          <w:sz w:val="32"/>
          <w:szCs w:val="32"/>
        </w:rPr>
        <w:t>L</w:t>
      </w:r>
      <w:r w:rsidR="004D540C" w:rsidRPr="004D540C">
        <w:rPr>
          <w:rFonts w:ascii="Garamond" w:hAnsi="Garamond"/>
          <w:sz w:val="32"/>
          <w:szCs w:val="32"/>
        </w:rPr>
        <w:t xml:space="preserve">'Unione europea si è dotata di un </w:t>
      </w:r>
      <w:r w:rsidR="004D540C" w:rsidRPr="0034243C">
        <w:rPr>
          <w:rFonts w:ascii="Garamond" w:hAnsi="Garamond"/>
          <w:i/>
          <w:sz w:val="32"/>
          <w:szCs w:val="32"/>
        </w:rPr>
        <w:t>corpus</w:t>
      </w:r>
      <w:r w:rsidR="004D540C" w:rsidRPr="004D540C">
        <w:rPr>
          <w:rFonts w:ascii="Garamond" w:hAnsi="Garamond"/>
          <w:sz w:val="32"/>
          <w:szCs w:val="32"/>
        </w:rPr>
        <w:t xml:space="preserve"> normativo oltremodo ricco e articolato, per quanto riguarda sia il diritto sostanziale sia processuale, senza pari in ambito internazionale, </w:t>
      </w:r>
      <w:r w:rsidR="00CD1E4D">
        <w:rPr>
          <w:rFonts w:ascii="Garamond" w:hAnsi="Garamond"/>
          <w:sz w:val="32"/>
          <w:szCs w:val="32"/>
        </w:rPr>
        <w:t>per</w:t>
      </w:r>
      <w:r>
        <w:rPr>
          <w:rFonts w:ascii="Garamond" w:hAnsi="Garamond"/>
          <w:sz w:val="32"/>
          <w:szCs w:val="32"/>
        </w:rPr>
        <w:t xml:space="preserve"> sviluppo </w:t>
      </w:r>
      <w:r w:rsidR="00CD1E4D">
        <w:rPr>
          <w:rFonts w:ascii="Garamond" w:hAnsi="Garamond"/>
          <w:sz w:val="32"/>
          <w:szCs w:val="32"/>
        </w:rPr>
        <w:t xml:space="preserve">e vincolatività. </w:t>
      </w:r>
      <w:r w:rsidR="00AD5958">
        <w:rPr>
          <w:rFonts w:ascii="Garamond" w:hAnsi="Garamond"/>
          <w:sz w:val="32"/>
          <w:szCs w:val="32"/>
        </w:rPr>
        <w:t xml:space="preserve"> </w:t>
      </w:r>
    </w:p>
    <w:p w14:paraId="44B5E38B" w14:textId="19D05E91" w:rsidR="009E5A2C" w:rsidRDefault="00963086" w:rsidP="0037016C">
      <w:pPr>
        <w:spacing w:line="360" w:lineRule="auto"/>
        <w:jc w:val="both"/>
        <w:rPr>
          <w:rFonts w:ascii="Garamond" w:hAnsi="Garamond"/>
          <w:sz w:val="32"/>
          <w:szCs w:val="32"/>
        </w:rPr>
      </w:pPr>
      <w:r>
        <w:rPr>
          <w:rFonts w:ascii="Garamond" w:hAnsi="Garamond"/>
          <w:sz w:val="32"/>
          <w:szCs w:val="32"/>
        </w:rPr>
        <w:t xml:space="preserve">La Corte ha </w:t>
      </w:r>
      <w:r w:rsidR="004B0923">
        <w:rPr>
          <w:rFonts w:ascii="Garamond" w:hAnsi="Garamond"/>
          <w:sz w:val="32"/>
          <w:szCs w:val="32"/>
        </w:rPr>
        <w:t xml:space="preserve">innanzitutto rivendicato </w:t>
      </w:r>
      <w:r w:rsidR="009E5A2C">
        <w:rPr>
          <w:rFonts w:ascii="Garamond" w:hAnsi="Garamond"/>
          <w:sz w:val="32"/>
          <w:szCs w:val="32"/>
        </w:rPr>
        <w:t xml:space="preserve">la propria autonomia nell’intendere </w:t>
      </w:r>
      <w:r w:rsidR="004B0923">
        <w:rPr>
          <w:rFonts w:ascii="Garamond" w:hAnsi="Garamond"/>
          <w:sz w:val="32"/>
          <w:szCs w:val="32"/>
        </w:rPr>
        <w:t>le nozioni giuridiche presenti nel diritto dell’Unione</w:t>
      </w:r>
      <w:r w:rsidR="009E5A2C">
        <w:rPr>
          <w:rStyle w:val="Rimandonotaapidipagina"/>
          <w:rFonts w:ascii="Garamond" w:hAnsi="Garamond"/>
          <w:sz w:val="32"/>
          <w:szCs w:val="32"/>
        </w:rPr>
        <w:footnoteReference w:id="48"/>
      </w:r>
      <w:r w:rsidR="001332F4">
        <w:rPr>
          <w:rFonts w:ascii="Garamond" w:hAnsi="Garamond"/>
          <w:sz w:val="32"/>
          <w:szCs w:val="32"/>
        </w:rPr>
        <w:t>.</w:t>
      </w:r>
      <w:r w:rsidR="004B0923">
        <w:rPr>
          <w:rFonts w:ascii="Garamond" w:hAnsi="Garamond"/>
          <w:sz w:val="32"/>
          <w:szCs w:val="32"/>
        </w:rPr>
        <w:t xml:space="preserve"> </w:t>
      </w:r>
      <w:r w:rsidR="001332F4">
        <w:rPr>
          <w:rFonts w:ascii="Garamond" w:hAnsi="Garamond"/>
          <w:sz w:val="32"/>
          <w:szCs w:val="32"/>
        </w:rPr>
        <w:t>H</w:t>
      </w:r>
      <w:r w:rsidR="009E5A2C">
        <w:rPr>
          <w:rFonts w:ascii="Garamond" w:hAnsi="Garamond"/>
          <w:sz w:val="32"/>
          <w:szCs w:val="32"/>
        </w:rPr>
        <w:t xml:space="preserve">a poi utilizzato </w:t>
      </w:r>
      <w:r w:rsidR="004B0923">
        <w:rPr>
          <w:rFonts w:ascii="Garamond" w:hAnsi="Garamond"/>
          <w:sz w:val="32"/>
          <w:szCs w:val="32"/>
        </w:rPr>
        <w:lastRenderedPageBreak/>
        <w:t>soprattutto il principio dell’effetto utile per estendere la portata delle disposizioni</w:t>
      </w:r>
      <w:r w:rsidR="00CF7E6A">
        <w:rPr>
          <w:rStyle w:val="Rimandonotaapidipagina"/>
          <w:rFonts w:ascii="Garamond" w:hAnsi="Garamond"/>
          <w:sz w:val="32"/>
          <w:szCs w:val="32"/>
        </w:rPr>
        <w:footnoteReference w:id="49"/>
      </w:r>
      <w:r w:rsidR="004B0923">
        <w:rPr>
          <w:rFonts w:ascii="Garamond" w:hAnsi="Garamond"/>
          <w:sz w:val="32"/>
          <w:szCs w:val="32"/>
        </w:rPr>
        <w:t xml:space="preserve">, </w:t>
      </w:r>
      <w:r w:rsidR="009E5A2C">
        <w:rPr>
          <w:rFonts w:ascii="Garamond" w:hAnsi="Garamond"/>
          <w:sz w:val="32"/>
          <w:szCs w:val="32"/>
        </w:rPr>
        <w:t xml:space="preserve">così adattando le tradizionali regole codificate </w:t>
      </w:r>
      <w:r w:rsidR="0093154D">
        <w:rPr>
          <w:rFonts w:ascii="Garamond" w:hAnsi="Garamond"/>
          <w:sz w:val="32"/>
          <w:szCs w:val="32"/>
        </w:rPr>
        <w:t xml:space="preserve">nell’articolo 31 del </w:t>
      </w:r>
      <w:r w:rsidR="009E5A2C">
        <w:rPr>
          <w:rFonts w:ascii="Garamond" w:hAnsi="Garamond"/>
          <w:sz w:val="32"/>
          <w:szCs w:val="32"/>
        </w:rPr>
        <w:t>trattato di Vienna</w:t>
      </w:r>
      <w:r w:rsidR="009E5A2C" w:rsidRPr="001A315E">
        <w:t xml:space="preserve"> </w:t>
      </w:r>
      <w:r w:rsidR="009E5A2C" w:rsidRPr="001A315E">
        <w:rPr>
          <w:rFonts w:ascii="Garamond" w:hAnsi="Garamond"/>
          <w:sz w:val="32"/>
          <w:szCs w:val="32"/>
        </w:rPr>
        <w:t>del 23 maggio 1969</w:t>
      </w:r>
      <w:r w:rsidR="0093154D">
        <w:rPr>
          <w:rFonts w:ascii="Garamond" w:hAnsi="Garamond"/>
          <w:sz w:val="32"/>
          <w:szCs w:val="32"/>
        </w:rPr>
        <w:t xml:space="preserve">, in modo da rispondere alle esigenze di </w:t>
      </w:r>
      <w:r w:rsidR="00CE4792">
        <w:rPr>
          <w:rFonts w:ascii="Garamond" w:hAnsi="Garamond"/>
          <w:sz w:val="32"/>
          <w:szCs w:val="32"/>
        </w:rPr>
        <w:t>un’</w:t>
      </w:r>
      <w:r w:rsidR="0093154D">
        <w:rPr>
          <w:rFonts w:ascii="Garamond" w:hAnsi="Garamond"/>
          <w:sz w:val="32"/>
          <w:szCs w:val="32"/>
        </w:rPr>
        <w:t>interpretazione</w:t>
      </w:r>
      <w:r w:rsidR="00CE4792">
        <w:rPr>
          <w:rFonts w:ascii="Garamond" w:hAnsi="Garamond"/>
          <w:sz w:val="32"/>
          <w:szCs w:val="32"/>
        </w:rPr>
        <w:t xml:space="preserve"> d’impronta fortemente sistematica</w:t>
      </w:r>
      <w:r w:rsidR="0093154D">
        <w:rPr>
          <w:rFonts w:ascii="Garamond" w:hAnsi="Garamond"/>
          <w:sz w:val="32"/>
          <w:szCs w:val="32"/>
        </w:rPr>
        <w:t xml:space="preserve">, </w:t>
      </w:r>
      <w:r w:rsidR="009E5A2C" w:rsidRPr="004D540C">
        <w:rPr>
          <w:rFonts w:ascii="Garamond" w:hAnsi="Garamond"/>
          <w:sz w:val="32"/>
          <w:szCs w:val="32"/>
        </w:rPr>
        <w:t xml:space="preserve">funzionale ed </w:t>
      </w:r>
      <w:r w:rsidR="009E5A2C" w:rsidRPr="00BA423E">
        <w:rPr>
          <w:rFonts w:ascii="Garamond" w:hAnsi="Garamond"/>
          <w:sz w:val="32"/>
          <w:szCs w:val="32"/>
        </w:rPr>
        <w:t>evolutiva</w:t>
      </w:r>
      <w:r w:rsidR="009E5A2C">
        <w:rPr>
          <w:rFonts w:ascii="Garamond" w:hAnsi="Garamond"/>
          <w:sz w:val="32"/>
          <w:szCs w:val="32"/>
        </w:rPr>
        <w:t>.</w:t>
      </w:r>
    </w:p>
    <w:p w14:paraId="0D3175B2" w14:textId="3129E227" w:rsidR="00F57C48" w:rsidRDefault="00FA719E" w:rsidP="00F57C48">
      <w:pPr>
        <w:spacing w:line="360" w:lineRule="auto"/>
        <w:jc w:val="both"/>
        <w:rPr>
          <w:rFonts w:ascii="Garamond" w:hAnsi="Garamond"/>
          <w:sz w:val="32"/>
          <w:szCs w:val="32"/>
        </w:rPr>
      </w:pPr>
      <w:r>
        <w:rPr>
          <w:rFonts w:ascii="Garamond" w:hAnsi="Garamond"/>
          <w:sz w:val="32"/>
          <w:szCs w:val="32"/>
        </w:rPr>
        <w:t xml:space="preserve">È sicuramente una costruzione coerente </w:t>
      </w:r>
      <w:r w:rsidR="00DB75B0">
        <w:rPr>
          <w:rFonts w:ascii="Garamond" w:hAnsi="Garamond"/>
          <w:sz w:val="32"/>
          <w:szCs w:val="32"/>
        </w:rPr>
        <w:t xml:space="preserve">che ha dato un grande impulso allo sviluppo del diritto </w:t>
      </w:r>
      <w:r w:rsidR="004E1A8D">
        <w:rPr>
          <w:rFonts w:ascii="Garamond" w:hAnsi="Garamond"/>
          <w:sz w:val="32"/>
          <w:szCs w:val="32"/>
        </w:rPr>
        <w:t xml:space="preserve">europeo e alla disseminazione </w:t>
      </w:r>
      <w:r w:rsidR="00E04B1B">
        <w:rPr>
          <w:rFonts w:ascii="Garamond" w:hAnsi="Garamond"/>
          <w:sz w:val="32"/>
          <w:szCs w:val="32"/>
        </w:rPr>
        <w:t>dei suoi principi; q</w:t>
      </w:r>
      <w:r w:rsidR="001332F4">
        <w:rPr>
          <w:rFonts w:ascii="Garamond" w:hAnsi="Garamond"/>
          <w:sz w:val="32"/>
          <w:szCs w:val="32"/>
        </w:rPr>
        <w:t>ualche dubbio però oggi non può non sorgere sulla compatibilità di questi criteri ermeneutici</w:t>
      </w:r>
      <w:r w:rsidR="007E70A0">
        <w:rPr>
          <w:rFonts w:ascii="Garamond" w:hAnsi="Garamond"/>
          <w:sz w:val="32"/>
          <w:szCs w:val="32"/>
        </w:rPr>
        <w:t xml:space="preserve"> con un ordinamento ormai e sempre più composto da norme di </w:t>
      </w:r>
      <w:r w:rsidR="00123DE0">
        <w:rPr>
          <w:rFonts w:ascii="Garamond" w:hAnsi="Garamond"/>
          <w:sz w:val="32"/>
          <w:szCs w:val="32"/>
        </w:rPr>
        <w:t>diritto positivo.</w:t>
      </w:r>
    </w:p>
    <w:p w14:paraId="2ED5CB42" w14:textId="74F29202" w:rsidR="00600115" w:rsidRDefault="00600115" w:rsidP="00600115">
      <w:pPr>
        <w:spacing w:line="240" w:lineRule="auto"/>
        <w:jc w:val="right"/>
        <w:rPr>
          <w:rFonts w:ascii="Garamond" w:hAnsi="Garamond"/>
          <w:b/>
          <w:sz w:val="32"/>
          <w:szCs w:val="32"/>
        </w:rPr>
      </w:pPr>
      <w:r w:rsidRPr="00600115">
        <w:rPr>
          <w:rFonts w:ascii="Garamond" w:hAnsi="Garamond"/>
          <w:b/>
          <w:sz w:val="32"/>
          <w:szCs w:val="32"/>
        </w:rPr>
        <w:t>Giuseppina Adamo</w:t>
      </w:r>
    </w:p>
    <w:p w14:paraId="17518807" w14:textId="77777777" w:rsidR="00600115" w:rsidRPr="00600115" w:rsidRDefault="00600115" w:rsidP="00600115">
      <w:pPr>
        <w:spacing w:line="240" w:lineRule="auto"/>
        <w:jc w:val="right"/>
        <w:rPr>
          <w:rFonts w:ascii="Garamond" w:hAnsi="Garamond"/>
          <w:sz w:val="32"/>
          <w:szCs w:val="32"/>
        </w:rPr>
      </w:pPr>
      <w:r w:rsidRPr="00600115">
        <w:rPr>
          <w:rFonts w:ascii="Garamond" w:hAnsi="Garamond"/>
          <w:sz w:val="32"/>
          <w:szCs w:val="32"/>
        </w:rPr>
        <w:t>consigliere T.A.R.</w:t>
      </w:r>
    </w:p>
    <w:p w14:paraId="18D83D88" w14:textId="77FFA2D3" w:rsidR="00600115" w:rsidRDefault="00600115" w:rsidP="00600115">
      <w:pPr>
        <w:spacing w:line="240" w:lineRule="auto"/>
        <w:jc w:val="right"/>
        <w:rPr>
          <w:rFonts w:ascii="Garamond" w:hAnsi="Garamond"/>
          <w:sz w:val="32"/>
          <w:szCs w:val="32"/>
        </w:rPr>
      </w:pPr>
      <w:r w:rsidRPr="00600115">
        <w:rPr>
          <w:rFonts w:ascii="Garamond" w:hAnsi="Garamond"/>
          <w:sz w:val="32"/>
          <w:szCs w:val="32"/>
        </w:rPr>
        <w:t xml:space="preserve">presidente della terza sezione del T.A.R. </w:t>
      </w:r>
      <w:r w:rsidR="00C50964">
        <w:rPr>
          <w:rFonts w:ascii="Garamond" w:hAnsi="Garamond"/>
          <w:sz w:val="32"/>
          <w:szCs w:val="32"/>
        </w:rPr>
        <w:t>Bari</w:t>
      </w:r>
    </w:p>
    <w:p w14:paraId="25166646" w14:textId="5754B252" w:rsidR="00C50964" w:rsidRDefault="00C50964" w:rsidP="00600115">
      <w:pPr>
        <w:spacing w:line="240" w:lineRule="auto"/>
        <w:jc w:val="right"/>
        <w:rPr>
          <w:rFonts w:ascii="Garamond" w:hAnsi="Garamond"/>
          <w:sz w:val="32"/>
          <w:szCs w:val="32"/>
        </w:rPr>
      </w:pPr>
    </w:p>
    <w:p w14:paraId="6749E23B" w14:textId="4462F55B" w:rsidR="00C50964" w:rsidRDefault="00C50964" w:rsidP="00600115">
      <w:pPr>
        <w:spacing w:line="240" w:lineRule="auto"/>
        <w:jc w:val="right"/>
        <w:rPr>
          <w:rFonts w:ascii="Garamond" w:hAnsi="Garamond"/>
          <w:b/>
          <w:sz w:val="32"/>
          <w:szCs w:val="32"/>
        </w:rPr>
      </w:pPr>
      <w:r>
        <w:rPr>
          <w:rFonts w:ascii="Garamond" w:hAnsi="Garamond"/>
          <w:sz w:val="32"/>
          <w:szCs w:val="32"/>
        </w:rPr>
        <w:t>pubblicato il 13 febbraio</w:t>
      </w:r>
      <w:bookmarkStart w:id="0" w:name="_GoBack"/>
      <w:bookmarkEnd w:id="0"/>
      <w:r>
        <w:rPr>
          <w:rFonts w:ascii="Garamond" w:hAnsi="Garamond"/>
          <w:sz w:val="32"/>
          <w:szCs w:val="32"/>
        </w:rPr>
        <w:t xml:space="preserve"> 2023</w:t>
      </w:r>
    </w:p>
    <w:p w14:paraId="4830DC03" w14:textId="77777777" w:rsidR="00600115" w:rsidRPr="00600115" w:rsidRDefault="00600115" w:rsidP="00F57C48">
      <w:pPr>
        <w:spacing w:line="360" w:lineRule="auto"/>
        <w:jc w:val="both"/>
        <w:rPr>
          <w:rFonts w:ascii="Garamond" w:hAnsi="Garamond"/>
          <w:b/>
          <w:sz w:val="32"/>
          <w:szCs w:val="32"/>
        </w:rPr>
      </w:pPr>
    </w:p>
    <w:p w14:paraId="653302E5" w14:textId="77777777" w:rsidR="00F57C48" w:rsidRDefault="00F57C48">
      <w:pPr>
        <w:spacing w:line="259" w:lineRule="auto"/>
        <w:rPr>
          <w:rFonts w:ascii="Garamond" w:hAnsi="Garamond"/>
          <w:sz w:val="32"/>
          <w:szCs w:val="32"/>
        </w:rPr>
      </w:pPr>
      <w:r>
        <w:rPr>
          <w:rFonts w:ascii="Garamond" w:hAnsi="Garamond"/>
          <w:sz w:val="32"/>
          <w:szCs w:val="32"/>
        </w:rPr>
        <w:br w:type="page"/>
      </w:r>
    </w:p>
    <w:p w14:paraId="739D423F" w14:textId="200ADF49" w:rsidR="00E576BE" w:rsidRPr="00163E4F" w:rsidRDefault="00F57C48" w:rsidP="00F57C48">
      <w:pPr>
        <w:spacing w:line="360" w:lineRule="auto"/>
        <w:jc w:val="both"/>
        <w:rPr>
          <w:rFonts w:ascii="Garamond" w:hAnsi="Garamond"/>
          <w:sz w:val="32"/>
          <w:szCs w:val="32"/>
        </w:rPr>
      </w:pPr>
      <w:r w:rsidRPr="00163E4F">
        <w:rPr>
          <w:rFonts w:ascii="Garamond" w:hAnsi="Garamond"/>
          <w:b/>
          <w:sz w:val="32"/>
          <w:szCs w:val="32"/>
        </w:rPr>
        <w:lastRenderedPageBreak/>
        <w:t>ABSTRACT</w:t>
      </w:r>
      <w:r w:rsidRPr="00163E4F">
        <w:rPr>
          <w:rFonts w:ascii="Garamond" w:hAnsi="Garamond"/>
          <w:sz w:val="32"/>
          <w:szCs w:val="32"/>
        </w:rPr>
        <w:t xml:space="preserve">: </w:t>
      </w:r>
      <w:r w:rsidRPr="00163E4F">
        <w:rPr>
          <w:rFonts w:ascii="Garamond" w:hAnsi="Garamond"/>
          <w:i/>
          <w:sz w:val="32"/>
          <w:szCs w:val="32"/>
        </w:rPr>
        <w:t xml:space="preserve">L’articolo si occupa della configurabilità del diritto dei singoli all’ambiente salubre e della sua risarcibilità alla luce della recente sentenza della Corte di giustizia </w:t>
      </w:r>
      <w:r w:rsidR="00544185" w:rsidRPr="00163E4F">
        <w:rPr>
          <w:rFonts w:ascii="Garamond" w:hAnsi="Garamond"/>
          <w:i/>
          <w:sz w:val="32"/>
          <w:szCs w:val="32"/>
        </w:rPr>
        <w:t>dell'Unione europea del 22 dicembre 2022</w:t>
      </w:r>
      <w:r w:rsidRPr="00163E4F">
        <w:rPr>
          <w:rFonts w:ascii="Garamond" w:hAnsi="Garamond"/>
          <w:i/>
          <w:sz w:val="32"/>
          <w:szCs w:val="32"/>
        </w:rPr>
        <w:t xml:space="preserve"> (C-61/21)</w:t>
      </w:r>
      <w:r w:rsidR="00163E4F">
        <w:rPr>
          <w:rFonts w:ascii="Garamond" w:hAnsi="Garamond"/>
          <w:i/>
          <w:sz w:val="32"/>
          <w:szCs w:val="32"/>
        </w:rPr>
        <w:t>,</w:t>
      </w:r>
      <w:r w:rsidR="00544185" w:rsidRPr="00163E4F">
        <w:rPr>
          <w:rFonts w:ascii="Garamond" w:hAnsi="Garamond"/>
          <w:i/>
          <w:sz w:val="32"/>
          <w:szCs w:val="32"/>
        </w:rPr>
        <w:t xml:space="preserve"> che ha negato il ristoro dei danni </w:t>
      </w:r>
      <w:r w:rsidR="00163E4F">
        <w:rPr>
          <w:rFonts w:ascii="Garamond" w:hAnsi="Garamond"/>
          <w:i/>
          <w:sz w:val="32"/>
          <w:szCs w:val="32"/>
        </w:rPr>
        <w:t xml:space="preserve">arrecati </w:t>
      </w:r>
      <w:r w:rsidR="00544185" w:rsidRPr="00163E4F">
        <w:rPr>
          <w:rFonts w:ascii="Garamond" w:hAnsi="Garamond"/>
          <w:i/>
          <w:sz w:val="32"/>
          <w:szCs w:val="32"/>
        </w:rPr>
        <w:t>all’individuo dal sistematico superamento dei valori-limite all’emissione di sostanze nocive fissati dalle direttive europee</w:t>
      </w:r>
      <w:r w:rsidR="00163E4F" w:rsidRPr="00163E4F">
        <w:rPr>
          <w:rFonts w:ascii="Garamond" w:hAnsi="Garamond"/>
          <w:i/>
          <w:sz w:val="32"/>
          <w:szCs w:val="32"/>
        </w:rPr>
        <w:t xml:space="preserve"> relative </w:t>
      </w:r>
      <w:r w:rsidR="00544185" w:rsidRPr="00163E4F">
        <w:rPr>
          <w:rFonts w:ascii="Garamond" w:hAnsi="Garamond"/>
          <w:i/>
          <w:sz w:val="32"/>
          <w:szCs w:val="32"/>
        </w:rPr>
        <w:t>alla qualità dell'aria</w:t>
      </w:r>
      <w:r w:rsidRPr="00163E4F">
        <w:rPr>
          <w:rFonts w:ascii="Garamond" w:hAnsi="Garamond"/>
          <w:i/>
          <w:sz w:val="32"/>
          <w:szCs w:val="32"/>
        </w:rPr>
        <w:t>.</w:t>
      </w:r>
      <w:r w:rsidR="00163E4F" w:rsidRPr="00163E4F">
        <w:rPr>
          <w:rFonts w:ascii="Garamond" w:hAnsi="Garamond"/>
          <w:i/>
          <w:sz w:val="32"/>
          <w:szCs w:val="32"/>
        </w:rPr>
        <w:t xml:space="preserve"> La pronuncia viene collocata nel quadro del contenzioso in materia ambientale dinanzi al</w:t>
      </w:r>
      <w:r w:rsidR="00FB5E27">
        <w:rPr>
          <w:rFonts w:ascii="Garamond" w:hAnsi="Garamond"/>
          <w:i/>
          <w:sz w:val="32"/>
          <w:szCs w:val="32"/>
        </w:rPr>
        <w:t>le corti degli Stati membri e a</w:t>
      </w:r>
      <w:r w:rsidR="00163E4F" w:rsidRPr="00163E4F">
        <w:rPr>
          <w:rFonts w:ascii="Garamond" w:hAnsi="Garamond"/>
          <w:i/>
          <w:sz w:val="32"/>
          <w:szCs w:val="32"/>
        </w:rPr>
        <w:t>lla Corte europea dei diritti dell’uomo.</w:t>
      </w:r>
    </w:p>
    <w:sectPr w:rsidR="00E576BE" w:rsidRPr="00163E4F" w:rsidSect="00C734B4">
      <w:footerReference w:type="default" r:id="rId8"/>
      <w:footerReference w:type="firs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DF148" w14:textId="77777777" w:rsidR="008F5E0D" w:rsidRDefault="008F5E0D" w:rsidP="0037016C">
      <w:pPr>
        <w:spacing w:after="0" w:line="240" w:lineRule="auto"/>
      </w:pPr>
      <w:r>
        <w:separator/>
      </w:r>
    </w:p>
  </w:endnote>
  <w:endnote w:type="continuationSeparator" w:id="0">
    <w:p w14:paraId="2BBA0C7C" w14:textId="77777777" w:rsidR="008F5E0D" w:rsidRDefault="008F5E0D" w:rsidP="0037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402365"/>
      <w:docPartObj>
        <w:docPartGallery w:val="Page Numbers (Bottom of Page)"/>
        <w:docPartUnique/>
      </w:docPartObj>
    </w:sdtPr>
    <w:sdtEndPr/>
    <w:sdtContent>
      <w:p w14:paraId="199CBA3B" w14:textId="6D44C60B" w:rsidR="00C734B4" w:rsidRDefault="00C734B4">
        <w:pPr>
          <w:pStyle w:val="Pidipagina"/>
          <w:jc w:val="center"/>
        </w:pPr>
        <w:r>
          <w:fldChar w:fldCharType="begin"/>
        </w:r>
        <w:r>
          <w:instrText>PAGE   \* MERGEFORMAT</w:instrText>
        </w:r>
        <w:r>
          <w:fldChar w:fldCharType="separate"/>
        </w:r>
        <w:r w:rsidR="00C50964">
          <w:rPr>
            <w:noProof/>
          </w:rPr>
          <w:t>22</w:t>
        </w:r>
        <w:r>
          <w:fldChar w:fldCharType="end"/>
        </w:r>
      </w:p>
    </w:sdtContent>
  </w:sdt>
  <w:p w14:paraId="2CA12BE6" w14:textId="77777777" w:rsidR="00496CD1" w:rsidRDefault="00496C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60659"/>
      <w:docPartObj>
        <w:docPartGallery w:val="Page Numbers (Bottom of Page)"/>
        <w:docPartUnique/>
      </w:docPartObj>
    </w:sdtPr>
    <w:sdtEndPr/>
    <w:sdtContent>
      <w:p w14:paraId="1885FEF3" w14:textId="2418ED2B" w:rsidR="00C734B4" w:rsidRDefault="00C734B4">
        <w:pPr>
          <w:pStyle w:val="Pidipagina"/>
          <w:jc w:val="center"/>
        </w:pPr>
        <w:r>
          <w:fldChar w:fldCharType="begin"/>
        </w:r>
        <w:r>
          <w:instrText>PAGE   \* MERGEFORMAT</w:instrText>
        </w:r>
        <w:r>
          <w:fldChar w:fldCharType="separate"/>
        </w:r>
        <w:r w:rsidR="00C50964">
          <w:rPr>
            <w:noProof/>
          </w:rPr>
          <w:t>1</w:t>
        </w:r>
        <w:r>
          <w:fldChar w:fldCharType="end"/>
        </w:r>
      </w:p>
    </w:sdtContent>
  </w:sdt>
  <w:p w14:paraId="67927CB4" w14:textId="77777777" w:rsidR="00C734B4" w:rsidRDefault="00C734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C8106" w14:textId="77777777" w:rsidR="008F5E0D" w:rsidRDefault="008F5E0D" w:rsidP="0037016C">
      <w:pPr>
        <w:spacing w:after="0" w:line="240" w:lineRule="auto"/>
      </w:pPr>
      <w:r>
        <w:separator/>
      </w:r>
    </w:p>
  </w:footnote>
  <w:footnote w:type="continuationSeparator" w:id="0">
    <w:p w14:paraId="19193A3C" w14:textId="77777777" w:rsidR="008F5E0D" w:rsidRDefault="008F5E0D" w:rsidP="0037016C">
      <w:pPr>
        <w:spacing w:after="0" w:line="240" w:lineRule="auto"/>
      </w:pPr>
      <w:r>
        <w:continuationSeparator/>
      </w:r>
    </w:p>
  </w:footnote>
  <w:footnote w:id="1">
    <w:p w14:paraId="484F49E4" w14:textId="77777777" w:rsidR="0037016C" w:rsidRPr="00787D6B" w:rsidRDefault="0037016C" w:rsidP="00A7755F">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Sentenza del 22 dicembre 2022 (Grande Sezione), </w:t>
      </w:r>
      <w:r w:rsidR="009C4F4A" w:rsidRPr="00787D6B">
        <w:rPr>
          <w:rFonts w:ascii="Garamond" w:hAnsi="Garamond"/>
          <w:i/>
          <w:sz w:val="28"/>
          <w:szCs w:val="28"/>
        </w:rPr>
        <w:t>Ministro</w:t>
      </w:r>
      <w:r w:rsidRPr="00787D6B">
        <w:rPr>
          <w:rFonts w:ascii="Garamond" w:hAnsi="Garamond"/>
          <w:i/>
          <w:sz w:val="28"/>
          <w:szCs w:val="28"/>
        </w:rPr>
        <w:t xml:space="preserve"> de</w:t>
      </w:r>
      <w:r w:rsidR="009C4F4A" w:rsidRPr="00787D6B">
        <w:rPr>
          <w:rFonts w:ascii="Garamond" w:hAnsi="Garamond"/>
          <w:i/>
          <w:sz w:val="28"/>
          <w:szCs w:val="28"/>
        </w:rPr>
        <w:t>l</w:t>
      </w:r>
      <w:r w:rsidRPr="00787D6B">
        <w:rPr>
          <w:rFonts w:ascii="Garamond" w:hAnsi="Garamond"/>
          <w:i/>
          <w:sz w:val="28"/>
          <w:szCs w:val="28"/>
        </w:rPr>
        <w:t xml:space="preserve">la </w:t>
      </w:r>
      <w:r w:rsidR="00842749" w:rsidRPr="00787D6B">
        <w:rPr>
          <w:rFonts w:ascii="Garamond" w:hAnsi="Garamond"/>
          <w:i/>
          <w:sz w:val="28"/>
          <w:szCs w:val="28"/>
        </w:rPr>
        <w:t>transizione</w:t>
      </w:r>
      <w:r w:rsidRPr="00787D6B">
        <w:rPr>
          <w:rFonts w:ascii="Garamond" w:hAnsi="Garamond"/>
          <w:i/>
          <w:sz w:val="28"/>
          <w:szCs w:val="28"/>
        </w:rPr>
        <w:t xml:space="preserve"> </w:t>
      </w:r>
      <w:r w:rsidR="00250F4D" w:rsidRPr="00787D6B">
        <w:rPr>
          <w:rFonts w:ascii="Garamond" w:hAnsi="Garamond"/>
          <w:i/>
          <w:sz w:val="28"/>
          <w:szCs w:val="28"/>
        </w:rPr>
        <w:t>ecologica,</w:t>
      </w:r>
      <w:r w:rsidRPr="00787D6B">
        <w:rPr>
          <w:rFonts w:ascii="Garamond" w:hAnsi="Garamond"/>
          <w:i/>
          <w:sz w:val="28"/>
          <w:szCs w:val="28"/>
        </w:rPr>
        <w:t xml:space="preserve"> </w:t>
      </w:r>
      <w:r w:rsidR="00A42867" w:rsidRPr="00787D6B">
        <w:rPr>
          <w:rFonts w:ascii="Garamond" w:hAnsi="Garamond"/>
          <w:i/>
          <w:sz w:val="28"/>
          <w:szCs w:val="28"/>
        </w:rPr>
        <w:t>Primo</w:t>
      </w:r>
      <w:r w:rsidRPr="00787D6B">
        <w:rPr>
          <w:rFonts w:ascii="Garamond" w:hAnsi="Garamond"/>
          <w:i/>
          <w:sz w:val="28"/>
          <w:szCs w:val="28"/>
        </w:rPr>
        <w:t xml:space="preserve"> </w:t>
      </w:r>
      <w:r w:rsidR="00A42867" w:rsidRPr="00787D6B">
        <w:rPr>
          <w:rFonts w:ascii="Garamond" w:hAnsi="Garamond"/>
          <w:i/>
          <w:sz w:val="28"/>
          <w:szCs w:val="28"/>
        </w:rPr>
        <w:t>Ministro</w:t>
      </w:r>
      <w:r w:rsidRPr="00787D6B">
        <w:rPr>
          <w:rFonts w:ascii="Garamond" w:hAnsi="Garamond"/>
          <w:sz w:val="28"/>
          <w:szCs w:val="28"/>
        </w:rPr>
        <w:t xml:space="preserve"> (</w:t>
      </w:r>
      <w:r w:rsidR="000210FC" w:rsidRPr="00787D6B">
        <w:rPr>
          <w:rFonts w:ascii="Garamond" w:hAnsi="Garamond"/>
          <w:sz w:val="28"/>
          <w:szCs w:val="28"/>
        </w:rPr>
        <w:t>Responsabilità del</w:t>
      </w:r>
      <w:r w:rsidRPr="00787D6B">
        <w:rPr>
          <w:rFonts w:ascii="Garamond" w:hAnsi="Garamond"/>
          <w:sz w:val="28"/>
          <w:szCs w:val="28"/>
        </w:rPr>
        <w:t>l</w:t>
      </w:r>
      <w:r w:rsidR="000210FC" w:rsidRPr="00787D6B">
        <w:rPr>
          <w:rFonts w:ascii="Garamond" w:hAnsi="Garamond"/>
          <w:sz w:val="28"/>
          <w:szCs w:val="28"/>
        </w:rPr>
        <w:t>o Stato per l’inquinamento</w:t>
      </w:r>
      <w:r w:rsidRPr="00787D6B">
        <w:rPr>
          <w:rFonts w:ascii="Garamond" w:hAnsi="Garamond"/>
          <w:sz w:val="28"/>
          <w:szCs w:val="28"/>
        </w:rPr>
        <w:t xml:space="preserve"> de</w:t>
      </w:r>
      <w:r w:rsidR="00CB1C3C" w:rsidRPr="00787D6B">
        <w:rPr>
          <w:rFonts w:ascii="Garamond" w:hAnsi="Garamond"/>
          <w:sz w:val="28"/>
          <w:szCs w:val="28"/>
        </w:rPr>
        <w:t>l</w:t>
      </w:r>
      <w:r w:rsidRPr="00787D6B">
        <w:rPr>
          <w:rFonts w:ascii="Garamond" w:hAnsi="Garamond"/>
          <w:sz w:val="28"/>
          <w:szCs w:val="28"/>
        </w:rPr>
        <w:t>l’</w:t>
      </w:r>
      <w:r w:rsidR="005F05DB" w:rsidRPr="00787D6B">
        <w:rPr>
          <w:rFonts w:ascii="Garamond" w:hAnsi="Garamond"/>
          <w:sz w:val="28"/>
          <w:szCs w:val="28"/>
        </w:rPr>
        <w:t>aria</w:t>
      </w:r>
      <w:r w:rsidRPr="00787D6B">
        <w:rPr>
          <w:rFonts w:ascii="Garamond" w:hAnsi="Garamond"/>
          <w:sz w:val="28"/>
          <w:szCs w:val="28"/>
        </w:rPr>
        <w:t>) (C-61/21,</w:t>
      </w:r>
      <w:r w:rsidRPr="00787D6B">
        <w:rPr>
          <w:sz w:val="28"/>
          <w:szCs w:val="28"/>
        </w:rPr>
        <w:t xml:space="preserve"> </w:t>
      </w:r>
      <w:r w:rsidRPr="00787D6B">
        <w:rPr>
          <w:rFonts w:ascii="Garamond" w:hAnsi="Garamond"/>
          <w:sz w:val="28"/>
          <w:szCs w:val="28"/>
        </w:rPr>
        <w:t>EU:C:2022:1015).</w:t>
      </w:r>
    </w:p>
  </w:footnote>
  <w:footnote w:id="2">
    <w:p w14:paraId="3C571287" w14:textId="7A879707" w:rsidR="0037016C" w:rsidRPr="00787D6B" w:rsidRDefault="0037016C" w:rsidP="00A7755F">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w:t>
      </w:r>
      <w:r w:rsidR="004B2BFA" w:rsidRPr="00787D6B">
        <w:rPr>
          <w:rFonts w:ascii="Garamond" w:hAnsi="Garamond"/>
          <w:sz w:val="28"/>
          <w:szCs w:val="28"/>
        </w:rPr>
        <w:t>Si rinvia solo a</w:t>
      </w:r>
      <w:r w:rsidR="00A7755F" w:rsidRPr="00787D6B">
        <w:rPr>
          <w:rFonts w:ascii="Garamond" w:hAnsi="Garamond"/>
          <w:sz w:val="28"/>
          <w:szCs w:val="28"/>
        </w:rPr>
        <w:t xml:space="preserve">d alcuni </w:t>
      </w:r>
      <w:r w:rsidR="004B2BFA" w:rsidRPr="00787D6B">
        <w:rPr>
          <w:rFonts w:ascii="Garamond" w:hAnsi="Garamond"/>
          <w:sz w:val="28"/>
          <w:szCs w:val="28"/>
        </w:rPr>
        <w:t xml:space="preserve">contributi </w:t>
      </w:r>
      <w:r w:rsidR="00A7755F" w:rsidRPr="00787D6B">
        <w:rPr>
          <w:rFonts w:ascii="Garamond" w:hAnsi="Garamond"/>
          <w:sz w:val="28"/>
          <w:szCs w:val="28"/>
        </w:rPr>
        <w:t xml:space="preserve">della dottrina </w:t>
      </w:r>
      <w:r w:rsidR="004B2BFA" w:rsidRPr="00787D6B">
        <w:rPr>
          <w:rFonts w:ascii="Garamond" w:hAnsi="Garamond"/>
          <w:sz w:val="28"/>
          <w:szCs w:val="28"/>
        </w:rPr>
        <w:t xml:space="preserve">più recenti: </w:t>
      </w:r>
      <w:r w:rsidR="002C36E2" w:rsidRPr="00787D6B">
        <w:rPr>
          <w:rFonts w:ascii="Garamond" w:hAnsi="Garamond"/>
          <w:sz w:val="28"/>
          <w:szCs w:val="28"/>
        </w:rPr>
        <w:t xml:space="preserve">E. </w:t>
      </w:r>
      <w:r w:rsidR="004B2BFA" w:rsidRPr="00787D6B">
        <w:rPr>
          <w:rFonts w:ascii="Garamond" w:hAnsi="Garamond"/>
          <w:sz w:val="28"/>
          <w:szCs w:val="28"/>
        </w:rPr>
        <w:t>Scoditti</w:t>
      </w:r>
      <w:r w:rsidR="002C36E2" w:rsidRPr="00787D6B">
        <w:rPr>
          <w:rFonts w:ascii="Garamond" w:hAnsi="Garamond"/>
          <w:sz w:val="28"/>
          <w:szCs w:val="28"/>
        </w:rPr>
        <w:t xml:space="preserve">, </w:t>
      </w:r>
      <w:r w:rsidR="002C36E2" w:rsidRPr="00787D6B">
        <w:rPr>
          <w:rFonts w:ascii="Garamond" w:hAnsi="Garamond"/>
          <w:i/>
          <w:sz w:val="28"/>
          <w:szCs w:val="28"/>
        </w:rPr>
        <w:t>Il sistema multi-livello di responsabilità dello Stato per mancata attuazione di direttiva comunitaria</w:t>
      </w:r>
      <w:r w:rsidR="002C36E2" w:rsidRPr="00787D6B">
        <w:rPr>
          <w:rFonts w:ascii="Garamond" w:hAnsi="Garamond"/>
          <w:sz w:val="28"/>
          <w:szCs w:val="28"/>
        </w:rPr>
        <w:t xml:space="preserve">, in Danno e Responsabilità, 2003, </w:t>
      </w:r>
      <w:r w:rsidR="008F7CD0" w:rsidRPr="00787D6B">
        <w:rPr>
          <w:rFonts w:ascii="Garamond" w:hAnsi="Garamond"/>
          <w:sz w:val="28"/>
          <w:szCs w:val="28"/>
        </w:rPr>
        <w:t xml:space="preserve">7, </w:t>
      </w:r>
      <w:r w:rsidR="002C36E2" w:rsidRPr="00787D6B">
        <w:rPr>
          <w:rFonts w:ascii="Garamond" w:hAnsi="Garamond"/>
          <w:sz w:val="28"/>
          <w:szCs w:val="28"/>
        </w:rPr>
        <w:t>p</w:t>
      </w:r>
      <w:r w:rsidR="004B2BFA" w:rsidRPr="00787D6B">
        <w:rPr>
          <w:rFonts w:ascii="Garamond" w:hAnsi="Garamond"/>
          <w:sz w:val="28"/>
          <w:szCs w:val="28"/>
        </w:rPr>
        <w:t>ag</w:t>
      </w:r>
      <w:r w:rsidR="002C36E2" w:rsidRPr="00787D6B">
        <w:rPr>
          <w:rFonts w:ascii="Garamond" w:hAnsi="Garamond"/>
          <w:sz w:val="28"/>
          <w:szCs w:val="28"/>
        </w:rPr>
        <w:t>. 718</w:t>
      </w:r>
      <w:r w:rsidR="002C27C4" w:rsidRPr="00787D6B">
        <w:rPr>
          <w:rFonts w:ascii="Garamond" w:hAnsi="Garamond"/>
          <w:sz w:val="28"/>
          <w:szCs w:val="28"/>
        </w:rPr>
        <w:t xml:space="preserve">; A. di Majo, </w:t>
      </w:r>
      <w:r w:rsidR="002C27C4" w:rsidRPr="00787D6B">
        <w:rPr>
          <w:rFonts w:ascii="Garamond" w:hAnsi="Garamond"/>
          <w:i/>
          <w:sz w:val="28"/>
          <w:szCs w:val="28"/>
        </w:rPr>
        <w:t>Contratto e torto nelle violazioni comunitarie ad opera dello Stato</w:t>
      </w:r>
      <w:r w:rsidR="002C27C4" w:rsidRPr="00787D6B">
        <w:rPr>
          <w:rFonts w:ascii="Garamond" w:hAnsi="Garamond"/>
          <w:sz w:val="28"/>
          <w:szCs w:val="28"/>
        </w:rPr>
        <w:t xml:space="preserve">, in </w:t>
      </w:r>
      <w:proofErr w:type="spellStart"/>
      <w:r w:rsidR="002C27C4" w:rsidRPr="00787D6B">
        <w:rPr>
          <w:rFonts w:ascii="Garamond" w:hAnsi="Garamond"/>
          <w:sz w:val="28"/>
          <w:szCs w:val="28"/>
        </w:rPr>
        <w:t>Corr</w:t>
      </w:r>
      <w:proofErr w:type="spellEnd"/>
      <w:r w:rsidR="002C27C4" w:rsidRPr="00787D6B">
        <w:rPr>
          <w:rFonts w:ascii="Garamond" w:hAnsi="Garamond"/>
          <w:sz w:val="28"/>
          <w:szCs w:val="28"/>
        </w:rPr>
        <w:t>. giur,</w:t>
      </w:r>
      <w:r w:rsidR="00C70F76" w:rsidRPr="00787D6B">
        <w:rPr>
          <w:rFonts w:ascii="Garamond" w:hAnsi="Garamond"/>
          <w:sz w:val="28"/>
          <w:szCs w:val="28"/>
        </w:rPr>
        <w:t xml:space="preserve"> </w:t>
      </w:r>
      <w:r w:rsidR="002C27C4" w:rsidRPr="00787D6B">
        <w:rPr>
          <w:rFonts w:ascii="Garamond" w:hAnsi="Garamond"/>
          <w:sz w:val="28"/>
          <w:szCs w:val="28"/>
        </w:rPr>
        <w:t xml:space="preserve">2009, </w:t>
      </w:r>
      <w:r w:rsidR="00C70F76" w:rsidRPr="00787D6B">
        <w:rPr>
          <w:rFonts w:ascii="Garamond" w:hAnsi="Garamond"/>
          <w:sz w:val="28"/>
          <w:szCs w:val="28"/>
        </w:rPr>
        <w:t xml:space="preserve">10, </w:t>
      </w:r>
      <w:r w:rsidR="002C27C4" w:rsidRPr="00787D6B">
        <w:rPr>
          <w:rFonts w:ascii="Garamond" w:hAnsi="Garamond"/>
          <w:sz w:val="28"/>
          <w:szCs w:val="28"/>
        </w:rPr>
        <w:t>pag. 1353</w:t>
      </w:r>
      <w:r w:rsidR="00E21912" w:rsidRPr="00787D6B">
        <w:rPr>
          <w:rFonts w:ascii="Garamond" w:hAnsi="Garamond"/>
          <w:sz w:val="28"/>
          <w:szCs w:val="28"/>
        </w:rPr>
        <w:t>;</w:t>
      </w:r>
      <w:r w:rsidR="008F7CD0" w:rsidRPr="00787D6B">
        <w:rPr>
          <w:rFonts w:ascii="Garamond" w:hAnsi="Garamond"/>
          <w:sz w:val="28"/>
          <w:szCs w:val="28"/>
        </w:rPr>
        <w:t xml:space="preserve"> A.</w:t>
      </w:r>
      <w:r w:rsidR="00E21912" w:rsidRPr="00787D6B">
        <w:rPr>
          <w:rFonts w:ascii="Garamond" w:hAnsi="Garamond"/>
          <w:sz w:val="28"/>
          <w:szCs w:val="28"/>
        </w:rPr>
        <w:t xml:space="preserve"> </w:t>
      </w:r>
      <w:proofErr w:type="spellStart"/>
      <w:r w:rsidR="008F7CD0" w:rsidRPr="00787D6B">
        <w:rPr>
          <w:rFonts w:ascii="Garamond" w:hAnsi="Garamond"/>
          <w:sz w:val="28"/>
          <w:szCs w:val="28"/>
        </w:rPr>
        <w:t>Lazari</w:t>
      </w:r>
      <w:proofErr w:type="spellEnd"/>
      <w:r w:rsidR="008F7CD0" w:rsidRPr="00787D6B">
        <w:rPr>
          <w:rFonts w:ascii="Garamond" w:hAnsi="Garamond"/>
          <w:sz w:val="28"/>
          <w:szCs w:val="28"/>
        </w:rPr>
        <w:t xml:space="preserve">, </w:t>
      </w:r>
      <w:r w:rsidR="008F7CD0" w:rsidRPr="00787D6B">
        <w:rPr>
          <w:rFonts w:ascii="Garamond" w:hAnsi="Garamond"/>
          <w:i/>
          <w:sz w:val="28"/>
          <w:szCs w:val="28"/>
        </w:rPr>
        <w:t>Il giudice complesso e la responsabilità dello Stato</w:t>
      </w:r>
      <w:r w:rsidR="008F7CD0" w:rsidRPr="00787D6B">
        <w:rPr>
          <w:rFonts w:ascii="Garamond" w:hAnsi="Garamond"/>
          <w:sz w:val="28"/>
          <w:szCs w:val="28"/>
        </w:rPr>
        <w:t>, in Danno e Responsabilità</w:t>
      </w:r>
      <w:r w:rsidR="00E21912" w:rsidRPr="00787D6B">
        <w:rPr>
          <w:rFonts w:ascii="Garamond" w:hAnsi="Garamond"/>
          <w:sz w:val="28"/>
          <w:szCs w:val="28"/>
        </w:rPr>
        <w:t xml:space="preserve">, 2012, 12, </w:t>
      </w:r>
      <w:r w:rsidR="008F7CD0" w:rsidRPr="00787D6B">
        <w:rPr>
          <w:rFonts w:ascii="Garamond" w:hAnsi="Garamond"/>
          <w:sz w:val="28"/>
          <w:szCs w:val="28"/>
        </w:rPr>
        <w:t xml:space="preserve">pag. </w:t>
      </w:r>
      <w:r w:rsidR="00E21912" w:rsidRPr="00787D6B">
        <w:rPr>
          <w:rFonts w:ascii="Garamond" w:hAnsi="Garamond"/>
          <w:sz w:val="28"/>
          <w:szCs w:val="28"/>
        </w:rPr>
        <w:t>1225</w:t>
      </w:r>
      <w:r w:rsidR="00A7755F" w:rsidRPr="00787D6B">
        <w:rPr>
          <w:rFonts w:ascii="Garamond" w:hAnsi="Garamond"/>
          <w:sz w:val="28"/>
          <w:szCs w:val="28"/>
        </w:rPr>
        <w:t xml:space="preserve">; id., </w:t>
      </w:r>
      <w:proofErr w:type="spellStart"/>
      <w:r w:rsidR="00A7755F" w:rsidRPr="00787D6B">
        <w:rPr>
          <w:rFonts w:ascii="Garamond" w:hAnsi="Garamond"/>
          <w:sz w:val="28"/>
          <w:szCs w:val="28"/>
        </w:rPr>
        <w:t>Paradeigma</w:t>
      </w:r>
      <w:proofErr w:type="spellEnd"/>
      <w:r w:rsidR="00A7755F" w:rsidRPr="00787D6B">
        <w:rPr>
          <w:rFonts w:ascii="Garamond" w:hAnsi="Garamond"/>
          <w:sz w:val="28"/>
          <w:szCs w:val="28"/>
        </w:rPr>
        <w:t xml:space="preserve"> </w:t>
      </w:r>
      <w:r w:rsidR="00A7755F" w:rsidRPr="00787D6B">
        <w:rPr>
          <w:rFonts w:ascii="Garamond" w:hAnsi="Garamond"/>
          <w:i/>
          <w:sz w:val="28"/>
          <w:szCs w:val="28"/>
        </w:rPr>
        <w:t>e</w:t>
      </w:r>
      <w:r w:rsidR="00A7755F" w:rsidRPr="00787D6B">
        <w:rPr>
          <w:rFonts w:ascii="Garamond" w:hAnsi="Garamond"/>
          <w:sz w:val="28"/>
          <w:szCs w:val="28"/>
        </w:rPr>
        <w:t xml:space="preserve"> logos: </w:t>
      </w:r>
      <w:r w:rsidR="00A7755F" w:rsidRPr="00787D6B">
        <w:rPr>
          <w:rFonts w:ascii="Garamond" w:hAnsi="Garamond"/>
          <w:i/>
          <w:sz w:val="28"/>
          <w:szCs w:val="28"/>
        </w:rPr>
        <w:t>la responsabilità dello stato legislatore e i destini dell’Europa</w:t>
      </w:r>
      <w:r w:rsidR="00A7755F" w:rsidRPr="00787D6B">
        <w:rPr>
          <w:rFonts w:ascii="Garamond" w:hAnsi="Garamond"/>
          <w:sz w:val="28"/>
          <w:szCs w:val="28"/>
        </w:rPr>
        <w:t xml:space="preserve">, in </w:t>
      </w:r>
      <w:proofErr w:type="spellStart"/>
      <w:r w:rsidR="00A7755F" w:rsidRPr="00787D6B">
        <w:rPr>
          <w:rFonts w:ascii="Garamond" w:hAnsi="Garamond"/>
          <w:sz w:val="28"/>
          <w:szCs w:val="28"/>
        </w:rPr>
        <w:t>Riv</w:t>
      </w:r>
      <w:proofErr w:type="spellEnd"/>
      <w:r w:rsidR="00A7755F" w:rsidRPr="00787D6B">
        <w:rPr>
          <w:rFonts w:ascii="Garamond" w:hAnsi="Garamond"/>
          <w:sz w:val="28"/>
          <w:szCs w:val="28"/>
        </w:rPr>
        <w:t xml:space="preserve">. dir. civ., 2002, 1, </w:t>
      </w:r>
      <w:r w:rsidR="00E34EC5" w:rsidRPr="00787D6B">
        <w:rPr>
          <w:rFonts w:ascii="Garamond" w:hAnsi="Garamond"/>
          <w:sz w:val="28"/>
          <w:szCs w:val="28"/>
        </w:rPr>
        <w:t>pag</w:t>
      </w:r>
      <w:r w:rsidR="00A7755F" w:rsidRPr="00787D6B">
        <w:rPr>
          <w:rFonts w:ascii="Garamond" w:hAnsi="Garamond"/>
          <w:sz w:val="28"/>
          <w:szCs w:val="28"/>
        </w:rPr>
        <w:t>. 148</w:t>
      </w:r>
      <w:r w:rsidR="00622BB9">
        <w:rPr>
          <w:rFonts w:ascii="Garamond" w:hAnsi="Garamond"/>
          <w:sz w:val="28"/>
          <w:szCs w:val="28"/>
        </w:rPr>
        <w:t xml:space="preserve">; </w:t>
      </w:r>
      <w:r w:rsidR="001F14E0">
        <w:rPr>
          <w:rFonts w:ascii="Garamond" w:hAnsi="Garamond"/>
          <w:sz w:val="28"/>
          <w:szCs w:val="28"/>
        </w:rPr>
        <w:t xml:space="preserve">in una prospettiva più ampia, </w:t>
      </w:r>
      <w:r w:rsidR="00622BB9">
        <w:rPr>
          <w:rFonts w:ascii="Garamond" w:hAnsi="Garamond"/>
          <w:sz w:val="28"/>
          <w:szCs w:val="28"/>
        </w:rPr>
        <w:t xml:space="preserve">si occupa del diverso approccio al tema della responsabilità della Corte di giustizia rispetto ai giudici italiani </w:t>
      </w:r>
      <w:r w:rsidR="00622BB9" w:rsidRPr="001F14E0">
        <w:rPr>
          <w:rFonts w:ascii="Garamond" w:hAnsi="Garamond"/>
          <w:sz w:val="28"/>
          <w:szCs w:val="28"/>
        </w:rPr>
        <w:t xml:space="preserve">A. </w:t>
      </w:r>
      <w:r w:rsidR="001F14E0" w:rsidRPr="001F14E0">
        <w:rPr>
          <w:rFonts w:ascii="Garamond" w:hAnsi="Garamond"/>
          <w:sz w:val="28"/>
          <w:szCs w:val="28"/>
        </w:rPr>
        <w:t xml:space="preserve">Bartolini, </w:t>
      </w:r>
      <w:r w:rsidR="00622BB9" w:rsidRPr="001F14E0">
        <w:rPr>
          <w:rFonts w:ascii="Garamond" w:hAnsi="Garamond"/>
          <w:i/>
          <w:sz w:val="28"/>
          <w:szCs w:val="28"/>
        </w:rPr>
        <w:t>Il risarcimento del danno tra giudice comunitario e giudice amministrativo. La nuova tutela del c.d. interesse legittimo</w:t>
      </w:r>
      <w:r w:rsidR="001F14E0">
        <w:rPr>
          <w:rFonts w:ascii="Garamond" w:hAnsi="Garamond"/>
          <w:sz w:val="28"/>
          <w:szCs w:val="28"/>
        </w:rPr>
        <w:t>,</w:t>
      </w:r>
      <w:r w:rsidR="001F14E0" w:rsidRPr="001F14E0">
        <w:t xml:space="preserve"> </w:t>
      </w:r>
      <w:proofErr w:type="spellStart"/>
      <w:r w:rsidR="001F14E0" w:rsidRPr="001F14E0">
        <w:rPr>
          <w:rFonts w:ascii="Garamond" w:hAnsi="Garamond"/>
          <w:sz w:val="28"/>
          <w:szCs w:val="28"/>
        </w:rPr>
        <w:t>Giappichelli</w:t>
      </w:r>
      <w:proofErr w:type="spellEnd"/>
      <w:r w:rsidR="001F14E0">
        <w:rPr>
          <w:rFonts w:ascii="Garamond" w:hAnsi="Garamond"/>
          <w:sz w:val="28"/>
          <w:szCs w:val="28"/>
        </w:rPr>
        <w:t>, 2005</w:t>
      </w:r>
      <w:r w:rsidR="00A7755F" w:rsidRPr="00787D6B">
        <w:rPr>
          <w:rFonts w:ascii="Garamond" w:hAnsi="Garamond"/>
          <w:sz w:val="28"/>
          <w:szCs w:val="28"/>
        </w:rPr>
        <w:t>.</w:t>
      </w:r>
    </w:p>
  </w:footnote>
  <w:footnote w:id="3">
    <w:p w14:paraId="6A0C2050" w14:textId="77777777" w:rsidR="00F453D4" w:rsidRPr="00787D6B" w:rsidRDefault="00F453D4" w:rsidP="00F453D4">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Sentenza del 19 novembre 1991 (C-6/90 e C-9/90, EU:C:1991:428).</w:t>
      </w:r>
    </w:p>
  </w:footnote>
  <w:footnote w:id="4">
    <w:p w14:paraId="736E8986" w14:textId="77777777" w:rsidR="0037016C" w:rsidRPr="00787D6B" w:rsidRDefault="0037016C" w:rsidP="00A7755F">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La stessa questione è stata affrontata nelle sentenze del 25 gennaio 2007, </w:t>
      </w:r>
      <w:proofErr w:type="spellStart"/>
      <w:r w:rsidRPr="00787D6B">
        <w:rPr>
          <w:rFonts w:ascii="Garamond" w:hAnsi="Garamond"/>
          <w:i/>
          <w:sz w:val="28"/>
          <w:szCs w:val="28"/>
        </w:rPr>
        <w:t>Robins</w:t>
      </w:r>
      <w:proofErr w:type="spellEnd"/>
      <w:r w:rsidRPr="00787D6B">
        <w:rPr>
          <w:rFonts w:ascii="Garamond" w:hAnsi="Garamond"/>
          <w:i/>
          <w:sz w:val="28"/>
          <w:szCs w:val="28"/>
        </w:rPr>
        <w:t xml:space="preserve"> e a</w:t>
      </w:r>
      <w:r w:rsidRPr="00787D6B">
        <w:rPr>
          <w:rFonts w:ascii="Garamond" w:hAnsi="Garamond"/>
          <w:sz w:val="28"/>
          <w:szCs w:val="28"/>
        </w:rPr>
        <w:t>. (C</w:t>
      </w:r>
      <w:r w:rsidR="00D7280A" w:rsidRPr="00787D6B">
        <w:rPr>
          <w:rFonts w:ascii="Garamond" w:hAnsi="Garamond"/>
          <w:sz w:val="28"/>
          <w:szCs w:val="28"/>
        </w:rPr>
        <w:t>-</w:t>
      </w:r>
      <w:r w:rsidRPr="00787D6B">
        <w:rPr>
          <w:rFonts w:ascii="Garamond" w:hAnsi="Garamond"/>
          <w:sz w:val="28"/>
          <w:szCs w:val="28"/>
        </w:rPr>
        <w:t xml:space="preserve">278/05, EU:C:2007:56), e del 25 aprile 2013, </w:t>
      </w:r>
      <w:proofErr w:type="spellStart"/>
      <w:r w:rsidRPr="00787D6B">
        <w:rPr>
          <w:rFonts w:ascii="Garamond" w:hAnsi="Garamond"/>
          <w:i/>
          <w:sz w:val="28"/>
          <w:szCs w:val="28"/>
        </w:rPr>
        <w:t>Hogan</w:t>
      </w:r>
      <w:proofErr w:type="spellEnd"/>
      <w:r w:rsidRPr="00787D6B">
        <w:rPr>
          <w:rFonts w:ascii="Garamond" w:hAnsi="Garamond"/>
          <w:i/>
          <w:sz w:val="28"/>
          <w:szCs w:val="28"/>
        </w:rPr>
        <w:t xml:space="preserve"> e a</w:t>
      </w:r>
      <w:r w:rsidRPr="00787D6B">
        <w:rPr>
          <w:rFonts w:ascii="Garamond" w:hAnsi="Garamond"/>
          <w:sz w:val="28"/>
          <w:szCs w:val="28"/>
        </w:rPr>
        <w:t>. (C</w:t>
      </w:r>
      <w:r w:rsidR="00D7280A" w:rsidRPr="00787D6B">
        <w:rPr>
          <w:rFonts w:ascii="Garamond" w:hAnsi="Garamond"/>
          <w:sz w:val="28"/>
          <w:szCs w:val="28"/>
        </w:rPr>
        <w:t>-</w:t>
      </w:r>
      <w:r w:rsidRPr="00787D6B">
        <w:rPr>
          <w:rFonts w:ascii="Garamond" w:hAnsi="Garamond"/>
          <w:sz w:val="28"/>
          <w:szCs w:val="28"/>
        </w:rPr>
        <w:t>398/11, EU:C:2013:272).</w:t>
      </w:r>
    </w:p>
  </w:footnote>
  <w:footnote w:id="5">
    <w:p w14:paraId="729EDAA1" w14:textId="77777777" w:rsidR="0037016C" w:rsidRPr="00787D6B" w:rsidRDefault="0037016C" w:rsidP="00A7755F">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Sentenza del 5 marzo 1996 (C-46/93 e C-48/93, EU:C:1996:79).</w:t>
      </w:r>
    </w:p>
  </w:footnote>
  <w:footnote w:id="6">
    <w:p w14:paraId="5336438E" w14:textId="77777777" w:rsidR="00FE3BE3" w:rsidRPr="00787D6B" w:rsidRDefault="00FE3BE3" w:rsidP="00A7755F">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Sentenza dell'8 ottobre 1996, </w:t>
      </w:r>
      <w:proofErr w:type="spellStart"/>
      <w:r w:rsidRPr="00787D6B">
        <w:rPr>
          <w:rFonts w:ascii="Garamond" w:hAnsi="Garamond"/>
          <w:i/>
          <w:sz w:val="28"/>
          <w:szCs w:val="28"/>
        </w:rPr>
        <w:t>Dillenkofer</w:t>
      </w:r>
      <w:proofErr w:type="spellEnd"/>
      <w:r w:rsidRPr="00787D6B">
        <w:rPr>
          <w:rFonts w:ascii="Garamond" w:hAnsi="Garamond"/>
          <w:i/>
          <w:sz w:val="28"/>
          <w:szCs w:val="28"/>
        </w:rPr>
        <w:t xml:space="preserve"> e a.</w:t>
      </w:r>
      <w:r w:rsidRPr="00787D6B">
        <w:rPr>
          <w:rFonts w:ascii="Garamond" w:hAnsi="Garamond"/>
          <w:sz w:val="28"/>
          <w:szCs w:val="28"/>
        </w:rPr>
        <w:t xml:space="preserve"> (C-178/94, C-179/94 e da C-188/94 a C-190/94, EU:C:1996:375).</w:t>
      </w:r>
    </w:p>
  </w:footnote>
  <w:footnote w:id="7">
    <w:p w14:paraId="63CA7C2B" w14:textId="77777777" w:rsidR="00C624CD" w:rsidRPr="00787D6B" w:rsidRDefault="00C624CD" w:rsidP="00A7755F">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Sentenze del 4 ottobre 2018, </w:t>
      </w:r>
      <w:proofErr w:type="spellStart"/>
      <w:r w:rsidRPr="00787D6B">
        <w:rPr>
          <w:rFonts w:ascii="Garamond" w:hAnsi="Garamond"/>
          <w:i/>
          <w:sz w:val="28"/>
          <w:szCs w:val="28"/>
        </w:rPr>
        <w:t>Kantarev</w:t>
      </w:r>
      <w:proofErr w:type="spellEnd"/>
      <w:r w:rsidRPr="00787D6B">
        <w:rPr>
          <w:rFonts w:ascii="Garamond" w:hAnsi="Garamond"/>
          <w:sz w:val="28"/>
          <w:szCs w:val="28"/>
        </w:rPr>
        <w:t xml:space="preserve"> (C-571/16, EU:C:2018:807), e del 25 marzo 2021, </w:t>
      </w:r>
      <w:proofErr w:type="spellStart"/>
      <w:r w:rsidRPr="00787D6B">
        <w:rPr>
          <w:rFonts w:ascii="Garamond" w:hAnsi="Garamond"/>
          <w:i/>
          <w:sz w:val="28"/>
          <w:szCs w:val="28"/>
        </w:rPr>
        <w:t>Balgarska</w:t>
      </w:r>
      <w:proofErr w:type="spellEnd"/>
      <w:r w:rsidRPr="00787D6B">
        <w:rPr>
          <w:rFonts w:ascii="Garamond" w:hAnsi="Garamond"/>
          <w:i/>
          <w:sz w:val="28"/>
          <w:szCs w:val="28"/>
        </w:rPr>
        <w:t xml:space="preserve"> </w:t>
      </w:r>
      <w:proofErr w:type="spellStart"/>
      <w:r w:rsidRPr="00787D6B">
        <w:rPr>
          <w:rFonts w:ascii="Garamond" w:hAnsi="Garamond"/>
          <w:i/>
          <w:sz w:val="28"/>
          <w:szCs w:val="28"/>
        </w:rPr>
        <w:t>Narodna</w:t>
      </w:r>
      <w:proofErr w:type="spellEnd"/>
      <w:r w:rsidRPr="00787D6B">
        <w:rPr>
          <w:rFonts w:ascii="Garamond" w:hAnsi="Garamond"/>
          <w:i/>
          <w:sz w:val="28"/>
          <w:szCs w:val="28"/>
        </w:rPr>
        <w:t xml:space="preserve"> </w:t>
      </w:r>
      <w:proofErr w:type="spellStart"/>
      <w:r w:rsidRPr="00787D6B">
        <w:rPr>
          <w:rFonts w:ascii="Garamond" w:hAnsi="Garamond"/>
          <w:i/>
          <w:sz w:val="28"/>
          <w:szCs w:val="28"/>
        </w:rPr>
        <w:t>Banka</w:t>
      </w:r>
      <w:proofErr w:type="spellEnd"/>
      <w:r w:rsidRPr="00787D6B">
        <w:rPr>
          <w:rFonts w:ascii="Garamond" w:hAnsi="Garamond"/>
          <w:sz w:val="28"/>
          <w:szCs w:val="28"/>
        </w:rPr>
        <w:t xml:space="preserve"> (C-501/18, EU:C:2021:249).</w:t>
      </w:r>
    </w:p>
  </w:footnote>
  <w:footnote w:id="8">
    <w:p w14:paraId="6A0A78CD" w14:textId="77777777" w:rsidR="00C624CD" w:rsidRPr="00787D6B" w:rsidRDefault="00C624CD" w:rsidP="00A7755F">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Sentenza del 10 dicembre 2020, </w:t>
      </w:r>
      <w:proofErr w:type="spellStart"/>
      <w:r w:rsidRPr="00787D6B">
        <w:rPr>
          <w:rFonts w:ascii="Garamond" w:hAnsi="Garamond"/>
          <w:i/>
          <w:sz w:val="28"/>
          <w:szCs w:val="28"/>
        </w:rPr>
        <w:t>Euromin</w:t>
      </w:r>
      <w:proofErr w:type="spellEnd"/>
      <w:r w:rsidRPr="00787D6B">
        <w:rPr>
          <w:rFonts w:ascii="Garamond" w:hAnsi="Garamond"/>
          <w:i/>
          <w:sz w:val="28"/>
          <w:szCs w:val="28"/>
        </w:rPr>
        <w:t xml:space="preserve"> </w:t>
      </w:r>
      <w:proofErr w:type="spellStart"/>
      <w:r w:rsidRPr="00787D6B">
        <w:rPr>
          <w:rFonts w:ascii="Garamond" w:hAnsi="Garamond"/>
          <w:i/>
          <w:sz w:val="28"/>
          <w:szCs w:val="28"/>
        </w:rPr>
        <w:t>Holdings</w:t>
      </w:r>
      <w:proofErr w:type="spellEnd"/>
      <w:r w:rsidRPr="00787D6B">
        <w:rPr>
          <w:rFonts w:ascii="Garamond" w:hAnsi="Garamond"/>
          <w:sz w:val="28"/>
          <w:szCs w:val="28"/>
        </w:rPr>
        <w:t xml:space="preserve"> (Cipro) (C-735/19, EU:C:2020:1014).</w:t>
      </w:r>
    </w:p>
  </w:footnote>
  <w:footnote w:id="9">
    <w:p w14:paraId="79F567DD" w14:textId="3F2EA4E6" w:rsidR="0037016C" w:rsidRPr="00787D6B" w:rsidRDefault="0037016C" w:rsidP="00A7755F">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00926488" w:rsidRPr="00787D6B">
        <w:rPr>
          <w:rFonts w:ascii="Garamond" w:hAnsi="Garamond"/>
          <w:sz w:val="28"/>
          <w:szCs w:val="28"/>
        </w:rPr>
        <w:t xml:space="preserve"> Sentenza </w:t>
      </w:r>
      <w:r w:rsidRPr="00787D6B">
        <w:rPr>
          <w:rFonts w:ascii="Garamond" w:hAnsi="Garamond"/>
          <w:sz w:val="28"/>
          <w:szCs w:val="28"/>
        </w:rPr>
        <w:t>del 16 luglio 2020, Presidenza del Consiglio dei Ministri (C</w:t>
      </w:r>
      <w:r w:rsidR="00926488" w:rsidRPr="00787D6B">
        <w:rPr>
          <w:rFonts w:ascii="Garamond" w:hAnsi="Garamond"/>
          <w:sz w:val="28"/>
          <w:szCs w:val="28"/>
        </w:rPr>
        <w:t>-</w:t>
      </w:r>
      <w:r w:rsidRPr="00787D6B">
        <w:rPr>
          <w:rFonts w:ascii="Garamond" w:hAnsi="Garamond"/>
          <w:sz w:val="28"/>
          <w:szCs w:val="28"/>
        </w:rPr>
        <w:t>129/19, EU:C:2020:566)</w:t>
      </w:r>
      <w:r w:rsidR="00926488" w:rsidRPr="00787D6B">
        <w:rPr>
          <w:rFonts w:ascii="Garamond" w:hAnsi="Garamond"/>
          <w:sz w:val="28"/>
          <w:szCs w:val="28"/>
        </w:rPr>
        <w:t>; è da notare che in questa pronuncia</w:t>
      </w:r>
      <w:r w:rsidR="00E2791B" w:rsidRPr="00787D6B">
        <w:rPr>
          <w:rFonts w:ascii="Garamond" w:hAnsi="Garamond"/>
          <w:sz w:val="28"/>
          <w:szCs w:val="28"/>
        </w:rPr>
        <w:t xml:space="preserve">, peraltro spesso criticata, non è chiara la distinzione tra il </w:t>
      </w:r>
      <w:r w:rsidR="00926488" w:rsidRPr="00787D6B">
        <w:rPr>
          <w:rFonts w:ascii="Garamond" w:hAnsi="Garamond"/>
          <w:sz w:val="28"/>
          <w:szCs w:val="28"/>
        </w:rPr>
        <w:t>risarcimento del danno</w:t>
      </w:r>
      <w:r w:rsidR="00E2791B" w:rsidRPr="00787D6B">
        <w:rPr>
          <w:rFonts w:ascii="Garamond" w:hAnsi="Garamond"/>
          <w:sz w:val="28"/>
          <w:szCs w:val="28"/>
        </w:rPr>
        <w:t xml:space="preserve"> e l'indennizzo</w:t>
      </w:r>
      <w:r w:rsidR="00E561A0" w:rsidRPr="00787D6B">
        <w:rPr>
          <w:rFonts w:ascii="Garamond" w:hAnsi="Garamond"/>
          <w:sz w:val="28"/>
          <w:szCs w:val="28"/>
        </w:rPr>
        <w:t>; sull'utilizzo promiscuo e incerto di queste categorie:</w:t>
      </w:r>
      <w:r w:rsidR="00E561A0" w:rsidRPr="00787D6B">
        <w:rPr>
          <w:sz w:val="28"/>
          <w:szCs w:val="28"/>
        </w:rPr>
        <w:t xml:space="preserve"> </w:t>
      </w:r>
      <w:r w:rsidR="00E561A0" w:rsidRPr="00787D6B">
        <w:rPr>
          <w:rFonts w:ascii="Garamond" w:hAnsi="Garamond"/>
          <w:sz w:val="28"/>
          <w:szCs w:val="28"/>
        </w:rPr>
        <w:t xml:space="preserve">L. </w:t>
      </w:r>
      <w:proofErr w:type="spellStart"/>
      <w:r w:rsidR="00E561A0" w:rsidRPr="00787D6B">
        <w:rPr>
          <w:rFonts w:ascii="Garamond" w:hAnsi="Garamond"/>
          <w:sz w:val="28"/>
          <w:szCs w:val="28"/>
        </w:rPr>
        <w:t>Bairati</w:t>
      </w:r>
      <w:proofErr w:type="spellEnd"/>
      <w:r w:rsidR="00E561A0" w:rsidRPr="00787D6B">
        <w:rPr>
          <w:rFonts w:ascii="Garamond" w:hAnsi="Garamond"/>
          <w:sz w:val="28"/>
          <w:szCs w:val="28"/>
        </w:rPr>
        <w:t xml:space="preserve">, </w:t>
      </w:r>
      <w:r w:rsidR="00E561A0" w:rsidRPr="00787D6B">
        <w:rPr>
          <w:rFonts w:ascii="Garamond" w:hAnsi="Garamond"/>
          <w:i/>
          <w:sz w:val="28"/>
          <w:szCs w:val="28"/>
        </w:rPr>
        <w:t>La responsabilità dello Stato-legislatore</w:t>
      </w:r>
      <w:r w:rsidR="0024236F" w:rsidRPr="00787D6B">
        <w:rPr>
          <w:rFonts w:ascii="Garamond" w:hAnsi="Garamond"/>
          <w:i/>
          <w:sz w:val="28"/>
          <w:szCs w:val="28"/>
        </w:rPr>
        <w:t>.</w:t>
      </w:r>
      <w:r w:rsidR="00E561A0" w:rsidRPr="00787D6B">
        <w:rPr>
          <w:rFonts w:ascii="Garamond" w:hAnsi="Garamond"/>
          <w:i/>
          <w:sz w:val="28"/>
          <w:szCs w:val="28"/>
        </w:rPr>
        <w:t xml:space="preserve"> </w:t>
      </w:r>
      <w:r w:rsidR="00935FCA" w:rsidRPr="00787D6B">
        <w:rPr>
          <w:rFonts w:ascii="Garamond" w:hAnsi="Garamond"/>
          <w:i/>
          <w:sz w:val="28"/>
          <w:szCs w:val="28"/>
        </w:rPr>
        <w:t>L</w:t>
      </w:r>
      <w:r w:rsidR="00E561A0" w:rsidRPr="00787D6B">
        <w:rPr>
          <w:rFonts w:ascii="Garamond" w:hAnsi="Garamond"/>
          <w:i/>
          <w:sz w:val="28"/>
          <w:szCs w:val="28"/>
        </w:rPr>
        <w:t>a componente culturale e gli impulsi della Corte di giustizia europea nella</w:t>
      </w:r>
      <w:r w:rsidR="00254E72">
        <w:rPr>
          <w:rFonts w:ascii="Garamond" w:hAnsi="Garamond"/>
          <w:i/>
          <w:sz w:val="28"/>
          <w:szCs w:val="28"/>
        </w:rPr>
        <w:t xml:space="preserve"> </w:t>
      </w:r>
      <w:r w:rsidR="00E561A0" w:rsidRPr="00787D6B">
        <w:rPr>
          <w:rFonts w:ascii="Garamond" w:hAnsi="Garamond"/>
          <w:i/>
          <w:sz w:val="28"/>
          <w:szCs w:val="28"/>
        </w:rPr>
        <w:t>relativizzazione delle categorie nazionali</w:t>
      </w:r>
      <w:r w:rsidR="00E561A0" w:rsidRPr="00787D6B">
        <w:rPr>
          <w:rFonts w:ascii="Garamond" w:hAnsi="Garamond"/>
          <w:sz w:val="28"/>
          <w:szCs w:val="28"/>
        </w:rPr>
        <w:t xml:space="preserve">, </w:t>
      </w:r>
      <w:r w:rsidR="00254E72">
        <w:rPr>
          <w:rFonts w:ascii="Garamond" w:hAnsi="Garamond"/>
          <w:sz w:val="28"/>
          <w:szCs w:val="28"/>
        </w:rPr>
        <w:t xml:space="preserve">in </w:t>
      </w:r>
      <w:r w:rsidR="00E561A0" w:rsidRPr="00787D6B">
        <w:rPr>
          <w:rFonts w:ascii="Garamond" w:hAnsi="Garamond"/>
          <w:sz w:val="28"/>
          <w:szCs w:val="28"/>
        </w:rPr>
        <w:t xml:space="preserve">CDCT </w:t>
      </w:r>
      <w:proofErr w:type="spellStart"/>
      <w:r w:rsidR="00E561A0" w:rsidRPr="00254E72">
        <w:rPr>
          <w:rFonts w:ascii="Garamond" w:hAnsi="Garamond"/>
          <w:i/>
          <w:sz w:val="28"/>
          <w:szCs w:val="28"/>
        </w:rPr>
        <w:t>working</w:t>
      </w:r>
      <w:proofErr w:type="spellEnd"/>
      <w:r w:rsidR="00E561A0" w:rsidRPr="00254E72">
        <w:rPr>
          <w:rFonts w:ascii="Garamond" w:hAnsi="Garamond"/>
          <w:i/>
          <w:sz w:val="28"/>
          <w:szCs w:val="28"/>
        </w:rPr>
        <w:t xml:space="preserve"> </w:t>
      </w:r>
      <w:proofErr w:type="spellStart"/>
      <w:r w:rsidR="00E561A0" w:rsidRPr="00254E72">
        <w:rPr>
          <w:rFonts w:ascii="Garamond" w:hAnsi="Garamond"/>
          <w:i/>
          <w:sz w:val="28"/>
          <w:szCs w:val="28"/>
        </w:rPr>
        <w:t>paper</w:t>
      </w:r>
      <w:proofErr w:type="spellEnd"/>
      <w:r w:rsidR="00E561A0" w:rsidRPr="00787D6B">
        <w:rPr>
          <w:rFonts w:ascii="Garamond" w:hAnsi="Garamond"/>
          <w:sz w:val="28"/>
          <w:szCs w:val="28"/>
        </w:rPr>
        <w:t xml:space="preserve"> 6-2012/ </w:t>
      </w:r>
      <w:proofErr w:type="spellStart"/>
      <w:r w:rsidR="00E561A0" w:rsidRPr="00254E72">
        <w:rPr>
          <w:rFonts w:ascii="Garamond" w:hAnsi="Garamond"/>
          <w:i/>
          <w:sz w:val="28"/>
          <w:szCs w:val="28"/>
        </w:rPr>
        <w:t>European</w:t>
      </w:r>
      <w:proofErr w:type="spellEnd"/>
      <w:r w:rsidR="00E561A0" w:rsidRPr="00254E72">
        <w:rPr>
          <w:rFonts w:ascii="Garamond" w:hAnsi="Garamond"/>
          <w:i/>
          <w:sz w:val="28"/>
          <w:szCs w:val="28"/>
        </w:rPr>
        <w:t xml:space="preserve"> Legal Culture</w:t>
      </w:r>
      <w:r w:rsidR="00254E72">
        <w:rPr>
          <w:rFonts w:ascii="Garamond" w:hAnsi="Garamond"/>
          <w:i/>
          <w:sz w:val="28"/>
          <w:szCs w:val="28"/>
        </w:rPr>
        <w:t>,</w:t>
      </w:r>
      <w:r w:rsidR="00E561A0" w:rsidRPr="00787D6B">
        <w:rPr>
          <w:rFonts w:ascii="Garamond" w:hAnsi="Garamond"/>
          <w:sz w:val="28"/>
          <w:szCs w:val="28"/>
        </w:rPr>
        <w:t xml:space="preserve"> 5, www.cdct.it/Pubblicazioni.aspx.</w:t>
      </w:r>
    </w:p>
  </w:footnote>
  <w:footnote w:id="10">
    <w:p w14:paraId="569E8B23" w14:textId="77777777" w:rsidR="00BF3813" w:rsidRPr="00787D6B" w:rsidRDefault="00BF3813" w:rsidP="00A7755F">
      <w:pPr>
        <w:pStyle w:val="Testonotaapidipagina"/>
        <w:jc w:val="both"/>
        <w:rPr>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Sentenza del 18 gennaio 2022, </w:t>
      </w:r>
      <w:proofErr w:type="spellStart"/>
      <w:r w:rsidRPr="00787D6B">
        <w:rPr>
          <w:rFonts w:ascii="Garamond" w:hAnsi="Garamond"/>
          <w:i/>
          <w:sz w:val="28"/>
          <w:szCs w:val="28"/>
        </w:rPr>
        <w:t>Thelen</w:t>
      </w:r>
      <w:proofErr w:type="spellEnd"/>
      <w:r w:rsidRPr="00787D6B">
        <w:rPr>
          <w:rFonts w:ascii="Garamond" w:hAnsi="Garamond"/>
          <w:i/>
          <w:sz w:val="28"/>
          <w:szCs w:val="28"/>
        </w:rPr>
        <w:t xml:space="preserve"> </w:t>
      </w:r>
      <w:proofErr w:type="spellStart"/>
      <w:r w:rsidRPr="00787D6B">
        <w:rPr>
          <w:rFonts w:ascii="Garamond" w:hAnsi="Garamond"/>
          <w:i/>
          <w:sz w:val="28"/>
          <w:szCs w:val="28"/>
        </w:rPr>
        <w:t>Technopark</w:t>
      </w:r>
      <w:proofErr w:type="spellEnd"/>
      <w:r w:rsidRPr="00787D6B">
        <w:rPr>
          <w:rFonts w:ascii="Garamond" w:hAnsi="Garamond"/>
          <w:i/>
          <w:sz w:val="28"/>
          <w:szCs w:val="28"/>
        </w:rPr>
        <w:t xml:space="preserve"> </w:t>
      </w:r>
      <w:proofErr w:type="spellStart"/>
      <w:r w:rsidRPr="00787D6B">
        <w:rPr>
          <w:rFonts w:ascii="Garamond" w:hAnsi="Garamond"/>
          <w:i/>
          <w:sz w:val="28"/>
          <w:szCs w:val="28"/>
        </w:rPr>
        <w:t>Berlin</w:t>
      </w:r>
      <w:proofErr w:type="spellEnd"/>
      <w:r w:rsidRPr="00787D6B">
        <w:rPr>
          <w:rFonts w:ascii="Garamond" w:hAnsi="Garamond"/>
          <w:sz w:val="28"/>
          <w:szCs w:val="28"/>
        </w:rPr>
        <w:t>, C-261/20, EU:C:2022:33, punto 44.</w:t>
      </w:r>
    </w:p>
  </w:footnote>
  <w:footnote w:id="11">
    <w:p w14:paraId="1B4C8F50" w14:textId="77777777"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Direttiva 2008/50/CE del Parlamento europeo e del Consiglio del 21 maggio 2008, relativa alla qualità dell'aria ambiente e per un'aria più pulita in Europa, come modificata dalla direttiva (UE) 2015/1480 della Commissione del 28 agosto 2015. Essa sostituiva le precedenti</w:t>
      </w:r>
      <w:r w:rsidR="00EC0ADE" w:rsidRPr="00787D6B">
        <w:rPr>
          <w:rFonts w:ascii="Garamond" w:hAnsi="Garamond"/>
          <w:sz w:val="28"/>
          <w:szCs w:val="28"/>
        </w:rPr>
        <w:t xml:space="preserve"> d</w:t>
      </w:r>
      <w:r w:rsidRPr="00787D6B">
        <w:rPr>
          <w:rFonts w:ascii="Garamond" w:hAnsi="Garamond"/>
          <w:sz w:val="28"/>
          <w:szCs w:val="28"/>
        </w:rPr>
        <w:t>irettive 96/62/CE del Consiglio</w:t>
      </w:r>
      <w:r w:rsidR="002F06C1" w:rsidRPr="00787D6B">
        <w:rPr>
          <w:rFonts w:ascii="Garamond" w:hAnsi="Garamond"/>
          <w:sz w:val="28"/>
          <w:szCs w:val="28"/>
        </w:rPr>
        <w:t xml:space="preserve"> </w:t>
      </w:r>
      <w:r w:rsidRPr="00787D6B">
        <w:rPr>
          <w:rFonts w:ascii="Garamond" w:hAnsi="Garamond"/>
          <w:sz w:val="28"/>
          <w:szCs w:val="28"/>
        </w:rPr>
        <w:t>del 27 settembre 1996, in materia di valutazione e di gestione della qualità dell’aria ambiente, e 99/30/CE del Consiglio</w:t>
      </w:r>
      <w:r w:rsidR="002F06C1" w:rsidRPr="00787D6B">
        <w:rPr>
          <w:rFonts w:ascii="Garamond" w:hAnsi="Garamond"/>
          <w:sz w:val="28"/>
          <w:szCs w:val="28"/>
        </w:rPr>
        <w:t xml:space="preserve"> </w:t>
      </w:r>
      <w:r w:rsidRPr="00787D6B">
        <w:rPr>
          <w:rFonts w:ascii="Garamond" w:hAnsi="Garamond"/>
          <w:sz w:val="28"/>
          <w:szCs w:val="28"/>
        </w:rPr>
        <w:t>del 22 aprile 1999, concernente i valori limite di qualità dell’aria ambiente per il biossido di zolfo, il biossido di azoto, gli ossidi di azoto, le particelle e il piombo.</w:t>
      </w:r>
    </w:p>
  </w:footnote>
  <w:footnote w:id="12">
    <w:p w14:paraId="6322C27B" w14:textId="6DA08F49"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Ovvero "contenziosi, promossi con l'intenzione di far evolvere l'ordinamento anche oltre i confini disegnati dalla legislazione vigente […] In questo senso, le liti strategiche sono dirette ad ottenere una utilità che travalica l'interesse delle parti in causa. Non nel senso che si possa prescindere dalla verifica della sussistenza delle condizioni processuali dell'azione (cioè legittimazione ed interesse a ricorrere), ma perché gli argomenti affrontati hanno una potenziale rilevanza per un numero indefinito di soggetti esterni alla lite" (così S. </w:t>
      </w:r>
      <w:proofErr w:type="spellStart"/>
      <w:r w:rsidRPr="00787D6B">
        <w:rPr>
          <w:rFonts w:ascii="Garamond" w:hAnsi="Garamond"/>
          <w:sz w:val="28"/>
          <w:szCs w:val="28"/>
        </w:rPr>
        <w:t>Valaguzza</w:t>
      </w:r>
      <w:proofErr w:type="spellEnd"/>
      <w:r w:rsidRPr="00787D6B">
        <w:rPr>
          <w:rFonts w:ascii="Garamond" w:hAnsi="Garamond"/>
          <w:sz w:val="28"/>
          <w:szCs w:val="28"/>
        </w:rPr>
        <w:t xml:space="preserve">, </w:t>
      </w:r>
      <w:r w:rsidRPr="00787D6B">
        <w:rPr>
          <w:rFonts w:ascii="Garamond" w:hAnsi="Garamond"/>
          <w:i/>
          <w:sz w:val="28"/>
          <w:szCs w:val="28"/>
        </w:rPr>
        <w:t xml:space="preserve">Liti strategiche: il contenzioso climatico salverà il </w:t>
      </w:r>
      <w:proofErr w:type="gramStart"/>
      <w:r w:rsidRPr="00787D6B">
        <w:rPr>
          <w:rFonts w:ascii="Garamond" w:hAnsi="Garamond"/>
          <w:i/>
          <w:sz w:val="28"/>
          <w:szCs w:val="28"/>
        </w:rPr>
        <w:t>pianeta?</w:t>
      </w:r>
      <w:r w:rsidRPr="00787D6B">
        <w:rPr>
          <w:rFonts w:ascii="Garamond" w:hAnsi="Garamond"/>
          <w:sz w:val="28"/>
          <w:szCs w:val="28"/>
        </w:rPr>
        <w:t>,</w:t>
      </w:r>
      <w:proofErr w:type="gramEnd"/>
      <w:r w:rsidRPr="00787D6B">
        <w:rPr>
          <w:rFonts w:ascii="Garamond" w:hAnsi="Garamond"/>
          <w:sz w:val="28"/>
          <w:szCs w:val="28"/>
        </w:rPr>
        <w:t xml:space="preserve"> in Dir. </w:t>
      </w:r>
      <w:proofErr w:type="spellStart"/>
      <w:r w:rsidRPr="00787D6B">
        <w:rPr>
          <w:rFonts w:ascii="Garamond" w:hAnsi="Garamond"/>
          <w:sz w:val="28"/>
          <w:szCs w:val="28"/>
        </w:rPr>
        <w:t>proc</w:t>
      </w:r>
      <w:proofErr w:type="spellEnd"/>
      <w:r w:rsidRPr="00787D6B">
        <w:rPr>
          <w:rFonts w:ascii="Garamond" w:hAnsi="Garamond"/>
          <w:sz w:val="28"/>
          <w:szCs w:val="28"/>
        </w:rPr>
        <w:t xml:space="preserve">. </w:t>
      </w:r>
      <w:proofErr w:type="spellStart"/>
      <w:r w:rsidRPr="00787D6B">
        <w:rPr>
          <w:rFonts w:ascii="Garamond" w:hAnsi="Garamond"/>
          <w:sz w:val="28"/>
          <w:szCs w:val="28"/>
        </w:rPr>
        <w:t>amm</w:t>
      </w:r>
      <w:proofErr w:type="spellEnd"/>
      <w:r w:rsidRPr="00787D6B">
        <w:rPr>
          <w:rFonts w:ascii="Garamond" w:hAnsi="Garamond"/>
          <w:sz w:val="28"/>
          <w:szCs w:val="28"/>
        </w:rPr>
        <w:t xml:space="preserve">., 2021, </w:t>
      </w:r>
      <w:r w:rsidR="00037DD9" w:rsidRPr="00787D6B">
        <w:rPr>
          <w:rFonts w:ascii="Garamond" w:hAnsi="Garamond"/>
          <w:sz w:val="28"/>
          <w:szCs w:val="28"/>
        </w:rPr>
        <w:t>2,</w:t>
      </w:r>
      <w:r w:rsidR="00FD1128" w:rsidRPr="00787D6B">
        <w:rPr>
          <w:rFonts w:ascii="Garamond" w:hAnsi="Garamond"/>
          <w:sz w:val="28"/>
          <w:szCs w:val="28"/>
        </w:rPr>
        <w:t xml:space="preserve"> pag.</w:t>
      </w:r>
      <w:r w:rsidRPr="00787D6B">
        <w:rPr>
          <w:rFonts w:ascii="Garamond" w:hAnsi="Garamond"/>
          <w:sz w:val="28"/>
          <w:szCs w:val="28"/>
        </w:rPr>
        <w:t xml:space="preserve"> 293).</w:t>
      </w:r>
    </w:p>
  </w:footnote>
  <w:footnote w:id="13">
    <w:p w14:paraId="478BE165" w14:textId="69EF9896"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Ne sono esempio la sentenza della </w:t>
      </w:r>
      <w:proofErr w:type="spellStart"/>
      <w:r w:rsidRPr="00787D6B">
        <w:rPr>
          <w:rFonts w:ascii="Garamond" w:hAnsi="Garamond"/>
          <w:i/>
          <w:sz w:val="28"/>
          <w:szCs w:val="28"/>
        </w:rPr>
        <w:t>Hoge</w:t>
      </w:r>
      <w:proofErr w:type="spellEnd"/>
      <w:r w:rsidRPr="00787D6B">
        <w:rPr>
          <w:rFonts w:ascii="Garamond" w:hAnsi="Garamond"/>
          <w:i/>
          <w:sz w:val="28"/>
          <w:szCs w:val="28"/>
        </w:rPr>
        <w:t xml:space="preserve"> </w:t>
      </w:r>
      <w:proofErr w:type="spellStart"/>
      <w:r w:rsidRPr="00787D6B">
        <w:rPr>
          <w:rFonts w:ascii="Garamond" w:hAnsi="Garamond"/>
          <w:i/>
          <w:sz w:val="28"/>
          <w:szCs w:val="28"/>
        </w:rPr>
        <w:t>Raad</w:t>
      </w:r>
      <w:proofErr w:type="spellEnd"/>
      <w:r w:rsidRPr="00787D6B">
        <w:rPr>
          <w:rFonts w:ascii="Garamond" w:hAnsi="Garamond"/>
          <w:sz w:val="28"/>
          <w:szCs w:val="28"/>
        </w:rPr>
        <w:t xml:space="preserve"> (Corte di cassazione) olandese, pronuncia</w:t>
      </w:r>
      <w:r w:rsidR="004A1B5B">
        <w:rPr>
          <w:rFonts w:ascii="Garamond" w:hAnsi="Garamond"/>
          <w:sz w:val="28"/>
          <w:szCs w:val="28"/>
        </w:rPr>
        <w:t>ta sul ricorso della</w:t>
      </w:r>
      <w:r w:rsidRPr="00787D6B">
        <w:rPr>
          <w:rFonts w:ascii="Garamond" w:hAnsi="Garamond"/>
          <w:sz w:val="28"/>
          <w:szCs w:val="28"/>
        </w:rPr>
        <w:t xml:space="preserve"> </w:t>
      </w:r>
      <w:proofErr w:type="spellStart"/>
      <w:r w:rsidRPr="00787D6B">
        <w:rPr>
          <w:rFonts w:ascii="Garamond" w:hAnsi="Garamond"/>
          <w:i/>
          <w:sz w:val="28"/>
          <w:szCs w:val="28"/>
        </w:rPr>
        <w:t>Urgenda</w:t>
      </w:r>
      <w:proofErr w:type="spellEnd"/>
      <w:r w:rsidRPr="00787D6B">
        <w:rPr>
          <w:rFonts w:ascii="Garamond" w:hAnsi="Garamond"/>
          <w:sz w:val="28"/>
          <w:szCs w:val="28"/>
        </w:rPr>
        <w:t xml:space="preserve"> </w:t>
      </w:r>
      <w:r w:rsidR="004A1B5B" w:rsidRPr="004A1B5B">
        <w:rPr>
          <w:rFonts w:ascii="Garamond" w:hAnsi="Garamond"/>
          <w:i/>
          <w:sz w:val="28"/>
          <w:szCs w:val="28"/>
        </w:rPr>
        <w:t>Foundation</w:t>
      </w:r>
      <w:r w:rsidR="004A1B5B">
        <w:rPr>
          <w:rFonts w:ascii="Garamond" w:hAnsi="Garamond"/>
          <w:sz w:val="28"/>
          <w:szCs w:val="28"/>
        </w:rPr>
        <w:t xml:space="preserve"> </w:t>
      </w:r>
      <w:r w:rsidRPr="00787D6B">
        <w:rPr>
          <w:rFonts w:ascii="Garamond" w:hAnsi="Garamond"/>
          <w:sz w:val="28"/>
          <w:szCs w:val="28"/>
        </w:rPr>
        <w:t xml:space="preserve">il 20 dicembre 2019 </w:t>
      </w:r>
      <w:r w:rsidR="00B579F9" w:rsidRPr="00787D6B">
        <w:rPr>
          <w:rFonts w:ascii="Garamond" w:hAnsi="Garamond"/>
          <w:sz w:val="28"/>
          <w:szCs w:val="28"/>
        </w:rPr>
        <w:t>(</w:t>
      </w:r>
      <w:r w:rsidRPr="00787D6B">
        <w:rPr>
          <w:rFonts w:ascii="Garamond" w:hAnsi="Garamond"/>
          <w:sz w:val="28"/>
          <w:szCs w:val="28"/>
        </w:rPr>
        <w:t xml:space="preserve">NL:HR:2019:2006), in sede civile, che ha ordinato allo Stato, nell'esercizio dei suoi poteri legislativi ed esecutivi, di ridurre entro il 2020 le emissioni di gas a effetto serra del 25% rispetto al 1990; quella della Corte suprema irlandese del 31 luglio 2020, sul ricorso dell'associazione </w:t>
      </w:r>
      <w:r w:rsidRPr="004A1B5B">
        <w:rPr>
          <w:rFonts w:ascii="Garamond" w:hAnsi="Garamond"/>
          <w:i/>
          <w:sz w:val="28"/>
          <w:szCs w:val="28"/>
        </w:rPr>
        <w:t>Friends of the Irish Environment</w:t>
      </w:r>
      <w:r w:rsidRPr="00787D6B">
        <w:rPr>
          <w:rFonts w:ascii="Garamond" w:hAnsi="Garamond"/>
          <w:sz w:val="28"/>
          <w:szCs w:val="28"/>
        </w:rPr>
        <w:t xml:space="preserve">, per conto di 20.863 concittadini ha </w:t>
      </w:r>
      <w:r w:rsidR="003D5118" w:rsidRPr="00787D6B">
        <w:rPr>
          <w:rFonts w:ascii="Garamond" w:hAnsi="Garamond"/>
          <w:sz w:val="28"/>
          <w:szCs w:val="28"/>
        </w:rPr>
        <w:t xml:space="preserve">imposto </w:t>
      </w:r>
      <w:r w:rsidRPr="00787D6B">
        <w:rPr>
          <w:rFonts w:ascii="Garamond" w:hAnsi="Garamond"/>
          <w:sz w:val="28"/>
          <w:szCs w:val="28"/>
        </w:rPr>
        <w:t xml:space="preserve">al Governo di rivedere drasticamente i suoi piani di riduzione delle emissioni di gas serra perché del tutto insufficienti a far fronte agli impegni sul clima presi dall’Irlanda a livello internazionale; la decisione del </w:t>
      </w:r>
      <w:proofErr w:type="spellStart"/>
      <w:r w:rsidRPr="00787D6B">
        <w:rPr>
          <w:rFonts w:ascii="Garamond" w:hAnsi="Garamond"/>
          <w:i/>
          <w:sz w:val="28"/>
          <w:szCs w:val="28"/>
        </w:rPr>
        <w:t>Conseil</w:t>
      </w:r>
      <w:proofErr w:type="spellEnd"/>
      <w:r w:rsidRPr="00787D6B">
        <w:rPr>
          <w:rFonts w:ascii="Garamond" w:hAnsi="Garamond"/>
          <w:i/>
          <w:sz w:val="28"/>
          <w:szCs w:val="28"/>
        </w:rPr>
        <w:t xml:space="preserve"> d'</w:t>
      </w:r>
      <w:proofErr w:type="spellStart"/>
      <w:r w:rsidRPr="00787D6B">
        <w:rPr>
          <w:rFonts w:ascii="Garamond" w:hAnsi="Garamond"/>
          <w:i/>
          <w:sz w:val="28"/>
          <w:szCs w:val="28"/>
        </w:rPr>
        <w:t>Etat</w:t>
      </w:r>
      <w:proofErr w:type="spellEnd"/>
      <w:r w:rsidRPr="00787D6B">
        <w:rPr>
          <w:rFonts w:ascii="Garamond" w:hAnsi="Garamond"/>
          <w:sz w:val="28"/>
          <w:szCs w:val="28"/>
        </w:rPr>
        <w:t xml:space="preserve"> francese (12 luglio 2017, n. 394254) sul ricorso dell'associazione </w:t>
      </w:r>
      <w:proofErr w:type="spellStart"/>
      <w:r w:rsidRPr="00787D6B">
        <w:rPr>
          <w:rFonts w:ascii="Garamond" w:hAnsi="Garamond"/>
          <w:i/>
          <w:sz w:val="28"/>
          <w:szCs w:val="28"/>
        </w:rPr>
        <w:t>les</w:t>
      </w:r>
      <w:proofErr w:type="spellEnd"/>
      <w:r w:rsidRPr="00787D6B">
        <w:rPr>
          <w:rFonts w:ascii="Garamond" w:hAnsi="Garamond"/>
          <w:i/>
          <w:sz w:val="28"/>
          <w:szCs w:val="28"/>
        </w:rPr>
        <w:t xml:space="preserve"> </w:t>
      </w:r>
      <w:proofErr w:type="spellStart"/>
      <w:r w:rsidRPr="00787D6B">
        <w:rPr>
          <w:rFonts w:ascii="Garamond" w:hAnsi="Garamond"/>
          <w:i/>
          <w:sz w:val="28"/>
          <w:szCs w:val="28"/>
        </w:rPr>
        <w:t>Amis</w:t>
      </w:r>
      <w:proofErr w:type="spellEnd"/>
      <w:r w:rsidRPr="00787D6B">
        <w:rPr>
          <w:rFonts w:ascii="Garamond" w:hAnsi="Garamond"/>
          <w:i/>
          <w:sz w:val="28"/>
          <w:szCs w:val="28"/>
        </w:rPr>
        <w:t xml:space="preserve"> de la Terre</w:t>
      </w:r>
      <w:r w:rsidRPr="00787D6B">
        <w:rPr>
          <w:rFonts w:ascii="Garamond" w:hAnsi="Garamond"/>
          <w:sz w:val="28"/>
          <w:szCs w:val="28"/>
        </w:rPr>
        <w:t xml:space="preserve"> con cui era stato ingiunto al Governo francese di attuare i piani ambientali destinati a ridurre le concentrazioni di biossido di azoto e di particelle fini in </w:t>
      </w:r>
      <w:r w:rsidR="009A6243" w:rsidRPr="00787D6B">
        <w:rPr>
          <w:rFonts w:ascii="Garamond" w:hAnsi="Garamond"/>
          <w:sz w:val="28"/>
          <w:szCs w:val="28"/>
        </w:rPr>
        <w:t xml:space="preserve">tredici </w:t>
      </w:r>
      <w:r w:rsidRPr="00787D6B">
        <w:rPr>
          <w:rFonts w:ascii="Garamond" w:hAnsi="Garamond"/>
          <w:sz w:val="28"/>
          <w:szCs w:val="28"/>
        </w:rPr>
        <w:t xml:space="preserve">aree del Paese; successivamente, il 10 luglio 2020, vista l'inerzia del Governo, il </w:t>
      </w:r>
      <w:proofErr w:type="spellStart"/>
      <w:r w:rsidRPr="00787D6B">
        <w:rPr>
          <w:rFonts w:ascii="Garamond" w:hAnsi="Garamond"/>
          <w:i/>
          <w:sz w:val="28"/>
          <w:szCs w:val="28"/>
        </w:rPr>
        <w:t>Conseil</w:t>
      </w:r>
      <w:proofErr w:type="spellEnd"/>
      <w:r w:rsidRPr="00787D6B">
        <w:rPr>
          <w:rFonts w:ascii="Garamond" w:hAnsi="Garamond"/>
          <w:i/>
          <w:sz w:val="28"/>
          <w:szCs w:val="28"/>
        </w:rPr>
        <w:t xml:space="preserve"> d'</w:t>
      </w:r>
      <w:proofErr w:type="spellStart"/>
      <w:r w:rsidRPr="00787D6B">
        <w:rPr>
          <w:rFonts w:ascii="Garamond" w:hAnsi="Garamond"/>
          <w:i/>
          <w:sz w:val="28"/>
          <w:szCs w:val="28"/>
        </w:rPr>
        <w:t>Etat</w:t>
      </w:r>
      <w:proofErr w:type="spellEnd"/>
      <w:r w:rsidRPr="00787D6B">
        <w:rPr>
          <w:rFonts w:ascii="Garamond" w:hAnsi="Garamond"/>
          <w:sz w:val="28"/>
          <w:szCs w:val="28"/>
        </w:rPr>
        <w:t xml:space="preserve"> lo ha condannato alla penalità di mora 10 milioni di euro per semestre del 19 novembre 2020 (pubblicata sul sito </w:t>
      </w:r>
      <w:hyperlink r:id="rId1" w:history="1">
        <w:r w:rsidRPr="00787D6B">
          <w:rPr>
            <w:rStyle w:val="Collegamentoipertestuale"/>
            <w:rFonts w:ascii="Garamond" w:hAnsi="Garamond"/>
            <w:sz w:val="28"/>
            <w:szCs w:val="28"/>
          </w:rPr>
          <w:t>www.conseil-etat.fr</w:t>
        </w:r>
      </w:hyperlink>
      <w:r w:rsidRPr="00787D6B">
        <w:rPr>
          <w:rFonts w:ascii="Garamond" w:hAnsi="Garamond"/>
          <w:sz w:val="28"/>
          <w:szCs w:val="28"/>
        </w:rPr>
        <w:t xml:space="preserve">). Sono seguite le decisioni del 19 novembre 2020 dello stesso Consiglio, sulla causa promossa dal </w:t>
      </w:r>
      <w:proofErr w:type="spellStart"/>
      <w:r w:rsidRPr="00787D6B">
        <w:rPr>
          <w:rFonts w:ascii="Garamond" w:hAnsi="Garamond"/>
          <w:i/>
          <w:sz w:val="28"/>
          <w:szCs w:val="28"/>
        </w:rPr>
        <w:t>commune</w:t>
      </w:r>
      <w:proofErr w:type="spellEnd"/>
      <w:r w:rsidRPr="00787D6B">
        <w:rPr>
          <w:rFonts w:ascii="Garamond" w:hAnsi="Garamond"/>
          <w:i/>
          <w:sz w:val="28"/>
          <w:szCs w:val="28"/>
        </w:rPr>
        <w:t xml:space="preserve"> de Grande </w:t>
      </w:r>
      <w:proofErr w:type="spellStart"/>
      <w:r w:rsidRPr="00787D6B">
        <w:rPr>
          <w:rFonts w:ascii="Garamond" w:hAnsi="Garamond"/>
          <w:i/>
          <w:sz w:val="28"/>
          <w:szCs w:val="28"/>
        </w:rPr>
        <w:t>Synthe</w:t>
      </w:r>
      <w:proofErr w:type="spellEnd"/>
      <w:r w:rsidRPr="00787D6B">
        <w:rPr>
          <w:rFonts w:ascii="Garamond" w:hAnsi="Garamond"/>
          <w:sz w:val="28"/>
          <w:szCs w:val="28"/>
        </w:rPr>
        <w:t>, e del Tribunale amministrativo di Parigi</w:t>
      </w:r>
      <w:r w:rsidR="009214C3" w:rsidRPr="00787D6B">
        <w:rPr>
          <w:rFonts w:ascii="Garamond" w:hAnsi="Garamond"/>
          <w:sz w:val="28"/>
          <w:szCs w:val="28"/>
        </w:rPr>
        <w:t xml:space="preserve"> che</w:t>
      </w:r>
      <w:r w:rsidRPr="00787D6B">
        <w:rPr>
          <w:rFonts w:ascii="Garamond" w:hAnsi="Garamond"/>
          <w:sz w:val="28"/>
          <w:szCs w:val="28"/>
        </w:rPr>
        <w:t xml:space="preserve"> si è pronunciato sul cosiddetto </w:t>
      </w:r>
      <w:r w:rsidRPr="00787D6B">
        <w:rPr>
          <w:rFonts w:ascii="Garamond" w:hAnsi="Garamond"/>
          <w:i/>
          <w:sz w:val="28"/>
          <w:szCs w:val="28"/>
        </w:rPr>
        <w:t xml:space="preserve">Affaire </w:t>
      </w:r>
      <w:proofErr w:type="spellStart"/>
      <w:r w:rsidRPr="00787D6B">
        <w:rPr>
          <w:rFonts w:ascii="Garamond" w:hAnsi="Garamond"/>
          <w:i/>
          <w:sz w:val="28"/>
          <w:szCs w:val="28"/>
        </w:rPr>
        <w:t>du</w:t>
      </w:r>
      <w:proofErr w:type="spellEnd"/>
      <w:r w:rsidRPr="00787D6B">
        <w:rPr>
          <w:rFonts w:ascii="Garamond" w:hAnsi="Garamond"/>
          <w:i/>
          <w:sz w:val="28"/>
          <w:szCs w:val="28"/>
        </w:rPr>
        <w:t xml:space="preserve"> </w:t>
      </w:r>
      <w:proofErr w:type="spellStart"/>
      <w:r w:rsidRPr="00787D6B">
        <w:rPr>
          <w:rFonts w:ascii="Garamond" w:hAnsi="Garamond"/>
          <w:i/>
          <w:sz w:val="28"/>
          <w:szCs w:val="28"/>
        </w:rPr>
        <w:t>siècle</w:t>
      </w:r>
      <w:proofErr w:type="spellEnd"/>
      <w:r w:rsidRPr="00787D6B">
        <w:rPr>
          <w:rFonts w:ascii="Garamond" w:hAnsi="Garamond"/>
          <w:sz w:val="28"/>
          <w:szCs w:val="28"/>
        </w:rPr>
        <w:t xml:space="preserve"> il 3 febbraio 2021 (pubblicata sul sito paris.tribunal-administratif.fr), che hanno riconosciuto (perlomeno in astratto) la responsabilità dello Stato per il mancato approntamento di strumenti idonei ad arginare il fenomeno del cambiamento climatico.</w:t>
      </w:r>
    </w:p>
    <w:p w14:paraId="5C52AB11" w14:textId="44F97117" w:rsidR="0037016C" w:rsidRPr="00787D6B" w:rsidRDefault="0037016C" w:rsidP="0037016C">
      <w:pPr>
        <w:pStyle w:val="Testonotaapidipagina"/>
        <w:jc w:val="both"/>
        <w:rPr>
          <w:rFonts w:ascii="Garamond" w:hAnsi="Garamond"/>
          <w:sz w:val="28"/>
          <w:szCs w:val="28"/>
        </w:rPr>
      </w:pPr>
      <w:r w:rsidRPr="00787D6B">
        <w:rPr>
          <w:rFonts w:ascii="Garamond" w:hAnsi="Garamond"/>
          <w:sz w:val="28"/>
          <w:szCs w:val="28"/>
        </w:rPr>
        <w:t xml:space="preserve">Infine, con la </w:t>
      </w:r>
      <w:r w:rsidR="00442CEF" w:rsidRPr="00787D6B">
        <w:rPr>
          <w:rFonts w:ascii="Garamond" w:hAnsi="Garamond"/>
          <w:sz w:val="28"/>
          <w:szCs w:val="28"/>
        </w:rPr>
        <w:t xml:space="preserve">decisione </w:t>
      </w:r>
      <w:r w:rsidR="0062071A" w:rsidRPr="00787D6B">
        <w:rPr>
          <w:rFonts w:ascii="Garamond" w:hAnsi="Garamond"/>
          <w:sz w:val="28"/>
          <w:szCs w:val="28"/>
        </w:rPr>
        <w:t>(</w:t>
      </w:r>
      <w:proofErr w:type="spellStart"/>
      <w:r w:rsidR="0062071A" w:rsidRPr="00787D6B">
        <w:rPr>
          <w:rFonts w:ascii="Garamond" w:hAnsi="Garamond"/>
          <w:i/>
          <w:sz w:val="28"/>
          <w:szCs w:val="28"/>
        </w:rPr>
        <w:t>Beschluss</w:t>
      </w:r>
      <w:proofErr w:type="spellEnd"/>
      <w:r w:rsidR="0062071A" w:rsidRPr="00787D6B">
        <w:rPr>
          <w:rFonts w:ascii="Garamond" w:hAnsi="Garamond"/>
          <w:sz w:val="28"/>
          <w:szCs w:val="28"/>
        </w:rPr>
        <w:t xml:space="preserve">) </w:t>
      </w:r>
      <w:r w:rsidRPr="00787D6B">
        <w:rPr>
          <w:rFonts w:ascii="Garamond" w:hAnsi="Garamond"/>
          <w:sz w:val="28"/>
          <w:szCs w:val="28"/>
        </w:rPr>
        <w:t xml:space="preserve">pubblicata il 29 aprile 2021 (in www.bundesverfassungsgericht.de, su cui M. </w:t>
      </w:r>
      <w:proofErr w:type="spellStart"/>
      <w:r w:rsidRPr="00787D6B">
        <w:rPr>
          <w:rFonts w:ascii="Garamond" w:hAnsi="Garamond"/>
          <w:sz w:val="28"/>
          <w:szCs w:val="28"/>
        </w:rPr>
        <w:t>Seibert</w:t>
      </w:r>
      <w:proofErr w:type="spellEnd"/>
      <w:r w:rsidRPr="00787D6B">
        <w:rPr>
          <w:rFonts w:ascii="Garamond" w:hAnsi="Garamond"/>
          <w:sz w:val="28"/>
          <w:szCs w:val="28"/>
        </w:rPr>
        <w:t>.</w:t>
      </w:r>
      <w:r w:rsidR="00903D09" w:rsidRPr="00787D6B">
        <w:rPr>
          <w:rFonts w:ascii="Garamond" w:hAnsi="Garamond"/>
          <w:sz w:val="28"/>
          <w:szCs w:val="28"/>
        </w:rPr>
        <w:t>,</w:t>
      </w:r>
      <w:r w:rsidRPr="00787D6B">
        <w:rPr>
          <w:rFonts w:ascii="Garamond" w:hAnsi="Garamond"/>
          <w:sz w:val="28"/>
          <w:szCs w:val="28"/>
        </w:rPr>
        <w:t xml:space="preserve"> </w:t>
      </w:r>
      <w:r w:rsidRPr="00787D6B">
        <w:rPr>
          <w:rFonts w:ascii="Garamond" w:hAnsi="Garamond"/>
          <w:i/>
          <w:sz w:val="28"/>
          <w:szCs w:val="28"/>
        </w:rPr>
        <w:t>Cause per la p</w:t>
      </w:r>
      <w:r w:rsidR="00130ADB" w:rsidRPr="00787D6B">
        <w:rPr>
          <w:rFonts w:ascii="Garamond" w:hAnsi="Garamond"/>
          <w:i/>
          <w:sz w:val="28"/>
          <w:szCs w:val="28"/>
        </w:rPr>
        <w:t>rotezione del clima in Germania</w:t>
      </w:r>
      <w:r w:rsidRPr="00787D6B">
        <w:rPr>
          <w:rFonts w:ascii="Garamond" w:hAnsi="Garamond"/>
          <w:sz w:val="28"/>
          <w:szCs w:val="28"/>
        </w:rPr>
        <w:t xml:space="preserve">, consultabile sul sito agatif.org) il </w:t>
      </w:r>
      <w:proofErr w:type="spellStart"/>
      <w:r w:rsidRPr="00787D6B">
        <w:rPr>
          <w:rFonts w:ascii="Garamond" w:hAnsi="Garamond"/>
          <w:i/>
          <w:sz w:val="28"/>
          <w:szCs w:val="28"/>
        </w:rPr>
        <w:t>Bundesverfassungsgericht</w:t>
      </w:r>
      <w:proofErr w:type="spellEnd"/>
      <w:r w:rsidRPr="00787D6B">
        <w:rPr>
          <w:rFonts w:ascii="Garamond" w:hAnsi="Garamond"/>
          <w:sz w:val="28"/>
          <w:szCs w:val="28"/>
        </w:rPr>
        <w:t xml:space="preserve"> ha dichiarato che le disposizioni della legge sulla protezione dell'ambiente (</w:t>
      </w:r>
      <w:proofErr w:type="spellStart"/>
      <w:r w:rsidRPr="00787D6B">
        <w:rPr>
          <w:rFonts w:ascii="Garamond" w:hAnsi="Garamond"/>
          <w:i/>
          <w:sz w:val="28"/>
          <w:szCs w:val="28"/>
        </w:rPr>
        <w:t>Klimaschutzgesetz</w:t>
      </w:r>
      <w:proofErr w:type="spellEnd"/>
      <w:r w:rsidRPr="00787D6B">
        <w:rPr>
          <w:rFonts w:ascii="Garamond" w:hAnsi="Garamond"/>
          <w:sz w:val="28"/>
          <w:szCs w:val="28"/>
        </w:rPr>
        <w:t xml:space="preserve"> – KSG), nella parte in cui prevedono la riduzione delle emissioni di gas ad effetto serra entro il 2030 nella misura del 55% rispetto ai livelli di emissione del 1990, stabilendo un percorso di riduzioni annuali progressive,  «violano le libertà dei denuncianti, alcuni dei quali sono ancora molto giovani», perché «hanno un effetto di interferenza anticipata (</w:t>
      </w:r>
      <w:proofErr w:type="spellStart"/>
      <w:r w:rsidRPr="00787D6B">
        <w:rPr>
          <w:rFonts w:ascii="Garamond" w:hAnsi="Garamond"/>
          <w:i/>
          <w:sz w:val="28"/>
          <w:szCs w:val="28"/>
        </w:rPr>
        <w:t>eingriffsähnliche</w:t>
      </w:r>
      <w:proofErr w:type="spellEnd"/>
      <w:r w:rsidRPr="00787D6B">
        <w:rPr>
          <w:rFonts w:ascii="Garamond" w:hAnsi="Garamond"/>
          <w:i/>
          <w:sz w:val="28"/>
          <w:szCs w:val="28"/>
        </w:rPr>
        <w:t xml:space="preserve"> </w:t>
      </w:r>
      <w:proofErr w:type="spellStart"/>
      <w:r w:rsidRPr="00787D6B">
        <w:rPr>
          <w:rFonts w:ascii="Garamond" w:hAnsi="Garamond"/>
          <w:i/>
          <w:sz w:val="28"/>
          <w:szCs w:val="28"/>
        </w:rPr>
        <w:t>Vorwirkung</w:t>
      </w:r>
      <w:proofErr w:type="spellEnd"/>
      <w:r w:rsidRPr="00787D6B">
        <w:rPr>
          <w:rFonts w:ascii="Garamond" w:hAnsi="Garamond"/>
          <w:sz w:val="28"/>
          <w:szCs w:val="28"/>
        </w:rPr>
        <w:t xml:space="preserve">) sulla libertà ampiamente tutelata dalla Legge fondamentale» nel periodo successivo al 2030, quando, per giungere alla neutralità climatica, sarà necessario imporre sacrifici sproporzionati alle generazioni future. </w:t>
      </w:r>
      <w:r w:rsidRPr="00787D6B">
        <w:rPr>
          <w:rFonts w:ascii="Garamond" w:hAnsi="Garamond"/>
          <w:sz w:val="28"/>
          <w:szCs w:val="28"/>
          <w:lang w:val="de-DE"/>
        </w:rPr>
        <w:t xml:space="preserve">In </w:t>
      </w:r>
      <w:proofErr w:type="spellStart"/>
      <w:r w:rsidRPr="00787D6B">
        <w:rPr>
          <w:rFonts w:ascii="Garamond" w:hAnsi="Garamond"/>
          <w:sz w:val="28"/>
          <w:szCs w:val="28"/>
          <w:lang w:val="de-DE"/>
        </w:rPr>
        <w:t>quell'occasione</w:t>
      </w:r>
      <w:proofErr w:type="spellEnd"/>
      <w:r w:rsidRPr="00787D6B">
        <w:rPr>
          <w:rFonts w:ascii="Garamond" w:hAnsi="Garamond"/>
          <w:sz w:val="28"/>
          <w:szCs w:val="28"/>
          <w:lang w:val="de-DE"/>
        </w:rPr>
        <w:t xml:space="preserve"> </w:t>
      </w:r>
      <w:proofErr w:type="spellStart"/>
      <w:r w:rsidRPr="00787D6B">
        <w:rPr>
          <w:rFonts w:ascii="Garamond" w:hAnsi="Garamond"/>
          <w:sz w:val="28"/>
          <w:szCs w:val="28"/>
          <w:lang w:val="de-DE"/>
        </w:rPr>
        <w:t>il</w:t>
      </w:r>
      <w:proofErr w:type="spellEnd"/>
      <w:r w:rsidRPr="00787D6B">
        <w:rPr>
          <w:rFonts w:ascii="Garamond" w:hAnsi="Garamond"/>
          <w:sz w:val="28"/>
          <w:szCs w:val="28"/>
          <w:lang w:val="de-DE"/>
        </w:rPr>
        <w:t xml:space="preserve"> Tribunale </w:t>
      </w:r>
      <w:proofErr w:type="spellStart"/>
      <w:r w:rsidRPr="00787D6B">
        <w:rPr>
          <w:rFonts w:ascii="Garamond" w:hAnsi="Garamond"/>
          <w:sz w:val="28"/>
          <w:szCs w:val="28"/>
          <w:lang w:val="de-DE"/>
        </w:rPr>
        <w:t>costituzionale</w:t>
      </w:r>
      <w:proofErr w:type="spellEnd"/>
      <w:r w:rsidRPr="00787D6B">
        <w:rPr>
          <w:rFonts w:ascii="Garamond" w:hAnsi="Garamond"/>
          <w:sz w:val="28"/>
          <w:szCs w:val="28"/>
          <w:lang w:val="de-DE"/>
        </w:rPr>
        <w:t xml:space="preserve"> ha </w:t>
      </w:r>
      <w:proofErr w:type="spellStart"/>
      <w:r w:rsidRPr="00787D6B">
        <w:rPr>
          <w:rFonts w:ascii="Garamond" w:hAnsi="Garamond"/>
          <w:sz w:val="28"/>
          <w:szCs w:val="28"/>
          <w:lang w:val="de-DE"/>
        </w:rPr>
        <w:t>ribadito</w:t>
      </w:r>
      <w:proofErr w:type="spellEnd"/>
      <w:r w:rsidRPr="00787D6B">
        <w:rPr>
          <w:rFonts w:ascii="Garamond" w:hAnsi="Garamond"/>
          <w:sz w:val="28"/>
          <w:szCs w:val="28"/>
          <w:lang w:val="de-DE"/>
        </w:rPr>
        <w:t xml:space="preserve"> </w:t>
      </w:r>
      <w:proofErr w:type="spellStart"/>
      <w:r w:rsidRPr="00787D6B">
        <w:rPr>
          <w:rFonts w:ascii="Garamond" w:hAnsi="Garamond"/>
          <w:sz w:val="28"/>
          <w:szCs w:val="28"/>
          <w:lang w:val="de-DE"/>
        </w:rPr>
        <w:t>che</w:t>
      </w:r>
      <w:proofErr w:type="spellEnd"/>
      <w:r w:rsidRPr="00787D6B">
        <w:rPr>
          <w:rFonts w:ascii="Garamond" w:hAnsi="Garamond"/>
          <w:sz w:val="28"/>
          <w:szCs w:val="28"/>
          <w:lang w:val="de-DE"/>
        </w:rPr>
        <w:t xml:space="preserve"> </w:t>
      </w:r>
      <w:proofErr w:type="spellStart"/>
      <w:r w:rsidRPr="00787D6B">
        <w:rPr>
          <w:rFonts w:ascii="Garamond" w:hAnsi="Garamond"/>
          <w:sz w:val="28"/>
          <w:szCs w:val="28"/>
          <w:lang w:val="de-DE"/>
        </w:rPr>
        <w:t>l'articolo</w:t>
      </w:r>
      <w:proofErr w:type="spellEnd"/>
      <w:r w:rsidRPr="00787D6B">
        <w:rPr>
          <w:rFonts w:ascii="Garamond" w:hAnsi="Garamond"/>
          <w:sz w:val="28"/>
          <w:szCs w:val="28"/>
          <w:lang w:val="de-DE"/>
        </w:rPr>
        <w:t xml:space="preserve"> 20a della Grundgesetz (</w:t>
      </w:r>
      <w:proofErr w:type="spellStart"/>
      <w:r w:rsidRPr="00787D6B">
        <w:rPr>
          <w:rFonts w:ascii="Garamond" w:hAnsi="Garamond"/>
          <w:sz w:val="28"/>
          <w:szCs w:val="28"/>
          <w:lang w:val="de-DE"/>
        </w:rPr>
        <w:t>prevedendo</w:t>
      </w:r>
      <w:proofErr w:type="spellEnd"/>
      <w:r w:rsidRPr="00787D6B">
        <w:rPr>
          <w:rFonts w:ascii="Garamond" w:hAnsi="Garamond"/>
          <w:sz w:val="28"/>
          <w:szCs w:val="28"/>
          <w:lang w:val="de-DE"/>
        </w:rPr>
        <w:t xml:space="preserve"> </w:t>
      </w:r>
      <w:proofErr w:type="spellStart"/>
      <w:r w:rsidRPr="00787D6B">
        <w:rPr>
          <w:rFonts w:ascii="Garamond" w:hAnsi="Garamond"/>
          <w:sz w:val="28"/>
          <w:szCs w:val="28"/>
          <w:lang w:val="de-DE"/>
        </w:rPr>
        <w:t>che</w:t>
      </w:r>
      <w:proofErr w:type="spellEnd"/>
      <w:r w:rsidRPr="00787D6B">
        <w:rPr>
          <w:rFonts w:ascii="Garamond" w:hAnsi="Garamond"/>
          <w:sz w:val="28"/>
          <w:szCs w:val="28"/>
          <w:lang w:val="de-DE"/>
        </w:rPr>
        <w:t xml:space="preserve"> "Der Staat schützt auch in Verantwortung für die künftigen Generationen die natürlichen Lebensgrundlagen und die Tiere im Rahmen der verfassungsmäßigen Ordnung durch die Gesetzgebung und nach Maßgabe von Gesetz und Recht durch die vollziehende Gewalt und die Rechtsprechung”) non </w:t>
      </w:r>
      <w:proofErr w:type="spellStart"/>
      <w:r w:rsidRPr="00787D6B">
        <w:rPr>
          <w:rFonts w:ascii="Garamond" w:hAnsi="Garamond"/>
          <w:sz w:val="28"/>
          <w:szCs w:val="28"/>
          <w:lang w:val="de-DE"/>
        </w:rPr>
        <w:t>riconosce</w:t>
      </w:r>
      <w:proofErr w:type="spellEnd"/>
      <w:r w:rsidRPr="00787D6B">
        <w:rPr>
          <w:rFonts w:ascii="Garamond" w:hAnsi="Garamond"/>
          <w:sz w:val="28"/>
          <w:szCs w:val="28"/>
          <w:lang w:val="de-DE"/>
        </w:rPr>
        <w:t xml:space="preserve">, </w:t>
      </w:r>
      <w:proofErr w:type="spellStart"/>
      <w:r w:rsidRPr="00787D6B">
        <w:rPr>
          <w:rFonts w:ascii="Garamond" w:hAnsi="Garamond"/>
          <w:sz w:val="28"/>
          <w:szCs w:val="28"/>
          <w:lang w:val="de-DE"/>
        </w:rPr>
        <w:t>come</w:t>
      </w:r>
      <w:proofErr w:type="spellEnd"/>
      <w:r w:rsidRPr="00787D6B">
        <w:rPr>
          <w:rFonts w:ascii="Garamond" w:hAnsi="Garamond"/>
          <w:sz w:val="28"/>
          <w:szCs w:val="28"/>
          <w:lang w:val="de-DE"/>
        </w:rPr>
        <w:t xml:space="preserve"> </w:t>
      </w:r>
      <w:proofErr w:type="spellStart"/>
      <w:r w:rsidRPr="00787D6B">
        <w:rPr>
          <w:rFonts w:ascii="Garamond" w:hAnsi="Garamond"/>
          <w:sz w:val="28"/>
          <w:szCs w:val="28"/>
          <w:lang w:val="de-DE"/>
        </w:rPr>
        <w:t>diritto</w:t>
      </w:r>
      <w:proofErr w:type="spellEnd"/>
      <w:r w:rsidRPr="00787D6B">
        <w:rPr>
          <w:rFonts w:ascii="Garamond" w:hAnsi="Garamond"/>
          <w:sz w:val="28"/>
          <w:szCs w:val="28"/>
          <w:lang w:val="de-DE"/>
        </w:rPr>
        <w:t xml:space="preserve"> </w:t>
      </w:r>
      <w:proofErr w:type="spellStart"/>
      <w:r w:rsidRPr="00787D6B">
        <w:rPr>
          <w:rFonts w:ascii="Garamond" w:hAnsi="Garamond"/>
          <w:sz w:val="28"/>
          <w:szCs w:val="28"/>
          <w:lang w:val="de-DE"/>
        </w:rPr>
        <w:t>fondamentale</w:t>
      </w:r>
      <w:proofErr w:type="spellEnd"/>
      <w:r w:rsidRPr="00787D6B">
        <w:rPr>
          <w:rFonts w:ascii="Garamond" w:hAnsi="Garamond"/>
          <w:sz w:val="28"/>
          <w:szCs w:val="28"/>
          <w:lang w:val="de-DE"/>
        </w:rPr>
        <w:t xml:space="preserve">, </w:t>
      </w:r>
      <w:proofErr w:type="spellStart"/>
      <w:r w:rsidRPr="00787D6B">
        <w:rPr>
          <w:rFonts w:ascii="Garamond" w:hAnsi="Garamond"/>
          <w:sz w:val="28"/>
          <w:szCs w:val="28"/>
          <w:lang w:val="de-DE"/>
        </w:rPr>
        <w:t>quello</w:t>
      </w:r>
      <w:proofErr w:type="spellEnd"/>
      <w:r w:rsidRPr="00787D6B">
        <w:rPr>
          <w:rFonts w:ascii="Garamond" w:hAnsi="Garamond"/>
          <w:sz w:val="28"/>
          <w:szCs w:val="28"/>
          <w:lang w:val="de-DE"/>
        </w:rPr>
        <w:t xml:space="preserve"> a </w:t>
      </w:r>
      <w:proofErr w:type="spellStart"/>
      <w:r w:rsidRPr="00787D6B">
        <w:rPr>
          <w:rFonts w:ascii="Garamond" w:hAnsi="Garamond"/>
          <w:sz w:val="28"/>
          <w:szCs w:val="28"/>
          <w:lang w:val="de-DE"/>
        </w:rPr>
        <w:t>un</w:t>
      </w:r>
      <w:proofErr w:type="spellEnd"/>
      <w:r w:rsidRPr="00787D6B">
        <w:rPr>
          <w:rFonts w:ascii="Garamond" w:hAnsi="Garamond"/>
          <w:sz w:val="28"/>
          <w:szCs w:val="28"/>
          <w:lang w:val="de-DE"/>
        </w:rPr>
        <w:t xml:space="preserve"> </w:t>
      </w:r>
      <w:proofErr w:type="spellStart"/>
      <w:r w:rsidRPr="00787D6B">
        <w:rPr>
          <w:rFonts w:ascii="Garamond" w:hAnsi="Garamond"/>
          <w:sz w:val="28"/>
          <w:szCs w:val="28"/>
          <w:lang w:val="de-DE"/>
        </w:rPr>
        <w:t>ambiente</w:t>
      </w:r>
      <w:proofErr w:type="spellEnd"/>
      <w:r w:rsidRPr="00787D6B">
        <w:rPr>
          <w:rFonts w:ascii="Garamond" w:hAnsi="Garamond"/>
          <w:sz w:val="28"/>
          <w:szCs w:val="28"/>
          <w:lang w:val="de-DE"/>
        </w:rPr>
        <w:t xml:space="preserve"> </w:t>
      </w:r>
      <w:proofErr w:type="spellStart"/>
      <w:r w:rsidRPr="00787D6B">
        <w:rPr>
          <w:rFonts w:ascii="Garamond" w:hAnsi="Garamond"/>
          <w:sz w:val="28"/>
          <w:szCs w:val="28"/>
          <w:lang w:val="de-DE"/>
        </w:rPr>
        <w:t>sano</w:t>
      </w:r>
      <w:proofErr w:type="spellEnd"/>
      <w:r w:rsidRPr="00787D6B">
        <w:rPr>
          <w:rFonts w:ascii="Garamond" w:hAnsi="Garamond"/>
          <w:sz w:val="28"/>
          <w:szCs w:val="28"/>
          <w:lang w:val="de-DE"/>
        </w:rPr>
        <w:t xml:space="preserve">. </w:t>
      </w:r>
      <w:r w:rsidRPr="00787D6B">
        <w:rPr>
          <w:rFonts w:ascii="Garamond" w:hAnsi="Garamond"/>
          <w:sz w:val="28"/>
          <w:szCs w:val="28"/>
        </w:rPr>
        <w:t>La norma invece pone in capo ai tre poteri dello Stato il dovere di proteggere i fondamenti naturali della vita e degli animali, nella prospettiva della loro responsabilità verso le generazioni future.</w:t>
      </w:r>
    </w:p>
    <w:p w14:paraId="6A79A109" w14:textId="77BE43CA" w:rsidR="0037016C" w:rsidRPr="00787D6B" w:rsidRDefault="0037016C" w:rsidP="0037016C">
      <w:pPr>
        <w:pStyle w:val="Testonotaapidipagina"/>
        <w:jc w:val="both"/>
        <w:rPr>
          <w:rFonts w:ascii="Garamond" w:hAnsi="Garamond"/>
          <w:sz w:val="28"/>
          <w:szCs w:val="28"/>
        </w:rPr>
      </w:pPr>
      <w:r w:rsidRPr="00787D6B">
        <w:rPr>
          <w:rFonts w:ascii="Garamond" w:hAnsi="Garamond"/>
          <w:sz w:val="28"/>
          <w:szCs w:val="28"/>
        </w:rPr>
        <w:t xml:space="preserve">Per una disamina più ampia: F. Fracchia, </w:t>
      </w:r>
      <w:r w:rsidRPr="00787D6B">
        <w:rPr>
          <w:rFonts w:ascii="Garamond" w:hAnsi="Garamond"/>
          <w:i/>
          <w:sz w:val="28"/>
          <w:szCs w:val="28"/>
        </w:rPr>
        <w:t>Il diritto ambientale comparato</w:t>
      </w:r>
      <w:r w:rsidRPr="00787D6B">
        <w:rPr>
          <w:rFonts w:ascii="Garamond" w:hAnsi="Garamond"/>
          <w:sz w:val="28"/>
          <w:szCs w:val="28"/>
        </w:rPr>
        <w:t>, federalismi.it,</w:t>
      </w:r>
      <w:r w:rsidR="001039E3" w:rsidRPr="00787D6B">
        <w:rPr>
          <w:rFonts w:ascii="Garamond" w:hAnsi="Garamond"/>
          <w:sz w:val="28"/>
          <w:szCs w:val="28"/>
        </w:rPr>
        <w:t xml:space="preserve"> </w:t>
      </w:r>
      <w:r w:rsidRPr="00787D6B">
        <w:rPr>
          <w:rFonts w:ascii="Garamond" w:hAnsi="Garamond"/>
          <w:sz w:val="28"/>
          <w:szCs w:val="28"/>
        </w:rPr>
        <w:t>2017</w:t>
      </w:r>
      <w:r w:rsidR="001039E3" w:rsidRPr="00787D6B">
        <w:rPr>
          <w:rFonts w:ascii="Garamond" w:hAnsi="Garamond"/>
          <w:sz w:val="28"/>
          <w:szCs w:val="28"/>
        </w:rPr>
        <w:t>, 7</w:t>
      </w:r>
      <w:r w:rsidRPr="00787D6B">
        <w:rPr>
          <w:rFonts w:ascii="Garamond" w:hAnsi="Garamond"/>
          <w:sz w:val="28"/>
          <w:szCs w:val="28"/>
        </w:rPr>
        <w:t>.</w:t>
      </w:r>
    </w:p>
  </w:footnote>
  <w:footnote w:id="14">
    <w:p w14:paraId="5723CBC2" w14:textId="77777777"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Secondo l'articolo 8 della Convenzione, "1. Ogni persona ha diritto al rispetto della propria vita privata e familiare, del proprio domicilio e della propria corrispondenza.  </w:t>
      </w:r>
    </w:p>
    <w:p w14:paraId="134CA420" w14:textId="77777777" w:rsidR="0037016C" w:rsidRPr="00787D6B" w:rsidRDefault="0037016C" w:rsidP="0037016C">
      <w:pPr>
        <w:pStyle w:val="Testonotaapidipagina"/>
        <w:jc w:val="both"/>
        <w:rPr>
          <w:rFonts w:ascii="Garamond" w:hAnsi="Garamond"/>
          <w:sz w:val="28"/>
          <w:szCs w:val="28"/>
        </w:rPr>
      </w:pPr>
      <w:r w:rsidRPr="00787D6B">
        <w:rPr>
          <w:rFonts w:ascii="Garamond" w:hAnsi="Garamond"/>
          <w:sz w:val="28"/>
          <w:szCs w:val="28"/>
        </w:rPr>
        <w:t>2. Non può esservi ingerenza di una autorità pubblica nell’esercizio di tale diritto a meno che tale ingerenza sia prevista dalla legge e costituisca una misura che, in una società democratica, è necessaria alla sicurezza nazionale, alla pubblica sicurezza, al benessere economico del paese, alla difesa dell’ordine e alla prevenzione dei reati, alla protezione della salute o della morale, o alla protezione dei diritti e delle libertà altrui".</w:t>
      </w:r>
    </w:p>
  </w:footnote>
  <w:footnote w:id="15">
    <w:p w14:paraId="7E412082" w14:textId="142FEBE0"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Sul punto si rinvia a G. Adamo, </w:t>
      </w:r>
      <w:r w:rsidRPr="00787D6B">
        <w:rPr>
          <w:rFonts w:ascii="Garamond" w:hAnsi="Garamond"/>
          <w:i/>
          <w:sz w:val="28"/>
          <w:szCs w:val="28"/>
        </w:rPr>
        <w:t>Le situazioni giuridiche soggettive garantite dalla CEDU innanzi al giudice amministrativo</w:t>
      </w:r>
      <w:r w:rsidRPr="00787D6B">
        <w:rPr>
          <w:rFonts w:ascii="Garamond" w:hAnsi="Garamond"/>
          <w:sz w:val="28"/>
          <w:szCs w:val="28"/>
        </w:rPr>
        <w:t>, federalismi.it, 2021</w:t>
      </w:r>
      <w:r w:rsidR="003A0C7A" w:rsidRPr="00787D6B">
        <w:rPr>
          <w:rFonts w:ascii="Garamond" w:hAnsi="Garamond"/>
          <w:sz w:val="28"/>
          <w:szCs w:val="28"/>
        </w:rPr>
        <w:t>, 27</w:t>
      </w:r>
      <w:r w:rsidRPr="00787D6B">
        <w:rPr>
          <w:rFonts w:ascii="Garamond" w:hAnsi="Garamond"/>
          <w:sz w:val="28"/>
          <w:szCs w:val="28"/>
        </w:rPr>
        <w:t>.</w:t>
      </w:r>
    </w:p>
  </w:footnote>
  <w:footnote w:id="16">
    <w:p w14:paraId="238926F8" w14:textId="77777777"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L'articolo così recita: "Se la Corte dichiara che vi è stata violazione della Convenzione o dei suoi protocolli e se il diritto interno dell'Alta Parte contraente non permette che in modo incompleto di riparare le conseguenze di tale violazione, la Corte accorda, quando è il caso, un'equa soddisfazione alla parte lesa".</w:t>
      </w:r>
    </w:p>
  </w:footnote>
  <w:footnote w:id="17">
    <w:p w14:paraId="5FA8C8CA" w14:textId="49B70644"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00130ADB" w:rsidRPr="00787D6B">
        <w:rPr>
          <w:rFonts w:ascii="Garamond" w:hAnsi="Garamond"/>
          <w:sz w:val="28"/>
          <w:szCs w:val="28"/>
        </w:rPr>
        <w:t xml:space="preserve"> M. Fiori, </w:t>
      </w:r>
      <w:r w:rsidRPr="00787D6B">
        <w:rPr>
          <w:rFonts w:ascii="Garamond" w:hAnsi="Garamond"/>
          <w:i/>
          <w:sz w:val="28"/>
          <w:szCs w:val="28"/>
        </w:rPr>
        <w:t>L’esecuzione delle sentenze nel sistema convenzio</w:t>
      </w:r>
      <w:r w:rsidR="00130ADB" w:rsidRPr="00787D6B">
        <w:rPr>
          <w:rFonts w:ascii="Garamond" w:hAnsi="Garamond"/>
          <w:i/>
          <w:sz w:val="28"/>
          <w:szCs w:val="28"/>
        </w:rPr>
        <w:t>nale: profili teorici e pratici</w:t>
      </w:r>
      <w:r w:rsidRPr="00787D6B">
        <w:rPr>
          <w:rFonts w:ascii="Garamond" w:hAnsi="Garamond"/>
          <w:sz w:val="28"/>
          <w:szCs w:val="28"/>
        </w:rPr>
        <w:t xml:space="preserve">, </w:t>
      </w:r>
      <w:hyperlink r:id="rId2" w:history="1">
        <w:r w:rsidRPr="00787D6B">
          <w:rPr>
            <w:rStyle w:val="Collegamentoipertestuale"/>
            <w:rFonts w:ascii="Garamond" w:hAnsi="Garamond"/>
            <w:sz w:val="28"/>
            <w:szCs w:val="28"/>
          </w:rPr>
          <w:t>www.questionegiustizia.it/speciale/articolo/l-esecuzione-delle-sentenze-nel-sistema-convenzionale-profili-teorici-e-pratici_79.php</w:t>
        </w:r>
      </w:hyperlink>
      <w:r w:rsidR="00130ADB" w:rsidRPr="00787D6B">
        <w:rPr>
          <w:rFonts w:ascii="Garamond" w:hAnsi="Garamond"/>
          <w:sz w:val="28"/>
          <w:szCs w:val="28"/>
        </w:rPr>
        <w:t xml:space="preserve">; M. Lipari, </w:t>
      </w:r>
      <w:r w:rsidRPr="00787D6B">
        <w:rPr>
          <w:rFonts w:ascii="Garamond" w:hAnsi="Garamond"/>
          <w:i/>
          <w:sz w:val="28"/>
          <w:szCs w:val="28"/>
        </w:rPr>
        <w:t xml:space="preserve">L'esecuzione delle decisioni della Corte europea dei diritti dell'uomo nella giurisdizione amministrativa tra margine di apprezzamento nazionale ed effettività del diritto di difesa: </w:t>
      </w:r>
      <w:proofErr w:type="spellStart"/>
      <w:r w:rsidRPr="00624CFA">
        <w:rPr>
          <w:rFonts w:ascii="Garamond" w:hAnsi="Garamond"/>
          <w:sz w:val="28"/>
          <w:szCs w:val="28"/>
        </w:rPr>
        <w:t>restitutio</w:t>
      </w:r>
      <w:proofErr w:type="spellEnd"/>
      <w:r w:rsidRPr="00624CFA">
        <w:rPr>
          <w:rFonts w:ascii="Garamond" w:hAnsi="Garamond"/>
          <w:sz w:val="28"/>
          <w:szCs w:val="28"/>
        </w:rPr>
        <w:t xml:space="preserve"> in </w:t>
      </w:r>
      <w:proofErr w:type="spellStart"/>
      <w:r w:rsidRPr="00624CFA">
        <w:rPr>
          <w:rFonts w:ascii="Garamond" w:hAnsi="Garamond"/>
          <w:sz w:val="28"/>
          <w:szCs w:val="28"/>
        </w:rPr>
        <w:t>integrum</w:t>
      </w:r>
      <w:proofErr w:type="spellEnd"/>
      <w:r w:rsidRPr="00787D6B">
        <w:rPr>
          <w:rFonts w:ascii="Garamond" w:hAnsi="Garamond"/>
          <w:i/>
          <w:sz w:val="28"/>
          <w:szCs w:val="28"/>
        </w:rPr>
        <w:t>, ottemperanza, revocazione e autotutela doverosa</w:t>
      </w:r>
      <w:r w:rsidRPr="00787D6B">
        <w:rPr>
          <w:rFonts w:ascii="Garamond" w:hAnsi="Garamond"/>
          <w:sz w:val="28"/>
          <w:szCs w:val="28"/>
        </w:rPr>
        <w:t>, in Il Processo, 2019, 2, pag. 265</w:t>
      </w:r>
    </w:p>
  </w:footnote>
  <w:footnote w:id="18">
    <w:p w14:paraId="692BDF46" w14:textId="77777777"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Esemplare è la sentenza </w:t>
      </w:r>
      <w:r w:rsidRPr="00787D6B">
        <w:rPr>
          <w:rFonts w:ascii="Garamond" w:hAnsi="Garamond"/>
          <w:i/>
          <w:sz w:val="28"/>
          <w:szCs w:val="28"/>
        </w:rPr>
        <w:t>Cordella e altri c. Italia</w:t>
      </w:r>
      <w:r w:rsidRPr="00787D6B">
        <w:rPr>
          <w:rFonts w:ascii="Garamond" w:hAnsi="Garamond"/>
          <w:sz w:val="28"/>
          <w:szCs w:val="28"/>
        </w:rPr>
        <w:t xml:space="preserve">, 24 gennaio 2019, riguardante l’ILVA di Taranto, di cui per maggiore chiarezza, si riporta la parte di interesse: </w:t>
      </w:r>
    </w:p>
    <w:p w14:paraId="53215DDD" w14:textId="77777777" w:rsidR="0037016C" w:rsidRPr="00787D6B" w:rsidRDefault="0037016C" w:rsidP="0037016C">
      <w:pPr>
        <w:pStyle w:val="Testonotaapidipagina"/>
        <w:jc w:val="both"/>
        <w:rPr>
          <w:rFonts w:ascii="Garamond" w:hAnsi="Garamond"/>
          <w:sz w:val="28"/>
          <w:szCs w:val="28"/>
        </w:rPr>
      </w:pPr>
      <w:r w:rsidRPr="00787D6B">
        <w:rPr>
          <w:rFonts w:ascii="Garamond" w:hAnsi="Garamond"/>
          <w:sz w:val="28"/>
          <w:szCs w:val="28"/>
        </w:rPr>
        <w:t>"177.  I ricorrenti del ricorso n. 54264/15 chiedono l’applicazione della procedura della sentenza pilota, tenuto conto del numero di persone potenzialmente colpite dalla situazione in causa. Essi chiedono in particolare che le autorità italiane adottino le misure legislative e amministrative necessarie al fine, da una parte, di cessare le attività che sono all’origine delle violazioni che essi deducono e, dall’altra, di eliminare le conseguenze derivanti da queste ultime. I ricorrenti chiedono in particolare che le autorità nazionali procedano alla sospensione immediata dell’attività più inquinante (ossia l’attività di sei settori dello stabilimento) e all’attuazione di un piano di decontaminazione della fabbrica e dell’area limitrofa.</w:t>
      </w:r>
    </w:p>
    <w:p w14:paraId="421AD488" w14:textId="77777777" w:rsidR="0037016C" w:rsidRPr="00787D6B" w:rsidRDefault="0037016C" w:rsidP="0037016C">
      <w:pPr>
        <w:pStyle w:val="Testonotaapidipagina"/>
        <w:jc w:val="both"/>
        <w:rPr>
          <w:rFonts w:ascii="Garamond" w:hAnsi="Garamond"/>
          <w:sz w:val="28"/>
          <w:szCs w:val="28"/>
        </w:rPr>
      </w:pPr>
      <w:r w:rsidRPr="00787D6B">
        <w:rPr>
          <w:rFonts w:ascii="Garamond" w:hAnsi="Garamond"/>
          <w:sz w:val="28"/>
          <w:szCs w:val="28"/>
        </w:rPr>
        <w:t>178.  Il Governo contesta questa domanda e sostiene di avere già adottato tutte le misure necessarie per far fronte alle ripercussioni ambientali dell’attività dello stabilimento Ilva. Afferma inoltre che la soluzione di tale questione ambientale implica una maggiore conoscenza del suo contesto e del territorio che può essere assicurata soltanto dallo Stato stesso.</w:t>
      </w:r>
    </w:p>
    <w:p w14:paraId="1A5838CE" w14:textId="77777777" w:rsidR="0037016C" w:rsidRPr="00787D6B" w:rsidRDefault="0037016C" w:rsidP="0037016C">
      <w:pPr>
        <w:pStyle w:val="Testonotaapidipagina"/>
        <w:jc w:val="both"/>
        <w:rPr>
          <w:rFonts w:ascii="Garamond" w:hAnsi="Garamond"/>
          <w:sz w:val="28"/>
          <w:szCs w:val="28"/>
        </w:rPr>
      </w:pPr>
      <w:r w:rsidRPr="00787D6B">
        <w:rPr>
          <w:rFonts w:ascii="Garamond" w:hAnsi="Garamond"/>
          <w:sz w:val="28"/>
          <w:szCs w:val="28"/>
        </w:rPr>
        <w:t>179.  La Corte rammenta che una sentenza che constata una violazione della Convenzione comporta per lo Stato convenuto l’obbligo giuridico non soltanto di versare agli interessati le somme riconosciute a titolo di equa soddisfazione, ma anche di scegliere, sotto il controllo del Comitato dei Ministri, le misure generali da adottare nel suo ordinamento giuridico interno per porre fine alla violazione constatata dalla Corte ed eliminarne per quanto possibile le conseguenze. È in primo luogo lo Stato in causa a dover scegliere, fatto salvo il controllo da parte del Comitato dei Ministri, i mezzi da utilizzare nel proprio ordinamento giuridico interno per adempiere ai propri obblighi previsti dall’articolo 46 della Convenzione. Tuttavia, per aiutare lo Stato convenuto ad adempiere ai propri obblighi previsti dall’articolo 46, la Corte può cercare di indicargli il tipo di misure generali che potrebbe adottare per porre fine alla situazione constatata (</w:t>
      </w:r>
      <w:proofErr w:type="spellStart"/>
      <w:r w:rsidRPr="00787D6B">
        <w:rPr>
          <w:rFonts w:ascii="Garamond" w:hAnsi="Garamond"/>
          <w:i/>
          <w:sz w:val="28"/>
          <w:szCs w:val="28"/>
        </w:rPr>
        <w:t>Broniowski</w:t>
      </w:r>
      <w:proofErr w:type="spellEnd"/>
      <w:r w:rsidRPr="00787D6B">
        <w:rPr>
          <w:rFonts w:ascii="Garamond" w:hAnsi="Garamond"/>
          <w:i/>
          <w:sz w:val="28"/>
          <w:szCs w:val="28"/>
        </w:rPr>
        <w:t xml:space="preserve"> c. Polonia</w:t>
      </w:r>
      <w:r w:rsidRPr="00787D6B">
        <w:rPr>
          <w:rFonts w:ascii="Garamond" w:hAnsi="Garamond"/>
          <w:sz w:val="28"/>
          <w:szCs w:val="28"/>
        </w:rPr>
        <w:t xml:space="preserve"> [GC], n. 31443/96, § 194, CEDU 2004 V; </w:t>
      </w:r>
      <w:r w:rsidRPr="00787D6B">
        <w:rPr>
          <w:rFonts w:ascii="Garamond" w:hAnsi="Garamond"/>
          <w:i/>
          <w:sz w:val="28"/>
          <w:szCs w:val="28"/>
        </w:rPr>
        <w:t>Scoppola c. Italia</w:t>
      </w:r>
      <w:r w:rsidRPr="00787D6B">
        <w:rPr>
          <w:rFonts w:ascii="Garamond" w:hAnsi="Garamond"/>
          <w:sz w:val="28"/>
          <w:szCs w:val="28"/>
        </w:rPr>
        <w:t xml:space="preserve"> (n. 2) [GC], n. 10249/03, § 148, 17 settembre 2009 e </w:t>
      </w:r>
      <w:proofErr w:type="spellStart"/>
      <w:r w:rsidRPr="00787D6B">
        <w:rPr>
          <w:rFonts w:ascii="Garamond" w:hAnsi="Garamond"/>
          <w:i/>
          <w:sz w:val="28"/>
          <w:szCs w:val="28"/>
        </w:rPr>
        <w:t>Volokitin</w:t>
      </w:r>
      <w:proofErr w:type="spellEnd"/>
      <w:r w:rsidRPr="00787D6B">
        <w:rPr>
          <w:rFonts w:ascii="Garamond" w:hAnsi="Garamond"/>
          <w:i/>
          <w:sz w:val="28"/>
          <w:szCs w:val="28"/>
        </w:rPr>
        <w:t xml:space="preserve"> e altri c. Russia</w:t>
      </w:r>
      <w:r w:rsidRPr="00787D6B">
        <w:rPr>
          <w:rFonts w:ascii="Garamond" w:hAnsi="Garamond"/>
          <w:sz w:val="28"/>
          <w:szCs w:val="28"/>
        </w:rPr>
        <w:t xml:space="preserve">, </w:t>
      </w:r>
      <w:proofErr w:type="spellStart"/>
      <w:r w:rsidRPr="00787D6B">
        <w:rPr>
          <w:rFonts w:ascii="Garamond" w:hAnsi="Garamond"/>
          <w:sz w:val="28"/>
          <w:szCs w:val="28"/>
        </w:rPr>
        <w:t>nn</w:t>
      </w:r>
      <w:proofErr w:type="spellEnd"/>
      <w:r w:rsidRPr="00787D6B">
        <w:rPr>
          <w:rFonts w:ascii="Garamond" w:hAnsi="Garamond"/>
          <w:sz w:val="28"/>
          <w:szCs w:val="28"/>
        </w:rPr>
        <w:t>. 74087/10 e altri 13, § 46, 3 luglio 2018).</w:t>
      </w:r>
    </w:p>
    <w:p w14:paraId="4587F0AE" w14:textId="77777777" w:rsidR="0037016C" w:rsidRPr="00787D6B" w:rsidRDefault="0037016C" w:rsidP="0037016C">
      <w:pPr>
        <w:pStyle w:val="Testonotaapidipagina"/>
        <w:jc w:val="both"/>
        <w:rPr>
          <w:rFonts w:ascii="Garamond" w:hAnsi="Garamond"/>
          <w:sz w:val="28"/>
          <w:szCs w:val="28"/>
        </w:rPr>
      </w:pPr>
      <w:r w:rsidRPr="00787D6B">
        <w:rPr>
          <w:rFonts w:ascii="Garamond" w:hAnsi="Garamond"/>
          <w:sz w:val="28"/>
          <w:szCs w:val="28"/>
        </w:rPr>
        <w:t xml:space="preserve">180.  Ora, alla luce di questi principi, tenuto conto di tutte le circostanze della causa e in particolare della complessità tecnica delle misure necessarie al risanamento della zona interessata, che rientra nella competenza delle autorità interne, la Corte ritiene che non sia necessario applicare la procedura della sentenza pilota (si veda, </w:t>
      </w:r>
      <w:proofErr w:type="spellStart"/>
      <w:r w:rsidRPr="00787D6B">
        <w:rPr>
          <w:rFonts w:ascii="Garamond" w:hAnsi="Garamond"/>
          <w:i/>
          <w:sz w:val="28"/>
          <w:szCs w:val="28"/>
        </w:rPr>
        <w:t>mutatis</w:t>
      </w:r>
      <w:proofErr w:type="spellEnd"/>
      <w:r w:rsidRPr="00787D6B">
        <w:rPr>
          <w:rFonts w:ascii="Garamond" w:hAnsi="Garamond"/>
          <w:i/>
          <w:sz w:val="28"/>
          <w:szCs w:val="28"/>
        </w:rPr>
        <w:t xml:space="preserve"> </w:t>
      </w:r>
      <w:proofErr w:type="spellStart"/>
      <w:r w:rsidRPr="00787D6B">
        <w:rPr>
          <w:rFonts w:ascii="Garamond" w:hAnsi="Garamond"/>
          <w:i/>
          <w:sz w:val="28"/>
          <w:szCs w:val="28"/>
        </w:rPr>
        <w:t>mutandis</w:t>
      </w:r>
      <w:proofErr w:type="spellEnd"/>
      <w:r w:rsidRPr="00787D6B">
        <w:rPr>
          <w:rFonts w:ascii="Garamond" w:hAnsi="Garamond"/>
          <w:sz w:val="28"/>
          <w:szCs w:val="28"/>
        </w:rPr>
        <w:t xml:space="preserve">, </w:t>
      </w:r>
      <w:proofErr w:type="spellStart"/>
      <w:r w:rsidRPr="00787D6B">
        <w:rPr>
          <w:rFonts w:ascii="Garamond" w:hAnsi="Garamond"/>
          <w:i/>
          <w:sz w:val="28"/>
          <w:szCs w:val="28"/>
        </w:rPr>
        <w:t>Lakatos</w:t>
      </w:r>
      <w:proofErr w:type="spellEnd"/>
      <w:r w:rsidRPr="00787D6B">
        <w:rPr>
          <w:rFonts w:ascii="Garamond" w:hAnsi="Garamond"/>
          <w:i/>
          <w:sz w:val="28"/>
          <w:szCs w:val="28"/>
        </w:rPr>
        <w:t xml:space="preserve"> c. Ungheria</w:t>
      </w:r>
      <w:r w:rsidRPr="00787D6B">
        <w:rPr>
          <w:rFonts w:ascii="Garamond" w:hAnsi="Garamond"/>
          <w:sz w:val="28"/>
          <w:szCs w:val="28"/>
        </w:rPr>
        <w:t>, n. 21786/15, §§ 89-91, 26 giugno 2018).</w:t>
      </w:r>
    </w:p>
    <w:p w14:paraId="0B2925BF" w14:textId="77777777" w:rsidR="0037016C" w:rsidRPr="00787D6B" w:rsidRDefault="0037016C" w:rsidP="0037016C">
      <w:pPr>
        <w:pStyle w:val="Testonotaapidipagina"/>
        <w:jc w:val="both"/>
        <w:rPr>
          <w:rFonts w:ascii="Garamond" w:hAnsi="Garamond"/>
          <w:sz w:val="28"/>
          <w:szCs w:val="28"/>
        </w:rPr>
      </w:pPr>
      <w:r w:rsidRPr="00787D6B">
        <w:rPr>
          <w:rFonts w:ascii="Garamond" w:hAnsi="Garamond"/>
          <w:sz w:val="28"/>
          <w:szCs w:val="28"/>
        </w:rPr>
        <w:t>181.  In effetti, non spetta alla Corte rivolgere al Governo delle raccomandazioni dettagliate e a contenuto prescrittivo, come quelle indicate dai ricorrenti. Spetta al Comitato dei Ministri, che agisce ai sensi dell’articolo 46 della Convenzione, indicare al governo convenuto le misure che, in termini pratici, devono essere adottate da quest’ultimo per assicurare l’esecuzione di questa sentenza.</w:t>
      </w:r>
    </w:p>
    <w:p w14:paraId="4499BE65" w14:textId="77777777" w:rsidR="0037016C" w:rsidRPr="00787D6B" w:rsidRDefault="0037016C" w:rsidP="0037016C">
      <w:pPr>
        <w:pStyle w:val="Testonotaapidipagina"/>
        <w:jc w:val="both"/>
        <w:rPr>
          <w:rFonts w:ascii="Garamond" w:hAnsi="Garamond"/>
          <w:sz w:val="28"/>
          <w:szCs w:val="28"/>
        </w:rPr>
      </w:pPr>
      <w:r w:rsidRPr="00787D6B">
        <w:rPr>
          <w:rFonts w:ascii="Garamond" w:hAnsi="Garamond"/>
          <w:sz w:val="28"/>
          <w:szCs w:val="28"/>
        </w:rPr>
        <w:t xml:space="preserve">182.  In questo contesto, è opportuno in ogni caso sottolineare che i lavori di risanamento della fabbrica e del territorio colpito dall’inquinamento ambientale sono di primaria importanza e urgenti (si veda, </w:t>
      </w:r>
      <w:proofErr w:type="spellStart"/>
      <w:r w:rsidRPr="00787D6B">
        <w:rPr>
          <w:rFonts w:ascii="Garamond" w:hAnsi="Garamond"/>
          <w:i/>
          <w:sz w:val="28"/>
          <w:szCs w:val="28"/>
        </w:rPr>
        <w:t>mutatis</w:t>
      </w:r>
      <w:proofErr w:type="spellEnd"/>
      <w:r w:rsidRPr="00787D6B">
        <w:rPr>
          <w:rFonts w:ascii="Garamond" w:hAnsi="Garamond"/>
          <w:i/>
          <w:sz w:val="28"/>
          <w:szCs w:val="28"/>
        </w:rPr>
        <w:t xml:space="preserve"> </w:t>
      </w:r>
      <w:proofErr w:type="spellStart"/>
      <w:r w:rsidRPr="00787D6B">
        <w:rPr>
          <w:rFonts w:ascii="Garamond" w:hAnsi="Garamond"/>
          <w:i/>
          <w:sz w:val="28"/>
          <w:szCs w:val="28"/>
        </w:rPr>
        <w:t>mutandis</w:t>
      </w:r>
      <w:proofErr w:type="spellEnd"/>
      <w:r w:rsidRPr="00787D6B">
        <w:rPr>
          <w:rFonts w:ascii="Garamond" w:hAnsi="Garamond"/>
          <w:sz w:val="28"/>
          <w:szCs w:val="28"/>
        </w:rPr>
        <w:t xml:space="preserve">, </w:t>
      </w:r>
      <w:proofErr w:type="spellStart"/>
      <w:r w:rsidRPr="00787D6B">
        <w:rPr>
          <w:rFonts w:ascii="Garamond" w:hAnsi="Garamond"/>
          <w:i/>
          <w:sz w:val="28"/>
          <w:szCs w:val="28"/>
        </w:rPr>
        <w:t>Torreggiani</w:t>
      </w:r>
      <w:proofErr w:type="spellEnd"/>
      <w:r w:rsidRPr="00787D6B">
        <w:rPr>
          <w:rFonts w:ascii="Garamond" w:hAnsi="Garamond"/>
          <w:i/>
          <w:sz w:val="28"/>
          <w:szCs w:val="28"/>
        </w:rPr>
        <w:t xml:space="preserve"> e altri c. Italia</w:t>
      </w:r>
      <w:r w:rsidRPr="00787D6B">
        <w:rPr>
          <w:rFonts w:ascii="Garamond" w:hAnsi="Garamond"/>
          <w:sz w:val="28"/>
          <w:szCs w:val="28"/>
        </w:rPr>
        <w:t xml:space="preserve">, </w:t>
      </w:r>
      <w:proofErr w:type="spellStart"/>
      <w:r w:rsidRPr="00787D6B">
        <w:rPr>
          <w:rFonts w:ascii="Garamond" w:hAnsi="Garamond"/>
          <w:sz w:val="28"/>
          <w:szCs w:val="28"/>
        </w:rPr>
        <w:t>nn</w:t>
      </w:r>
      <w:proofErr w:type="spellEnd"/>
      <w:r w:rsidRPr="00787D6B">
        <w:rPr>
          <w:rFonts w:ascii="Garamond" w:hAnsi="Garamond"/>
          <w:sz w:val="28"/>
          <w:szCs w:val="28"/>
        </w:rPr>
        <w:t>. 43517/09 e altri 6, § 99, 8 gennaio 2013). Perciò, il piano ambientale approvato dalle autorità nazionali e recante l’indicazione delle misure e delle azioni necessarie ad assicurare la protezione ambientale e sanitaria della popolazione, dovrà essere messo in esecuzione nel più breve tempo possibile”.</w:t>
      </w:r>
    </w:p>
  </w:footnote>
  <w:footnote w:id="19">
    <w:p w14:paraId="5929F066" w14:textId="6AE40A7D"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A partire dalla sentenza della Cassazione, </w:t>
      </w:r>
      <w:r w:rsidR="009E7413" w:rsidRPr="00787D6B">
        <w:rPr>
          <w:rFonts w:ascii="Garamond" w:hAnsi="Garamond"/>
          <w:sz w:val="28"/>
          <w:szCs w:val="28"/>
        </w:rPr>
        <w:t xml:space="preserve">sezioni </w:t>
      </w:r>
      <w:r w:rsidRPr="00787D6B">
        <w:rPr>
          <w:rFonts w:ascii="Garamond" w:hAnsi="Garamond"/>
          <w:sz w:val="28"/>
          <w:szCs w:val="28"/>
        </w:rPr>
        <w:t>unite civili, 6 ottobre 1979, n. 5172.</w:t>
      </w:r>
    </w:p>
  </w:footnote>
  <w:footnote w:id="20">
    <w:p w14:paraId="38F84C60" w14:textId="77777777"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La disciplina del codice dell'ambiente si è nel tempo completamente adeguata (in particolare attraverso le modifiche apportate dalla legge 6 agosto 2013, n. 97) alla direttiva 2004/35/CE, che ha sancito il principio (semplicisticamente denominato) "chi inquina paga".</w:t>
      </w:r>
    </w:p>
  </w:footnote>
  <w:footnote w:id="21">
    <w:p w14:paraId="2896D81E" w14:textId="75DC5110" w:rsidR="0037016C" w:rsidRPr="00787D6B" w:rsidRDefault="0037016C" w:rsidP="0037016C">
      <w:pPr>
        <w:pStyle w:val="Testonotaapidipagina"/>
        <w:jc w:val="both"/>
        <w:rPr>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C. Miccichè, </w:t>
      </w:r>
      <w:r w:rsidRPr="00787D6B">
        <w:rPr>
          <w:rFonts w:ascii="Garamond" w:hAnsi="Garamond"/>
          <w:i/>
          <w:sz w:val="28"/>
          <w:szCs w:val="28"/>
        </w:rPr>
        <w:t xml:space="preserve">L’ambiente come bene a utilità collettiva e la gestione delle lesioni ambientali, </w:t>
      </w:r>
      <w:r w:rsidR="00B22DFB">
        <w:rPr>
          <w:rFonts w:ascii="Garamond" w:hAnsi="Garamond"/>
          <w:i/>
          <w:sz w:val="28"/>
          <w:szCs w:val="28"/>
        </w:rPr>
        <w:t xml:space="preserve">in </w:t>
      </w:r>
      <w:r w:rsidRPr="000F2A1F">
        <w:rPr>
          <w:rFonts w:ascii="Garamond" w:hAnsi="Garamond"/>
          <w:sz w:val="28"/>
          <w:szCs w:val="28"/>
        </w:rPr>
        <w:t>Il diritto dell’economia</w:t>
      </w:r>
      <w:r w:rsidRPr="00787D6B">
        <w:rPr>
          <w:rFonts w:ascii="Garamond" w:hAnsi="Garamond"/>
          <w:sz w:val="28"/>
          <w:szCs w:val="28"/>
        </w:rPr>
        <w:t xml:space="preserve">, 2018, </w:t>
      </w:r>
      <w:r w:rsidR="009E7413" w:rsidRPr="00787D6B">
        <w:rPr>
          <w:rFonts w:ascii="Garamond" w:hAnsi="Garamond"/>
          <w:sz w:val="28"/>
          <w:szCs w:val="28"/>
        </w:rPr>
        <w:t xml:space="preserve">1, </w:t>
      </w:r>
      <w:r w:rsidRPr="00787D6B">
        <w:rPr>
          <w:rFonts w:ascii="Garamond" w:hAnsi="Garamond"/>
          <w:sz w:val="28"/>
          <w:szCs w:val="28"/>
        </w:rPr>
        <w:t>pag. 1, specie pag. 36.</w:t>
      </w:r>
    </w:p>
  </w:footnote>
  <w:footnote w:id="22">
    <w:p w14:paraId="3DEDB730" w14:textId="44F5380E" w:rsidR="0037016C" w:rsidRPr="00787D6B" w:rsidRDefault="0037016C" w:rsidP="0037016C">
      <w:pPr>
        <w:pStyle w:val="Testonotaapidipagina"/>
        <w:jc w:val="both"/>
        <w:rPr>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M. Cecchetti</w:t>
      </w:r>
      <w:r w:rsidRPr="00787D6B">
        <w:rPr>
          <w:rFonts w:ascii="Garamond" w:hAnsi="Garamond"/>
          <w:i/>
          <w:sz w:val="28"/>
          <w:szCs w:val="28"/>
        </w:rPr>
        <w:t>, Virtù e limiti della modifica degli articoli 9 e 41 della Costituzione</w:t>
      </w:r>
      <w:r w:rsidRPr="00787D6B">
        <w:rPr>
          <w:rFonts w:ascii="Garamond" w:hAnsi="Garamond"/>
          <w:sz w:val="28"/>
          <w:szCs w:val="28"/>
        </w:rPr>
        <w:t xml:space="preserve">, in Corti supreme e salute 2022, 1, pag. 127, spec. pag. 137; nello stesso senso: F. Fracchia, </w:t>
      </w:r>
      <w:r w:rsidRPr="00787D6B">
        <w:rPr>
          <w:rFonts w:ascii="Garamond" w:hAnsi="Garamond"/>
          <w:i/>
          <w:sz w:val="28"/>
          <w:szCs w:val="28"/>
        </w:rPr>
        <w:t>L’ambiente nell’art. 9 della Costituzione: un approccio in “negativo”</w:t>
      </w:r>
      <w:r w:rsidRPr="00787D6B">
        <w:rPr>
          <w:rFonts w:ascii="Garamond" w:hAnsi="Garamond"/>
          <w:sz w:val="28"/>
          <w:szCs w:val="28"/>
        </w:rPr>
        <w:t xml:space="preserve">, in Il diritto dell’economia, 2022, </w:t>
      </w:r>
      <w:r w:rsidR="00174FD7" w:rsidRPr="00787D6B">
        <w:rPr>
          <w:rFonts w:ascii="Garamond" w:hAnsi="Garamond"/>
          <w:sz w:val="28"/>
          <w:szCs w:val="28"/>
        </w:rPr>
        <w:t xml:space="preserve">1, </w:t>
      </w:r>
      <w:r w:rsidRPr="00787D6B">
        <w:rPr>
          <w:rFonts w:ascii="Garamond" w:hAnsi="Garamond"/>
          <w:sz w:val="28"/>
          <w:szCs w:val="28"/>
        </w:rPr>
        <w:t xml:space="preserve">pag. 15, spec. pag. 21; R. Montaldo, </w:t>
      </w:r>
      <w:r w:rsidRPr="00787D6B">
        <w:rPr>
          <w:rFonts w:ascii="Garamond" w:hAnsi="Garamond"/>
          <w:i/>
          <w:sz w:val="28"/>
          <w:szCs w:val="28"/>
        </w:rPr>
        <w:t xml:space="preserve">La tutela costituzionale dell’ambiente nella modifica degli artt. 9 e 41 </w:t>
      </w:r>
      <w:proofErr w:type="spellStart"/>
      <w:r w:rsidRPr="00787D6B">
        <w:rPr>
          <w:rFonts w:ascii="Garamond" w:hAnsi="Garamond"/>
          <w:i/>
          <w:sz w:val="28"/>
          <w:szCs w:val="28"/>
        </w:rPr>
        <w:t>Cost</w:t>
      </w:r>
      <w:proofErr w:type="spellEnd"/>
      <w:r w:rsidRPr="00787D6B">
        <w:rPr>
          <w:rFonts w:ascii="Garamond" w:hAnsi="Garamond"/>
          <w:i/>
          <w:sz w:val="28"/>
          <w:szCs w:val="28"/>
        </w:rPr>
        <w:t>.: una riforma opportuna e necessaria?</w:t>
      </w:r>
      <w:r w:rsidRPr="00787D6B">
        <w:rPr>
          <w:rFonts w:ascii="Garamond" w:hAnsi="Garamond"/>
          <w:sz w:val="28"/>
          <w:szCs w:val="28"/>
        </w:rPr>
        <w:t xml:space="preserve">, in Forum di Quaderni Costituzionali, 2021, </w:t>
      </w:r>
      <w:r w:rsidR="00174FD7" w:rsidRPr="00787D6B">
        <w:rPr>
          <w:rFonts w:ascii="Garamond" w:hAnsi="Garamond"/>
          <w:sz w:val="28"/>
          <w:szCs w:val="28"/>
        </w:rPr>
        <w:t xml:space="preserve">2, </w:t>
      </w:r>
      <w:proofErr w:type="spellStart"/>
      <w:r w:rsidRPr="00787D6B">
        <w:rPr>
          <w:rFonts w:ascii="Garamond" w:hAnsi="Garamond"/>
          <w:sz w:val="28"/>
          <w:szCs w:val="28"/>
        </w:rPr>
        <w:t>pagg</w:t>
      </w:r>
      <w:proofErr w:type="spellEnd"/>
      <w:r w:rsidRPr="00787D6B">
        <w:rPr>
          <w:rFonts w:ascii="Garamond" w:hAnsi="Garamond"/>
          <w:sz w:val="28"/>
          <w:szCs w:val="28"/>
        </w:rPr>
        <w:t>. 445-446.</w:t>
      </w:r>
    </w:p>
  </w:footnote>
  <w:footnote w:id="23">
    <w:p w14:paraId="6399806E" w14:textId="77777777"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Sugli elementi rilevatori della gravità della violazione (quali il grado di chiarezza e di precisione della norma violata, l’ampiezza del potere discrezionale che tale norma riserva alle autorità, il carattere intenzionale o involontario dell’infrazione commessa o del danno causato, la scusabilità o inescusabilità di un eventuale errore di diritto e la circostanza che i comportamenti adottati da un’istituzione dell'Unione abbiano potuto concorrere all’omissione, all’adozione o al mantenimento in vigore di provvedimenti o di prassi nazionali contrari al diritto dell'Unione) G. Tesauro (a cura di P. De Pasquale e F. Ferraro), </w:t>
      </w:r>
      <w:r w:rsidRPr="00787D6B">
        <w:rPr>
          <w:rFonts w:ascii="Garamond" w:hAnsi="Garamond"/>
          <w:i/>
          <w:sz w:val="28"/>
          <w:szCs w:val="28"/>
        </w:rPr>
        <w:t>Manuale di diritto dell'Unione europea</w:t>
      </w:r>
      <w:r w:rsidRPr="00787D6B">
        <w:rPr>
          <w:rFonts w:ascii="Garamond" w:hAnsi="Garamond"/>
          <w:sz w:val="28"/>
          <w:szCs w:val="28"/>
        </w:rPr>
        <w:t>, volume I, Editoriale scientifica, 2021, pag. 274 ss.</w:t>
      </w:r>
    </w:p>
  </w:footnote>
  <w:footnote w:id="24">
    <w:p w14:paraId="12E0ED8E" w14:textId="66FABF7C"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Sentenza del 24 ottobre 2019, </w:t>
      </w:r>
      <w:r w:rsidRPr="00787D6B">
        <w:rPr>
          <w:rFonts w:ascii="Garamond" w:hAnsi="Garamond"/>
          <w:i/>
          <w:sz w:val="28"/>
          <w:szCs w:val="28"/>
        </w:rPr>
        <w:t>Commissione/Francia</w:t>
      </w:r>
      <w:r w:rsidRPr="00787D6B">
        <w:rPr>
          <w:rFonts w:ascii="Garamond" w:hAnsi="Garamond"/>
          <w:sz w:val="28"/>
          <w:szCs w:val="28"/>
        </w:rPr>
        <w:t xml:space="preserve"> (Superamento dei valori limite per il biossido di azoto), C-36/18, EU:C:2019:900</w:t>
      </w:r>
      <w:r w:rsidR="00940264" w:rsidRPr="00787D6B">
        <w:rPr>
          <w:rFonts w:ascii="Garamond" w:hAnsi="Garamond"/>
          <w:sz w:val="28"/>
          <w:szCs w:val="28"/>
        </w:rPr>
        <w:t>,</w:t>
      </w:r>
      <w:r w:rsidRPr="00787D6B">
        <w:rPr>
          <w:rFonts w:ascii="Garamond" w:hAnsi="Garamond"/>
          <w:sz w:val="28"/>
          <w:szCs w:val="28"/>
        </w:rPr>
        <w:t xml:space="preserve"> e del 28 aprile 2022, </w:t>
      </w:r>
      <w:r w:rsidRPr="00787D6B">
        <w:rPr>
          <w:rFonts w:ascii="Garamond" w:hAnsi="Garamond"/>
          <w:i/>
          <w:sz w:val="28"/>
          <w:szCs w:val="28"/>
        </w:rPr>
        <w:t>Commissione/Francia</w:t>
      </w:r>
      <w:r w:rsidRPr="00787D6B">
        <w:rPr>
          <w:rFonts w:ascii="Garamond" w:hAnsi="Garamond"/>
          <w:sz w:val="28"/>
          <w:szCs w:val="28"/>
        </w:rPr>
        <w:t xml:space="preserve"> (Valori limite - PM10), C-286/21, EU:C:2022:319. Numerosi precedenti europei riconoscono infatti che la violazione sia qualificata quando essa si sia protratta nonostante la pronuncia di una sentenza dichiarativa dell’inadempimento, di una sentenza pregiudiziale, o malgrado l’esistenza di una giurisprudenza consolidata della Corte in materia, dalle quali risulti il carattere illegittimo del comportamento in questione (sentenze del 5 marzo 1996, </w:t>
      </w:r>
      <w:r w:rsidRPr="00787D6B">
        <w:rPr>
          <w:rFonts w:ascii="Garamond" w:hAnsi="Garamond"/>
          <w:i/>
          <w:sz w:val="28"/>
          <w:szCs w:val="28"/>
        </w:rPr>
        <w:t xml:space="preserve">Brasserie </w:t>
      </w:r>
      <w:proofErr w:type="spellStart"/>
      <w:r w:rsidRPr="00787D6B">
        <w:rPr>
          <w:rFonts w:ascii="Garamond" w:hAnsi="Garamond"/>
          <w:i/>
          <w:sz w:val="28"/>
          <w:szCs w:val="28"/>
        </w:rPr>
        <w:t>du</w:t>
      </w:r>
      <w:proofErr w:type="spellEnd"/>
      <w:r w:rsidRPr="00787D6B">
        <w:rPr>
          <w:rFonts w:ascii="Garamond" w:hAnsi="Garamond"/>
          <w:i/>
          <w:sz w:val="28"/>
          <w:szCs w:val="28"/>
        </w:rPr>
        <w:t xml:space="preserve"> </w:t>
      </w:r>
      <w:proofErr w:type="spellStart"/>
      <w:r w:rsidRPr="00787D6B">
        <w:rPr>
          <w:rFonts w:ascii="Garamond" w:hAnsi="Garamond"/>
          <w:i/>
          <w:sz w:val="28"/>
          <w:szCs w:val="28"/>
        </w:rPr>
        <w:t>pêcheur</w:t>
      </w:r>
      <w:proofErr w:type="spellEnd"/>
      <w:r w:rsidRPr="00787D6B">
        <w:rPr>
          <w:rFonts w:ascii="Garamond" w:hAnsi="Garamond"/>
          <w:i/>
          <w:sz w:val="28"/>
          <w:szCs w:val="28"/>
        </w:rPr>
        <w:t xml:space="preserve"> e </w:t>
      </w:r>
      <w:proofErr w:type="spellStart"/>
      <w:r w:rsidRPr="00787D6B">
        <w:rPr>
          <w:rFonts w:ascii="Garamond" w:hAnsi="Garamond"/>
          <w:i/>
          <w:sz w:val="28"/>
          <w:szCs w:val="28"/>
        </w:rPr>
        <w:t>Factortame</w:t>
      </w:r>
      <w:proofErr w:type="spellEnd"/>
      <w:r w:rsidRPr="00787D6B">
        <w:rPr>
          <w:rFonts w:ascii="Garamond" w:hAnsi="Garamond"/>
          <w:sz w:val="28"/>
          <w:szCs w:val="28"/>
        </w:rPr>
        <w:t>, C</w:t>
      </w:r>
      <w:r w:rsidRPr="00787D6B">
        <w:rPr>
          <w:rFonts w:ascii="Times New Roman" w:hAnsi="Times New Roman" w:cs="Times New Roman"/>
          <w:sz w:val="28"/>
          <w:szCs w:val="28"/>
        </w:rPr>
        <w:noBreakHyphen/>
      </w:r>
      <w:r w:rsidRPr="00787D6B">
        <w:rPr>
          <w:rFonts w:ascii="Garamond" w:hAnsi="Garamond"/>
          <w:sz w:val="28"/>
          <w:szCs w:val="28"/>
        </w:rPr>
        <w:t>46/93 e C</w:t>
      </w:r>
      <w:r w:rsidRPr="00787D6B">
        <w:rPr>
          <w:rFonts w:ascii="Times New Roman" w:hAnsi="Times New Roman" w:cs="Times New Roman"/>
          <w:sz w:val="28"/>
          <w:szCs w:val="28"/>
        </w:rPr>
        <w:noBreakHyphen/>
      </w:r>
      <w:r w:rsidRPr="00787D6B">
        <w:rPr>
          <w:rFonts w:ascii="Garamond" w:hAnsi="Garamond"/>
          <w:sz w:val="28"/>
          <w:szCs w:val="28"/>
        </w:rPr>
        <w:t xml:space="preserve">48/93, EU:C:1996:79, punto 57, del 30 maggio 2017, </w:t>
      </w:r>
      <w:proofErr w:type="spellStart"/>
      <w:r w:rsidRPr="00787D6B">
        <w:rPr>
          <w:rFonts w:ascii="Garamond" w:hAnsi="Garamond"/>
          <w:i/>
          <w:sz w:val="28"/>
          <w:szCs w:val="28"/>
        </w:rPr>
        <w:t>Safa</w:t>
      </w:r>
      <w:proofErr w:type="spellEnd"/>
      <w:r w:rsidRPr="00787D6B">
        <w:rPr>
          <w:rFonts w:ascii="Garamond" w:hAnsi="Garamond"/>
          <w:i/>
          <w:sz w:val="28"/>
          <w:szCs w:val="28"/>
        </w:rPr>
        <w:t xml:space="preserve"> </w:t>
      </w:r>
      <w:proofErr w:type="spellStart"/>
      <w:r w:rsidRPr="00787D6B">
        <w:rPr>
          <w:rFonts w:ascii="Garamond" w:hAnsi="Garamond"/>
          <w:i/>
          <w:sz w:val="28"/>
          <w:szCs w:val="28"/>
        </w:rPr>
        <w:t>Nicu</w:t>
      </w:r>
      <w:proofErr w:type="spellEnd"/>
      <w:r w:rsidRPr="00787D6B">
        <w:rPr>
          <w:rFonts w:ascii="Garamond" w:hAnsi="Garamond"/>
          <w:i/>
          <w:sz w:val="28"/>
          <w:szCs w:val="28"/>
        </w:rPr>
        <w:t xml:space="preserve"> </w:t>
      </w:r>
      <w:proofErr w:type="spellStart"/>
      <w:r w:rsidRPr="00787D6B">
        <w:rPr>
          <w:rFonts w:ascii="Garamond" w:hAnsi="Garamond"/>
          <w:i/>
          <w:sz w:val="28"/>
          <w:szCs w:val="28"/>
        </w:rPr>
        <w:t>Sepahan</w:t>
      </w:r>
      <w:proofErr w:type="spellEnd"/>
      <w:r w:rsidRPr="00787D6B">
        <w:rPr>
          <w:rFonts w:ascii="Garamond" w:hAnsi="Garamond"/>
          <w:i/>
          <w:sz w:val="28"/>
          <w:szCs w:val="28"/>
        </w:rPr>
        <w:t>/Consiglio</w:t>
      </w:r>
      <w:r w:rsidRPr="00787D6B">
        <w:rPr>
          <w:rFonts w:ascii="Garamond" w:hAnsi="Garamond"/>
          <w:sz w:val="28"/>
          <w:szCs w:val="28"/>
        </w:rPr>
        <w:t>, C</w:t>
      </w:r>
      <w:r w:rsidRPr="00787D6B">
        <w:rPr>
          <w:rFonts w:ascii="Times New Roman" w:hAnsi="Times New Roman" w:cs="Times New Roman"/>
          <w:sz w:val="28"/>
          <w:szCs w:val="28"/>
        </w:rPr>
        <w:noBreakHyphen/>
      </w:r>
      <w:r w:rsidRPr="00787D6B">
        <w:rPr>
          <w:rFonts w:ascii="Garamond" w:hAnsi="Garamond"/>
          <w:sz w:val="28"/>
          <w:szCs w:val="28"/>
        </w:rPr>
        <w:t>45/15, EU:C:2017:402, punto 31</w:t>
      </w:r>
      <w:r w:rsidR="00446368" w:rsidRPr="00787D6B">
        <w:rPr>
          <w:rFonts w:ascii="Garamond" w:hAnsi="Garamond"/>
          <w:sz w:val="28"/>
          <w:szCs w:val="28"/>
        </w:rPr>
        <w:t>,</w:t>
      </w:r>
      <w:r w:rsidRPr="00787D6B">
        <w:rPr>
          <w:rFonts w:ascii="Garamond" w:hAnsi="Garamond"/>
          <w:sz w:val="28"/>
          <w:szCs w:val="28"/>
        </w:rPr>
        <w:t xml:space="preserve"> e del 18 gennaio 2022, </w:t>
      </w:r>
      <w:proofErr w:type="spellStart"/>
      <w:r w:rsidRPr="00787D6B">
        <w:rPr>
          <w:rFonts w:ascii="Garamond" w:hAnsi="Garamond"/>
          <w:i/>
          <w:sz w:val="28"/>
          <w:szCs w:val="28"/>
        </w:rPr>
        <w:t>Thelen</w:t>
      </w:r>
      <w:proofErr w:type="spellEnd"/>
      <w:r w:rsidRPr="00787D6B">
        <w:rPr>
          <w:rFonts w:ascii="Garamond" w:hAnsi="Garamond"/>
          <w:i/>
          <w:sz w:val="28"/>
          <w:szCs w:val="28"/>
        </w:rPr>
        <w:t xml:space="preserve"> </w:t>
      </w:r>
      <w:proofErr w:type="spellStart"/>
      <w:r w:rsidRPr="00787D6B">
        <w:rPr>
          <w:rFonts w:ascii="Garamond" w:hAnsi="Garamond"/>
          <w:i/>
          <w:sz w:val="28"/>
          <w:szCs w:val="28"/>
        </w:rPr>
        <w:t>Technopark</w:t>
      </w:r>
      <w:proofErr w:type="spellEnd"/>
      <w:r w:rsidRPr="00787D6B">
        <w:rPr>
          <w:rFonts w:ascii="Garamond" w:hAnsi="Garamond"/>
          <w:i/>
          <w:sz w:val="28"/>
          <w:szCs w:val="28"/>
        </w:rPr>
        <w:t xml:space="preserve"> </w:t>
      </w:r>
      <w:proofErr w:type="spellStart"/>
      <w:r w:rsidRPr="00787D6B">
        <w:rPr>
          <w:rFonts w:ascii="Garamond" w:hAnsi="Garamond"/>
          <w:i/>
          <w:sz w:val="28"/>
          <w:szCs w:val="28"/>
        </w:rPr>
        <w:t>Berlin</w:t>
      </w:r>
      <w:proofErr w:type="spellEnd"/>
      <w:r w:rsidRPr="00787D6B">
        <w:rPr>
          <w:rFonts w:ascii="Garamond" w:hAnsi="Garamond"/>
          <w:i/>
          <w:sz w:val="28"/>
          <w:szCs w:val="28"/>
        </w:rPr>
        <w:t xml:space="preserve"> </w:t>
      </w:r>
      <w:proofErr w:type="spellStart"/>
      <w:r w:rsidRPr="00787D6B">
        <w:rPr>
          <w:rFonts w:ascii="Garamond" w:hAnsi="Garamond"/>
          <w:i/>
          <w:sz w:val="28"/>
          <w:szCs w:val="28"/>
        </w:rPr>
        <w:t>GmbH</w:t>
      </w:r>
      <w:proofErr w:type="spellEnd"/>
      <w:r w:rsidRPr="00787D6B">
        <w:rPr>
          <w:rFonts w:ascii="Garamond" w:hAnsi="Garamond"/>
          <w:sz w:val="28"/>
          <w:szCs w:val="28"/>
        </w:rPr>
        <w:t>, C</w:t>
      </w:r>
      <w:r w:rsidRPr="00787D6B">
        <w:rPr>
          <w:rFonts w:ascii="Times New Roman" w:hAnsi="Times New Roman" w:cs="Times New Roman"/>
          <w:sz w:val="28"/>
          <w:szCs w:val="28"/>
        </w:rPr>
        <w:noBreakHyphen/>
      </w:r>
      <w:r w:rsidRPr="00787D6B">
        <w:rPr>
          <w:rFonts w:ascii="Garamond" w:hAnsi="Garamond"/>
          <w:sz w:val="28"/>
          <w:szCs w:val="28"/>
        </w:rPr>
        <w:t xml:space="preserve">261/20, EU:C:2022:33, punto 47). Peraltro, la </w:t>
      </w:r>
      <w:r w:rsidR="00446368" w:rsidRPr="00787D6B">
        <w:rPr>
          <w:rFonts w:ascii="Garamond" w:hAnsi="Garamond"/>
          <w:sz w:val="28"/>
          <w:szCs w:val="28"/>
        </w:rPr>
        <w:t>C</w:t>
      </w:r>
      <w:r w:rsidRPr="00787D6B">
        <w:rPr>
          <w:rFonts w:ascii="Garamond" w:hAnsi="Garamond"/>
          <w:sz w:val="28"/>
          <w:szCs w:val="28"/>
        </w:rPr>
        <w:t xml:space="preserve">orte ha avvertito che "le sentenze pronunciate a norma degli articoli da 258 a 260 TFUE hanno anzitutto lo scopo di definire i doveri degli Stati membri in caso di inosservanza dei loro obblighi e non di conferire diritti ai soggetti dell’ordinamento, fermo restando che tali diritti non scaturiscono da dette sentenze, ma dalle stesse norme del diritto dell’Unione (v., in tal senso, sentenza del 14 dicembre 1982, </w:t>
      </w:r>
      <w:proofErr w:type="spellStart"/>
      <w:r w:rsidRPr="00787D6B">
        <w:rPr>
          <w:rFonts w:ascii="Garamond" w:hAnsi="Garamond"/>
          <w:i/>
          <w:sz w:val="28"/>
          <w:szCs w:val="28"/>
        </w:rPr>
        <w:t>Waterkeyn</w:t>
      </w:r>
      <w:proofErr w:type="spellEnd"/>
      <w:r w:rsidRPr="00787D6B">
        <w:rPr>
          <w:rFonts w:ascii="Garamond" w:hAnsi="Garamond"/>
          <w:i/>
          <w:sz w:val="28"/>
          <w:szCs w:val="28"/>
        </w:rPr>
        <w:t xml:space="preserve"> e a</w:t>
      </w:r>
      <w:r w:rsidRPr="00787D6B">
        <w:rPr>
          <w:rFonts w:ascii="Garamond" w:hAnsi="Garamond"/>
          <w:sz w:val="28"/>
          <w:szCs w:val="28"/>
        </w:rPr>
        <w:t>., da 314/81 a 316/81 e 83/82, EU:C:1982:430, punti 15 e 16)" (sentenza</w:t>
      </w:r>
      <w:r w:rsidRPr="00787D6B">
        <w:rPr>
          <w:sz w:val="28"/>
          <w:szCs w:val="28"/>
        </w:rPr>
        <w:t xml:space="preserve"> </w:t>
      </w:r>
      <w:proofErr w:type="spellStart"/>
      <w:r w:rsidRPr="00787D6B">
        <w:rPr>
          <w:rFonts w:ascii="Garamond" w:hAnsi="Garamond"/>
          <w:i/>
          <w:sz w:val="28"/>
          <w:szCs w:val="28"/>
        </w:rPr>
        <w:t>Thelen</w:t>
      </w:r>
      <w:proofErr w:type="spellEnd"/>
      <w:r w:rsidRPr="00787D6B">
        <w:rPr>
          <w:rFonts w:ascii="Garamond" w:hAnsi="Garamond"/>
          <w:i/>
          <w:sz w:val="28"/>
          <w:szCs w:val="28"/>
        </w:rPr>
        <w:t xml:space="preserve"> </w:t>
      </w:r>
      <w:proofErr w:type="spellStart"/>
      <w:r w:rsidRPr="00787D6B">
        <w:rPr>
          <w:rFonts w:ascii="Garamond" w:hAnsi="Garamond"/>
          <w:i/>
          <w:sz w:val="28"/>
          <w:szCs w:val="28"/>
        </w:rPr>
        <w:t>Technopark</w:t>
      </w:r>
      <w:proofErr w:type="spellEnd"/>
      <w:r w:rsidRPr="00787D6B">
        <w:rPr>
          <w:rFonts w:ascii="Garamond" w:hAnsi="Garamond"/>
          <w:i/>
          <w:sz w:val="28"/>
          <w:szCs w:val="28"/>
        </w:rPr>
        <w:t xml:space="preserve"> </w:t>
      </w:r>
      <w:proofErr w:type="spellStart"/>
      <w:r w:rsidRPr="00787D6B">
        <w:rPr>
          <w:rFonts w:ascii="Garamond" w:hAnsi="Garamond"/>
          <w:i/>
          <w:sz w:val="28"/>
          <w:szCs w:val="28"/>
        </w:rPr>
        <w:t>Berlin</w:t>
      </w:r>
      <w:proofErr w:type="spellEnd"/>
      <w:r w:rsidRPr="00787D6B">
        <w:rPr>
          <w:rFonts w:ascii="Garamond" w:hAnsi="Garamond"/>
          <w:i/>
          <w:sz w:val="28"/>
          <w:szCs w:val="28"/>
        </w:rPr>
        <w:t xml:space="preserve"> </w:t>
      </w:r>
      <w:proofErr w:type="spellStart"/>
      <w:r w:rsidRPr="00787D6B">
        <w:rPr>
          <w:rFonts w:ascii="Garamond" w:hAnsi="Garamond"/>
          <w:i/>
          <w:sz w:val="28"/>
          <w:szCs w:val="28"/>
        </w:rPr>
        <w:t>GmbH</w:t>
      </w:r>
      <w:proofErr w:type="spellEnd"/>
      <w:r w:rsidRPr="00787D6B">
        <w:rPr>
          <w:rFonts w:ascii="Garamond" w:hAnsi="Garamond"/>
          <w:sz w:val="28"/>
          <w:szCs w:val="28"/>
        </w:rPr>
        <w:t>, cit., punto 40).</w:t>
      </w:r>
    </w:p>
  </w:footnote>
  <w:footnote w:id="25">
    <w:p w14:paraId="5A062226" w14:textId="52517D1D"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Sentenza del 4 agosto 2021, </w:t>
      </w:r>
      <w:proofErr w:type="spellStart"/>
      <w:r w:rsidRPr="00787D6B">
        <w:rPr>
          <w:rFonts w:ascii="Garamond" w:hAnsi="Garamond"/>
          <w:i/>
          <w:sz w:val="28"/>
          <w:szCs w:val="28"/>
        </w:rPr>
        <w:t>Association</w:t>
      </w:r>
      <w:proofErr w:type="spellEnd"/>
      <w:r w:rsidRPr="00787D6B">
        <w:rPr>
          <w:rFonts w:ascii="Garamond" w:hAnsi="Garamond"/>
          <w:i/>
          <w:sz w:val="28"/>
          <w:szCs w:val="28"/>
        </w:rPr>
        <w:t xml:space="preserve"> </w:t>
      </w:r>
      <w:proofErr w:type="spellStart"/>
      <w:r w:rsidRPr="00787D6B">
        <w:rPr>
          <w:rFonts w:ascii="Garamond" w:hAnsi="Garamond"/>
          <w:i/>
          <w:sz w:val="28"/>
          <w:szCs w:val="28"/>
        </w:rPr>
        <w:t>les</w:t>
      </w:r>
      <w:proofErr w:type="spellEnd"/>
      <w:r w:rsidRPr="00787D6B">
        <w:rPr>
          <w:rFonts w:ascii="Garamond" w:hAnsi="Garamond"/>
          <w:i/>
          <w:sz w:val="28"/>
          <w:szCs w:val="28"/>
        </w:rPr>
        <w:t xml:space="preserve"> </w:t>
      </w:r>
      <w:proofErr w:type="spellStart"/>
      <w:r w:rsidRPr="00787D6B">
        <w:rPr>
          <w:rFonts w:ascii="Garamond" w:hAnsi="Garamond"/>
          <w:i/>
          <w:sz w:val="28"/>
          <w:szCs w:val="28"/>
        </w:rPr>
        <w:t>Amis</w:t>
      </w:r>
      <w:proofErr w:type="spellEnd"/>
      <w:r w:rsidRPr="00787D6B">
        <w:rPr>
          <w:rFonts w:ascii="Garamond" w:hAnsi="Garamond"/>
          <w:i/>
          <w:sz w:val="28"/>
          <w:szCs w:val="28"/>
        </w:rPr>
        <w:t xml:space="preserve"> de la Terre France e </w:t>
      </w:r>
      <w:r w:rsidR="0029381A" w:rsidRPr="00787D6B">
        <w:rPr>
          <w:rFonts w:ascii="Garamond" w:hAnsi="Garamond"/>
          <w:i/>
          <w:sz w:val="28"/>
          <w:szCs w:val="28"/>
        </w:rPr>
        <w:t>altri</w:t>
      </w:r>
      <w:r w:rsidR="0029381A" w:rsidRPr="00787D6B">
        <w:rPr>
          <w:rFonts w:ascii="Garamond" w:hAnsi="Garamond"/>
          <w:sz w:val="28"/>
          <w:szCs w:val="28"/>
        </w:rPr>
        <w:t xml:space="preserve"> </w:t>
      </w:r>
      <w:r w:rsidRPr="00787D6B">
        <w:rPr>
          <w:rFonts w:ascii="Garamond" w:hAnsi="Garamond"/>
          <w:sz w:val="28"/>
          <w:szCs w:val="28"/>
        </w:rPr>
        <w:t xml:space="preserve">(428409, </w:t>
      </w:r>
      <w:proofErr w:type="gramStart"/>
      <w:r w:rsidRPr="00787D6B">
        <w:rPr>
          <w:rFonts w:ascii="Garamond" w:hAnsi="Garamond"/>
          <w:sz w:val="28"/>
          <w:szCs w:val="28"/>
        </w:rPr>
        <w:t>FR:CECHR</w:t>
      </w:r>
      <w:proofErr w:type="gramEnd"/>
      <w:r w:rsidRPr="00787D6B">
        <w:rPr>
          <w:rFonts w:ascii="Garamond" w:hAnsi="Garamond"/>
          <w:sz w:val="28"/>
          <w:szCs w:val="28"/>
        </w:rPr>
        <w:t>:2021:428409.20210804).</w:t>
      </w:r>
    </w:p>
  </w:footnote>
  <w:footnote w:id="26">
    <w:p w14:paraId="3858E32C" w14:textId="77777777"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Da ultimo dal report "Air </w:t>
      </w:r>
      <w:proofErr w:type="spellStart"/>
      <w:r w:rsidRPr="00787D6B">
        <w:rPr>
          <w:rFonts w:ascii="Garamond" w:hAnsi="Garamond"/>
          <w:sz w:val="28"/>
          <w:szCs w:val="28"/>
        </w:rPr>
        <w:t>quality</w:t>
      </w:r>
      <w:proofErr w:type="spellEnd"/>
      <w:r w:rsidRPr="00787D6B">
        <w:rPr>
          <w:rFonts w:ascii="Garamond" w:hAnsi="Garamond"/>
          <w:sz w:val="28"/>
          <w:szCs w:val="28"/>
        </w:rPr>
        <w:t xml:space="preserve"> in Europe 2022" dell'Agenzia europea dell'ambiente,</w:t>
      </w:r>
      <w:r w:rsidR="00E63B5D" w:rsidRPr="00787D6B">
        <w:rPr>
          <w:rFonts w:ascii="Garamond" w:hAnsi="Garamond"/>
          <w:sz w:val="28"/>
          <w:szCs w:val="28"/>
        </w:rPr>
        <w:t xml:space="preserve"> in </w:t>
      </w:r>
      <w:r w:rsidRPr="00787D6B">
        <w:rPr>
          <w:rFonts w:ascii="Garamond" w:hAnsi="Garamond"/>
          <w:sz w:val="28"/>
          <w:szCs w:val="28"/>
        </w:rPr>
        <w:t>www.eea.europa.eu/</w:t>
      </w:r>
      <w:proofErr w:type="spellStart"/>
      <w:r w:rsidRPr="00787D6B">
        <w:rPr>
          <w:rFonts w:ascii="Garamond" w:hAnsi="Garamond"/>
          <w:sz w:val="28"/>
          <w:szCs w:val="28"/>
        </w:rPr>
        <w:t>publications</w:t>
      </w:r>
      <w:proofErr w:type="spellEnd"/>
      <w:r w:rsidRPr="00787D6B">
        <w:rPr>
          <w:rFonts w:ascii="Garamond" w:hAnsi="Garamond"/>
          <w:sz w:val="28"/>
          <w:szCs w:val="28"/>
        </w:rPr>
        <w:t>/air-quality-in-europe-2022.</w:t>
      </w:r>
    </w:p>
  </w:footnote>
  <w:footnote w:id="27">
    <w:p w14:paraId="450FE0E2" w14:textId="4DF7E575"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Sentenze del 5 aprile 2017, </w:t>
      </w:r>
      <w:r w:rsidRPr="00624CFA">
        <w:rPr>
          <w:rFonts w:ascii="Garamond" w:hAnsi="Garamond"/>
          <w:i/>
          <w:sz w:val="28"/>
          <w:szCs w:val="28"/>
        </w:rPr>
        <w:t>Commissione/Bulgaria</w:t>
      </w:r>
      <w:r w:rsidRPr="00787D6B">
        <w:rPr>
          <w:rFonts w:ascii="Garamond" w:hAnsi="Garamond"/>
          <w:sz w:val="28"/>
          <w:szCs w:val="28"/>
        </w:rPr>
        <w:t>, (C</w:t>
      </w:r>
      <w:r w:rsidR="00EE41B2" w:rsidRPr="00787D6B">
        <w:rPr>
          <w:rFonts w:ascii="Garamond" w:hAnsi="Garamond"/>
          <w:sz w:val="28"/>
          <w:szCs w:val="28"/>
        </w:rPr>
        <w:t>-</w:t>
      </w:r>
      <w:r w:rsidRPr="00787D6B">
        <w:rPr>
          <w:rFonts w:ascii="Garamond" w:hAnsi="Garamond"/>
          <w:sz w:val="28"/>
          <w:szCs w:val="28"/>
        </w:rPr>
        <w:t xml:space="preserve">488/15, EU:C:2017:267), del 30 aprile 2020, </w:t>
      </w:r>
      <w:r w:rsidRPr="00624CFA">
        <w:rPr>
          <w:rFonts w:ascii="Garamond" w:hAnsi="Garamond"/>
          <w:i/>
          <w:sz w:val="28"/>
          <w:szCs w:val="28"/>
        </w:rPr>
        <w:t>Commissione/Romania</w:t>
      </w:r>
      <w:r w:rsidRPr="00787D6B">
        <w:rPr>
          <w:rFonts w:ascii="Garamond" w:hAnsi="Garamond"/>
          <w:sz w:val="28"/>
          <w:szCs w:val="28"/>
        </w:rPr>
        <w:t xml:space="preserve"> (Superamento dei valori limite di PM10), (C</w:t>
      </w:r>
      <w:r w:rsidR="009F3215" w:rsidRPr="00787D6B">
        <w:rPr>
          <w:rFonts w:ascii="Garamond" w:hAnsi="Garamond"/>
          <w:sz w:val="28"/>
          <w:szCs w:val="28"/>
        </w:rPr>
        <w:t>-</w:t>
      </w:r>
      <w:r w:rsidRPr="00787D6B">
        <w:rPr>
          <w:rFonts w:ascii="Garamond" w:hAnsi="Garamond"/>
          <w:sz w:val="28"/>
          <w:szCs w:val="28"/>
        </w:rPr>
        <w:t xml:space="preserve">638/18, EU:C:2020:334), del 10 novembre 2020, </w:t>
      </w:r>
      <w:r w:rsidRPr="00624CFA">
        <w:rPr>
          <w:rFonts w:ascii="Garamond" w:hAnsi="Garamond"/>
          <w:i/>
          <w:sz w:val="28"/>
          <w:szCs w:val="28"/>
        </w:rPr>
        <w:t>Commissione/Italia</w:t>
      </w:r>
      <w:r w:rsidRPr="00787D6B">
        <w:rPr>
          <w:rFonts w:ascii="Garamond" w:hAnsi="Garamond"/>
          <w:sz w:val="28"/>
          <w:szCs w:val="28"/>
        </w:rPr>
        <w:t xml:space="preserve"> (Valori limite di PM10), (C</w:t>
      </w:r>
      <w:r w:rsidR="009F3215" w:rsidRPr="00787D6B">
        <w:rPr>
          <w:rFonts w:ascii="Garamond" w:hAnsi="Garamond"/>
          <w:sz w:val="28"/>
          <w:szCs w:val="28"/>
        </w:rPr>
        <w:t>-</w:t>
      </w:r>
      <w:r w:rsidRPr="00787D6B">
        <w:rPr>
          <w:rFonts w:ascii="Garamond" w:hAnsi="Garamond"/>
          <w:sz w:val="28"/>
          <w:szCs w:val="28"/>
        </w:rPr>
        <w:t xml:space="preserve">644/18, EU:C:2020:895), del 3 febbraio 2021, </w:t>
      </w:r>
      <w:r w:rsidRPr="00624CFA">
        <w:rPr>
          <w:rFonts w:ascii="Garamond" w:hAnsi="Garamond"/>
          <w:i/>
          <w:sz w:val="28"/>
          <w:szCs w:val="28"/>
        </w:rPr>
        <w:t>Commissione/Ungheria</w:t>
      </w:r>
      <w:r w:rsidRPr="00787D6B">
        <w:rPr>
          <w:rFonts w:ascii="Garamond" w:hAnsi="Garamond"/>
          <w:sz w:val="28"/>
          <w:szCs w:val="28"/>
        </w:rPr>
        <w:t xml:space="preserve"> (Valori limite di PM10), (C</w:t>
      </w:r>
      <w:r w:rsidR="00CE6993" w:rsidRPr="00787D6B">
        <w:rPr>
          <w:rFonts w:ascii="Garamond" w:hAnsi="Garamond"/>
          <w:sz w:val="28"/>
          <w:szCs w:val="28"/>
        </w:rPr>
        <w:t>-</w:t>
      </w:r>
      <w:r w:rsidRPr="00787D6B">
        <w:rPr>
          <w:rFonts w:ascii="Garamond" w:hAnsi="Garamond"/>
          <w:sz w:val="28"/>
          <w:szCs w:val="28"/>
        </w:rPr>
        <w:t xml:space="preserve">637/18, EU:C:2021:92), e del 3 giugno 2021, </w:t>
      </w:r>
      <w:r w:rsidRPr="00624CFA">
        <w:rPr>
          <w:rFonts w:ascii="Garamond" w:hAnsi="Garamond"/>
          <w:i/>
          <w:sz w:val="28"/>
          <w:szCs w:val="28"/>
        </w:rPr>
        <w:t>Commissione/Germania</w:t>
      </w:r>
      <w:r w:rsidRPr="00787D6B">
        <w:rPr>
          <w:rFonts w:ascii="Garamond" w:hAnsi="Garamond"/>
          <w:sz w:val="28"/>
          <w:szCs w:val="28"/>
        </w:rPr>
        <w:t xml:space="preserve"> (Valori limite di NO2), (C</w:t>
      </w:r>
      <w:r w:rsidR="00CE6993" w:rsidRPr="00787D6B">
        <w:rPr>
          <w:rFonts w:ascii="Garamond" w:hAnsi="Garamond"/>
          <w:sz w:val="28"/>
          <w:szCs w:val="28"/>
        </w:rPr>
        <w:t>-</w:t>
      </w:r>
      <w:r w:rsidRPr="00787D6B">
        <w:rPr>
          <w:rFonts w:ascii="Garamond" w:hAnsi="Garamond"/>
          <w:sz w:val="28"/>
          <w:szCs w:val="28"/>
        </w:rPr>
        <w:t xml:space="preserve">635/18, EU:C:2021:437); del 12 maggio 2022, </w:t>
      </w:r>
      <w:r w:rsidRPr="00624CFA">
        <w:rPr>
          <w:rFonts w:ascii="Garamond" w:hAnsi="Garamond"/>
          <w:i/>
          <w:sz w:val="28"/>
          <w:szCs w:val="28"/>
        </w:rPr>
        <w:t>Commissione/Italia</w:t>
      </w:r>
      <w:r w:rsidRPr="00787D6B">
        <w:rPr>
          <w:rFonts w:ascii="Garamond" w:hAnsi="Garamond"/>
          <w:sz w:val="28"/>
          <w:szCs w:val="28"/>
        </w:rPr>
        <w:t xml:space="preserve"> (Valori limite di NO2) (C</w:t>
      </w:r>
      <w:r w:rsidR="00CE6993" w:rsidRPr="00787D6B">
        <w:rPr>
          <w:rFonts w:ascii="Garamond" w:hAnsi="Garamond"/>
          <w:sz w:val="28"/>
          <w:szCs w:val="28"/>
        </w:rPr>
        <w:t>-</w:t>
      </w:r>
      <w:r w:rsidRPr="00787D6B">
        <w:rPr>
          <w:rFonts w:ascii="Garamond" w:hAnsi="Garamond"/>
          <w:sz w:val="28"/>
          <w:szCs w:val="28"/>
        </w:rPr>
        <w:t>573/19, EU:C:2022:380).</w:t>
      </w:r>
    </w:p>
  </w:footnote>
  <w:footnote w:id="28">
    <w:p w14:paraId="0D330609" w14:textId="77777777" w:rsidR="0037016C" w:rsidRPr="00787D6B" w:rsidRDefault="0037016C" w:rsidP="0037016C">
      <w:pPr>
        <w:pStyle w:val="Testonotaapidipagina"/>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EU:</w:t>
      </w:r>
      <w:proofErr w:type="gramStart"/>
      <w:r w:rsidRPr="00787D6B">
        <w:rPr>
          <w:rFonts w:ascii="Garamond" w:hAnsi="Garamond"/>
          <w:sz w:val="28"/>
          <w:szCs w:val="28"/>
        </w:rPr>
        <w:t>C:2022:359</w:t>
      </w:r>
      <w:proofErr w:type="gramEnd"/>
      <w:r w:rsidRPr="00787D6B">
        <w:rPr>
          <w:rFonts w:ascii="Garamond" w:hAnsi="Garamond"/>
          <w:sz w:val="28"/>
          <w:szCs w:val="28"/>
        </w:rPr>
        <w:t>, punti 126-141.</w:t>
      </w:r>
    </w:p>
  </w:footnote>
  <w:footnote w:id="29">
    <w:p w14:paraId="797B4921" w14:textId="7E52EED4"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P. G. </w:t>
      </w:r>
      <w:proofErr w:type="spellStart"/>
      <w:r w:rsidRPr="00787D6B">
        <w:rPr>
          <w:rFonts w:ascii="Garamond" w:hAnsi="Garamond"/>
          <w:sz w:val="28"/>
          <w:szCs w:val="28"/>
        </w:rPr>
        <w:t>Monateri</w:t>
      </w:r>
      <w:proofErr w:type="spellEnd"/>
      <w:r w:rsidRPr="00787D6B">
        <w:rPr>
          <w:rFonts w:ascii="Garamond" w:hAnsi="Garamond"/>
          <w:sz w:val="28"/>
          <w:szCs w:val="28"/>
        </w:rPr>
        <w:t xml:space="preserve">, D. </w:t>
      </w:r>
      <w:proofErr w:type="spellStart"/>
      <w:r w:rsidRPr="00787D6B">
        <w:rPr>
          <w:rFonts w:ascii="Garamond" w:hAnsi="Garamond"/>
          <w:sz w:val="28"/>
          <w:szCs w:val="28"/>
        </w:rPr>
        <w:t>Gianti</w:t>
      </w:r>
      <w:proofErr w:type="spellEnd"/>
      <w:r w:rsidRPr="00787D6B">
        <w:rPr>
          <w:rFonts w:ascii="Garamond" w:hAnsi="Garamond"/>
          <w:sz w:val="28"/>
          <w:szCs w:val="28"/>
        </w:rPr>
        <w:t xml:space="preserve">, </w:t>
      </w:r>
      <w:r w:rsidRPr="00787D6B">
        <w:rPr>
          <w:rFonts w:ascii="Garamond" w:hAnsi="Garamond"/>
          <w:i/>
          <w:sz w:val="28"/>
          <w:szCs w:val="28"/>
        </w:rPr>
        <w:t>Nesso causale</w:t>
      </w:r>
      <w:r w:rsidRPr="00787D6B">
        <w:rPr>
          <w:rFonts w:ascii="Garamond" w:hAnsi="Garamond"/>
          <w:sz w:val="28"/>
          <w:szCs w:val="28"/>
        </w:rPr>
        <w:t xml:space="preserve"> [dir. civ.], Treccani - Diritto on line (2016)</w:t>
      </w:r>
      <w:r w:rsidR="00971D4D">
        <w:rPr>
          <w:rFonts w:ascii="Garamond" w:hAnsi="Garamond"/>
          <w:sz w:val="28"/>
          <w:szCs w:val="28"/>
        </w:rPr>
        <w:t xml:space="preserve">; </w:t>
      </w:r>
      <w:r w:rsidR="00E12A9E">
        <w:rPr>
          <w:rFonts w:ascii="Garamond" w:hAnsi="Garamond"/>
          <w:sz w:val="28"/>
          <w:szCs w:val="28"/>
        </w:rPr>
        <w:t>C.</w:t>
      </w:r>
      <w:r w:rsidR="00E12A9E" w:rsidRPr="00E12A9E">
        <w:rPr>
          <w:rFonts w:ascii="Garamond" w:hAnsi="Garamond"/>
          <w:sz w:val="28"/>
          <w:szCs w:val="28"/>
        </w:rPr>
        <w:t xml:space="preserve"> Castronovo</w:t>
      </w:r>
      <w:r w:rsidR="00E12A9E">
        <w:rPr>
          <w:rFonts w:ascii="Garamond" w:hAnsi="Garamond"/>
          <w:sz w:val="28"/>
          <w:szCs w:val="28"/>
        </w:rPr>
        <w:t xml:space="preserve">, </w:t>
      </w:r>
      <w:r w:rsidR="00E12A9E" w:rsidRPr="00E12A9E">
        <w:rPr>
          <w:rFonts w:ascii="Garamond" w:hAnsi="Garamond"/>
          <w:i/>
          <w:sz w:val="28"/>
          <w:szCs w:val="28"/>
        </w:rPr>
        <w:t>Responsabilità civile</w:t>
      </w:r>
      <w:r w:rsidR="00E12A9E">
        <w:rPr>
          <w:rFonts w:ascii="Garamond" w:hAnsi="Garamond"/>
          <w:sz w:val="28"/>
          <w:szCs w:val="28"/>
        </w:rPr>
        <w:t xml:space="preserve">, </w:t>
      </w:r>
      <w:proofErr w:type="spellStart"/>
      <w:r w:rsidR="00E12A9E">
        <w:rPr>
          <w:rFonts w:ascii="Garamond" w:hAnsi="Garamond"/>
          <w:sz w:val="28"/>
          <w:szCs w:val="28"/>
        </w:rPr>
        <w:t>Giuffré</w:t>
      </w:r>
      <w:proofErr w:type="spellEnd"/>
      <w:r w:rsidR="00E12A9E">
        <w:rPr>
          <w:rFonts w:ascii="Garamond" w:hAnsi="Garamond"/>
          <w:sz w:val="28"/>
          <w:szCs w:val="28"/>
        </w:rPr>
        <w:t xml:space="preserve">, 2018, </w:t>
      </w:r>
      <w:proofErr w:type="spellStart"/>
      <w:r w:rsidR="00971D4D">
        <w:rPr>
          <w:rFonts w:ascii="Garamond" w:hAnsi="Garamond"/>
          <w:sz w:val="28"/>
          <w:szCs w:val="28"/>
        </w:rPr>
        <w:t>pagg</w:t>
      </w:r>
      <w:proofErr w:type="spellEnd"/>
      <w:r w:rsidR="00971D4D">
        <w:rPr>
          <w:rFonts w:ascii="Garamond" w:hAnsi="Garamond"/>
          <w:sz w:val="28"/>
          <w:szCs w:val="28"/>
        </w:rPr>
        <w:t>. 379</w:t>
      </w:r>
      <w:r w:rsidR="00E12A9E">
        <w:rPr>
          <w:rFonts w:ascii="Garamond" w:hAnsi="Garamond"/>
          <w:sz w:val="28"/>
          <w:szCs w:val="28"/>
        </w:rPr>
        <w:t xml:space="preserve"> ss</w:t>
      </w:r>
      <w:r w:rsidRPr="00787D6B">
        <w:rPr>
          <w:rFonts w:ascii="Garamond" w:hAnsi="Garamond"/>
          <w:sz w:val="28"/>
          <w:szCs w:val="28"/>
        </w:rPr>
        <w:t>.</w:t>
      </w:r>
    </w:p>
  </w:footnote>
  <w:footnote w:id="30">
    <w:p w14:paraId="09B16A3B" w14:textId="77777777"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Si allude al noto articolo di F. Galgano</w:t>
      </w:r>
      <w:r w:rsidRPr="00787D6B">
        <w:rPr>
          <w:rFonts w:ascii="Garamond" w:hAnsi="Garamond"/>
          <w:i/>
          <w:sz w:val="28"/>
          <w:szCs w:val="28"/>
        </w:rPr>
        <w:t>, Le mobili frontiere del danno ingiusto</w:t>
      </w:r>
      <w:r w:rsidRPr="00787D6B">
        <w:rPr>
          <w:rFonts w:ascii="Garamond" w:hAnsi="Garamond"/>
          <w:sz w:val="28"/>
          <w:szCs w:val="28"/>
        </w:rPr>
        <w:t xml:space="preserve">, in Contr. </w:t>
      </w:r>
      <w:proofErr w:type="spellStart"/>
      <w:r w:rsidRPr="00787D6B">
        <w:rPr>
          <w:rFonts w:ascii="Garamond" w:hAnsi="Garamond"/>
          <w:sz w:val="28"/>
          <w:szCs w:val="28"/>
        </w:rPr>
        <w:t>impr</w:t>
      </w:r>
      <w:proofErr w:type="spellEnd"/>
      <w:r w:rsidRPr="00787D6B">
        <w:rPr>
          <w:rFonts w:ascii="Garamond" w:hAnsi="Garamond"/>
          <w:sz w:val="28"/>
          <w:szCs w:val="28"/>
        </w:rPr>
        <w:t xml:space="preserve">., 1985, 159; con accenti ancor più critici rispetto alle aperture dell’epoca, C. Castronovo, </w:t>
      </w:r>
      <w:r w:rsidRPr="00787D6B">
        <w:rPr>
          <w:rFonts w:ascii="Garamond" w:hAnsi="Garamond"/>
          <w:i/>
          <w:sz w:val="28"/>
          <w:szCs w:val="28"/>
        </w:rPr>
        <w:t>Le nobili frontiere della responsabilità civile</w:t>
      </w:r>
      <w:r w:rsidRPr="00787D6B">
        <w:rPr>
          <w:rFonts w:ascii="Garamond" w:hAnsi="Garamond"/>
          <w:sz w:val="28"/>
          <w:szCs w:val="28"/>
        </w:rPr>
        <w:t xml:space="preserve">, in </w:t>
      </w:r>
      <w:proofErr w:type="spellStart"/>
      <w:r w:rsidRPr="00787D6B">
        <w:rPr>
          <w:rFonts w:ascii="Garamond" w:hAnsi="Garamond"/>
          <w:sz w:val="28"/>
          <w:szCs w:val="28"/>
        </w:rPr>
        <w:t>Riv</w:t>
      </w:r>
      <w:proofErr w:type="spellEnd"/>
      <w:r w:rsidRPr="00787D6B">
        <w:rPr>
          <w:rFonts w:ascii="Garamond" w:hAnsi="Garamond"/>
          <w:sz w:val="28"/>
          <w:szCs w:val="28"/>
        </w:rPr>
        <w:t xml:space="preserve">. </w:t>
      </w:r>
      <w:proofErr w:type="spellStart"/>
      <w:r w:rsidRPr="00787D6B">
        <w:rPr>
          <w:rFonts w:ascii="Garamond" w:hAnsi="Garamond"/>
          <w:sz w:val="28"/>
          <w:szCs w:val="28"/>
        </w:rPr>
        <w:t>crit</w:t>
      </w:r>
      <w:proofErr w:type="spellEnd"/>
      <w:r w:rsidRPr="00787D6B">
        <w:rPr>
          <w:rFonts w:ascii="Garamond" w:hAnsi="Garamond"/>
          <w:sz w:val="28"/>
          <w:szCs w:val="28"/>
        </w:rPr>
        <w:t xml:space="preserve">. dir. </w:t>
      </w:r>
      <w:proofErr w:type="spellStart"/>
      <w:r w:rsidRPr="00787D6B">
        <w:rPr>
          <w:rFonts w:ascii="Garamond" w:hAnsi="Garamond"/>
          <w:sz w:val="28"/>
          <w:szCs w:val="28"/>
        </w:rPr>
        <w:t>priv</w:t>
      </w:r>
      <w:proofErr w:type="spellEnd"/>
      <w:r w:rsidRPr="00787D6B">
        <w:rPr>
          <w:rFonts w:ascii="Garamond" w:hAnsi="Garamond"/>
          <w:sz w:val="28"/>
          <w:szCs w:val="28"/>
        </w:rPr>
        <w:t xml:space="preserve">., 1989, </w:t>
      </w:r>
      <w:r w:rsidR="00CC002D" w:rsidRPr="00787D6B">
        <w:rPr>
          <w:rFonts w:ascii="Garamond" w:hAnsi="Garamond"/>
          <w:sz w:val="28"/>
          <w:szCs w:val="28"/>
        </w:rPr>
        <w:t xml:space="preserve">pag. </w:t>
      </w:r>
      <w:r w:rsidRPr="00787D6B">
        <w:rPr>
          <w:rFonts w:ascii="Garamond" w:hAnsi="Garamond"/>
          <w:sz w:val="28"/>
          <w:szCs w:val="28"/>
        </w:rPr>
        <w:t>539.</w:t>
      </w:r>
    </w:p>
  </w:footnote>
  <w:footnote w:id="31">
    <w:p w14:paraId="76451AD8" w14:textId="77777777"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Con riferimento all'ambito medico: R. </w:t>
      </w:r>
      <w:proofErr w:type="spellStart"/>
      <w:r w:rsidRPr="00787D6B">
        <w:rPr>
          <w:rFonts w:ascii="Garamond" w:hAnsi="Garamond"/>
          <w:sz w:val="28"/>
          <w:szCs w:val="28"/>
        </w:rPr>
        <w:t>Carleo</w:t>
      </w:r>
      <w:proofErr w:type="spellEnd"/>
      <w:r w:rsidRPr="00787D6B">
        <w:rPr>
          <w:rFonts w:ascii="Garamond" w:hAnsi="Garamond"/>
          <w:sz w:val="28"/>
          <w:szCs w:val="28"/>
        </w:rPr>
        <w:t xml:space="preserve">, </w:t>
      </w:r>
      <w:r w:rsidRPr="00787D6B">
        <w:rPr>
          <w:rFonts w:ascii="Garamond" w:hAnsi="Garamond"/>
          <w:i/>
          <w:sz w:val="28"/>
          <w:szCs w:val="28"/>
        </w:rPr>
        <w:t>Responsabilità sanitaria e onere della prova: il ruolo della cartella clinica elettronica</w:t>
      </w:r>
      <w:r w:rsidRPr="00787D6B">
        <w:rPr>
          <w:rFonts w:ascii="Garamond" w:hAnsi="Garamond"/>
          <w:sz w:val="28"/>
          <w:szCs w:val="28"/>
        </w:rPr>
        <w:t xml:space="preserve">, in </w:t>
      </w:r>
      <w:r w:rsidRPr="00787D6B">
        <w:rPr>
          <w:rFonts w:ascii="Garamond" w:hAnsi="Garamond"/>
          <w:i/>
          <w:sz w:val="28"/>
          <w:szCs w:val="28"/>
        </w:rPr>
        <w:t xml:space="preserve">Liber </w:t>
      </w:r>
      <w:proofErr w:type="spellStart"/>
      <w:r w:rsidRPr="00787D6B">
        <w:rPr>
          <w:rFonts w:ascii="Garamond" w:hAnsi="Garamond"/>
          <w:i/>
          <w:sz w:val="28"/>
          <w:szCs w:val="28"/>
        </w:rPr>
        <w:t>amicorum</w:t>
      </w:r>
      <w:proofErr w:type="spellEnd"/>
      <w:r w:rsidRPr="00787D6B">
        <w:rPr>
          <w:rFonts w:ascii="Garamond" w:hAnsi="Garamond"/>
          <w:sz w:val="28"/>
          <w:szCs w:val="28"/>
        </w:rPr>
        <w:t xml:space="preserve"> per Giuseppe Vettori (a cura di G. Vettori), in Persona e mercato, 2022, pag. 611.</w:t>
      </w:r>
    </w:p>
  </w:footnote>
  <w:footnote w:id="32">
    <w:p w14:paraId="5423C043" w14:textId="77777777"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Essi si sostanziano “da un lato, [in] un obbligo di garantire che i livelli, in particolare, di PM10 e di NO2 non superino, nel loro rispettivo territorio e a decorrere da talune date, i valori limite fissati da tali direttive e, dall’altro, qualora tali valori limite siano nondimeno superati, [in] un obbligo di prevedere misure appropriate per rimediare a tali superamenti, in particolare nell’ambito di piani per la qualità dell’aria” (punto 48).</w:t>
      </w:r>
    </w:p>
  </w:footnote>
  <w:footnote w:id="33">
    <w:p w14:paraId="7A93A47A" w14:textId="196452E6"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Vengono richiamate al proposito le sentenze del 19 novembre 2014, </w:t>
      </w:r>
      <w:proofErr w:type="spellStart"/>
      <w:r w:rsidRPr="00787D6B">
        <w:rPr>
          <w:rFonts w:ascii="Garamond" w:hAnsi="Garamond"/>
          <w:i/>
          <w:sz w:val="28"/>
          <w:szCs w:val="28"/>
        </w:rPr>
        <w:t>ClientEarth</w:t>
      </w:r>
      <w:proofErr w:type="spellEnd"/>
      <w:r w:rsidRPr="00787D6B">
        <w:rPr>
          <w:rFonts w:ascii="Garamond" w:hAnsi="Garamond"/>
          <w:sz w:val="28"/>
          <w:szCs w:val="28"/>
        </w:rPr>
        <w:t xml:space="preserve">, C-404/13, EU:C:2014:2382, punto 56; del 19 dicembre 2019, </w:t>
      </w:r>
      <w:proofErr w:type="spellStart"/>
      <w:r w:rsidRPr="00787D6B">
        <w:rPr>
          <w:rFonts w:ascii="Garamond" w:hAnsi="Garamond"/>
          <w:i/>
          <w:sz w:val="28"/>
          <w:szCs w:val="28"/>
        </w:rPr>
        <w:t>Deutsche</w:t>
      </w:r>
      <w:proofErr w:type="spellEnd"/>
      <w:r w:rsidRPr="00787D6B">
        <w:rPr>
          <w:rFonts w:ascii="Garamond" w:hAnsi="Garamond"/>
          <w:i/>
          <w:sz w:val="28"/>
          <w:szCs w:val="28"/>
        </w:rPr>
        <w:t xml:space="preserve"> </w:t>
      </w:r>
      <w:proofErr w:type="spellStart"/>
      <w:r w:rsidRPr="00787D6B">
        <w:rPr>
          <w:rFonts w:ascii="Garamond" w:hAnsi="Garamond"/>
          <w:i/>
          <w:sz w:val="28"/>
          <w:szCs w:val="28"/>
        </w:rPr>
        <w:t>Umwelthilfe</w:t>
      </w:r>
      <w:proofErr w:type="spellEnd"/>
      <w:r w:rsidRPr="00787D6B">
        <w:rPr>
          <w:rFonts w:ascii="Garamond" w:hAnsi="Garamond"/>
          <w:sz w:val="28"/>
          <w:szCs w:val="28"/>
        </w:rPr>
        <w:t xml:space="preserve">, C-752/18, EU:C:2019:1114, punto 56; del 25 luglio 2008, </w:t>
      </w:r>
      <w:proofErr w:type="spellStart"/>
      <w:r w:rsidRPr="00787D6B">
        <w:rPr>
          <w:rFonts w:ascii="Garamond" w:hAnsi="Garamond"/>
          <w:i/>
          <w:sz w:val="28"/>
          <w:szCs w:val="28"/>
        </w:rPr>
        <w:t>Janecek</w:t>
      </w:r>
      <w:proofErr w:type="spellEnd"/>
      <w:r w:rsidRPr="00787D6B">
        <w:rPr>
          <w:rFonts w:ascii="Garamond" w:hAnsi="Garamond"/>
          <w:sz w:val="28"/>
          <w:szCs w:val="28"/>
        </w:rPr>
        <w:t>, C-</w:t>
      </w:r>
      <w:r w:rsidR="00A13554">
        <w:rPr>
          <w:rFonts w:ascii="Garamond" w:hAnsi="Garamond"/>
          <w:sz w:val="28"/>
          <w:szCs w:val="28"/>
        </w:rPr>
        <w:t>237/07, EU:C:2008:447, punto 39.</w:t>
      </w:r>
    </w:p>
  </w:footnote>
  <w:footnote w:id="34">
    <w:p w14:paraId="0D19C9DE" w14:textId="77777777"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"come le ingiunzioni accompagnate da penalità pronunciate in diverse recenti sentenze dal </w:t>
      </w:r>
      <w:proofErr w:type="spellStart"/>
      <w:r w:rsidRPr="00787D6B">
        <w:rPr>
          <w:rFonts w:ascii="Garamond" w:hAnsi="Garamond"/>
          <w:i/>
          <w:sz w:val="28"/>
          <w:szCs w:val="28"/>
        </w:rPr>
        <w:t>Conseil</w:t>
      </w:r>
      <w:proofErr w:type="spellEnd"/>
      <w:r w:rsidRPr="00787D6B">
        <w:rPr>
          <w:rFonts w:ascii="Garamond" w:hAnsi="Garamond"/>
          <w:i/>
          <w:sz w:val="28"/>
          <w:szCs w:val="28"/>
        </w:rPr>
        <w:t xml:space="preserve"> d’</w:t>
      </w:r>
      <w:proofErr w:type="spellStart"/>
      <w:r w:rsidRPr="00787D6B">
        <w:rPr>
          <w:rFonts w:ascii="Garamond" w:hAnsi="Garamond"/>
          <w:i/>
          <w:sz w:val="28"/>
          <w:szCs w:val="28"/>
        </w:rPr>
        <w:t>État</w:t>
      </w:r>
      <w:proofErr w:type="spellEnd"/>
      <w:r w:rsidRPr="00787D6B">
        <w:rPr>
          <w:rFonts w:ascii="Garamond" w:hAnsi="Garamond"/>
          <w:sz w:val="28"/>
          <w:szCs w:val="28"/>
        </w:rPr>
        <w:t xml:space="preserve"> (Consiglio di Stato, Francia)" (punto 64).</w:t>
      </w:r>
    </w:p>
  </w:footnote>
  <w:footnote w:id="35">
    <w:p w14:paraId="3162128E" w14:textId="0D72E58A"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La teoria è tuttora all'attenzione degli studiosi perché, oltre ad essere evocata dell'articolo 823, secondo comma, del BGB, rappresenta la fondamentale chiave di lettura dell'articolo 19, comma 4, della </w:t>
      </w:r>
      <w:proofErr w:type="spellStart"/>
      <w:r w:rsidRPr="00787D6B">
        <w:rPr>
          <w:rFonts w:ascii="Garamond" w:hAnsi="Garamond"/>
          <w:i/>
          <w:sz w:val="28"/>
          <w:szCs w:val="28"/>
        </w:rPr>
        <w:t>Grundgesetz</w:t>
      </w:r>
      <w:proofErr w:type="spellEnd"/>
      <w:r w:rsidRPr="00787D6B">
        <w:rPr>
          <w:rFonts w:ascii="Garamond" w:hAnsi="Garamond"/>
          <w:sz w:val="28"/>
          <w:szCs w:val="28"/>
        </w:rPr>
        <w:t xml:space="preserve"> (e dell'articolo 42, comma 2, del </w:t>
      </w:r>
      <w:proofErr w:type="spellStart"/>
      <w:r w:rsidRPr="00787D6B">
        <w:rPr>
          <w:rFonts w:ascii="Garamond" w:hAnsi="Garamond"/>
          <w:i/>
          <w:sz w:val="28"/>
          <w:szCs w:val="28"/>
        </w:rPr>
        <w:t>Verwaltungsgerichtsordnung</w:t>
      </w:r>
      <w:proofErr w:type="spellEnd"/>
      <w:r w:rsidRPr="00787D6B">
        <w:rPr>
          <w:rFonts w:ascii="Garamond" w:hAnsi="Garamond"/>
          <w:sz w:val="28"/>
          <w:szCs w:val="28"/>
        </w:rPr>
        <w:t xml:space="preserve"> </w:t>
      </w:r>
      <w:r w:rsidR="00D752B5" w:rsidRPr="00787D6B">
        <w:rPr>
          <w:rFonts w:ascii="Garamond" w:hAnsi="Garamond"/>
          <w:sz w:val="28"/>
          <w:szCs w:val="28"/>
        </w:rPr>
        <w:t>(</w:t>
      </w:r>
      <w:proofErr w:type="spellStart"/>
      <w:r w:rsidRPr="00787D6B">
        <w:rPr>
          <w:rFonts w:ascii="Garamond" w:hAnsi="Garamond"/>
          <w:sz w:val="28"/>
          <w:szCs w:val="28"/>
        </w:rPr>
        <w:t>VwGO</w:t>
      </w:r>
      <w:proofErr w:type="spellEnd"/>
      <w:r w:rsidRPr="00787D6B">
        <w:rPr>
          <w:rFonts w:ascii="Garamond" w:hAnsi="Garamond"/>
          <w:sz w:val="28"/>
          <w:szCs w:val="28"/>
        </w:rPr>
        <w:t>)</w:t>
      </w:r>
      <w:r w:rsidR="0070044C">
        <w:rPr>
          <w:rFonts w:ascii="Garamond" w:hAnsi="Garamond"/>
          <w:sz w:val="28"/>
          <w:szCs w:val="28"/>
        </w:rPr>
        <w:t>)</w:t>
      </w:r>
      <w:r w:rsidRPr="00787D6B">
        <w:rPr>
          <w:rFonts w:ascii="Garamond" w:hAnsi="Garamond"/>
          <w:sz w:val="28"/>
          <w:szCs w:val="28"/>
        </w:rPr>
        <w:t xml:space="preserve"> che esprime l'opzione costituzionale per una giurisdizione di diritto soggettivo, contrapposta alla visione caratterizzante l'epoca nazista (</w:t>
      </w:r>
      <w:r w:rsidR="00F81EE3">
        <w:rPr>
          <w:rFonts w:ascii="Garamond" w:hAnsi="Garamond"/>
          <w:sz w:val="28"/>
          <w:szCs w:val="28"/>
        </w:rPr>
        <w:t>profili di cui</w:t>
      </w:r>
      <w:r w:rsidRPr="00787D6B">
        <w:rPr>
          <w:rFonts w:ascii="Garamond" w:hAnsi="Garamond"/>
          <w:sz w:val="28"/>
          <w:szCs w:val="28"/>
        </w:rPr>
        <w:t xml:space="preserve"> si occupa l'approfondit</w:t>
      </w:r>
      <w:r w:rsidR="00B76068" w:rsidRPr="00787D6B">
        <w:rPr>
          <w:rFonts w:ascii="Garamond" w:hAnsi="Garamond"/>
          <w:sz w:val="28"/>
          <w:szCs w:val="28"/>
        </w:rPr>
        <w:t>a</w:t>
      </w:r>
      <w:r w:rsidRPr="00787D6B">
        <w:rPr>
          <w:rFonts w:ascii="Garamond" w:hAnsi="Garamond"/>
          <w:sz w:val="28"/>
          <w:szCs w:val="28"/>
        </w:rPr>
        <w:t xml:space="preserve"> </w:t>
      </w:r>
      <w:r w:rsidR="00B76068" w:rsidRPr="00787D6B">
        <w:rPr>
          <w:rFonts w:ascii="Garamond" w:hAnsi="Garamond"/>
          <w:sz w:val="28"/>
          <w:szCs w:val="28"/>
        </w:rPr>
        <w:t>e originale ricerca</w:t>
      </w:r>
      <w:r w:rsidRPr="00787D6B">
        <w:rPr>
          <w:rFonts w:ascii="Garamond" w:hAnsi="Garamond"/>
          <w:sz w:val="28"/>
          <w:szCs w:val="28"/>
        </w:rPr>
        <w:t xml:space="preserve"> di P. L. </w:t>
      </w:r>
      <w:proofErr w:type="spellStart"/>
      <w:r w:rsidRPr="00787D6B">
        <w:rPr>
          <w:rFonts w:ascii="Garamond" w:hAnsi="Garamond"/>
          <w:sz w:val="28"/>
          <w:szCs w:val="28"/>
        </w:rPr>
        <w:t>Portaluri</w:t>
      </w:r>
      <w:proofErr w:type="spellEnd"/>
      <w:r w:rsidRPr="00787D6B">
        <w:rPr>
          <w:rFonts w:ascii="Garamond" w:hAnsi="Garamond"/>
          <w:sz w:val="28"/>
          <w:szCs w:val="28"/>
        </w:rPr>
        <w:t xml:space="preserve">, </w:t>
      </w:r>
      <w:r w:rsidRPr="00787D6B">
        <w:rPr>
          <w:rFonts w:ascii="Garamond" w:hAnsi="Garamond"/>
          <w:i/>
          <w:sz w:val="28"/>
          <w:szCs w:val="28"/>
        </w:rPr>
        <w:t xml:space="preserve">La cambiale di </w:t>
      </w:r>
      <w:proofErr w:type="spellStart"/>
      <w:r w:rsidRPr="00787D6B">
        <w:rPr>
          <w:rFonts w:ascii="Garamond" w:hAnsi="Garamond"/>
          <w:i/>
          <w:sz w:val="28"/>
          <w:szCs w:val="28"/>
        </w:rPr>
        <w:t>Forsthoff</w:t>
      </w:r>
      <w:proofErr w:type="spellEnd"/>
      <w:r w:rsidRPr="00787D6B">
        <w:rPr>
          <w:rFonts w:ascii="Garamond" w:hAnsi="Garamond"/>
          <w:sz w:val="28"/>
          <w:szCs w:val="28"/>
        </w:rPr>
        <w:t>, ESI, 2021).</w:t>
      </w:r>
      <w:r w:rsidR="00226B21" w:rsidRPr="00787D6B">
        <w:rPr>
          <w:rFonts w:ascii="Garamond" w:hAnsi="Garamond"/>
          <w:sz w:val="28"/>
          <w:szCs w:val="28"/>
        </w:rPr>
        <w:t xml:space="preserve"> </w:t>
      </w:r>
      <w:r w:rsidR="0044428E" w:rsidRPr="00787D6B">
        <w:rPr>
          <w:rFonts w:ascii="Garamond" w:hAnsi="Garamond"/>
          <w:sz w:val="28"/>
          <w:szCs w:val="28"/>
        </w:rPr>
        <w:t>La ricezione</w:t>
      </w:r>
      <w:r w:rsidR="00226B21" w:rsidRPr="00787D6B">
        <w:rPr>
          <w:rFonts w:ascii="Garamond" w:hAnsi="Garamond"/>
          <w:sz w:val="28"/>
          <w:szCs w:val="28"/>
        </w:rPr>
        <w:t xml:space="preserve"> di questo criterio è palese nella conclusione</w:t>
      </w:r>
      <w:r w:rsidR="00330BE3" w:rsidRPr="00787D6B">
        <w:rPr>
          <w:sz w:val="28"/>
          <w:szCs w:val="28"/>
        </w:rPr>
        <w:t xml:space="preserve"> </w:t>
      </w:r>
      <w:r w:rsidR="00330BE3" w:rsidRPr="00787D6B">
        <w:rPr>
          <w:rFonts w:ascii="Garamond" w:hAnsi="Garamond"/>
          <w:sz w:val="28"/>
          <w:szCs w:val="28"/>
        </w:rPr>
        <w:t xml:space="preserve">dell’Avvocato generale, laddove </w:t>
      </w:r>
      <w:r w:rsidR="00A733C4" w:rsidRPr="00787D6B">
        <w:rPr>
          <w:rFonts w:ascii="Garamond" w:hAnsi="Garamond"/>
          <w:sz w:val="28"/>
          <w:szCs w:val="28"/>
        </w:rPr>
        <w:t xml:space="preserve">premette che </w:t>
      </w:r>
      <w:r w:rsidR="00330BE3" w:rsidRPr="00787D6B">
        <w:rPr>
          <w:rFonts w:ascii="Garamond" w:hAnsi="Garamond"/>
          <w:sz w:val="28"/>
          <w:szCs w:val="28"/>
        </w:rPr>
        <w:t>"</w:t>
      </w:r>
      <w:r w:rsidR="00A733C4" w:rsidRPr="00787D6B">
        <w:rPr>
          <w:rFonts w:ascii="Garamond" w:hAnsi="Garamond"/>
          <w:sz w:val="28"/>
          <w:szCs w:val="28"/>
        </w:rPr>
        <w:t>La questione se i valori limite e l'obbligo di migliorare la qualità dell'aria ambiente previsti dalle direttive 96/62, 1999/30 e 2008/50, siano preordinati ad attribuire diritti a coloro che subiscono danni alla salute causati dall'inquinamento atmosferico dipende, oltre che dal carattere individuabile di eventuali diritti, soprattutto dagli scopi di tali normative</w:t>
      </w:r>
      <w:r w:rsidR="00330BE3" w:rsidRPr="00787D6B">
        <w:rPr>
          <w:rFonts w:ascii="Garamond" w:hAnsi="Garamond"/>
          <w:sz w:val="28"/>
          <w:szCs w:val="28"/>
        </w:rPr>
        <w:t xml:space="preserve">" (punto </w:t>
      </w:r>
      <w:r w:rsidR="00A733C4" w:rsidRPr="00787D6B">
        <w:rPr>
          <w:rFonts w:ascii="Garamond" w:hAnsi="Garamond"/>
          <w:sz w:val="28"/>
          <w:szCs w:val="28"/>
        </w:rPr>
        <w:t>72</w:t>
      </w:r>
      <w:r w:rsidR="00330BE3" w:rsidRPr="00787D6B">
        <w:rPr>
          <w:rFonts w:ascii="Garamond" w:hAnsi="Garamond"/>
          <w:sz w:val="28"/>
          <w:szCs w:val="28"/>
        </w:rPr>
        <w:t>)</w:t>
      </w:r>
      <w:r w:rsidR="00A733C4" w:rsidRPr="00787D6B">
        <w:rPr>
          <w:rFonts w:ascii="Garamond" w:hAnsi="Garamond"/>
          <w:sz w:val="28"/>
          <w:szCs w:val="28"/>
        </w:rPr>
        <w:t>, giungendo ad affermare che "l'interesse per la salute presenta natura personale e, quindi, individuale</w:t>
      </w:r>
      <w:r w:rsidR="00274534" w:rsidRPr="00787D6B">
        <w:rPr>
          <w:rFonts w:ascii="Garamond" w:hAnsi="Garamond"/>
          <w:sz w:val="28"/>
          <w:szCs w:val="28"/>
        </w:rPr>
        <w:t>", con la precisazione che "La situazione potrebbe essere diversa per le norme di diritto ambientale, le quali mirano in primo luogo a proteggere la fauna, la flora e gli habitat, ma di cui gli esseri umani beneficiano solo indirettamente" (punti 77 e 78)</w:t>
      </w:r>
      <w:r w:rsidR="00330BE3" w:rsidRPr="00787D6B">
        <w:rPr>
          <w:rFonts w:ascii="Garamond" w:hAnsi="Garamond"/>
          <w:sz w:val="28"/>
          <w:szCs w:val="28"/>
        </w:rPr>
        <w:t>. Paradossalmente proprio la visione rigidamente personalistica (se non egoistica) dell'interesse scopo della norma, accolta nell'ordinamento tedesco, ha contrapposto la Germania all'Unione Europea, favorevole invece</w:t>
      </w:r>
      <w:r w:rsidR="002C73C4" w:rsidRPr="00787D6B">
        <w:rPr>
          <w:rFonts w:ascii="Garamond" w:hAnsi="Garamond"/>
          <w:sz w:val="28"/>
          <w:szCs w:val="28"/>
        </w:rPr>
        <w:t xml:space="preserve"> a</w:t>
      </w:r>
      <w:r w:rsidR="00330BE3" w:rsidRPr="00787D6B">
        <w:rPr>
          <w:rFonts w:ascii="Garamond" w:hAnsi="Garamond"/>
          <w:sz w:val="28"/>
          <w:szCs w:val="28"/>
        </w:rPr>
        <w:t xml:space="preserve"> un’idea di legittimazione processuale più ampia, soprattutto in campo ambientale (v. K. </w:t>
      </w:r>
      <w:proofErr w:type="spellStart"/>
      <w:r w:rsidR="00330BE3" w:rsidRPr="00787D6B">
        <w:rPr>
          <w:rFonts w:ascii="Garamond" w:hAnsi="Garamond"/>
          <w:sz w:val="28"/>
          <w:szCs w:val="28"/>
        </w:rPr>
        <w:t>Rennert</w:t>
      </w:r>
      <w:proofErr w:type="spellEnd"/>
      <w:r w:rsidR="00330BE3" w:rsidRPr="00787D6B">
        <w:rPr>
          <w:rFonts w:ascii="Garamond" w:hAnsi="Garamond"/>
          <w:sz w:val="28"/>
          <w:szCs w:val="28"/>
        </w:rPr>
        <w:t xml:space="preserve">, </w:t>
      </w:r>
      <w:r w:rsidR="00330BE3" w:rsidRPr="00787D6B">
        <w:rPr>
          <w:rFonts w:ascii="Garamond" w:hAnsi="Garamond"/>
          <w:i/>
          <w:sz w:val="28"/>
          <w:szCs w:val="28"/>
        </w:rPr>
        <w:t>La giurisdizione amministrativa nel contesto europeo</w:t>
      </w:r>
      <w:r w:rsidR="00604CBC" w:rsidRPr="00787D6B">
        <w:rPr>
          <w:rFonts w:ascii="Garamond" w:hAnsi="Garamond"/>
          <w:sz w:val="28"/>
          <w:szCs w:val="28"/>
        </w:rPr>
        <w:t>;</w:t>
      </w:r>
      <w:r w:rsidR="00604CBC" w:rsidRPr="00787D6B">
        <w:rPr>
          <w:sz w:val="28"/>
          <w:szCs w:val="28"/>
        </w:rPr>
        <w:t xml:space="preserve"> </w:t>
      </w:r>
      <w:r w:rsidR="00604CBC" w:rsidRPr="00787D6B">
        <w:rPr>
          <w:rFonts w:ascii="Garamond" w:hAnsi="Garamond"/>
          <w:sz w:val="28"/>
          <w:szCs w:val="28"/>
        </w:rPr>
        <w:t xml:space="preserve">G. Adamo, </w:t>
      </w:r>
      <w:r w:rsidR="00604CBC" w:rsidRPr="00787D6B">
        <w:rPr>
          <w:rFonts w:ascii="Garamond" w:hAnsi="Garamond"/>
          <w:i/>
          <w:sz w:val="28"/>
          <w:szCs w:val="28"/>
        </w:rPr>
        <w:t>Percorsi della giurisdizione amministrativa in Italia e in Germania nel contesto europeo</w:t>
      </w:r>
      <w:r w:rsidR="00604CBC" w:rsidRPr="00787D6B">
        <w:rPr>
          <w:rFonts w:ascii="Garamond" w:hAnsi="Garamond"/>
          <w:sz w:val="28"/>
          <w:szCs w:val="28"/>
        </w:rPr>
        <w:t>, entrambi consultabili nel sito www.giustizia-amministrativa.it, maggio 2017</w:t>
      </w:r>
      <w:r w:rsidR="00330BE3" w:rsidRPr="00787D6B">
        <w:rPr>
          <w:rFonts w:ascii="Garamond" w:hAnsi="Garamond"/>
          <w:sz w:val="28"/>
          <w:szCs w:val="28"/>
        </w:rPr>
        <w:t>)</w:t>
      </w:r>
      <w:r w:rsidR="00E63B5D" w:rsidRPr="00787D6B">
        <w:rPr>
          <w:rFonts w:ascii="Garamond" w:hAnsi="Garamond"/>
          <w:sz w:val="28"/>
          <w:szCs w:val="28"/>
        </w:rPr>
        <w:t>, come emerge dalla sentenza</w:t>
      </w:r>
      <w:r w:rsidR="00576F5B">
        <w:rPr>
          <w:rFonts w:ascii="Garamond" w:hAnsi="Garamond"/>
          <w:sz w:val="28"/>
          <w:szCs w:val="28"/>
        </w:rPr>
        <w:t xml:space="preserve"> della</w:t>
      </w:r>
      <w:r w:rsidR="00E63B5D" w:rsidRPr="00787D6B">
        <w:rPr>
          <w:sz w:val="28"/>
          <w:szCs w:val="28"/>
        </w:rPr>
        <w:t xml:space="preserve"> </w:t>
      </w:r>
      <w:r w:rsidR="00E63B5D" w:rsidRPr="00787D6B">
        <w:rPr>
          <w:rFonts w:ascii="Garamond" w:hAnsi="Garamond"/>
          <w:sz w:val="28"/>
          <w:szCs w:val="28"/>
        </w:rPr>
        <w:t>Corte di giustizia</w:t>
      </w:r>
      <w:r w:rsidR="00B82C8B" w:rsidRPr="00787D6B">
        <w:rPr>
          <w:rFonts w:ascii="Garamond" w:hAnsi="Garamond"/>
          <w:sz w:val="28"/>
          <w:szCs w:val="28"/>
        </w:rPr>
        <w:t xml:space="preserve"> </w:t>
      </w:r>
      <w:r w:rsidR="00E63B5D" w:rsidRPr="00787D6B">
        <w:rPr>
          <w:rFonts w:ascii="Garamond" w:hAnsi="Garamond"/>
          <w:sz w:val="28"/>
          <w:szCs w:val="28"/>
        </w:rPr>
        <w:t>12 maggio 2011</w:t>
      </w:r>
      <w:r w:rsidR="00E63B5D" w:rsidRPr="00787D6B">
        <w:rPr>
          <w:rFonts w:ascii="Garamond" w:hAnsi="Garamond"/>
          <w:i/>
          <w:sz w:val="28"/>
          <w:szCs w:val="28"/>
        </w:rPr>
        <w:t xml:space="preserve">, </w:t>
      </w:r>
      <w:proofErr w:type="spellStart"/>
      <w:r w:rsidR="00E63B5D" w:rsidRPr="00787D6B">
        <w:rPr>
          <w:rFonts w:ascii="Garamond" w:hAnsi="Garamond"/>
          <w:i/>
          <w:sz w:val="28"/>
          <w:szCs w:val="28"/>
        </w:rPr>
        <w:t>Bund</w:t>
      </w:r>
      <w:proofErr w:type="spellEnd"/>
      <w:r w:rsidR="00E63B5D" w:rsidRPr="00787D6B">
        <w:rPr>
          <w:rFonts w:ascii="Garamond" w:hAnsi="Garamond"/>
          <w:i/>
          <w:sz w:val="28"/>
          <w:szCs w:val="28"/>
        </w:rPr>
        <w:t xml:space="preserve"> </w:t>
      </w:r>
      <w:proofErr w:type="spellStart"/>
      <w:r w:rsidR="00E63B5D" w:rsidRPr="00787D6B">
        <w:rPr>
          <w:rFonts w:ascii="Garamond" w:hAnsi="Garamond"/>
          <w:i/>
          <w:sz w:val="28"/>
          <w:szCs w:val="28"/>
        </w:rPr>
        <w:t>für</w:t>
      </w:r>
      <w:proofErr w:type="spellEnd"/>
      <w:r w:rsidR="00E63B5D" w:rsidRPr="00787D6B">
        <w:rPr>
          <w:rFonts w:ascii="Garamond" w:hAnsi="Garamond"/>
          <w:i/>
          <w:sz w:val="28"/>
          <w:szCs w:val="28"/>
        </w:rPr>
        <w:t xml:space="preserve"> </w:t>
      </w:r>
      <w:proofErr w:type="spellStart"/>
      <w:r w:rsidR="00E63B5D" w:rsidRPr="00787D6B">
        <w:rPr>
          <w:rFonts w:ascii="Garamond" w:hAnsi="Garamond"/>
          <w:i/>
          <w:sz w:val="28"/>
          <w:szCs w:val="28"/>
        </w:rPr>
        <w:t>Umwelt</w:t>
      </w:r>
      <w:proofErr w:type="spellEnd"/>
      <w:r w:rsidR="00E63B5D" w:rsidRPr="00787D6B">
        <w:rPr>
          <w:rFonts w:ascii="Garamond" w:hAnsi="Garamond"/>
          <w:i/>
          <w:sz w:val="28"/>
          <w:szCs w:val="28"/>
        </w:rPr>
        <w:t xml:space="preserve"> und </w:t>
      </w:r>
      <w:proofErr w:type="spellStart"/>
      <w:r w:rsidR="00E63B5D" w:rsidRPr="00787D6B">
        <w:rPr>
          <w:rFonts w:ascii="Garamond" w:hAnsi="Garamond"/>
          <w:i/>
          <w:sz w:val="28"/>
          <w:szCs w:val="28"/>
        </w:rPr>
        <w:t>Naturschutz</w:t>
      </w:r>
      <w:proofErr w:type="spellEnd"/>
      <w:r w:rsidR="00E63B5D" w:rsidRPr="00787D6B">
        <w:rPr>
          <w:rFonts w:ascii="Garamond" w:hAnsi="Garamond"/>
          <w:i/>
          <w:sz w:val="28"/>
          <w:szCs w:val="28"/>
        </w:rPr>
        <w:t xml:space="preserve"> </w:t>
      </w:r>
      <w:proofErr w:type="spellStart"/>
      <w:r w:rsidR="00E63B5D" w:rsidRPr="00787D6B">
        <w:rPr>
          <w:rFonts w:ascii="Garamond" w:hAnsi="Garamond"/>
          <w:i/>
          <w:sz w:val="28"/>
          <w:szCs w:val="28"/>
        </w:rPr>
        <w:t>Deutschland</w:t>
      </w:r>
      <w:proofErr w:type="spellEnd"/>
      <w:r w:rsidR="00E63B5D" w:rsidRPr="00787D6B">
        <w:rPr>
          <w:rFonts w:ascii="Garamond" w:hAnsi="Garamond"/>
          <w:i/>
          <w:sz w:val="28"/>
          <w:szCs w:val="28"/>
        </w:rPr>
        <w:t xml:space="preserve"> (</w:t>
      </w:r>
      <w:proofErr w:type="spellStart"/>
      <w:r w:rsidR="00E63B5D" w:rsidRPr="00787D6B">
        <w:rPr>
          <w:rFonts w:ascii="Garamond" w:hAnsi="Garamond"/>
          <w:i/>
          <w:sz w:val="28"/>
          <w:szCs w:val="28"/>
        </w:rPr>
        <w:t>Trianel</w:t>
      </w:r>
      <w:proofErr w:type="spellEnd"/>
      <w:r w:rsidR="00E63B5D" w:rsidRPr="00787D6B">
        <w:rPr>
          <w:rFonts w:ascii="Garamond" w:hAnsi="Garamond"/>
          <w:i/>
          <w:sz w:val="28"/>
          <w:szCs w:val="28"/>
        </w:rPr>
        <w:t>)</w:t>
      </w:r>
      <w:r w:rsidR="00E63B5D" w:rsidRPr="00787D6B">
        <w:rPr>
          <w:rFonts w:ascii="Garamond" w:hAnsi="Garamond"/>
          <w:sz w:val="28"/>
          <w:szCs w:val="28"/>
        </w:rPr>
        <w:t xml:space="preserve">, </w:t>
      </w:r>
      <w:r w:rsidR="001C7AC3" w:rsidRPr="00787D6B">
        <w:rPr>
          <w:rFonts w:ascii="Garamond" w:hAnsi="Garamond"/>
          <w:sz w:val="28"/>
          <w:szCs w:val="28"/>
        </w:rPr>
        <w:t>C</w:t>
      </w:r>
      <w:r w:rsidR="001C7AC3" w:rsidRPr="00787D6B">
        <w:rPr>
          <w:rFonts w:ascii="Times New Roman" w:hAnsi="Times New Roman" w:cs="Times New Roman"/>
          <w:sz w:val="28"/>
          <w:szCs w:val="28"/>
        </w:rPr>
        <w:t>‑</w:t>
      </w:r>
      <w:r w:rsidR="001C7AC3" w:rsidRPr="00787D6B">
        <w:rPr>
          <w:rFonts w:ascii="Garamond" w:hAnsi="Garamond"/>
          <w:sz w:val="28"/>
          <w:szCs w:val="28"/>
        </w:rPr>
        <w:t xml:space="preserve">115/09, </w:t>
      </w:r>
      <w:r w:rsidR="00274534" w:rsidRPr="00787D6B">
        <w:rPr>
          <w:rFonts w:ascii="Garamond" w:hAnsi="Garamond"/>
          <w:sz w:val="28"/>
          <w:szCs w:val="28"/>
        </w:rPr>
        <w:t xml:space="preserve">EU:C:2011:289, </w:t>
      </w:r>
      <w:r w:rsidR="00E63B5D" w:rsidRPr="00787D6B">
        <w:rPr>
          <w:rFonts w:ascii="Garamond" w:hAnsi="Garamond"/>
          <w:sz w:val="28"/>
          <w:szCs w:val="28"/>
        </w:rPr>
        <w:t xml:space="preserve">confermata dalla </w:t>
      </w:r>
      <w:r w:rsidR="008C4B3D" w:rsidRPr="00787D6B">
        <w:rPr>
          <w:rFonts w:ascii="Garamond" w:hAnsi="Garamond"/>
          <w:sz w:val="28"/>
          <w:szCs w:val="28"/>
        </w:rPr>
        <w:t xml:space="preserve">successiva </w:t>
      </w:r>
      <w:r w:rsidR="00082618" w:rsidRPr="00787D6B">
        <w:rPr>
          <w:rFonts w:ascii="Garamond" w:hAnsi="Garamond"/>
          <w:sz w:val="28"/>
          <w:szCs w:val="28"/>
        </w:rPr>
        <w:t xml:space="preserve">del </w:t>
      </w:r>
      <w:r w:rsidR="00E63B5D" w:rsidRPr="00787D6B">
        <w:rPr>
          <w:rFonts w:ascii="Garamond" w:hAnsi="Garamond"/>
          <w:sz w:val="28"/>
          <w:szCs w:val="28"/>
        </w:rPr>
        <w:t xml:space="preserve">7 novembre 2013, </w:t>
      </w:r>
      <w:proofErr w:type="spellStart"/>
      <w:r w:rsidR="00E63B5D" w:rsidRPr="00787D6B">
        <w:rPr>
          <w:rFonts w:ascii="Garamond" w:hAnsi="Garamond"/>
          <w:i/>
          <w:sz w:val="28"/>
          <w:szCs w:val="28"/>
        </w:rPr>
        <w:t>Gemeinde</w:t>
      </w:r>
      <w:proofErr w:type="spellEnd"/>
      <w:r w:rsidR="00E63B5D" w:rsidRPr="00787D6B">
        <w:rPr>
          <w:rFonts w:ascii="Garamond" w:hAnsi="Garamond"/>
          <w:i/>
          <w:sz w:val="28"/>
          <w:szCs w:val="28"/>
        </w:rPr>
        <w:t xml:space="preserve"> </w:t>
      </w:r>
      <w:proofErr w:type="spellStart"/>
      <w:r w:rsidR="00E63B5D" w:rsidRPr="00787D6B">
        <w:rPr>
          <w:rFonts w:ascii="Garamond" w:hAnsi="Garamond"/>
          <w:i/>
          <w:sz w:val="28"/>
          <w:szCs w:val="28"/>
        </w:rPr>
        <w:t>Altrip</w:t>
      </w:r>
      <w:proofErr w:type="spellEnd"/>
      <w:r w:rsidR="00381B55" w:rsidRPr="00787D6B">
        <w:rPr>
          <w:rFonts w:ascii="Garamond" w:hAnsi="Garamond"/>
          <w:sz w:val="28"/>
          <w:szCs w:val="28"/>
        </w:rPr>
        <w:t>, C-72/12</w:t>
      </w:r>
      <w:r w:rsidR="00E928B9" w:rsidRPr="00787D6B">
        <w:rPr>
          <w:rFonts w:ascii="Garamond" w:hAnsi="Garamond"/>
          <w:sz w:val="28"/>
          <w:szCs w:val="28"/>
        </w:rPr>
        <w:t>,</w:t>
      </w:r>
      <w:r w:rsidR="00E928B9" w:rsidRPr="00787D6B">
        <w:rPr>
          <w:sz w:val="28"/>
          <w:szCs w:val="28"/>
        </w:rPr>
        <w:t xml:space="preserve"> </w:t>
      </w:r>
      <w:r w:rsidR="00E928B9" w:rsidRPr="00787D6B">
        <w:rPr>
          <w:rFonts w:ascii="Garamond" w:hAnsi="Garamond"/>
          <w:sz w:val="28"/>
          <w:szCs w:val="28"/>
        </w:rPr>
        <w:t>EU:C:2013:712</w:t>
      </w:r>
      <w:r w:rsidR="00E63B5D" w:rsidRPr="00787D6B">
        <w:rPr>
          <w:rFonts w:ascii="Garamond" w:hAnsi="Garamond"/>
          <w:sz w:val="28"/>
          <w:szCs w:val="28"/>
        </w:rPr>
        <w:t>.</w:t>
      </w:r>
      <w:r w:rsidR="00CD277D">
        <w:rPr>
          <w:rFonts w:ascii="Garamond" w:hAnsi="Garamond"/>
          <w:sz w:val="28"/>
          <w:szCs w:val="28"/>
        </w:rPr>
        <w:t xml:space="preserve"> A questa</w:t>
      </w:r>
    </w:p>
  </w:footnote>
  <w:footnote w:id="36">
    <w:p w14:paraId="7C2DD32D" w14:textId="46335752" w:rsidR="003F41CE" w:rsidRPr="001F2297" w:rsidRDefault="003F41CE" w:rsidP="001F2297">
      <w:pPr>
        <w:pStyle w:val="Testonotaapidipagina"/>
        <w:jc w:val="both"/>
        <w:rPr>
          <w:rFonts w:ascii="Garamond" w:hAnsi="Garamond"/>
          <w:sz w:val="28"/>
          <w:szCs w:val="28"/>
        </w:rPr>
      </w:pPr>
      <w:r w:rsidRPr="001F2297">
        <w:rPr>
          <w:rStyle w:val="Rimandonotaapidipagina"/>
          <w:rFonts w:ascii="Garamond" w:hAnsi="Garamond"/>
          <w:sz w:val="28"/>
          <w:szCs w:val="28"/>
        </w:rPr>
        <w:footnoteRef/>
      </w:r>
      <w:r w:rsidRPr="001F2297">
        <w:rPr>
          <w:rFonts w:ascii="Garamond" w:hAnsi="Garamond"/>
          <w:sz w:val="28"/>
          <w:szCs w:val="28"/>
        </w:rPr>
        <w:t xml:space="preserve"> </w:t>
      </w:r>
      <w:r w:rsidR="001F2297" w:rsidRPr="001F2297">
        <w:rPr>
          <w:rFonts w:ascii="Garamond" w:hAnsi="Garamond"/>
          <w:sz w:val="28"/>
          <w:szCs w:val="28"/>
        </w:rPr>
        <w:t>S</w:t>
      </w:r>
      <w:r w:rsidRPr="001F2297">
        <w:rPr>
          <w:rFonts w:ascii="Garamond" w:hAnsi="Garamond"/>
          <w:sz w:val="28"/>
          <w:szCs w:val="28"/>
        </w:rPr>
        <w:t>u</w:t>
      </w:r>
      <w:r w:rsidR="009D303C">
        <w:rPr>
          <w:rFonts w:ascii="Garamond" w:hAnsi="Garamond"/>
          <w:sz w:val="28"/>
          <w:szCs w:val="28"/>
        </w:rPr>
        <w:t>l tema</w:t>
      </w:r>
      <w:r w:rsidRPr="001F2297">
        <w:rPr>
          <w:rFonts w:ascii="Garamond" w:hAnsi="Garamond"/>
          <w:sz w:val="28"/>
          <w:szCs w:val="28"/>
        </w:rPr>
        <w:t xml:space="preserve">, R. </w:t>
      </w:r>
      <w:proofErr w:type="spellStart"/>
      <w:r w:rsidRPr="001F2297">
        <w:rPr>
          <w:rFonts w:ascii="Garamond" w:hAnsi="Garamond"/>
          <w:sz w:val="28"/>
          <w:szCs w:val="28"/>
        </w:rPr>
        <w:t>Caranta</w:t>
      </w:r>
      <w:proofErr w:type="spellEnd"/>
      <w:r w:rsidRPr="001F2297">
        <w:rPr>
          <w:rFonts w:ascii="Garamond" w:hAnsi="Garamond"/>
          <w:sz w:val="28"/>
          <w:szCs w:val="28"/>
        </w:rPr>
        <w:t xml:space="preserve">, </w:t>
      </w:r>
      <w:r w:rsidRPr="001F2297">
        <w:rPr>
          <w:rFonts w:ascii="Garamond" w:hAnsi="Garamond"/>
          <w:i/>
          <w:sz w:val="28"/>
          <w:szCs w:val="28"/>
        </w:rPr>
        <w:t>La responsabilità extracontrattuale della pubblica amministrazione</w:t>
      </w:r>
      <w:r w:rsidRPr="001F2297">
        <w:rPr>
          <w:rFonts w:ascii="Garamond" w:hAnsi="Garamond"/>
          <w:sz w:val="28"/>
          <w:szCs w:val="28"/>
        </w:rPr>
        <w:t>,</w:t>
      </w:r>
      <w:r w:rsidR="001F2297" w:rsidRPr="001F2297">
        <w:rPr>
          <w:rFonts w:ascii="Garamond" w:hAnsi="Garamond"/>
          <w:sz w:val="28"/>
          <w:szCs w:val="28"/>
        </w:rPr>
        <w:t xml:space="preserve"> </w:t>
      </w:r>
      <w:proofErr w:type="spellStart"/>
      <w:r w:rsidR="001F2297" w:rsidRPr="001F2297">
        <w:rPr>
          <w:rFonts w:ascii="Garamond" w:hAnsi="Garamond"/>
          <w:sz w:val="28"/>
          <w:szCs w:val="28"/>
        </w:rPr>
        <w:t>Giuffrè</w:t>
      </w:r>
      <w:proofErr w:type="spellEnd"/>
      <w:r w:rsidR="001F2297" w:rsidRPr="001F2297">
        <w:rPr>
          <w:rFonts w:ascii="Garamond" w:hAnsi="Garamond"/>
          <w:sz w:val="28"/>
          <w:szCs w:val="28"/>
        </w:rPr>
        <w:t xml:space="preserve">, 1993, </w:t>
      </w:r>
      <w:proofErr w:type="spellStart"/>
      <w:r w:rsidR="001F2297" w:rsidRPr="001F2297">
        <w:rPr>
          <w:rFonts w:ascii="Garamond" w:hAnsi="Garamond"/>
          <w:sz w:val="28"/>
          <w:szCs w:val="28"/>
        </w:rPr>
        <w:t>pagg</w:t>
      </w:r>
      <w:proofErr w:type="spellEnd"/>
      <w:r w:rsidR="001F2297" w:rsidRPr="001F2297">
        <w:rPr>
          <w:rFonts w:ascii="Garamond" w:hAnsi="Garamond"/>
          <w:sz w:val="28"/>
          <w:szCs w:val="28"/>
        </w:rPr>
        <w:t xml:space="preserve">. 393 </w:t>
      </w:r>
      <w:proofErr w:type="spellStart"/>
      <w:r w:rsidR="001F2297" w:rsidRPr="001F2297">
        <w:rPr>
          <w:rFonts w:ascii="Garamond" w:hAnsi="Garamond"/>
          <w:sz w:val="28"/>
          <w:szCs w:val="28"/>
        </w:rPr>
        <w:t>ss</w:t>
      </w:r>
      <w:proofErr w:type="spellEnd"/>
      <w:r w:rsidR="00CD277D">
        <w:rPr>
          <w:rFonts w:ascii="Garamond" w:hAnsi="Garamond"/>
          <w:sz w:val="28"/>
          <w:szCs w:val="28"/>
        </w:rPr>
        <w:t>;</w:t>
      </w:r>
      <w:r w:rsidR="00CD277D" w:rsidRPr="00CD277D">
        <w:t xml:space="preserve"> </w:t>
      </w:r>
      <w:r w:rsidR="009D303C" w:rsidRPr="007702A5">
        <w:rPr>
          <w:rFonts w:ascii="Garamond" w:hAnsi="Garamond"/>
          <w:sz w:val="28"/>
          <w:szCs w:val="28"/>
        </w:rPr>
        <w:t xml:space="preserve">per </w:t>
      </w:r>
      <w:r w:rsidR="00CD277D" w:rsidRPr="00CD277D">
        <w:rPr>
          <w:rFonts w:ascii="Garamond" w:hAnsi="Garamond"/>
          <w:sz w:val="28"/>
          <w:szCs w:val="28"/>
        </w:rPr>
        <w:t xml:space="preserve">A. Bartolini, </w:t>
      </w:r>
      <w:r w:rsidR="00CD277D" w:rsidRPr="00BB3596">
        <w:rPr>
          <w:rFonts w:ascii="Garamond" w:hAnsi="Garamond"/>
          <w:i/>
          <w:sz w:val="28"/>
          <w:szCs w:val="28"/>
        </w:rPr>
        <w:t>Il risarcimento del danno</w:t>
      </w:r>
      <w:r w:rsidR="00CD277D">
        <w:rPr>
          <w:rFonts w:ascii="Garamond" w:hAnsi="Garamond"/>
          <w:sz w:val="28"/>
          <w:szCs w:val="28"/>
        </w:rPr>
        <w:t xml:space="preserve">, cit., </w:t>
      </w:r>
      <w:r w:rsidR="00BB3596">
        <w:rPr>
          <w:rFonts w:ascii="Garamond" w:hAnsi="Garamond"/>
          <w:sz w:val="28"/>
          <w:szCs w:val="28"/>
        </w:rPr>
        <w:t xml:space="preserve">questa differente impostazione culturale, seppure attenuata </w:t>
      </w:r>
      <w:proofErr w:type="spellStart"/>
      <w:r w:rsidR="00BB3596">
        <w:rPr>
          <w:rFonts w:ascii="Garamond" w:hAnsi="Garamond"/>
          <w:sz w:val="28"/>
          <w:szCs w:val="28"/>
        </w:rPr>
        <w:t>da</w:t>
      </w:r>
      <w:proofErr w:type="spellEnd"/>
      <w:r w:rsidR="00BB3596">
        <w:rPr>
          <w:rFonts w:ascii="Garamond" w:hAnsi="Garamond"/>
          <w:sz w:val="28"/>
          <w:szCs w:val="28"/>
        </w:rPr>
        <w:t xml:space="preserve"> un’interpretazione estensiva della Corte di giustizia (</w:t>
      </w:r>
      <w:proofErr w:type="spellStart"/>
      <w:r w:rsidR="00BB3596" w:rsidRPr="00BB3596">
        <w:rPr>
          <w:rFonts w:ascii="Garamond" w:hAnsi="Garamond"/>
          <w:sz w:val="28"/>
          <w:szCs w:val="28"/>
        </w:rPr>
        <w:t>pagg</w:t>
      </w:r>
      <w:proofErr w:type="spellEnd"/>
      <w:r w:rsidR="00BB3596" w:rsidRPr="00BB3596">
        <w:rPr>
          <w:rFonts w:ascii="Garamond" w:hAnsi="Garamond"/>
          <w:sz w:val="28"/>
          <w:szCs w:val="28"/>
        </w:rPr>
        <w:t>.</w:t>
      </w:r>
      <w:r w:rsidR="00BB3596">
        <w:rPr>
          <w:rFonts w:ascii="Garamond" w:hAnsi="Garamond"/>
          <w:sz w:val="28"/>
          <w:szCs w:val="28"/>
        </w:rPr>
        <w:t xml:space="preserve"> 54 ss</w:t>
      </w:r>
      <w:r w:rsidR="001F2297" w:rsidRPr="001F2297">
        <w:rPr>
          <w:rFonts w:ascii="Garamond" w:hAnsi="Garamond"/>
          <w:sz w:val="28"/>
          <w:szCs w:val="28"/>
        </w:rPr>
        <w:t>.</w:t>
      </w:r>
      <w:r w:rsidR="00BB3596">
        <w:rPr>
          <w:rFonts w:ascii="Garamond" w:hAnsi="Garamond"/>
          <w:sz w:val="28"/>
          <w:szCs w:val="28"/>
        </w:rPr>
        <w:t>), rispetto al modello di responsabilità dell'ordinamento italiano</w:t>
      </w:r>
      <w:r w:rsidR="009D303C">
        <w:rPr>
          <w:rFonts w:ascii="Garamond" w:hAnsi="Garamond"/>
          <w:sz w:val="28"/>
          <w:szCs w:val="28"/>
        </w:rPr>
        <w:t xml:space="preserve"> costituisce uno dei fattori che ostacolano il dialogo con le corti interne.</w:t>
      </w:r>
    </w:p>
  </w:footnote>
  <w:footnote w:id="37">
    <w:p w14:paraId="1A6EA150" w14:textId="08559D36"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Le conclusioni partono dal presupposto che, perlomeno nel vigore della direttiva 2008/50, l’obbligo degli Stati membri di prevenire il superamento dei valori</w:t>
      </w:r>
      <w:r w:rsidR="00BB2866" w:rsidRPr="00787D6B">
        <w:rPr>
          <w:rFonts w:ascii="Garamond" w:hAnsi="Garamond"/>
          <w:sz w:val="28"/>
          <w:szCs w:val="28"/>
        </w:rPr>
        <w:t>-</w:t>
      </w:r>
      <w:r w:rsidRPr="00787D6B">
        <w:rPr>
          <w:rFonts w:ascii="Garamond" w:hAnsi="Garamond"/>
          <w:sz w:val="28"/>
          <w:szCs w:val="28"/>
        </w:rPr>
        <w:t xml:space="preserve">limite per gli inquinanti atmosferici considerati è specifico e direttamente applicabile, così come è chiaro quello di predisporre piani per la qualità dell'aria, in caso di violazione di </w:t>
      </w:r>
      <w:r w:rsidR="00AA4AF7" w:rsidRPr="00787D6B">
        <w:rPr>
          <w:rFonts w:ascii="Garamond" w:hAnsi="Garamond"/>
          <w:sz w:val="28"/>
          <w:szCs w:val="28"/>
        </w:rPr>
        <w:t xml:space="preserve">tali </w:t>
      </w:r>
      <w:r w:rsidRPr="00787D6B">
        <w:rPr>
          <w:rFonts w:ascii="Garamond" w:hAnsi="Garamond"/>
          <w:sz w:val="28"/>
          <w:szCs w:val="28"/>
        </w:rPr>
        <w:t xml:space="preserve">valori (punti 68 e 69).Inoltre, i singoli devono poter far valere le norme imperative di tali direttive in quanto diritti, visto che esse tutelano l'interesse </w:t>
      </w:r>
      <w:r w:rsidR="00AA4AF7" w:rsidRPr="00787D6B">
        <w:rPr>
          <w:rFonts w:ascii="Garamond" w:hAnsi="Garamond"/>
          <w:sz w:val="28"/>
          <w:szCs w:val="28"/>
        </w:rPr>
        <w:t>al</w:t>
      </w:r>
      <w:r w:rsidRPr="00787D6B">
        <w:rPr>
          <w:rFonts w:ascii="Garamond" w:hAnsi="Garamond"/>
          <w:sz w:val="28"/>
          <w:szCs w:val="28"/>
        </w:rPr>
        <w:t xml:space="preserve">la salute che presenta natura personale e, quindi, individuale (punti 76 e 77). Osservano </w:t>
      </w:r>
      <w:r w:rsidR="00F858C7" w:rsidRPr="00787D6B">
        <w:rPr>
          <w:rFonts w:ascii="Garamond" w:hAnsi="Garamond"/>
          <w:sz w:val="28"/>
          <w:szCs w:val="28"/>
        </w:rPr>
        <w:t xml:space="preserve">poi </w:t>
      </w:r>
      <w:r w:rsidRPr="00787D6B">
        <w:rPr>
          <w:rFonts w:ascii="Garamond" w:hAnsi="Garamond"/>
          <w:sz w:val="28"/>
          <w:szCs w:val="28"/>
        </w:rPr>
        <w:t>che la cerchia dei soggetti beneficiari non è indeterminata perché il superamento dei valori</w:t>
      </w:r>
      <w:r w:rsidR="00F858C7" w:rsidRPr="00787D6B">
        <w:rPr>
          <w:rFonts w:ascii="Garamond" w:hAnsi="Garamond"/>
          <w:sz w:val="28"/>
          <w:szCs w:val="28"/>
        </w:rPr>
        <w:t>-</w:t>
      </w:r>
      <w:r w:rsidRPr="00787D6B">
        <w:rPr>
          <w:rFonts w:ascii="Garamond" w:hAnsi="Garamond"/>
          <w:sz w:val="28"/>
          <w:szCs w:val="28"/>
        </w:rPr>
        <w:t>limite riguarda soprattutto determinate categorie che vivono o lavorano in zone particolarmente inquinate (punto 100) e perciò sostengono che le norme delle direttive sono preordinate a conferire diritti ai singoli.</w:t>
      </w:r>
    </w:p>
  </w:footnote>
  <w:footnote w:id="38">
    <w:p w14:paraId="212F37BB" w14:textId="3A624EC5"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Sentenze del 30 maggio 1991, </w:t>
      </w:r>
      <w:r w:rsidRPr="00787D6B">
        <w:rPr>
          <w:rFonts w:ascii="Garamond" w:hAnsi="Garamond"/>
          <w:i/>
          <w:sz w:val="28"/>
          <w:szCs w:val="28"/>
        </w:rPr>
        <w:t>Commissione/Germania</w:t>
      </w:r>
      <w:r w:rsidRPr="00787D6B">
        <w:rPr>
          <w:rFonts w:ascii="Garamond" w:hAnsi="Garamond"/>
          <w:sz w:val="28"/>
          <w:szCs w:val="28"/>
        </w:rPr>
        <w:t xml:space="preserve"> (biossido di zolfo e particelle in sospensione)</w:t>
      </w:r>
      <w:r w:rsidR="00455335" w:rsidRPr="00787D6B">
        <w:rPr>
          <w:rFonts w:ascii="Garamond" w:hAnsi="Garamond"/>
          <w:sz w:val="28"/>
          <w:szCs w:val="28"/>
        </w:rPr>
        <w:t>,</w:t>
      </w:r>
      <w:r w:rsidRPr="00787D6B">
        <w:rPr>
          <w:rFonts w:ascii="Garamond" w:hAnsi="Garamond"/>
          <w:sz w:val="28"/>
          <w:szCs w:val="28"/>
        </w:rPr>
        <w:t xml:space="preserve"> C</w:t>
      </w:r>
      <w:r w:rsidR="0098456C" w:rsidRPr="00787D6B">
        <w:rPr>
          <w:rFonts w:ascii="Garamond" w:hAnsi="Garamond"/>
          <w:sz w:val="28"/>
          <w:szCs w:val="28"/>
        </w:rPr>
        <w:t>-</w:t>
      </w:r>
      <w:r w:rsidRPr="00787D6B">
        <w:rPr>
          <w:rFonts w:ascii="Garamond" w:hAnsi="Garamond"/>
          <w:sz w:val="28"/>
          <w:szCs w:val="28"/>
        </w:rPr>
        <w:t>361/88, EU:C:1991:224, punto 16</w:t>
      </w:r>
      <w:r w:rsidR="00455335" w:rsidRPr="00787D6B">
        <w:rPr>
          <w:rFonts w:ascii="Garamond" w:hAnsi="Garamond"/>
          <w:sz w:val="28"/>
          <w:szCs w:val="28"/>
        </w:rPr>
        <w:t>,</w:t>
      </w:r>
      <w:r w:rsidRPr="00787D6B">
        <w:rPr>
          <w:rFonts w:ascii="Garamond" w:hAnsi="Garamond"/>
          <w:sz w:val="28"/>
          <w:szCs w:val="28"/>
        </w:rPr>
        <w:t xml:space="preserve"> e </w:t>
      </w:r>
      <w:r w:rsidRPr="00787D6B">
        <w:rPr>
          <w:rFonts w:ascii="Garamond" w:hAnsi="Garamond"/>
          <w:i/>
          <w:sz w:val="28"/>
          <w:szCs w:val="28"/>
        </w:rPr>
        <w:t>Commissione/Germania</w:t>
      </w:r>
      <w:r w:rsidRPr="00787D6B">
        <w:rPr>
          <w:rFonts w:ascii="Garamond" w:hAnsi="Garamond"/>
          <w:sz w:val="28"/>
          <w:szCs w:val="28"/>
        </w:rPr>
        <w:t xml:space="preserve"> (piombo)</w:t>
      </w:r>
      <w:r w:rsidR="00455335" w:rsidRPr="00787D6B">
        <w:rPr>
          <w:rFonts w:ascii="Garamond" w:hAnsi="Garamond"/>
          <w:sz w:val="28"/>
          <w:szCs w:val="28"/>
        </w:rPr>
        <w:t xml:space="preserve">, </w:t>
      </w:r>
      <w:r w:rsidRPr="00787D6B">
        <w:rPr>
          <w:rFonts w:ascii="Garamond" w:hAnsi="Garamond"/>
          <w:sz w:val="28"/>
          <w:szCs w:val="28"/>
        </w:rPr>
        <w:t>C</w:t>
      </w:r>
      <w:r w:rsidR="0098456C" w:rsidRPr="00787D6B">
        <w:rPr>
          <w:rFonts w:ascii="Garamond" w:hAnsi="Garamond"/>
          <w:sz w:val="28"/>
          <w:szCs w:val="28"/>
        </w:rPr>
        <w:t>-</w:t>
      </w:r>
      <w:r w:rsidRPr="00787D6B">
        <w:rPr>
          <w:rFonts w:ascii="Garamond" w:hAnsi="Garamond"/>
          <w:sz w:val="28"/>
          <w:szCs w:val="28"/>
        </w:rPr>
        <w:t>59/</w:t>
      </w:r>
      <w:r w:rsidR="007702A5">
        <w:rPr>
          <w:rFonts w:ascii="Garamond" w:hAnsi="Garamond"/>
          <w:sz w:val="28"/>
          <w:szCs w:val="28"/>
        </w:rPr>
        <w:t>89, EU:C:1991:225, punto 19; v. anche</w:t>
      </w:r>
      <w:r w:rsidRPr="00787D6B">
        <w:rPr>
          <w:rFonts w:ascii="Garamond" w:hAnsi="Garamond"/>
          <w:sz w:val="28"/>
          <w:szCs w:val="28"/>
        </w:rPr>
        <w:t xml:space="preserve"> sentenza del 17 ottobre 1991, </w:t>
      </w:r>
      <w:r w:rsidRPr="00787D6B">
        <w:rPr>
          <w:rFonts w:ascii="Garamond" w:hAnsi="Garamond"/>
          <w:i/>
          <w:sz w:val="28"/>
          <w:szCs w:val="28"/>
        </w:rPr>
        <w:t>Commissione/Germania</w:t>
      </w:r>
      <w:r w:rsidRPr="00787D6B">
        <w:rPr>
          <w:rFonts w:ascii="Garamond" w:hAnsi="Garamond"/>
          <w:sz w:val="28"/>
          <w:szCs w:val="28"/>
        </w:rPr>
        <w:t xml:space="preserve"> (acqua potabile)</w:t>
      </w:r>
      <w:r w:rsidR="00BE6AE3" w:rsidRPr="00787D6B">
        <w:rPr>
          <w:rFonts w:ascii="Garamond" w:hAnsi="Garamond"/>
          <w:sz w:val="28"/>
          <w:szCs w:val="28"/>
        </w:rPr>
        <w:t xml:space="preserve">, </w:t>
      </w:r>
      <w:r w:rsidRPr="00787D6B">
        <w:rPr>
          <w:rFonts w:ascii="Garamond" w:hAnsi="Garamond"/>
          <w:sz w:val="28"/>
          <w:szCs w:val="28"/>
        </w:rPr>
        <w:t>C</w:t>
      </w:r>
      <w:r w:rsidR="00654F1F" w:rsidRPr="00787D6B">
        <w:rPr>
          <w:rFonts w:ascii="Garamond" w:hAnsi="Garamond"/>
          <w:sz w:val="28"/>
          <w:szCs w:val="28"/>
        </w:rPr>
        <w:t>-</w:t>
      </w:r>
      <w:r w:rsidRPr="00787D6B">
        <w:rPr>
          <w:rFonts w:ascii="Garamond" w:hAnsi="Garamond"/>
          <w:sz w:val="28"/>
          <w:szCs w:val="28"/>
        </w:rPr>
        <w:t>58/89, EU:C:1991:391, punto 14.</w:t>
      </w:r>
    </w:p>
  </w:footnote>
  <w:footnote w:id="39">
    <w:p w14:paraId="2B79C738" w14:textId="5BE43782"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Sentenze del 25 luglio 2008, </w:t>
      </w:r>
      <w:proofErr w:type="spellStart"/>
      <w:r w:rsidRPr="00787D6B">
        <w:rPr>
          <w:rFonts w:ascii="Garamond" w:hAnsi="Garamond"/>
          <w:i/>
          <w:sz w:val="28"/>
          <w:szCs w:val="28"/>
        </w:rPr>
        <w:t>Janecek</w:t>
      </w:r>
      <w:proofErr w:type="spellEnd"/>
      <w:r w:rsidR="00BE6AE3" w:rsidRPr="00787D6B">
        <w:rPr>
          <w:rFonts w:ascii="Garamond" w:hAnsi="Garamond"/>
          <w:sz w:val="28"/>
          <w:szCs w:val="28"/>
        </w:rPr>
        <w:t xml:space="preserve">, </w:t>
      </w:r>
      <w:r w:rsidRPr="00787D6B">
        <w:rPr>
          <w:rFonts w:ascii="Garamond" w:hAnsi="Garamond"/>
          <w:sz w:val="28"/>
          <w:szCs w:val="28"/>
        </w:rPr>
        <w:t>C</w:t>
      </w:r>
      <w:r w:rsidR="00654F1F" w:rsidRPr="00787D6B">
        <w:rPr>
          <w:rFonts w:ascii="Garamond" w:hAnsi="Garamond"/>
          <w:sz w:val="28"/>
          <w:szCs w:val="28"/>
        </w:rPr>
        <w:t>-</w:t>
      </w:r>
      <w:r w:rsidRPr="00787D6B">
        <w:rPr>
          <w:rFonts w:ascii="Garamond" w:hAnsi="Garamond"/>
          <w:sz w:val="28"/>
          <w:szCs w:val="28"/>
        </w:rPr>
        <w:t xml:space="preserve">237/07, EU:C:2008:447, punti 37 e 38, del 19 novembre 2014, del 26 giugno 2019, </w:t>
      </w:r>
      <w:proofErr w:type="spellStart"/>
      <w:r w:rsidRPr="00787D6B">
        <w:rPr>
          <w:rFonts w:ascii="Garamond" w:hAnsi="Garamond"/>
          <w:i/>
          <w:sz w:val="28"/>
          <w:szCs w:val="28"/>
        </w:rPr>
        <w:t>Craeynest</w:t>
      </w:r>
      <w:proofErr w:type="spellEnd"/>
      <w:r w:rsidRPr="00787D6B">
        <w:rPr>
          <w:rFonts w:ascii="Garamond" w:hAnsi="Garamond"/>
          <w:i/>
          <w:sz w:val="28"/>
          <w:szCs w:val="28"/>
        </w:rPr>
        <w:t xml:space="preserve"> e a</w:t>
      </w:r>
      <w:r w:rsidRPr="00787D6B">
        <w:rPr>
          <w:rFonts w:ascii="Garamond" w:hAnsi="Garamond"/>
          <w:sz w:val="28"/>
          <w:szCs w:val="28"/>
        </w:rPr>
        <w:t>.</w:t>
      </w:r>
      <w:r w:rsidR="0031616D" w:rsidRPr="00787D6B">
        <w:rPr>
          <w:rFonts w:ascii="Garamond" w:hAnsi="Garamond"/>
          <w:sz w:val="28"/>
          <w:szCs w:val="28"/>
        </w:rPr>
        <w:t xml:space="preserve">, </w:t>
      </w:r>
      <w:r w:rsidRPr="00787D6B">
        <w:rPr>
          <w:rFonts w:ascii="Garamond" w:hAnsi="Garamond"/>
          <w:sz w:val="28"/>
          <w:szCs w:val="28"/>
        </w:rPr>
        <w:t>C</w:t>
      </w:r>
      <w:r w:rsidR="00654F1F" w:rsidRPr="00787D6B">
        <w:rPr>
          <w:rFonts w:ascii="Garamond" w:hAnsi="Garamond"/>
          <w:sz w:val="28"/>
          <w:szCs w:val="28"/>
        </w:rPr>
        <w:t>-</w:t>
      </w:r>
      <w:r w:rsidRPr="00787D6B">
        <w:rPr>
          <w:rFonts w:ascii="Garamond" w:hAnsi="Garamond"/>
          <w:sz w:val="28"/>
          <w:szCs w:val="28"/>
        </w:rPr>
        <w:t>723/17, EU:C:2019:533, punti 53 e 54</w:t>
      </w:r>
      <w:r w:rsidR="0031616D" w:rsidRPr="00787D6B">
        <w:rPr>
          <w:rFonts w:ascii="Garamond" w:hAnsi="Garamond"/>
          <w:sz w:val="28"/>
          <w:szCs w:val="28"/>
        </w:rPr>
        <w:t>,</w:t>
      </w:r>
      <w:r w:rsidRPr="00787D6B">
        <w:rPr>
          <w:rFonts w:ascii="Garamond" w:hAnsi="Garamond"/>
          <w:sz w:val="28"/>
          <w:szCs w:val="28"/>
        </w:rPr>
        <w:t xml:space="preserve"> nonché del 19 dicembre 2019, </w:t>
      </w:r>
      <w:proofErr w:type="spellStart"/>
      <w:r w:rsidRPr="00787D6B">
        <w:rPr>
          <w:rFonts w:ascii="Garamond" w:hAnsi="Garamond"/>
          <w:i/>
          <w:sz w:val="28"/>
          <w:szCs w:val="28"/>
        </w:rPr>
        <w:t>Deutsche</w:t>
      </w:r>
      <w:proofErr w:type="spellEnd"/>
      <w:r w:rsidRPr="00787D6B">
        <w:rPr>
          <w:rFonts w:ascii="Garamond" w:hAnsi="Garamond"/>
          <w:i/>
          <w:sz w:val="28"/>
          <w:szCs w:val="28"/>
        </w:rPr>
        <w:t xml:space="preserve"> </w:t>
      </w:r>
      <w:proofErr w:type="spellStart"/>
      <w:r w:rsidRPr="00787D6B">
        <w:rPr>
          <w:rFonts w:ascii="Garamond" w:hAnsi="Garamond"/>
          <w:i/>
          <w:sz w:val="28"/>
          <w:szCs w:val="28"/>
        </w:rPr>
        <w:t>Umwelthilfe</w:t>
      </w:r>
      <w:proofErr w:type="spellEnd"/>
      <w:r w:rsidR="0031616D" w:rsidRPr="00787D6B">
        <w:rPr>
          <w:rFonts w:ascii="Garamond" w:hAnsi="Garamond"/>
          <w:sz w:val="28"/>
          <w:szCs w:val="28"/>
        </w:rPr>
        <w:t xml:space="preserve">, </w:t>
      </w:r>
      <w:r w:rsidRPr="00787D6B">
        <w:rPr>
          <w:rFonts w:ascii="Garamond" w:hAnsi="Garamond"/>
          <w:sz w:val="28"/>
          <w:szCs w:val="28"/>
        </w:rPr>
        <w:t>C</w:t>
      </w:r>
      <w:r w:rsidR="00DC733C" w:rsidRPr="00787D6B">
        <w:rPr>
          <w:rFonts w:ascii="Garamond" w:hAnsi="Garamond"/>
          <w:sz w:val="28"/>
          <w:szCs w:val="28"/>
        </w:rPr>
        <w:t>-</w:t>
      </w:r>
      <w:r w:rsidRPr="00787D6B">
        <w:rPr>
          <w:rFonts w:ascii="Garamond" w:hAnsi="Garamond"/>
          <w:sz w:val="28"/>
          <w:szCs w:val="28"/>
        </w:rPr>
        <w:t>752/18, EU:C:2019:1114, punto 38</w:t>
      </w:r>
      <w:r w:rsidRPr="00787D6B">
        <w:rPr>
          <w:sz w:val="28"/>
          <w:szCs w:val="28"/>
        </w:rPr>
        <w:t xml:space="preserve">. </w:t>
      </w:r>
    </w:p>
  </w:footnote>
  <w:footnote w:id="40">
    <w:p w14:paraId="79DC715A" w14:textId="77777777"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G. Pino, </w:t>
      </w:r>
      <w:r w:rsidRPr="00787D6B">
        <w:rPr>
          <w:rFonts w:ascii="Garamond" w:hAnsi="Garamond"/>
          <w:i/>
          <w:sz w:val="28"/>
          <w:szCs w:val="28"/>
        </w:rPr>
        <w:t xml:space="preserve">Crisi dell’età dei </w:t>
      </w:r>
      <w:proofErr w:type="gramStart"/>
      <w:r w:rsidRPr="00787D6B">
        <w:rPr>
          <w:rFonts w:ascii="Garamond" w:hAnsi="Garamond"/>
          <w:i/>
          <w:sz w:val="28"/>
          <w:szCs w:val="28"/>
        </w:rPr>
        <w:t>diritti?</w:t>
      </w:r>
      <w:r w:rsidR="0034243C" w:rsidRPr="00787D6B">
        <w:rPr>
          <w:rFonts w:ascii="Garamond" w:hAnsi="Garamond"/>
          <w:sz w:val="28"/>
          <w:szCs w:val="28"/>
        </w:rPr>
        <w:t>,</w:t>
      </w:r>
      <w:proofErr w:type="gramEnd"/>
      <w:r w:rsidRPr="00787D6B">
        <w:rPr>
          <w:rFonts w:ascii="Garamond" w:hAnsi="Garamond"/>
          <w:sz w:val="28"/>
          <w:szCs w:val="28"/>
        </w:rPr>
        <w:t xml:space="preserve"> in Etica &amp; Politica, 2013, 1, pag. 87, specie pag. 106; id., Diritti soggettivi. Lineamenti di un’analisi teorica, in Materiali per una storia della cultura giuridica, 2009, 2, pag. 487.</w:t>
      </w:r>
    </w:p>
  </w:footnote>
  <w:footnote w:id="41">
    <w:p w14:paraId="18F58AE0" w14:textId="5D3FB22F"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B. Celano, </w:t>
      </w:r>
      <w:r w:rsidRPr="00787D6B">
        <w:rPr>
          <w:rFonts w:ascii="Garamond" w:hAnsi="Garamond"/>
          <w:i/>
          <w:sz w:val="28"/>
          <w:szCs w:val="28"/>
        </w:rPr>
        <w:t>I diritti nello Stato costituzionale</w:t>
      </w:r>
      <w:r w:rsidRPr="00787D6B">
        <w:rPr>
          <w:rFonts w:ascii="Garamond" w:hAnsi="Garamond"/>
          <w:sz w:val="28"/>
          <w:szCs w:val="28"/>
        </w:rPr>
        <w:t xml:space="preserve">, il Mulino, 2013, </w:t>
      </w:r>
      <w:r w:rsidR="00C97371" w:rsidRPr="00787D6B">
        <w:rPr>
          <w:rFonts w:ascii="Garamond" w:hAnsi="Garamond"/>
          <w:sz w:val="28"/>
          <w:szCs w:val="28"/>
        </w:rPr>
        <w:t>pag</w:t>
      </w:r>
      <w:r w:rsidRPr="00787D6B">
        <w:rPr>
          <w:rFonts w:ascii="Garamond" w:hAnsi="Garamond"/>
          <w:sz w:val="28"/>
          <w:szCs w:val="28"/>
        </w:rPr>
        <w:t>. 25 e 65 ss.</w:t>
      </w:r>
    </w:p>
  </w:footnote>
  <w:footnote w:id="42">
    <w:p w14:paraId="0AC3D5A2" w14:textId="358BCE00" w:rsidR="003B47A2" w:rsidRPr="00787D6B" w:rsidRDefault="003B47A2" w:rsidP="00787D6B">
      <w:pPr>
        <w:pStyle w:val="Testonotaapidipagina"/>
        <w:jc w:val="both"/>
        <w:rPr>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D’altronde è comunemente ammesso che "With the </w:t>
      </w:r>
      <w:proofErr w:type="spellStart"/>
      <w:r w:rsidRPr="00787D6B">
        <w:rPr>
          <w:rFonts w:ascii="Garamond" w:hAnsi="Garamond"/>
          <w:sz w:val="28"/>
          <w:szCs w:val="28"/>
        </w:rPr>
        <w:t>lack</w:t>
      </w:r>
      <w:proofErr w:type="spellEnd"/>
      <w:r w:rsidRPr="00787D6B">
        <w:rPr>
          <w:rFonts w:ascii="Garamond" w:hAnsi="Garamond"/>
          <w:sz w:val="28"/>
          <w:szCs w:val="28"/>
        </w:rPr>
        <w:t xml:space="preserve"> of </w:t>
      </w:r>
      <w:proofErr w:type="spellStart"/>
      <w:r w:rsidRPr="00787D6B">
        <w:rPr>
          <w:rFonts w:ascii="Garamond" w:hAnsi="Garamond"/>
          <w:sz w:val="28"/>
          <w:szCs w:val="28"/>
        </w:rPr>
        <w:t>autonomy</w:t>
      </w:r>
      <w:proofErr w:type="spellEnd"/>
      <w:r w:rsidRPr="00787D6B">
        <w:rPr>
          <w:rFonts w:ascii="Garamond" w:hAnsi="Garamond"/>
          <w:sz w:val="28"/>
          <w:szCs w:val="28"/>
        </w:rPr>
        <w:t xml:space="preserve">, </w:t>
      </w:r>
      <w:proofErr w:type="spellStart"/>
      <w:r w:rsidRPr="00787D6B">
        <w:rPr>
          <w:rFonts w:ascii="Garamond" w:hAnsi="Garamond"/>
          <w:sz w:val="28"/>
          <w:szCs w:val="28"/>
        </w:rPr>
        <w:t>essentially</w:t>
      </w:r>
      <w:proofErr w:type="spellEnd"/>
      <w:r w:rsidRPr="00787D6B">
        <w:rPr>
          <w:rFonts w:ascii="Garamond" w:hAnsi="Garamond"/>
          <w:sz w:val="28"/>
          <w:szCs w:val="28"/>
        </w:rPr>
        <w:t xml:space="preserve"> </w:t>
      </w:r>
      <w:proofErr w:type="spellStart"/>
      <w:r w:rsidRPr="00787D6B">
        <w:rPr>
          <w:rFonts w:ascii="Garamond" w:hAnsi="Garamond"/>
          <w:sz w:val="28"/>
          <w:szCs w:val="28"/>
        </w:rPr>
        <w:t>undetermined</w:t>
      </w:r>
      <w:proofErr w:type="spellEnd"/>
      <w:r w:rsidRPr="00787D6B">
        <w:rPr>
          <w:rFonts w:ascii="Garamond" w:hAnsi="Garamond"/>
          <w:sz w:val="28"/>
          <w:szCs w:val="28"/>
        </w:rPr>
        <w:t xml:space="preserve"> </w:t>
      </w:r>
      <w:proofErr w:type="spellStart"/>
      <w:r w:rsidRPr="00787D6B">
        <w:rPr>
          <w:rFonts w:ascii="Garamond" w:hAnsi="Garamond"/>
          <w:sz w:val="28"/>
          <w:szCs w:val="28"/>
        </w:rPr>
        <w:t>content</w:t>
      </w:r>
      <w:proofErr w:type="spellEnd"/>
      <w:r w:rsidRPr="00787D6B">
        <w:rPr>
          <w:rFonts w:ascii="Garamond" w:hAnsi="Garamond"/>
          <w:sz w:val="28"/>
          <w:szCs w:val="28"/>
        </w:rPr>
        <w:t xml:space="preserve">, </w:t>
      </w:r>
      <w:proofErr w:type="spellStart"/>
      <w:r w:rsidRPr="00787D6B">
        <w:rPr>
          <w:rFonts w:ascii="Garamond" w:hAnsi="Garamond"/>
          <w:sz w:val="28"/>
          <w:szCs w:val="28"/>
        </w:rPr>
        <w:t>practical</w:t>
      </w:r>
      <w:proofErr w:type="spellEnd"/>
      <w:r w:rsidRPr="00787D6B">
        <w:rPr>
          <w:rFonts w:ascii="Garamond" w:hAnsi="Garamond"/>
          <w:sz w:val="28"/>
          <w:szCs w:val="28"/>
        </w:rPr>
        <w:t xml:space="preserve"> non-</w:t>
      </w:r>
      <w:proofErr w:type="spellStart"/>
      <w:r w:rsidRPr="00787D6B">
        <w:rPr>
          <w:rFonts w:ascii="Garamond" w:hAnsi="Garamond"/>
          <w:sz w:val="28"/>
          <w:szCs w:val="28"/>
        </w:rPr>
        <w:t>justiciability</w:t>
      </w:r>
      <w:proofErr w:type="spellEnd"/>
      <w:r w:rsidRPr="00787D6B">
        <w:rPr>
          <w:rFonts w:ascii="Garamond" w:hAnsi="Garamond"/>
          <w:sz w:val="28"/>
          <w:szCs w:val="28"/>
        </w:rPr>
        <w:t xml:space="preserve">, and the </w:t>
      </w:r>
      <w:proofErr w:type="spellStart"/>
      <w:r w:rsidRPr="00787D6B">
        <w:rPr>
          <w:rFonts w:ascii="Garamond" w:hAnsi="Garamond"/>
          <w:sz w:val="28"/>
          <w:szCs w:val="28"/>
        </w:rPr>
        <w:t>absence</w:t>
      </w:r>
      <w:proofErr w:type="spellEnd"/>
      <w:r w:rsidRPr="00787D6B">
        <w:rPr>
          <w:rFonts w:ascii="Garamond" w:hAnsi="Garamond"/>
          <w:sz w:val="28"/>
          <w:szCs w:val="28"/>
        </w:rPr>
        <w:t xml:space="preserve"> </w:t>
      </w:r>
      <w:proofErr w:type="spellStart"/>
      <w:r w:rsidRPr="00787D6B">
        <w:rPr>
          <w:rFonts w:ascii="Garamond" w:hAnsi="Garamond"/>
          <w:sz w:val="28"/>
          <w:szCs w:val="28"/>
        </w:rPr>
        <w:t>at</w:t>
      </w:r>
      <w:proofErr w:type="spellEnd"/>
      <w:r w:rsidRPr="00787D6B">
        <w:rPr>
          <w:rFonts w:ascii="Garamond" w:hAnsi="Garamond"/>
          <w:sz w:val="28"/>
          <w:szCs w:val="28"/>
        </w:rPr>
        <w:t xml:space="preserve"> the </w:t>
      </w:r>
      <w:proofErr w:type="spellStart"/>
      <w:r w:rsidRPr="00787D6B">
        <w:rPr>
          <w:rFonts w:ascii="Garamond" w:hAnsi="Garamond"/>
          <w:sz w:val="28"/>
          <w:szCs w:val="28"/>
        </w:rPr>
        <w:t>international</w:t>
      </w:r>
      <w:proofErr w:type="spellEnd"/>
      <w:r w:rsidRPr="00787D6B">
        <w:rPr>
          <w:rFonts w:ascii="Garamond" w:hAnsi="Garamond"/>
          <w:sz w:val="28"/>
          <w:szCs w:val="28"/>
        </w:rPr>
        <w:t xml:space="preserve"> </w:t>
      </w:r>
      <w:proofErr w:type="spellStart"/>
      <w:r w:rsidRPr="00787D6B">
        <w:rPr>
          <w:rFonts w:ascii="Garamond" w:hAnsi="Garamond"/>
          <w:sz w:val="28"/>
          <w:szCs w:val="28"/>
        </w:rPr>
        <w:t>level</w:t>
      </w:r>
      <w:proofErr w:type="spellEnd"/>
      <w:r w:rsidRPr="00787D6B">
        <w:rPr>
          <w:rFonts w:ascii="Garamond" w:hAnsi="Garamond"/>
          <w:sz w:val="28"/>
          <w:szCs w:val="28"/>
        </w:rPr>
        <w:t xml:space="preserve">, </w:t>
      </w:r>
      <w:proofErr w:type="spellStart"/>
      <w:r w:rsidRPr="00787D6B">
        <w:rPr>
          <w:rFonts w:ascii="Garamond" w:hAnsi="Garamond"/>
          <w:sz w:val="28"/>
          <w:szCs w:val="28"/>
        </w:rPr>
        <w:t>it</w:t>
      </w:r>
      <w:proofErr w:type="spellEnd"/>
      <w:r w:rsidRPr="00787D6B">
        <w:rPr>
          <w:rFonts w:ascii="Garamond" w:hAnsi="Garamond"/>
          <w:sz w:val="28"/>
          <w:szCs w:val="28"/>
        </w:rPr>
        <w:t xml:space="preserve"> </w:t>
      </w:r>
      <w:proofErr w:type="spellStart"/>
      <w:r w:rsidRPr="00787D6B">
        <w:rPr>
          <w:rFonts w:ascii="Garamond" w:hAnsi="Garamond"/>
          <w:sz w:val="28"/>
          <w:szCs w:val="28"/>
        </w:rPr>
        <w:t>is</w:t>
      </w:r>
      <w:proofErr w:type="spellEnd"/>
      <w:r w:rsidRPr="00787D6B">
        <w:rPr>
          <w:rFonts w:ascii="Garamond" w:hAnsi="Garamond"/>
          <w:sz w:val="28"/>
          <w:szCs w:val="28"/>
        </w:rPr>
        <w:t xml:space="preserve"> </w:t>
      </w:r>
      <w:proofErr w:type="spellStart"/>
      <w:r w:rsidRPr="00787D6B">
        <w:rPr>
          <w:rFonts w:ascii="Garamond" w:hAnsi="Garamond"/>
          <w:sz w:val="28"/>
          <w:szCs w:val="28"/>
        </w:rPr>
        <w:t>difficult</w:t>
      </w:r>
      <w:proofErr w:type="spellEnd"/>
      <w:r w:rsidRPr="00787D6B">
        <w:rPr>
          <w:rFonts w:ascii="Garamond" w:hAnsi="Garamond"/>
          <w:sz w:val="28"/>
          <w:szCs w:val="28"/>
        </w:rPr>
        <w:t xml:space="preserve"> to </w:t>
      </w:r>
      <w:proofErr w:type="spellStart"/>
      <w:r w:rsidRPr="00787D6B">
        <w:rPr>
          <w:rFonts w:ascii="Garamond" w:hAnsi="Garamond"/>
          <w:sz w:val="28"/>
          <w:szCs w:val="28"/>
        </w:rPr>
        <w:t>ascribe</w:t>
      </w:r>
      <w:proofErr w:type="spellEnd"/>
      <w:r w:rsidRPr="00787D6B">
        <w:rPr>
          <w:rFonts w:ascii="Garamond" w:hAnsi="Garamond"/>
          <w:sz w:val="28"/>
          <w:szCs w:val="28"/>
        </w:rPr>
        <w:t xml:space="preserve"> </w:t>
      </w:r>
      <w:proofErr w:type="spellStart"/>
      <w:r w:rsidRPr="00787D6B">
        <w:rPr>
          <w:rFonts w:ascii="Garamond" w:hAnsi="Garamond"/>
          <w:sz w:val="28"/>
          <w:szCs w:val="28"/>
        </w:rPr>
        <w:t>legal</w:t>
      </w:r>
      <w:proofErr w:type="spellEnd"/>
      <w:r w:rsidRPr="00787D6B">
        <w:rPr>
          <w:rFonts w:ascii="Garamond" w:hAnsi="Garamond"/>
          <w:sz w:val="28"/>
          <w:szCs w:val="28"/>
        </w:rPr>
        <w:t xml:space="preserve"> </w:t>
      </w:r>
      <w:proofErr w:type="spellStart"/>
      <w:r w:rsidRPr="00787D6B">
        <w:rPr>
          <w:rFonts w:ascii="Garamond" w:hAnsi="Garamond"/>
          <w:sz w:val="28"/>
          <w:szCs w:val="28"/>
        </w:rPr>
        <w:t>normativity</w:t>
      </w:r>
      <w:proofErr w:type="spellEnd"/>
      <w:r w:rsidRPr="00787D6B">
        <w:rPr>
          <w:rFonts w:ascii="Garamond" w:hAnsi="Garamond"/>
          <w:sz w:val="28"/>
          <w:szCs w:val="28"/>
        </w:rPr>
        <w:t xml:space="preserve"> in the </w:t>
      </w:r>
      <w:proofErr w:type="spellStart"/>
      <w:r w:rsidRPr="00787D6B">
        <w:rPr>
          <w:rFonts w:ascii="Garamond" w:hAnsi="Garamond"/>
          <w:sz w:val="28"/>
          <w:szCs w:val="28"/>
        </w:rPr>
        <w:t>classical</w:t>
      </w:r>
      <w:proofErr w:type="spellEnd"/>
      <w:r w:rsidRPr="00787D6B">
        <w:rPr>
          <w:sz w:val="28"/>
          <w:szCs w:val="28"/>
        </w:rPr>
        <w:t xml:space="preserve"> </w:t>
      </w:r>
      <w:proofErr w:type="spellStart"/>
      <w:r w:rsidRPr="00787D6B">
        <w:rPr>
          <w:rFonts w:ascii="Garamond" w:hAnsi="Garamond"/>
          <w:sz w:val="28"/>
          <w:szCs w:val="28"/>
        </w:rPr>
        <w:t>sense</w:t>
      </w:r>
      <w:proofErr w:type="spellEnd"/>
      <w:r w:rsidRPr="00787D6B">
        <w:rPr>
          <w:rFonts w:ascii="Garamond" w:hAnsi="Garamond"/>
          <w:sz w:val="28"/>
          <w:szCs w:val="28"/>
        </w:rPr>
        <w:t xml:space="preserve"> to the right to </w:t>
      </w:r>
      <w:proofErr w:type="spellStart"/>
      <w:r w:rsidRPr="00787D6B">
        <w:rPr>
          <w:rFonts w:ascii="Garamond" w:hAnsi="Garamond"/>
          <w:sz w:val="28"/>
          <w:szCs w:val="28"/>
        </w:rPr>
        <w:t>breathe</w:t>
      </w:r>
      <w:proofErr w:type="spellEnd"/>
      <w:r w:rsidRPr="00787D6B">
        <w:rPr>
          <w:rFonts w:ascii="Garamond" w:hAnsi="Garamond"/>
          <w:sz w:val="28"/>
          <w:szCs w:val="28"/>
        </w:rPr>
        <w:t xml:space="preserve"> </w:t>
      </w:r>
      <w:proofErr w:type="spellStart"/>
      <w:r w:rsidRPr="00787D6B">
        <w:rPr>
          <w:rFonts w:ascii="Garamond" w:hAnsi="Garamond"/>
          <w:sz w:val="28"/>
          <w:szCs w:val="28"/>
        </w:rPr>
        <w:t>clean</w:t>
      </w:r>
      <w:proofErr w:type="spellEnd"/>
      <w:r w:rsidRPr="00787D6B">
        <w:rPr>
          <w:rFonts w:ascii="Garamond" w:hAnsi="Garamond"/>
          <w:sz w:val="28"/>
          <w:szCs w:val="28"/>
        </w:rPr>
        <w:t xml:space="preserve"> air" (</w:t>
      </w:r>
      <w:r w:rsidR="00787D6B" w:rsidRPr="00787D6B">
        <w:rPr>
          <w:rFonts w:ascii="Garamond" w:hAnsi="Garamond"/>
          <w:sz w:val="28"/>
          <w:szCs w:val="28"/>
        </w:rPr>
        <w:t xml:space="preserve">S. Jankovic, </w:t>
      </w:r>
      <w:proofErr w:type="spellStart"/>
      <w:r w:rsidR="00787D6B" w:rsidRPr="00787D6B">
        <w:rPr>
          <w:rFonts w:ascii="Garamond" w:hAnsi="Garamond"/>
          <w:i/>
          <w:sz w:val="28"/>
          <w:szCs w:val="28"/>
        </w:rPr>
        <w:t>Conceptual</w:t>
      </w:r>
      <w:proofErr w:type="spellEnd"/>
      <w:r w:rsidR="00787D6B" w:rsidRPr="00787D6B">
        <w:rPr>
          <w:rFonts w:ascii="Garamond" w:hAnsi="Garamond"/>
          <w:i/>
          <w:sz w:val="28"/>
          <w:szCs w:val="28"/>
        </w:rPr>
        <w:t xml:space="preserve"> </w:t>
      </w:r>
      <w:proofErr w:type="spellStart"/>
      <w:r w:rsidR="00787D6B" w:rsidRPr="00787D6B">
        <w:rPr>
          <w:rFonts w:ascii="Garamond" w:hAnsi="Garamond"/>
          <w:i/>
          <w:sz w:val="28"/>
          <w:szCs w:val="28"/>
        </w:rPr>
        <w:t>problems</w:t>
      </w:r>
      <w:proofErr w:type="spellEnd"/>
      <w:r w:rsidR="00787D6B" w:rsidRPr="00787D6B">
        <w:rPr>
          <w:rFonts w:ascii="Garamond" w:hAnsi="Garamond"/>
          <w:i/>
          <w:sz w:val="28"/>
          <w:szCs w:val="28"/>
        </w:rPr>
        <w:t xml:space="preserve"> of the right to </w:t>
      </w:r>
      <w:proofErr w:type="spellStart"/>
      <w:r w:rsidR="00787D6B" w:rsidRPr="00787D6B">
        <w:rPr>
          <w:rFonts w:ascii="Garamond" w:hAnsi="Garamond"/>
          <w:i/>
          <w:sz w:val="28"/>
          <w:szCs w:val="28"/>
        </w:rPr>
        <w:t>breathe</w:t>
      </w:r>
      <w:proofErr w:type="spellEnd"/>
      <w:r w:rsidR="00787D6B" w:rsidRPr="00787D6B">
        <w:rPr>
          <w:rFonts w:ascii="Garamond" w:hAnsi="Garamond"/>
          <w:i/>
          <w:sz w:val="28"/>
          <w:szCs w:val="28"/>
        </w:rPr>
        <w:t xml:space="preserve"> </w:t>
      </w:r>
      <w:proofErr w:type="spellStart"/>
      <w:r w:rsidR="00787D6B" w:rsidRPr="00787D6B">
        <w:rPr>
          <w:rFonts w:ascii="Garamond" w:hAnsi="Garamond"/>
          <w:i/>
          <w:sz w:val="28"/>
          <w:szCs w:val="28"/>
        </w:rPr>
        <w:t>clean</w:t>
      </w:r>
      <w:proofErr w:type="spellEnd"/>
      <w:r w:rsidR="00787D6B" w:rsidRPr="00787D6B">
        <w:rPr>
          <w:rFonts w:ascii="Garamond" w:hAnsi="Garamond"/>
          <w:i/>
          <w:sz w:val="28"/>
          <w:szCs w:val="28"/>
        </w:rPr>
        <w:t xml:space="preserve"> air</w:t>
      </w:r>
      <w:r w:rsidR="00787D6B" w:rsidRPr="00787D6B">
        <w:rPr>
          <w:rFonts w:ascii="Garamond" w:hAnsi="Garamond"/>
          <w:sz w:val="28"/>
          <w:szCs w:val="28"/>
        </w:rPr>
        <w:t xml:space="preserve">, in </w:t>
      </w:r>
      <w:proofErr w:type="spellStart"/>
      <w:r w:rsidR="00787D6B" w:rsidRPr="00787D6B">
        <w:rPr>
          <w:rFonts w:ascii="Garamond" w:hAnsi="Garamond"/>
          <w:sz w:val="28"/>
          <w:szCs w:val="28"/>
        </w:rPr>
        <w:t>German</w:t>
      </w:r>
      <w:proofErr w:type="spellEnd"/>
      <w:r w:rsidR="00787D6B" w:rsidRPr="00787D6B">
        <w:rPr>
          <w:rFonts w:ascii="Garamond" w:hAnsi="Garamond"/>
          <w:sz w:val="28"/>
          <w:szCs w:val="28"/>
        </w:rPr>
        <w:t xml:space="preserve"> Law Journal, 2021, 22(2), pag. 168</w:t>
      </w:r>
      <w:r w:rsidR="00254E72">
        <w:rPr>
          <w:rFonts w:ascii="Garamond" w:hAnsi="Garamond"/>
          <w:sz w:val="28"/>
          <w:szCs w:val="28"/>
        </w:rPr>
        <w:t>)</w:t>
      </w:r>
      <w:r w:rsidR="00787D6B" w:rsidRPr="00787D6B">
        <w:rPr>
          <w:rFonts w:ascii="Garamond" w:hAnsi="Garamond"/>
          <w:sz w:val="28"/>
          <w:szCs w:val="28"/>
        </w:rPr>
        <w:t>.</w:t>
      </w:r>
    </w:p>
  </w:footnote>
  <w:footnote w:id="43">
    <w:p w14:paraId="1EDD6C8C" w14:textId="1E8168B2" w:rsidR="0037016C" w:rsidRPr="00787D6B" w:rsidRDefault="0037016C" w:rsidP="00590B2A">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M. Cecchetti, </w:t>
      </w:r>
      <w:r w:rsidRPr="00787D6B">
        <w:rPr>
          <w:rFonts w:ascii="Garamond" w:hAnsi="Garamond"/>
          <w:i/>
          <w:sz w:val="28"/>
          <w:szCs w:val="28"/>
        </w:rPr>
        <w:t>Virtù e limiti</w:t>
      </w:r>
      <w:r w:rsidRPr="00787D6B">
        <w:rPr>
          <w:rFonts w:ascii="Garamond" w:hAnsi="Garamond"/>
          <w:sz w:val="28"/>
          <w:szCs w:val="28"/>
        </w:rPr>
        <w:t>, cit., pag. 139.</w:t>
      </w:r>
      <w:r w:rsidR="007702A5">
        <w:rPr>
          <w:rFonts w:ascii="Garamond" w:hAnsi="Garamond"/>
          <w:sz w:val="28"/>
          <w:szCs w:val="28"/>
        </w:rPr>
        <w:t xml:space="preserve"> Invero</w:t>
      </w:r>
      <w:r w:rsidRPr="00787D6B">
        <w:rPr>
          <w:rFonts w:ascii="Garamond" w:hAnsi="Garamond"/>
          <w:sz w:val="28"/>
          <w:szCs w:val="28"/>
        </w:rPr>
        <w:t>, quando le liti ambientali sono state impostate con una connotazione soggettivistica, il loro effetto è stato sostanzialmente modesto, come dimostrano, ad esempio, le vicende relative alla</w:t>
      </w:r>
      <w:r w:rsidRPr="00787D6B">
        <w:rPr>
          <w:sz w:val="28"/>
          <w:szCs w:val="28"/>
        </w:rPr>
        <w:t xml:space="preserve"> </w:t>
      </w:r>
      <w:r w:rsidRPr="00787D6B">
        <w:rPr>
          <w:rFonts w:ascii="Garamond" w:hAnsi="Garamond"/>
          <w:sz w:val="28"/>
          <w:szCs w:val="28"/>
        </w:rPr>
        <w:t xml:space="preserve">sentenza della Corte europea dei diritti dell'uomo </w:t>
      </w:r>
      <w:r w:rsidRPr="00787D6B">
        <w:rPr>
          <w:rFonts w:ascii="Garamond" w:hAnsi="Garamond"/>
          <w:i/>
          <w:sz w:val="28"/>
          <w:szCs w:val="28"/>
        </w:rPr>
        <w:t>Cordella e altri c. Italia</w:t>
      </w:r>
      <w:r w:rsidRPr="00787D6B">
        <w:rPr>
          <w:rFonts w:ascii="Garamond" w:hAnsi="Garamond"/>
          <w:sz w:val="28"/>
          <w:szCs w:val="28"/>
        </w:rPr>
        <w:t xml:space="preserve"> del 24 gennaio 2019 (v. nota 14), non ancora compiutamente eseguita e perciò tuttora sottoposta</w:t>
      </w:r>
      <w:r w:rsidRPr="00787D6B">
        <w:rPr>
          <w:sz w:val="28"/>
          <w:szCs w:val="28"/>
        </w:rPr>
        <w:t xml:space="preserve"> </w:t>
      </w:r>
      <w:r w:rsidRPr="00787D6B">
        <w:rPr>
          <w:rFonts w:ascii="Garamond" w:hAnsi="Garamond"/>
          <w:sz w:val="28"/>
          <w:szCs w:val="28"/>
        </w:rPr>
        <w:t>alla</w:t>
      </w:r>
      <w:r w:rsidRPr="00787D6B">
        <w:rPr>
          <w:sz w:val="28"/>
          <w:szCs w:val="28"/>
        </w:rPr>
        <w:t xml:space="preserve"> </w:t>
      </w:r>
      <w:r w:rsidRPr="00787D6B">
        <w:rPr>
          <w:rFonts w:ascii="Garamond" w:hAnsi="Garamond"/>
          <w:sz w:val="28"/>
          <w:szCs w:val="28"/>
        </w:rPr>
        <w:t>“supervisione rafforzata” del Comitato dei ministri</w:t>
      </w:r>
      <w:r w:rsidR="00D037C5">
        <w:rPr>
          <w:rFonts w:ascii="Garamond" w:hAnsi="Garamond"/>
          <w:sz w:val="28"/>
          <w:szCs w:val="28"/>
        </w:rPr>
        <w:t>;</w:t>
      </w:r>
      <w:r w:rsidR="00165B0C">
        <w:rPr>
          <w:rFonts w:ascii="Garamond" w:hAnsi="Garamond"/>
          <w:sz w:val="28"/>
          <w:szCs w:val="28"/>
        </w:rPr>
        <w:t xml:space="preserve"> approcci diversi </w:t>
      </w:r>
      <w:r w:rsidR="00D037C5">
        <w:rPr>
          <w:rFonts w:ascii="Garamond" w:hAnsi="Garamond"/>
          <w:sz w:val="28"/>
          <w:szCs w:val="28"/>
        </w:rPr>
        <w:t>si registrano però tra gli studiosi diritto civile: v.</w:t>
      </w:r>
      <w:r w:rsidR="00D037C5" w:rsidRPr="00D037C5">
        <w:t xml:space="preserve"> </w:t>
      </w:r>
      <w:r w:rsidR="00D037C5" w:rsidRPr="00D037C5">
        <w:rPr>
          <w:rFonts w:ascii="Garamond" w:hAnsi="Garamond"/>
          <w:sz w:val="28"/>
          <w:szCs w:val="28"/>
        </w:rPr>
        <w:t>E</w:t>
      </w:r>
      <w:r w:rsidR="00D037C5">
        <w:rPr>
          <w:rFonts w:ascii="Garamond" w:hAnsi="Garamond"/>
          <w:sz w:val="28"/>
          <w:szCs w:val="28"/>
        </w:rPr>
        <w:t>.</w:t>
      </w:r>
      <w:r w:rsidR="00D037C5" w:rsidRPr="00D037C5">
        <w:rPr>
          <w:rFonts w:ascii="Garamond" w:hAnsi="Garamond"/>
          <w:sz w:val="28"/>
          <w:szCs w:val="28"/>
        </w:rPr>
        <w:t xml:space="preserve"> </w:t>
      </w:r>
      <w:r w:rsidR="00165B0C" w:rsidRPr="00D037C5">
        <w:rPr>
          <w:rFonts w:ascii="Garamond" w:hAnsi="Garamond"/>
          <w:sz w:val="28"/>
          <w:szCs w:val="28"/>
        </w:rPr>
        <w:t>Leccese</w:t>
      </w:r>
      <w:r w:rsidR="00165B0C">
        <w:rPr>
          <w:rFonts w:ascii="Garamond" w:hAnsi="Garamond"/>
          <w:sz w:val="28"/>
          <w:szCs w:val="28"/>
        </w:rPr>
        <w:t xml:space="preserve">, </w:t>
      </w:r>
      <w:r w:rsidR="00165B0C" w:rsidRPr="00373D03">
        <w:rPr>
          <w:rFonts w:ascii="Garamond" w:hAnsi="Garamond"/>
          <w:i/>
          <w:sz w:val="28"/>
          <w:szCs w:val="28"/>
        </w:rPr>
        <w:t>L’ambiente: dal codice ambientale alla costituzione, un percorso al contrario? (riflessioni intorno ai progetti di legge per l’inserimento dello sviluppo sostenibile e della tutela ambientale tra i principi fondamentali della costituzione)</w:t>
      </w:r>
      <w:r w:rsidR="00165B0C">
        <w:rPr>
          <w:rFonts w:ascii="Garamond" w:hAnsi="Garamond"/>
          <w:sz w:val="28"/>
          <w:szCs w:val="28"/>
        </w:rPr>
        <w:t xml:space="preserve">, </w:t>
      </w:r>
      <w:r w:rsidR="00165B0C" w:rsidRPr="00165B0C">
        <w:rPr>
          <w:rFonts w:ascii="Garamond" w:hAnsi="Garamond"/>
          <w:sz w:val="28"/>
          <w:szCs w:val="28"/>
        </w:rPr>
        <w:t xml:space="preserve">in </w:t>
      </w:r>
      <w:r w:rsidR="00165B0C" w:rsidRPr="00373D03">
        <w:rPr>
          <w:rFonts w:ascii="Garamond" w:hAnsi="Garamond"/>
          <w:i/>
          <w:sz w:val="28"/>
          <w:szCs w:val="28"/>
        </w:rPr>
        <w:t xml:space="preserve">Liber </w:t>
      </w:r>
      <w:proofErr w:type="spellStart"/>
      <w:r w:rsidR="00165B0C" w:rsidRPr="00373D03">
        <w:rPr>
          <w:rFonts w:ascii="Garamond" w:hAnsi="Garamond"/>
          <w:i/>
          <w:sz w:val="28"/>
          <w:szCs w:val="28"/>
        </w:rPr>
        <w:t>amicorum</w:t>
      </w:r>
      <w:proofErr w:type="spellEnd"/>
      <w:r w:rsidR="00165B0C" w:rsidRPr="00165B0C">
        <w:rPr>
          <w:rFonts w:ascii="Garamond" w:hAnsi="Garamond"/>
          <w:sz w:val="28"/>
          <w:szCs w:val="28"/>
        </w:rPr>
        <w:t xml:space="preserve"> per Giuseppe Vettori</w:t>
      </w:r>
      <w:r w:rsidR="00A35607">
        <w:rPr>
          <w:rFonts w:ascii="Garamond" w:hAnsi="Garamond"/>
          <w:sz w:val="28"/>
          <w:szCs w:val="28"/>
        </w:rPr>
        <w:t xml:space="preserve">, </w:t>
      </w:r>
      <w:r w:rsidR="00A35607" w:rsidRPr="00A35607">
        <w:rPr>
          <w:rFonts w:ascii="Garamond" w:hAnsi="Garamond"/>
          <w:sz w:val="28"/>
          <w:szCs w:val="28"/>
        </w:rPr>
        <w:t xml:space="preserve">cit., </w:t>
      </w:r>
      <w:r w:rsidR="00165B0C" w:rsidRPr="00165B0C">
        <w:rPr>
          <w:rFonts w:ascii="Garamond" w:hAnsi="Garamond"/>
          <w:sz w:val="28"/>
          <w:szCs w:val="28"/>
        </w:rPr>
        <w:t>pag.</w:t>
      </w:r>
      <w:r w:rsidR="00165B0C">
        <w:rPr>
          <w:rFonts w:ascii="Garamond" w:hAnsi="Garamond"/>
          <w:sz w:val="28"/>
          <w:szCs w:val="28"/>
        </w:rPr>
        <w:t xml:space="preserve"> </w:t>
      </w:r>
      <w:r w:rsidR="00165B0C" w:rsidRPr="00165B0C">
        <w:rPr>
          <w:rFonts w:ascii="Garamond" w:hAnsi="Garamond"/>
          <w:sz w:val="28"/>
          <w:szCs w:val="28"/>
        </w:rPr>
        <w:t>184</w:t>
      </w:r>
      <w:r w:rsidR="00165B0C">
        <w:rPr>
          <w:rFonts w:ascii="Garamond" w:hAnsi="Garamond"/>
          <w:sz w:val="28"/>
          <w:szCs w:val="28"/>
        </w:rPr>
        <w:t>3</w:t>
      </w:r>
      <w:r w:rsidR="00373D03">
        <w:rPr>
          <w:rFonts w:ascii="Garamond" w:hAnsi="Garamond"/>
          <w:sz w:val="28"/>
          <w:szCs w:val="28"/>
        </w:rPr>
        <w:t xml:space="preserve">, spec. </w:t>
      </w:r>
      <w:r w:rsidR="00373D03" w:rsidRPr="00373D03">
        <w:rPr>
          <w:rFonts w:ascii="Garamond" w:hAnsi="Garamond"/>
          <w:sz w:val="28"/>
          <w:szCs w:val="28"/>
        </w:rPr>
        <w:t>pag. 1849</w:t>
      </w:r>
      <w:r w:rsidRPr="00787D6B">
        <w:rPr>
          <w:rFonts w:ascii="Garamond" w:hAnsi="Garamond"/>
          <w:sz w:val="28"/>
          <w:szCs w:val="28"/>
        </w:rPr>
        <w:t>.</w:t>
      </w:r>
      <w:r w:rsidR="00590B2A">
        <w:rPr>
          <w:rFonts w:ascii="Garamond" w:hAnsi="Garamond"/>
          <w:sz w:val="28"/>
          <w:szCs w:val="28"/>
        </w:rPr>
        <w:t xml:space="preserve"> In generale, sull'inadeguatezza</w:t>
      </w:r>
      <w:r w:rsidR="00590B2A" w:rsidRPr="00590B2A">
        <w:t xml:space="preserve"> </w:t>
      </w:r>
      <w:r w:rsidR="00590B2A" w:rsidRPr="00590B2A">
        <w:rPr>
          <w:rFonts w:ascii="Garamond" w:hAnsi="Garamond"/>
          <w:sz w:val="28"/>
          <w:szCs w:val="28"/>
        </w:rPr>
        <w:t>del diritto privato</w:t>
      </w:r>
      <w:r w:rsidR="00590B2A">
        <w:rPr>
          <w:rFonts w:ascii="Garamond" w:hAnsi="Garamond"/>
          <w:sz w:val="28"/>
          <w:szCs w:val="28"/>
        </w:rPr>
        <w:t xml:space="preserve"> strumentalizzato per conseguire </w:t>
      </w:r>
      <w:r w:rsidR="00590B2A" w:rsidRPr="00590B2A">
        <w:rPr>
          <w:rFonts w:ascii="Garamond" w:hAnsi="Garamond"/>
          <w:sz w:val="28"/>
          <w:szCs w:val="28"/>
        </w:rPr>
        <w:t>obiettivi</w:t>
      </w:r>
      <w:r w:rsidR="00590B2A">
        <w:rPr>
          <w:rFonts w:ascii="Garamond" w:hAnsi="Garamond"/>
          <w:sz w:val="28"/>
          <w:szCs w:val="28"/>
        </w:rPr>
        <w:t xml:space="preserve"> in campo ambientale: </w:t>
      </w:r>
      <w:r w:rsidR="00590B2A" w:rsidRPr="00590B2A">
        <w:rPr>
          <w:rFonts w:ascii="Garamond" w:hAnsi="Garamond"/>
          <w:sz w:val="28"/>
          <w:szCs w:val="28"/>
        </w:rPr>
        <w:t>A</w:t>
      </w:r>
      <w:r w:rsidR="00590B2A">
        <w:rPr>
          <w:rFonts w:ascii="Garamond" w:hAnsi="Garamond"/>
          <w:sz w:val="28"/>
          <w:szCs w:val="28"/>
        </w:rPr>
        <w:t>.</w:t>
      </w:r>
      <w:r w:rsidR="00590B2A" w:rsidRPr="00590B2A">
        <w:rPr>
          <w:rFonts w:ascii="Garamond" w:hAnsi="Garamond"/>
          <w:sz w:val="28"/>
          <w:szCs w:val="28"/>
        </w:rPr>
        <w:t xml:space="preserve"> Nervi</w:t>
      </w:r>
      <w:r w:rsidR="00590B2A">
        <w:rPr>
          <w:rFonts w:ascii="Garamond" w:hAnsi="Garamond"/>
          <w:sz w:val="28"/>
          <w:szCs w:val="28"/>
        </w:rPr>
        <w:t xml:space="preserve">, </w:t>
      </w:r>
      <w:r w:rsidR="00A35607" w:rsidRPr="00A35607">
        <w:rPr>
          <w:rFonts w:ascii="Garamond" w:hAnsi="Garamond"/>
          <w:i/>
          <w:sz w:val="28"/>
          <w:szCs w:val="28"/>
        </w:rPr>
        <w:t>Dalla disciplina delle emissioni inquinanti al ruolo del diritto privato nella tutela ambientale. Appunti per una ricerca</w:t>
      </w:r>
      <w:r w:rsidR="00A35607">
        <w:rPr>
          <w:rFonts w:ascii="Garamond" w:hAnsi="Garamond"/>
          <w:sz w:val="28"/>
          <w:szCs w:val="28"/>
        </w:rPr>
        <w:t xml:space="preserve">, </w:t>
      </w:r>
      <w:r w:rsidR="00A35607" w:rsidRPr="00A35607">
        <w:rPr>
          <w:rFonts w:ascii="Garamond" w:hAnsi="Garamond"/>
          <w:sz w:val="28"/>
          <w:szCs w:val="28"/>
        </w:rPr>
        <w:t xml:space="preserve">in </w:t>
      </w:r>
      <w:r w:rsidR="00A35607" w:rsidRPr="00A35607">
        <w:rPr>
          <w:rFonts w:ascii="Garamond" w:hAnsi="Garamond"/>
          <w:i/>
          <w:sz w:val="28"/>
          <w:szCs w:val="28"/>
        </w:rPr>
        <w:t xml:space="preserve">Liber </w:t>
      </w:r>
      <w:proofErr w:type="spellStart"/>
      <w:r w:rsidR="00A35607" w:rsidRPr="00A35607">
        <w:rPr>
          <w:rFonts w:ascii="Garamond" w:hAnsi="Garamond"/>
          <w:i/>
          <w:sz w:val="28"/>
          <w:szCs w:val="28"/>
        </w:rPr>
        <w:t>amicorum</w:t>
      </w:r>
      <w:proofErr w:type="spellEnd"/>
      <w:r w:rsidR="00A35607" w:rsidRPr="00A35607">
        <w:rPr>
          <w:rFonts w:ascii="Garamond" w:hAnsi="Garamond"/>
          <w:sz w:val="28"/>
          <w:szCs w:val="28"/>
        </w:rPr>
        <w:t xml:space="preserve"> per Giuseppe Vettori</w:t>
      </w:r>
      <w:r w:rsidR="00A35607">
        <w:rPr>
          <w:rFonts w:ascii="Garamond" w:hAnsi="Garamond"/>
          <w:sz w:val="28"/>
          <w:szCs w:val="28"/>
        </w:rPr>
        <w:t>, cit.,</w:t>
      </w:r>
      <w:r w:rsidR="00A35607" w:rsidRPr="00A35607">
        <w:rPr>
          <w:rFonts w:ascii="Garamond" w:hAnsi="Garamond"/>
          <w:sz w:val="28"/>
          <w:szCs w:val="28"/>
        </w:rPr>
        <w:t xml:space="preserve"> </w:t>
      </w:r>
      <w:r w:rsidR="00590B2A" w:rsidRPr="00590B2A">
        <w:rPr>
          <w:rFonts w:ascii="Garamond" w:hAnsi="Garamond"/>
          <w:sz w:val="28"/>
          <w:szCs w:val="28"/>
        </w:rPr>
        <w:t xml:space="preserve">pag. </w:t>
      </w:r>
      <w:r w:rsidR="00A35607" w:rsidRPr="00A35607">
        <w:rPr>
          <w:rFonts w:ascii="Garamond" w:hAnsi="Garamond"/>
          <w:sz w:val="28"/>
          <w:szCs w:val="28"/>
        </w:rPr>
        <w:t>258</w:t>
      </w:r>
      <w:r w:rsidR="00A35607">
        <w:rPr>
          <w:rFonts w:ascii="Garamond" w:hAnsi="Garamond"/>
          <w:sz w:val="28"/>
          <w:szCs w:val="28"/>
        </w:rPr>
        <w:t>3</w:t>
      </w:r>
      <w:r w:rsidR="00590B2A">
        <w:rPr>
          <w:rFonts w:ascii="Garamond" w:hAnsi="Garamond"/>
          <w:sz w:val="28"/>
          <w:szCs w:val="28"/>
        </w:rPr>
        <w:t>, spec. pag. 2600</w:t>
      </w:r>
      <w:r w:rsidR="00A35607">
        <w:rPr>
          <w:rFonts w:ascii="Garamond" w:hAnsi="Garamond"/>
          <w:sz w:val="28"/>
          <w:szCs w:val="28"/>
        </w:rPr>
        <w:t>.</w:t>
      </w:r>
    </w:p>
  </w:footnote>
  <w:footnote w:id="44">
    <w:p w14:paraId="2F9A010A" w14:textId="42CDA28A" w:rsidR="0037016C" w:rsidRPr="00787D6B" w:rsidRDefault="0037016C" w:rsidP="0037016C">
      <w:pPr>
        <w:pStyle w:val="Testonotaapidipagina"/>
        <w:jc w:val="both"/>
        <w:rPr>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Tanto che, rovesciando la prospettiva, si è sostenuto che "l’ambiente costituisca soprattutto un dovere che sia i singoli che lo Stato devono rispettare" scaturente dal principio di solidarietà cui all'articolo 2 della Costituzione e reso concreto ed esplicito dai principi comunitari della precauzione, dell’azione preventiva, della correzione, in via prioritaria alla fonte, dei danni causati all’ambiente, nonché dal principio “chi inquina paga” (così F. Fracchia, </w:t>
      </w:r>
      <w:r w:rsidRPr="00787D6B">
        <w:rPr>
          <w:rFonts w:ascii="Garamond" w:hAnsi="Garamond"/>
          <w:i/>
          <w:sz w:val="28"/>
          <w:szCs w:val="28"/>
        </w:rPr>
        <w:t xml:space="preserve">Sulla configurazione giuridica unitaria dell’ambiente: art. 2 </w:t>
      </w:r>
      <w:proofErr w:type="spellStart"/>
      <w:r w:rsidRPr="00787D6B">
        <w:rPr>
          <w:rFonts w:ascii="Garamond" w:hAnsi="Garamond"/>
          <w:i/>
          <w:sz w:val="28"/>
          <w:szCs w:val="28"/>
        </w:rPr>
        <w:t>Cost</w:t>
      </w:r>
      <w:proofErr w:type="spellEnd"/>
      <w:r w:rsidRPr="00787D6B">
        <w:rPr>
          <w:rFonts w:ascii="Garamond" w:hAnsi="Garamond"/>
          <w:i/>
          <w:sz w:val="28"/>
          <w:szCs w:val="28"/>
        </w:rPr>
        <w:t>. e doveri di solidarietà ambientale</w:t>
      </w:r>
      <w:r w:rsidRPr="00787D6B">
        <w:rPr>
          <w:rFonts w:ascii="Garamond" w:hAnsi="Garamond"/>
          <w:sz w:val="28"/>
          <w:szCs w:val="28"/>
        </w:rPr>
        <w:t>, in Il diritto dell’economia, 2002,</w:t>
      </w:r>
      <w:r w:rsidR="009F1369" w:rsidRPr="00787D6B">
        <w:rPr>
          <w:rFonts w:ascii="Garamond" w:hAnsi="Garamond"/>
          <w:sz w:val="28"/>
          <w:szCs w:val="28"/>
        </w:rPr>
        <w:t xml:space="preserve"> </w:t>
      </w:r>
      <w:r w:rsidRPr="00787D6B">
        <w:rPr>
          <w:rFonts w:ascii="Garamond" w:hAnsi="Garamond"/>
          <w:sz w:val="28"/>
          <w:szCs w:val="28"/>
        </w:rPr>
        <w:t>pag. 215).</w:t>
      </w:r>
      <w:r w:rsidR="00A2475D">
        <w:rPr>
          <w:rFonts w:ascii="Garamond" w:hAnsi="Garamond"/>
          <w:sz w:val="28"/>
          <w:szCs w:val="28"/>
        </w:rPr>
        <w:t xml:space="preserve"> Osserva peraltro</w:t>
      </w:r>
      <w:r w:rsidR="00A2475D" w:rsidRPr="00A2475D">
        <w:t xml:space="preserve"> </w:t>
      </w:r>
      <w:r w:rsidR="00A2475D" w:rsidRPr="00A2475D">
        <w:rPr>
          <w:rFonts w:ascii="Garamond" w:hAnsi="Garamond"/>
          <w:sz w:val="28"/>
          <w:szCs w:val="28"/>
        </w:rPr>
        <w:t xml:space="preserve">A. Bartolini, </w:t>
      </w:r>
      <w:r w:rsidR="00A2475D" w:rsidRPr="001008BB">
        <w:rPr>
          <w:rFonts w:ascii="Garamond" w:hAnsi="Garamond"/>
          <w:i/>
          <w:sz w:val="28"/>
          <w:szCs w:val="28"/>
        </w:rPr>
        <w:t>Il risarcimento del danno</w:t>
      </w:r>
      <w:r w:rsidR="00A2475D" w:rsidRPr="00A2475D">
        <w:rPr>
          <w:rFonts w:ascii="Garamond" w:hAnsi="Garamond"/>
          <w:sz w:val="28"/>
          <w:szCs w:val="28"/>
        </w:rPr>
        <w:t>, cit., pag.</w:t>
      </w:r>
      <w:r w:rsidR="00A2475D">
        <w:rPr>
          <w:rFonts w:ascii="Garamond" w:hAnsi="Garamond"/>
          <w:sz w:val="28"/>
          <w:szCs w:val="28"/>
        </w:rPr>
        <w:t xml:space="preserve"> 102, che già "nel </w:t>
      </w:r>
      <w:r w:rsidR="00FE7EB4">
        <w:rPr>
          <w:rFonts w:ascii="Garamond" w:hAnsi="Garamond"/>
          <w:sz w:val="28"/>
          <w:szCs w:val="28"/>
        </w:rPr>
        <w:t>tredicesimo</w:t>
      </w:r>
      <w:r w:rsidR="00A2475D">
        <w:rPr>
          <w:rFonts w:ascii="Garamond" w:hAnsi="Garamond"/>
          <w:sz w:val="28"/>
          <w:szCs w:val="28"/>
        </w:rPr>
        <w:t xml:space="preserve"> considerando della direttiva in materia di responsabilità ambientale, viene messo in evidenza che </w:t>
      </w:r>
      <w:r w:rsidR="00FE7EB4" w:rsidRPr="00FE7EB4">
        <w:rPr>
          <w:rFonts w:ascii="Garamond" w:hAnsi="Garamond"/>
          <w:sz w:val="28"/>
          <w:szCs w:val="28"/>
        </w:rPr>
        <w:t>«</w:t>
      </w:r>
      <w:r w:rsidR="00A2475D">
        <w:rPr>
          <w:rFonts w:ascii="Garamond" w:hAnsi="Garamond"/>
          <w:sz w:val="28"/>
          <w:szCs w:val="28"/>
        </w:rPr>
        <w:t xml:space="preserve">la responsabilità civile non è </w:t>
      </w:r>
      <w:r w:rsidR="00FE7EB4">
        <w:rPr>
          <w:rFonts w:ascii="Garamond" w:hAnsi="Garamond"/>
          <w:sz w:val="28"/>
          <w:szCs w:val="28"/>
        </w:rPr>
        <w:t>uno</w:t>
      </w:r>
      <w:r w:rsidR="00A2475D">
        <w:rPr>
          <w:rFonts w:ascii="Garamond" w:hAnsi="Garamond"/>
          <w:sz w:val="28"/>
          <w:szCs w:val="28"/>
        </w:rPr>
        <w:t xml:space="preserve"> strumento adatto per trattare l'inquinamento a carattere diffuso</w:t>
      </w:r>
      <w:r w:rsidR="00FE7EB4">
        <w:rPr>
          <w:rFonts w:ascii="Garamond" w:hAnsi="Garamond"/>
          <w:sz w:val="28"/>
          <w:szCs w:val="28"/>
        </w:rPr>
        <w:t xml:space="preserve"> e</w:t>
      </w:r>
      <w:r w:rsidR="00A2475D">
        <w:rPr>
          <w:rFonts w:ascii="Garamond" w:hAnsi="Garamond"/>
          <w:sz w:val="28"/>
          <w:szCs w:val="28"/>
        </w:rPr>
        <w:t xml:space="preserve"> generale</w:t>
      </w:r>
      <w:r w:rsidR="00FE7EB4">
        <w:rPr>
          <w:rFonts w:ascii="Garamond" w:hAnsi="Garamond"/>
          <w:sz w:val="28"/>
          <w:szCs w:val="28"/>
        </w:rPr>
        <w:t xml:space="preserve"> n</w:t>
      </w:r>
      <w:r w:rsidR="00A2475D">
        <w:rPr>
          <w:rFonts w:ascii="Garamond" w:hAnsi="Garamond"/>
          <w:sz w:val="28"/>
          <w:szCs w:val="28"/>
        </w:rPr>
        <w:t>ei casi in cui sia impossibile collegare gli effetti ambientali negativi a</w:t>
      </w:r>
      <w:r w:rsidR="00FE7EB4">
        <w:rPr>
          <w:rFonts w:ascii="Garamond" w:hAnsi="Garamond"/>
          <w:sz w:val="28"/>
          <w:szCs w:val="28"/>
        </w:rPr>
        <w:t>d</w:t>
      </w:r>
      <w:r w:rsidR="00A2475D">
        <w:rPr>
          <w:rFonts w:ascii="Garamond" w:hAnsi="Garamond"/>
          <w:sz w:val="28"/>
          <w:szCs w:val="28"/>
        </w:rPr>
        <w:t xml:space="preserve"> omissioni di taluni singoli soggetti</w:t>
      </w:r>
      <w:r w:rsidR="00FE7EB4" w:rsidRPr="00FE7EB4">
        <w:rPr>
          <w:rFonts w:ascii="Garamond" w:hAnsi="Garamond"/>
          <w:sz w:val="28"/>
          <w:szCs w:val="28"/>
        </w:rPr>
        <w:t>»</w:t>
      </w:r>
      <w:r w:rsidR="00A2475D">
        <w:rPr>
          <w:rFonts w:ascii="Garamond" w:hAnsi="Garamond"/>
          <w:sz w:val="28"/>
          <w:szCs w:val="28"/>
        </w:rPr>
        <w:t>".</w:t>
      </w:r>
    </w:p>
  </w:footnote>
  <w:footnote w:id="45">
    <w:p w14:paraId="4226AFBA" w14:textId="58D76DE1" w:rsidR="00692A2A" w:rsidRPr="00787D6B" w:rsidRDefault="00692A2A">
      <w:pPr>
        <w:pStyle w:val="Testonotaapidipagina"/>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w:t>
      </w:r>
      <w:r w:rsidR="00CA42C2">
        <w:rPr>
          <w:rFonts w:ascii="Garamond" w:hAnsi="Garamond"/>
          <w:sz w:val="28"/>
          <w:szCs w:val="28"/>
        </w:rPr>
        <w:t>Al riguardo</w:t>
      </w:r>
      <w:r w:rsidRPr="00787D6B">
        <w:rPr>
          <w:rFonts w:ascii="Garamond" w:hAnsi="Garamond"/>
          <w:sz w:val="28"/>
          <w:szCs w:val="28"/>
        </w:rPr>
        <w:t xml:space="preserve"> nella dottrina tedesca si parla di </w:t>
      </w:r>
      <w:proofErr w:type="spellStart"/>
      <w:r w:rsidRPr="00787D6B">
        <w:rPr>
          <w:rFonts w:ascii="Garamond" w:hAnsi="Garamond"/>
          <w:i/>
          <w:sz w:val="28"/>
          <w:szCs w:val="28"/>
        </w:rPr>
        <w:t>funktionale</w:t>
      </w:r>
      <w:proofErr w:type="spellEnd"/>
      <w:r w:rsidRPr="00787D6B">
        <w:rPr>
          <w:rFonts w:ascii="Garamond" w:hAnsi="Garamond"/>
          <w:i/>
          <w:sz w:val="28"/>
          <w:szCs w:val="28"/>
        </w:rPr>
        <w:t xml:space="preserve"> </w:t>
      </w:r>
      <w:proofErr w:type="spellStart"/>
      <w:r w:rsidRPr="00787D6B">
        <w:rPr>
          <w:rFonts w:ascii="Garamond" w:hAnsi="Garamond"/>
          <w:i/>
          <w:sz w:val="28"/>
          <w:szCs w:val="28"/>
        </w:rPr>
        <w:t>Subjektivierung</w:t>
      </w:r>
      <w:proofErr w:type="spellEnd"/>
      <w:r w:rsidRPr="00787D6B">
        <w:rPr>
          <w:rFonts w:ascii="Garamond" w:hAnsi="Garamond"/>
          <w:sz w:val="28"/>
          <w:szCs w:val="28"/>
        </w:rPr>
        <w:t>.</w:t>
      </w:r>
    </w:p>
  </w:footnote>
  <w:footnote w:id="46">
    <w:p w14:paraId="61305D44" w14:textId="77777777" w:rsidR="0037016C" w:rsidRPr="00787D6B" w:rsidRDefault="0037016C" w:rsidP="0037016C">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V. già la sentenza del 5 febbraio 1963, </w:t>
      </w:r>
      <w:r w:rsidRPr="00787D6B">
        <w:rPr>
          <w:rFonts w:ascii="Garamond" w:hAnsi="Garamond"/>
          <w:i/>
          <w:sz w:val="28"/>
          <w:szCs w:val="28"/>
        </w:rPr>
        <w:t xml:space="preserve">Van </w:t>
      </w:r>
      <w:proofErr w:type="spellStart"/>
      <w:r w:rsidRPr="00787D6B">
        <w:rPr>
          <w:rFonts w:ascii="Garamond" w:hAnsi="Garamond"/>
          <w:i/>
          <w:sz w:val="28"/>
          <w:szCs w:val="28"/>
        </w:rPr>
        <w:t>Gend</w:t>
      </w:r>
      <w:proofErr w:type="spellEnd"/>
      <w:r w:rsidRPr="00787D6B">
        <w:rPr>
          <w:rFonts w:ascii="Garamond" w:hAnsi="Garamond"/>
          <w:i/>
          <w:sz w:val="28"/>
          <w:szCs w:val="28"/>
        </w:rPr>
        <w:t xml:space="preserve"> en </w:t>
      </w:r>
      <w:proofErr w:type="spellStart"/>
      <w:r w:rsidRPr="00787D6B">
        <w:rPr>
          <w:rFonts w:ascii="Garamond" w:hAnsi="Garamond"/>
          <w:i/>
          <w:sz w:val="28"/>
          <w:szCs w:val="28"/>
        </w:rPr>
        <w:t>Loos</w:t>
      </w:r>
      <w:proofErr w:type="spellEnd"/>
      <w:r w:rsidRPr="00787D6B">
        <w:rPr>
          <w:rFonts w:ascii="Garamond" w:hAnsi="Garamond"/>
          <w:sz w:val="28"/>
          <w:szCs w:val="28"/>
        </w:rPr>
        <w:t>, C-26/62, EU:C:1963:1.</w:t>
      </w:r>
    </w:p>
    <w:p w14:paraId="1776ECB9" w14:textId="47E8DD1A" w:rsidR="0037016C" w:rsidRPr="00787D6B" w:rsidRDefault="0037016C" w:rsidP="0037016C">
      <w:pPr>
        <w:pStyle w:val="Testonotaapidipagina"/>
        <w:jc w:val="both"/>
        <w:rPr>
          <w:sz w:val="28"/>
          <w:szCs w:val="28"/>
        </w:rPr>
      </w:pPr>
      <w:r w:rsidRPr="00787D6B">
        <w:rPr>
          <w:rFonts w:ascii="Garamond" w:hAnsi="Garamond"/>
          <w:sz w:val="28"/>
          <w:szCs w:val="28"/>
        </w:rPr>
        <w:t xml:space="preserve">Il fenomeno dell'affermarsi di una giurisdizione oggettiva alimentata dal </w:t>
      </w:r>
      <w:r w:rsidRPr="00787D6B">
        <w:rPr>
          <w:rFonts w:ascii="Garamond" w:hAnsi="Garamond"/>
          <w:i/>
          <w:sz w:val="28"/>
          <w:szCs w:val="28"/>
        </w:rPr>
        <w:t xml:space="preserve">private </w:t>
      </w:r>
      <w:proofErr w:type="spellStart"/>
      <w:r w:rsidRPr="00787D6B">
        <w:rPr>
          <w:rFonts w:ascii="Garamond" w:hAnsi="Garamond"/>
          <w:i/>
          <w:sz w:val="28"/>
          <w:szCs w:val="28"/>
        </w:rPr>
        <w:t>enforcement</w:t>
      </w:r>
      <w:proofErr w:type="spellEnd"/>
      <w:r w:rsidRPr="00787D6B">
        <w:rPr>
          <w:rFonts w:ascii="Garamond" w:hAnsi="Garamond"/>
          <w:sz w:val="28"/>
          <w:szCs w:val="28"/>
        </w:rPr>
        <w:t xml:space="preserve"> è stato ampiamente studiato, soprattutto con riferimento alla Corte di giustizia dell'Unione europea: v. i lavori del 72° </w:t>
      </w:r>
      <w:proofErr w:type="spellStart"/>
      <w:r w:rsidRPr="00787D6B">
        <w:rPr>
          <w:rFonts w:ascii="Garamond" w:hAnsi="Garamond"/>
          <w:i/>
          <w:sz w:val="28"/>
          <w:szCs w:val="28"/>
        </w:rPr>
        <w:t>Juristentag</w:t>
      </w:r>
      <w:proofErr w:type="spellEnd"/>
      <w:r w:rsidRPr="00787D6B">
        <w:rPr>
          <w:rFonts w:ascii="Garamond" w:hAnsi="Garamond"/>
          <w:sz w:val="28"/>
          <w:szCs w:val="28"/>
        </w:rPr>
        <w:t xml:space="preserve"> tenutosi ad Essen nel 2017, nella sezione dedicata al diritto pubblico (intitolata </w:t>
      </w:r>
      <w:proofErr w:type="spellStart"/>
      <w:r w:rsidRPr="00787D6B">
        <w:rPr>
          <w:rFonts w:ascii="Garamond" w:hAnsi="Garamond"/>
          <w:i/>
          <w:sz w:val="28"/>
          <w:szCs w:val="28"/>
        </w:rPr>
        <w:t>Funktionswandel</w:t>
      </w:r>
      <w:proofErr w:type="spellEnd"/>
      <w:r w:rsidRPr="00787D6B">
        <w:rPr>
          <w:rFonts w:ascii="Garamond" w:hAnsi="Garamond"/>
          <w:i/>
          <w:sz w:val="28"/>
          <w:szCs w:val="28"/>
        </w:rPr>
        <w:t xml:space="preserve"> </w:t>
      </w:r>
      <w:proofErr w:type="spellStart"/>
      <w:r w:rsidRPr="00787D6B">
        <w:rPr>
          <w:rFonts w:ascii="Garamond" w:hAnsi="Garamond"/>
          <w:i/>
          <w:sz w:val="28"/>
          <w:szCs w:val="28"/>
        </w:rPr>
        <w:t>der</w:t>
      </w:r>
      <w:proofErr w:type="spellEnd"/>
      <w:r w:rsidRPr="00787D6B">
        <w:rPr>
          <w:rFonts w:ascii="Garamond" w:hAnsi="Garamond"/>
          <w:i/>
          <w:sz w:val="28"/>
          <w:szCs w:val="28"/>
        </w:rPr>
        <w:t xml:space="preserve"> </w:t>
      </w:r>
      <w:proofErr w:type="spellStart"/>
      <w:r w:rsidRPr="00787D6B">
        <w:rPr>
          <w:rFonts w:ascii="Garamond" w:hAnsi="Garamond"/>
          <w:i/>
          <w:sz w:val="28"/>
          <w:szCs w:val="28"/>
        </w:rPr>
        <w:t>Verwaltungsgerichtsbarkeit</w:t>
      </w:r>
      <w:proofErr w:type="spellEnd"/>
      <w:r w:rsidRPr="00787D6B">
        <w:rPr>
          <w:rFonts w:ascii="Garamond" w:hAnsi="Garamond"/>
          <w:i/>
          <w:sz w:val="28"/>
          <w:szCs w:val="28"/>
        </w:rPr>
        <w:t xml:space="preserve"> </w:t>
      </w:r>
      <w:proofErr w:type="spellStart"/>
      <w:r w:rsidRPr="00787D6B">
        <w:rPr>
          <w:rFonts w:ascii="Garamond" w:hAnsi="Garamond"/>
          <w:i/>
          <w:sz w:val="28"/>
          <w:szCs w:val="28"/>
        </w:rPr>
        <w:t>unter</w:t>
      </w:r>
      <w:proofErr w:type="spellEnd"/>
      <w:r w:rsidRPr="00787D6B">
        <w:rPr>
          <w:rFonts w:ascii="Garamond" w:hAnsi="Garamond"/>
          <w:i/>
          <w:sz w:val="28"/>
          <w:szCs w:val="28"/>
        </w:rPr>
        <w:t xml:space="preserve"> </w:t>
      </w:r>
      <w:proofErr w:type="spellStart"/>
      <w:r w:rsidRPr="00787D6B">
        <w:rPr>
          <w:rFonts w:ascii="Garamond" w:hAnsi="Garamond"/>
          <w:i/>
          <w:sz w:val="28"/>
          <w:szCs w:val="28"/>
        </w:rPr>
        <w:t>dem</w:t>
      </w:r>
      <w:proofErr w:type="spellEnd"/>
      <w:r w:rsidRPr="00787D6B">
        <w:rPr>
          <w:rFonts w:ascii="Garamond" w:hAnsi="Garamond"/>
          <w:i/>
          <w:sz w:val="28"/>
          <w:szCs w:val="28"/>
        </w:rPr>
        <w:t xml:space="preserve"> </w:t>
      </w:r>
      <w:proofErr w:type="spellStart"/>
      <w:r w:rsidRPr="00787D6B">
        <w:rPr>
          <w:rFonts w:ascii="Garamond" w:hAnsi="Garamond"/>
          <w:i/>
          <w:sz w:val="28"/>
          <w:szCs w:val="28"/>
        </w:rPr>
        <w:t>Einfluss</w:t>
      </w:r>
      <w:proofErr w:type="spellEnd"/>
      <w:r w:rsidRPr="00787D6B">
        <w:rPr>
          <w:rFonts w:ascii="Garamond" w:hAnsi="Garamond"/>
          <w:i/>
          <w:sz w:val="28"/>
          <w:szCs w:val="28"/>
        </w:rPr>
        <w:t xml:space="preserve"> </w:t>
      </w:r>
      <w:proofErr w:type="spellStart"/>
      <w:r w:rsidRPr="00787D6B">
        <w:rPr>
          <w:rFonts w:ascii="Garamond" w:hAnsi="Garamond"/>
          <w:i/>
          <w:sz w:val="28"/>
          <w:szCs w:val="28"/>
        </w:rPr>
        <w:t>des</w:t>
      </w:r>
      <w:proofErr w:type="spellEnd"/>
      <w:r w:rsidRPr="00787D6B">
        <w:rPr>
          <w:rFonts w:ascii="Garamond" w:hAnsi="Garamond"/>
          <w:i/>
          <w:sz w:val="28"/>
          <w:szCs w:val="28"/>
        </w:rPr>
        <w:t xml:space="preserve"> </w:t>
      </w:r>
      <w:proofErr w:type="spellStart"/>
      <w:r w:rsidRPr="00787D6B">
        <w:rPr>
          <w:rFonts w:ascii="Garamond" w:hAnsi="Garamond"/>
          <w:i/>
          <w:sz w:val="28"/>
          <w:szCs w:val="28"/>
        </w:rPr>
        <w:t>Unionsrechts</w:t>
      </w:r>
      <w:proofErr w:type="spellEnd"/>
      <w:r w:rsidRPr="00787D6B">
        <w:rPr>
          <w:rFonts w:ascii="Garamond" w:hAnsi="Garamond"/>
          <w:i/>
          <w:sz w:val="28"/>
          <w:szCs w:val="28"/>
        </w:rPr>
        <w:t xml:space="preserve"> – </w:t>
      </w:r>
      <w:proofErr w:type="spellStart"/>
      <w:r w:rsidRPr="00787D6B">
        <w:rPr>
          <w:rFonts w:ascii="Garamond" w:hAnsi="Garamond"/>
          <w:i/>
          <w:sz w:val="28"/>
          <w:szCs w:val="28"/>
        </w:rPr>
        <w:t>Umfang</w:t>
      </w:r>
      <w:proofErr w:type="spellEnd"/>
      <w:r w:rsidRPr="00787D6B">
        <w:rPr>
          <w:rFonts w:ascii="Garamond" w:hAnsi="Garamond"/>
          <w:i/>
          <w:sz w:val="28"/>
          <w:szCs w:val="28"/>
        </w:rPr>
        <w:t xml:space="preserve"> </w:t>
      </w:r>
      <w:proofErr w:type="spellStart"/>
      <w:r w:rsidRPr="00787D6B">
        <w:rPr>
          <w:rFonts w:ascii="Garamond" w:hAnsi="Garamond"/>
          <w:i/>
          <w:sz w:val="28"/>
          <w:szCs w:val="28"/>
        </w:rPr>
        <w:t>des</w:t>
      </w:r>
      <w:proofErr w:type="spellEnd"/>
      <w:r w:rsidRPr="00787D6B">
        <w:rPr>
          <w:rFonts w:ascii="Garamond" w:hAnsi="Garamond"/>
          <w:i/>
          <w:sz w:val="28"/>
          <w:szCs w:val="28"/>
        </w:rPr>
        <w:t xml:space="preserve"> </w:t>
      </w:r>
      <w:proofErr w:type="spellStart"/>
      <w:r w:rsidRPr="00787D6B">
        <w:rPr>
          <w:rFonts w:ascii="Garamond" w:hAnsi="Garamond"/>
          <w:i/>
          <w:sz w:val="28"/>
          <w:szCs w:val="28"/>
        </w:rPr>
        <w:t>Verwaltungsrechtsschutzes</w:t>
      </w:r>
      <w:proofErr w:type="spellEnd"/>
      <w:r w:rsidRPr="00787D6B">
        <w:rPr>
          <w:rFonts w:ascii="Garamond" w:hAnsi="Garamond"/>
          <w:i/>
          <w:sz w:val="28"/>
          <w:szCs w:val="28"/>
        </w:rPr>
        <w:t xml:space="preserve"> </w:t>
      </w:r>
      <w:proofErr w:type="spellStart"/>
      <w:r w:rsidRPr="00787D6B">
        <w:rPr>
          <w:rFonts w:ascii="Garamond" w:hAnsi="Garamond"/>
          <w:i/>
          <w:sz w:val="28"/>
          <w:szCs w:val="28"/>
        </w:rPr>
        <w:t>auf</w:t>
      </w:r>
      <w:proofErr w:type="spellEnd"/>
      <w:r w:rsidRPr="00787D6B">
        <w:rPr>
          <w:rFonts w:ascii="Garamond" w:hAnsi="Garamond"/>
          <w:i/>
          <w:sz w:val="28"/>
          <w:szCs w:val="28"/>
        </w:rPr>
        <w:t xml:space="preserve"> </w:t>
      </w:r>
      <w:proofErr w:type="spellStart"/>
      <w:r w:rsidRPr="00787D6B">
        <w:rPr>
          <w:rFonts w:ascii="Garamond" w:hAnsi="Garamond"/>
          <w:i/>
          <w:sz w:val="28"/>
          <w:szCs w:val="28"/>
        </w:rPr>
        <w:t>dem</w:t>
      </w:r>
      <w:proofErr w:type="spellEnd"/>
      <w:r w:rsidRPr="00787D6B">
        <w:rPr>
          <w:rFonts w:ascii="Garamond" w:hAnsi="Garamond"/>
          <w:i/>
          <w:sz w:val="28"/>
          <w:szCs w:val="28"/>
        </w:rPr>
        <w:t xml:space="preserve"> </w:t>
      </w:r>
      <w:proofErr w:type="spellStart"/>
      <w:r w:rsidRPr="00787D6B">
        <w:rPr>
          <w:rFonts w:ascii="Garamond" w:hAnsi="Garamond"/>
          <w:i/>
          <w:sz w:val="28"/>
          <w:szCs w:val="28"/>
        </w:rPr>
        <w:t>Prüfstand</w:t>
      </w:r>
      <w:proofErr w:type="spellEnd"/>
      <w:r w:rsidRPr="00787D6B">
        <w:rPr>
          <w:rFonts w:ascii="Garamond" w:hAnsi="Garamond"/>
          <w:sz w:val="28"/>
          <w:szCs w:val="28"/>
        </w:rPr>
        <w:t xml:space="preserve">, pubblicati da Beck </w:t>
      </w:r>
      <w:proofErr w:type="spellStart"/>
      <w:r w:rsidRPr="00787D6B">
        <w:rPr>
          <w:rFonts w:ascii="Garamond" w:hAnsi="Garamond"/>
          <w:sz w:val="28"/>
          <w:szCs w:val="28"/>
        </w:rPr>
        <w:t>Verlag</w:t>
      </w:r>
      <w:proofErr w:type="spellEnd"/>
      <w:r w:rsidRPr="00787D6B">
        <w:rPr>
          <w:rFonts w:ascii="Garamond" w:hAnsi="Garamond"/>
          <w:sz w:val="28"/>
          <w:szCs w:val="28"/>
        </w:rPr>
        <w:t xml:space="preserve">, Monaco di Baviera); K. </w:t>
      </w:r>
      <w:proofErr w:type="spellStart"/>
      <w:r w:rsidRPr="00787D6B">
        <w:rPr>
          <w:rFonts w:ascii="Garamond" w:hAnsi="Garamond"/>
          <w:sz w:val="28"/>
          <w:szCs w:val="28"/>
        </w:rPr>
        <w:t>Rennert</w:t>
      </w:r>
      <w:proofErr w:type="spellEnd"/>
      <w:r w:rsidRPr="00787D6B">
        <w:rPr>
          <w:rFonts w:ascii="Garamond" w:hAnsi="Garamond"/>
          <w:i/>
          <w:sz w:val="28"/>
          <w:szCs w:val="28"/>
        </w:rPr>
        <w:t>, La giurisdizione amministrativa nel contesto europeo</w:t>
      </w:r>
      <w:r w:rsidRPr="00787D6B">
        <w:rPr>
          <w:rFonts w:ascii="Garamond" w:hAnsi="Garamond"/>
          <w:sz w:val="28"/>
          <w:szCs w:val="28"/>
        </w:rPr>
        <w:t xml:space="preserve">, </w:t>
      </w:r>
      <w:r w:rsidR="00604CBC" w:rsidRPr="00787D6B">
        <w:rPr>
          <w:rFonts w:ascii="Garamond" w:hAnsi="Garamond"/>
          <w:sz w:val="28"/>
          <w:szCs w:val="28"/>
        </w:rPr>
        <w:t>cit.</w:t>
      </w:r>
      <w:r w:rsidRPr="00787D6B">
        <w:rPr>
          <w:rFonts w:ascii="Garamond" w:hAnsi="Garamond"/>
          <w:sz w:val="28"/>
          <w:szCs w:val="28"/>
        </w:rPr>
        <w:t xml:space="preserve">; L. </w:t>
      </w:r>
      <w:proofErr w:type="spellStart"/>
      <w:r w:rsidRPr="00787D6B">
        <w:rPr>
          <w:rFonts w:ascii="Garamond" w:hAnsi="Garamond"/>
          <w:sz w:val="28"/>
          <w:szCs w:val="28"/>
        </w:rPr>
        <w:t>Bertonazzi</w:t>
      </w:r>
      <w:proofErr w:type="spellEnd"/>
      <w:r w:rsidRPr="00787D6B">
        <w:rPr>
          <w:rFonts w:ascii="Garamond" w:hAnsi="Garamond"/>
          <w:sz w:val="28"/>
          <w:szCs w:val="28"/>
        </w:rPr>
        <w:t xml:space="preserve">, </w:t>
      </w:r>
      <w:r w:rsidRPr="00787D6B">
        <w:rPr>
          <w:rFonts w:ascii="Garamond" w:hAnsi="Garamond"/>
          <w:i/>
          <w:sz w:val="28"/>
          <w:szCs w:val="28"/>
        </w:rPr>
        <w:t xml:space="preserve">Ordine di esame delle censure escludenti incrociate nelle controversie relative a procedure di aggiudicazione di appalti pubblici: la precisazione dell'effettiva portata applicativa della c.d. sentenza </w:t>
      </w:r>
      <w:proofErr w:type="spellStart"/>
      <w:r w:rsidRPr="00787D6B">
        <w:rPr>
          <w:rFonts w:ascii="Garamond" w:hAnsi="Garamond"/>
          <w:sz w:val="28"/>
          <w:szCs w:val="28"/>
        </w:rPr>
        <w:t>Puligienica</w:t>
      </w:r>
      <w:proofErr w:type="spellEnd"/>
      <w:r w:rsidRPr="00787D6B">
        <w:rPr>
          <w:rFonts w:ascii="Garamond" w:hAnsi="Garamond"/>
          <w:sz w:val="28"/>
          <w:szCs w:val="28"/>
        </w:rPr>
        <w:t xml:space="preserve">, in Dir. </w:t>
      </w:r>
      <w:proofErr w:type="spellStart"/>
      <w:r w:rsidRPr="00787D6B">
        <w:rPr>
          <w:rFonts w:ascii="Garamond" w:hAnsi="Garamond"/>
          <w:sz w:val="28"/>
          <w:szCs w:val="28"/>
        </w:rPr>
        <w:t>proc</w:t>
      </w:r>
      <w:proofErr w:type="spellEnd"/>
      <w:r w:rsidRPr="00787D6B">
        <w:rPr>
          <w:rFonts w:ascii="Garamond" w:hAnsi="Garamond"/>
          <w:sz w:val="28"/>
          <w:szCs w:val="28"/>
        </w:rPr>
        <w:t xml:space="preserve">. </w:t>
      </w:r>
      <w:proofErr w:type="spellStart"/>
      <w:r w:rsidRPr="00787D6B">
        <w:rPr>
          <w:rFonts w:ascii="Garamond" w:hAnsi="Garamond"/>
          <w:sz w:val="28"/>
          <w:szCs w:val="28"/>
        </w:rPr>
        <w:t>amm</w:t>
      </w:r>
      <w:proofErr w:type="spellEnd"/>
      <w:r w:rsidRPr="00787D6B">
        <w:rPr>
          <w:rFonts w:ascii="Garamond" w:hAnsi="Garamond"/>
          <w:sz w:val="28"/>
          <w:szCs w:val="28"/>
        </w:rPr>
        <w:t>., n. 4, 2016, p</w:t>
      </w:r>
      <w:r w:rsidR="00E8637C" w:rsidRPr="00787D6B">
        <w:rPr>
          <w:rFonts w:ascii="Garamond" w:hAnsi="Garamond"/>
          <w:sz w:val="28"/>
          <w:szCs w:val="28"/>
        </w:rPr>
        <w:t>ag</w:t>
      </w:r>
      <w:r w:rsidRPr="00787D6B">
        <w:rPr>
          <w:rFonts w:ascii="Garamond" w:hAnsi="Garamond"/>
          <w:sz w:val="28"/>
          <w:szCs w:val="28"/>
        </w:rPr>
        <w:t xml:space="preserve">. 1202; G. Adamo, </w:t>
      </w:r>
      <w:r w:rsidRPr="00787D6B">
        <w:rPr>
          <w:rFonts w:ascii="Garamond" w:hAnsi="Garamond"/>
          <w:i/>
          <w:sz w:val="28"/>
          <w:szCs w:val="28"/>
        </w:rPr>
        <w:t>Percorsi della giurisdizione amministrativa</w:t>
      </w:r>
      <w:r w:rsidR="00604CBC" w:rsidRPr="00787D6B">
        <w:rPr>
          <w:rFonts w:ascii="Garamond" w:hAnsi="Garamond"/>
          <w:sz w:val="28"/>
          <w:szCs w:val="28"/>
        </w:rPr>
        <w:t>, cit.</w:t>
      </w:r>
      <w:r w:rsidRPr="00787D6B">
        <w:rPr>
          <w:rFonts w:ascii="Garamond" w:hAnsi="Garamond"/>
          <w:sz w:val="28"/>
          <w:szCs w:val="28"/>
        </w:rPr>
        <w:t xml:space="preserve">; in una diversa prospettiva: C. </w:t>
      </w:r>
      <w:proofErr w:type="spellStart"/>
      <w:r w:rsidRPr="00787D6B">
        <w:rPr>
          <w:rFonts w:ascii="Garamond" w:hAnsi="Garamond"/>
          <w:sz w:val="28"/>
          <w:szCs w:val="28"/>
        </w:rPr>
        <w:t>Figliolia</w:t>
      </w:r>
      <w:proofErr w:type="spellEnd"/>
      <w:r w:rsidRPr="00787D6B">
        <w:rPr>
          <w:rFonts w:ascii="Garamond" w:hAnsi="Garamond"/>
          <w:sz w:val="28"/>
          <w:szCs w:val="28"/>
        </w:rPr>
        <w:t xml:space="preserve">, </w:t>
      </w:r>
      <w:r w:rsidRPr="00787D6B">
        <w:rPr>
          <w:rFonts w:ascii="Garamond" w:hAnsi="Garamond"/>
          <w:i/>
          <w:sz w:val="28"/>
          <w:szCs w:val="28"/>
        </w:rPr>
        <w:t>La giurisdizione oggettiva nell'Unione europea</w:t>
      </w:r>
      <w:r w:rsidRPr="00787D6B">
        <w:rPr>
          <w:rFonts w:ascii="Garamond" w:hAnsi="Garamond"/>
          <w:sz w:val="28"/>
          <w:szCs w:val="28"/>
        </w:rPr>
        <w:t xml:space="preserve">, in M. Macchia (a cura di), </w:t>
      </w:r>
      <w:r w:rsidRPr="001F2297">
        <w:rPr>
          <w:rFonts w:ascii="Garamond" w:hAnsi="Garamond"/>
          <w:i/>
          <w:sz w:val="28"/>
          <w:szCs w:val="28"/>
        </w:rPr>
        <w:t>Quando lo Stato fa causa allo Stato</w:t>
      </w:r>
      <w:r w:rsidRPr="00787D6B">
        <w:rPr>
          <w:rFonts w:ascii="Garamond" w:hAnsi="Garamond"/>
          <w:sz w:val="28"/>
          <w:szCs w:val="28"/>
        </w:rPr>
        <w:t xml:space="preserve">, ESI, Napoli, 2019, </w:t>
      </w:r>
      <w:r w:rsidR="00E8637C" w:rsidRPr="00787D6B">
        <w:rPr>
          <w:rFonts w:ascii="Garamond" w:hAnsi="Garamond"/>
          <w:sz w:val="28"/>
          <w:szCs w:val="28"/>
        </w:rPr>
        <w:t>pag.</w:t>
      </w:r>
      <w:r w:rsidRPr="00787D6B">
        <w:rPr>
          <w:rFonts w:ascii="Garamond" w:hAnsi="Garamond"/>
          <w:sz w:val="28"/>
          <w:szCs w:val="28"/>
        </w:rPr>
        <w:t xml:space="preserve"> 215.</w:t>
      </w:r>
      <w:r w:rsidRPr="00787D6B">
        <w:rPr>
          <w:sz w:val="28"/>
          <w:szCs w:val="28"/>
        </w:rPr>
        <w:t xml:space="preserve"> </w:t>
      </w:r>
      <w:r w:rsidR="006140AC" w:rsidRPr="00EC66BE">
        <w:rPr>
          <w:rFonts w:ascii="Garamond" w:hAnsi="Garamond"/>
          <w:sz w:val="28"/>
          <w:szCs w:val="28"/>
        </w:rPr>
        <w:t>Incisivamente, A.</w:t>
      </w:r>
      <w:r w:rsidR="006140AC" w:rsidRPr="00EC66BE">
        <w:rPr>
          <w:rFonts w:ascii="Garamond" w:hAnsi="Garamond"/>
        </w:rPr>
        <w:t xml:space="preserve"> </w:t>
      </w:r>
      <w:r w:rsidR="006140AC" w:rsidRPr="00EC66BE">
        <w:rPr>
          <w:rFonts w:ascii="Garamond" w:hAnsi="Garamond"/>
          <w:sz w:val="28"/>
          <w:szCs w:val="28"/>
        </w:rPr>
        <w:t xml:space="preserve">Bartolini, </w:t>
      </w:r>
      <w:r w:rsidR="006140AC" w:rsidRPr="00EC66BE">
        <w:rPr>
          <w:rFonts w:ascii="Garamond" w:hAnsi="Garamond"/>
          <w:i/>
          <w:sz w:val="28"/>
          <w:szCs w:val="28"/>
        </w:rPr>
        <w:t>Il risarcimento del danno</w:t>
      </w:r>
      <w:r w:rsidR="006140AC" w:rsidRPr="00EC66BE">
        <w:rPr>
          <w:rFonts w:ascii="Garamond" w:hAnsi="Garamond"/>
          <w:sz w:val="28"/>
          <w:szCs w:val="28"/>
        </w:rPr>
        <w:t>, cit., pag. 14, parla di un "principio di responsabilità [che] pare, dunque, assumere il carattere di tutela soggettiva, in quanto preordinato a garantire i diritti, anche se nello stesso tempo ha connotati tutela oggettiva, ponendosi come mezzo per assicurare l’</w:t>
      </w:r>
      <w:proofErr w:type="spellStart"/>
      <w:r w:rsidR="006140AC" w:rsidRPr="00EC66BE">
        <w:rPr>
          <w:rFonts w:ascii="Garamond" w:hAnsi="Garamond"/>
          <w:i/>
          <w:sz w:val="28"/>
          <w:szCs w:val="28"/>
        </w:rPr>
        <w:t>effet</w:t>
      </w:r>
      <w:proofErr w:type="spellEnd"/>
      <w:r w:rsidR="006140AC" w:rsidRPr="00EC66BE">
        <w:rPr>
          <w:rFonts w:ascii="Garamond" w:hAnsi="Garamond"/>
          <w:sz w:val="28"/>
          <w:szCs w:val="28"/>
        </w:rPr>
        <w:t xml:space="preserve"> </w:t>
      </w:r>
      <w:r w:rsidR="006140AC" w:rsidRPr="00EC66BE">
        <w:rPr>
          <w:rFonts w:ascii="Garamond" w:hAnsi="Garamond"/>
          <w:i/>
          <w:sz w:val="28"/>
          <w:szCs w:val="28"/>
        </w:rPr>
        <w:t>utile</w:t>
      </w:r>
      <w:r w:rsidR="006140AC" w:rsidRPr="00EC66BE">
        <w:rPr>
          <w:rFonts w:ascii="Garamond" w:hAnsi="Garamond"/>
          <w:sz w:val="28"/>
          <w:szCs w:val="28"/>
        </w:rPr>
        <w:t xml:space="preserve"> ed in definitiva la </w:t>
      </w:r>
      <w:proofErr w:type="spellStart"/>
      <w:r w:rsidR="006140AC" w:rsidRPr="00EC66BE">
        <w:rPr>
          <w:rFonts w:ascii="Garamond" w:hAnsi="Garamond"/>
          <w:i/>
          <w:sz w:val="28"/>
          <w:szCs w:val="28"/>
        </w:rPr>
        <w:t>primauté</w:t>
      </w:r>
      <w:proofErr w:type="spellEnd"/>
      <w:r w:rsidR="006140AC" w:rsidRPr="00EC66BE">
        <w:rPr>
          <w:rFonts w:ascii="Garamond" w:hAnsi="Garamond"/>
          <w:sz w:val="28"/>
          <w:szCs w:val="28"/>
        </w:rPr>
        <w:t xml:space="preserve"> comunitaria</w:t>
      </w:r>
      <w:r w:rsidR="00EC66BE" w:rsidRPr="00EC66BE">
        <w:rPr>
          <w:rFonts w:ascii="Garamond" w:hAnsi="Garamond"/>
          <w:sz w:val="28"/>
          <w:szCs w:val="28"/>
        </w:rPr>
        <w:t>".</w:t>
      </w:r>
    </w:p>
  </w:footnote>
  <w:footnote w:id="47">
    <w:p w14:paraId="486421B7" w14:textId="77777777" w:rsidR="00AE1AA7" w:rsidRPr="00787D6B" w:rsidRDefault="00AE1AA7" w:rsidP="00AE1AA7">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P. Piva, </w:t>
      </w:r>
      <w:r w:rsidRPr="00787D6B">
        <w:rPr>
          <w:rFonts w:ascii="Garamond" w:hAnsi="Garamond"/>
          <w:i/>
          <w:sz w:val="28"/>
          <w:szCs w:val="28"/>
        </w:rPr>
        <w:t>Principi e metodi di interpretazione della Corte di giustizia nel sistema giuridico dell’UE</w:t>
      </w:r>
      <w:r w:rsidRPr="00787D6B">
        <w:rPr>
          <w:rFonts w:ascii="Garamond" w:hAnsi="Garamond"/>
          <w:sz w:val="28"/>
          <w:szCs w:val="28"/>
        </w:rPr>
        <w:t xml:space="preserve">, in </w:t>
      </w:r>
      <w:r w:rsidRPr="00787D6B">
        <w:rPr>
          <w:rFonts w:ascii="Garamond" w:hAnsi="Garamond"/>
          <w:i/>
          <w:sz w:val="28"/>
          <w:szCs w:val="28"/>
        </w:rPr>
        <w:t xml:space="preserve">Ars </w:t>
      </w:r>
      <w:proofErr w:type="spellStart"/>
      <w:r w:rsidRPr="00787D6B">
        <w:rPr>
          <w:rFonts w:ascii="Garamond" w:hAnsi="Garamond"/>
          <w:i/>
          <w:sz w:val="28"/>
          <w:szCs w:val="28"/>
        </w:rPr>
        <w:t>Interpretandi</w:t>
      </w:r>
      <w:proofErr w:type="spellEnd"/>
      <w:r w:rsidRPr="00787D6B">
        <w:rPr>
          <w:rFonts w:ascii="Garamond" w:hAnsi="Garamond"/>
          <w:sz w:val="28"/>
          <w:szCs w:val="28"/>
        </w:rPr>
        <w:t>, 2020, 1, pag. 117.</w:t>
      </w:r>
    </w:p>
  </w:footnote>
  <w:footnote w:id="48">
    <w:p w14:paraId="446E3F46" w14:textId="77777777" w:rsidR="009E5A2C" w:rsidRPr="00787D6B" w:rsidRDefault="009E5A2C" w:rsidP="002339CE">
      <w:pPr>
        <w:pStyle w:val="Testonotaapidipagina"/>
        <w:jc w:val="both"/>
        <w:rPr>
          <w:rFonts w:ascii="Garamond" w:hAnsi="Garamond"/>
          <w:sz w:val="28"/>
          <w:szCs w:val="28"/>
        </w:rPr>
      </w:pPr>
      <w:r w:rsidRPr="00787D6B">
        <w:rPr>
          <w:rStyle w:val="Rimandonotaapidipagina"/>
          <w:rFonts w:ascii="Garamond" w:hAnsi="Garamond"/>
          <w:sz w:val="28"/>
          <w:szCs w:val="28"/>
        </w:rPr>
        <w:footnoteRef/>
      </w:r>
      <w:r w:rsidRPr="00787D6B">
        <w:rPr>
          <w:rFonts w:ascii="Garamond" w:hAnsi="Garamond"/>
          <w:sz w:val="28"/>
          <w:szCs w:val="28"/>
        </w:rPr>
        <w:t xml:space="preserve"> Nel solco della sentenza del 6 ottobre 1982, </w:t>
      </w:r>
      <w:proofErr w:type="spellStart"/>
      <w:r w:rsidRPr="00787D6B">
        <w:rPr>
          <w:rFonts w:ascii="Garamond" w:hAnsi="Garamond"/>
          <w:i/>
          <w:sz w:val="28"/>
          <w:szCs w:val="28"/>
        </w:rPr>
        <w:t>Cilfit</w:t>
      </w:r>
      <w:proofErr w:type="spellEnd"/>
      <w:r w:rsidRPr="00787D6B">
        <w:rPr>
          <w:rFonts w:ascii="Garamond" w:hAnsi="Garamond"/>
          <w:sz w:val="28"/>
          <w:szCs w:val="28"/>
        </w:rPr>
        <w:t xml:space="preserve">, C- 283/81, EU:C:1982:335, che così si è espressa: </w:t>
      </w:r>
    </w:p>
    <w:p w14:paraId="547E3972" w14:textId="77777777" w:rsidR="009E5A2C" w:rsidRPr="00787D6B" w:rsidRDefault="009E5A2C" w:rsidP="002339CE">
      <w:pPr>
        <w:pStyle w:val="Testonotaapidipagina"/>
        <w:jc w:val="both"/>
        <w:rPr>
          <w:rFonts w:ascii="Garamond" w:hAnsi="Garamond"/>
          <w:sz w:val="28"/>
          <w:szCs w:val="28"/>
        </w:rPr>
      </w:pPr>
      <w:r w:rsidRPr="00787D6B">
        <w:rPr>
          <w:rFonts w:ascii="Garamond" w:hAnsi="Garamond"/>
          <w:sz w:val="28"/>
          <w:szCs w:val="28"/>
        </w:rPr>
        <w:t>"Deve poi osservarsi, anche nel caso di piena concordanza delle versioni linguistiche, che il diritto comunitario impiega una terminologia che gli è propria. D'altronde, va sottolineato che le nozioni giuridiche non presentano necessariamente lo stesso contenuto nel diritto comunitario e nei vari diritti nazionali.</w:t>
      </w:r>
    </w:p>
    <w:p w14:paraId="096E9C2A" w14:textId="77777777" w:rsidR="009E5A2C" w:rsidRPr="00787D6B" w:rsidRDefault="009E5A2C" w:rsidP="002339CE">
      <w:pPr>
        <w:pStyle w:val="Testonotaapidipagina"/>
        <w:jc w:val="both"/>
        <w:rPr>
          <w:rFonts w:ascii="Garamond" w:hAnsi="Garamond"/>
          <w:sz w:val="28"/>
          <w:szCs w:val="28"/>
        </w:rPr>
      </w:pPr>
      <w:r w:rsidRPr="00787D6B">
        <w:rPr>
          <w:rFonts w:ascii="Garamond" w:hAnsi="Garamond"/>
          <w:sz w:val="28"/>
          <w:szCs w:val="28"/>
        </w:rPr>
        <w:t>Infine, ogni disposizione di diritto comunitario va ricollocata nel proprio contesto e interpretata alla luce dell'insieme delle disposizioni del suddetto diritto, delle sue finalità, nonché del suo stadio di evoluzione al momento in cui va data applicazione alla disposizione di cui trattasi" (punti 19 e 20).</w:t>
      </w:r>
    </w:p>
  </w:footnote>
  <w:footnote w:id="49">
    <w:p w14:paraId="7369B140" w14:textId="19272118" w:rsidR="00CF7E6A" w:rsidRPr="002339CE" w:rsidRDefault="00CF7E6A" w:rsidP="002339CE">
      <w:pPr>
        <w:pStyle w:val="Testonotaapidipagina"/>
        <w:jc w:val="both"/>
        <w:rPr>
          <w:rFonts w:ascii="Garamond" w:hAnsi="Garamond"/>
          <w:sz w:val="24"/>
          <w:szCs w:val="24"/>
        </w:rPr>
      </w:pPr>
      <w:r w:rsidRPr="00787D6B">
        <w:rPr>
          <w:rStyle w:val="Rimandonotaapidipagina"/>
          <w:rFonts w:ascii="Garamond" w:hAnsi="Garamond"/>
          <w:sz w:val="28"/>
          <w:szCs w:val="28"/>
        </w:rPr>
        <w:footnoteRef/>
      </w:r>
      <w:r w:rsidRPr="00787D6B">
        <w:rPr>
          <w:rFonts w:ascii="Garamond" w:hAnsi="Garamond"/>
          <w:sz w:val="28"/>
          <w:szCs w:val="28"/>
        </w:rPr>
        <w:t xml:space="preserve"> </w:t>
      </w:r>
      <w:r w:rsidR="00112747" w:rsidRPr="00787D6B">
        <w:rPr>
          <w:rFonts w:ascii="Garamond" w:hAnsi="Garamond"/>
          <w:sz w:val="28"/>
          <w:szCs w:val="28"/>
        </w:rPr>
        <w:t xml:space="preserve">L'uniformità </w:t>
      </w:r>
      <w:r w:rsidRPr="00787D6B">
        <w:rPr>
          <w:rFonts w:ascii="Garamond" w:hAnsi="Garamond"/>
          <w:sz w:val="28"/>
          <w:szCs w:val="28"/>
        </w:rPr>
        <w:t xml:space="preserve">nell'interpretazione e nell'applicazione dei vari Stati membri viene </w:t>
      </w:r>
      <w:r w:rsidR="00112747" w:rsidRPr="00787D6B">
        <w:rPr>
          <w:rFonts w:ascii="Garamond" w:hAnsi="Garamond"/>
          <w:sz w:val="28"/>
          <w:szCs w:val="28"/>
        </w:rPr>
        <w:t xml:space="preserve">parallelamente </w:t>
      </w:r>
      <w:r w:rsidRPr="00787D6B">
        <w:rPr>
          <w:rFonts w:ascii="Garamond" w:hAnsi="Garamond"/>
          <w:sz w:val="28"/>
          <w:szCs w:val="28"/>
        </w:rPr>
        <w:t xml:space="preserve">assicurata attraverso l'obbligo di interpretazione conforme da parte di giudici nazionali (v. sentenze </w:t>
      </w:r>
      <w:r w:rsidR="002339CE" w:rsidRPr="00787D6B">
        <w:rPr>
          <w:rFonts w:ascii="Garamond" w:hAnsi="Garamond"/>
          <w:sz w:val="28"/>
          <w:szCs w:val="28"/>
        </w:rPr>
        <w:t xml:space="preserve">del 4 ottobre 2004, </w:t>
      </w:r>
      <w:r w:rsidR="002339CE" w:rsidRPr="00787D6B">
        <w:rPr>
          <w:rFonts w:ascii="Garamond" w:hAnsi="Garamond"/>
          <w:i/>
          <w:sz w:val="28"/>
          <w:szCs w:val="28"/>
        </w:rPr>
        <w:t>Pfeiffer</w:t>
      </w:r>
      <w:r w:rsidR="002339CE" w:rsidRPr="00787D6B">
        <w:rPr>
          <w:rFonts w:ascii="Garamond" w:hAnsi="Garamond"/>
          <w:sz w:val="28"/>
          <w:szCs w:val="28"/>
        </w:rPr>
        <w:t>, C-397-403/01,</w:t>
      </w:r>
      <w:r w:rsidR="003671C3" w:rsidRPr="00787D6B">
        <w:rPr>
          <w:rFonts w:ascii="Garamond" w:hAnsi="Garamond"/>
          <w:sz w:val="28"/>
          <w:szCs w:val="28"/>
        </w:rPr>
        <w:t xml:space="preserve"> </w:t>
      </w:r>
      <w:r w:rsidR="002339CE" w:rsidRPr="00787D6B">
        <w:rPr>
          <w:rFonts w:ascii="Garamond" w:hAnsi="Garamond"/>
          <w:sz w:val="28"/>
          <w:szCs w:val="28"/>
        </w:rPr>
        <w:t xml:space="preserve">EU:C:2004:584, punti 82, 115-119; del 26 ottobre 2016, </w:t>
      </w:r>
      <w:r w:rsidR="002339CE" w:rsidRPr="00787D6B">
        <w:rPr>
          <w:rFonts w:ascii="Garamond" w:hAnsi="Garamond"/>
          <w:i/>
          <w:sz w:val="28"/>
          <w:szCs w:val="28"/>
        </w:rPr>
        <w:t xml:space="preserve">Canal Digital </w:t>
      </w:r>
      <w:proofErr w:type="spellStart"/>
      <w:r w:rsidR="002339CE" w:rsidRPr="00787D6B">
        <w:rPr>
          <w:rFonts w:ascii="Garamond" w:hAnsi="Garamond"/>
          <w:i/>
          <w:sz w:val="28"/>
          <w:szCs w:val="28"/>
        </w:rPr>
        <w:t>Damark</w:t>
      </w:r>
      <w:proofErr w:type="spellEnd"/>
      <w:r w:rsidR="002339CE" w:rsidRPr="00787D6B">
        <w:rPr>
          <w:rFonts w:ascii="Garamond" w:hAnsi="Garamond"/>
          <w:i/>
          <w:sz w:val="28"/>
          <w:szCs w:val="28"/>
        </w:rPr>
        <w:t xml:space="preserve"> A/S</w:t>
      </w:r>
      <w:r w:rsidR="002339CE" w:rsidRPr="00787D6B">
        <w:rPr>
          <w:rFonts w:ascii="Garamond" w:hAnsi="Garamond"/>
          <w:sz w:val="28"/>
          <w:szCs w:val="28"/>
        </w:rPr>
        <w:t>, C</w:t>
      </w:r>
      <w:r w:rsidR="002339CE" w:rsidRPr="00787D6B">
        <w:rPr>
          <w:rFonts w:ascii="Times New Roman" w:hAnsi="Times New Roman" w:cs="Times New Roman"/>
          <w:sz w:val="28"/>
          <w:szCs w:val="28"/>
        </w:rPr>
        <w:t>‑</w:t>
      </w:r>
      <w:r w:rsidR="002339CE" w:rsidRPr="00787D6B">
        <w:rPr>
          <w:rFonts w:ascii="Garamond" w:hAnsi="Garamond"/>
          <w:sz w:val="28"/>
          <w:szCs w:val="28"/>
        </w:rPr>
        <w:t>611/14, EU:C:2016:800, punti 30-34).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D87EF2"/>
    <w:multiLevelType w:val="hybridMultilevel"/>
    <w:tmpl w:val="745442A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11C57EF-EA28-4E66-9E30-B20AE6C73526}"/>
    <w:docVar w:name="dgnword-eventsink" w:val="279785544"/>
  </w:docVars>
  <w:rsids>
    <w:rsidRoot w:val="0037016C"/>
    <w:rsid w:val="00013922"/>
    <w:rsid w:val="000210FC"/>
    <w:rsid w:val="00024113"/>
    <w:rsid w:val="00030AEA"/>
    <w:rsid w:val="00032CAB"/>
    <w:rsid w:val="00037DD9"/>
    <w:rsid w:val="00051AC4"/>
    <w:rsid w:val="00052D16"/>
    <w:rsid w:val="00060647"/>
    <w:rsid w:val="00082618"/>
    <w:rsid w:val="000B683F"/>
    <w:rsid w:val="000C28CE"/>
    <w:rsid w:val="000C545F"/>
    <w:rsid w:val="000F2A1F"/>
    <w:rsid w:val="001008BB"/>
    <w:rsid w:val="001039E3"/>
    <w:rsid w:val="00112747"/>
    <w:rsid w:val="001134B5"/>
    <w:rsid w:val="00123DE0"/>
    <w:rsid w:val="0012588B"/>
    <w:rsid w:val="00130ADB"/>
    <w:rsid w:val="001332F4"/>
    <w:rsid w:val="0014017A"/>
    <w:rsid w:val="00163E4F"/>
    <w:rsid w:val="00165B0C"/>
    <w:rsid w:val="00174FD7"/>
    <w:rsid w:val="001A15E8"/>
    <w:rsid w:val="001A315E"/>
    <w:rsid w:val="001C7AC3"/>
    <w:rsid w:val="001D4F63"/>
    <w:rsid w:val="001F14E0"/>
    <w:rsid w:val="001F2297"/>
    <w:rsid w:val="00215107"/>
    <w:rsid w:val="0022430D"/>
    <w:rsid w:val="00226B21"/>
    <w:rsid w:val="002339CE"/>
    <w:rsid w:val="0024236F"/>
    <w:rsid w:val="00244478"/>
    <w:rsid w:val="00250F4D"/>
    <w:rsid w:val="00254E72"/>
    <w:rsid w:val="0025674D"/>
    <w:rsid w:val="00264027"/>
    <w:rsid w:val="00274534"/>
    <w:rsid w:val="002809D2"/>
    <w:rsid w:val="0029381A"/>
    <w:rsid w:val="002B7407"/>
    <w:rsid w:val="002C27C4"/>
    <w:rsid w:val="002C36E2"/>
    <w:rsid w:val="002C73C4"/>
    <w:rsid w:val="002D76F5"/>
    <w:rsid w:val="002F06C1"/>
    <w:rsid w:val="003119CF"/>
    <w:rsid w:val="0031616D"/>
    <w:rsid w:val="00326676"/>
    <w:rsid w:val="00330BE3"/>
    <w:rsid w:val="0034243C"/>
    <w:rsid w:val="00343CEF"/>
    <w:rsid w:val="00354E65"/>
    <w:rsid w:val="003671C3"/>
    <w:rsid w:val="00367C76"/>
    <w:rsid w:val="0037016C"/>
    <w:rsid w:val="00373D03"/>
    <w:rsid w:val="00381B55"/>
    <w:rsid w:val="00391656"/>
    <w:rsid w:val="003A0C7A"/>
    <w:rsid w:val="003B47A2"/>
    <w:rsid w:val="003D50A3"/>
    <w:rsid w:val="003D5118"/>
    <w:rsid w:val="003E39F1"/>
    <w:rsid w:val="003F41CE"/>
    <w:rsid w:val="0041573B"/>
    <w:rsid w:val="00437D94"/>
    <w:rsid w:val="00442CEF"/>
    <w:rsid w:val="0044428E"/>
    <w:rsid w:val="00446368"/>
    <w:rsid w:val="00455335"/>
    <w:rsid w:val="00465821"/>
    <w:rsid w:val="00471820"/>
    <w:rsid w:val="00496CD1"/>
    <w:rsid w:val="004A0639"/>
    <w:rsid w:val="004A1B5B"/>
    <w:rsid w:val="004B0923"/>
    <w:rsid w:val="004B15D9"/>
    <w:rsid w:val="004B2BFA"/>
    <w:rsid w:val="004B6DB7"/>
    <w:rsid w:val="004D540C"/>
    <w:rsid w:val="004D5C91"/>
    <w:rsid w:val="004D6313"/>
    <w:rsid w:val="004E1A8D"/>
    <w:rsid w:val="00544185"/>
    <w:rsid w:val="00570A91"/>
    <w:rsid w:val="005758A0"/>
    <w:rsid w:val="00576F5B"/>
    <w:rsid w:val="00590B2A"/>
    <w:rsid w:val="005C7CB1"/>
    <w:rsid w:val="005F05DB"/>
    <w:rsid w:val="00600115"/>
    <w:rsid w:val="00604CBC"/>
    <w:rsid w:val="006140AC"/>
    <w:rsid w:val="0062071A"/>
    <w:rsid w:val="00622BB9"/>
    <w:rsid w:val="00624CFA"/>
    <w:rsid w:val="006317E3"/>
    <w:rsid w:val="00654F1F"/>
    <w:rsid w:val="00681B13"/>
    <w:rsid w:val="00682F2D"/>
    <w:rsid w:val="006916A6"/>
    <w:rsid w:val="00692A2A"/>
    <w:rsid w:val="006A533B"/>
    <w:rsid w:val="006E775D"/>
    <w:rsid w:val="006F71AB"/>
    <w:rsid w:val="0070044C"/>
    <w:rsid w:val="00712D1F"/>
    <w:rsid w:val="007319EC"/>
    <w:rsid w:val="00741940"/>
    <w:rsid w:val="00746E42"/>
    <w:rsid w:val="007502A6"/>
    <w:rsid w:val="007702A5"/>
    <w:rsid w:val="00787D6B"/>
    <w:rsid w:val="007A6EE6"/>
    <w:rsid w:val="007B7F0E"/>
    <w:rsid w:val="007E70A0"/>
    <w:rsid w:val="00831190"/>
    <w:rsid w:val="00842749"/>
    <w:rsid w:val="00845E69"/>
    <w:rsid w:val="00845F23"/>
    <w:rsid w:val="008756C1"/>
    <w:rsid w:val="008765AF"/>
    <w:rsid w:val="00880C59"/>
    <w:rsid w:val="008B4C59"/>
    <w:rsid w:val="008C4B3D"/>
    <w:rsid w:val="008F5E0D"/>
    <w:rsid w:val="008F7CD0"/>
    <w:rsid w:val="00903D09"/>
    <w:rsid w:val="009214C3"/>
    <w:rsid w:val="00926488"/>
    <w:rsid w:val="0093154D"/>
    <w:rsid w:val="00935FCA"/>
    <w:rsid w:val="009373D4"/>
    <w:rsid w:val="00940264"/>
    <w:rsid w:val="00952265"/>
    <w:rsid w:val="00963086"/>
    <w:rsid w:val="00971D4D"/>
    <w:rsid w:val="0098036C"/>
    <w:rsid w:val="0098456C"/>
    <w:rsid w:val="009A6243"/>
    <w:rsid w:val="009C4F4A"/>
    <w:rsid w:val="009C7323"/>
    <w:rsid w:val="009D303C"/>
    <w:rsid w:val="009E5A2C"/>
    <w:rsid w:val="009E7413"/>
    <w:rsid w:val="009F1369"/>
    <w:rsid w:val="009F3215"/>
    <w:rsid w:val="00A13554"/>
    <w:rsid w:val="00A138B8"/>
    <w:rsid w:val="00A17759"/>
    <w:rsid w:val="00A2475D"/>
    <w:rsid w:val="00A35607"/>
    <w:rsid w:val="00A42867"/>
    <w:rsid w:val="00A70959"/>
    <w:rsid w:val="00A733C4"/>
    <w:rsid w:val="00A75632"/>
    <w:rsid w:val="00A7755F"/>
    <w:rsid w:val="00AA4AF7"/>
    <w:rsid w:val="00AB6D65"/>
    <w:rsid w:val="00AD5958"/>
    <w:rsid w:val="00AE1AA7"/>
    <w:rsid w:val="00AE7748"/>
    <w:rsid w:val="00B06E6C"/>
    <w:rsid w:val="00B14877"/>
    <w:rsid w:val="00B14AD0"/>
    <w:rsid w:val="00B22DFB"/>
    <w:rsid w:val="00B579F9"/>
    <w:rsid w:val="00B73469"/>
    <w:rsid w:val="00B76068"/>
    <w:rsid w:val="00B82C8B"/>
    <w:rsid w:val="00B90988"/>
    <w:rsid w:val="00BA423E"/>
    <w:rsid w:val="00BB2866"/>
    <w:rsid w:val="00BB3596"/>
    <w:rsid w:val="00BE6AE3"/>
    <w:rsid w:val="00BF3813"/>
    <w:rsid w:val="00C170EB"/>
    <w:rsid w:val="00C37A33"/>
    <w:rsid w:val="00C50964"/>
    <w:rsid w:val="00C624CD"/>
    <w:rsid w:val="00C70F76"/>
    <w:rsid w:val="00C734B4"/>
    <w:rsid w:val="00C91FA8"/>
    <w:rsid w:val="00C96D69"/>
    <w:rsid w:val="00C97371"/>
    <w:rsid w:val="00CA42C2"/>
    <w:rsid w:val="00CB1C3C"/>
    <w:rsid w:val="00CC002D"/>
    <w:rsid w:val="00CC0336"/>
    <w:rsid w:val="00CD1E4D"/>
    <w:rsid w:val="00CD277D"/>
    <w:rsid w:val="00CE4792"/>
    <w:rsid w:val="00CE6993"/>
    <w:rsid w:val="00CF1745"/>
    <w:rsid w:val="00CF7E6A"/>
    <w:rsid w:val="00D037C5"/>
    <w:rsid w:val="00D44FE0"/>
    <w:rsid w:val="00D62235"/>
    <w:rsid w:val="00D67D84"/>
    <w:rsid w:val="00D7280A"/>
    <w:rsid w:val="00D738D2"/>
    <w:rsid w:val="00D752B5"/>
    <w:rsid w:val="00D87A8E"/>
    <w:rsid w:val="00D87B85"/>
    <w:rsid w:val="00DB75B0"/>
    <w:rsid w:val="00DC733C"/>
    <w:rsid w:val="00DF56F5"/>
    <w:rsid w:val="00DF7DB8"/>
    <w:rsid w:val="00E04B1B"/>
    <w:rsid w:val="00E12A9E"/>
    <w:rsid w:val="00E21912"/>
    <w:rsid w:val="00E2791B"/>
    <w:rsid w:val="00E33CCC"/>
    <w:rsid w:val="00E34EC5"/>
    <w:rsid w:val="00E561A0"/>
    <w:rsid w:val="00E576BE"/>
    <w:rsid w:val="00E63B5D"/>
    <w:rsid w:val="00E67B9F"/>
    <w:rsid w:val="00E80538"/>
    <w:rsid w:val="00E82FDB"/>
    <w:rsid w:val="00E8637C"/>
    <w:rsid w:val="00E928B9"/>
    <w:rsid w:val="00EB53C9"/>
    <w:rsid w:val="00EC0ADE"/>
    <w:rsid w:val="00EC66BE"/>
    <w:rsid w:val="00EC7DB0"/>
    <w:rsid w:val="00ED2776"/>
    <w:rsid w:val="00EE41B2"/>
    <w:rsid w:val="00F2594D"/>
    <w:rsid w:val="00F279CE"/>
    <w:rsid w:val="00F40BD5"/>
    <w:rsid w:val="00F453D4"/>
    <w:rsid w:val="00F5698E"/>
    <w:rsid w:val="00F57C48"/>
    <w:rsid w:val="00F81EE3"/>
    <w:rsid w:val="00F858C7"/>
    <w:rsid w:val="00F91854"/>
    <w:rsid w:val="00FA719E"/>
    <w:rsid w:val="00FB5E27"/>
    <w:rsid w:val="00FD1128"/>
    <w:rsid w:val="00FE3BE3"/>
    <w:rsid w:val="00FE476C"/>
    <w:rsid w:val="00FE7E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8692C8"/>
  <w15:chartTrackingRefBased/>
  <w15:docId w15:val="{0DD741CC-BA97-4158-B13C-8E0BB0B9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016C"/>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7016C"/>
    <w:rPr>
      <w:color w:val="0563C1" w:themeColor="hyperlink"/>
      <w:u w:val="single"/>
    </w:rPr>
  </w:style>
  <w:style w:type="paragraph" w:styleId="Testonotaapidipagina">
    <w:name w:val="footnote text"/>
    <w:basedOn w:val="Normale"/>
    <w:link w:val="TestonotaapidipaginaCarattere"/>
    <w:uiPriority w:val="99"/>
    <w:unhideWhenUsed/>
    <w:rsid w:val="0037016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7016C"/>
    <w:rPr>
      <w:sz w:val="20"/>
      <w:szCs w:val="20"/>
    </w:rPr>
  </w:style>
  <w:style w:type="paragraph" w:styleId="Paragrafoelenco">
    <w:name w:val="List Paragraph"/>
    <w:basedOn w:val="Normale"/>
    <w:uiPriority w:val="34"/>
    <w:qFormat/>
    <w:rsid w:val="0037016C"/>
    <w:pPr>
      <w:ind w:left="720"/>
      <w:contextualSpacing/>
    </w:pPr>
  </w:style>
  <w:style w:type="character" w:styleId="Rimandonotaapidipagina">
    <w:name w:val="footnote reference"/>
    <w:basedOn w:val="Carpredefinitoparagrafo"/>
    <w:uiPriority w:val="99"/>
    <w:semiHidden/>
    <w:unhideWhenUsed/>
    <w:rsid w:val="0037016C"/>
    <w:rPr>
      <w:vertAlign w:val="superscript"/>
    </w:rPr>
  </w:style>
  <w:style w:type="paragraph" w:styleId="Testofumetto">
    <w:name w:val="Balloon Text"/>
    <w:basedOn w:val="Normale"/>
    <w:link w:val="TestofumettoCarattere"/>
    <w:uiPriority w:val="99"/>
    <w:semiHidden/>
    <w:unhideWhenUsed/>
    <w:rsid w:val="00496CD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96CD1"/>
    <w:rPr>
      <w:rFonts w:ascii="Segoe UI" w:hAnsi="Segoe UI" w:cs="Segoe UI"/>
      <w:sz w:val="18"/>
      <w:szCs w:val="18"/>
    </w:rPr>
  </w:style>
  <w:style w:type="paragraph" w:styleId="Intestazione">
    <w:name w:val="header"/>
    <w:basedOn w:val="Normale"/>
    <w:link w:val="IntestazioneCarattere"/>
    <w:uiPriority w:val="99"/>
    <w:unhideWhenUsed/>
    <w:rsid w:val="00496C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6CD1"/>
  </w:style>
  <w:style w:type="paragraph" w:styleId="Pidipagina">
    <w:name w:val="footer"/>
    <w:basedOn w:val="Normale"/>
    <w:link w:val="PidipaginaCarattere"/>
    <w:uiPriority w:val="99"/>
    <w:unhideWhenUsed/>
    <w:rsid w:val="00496C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6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46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questionegiustizia.it/speciale/articolo/l-esecuzione-delle-sentenze-nel-sistema-convenzionale-profili-teorici-e-pratici_79.php" TargetMode="External"/><Relationship Id="rId1" Type="http://schemas.openxmlformats.org/officeDocument/2006/relationships/hyperlink" Target="http://www.conseil-etat.f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95567-F12F-4FA4-A7C8-9D1BDBA6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3287</Words>
  <Characters>18739</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ADAMO Giuseppina</dc:creator>
  <cp:keywords/>
  <dc:description/>
  <cp:lastModifiedBy>FERRARI Giulia</cp:lastModifiedBy>
  <cp:revision>3</cp:revision>
  <cp:lastPrinted>2023-01-11T11:48:00Z</cp:lastPrinted>
  <dcterms:created xsi:type="dcterms:W3CDTF">2023-02-13T13:48:00Z</dcterms:created>
  <dcterms:modified xsi:type="dcterms:W3CDTF">2023-02-13T13:50:00Z</dcterms:modified>
</cp:coreProperties>
</file>