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EA9F" w14:textId="77777777" w:rsidR="00150175" w:rsidRPr="00B3016C" w:rsidRDefault="00150175" w:rsidP="00150175">
      <w:pPr>
        <w:spacing w:line="360" w:lineRule="auto"/>
        <w:ind w:left="284" w:right="851" w:firstLine="425"/>
        <w:jc w:val="both"/>
        <w:rPr>
          <w:rStyle w:val="Numeropagina"/>
          <w:sz w:val="24"/>
          <w:szCs w:val="24"/>
        </w:rPr>
      </w:pPr>
    </w:p>
    <w:p w14:paraId="0860252C" w14:textId="6B7ECD04" w:rsidR="00150175" w:rsidRPr="00150175" w:rsidRDefault="00150175" w:rsidP="00150175">
      <w:pPr>
        <w:spacing w:line="567" w:lineRule="exact"/>
        <w:ind w:left="284" w:right="849"/>
        <w:jc w:val="both"/>
        <w:rPr>
          <w:rStyle w:val="Numeropagina"/>
          <w:bCs/>
          <w:color w:val="000000" w:themeColor="text1"/>
          <w:sz w:val="24"/>
          <w:szCs w:val="24"/>
        </w:rPr>
      </w:pPr>
    </w:p>
    <w:p w14:paraId="6FCE907D" w14:textId="77777777" w:rsidR="007C1F97" w:rsidRPr="006A2EF0" w:rsidRDefault="007C1F97" w:rsidP="007C1F97">
      <w:pPr>
        <w:spacing w:line="567" w:lineRule="exact"/>
        <w:ind w:left="284" w:right="849"/>
        <w:jc w:val="center"/>
        <w:rPr>
          <w:rStyle w:val="Numeropagina"/>
          <w:rFonts w:ascii="News Gothic MT" w:hAnsi="News Gothic MT"/>
          <w:b/>
          <w:spacing w:val="20"/>
          <w:sz w:val="40"/>
          <w:szCs w:val="40"/>
        </w:rPr>
      </w:pPr>
      <w:r>
        <w:rPr>
          <w:rStyle w:val="Numeropagina"/>
          <w:rFonts w:ascii="News Gothic MT" w:hAnsi="News Gothic MT"/>
          <w:b/>
          <w:spacing w:val="20"/>
          <w:sz w:val="40"/>
          <w:szCs w:val="40"/>
        </w:rPr>
        <w:t>L’utilizzo degli algoritmi e l’intelligenza artificiale tra futuro prossimo e incertezza applicativa</w:t>
      </w:r>
    </w:p>
    <w:p w14:paraId="6FC8B349" w14:textId="0FB1E4AA" w:rsidR="00EB4CA3" w:rsidRDefault="00FB50A1" w:rsidP="006F50DB">
      <w:pPr>
        <w:spacing w:line="567" w:lineRule="exact"/>
        <w:ind w:left="284" w:right="851" w:firstLine="425"/>
        <w:jc w:val="both"/>
        <w:rPr>
          <w:rStyle w:val="Numeropagina"/>
          <w:bCs/>
          <w:color w:val="000000" w:themeColor="text1"/>
          <w:sz w:val="24"/>
          <w:szCs w:val="24"/>
        </w:rPr>
      </w:pPr>
      <w:bookmarkStart w:id="0" w:name="_GoBack"/>
      <w:bookmarkEnd w:id="0"/>
      <w:r>
        <w:rPr>
          <w:rStyle w:val="Numeropagina"/>
          <w:bCs/>
          <w:color w:val="000000" w:themeColor="text1"/>
          <w:sz w:val="24"/>
          <w:szCs w:val="24"/>
        </w:rPr>
        <w:t>L</w:t>
      </w:r>
      <w:r w:rsidR="007944E2">
        <w:rPr>
          <w:rStyle w:val="Numeropagina"/>
          <w:bCs/>
          <w:color w:val="000000" w:themeColor="text1"/>
          <w:sz w:val="24"/>
          <w:szCs w:val="24"/>
        </w:rPr>
        <w:t xml:space="preserve">’art. 30 del </w:t>
      </w:r>
      <w:r w:rsidR="0024754C">
        <w:rPr>
          <w:rStyle w:val="Numeropagina"/>
          <w:bCs/>
          <w:color w:val="000000" w:themeColor="text1"/>
          <w:sz w:val="24"/>
          <w:szCs w:val="24"/>
        </w:rPr>
        <w:t xml:space="preserve">nuovo </w:t>
      </w:r>
      <w:r w:rsidR="007944E2">
        <w:rPr>
          <w:rStyle w:val="Numeropagina"/>
          <w:bCs/>
          <w:color w:val="000000" w:themeColor="text1"/>
          <w:sz w:val="24"/>
          <w:szCs w:val="24"/>
        </w:rPr>
        <w:t>Codice</w:t>
      </w:r>
      <w:r w:rsidR="0024754C">
        <w:rPr>
          <w:rStyle w:val="Rimandonotaapidipagina"/>
          <w:bCs/>
          <w:color w:val="000000" w:themeColor="text1"/>
          <w:sz w:val="24"/>
          <w:szCs w:val="24"/>
        </w:rPr>
        <w:footnoteReference w:id="1"/>
      </w:r>
      <w:r w:rsidR="007944E2">
        <w:rPr>
          <w:rStyle w:val="Numeropagina"/>
          <w:bCs/>
          <w:color w:val="000000" w:themeColor="text1"/>
          <w:sz w:val="24"/>
          <w:szCs w:val="24"/>
        </w:rPr>
        <w:t xml:space="preserve"> </w:t>
      </w:r>
      <w:r>
        <w:rPr>
          <w:rStyle w:val="Numeropagina"/>
          <w:bCs/>
          <w:color w:val="000000" w:themeColor="text1"/>
          <w:sz w:val="24"/>
          <w:szCs w:val="24"/>
        </w:rPr>
        <w:t>mette in evidenza</w:t>
      </w:r>
      <w:r w:rsidR="007944E2">
        <w:rPr>
          <w:rStyle w:val="Numeropagina"/>
          <w:bCs/>
          <w:color w:val="000000" w:themeColor="text1"/>
          <w:sz w:val="24"/>
          <w:szCs w:val="24"/>
        </w:rPr>
        <w:t xml:space="preserve"> tutto il proverbiale ottimismo del </w:t>
      </w:r>
      <w:r w:rsidR="00EB4CA3">
        <w:rPr>
          <w:rStyle w:val="Numeropagina"/>
          <w:bCs/>
          <w:color w:val="000000" w:themeColor="text1"/>
          <w:sz w:val="24"/>
          <w:szCs w:val="24"/>
        </w:rPr>
        <w:t xml:space="preserve">legislatore e del </w:t>
      </w:r>
      <w:r w:rsidR="0024754C">
        <w:rPr>
          <w:rStyle w:val="Numeropagina"/>
          <w:bCs/>
          <w:color w:val="000000" w:themeColor="text1"/>
          <w:sz w:val="24"/>
          <w:szCs w:val="24"/>
        </w:rPr>
        <w:t>g</w:t>
      </w:r>
      <w:r w:rsidR="007944E2">
        <w:rPr>
          <w:rStyle w:val="Numeropagina"/>
          <w:bCs/>
          <w:color w:val="000000" w:themeColor="text1"/>
          <w:sz w:val="24"/>
          <w:szCs w:val="24"/>
        </w:rPr>
        <w:t>iudice amministrativo</w:t>
      </w:r>
      <w:r w:rsidR="00EB4CA3">
        <w:rPr>
          <w:rStyle w:val="Numeropagina"/>
          <w:bCs/>
          <w:color w:val="000000" w:themeColor="text1"/>
          <w:sz w:val="24"/>
          <w:szCs w:val="24"/>
        </w:rPr>
        <w:t xml:space="preserve"> (che per singolare congiunzione</w:t>
      </w:r>
      <w:r w:rsidR="0024754C">
        <w:rPr>
          <w:rStyle w:val="Numeropagina"/>
          <w:bCs/>
          <w:color w:val="000000" w:themeColor="text1"/>
          <w:sz w:val="24"/>
          <w:szCs w:val="24"/>
        </w:rPr>
        <w:t>,</w:t>
      </w:r>
      <w:r w:rsidR="00EB4CA3">
        <w:rPr>
          <w:rStyle w:val="Numeropagina"/>
          <w:bCs/>
          <w:color w:val="000000" w:themeColor="text1"/>
          <w:sz w:val="24"/>
          <w:szCs w:val="24"/>
        </w:rPr>
        <w:t xml:space="preserve"> nel caso in esame, </w:t>
      </w:r>
      <w:r w:rsidR="0024754C">
        <w:rPr>
          <w:rStyle w:val="Numeropagina"/>
          <w:bCs/>
          <w:color w:val="000000" w:themeColor="text1"/>
          <w:sz w:val="24"/>
          <w:szCs w:val="24"/>
        </w:rPr>
        <w:t>in larga parte</w:t>
      </w:r>
      <w:r w:rsidR="00EB4CA3">
        <w:rPr>
          <w:rStyle w:val="Numeropagina"/>
          <w:bCs/>
          <w:color w:val="000000" w:themeColor="text1"/>
          <w:sz w:val="24"/>
          <w:szCs w:val="24"/>
        </w:rPr>
        <w:t>, coincidono)</w:t>
      </w:r>
      <w:r w:rsidR="007944E2">
        <w:rPr>
          <w:rStyle w:val="Numeropagina"/>
          <w:bCs/>
          <w:color w:val="000000" w:themeColor="text1"/>
          <w:sz w:val="24"/>
          <w:szCs w:val="24"/>
        </w:rPr>
        <w:t xml:space="preserve"> </w:t>
      </w:r>
      <w:r w:rsidR="00EB4CA3">
        <w:rPr>
          <w:rStyle w:val="Numeropagina"/>
          <w:bCs/>
          <w:color w:val="000000" w:themeColor="text1"/>
          <w:sz w:val="24"/>
          <w:szCs w:val="24"/>
        </w:rPr>
        <w:t>quando si rapportano con la P.A. e con la sua capacità (o incapacità) di rispondere positivamente alle sfide.</w:t>
      </w:r>
    </w:p>
    <w:p w14:paraId="5D10246C" w14:textId="16700E86" w:rsidR="00CB2CE8" w:rsidRDefault="00FB50A1"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w:t>
      </w:r>
      <w:r w:rsidR="00CB2CE8">
        <w:rPr>
          <w:rStyle w:val="Numeropagina"/>
          <w:bCs/>
          <w:color w:val="000000" w:themeColor="text1"/>
          <w:sz w:val="24"/>
          <w:szCs w:val="24"/>
        </w:rPr>
        <w:t>l primo comma dell’art. 30 rappresenta l’</w:t>
      </w:r>
      <w:r w:rsidR="00CB2CE8">
        <w:rPr>
          <w:rStyle w:val="Numeropagina"/>
          <w:bCs/>
          <w:i/>
          <w:iCs/>
          <w:color w:val="000000" w:themeColor="text1"/>
          <w:sz w:val="24"/>
          <w:szCs w:val="24"/>
        </w:rPr>
        <w:t xml:space="preserve">incipit </w:t>
      </w:r>
      <w:r w:rsidR="00CB2CE8">
        <w:rPr>
          <w:rStyle w:val="Numeropagina"/>
          <w:bCs/>
          <w:color w:val="000000" w:themeColor="text1"/>
          <w:sz w:val="24"/>
          <w:szCs w:val="24"/>
        </w:rPr>
        <w:t xml:space="preserve">di quell’ottimismo cui </w:t>
      </w:r>
      <w:r>
        <w:rPr>
          <w:rStyle w:val="Numeropagina"/>
          <w:bCs/>
          <w:color w:val="000000" w:themeColor="text1"/>
          <w:sz w:val="24"/>
          <w:szCs w:val="24"/>
        </w:rPr>
        <w:t xml:space="preserve">si </w:t>
      </w:r>
      <w:r w:rsidR="00CB2CE8">
        <w:rPr>
          <w:rStyle w:val="Numeropagina"/>
          <w:bCs/>
          <w:color w:val="000000" w:themeColor="text1"/>
          <w:sz w:val="24"/>
          <w:szCs w:val="24"/>
        </w:rPr>
        <w:t>facev</w:t>
      </w:r>
      <w:r>
        <w:rPr>
          <w:rStyle w:val="Numeropagina"/>
          <w:bCs/>
          <w:color w:val="000000" w:themeColor="text1"/>
          <w:sz w:val="24"/>
          <w:szCs w:val="24"/>
        </w:rPr>
        <w:t>a</w:t>
      </w:r>
      <w:r w:rsidR="00CB2CE8">
        <w:rPr>
          <w:rStyle w:val="Numeropagina"/>
          <w:bCs/>
          <w:color w:val="000000" w:themeColor="text1"/>
          <w:sz w:val="24"/>
          <w:szCs w:val="24"/>
        </w:rPr>
        <w:t xml:space="preserve"> riferimento: “</w:t>
      </w:r>
      <w:r w:rsidR="00CB2CE8" w:rsidRPr="00FB50A1">
        <w:rPr>
          <w:rStyle w:val="Numeropagina"/>
          <w:bCs/>
          <w:i/>
          <w:iCs/>
          <w:color w:val="000000" w:themeColor="text1"/>
          <w:sz w:val="24"/>
          <w:szCs w:val="24"/>
        </w:rPr>
        <w:t>Per migliorare l’efficienza le stazioni appaltanti e gli enti concedenti provvedono, ove possibile, ad automatizzare le proprie attività ricorrendo a soluzioni tecnologiche, ivi incluse l’intelligenza artificiale e le tecnologie di registri distribuiti, nel rispetto de</w:t>
      </w:r>
      <w:r w:rsidR="00CB2CE8" w:rsidRPr="00CB2CE8">
        <w:rPr>
          <w:rStyle w:val="Numeropagina"/>
          <w:bCs/>
          <w:i/>
          <w:iCs/>
          <w:color w:val="000000" w:themeColor="text1"/>
          <w:sz w:val="24"/>
          <w:szCs w:val="24"/>
        </w:rPr>
        <w:t>lle specifiche disposizioni in materia</w:t>
      </w:r>
      <w:r w:rsidR="00CB2CE8">
        <w:rPr>
          <w:rStyle w:val="Numeropagina"/>
          <w:bCs/>
          <w:color w:val="000000" w:themeColor="text1"/>
          <w:sz w:val="24"/>
          <w:szCs w:val="24"/>
        </w:rPr>
        <w:t>”</w:t>
      </w:r>
      <w:r w:rsidR="00905CBB">
        <w:rPr>
          <w:rStyle w:val="Numeropagina"/>
          <w:bCs/>
          <w:color w:val="000000" w:themeColor="text1"/>
          <w:sz w:val="24"/>
          <w:szCs w:val="24"/>
        </w:rPr>
        <w:t>.</w:t>
      </w:r>
    </w:p>
    <w:p w14:paraId="6DF0448D" w14:textId="647EFFD5" w:rsidR="00905CBB" w:rsidRDefault="00905CBB"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Si tratta di un invito </w:t>
      </w:r>
      <w:r w:rsidR="00FB50A1">
        <w:rPr>
          <w:rStyle w:val="Numeropagina"/>
          <w:bCs/>
          <w:color w:val="000000" w:themeColor="text1"/>
          <w:sz w:val="24"/>
          <w:szCs w:val="24"/>
        </w:rPr>
        <w:t>deciso</w:t>
      </w:r>
      <w:r w:rsidR="009537D9">
        <w:rPr>
          <w:rStyle w:val="Numeropagina"/>
          <w:bCs/>
          <w:color w:val="000000" w:themeColor="text1"/>
          <w:sz w:val="24"/>
          <w:szCs w:val="24"/>
        </w:rPr>
        <w:t>,</w:t>
      </w:r>
      <w:r w:rsidR="009537D9" w:rsidRPr="009537D9">
        <w:rPr>
          <w:rStyle w:val="Numeropagina"/>
          <w:bCs/>
          <w:color w:val="000000" w:themeColor="text1"/>
          <w:sz w:val="24"/>
          <w:szCs w:val="24"/>
        </w:rPr>
        <w:t xml:space="preserve"> </w:t>
      </w:r>
      <w:r w:rsidR="009537D9">
        <w:rPr>
          <w:rStyle w:val="Numeropagina"/>
          <w:bCs/>
          <w:color w:val="000000" w:themeColor="text1"/>
          <w:sz w:val="24"/>
          <w:szCs w:val="24"/>
        </w:rPr>
        <w:t>prometeicamente consegnato alle amministrazioni,</w:t>
      </w:r>
      <w:r w:rsidR="00FB50A1">
        <w:rPr>
          <w:rStyle w:val="Numeropagina"/>
          <w:bCs/>
          <w:color w:val="000000" w:themeColor="text1"/>
          <w:sz w:val="24"/>
          <w:szCs w:val="24"/>
        </w:rPr>
        <w:t xml:space="preserve"> a percorrere la strada </w:t>
      </w:r>
      <w:r>
        <w:rPr>
          <w:rStyle w:val="Numeropagina"/>
          <w:bCs/>
          <w:color w:val="000000" w:themeColor="text1"/>
          <w:sz w:val="24"/>
          <w:szCs w:val="24"/>
        </w:rPr>
        <w:t>verso il futuro e le soluzioni tecnologiche (ivi inclusa l’intelligenza artificiale)</w:t>
      </w:r>
      <w:r w:rsidR="008608B5">
        <w:rPr>
          <w:rStyle w:val="Numeropagina"/>
          <w:bCs/>
          <w:color w:val="000000" w:themeColor="text1"/>
          <w:sz w:val="24"/>
          <w:szCs w:val="24"/>
        </w:rPr>
        <w:t xml:space="preserve"> che </w:t>
      </w:r>
      <w:r w:rsidR="001542AA">
        <w:rPr>
          <w:rStyle w:val="Numeropagina"/>
          <w:bCs/>
          <w:color w:val="000000" w:themeColor="text1"/>
          <w:sz w:val="24"/>
          <w:szCs w:val="24"/>
        </w:rPr>
        <w:t>dovrebbero determinare</w:t>
      </w:r>
      <w:r w:rsidR="00222DD1">
        <w:rPr>
          <w:rStyle w:val="Numeropagina"/>
          <w:bCs/>
          <w:color w:val="000000" w:themeColor="text1"/>
          <w:sz w:val="24"/>
          <w:szCs w:val="24"/>
        </w:rPr>
        <w:t>,</w:t>
      </w:r>
      <w:r w:rsidR="008608B5">
        <w:rPr>
          <w:rStyle w:val="Numeropagina"/>
          <w:bCs/>
          <w:color w:val="000000" w:themeColor="text1"/>
          <w:sz w:val="24"/>
          <w:szCs w:val="24"/>
        </w:rPr>
        <w:t xml:space="preserve"> </w:t>
      </w:r>
      <w:r w:rsidR="00BF66E4">
        <w:rPr>
          <w:rStyle w:val="Numeropagina"/>
          <w:bCs/>
          <w:color w:val="000000" w:themeColor="text1"/>
          <w:sz w:val="24"/>
          <w:szCs w:val="24"/>
        </w:rPr>
        <w:t xml:space="preserve">in </w:t>
      </w:r>
      <w:r w:rsidR="00AB1D9F">
        <w:rPr>
          <w:rStyle w:val="Numeropagina"/>
          <w:bCs/>
          <w:color w:val="000000" w:themeColor="text1"/>
          <w:sz w:val="24"/>
          <w:szCs w:val="24"/>
        </w:rPr>
        <w:t>modo alquanto assiomatico</w:t>
      </w:r>
      <w:r w:rsidR="00222DD1">
        <w:rPr>
          <w:rStyle w:val="Numeropagina"/>
          <w:bCs/>
          <w:color w:val="000000" w:themeColor="text1"/>
          <w:sz w:val="24"/>
          <w:szCs w:val="24"/>
        </w:rPr>
        <w:t>,</w:t>
      </w:r>
      <w:r w:rsidR="00FB50A1">
        <w:rPr>
          <w:rStyle w:val="Numeropagina"/>
          <w:bCs/>
          <w:color w:val="000000" w:themeColor="text1"/>
          <w:sz w:val="24"/>
          <w:szCs w:val="24"/>
        </w:rPr>
        <w:t xml:space="preserve"> </w:t>
      </w:r>
      <w:r w:rsidR="008608B5">
        <w:rPr>
          <w:rStyle w:val="Numeropagina"/>
          <w:bCs/>
          <w:color w:val="000000" w:themeColor="text1"/>
          <w:sz w:val="24"/>
          <w:szCs w:val="24"/>
        </w:rPr>
        <w:t>un miglioramento dell’efficienza amministrativa.</w:t>
      </w:r>
      <w:r w:rsidR="00FB4D31">
        <w:rPr>
          <w:rStyle w:val="Numeropagina"/>
          <w:bCs/>
          <w:color w:val="000000" w:themeColor="text1"/>
          <w:sz w:val="24"/>
          <w:szCs w:val="24"/>
        </w:rPr>
        <w:t xml:space="preserve"> </w:t>
      </w:r>
      <w:r w:rsidR="004D4C37">
        <w:rPr>
          <w:rStyle w:val="Numeropagina"/>
          <w:bCs/>
          <w:color w:val="000000" w:themeColor="text1"/>
          <w:sz w:val="24"/>
          <w:szCs w:val="24"/>
        </w:rPr>
        <w:t>Ci si trova</w:t>
      </w:r>
      <w:r w:rsidR="00EA511B">
        <w:rPr>
          <w:rStyle w:val="Numeropagina"/>
          <w:bCs/>
          <w:color w:val="000000" w:themeColor="text1"/>
          <w:sz w:val="24"/>
          <w:szCs w:val="24"/>
        </w:rPr>
        <w:t xml:space="preserve">, a ben osservare, </w:t>
      </w:r>
      <w:r w:rsidR="004D4C37">
        <w:rPr>
          <w:rStyle w:val="Numeropagina"/>
          <w:bCs/>
          <w:color w:val="000000" w:themeColor="text1"/>
          <w:sz w:val="24"/>
          <w:szCs w:val="24"/>
        </w:rPr>
        <w:t>dinnanzi a una</w:t>
      </w:r>
      <w:r w:rsidR="00FB4D31">
        <w:rPr>
          <w:rStyle w:val="Numeropagina"/>
          <w:bCs/>
          <w:color w:val="000000" w:themeColor="text1"/>
          <w:sz w:val="24"/>
          <w:szCs w:val="24"/>
        </w:rPr>
        <w:t xml:space="preserve"> declinazione </w:t>
      </w:r>
      <w:r w:rsidR="00FB4D31">
        <w:rPr>
          <w:rStyle w:val="Numeropagina"/>
          <w:bCs/>
          <w:color w:val="000000" w:themeColor="text1"/>
          <w:sz w:val="24"/>
          <w:szCs w:val="24"/>
        </w:rPr>
        <w:lastRenderedPageBreak/>
        <w:t>maggiormente articolata e specifica</w:t>
      </w:r>
      <w:r w:rsidR="00FB50A1">
        <w:rPr>
          <w:rStyle w:val="Numeropagina"/>
          <w:bCs/>
          <w:color w:val="000000" w:themeColor="text1"/>
          <w:sz w:val="24"/>
          <w:szCs w:val="24"/>
        </w:rPr>
        <w:t>,</w:t>
      </w:r>
      <w:r w:rsidR="00FB4D31">
        <w:rPr>
          <w:rStyle w:val="Numeropagina"/>
          <w:bCs/>
          <w:color w:val="000000" w:themeColor="text1"/>
          <w:sz w:val="24"/>
          <w:szCs w:val="24"/>
        </w:rPr>
        <w:t xml:space="preserve"> per l’ambito dei contratti pubblici</w:t>
      </w:r>
      <w:r w:rsidR="00FB50A1">
        <w:rPr>
          <w:rStyle w:val="Numeropagina"/>
          <w:bCs/>
          <w:color w:val="000000" w:themeColor="text1"/>
          <w:sz w:val="24"/>
          <w:szCs w:val="24"/>
        </w:rPr>
        <w:t xml:space="preserve">, rispetto a quanto </w:t>
      </w:r>
      <w:r w:rsidR="00BA355C">
        <w:rPr>
          <w:rStyle w:val="Numeropagina"/>
          <w:bCs/>
          <w:color w:val="000000" w:themeColor="text1"/>
          <w:sz w:val="24"/>
          <w:szCs w:val="24"/>
        </w:rPr>
        <w:t xml:space="preserve">di </w:t>
      </w:r>
      <w:r w:rsidR="00FB50A1">
        <w:rPr>
          <w:rStyle w:val="Numeropagina"/>
          <w:bCs/>
          <w:color w:val="000000" w:themeColor="text1"/>
          <w:sz w:val="24"/>
          <w:szCs w:val="24"/>
        </w:rPr>
        <w:t>recente disposto</w:t>
      </w:r>
      <w:r w:rsidR="00FB4D31">
        <w:rPr>
          <w:rStyle w:val="Numeropagina"/>
          <w:bCs/>
          <w:color w:val="000000" w:themeColor="text1"/>
          <w:sz w:val="24"/>
          <w:szCs w:val="24"/>
        </w:rPr>
        <w:t xml:space="preserve"> d</w:t>
      </w:r>
      <w:r w:rsidR="00FB50A1">
        <w:rPr>
          <w:rStyle w:val="Numeropagina"/>
          <w:bCs/>
          <w:color w:val="000000" w:themeColor="text1"/>
          <w:sz w:val="24"/>
          <w:szCs w:val="24"/>
        </w:rPr>
        <w:t>a</w:t>
      </w:r>
      <w:r w:rsidR="00FB4D31">
        <w:rPr>
          <w:rStyle w:val="Numeropagina"/>
          <w:bCs/>
          <w:color w:val="000000" w:themeColor="text1"/>
          <w:sz w:val="24"/>
          <w:szCs w:val="24"/>
        </w:rPr>
        <w:t>ll’art. 3 bis della legge 241/1990</w:t>
      </w:r>
      <w:r w:rsidR="00BA355C">
        <w:rPr>
          <w:rStyle w:val="Numeropagina"/>
          <w:bCs/>
          <w:color w:val="000000" w:themeColor="text1"/>
          <w:sz w:val="24"/>
          <w:szCs w:val="24"/>
        </w:rPr>
        <w:t xml:space="preserve">, </w:t>
      </w:r>
      <w:r w:rsidR="00FB50A1">
        <w:rPr>
          <w:rStyle w:val="Numeropagina"/>
          <w:bCs/>
          <w:color w:val="000000" w:themeColor="text1"/>
          <w:sz w:val="24"/>
          <w:szCs w:val="24"/>
        </w:rPr>
        <w:t>come introdotto dalla legge 120/2020 “Semplificazioni”</w:t>
      </w:r>
      <w:r w:rsidR="00FB50A1">
        <w:rPr>
          <w:rStyle w:val="Rimandonotaapidipagina"/>
          <w:bCs/>
          <w:color w:val="000000" w:themeColor="text1"/>
          <w:sz w:val="24"/>
          <w:szCs w:val="24"/>
        </w:rPr>
        <w:footnoteReference w:id="2"/>
      </w:r>
      <w:r w:rsidR="0097721C">
        <w:rPr>
          <w:rStyle w:val="Numeropagina"/>
          <w:bCs/>
          <w:color w:val="000000" w:themeColor="text1"/>
          <w:sz w:val="24"/>
          <w:szCs w:val="24"/>
        </w:rPr>
        <w:t xml:space="preserve"> per le altre tipologie procedimentali.</w:t>
      </w:r>
    </w:p>
    <w:p w14:paraId="09D15669" w14:textId="355B02A2" w:rsidR="008608B5" w:rsidRDefault="008608B5"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 procedimenti automatizzati</w:t>
      </w:r>
      <w:r w:rsidR="009E4233">
        <w:rPr>
          <w:rStyle w:val="Numeropagina"/>
          <w:bCs/>
          <w:color w:val="000000" w:themeColor="text1"/>
          <w:sz w:val="24"/>
          <w:szCs w:val="24"/>
        </w:rPr>
        <w:t xml:space="preserve"> (nessuno</w:t>
      </w:r>
      <w:r w:rsidR="00A8603F">
        <w:rPr>
          <w:rStyle w:val="Numeropagina"/>
          <w:bCs/>
          <w:color w:val="000000" w:themeColor="text1"/>
          <w:sz w:val="24"/>
          <w:szCs w:val="24"/>
        </w:rPr>
        <w:t xml:space="preserve"> ancora</w:t>
      </w:r>
      <w:r w:rsidR="009E4233">
        <w:rPr>
          <w:rStyle w:val="Numeropagina"/>
          <w:bCs/>
          <w:color w:val="000000" w:themeColor="text1"/>
          <w:sz w:val="24"/>
          <w:szCs w:val="24"/>
        </w:rPr>
        <w:t xml:space="preserve"> tramite intelligenza artificiale)</w:t>
      </w:r>
      <w:r>
        <w:rPr>
          <w:rStyle w:val="Numeropagina"/>
          <w:bCs/>
          <w:color w:val="000000" w:themeColor="text1"/>
          <w:sz w:val="24"/>
          <w:szCs w:val="24"/>
        </w:rPr>
        <w:t xml:space="preserve"> </w:t>
      </w:r>
      <w:r w:rsidR="00FB50A1">
        <w:rPr>
          <w:rStyle w:val="Numeropagina"/>
          <w:bCs/>
          <w:color w:val="000000" w:themeColor="text1"/>
          <w:sz w:val="24"/>
          <w:szCs w:val="24"/>
        </w:rPr>
        <w:t>risultano essere</w:t>
      </w:r>
      <w:r w:rsidR="003F0027">
        <w:rPr>
          <w:rStyle w:val="Numeropagina"/>
          <w:bCs/>
          <w:color w:val="000000" w:themeColor="text1"/>
          <w:sz w:val="24"/>
          <w:szCs w:val="24"/>
        </w:rPr>
        <w:t>,</w:t>
      </w:r>
      <w:r>
        <w:rPr>
          <w:rStyle w:val="Numeropagina"/>
          <w:bCs/>
          <w:color w:val="000000" w:themeColor="text1"/>
          <w:sz w:val="24"/>
          <w:szCs w:val="24"/>
        </w:rPr>
        <w:t xml:space="preserve"> </w:t>
      </w:r>
      <w:r w:rsidR="00A8603F">
        <w:rPr>
          <w:rStyle w:val="Numeropagina"/>
          <w:bCs/>
          <w:color w:val="000000" w:themeColor="text1"/>
          <w:sz w:val="24"/>
          <w:szCs w:val="24"/>
        </w:rPr>
        <w:t>al momento</w:t>
      </w:r>
      <w:r w:rsidR="003F0027">
        <w:rPr>
          <w:rStyle w:val="Numeropagina"/>
          <w:bCs/>
          <w:color w:val="000000" w:themeColor="text1"/>
          <w:sz w:val="24"/>
          <w:szCs w:val="24"/>
        </w:rPr>
        <w:t>,</w:t>
      </w:r>
      <w:r w:rsidR="00A8603F">
        <w:rPr>
          <w:rStyle w:val="Numeropagina"/>
          <w:bCs/>
          <w:color w:val="000000" w:themeColor="text1"/>
          <w:sz w:val="24"/>
          <w:szCs w:val="24"/>
        </w:rPr>
        <w:t xml:space="preserve"> </w:t>
      </w:r>
      <w:r>
        <w:rPr>
          <w:rStyle w:val="Numeropagina"/>
          <w:bCs/>
          <w:color w:val="000000" w:themeColor="text1"/>
          <w:sz w:val="24"/>
          <w:szCs w:val="24"/>
        </w:rPr>
        <w:t xml:space="preserve">troppo pochi </w:t>
      </w:r>
      <w:r w:rsidR="009E4233">
        <w:rPr>
          <w:rStyle w:val="Numeropagina"/>
          <w:bCs/>
          <w:color w:val="000000" w:themeColor="text1"/>
          <w:sz w:val="24"/>
          <w:szCs w:val="24"/>
        </w:rPr>
        <w:t>per potere emettere</w:t>
      </w:r>
      <w:r w:rsidR="005C17F9">
        <w:rPr>
          <w:rStyle w:val="Numeropagina"/>
          <w:bCs/>
          <w:color w:val="000000" w:themeColor="text1"/>
          <w:sz w:val="24"/>
          <w:szCs w:val="24"/>
        </w:rPr>
        <w:t xml:space="preserve">, in merito, </w:t>
      </w:r>
      <w:r w:rsidR="009E4233">
        <w:rPr>
          <w:rStyle w:val="Numeropagina"/>
          <w:bCs/>
          <w:color w:val="000000" w:themeColor="text1"/>
          <w:sz w:val="24"/>
          <w:szCs w:val="24"/>
        </w:rPr>
        <w:t>un giudizio compiuto</w:t>
      </w:r>
      <w:r w:rsidR="00A31889">
        <w:rPr>
          <w:rStyle w:val="Numeropagina"/>
          <w:bCs/>
          <w:color w:val="000000" w:themeColor="text1"/>
          <w:sz w:val="24"/>
          <w:szCs w:val="24"/>
        </w:rPr>
        <w:t>,</w:t>
      </w:r>
      <w:r w:rsidR="009E4233">
        <w:rPr>
          <w:rStyle w:val="Numeropagina"/>
          <w:bCs/>
          <w:color w:val="000000" w:themeColor="text1"/>
          <w:sz w:val="24"/>
          <w:szCs w:val="24"/>
        </w:rPr>
        <w:t xml:space="preserve"> anche perché questa modalità non risulta essere stata mai applicata all’ambito dei contratti pubblici.</w:t>
      </w:r>
    </w:p>
    <w:p w14:paraId="289E783A" w14:textId="61BABE86" w:rsidR="008608B5" w:rsidRDefault="009E4233"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Sebbene l’art. 30 venga inserito nella medesima parte II del Codice, </w:t>
      </w:r>
      <w:r w:rsidR="00FF0FE7">
        <w:rPr>
          <w:rStyle w:val="Numeropagina"/>
          <w:bCs/>
          <w:color w:val="000000" w:themeColor="text1"/>
          <w:sz w:val="24"/>
          <w:szCs w:val="24"/>
        </w:rPr>
        <w:t>giusta</w:t>
      </w:r>
      <w:r>
        <w:rPr>
          <w:rStyle w:val="Numeropagina"/>
          <w:bCs/>
          <w:color w:val="000000" w:themeColor="text1"/>
          <w:sz w:val="24"/>
          <w:szCs w:val="24"/>
        </w:rPr>
        <w:t xml:space="preserve"> l’evidente suggestione </w:t>
      </w:r>
      <w:r w:rsidR="00F3450B">
        <w:rPr>
          <w:rStyle w:val="Numeropagina"/>
          <w:bCs/>
          <w:color w:val="000000" w:themeColor="text1"/>
          <w:sz w:val="24"/>
          <w:szCs w:val="24"/>
        </w:rPr>
        <w:t>che vede le</w:t>
      </w:r>
      <w:r w:rsidR="00FF0FE7">
        <w:rPr>
          <w:rStyle w:val="Numeropagina"/>
          <w:bCs/>
          <w:color w:val="000000" w:themeColor="text1"/>
          <w:sz w:val="24"/>
          <w:szCs w:val="24"/>
        </w:rPr>
        <w:t xml:space="preserve"> due tematiche apparentemente omologhe, </w:t>
      </w:r>
      <w:r w:rsidR="002B5AC1">
        <w:rPr>
          <w:rStyle w:val="Numeropagina"/>
          <w:bCs/>
          <w:color w:val="000000" w:themeColor="text1"/>
          <w:sz w:val="24"/>
          <w:szCs w:val="24"/>
        </w:rPr>
        <w:t>verosimilmente</w:t>
      </w:r>
      <w:r w:rsidR="00B46F73">
        <w:rPr>
          <w:rStyle w:val="Numeropagina"/>
          <w:bCs/>
          <w:color w:val="000000" w:themeColor="text1"/>
          <w:sz w:val="24"/>
          <w:szCs w:val="24"/>
        </w:rPr>
        <w:t>,</w:t>
      </w:r>
      <w:r w:rsidR="002B5AC1">
        <w:rPr>
          <w:rStyle w:val="Numeropagina"/>
          <w:bCs/>
          <w:color w:val="000000" w:themeColor="text1"/>
          <w:sz w:val="24"/>
          <w:szCs w:val="24"/>
        </w:rPr>
        <w:t xml:space="preserve"> </w:t>
      </w:r>
      <w:r>
        <w:rPr>
          <w:rStyle w:val="Numeropagina"/>
          <w:bCs/>
          <w:color w:val="000000" w:themeColor="text1"/>
          <w:sz w:val="24"/>
          <w:szCs w:val="24"/>
        </w:rPr>
        <w:t xml:space="preserve">non </w:t>
      </w:r>
      <w:r w:rsidR="00FF0FE7">
        <w:rPr>
          <w:rStyle w:val="Numeropagina"/>
          <w:bCs/>
          <w:color w:val="000000" w:themeColor="text1"/>
          <w:sz w:val="24"/>
          <w:szCs w:val="24"/>
        </w:rPr>
        <w:t>avrebbe</w:t>
      </w:r>
      <w:r>
        <w:rPr>
          <w:rStyle w:val="Numeropagina"/>
          <w:bCs/>
          <w:color w:val="000000" w:themeColor="text1"/>
          <w:sz w:val="24"/>
          <w:szCs w:val="24"/>
        </w:rPr>
        <w:t xml:space="preserve"> dovut</w:t>
      </w:r>
      <w:r w:rsidR="00FF0FE7">
        <w:rPr>
          <w:rStyle w:val="Numeropagina"/>
          <w:bCs/>
          <w:color w:val="000000" w:themeColor="text1"/>
          <w:sz w:val="24"/>
          <w:szCs w:val="24"/>
        </w:rPr>
        <w:t>o</w:t>
      </w:r>
      <w:r>
        <w:rPr>
          <w:rStyle w:val="Numeropagina"/>
          <w:bCs/>
          <w:color w:val="000000" w:themeColor="text1"/>
          <w:sz w:val="24"/>
          <w:szCs w:val="24"/>
        </w:rPr>
        <w:t xml:space="preserve"> </w:t>
      </w:r>
      <w:r w:rsidR="00171973">
        <w:rPr>
          <w:rStyle w:val="Numeropagina"/>
          <w:bCs/>
          <w:color w:val="000000" w:themeColor="text1"/>
          <w:sz w:val="24"/>
          <w:szCs w:val="24"/>
        </w:rPr>
        <w:t>avere</w:t>
      </w:r>
      <w:r>
        <w:rPr>
          <w:rStyle w:val="Numeropagina"/>
          <w:bCs/>
          <w:color w:val="000000" w:themeColor="text1"/>
          <w:sz w:val="24"/>
          <w:szCs w:val="24"/>
        </w:rPr>
        <w:t xml:space="preserve"> </w:t>
      </w:r>
      <w:r w:rsidR="00171973">
        <w:rPr>
          <w:rStyle w:val="Numeropagina"/>
          <w:bCs/>
          <w:color w:val="000000" w:themeColor="text1"/>
          <w:sz w:val="24"/>
          <w:szCs w:val="24"/>
        </w:rPr>
        <w:t>quella</w:t>
      </w:r>
      <w:r>
        <w:rPr>
          <w:rStyle w:val="Numeropagina"/>
          <w:bCs/>
          <w:color w:val="000000" w:themeColor="text1"/>
          <w:sz w:val="24"/>
          <w:szCs w:val="24"/>
        </w:rPr>
        <w:t xml:space="preserve"> </w:t>
      </w:r>
      <w:r w:rsidR="002B5AC1">
        <w:rPr>
          <w:rStyle w:val="Numeropagina"/>
          <w:bCs/>
          <w:color w:val="000000" w:themeColor="text1"/>
          <w:sz w:val="24"/>
          <w:szCs w:val="24"/>
        </w:rPr>
        <w:t>collocazione</w:t>
      </w:r>
      <w:r>
        <w:rPr>
          <w:rStyle w:val="Numeropagina"/>
          <w:bCs/>
          <w:color w:val="000000" w:themeColor="text1"/>
          <w:sz w:val="24"/>
          <w:szCs w:val="24"/>
        </w:rPr>
        <w:t>. L</w:t>
      </w:r>
      <w:r w:rsidR="008608B5">
        <w:rPr>
          <w:rStyle w:val="Numeropagina"/>
          <w:bCs/>
          <w:color w:val="000000" w:themeColor="text1"/>
          <w:sz w:val="24"/>
          <w:szCs w:val="24"/>
        </w:rPr>
        <w:t xml:space="preserve">a doverosa e indispensabile digitalizzazione della P.A. </w:t>
      </w:r>
      <w:r w:rsidR="00FF0FE7">
        <w:rPr>
          <w:rStyle w:val="Numeropagina"/>
          <w:bCs/>
          <w:color w:val="000000" w:themeColor="text1"/>
          <w:sz w:val="24"/>
          <w:szCs w:val="24"/>
        </w:rPr>
        <w:t>non ha</w:t>
      </w:r>
      <w:r w:rsidR="00DC0F72">
        <w:rPr>
          <w:rStyle w:val="Numeropagina"/>
          <w:bCs/>
          <w:color w:val="000000" w:themeColor="text1"/>
          <w:sz w:val="24"/>
          <w:szCs w:val="24"/>
        </w:rPr>
        <w:t>, infatti,</w:t>
      </w:r>
      <w:r w:rsidR="00FF0FE7">
        <w:rPr>
          <w:rStyle w:val="Numeropagina"/>
          <w:bCs/>
          <w:color w:val="000000" w:themeColor="text1"/>
          <w:sz w:val="24"/>
          <w:szCs w:val="24"/>
        </w:rPr>
        <w:t xml:space="preserve"> una relazione </w:t>
      </w:r>
      <w:r w:rsidR="003E3EA4">
        <w:rPr>
          <w:rStyle w:val="Numeropagina"/>
          <w:bCs/>
          <w:color w:val="000000" w:themeColor="text1"/>
          <w:sz w:val="24"/>
          <w:szCs w:val="24"/>
        </w:rPr>
        <w:t xml:space="preserve">immediata, </w:t>
      </w:r>
      <w:r w:rsidR="00FF0FE7">
        <w:rPr>
          <w:rStyle w:val="Numeropagina"/>
          <w:bCs/>
          <w:color w:val="000000" w:themeColor="text1"/>
          <w:sz w:val="24"/>
          <w:szCs w:val="24"/>
        </w:rPr>
        <w:t>diretta e causale con</w:t>
      </w:r>
      <w:r w:rsidR="008608B5">
        <w:rPr>
          <w:rStyle w:val="Numeropagina"/>
          <w:bCs/>
          <w:color w:val="000000" w:themeColor="text1"/>
          <w:sz w:val="24"/>
          <w:szCs w:val="24"/>
        </w:rPr>
        <w:t xml:space="preserve"> l’automazione procedimentale </w:t>
      </w:r>
      <w:r w:rsidR="00DC0F72">
        <w:rPr>
          <w:rStyle w:val="Numeropagina"/>
          <w:bCs/>
          <w:color w:val="000000" w:themeColor="text1"/>
          <w:sz w:val="24"/>
          <w:szCs w:val="24"/>
        </w:rPr>
        <w:t>attraverso</w:t>
      </w:r>
      <w:r w:rsidR="008608B5">
        <w:rPr>
          <w:rStyle w:val="Numeropagina"/>
          <w:bCs/>
          <w:color w:val="000000" w:themeColor="text1"/>
          <w:sz w:val="24"/>
          <w:szCs w:val="24"/>
        </w:rPr>
        <w:t xml:space="preserve"> </w:t>
      </w:r>
      <w:r w:rsidR="008608B5" w:rsidRPr="008608B5">
        <w:rPr>
          <w:rStyle w:val="Numeropagina"/>
          <w:bCs/>
          <w:i/>
          <w:iCs/>
          <w:color w:val="000000" w:themeColor="text1"/>
          <w:sz w:val="24"/>
          <w:szCs w:val="24"/>
        </w:rPr>
        <w:t>software</w:t>
      </w:r>
      <w:r w:rsidR="008608B5">
        <w:rPr>
          <w:rStyle w:val="Numeropagina"/>
          <w:bCs/>
          <w:color w:val="000000" w:themeColor="text1"/>
          <w:sz w:val="24"/>
          <w:szCs w:val="24"/>
        </w:rPr>
        <w:t xml:space="preserve"> e algoritmi.</w:t>
      </w:r>
    </w:p>
    <w:p w14:paraId="1C0D5A78" w14:textId="38E835D3" w:rsidR="008608B5" w:rsidRDefault="00FF0FE7"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w:t>
      </w:r>
      <w:r w:rsidR="008608B5">
        <w:rPr>
          <w:rStyle w:val="Numeropagina"/>
          <w:bCs/>
          <w:color w:val="000000" w:themeColor="text1"/>
          <w:sz w:val="24"/>
          <w:szCs w:val="24"/>
        </w:rPr>
        <w:t xml:space="preserve">a digitalizzazione della P.A. </w:t>
      </w:r>
      <w:r>
        <w:rPr>
          <w:rStyle w:val="Numeropagina"/>
          <w:bCs/>
          <w:color w:val="000000" w:themeColor="text1"/>
          <w:sz w:val="24"/>
          <w:szCs w:val="24"/>
        </w:rPr>
        <w:t xml:space="preserve">rappresenta, infatti, </w:t>
      </w:r>
      <w:r w:rsidR="00AF76CA">
        <w:rPr>
          <w:rStyle w:val="Numeropagina"/>
          <w:bCs/>
          <w:color w:val="000000" w:themeColor="text1"/>
          <w:sz w:val="24"/>
          <w:szCs w:val="24"/>
        </w:rPr>
        <w:t xml:space="preserve">il passaggio a </w:t>
      </w:r>
      <w:r>
        <w:rPr>
          <w:rStyle w:val="Numeropagina"/>
          <w:bCs/>
          <w:color w:val="000000" w:themeColor="text1"/>
          <w:sz w:val="24"/>
          <w:szCs w:val="24"/>
        </w:rPr>
        <w:t>un sistema che consentirà, in ossequio</w:t>
      </w:r>
      <w:r w:rsidR="008608B5">
        <w:rPr>
          <w:rStyle w:val="Numeropagina"/>
          <w:bCs/>
          <w:color w:val="000000" w:themeColor="text1"/>
          <w:sz w:val="24"/>
          <w:szCs w:val="24"/>
        </w:rPr>
        <w:t xml:space="preserve"> </w:t>
      </w:r>
      <w:r>
        <w:rPr>
          <w:rStyle w:val="Numeropagina"/>
          <w:bCs/>
          <w:color w:val="000000" w:themeColor="text1"/>
          <w:sz w:val="24"/>
          <w:szCs w:val="24"/>
        </w:rPr>
        <w:t>a</w:t>
      </w:r>
      <w:r w:rsidR="008608B5">
        <w:rPr>
          <w:rStyle w:val="Numeropagina"/>
          <w:bCs/>
          <w:color w:val="000000" w:themeColor="text1"/>
          <w:sz w:val="24"/>
          <w:szCs w:val="24"/>
        </w:rPr>
        <w:t>ll’art. 97 della Costituzione</w:t>
      </w:r>
      <w:r>
        <w:rPr>
          <w:rStyle w:val="Numeropagina"/>
          <w:bCs/>
          <w:color w:val="000000" w:themeColor="text1"/>
          <w:sz w:val="24"/>
          <w:szCs w:val="24"/>
        </w:rPr>
        <w:t>,</w:t>
      </w:r>
      <w:r w:rsidR="008608B5">
        <w:rPr>
          <w:rStyle w:val="Numeropagina"/>
          <w:bCs/>
          <w:color w:val="000000" w:themeColor="text1"/>
          <w:sz w:val="24"/>
          <w:szCs w:val="24"/>
        </w:rPr>
        <w:t xml:space="preserve"> </w:t>
      </w:r>
      <w:r>
        <w:rPr>
          <w:rStyle w:val="Numeropagina"/>
          <w:bCs/>
          <w:color w:val="000000" w:themeColor="text1"/>
          <w:sz w:val="24"/>
          <w:szCs w:val="24"/>
        </w:rPr>
        <w:t xml:space="preserve">di stimolare e sviluppare </w:t>
      </w:r>
      <w:r w:rsidR="008608B5">
        <w:rPr>
          <w:rStyle w:val="Numeropagina"/>
          <w:bCs/>
          <w:color w:val="000000" w:themeColor="text1"/>
          <w:sz w:val="24"/>
          <w:szCs w:val="24"/>
        </w:rPr>
        <w:t>efficacia ed efficienza dell’azione amministrativa</w:t>
      </w:r>
      <w:r w:rsidR="00474688">
        <w:rPr>
          <w:rStyle w:val="Numeropagina"/>
          <w:bCs/>
          <w:color w:val="000000" w:themeColor="text1"/>
          <w:sz w:val="24"/>
          <w:szCs w:val="24"/>
        </w:rPr>
        <w:t>.</w:t>
      </w:r>
      <w:r w:rsidR="000448E1">
        <w:rPr>
          <w:rStyle w:val="Numeropagina"/>
          <w:bCs/>
          <w:color w:val="000000" w:themeColor="text1"/>
          <w:sz w:val="24"/>
          <w:szCs w:val="24"/>
        </w:rPr>
        <w:t xml:space="preserve"> </w:t>
      </w:r>
      <w:r w:rsidR="00474688">
        <w:rPr>
          <w:rStyle w:val="Numeropagina"/>
          <w:bCs/>
          <w:color w:val="000000" w:themeColor="text1"/>
          <w:sz w:val="24"/>
          <w:szCs w:val="24"/>
        </w:rPr>
        <w:t>Laddove</w:t>
      </w:r>
      <w:r w:rsidR="008608B5">
        <w:rPr>
          <w:rStyle w:val="Numeropagina"/>
          <w:bCs/>
          <w:color w:val="000000" w:themeColor="text1"/>
          <w:sz w:val="24"/>
          <w:szCs w:val="24"/>
        </w:rPr>
        <w:t xml:space="preserve"> la scelta di procedere attraverso algoritmi o mediante intelligenza artificiale </w:t>
      </w:r>
      <w:r w:rsidR="006C6E5A">
        <w:rPr>
          <w:rStyle w:val="Numeropagina"/>
          <w:bCs/>
          <w:color w:val="000000" w:themeColor="text1"/>
          <w:sz w:val="24"/>
          <w:szCs w:val="24"/>
        </w:rPr>
        <w:t xml:space="preserve">si pone - </w:t>
      </w:r>
      <w:r w:rsidR="00C16C12">
        <w:rPr>
          <w:rStyle w:val="Numeropagina"/>
          <w:bCs/>
          <w:color w:val="000000" w:themeColor="text1"/>
          <w:sz w:val="24"/>
          <w:szCs w:val="24"/>
        </w:rPr>
        <w:t>considerato</w:t>
      </w:r>
      <w:r w:rsidR="008B2A2F">
        <w:rPr>
          <w:rStyle w:val="Numeropagina"/>
          <w:bCs/>
          <w:color w:val="000000" w:themeColor="text1"/>
          <w:sz w:val="24"/>
          <w:szCs w:val="24"/>
        </w:rPr>
        <w:t xml:space="preserve"> </w:t>
      </w:r>
      <w:r w:rsidR="00235034">
        <w:rPr>
          <w:rStyle w:val="Numeropagina"/>
          <w:bCs/>
          <w:color w:val="000000" w:themeColor="text1"/>
          <w:sz w:val="24"/>
          <w:szCs w:val="24"/>
        </w:rPr>
        <w:t>l’</w:t>
      </w:r>
      <w:r w:rsidR="008B2A2F">
        <w:rPr>
          <w:rStyle w:val="Numeropagina"/>
          <w:bCs/>
          <w:color w:val="000000" w:themeColor="text1"/>
          <w:sz w:val="24"/>
          <w:szCs w:val="24"/>
        </w:rPr>
        <w:t xml:space="preserve">ambito di </w:t>
      </w:r>
      <w:r w:rsidR="0084718C">
        <w:rPr>
          <w:rStyle w:val="Numeropagina"/>
          <w:bCs/>
          <w:color w:val="000000" w:themeColor="text1"/>
          <w:sz w:val="24"/>
          <w:szCs w:val="24"/>
        </w:rPr>
        <w:t>accentuata</w:t>
      </w:r>
      <w:r w:rsidR="006C6E5A">
        <w:rPr>
          <w:rStyle w:val="Numeropagina"/>
          <w:bCs/>
          <w:color w:val="000000" w:themeColor="text1"/>
          <w:sz w:val="24"/>
          <w:szCs w:val="24"/>
        </w:rPr>
        <w:t xml:space="preserve"> sperimentazione – </w:t>
      </w:r>
      <w:r w:rsidR="00235034">
        <w:rPr>
          <w:rStyle w:val="Numeropagina"/>
          <w:bCs/>
          <w:color w:val="000000" w:themeColor="text1"/>
          <w:sz w:val="24"/>
          <w:szCs w:val="24"/>
        </w:rPr>
        <w:t xml:space="preserve">ancora </w:t>
      </w:r>
      <w:r w:rsidR="006C6E5A">
        <w:rPr>
          <w:rStyle w:val="Numeropagina"/>
          <w:bCs/>
          <w:color w:val="000000" w:themeColor="text1"/>
          <w:sz w:val="24"/>
          <w:szCs w:val="24"/>
        </w:rPr>
        <w:t xml:space="preserve">su un piano di incertezza </w:t>
      </w:r>
      <w:r w:rsidR="00AF76CA">
        <w:rPr>
          <w:rStyle w:val="Numeropagina"/>
          <w:bCs/>
          <w:color w:val="000000" w:themeColor="text1"/>
          <w:sz w:val="24"/>
          <w:szCs w:val="24"/>
        </w:rPr>
        <w:t>effettuale</w:t>
      </w:r>
      <w:r w:rsidR="0084718C">
        <w:rPr>
          <w:rStyle w:val="Numeropagina"/>
          <w:bCs/>
          <w:color w:val="000000" w:themeColor="text1"/>
          <w:sz w:val="24"/>
          <w:szCs w:val="24"/>
        </w:rPr>
        <w:t>.</w:t>
      </w:r>
      <w:r w:rsidR="00AF76CA">
        <w:rPr>
          <w:rStyle w:val="Numeropagina"/>
          <w:bCs/>
          <w:color w:val="000000" w:themeColor="text1"/>
          <w:sz w:val="24"/>
          <w:szCs w:val="24"/>
        </w:rPr>
        <w:t xml:space="preserve"> </w:t>
      </w:r>
      <w:r w:rsidR="0084718C">
        <w:rPr>
          <w:rStyle w:val="Numeropagina"/>
          <w:bCs/>
          <w:color w:val="000000" w:themeColor="text1"/>
          <w:sz w:val="24"/>
          <w:szCs w:val="24"/>
        </w:rPr>
        <w:t xml:space="preserve">Non </w:t>
      </w:r>
      <w:r w:rsidR="007C237F">
        <w:rPr>
          <w:rStyle w:val="Numeropagina"/>
          <w:bCs/>
          <w:color w:val="000000" w:themeColor="text1"/>
          <w:sz w:val="24"/>
          <w:szCs w:val="24"/>
        </w:rPr>
        <w:t xml:space="preserve">pare possibile </w:t>
      </w:r>
      <w:r w:rsidR="0084718C">
        <w:rPr>
          <w:rStyle w:val="Numeropagina"/>
          <w:bCs/>
          <w:i/>
          <w:iCs/>
          <w:color w:val="000000" w:themeColor="text1"/>
          <w:sz w:val="24"/>
          <w:szCs w:val="24"/>
        </w:rPr>
        <w:t>h</w:t>
      </w:r>
      <w:r w:rsidR="00AF76CA">
        <w:rPr>
          <w:rStyle w:val="Numeropagina"/>
          <w:bCs/>
          <w:i/>
          <w:iCs/>
          <w:color w:val="000000" w:themeColor="text1"/>
          <w:sz w:val="24"/>
          <w:szCs w:val="24"/>
        </w:rPr>
        <w:t xml:space="preserve">ic et </w:t>
      </w:r>
      <w:proofErr w:type="spellStart"/>
      <w:r w:rsidR="00AF76CA">
        <w:rPr>
          <w:rStyle w:val="Numeropagina"/>
          <w:bCs/>
          <w:i/>
          <w:iCs/>
          <w:color w:val="000000" w:themeColor="text1"/>
          <w:sz w:val="24"/>
          <w:szCs w:val="24"/>
        </w:rPr>
        <w:t>nunc</w:t>
      </w:r>
      <w:proofErr w:type="spellEnd"/>
      <w:r w:rsidR="008B2A2F">
        <w:rPr>
          <w:rStyle w:val="Numeropagina"/>
          <w:bCs/>
          <w:color w:val="000000" w:themeColor="text1"/>
          <w:sz w:val="24"/>
          <w:szCs w:val="24"/>
        </w:rPr>
        <w:t xml:space="preserve"> </w:t>
      </w:r>
      <w:r w:rsidR="00681BB8">
        <w:rPr>
          <w:rStyle w:val="Numeropagina"/>
          <w:bCs/>
          <w:color w:val="000000" w:themeColor="text1"/>
          <w:sz w:val="24"/>
          <w:szCs w:val="24"/>
        </w:rPr>
        <w:t xml:space="preserve">riuscire ad </w:t>
      </w:r>
      <w:r w:rsidR="006C6E5A">
        <w:rPr>
          <w:rStyle w:val="Numeropagina"/>
          <w:bCs/>
          <w:color w:val="000000" w:themeColor="text1"/>
          <w:sz w:val="24"/>
          <w:szCs w:val="24"/>
        </w:rPr>
        <w:t>affermare che una soluzione algoritmica possa essere vantaggiosa, efficace e funzionale</w:t>
      </w:r>
      <w:r w:rsidR="00AF76CA">
        <w:rPr>
          <w:rStyle w:val="Numeropagina"/>
          <w:bCs/>
          <w:color w:val="000000" w:themeColor="text1"/>
          <w:sz w:val="24"/>
          <w:szCs w:val="24"/>
        </w:rPr>
        <w:t xml:space="preserve"> o, quantomeno, che i vantaggi possano essere superiori ad alcuni rischi cui si farà </w:t>
      </w:r>
      <w:r w:rsidR="00AF76CA">
        <w:rPr>
          <w:rStyle w:val="Numeropagina"/>
          <w:bCs/>
          <w:i/>
          <w:iCs/>
          <w:color w:val="000000" w:themeColor="text1"/>
          <w:sz w:val="24"/>
          <w:szCs w:val="24"/>
        </w:rPr>
        <w:t xml:space="preserve">infra </w:t>
      </w:r>
      <w:r w:rsidR="00AF76CA">
        <w:rPr>
          <w:rStyle w:val="Numeropagina"/>
          <w:bCs/>
          <w:color w:val="000000" w:themeColor="text1"/>
          <w:sz w:val="24"/>
          <w:szCs w:val="24"/>
        </w:rPr>
        <w:t>riferimento</w:t>
      </w:r>
      <w:r w:rsidR="008B2A2F">
        <w:rPr>
          <w:rStyle w:val="Numeropagina"/>
          <w:bCs/>
          <w:color w:val="000000" w:themeColor="text1"/>
          <w:sz w:val="24"/>
          <w:szCs w:val="24"/>
        </w:rPr>
        <w:t>.</w:t>
      </w:r>
    </w:p>
    <w:p w14:paraId="4C58A798" w14:textId="748D3327" w:rsidR="00735664" w:rsidRDefault="00F36FAF"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È innegabile che </w:t>
      </w:r>
      <w:r w:rsidR="00623054">
        <w:rPr>
          <w:rStyle w:val="Numeropagina"/>
          <w:bCs/>
          <w:color w:val="000000" w:themeColor="text1"/>
          <w:sz w:val="24"/>
          <w:szCs w:val="24"/>
        </w:rPr>
        <w:t>si assisterà</w:t>
      </w:r>
      <w:r w:rsidR="002D2709">
        <w:rPr>
          <w:rStyle w:val="Numeropagina"/>
          <w:bCs/>
          <w:color w:val="000000" w:themeColor="text1"/>
          <w:sz w:val="24"/>
          <w:szCs w:val="24"/>
        </w:rPr>
        <w:t xml:space="preserve">, con ogni probabilità, </w:t>
      </w:r>
      <w:r w:rsidR="00623054">
        <w:rPr>
          <w:rStyle w:val="Numeropagina"/>
          <w:bCs/>
          <w:color w:val="000000" w:themeColor="text1"/>
          <w:sz w:val="24"/>
          <w:szCs w:val="24"/>
        </w:rPr>
        <w:t>a un’</w:t>
      </w:r>
      <w:r w:rsidR="002D76EE">
        <w:rPr>
          <w:rStyle w:val="Numeropagina"/>
          <w:bCs/>
          <w:color w:val="000000" w:themeColor="text1"/>
          <w:sz w:val="24"/>
          <w:szCs w:val="24"/>
        </w:rPr>
        <w:t>ulteriore</w:t>
      </w:r>
      <w:r w:rsidR="00AF76CA">
        <w:rPr>
          <w:rStyle w:val="Numeropagina"/>
          <w:bCs/>
          <w:color w:val="000000" w:themeColor="text1"/>
          <w:sz w:val="24"/>
          <w:szCs w:val="24"/>
        </w:rPr>
        <w:t xml:space="preserve"> </w:t>
      </w:r>
      <w:r w:rsidR="00AE018D">
        <w:rPr>
          <w:rStyle w:val="Numeropagina"/>
          <w:bCs/>
          <w:color w:val="000000" w:themeColor="text1"/>
          <w:sz w:val="24"/>
          <w:szCs w:val="24"/>
        </w:rPr>
        <w:t xml:space="preserve">e </w:t>
      </w:r>
      <w:r w:rsidR="00AF76CA">
        <w:rPr>
          <w:rStyle w:val="Numeropagina"/>
          <w:bCs/>
          <w:color w:val="000000" w:themeColor="text1"/>
          <w:sz w:val="24"/>
          <w:szCs w:val="24"/>
        </w:rPr>
        <w:t>sapiente declinazione normativa</w:t>
      </w:r>
      <w:r w:rsidR="00AE018D">
        <w:rPr>
          <w:rStyle w:val="Numeropagina"/>
          <w:bCs/>
          <w:color w:val="000000" w:themeColor="text1"/>
          <w:sz w:val="24"/>
          <w:szCs w:val="24"/>
        </w:rPr>
        <w:t xml:space="preserve"> per consentir</w:t>
      </w:r>
      <w:r w:rsidR="00D634A9">
        <w:rPr>
          <w:rStyle w:val="Numeropagina"/>
          <w:bCs/>
          <w:color w:val="000000" w:themeColor="text1"/>
          <w:sz w:val="24"/>
          <w:szCs w:val="24"/>
        </w:rPr>
        <w:t>e a questi nuovi strumenti</w:t>
      </w:r>
      <w:r w:rsidR="00AE018D">
        <w:rPr>
          <w:rStyle w:val="Numeropagina"/>
          <w:bCs/>
          <w:color w:val="000000" w:themeColor="text1"/>
          <w:sz w:val="24"/>
          <w:szCs w:val="24"/>
        </w:rPr>
        <w:t xml:space="preserve"> di </w:t>
      </w:r>
      <w:r w:rsidR="0028214B">
        <w:rPr>
          <w:rStyle w:val="Numeropagina"/>
          <w:bCs/>
          <w:color w:val="000000" w:themeColor="text1"/>
          <w:sz w:val="24"/>
          <w:szCs w:val="24"/>
        </w:rPr>
        <w:t xml:space="preserve">assestarsi </w:t>
      </w:r>
      <w:r w:rsidR="00735664">
        <w:rPr>
          <w:rStyle w:val="Numeropagina"/>
          <w:bCs/>
          <w:color w:val="000000" w:themeColor="text1"/>
          <w:sz w:val="24"/>
          <w:szCs w:val="24"/>
        </w:rPr>
        <w:t>e di rispondere alle esigenze che si svilupperanno in un ambito così magmatico come quello degli appalti pubblici</w:t>
      </w:r>
      <w:r w:rsidR="008B2A2F">
        <w:rPr>
          <w:rStyle w:val="Numeropagina"/>
          <w:bCs/>
          <w:color w:val="000000" w:themeColor="text1"/>
          <w:sz w:val="24"/>
          <w:szCs w:val="24"/>
        </w:rPr>
        <w:t xml:space="preserve">. </w:t>
      </w:r>
    </w:p>
    <w:p w14:paraId="3FD80118" w14:textId="77777777" w:rsidR="00735664" w:rsidRDefault="00735664" w:rsidP="006F50DB">
      <w:pPr>
        <w:spacing w:line="567" w:lineRule="exact"/>
        <w:ind w:left="284" w:right="851" w:firstLine="425"/>
        <w:jc w:val="both"/>
        <w:rPr>
          <w:rStyle w:val="Numeropagina"/>
          <w:bCs/>
          <w:color w:val="000000" w:themeColor="text1"/>
          <w:sz w:val="24"/>
          <w:szCs w:val="24"/>
        </w:rPr>
      </w:pPr>
    </w:p>
    <w:p w14:paraId="395AA123" w14:textId="77777777" w:rsidR="00735664" w:rsidRDefault="00735664" w:rsidP="006F50DB">
      <w:pPr>
        <w:spacing w:line="567" w:lineRule="exact"/>
        <w:ind w:left="284" w:right="851" w:firstLine="425"/>
        <w:jc w:val="both"/>
        <w:rPr>
          <w:rStyle w:val="Numeropagina"/>
          <w:bCs/>
          <w:color w:val="000000" w:themeColor="text1"/>
          <w:sz w:val="24"/>
          <w:szCs w:val="24"/>
        </w:rPr>
      </w:pPr>
    </w:p>
    <w:p w14:paraId="301F1C33" w14:textId="77777777" w:rsidR="00735664" w:rsidRDefault="00735664" w:rsidP="006F50DB">
      <w:pPr>
        <w:spacing w:line="567" w:lineRule="exact"/>
        <w:ind w:left="284" w:right="851" w:firstLine="425"/>
        <w:jc w:val="both"/>
        <w:rPr>
          <w:rStyle w:val="Numeropagina"/>
          <w:bCs/>
          <w:color w:val="000000" w:themeColor="text1"/>
          <w:sz w:val="24"/>
          <w:szCs w:val="24"/>
        </w:rPr>
      </w:pPr>
    </w:p>
    <w:p w14:paraId="6ACAF438" w14:textId="0A79ACFC" w:rsidR="008B2A2F" w:rsidRDefault="008B2A2F"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Viene</w:t>
      </w:r>
      <w:r w:rsidR="00AF76CA">
        <w:rPr>
          <w:rStyle w:val="Numeropagina"/>
          <w:bCs/>
          <w:color w:val="000000" w:themeColor="text1"/>
          <w:sz w:val="24"/>
          <w:szCs w:val="24"/>
        </w:rPr>
        <w:t xml:space="preserve">, </w:t>
      </w:r>
      <w:r w:rsidR="007030F0">
        <w:rPr>
          <w:rStyle w:val="Numeropagina"/>
          <w:bCs/>
          <w:color w:val="000000" w:themeColor="text1"/>
          <w:sz w:val="24"/>
          <w:szCs w:val="24"/>
        </w:rPr>
        <w:t>altresì</w:t>
      </w:r>
      <w:r w:rsidR="00AF76CA">
        <w:rPr>
          <w:rStyle w:val="Numeropagina"/>
          <w:bCs/>
          <w:color w:val="000000" w:themeColor="text1"/>
          <w:sz w:val="24"/>
          <w:szCs w:val="24"/>
        </w:rPr>
        <w:t>,</w:t>
      </w:r>
      <w:r>
        <w:rPr>
          <w:rStyle w:val="Numeropagina"/>
          <w:bCs/>
          <w:color w:val="000000" w:themeColor="text1"/>
          <w:sz w:val="24"/>
          <w:szCs w:val="24"/>
        </w:rPr>
        <w:t xml:space="preserve"> costantemente evidenziato che la digitalizzazione performerà e velocizzerà i procedimenti amministrativi</w:t>
      </w:r>
      <w:r w:rsidR="00AF76CA">
        <w:rPr>
          <w:rStyle w:val="Numeropagina"/>
          <w:bCs/>
          <w:color w:val="000000" w:themeColor="text1"/>
          <w:sz w:val="24"/>
          <w:szCs w:val="24"/>
        </w:rPr>
        <w:t>. Senza, però,</w:t>
      </w:r>
      <w:r>
        <w:rPr>
          <w:rStyle w:val="Numeropagina"/>
          <w:bCs/>
          <w:color w:val="000000" w:themeColor="text1"/>
          <w:sz w:val="24"/>
          <w:szCs w:val="24"/>
        </w:rPr>
        <w:t xml:space="preserve"> rivedere in diminuzione molti termini procedimentali, </w:t>
      </w:r>
      <w:r w:rsidR="00AF76CA">
        <w:rPr>
          <w:rStyle w:val="Numeropagina"/>
          <w:bCs/>
          <w:color w:val="000000" w:themeColor="text1"/>
          <w:sz w:val="24"/>
          <w:szCs w:val="24"/>
        </w:rPr>
        <w:t>la riforma rischier</w:t>
      </w:r>
      <w:r w:rsidR="00174BB2">
        <w:rPr>
          <w:rStyle w:val="Numeropagina"/>
          <w:bCs/>
          <w:color w:val="000000" w:themeColor="text1"/>
          <w:sz w:val="24"/>
          <w:szCs w:val="24"/>
        </w:rPr>
        <w:t>à</w:t>
      </w:r>
      <w:r w:rsidR="00AF76CA">
        <w:rPr>
          <w:rStyle w:val="Numeropagina"/>
          <w:bCs/>
          <w:color w:val="000000" w:themeColor="text1"/>
          <w:sz w:val="24"/>
          <w:szCs w:val="24"/>
        </w:rPr>
        <w:t xml:space="preserve"> di</w:t>
      </w:r>
      <w:r>
        <w:rPr>
          <w:rStyle w:val="Numeropagina"/>
          <w:bCs/>
          <w:color w:val="000000" w:themeColor="text1"/>
          <w:sz w:val="24"/>
          <w:szCs w:val="24"/>
        </w:rPr>
        <w:t xml:space="preserve"> non avrebbe senso </w:t>
      </w:r>
      <w:r w:rsidR="00FF101F">
        <w:rPr>
          <w:rStyle w:val="Numeropagina"/>
          <w:bCs/>
          <w:color w:val="000000" w:themeColor="text1"/>
          <w:sz w:val="24"/>
          <w:szCs w:val="24"/>
        </w:rPr>
        <w:t xml:space="preserve">compiuto (o, comunque, </w:t>
      </w:r>
      <w:r w:rsidR="00174BB2">
        <w:rPr>
          <w:rStyle w:val="Numeropagina"/>
          <w:bCs/>
          <w:color w:val="000000" w:themeColor="text1"/>
          <w:sz w:val="24"/>
          <w:szCs w:val="24"/>
        </w:rPr>
        <w:t>di restare monca e</w:t>
      </w:r>
      <w:r w:rsidR="00FF101F">
        <w:rPr>
          <w:rStyle w:val="Numeropagina"/>
          <w:bCs/>
          <w:color w:val="000000" w:themeColor="text1"/>
          <w:sz w:val="24"/>
          <w:szCs w:val="24"/>
        </w:rPr>
        <w:t xml:space="preserve"> limitat</w:t>
      </w:r>
      <w:r w:rsidR="00AF76CA">
        <w:rPr>
          <w:rStyle w:val="Numeropagina"/>
          <w:bCs/>
          <w:color w:val="000000" w:themeColor="text1"/>
          <w:sz w:val="24"/>
          <w:szCs w:val="24"/>
        </w:rPr>
        <w:t>a</w:t>
      </w:r>
      <w:r w:rsidR="00FF101F">
        <w:rPr>
          <w:rStyle w:val="Numeropagina"/>
          <w:bCs/>
          <w:color w:val="000000" w:themeColor="text1"/>
          <w:sz w:val="24"/>
          <w:szCs w:val="24"/>
        </w:rPr>
        <w:t>)</w:t>
      </w:r>
      <w:r w:rsidR="00AF76CA">
        <w:rPr>
          <w:rStyle w:val="Numeropagina"/>
          <w:bCs/>
          <w:color w:val="000000" w:themeColor="text1"/>
          <w:sz w:val="24"/>
          <w:szCs w:val="24"/>
        </w:rPr>
        <w:t>.</w:t>
      </w:r>
      <w:r w:rsidR="00FF101F">
        <w:rPr>
          <w:rStyle w:val="Numeropagina"/>
          <w:bCs/>
          <w:color w:val="000000" w:themeColor="text1"/>
          <w:sz w:val="24"/>
          <w:szCs w:val="24"/>
        </w:rPr>
        <w:t xml:space="preserve"> </w:t>
      </w:r>
      <w:r w:rsidR="00AF76CA">
        <w:rPr>
          <w:rStyle w:val="Numeropagina"/>
          <w:bCs/>
          <w:color w:val="000000" w:themeColor="text1"/>
          <w:sz w:val="24"/>
          <w:szCs w:val="24"/>
        </w:rPr>
        <w:t>Sostenere</w:t>
      </w:r>
      <w:r>
        <w:rPr>
          <w:rStyle w:val="Numeropagina"/>
          <w:bCs/>
          <w:color w:val="000000" w:themeColor="text1"/>
          <w:sz w:val="24"/>
          <w:szCs w:val="24"/>
        </w:rPr>
        <w:t xml:space="preserve"> la P.A. con strumenti digitali </w:t>
      </w:r>
      <w:r w:rsidR="00AF76CA">
        <w:rPr>
          <w:rStyle w:val="Numeropagina"/>
          <w:bCs/>
          <w:color w:val="000000" w:themeColor="text1"/>
          <w:sz w:val="24"/>
          <w:szCs w:val="24"/>
        </w:rPr>
        <w:t xml:space="preserve">e innovativi </w:t>
      </w:r>
      <w:r w:rsidR="00FF101F">
        <w:rPr>
          <w:rStyle w:val="Numeropagina"/>
          <w:bCs/>
          <w:color w:val="000000" w:themeColor="text1"/>
          <w:sz w:val="24"/>
          <w:szCs w:val="24"/>
        </w:rPr>
        <w:t>senza</w:t>
      </w:r>
      <w:r>
        <w:rPr>
          <w:rStyle w:val="Numeropagina"/>
          <w:bCs/>
          <w:color w:val="000000" w:themeColor="text1"/>
          <w:sz w:val="24"/>
          <w:szCs w:val="24"/>
        </w:rPr>
        <w:t>, conseguentemente</w:t>
      </w:r>
      <w:r w:rsidR="00AF76CA">
        <w:rPr>
          <w:rStyle w:val="Numeropagina"/>
          <w:bCs/>
          <w:color w:val="000000" w:themeColor="text1"/>
          <w:sz w:val="24"/>
          <w:szCs w:val="24"/>
        </w:rPr>
        <w:t xml:space="preserve"> e al contempo</w:t>
      </w:r>
      <w:r>
        <w:rPr>
          <w:rStyle w:val="Numeropagina"/>
          <w:bCs/>
          <w:color w:val="000000" w:themeColor="text1"/>
          <w:sz w:val="24"/>
          <w:szCs w:val="24"/>
        </w:rPr>
        <w:t>, accelerare quelle risposte che cittadini e operatori economici attendono</w:t>
      </w:r>
      <w:r w:rsidR="00AF76CA">
        <w:rPr>
          <w:rStyle w:val="Numeropagina"/>
          <w:bCs/>
          <w:color w:val="000000" w:themeColor="text1"/>
          <w:sz w:val="24"/>
          <w:szCs w:val="24"/>
        </w:rPr>
        <w:t>,</w:t>
      </w:r>
      <w:r>
        <w:rPr>
          <w:rStyle w:val="Numeropagina"/>
          <w:bCs/>
          <w:color w:val="000000" w:themeColor="text1"/>
          <w:sz w:val="24"/>
          <w:szCs w:val="24"/>
        </w:rPr>
        <w:t xml:space="preserve"> </w:t>
      </w:r>
      <w:r w:rsidR="00495CFD">
        <w:rPr>
          <w:rStyle w:val="Numeropagina"/>
          <w:bCs/>
          <w:color w:val="000000" w:themeColor="text1"/>
          <w:sz w:val="24"/>
          <w:szCs w:val="24"/>
        </w:rPr>
        <w:t>rischia</w:t>
      </w:r>
      <w:r>
        <w:rPr>
          <w:rStyle w:val="Numeropagina"/>
          <w:bCs/>
          <w:color w:val="000000" w:themeColor="text1"/>
          <w:sz w:val="24"/>
          <w:szCs w:val="24"/>
        </w:rPr>
        <w:t xml:space="preserve">, in larga parte, </w:t>
      </w:r>
      <w:r w:rsidR="00495CFD">
        <w:rPr>
          <w:rStyle w:val="Numeropagina"/>
          <w:bCs/>
          <w:color w:val="000000" w:themeColor="text1"/>
          <w:sz w:val="24"/>
          <w:szCs w:val="24"/>
        </w:rPr>
        <w:t xml:space="preserve">di </w:t>
      </w:r>
      <w:r w:rsidR="003827CA">
        <w:rPr>
          <w:rStyle w:val="Numeropagina"/>
          <w:bCs/>
          <w:color w:val="000000" w:themeColor="text1"/>
          <w:sz w:val="24"/>
          <w:szCs w:val="24"/>
        </w:rPr>
        <w:t xml:space="preserve">lasciare la riforma </w:t>
      </w:r>
      <w:r>
        <w:rPr>
          <w:rStyle w:val="Numeropagina"/>
          <w:bCs/>
          <w:color w:val="000000" w:themeColor="text1"/>
          <w:sz w:val="24"/>
          <w:szCs w:val="24"/>
        </w:rPr>
        <w:t>in</w:t>
      </w:r>
      <w:r w:rsidR="00495CFD">
        <w:rPr>
          <w:rStyle w:val="Numeropagina"/>
          <w:bCs/>
          <w:color w:val="000000" w:themeColor="text1"/>
          <w:sz w:val="24"/>
          <w:szCs w:val="24"/>
        </w:rPr>
        <w:t>com</w:t>
      </w:r>
      <w:r w:rsidR="00AF76CA">
        <w:rPr>
          <w:rStyle w:val="Numeropagina"/>
          <w:bCs/>
          <w:color w:val="000000" w:themeColor="text1"/>
          <w:sz w:val="24"/>
          <w:szCs w:val="24"/>
        </w:rPr>
        <w:t>piut</w:t>
      </w:r>
      <w:r w:rsidR="00495CFD">
        <w:rPr>
          <w:rStyle w:val="Numeropagina"/>
          <w:bCs/>
          <w:color w:val="000000" w:themeColor="text1"/>
          <w:sz w:val="24"/>
          <w:szCs w:val="24"/>
        </w:rPr>
        <w:t xml:space="preserve">a in quanto </w:t>
      </w:r>
      <w:r w:rsidR="00FF101F">
        <w:rPr>
          <w:rStyle w:val="Numeropagina"/>
          <w:bCs/>
          <w:color w:val="000000" w:themeColor="text1"/>
          <w:sz w:val="24"/>
          <w:szCs w:val="24"/>
        </w:rPr>
        <w:t>priva di</w:t>
      </w:r>
      <w:r w:rsidR="00495CFD">
        <w:rPr>
          <w:rStyle w:val="Numeropagina"/>
          <w:bCs/>
          <w:color w:val="000000" w:themeColor="text1"/>
          <w:sz w:val="24"/>
          <w:szCs w:val="24"/>
        </w:rPr>
        <w:t xml:space="preserve"> ricadute pratiche ed effettuali concrete</w:t>
      </w:r>
      <w:r>
        <w:rPr>
          <w:rStyle w:val="Numeropagina"/>
          <w:bCs/>
          <w:color w:val="000000" w:themeColor="text1"/>
          <w:sz w:val="24"/>
          <w:szCs w:val="24"/>
        </w:rPr>
        <w:t>.</w:t>
      </w:r>
      <w:r w:rsidR="00495CFD">
        <w:rPr>
          <w:rStyle w:val="Numeropagina"/>
          <w:bCs/>
          <w:color w:val="000000" w:themeColor="text1"/>
          <w:sz w:val="24"/>
          <w:szCs w:val="24"/>
        </w:rPr>
        <w:t xml:space="preserve"> </w:t>
      </w:r>
    </w:p>
    <w:p w14:paraId="4C2BF6C1" w14:textId="70807F4B" w:rsidR="00495CFD" w:rsidRDefault="00495CFD"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Questa necessità, peraltro, è richiamata come </w:t>
      </w:r>
      <w:r w:rsidR="00C269DE">
        <w:rPr>
          <w:rStyle w:val="Numeropagina"/>
          <w:bCs/>
          <w:color w:val="000000" w:themeColor="text1"/>
          <w:sz w:val="24"/>
          <w:szCs w:val="24"/>
        </w:rPr>
        <w:t>impellente proprio</w:t>
      </w:r>
      <w:r>
        <w:rPr>
          <w:rStyle w:val="Numeropagina"/>
          <w:bCs/>
          <w:color w:val="000000" w:themeColor="text1"/>
          <w:sz w:val="24"/>
          <w:szCs w:val="24"/>
        </w:rPr>
        <w:t xml:space="preserve"> dal</w:t>
      </w:r>
      <w:r w:rsidR="00C269DE">
        <w:rPr>
          <w:rStyle w:val="Numeropagina"/>
          <w:bCs/>
          <w:color w:val="000000" w:themeColor="text1"/>
          <w:sz w:val="24"/>
          <w:szCs w:val="24"/>
        </w:rPr>
        <w:t>la giurisprudenza amministrativa</w:t>
      </w:r>
      <w:r w:rsidR="00C269DE">
        <w:rPr>
          <w:rStyle w:val="Rimandonotaapidipagina"/>
          <w:bCs/>
          <w:color w:val="000000" w:themeColor="text1"/>
          <w:sz w:val="24"/>
          <w:szCs w:val="24"/>
        </w:rPr>
        <w:footnoteReference w:id="3"/>
      </w:r>
      <w:r w:rsidR="00C269DE">
        <w:rPr>
          <w:rStyle w:val="Numeropagina"/>
          <w:bCs/>
          <w:color w:val="000000" w:themeColor="text1"/>
          <w:sz w:val="24"/>
          <w:szCs w:val="24"/>
        </w:rPr>
        <w:t>.</w:t>
      </w:r>
    </w:p>
    <w:p w14:paraId="2234DF61" w14:textId="2C594A55" w:rsidR="00AB588E" w:rsidRDefault="00C269DE"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w:t>
      </w:r>
      <w:r w:rsidR="00FF101F">
        <w:rPr>
          <w:rStyle w:val="Numeropagina"/>
          <w:bCs/>
          <w:color w:val="000000" w:themeColor="text1"/>
          <w:sz w:val="24"/>
          <w:szCs w:val="24"/>
        </w:rPr>
        <w:t xml:space="preserve">n merito al provvedimento algoritmico, </w:t>
      </w:r>
      <w:r>
        <w:rPr>
          <w:rStyle w:val="Numeropagina"/>
          <w:bCs/>
          <w:color w:val="000000" w:themeColor="text1"/>
          <w:sz w:val="24"/>
          <w:szCs w:val="24"/>
        </w:rPr>
        <w:t xml:space="preserve">va </w:t>
      </w:r>
      <w:r w:rsidR="00FF101F">
        <w:rPr>
          <w:rStyle w:val="Numeropagina"/>
          <w:bCs/>
          <w:color w:val="000000" w:themeColor="text1"/>
          <w:sz w:val="24"/>
          <w:szCs w:val="24"/>
        </w:rPr>
        <w:t>fatt</w:t>
      </w:r>
      <w:r>
        <w:rPr>
          <w:rStyle w:val="Numeropagina"/>
          <w:bCs/>
          <w:color w:val="000000" w:themeColor="text1"/>
          <w:sz w:val="24"/>
          <w:szCs w:val="24"/>
        </w:rPr>
        <w:t>o</w:t>
      </w:r>
      <w:r w:rsidR="00234983">
        <w:rPr>
          <w:rStyle w:val="Numeropagina"/>
          <w:bCs/>
          <w:color w:val="000000" w:themeColor="text1"/>
          <w:sz w:val="24"/>
          <w:szCs w:val="24"/>
        </w:rPr>
        <w:t>, invece,</w:t>
      </w:r>
      <w:r w:rsidR="00FF101F">
        <w:rPr>
          <w:rStyle w:val="Numeropagina"/>
          <w:bCs/>
          <w:color w:val="000000" w:themeColor="text1"/>
          <w:sz w:val="24"/>
          <w:szCs w:val="24"/>
        </w:rPr>
        <w:t xml:space="preserve"> un</w:t>
      </w:r>
      <w:r>
        <w:rPr>
          <w:rStyle w:val="Numeropagina"/>
          <w:bCs/>
          <w:color w:val="000000" w:themeColor="text1"/>
          <w:sz w:val="24"/>
          <w:szCs w:val="24"/>
        </w:rPr>
        <w:t xml:space="preserve"> rapido cenno al suo antecedente storico. Questo sistema – che delega a un sistema automatizzato o a una formula matematica parte di un procedimento amministrativo – </w:t>
      </w:r>
      <w:r w:rsidR="00A271ED">
        <w:rPr>
          <w:rStyle w:val="Numeropagina"/>
          <w:bCs/>
          <w:color w:val="000000" w:themeColor="text1"/>
          <w:sz w:val="24"/>
          <w:szCs w:val="24"/>
        </w:rPr>
        <w:t>è</w:t>
      </w:r>
      <w:r>
        <w:rPr>
          <w:rStyle w:val="Numeropagina"/>
          <w:bCs/>
          <w:color w:val="000000" w:themeColor="text1"/>
          <w:sz w:val="24"/>
          <w:szCs w:val="24"/>
        </w:rPr>
        <w:t>, in parte, già conosciuto</w:t>
      </w:r>
      <w:r w:rsidR="00057514">
        <w:rPr>
          <w:rStyle w:val="Numeropagina"/>
          <w:bCs/>
          <w:color w:val="000000" w:themeColor="text1"/>
          <w:sz w:val="24"/>
          <w:szCs w:val="24"/>
        </w:rPr>
        <w:t xml:space="preserve"> dal nostro ordinamento</w:t>
      </w:r>
      <w:r w:rsidR="00FF101F">
        <w:rPr>
          <w:rStyle w:val="Numeropagina"/>
          <w:bCs/>
          <w:color w:val="000000" w:themeColor="text1"/>
          <w:sz w:val="24"/>
          <w:szCs w:val="24"/>
        </w:rPr>
        <w:t>. Quanto accaduto in costanza di legge Merloni e, specificamente, del D.P.R. 554/1999</w:t>
      </w:r>
      <w:r w:rsidR="005F28FC">
        <w:rPr>
          <w:rStyle w:val="Rimandonotaapidipagina"/>
          <w:bCs/>
          <w:color w:val="000000" w:themeColor="text1"/>
          <w:sz w:val="24"/>
          <w:szCs w:val="24"/>
        </w:rPr>
        <w:footnoteReference w:id="4"/>
      </w:r>
      <w:r w:rsidR="00221640">
        <w:rPr>
          <w:rStyle w:val="Numeropagina"/>
          <w:bCs/>
          <w:color w:val="000000" w:themeColor="text1"/>
          <w:sz w:val="24"/>
          <w:szCs w:val="24"/>
        </w:rPr>
        <w:t xml:space="preserve"> </w:t>
      </w:r>
      <w:r w:rsidR="00FF101F">
        <w:rPr>
          <w:rStyle w:val="Numeropagina"/>
          <w:bCs/>
          <w:color w:val="000000" w:themeColor="text1"/>
          <w:sz w:val="24"/>
          <w:szCs w:val="24"/>
        </w:rPr>
        <w:t>non è</w:t>
      </w:r>
      <w:r w:rsidR="005F28FC">
        <w:rPr>
          <w:rStyle w:val="Numeropagina"/>
          <w:bCs/>
          <w:color w:val="000000" w:themeColor="text1"/>
          <w:sz w:val="24"/>
          <w:szCs w:val="24"/>
        </w:rPr>
        <w:t xml:space="preserve"> stato, concettualmente,</w:t>
      </w:r>
      <w:r w:rsidR="00FF101F">
        <w:rPr>
          <w:rStyle w:val="Numeropagina"/>
          <w:bCs/>
          <w:color w:val="000000" w:themeColor="text1"/>
          <w:sz w:val="24"/>
          <w:szCs w:val="24"/>
        </w:rPr>
        <w:t xml:space="preserve"> molto differente da quanto </w:t>
      </w:r>
      <w:r w:rsidR="005F28FC">
        <w:rPr>
          <w:rStyle w:val="Numeropagina"/>
          <w:bCs/>
          <w:color w:val="000000" w:themeColor="text1"/>
          <w:sz w:val="24"/>
          <w:szCs w:val="24"/>
        </w:rPr>
        <w:t xml:space="preserve">si </w:t>
      </w:r>
      <w:r w:rsidR="00FF101F">
        <w:rPr>
          <w:rStyle w:val="Numeropagina"/>
          <w:bCs/>
          <w:color w:val="000000" w:themeColor="text1"/>
          <w:sz w:val="24"/>
          <w:szCs w:val="24"/>
        </w:rPr>
        <w:t xml:space="preserve">sta </w:t>
      </w:r>
      <w:r w:rsidR="005F28FC">
        <w:rPr>
          <w:rStyle w:val="Numeropagina"/>
          <w:bCs/>
          <w:color w:val="000000" w:themeColor="text1"/>
          <w:sz w:val="24"/>
          <w:szCs w:val="24"/>
        </w:rPr>
        <w:lastRenderedPageBreak/>
        <w:t>sviluppando</w:t>
      </w:r>
      <w:r w:rsidR="00FF101F">
        <w:rPr>
          <w:rStyle w:val="Numeropagina"/>
          <w:bCs/>
          <w:color w:val="000000" w:themeColor="text1"/>
          <w:sz w:val="24"/>
          <w:szCs w:val="24"/>
        </w:rPr>
        <w:t xml:space="preserve"> in questi tempi</w:t>
      </w:r>
      <w:r w:rsidR="00ED3D36">
        <w:rPr>
          <w:rStyle w:val="Numeropagina"/>
          <w:bCs/>
          <w:color w:val="000000" w:themeColor="text1"/>
          <w:sz w:val="24"/>
          <w:szCs w:val="24"/>
        </w:rPr>
        <w:t>,</w:t>
      </w:r>
      <w:r w:rsidR="00FF101F">
        <w:rPr>
          <w:rStyle w:val="Numeropagina"/>
          <w:bCs/>
          <w:color w:val="000000" w:themeColor="text1"/>
          <w:sz w:val="24"/>
          <w:szCs w:val="24"/>
        </w:rPr>
        <w:t xml:space="preserve"> con la differenza che, allora, le </w:t>
      </w:r>
      <w:r w:rsidR="00ED3D36">
        <w:rPr>
          <w:rStyle w:val="Numeropagina"/>
          <w:bCs/>
          <w:color w:val="000000" w:themeColor="text1"/>
          <w:sz w:val="24"/>
          <w:szCs w:val="24"/>
        </w:rPr>
        <w:t xml:space="preserve">varie </w:t>
      </w:r>
      <w:r w:rsidR="00FF101F">
        <w:rPr>
          <w:rStyle w:val="Numeropagina"/>
          <w:bCs/>
          <w:color w:val="000000" w:themeColor="text1"/>
          <w:sz w:val="24"/>
          <w:szCs w:val="24"/>
        </w:rPr>
        <w:t>formule</w:t>
      </w:r>
      <w:r w:rsidR="00221640">
        <w:rPr>
          <w:rStyle w:val="Numeropagina"/>
          <w:bCs/>
          <w:color w:val="000000" w:themeColor="text1"/>
          <w:sz w:val="24"/>
          <w:szCs w:val="24"/>
        </w:rPr>
        <w:t xml:space="preserve"> per la valutazione dell’offerta tecnica</w:t>
      </w:r>
      <w:r w:rsidR="00FF101F">
        <w:rPr>
          <w:rStyle w:val="Numeropagina"/>
          <w:bCs/>
          <w:color w:val="000000" w:themeColor="text1"/>
          <w:sz w:val="24"/>
          <w:szCs w:val="24"/>
        </w:rPr>
        <w:t xml:space="preserve"> erano state predeterminate</w:t>
      </w:r>
      <w:r w:rsidR="007944E2">
        <w:rPr>
          <w:rStyle w:val="Numeropagina"/>
          <w:bCs/>
          <w:color w:val="000000" w:themeColor="text1"/>
          <w:sz w:val="24"/>
          <w:szCs w:val="24"/>
        </w:rPr>
        <w:t xml:space="preserve"> </w:t>
      </w:r>
      <w:r w:rsidR="00221640">
        <w:rPr>
          <w:rStyle w:val="Numeropagina"/>
          <w:bCs/>
          <w:color w:val="000000" w:themeColor="text1"/>
          <w:sz w:val="24"/>
          <w:szCs w:val="24"/>
        </w:rPr>
        <w:t xml:space="preserve">dal legislatore nell’allegato B del </w:t>
      </w:r>
      <w:r w:rsidR="00ED3D36">
        <w:rPr>
          <w:rStyle w:val="Numeropagina"/>
          <w:bCs/>
          <w:color w:val="000000" w:themeColor="text1"/>
          <w:sz w:val="24"/>
          <w:szCs w:val="24"/>
        </w:rPr>
        <w:t>citato decreto.</w:t>
      </w:r>
    </w:p>
    <w:p w14:paraId="5E010AAE" w14:textId="0C641D0F" w:rsidR="00AB588E" w:rsidRDefault="00ED3D36" w:rsidP="00AB588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In relazione, invece,</w:t>
      </w:r>
      <w:r w:rsidR="0057126C">
        <w:rPr>
          <w:rStyle w:val="Numeropagina"/>
          <w:bCs/>
          <w:color w:val="000000" w:themeColor="text1"/>
          <w:sz w:val="24"/>
          <w:szCs w:val="24"/>
        </w:rPr>
        <w:t xml:space="preserve"> alla possibilità che vengano utilizzati algoritmi </w:t>
      </w:r>
      <w:r w:rsidR="00AA6A79">
        <w:rPr>
          <w:rStyle w:val="Numeropagina"/>
          <w:bCs/>
          <w:color w:val="000000" w:themeColor="text1"/>
          <w:sz w:val="24"/>
          <w:szCs w:val="24"/>
        </w:rPr>
        <w:t xml:space="preserve">e </w:t>
      </w:r>
      <w:r w:rsidR="00AA6A79" w:rsidRPr="00AA6A79">
        <w:rPr>
          <w:rStyle w:val="Numeropagina"/>
          <w:bCs/>
          <w:i/>
          <w:iCs/>
          <w:color w:val="000000" w:themeColor="text1"/>
          <w:sz w:val="24"/>
          <w:szCs w:val="24"/>
        </w:rPr>
        <w:t>software</w:t>
      </w:r>
      <w:r w:rsidR="00AA6A79">
        <w:rPr>
          <w:rStyle w:val="Numeropagina"/>
          <w:bCs/>
          <w:color w:val="000000" w:themeColor="text1"/>
          <w:sz w:val="24"/>
          <w:szCs w:val="24"/>
        </w:rPr>
        <w:t xml:space="preserve"> </w:t>
      </w:r>
      <w:r w:rsidR="0057126C">
        <w:rPr>
          <w:rStyle w:val="Numeropagina"/>
          <w:bCs/>
          <w:color w:val="000000" w:themeColor="text1"/>
          <w:sz w:val="24"/>
          <w:szCs w:val="24"/>
        </w:rPr>
        <w:t xml:space="preserve">per giungere all’affidamento di un appalto </w:t>
      </w:r>
      <w:r w:rsidR="00AB588E">
        <w:rPr>
          <w:rStyle w:val="Numeropagina"/>
          <w:bCs/>
          <w:color w:val="000000" w:themeColor="text1"/>
          <w:sz w:val="24"/>
          <w:szCs w:val="24"/>
        </w:rPr>
        <w:t xml:space="preserve">possiamo </w:t>
      </w:r>
      <w:r>
        <w:rPr>
          <w:rStyle w:val="Numeropagina"/>
          <w:bCs/>
          <w:color w:val="000000" w:themeColor="text1"/>
          <w:sz w:val="24"/>
          <w:szCs w:val="24"/>
        </w:rPr>
        <w:t>riscontrare</w:t>
      </w:r>
      <w:r w:rsidR="00AB588E">
        <w:rPr>
          <w:rStyle w:val="Numeropagina"/>
          <w:bCs/>
          <w:color w:val="000000" w:themeColor="text1"/>
          <w:sz w:val="24"/>
          <w:szCs w:val="24"/>
        </w:rPr>
        <w:t xml:space="preserve"> come</w:t>
      </w:r>
      <w:r w:rsidR="008F5C1B">
        <w:rPr>
          <w:rStyle w:val="Numeropagina"/>
          <w:bCs/>
          <w:color w:val="000000" w:themeColor="text1"/>
          <w:sz w:val="24"/>
          <w:szCs w:val="24"/>
        </w:rPr>
        <w:t>, oggi,</w:t>
      </w:r>
      <w:r w:rsidR="00AB588E">
        <w:rPr>
          <w:rStyle w:val="Numeropagina"/>
          <w:bCs/>
          <w:color w:val="000000" w:themeColor="text1"/>
          <w:sz w:val="24"/>
          <w:szCs w:val="24"/>
        </w:rPr>
        <w:t xml:space="preserve"> l’art. 30</w:t>
      </w:r>
      <w:r>
        <w:rPr>
          <w:rStyle w:val="Numeropagina"/>
          <w:bCs/>
          <w:color w:val="000000" w:themeColor="text1"/>
          <w:sz w:val="24"/>
          <w:szCs w:val="24"/>
        </w:rPr>
        <w:t xml:space="preserve"> del nuovo Codice</w:t>
      </w:r>
      <w:r w:rsidR="00AB588E">
        <w:rPr>
          <w:rStyle w:val="Numeropagina"/>
          <w:bCs/>
          <w:color w:val="000000" w:themeColor="text1"/>
          <w:sz w:val="24"/>
          <w:szCs w:val="24"/>
        </w:rPr>
        <w:t xml:space="preserve"> riprenda, quasi pedissequamente, le conclusioni cui è giunta</w:t>
      </w:r>
      <w:r w:rsidR="00143DDF">
        <w:rPr>
          <w:rStyle w:val="Numeropagina"/>
          <w:bCs/>
          <w:color w:val="000000" w:themeColor="text1"/>
          <w:sz w:val="24"/>
          <w:szCs w:val="24"/>
        </w:rPr>
        <w:t>, di recente,</w:t>
      </w:r>
      <w:r w:rsidR="00AB588E">
        <w:rPr>
          <w:rStyle w:val="Numeropagina"/>
          <w:bCs/>
          <w:color w:val="000000" w:themeColor="text1"/>
          <w:sz w:val="24"/>
          <w:szCs w:val="24"/>
        </w:rPr>
        <w:t xml:space="preserve"> la sentenza n. </w:t>
      </w:r>
      <w:r w:rsidR="00AB588E" w:rsidRPr="00ED3D36">
        <w:rPr>
          <w:rStyle w:val="Numeropagina"/>
          <w:bCs/>
          <w:color w:val="000000" w:themeColor="text1"/>
          <w:sz w:val="24"/>
          <w:szCs w:val="24"/>
        </w:rPr>
        <w:t xml:space="preserve">8472 del </w:t>
      </w:r>
      <w:r w:rsidRPr="00ED3D36">
        <w:rPr>
          <w:rStyle w:val="Numeropagina"/>
          <w:bCs/>
          <w:color w:val="000000" w:themeColor="text1"/>
          <w:sz w:val="24"/>
          <w:szCs w:val="24"/>
        </w:rPr>
        <w:t>13.12.</w:t>
      </w:r>
      <w:r w:rsidR="00AB588E" w:rsidRPr="00ED3D36">
        <w:rPr>
          <w:rStyle w:val="Numeropagina"/>
          <w:bCs/>
          <w:color w:val="000000" w:themeColor="text1"/>
          <w:sz w:val="24"/>
          <w:szCs w:val="24"/>
        </w:rPr>
        <w:t xml:space="preserve">2019 della sez. VI </w:t>
      </w:r>
      <w:r>
        <w:rPr>
          <w:rStyle w:val="Numeropagina"/>
          <w:bCs/>
          <w:color w:val="000000" w:themeColor="text1"/>
          <w:sz w:val="24"/>
          <w:szCs w:val="24"/>
        </w:rPr>
        <w:t xml:space="preserve">del Consiglio di Stato </w:t>
      </w:r>
      <w:r w:rsidR="00AB588E" w:rsidRPr="00ED3D36">
        <w:rPr>
          <w:rStyle w:val="Numeropagina"/>
          <w:bCs/>
          <w:color w:val="000000" w:themeColor="text1"/>
          <w:sz w:val="24"/>
          <w:szCs w:val="24"/>
        </w:rPr>
        <w:t xml:space="preserve">che ha rivisto e </w:t>
      </w:r>
      <w:r>
        <w:rPr>
          <w:rStyle w:val="Numeropagina"/>
          <w:bCs/>
          <w:color w:val="000000" w:themeColor="text1"/>
          <w:sz w:val="24"/>
          <w:szCs w:val="24"/>
        </w:rPr>
        <w:t>rimodulato</w:t>
      </w:r>
      <w:r w:rsidR="00AB588E" w:rsidRPr="00ED3D36">
        <w:rPr>
          <w:rStyle w:val="Numeropagina"/>
          <w:bCs/>
          <w:color w:val="000000" w:themeColor="text1"/>
          <w:sz w:val="24"/>
          <w:szCs w:val="24"/>
        </w:rPr>
        <w:t xml:space="preserve"> </w:t>
      </w:r>
      <w:r>
        <w:rPr>
          <w:rStyle w:val="Numeropagina"/>
          <w:bCs/>
          <w:color w:val="000000" w:themeColor="text1"/>
          <w:sz w:val="24"/>
          <w:szCs w:val="24"/>
        </w:rPr>
        <w:t>alcune</w:t>
      </w:r>
      <w:r w:rsidR="00AB588E" w:rsidRPr="00ED3D36">
        <w:rPr>
          <w:rStyle w:val="Numeropagina"/>
          <w:bCs/>
          <w:color w:val="000000" w:themeColor="text1"/>
          <w:sz w:val="24"/>
          <w:szCs w:val="24"/>
        </w:rPr>
        <w:t xml:space="preserve"> conclusioni cui era </w:t>
      </w:r>
      <w:r w:rsidR="00C74ABF">
        <w:rPr>
          <w:rStyle w:val="Numeropagina"/>
          <w:bCs/>
          <w:color w:val="000000" w:themeColor="text1"/>
          <w:sz w:val="24"/>
          <w:szCs w:val="24"/>
        </w:rPr>
        <w:t>arrivata</w:t>
      </w:r>
      <w:r w:rsidR="00AB588E" w:rsidRPr="00ED3D36">
        <w:rPr>
          <w:rStyle w:val="Numeropagina"/>
          <w:bCs/>
          <w:color w:val="000000" w:themeColor="text1"/>
          <w:sz w:val="24"/>
          <w:szCs w:val="24"/>
        </w:rPr>
        <w:t xml:space="preserve"> la medesima sezione con la precedente decisione n. 2270</w:t>
      </w:r>
      <w:r>
        <w:rPr>
          <w:rStyle w:val="Numeropagina"/>
          <w:bCs/>
          <w:color w:val="000000" w:themeColor="text1"/>
          <w:sz w:val="24"/>
          <w:szCs w:val="24"/>
        </w:rPr>
        <w:t xml:space="preserve"> in data 8 aprile </w:t>
      </w:r>
      <w:r w:rsidR="00AB588E" w:rsidRPr="00ED3D36">
        <w:rPr>
          <w:rStyle w:val="Numeropagina"/>
          <w:bCs/>
          <w:color w:val="000000" w:themeColor="text1"/>
          <w:sz w:val="24"/>
          <w:szCs w:val="24"/>
        </w:rPr>
        <w:t>2019.</w:t>
      </w:r>
    </w:p>
    <w:p w14:paraId="35B8FAF0" w14:textId="5D06BE9E" w:rsidR="0022070E" w:rsidRDefault="0022070E" w:rsidP="00AB588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Il punto critico</w:t>
      </w:r>
      <w:r w:rsidR="00ED3D36">
        <w:rPr>
          <w:rStyle w:val="Numeropagina"/>
          <w:bCs/>
          <w:color w:val="000000" w:themeColor="text1"/>
          <w:sz w:val="24"/>
          <w:szCs w:val="24"/>
        </w:rPr>
        <w:t xml:space="preserve"> -</w:t>
      </w:r>
      <w:r>
        <w:rPr>
          <w:rStyle w:val="Numeropagina"/>
          <w:bCs/>
          <w:color w:val="000000" w:themeColor="text1"/>
          <w:sz w:val="24"/>
          <w:szCs w:val="24"/>
        </w:rPr>
        <w:t xml:space="preserve"> che</w:t>
      </w:r>
      <w:r w:rsidR="00ED3D36">
        <w:rPr>
          <w:rStyle w:val="Numeropagina"/>
          <w:bCs/>
          <w:color w:val="000000" w:themeColor="text1"/>
          <w:sz w:val="24"/>
          <w:szCs w:val="24"/>
        </w:rPr>
        <w:t>,</w:t>
      </w:r>
      <w:r>
        <w:rPr>
          <w:rStyle w:val="Numeropagina"/>
          <w:bCs/>
          <w:color w:val="000000" w:themeColor="text1"/>
          <w:sz w:val="24"/>
          <w:szCs w:val="24"/>
        </w:rPr>
        <w:t xml:space="preserve"> </w:t>
      </w:r>
      <w:r w:rsidR="00ED3D36">
        <w:rPr>
          <w:rStyle w:val="Numeropagina"/>
          <w:bCs/>
          <w:color w:val="000000" w:themeColor="text1"/>
          <w:sz w:val="24"/>
          <w:szCs w:val="24"/>
        </w:rPr>
        <w:t>ad</w:t>
      </w:r>
      <w:r>
        <w:rPr>
          <w:rStyle w:val="Numeropagina"/>
          <w:bCs/>
          <w:color w:val="000000" w:themeColor="text1"/>
          <w:sz w:val="24"/>
          <w:szCs w:val="24"/>
        </w:rPr>
        <w:t xml:space="preserve"> avviso </w:t>
      </w:r>
      <w:r w:rsidR="00ED3D36">
        <w:rPr>
          <w:rStyle w:val="Numeropagina"/>
          <w:bCs/>
          <w:color w:val="000000" w:themeColor="text1"/>
          <w:sz w:val="24"/>
          <w:szCs w:val="24"/>
        </w:rPr>
        <w:t xml:space="preserve">di chi scrive, </w:t>
      </w:r>
      <w:r>
        <w:rPr>
          <w:rStyle w:val="Numeropagina"/>
          <w:bCs/>
          <w:color w:val="000000" w:themeColor="text1"/>
          <w:sz w:val="24"/>
          <w:szCs w:val="24"/>
        </w:rPr>
        <w:t xml:space="preserve">non è stato </w:t>
      </w:r>
      <w:r w:rsidR="00666FD6">
        <w:rPr>
          <w:rStyle w:val="Numeropagina"/>
          <w:bCs/>
          <w:color w:val="000000" w:themeColor="text1"/>
          <w:sz w:val="24"/>
          <w:szCs w:val="24"/>
        </w:rPr>
        <w:t xml:space="preserve">approfonditamente </w:t>
      </w:r>
      <w:r>
        <w:rPr>
          <w:rStyle w:val="Numeropagina"/>
          <w:bCs/>
          <w:color w:val="000000" w:themeColor="text1"/>
          <w:sz w:val="24"/>
          <w:szCs w:val="24"/>
        </w:rPr>
        <w:t>valutato nelle sue possibili declinazioni – lo si ravvisa nel fatto che quelle sentenze attengono</w:t>
      </w:r>
      <w:r w:rsidR="00ED3D36">
        <w:rPr>
          <w:rStyle w:val="Numeropagina"/>
          <w:bCs/>
          <w:color w:val="000000" w:themeColor="text1"/>
          <w:sz w:val="24"/>
          <w:szCs w:val="24"/>
        </w:rPr>
        <w:t>, non all’aggiudicazione di appalti pubblici,</w:t>
      </w:r>
      <w:r>
        <w:rPr>
          <w:rStyle w:val="Numeropagina"/>
          <w:bCs/>
          <w:color w:val="000000" w:themeColor="text1"/>
          <w:sz w:val="24"/>
          <w:szCs w:val="24"/>
        </w:rPr>
        <w:t xml:space="preserve"> </w:t>
      </w:r>
      <w:r w:rsidR="00ED3D36">
        <w:rPr>
          <w:rStyle w:val="Numeropagina"/>
          <w:bCs/>
          <w:color w:val="000000" w:themeColor="text1"/>
          <w:sz w:val="24"/>
          <w:szCs w:val="24"/>
        </w:rPr>
        <w:t xml:space="preserve">bensì </w:t>
      </w:r>
      <w:r>
        <w:rPr>
          <w:rStyle w:val="Numeropagina"/>
          <w:bCs/>
          <w:color w:val="000000" w:themeColor="text1"/>
          <w:sz w:val="24"/>
          <w:szCs w:val="24"/>
        </w:rPr>
        <w:t>a modalità, dispost</w:t>
      </w:r>
      <w:r w:rsidR="00ED3D36">
        <w:rPr>
          <w:rStyle w:val="Numeropagina"/>
          <w:bCs/>
          <w:color w:val="000000" w:themeColor="text1"/>
          <w:sz w:val="24"/>
          <w:szCs w:val="24"/>
        </w:rPr>
        <w:t>e</w:t>
      </w:r>
      <w:r>
        <w:rPr>
          <w:rStyle w:val="Numeropagina"/>
          <w:bCs/>
          <w:color w:val="000000" w:themeColor="text1"/>
          <w:sz w:val="24"/>
          <w:szCs w:val="24"/>
        </w:rPr>
        <w:t xml:space="preserve"> attraverso </w:t>
      </w:r>
      <w:r w:rsidR="00666FD6" w:rsidRPr="00666FD6">
        <w:rPr>
          <w:rStyle w:val="Numeropagina"/>
          <w:bCs/>
          <w:i/>
          <w:iCs/>
          <w:color w:val="000000" w:themeColor="text1"/>
          <w:sz w:val="24"/>
          <w:szCs w:val="24"/>
        </w:rPr>
        <w:t>software</w:t>
      </w:r>
      <w:r>
        <w:rPr>
          <w:rStyle w:val="Numeropagina"/>
          <w:bCs/>
          <w:color w:val="000000" w:themeColor="text1"/>
          <w:sz w:val="24"/>
          <w:szCs w:val="24"/>
        </w:rPr>
        <w:t xml:space="preserve">, di attribuzione di cattedre nella scuola </w:t>
      </w:r>
      <w:r w:rsidR="00ED3D36">
        <w:rPr>
          <w:rStyle w:val="Numeropagina"/>
          <w:bCs/>
          <w:color w:val="000000" w:themeColor="text1"/>
          <w:sz w:val="24"/>
          <w:szCs w:val="24"/>
        </w:rPr>
        <w:t>secondaria</w:t>
      </w:r>
      <w:r>
        <w:rPr>
          <w:rStyle w:val="Numeropagina"/>
          <w:bCs/>
          <w:color w:val="000000" w:themeColor="text1"/>
          <w:sz w:val="24"/>
          <w:szCs w:val="24"/>
        </w:rPr>
        <w:t>.</w:t>
      </w:r>
    </w:p>
    <w:p w14:paraId="5DE39D91" w14:textId="30902E9E" w:rsidR="0022070E" w:rsidRDefault="0022070E" w:rsidP="00AB588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Gli appalti</w:t>
      </w:r>
      <w:r w:rsidR="00ED3D36">
        <w:rPr>
          <w:rStyle w:val="Numeropagina"/>
          <w:bCs/>
          <w:color w:val="000000" w:themeColor="text1"/>
          <w:sz w:val="24"/>
          <w:szCs w:val="24"/>
        </w:rPr>
        <w:t xml:space="preserve"> pubblici, allo stato attuale,</w:t>
      </w:r>
      <w:r>
        <w:rPr>
          <w:rStyle w:val="Numeropagina"/>
          <w:bCs/>
          <w:color w:val="000000" w:themeColor="text1"/>
          <w:sz w:val="24"/>
          <w:szCs w:val="24"/>
        </w:rPr>
        <w:t xml:space="preserve"> non hanno mai visto decisioni basate su intelligenza artificiale </w:t>
      </w:r>
      <w:r w:rsidR="00ED3D36">
        <w:rPr>
          <w:rStyle w:val="Numeropagina"/>
          <w:bCs/>
          <w:color w:val="000000" w:themeColor="text1"/>
          <w:sz w:val="24"/>
          <w:szCs w:val="24"/>
        </w:rPr>
        <w:t>o</w:t>
      </w:r>
      <w:r>
        <w:rPr>
          <w:rStyle w:val="Numeropagina"/>
          <w:bCs/>
          <w:color w:val="000000" w:themeColor="text1"/>
          <w:sz w:val="24"/>
          <w:szCs w:val="24"/>
        </w:rPr>
        <w:t xml:space="preserve"> algoritmi, ciononostante il legislatore</w:t>
      </w:r>
      <w:r w:rsidR="00ED3D36">
        <w:rPr>
          <w:rStyle w:val="Numeropagina"/>
          <w:bCs/>
          <w:color w:val="000000" w:themeColor="text1"/>
          <w:sz w:val="24"/>
          <w:szCs w:val="24"/>
        </w:rPr>
        <w:t xml:space="preserve"> </w:t>
      </w:r>
      <w:r>
        <w:rPr>
          <w:rStyle w:val="Numeropagina"/>
          <w:bCs/>
          <w:color w:val="000000" w:themeColor="text1"/>
          <w:sz w:val="24"/>
          <w:szCs w:val="24"/>
        </w:rPr>
        <w:t>si è portato, ottimisticamente quanto</w:t>
      </w:r>
      <w:r w:rsidR="00ED3D36">
        <w:rPr>
          <w:rStyle w:val="Numeropagina"/>
          <w:bCs/>
          <w:color w:val="000000" w:themeColor="text1"/>
          <w:sz w:val="24"/>
          <w:szCs w:val="24"/>
        </w:rPr>
        <w:t>, forse,</w:t>
      </w:r>
      <w:r>
        <w:rPr>
          <w:rStyle w:val="Numeropagina"/>
          <w:bCs/>
          <w:color w:val="000000" w:themeColor="text1"/>
          <w:sz w:val="24"/>
          <w:szCs w:val="24"/>
        </w:rPr>
        <w:t xml:space="preserve"> </w:t>
      </w:r>
      <w:r w:rsidR="00ED3D36">
        <w:rPr>
          <w:rStyle w:val="Numeropagina"/>
          <w:bCs/>
          <w:color w:val="000000" w:themeColor="text1"/>
          <w:sz w:val="24"/>
          <w:szCs w:val="24"/>
        </w:rPr>
        <w:t>repentinamente, troppo</w:t>
      </w:r>
      <w:r>
        <w:rPr>
          <w:rStyle w:val="Numeropagina"/>
          <w:bCs/>
          <w:color w:val="000000" w:themeColor="text1"/>
          <w:sz w:val="24"/>
          <w:szCs w:val="24"/>
        </w:rPr>
        <w:t xml:space="preserve"> avanti.</w:t>
      </w:r>
    </w:p>
    <w:p w14:paraId="0FCDFF02" w14:textId="0F92E28E" w:rsidR="0022070E" w:rsidRDefault="00ED3D36" w:rsidP="004E40F8">
      <w:pPr>
        <w:shd w:val="clear" w:color="auto" w:fill="FFFFFF" w:themeFill="background1"/>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Ci troviamo, facendoci sostenere da una metafora,</w:t>
      </w:r>
      <w:r w:rsidR="0022070E">
        <w:rPr>
          <w:rStyle w:val="Numeropagina"/>
          <w:bCs/>
          <w:color w:val="000000" w:themeColor="text1"/>
          <w:sz w:val="24"/>
          <w:szCs w:val="24"/>
        </w:rPr>
        <w:t xml:space="preserve"> </w:t>
      </w:r>
      <w:r>
        <w:rPr>
          <w:rStyle w:val="Numeropagina"/>
          <w:bCs/>
          <w:color w:val="000000" w:themeColor="text1"/>
          <w:sz w:val="24"/>
          <w:szCs w:val="24"/>
        </w:rPr>
        <w:t>sul lato opposto dell’esempio</w:t>
      </w:r>
      <w:r w:rsidR="0022070E">
        <w:rPr>
          <w:rStyle w:val="Numeropagina"/>
          <w:bCs/>
          <w:color w:val="000000" w:themeColor="text1"/>
          <w:sz w:val="24"/>
          <w:szCs w:val="24"/>
        </w:rPr>
        <w:t xml:space="preserve"> hegeliano della nottola di Minerva</w:t>
      </w:r>
      <w:r>
        <w:rPr>
          <w:rStyle w:val="Numeropagina"/>
          <w:bCs/>
          <w:color w:val="000000" w:themeColor="text1"/>
          <w:sz w:val="24"/>
          <w:szCs w:val="24"/>
        </w:rPr>
        <w:t xml:space="preserve"> (che giunge sempre all’alba</w:t>
      </w:r>
      <w:r w:rsidR="00542684">
        <w:rPr>
          <w:rStyle w:val="Numeropagina"/>
          <w:bCs/>
          <w:color w:val="000000" w:themeColor="text1"/>
          <w:sz w:val="24"/>
          <w:szCs w:val="24"/>
        </w:rPr>
        <w:t xml:space="preserve"> e</w:t>
      </w:r>
      <w:r>
        <w:rPr>
          <w:rStyle w:val="Numeropagina"/>
          <w:bCs/>
          <w:color w:val="000000" w:themeColor="text1"/>
          <w:sz w:val="24"/>
          <w:szCs w:val="24"/>
        </w:rPr>
        <w:t>)</w:t>
      </w:r>
      <w:r w:rsidR="0022070E">
        <w:rPr>
          <w:rStyle w:val="Numeropagina"/>
          <w:bCs/>
          <w:color w:val="000000" w:themeColor="text1"/>
          <w:sz w:val="24"/>
          <w:szCs w:val="24"/>
        </w:rPr>
        <w:t xml:space="preserve"> che rappresenta </w:t>
      </w:r>
      <w:r w:rsidR="0022070E" w:rsidRPr="008F74AB">
        <w:rPr>
          <w:rStyle w:val="Numeropagina"/>
          <w:bCs/>
          <w:color w:val="000000" w:themeColor="text1"/>
          <w:sz w:val="24"/>
          <w:szCs w:val="24"/>
        </w:rPr>
        <w:t>la filosofia</w:t>
      </w:r>
      <w:r>
        <w:rPr>
          <w:rStyle w:val="Numeropagina"/>
          <w:bCs/>
          <w:color w:val="000000" w:themeColor="text1"/>
          <w:sz w:val="24"/>
          <w:szCs w:val="24"/>
        </w:rPr>
        <w:t xml:space="preserve"> </w:t>
      </w:r>
      <w:r w:rsidR="0022070E" w:rsidRPr="008F74AB">
        <w:rPr>
          <w:rStyle w:val="Numeropagina"/>
          <w:bCs/>
          <w:color w:val="000000" w:themeColor="text1"/>
          <w:sz w:val="24"/>
          <w:szCs w:val="24"/>
        </w:rPr>
        <w:t xml:space="preserve">che </w:t>
      </w:r>
      <w:r w:rsidR="00542684">
        <w:rPr>
          <w:rStyle w:val="Numeropagina"/>
          <w:bCs/>
          <w:color w:val="000000" w:themeColor="text1"/>
          <w:sz w:val="24"/>
          <w:szCs w:val="24"/>
        </w:rPr>
        <w:t>riesce a sistematizzare i concetti</w:t>
      </w:r>
      <w:r w:rsidR="0022070E" w:rsidRPr="008F74AB">
        <w:rPr>
          <w:rStyle w:val="Numeropagina"/>
          <w:bCs/>
          <w:color w:val="000000" w:themeColor="text1"/>
          <w:sz w:val="24"/>
          <w:szCs w:val="24"/>
        </w:rPr>
        <w:t xml:space="preserve"> sempre dopo </w:t>
      </w:r>
      <w:r w:rsidR="00542684">
        <w:rPr>
          <w:rStyle w:val="Numeropagina"/>
          <w:bCs/>
          <w:color w:val="000000" w:themeColor="text1"/>
          <w:sz w:val="24"/>
          <w:szCs w:val="24"/>
        </w:rPr>
        <w:t xml:space="preserve">che </w:t>
      </w:r>
      <w:r w:rsidR="0022070E" w:rsidRPr="008F74AB">
        <w:rPr>
          <w:rStyle w:val="Numeropagina"/>
          <w:bCs/>
          <w:color w:val="000000" w:themeColor="text1"/>
          <w:sz w:val="24"/>
          <w:szCs w:val="24"/>
        </w:rPr>
        <w:t xml:space="preserve">i fatti </w:t>
      </w:r>
      <w:r w:rsidR="00542684">
        <w:rPr>
          <w:rStyle w:val="Numeropagina"/>
          <w:bCs/>
          <w:color w:val="000000" w:themeColor="text1"/>
          <w:sz w:val="24"/>
          <w:szCs w:val="24"/>
        </w:rPr>
        <w:t>sono accaduti</w:t>
      </w:r>
      <w:r>
        <w:rPr>
          <w:rStyle w:val="Numeropagina"/>
          <w:bCs/>
          <w:color w:val="000000" w:themeColor="text1"/>
          <w:sz w:val="24"/>
          <w:szCs w:val="24"/>
        </w:rPr>
        <w:t xml:space="preserve"> e</w:t>
      </w:r>
      <w:r w:rsidR="00542684">
        <w:rPr>
          <w:rStyle w:val="Numeropagina"/>
          <w:bCs/>
          <w:color w:val="000000" w:themeColor="text1"/>
          <w:sz w:val="24"/>
          <w:szCs w:val="24"/>
        </w:rPr>
        <w:t>, quindi,</w:t>
      </w:r>
      <w:r>
        <w:rPr>
          <w:rStyle w:val="Numeropagina"/>
          <w:bCs/>
          <w:color w:val="000000" w:themeColor="text1"/>
          <w:sz w:val="24"/>
          <w:szCs w:val="24"/>
        </w:rPr>
        <w:t xml:space="preserve"> successivamente al manifestarsi e prendere forma della realtà</w:t>
      </w:r>
      <w:r w:rsidR="00EC0051">
        <w:rPr>
          <w:rStyle w:val="Rimandonotaapidipagina"/>
          <w:bCs/>
          <w:color w:val="000000" w:themeColor="text1"/>
          <w:sz w:val="24"/>
          <w:szCs w:val="24"/>
        </w:rPr>
        <w:footnoteReference w:id="5"/>
      </w:r>
      <w:r w:rsidR="0022070E" w:rsidRPr="008F74AB">
        <w:rPr>
          <w:rStyle w:val="Numeropagina"/>
          <w:bCs/>
          <w:color w:val="000000" w:themeColor="text1"/>
          <w:sz w:val="24"/>
          <w:szCs w:val="24"/>
        </w:rPr>
        <w:t>.</w:t>
      </w:r>
      <w:r w:rsidR="008F74AB" w:rsidRPr="008F74AB">
        <w:rPr>
          <w:rStyle w:val="Numeropagina"/>
          <w:bCs/>
          <w:color w:val="000000" w:themeColor="text1"/>
          <w:sz w:val="24"/>
          <w:szCs w:val="24"/>
        </w:rPr>
        <w:t xml:space="preserve"> </w:t>
      </w:r>
      <w:r w:rsidR="00EE354F">
        <w:rPr>
          <w:rStyle w:val="Numeropagina"/>
          <w:bCs/>
          <w:color w:val="000000" w:themeColor="text1"/>
          <w:sz w:val="24"/>
          <w:szCs w:val="24"/>
        </w:rPr>
        <w:t xml:space="preserve">Legiferare </w:t>
      </w:r>
      <w:r w:rsidR="00542684">
        <w:rPr>
          <w:rStyle w:val="Numeropagina"/>
          <w:bCs/>
          <w:color w:val="000000" w:themeColor="text1"/>
          <w:sz w:val="24"/>
          <w:szCs w:val="24"/>
        </w:rPr>
        <w:t xml:space="preserve">su affidamenti di appalti </w:t>
      </w:r>
      <w:r w:rsidR="004E40F8">
        <w:rPr>
          <w:rStyle w:val="Numeropagina"/>
          <w:bCs/>
          <w:color w:val="000000" w:themeColor="text1"/>
          <w:sz w:val="24"/>
          <w:szCs w:val="24"/>
        </w:rPr>
        <w:t xml:space="preserve">da effettuarsi </w:t>
      </w:r>
      <w:r w:rsidR="00542684">
        <w:rPr>
          <w:rStyle w:val="Numeropagina"/>
          <w:bCs/>
          <w:color w:val="000000" w:themeColor="text1"/>
          <w:sz w:val="24"/>
          <w:szCs w:val="24"/>
        </w:rPr>
        <w:t xml:space="preserve">tramite </w:t>
      </w:r>
      <w:r w:rsidR="00542684">
        <w:rPr>
          <w:rStyle w:val="Numeropagina"/>
          <w:bCs/>
          <w:i/>
          <w:iCs/>
          <w:color w:val="000000" w:themeColor="text1"/>
          <w:sz w:val="24"/>
          <w:szCs w:val="24"/>
        </w:rPr>
        <w:t xml:space="preserve">software </w:t>
      </w:r>
      <w:r w:rsidR="00542684">
        <w:rPr>
          <w:rStyle w:val="Numeropagina"/>
          <w:bCs/>
          <w:color w:val="000000" w:themeColor="text1"/>
          <w:sz w:val="24"/>
          <w:szCs w:val="24"/>
        </w:rPr>
        <w:t>o intelligenza artificiale</w:t>
      </w:r>
      <w:r w:rsidR="008F74AB" w:rsidRPr="008F74AB">
        <w:rPr>
          <w:rStyle w:val="Numeropagina"/>
          <w:bCs/>
          <w:color w:val="000000" w:themeColor="text1"/>
          <w:sz w:val="24"/>
          <w:szCs w:val="24"/>
        </w:rPr>
        <w:t xml:space="preserve"> – contrariamente alla </w:t>
      </w:r>
      <w:r w:rsidR="00542684">
        <w:rPr>
          <w:rStyle w:val="Numeropagina"/>
          <w:bCs/>
          <w:color w:val="000000" w:themeColor="text1"/>
          <w:sz w:val="24"/>
          <w:szCs w:val="24"/>
        </w:rPr>
        <w:t>prospettazione h</w:t>
      </w:r>
      <w:r w:rsidR="008F74AB" w:rsidRPr="008F74AB">
        <w:rPr>
          <w:rStyle w:val="Numeropagina"/>
          <w:bCs/>
          <w:color w:val="000000" w:themeColor="text1"/>
          <w:sz w:val="24"/>
          <w:szCs w:val="24"/>
        </w:rPr>
        <w:t>egeliana –</w:t>
      </w:r>
      <w:r w:rsidR="0075410C">
        <w:rPr>
          <w:rStyle w:val="Numeropagina"/>
          <w:bCs/>
          <w:color w:val="000000" w:themeColor="text1"/>
          <w:sz w:val="24"/>
          <w:szCs w:val="24"/>
        </w:rPr>
        <w:t xml:space="preserve"> </w:t>
      </w:r>
      <w:r w:rsidR="004E40F8">
        <w:rPr>
          <w:rStyle w:val="Numeropagina"/>
          <w:bCs/>
          <w:color w:val="000000" w:themeColor="text1"/>
          <w:sz w:val="24"/>
          <w:szCs w:val="24"/>
        </w:rPr>
        <w:t xml:space="preserve">ha fatto sì che </w:t>
      </w:r>
      <w:r w:rsidR="00542684">
        <w:rPr>
          <w:rStyle w:val="Numeropagina"/>
          <w:bCs/>
          <w:color w:val="000000" w:themeColor="text1"/>
          <w:sz w:val="24"/>
          <w:szCs w:val="24"/>
        </w:rPr>
        <w:t xml:space="preserve">il diritto </w:t>
      </w:r>
      <w:r w:rsidR="000A6717">
        <w:rPr>
          <w:rStyle w:val="Numeropagina"/>
          <w:bCs/>
          <w:color w:val="000000" w:themeColor="text1"/>
          <w:sz w:val="24"/>
          <w:szCs w:val="24"/>
        </w:rPr>
        <w:t>abbia</w:t>
      </w:r>
      <w:r w:rsidR="00542684">
        <w:rPr>
          <w:rStyle w:val="Numeropagina"/>
          <w:bCs/>
          <w:color w:val="000000" w:themeColor="text1"/>
          <w:sz w:val="24"/>
          <w:szCs w:val="24"/>
        </w:rPr>
        <w:t xml:space="preserve"> prevenuto la </w:t>
      </w:r>
      <w:r w:rsidR="004E40F8">
        <w:rPr>
          <w:rStyle w:val="Numeropagina"/>
          <w:bCs/>
          <w:color w:val="000000" w:themeColor="text1"/>
          <w:sz w:val="24"/>
          <w:szCs w:val="24"/>
        </w:rPr>
        <w:lastRenderedPageBreak/>
        <w:t>realtà, con alcuni evidenti rischi che la situazione descritta può determinare</w:t>
      </w:r>
      <w:r w:rsidR="008F74AB" w:rsidRPr="008F74AB">
        <w:rPr>
          <w:rStyle w:val="Numeropagina"/>
          <w:bCs/>
          <w:color w:val="000000" w:themeColor="text1"/>
          <w:sz w:val="24"/>
          <w:szCs w:val="24"/>
        </w:rPr>
        <w:t xml:space="preserve">. </w:t>
      </w:r>
      <w:r w:rsidR="008F74AB" w:rsidRPr="004E40F8">
        <w:rPr>
          <w:rStyle w:val="Numeropagina"/>
          <w:bCs/>
          <w:color w:val="000000" w:themeColor="text1"/>
          <w:sz w:val="24"/>
          <w:szCs w:val="24"/>
        </w:rPr>
        <w:t>Il tempo</w:t>
      </w:r>
      <w:r w:rsidR="004E40F8" w:rsidRPr="004E40F8">
        <w:rPr>
          <w:rStyle w:val="Numeropagina"/>
          <w:bCs/>
          <w:color w:val="000000" w:themeColor="text1"/>
          <w:sz w:val="24"/>
          <w:szCs w:val="24"/>
        </w:rPr>
        <w:t xml:space="preserve"> e la pratica</w:t>
      </w:r>
      <w:r w:rsidR="008F74AB" w:rsidRPr="004E40F8">
        <w:rPr>
          <w:rStyle w:val="Numeropagina"/>
          <w:bCs/>
          <w:color w:val="000000" w:themeColor="text1"/>
          <w:sz w:val="24"/>
          <w:szCs w:val="24"/>
        </w:rPr>
        <w:t xml:space="preserve"> ci dir</w:t>
      </w:r>
      <w:r w:rsidR="004E40F8" w:rsidRPr="004E40F8">
        <w:rPr>
          <w:rStyle w:val="Numeropagina"/>
          <w:bCs/>
          <w:color w:val="000000" w:themeColor="text1"/>
          <w:sz w:val="24"/>
          <w:szCs w:val="24"/>
        </w:rPr>
        <w:t>anno</w:t>
      </w:r>
      <w:r w:rsidR="008F74AB" w:rsidRPr="004E40F8">
        <w:rPr>
          <w:rStyle w:val="Numeropagina"/>
          <w:bCs/>
          <w:color w:val="000000" w:themeColor="text1"/>
          <w:sz w:val="24"/>
          <w:szCs w:val="24"/>
        </w:rPr>
        <w:t xml:space="preserve"> se la strada tracciata è corretta</w:t>
      </w:r>
      <w:r w:rsidR="004E6B2D">
        <w:rPr>
          <w:rStyle w:val="Numeropagina"/>
          <w:bCs/>
          <w:color w:val="000000" w:themeColor="text1"/>
          <w:sz w:val="24"/>
          <w:szCs w:val="24"/>
        </w:rPr>
        <w:t>,</w:t>
      </w:r>
      <w:r w:rsidR="00844488" w:rsidRPr="004E40F8">
        <w:rPr>
          <w:rStyle w:val="Numeropagina"/>
          <w:bCs/>
          <w:color w:val="000000" w:themeColor="text1"/>
          <w:sz w:val="24"/>
          <w:szCs w:val="24"/>
        </w:rPr>
        <w:t xml:space="preserve"> con particolare riferimento </w:t>
      </w:r>
      <w:r w:rsidR="004E6B2D">
        <w:rPr>
          <w:rStyle w:val="Numeropagina"/>
          <w:bCs/>
          <w:color w:val="000000" w:themeColor="text1"/>
          <w:sz w:val="24"/>
          <w:szCs w:val="24"/>
        </w:rPr>
        <w:t>all’uso dell</w:t>
      </w:r>
      <w:r w:rsidR="00844488" w:rsidRPr="004E40F8">
        <w:rPr>
          <w:rStyle w:val="Numeropagina"/>
          <w:bCs/>
          <w:color w:val="000000" w:themeColor="text1"/>
          <w:sz w:val="24"/>
          <w:szCs w:val="24"/>
        </w:rPr>
        <w:t>’intelligenza artificiale.</w:t>
      </w:r>
    </w:p>
    <w:p w14:paraId="7138361B" w14:textId="13840293" w:rsidR="00387AC0" w:rsidRDefault="00141D27"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L’automazione delle decisioni</w:t>
      </w:r>
      <w:r w:rsidR="005639F4">
        <w:rPr>
          <w:rStyle w:val="Numeropagina"/>
          <w:bCs/>
          <w:color w:val="000000" w:themeColor="text1"/>
          <w:sz w:val="24"/>
          <w:szCs w:val="24"/>
        </w:rPr>
        <w:t xml:space="preserve"> </w:t>
      </w:r>
      <w:r>
        <w:rPr>
          <w:rStyle w:val="Numeropagina"/>
          <w:bCs/>
          <w:color w:val="000000" w:themeColor="text1"/>
          <w:sz w:val="24"/>
          <w:szCs w:val="24"/>
        </w:rPr>
        <w:t>è</w:t>
      </w:r>
      <w:r w:rsidR="005639F4">
        <w:rPr>
          <w:rStyle w:val="Numeropagina"/>
          <w:bCs/>
          <w:color w:val="000000" w:themeColor="text1"/>
          <w:sz w:val="24"/>
          <w:szCs w:val="24"/>
        </w:rPr>
        <w:t xml:space="preserve"> certamente</w:t>
      </w:r>
      <w:r>
        <w:rPr>
          <w:rStyle w:val="Numeropagina"/>
          <w:bCs/>
          <w:color w:val="000000" w:themeColor="text1"/>
          <w:sz w:val="24"/>
          <w:szCs w:val="24"/>
        </w:rPr>
        <w:t xml:space="preserve"> il sogno della gran parte dei funzionari pubblici in quanto spersonalizza e neutralizza la scelta. Oggi, </w:t>
      </w:r>
      <w:r w:rsidR="005639F4">
        <w:rPr>
          <w:rStyle w:val="Numeropagina"/>
          <w:bCs/>
          <w:color w:val="000000" w:themeColor="text1"/>
          <w:sz w:val="24"/>
          <w:szCs w:val="24"/>
        </w:rPr>
        <w:t>peraltro</w:t>
      </w:r>
      <w:r>
        <w:rPr>
          <w:rStyle w:val="Numeropagina"/>
          <w:bCs/>
          <w:color w:val="000000" w:themeColor="text1"/>
          <w:sz w:val="24"/>
          <w:szCs w:val="24"/>
        </w:rPr>
        <w:t xml:space="preserve"> – con le differenze del caso – </w:t>
      </w:r>
      <w:r w:rsidR="005639F4">
        <w:rPr>
          <w:rStyle w:val="Numeropagina"/>
          <w:bCs/>
          <w:color w:val="000000" w:themeColor="text1"/>
          <w:sz w:val="24"/>
          <w:szCs w:val="24"/>
        </w:rPr>
        <w:t xml:space="preserve">ci si trova </w:t>
      </w:r>
      <w:r>
        <w:rPr>
          <w:rStyle w:val="Numeropagina"/>
          <w:bCs/>
          <w:color w:val="000000" w:themeColor="text1"/>
          <w:sz w:val="24"/>
          <w:szCs w:val="24"/>
        </w:rPr>
        <w:t>già su questa strada</w:t>
      </w:r>
      <w:r w:rsidR="00424153">
        <w:rPr>
          <w:rStyle w:val="Numeropagina"/>
          <w:bCs/>
          <w:color w:val="000000" w:themeColor="text1"/>
          <w:sz w:val="24"/>
          <w:szCs w:val="24"/>
        </w:rPr>
        <w:t>,</w:t>
      </w:r>
      <w:r>
        <w:rPr>
          <w:rStyle w:val="Numeropagina"/>
          <w:bCs/>
          <w:color w:val="000000" w:themeColor="text1"/>
          <w:sz w:val="24"/>
          <w:szCs w:val="24"/>
        </w:rPr>
        <w:t xml:space="preserve"> in quanto</w:t>
      </w:r>
      <w:r w:rsidR="00424153">
        <w:rPr>
          <w:rStyle w:val="Numeropagina"/>
          <w:bCs/>
          <w:color w:val="000000" w:themeColor="text1"/>
          <w:sz w:val="24"/>
          <w:szCs w:val="24"/>
        </w:rPr>
        <w:t>,</w:t>
      </w:r>
      <w:r>
        <w:rPr>
          <w:rStyle w:val="Numeropagina"/>
          <w:bCs/>
          <w:color w:val="000000" w:themeColor="text1"/>
          <w:sz w:val="24"/>
          <w:szCs w:val="24"/>
        </w:rPr>
        <w:t xml:space="preserve"> </w:t>
      </w:r>
      <w:r w:rsidR="004B45AF">
        <w:rPr>
          <w:rStyle w:val="Numeropagina"/>
          <w:bCs/>
          <w:color w:val="000000" w:themeColor="text1"/>
          <w:sz w:val="24"/>
          <w:szCs w:val="24"/>
        </w:rPr>
        <w:t>per la</w:t>
      </w:r>
      <w:r>
        <w:rPr>
          <w:rStyle w:val="Numeropagina"/>
          <w:bCs/>
          <w:color w:val="000000" w:themeColor="text1"/>
          <w:sz w:val="24"/>
          <w:szCs w:val="24"/>
        </w:rPr>
        <w:t xml:space="preserve"> valutazione delle offerte</w:t>
      </w:r>
      <w:r w:rsidR="00424153">
        <w:rPr>
          <w:rStyle w:val="Numeropagina"/>
          <w:bCs/>
          <w:color w:val="000000" w:themeColor="text1"/>
          <w:sz w:val="24"/>
          <w:szCs w:val="24"/>
        </w:rPr>
        <w:t>,</w:t>
      </w:r>
      <w:r>
        <w:rPr>
          <w:rStyle w:val="Numeropagina"/>
          <w:bCs/>
          <w:color w:val="000000" w:themeColor="text1"/>
          <w:sz w:val="24"/>
          <w:szCs w:val="24"/>
        </w:rPr>
        <w:t xml:space="preserve"> </w:t>
      </w:r>
      <w:r w:rsidR="004B45AF">
        <w:rPr>
          <w:rStyle w:val="Numeropagina"/>
          <w:bCs/>
          <w:color w:val="000000" w:themeColor="text1"/>
          <w:sz w:val="24"/>
          <w:szCs w:val="24"/>
        </w:rPr>
        <w:t>vengono utilizzati</w:t>
      </w:r>
      <w:r>
        <w:rPr>
          <w:rStyle w:val="Numeropagina"/>
          <w:bCs/>
          <w:color w:val="000000" w:themeColor="text1"/>
          <w:sz w:val="24"/>
          <w:szCs w:val="24"/>
        </w:rPr>
        <w:t xml:space="preserve"> sistem</w:t>
      </w:r>
      <w:r w:rsidR="00387AC0">
        <w:rPr>
          <w:rStyle w:val="Numeropagina"/>
          <w:bCs/>
          <w:color w:val="000000" w:themeColor="text1"/>
          <w:sz w:val="24"/>
          <w:szCs w:val="24"/>
        </w:rPr>
        <w:t>i</w:t>
      </w:r>
      <w:r>
        <w:rPr>
          <w:rStyle w:val="Numeropagina"/>
          <w:bCs/>
          <w:color w:val="000000" w:themeColor="text1"/>
          <w:sz w:val="24"/>
          <w:szCs w:val="24"/>
        </w:rPr>
        <w:t xml:space="preserve"> </w:t>
      </w:r>
      <w:r w:rsidR="005639F4">
        <w:rPr>
          <w:rStyle w:val="Numeropagina"/>
          <w:bCs/>
          <w:color w:val="000000" w:themeColor="text1"/>
          <w:sz w:val="24"/>
          <w:szCs w:val="24"/>
        </w:rPr>
        <w:t>alfanumerici, aggregativo compensatori o di interpolazione lineare</w:t>
      </w:r>
      <w:r w:rsidR="004B45AF">
        <w:rPr>
          <w:rStyle w:val="Numeropagina"/>
          <w:bCs/>
          <w:color w:val="000000" w:themeColor="text1"/>
          <w:sz w:val="24"/>
          <w:szCs w:val="24"/>
        </w:rPr>
        <w:t xml:space="preserve"> che in linea generale scaricano sulla formula</w:t>
      </w:r>
      <w:r w:rsidR="00E216BC">
        <w:rPr>
          <w:rStyle w:val="Numeropagina"/>
          <w:bCs/>
          <w:color w:val="000000" w:themeColor="text1"/>
          <w:sz w:val="24"/>
          <w:szCs w:val="24"/>
        </w:rPr>
        <w:t xml:space="preserve"> la</w:t>
      </w:r>
      <w:r w:rsidR="004B45AF">
        <w:rPr>
          <w:rStyle w:val="Numeropagina"/>
          <w:bCs/>
          <w:color w:val="000000" w:themeColor="text1"/>
          <w:sz w:val="24"/>
          <w:szCs w:val="24"/>
        </w:rPr>
        <w:t xml:space="preserve"> valutazione</w:t>
      </w:r>
      <w:r w:rsidR="00B75284">
        <w:rPr>
          <w:rStyle w:val="Numeropagina"/>
          <w:bCs/>
          <w:color w:val="000000" w:themeColor="text1"/>
          <w:sz w:val="24"/>
          <w:szCs w:val="24"/>
        </w:rPr>
        <w:t xml:space="preserve"> (e quindi la scelta)</w:t>
      </w:r>
      <w:r w:rsidR="00E216BC">
        <w:rPr>
          <w:rStyle w:val="Numeropagina"/>
          <w:bCs/>
          <w:color w:val="000000" w:themeColor="text1"/>
          <w:sz w:val="24"/>
          <w:szCs w:val="24"/>
        </w:rPr>
        <w:t xml:space="preserve"> </w:t>
      </w:r>
      <w:r w:rsidR="00B75284">
        <w:rPr>
          <w:rStyle w:val="Numeropagina"/>
          <w:bCs/>
          <w:color w:val="000000" w:themeColor="text1"/>
          <w:sz w:val="24"/>
          <w:szCs w:val="24"/>
        </w:rPr>
        <w:t>che sembra rappresentare una sorta di capro espiatorio</w:t>
      </w:r>
      <w:r w:rsidR="00AF2C11">
        <w:rPr>
          <w:rStyle w:val="Numeropagina"/>
          <w:bCs/>
          <w:color w:val="000000" w:themeColor="text1"/>
          <w:sz w:val="24"/>
          <w:szCs w:val="24"/>
        </w:rPr>
        <w:t xml:space="preserve"> per </w:t>
      </w:r>
      <w:r w:rsidR="00D62C13">
        <w:rPr>
          <w:rStyle w:val="Numeropagina"/>
          <w:bCs/>
          <w:color w:val="000000" w:themeColor="text1"/>
          <w:sz w:val="24"/>
          <w:szCs w:val="24"/>
        </w:rPr>
        <w:t xml:space="preserve">evitare la </w:t>
      </w:r>
      <w:r w:rsidR="00AC6439">
        <w:rPr>
          <w:rStyle w:val="Numeropagina"/>
          <w:bCs/>
          <w:color w:val="000000" w:themeColor="text1"/>
          <w:sz w:val="24"/>
          <w:szCs w:val="24"/>
        </w:rPr>
        <w:t>dinamica</w:t>
      </w:r>
      <w:r w:rsidR="00D62C13">
        <w:rPr>
          <w:rStyle w:val="Numeropagina"/>
          <w:bCs/>
          <w:color w:val="000000" w:themeColor="text1"/>
          <w:sz w:val="24"/>
          <w:szCs w:val="24"/>
        </w:rPr>
        <w:t xml:space="preserve"> discrezionale</w:t>
      </w:r>
      <w:r w:rsidR="00B75284">
        <w:rPr>
          <w:rStyle w:val="Numeropagina"/>
          <w:bCs/>
          <w:color w:val="000000" w:themeColor="text1"/>
          <w:sz w:val="24"/>
          <w:szCs w:val="24"/>
        </w:rPr>
        <w:t>.</w:t>
      </w:r>
    </w:p>
    <w:p w14:paraId="510F9800" w14:textId="1D0C7FCA" w:rsidR="00044A43" w:rsidRDefault="004B45AF"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w:t>
      </w:r>
      <w:r w:rsidR="00FC616C">
        <w:rPr>
          <w:rStyle w:val="Numeropagina"/>
          <w:bCs/>
          <w:color w:val="000000" w:themeColor="text1"/>
          <w:sz w:val="24"/>
          <w:szCs w:val="24"/>
        </w:rPr>
        <w:t xml:space="preserve">l primo </w:t>
      </w:r>
      <w:r>
        <w:rPr>
          <w:rStyle w:val="Numeropagina"/>
          <w:bCs/>
          <w:color w:val="000000" w:themeColor="text1"/>
          <w:sz w:val="24"/>
          <w:szCs w:val="24"/>
        </w:rPr>
        <w:t xml:space="preserve">rilevante </w:t>
      </w:r>
      <w:r w:rsidR="00FC616C">
        <w:rPr>
          <w:rStyle w:val="Numeropagina"/>
          <w:bCs/>
          <w:color w:val="000000" w:themeColor="text1"/>
          <w:sz w:val="24"/>
          <w:szCs w:val="24"/>
        </w:rPr>
        <w:t>problema sarà quello di definire</w:t>
      </w:r>
      <w:r>
        <w:rPr>
          <w:rStyle w:val="Numeropagina"/>
          <w:bCs/>
          <w:color w:val="000000" w:themeColor="text1"/>
          <w:sz w:val="24"/>
          <w:szCs w:val="24"/>
        </w:rPr>
        <w:t>, nel rispetto di quanto preteso dall’art. 30,</w:t>
      </w:r>
      <w:r w:rsidR="00FC616C">
        <w:rPr>
          <w:rStyle w:val="Numeropagina"/>
          <w:bCs/>
          <w:color w:val="000000" w:themeColor="text1"/>
          <w:sz w:val="24"/>
          <w:szCs w:val="24"/>
        </w:rPr>
        <w:t xml:space="preserve"> </w:t>
      </w:r>
      <w:r>
        <w:rPr>
          <w:rStyle w:val="Numeropagina"/>
          <w:bCs/>
          <w:color w:val="000000" w:themeColor="text1"/>
          <w:sz w:val="24"/>
          <w:szCs w:val="24"/>
        </w:rPr>
        <w:t>concretamente</w:t>
      </w:r>
      <w:r w:rsidR="009B5C37">
        <w:rPr>
          <w:rStyle w:val="Numeropagina"/>
          <w:bCs/>
          <w:color w:val="000000" w:themeColor="text1"/>
          <w:sz w:val="24"/>
          <w:szCs w:val="24"/>
        </w:rPr>
        <w:t>,</w:t>
      </w:r>
      <w:r>
        <w:rPr>
          <w:rStyle w:val="Numeropagina"/>
          <w:bCs/>
          <w:color w:val="000000" w:themeColor="text1"/>
          <w:sz w:val="24"/>
          <w:szCs w:val="24"/>
        </w:rPr>
        <w:t xml:space="preserve"> come debbano essere interpretate </w:t>
      </w:r>
      <w:r w:rsidR="00FC616C">
        <w:rPr>
          <w:rStyle w:val="Numeropagina"/>
          <w:bCs/>
          <w:color w:val="000000" w:themeColor="text1"/>
          <w:sz w:val="24"/>
          <w:szCs w:val="24"/>
        </w:rPr>
        <w:t>la “</w:t>
      </w:r>
      <w:r w:rsidR="00FC616C" w:rsidRPr="004B45AF">
        <w:rPr>
          <w:rStyle w:val="Numeropagina"/>
          <w:bCs/>
          <w:i/>
          <w:iCs/>
          <w:color w:val="000000" w:themeColor="text1"/>
          <w:sz w:val="24"/>
          <w:szCs w:val="24"/>
        </w:rPr>
        <w:t>conoscibilità e comprensibilità</w:t>
      </w:r>
      <w:r w:rsidR="00FC616C">
        <w:rPr>
          <w:rStyle w:val="Numeropagina"/>
          <w:bCs/>
          <w:color w:val="000000" w:themeColor="text1"/>
          <w:sz w:val="24"/>
          <w:szCs w:val="24"/>
        </w:rPr>
        <w:t>” delle decisioni assunte mediante automazione</w:t>
      </w:r>
      <w:r w:rsidR="00936C8B">
        <w:rPr>
          <w:rStyle w:val="Numeropagina"/>
          <w:bCs/>
          <w:color w:val="000000" w:themeColor="text1"/>
          <w:sz w:val="24"/>
          <w:szCs w:val="24"/>
        </w:rPr>
        <w:t>.</w:t>
      </w:r>
      <w:r w:rsidR="00044A43">
        <w:rPr>
          <w:rStyle w:val="Numeropagina"/>
          <w:bCs/>
          <w:color w:val="000000" w:themeColor="text1"/>
          <w:sz w:val="24"/>
          <w:szCs w:val="24"/>
        </w:rPr>
        <w:t xml:space="preserve"> </w:t>
      </w:r>
      <w:r w:rsidR="00936C8B">
        <w:rPr>
          <w:rStyle w:val="Numeropagina"/>
          <w:bCs/>
          <w:color w:val="000000" w:themeColor="text1"/>
          <w:sz w:val="24"/>
          <w:szCs w:val="24"/>
        </w:rPr>
        <w:t xml:space="preserve">Tenuto </w:t>
      </w:r>
      <w:r>
        <w:rPr>
          <w:rStyle w:val="Numeropagina"/>
          <w:bCs/>
          <w:color w:val="000000" w:themeColor="text1"/>
          <w:sz w:val="24"/>
          <w:szCs w:val="24"/>
        </w:rPr>
        <w:t xml:space="preserve">conto </w:t>
      </w:r>
      <w:r w:rsidR="00044A43">
        <w:rPr>
          <w:rStyle w:val="Numeropagina"/>
          <w:bCs/>
          <w:color w:val="000000" w:themeColor="text1"/>
          <w:sz w:val="24"/>
          <w:szCs w:val="24"/>
        </w:rPr>
        <w:t>che attengono</w:t>
      </w:r>
      <w:r>
        <w:rPr>
          <w:rStyle w:val="Numeropagina"/>
          <w:bCs/>
          <w:color w:val="000000" w:themeColor="text1"/>
          <w:sz w:val="24"/>
          <w:szCs w:val="24"/>
        </w:rPr>
        <w:t>,</w:t>
      </w:r>
      <w:r w:rsidR="00044A43">
        <w:rPr>
          <w:rStyle w:val="Numeropagina"/>
          <w:bCs/>
          <w:color w:val="000000" w:themeColor="text1"/>
          <w:sz w:val="24"/>
          <w:szCs w:val="24"/>
        </w:rPr>
        <w:t xml:space="preserve"> non tanto </w:t>
      </w:r>
      <w:r w:rsidR="00624A6F">
        <w:rPr>
          <w:rStyle w:val="Numeropagina"/>
          <w:bCs/>
          <w:color w:val="000000" w:themeColor="text1"/>
          <w:sz w:val="24"/>
          <w:szCs w:val="24"/>
        </w:rPr>
        <w:t xml:space="preserve">e non solo </w:t>
      </w:r>
      <w:r w:rsidR="00044A43">
        <w:rPr>
          <w:rStyle w:val="Numeropagina"/>
          <w:bCs/>
          <w:color w:val="000000" w:themeColor="text1"/>
          <w:sz w:val="24"/>
          <w:szCs w:val="24"/>
        </w:rPr>
        <w:t xml:space="preserve">alla comprensione tecnica </w:t>
      </w:r>
      <w:r w:rsidR="00624A6F">
        <w:rPr>
          <w:rStyle w:val="Numeropagina"/>
          <w:bCs/>
          <w:color w:val="000000" w:themeColor="text1"/>
          <w:sz w:val="24"/>
          <w:szCs w:val="24"/>
        </w:rPr>
        <w:t xml:space="preserve">del </w:t>
      </w:r>
      <w:r w:rsidR="00624A6F" w:rsidRPr="004B45AF">
        <w:rPr>
          <w:rStyle w:val="Numeropagina"/>
          <w:bCs/>
          <w:i/>
          <w:iCs/>
          <w:color w:val="000000" w:themeColor="text1"/>
          <w:sz w:val="24"/>
          <w:szCs w:val="24"/>
        </w:rPr>
        <w:t xml:space="preserve">software </w:t>
      </w:r>
      <w:r w:rsidR="00624A6F">
        <w:rPr>
          <w:rStyle w:val="Numeropagina"/>
          <w:bCs/>
          <w:color w:val="000000" w:themeColor="text1"/>
          <w:sz w:val="24"/>
          <w:szCs w:val="24"/>
        </w:rPr>
        <w:t>che restituirà la decisione robotizzata</w:t>
      </w:r>
      <w:r>
        <w:rPr>
          <w:rStyle w:val="Numeropagina"/>
          <w:bCs/>
          <w:color w:val="000000" w:themeColor="text1"/>
          <w:sz w:val="24"/>
          <w:szCs w:val="24"/>
        </w:rPr>
        <w:t>,</w:t>
      </w:r>
      <w:r w:rsidR="00624A6F">
        <w:rPr>
          <w:rStyle w:val="Numeropagina"/>
          <w:bCs/>
          <w:color w:val="000000" w:themeColor="text1"/>
          <w:sz w:val="24"/>
          <w:szCs w:val="24"/>
        </w:rPr>
        <w:t xml:space="preserve"> quanto</w:t>
      </w:r>
      <w:r w:rsidR="00753D61">
        <w:rPr>
          <w:rStyle w:val="Numeropagina"/>
          <w:bCs/>
          <w:color w:val="000000" w:themeColor="text1"/>
          <w:sz w:val="24"/>
          <w:szCs w:val="24"/>
        </w:rPr>
        <w:t>,</w:t>
      </w:r>
      <w:r w:rsidR="00624A6F">
        <w:rPr>
          <w:rStyle w:val="Numeropagina"/>
          <w:bCs/>
          <w:color w:val="000000" w:themeColor="text1"/>
          <w:sz w:val="24"/>
          <w:szCs w:val="24"/>
        </w:rPr>
        <w:t xml:space="preserve"> </w:t>
      </w:r>
      <w:r>
        <w:rPr>
          <w:rStyle w:val="Numeropagina"/>
          <w:bCs/>
          <w:color w:val="000000" w:themeColor="text1"/>
          <w:sz w:val="24"/>
          <w:szCs w:val="24"/>
        </w:rPr>
        <w:t>soprattutto</w:t>
      </w:r>
      <w:r w:rsidR="00753D61">
        <w:rPr>
          <w:rStyle w:val="Numeropagina"/>
          <w:bCs/>
          <w:color w:val="000000" w:themeColor="text1"/>
          <w:sz w:val="24"/>
          <w:szCs w:val="24"/>
        </w:rPr>
        <w:t>,</w:t>
      </w:r>
      <w:r>
        <w:rPr>
          <w:rStyle w:val="Numeropagina"/>
          <w:bCs/>
          <w:color w:val="000000" w:themeColor="text1"/>
          <w:sz w:val="24"/>
          <w:szCs w:val="24"/>
        </w:rPr>
        <w:t xml:space="preserve"> </w:t>
      </w:r>
      <w:r w:rsidR="00EE6F70">
        <w:rPr>
          <w:rStyle w:val="Numeropagina"/>
          <w:bCs/>
          <w:color w:val="000000" w:themeColor="text1"/>
          <w:sz w:val="24"/>
          <w:szCs w:val="24"/>
        </w:rPr>
        <w:t>determineranno la</w:t>
      </w:r>
      <w:r w:rsidR="00624A6F">
        <w:rPr>
          <w:rStyle w:val="Numeropagina"/>
          <w:bCs/>
          <w:color w:val="000000" w:themeColor="text1"/>
          <w:sz w:val="24"/>
          <w:szCs w:val="24"/>
        </w:rPr>
        <w:t xml:space="preserve"> traduzione in linguaggio giuridico della regola tecnica e del funzionamento</w:t>
      </w:r>
      <w:r w:rsidR="00044A43">
        <w:rPr>
          <w:rStyle w:val="Numeropagina"/>
          <w:bCs/>
          <w:color w:val="000000" w:themeColor="text1"/>
          <w:sz w:val="24"/>
          <w:szCs w:val="24"/>
        </w:rPr>
        <w:t xml:space="preserve"> </w:t>
      </w:r>
      <w:r w:rsidR="00624A6F">
        <w:rPr>
          <w:rStyle w:val="Numeropagina"/>
          <w:bCs/>
          <w:color w:val="000000" w:themeColor="text1"/>
          <w:sz w:val="24"/>
          <w:szCs w:val="24"/>
        </w:rPr>
        <w:t>del</w:t>
      </w:r>
      <w:r w:rsidR="00044A43">
        <w:rPr>
          <w:rStyle w:val="Numeropagina"/>
          <w:bCs/>
          <w:color w:val="000000" w:themeColor="text1"/>
          <w:sz w:val="24"/>
          <w:szCs w:val="24"/>
        </w:rPr>
        <w:t xml:space="preserve">l’algoritmo </w:t>
      </w:r>
      <w:r w:rsidR="00624A6F">
        <w:rPr>
          <w:rStyle w:val="Numeropagina"/>
          <w:bCs/>
          <w:color w:val="000000" w:themeColor="text1"/>
          <w:sz w:val="24"/>
          <w:szCs w:val="24"/>
        </w:rPr>
        <w:t>e dei</w:t>
      </w:r>
      <w:r w:rsidR="00044A43">
        <w:rPr>
          <w:rStyle w:val="Numeropagina"/>
          <w:bCs/>
          <w:color w:val="000000" w:themeColor="text1"/>
          <w:sz w:val="24"/>
          <w:szCs w:val="24"/>
        </w:rPr>
        <w:t xml:space="preserve"> criteri di valutazione che, poi, </w:t>
      </w:r>
      <w:r>
        <w:rPr>
          <w:rStyle w:val="Numeropagina"/>
          <w:bCs/>
          <w:color w:val="000000" w:themeColor="text1"/>
          <w:sz w:val="24"/>
          <w:szCs w:val="24"/>
        </w:rPr>
        <w:t>questo</w:t>
      </w:r>
      <w:r w:rsidR="00044A43">
        <w:rPr>
          <w:rStyle w:val="Numeropagina"/>
          <w:bCs/>
          <w:color w:val="000000" w:themeColor="text1"/>
          <w:sz w:val="24"/>
          <w:szCs w:val="24"/>
        </w:rPr>
        <w:t xml:space="preserve"> andrà a </w:t>
      </w:r>
      <w:r w:rsidR="00EC20AB">
        <w:rPr>
          <w:rStyle w:val="Numeropagina"/>
          <w:bCs/>
          <w:color w:val="000000" w:themeColor="text1"/>
          <w:sz w:val="24"/>
          <w:szCs w:val="24"/>
        </w:rPr>
        <w:t>restituire</w:t>
      </w:r>
      <w:r w:rsidR="00044A43">
        <w:rPr>
          <w:rStyle w:val="Numeropagina"/>
          <w:bCs/>
          <w:color w:val="000000" w:themeColor="text1"/>
          <w:sz w:val="24"/>
          <w:szCs w:val="24"/>
        </w:rPr>
        <w:t>.</w:t>
      </w:r>
      <w:r w:rsidR="00624A6F">
        <w:rPr>
          <w:rStyle w:val="Numeropagina"/>
          <w:bCs/>
          <w:color w:val="000000" w:themeColor="text1"/>
          <w:sz w:val="24"/>
          <w:szCs w:val="24"/>
        </w:rPr>
        <w:t xml:space="preserve"> Si tratta, specificamente, di un procedimento di traduzione da una lingua</w:t>
      </w:r>
      <w:r w:rsidR="00FA2131">
        <w:rPr>
          <w:rStyle w:val="Numeropagina"/>
          <w:bCs/>
          <w:color w:val="000000" w:themeColor="text1"/>
          <w:sz w:val="24"/>
          <w:szCs w:val="24"/>
        </w:rPr>
        <w:t xml:space="preserve"> (tecnica e, comunque, multidisciplinare) a un’altra</w:t>
      </w:r>
      <w:r w:rsidR="008F74AB">
        <w:rPr>
          <w:rStyle w:val="Numeropagina"/>
          <w:bCs/>
          <w:color w:val="000000" w:themeColor="text1"/>
          <w:sz w:val="24"/>
          <w:szCs w:val="24"/>
        </w:rPr>
        <w:t>, ossia</w:t>
      </w:r>
      <w:r w:rsidR="00FA2131">
        <w:rPr>
          <w:rStyle w:val="Numeropagina"/>
          <w:bCs/>
          <w:color w:val="000000" w:themeColor="text1"/>
          <w:sz w:val="24"/>
          <w:szCs w:val="24"/>
        </w:rPr>
        <w:t xml:space="preserve"> quella giuridica </w:t>
      </w:r>
      <w:r w:rsidR="008F74AB">
        <w:rPr>
          <w:rStyle w:val="Numeropagina"/>
          <w:bCs/>
          <w:color w:val="000000" w:themeColor="text1"/>
          <w:sz w:val="24"/>
          <w:szCs w:val="24"/>
        </w:rPr>
        <w:t xml:space="preserve">propria </w:t>
      </w:r>
      <w:r w:rsidR="00FA2131">
        <w:rPr>
          <w:rStyle w:val="Numeropagina"/>
          <w:bCs/>
          <w:color w:val="000000" w:themeColor="text1"/>
          <w:sz w:val="24"/>
          <w:szCs w:val="24"/>
        </w:rPr>
        <w:t>del procedimento amministrativo e del</w:t>
      </w:r>
      <w:r w:rsidR="00F50ACD">
        <w:rPr>
          <w:rStyle w:val="Numeropagina"/>
          <w:bCs/>
          <w:color w:val="000000" w:themeColor="text1"/>
          <w:sz w:val="24"/>
          <w:szCs w:val="24"/>
        </w:rPr>
        <w:t>la</w:t>
      </w:r>
      <w:r w:rsidR="00FA2131">
        <w:rPr>
          <w:rStyle w:val="Numeropagina"/>
          <w:bCs/>
          <w:color w:val="000000" w:themeColor="text1"/>
          <w:sz w:val="24"/>
          <w:szCs w:val="24"/>
        </w:rPr>
        <w:t xml:space="preserve"> conseguente e possibile </w:t>
      </w:r>
      <w:r w:rsidR="00F50ACD">
        <w:rPr>
          <w:rStyle w:val="Numeropagina"/>
          <w:bCs/>
          <w:color w:val="000000" w:themeColor="text1"/>
          <w:sz w:val="24"/>
          <w:szCs w:val="24"/>
        </w:rPr>
        <w:t xml:space="preserve">fase </w:t>
      </w:r>
      <w:r w:rsidR="00FA2131">
        <w:rPr>
          <w:rStyle w:val="Numeropagina"/>
          <w:bCs/>
          <w:color w:val="000000" w:themeColor="text1"/>
          <w:sz w:val="24"/>
          <w:szCs w:val="24"/>
        </w:rPr>
        <w:t>process</w:t>
      </w:r>
      <w:r w:rsidR="00F50ACD">
        <w:rPr>
          <w:rStyle w:val="Numeropagina"/>
          <w:bCs/>
          <w:color w:val="000000" w:themeColor="text1"/>
          <w:sz w:val="24"/>
          <w:szCs w:val="24"/>
        </w:rPr>
        <w:t>uale</w:t>
      </w:r>
      <w:r w:rsidR="008F74AB">
        <w:rPr>
          <w:rStyle w:val="Numeropagina"/>
          <w:bCs/>
          <w:color w:val="000000" w:themeColor="text1"/>
          <w:sz w:val="24"/>
          <w:szCs w:val="24"/>
        </w:rPr>
        <w:t xml:space="preserve">, </w:t>
      </w:r>
      <w:r w:rsidR="005C4BB6">
        <w:rPr>
          <w:rStyle w:val="Numeropagina"/>
          <w:bCs/>
          <w:color w:val="000000" w:themeColor="text1"/>
          <w:sz w:val="24"/>
          <w:szCs w:val="24"/>
        </w:rPr>
        <w:t>finalizzata alla</w:t>
      </w:r>
      <w:r w:rsidR="008F74AB">
        <w:rPr>
          <w:rStyle w:val="Numeropagina"/>
          <w:bCs/>
          <w:color w:val="000000" w:themeColor="text1"/>
          <w:sz w:val="24"/>
          <w:szCs w:val="24"/>
        </w:rPr>
        <w:t xml:space="preserve"> della tutela delle situazioni giuridiche soggettive coinvolte</w:t>
      </w:r>
      <w:r w:rsidR="00F50ACD">
        <w:rPr>
          <w:rStyle w:val="Rimandonotaapidipagina"/>
          <w:bCs/>
          <w:color w:val="000000" w:themeColor="text1"/>
          <w:sz w:val="24"/>
          <w:szCs w:val="24"/>
        </w:rPr>
        <w:footnoteReference w:id="6"/>
      </w:r>
      <w:r w:rsidR="00FA2131">
        <w:rPr>
          <w:rStyle w:val="Numeropagina"/>
          <w:bCs/>
          <w:color w:val="000000" w:themeColor="text1"/>
          <w:sz w:val="24"/>
          <w:szCs w:val="24"/>
        </w:rPr>
        <w:t>.</w:t>
      </w:r>
    </w:p>
    <w:p w14:paraId="61881109" w14:textId="1D3C7020" w:rsidR="00CC3798" w:rsidRDefault="00F50ACD" w:rsidP="00844488">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Ulteriore passaggio</w:t>
      </w:r>
      <w:r w:rsidR="00044A43">
        <w:rPr>
          <w:rStyle w:val="Numeropagina"/>
          <w:bCs/>
          <w:color w:val="000000" w:themeColor="text1"/>
          <w:sz w:val="24"/>
          <w:szCs w:val="24"/>
        </w:rPr>
        <w:t xml:space="preserve"> – di assoluto rilievo – è comprendere se l’</w:t>
      </w:r>
      <w:r w:rsidR="00044A43" w:rsidRPr="00F50ACD">
        <w:rPr>
          <w:rStyle w:val="Numeropagina"/>
          <w:bCs/>
          <w:color w:val="000000" w:themeColor="text1"/>
          <w:sz w:val="24"/>
          <w:szCs w:val="24"/>
        </w:rPr>
        <w:t>algoritmo</w:t>
      </w:r>
      <w:r w:rsidR="00CC3798">
        <w:rPr>
          <w:rStyle w:val="Numeropagina"/>
          <w:bCs/>
          <w:color w:val="000000" w:themeColor="text1"/>
          <w:sz w:val="24"/>
          <w:szCs w:val="24"/>
        </w:rPr>
        <w:t xml:space="preserve"> (</w:t>
      </w:r>
      <w:proofErr w:type="spellStart"/>
      <w:r w:rsidR="00440011" w:rsidRPr="00440011">
        <w:rPr>
          <w:rStyle w:val="Numeropagina"/>
          <w:bCs/>
          <w:i/>
          <w:iCs/>
          <w:color w:val="000000" w:themeColor="text1"/>
          <w:sz w:val="24"/>
          <w:szCs w:val="24"/>
        </w:rPr>
        <w:t>rectius</w:t>
      </w:r>
      <w:proofErr w:type="spellEnd"/>
      <w:r w:rsidR="00CC3798">
        <w:rPr>
          <w:rStyle w:val="Numeropagina"/>
          <w:bCs/>
          <w:color w:val="000000" w:themeColor="text1"/>
          <w:sz w:val="24"/>
          <w:szCs w:val="24"/>
        </w:rPr>
        <w:t xml:space="preserve"> il </w:t>
      </w:r>
      <w:r w:rsidR="00CC3798">
        <w:rPr>
          <w:rStyle w:val="Numeropagina"/>
          <w:bCs/>
          <w:i/>
          <w:iCs/>
          <w:color w:val="000000" w:themeColor="text1"/>
          <w:sz w:val="24"/>
          <w:szCs w:val="24"/>
        </w:rPr>
        <w:t>software</w:t>
      </w:r>
      <w:r w:rsidR="00CC3798">
        <w:rPr>
          <w:rStyle w:val="Numeropagina"/>
          <w:bCs/>
          <w:color w:val="000000" w:themeColor="text1"/>
          <w:sz w:val="24"/>
          <w:szCs w:val="24"/>
        </w:rPr>
        <w:t>)</w:t>
      </w:r>
      <w:r w:rsidR="00044A43">
        <w:rPr>
          <w:rStyle w:val="Numeropagina"/>
          <w:bCs/>
          <w:color w:val="000000" w:themeColor="text1"/>
          <w:sz w:val="24"/>
          <w:szCs w:val="24"/>
        </w:rPr>
        <w:t xml:space="preserve"> </w:t>
      </w:r>
      <w:r w:rsidR="0088227F">
        <w:rPr>
          <w:rStyle w:val="Numeropagina"/>
          <w:bCs/>
          <w:color w:val="000000" w:themeColor="text1"/>
          <w:sz w:val="24"/>
          <w:szCs w:val="24"/>
        </w:rPr>
        <w:t xml:space="preserve">possa essere definito </w:t>
      </w:r>
      <w:r w:rsidR="00044A43">
        <w:rPr>
          <w:rStyle w:val="Numeropagina"/>
          <w:bCs/>
          <w:color w:val="000000" w:themeColor="text1"/>
          <w:sz w:val="24"/>
          <w:szCs w:val="24"/>
        </w:rPr>
        <w:t>un atto amministrativo</w:t>
      </w:r>
      <w:r w:rsidR="00FB4D31">
        <w:rPr>
          <w:rStyle w:val="Numeropagina"/>
          <w:bCs/>
          <w:color w:val="000000" w:themeColor="text1"/>
          <w:sz w:val="24"/>
          <w:szCs w:val="24"/>
        </w:rPr>
        <w:t xml:space="preserve"> come sostenuto da alcun</w:t>
      </w:r>
      <w:r w:rsidR="008F74AB">
        <w:rPr>
          <w:rStyle w:val="Numeropagina"/>
          <w:bCs/>
          <w:color w:val="000000" w:themeColor="text1"/>
          <w:sz w:val="24"/>
          <w:szCs w:val="24"/>
        </w:rPr>
        <w:t>e</w:t>
      </w:r>
      <w:r w:rsidR="00FB4D31">
        <w:rPr>
          <w:rStyle w:val="Numeropagina"/>
          <w:bCs/>
          <w:color w:val="000000" w:themeColor="text1"/>
          <w:sz w:val="24"/>
          <w:szCs w:val="24"/>
        </w:rPr>
        <w:t xml:space="preserve"> </w:t>
      </w:r>
      <w:r w:rsidR="00CC3798">
        <w:rPr>
          <w:rStyle w:val="Numeropagina"/>
          <w:bCs/>
          <w:color w:val="000000" w:themeColor="text1"/>
          <w:sz w:val="24"/>
          <w:szCs w:val="24"/>
        </w:rPr>
        <w:t>ricostruzioni giurisprudenziali (</w:t>
      </w:r>
      <w:r w:rsidR="00624A6F">
        <w:rPr>
          <w:rStyle w:val="Numeropagina"/>
          <w:bCs/>
          <w:color w:val="000000" w:themeColor="text1"/>
          <w:sz w:val="24"/>
          <w:szCs w:val="24"/>
        </w:rPr>
        <w:t xml:space="preserve">tra </w:t>
      </w:r>
      <w:r w:rsidR="008F74AB">
        <w:rPr>
          <w:rStyle w:val="Numeropagina"/>
          <w:bCs/>
          <w:color w:val="000000" w:themeColor="text1"/>
          <w:sz w:val="24"/>
          <w:szCs w:val="24"/>
        </w:rPr>
        <w:t>le</w:t>
      </w:r>
      <w:r w:rsidR="00624A6F">
        <w:rPr>
          <w:rStyle w:val="Numeropagina"/>
          <w:bCs/>
          <w:color w:val="000000" w:themeColor="text1"/>
          <w:sz w:val="24"/>
          <w:szCs w:val="24"/>
        </w:rPr>
        <w:t xml:space="preserve"> quali </w:t>
      </w:r>
      <w:r w:rsidR="008F74AB">
        <w:rPr>
          <w:rStyle w:val="Numeropagina"/>
          <w:bCs/>
          <w:color w:val="000000" w:themeColor="text1"/>
          <w:sz w:val="24"/>
          <w:szCs w:val="24"/>
        </w:rPr>
        <w:t xml:space="preserve">si richiama principalmente </w:t>
      </w:r>
      <w:r w:rsidR="00624A6F">
        <w:rPr>
          <w:rStyle w:val="Numeropagina"/>
          <w:bCs/>
          <w:color w:val="000000" w:themeColor="text1"/>
          <w:sz w:val="24"/>
          <w:szCs w:val="24"/>
        </w:rPr>
        <w:t xml:space="preserve">la sentenza della </w:t>
      </w:r>
      <w:r w:rsidR="00CC3798">
        <w:rPr>
          <w:rStyle w:val="Numeropagina"/>
          <w:bCs/>
          <w:color w:val="000000" w:themeColor="text1"/>
          <w:sz w:val="24"/>
          <w:szCs w:val="24"/>
        </w:rPr>
        <w:lastRenderedPageBreak/>
        <w:t>IV</w:t>
      </w:r>
      <w:r w:rsidR="00624A6F">
        <w:rPr>
          <w:rStyle w:val="Numeropagina"/>
          <w:bCs/>
          <w:color w:val="000000" w:themeColor="text1"/>
          <w:sz w:val="24"/>
          <w:szCs w:val="24"/>
        </w:rPr>
        <w:t xml:space="preserve"> sez. Cons. di St. </w:t>
      </w:r>
      <w:r w:rsidR="00CC3798">
        <w:rPr>
          <w:rStyle w:val="Numeropagina"/>
          <w:bCs/>
          <w:color w:val="000000" w:themeColor="text1"/>
          <w:sz w:val="24"/>
          <w:szCs w:val="24"/>
        </w:rPr>
        <w:t xml:space="preserve">n. </w:t>
      </w:r>
      <w:r w:rsidR="00624A6F">
        <w:rPr>
          <w:rStyle w:val="Numeropagina"/>
          <w:bCs/>
          <w:color w:val="000000" w:themeColor="text1"/>
          <w:sz w:val="24"/>
          <w:szCs w:val="24"/>
        </w:rPr>
        <w:t>2270</w:t>
      </w:r>
      <w:r w:rsidR="00CC3798">
        <w:rPr>
          <w:rStyle w:val="Numeropagina"/>
          <w:bCs/>
          <w:color w:val="000000" w:themeColor="text1"/>
          <w:sz w:val="24"/>
          <w:szCs w:val="24"/>
        </w:rPr>
        <w:t xml:space="preserve"> in data 8.04.</w:t>
      </w:r>
      <w:r w:rsidR="00624A6F">
        <w:rPr>
          <w:rStyle w:val="Numeropagina"/>
          <w:bCs/>
          <w:color w:val="000000" w:themeColor="text1"/>
          <w:sz w:val="24"/>
          <w:szCs w:val="24"/>
        </w:rPr>
        <w:t>2019</w:t>
      </w:r>
      <w:r w:rsidR="00CC3798">
        <w:rPr>
          <w:rStyle w:val="Numeropagina"/>
          <w:bCs/>
          <w:color w:val="000000" w:themeColor="text1"/>
          <w:sz w:val="24"/>
          <w:szCs w:val="24"/>
        </w:rPr>
        <w:t>) e come, invece, contestato recentemente da Giovanni Gallone</w:t>
      </w:r>
      <w:r w:rsidR="00CC3798">
        <w:rPr>
          <w:rStyle w:val="Rimandonotaapidipagina"/>
          <w:bCs/>
          <w:color w:val="000000" w:themeColor="text1"/>
          <w:sz w:val="24"/>
          <w:szCs w:val="24"/>
        </w:rPr>
        <w:footnoteReference w:id="7"/>
      </w:r>
      <w:r w:rsidR="00CC3798">
        <w:rPr>
          <w:rStyle w:val="Numeropagina"/>
          <w:bCs/>
          <w:color w:val="000000" w:themeColor="text1"/>
          <w:sz w:val="24"/>
          <w:szCs w:val="24"/>
        </w:rPr>
        <w:t>.</w:t>
      </w:r>
    </w:p>
    <w:p w14:paraId="0BB562B7" w14:textId="156C02B8" w:rsidR="00FB4D31" w:rsidRDefault="00CC3798" w:rsidP="00844488">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Senza poter analizzare tutti i numerosi contributi in materia, in virtù del richiamo onnicomprensivo</w:t>
      </w:r>
      <w:r w:rsidR="00FB4D31">
        <w:rPr>
          <w:rStyle w:val="Numeropagina"/>
          <w:bCs/>
          <w:color w:val="000000" w:themeColor="text1"/>
          <w:sz w:val="24"/>
          <w:szCs w:val="24"/>
        </w:rPr>
        <w:t xml:space="preserve"> dell’art. 22 lett.</w:t>
      </w:r>
      <w:r w:rsidR="008F74AB">
        <w:rPr>
          <w:rStyle w:val="Numeropagina"/>
          <w:bCs/>
          <w:color w:val="000000" w:themeColor="text1"/>
          <w:sz w:val="24"/>
          <w:szCs w:val="24"/>
        </w:rPr>
        <w:t xml:space="preserve"> d)</w:t>
      </w:r>
      <w:r w:rsidR="00FB4D31">
        <w:rPr>
          <w:rStyle w:val="Numeropagina"/>
          <w:bCs/>
          <w:color w:val="000000" w:themeColor="text1"/>
          <w:sz w:val="24"/>
          <w:szCs w:val="24"/>
        </w:rPr>
        <w:t xml:space="preserve"> della legge 241/199</w:t>
      </w:r>
      <w:r>
        <w:rPr>
          <w:rStyle w:val="Numeropagina"/>
          <w:bCs/>
          <w:color w:val="000000" w:themeColor="text1"/>
          <w:sz w:val="24"/>
          <w:szCs w:val="24"/>
        </w:rPr>
        <w:t>0</w:t>
      </w:r>
      <w:r w:rsidR="00866E9C">
        <w:rPr>
          <w:rStyle w:val="Numeropagina"/>
          <w:bCs/>
          <w:color w:val="000000" w:themeColor="text1"/>
          <w:sz w:val="24"/>
          <w:szCs w:val="24"/>
        </w:rPr>
        <w:t>,</w:t>
      </w:r>
      <w:r>
        <w:rPr>
          <w:rStyle w:val="Rimandonotaapidipagina"/>
          <w:bCs/>
          <w:color w:val="000000" w:themeColor="text1"/>
          <w:sz w:val="24"/>
          <w:szCs w:val="24"/>
        </w:rPr>
        <w:footnoteReference w:id="8"/>
      </w:r>
      <w:r w:rsidR="00FB4D31">
        <w:rPr>
          <w:rStyle w:val="Numeropagina"/>
          <w:bCs/>
          <w:color w:val="000000" w:themeColor="text1"/>
          <w:sz w:val="24"/>
          <w:szCs w:val="24"/>
        </w:rPr>
        <w:t xml:space="preserve"> </w:t>
      </w:r>
      <w:r w:rsidR="00866E9C">
        <w:rPr>
          <w:rStyle w:val="Numeropagina"/>
          <w:bCs/>
          <w:color w:val="000000" w:themeColor="text1"/>
          <w:sz w:val="24"/>
          <w:szCs w:val="24"/>
        </w:rPr>
        <w:t>sembra preferibile la collocazione dell’algoritmo – piuttosto che considerarlo come</w:t>
      </w:r>
      <w:r w:rsidR="00FA2131">
        <w:rPr>
          <w:rStyle w:val="Numeropagina"/>
          <w:bCs/>
          <w:color w:val="000000" w:themeColor="text1"/>
          <w:sz w:val="24"/>
          <w:szCs w:val="24"/>
        </w:rPr>
        <w:t xml:space="preserve"> “</w:t>
      </w:r>
      <w:r w:rsidR="00FA2131" w:rsidRPr="00FA2131">
        <w:rPr>
          <w:rStyle w:val="Numeropagina"/>
          <w:bCs/>
          <w:i/>
          <w:iCs/>
          <w:color w:val="000000" w:themeColor="text1"/>
          <w:sz w:val="24"/>
          <w:szCs w:val="24"/>
        </w:rPr>
        <w:t>strumento dell’azione amministrativa</w:t>
      </w:r>
      <w:r w:rsidR="00FA2131">
        <w:rPr>
          <w:rStyle w:val="Numeropagina"/>
          <w:bCs/>
          <w:color w:val="000000" w:themeColor="text1"/>
          <w:sz w:val="24"/>
          <w:szCs w:val="24"/>
        </w:rPr>
        <w:t>”, un’“</w:t>
      </w:r>
      <w:r w:rsidR="00FA2131" w:rsidRPr="00FA2131">
        <w:rPr>
          <w:rStyle w:val="Numeropagina"/>
          <w:bCs/>
          <w:i/>
          <w:iCs/>
          <w:color w:val="000000" w:themeColor="text1"/>
          <w:sz w:val="24"/>
          <w:szCs w:val="24"/>
        </w:rPr>
        <w:t>operazione amministrativa</w:t>
      </w:r>
      <w:r w:rsidR="00FA2131">
        <w:rPr>
          <w:rStyle w:val="Numeropagina"/>
          <w:bCs/>
          <w:color w:val="000000" w:themeColor="text1"/>
          <w:sz w:val="24"/>
          <w:szCs w:val="24"/>
        </w:rPr>
        <w:t>” o un’“</w:t>
      </w:r>
      <w:r w:rsidR="00FA2131" w:rsidRPr="00FA2131">
        <w:rPr>
          <w:rStyle w:val="Numeropagina"/>
          <w:bCs/>
          <w:i/>
          <w:iCs/>
          <w:color w:val="000000" w:themeColor="text1"/>
          <w:sz w:val="24"/>
          <w:szCs w:val="24"/>
        </w:rPr>
        <w:t>attività materiale</w:t>
      </w:r>
      <w:r w:rsidR="00FA2131">
        <w:rPr>
          <w:rStyle w:val="Numeropagina"/>
          <w:bCs/>
          <w:color w:val="000000" w:themeColor="text1"/>
          <w:sz w:val="24"/>
          <w:szCs w:val="24"/>
        </w:rPr>
        <w:t>”</w:t>
      </w:r>
      <w:r w:rsidR="00866E9C">
        <w:rPr>
          <w:rStyle w:val="Rimandonotaapidipagina"/>
          <w:bCs/>
          <w:color w:val="000000" w:themeColor="text1"/>
          <w:sz w:val="24"/>
          <w:szCs w:val="24"/>
        </w:rPr>
        <w:footnoteReference w:id="9"/>
      </w:r>
      <w:r w:rsidR="00866E9C">
        <w:rPr>
          <w:rStyle w:val="Numeropagina"/>
          <w:bCs/>
          <w:color w:val="000000" w:themeColor="text1"/>
          <w:sz w:val="24"/>
          <w:szCs w:val="24"/>
        </w:rPr>
        <w:t xml:space="preserve"> – </w:t>
      </w:r>
      <w:r w:rsidR="00F84B2F">
        <w:rPr>
          <w:rStyle w:val="Numeropagina"/>
          <w:bCs/>
          <w:color w:val="000000" w:themeColor="text1"/>
          <w:sz w:val="24"/>
          <w:szCs w:val="24"/>
        </w:rPr>
        <w:t>nell’alveo</w:t>
      </w:r>
      <w:r w:rsidR="00866E9C">
        <w:rPr>
          <w:rStyle w:val="Numeropagina"/>
          <w:bCs/>
          <w:color w:val="000000" w:themeColor="text1"/>
          <w:sz w:val="24"/>
          <w:szCs w:val="24"/>
        </w:rPr>
        <w:t xml:space="preserve"> </w:t>
      </w:r>
      <w:r w:rsidR="00F84B2F">
        <w:rPr>
          <w:rStyle w:val="Numeropagina"/>
          <w:bCs/>
          <w:color w:val="000000" w:themeColor="text1"/>
          <w:sz w:val="24"/>
          <w:szCs w:val="24"/>
        </w:rPr>
        <w:t>degli atti</w:t>
      </w:r>
      <w:r w:rsidR="00866E9C">
        <w:rPr>
          <w:rStyle w:val="Numeropagina"/>
          <w:bCs/>
          <w:color w:val="000000" w:themeColor="text1"/>
          <w:sz w:val="24"/>
          <w:szCs w:val="24"/>
        </w:rPr>
        <w:t xml:space="preserve"> amministrativ</w:t>
      </w:r>
      <w:r w:rsidR="00F84B2F">
        <w:rPr>
          <w:rStyle w:val="Numeropagina"/>
          <w:bCs/>
          <w:color w:val="000000" w:themeColor="text1"/>
          <w:sz w:val="24"/>
          <w:szCs w:val="24"/>
        </w:rPr>
        <w:t>i</w:t>
      </w:r>
      <w:r w:rsidR="00866E9C">
        <w:rPr>
          <w:rStyle w:val="Numeropagina"/>
          <w:bCs/>
          <w:color w:val="000000" w:themeColor="text1"/>
          <w:sz w:val="24"/>
          <w:szCs w:val="24"/>
        </w:rPr>
        <w:t>. In quanto, oltre</w:t>
      </w:r>
      <w:r w:rsidR="00FA2131">
        <w:rPr>
          <w:rStyle w:val="Numeropagina"/>
          <w:bCs/>
          <w:color w:val="000000" w:themeColor="text1"/>
          <w:sz w:val="24"/>
          <w:szCs w:val="24"/>
        </w:rPr>
        <w:t xml:space="preserve"> </w:t>
      </w:r>
      <w:r w:rsidR="00866E9C">
        <w:rPr>
          <w:rStyle w:val="Numeropagina"/>
          <w:bCs/>
          <w:color w:val="000000" w:themeColor="text1"/>
          <w:sz w:val="24"/>
          <w:szCs w:val="24"/>
        </w:rPr>
        <w:t>al</w:t>
      </w:r>
      <w:r w:rsidR="00FA2131">
        <w:rPr>
          <w:rStyle w:val="Numeropagina"/>
          <w:bCs/>
          <w:color w:val="000000" w:themeColor="text1"/>
          <w:sz w:val="24"/>
          <w:szCs w:val="24"/>
        </w:rPr>
        <w:t xml:space="preserve">l’atipicità </w:t>
      </w:r>
      <w:r w:rsidR="003A5FBA">
        <w:rPr>
          <w:rStyle w:val="Numeropagina"/>
          <w:bCs/>
          <w:color w:val="000000" w:themeColor="text1"/>
          <w:sz w:val="24"/>
          <w:szCs w:val="24"/>
        </w:rPr>
        <w:t xml:space="preserve">e </w:t>
      </w:r>
      <w:r w:rsidR="00866E9C">
        <w:rPr>
          <w:rStyle w:val="Numeropagina"/>
          <w:bCs/>
          <w:color w:val="000000" w:themeColor="text1"/>
          <w:sz w:val="24"/>
          <w:szCs w:val="24"/>
        </w:rPr>
        <w:t>al</w:t>
      </w:r>
      <w:r w:rsidR="003A5FBA">
        <w:rPr>
          <w:rStyle w:val="Numeropagina"/>
          <w:bCs/>
          <w:color w:val="000000" w:themeColor="text1"/>
          <w:sz w:val="24"/>
          <w:szCs w:val="24"/>
        </w:rPr>
        <w:t xml:space="preserve">la difficile collocazione </w:t>
      </w:r>
      <w:r w:rsidR="00866E9C">
        <w:rPr>
          <w:rStyle w:val="Numeropagina"/>
          <w:bCs/>
          <w:color w:val="000000" w:themeColor="text1"/>
          <w:sz w:val="24"/>
          <w:szCs w:val="24"/>
        </w:rPr>
        <w:t xml:space="preserve">sistematica </w:t>
      </w:r>
      <w:r w:rsidR="00FA2131">
        <w:rPr>
          <w:rStyle w:val="Numeropagina"/>
          <w:bCs/>
          <w:color w:val="000000" w:themeColor="text1"/>
          <w:sz w:val="24"/>
          <w:szCs w:val="24"/>
        </w:rPr>
        <w:t>delle definizioni</w:t>
      </w:r>
      <w:r w:rsidR="00DC2DB1">
        <w:rPr>
          <w:rStyle w:val="Numeropagina"/>
          <w:bCs/>
          <w:color w:val="000000" w:themeColor="text1"/>
          <w:sz w:val="24"/>
          <w:szCs w:val="24"/>
        </w:rPr>
        <w:t xml:space="preserve"> appena</w:t>
      </w:r>
      <w:r w:rsidR="00FA2131">
        <w:rPr>
          <w:rStyle w:val="Numeropagina"/>
          <w:bCs/>
          <w:color w:val="000000" w:themeColor="text1"/>
          <w:sz w:val="24"/>
          <w:szCs w:val="24"/>
        </w:rPr>
        <w:t xml:space="preserve"> </w:t>
      </w:r>
      <w:r w:rsidR="00DC2DB1">
        <w:rPr>
          <w:rStyle w:val="Numeropagina"/>
          <w:bCs/>
          <w:color w:val="000000" w:themeColor="text1"/>
          <w:sz w:val="24"/>
          <w:szCs w:val="24"/>
        </w:rPr>
        <w:t>richiamate</w:t>
      </w:r>
      <w:r w:rsidR="00866E9C">
        <w:rPr>
          <w:rStyle w:val="Numeropagina"/>
          <w:bCs/>
          <w:color w:val="000000" w:themeColor="text1"/>
          <w:sz w:val="24"/>
          <w:szCs w:val="24"/>
        </w:rPr>
        <w:t>,</w:t>
      </w:r>
      <w:r w:rsidR="00FA2131">
        <w:rPr>
          <w:rStyle w:val="Numeropagina"/>
          <w:bCs/>
          <w:color w:val="000000" w:themeColor="text1"/>
          <w:sz w:val="24"/>
          <w:szCs w:val="24"/>
        </w:rPr>
        <w:t xml:space="preserve"> </w:t>
      </w:r>
      <w:r w:rsidR="00844488">
        <w:rPr>
          <w:rStyle w:val="Numeropagina"/>
          <w:bCs/>
          <w:color w:val="000000" w:themeColor="text1"/>
          <w:sz w:val="24"/>
          <w:szCs w:val="24"/>
        </w:rPr>
        <w:t xml:space="preserve">la qualificazione dell’algoritmo </w:t>
      </w:r>
      <w:r w:rsidR="009B4649">
        <w:rPr>
          <w:rStyle w:val="Numeropagina"/>
          <w:bCs/>
          <w:color w:val="000000" w:themeColor="text1"/>
          <w:sz w:val="24"/>
          <w:szCs w:val="24"/>
        </w:rPr>
        <w:t>come</w:t>
      </w:r>
      <w:r w:rsidR="00844488">
        <w:rPr>
          <w:rStyle w:val="Numeropagina"/>
          <w:bCs/>
          <w:color w:val="000000" w:themeColor="text1"/>
          <w:sz w:val="24"/>
          <w:szCs w:val="24"/>
        </w:rPr>
        <w:t xml:space="preserve"> atto amministrativo</w:t>
      </w:r>
      <w:r w:rsidR="002E6A78" w:rsidRPr="002E6A78">
        <w:rPr>
          <w:rStyle w:val="Numeropagina"/>
          <w:bCs/>
          <w:color w:val="000000" w:themeColor="text1"/>
          <w:sz w:val="24"/>
          <w:szCs w:val="24"/>
        </w:rPr>
        <w:t xml:space="preserve"> </w:t>
      </w:r>
      <w:r w:rsidR="002E6A78">
        <w:rPr>
          <w:rStyle w:val="Numeropagina"/>
          <w:bCs/>
          <w:color w:val="000000" w:themeColor="text1"/>
          <w:sz w:val="24"/>
          <w:szCs w:val="24"/>
        </w:rPr>
        <w:t>risulta maggiormente rispondente ai dati normativi vigenti</w:t>
      </w:r>
      <w:r w:rsidR="00844488">
        <w:rPr>
          <w:rStyle w:val="Numeropagina"/>
          <w:bCs/>
          <w:color w:val="000000" w:themeColor="text1"/>
          <w:sz w:val="24"/>
          <w:szCs w:val="24"/>
        </w:rPr>
        <w:t xml:space="preserve"> </w:t>
      </w:r>
      <w:r w:rsidR="009B4649">
        <w:rPr>
          <w:rStyle w:val="Numeropagina"/>
          <w:bCs/>
          <w:color w:val="000000" w:themeColor="text1"/>
          <w:sz w:val="24"/>
          <w:szCs w:val="24"/>
        </w:rPr>
        <w:t xml:space="preserve">sia perché </w:t>
      </w:r>
      <w:r w:rsidR="003A5FBA">
        <w:rPr>
          <w:rStyle w:val="Numeropagina"/>
          <w:bCs/>
          <w:color w:val="000000" w:themeColor="text1"/>
          <w:sz w:val="24"/>
          <w:szCs w:val="24"/>
        </w:rPr>
        <w:t xml:space="preserve">verificabile </w:t>
      </w:r>
      <w:r w:rsidR="00844488">
        <w:rPr>
          <w:rStyle w:val="Numeropagina"/>
          <w:bCs/>
          <w:color w:val="000000" w:themeColor="text1"/>
          <w:sz w:val="24"/>
          <w:szCs w:val="24"/>
        </w:rPr>
        <w:t xml:space="preserve">e ostensibile </w:t>
      </w:r>
      <w:r w:rsidR="003A5FBA">
        <w:rPr>
          <w:rStyle w:val="Numeropagina"/>
          <w:bCs/>
          <w:color w:val="000000" w:themeColor="text1"/>
          <w:sz w:val="24"/>
          <w:szCs w:val="24"/>
        </w:rPr>
        <w:t xml:space="preserve">attraverso l’accesso agli atti (diversamente non attivabile) </w:t>
      </w:r>
      <w:r w:rsidR="009B4649">
        <w:rPr>
          <w:rStyle w:val="Numeropagina"/>
          <w:bCs/>
          <w:color w:val="000000" w:themeColor="text1"/>
          <w:sz w:val="24"/>
          <w:szCs w:val="24"/>
        </w:rPr>
        <w:t>ma</w:t>
      </w:r>
      <w:r w:rsidR="00844488">
        <w:rPr>
          <w:rStyle w:val="Numeropagina"/>
          <w:bCs/>
          <w:color w:val="000000" w:themeColor="text1"/>
          <w:sz w:val="24"/>
          <w:szCs w:val="24"/>
        </w:rPr>
        <w:t xml:space="preserve">, </w:t>
      </w:r>
      <w:r w:rsidR="009B4649">
        <w:rPr>
          <w:rStyle w:val="Numeropagina"/>
          <w:bCs/>
          <w:color w:val="000000" w:themeColor="text1"/>
          <w:sz w:val="24"/>
          <w:szCs w:val="24"/>
        </w:rPr>
        <w:t>altresì</w:t>
      </w:r>
      <w:r w:rsidR="00844488">
        <w:rPr>
          <w:rStyle w:val="Numeropagina"/>
          <w:bCs/>
          <w:color w:val="000000" w:themeColor="text1"/>
          <w:sz w:val="24"/>
          <w:szCs w:val="24"/>
        </w:rPr>
        <w:t>,</w:t>
      </w:r>
      <w:r w:rsidR="009B4649">
        <w:rPr>
          <w:rStyle w:val="Numeropagina"/>
          <w:bCs/>
          <w:color w:val="000000" w:themeColor="text1"/>
          <w:sz w:val="24"/>
          <w:szCs w:val="24"/>
        </w:rPr>
        <w:t xml:space="preserve"> in quanto,</w:t>
      </w:r>
      <w:r w:rsidR="00844488">
        <w:rPr>
          <w:rStyle w:val="Numeropagina"/>
          <w:bCs/>
          <w:color w:val="000000" w:themeColor="text1"/>
          <w:sz w:val="24"/>
          <w:szCs w:val="24"/>
        </w:rPr>
        <w:t xml:space="preserve"> </w:t>
      </w:r>
      <w:r w:rsidR="009B4649">
        <w:rPr>
          <w:rStyle w:val="Numeropagina"/>
          <w:bCs/>
          <w:color w:val="000000" w:themeColor="text1"/>
          <w:sz w:val="24"/>
          <w:szCs w:val="24"/>
        </w:rPr>
        <w:t xml:space="preserve">indubbiamente, </w:t>
      </w:r>
      <w:r w:rsidR="00D50BBE">
        <w:rPr>
          <w:rStyle w:val="Numeropagina"/>
          <w:bCs/>
          <w:color w:val="000000" w:themeColor="text1"/>
          <w:sz w:val="24"/>
          <w:szCs w:val="24"/>
        </w:rPr>
        <w:t xml:space="preserve">può essere </w:t>
      </w:r>
      <w:r w:rsidR="00844488">
        <w:rPr>
          <w:rStyle w:val="Numeropagina"/>
          <w:bCs/>
          <w:color w:val="000000" w:themeColor="text1"/>
          <w:sz w:val="24"/>
          <w:szCs w:val="24"/>
        </w:rPr>
        <w:t>oggetto di</w:t>
      </w:r>
      <w:r w:rsidR="003A5FBA">
        <w:rPr>
          <w:rStyle w:val="Numeropagina"/>
          <w:bCs/>
          <w:color w:val="000000" w:themeColor="text1"/>
          <w:sz w:val="24"/>
          <w:szCs w:val="24"/>
        </w:rPr>
        <w:t xml:space="preserve"> sindacato giurisdizionale.</w:t>
      </w:r>
    </w:p>
    <w:p w14:paraId="664DE245" w14:textId="3DBE772C" w:rsidR="003A5FBA" w:rsidRDefault="00844488"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Problemi ben maggiori </w:t>
      </w:r>
      <w:r w:rsidR="009B4649">
        <w:rPr>
          <w:rStyle w:val="Numeropagina"/>
          <w:bCs/>
          <w:color w:val="000000" w:themeColor="text1"/>
          <w:sz w:val="24"/>
          <w:szCs w:val="24"/>
        </w:rPr>
        <w:t>sollecita</w:t>
      </w:r>
      <w:r>
        <w:rPr>
          <w:rStyle w:val="Numeropagina"/>
          <w:bCs/>
          <w:color w:val="000000" w:themeColor="text1"/>
          <w:sz w:val="24"/>
          <w:szCs w:val="24"/>
        </w:rPr>
        <w:t xml:space="preserve"> la gestione amministrativa e, quindi, giurisdizionale </w:t>
      </w:r>
      <w:r w:rsidRPr="009B4649">
        <w:rPr>
          <w:rStyle w:val="Numeropagina"/>
          <w:bCs/>
          <w:color w:val="000000" w:themeColor="text1"/>
          <w:sz w:val="24"/>
          <w:szCs w:val="24"/>
        </w:rPr>
        <w:t>dell’intelligenza artificiale</w:t>
      </w:r>
      <w:r>
        <w:rPr>
          <w:rStyle w:val="Numeropagina"/>
          <w:bCs/>
          <w:color w:val="000000" w:themeColor="text1"/>
          <w:sz w:val="24"/>
          <w:szCs w:val="24"/>
        </w:rPr>
        <w:t xml:space="preserve"> che rappresenta, ai sensi dell’art. 30, una soluzione alternativa all’algoritmo</w:t>
      </w:r>
      <w:r w:rsidR="005902E4">
        <w:rPr>
          <w:rStyle w:val="Numeropagina"/>
          <w:bCs/>
          <w:color w:val="000000" w:themeColor="text1"/>
          <w:sz w:val="24"/>
          <w:szCs w:val="24"/>
        </w:rPr>
        <w:t xml:space="preserve"> e all’uso di </w:t>
      </w:r>
      <w:r w:rsidR="00773197">
        <w:rPr>
          <w:rStyle w:val="Numeropagina"/>
          <w:bCs/>
          <w:i/>
          <w:iCs/>
          <w:color w:val="000000" w:themeColor="text1"/>
          <w:sz w:val="24"/>
          <w:szCs w:val="24"/>
        </w:rPr>
        <w:t>software</w:t>
      </w:r>
      <w:r>
        <w:rPr>
          <w:rStyle w:val="Numeropagina"/>
          <w:bCs/>
          <w:color w:val="000000" w:themeColor="text1"/>
          <w:sz w:val="24"/>
          <w:szCs w:val="24"/>
        </w:rPr>
        <w:t>.</w:t>
      </w:r>
    </w:p>
    <w:p w14:paraId="3B66F31D" w14:textId="1078DC35" w:rsidR="00844488" w:rsidRDefault="00844488"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Si tratta di una </w:t>
      </w:r>
      <w:r w:rsidR="009B4649">
        <w:rPr>
          <w:rStyle w:val="Numeropagina"/>
          <w:bCs/>
          <w:color w:val="000000" w:themeColor="text1"/>
          <w:sz w:val="24"/>
          <w:szCs w:val="24"/>
        </w:rPr>
        <w:t>proposta normativa</w:t>
      </w:r>
      <w:r>
        <w:rPr>
          <w:rStyle w:val="Numeropagina"/>
          <w:bCs/>
          <w:color w:val="000000" w:themeColor="text1"/>
          <w:sz w:val="24"/>
          <w:szCs w:val="24"/>
        </w:rPr>
        <w:t xml:space="preserve"> </w:t>
      </w:r>
      <w:r w:rsidR="009B4649">
        <w:rPr>
          <w:rStyle w:val="Numeropagina"/>
          <w:bCs/>
          <w:color w:val="000000" w:themeColor="text1"/>
          <w:sz w:val="24"/>
          <w:szCs w:val="24"/>
        </w:rPr>
        <w:t>tanto</w:t>
      </w:r>
      <w:r>
        <w:rPr>
          <w:rStyle w:val="Numeropagina"/>
          <w:bCs/>
          <w:color w:val="000000" w:themeColor="text1"/>
          <w:sz w:val="24"/>
          <w:szCs w:val="24"/>
        </w:rPr>
        <w:t xml:space="preserve"> acerba </w:t>
      </w:r>
      <w:r w:rsidR="009B4649">
        <w:rPr>
          <w:rStyle w:val="Numeropagina"/>
          <w:bCs/>
          <w:color w:val="000000" w:themeColor="text1"/>
          <w:sz w:val="24"/>
          <w:szCs w:val="24"/>
        </w:rPr>
        <w:t>quanto semi</w:t>
      </w:r>
      <w:r>
        <w:rPr>
          <w:rStyle w:val="Numeropagina"/>
          <w:bCs/>
          <w:color w:val="000000" w:themeColor="text1"/>
          <w:sz w:val="24"/>
          <w:szCs w:val="24"/>
        </w:rPr>
        <w:t xml:space="preserve"> sconosciuta</w:t>
      </w:r>
      <w:r w:rsidR="009B4649">
        <w:rPr>
          <w:rStyle w:val="Numeropagina"/>
          <w:bCs/>
          <w:color w:val="000000" w:themeColor="text1"/>
          <w:sz w:val="24"/>
          <w:szCs w:val="24"/>
        </w:rPr>
        <w:t xml:space="preserve"> nel suo rapporto tra presupposti e futuri esiti.</w:t>
      </w:r>
      <w:r>
        <w:rPr>
          <w:rStyle w:val="Numeropagina"/>
          <w:bCs/>
          <w:color w:val="000000" w:themeColor="text1"/>
          <w:sz w:val="24"/>
          <w:szCs w:val="24"/>
        </w:rPr>
        <w:t xml:space="preserve"> </w:t>
      </w:r>
      <w:r w:rsidR="0095767B">
        <w:rPr>
          <w:rStyle w:val="Numeropagina"/>
          <w:bCs/>
          <w:color w:val="000000" w:themeColor="text1"/>
          <w:sz w:val="24"/>
          <w:szCs w:val="24"/>
        </w:rPr>
        <w:t xml:space="preserve">Qui, forse e a maggior ragione, sarebbe </w:t>
      </w:r>
      <w:r w:rsidR="009B4649">
        <w:rPr>
          <w:rStyle w:val="Numeropagina"/>
          <w:bCs/>
          <w:color w:val="000000" w:themeColor="text1"/>
          <w:sz w:val="24"/>
          <w:szCs w:val="24"/>
        </w:rPr>
        <w:t>potuto risultare funzionale a questa introduzione - così</w:t>
      </w:r>
      <w:r w:rsidR="0095767B">
        <w:rPr>
          <w:rStyle w:val="Numeropagina"/>
          <w:bCs/>
          <w:color w:val="000000" w:themeColor="text1"/>
          <w:sz w:val="24"/>
          <w:szCs w:val="24"/>
        </w:rPr>
        <w:t xml:space="preserve"> come accaduto in ambito di progettazione digitale </w:t>
      </w:r>
      <w:r w:rsidR="00F24FB8">
        <w:rPr>
          <w:rStyle w:val="Numeropagina"/>
          <w:bCs/>
          <w:color w:val="000000" w:themeColor="text1"/>
          <w:sz w:val="24"/>
          <w:szCs w:val="24"/>
        </w:rPr>
        <w:t>con</w:t>
      </w:r>
      <w:r w:rsidR="0095767B">
        <w:rPr>
          <w:rStyle w:val="Numeropagina"/>
          <w:bCs/>
          <w:color w:val="000000" w:themeColor="text1"/>
          <w:sz w:val="24"/>
          <w:szCs w:val="24"/>
        </w:rPr>
        <w:t xml:space="preserve"> </w:t>
      </w:r>
      <w:r w:rsidR="00F24FB8">
        <w:rPr>
          <w:rStyle w:val="Numeropagina"/>
          <w:bCs/>
          <w:color w:val="000000" w:themeColor="text1"/>
          <w:sz w:val="24"/>
          <w:szCs w:val="24"/>
        </w:rPr>
        <w:t>l’</w:t>
      </w:r>
      <w:r w:rsidR="0095767B">
        <w:rPr>
          <w:rStyle w:val="Numeropagina"/>
          <w:bCs/>
          <w:color w:val="000000" w:themeColor="text1"/>
          <w:sz w:val="24"/>
          <w:szCs w:val="24"/>
        </w:rPr>
        <w:t xml:space="preserve">Allegato I.9 </w:t>
      </w:r>
      <w:r w:rsidR="00F24FB8">
        <w:rPr>
          <w:rStyle w:val="Numeropagina"/>
          <w:bCs/>
          <w:color w:val="000000" w:themeColor="text1"/>
          <w:sz w:val="24"/>
          <w:szCs w:val="24"/>
        </w:rPr>
        <w:t xml:space="preserve">- </w:t>
      </w:r>
      <w:r w:rsidR="0095767B">
        <w:rPr>
          <w:rStyle w:val="Numeropagina"/>
          <w:bCs/>
          <w:color w:val="000000" w:themeColor="text1"/>
          <w:sz w:val="24"/>
          <w:szCs w:val="24"/>
        </w:rPr>
        <w:t xml:space="preserve">pretendere le medesime competenze e guarentigie </w:t>
      </w:r>
      <w:r w:rsidR="00F24FB8">
        <w:rPr>
          <w:rStyle w:val="Numeropagina"/>
          <w:bCs/>
          <w:color w:val="000000" w:themeColor="text1"/>
          <w:sz w:val="24"/>
          <w:szCs w:val="24"/>
        </w:rPr>
        <w:t>di carattere tecnico, professionale e organizzativo</w:t>
      </w:r>
      <w:r w:rsidR="00F24FB8">
        <w:rPr>
          <w:rStyle w:val="Rimandonotaapidipagina"/>
          <w:bCs/>
          <w:color w:val="000000" w:themeColor="text1"/>
          <w:sz w:val="24"/>
          <w:szCs w:val="24"/>
        </w:rPr>
        <w:footnoteReference w:id="10"/>
      </w:r>
      <w:r w:rsidR="00B0611E">
        <w:rPr>
          <w:rStyle w:val="Numeropagina"/>
          <w:bCs/>
          <w:color w:val="000000" w:themeColor="text1"/>
          <w:sz w:val="24"/>
          <w:szCs w:val="24"/>
        </w:rPr>
        <w:t xml:space="preserve"> per utilizzare e, soprattutto, governare detti strumenti.</w:t>
      </w:r>
    </w:p>
    <w:p w14:paraId="582208C8" w14:textId="49A92D93" w:rsidR="0095767B" w:rsidRDefault="0095767B"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Con riferimento all’</w:t>
      </w:r>
      <w:r w:rsidR="00F24FB8">
        <w:rPr>
          <w:rStyle w:val="Numeropagina"/>
          <w:bCs/>
          <w:color w:val="000000" w:themeColor="text1"/>
          <w:sz w:val="24"/>
          <w:szCs w:val="24"/>
        </w:rPr>
        <w:t>i</w:t>
      </w:r>
      <w:r>
        <w:rPr>
          <w:rStyle w:val="Numeropagina"/>
          <w:bCs/>
          <w:color w:val="000000" w:themeColor="text1"/>
          <w:sz w:val="24"/>
          <w:szCs w:val="24"/>
        </w:rPr>
        <w:t>ntelligenza artificiale il “</w:t>
      </w:r>
      <w:r w:rsidRPr="00F24FB8">
        <w:rPr>
          <w:rStyle w:val="Numeropagina"/>
          <w:bCs/>
          <w:i/>
          <w:iCs/>
          <w:color w:val="000000" w:themeColor="text1"/>
          <w:sz w:val="24"/>
          <w:szCs w:val="24"/>
        </w:rPr>
        <w:t>contributo umano</w:t>
      </w:r>
      <w:r>
        <w:rPr>
          <w:rStyle w:val="Numeropagina"/>
          <w:bCs/>
          <w:color w:val="000000" w:themeColor="text1"/>
          <w:sz w:val="24"/>
          <w:szCs w:val="24"/>
        </w:rPr>
        <w:t xml:space="preserve">” </w:t>
      </w:r>
      <w:r w:rsidR="00F24FB8">
        <w:rPr>
          <w:rStyle w:val="Numeropagina"/>
          <w:bCs/>
          <w:color w:val="000000" w:themeColor="text1"/>
          <w:sz w:val="24"/>
          <w:szCs w:val="24"/>
        </w:rPr>
        <w:t>(</w:t>
      </w:r>
      <w:r>
        <w:rPr>
          <w:rStyle w:val="Numeropagina"/>
          <w:bCs/>
          <w:color w:val="000000" w:themeColor="text1"/>
          <w:sz w:val="24"/>
          <w:szCs w:val="24"/>
        </w:rPr>
        <w:t xml:space="preserve">o come Giovanni Gallone </w:t>
      </w:r>
      <w:r w:rsidR="00F24FB8">
        <w:rPr>
          <w:rStyle w:val="Numeropagina"/>
          <w:bCs/>
          <w:color w:val="000000" w:themeColor="text1"/>
          <w:sz w:val="24"/>
          <w:szCs w:val="24"/>
        </w:rPr>
        <w:t xml:space="preserve">lo </w:t>
      </w:r>
      <w:r>
        <w:rPr>
          <w:rStyle w:val="Numeropagina"/>
          <w:bCs/>
          <w:color w:val="000000" w:themeColor="text1"/>
          <w:sz w:val="24"/>
          <w:szCs w:val="24"/>
        </w:rPr>
        <w:t>definisce, con una bella immagine, “</w:t>
      </w:r>
      <w:r w:rsidRPr="00F24FB8">
        <w:rPr>
          <w:rStyle w:val="Numeropagina"/>
          <w:bCs/>
          <w:i/>
          <w:iCs/>
          <w:color w:val="000000" w:themeColor="text1"/>
          <w:sz w:val="24"/>
          <w:szCs w:val="24"/>
        </w:rPr>
        <w:t>riserva di umanità</w:t>
      </w:r>
      <w:r>
        <w:rPr>
          <w:rStyle w:val="Numeropagina"/>
          <w:bCs/>
          <w:color w:val="000000" w:themeColor="text1"/>
          <w:sz w:val="24"/>
          <w:szCs w:val="24"/>
        </w:rPr>
        <w:t>”</w:t>
      </w:r>
      <w:r w:rsidR="00F24FB8">
        <w:rPr>
          <w:rStyle w:val="Numeropagina"/>
          <w:bCs/>
          <w:color w:val="000000" w:themeColor="text1"/>
          <w:sz w:val="24"/>
          <w:szCs w:val="24"/>
        </w:rPr>
        <w:t>)</w:t>
      </w:r>
      <w:r>
        <w:rPr>
          <w:rStyle w:val="Numeropagina"/>
          <w:bCs/>
          <w:color w:val="000000" w:themeColor="text1"/>
          <w:sz w:val="24"/>
          <w:szCs w:val="24"/>
        </w:rPr>
        <w:t xml:space="preserve"> si fa molto più problematico in quanto</w:t>
      </w:r>
      <w:r w:rsidR="00F24FB8">
        <w:rPr>
          <w:rStyle w:val="Numeropagina"/>
          <w:bCs/>
          <w:color w:val="000000" w:themeColor="text1"/>
          <w:sz w:val="24"/>
          <w:szCs w:val="24"/>
        </w:rPr>
        <w:t>,</w:t>
      </w:r>
      <w:r>
        <w:rPr>
          <w:rStyle w:val="Numeropagina"/>
          <w:bCs/>
          <w:color w:val="000000" w:themeColor="text1"/>
          <w:sz w:val="24"/>
          <w:szCs w:val="24"/>
        </w:rPr>
        <w:t xml:space="preserve"> come sapientemente</w:t>
      </w:r>
      <w:r w:rsidR="0008451A">
        <w:rPr>
          <w:rStyle w:val="Numeropagina"/>
          <w:bCs/>
          <w:color w:val="000000" w:themeColor="text1"/>
          <w:sz w:val="24"/>
          <w:szCs w:val="24"/>
        </w:rPr>
        <w:t xml:space="preserve"> fatto rilevare</w:t>
      </w:r>
      <w:r w:rsidR="00F24FB8">
        <w:rPr>
          <w:rStyle w:val="Numeropagina"/>
          <w:bCs/>
          <w:color w:val="000000" w:themeColor="text1"/>
          <w:sz w:val="24"/>
          <w:szCs w:val="24"/>
        </w:rPr>
        <w:t>,</w:t>
      </w:r>
      <w:r>
        <w:rPr>
          <w:rStyle w:val="Numeropagina"/>
          <w:bCs/>
          <w:color w:val="000000" w:themeColor="text1"/>
          <w:sz w:val="24"/>
          <w:szCs w:val="24"/>
        </w:rPr>
        <w:t xml:space="preserve"> l’intelligenza artificiale non concerne la </w:t>
      </w:r>
      <w:r w:rsidR="00F24FB8">
        <w:rPr>
          <w:rStyle w:val="Numeropagina"/>
          <w:bCs/>
          <w:color w:val="000000" w:themeColor="text1"/>
          <w:sz w:val="24"/>
          <w:szCs w:val="24"/>
        </w:rPr>
        <w:t>possibilità</w:t>
      </w:r>
      <w:r>
        <w:rPr>
          <w:rStyle w:val="Numeropagina"/>
          <w:bCs/>
          <w:color w:val="000000" w:themeColor="text1"/>
          <w:sz w:val="24"/>
          <w:szCs w:val="24"/>
        </w:rPr>
        <w:t xml:space="preserve"> di riprodurre l’intelligenza umana ma, in realtà</w:t>
      </w:r>
      <w:r w:rsidR="00502FA2">
        <w:rPr>
          <w:rStyle w:val="Numeropagina"/>
          <w:bCs/>
          <w:color w:val="000000" w:themeColor="text1"/>
          <w:sz w:val="24"/>
          <w:szCs w:val="24"/>
        </w:rPr>
        <w:t>, la capacità di farne a meno</w:t>
      </w:r>
      <w:r w:rsidR="0008451A">
        <w:rPr>
          <w:rStyle w:val="Numeropagina"/>
          <w:bCs/>
          <w:color w:val="000000" w:themeColor="text1"/>
          <w:sz w:val="24"/>
          <w:szCs w:val="24"/>
        </w:rPr>
        <w:t>,</w:t>
      </w:r>
      <w:r w:rsidR="00502FA2">
        <w:rPr>
          <w:rStyle w:val="Numeropagina"/>
          <w:bCs/>
          <w:color w:val="000000" w:themeColor="text1"/>
          <w:sz w:val="24"/>
          <w:szCs w:val="24"/>
        </w:rPr>
        <w:t xml:space="preserve"> </w:t>
      </w:r>
      <w:r w:rsidR="0010410B">
        <w:rPr>
          <w:rStyle w:val="Numeropagina"/>
          <w:bCs/>
          <w:color w:val="000000" w:themeColor="text1"/>
          <w:sz w:val="24"/>
          <w:szCs w:val="24"/>
        </w:rPr>
        <w:t>dal momento che s</w:t>
      </w:r>
      <w:r w:rsidR="00502FA2">
        <w:rPr>
          <w:rStyle w:val="Numeropagina"/>
          <w:bCs/>
          <w:color w:val="000000" w:themeColor="text1"/>
          <w:sz w:val="24"/>
          <w:szCs w:val="24"/>
        </w:rPr>
        <w:t xml:space="preserve">i sviluppa attraverso il c.d. </w:t>
      </w:r>
      <w:r w:rsidR="00502FA2">
        <w:rPr>
          <w:rStyle w:val="Numeropagina"/>
          <w:bCs/>
          <w:i/>
          <w:iCs/>
          <w:color w:val="000000" w:themeColor="text1"/>
          <w:sz w:val="24"/>
          <w:szCs w:val="24"/>
        </w:rPr>
        <w:t xml:space="preserve">machine </w:t>
      </w:r>
      <w:proofErr w:type="spellStart"/>
      <w:r w:rsidR="00502FA2">
        <w:rPr>
          <w:rStyle w:val="Numeropagina"/>
          <w:bCs/>
          <w:i/>
          <w:iCs/>
          <w:color w:val="000000" w:themeColor="text1"/>
          <w:sz w:val="24"/>
          <w:szCs w:val="24"/>
        </w:rPr>
        <w:t>learning</w:t>
      </w:r>
      <w:proofErr w:type="spellEnd"/>
      <w:r w:rsidR="00502FA2">
        <w:rPr>
          <w:rStyle w:val="Numeropagina"/>
          <w:bCs/>
          <w:i/>
          <w:iCs/>
          <w:color w:val="000000" w:themeColor="text1"/>
          <w:sz w:val="24"/>
          <w:szCs w:val="24"/>
        </w:rPr>
        <w:t xml:space="preserve"> </w:t>
      </w:r>
      <w:r w:rsidR="00502FA2" w:rsidRPr="00502FA2">
        <w:rPr>
          <w:rStyle w:val="Numeropagina"/>
          <w:bCs/>
          <w:color w:val="000000" w:themeColor="text1"/>
          <w:sz w:val="24"/>
          <w:szCs w:val="24"/>
        </w:rPr>
        <w:t>che</w:t>
      </w:r>
      <w:r w:rsidR="00A64337">
        <w:rPr>
          <w:rStyle w:val="Numeropagina"/>
          <w:bCs/>
          <w:color w:val="000000" w:themeColor="text1"/>
          <w:sz w:val="24"/>
          <w:szCs w:val="24"/>
        </w:rPr>
        <w:t xml:space="preserve">, </w:t>
      </w:r>
      <w:r w:rsidR="00502FA2">
        <w:rPr>
          <w:rStyle w:val="Numeropagina"/>
          <w:bCs/>
          <w:color w:val="000000" w:themeColor="text1"/>
          <w:sz w:val="24"/>
          <w:szCs w:val="24"/>
        </w:rPr>
        <w:t>partendo da una serie di dati finiti</w:t>
      </w:r>
      <w:r w:rsidR="00A64337">
        <w:rPr>
          <w:rStyle w:val="Numeropagina"/>
          <w:bCs/>
          <w:color w:val="000000" w:themeColor="text1"/>
          <w:sz w:val="24"/>
          <w:szCs w:val="24"/>
        </w:rPr>
        <w:t>,</w:t>
      </w:r>
      <w:r w:rsidR="00502FA2">
        <w:rPr>
          <w:rStyle w:val="Numeropagina"/>
          <w:bCs/>
          <w:color w:val="000000" w:themeColor="text1"/>
          <w:sz w:val="24"/>
          <w:szCs w:val="24"/>
        </w:rPr>
        <w:t xml:space="preserve"> si sviluppa in una serie indefinita di soluzioni</w:t>
      </w:r>
      <w:r w:rsidR="00F24FB8">
        <w:rPr>
          <w:rStyle w:val="Rimandonotaapidipagina"/>
          <w:bCs/>
          <w:color w:val="000000" w:themeColor="text1"/>
          <w:sz w:val="24"/>
          <w:szCs w:val="24"/>
        </w:rPr>
        <w:footnoteReference w:id="11"/>
      </w:r>
      <w:r w:rsidR="00502FA2">
        <w:rPr>
          <w:rStyle w:val="Numeropagina"/>
          <w:bCs/>
          <w:color w:val="000000" w:themeColor="text1"/>
          <w:sz w:val="24"/>
          <w:szCs w:val="24"/>
        </w:rPr>
        <w:t>.</w:t>
      </w:r>
      <w:r w:rsidR="008F234D">
        <w:rPr>
          <w:rStyle w:val="Numeropagina"/>
          <w:bCs/>
          <w:color w:val="000000" w:themeColor="text1"/>
          <w:sz w:val="24"/>
          <w:szCs w:val="24"/>
        </w:rPr>
        <w:t xml:space="preserve"> In questi sensi </w:t>
      </w:r>
      <w:r w:rsidR="007B5E2B">
        <w:rPr>
          <w:rStyle w:val="Numeropagina"/>
          <w:bCs/>
          <w:color w:val="000000" w:themeColor="text1"/>
          <w:sz w:val="24"/>
          <w:szCs w:val="24"/>
        </w:rPr>
        <w:t xml:space="preserve">rapportare il </w:t>
      </w:r>
      <w:r w:rsidR="008F234D">
        <w:rPr>
          <w:rStyle w:val="Numeropagina"/>
          <w:bCs/>
          <w:color w:val="000000" w:themeColor="text1"/>
          <w:sz w:val="24"/>
          <w:szCs w:val="24"/>
        </w:rPr>
        <w:t>“</w:t>
      </w:r>
      <w:r w:rsidR="008F234D" w:rsidRPr="00A64337">
        <w:rPr>
          <w:rStyle w:val="Numeropagina"/>
          <w:bCs/>
          <w:i/>
          <w:iCs/>
          <w:color w:val="000000" w:themeColor="text1"/>
          <w:sz w:val="24"/>
          <w:szCs w:val="24"/>
        </w:rPr>
        <w:t>contributo umano</w:t>
      </w:r>
      <w:r w:rsidR="008F234D">
        <w:rPr>
          <w:rStyle w:val="Numeropagina"/>
          <w:bCs/>
          <w:color w:val="000000" w:themeColor="text1"/>
          <w:sz w:val="24"/>
          <w:szCs w:val="24"/>
        </w:rPr>
        <w:t xml:space="preserve">” all’intelligenza artificiale rischia di apparire </w:t>
      </w:r>
      <w:r w:rsidR="00C4418C">
        <w:rPr>
          <w:rStyle w:val="Numeropagina"/>
          <w:bCs/>
          <w:color w:val="000000" w:themeColor="text1"/>
          <w:sz w:val="24"/>
          <w:szCs w:val="24"/>
        </w:rPr>
        <w:t>dissonante</w:t>
      </w:r>
      <w:r w:rsidR="008F234D">
        <w:rPr>
          <w:rStyle w:val="Numeropagina"/>
          <w:bCs/>
          <w:color w:val="000000" w:themeColor="text1"/>
          <w:sz w:val="24"/>
          <w:szCs w:val="24"/>
        </w:rPr>
        <w:t xml:space="preserve">. </w:t>
      </w:r>
    </w:p>
    <w:p w14:paraId="79F45287" w14:textId="02A9009E" w:rsidR="00844488" w:rsidRDefault="008F234D"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Il punto, però, di maggior rilievo che interrogherà gli interpreti sarà, con ogni evidenza, l’ambito del</w:t>
      </w:r>
      <w:r w:rsidR="00467A01">
        <w:rPr>
          <w:rStyle w:val="Numeropagina"/>
          <w:bCs/>
          <w:color w:val="000000" w:themeColor="text1"/>
          <w:sz w:val="24"/>
          <w:szCs w:val="24"/>
        </w:rPr>
        <w:t>l’uso dell’intelligenza artificiale</w:t>
      </w:r>
      <w:r>
        <w:rPr>
          <w:rStyle w:val="Numeropagina"/>
          <w:bCs/>
          <w:color w:val="000000" w:themeColor="text1"/>
          <w:sz w:val="24"/>
          <w:szCs w:val="24"/>
        </w:rPr>
        <w:t>, ossia se questo dovrà essere limitato all’attività vincolata oppure</w:t>
      </w:r>
      <w:r w:rsidR="00467A01">
        <w:rPr>
          <w:rStyle w:val="Numeropagina"/>
          <w:bCs/>
          <w:color w:val="000000" w:themeColor="text1"/>
          <w:sz w:val="24"/>
          <w:szCs w:val="24"/>
        </w:rPr>
        <w:t xml:space="preserve"> </w:t>
      </w:r>
      <w:r>
        <w:rPr>
          <w:rStyle w:val="Numeropagina"/>
          <w:bCs/>
          <w:color w:val="000000" w:themeColor="text1"/>
          <w:sz w:val="24"/>
          <w:szCs w:val="24"/>
        </w:rPr>
        <w:t>vedrà un’utilizzazione anche in ambito discrezionale</w:t>
      </w:r>
      <w:r w:rsidR="00467A01">
        <w:rPr>
          <w:rStyle w:val="Numeropagina"/>
          <w:bCs/>
          <w:color w:val="000000" w:themeColor="text1"/>
          <w:sz w:val="24"/>
          <w:szCs w:val="24"/>
        </w:rPr>
        <w:t xml:space="preserve">. Il legislatore del Codice non </w:t>
      </w:r>
      <w:r>
        <w:rPr>
          <w:rStyle w:val="Numeropagina"/>
          <w:bCs/>
          <w:color w:val="000000" w:themeColor="text1"/>
          <w:sz w:val="24"/>
          <w:szCs w:val="24"/>
        </w:rPr>
        <w:t>si pronuncia espressamente e non ci dice se</w:t>
      </w:r>
      <w:r w:rsidR="00467A01">
        <w:rPr>
          <w:rStyle w:val="Numeropagina"/>
          <w:bCs/>
          <w:color w:val="000000" w:themeColor="text1"/>
          <w:sz w:val="24"/>
          <w:szCs w:val="24"/>
        </w:rPr>
        <w:t xml:space="preserve"> l’intelligenza artificiale e </w:t>
      </w:r>
      <w:r>
        <w:rPr>
          <w:rStyle w:val="Numeropagina"/>
          <w:bCs/>
          <w:color w:val="000000" w:themeColor="text1"/>
          <w:sz w:val="24"/>
          <w:szCs w:val="24"/>
        </w:rPr>
        <w:t>il procedimento automatizzato</w:t>
      </w:r>
      <w:r w:rsidR="00467A01">
        <w:rPr>
          <w:rStyle w:val="Numeropagina"/>
          <w:bCs/>
          <w:color w:val="000000" w:themeColor="text1"/>
          <w:sz w:val="24"/>
          <w:szCs w:val="24"/>
        </w:rPr>
        <w:t xml:space="preserve"> </w:t>
      </w:r>
      <w:r>
        <w:rPr>
          <w:rStyle w:val="Numeropagina"/>
          <w:bCs/>
          <w:color w:val="000000" w:themeColor="text1"/>
          <w:sz w:val="24"/>
          <w:szCs w:val="24"/>
        </w:rPr>
        <w:t>dovranno</w:t>
      </w:r>
      <w:r w:rsidR="00467A01">
        <w:rPr>
          <w:rStyle w:val="Numeropagina"/>
          <w:bCs/>
          <w:color w:val="000000" w:themeColor="text1"/>
          <w:sz w:val="24"/>
          <w:szCs w:val="24"/>
        </w:rPr>
        <w:t xml:space="preserve"> essere limitati all’ambito delle scelte vincolate.</w:t>
      </w:r>
      <w:r>
        <w:rPr>
          <w:rStyle w:val="Numeropagina"/>
          <w:bCs/>
          <w:color w:val="000000" w:themeColor="text1"/>
          <w:sz w:val="24"/>
          <w:szCs w:val="24"/>
        </w:rPr>
        <w:t xml:space="preserve"> Probabilmente (si tratta di una constatazione intuitiva) il fatto di avere strumenti tanto rilevanti </w:t>
      </w:r>
      <w:r w:rsidR="00456A74">
        <w:rPr>
          <w:rStyle w:val="Numeropagina"/>
          <w:bCs/>
          <w:color w:val="000000" w:themeColor="text1"/>
          <w:sz w:val="24"/>
          <w:szCs w:val="24"/>
        </w:rPr>
        <w:t>per</w:t>
      </w:r>
      <w:r>
        <w:rPr>
          <w:rStyle w:val="Numeropagina"/>
          <w:bCs/>
          <w:color w:val="000000" w:themeColor="text1"/>
          <w:sz w:val="24"/>
          <w:szCs w:val="24"/>
        </w:rPr>
        <w:t xml:space="preserve"> limitarli alla sola fase vincolata non avrebbe un senso logico compiuto quindi viene da sé che i procedimenti automatizzati, potenzialmente, potranno essere</w:t>
      </w:r>
      <w:r w:rsidR="002D124E">
        <w:rPr>
          <w:rStyle w:val="Numeropagina"/>
          <w:bCs/>
          <w:color w:val="000000" w:themeColor="text1"/>
          <w:sz w:val="24"/>
          <w:szCs w:val="24"/>
        </w:rPr>
        <w:t>,</w:t>
      </w:r>
      <w:r>
        <w:rPr>
          <w:rStyle w:val="Numeropagina"/>
          <w:bCs/>
          <w:color w:val="000000" w:themeColor="text1"/>
          <w:sz w:val="24"/>
          <w:szCs w:val="24"/>
        </w:rPr>
        <w:t xml:space="preserve"> certamente</w:t>
      </w:r>
      <w:r w:rsidR="002D124E">
        <w:rPr>
          <w:rStyle w:val="Numeropagina"/>
          <w:bCs/>
          <w:color w:val="000000" w:themeColor="text1"/>
          <w:sz w:val="24"/>
          <w:szCs w:val="24"/>
        </w:rPr>
        <w:t>,</w:t>
      </w:r>
      <w:r>
        <w:rPr>
          <w:rStyle w:val="Numeropagina"/>
          <w:bCs/>
          <w:color w:val="000000" w:themeColor="text1"/>
          <w:sz w:val="24"/>
          <w:szCs w:val="24"/>
        </w:rPr>
        <w:t xml:space="preserve"> utilizzati anche per determinare e definire scelte discrezionali. </w:t>
      </w:r>
    </w:p>
    <w:p w14:paraId="75F5E9C5" w14:textId="219022EA" w:rsidR="00651B08" w:rsidRDefault="00467A01"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Qui lo scontro, seppur solo iniziale, è già marcato e netto e</w:t>
      </w:r>
      <w:r w:rsidR="008F234D">
        <w:rPr>
          <w:rStyle w:val="Numeropagina"/>
          <w:bCs/>
          <w:color w:val="000000" w:themeColor="text1"/>
          <w:sz w:val="24"/>
          <w:szCs w:val="24"/>
        </w:rPr>
        <w:t xml:space="preserve"> vede contrapporsi due recenti </w:t>
      </w:r>
      <w:r w:rsidR="00275ADB">
        <w:rPr>
          <w:rStyle w:val="Numeropagina"/>
          <w:bCs/>
          <w:color w:val="000000" w:themeColor="text1"/>
          <w:sz w:val="24"/>
          <w:szCs w:val="24"/>
        </w:rPr>
        <w:t xml:space="preserve">indirizzi </w:t>
      </w:r>
      <w:r w:rsidR="00651B08">
        <w:rPr>
          <w:rStyle w:val="Numeropagina"/>
          <w:bCs/>
          <w:color w:val="000000" w:themeColor="text1"/>
          <w:sz w:val="24"/>
          <w:szCs w:val="24"/>
        </w:rPr>
        <w:t>del Consiglio di Stato (medesima sezione) che giungono a soluzioni diametralmente opposte.</w:t>
      </w:r>
    </w:p>
    <w:p w14:paraId="034F4C0F" w14:textId="57625DD9" w:rsidR="00467A01" w:rsidRDefault="007029B9"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 </w:t>
      </w:r>
      <w:r w:rsidR="00651B08">
        <w:rPr>
          <w:rStyle w:val="Numeropagina"/>
          <w:bCs/>
          <w:color w:val="000000" w:themeColor="text1"/>
          <w:sz w:val="24"/>
          <w:szCs w:val="24"/>
        </w:rPr>
        <w:t xml:space="preserve">Da un lato la sentenza </w:t>
      </w:r>
      <w:r>
        <w:rPr>
          <w:rStyle w:val="Numeropagina"/>
          <w:bCs/>
          <w:color w:val="000000" w:themeColor="text1"/>
          <w:sz w:val="24"/>
          <w:szCs w:val="24"/>
        </w:rPr>
        <w:t>n. 2270</w:t>
      </w:r>
      <w:r w:rsidR="00651B08">
        <w:rPr>
          <w:rStyle w:val="Numeropagina"/>
          <w:bCs/>
          <w:color w:val="000000" w:themeColor="text1"/>
          <w:sz w:val="24"/>
          <w:szCs w:val="24"/>
        </w:rPr>
        <w:t xml:space="preserve"> dell’8.04.</w:t>
      </w:r>
      <w:r>
        <w:rPr>
          <w:rStyle w:val="Numeropagina"/>
          <w:bCs/>
          <w:color w:val="000000" w:themeColor="text1"/>
          <w:sz w:val="24"/>
          <w:szCs w:val="24"/>
        </w:rPr>
        <w:t xml:space="preserve">2019 </w:t>
      </w:r>
      <w:r w:rsidR="00651B08">
        <w:rPr>
          <w:rStyle w:val="Numeropagina"/>
          <w:bCs/>
          <w:color w:val="000000" w:themeColor="text1"/>
          <w:sz w:val="24"/>
          <w:szCs w:val="24"/>
        </w:rPr>
        <w:t>precisa</w:t>
      </w:r>
      <w:r>
        <w:rPr>
          <w:rStyle w:val="Numeropagina"/>
          <w:bCs/>
          <w:color w:val="000000" w:themeColor="text1"/>
          <w:sz w:val="24"/>
          <w:szCs w:val="24"/>
        </w:rPr>
        <w:t>: “</w:t>
      </w:r>
      <w:r w:rsidRPr="00651B08">
        <w:rPr>
          <w:rStyle w:val="Numeropagina"/>
          <w:bCs/>
          <w:i/>
          <w:iCs/>
          <w:color w:val="000000" w:themeColor="text1"/>
          <w:sz w:val="24"/>
          <w:szCs w:val="24"/>
        </w:rPr>
        <w:t>L’utilità di tale modalità operativa di gestione dell’interesse pubblico è particolarmente evidente con riferimento a procedure seriali o standardizzate, implicanti l’elaborazione di ingenti quantità di istanze e caratterizzate dall’acquisizione di dati certi ed oggettivamente comprovabili e dall’assenza di ogni apprezzamento discrezionale</w:t>
      </w:r>
      <w:r w:rsidR="00275ADB">
        <w:rPr>
          <w:rStyle w:val="Numeropagina"/>
          <w:bCs/>
          <w:i/>
          <w:iCs/>
          <w:color w:val="000000" w:themeColor="text1"/>
          <w:sz w:val="24"/>
          <w:szCs w:val="24"/>
        </w:rPr>
        <w:t xml:space="preserve"> </w:t>
      </w:r>
      <w:r w:rsidRPr="00651B08">
        <w:rPr>
          <w:rStyle w:val="Numeropagina"/>
          <w:bCs/>
          <w:i/>
          <w:iCs/>
          <w:color w:val="000000" w:themeColor="text1"/>
          <w:sz w:val="24"/>
          <w:szCs w:val="24"/>
        </w:rPr>
        <w:t>…</w:t>
      </w:r>
      <w:r w:rsidR="00275ADB">
        <w:rPr>
          <w:rStyle w:val="Numeropagina"/>
          <w:bCs/>
          <w:i/>
          <w:iCs/>
          <w:color w:val="000000" w:themeColor="text1"/>
          <w:sz w:val="24"/>
          <w:szCs w:val="24"/>
        </w:rPr>
        <w:t xml:space="preserve"> </w:t>
      </w:r>
      <w:r w:rsidRPr="00651B08">
        <w:rPr>
          <w:rStyle w:val="Numeropagina"/>
          <w:bCs/>
          <w:i/>
          <w:iCs/>
          <w:color w:val="000000" w:themeColor="text1"/>
          <w:sz w:val="24"/>
          <w:szCs w:val="24"/>
        </w:rPr>
        <w:t>l’utilizzo di una procedura informatica che conduca direttamente alla decisione finale non deve essere stigmatizzata, ma anzi, in linea di massima, incoraggiata: essa comporta infatti numerosi vantaggi quali, ad esempio, la notevole riduzione della tempistica procedimentale per operazioni meramente ripetitive e prive di discrezionalità …</w:t>
      </w:r>
      <w:r w:rsidR="003D0B1C">
        <w:rPr>
          <w:rStyle w:val="Numeropagina"/>
          <w:bCs/>
          <w:i/>
          <w:iCs/>
          <w:color w:val="000000" w:themeColor="text1"/>
          <w:sz w:val="24"/>
          <w:szCs w:val="24"/>
        </w:rPr>
        <w:t xml:space="preserve"> </w:t>
      </w:r>
      <w:r w:rsidRPr="00651B08">
        <w:rPr>
          <w:rStyle w:val="Numeropagina"/>
          <w:bCs/>
          <w:i/>
          <w:iCs/>
          <w:color w:val="000000" w:themeColor="text1"/>
          <w:sz w:val="24"/>
          <w:szCs w:val="24"/>
        </w:rPr>
        <w:t>L’utilizzo di procedure “robotizzate” non può, tuttavia, essere motivo di elusione dei princìpi che conformano il nostro ordinamento e che regolano lo svolgersi dell’attività amministrativa. Difatti, la regola tecnica che governa ciascun algoritmo resta pur sempre una regola amministrativa generale, costruita dall’uomo e non dalla macchina, per essere poi (solo) applicata da quest’ultima, anche se ciò avviene in via esclusiva. Questa regola algoritmica, quindi: - possiede una piena valenza giuridica e amministrativa, anche se viene declinata in forma matematica … non può lasciare spazi applicativi discrezionali (di cui l’elaboratore elettronico è privo), ma deve prevedere con ragionevolezza una soluzione definita per tutti i casi possibili, anche i più improbabili (e ciò la rende in parte diversa da molte regole amministrative generali); la discrezionalità amministrativa, se senz’altro non può essere demandata al software, è quindi da rintracciarsi al momento dell’elaborazione dello strumento digitale</w:t>
      </w:r>
      <w:r>
        <w:rPr>
          <w:rStyle w:val="Numeropagina"/>
          <w:bCs/>
          <w:color w:val="000000" w:themeColor="text1"/>
          <w:sz w:val="24"/>
          <w:szCs w:val="24"/>
        </w:rPr>
        <w:t>”.</w:t>
      </w:r>
    </w:p>
    <w:p w14:paraId="508E8FC2" w14:textId="23DD010D" w:rsidR="007029B9" w:rsidRDefault="00651B08"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Viene, in buona sostanza,</w:t>
      </w:r>
      <w:r w:rsidR="007029B9">
        <w:rPr>
          <w:rStyle w:val="Numeropagina"/>
          <w:bCs/>
          <w:color w:val="000000" w:themeColor="text1"/>
          <w:sz w:val="24"/>
          <w:szCs w:val="24"/>
        </w:rPr>
        <w:t xml:space="preserve"> disconosciuta qualunque possibile applicazione a scelte discrezionali</w:t>
      </w:r>
      <w:r>
        <w:rPr>
          <w:rStyle w:val="Numeropagina"/>
          <w:bCs/>
          <w:color w:val="000000" w:themeColor="text1"/>
          <w:sz w:val="24"/>
          <w:szCs w:val="24"/>
        </w:rPr>
        <w:t>,</w:t>
      </w:r>
      <w:r w:rsidR="007029B9">
        <w:rPr>
          <w:rStyle w:val="Numeropagina"/>
          <w:bCs/>
          <w:color w:val="000000" w:themeColor="text1"/>
          <w:sz w:val="24"/>
          <w:szCs w:val="24"/>
        </w:rPr>
        <w:t xml:space="preserve"> da parte della P.A., </w:t>
      </w:r>
      <w:r>
        <w:rPr>
          <w:rStyle w:val="Numeropagina"/>
          <w:bCs/>
          <w:color w:val="000000" w:themeColor="text1"/>
          <w:sz w:val="24"/>
          <w:szCs w:val="24"/>
        </w:rPr>
        <w:t xml:space="preserve">mediante “procedure robotizzate”, </w:t>
      </w:r>
      <w:r w:rsidR="007029B9">
        <w:rPr>
          <w:rStyle w:val="Numeropagina"/>
          <w:bCs/>
          <w:color w:val="000000" w:themeColor="text1"/>
          <w:sz w:val="24"/>
          <w:szCs w:val="24"/>
        </w:rPr>
        <w:t>rinvenendo tale potere solo a monte</w:t>
      </w:r>
      <w:r w:rsidR="00462978">
        <w:rPr>
          <w:rStyle w:val="Numeropagina"/>
          <w:bCs/>
          <w:color w:val="000000" w:themeColor="text1"/>
          <w:sz w:val="24"/>
          <w:szCs w:val="24"/>
        </w:rPr>
        <w:t xml:space="preserve"> – quindi nella scelta dell’algoritmo e della sua </w:t>
      </w:r>
      <w:r>
        <w:rPr>
          <w:rStyle w:val="Numeropagina"/>
          <w:bCs/>
          <w:color w:val="000000" w:themeColor="text1"/>
          <w:sz w:val="24"/>
          <w:szCs w:val="24"/>
        </w:rPr>
        <w:t>applicazione</w:t>
      </w:r>
      <w:r w:rsidR="00462978">
        <w:rPr>
          <w:rStyle w:val="Numeropagina"/>
          <w:bCs/>
          <w:color w:val="000000" w:themeColor="text1"/>
          <w:sz w:val="24"/>
          <w:szCs w:val="24"/>
        </w:rPr>
        <w:t xml:space="preserve"> – ma non nella definizione del procedimento.</w:t>
      </w:r>
      <w:r>
        <w:rPr>
          <w:rStyle w:val="Numeropagina"/>
          <w:bCs/>
          <w:color w:val="000000" w:themeColor="text1"/>
          <w:sz w:val="24"/>
          <w:szCs w:val="24"/>
        </w:rPr>
        <w:t xml:space="preserve"> In quanto l’elaboratore è</w:t>
      </w:r>
      <w:r w:rsidR="00F17A87">
        <w:rPr>
          <w:rStyle w:val="Numeropagina"/>
          <w:bCs/>
          <w:color w:val="000000" w:themeColor="text1"/>
          <w:sz w:val="24"/>
          <w:szCs w:val="24"/>
        </w:rPr>
        <w:t xml:space="preserve"> (deve essere?)</w:t>
      </w:r>
      <w:r>
        <w:rPr>
          <w:rStyle w:val="Numeropagina"/>
          <w:bCs/>
          <w:color w:val="000000" w:themeColor="text1"/>
          <w:sz w:val="24"/>
          <w:szCs w:val="24"/>
        </w:rPr>
        <w:t xml:space="preserve"> privo di spazi discrezionali</w:t>
      </w:r>
      <w:r w:rsidR="001A03E3">
        <w:rPr>
          <w:rStyle w:val="Numeropagina"/>
          <w:bCs/>
          <w:color w:val="000000" w:themeColor="text1"/>
          <w:sz w:val="24"/>
          <w:szCs w:val="24"/>
        </w:rPr>
        <w:t xml:space="preserve"> poiché, appunto, “</w:t>
      </w:r>
      <w:r w:rsidR="001A03E3" w:rsidRPr="00651B08">
        <w:rPr>
          <w:rStyle w:val="Numeropagina"/>
          <w:bCs/>
          <w:i/>
          <w:iCs/>
          <w:color w:val="000000" w:themeColor="text1"/>
          <w:sz w:val="24"/>
          <w:szCs w:val="24"/>
        </w:rPr>
        <w:t>deve prevedere con ragionevolezza una soluzione definita per tutti i casi possibili, anche i più improbabili</w:t>
      </w:r>
      <w:r w:rsidR="001A03E3" w:rsidRPr="001A03E3">
        <w:rPr>
          <w:rStyle w:val="Numeropagina"/>
          <w:bCs/>
          <w:color w:val="000000" w:themeColor="text1"/>
          <w:sz w:val="24"/>
          <w:szCs w:val="24"/>
        </w:rPr>
        <w:t>”</w:t>
      </w:r>
      <w:r w:rsidR="001A03E3">
        <w:rPr>
          <w:rStyle w:val="Numeropagina"/>
          <w:bCs/>
          <w:color w:val="000000" w:themeColor="text1"/>
          <w:sz w:val="24"/>
          <w:szCs w:val="24"/>
        </w:rPr>
        <w:t>.</w:t>
      </w:r>
    </w:p>
    <w:p w14:paraId="778CC756" w14:textId="6EE30F23" w:rsidR="00462978" w:rsidRDefault="001A03E3"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La decisione automatizzata</w:t>
      </w:r>
      <w:r w:rsidR="00462978">
        <w:rPr>
          <w:rStyle w:val="Numeropagina"/>
          <w:bCs/>
          <w:color w:val="000000" w:themeColor="text1"/>
          <w:sz w:val="24"/>
          <w:szCs w:val="24"/>
        </w:rPr>
        <w:t xml:space="preserve"> è</w:t>
      </w:r>
      <w:r>
        <w:rPr>
          <w:rStyle w:val="Numeropagina"/>
          <w:bCs/>
          <w:color w:val="000000" w:themeColor="text1"/>
          <w:sz w:val="24"/>
          <w:szCs w:val="24"/>
        </w:rPr>
        <w:t>,</w:t>
      </w:r>
      <w:r w:rsidR="00462978">
        <w:rPr>
          <w:rStyle w:val="Numeropagina"/>
          <w:bCs/>
          <w:color w:val="000000" w:themeColor="text1"/>
          <w:sz w:val="24"/>
          <w:szCs w:val="24"/>
        </w:rPr>
        <w:t xml:space="preserve"> insomma</w:t>
      </w:r>
      <w:r>
        <w:rPr>
          <w:rStyle w:val="Numeropagina"/>
          <w:bCs/>
          <w:color w:val="000000" w:themeColor="text1"/>
          <w:sz w:val="24"/>
          <w:szCs w:val="24"/>
        </w:rPr>
        <w:t>,</w:t>
      </w:r>
      <w:r w:rsidR="00462978">
        <w:rPr>
          <w:rStyle w:val="Numeropagina"/>
          <w:bCs/>
          <w:color w:val="000000" w:themeColor="text1"/>
          <w:sz w:val="24"/>
          <w:szCs w:val="24"/>
        </w:rPr>
        <w:t xml:space="preserve"> applicabile, per questa </w:t>
      </w:r>
      <w:r w:rsidR="002A5D65">
        <w:rPr>
          <w:rStyle w:val="Numeropagina"/>
          <w:bCs/>
          <w:color w:val="000000" w:themeColor="text1"/>
          <w:sz w:val="24"/>
          <w:szCs w:val="24"/>
        </w:rPr>
        <w:t>decisione</w:t>
      </w:r>
      <w:r w:rsidR="00462978">
        <w:rPr>
          <w:rStyle w:val="Numeropagina"/>
          <w:bCs/>
          <w:color w:val="000000" w:themeColor="text1"/>
          <w:sz w:val="24"/>
          <w:szCs w:val="24"/>
        </w:rPr>
        <w:t xml:space="preserve">, alle sole </w:t>
      </w:r>
      <w:r w:rsidR="002A5D65">
        <w:rPr>
          <w:rStyle w:val="Numeropagina"/>
          <w:bCs/>
          <w:color w:val="000000" w:themeColor="text1"/>
          <w:sz w:val="24"/>
          <w:szCs w:val="24"/>
        </w:rPr>
        <w:t>scelte</w:t>
      </w:r>
      <w:r w:rsidR="00462978">
        <w:rPr>
          <w:rStyle w:val="Numeropagina"/>
          <w:bCs/>
          <w:color w:val="000000" w:themeColor="text1"/>
          <w:sz w:val="24"/>
          <w:szCs w:val="24"/>
        </w:rPr>
        <w:t xml:space="preserve"> vincolate.</w:t>
      </w:r>
    </w:p>
    <w:p w14:paraId="30C302E5" w14:textId="602E323A" w:rsidR="00462978" w:rsidRDefault="001A03E3"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Solo </w:t>
      </w:r>
      <w:r w:rsidR="00462978">
        <w:rPr>
          <w:rStyle w:val="Numeropagina"/>
          <w:bCs/>
          <w:color w:val="000000" w:themeColor="text1"/>
          <w:sz w:val="24"/>
          <w:szCs w:val="24"/>
        </w:rPr>
        <w:t>pochi mesi</w:t>
      </w:r>
      <w:r>
        <w:rPr>
          <w:rStyle w:val="Numeropagina"/>
          <w:bCs/>
          <w:color w:val="000000" w:themeColor="text1"/>
          <w:sz w:val="24"/>
          <w:szCs w:val="24"/>
        </w:rPr>
        <w:t xml:space="preserve"> più tardi si è,</w:t>
      </w:r>
      <w:r w:rsidR="00462978">
        <w:rPr>
          <w:rStyle w:val="Numeropagina"/>
          <w:bCs/>
          <w:color w:val="000000" w:themeColor="text1"/>
          <w:sz w:val="24"/>
          <w:szCs w:val="24"/>
        </w:rPr>
        <w:t xml:space="preserve"> però</w:t>
      </w:r>
      <w:r>
        <w:rPr>
          <w:rStyle w:val="Numeropagina"/>
          <w:bCs/>
          <w:color w:val="000000" w:themeColor="text1"/>
          <w:sz w:val="24"/>
          <w:szCs w:val="24"/>
        </w:rPr>
        <w:t>,</w:t>
      </w:r>
      <w:r w:rsidR="00462978">
        <w:rPr>
          <w:rStyle w:val="Numeropagina"/>
          <w:bCs/>
          <w:color w:val="000000" w:themeColor="text1"/>
          <w:sz w:val="24"/>
          <w:szCs w:val="24"/>
        </w:rPr>
        <w:t xml:space="preserve"> avuta altra decisione, sempre della VI sezione, che ha radicalmente </w:t>
      </w:r>
      <w:r>
        <w:rPr>
          <w:rStyle w:val="Numeropagina"/>
          <w:bCs/>
          <w:color w:val="000000" w:themeColor="text1"/>
          <w:sz w:val="24"/>
          <w:szCs w:val="24"/>
        </w:rPr>
        <w:t>rivisto le conclusioni cui era giunto</w:t>
      </w:r>
      <w:r w:rsidR="00462978">
        <w:rPr>
          <w:rStyle w:val="Numeropagina"/>
          <w:bCs/>
          <w:color w:val="000000" w:themeColor="text1"/>
          <w:sz w:val="24"/>
          <w:szCs w:val="24"/>
        </w:rPr>
        <w:t xml:space="preserve"> il precedente arresto</w:t>
      </w:r>
      <w:r>
        <w:rPr>
          <w:rStyle w:val="Numeropagina"/>
          <w:bCs/>
          <w:color w:val="000000" w:themeColor="text1"/>
          <w:sz w:val="24"/>
          <w:szCs w:val="24"/>
        </w:rPr>
        <w:t xml:space="preserve"> e, a queste, ha guardato, facendole proprie, il legislatore del nuovo Codice quando ha strutturato l’art. 30</w:t>
      </w:r>
      <w:r w:rsidR="00462978">
        <w:rPr>
          <w:rStyle w:val="Numeropagina"/>
          <w:bCs/>
          <w:color w:val="000000" w:themeColor="text1"/>
          <w:sz w:val="24"/>
          <w:szCs w:val="24"/>
        </w:rPr>
        <w:t>.</w:t>
      </w:r>
    </w:p>
    <w:p w14:paraId="295D7619" w14:textId="6F7163AF" w:rsidR="00494254" w:rsidRDefault="00462978"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La sentenza</w:t>
      </w:r>
      <w:r w:rsidR="001A03E3">
        <w:rPr>
          <w:rStyle w:val="Numeropagina"/>
          <w:bCs/>
          <w:color w:val="000000" w:themeColor="text1"/>
          <w:sz w:val="24"/>
          <w:szCs w:val="24"/>
        </w:rPr>
        <w:t>, sez. VI,</w:t>
      </w:r>
      <w:r>
        <w:rPr>
          <w:rStyle w:val="Numeropagina"/>
          <w:bCs/>
          <w:color w:val="000000" w:themeColor="text1"/>
          <w:sz w:val="24"/>
          <w:szCs w:val="24"/>
        </w:rPr>
        <w:t xml:space="preserve"> n. 8472</w:t>
      </w:r>
      <w:r w:rsidR="001A03E3">
        <w:rPr>
          <w:rStyle w:val="Numeropagina"/>
          <w:bCs/>
          <w:color w:val="000000" w:themeColor="text1"/>
          <w:sz w:val="24"/>
          <w:szCs w:val="24"/>
        </w:rPr>
        <w:t xml:space="preserve"> del 13.12.</w:t>
      </w:r>
      <w:r>
        <w:rPr>
          <w:rStyle w:val="Numeropagina"/>
          <w:bCs/>
          <w:color w:val="000000" w:themeColor="text1"/>
          <w:sz w:val="24"/>
          <w:szCs w:val="24"/>
        </w:rPr>
        <w:t xml:space="preserve">2019 ha ritenuto, invece, non </w:t>
      </w:r>
      <w:r w:rsidR="00340669">
        <w:rPr>
          <w:rStyle w:val="Numeropagina"/>
          <w:bCs/>
          <w:color w:val="000000" w:themeColor="text1"/>
          <w:sz w:val="24"/>
          <w:szCs w:val="24"/>
        </w:rPr>
        <w:t>ostare</w:t>
      </w:r>
      <w:r>
        <w:rPr>
          <w:rStyle w:val="Numeropagina"/>
          <w:bCs/>
          <w:color w:val="000000" w:themeColor="text1"/>
          <w:sz w:val="24"/>
          <w:szCs w:val="24"/>
        </w:rPr>
        <w:t xml:space="preserve"> “</w:t>
      </w:r>
      <w:r>
        <w:rPr>
          <w:rStyle w:val="Numeropagina"/>
          <w:bCs/>
          <w:i/>
          <w:iCs/>
          <w:color w:val="000000" w:themeColor="text1"/>
          <w:sz w:val="24"/>
          <w:szCs w:val="24"/>
        </w:rPr>
        <w:t>ragioni di principio, ovvero concrete, per limitare l’utilizzo all’attività amministrativa vincolata piuttosto che discrezionale, entrambe di espressione autoritativa svolta nel perseguimento del pubblico interesse</w:t>
      </w:r>
      <w:r>
        <w:rPr>
          <w:rStyle w:val="Numeropagina"/>
          <w:bCs/>
          <w:color w:val="000000" w:themeColor="text1"/>
          <w:sz w:val="24"/>
          <w:szCs w:val="24"/>
        </w:rPr>
        <w:t>”</w:t>
      </w:r>
      <w:r w:rsidR="001A03E3">
        <w:rPr>
          <w:rStyle w:val="Numeropagina"/>
          <w:bCs/>
          <w:color w:val="000000" w:themeColor="text1"/>
          <w:sz w:val="24"/>
          <w:szCs w:val="24"/>
        </w:rPr>
        <w:t>.</w:t>
      </w:r>
      <w:r w:rsidR="00494254">
        <w:rPr>
          <w:rStyle w:val="Numeropagina"/>
          <w:bCs/>
          <w:color w:val="000000" w:themeColor="text1"/>
          <w:sz w:val="24"/>
          <w:szCs w:val="24"/>
        </w:rPr>
        <w:t xml:space="preserve"> </w:t>
      </w:r>
      <w:r w:rsidR="00340669">
        <w:rPr>
          <w:rStyle w:val="Numeropagina"/>
          <w:bCs/>
          <w:color w:val="000000" w:themeColor="text1"/>
          <w:sz w:val="24"/>
          <w:szCs w:val="24"/>
        </w:rPr>
        <w:t>Sulla base di</w:t>
      </w:r>
      <w:r w:rsidR="00494254">
        <w:rPr>
          <w:rStyle w:val="Numeropagina"/>
          <w:bCs/>
          <w:color w:val="000000" w:themeColor="text1"/>
          <w:sz w:val="24"/>
          <w:szCs w:val="24"/>
        </w:rPr>
        <w:t xml:space="preserve"> un</w:t>
      </w:r>
      <w:r w:rsidR="00340669">
        <w:rPr>
          <w:rStyle w:val="Numeropagina"/>
          <w:bCs/>
          <w:color w:val="000000" w:themeColor="text1"/>
          <w:sz w:val="24"/>
          <w:szCs w:val="24"/>
        </w:rPr>
        <w:t xml:space="preserve"> </w:t>
      </w:r>
      <w:r w:rsidR="001A03E3">
        <w:rPr>
          <w:rStyle w:val="Numeropagina"/>
          <w:bCs/>
          <w:color w:val="000000" w:themeColor="text1"/>
          <w:sz w:val="24"/>
          <w:szCs w:val="24"/>
        </w:rPr>
        <w:t>passaggio</w:t>
      </w:r>
      <w:r w:rsidR="00494254">
        <w:rPr>
          <w:rStyle w:val="Numeropagina"/>
          <w:bCs/>
          <w:color w:val="000000" w:themeColor="text1"/>
          <w:sz w:val="24"/>
          <w:szCs w:val="24"/>
        </w:rPr>
        <w:t xml:space="preserve"> motivazion</w:t>
      </w:r>
      <w:r w:rsidR="001A03E3">
        <w:rPr>
          <w:rStyle w:val="Numeropagina"/>
          <w:bCs/>
          <w:color w:val="000000" w:themeColor="text1"/>
          <w:sz w:val="24"/>
          <w:szCs w:val="24"/>
        </w:rPr>
        <w:t>ale</w:t>
      </w:r>
      <w:r w:rsidR="00494254">
        <w:rPr>
          <w:rStyle w:val="Numeropagina"/>
          <w:bCs/>
          <w:color w:val="000000" w:themeColor="text1"/>
          <w:sz w:val="24"/>
          <w:szCs w:val="24"/>
        </w:rPr>
        <w:t xml:space="preserve">, </w:t>
      </w:r>
      <w:r w:rsidR="001A03E3">
        <w:rPr>
          <w:rStyle w:val="Numeropagina"/>
          <w:bCs/>
          <w:color w:val="000000" w:themeColor="text1"/>
          <w:sz w:val="24"/>
          <w:szCs w:val="24"/>
        </w:rPr>
        <w:t>teso, sostanzialmente, a de</w:t>
      </w:r>
      <w:r w:rsidR="00340669">
        <w:rPr>
          <w:rStyle w:val="Numeropagina"/>
          <w:bCs/>
          <w:color w:val="000000" w:themeColor="text1"/>
          <w:sz w:val="24"/>
          <w:szCs w:val="24"/>
        </w:rPr>
        <w:t>rubricare</w:t>
      </w:r>
      <w:r w:rsidR="00494254">
        <w:rPr>
          <w:rStyle w:val="Numeropagina"/>
          <w:bCs/>
          <w:color w:val="000000" w:themeColor="text1"/>
          <w:sz w:val="24"/>
          <w:szCs w:val="24"/>
        </w:rPr>
        <w:t xml:space="preserve"> la distinzione tra attività vincolata e discrezionale</w:t>
      </w:r>
      <w:r w:rsidR="001A03E3">
        <w:rPr>
          <w:rStyle w:val="Numeropagina"/>
          <w:bCs/>
          <w:color w:val="000000" w:themeColor="text1"/>
          <w:sz w:val="24"/>
          <w:szCs w:val="24"/>
        </w:rPr>
        <w:t xml:space="preserve"> (</w:t>
      </w:r>
      <w:r w:rsidR="00494254">
        <w:rPr>
          <w:rStyle w:val="Numeropagina"/>
          <w:bCs/>
          <w:color w:val="000000" w:themeColor="text1"/>
          <w:sz w:val="24"/>
          <w:szCs w:val="24"/>
        </w:rPr>
        <w:t>“</w:t>
      </w:r>
      <w:r w:rsidR="00494254" w:rsidRPr="001A03E3">
        <w:rPr>
          <w:rStyle w:val="Numeropagina"/>
          <w:bCs/>
          <w:i/>
          <w:iCs/>
          <w:color w:val="000000" w:themeColor="text1"/>
          <w:sz w:val="24"/>
          <w:szCs w:val="24"/>
        </w:rPr>
        <w:t>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w:t>
      </w:r>
      <w:r w:rsidR="00494254" w:rsidRPr="001A03E3">
        <w:rPr>
          <w:rStyle w:val="Numeropagina"/>
          <w:bCs/>
          <w:color w:val="000000" w:themeColor="text1"/>
          <w:sz w:val="24"/>
          <w:szCs w:val="24"/>
        </w:rPr>
        <w:t>”</w:t>
      </w:r>
      <w:r w:rsidR="001A03E3">
        <w:rPr>
          <w:rStyle w:val="Numeropagina"/>
          <w:bCs/>
          <w:color w:val="000000" w:themeColor="text1"/>
          <w:sz w:val="24"/>
          <w:szCs w:val="24"/>
        </w:rPr>
        <w:t xml:space="preserve">) </w:t>
      </w:r>
      <w:r w:rsidR="004B2064">
        <w:rPr>
          <w:rStyle w:val="Numeropagina"/>
          <w:bCs/>
          <w:color w:val="000000" w:themeColor="text1"/>
          <w:sz w:val="24"/>
          <w:szCs w:val="24"/>
        </w:rPr>
        <w:t xml:space="preserve">la sentenza </w:t>
      </w:r>
      <w:r w:rsidR="001A03E3">
        <w:rPr>
          <w:rStyle w:val="Numeropagina"/>
          <w:bCs/>
          <w:color w:val="000000" w:themeColor="text1"/>
          <w:sz w:val="24"/>
          <w:szCs w:val="24"/>
        </w:rPr>
        <w:t xml:space="preserve">ha chiosato reputando </w:t>
      </w:r>
      <w:r w:rsidR="001A03E3" w:rsidRPr="00340669">
        <w:rPr>
          <w:rStyle w:val="Numeropagina"/>
          <w:bCs/>
          <w:color w:val="000000" w:themeColor="text1"/>
          <w:sz w:val="24"/>
          <w:szCs w:val="24"/>
        </w:rPr>
        <w:t>indifferente l’uso della decisione automatizzata tanto per le scelte discrezionali quanto per quelle vincolate.</w:t>
      </w:r>
      <w:r w:rsidR="001A03E3">
        <w:rPr>
          <w:rStyle w:val="Numeropagina"/>
          <w:bCs/>
          <w:color w:val="000000" w:themeColor="text1"/>
          <w:sz w:val="24"/>
          <w:szCs w:val="24"/>
        </w:rPr>
        <w:t xml:space="preserve"> </w:t>
      </w:r>
    </w:p>
    <w:p w14:paraId="64C9DBBF" w14:textId="315FB2EB" w:rsidR="00F32CF5" w:rsidRDefault="00340669"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Non è semplice, allo stato della (in verità inesistente) sperimentazione, comprendere se</w:t>
      </w:r>
      <w:r w:rsidR="00494254">
        <w:rPr>
          <w:rStyle w:val="Numeropagina"/>
          <w:bCs/>
          <w:color w:val="000000" w:themeColor="text1"/>
          <w:sz w:val="24"/>
          <w:szCs w:val="24"/>
        </w:rPr>
        <w:t xml:space="preserve"> l’algoritmo e, soprattutto, l’intelligenza artificiale </w:t>
      </w:r>
      <w:r w:rsidR="00757B6C">
        <w:rPr>
          <w:rStyle w:val="Numeropagina"/>
          <w:bCs/>
          <w:color w:val="000000" w:themeColor="text1"/>
          <w:sz w:val="24"/>
          <w:szCs w:val="24"/>
        </w:rPr>
        <w:t>potranno</w:t>
      </w:r>
      <w:r w:rsidR="00494254">
        <w:rPr>
          <w:rStyle w:val="Numeropagina"/>
          <w:bCs/>
          <w:color w:val="000000" w:themeColor="text1"/>
          <w:sz w:val="24"/>
          <w:szCs w:val="24"/>
        </w:rPr>
        <w:t xml:space="preserve"> realmente</w:t>
      </w:r>
      <w:r w:rsidR="00FC2035">
        <w:rPr>
          <w:rStyle w:val="Numeropagina"/>
          <w:bCs/>
          <w:color w:val="000000" w:themeColor="text1"/>
          <w:sz w:val="24"/>
          <w:szCs w:val="24"/>
        </w:rPr>
        <w:t>,</w:t>
      </w:r>
      <w:r w:rsidR="00494254">
        <w:rPr>
          <w:rStyle w:val="Numeropagina"/>
          <w:bCs/>
          <w:color w:val="000000" w:themeColor="text1"/>
          <w:sz w:val="24"/>
          <w:szCs w:val="24"/>
        </w:rPr>
        <w:t xml:space="preserve"> in modo efficace ed efficiente</w:t>
      </w:r>
      <w:r w:rsidR="00210840">
        <w:rPr>
          <w:rStyle w:val="Numeropagina"/>
          <w:bCs/>
          <w:color w:val="000000" w:themeColor="text1"/>
          <w:sz w:val="24"/>
          <w:szCs w:val="24"/>
        </w:rPr>
        <w:t>,</w:t>
      </w:r>
      <w:r w:rsidR="00494254">
        <w:rPr>
          <w:rStyle w:val="Numeropagina"/>
          <w:bCs/>
          <w:color w:val="000000" w:themeColor="text1"/>
          <w:sz w:val="24"/>
          <w:szCs w:val="24"/>
        </w:rPr>
        <w:t xml:space="preserve"> </w:t>
      </w:r>
      <w:r>
        <w:rPr>
          <w:rStyle w:val="Numeropagina"/>
          <w:bCs/>
          <w:color w:val="000000" w:themeColor="text1"/>
          <w:sz w:val="24"/>
          <w:szCs w:val="24"/>
        </w:rPr>
        <w:t>rappresentare</w:t>
      </w:r>
      <w:r w:rsidR="008710A4">
        <w:rPr>
          <w:rStyle w:val="Numeropagina"/>
          <w:bCs/>
          <w:color w:val="000000" w:themeColor="text1"/>
          <w:sz w:val="24"/>
          <w:szCs w:val="24"/>
        </w:rPr>
        <w:t xml:space="preserve"> </w:t>
      </w:r>
      <w:r w:rsidR="00D878DA">
        <w:rPr>
          <w:rStyle w:val="Numeropagina"/>
          <w:bCs/>
          <w:color w:val="000000" w:themeColor="text1"/>
          <w:sz w:val="24"/>
          <w:szCs w:val="24"/>
        </w:rPr>
        <w:t xml:space="preserve">nel futuro </w:t>
      </w:r>
      <w:r w:rsidR="00F32CF5">
        <w:rPr>
          <w:rStyle w:val="Numeropagina"/>
          <w:bCs/>
          <w:color w:val="000000" w:themeColor="text1"/>
          <w:sz w:val="24"/>
          <w:szCs w:val="24"/>
        </w:rPr>
        <w:t>delle soluzioni adeguate</w:t>
      </w:r>
      <w:r w:rsidR="008710A4">
        <w:rPr>
          <w:rStyle w:val="Numeropagina"/>
          <w:bCs/>
          <w:color w:val="000000" w:themeColor="text1"/>
          <w:sz w:val="24"/>
          <w:szCs w:val="24"/>
        </w:rPr>
        <w:t xml:space="preserve"> </w:t>
      </w:r>
      <w:r>
        <w:rPr>
          <w:rStyle w:val="Numeropagina"/>
          <w:bCs/>
          <w:color w:val="000000" w:themeColor="text1"/>
          <w:sz w:val="24"/>
          <w:szCs w:val="24"/>
        </w:rPr>
        <w:t>per declinare delle compiute scelte discrezionali</w:t>
      </w:r>
      <w:r w:rsidR="0085563B">
        <w:rPr>
          <w:rStyle w:val="Numeropagina"/>
          <w:bCs/>
          <w:color w:val="000000" w:themeColor="text1"/>
          <w:sz w:val="24"/>
          <w:szCs w:val="24"/>
        </w:rPr>
        <w:t>.</w:t>
      </w:r>
    </w:p>
    <w:p w14:paraId="4C4855B4" w14:textId="6261E1F5" w:rsidR="009471FE" w:rsidRDefault="00340669" w:rsidP="008D67C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Può affermarsi come, effettivamente, in considerazione della situazione ancora </w:t>
      </w:r>
      <w:r>
        <w:rPr>
          <w:rStyle w:val="Numeropagina"/>
          <w:bCs/>
          <w:i/>
          <w:iCs/>
          <w:color w:val="000000" w:themeColor="text1"/>
          <w:sz w:val="24"/>
          <w:szCs w:val="24"/>
        </w:rPr>
        <w:t>in fieri</w:t>
      </w:r>
      <w:r>
        <w:rPr>
          <w:rStyle w:val="Numeropagina"/>
          <w:bCs/>
          <w:color w:val="000000" w:themeColor="text1"/>
          <w:sz w:val="24"/>
          <w:szCs w:val="24"/>
        </w:rPr>
        <w:t xml:space="preserve">, la </w:t>
      </w:r>
      <w:r w:rsidR="009471FE">
        <w:rPr>
          <w:rStyle w:val="Numeropagina"/>
          <w:bCs/>
          <w:color w:val="000000" w:themeColor="text1"/>
          <w:sz w:val="24"/>
          <w:szCs w:val="24"/>
        </w:rPr>
        <w:t xml:space="preserve">linea interpretativa più prudente di cui alla sentenza 2270/2019 </w:t>
      </w:r>
      <w:r w:rsidR="002845B1">
        <w:rPr>
          <w:rStyle w:val="Numeropagina"/>
          <w:bCs/>
          <w:color w:val="000000" w:themeColor="text1"/>
          <w:sz w:val="24"/>
          <w:szCs w:val="24"/>
        </w:rPr>
        <w:t xml:space="preserve">– che limita le procedure automatizzate alle sole scelte vincolate - </w:t>
      </w:r>
      <w:r>
        <w:rPr>
          <w:rStyle w:val="Numeropagina"/>
          <w:bCs/>
          <w:color w:val="000000" w:themeColor="text1"/>
          <w:sz w:val="24"/>
          <w:szCs w:val="24"/>
        </w:rPr>
        <w:t>si lasci apprezzare maggiormente</w:t>
      </w:r>
      <w:r w:rsidR="009471FE">
        <w:rPr>
          <w:rStyle w:val="Numeropagina"/>
          <w:bCs/>
          <w:color w:val="000000" w:themeColor="text1"/>
          <w:sz w:val="24"/>
          <w:szCs w:val="24"/>
        </w:rPr>
        <w:t>.</w:t>
      </w:r>
    </w:p>
    <w:p w14:paraId="13709118" w14:textId="49E73965" w:rsidR="00902965" w:rsidRDefault="001C7947"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Che </w:t>
      </w:r>
      <w:r w:rsidR="002845B1">
        <w:rPr>
          <w:rStyle w:val="Numeropagina"/>
          <w:bCs/>
          <w:color w:val="000000" w:themeColor="text1"/>
          <w:sz w:val="24"/>
          <w:szCs w:val="24"/>
        </w:rPr>
        <w:t>l’opzione prudenziale</w:t>
      </w:r>
      <w:r>
        <w:rPr>
          <w:rStyle w:val="Numeropagina"/>
          <w:bCs/>
          <w:color w:val="000000" w:themeColor="text1"/>
          <w:sz w:val="24"/>
          <w:szCs w:val="24"/>
        </w:rPr>
        <w:t xml:space="preserve"> </w:t>
      </w:r>
      <w:r w:rsidR="002845B1">
        <w:rPr>
          <w:rStyle w:val="Numeropagina"/>
          <w:bCs/>
          <w:color w:val="000000" w:themeColor="text1"/>
          <w:sz w:val="24"/>
          <w:szCs w:val="24"/>
        </w:rPr>
        <w:t>debba essere</w:t>
      </w:r>
      <w:r w:rsidR="00AB0804">
        <w:rPr>
          <w:rStyle w:val="Numeropagina"/>
          <w:bCs/>
          <w:color w:val="000000" w:themeColor="text1"/>
          <w:sz w:val="24"/>
          <w:szCs w:val="24"/>
        </w:rPr>
        <w:t>, in materia,</w:t>
      </w:r>
      <w:r>
        <w:rPr>
          <w:rStyle w:val="Numeropagina"/>
          <w:bCs/>
          <w:color w:val="000000" w:themeColor="text1"/>
          <w:sz w:val="24"/>
          <w:szCs w:val="24"/>
        </w:rPr>
        <w:t xml:space="preserve"> la strada maestra lo si </w:t>
      </w:r>
      <w:r w:rsidR="00691E3A">
        <w:rPr>
          <w:rStyle w:val="Numeropagina"/>
          <w:bCs/>
          <w:color w:val="000000" w:themeColor="text1"/>
          <w:sz w:val="24"/>
          <w:szCs w:val="24"/>
        </w:rPr>
        <w:t xml:space="preserve">comprende dal fatto che si </w:t>
      </w:r>
      <w:r w:rsidR="002845B1">
        <w:rPr>
          <w:rStyle w:val="Numeropagina"/>
          <w:bCs/>
          <w:color w:val="000000" w:themeColor="text1"/>
          <w:sz w:val="24"/>
          <w:szCs w:val="24"/>
        </w:rPr>
        <w:t>si</w:t>
      </w:r>
      <w:r w:rsidR="00691E3A">
        <w:rPr>
          <w:rStyle w:val="Numeropagina"/>
          <w:bCs/>
          <w:color w:val="000000" w:themeColor="text1"/>
          <w:sz w:val="24"/>
          <w:szCs w:val="24"/>
        </w:rPr>
        <w:t>a</w:t>
      </w:r>
      <w:r w:rsidR="004C5590">
        <w:rPr>
          <w:rStyle w:val="Numeropagina"/>
          <w:bCs/>
          <w:color w:val="000000" w:themeColor="text1"/>
          <w:sz w:val="24"/>
          <w:szCs w:val="24"/>
        </w:rPr>
        <w:t xml:space="preserve">, </w:t>
      </w:r>
      <w:r w:rsidR="002845B1">
        <w:rPr>
          <w:rStyle w:val="Numeropagina"/>
          <w:bCs/>
          <w:color w:val="000000" w:themeColor="text1"/>
          <w:sz w:val="24"/>
          <w:szCs w:val="24"/>
        </w:rPr>
        <w:t>sovente</w:t>
      </w:r>
      <w:r w:rsidR="00575368">
        <w:rPr>
          <w:rStyle w:val="Numeropagina"/>
          <w:bCs/>
          <w:color w:val="000000" w:themeColor="text1"/>
          <w:sz w:val="24"/>
          <w:szCs w:val="24"/>
        </w:rPr>
        <w:t>,</w:t>
      </w:r>
      <w:r w:rsidR="00902965">
        <w:rPr>
          <w:rStyle w:val="Numeropagina"/>
          <w:bCs/>
          <w:color w:val="000000" w:themeColor="text1"/>
          <w:sz w:val="24"/>
          <w:szCs w:val="24"/>
        </w:rPr>
        <w:t xml:space="preserve"> </w:t>
      </w:r>
      <w:r w:rsidR="004C5590">
        <w:rPr>
          <w:rStyle w:val="Numeropagina"/>
          <w:bCs/>
          <w:color w:val="000000" w:themeColor="text1"/>
          <w:sz w:val="24"/>
          <w:szCs w:val="24"/>
        </w:rPr>
        <w:t>fa</w:t>
      </w:r>
      <w:r w:rsidR="002845B1">
        <w:rPr>
          <w:rStyle w:val="Numeropagina"/>
          <w:bCs/>
          <w:color w:val="000000" w:themeColor="text1"/>
          <w:sz w:val="24"/>
          <w:szCs w:val="24"/>
        </w:rPr>
        <w:t>tto</w:t>
      </w:r>
      <w:r w:rsidR="004C5590">
        <w:rPr>
          <w:rStyle w:val="Numeropagina"/>
          <w:bCs/>
          <w:color w:val="000000" w:themeColor="text1"/>
          <w:sz w:val="24"/>
          <w:szCs w:val="24"/>
        </w:rPr>
        <w:t xml:space="preserve"> </w:t>
      </w:r>
      <w:r w:rsidR="00902965">
        <w:rPr>
          <w:rStyle w:val="Numeropagina"/>
          <w:bCs/>
          <w:color w:val="000000" w:themeColor="text1"/>
          <w:sz w:val="24"/>
          <w:szCs w:val="24"/>
        </w:rPr>
        <w:t>riferimento</w:t>
      </w:r>
      <w:r w:rsidR="00E77058">
        <w:rPr>
          <w:rStyle w:val="Numeropagina"/>
          <w:bCs/>
          <w:color w:val="000000" w:themeColor="text1"/>
          <w:sz w:val="24"/>
          <w:szCs w:val="24"/>
        </w:rPr>
        <w:t xml:space="preserve"> (in ambito robotizzato)</w:t>
      </w:r>
      <w:r w:rsidR="00902965">
        <w:rPr>
          <w:rStyle w:val="Numeropagina"/>
          <w:bCs/>
          <w:color w:val="000000" w:themeColor="text1"/>
          <w:sz w:val="24"/>
          <w:szCs w:val="24"/>
        </w:rPr>
        <w:t xml:space="preserve"> al principio di precauzione, di norma confinato </w:t>
      </w:r>
      <w:r w:rsidR="00000FED">
        <w:rPr>
          <w:rStyle w:val="Numeropagina"/>
          <w:bCs/>
          <w:color w:val="000000" w:themeColor="text1"/>
          <w:sz w:val="24"/>
          <w:szCs w:val="24"/>
        </w:rPr>
        <w:t xml:space="preserve">ai procedimenti in materia </w:t>
      </w:r>
      <w:r w:rsidR="00902965">
        <w:rPr>
          <w:rStyle w:val="Numeropagina"/>
          <w:bCs/>
          <w:color w:val="000000" w:themeColor="text1"/>
          <w:sz w:val="24"/>
          <w:szCs w:val="24"/>
        </w:rPr>
        <w:t>ambiental</w:t>
      </w:r>
      <w:r w:rsidR="00000FED">
        <w:rPr>
          <w:rStyle w:val="Numeropagina"/>
          <w:bCs/>
          <w:color w:val="000000" w:themeColor="text1"/>
          <w:sz w:val="24"/>
          <w:szCs w:val="24"/>
        </w:rPr>
        <w:t>e</w:t>
      </w:r>
      <w:r w:rsidR="00902965">
        <w:rPr>
          <w:rStyle w:val="Numeropagina"/>
          <w:bCs/>
          <w:color w:val="000000" w:themeColor="text1"/>
          <w:sz w:val="24"/>
          <w:szCs w:val="24"/>
        </w:rPr>
        <w:t xml:space="preserve"> e di salute pubblica.</w:t>
      </w:r>
    </w:p>
    <w:p w14:paraId="6C5DE20D" w14:textId="2C76B76E" w:rsidR="00800747" w:rsidRDefault="00902965" w:rsidP="00141D27">
      <w:pPr>
        <w:spacing w:line="567" w:lineRule="exact"/>
        <w:ind w:left="284" w:right="851" w:firstLine="425"/>
        <w:jc w:val="both"/>
        <w:rPr>
          <w:rStyle w:val="Numeropagina"/>
          <w:bCs/>
          <w:color w:val="000000" w:themeColor="text1"/>
          <w:sz w:val="24"/>
          <w:szCs w:val="24"/>
        </w:rPr>
      </w:pPr>
      <w:proofErr w:type="gramStart"/>
      <w:r>
        <w:rPr>
          <w:rStyle w:val="Numeropagina"/>
          <w:bCs/>
          <w:color w:val="000000" w:themeColor="text1"/>
          <w:sz w:val="24"/>
          <w:szCs w:val="24"/>
        </w:rPr>
        <w:t>E’</w:t>
      </w:r>
      <w:proofErr w:type="gramEnd"/>
      <w:r w:rsidR="002845B1">
        <w:rPr>
          <w:rStyle w:val="Numeropagina"/>
          <w:bCs/>
          <w:color w:val="000000" w:themeColor="text1"/>
          <w:sz w:val="24"/>
          <w:szCs w:val="24"/>
        </w:rPr>
        <w:t>, infatti,</w:t>
      </w:r>
      <w:r>
        <w:rPr>
          <w:rStyle w:val="Numeropagina"/>
          <w:bCs/>
          <w:color w:val="000000" w:themeColor="text1"/>
          <w:sz w:val="24"/>
          <w:szCs w:val="24"/>
        </w:rPr>
        <w:t xml:space="preserve"> di alcuni anni </w:t>
      </w:r>
      <w:r w:rsidR="002845B1">
        <w:rPr>
          <w:rStyle w:val="Numeropagina"/>
          <w:bCs/>
          <w:color w:val="000000" w:themeColor="text1"/>
          <w:sz w:val="24"/>
          <w:szCs w:val="24"/>
        </w:rPr>
        <w:t>addietro</w:t>
      </w:r>
      <w:r>
        <w:rPr>
          <w:rStyle w:val="Numeropagina"/>
          <w:bCs/>
          <w:color w:val="000000" w:themeColor="text1"/>
          <w:sz w:val="24"/>
          <w:szCs w:val="24"/>
        </w:rPr>
        <w:t xml:space="preserve"> l’appropriata indicazione effettuata</w:t>
      </w:r>
      <w:r w:rsidR="002845B1">
        <w:rPr>
          <w:rStyle w:val="Numeropagina"/>
          <w:bCs/>
          <w:color w:val="000000" w:themeColor="text1"/>
          <w:sz w:val="24"/>
          <w:szCs w:val="24"/>
        </w:rPr>
        <w:t>,</w:t>
      </w:r>
      <w:r>
        <w:rPr>
          <w:rStyle w:val="Numeropagina"/>
          <w:bCs/>
          <w:color w:val="000000" w:themeColor="text1"/>
          <w:sz w:val="24"/>
          <w:szCs w:val="24"/>
        </w:rPr>
        <w:t xml:space="preserve"> in ambito </w:t>
      </w:r>
      <w:r w:rsidR="002845B1">
        <w:rPr>
          <w:rStyle w:val="Numeropagina"/>
          <w:bCs/>
          <w:color w:val="000000" w:themeColor="text1"/>
          <w:sz w:val="24"/>
          <w:szCs w:val="24"/>
        </w:rPr>
        <w:t>euro unitario,</w:t>
      </w:r>
      <w:r>
        <w:rPr>
          <w:rStyle w:val="Numeropagina"/>
          <w:bCs/>
          <w:color w:val="000000" w:themeColor="text1"/>
          <w:sz w:val="24"/>
          <w:szCs w:val="24"/>
        </w:rPr>
        <w:t xml:space="preserve"> sul principio di precauzione con riferimento alle soluzioni robotizzate e automatizzate. </w:t>
      </w:r>
      <w:r w:rsidRPr="00902965">
        <w:rPr>
          <w:rStyle w:val="Numeropagina"/>
          <w:bCs/>
          <w:color w:val="000000" w:themeColor="text1"/>
          <w:sz w:val="24"/>
          <w:szCs w:val="24"/>
        </w:rPr>
        <w:t>Un primo richiamo compare nella risoluzione del Parlamento europeo del 2017</w:t>
      </w:r>
      <w:r>
        <w:rPr>
          <w:rStyle w:val="Numeropagina"/>
          <w:bCs/>
          <w:color w:val="000000" w:themeColor="text1"/>
          <w:sz w:val="24"/>
          <w:szCs w:val="24"/>
        </w:rPr>
        <w:t xml:space="preserve"> (“</w:t>
      </w:r>
      <w:r w:rsidRPr="00902965">
        <w:rPr>
          <w:rStyle w:val="Numeropagina"/>
          <w:bCs/>
          <w:i/>
          <w:iCs/>
          <w:color w:val="000000" w:themeColor="text1"/>
          <w:sz w:val="24"/>
          <w:szCs w:val="24"/>
        </w:rPr>
        <w:t>Risoluzione del Parlamento europeo del 16 febbraio 2017, recante Raccomandazioni alla Commissione concernenti norme di diritto civile sulla robotica</w:t>
      </w:r>
      <w:r>
        <w:rPr>
          <w:rStyle w:val="Numeropagina"/>
          <w:bCs/>
          <w:color w:val="000000" w:themeColor="text1"/>
          <w:sz w:val="24"/>
          <w:szCs w:val="24"/>
        </w:rPr>
        <w:t>”)</w:t>
      </w:r>
      <w:r w:rsidRPr="00902965">
        <w:rPr>
          <w:rStyle w:val="Numeropagina"/>
          <w:bCs/>
          <w:color w:val="000000" w:themeColor="text1"/>
          <w:sz w:val="24"/>
          <w:szCs w:val="24"/>
        </w:rPr>
        <w:t xml:space="preserve"> che detta norme di diritto civile sulla robotica, in cui il principio viene evocato in due occasioni: con riferimento all’immissione sul mercato dei sistemi di AI da effettuarsi </w:t>
      </w:r>
      <w:r>
        <w:rPr>
          <w:rStyle w:val="Numeropagina"/>
          <w:bCs/>
          <w:color w:val="000000" w:themeColor="text1"/>
          <w:sz w:val="24"/>
          <w:szCs w:val="24"/>
        </w:rPr>
        <w:t>“</w:t>
      </w:r>
      <w:r w:rsidRPr="00902965">
        <w:rPr>
          <w:rStyle w:val="Numeropagina"/>
          <w:bCs/>
          <w:i/>
          <w:iCs/>
          <w:color w:val="000000" w:themeColor="text1"/>
          <w:sz w:val="24"/>
          <w:szCs w:val="24"/>
        </w:rPr>
        <w:t>dopo le opportune valutazioni della sicurezza e nel rispetto del principio di precauzione</w:t>
      </w:r>
      <w:r>
        <w:rPr>
          <w:rStyle w:val="Numeropagina"/>
          <w:bCs/>
          <w:color w:val="000000" w:themeColor="text1"/>
          <w:sz w:val="24"/>
          <w:szCs w:val="24"/>
        </w:rPr>
        <w:t>”</w:t>
      </w:r>
      <w:r w:rsidRPr="00902965">
        <w:rPr>
          <w:rStyle w:val="Numeropagina"/>
          <w:bCs/>
          <w:color w:val="000000" w:themeColor="text1"/>
          <w:sz w:val="24"/>
          <w:szCs w:val="24"/>
        </w:rPr>
        <w:t xml:space="preserve"> (invitandosi </w:t>
      </w:r>
      <w:r>
        <w:rPr>
          <w:rStyle w:val="Numeropagina"/>
          <w:bCs/>
          <w:color w:val="000000" w:themeColor="text1"/>
          <w:sz w:val="24"/>
          <w:szCs w:val="24"/>
        </w:rPr>
        <w:t>all’uopo</w:t>
      </w:r>
      <w:r w:rsidRPr="00902965">
        <w:rPr>
          <w:rStyle w:val="Numeropagina"/>
          <w:bCs/>
          <w:color w:val="000000" w:themeColor="text1"/>
          <w:sz w:val="24"/>
          <w:szCs w:val="24"/>
        </w:rPr>
        <w:t xml:space="preserve"> la Commissione </w:t>
      </w:r>
      <w:r>
        <w:rPr>
          <w:rStyle w:val="Numeropagina"/>
          <w:bCs/>
          <w:color w:val="000000" w:themeColor="text1"/>
          <w:sz w:val="24"/>
          <w:szCs w:val="24"/>
        </w:rPr>
        <w:t xml:space="preserve">europea </w:t>
      </w:r>
      <w:r w:rsidRPr="00902965">
        <w:rPr>
          <w:rStyle w:val="Numeropagina"/>
          <w:bCs/>
          <w:color w:val="000000" w:themeColor="text1"/>
          <w:sz w:val="24"/>
          <w:szCs w:val="24"/>
        </w:rPr>
        <w:t xml:space="preserve">e </w:t>
      </w:r>
      <w:r>
        <w:rPr>
          <w:rStyle w:val="Numeropagina"/>
          <w:bCs/>
          <w:color w:val="000000" w:themeColor="text1"/>
          <w:sz w:val="24"/>
          <w:szCs w:val="24"/>
        </w:rPr>
        <w:t>i singoli</w:t>
      </w:r>
      <w:r w:rsidRPr="00902965">
        <w:rPr>
          <w:rStyle w:val="Numeropagina"/>
          <w:bCs/>
          <w:color w:val="000000" w:themeColor="text1"/>
          <w:sz w:val="24"/>
          <w:szCs w:val="24"/>
        </w:rPr>
        <w:t xml:space="preserve"> Stati a incentivare la ricerca sui possibili rischi) e</w:t>
      </w:r>
      <w:r>
        <w:rPr>
          <w:rStyle w:val="Numeropagina"/>
          <w:bCs/>
          <w:color w:val="000000" w:themeColor="text1"/>
          <w:sz w:val="24"/>
          <w:szCs w:val="24"/>
        </w:rPr>
        <w:t>, ancora,</w:t>
      </w:r>
      <w:r w:rsidRPr="00902965">
        <w:rPr>
          <w:rStyle w:val="Numeropagina"/>
          <w:bCs/>
          <w:color w:val="000000" w:themeColor="text1"/>
          <w:sz w:val="24"/>
          <w:szCs w:val="24"/>
        </w:rPr>
        <w:t xml:space="preserve"> con riferimento alla identificazione delle aree </w:t>
      </w:r>
      <w:r>
        <w:rPr>
          <w:rStyle w:val="Numeropagina"/>
          <w:bCs/>
          <w:color w:val="000000" w:themeColor="text1"/>
          <w:sz w:val="24"/>
          <w:szCs w:val="24"/>
        </w:rPr>
        <w:t xml:space="preserve">tematiche </w:t>
      </w:r>
      <w:r w:rsidRPr="00902965">
        <w:rPr>
          <w:rStyle w:val="Numeropagina"/>
          <w:bCs/>
          <w:color w:val="000000" w:themeColor="text1"/>
          <w:sz w:val="24"/>
          <w:szCs w:val="24"/>
        </w:rPr>
        <w:t>in cui testare i robot in condizioni reali (essenziali per operare una corretta valutazione dei rischi)</w:t>
      </w:r>
      <w:r>
        <w:rPr>
          <w:rStyle w:val="Numeropagina"/>
          <w:bCs/>
          <w:color w:val="000000" w:themeColor="text1"/>
          <w:sz w:val="24"/>
          <w:szCs w:val="24"/>
        </w:rPr>
        <w:t>. L</w:t>
      </w:r>
      <w:r w:rsidRPr="00902965">
        <w:rPr>
          <w:rStyle w:val="Numeropagina"/>
          <w:bCs/>
          <w:color w:val="000000" w:themeColor="text1"/>
          <w:sz w:val="24"/>
          <w:szCs w:val="24"/>
        </w:rPr>
        <w:t xml:space="preserve">a risoluzione </w:t>
      </w:r>
      <w:r>
        <w:rPr>
          <w:rStyle w:val="Numeropagina"/>
          <w:bCs/>
          <w:color w:val="000000" w:themeColor="text1"/>
          <w:sz w:val="24"/>
          <w:szCs w:val="24"/>
        </w:rPr>
        <w:t>ha invitato</w:t>
      </w:r>
      <w:r w:rsidRPr="00902965">
        <w:rPr>
          <w:rStyle w:val="Numeropagina"/>
          <w:bCs/>
          <w:color w:val="000000" w:themeColor="text1"/>
          <w:sz w:val="24"/>
          <w:szCs w:val="24"/>
        </w:rPr>
        <w:t xml:space="preserve"> la Commissione a elaborare criteri uniformi valevoli </w:t>
      </w:r>
      <w:r>
        <w:rPr>
          <w:rStyle w:val="Numeropagina"/>
          <w:bCs/>
          <w:color w:val="000000" w:themeColor="text1"/>
          <w:sz w:val="24"/>
          <w:szCs w:val="24"/>
        </w:rPr>
        <w:t xml:space="preserve">per </w:t>
      </w:r>
      <w:r w:rsidRPr="00902965">
        <w:rPr>
          <w:rStyle w:val="Numeropagina"/>
          <w:bCs/>
          <w:color w:val="000000" w:themeColor="text1"/>
          <w:sz w:val="24"/>
          <w:szCs w:val="24"/>
        </w:rPr>
        <w:t xml:space="preserve">tutta l’Unione, che i singoli Stati membri dovrebbero utilizzare per identificare le aree in cui autorizzare gli esperimenti </w:t>
      </w:r>
      <w:r>
        <w:rPr>
          <w:rStyle w:val="Numeropagina"/>
          <w:bCs/>
          <w:color w:val="000000" w:themeColor="text1"/>
          <w:sz w:val="24"/>
          <w:szCs w:val="24"/>
        </w:rPr>
        <w:t>con intelligenza artificiale “</w:t>
      </w:r>
      <w:r w:rsidRPr="00902965">
        <w:rPr>
          <w:rStyle w:val="Numeropagina"/>
          <w:bCs/>
          <w:i/>
          <w:iCs/>
          <w:color w:val="000000" w:themeColor="text1"/>
          <w:sz w:val="24"/>
          <w:szCs w:val="24"/>
        </w:rPr>
        <w:t>nel rispetto del principio di precauzione</w:t>
      </w:r>
      <w:r>
        <w:rPr>
          <w:rStyle w:val="Numeropagina"/>
          <w:bCs/>
          <w:color w:val="000000" w:themeColor="text1"/>
          <w:sz w:val="24"/>
          <w:szCs w:val="24"/>
        </w:rPr>
        <w:t>”</w:t>
      </w:r>
      <w:r w:rsidR="00AC375E">
        <w:rPr>
          <w:rStyle w:val="Rimandonotaapidipagina"/>
          <w:bCs/>
          <w:color w:val="000000" w:themeColor="text1"/>
          <w:sz w:val="24"/>
          <w:szCs w:val="24"/>
        </w:rPr>
        <w:footnoteReference w:id="12"/>
      </w:r>
      <w:r w:rsidR="00CD0BED">
        <w:rPr>
          <w:rStyle w:val="Numeropagina"/>
          <w:bCs/>
          <w:color w:val="000000" w:themeColor="text1"/>
          <w:sz w:val="24"/>
          <w:szCs w:val="24"/>
        </w:rPr>
        <w:t>.</w:t>
      </w:r>
    </w:p>
    <w:p w14:paraId="7042EE4A" w14:textId="1466BB5C" w:rsidR="00902965" w:rsidRDefault="00800747"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Anche il piano governativo italiano (“</w:t>
      </w:r>
      <w:r w:rsidRPr="00800747">
        <w:rPr>
          <w:rStyle w:val="Numeropagina"/>
          <w:bCs/>
          <w:i/>
          <w:iCs/>
          <w:color w:val="000000" w:themeColor="text1"/>
          <w:sz w:val="24"/>
          <w:szCs w:val="24"/>
        </w:rPr>
        <w:t>Programma Strategico Intelligenza Artificiale 2022-2024</w:t>
      </w:r>
      <w:r w:rsidRPr="00800747">
        <w:rPr>
          <w:sz w:val="24"/>
          <w:szCs w:val="24"/>
        </w:rPr>
        <w:t>”</w:t>
      </w:r>
      <w:r>
        <w:rPr>
          <w:rStyle w:val="Numeropagina"/>
          <w:bCs/>
          <w:color w:val="000000" w:themeColor="text1"/>
          <w:sz w:val="24"/>
          <w:szCs w:val="24"/>
        </w:rPr>
        <w:t xml:space="preserve">) con un approccio sommamente ottimistico – pur non facendo riferimento </w:t>
      </w:r>
      <w:r w:rsidR="001402A7">
        <w:rPr>
          <w:rStyle w:val="Numeropagina"/>
          <w:bCs/>
          <w:color w:val="000000" w:themeColor="text1"/>
          <w:sz w:val="24"/>
          <w:szCs w:val="24"/>
        </w:rPr>
        <w:t>al principio di precauzione – evidenzia e sostiene, all’interno di questa rivoluzione 4.0,</w:t>
      </w:r>
      <w:r w:rsidR="00576F82">
        <w:rPr>
          <w:rStyle w:val="Numeropagina"/>
          <w:bCs/>
          <w:color w:val="000000" w:themeColor="text1"/>
          <w:sz w:val="24"/>
          <w:szCs w:val="24"/>
        </w:rPr>
        <w:t xml:space="preserve"> la necessità del</w:t>
      </w:r>
      <w:r w:rsidR="001402A7">
        <w:rPr>
          <w:rStyle w:val="Numeropagina"/>
          <w:bCs/>
          <w:color w:val="000000" w:themeColor="text1"/>
          <w:sz w:val="24"/>
          <w:szCs w:val="24"/>
        </w:rPr>
        <w:t>l’antropocentrismo</w:t>
      </w:r>
      <w:r w:rsidR="00F66FAC">
        <w:rPr>
          <w:rStyle w:val="Numeropagina"/>
          <w:bCs/>
          <w:color w:val="000000" w:themeColor="text1"/>
          <w:sz w:val="24"/>
          <w:szCs w:val="24"/>
        </w:rPr>
        <w:t xml:space="preserve"> e</w:t>
      </w:r>
      <w:r w:rsidR="002D3882">
        <w:rPr>
          <w:rStyle w:val="Numeropagina"/>
          <w:bCs/>
          <w:color w:val="000000" w:themeColor="text1"/>
          <w:sz w:val="24"/>
          <w:szCs w:val="24"/>
        </w:rPr>
        <w:t>,</w:t>
      </w:r>
      <w:r w:rsidR="00F66FAC">
        <w:rPr>
          <w:rStyle w:val="Numeropagina"/>
          <w:bCs/>
          <w:color w:val="000000" w:themeColor="text1"/>
          <w:sz w:val="24"/>
          <w:szCs w:val="24"/>
        </w:rPr>
        <w:t xml:space="preserve"> quindi</w:t>
      </w:r>
      <w:r w:rsidR="002D3882">
        <w:rPr>
          <w:rStyle w:val="Numeropagina"/>
          <w:bCs/>
          <w:color w:val="000000" w:themeColor="text1"/>
          <w:sz w:val="24"/>
          <w:szCs w:val="24"/>
        </w:rPr>
        <w:t>,</w:t>
      </w:r>
      <w:r w:rsidR="00F66FAC">
        <w:rPr>
          <w:rStyle w:val="Numeropagina"/>
          <w:bCs/>
          <w:color w:val="000000" w:themeColor="text1"/>
          <w:sz w:val="24"/>
          <w:szCs w:val="24"/>
        </w:rPr>
        <w:t xml:space="preserve"> del governo umano della decisione robotizzata</w:t>
      </w:r>
      <w:r w:rsidR="001402A7">
        <w:rPr>
          <w:rStyle w:val="Numeropagina"/>
          <w:bCs/>
          <w:color w:val="000000" w:themeColor="text1"/>
          <w:sz w:val="24"/>
          <w:szCs w:val="24"/>
        </w:rPr>
        <w:t>: “</w:t>
      </w:r>
      <w:r w:rsidR="001402A7" w:rsidRPr="001402A7">
        <w:rPr>
          <w:rStyle w:val="Numeropagina"/>
          <w:bCs/>
          <w:i/>
          <w:iCs/>
          <w:color w:val="000000" w:themeColor="text1"/>
          <w:sz w:val="24"/>
          <w:szCs w:val="24"/>
        </w:rPr>
        <w:t>L'intelligenza artificiale italiana sarà antropocentrica, affidabile e sostenibile. Le tecnologie non devono solamente promuovere la crescita economica ma assicurare che essa sia inclusiva e sostenibile, in linea con i principi contenuti nell'articolo 3 della Costituzione italiana</w:t>
      </w:r>
      <w:r w:rsidR="001402A7">
        <w:rPr>
          <w:rStyle w:val="Numeropagina"/>
          <w:bCs/>
          <w:color w:val="000000" w:themeColor="text1"/>
          <w:sz w:val="24"/>
          <w:szCs w:val="24"/>
        </w:rPr>
        <w:t>”. Uno degli obbiettivi principali (il n. 3) del Programma richiama, con riferimento alla P.A., la necessità di “</w:t>
      </w:r>
      <w:r w:rsidR="001402A7" w:rsidRPr="001402A7">
        <w:rPr>
          <w:rStyle w:val="Numeropagina"/>
          <w:bCs/>
          <w:i/>
          <w:iCs/>
          <w:color w:val="000000" w:themeColor="text1"/>
          <w:sz w:val="24"/>
          <w:szCs w:val="24"/>
        </w:rPr>
        <w:t xml:space="preserve">sviluppare e adottare un'IA antropocentrica e affidabile nel settore pubblico e privato affinché le soluzioni di IA siano conformi </w:t>
      </w:r>
      <w:proofErr w:type="gramStart"/>
      <w:r w:rsidR="001402A7" w:rsidRPr="001402A7">
        <w:rPr>
          <w:rStyle w:val="Numeropagina"/>
          <w:bCs/>
          <w:i/>
          <w:iCs/>
          <w:color w:val="000000" w:themeColor="text1"/>
          <w:sz w:val="24"/>
          <w:szCs w:val="24"/>
        </w:rPr>
        <w:t>alla norme</w:t>
      </w:r>
      <w:proofErr w:type="gramEnd"/>
      <w:r w:rsidR="001402A7" w:rsidRPr="001402A7">
        <w:rPr>
          <w:rStyle w:val="Numeropagina"/>
          <w:bCs/>
          <w:i/>
          <w:iCs/>
          <w:color w:val="000000" w:themeColor="text1"/>
          <w:sz w:val="24"/>
          <w:szCs w:val="24"/>
        </w:rPr>
        <w:t xml:space="preserve"> vigenti e vengano accettate dalla società sostenendo nel contempo lo sviluppo e la progettazione di tecnologie e sistemi di IA responsabili</w:t>
      </w:r>
      <w:r w:rsidR="001402A7">
        <w:rPr>
          <w:rStyle w:val="Numeropagina"/>
          <w:bCs/>
          <w:color w:val="000000" w:themeColor="text1"/>
          <w:sz w:val="24"/>
          <w:szCs w:val="24"/>
        </w:rPr>
        <w:t>”.</w:t>
      </w:r>
    </w:p>
    <w:p w14:paraId="21D19AB4" w14:textId="504D833E" w:rsidR="001402A7" w:rsidRDefault="006E1D5E"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P</w:t>
      </w:r>
      <w:r w:rsidR="00334FE2">
        <w:rPr>
          <w:rStyle w:val="Numeropagina"/>
          <w:bCs/>
          <w:color w:val="000000" w:themeColor="text1"/>
          <w:sz w:val="24"/>
          <w:szCs w:val="24"/>
        </w:rPr>
        <w:t>roprio per</w:t>
      </w:r>
      <w:r>
        <w:rPr>
          <w:rStyle w:val="Numeropagina"/>
          <w:bCs/>
          <w:color w:val="000000" w:themeColor="text1"/>
          <w:sz w:val="24"/>
          <w:szCs w:val="24"/>
        </w:rPr>
        <w:t xml:space="preserve"> queste ragioni </w:t>
      </w:r>
      <w:r w:rsidR="001402A7">
        <w:rPr>
          <w:rStyle w:val="Numeropagina"/>
          <w:bCs/>
          <w:color w:val="000000" w:themeColor="text1"/>
          <w:sz w:val="24"/>
          <w:szCs w:val="24"/>
        </w:rPr>
        <w:t>– e proprio perché la macchina non abbia un potere e dominio assoluto sui procedimenti – il comma 3 alla lett. b)</w:t>
      </w:r>
      <w:r w:rsidR="000E517D">
        <w:rPr>
          <w:rStyle w:val="Numeropagina"/>
          <w:bCs/>
          <w:color w:val="000000" w:themeColor="text1"/>
          <w:sz w:val="24"/>
          <w:szCs w:val="24"/>
        </w:rPr>
        <w:t xml:space="preserve"> dell’art. 30 del nuovo Codice dei contratti pubblici </w:t>
      </w:r>
      <w:r w:rsidR="001402A7">
        <w:rPr>
          <w:rStyle w:val="Numeropagina"/>
          <w:bCs/>
          <w:color w:val="000000" w:themeColor="text1"/>
          <w:sz w:val="24"/>
          <w:szCs w:val="24"/>
        </w:rPr>
        <w:t>(dopo aver specificato il primo connotato delle decisioni automatizzate) dispone il principio di “</w:t>
      </w:r>
      <w:r w:rsidR="001402A7" w:rsidRPr="001402A7">
        <w:rPr>
          <w:rStyle w:val="Numeropagina"/>
          <w:bCs/>
          <w:i/>
          <w:iCs/>
          <w:color w:val="000000" w:themeColor="text1"/>
          <w:sz w:val="24"/>
          <w:szCs w:val="24"/>
        </w:rPr>
        <w:t>non esclusività della decisione algoritmica</w:t>
      </w:r>
      <w:r w:rsidR="001402A7">
        <w:rPr>
          <w:rStyle w:val="Numeropagina"/>
          <w:bCs/>
          <w:color w:val="000000" w:themeColor="text1"/>
          <w:sz w:val="24"/>
          <w:szCs w:val="24"/>
        </w:rPr>
        <w:t>”</w:t>
      </w:r>
      <w:r w:rsidR="00334FE2">
        <w:rPr>
          <w:rStyle w:val="Numeropagina"/>
          <w:bCs/>
          <w:color w:val="000000" w:themeColor="text1"/>
          <w:sz w:val="24"/>
          <w:szCs w:val="24"/>
        </w:rPr>
        <w:t xml:space="preserve">, </w:t>
      </w:r>
      <w:r w:rsidR="00DA4BDF">
        <w:rPr>
          <w:rStyle w:val="Numeropagina"/>
          <w:bCs/>
          <w:color w:val="000000" w:themeColor="text1"/>
          <w:sz w:val="24"/>
          <w:szCs w:val="24"/>
        </w:rPr>
        <w:t xml:space="preserve">in quanto deve </w:t>
      </w:r>
      <w:r w:rsidR="0045577D">
        <w:rPr>
          <w:rStyle w:val="Numeropagina"/>
          <w:bCs/>
          <w:color w:val="000000" w:themeColor="text1"/>
          <w:sz w:val="24"/>
          <w:szCs w:val="24"/>
        </w:rPr>
        <w:t>esistere “</w:t>
      </w:r>
      <w:r w:rsidR="0045577D" w:rsidRPr="0045577D">
        <w:rPr>
          <w:rStyle w:val="Numeropagina"/>
          <w:bCs/>
          <w:i/>
          <w:iCs/>
          <w:color w:val="000000" w:themeColor="text1"/>
          <w:sz w:val="24"/>
          <w:szCs w:val="24"/>
        </w:rPr>
        <w:t>nel processo decisionale un contributo umano capace di controllare, validare ovvero smentire la decisione automatizzata</w:t>
      </w:r>
      <w:r w:rsidR="0045577D">
        <w:rPr>
          <w:rStyle w:val="Numeropagina"/>
          <w:bCs/>
          <w:color w:val="000000" w:themeColor="text1"/>
          <w:sz w:val="24"/>
          <w:szCs w:val="24"/>
        </w:rPr>
        <w:t>”.</w:t>
      </w:r>
    </w:p>
    <w:p w14:paraId="29395CA6" w14:textId="7F698FF1" w:rsidR="00313C37" w:rsidRDefault="00E07F47" w:rsidP="00141D27">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C</w:t>
      </w:r>
      <w:r w:rsidR="00313C37">
        <w:rPr>
          <w:rStyle w:val="Numeropagina"/>
          <w:bCs/>
          <w:color w:val="000000" w:themeColor="text1"/>
          <w:sz w:val="24"/>
          <w:szCs w:val="24"/>
        </w:rPr>
        <w:t>ome messo sapientemente in evidenza</w:t>
      </w:r>
      <w:r w:rsidR="00901F3E">
        <w:rPr>
          <w:rStyle w:val="Rimandonotaapidipagina"/>
          <w:bCs/>
          <w:color w:val="000000" w:themeColor="text1"/>
          <w:sz w:val="24"/>
          <w:szCs w:val="24"/>
        </w:rPr>
        <w:footnoteReference w:id="13"/>
      </w:r>
      <w:r w:rsidR="009212DD">
        <w:rPr>
          <w:rStyle w:val="Numeropagina"/>
          <w:bCs/>
          <w:color w:val="000000" w:themeColor="text1"/>
          <w:sz w:val="24"/>
          <w:szCs w:val="24"/>
        </w:rPr>
        <w:t>, infatti,</w:t>
      </w:r>
      <w:r w:rsidR="001D7D5B">
        <w:rPr>
          <w:rStyle w:val="Numeropagina"/>
          <w:bCs/>
          <w:color w:val="000000" w:themeColor="text1"/>
          <w:sz w:val="24"/>
          <w:szCs w:val="24"/>
        </w:rPr>
        <w:t xml:space="preserve"> la mancanza di </w:t>
      </w:r>
      <w:r w:rsidR="0067729A">
        <w:rPr>
          <w:rStyle w:val="Numeropagina"/>
          <w:bCs/>
          <w:color w:val="000000" w:themeColor="text1"/>
          <w:sz w:val="24"/>
          <w:szCs w:val="24"/>
        </w:rPr>
        <w:t>effettivo</w:t>
      </w:r>
      <w:r w:rsidR="001D7D5B">
        <w:rPr>
          <w:rStyle w:val="Numeropagina"/>
          <w:bCs/>
          <w:color w:val="000000" w:themeColor="text1"/>
          <w:sz w:val="24"/>
          <w:szCs w:val="24"/>
        </w:rPr>
        <w:t xml:space="preserve"> contributo umano </w:t>
      </w:r>
      <w:r w:rsidR="00B84117">
        <w:rPr>
          <w:rStyle w:val="Numeropagina"/>
          <w:bCs/>
          <w:color w:val="000000" w:themeColor="text1"/>
          <w:sz w:val="24"/>
          <w:szCs w:val="24"/>
        </w:rPr>
        <w:t xml:space="preserve">determinerebbe </w:t>
      </w:r>
      <w:r w:rsidR="00AC0C11">
        <w:rPr>
          <w:rStyle w:val="Numeropagina"/>
          <w:bCs/>
          <w:color w:val="000000" w:themeColor="text1"/>
          <w:sz w:val="24"/>
          <w:szCs w:val="24"/>
        </w:rPr>
        <w:t xml:space="preserve">evidenti questioni di legittimità costituzionale in </w:t>
      </w:r>
      <w:r w:rsidR="00A72597">
        <w:rPr>
          <w:rStyle w:val="Numeropagina"/>
          <w:bCs/>
          <w:color w:val="000000" w:themeColor="text1"/>
          <w:sz w:val="24"/>
          <w:szCs w:val="24"/>
        </w:rPr>
        <w:t>relazione</w:t>
      </w:r>
      <w:r w:rsidR="00AC0C11">
        <w:rPr>
          <w:rStyle w:val="Numeropagina"/>
          <w:bCs/>
          <w:color w:val="000000" w:themeColor="text1"/>
          <w:sz w:val="24"/>
          <w:szCs w:val="24"/>
        </w:rPr>
        <w:t xml:space="preserve"> alla violazione degli artt. </w:t>
      </w:r>
      <w:r w:rsidR="0094567D">
        <w:rPr>
          <w:rStyle w:val="Numeropagina"/>
          <w:bCs/>
          <w:color w:val="000000" w:themeColor="text1"/>
          <w:sz w:val="24"/>
          <w:szCs w:val="24"/>
        </w:rPr>
        <w:t>28,</w:t>
      </w:r>
      <w:r w:rsidR="00B84117">
        <w:rPr>
          <w:rStyle w:val="Numeropagina"/>
          <w:bCs/>
          <w:color w:val="000000" w:themeColor="text1"/>
          <w:sz w:val="24"/>
          <w:szCs w:val="24"/>
        </w:rPr>
        <w:t xml:space="preserve"> </w:t>
      </w:r>
      <w:r w:rsidR="00AC0C11">
        <w:rPr>
          <w:rStyle w:val="Numeropagina"/>
          <w:bCs/>
          <w:color w:val="000000" w:themeColor="text1"/>
          <w:sz w:val="24"/>
          <w:szCs w:val="24"/>
        </w:rPr>
        <w:t>97 co. 3</w:t>
      </w:r>
      <w:r w:rsidR="00466E18">
        <w:rPr>
          <w:rStyle w:val="Numeropagina"/>
          <w:bCs/>
          <w:color w:val="000000" w:themeColor="text1"/>
          <w:sz w:val="24"/>
          <w:szCs w:val="24"/>
        </w:rPr>
        <w:t xml:space="preserve"> </w:t>
      </w:r>
      <w:r w:rsidR="008211FF">
        <w:rPr>
          <w:rStyle w:val="Numeropagina"/>
          <w:bCs/>
          <w:color w:val="000000" w:themeColor="text1"/>
          <w:sz w:val="24"/>
          <w:szCs w:val="24"/>
        </w:rPr>
        <w:t xml:space="preserve">e 98 </w:t>
      </w:r>
      <w:r w:rsidR="00466E18">
        <w:rPr>
          <w:rStyle w:val="Numeropagina"/>
          <w:bCs/>
          <w:color w:val="000000" w:themeColor="text1"/>
          <w:sz w:val="24"/>
          <w:szCs w:val="24"/>
        </w:rPr>
        <w:t>che valorizza</w:t>
      </w:r>
      <w:r w:rsidR="008211FF">
        <w:rPr>
          <w:rStyle w:val="Numeropagina"/>
          <w:bCs/>
          <w:color w:val="000000" w:themeColor="text1"/>
          <w:sz w:val="24"/>
          <w:szCs w:val="24"/>
        </w:rPr>
        <w:t>no</w:t>
      </w:r>
      <w:r w:rsidR="00466E18">
        <w:rPr>
          <w:rStyle w:val="Numeropagina"/>
          <w:bCs/>
          <w:color w:val="000000" w:themeColor="text1"/>
          <w:sz w:val="24"/>
          <w:szCs w:val="24"/>
        </w:rPr>
        <w:t xml:space="preserve"> le funzioni e le responsabilità</w:t>
      </w:r>
      <w:r w:rsidR="00744005">
        <w:rPr>
          <w:rStyle w:val="Numeropagina"/>
          <w:bCs/>
          <w:color w:val="000000" w:themeColor="text1"/>
          <w:sz w:val="24"/>
          <w:szCs w:val="24"/>
        </w:rPr>
        <w:t xml:space="preserve"> dei pubblici dipendenti</w:t>
      </w:r>
      <w:r w:rsidR="009212DD">
        <w:rPr>
          <w:rStyle w:val="Numeropagina"/>
          <w:bCs/>
          <w:color w:val="000000" w:themeColor="text1"/>
          <w:sz w:val="24"/>
          <w:szCs w:val="24"/>
        </w:rPr>
        <w:t xml:space="preserve"> o in relazione alla violazione dell’art. 54 co. 2 che riconnette le funzioni pubbliche alla persona fisica </w:t>
      </w:r>
      <w:r w:rsidR="005053AF">
        <w:rPr>
          <w:rStyle w:val="Numeropagina"/>
          <w:bCs/>
          <w:color w:val="000000" w:themeColor="text1"/>
          <w:sz w:val="24"/>
          <w:szCs w:val="24"/>
        </w:rPr>
        <w:t>(</w:t>
      </w:r>
      <w:r w:rsidR="00744005">
        <w:rPr>
          <w:rStyle w:val="Numeropagina"/>
          <w:bCs/>
          <w:color w:val="000000" w:themeColor="text1"/>
          <w:sz w:val="24"/>
          <w:szCs w:val="24"/>
        </w:rPr>
        <w:t>anche perché sulla base delle, tuttora insuperate</w:t>
      </w:r>
      <w:r w:rsidR="00646D0B">
        <w:rPr>
          <w:rStyle w:val="Numeropagina"/>
          <w:bCs/>
          <w:color w:val="000000" w:themeColor="text1"/>
          <w:sz w:val="24"/>
          <w:szCs w:val="24"/>
        </w:rPr>
        <w:t xml:space="preserve">, </w:t>
      </w:r>
      <w:r w:rsidR="005053AF">
        <w:rPr>
          <w:rStyle w:val="Numeropagina"/>
          <w:bCs/>
          <w:color w:val="000000" w:themeColor="text1"/>
          <w:sz w:val="24"/>
          <w:szCs w:val="24"/>
        </w:rPr>
        <w:t>leggi</w:t>
      </w:r>
      <w:r w:rsidR="00646D0B">
        <w:rPr>
          <w:rStyle w:val="Numeropagina"/>
          <w:bCs/>
          <w:color w:val="000000" w:themeColor="text1"/>
          <w:sz w:val="24"/>
          <w:szCs w:val="24"/>
        </w:rPr>
        <w:t xml:space="preserve"> di Isaac </w:t>
      </w:r>
      <w:r w:rsidR="00402929">
        <w:rPr>
          <w:rStyle w:val="Numeropagina"/>
          <w:bCs/>
          <w:color w:val="000000" w:themeColor="text1"/>
          <w:sz w:val="24"/>
          <w:szCs w:val="24"/>
        </w:rPr>
        <w:t>Asimov sulla</w:t>
      </w:r>
      <w:r w:rsidR="005053AF">
        <w:rPr>
          <w:rStyle w:val="Numeropagina"/>
          <w:bCs/>
          <w:color w:val="000000" w:themeColor="text1"/>
          <w:sz w:val="24"/>
          <w:szCs w:val="24"/>
        </w:rPr>
        <w:t xml:space="preserve"> robotica, </w:t>
      </w:r>
      <w:r w:rsidR="00646D0B">
        <w:rPr>
          <w:rStyle w:val="Numeropagina"/>
          <w:bCs/>
          <w:color w:val="000000" w:themeColor="text1"/>
          <w:sz w:val="24"/>
          <w:szCs w:val="24"/>
        </w:rPr>
        <w:t xml:space="preserve">il robot non </w:t>
      </w:r>
      <w:r w:rsidR="00EB62EE">
        <w:rPr>
          <w:rStyle w:val="Numeropagina"/>
          <w:bCs/>
          <w:color w:val="000000" w:themeColor="text1"/>
          <w:sz w:val="24"/>
          <w:szCs w:val="24"/>
        </w:rPr>
        <w:t>può essere chiamato a responsabilità</w:t>
      </w:r>
      <w:r w:rsidR="00FE56B0">
        <w:rPr>
          <w:rStyle w:val="Numeropagina"/>
          <w:bCs/>
          <w:color w:val="000000" w:themeColor="text1"/>
          <w:sz w:val="24"/>
          <w:szCs w:val="24"/>
        </w:rPr>
        <w:t>)</w:t>
      </w:r>
      <w:r w:rsidR="006B399E">
        <w:rPr>
          <w:rStyle w:val="Numeropagina"/>
          <w:bCs/>
          <w:color w:val="000000" w:themeColor="text1"/>
          <w:sz w:val="24"/>
          <w:szCs w:val="24"/>
        </w:rPr>
        <w:t>.</w:t>
      </w:r>
    </w:p>
    <w:p w14:paraId="0D89FEA5" w14:textId="32239946" w:rsidR="00326F52" w:rsidRPr="00DE4C1E" w:rsidRDefault="00F43C3F" w:rsidP="00C20BD8">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Se analizziamo i verbi usati, possiamo rilevare come </w:t>
      </w:r>
      <w:r w:rsidR="00E32897">
        <w:rPr>
          <w:rStyle w:val="Numeropagina"/>
          <w:bCs/>
          <w:color w:val="000000" w:themeColor="text1"/>
          <w:sz w:val="24"/>
          <w:szCs w:val="24"/>
        </w:rPr>
        <w:t>l</w:t>
      </w:r>
      <w:r w:rsidR="00674316">
        <w:rPr>
          <w:rStyle w:val="Numeropagina"/>
          <w:bCs/>
          <w:color w:val="000000" w:themeColor="text1"/>
          <w:sz w:val="24"/>
          <w:szCs w:val="24"/>
        </w:rPr>
        <w:t>’art. 30</w:t>
      </w:r>
      <w:r w:rsidR="00E32897">
        <w:rPr>
          <w:rStyle w:val="Numeropagina"/>
          <w:bCs/>
          <w:color w:val="000000" w:themeColor="text1"/>
          <w:sz w:val="24"/>
          <w:szCs w:val="24"/>
        </w:rPr>
        <w:t xml:space="preserve"> sembra impostat</w:t>
      </w:r>
      <w:r w:rsidR="00674316">
        <w:rPr>
          <w:rStyle w:val="Numeropagina"/>
          <w:bCs/>
          <w:color w:val="000000" w:themeColor="text1"/>
          <w:sz w:val="24"/>
          <w:szCs w:val="24"/>
        </w:rPr>
        <w:t>o</w:t>
      </w:r>
      <w:r w:rsidR="00E32897">
        <w:rPr>
          <w:rStyle w:val="Numeropagina"/>
          <w:bCs/>
          <w:color w:val="000000" w:themeColor="text1"/>
          <w:sz w:val="24"/>
          <w:szCs w:val="24"/>
        </w:rPr>
        <w:t xml:space="preserve"> sul presupposto che la macchina</w:t>
      </w:r>
      <w:r w:rsidR="00674316">
        <w:rPr>
          <w:rStyle w:val="Numeropagina"/>
          <w:bCs/>
          <w:color w:val="000000" w:themeColor="text1"/>
          <w:sz w:val="24"/>
          <w:szCs w:val="24"/>
        </w:rPr>
        <w:t xml:space="preserve"> </w:t>
      </w:r>
      <w:r w:rsidR="00277CD9">
        <w:rPr>
          <w:rStyle w:val="Numeropagina"/>
          <w:bCs/>
          <w:color w:val="000000" w:themeColor="text1"/>
          <w:sz w:val="24"/>
          <w:szCs w:val="24"/>
        </w:rPr>
        <w:t xml:space="preserve">potrà, </w:t>
      </w:r>
      <w:r w:rsidR="00674316">
        <w:rPr>
          <w:rStyle w:val="Numeropagina"/>
          <w:bCs/>
          <w:color w:val="000000" w:themeColor="text1"/>
          <w:sz w:val="24"/>
          <w:szCs w:val="24"/>
        </w:rPr>
        <w:t>pure</w:t>
      </w:r>
      <w:r w:rsidR="00277CD9">
        <w:rPr>
          <w:rStyle w:val="Numeropagina"/>
          <w:bCs/>
          <w:color w:val="000000" w:themeColor="text1"/>
          <w:sz w:val="24"/>
          <w:szCs w:val="24"/>
        </w:rPr>
        <w:t>,</w:t>
      </w:r>
      <w:r w:rsidR="00674316">
        <w:rPr>
          <w:rStyle w:val="Numeropagina"/>
          <w:bCs/>
          <w:color w:val="000000" w:themeColor="text1"/>
          <w:sz w:val="24"/>
          <w:szCs w:val="24"/>
        </w:rPr>
        <w:t xml:space="preserve"> </w:t>
      </w:r>
      <w:r w:rsidR="00E32897">
        <w:rPr>
          <w:rStyle w:val="Numeropagina"/>
          <w:bCs/>
          <w:color w:val="000000" w:themeColor="text1"/>
          <w:sz w:val="24"/>
          <w:szCs w:val="24"/>
        </w:rPr>
        <w:t>decid</w:t>
      </w:r>
      <w:r w:rsidR="00674316">
        <w:rPr>
          <w:rStyle w:val="Numeropagina"/>
          <w:bCs/>
          <w:color w:val="000000" w:themeColor="text1"/>
          <w:sz w:val="24"/>
          <w:szCs w:val="24"/>
        </w:rPr>
        <w:t>ere</w:t>
      </w:r>
      <w:r w:rsidR="00E32897">
        <w:rPr>
          <w:rStyle w:val="Numeropagina"/>
          <w:bCs/>
          <w:color w:val="000000" w:themeColor="text1"/>
          <w:sz w:val="24"/>
          <w:szCs w:val="24"/>
        </w:rPr>
        <w:t xml:space="preserve"> ma </w:t>
      </w:r>
      <w:r w:rsidR="00871A63">
        <w:rPr>
          <w:rStyle w:val="Numeropagina"/>
          <w:bCs/>
          <w:color w:val="000000" w:themeColor="text1"/>
          <w:sz w:val="24"/>
          <w:szCs w:val="24"/>
        </w:rPr>
        <w:t xml:space="preserve">la verifica </w:t>
      </w:r>
      <w:r w:rsidR="005B566A">
        <w:rPr>
          <w:rStyle w:val="Numeropagina"/>
          <w:bCs/>
          <w:color w:val="000000" w:themeColor="text1"/>
          <w:sz w:val="24"/>
          <w:szCs w:val="24"/>
        </w:rPr>
        <w:t>(</w:t>
      </w:r>
      <w:proofErr w:type="spellStart"/>
      <w:r w:rsidR="005B566A" w:rsidRPr="005B566A">
        <w:rPr>
          <w:rStyle w:val="Numeropagina"/>
          <w:bCs/>
          <w:i/>
          <w:iCs/>
          <w:color w:val="000000" w:themeColor="text1"/>
          <w:sz w:val="24"/>
          <w:szCs w:val="24"/>
        </w:rPr>
        <w:t>rectius</w:t>
      </w:r>
      <w:proofErr w:type="spellEnd"/>
      <w:r w:rsidR="005B566A">
        <w:rPr>
          <w:rStyle w:val="Numeropagina"/>
          <w:bCs/>
          <w:color w:val="000000" w:themeColor="text1"/>
          <w:sz w:val="24"/>
          <w:szCs w:val="24"/>
        </w:rPr>
        <w:t xml:space="preserve"> il contributo)</w:t>
      </w:r>
      <w:r w:rsidR="000D7E02">
        <w:rPr>
          <w:rStyle w:val="Numeropagina"/>
          <w:bCs/>
          <w:color w:val="000000" w:themeColor="text1"/>
          <w:sz w:val="24"/>
          <w:szCs w:val="24"/>
        </w:rPr>
        <w:t xml:space="preserve"> uman</w:t>
      </w:r>
      <w:r w:rsidR="00871A63">
        <w:rPr>
          <w:rStyle w:val="Numeropagina"/>
          <w:bCs/>
          <w:color w:val="000000" w:themeColor="text1"/>
          <w:sz w:val="24"/>
          <w:szCs w:val="24"/>
        </w:rPr>
        <w:t>a</w:t>
      </w:r>
      <w:r w:rsidR="000D7E02">
        <w:rPr>
          <w:rStyle w:val="Numeropagina"/>
          <w:bCs/>
          <w:color w:val="000000" w:themeColor="text1"/>
          <w:sz w:val="24"/>
          <w:szCs w:val="24"/>
        </w:rPr>
        <w:t xml:space="preserve"> </w:t>
      </w:r>
      <w:r w:rsidR="005B566A">
        <w:rPr>
          <w:rStyle w:val="Numeropagina"/>
          <w:bCs/>
          <w:color w:val="000000" w:themeColor="text1"/>
          <w:sz w:val="24"/>
          <w:szCs w:val="24"/>
        </w:rPr>
        <w:t>dev</w:t>
      </w:r>
      <w:r w:rsidR="00767247">
        <w:rPr>
          <w:rStyle w:val="Numeropagina"/>
          <w:bCs/>
          <w:color w:val="000000" w:themeColor="text1"/>
          <w:sz w:val="24"/>
          <w:szCs w:val="24"/>
        </w:rPr>
        <w:t>e</w:t>
      </w:r>
      <w:r w:rsidR="005B566A">
        <w:rPr>
          <w:rStyle w:val="Numeropagina"/>
          <w:bCs/>
          <w:color w:val="000000" w:themeColor="text1"/>
          <w:sz w:val="24"/>
          <w:szCs w:val="24"/>
        </w:rPr>
        <w:t xml:space="preserve"> poter avere l’ultima parola in merito alla correttezza o, meglio, in ordine alla legittimità della scelta</w:t>
      </w:r>
      <w:r w:rsidR="002F0A65">
        <w:rPr>
          <w:rStyle w:val="Numeropagina"/>
          <w:bCs/>
          <w:color w:val="000000" w:themeColor="text1"/>
          <w:sz w:val="24"/>
          <w:szCs w:val="24"/>
        </w:rPr>
        <w:t>, appunto controllando, validando o smentendo la decisione automatizzata</w:t>
      </w:r>
      <w:r w:rsidR="00F03266">
        <w:rPr>
          <w:rStyle w:val="Numeropagina"/>
          <w:bCs/>
          <w:color w:val="000000" w:themeColor="text1"/>
          <w:sz w:val="24"/>
          <w:szCs w:val="24"/>
        </w:rPr>
        <w:t>. È stato</w:t>
      </w:r>
      <w:r w:rsidR="0051763C">
        <w:rPr>
          <w:rStyle w:val="Numeropagina"/>
          <w:bCs/>
          <w:color w:val="000000" w:themeColor="text1"/>
          <w:sz w:val="24"/>
          <w:szCs w:val="24"/>
        </w:rPr>
        <w:t>,</w:t>
      </w:r>
      <w:r w:rsidR="00F03266">
        <w:rPr>
          <w:rStyle w:val="Numeropagina"/>
          <w:bCs/>
          <w:color w:val="000000" w:themeColor="text1"/>
          <w:sz w:val="24"/>
          <w:szCs w:val="24"/>
        </w:rPr>
        <w:t xml:space="preserve"> opportunamente</w:t>
      </w:r>
      <w:r w:rsidR="0051763C">
        <w:rPr>
          <w:rStyle w:val="Numeropagina"/>
          <w:bCs/>
          <w:color w:val="000000" w:themeColor="text1"/>
          <w:sz w:val="24"/>
          <w:szCs w:val="24"/>
        </w:rPr>
        <w:t>,</w:t>
      </w:r>
      <w:r w:rsidR="00F03266">
        <w:rPr>
          <w:rStyle w:val="Numeropagina"/>
          <w:bCs/>
          <w:color w:val="000000" w:themeColor="text1"/>
          <w:sz w:val="24"/>
          <w:szCs w:val="24"/>
        </w:rPr>
        <w:t xml:space="preserve"> </w:t>
      </w:r>
      <w:r w:rsidR="002F0A65">
        <w:rPr>
          <w:rStyle w:val="Numeropagina"/>
          <w:bCs/>
          <w:color w:val="000000" w:themeColor="text1"/>
          <w:sz w:val="24"/>
          <w:szCs w:val="24"/>
        </w:rPr>
        <w:t xml:space="preserve">fatto rilevare </w:t>
      </w:r>
      <w:r w:rsidR="00FA175A">
        <w:rPr>
          <w:rStyle w:val="Numeropagina"/>
          <w:bCs/>
          <w:color w:val="000000" w:themeColor="text1"/>
          <w:sz w:val="24"/>
          <w:szCs w:val="24"/>
        </w:rPr>
        <w:t xml:space="preserve">come questo </w:t>
      </w:r>
      <w:r w:rsidR="00B54C74">
        <w:rPr>
          <w:rStyle w:val="Numeropagina"/>
          <w:bCs/>
          <w:color w:val="000000" w:themeColor="text1"/>
          <w:sz w:val="24"/>
          <w:szCs w:val="24"/>
        </w:rPr>
        <w:t>processo</w:t>
      </w:r>
      <w:r w:rsidR="00FA175A">
        <w:rPr>
          <w:rStyle w:val="Numeropagina"/>
          <w:bCs/>
          <w:color w:val="000000" w:themeColor="text1"/>
          <w:sz w:val="24"/>
          <w:szCs w:val="24"/>
        </w:rPr>
        <w:t xml:space="preserve"> </w:t>
      </w:r>
      <w:r w:rsidR="00B50E4B">
        <w:rPr>
          <w:rStyle w:val="Numeropagina"/>
          <w:bCs/>
          <w:color w:val="000000" w:themeColor="text1"/>
          <w:sz w:val="24"/>
          <w:szCs w:val="24"/>
        </w:rPr>
        <w:t>venga</w:t>
      </w:r>
      <w:r w:rsidR="00FA175A">
        <w:rPr>
          <w:rStyle w:val="Numeropagina"/>
          <w:bCs/>
          <w:color w:val="000000" w:themeColor="text1"/>
          <w:sz w:val="24"/>
          <w:szCs w:val="24"/>
        </w:rPr>
        <w:t>, in</w:t>
      </w:r>
      <w:r w:rsidR="002F0A65" w:rsidRPr="00DE4C1E">
        <w:rPr>
          <w:rStyle w:val="Numeropagina"/>
          <w:bCs/>
          <w:color w:val="000000" w:themeColor="text1"/>
          <w:sz w:val="24"/>
          <w:szCs w:val="24"/>
        </w:rPr>
        <w:t xml:space="preserve"> ambito matematico ed informati</w:t>
      </w:r>
      <w:r w:rsidR="0051763C">
        <w:rPr>
          <w:rStyle w:val="Numeropagina"/>
          <w:bCs/>
          <w:color w:val="000000" w:themeColor="text1"/>
          <w:sz w:val="24"/>
          <w:szCs w:val="24"/>
        </w:rPr>
        <w:t>co</w:t>
      </w:r>
      <w:r w:rsidR="00FA175A" w:rsidRPr="00DE4C1E">
        <w:rPr>
          <w:rStyle w:val="Numeropagina"/>
          <w:bCs/>
          <w:color w:val="000000" w:themeColor="text1"/>
          <w:sz w:val="24"/>
          <w:szCs w:val="24"/>
        </w:rPr>
        <w:t>,</w:t>
      </w:r>
      <w:r w:rsidR="002F0A65" w:rsidRPr="00DE4C1E">
        <w:rPr>
          <w:rStyle w:val="Numeropagina"/>
          <w:bCs/>
          <w:color w:val="000000" w:themeColor="text1"/>
          <w:sz w:val="24"/>
          <w:szCs w:val="24"/>
        </w:rPr>
        <w:t xml:space="preserve"> definito come HITL (</w:t>
      </w:r>
      <w:r w:rsidR="002F0A65" w:rsidRPr="00B54C74">
        <w:rPr>
          <w:rStyle w:val="Numeropagina"/>
          <w:bCs/>
          <w:i/>
          <w:iCs/>
          <w:color w:val="000000" w:themeColor="text1"/>
          <w:sz w:val="24"/>
          <w:szCs w:val="24"/>
        </w:rPr>
        <w:t>human in the loop</w:t>
      </w:r>
      <w:r w:rsidR="002F0A65" w:rsidRPr="00DE4C1E">
        <w:rPr>
          <w:rStyle w:val="Numeropagina"/>
          <w:bCs/>
          <w:color w:val="000000" w:themeColor="text1"/>
          <w:sz w:val="24"/>
          <w:szCs w:val="24"/>
        </w:rPr>
        <w:t>), in cui, per produrre il suo risultato è necessario che la macchina interagisca con l’essere umano</w:t>
      </w:r>
      <w:r w:rsidR="0009366A" w:rsidRPr="00DE4C1E">
        <w:rPr>
          <w:rStyle w:val="Numeropagina"/>
          <w:bCs/>
          <w:color w:val="000000" w:themeColor="text1"/>
          <w:sz w:val="24"/>
          <w:szCs w:val="24"/>
        </w:rPr>
        <w:t xml:space="preserve"> (Cons. St. nn. </w:t>
      </w:r>
      <w:r w:rsidR="00420E44" w:rsidRPr="00DE4C1E">
        <w:rPr>
          <w:rStyle w:val="Numeropagina"/>
          <w:bCs/>
          <w:color w:val="000000" w:themeColor="text1"/>
          <w:sz w:val="24"/>
          <w:szCs w:val="24"/>
        </w:rPr>
        <w:t>8472/2019 e 881/2020).</w:t>
      </w:r>
    </w:p>
    <w:p w14:paraId="3B02D6FD" w14:textId="451AA024" w:rsidR="00321365" w:rsidRDefault="007D0416" w:rsidP="00321365">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Si ritiene, sebbene questa soluzione non sia </w:t>
      </w:r>
      <w:r w:rsidR="00A92D39">
        <w:rPr>
          <w:rStyle w:val="Numeropagina"/>
          <w:bCs/>
          <w:color w:val="000000" w:themeColor="text1"/>
          <w:sz w:val="24"/>
          <w:szCs w:val="24"/>
        </w:rPr>
        <w:t>accolta</w:t>
      </w:r>
      <w:r>
        <w:rPr>
          <w:rStyle w:val="Numeropagina"/>
          <w:bCs/>
          <w:color w:val="000000" w:themeColor="text1"/>
          <w:sz w:val="24"/>
          <w:szCs w:val="24"/>
        </w:rPr>
        <w:t xml:space="preserve"> da tutti, che uno dei presupposti che determinano la necessità</w:t>
      </w:r>
      <w:r w:rsidR="00A92D39">
        <w:rPr>
          <w:rStyle w:val="Numeropagina"/>
          <w:bCs/>
          <w:color w:val="000000" w:themeColor="text1"/>
          <w:sz w:val="24"/>
          <w:szCs w:val="24"/>
        </w:rPr>
        <w:t xml:space="preserve"> di una scelta (anche) umana</w:t>
      </w:r>
      <w:r w:rsidR="00321365">
        <w:rPr>
          <w:rStyle w:val="Numeropagina"/>
          <w:bCs/>
          <w:color w:val="000000" w:themeColor="text1"/>
          <w:sz w:val="24"/>
          <w:szCs w:val="24"/>
        </w:rPr>
        <w:t xml:space="preserve"> sia da </w:t>
      </w:r>
      <w:proofErr w:type="gramStart"/>
      <w:r w:rsidR="00321365">
        <w:rPr>
          <w:rStyle w:val="Numeropagina"/>
          <w:bCs/>
          <w:color w:val="000000" w:themeColor="text1"/>
          <w:sz w:val="24"/>
          <w:szCs w:val="24"/>
        </w:rPr>
        <w:t>ravvisare</w:t>
      </w:r>
      <w:r w:rsidR="00A92D39">
        <w:rPr>
          <w:rStyle w:val="Numeropagina"/>
          <w:bCs/>
          <w:color w:val="000000" w:themeColor="text1"/>
          <w:sz w:val="24"/>
          <w:szCs w:val="24"/>
        </w:rPr>
        <w:t xml:space="preserve"> </w:t>
      </w:r>
      <w:r>
        <w:rPr>
          <w:rStyle w:val="Numeropagina"/>
          <w:bCs/>
          <w:color w:val="000000" w:themeColor="text1"/>
          <w:sz w:val="24"/>
          <w:szCs w:val="24"/>
        </w:rPr>
        <w:t xml:space="preserve"> </w:t>
      </w:r>
      <w:r w:rsidR="00321365">
        <w:rPr>
          <w:rStyle w:val="Numeropagina"/>
          <w:bCs/>
          <w:color w:val="000000" w:themeColor="text1"/>
          <w:sz w:val="24"/>
          <w:szCs w:val="24"/>
        </w:rPr>
        <w:t>nell’art.</w:t>
      </w:r>
      <w:proofErr w:type="gramEnd"/>
      <w:r w:rsidR="00321365">
        <w:rPr>
          <w:rStyle w:val="Numeropagina"/>
          <w:bCs/>
          <w:color w:val="000000" w:themeColor="text1"/>
          <w:sz w:val="24"/>
          <w:szCs w:val="24"/>
        </w:rPr>
        <w:t xml:space="preserve"> 22 del GDPR Reg. Ue </w:t>
      </w:r>
      <w:r w:rsidR="00962FC4">
        <w:rPr>
          <w:rStyle w:val="Numeropagina"/>
          <w:bCs/>
          <w:color w:val="000000" w:themeColor="text1"/>
          <w:sz w:val="24"/>
          <w:szCs w:val="24"/>
        </w:rPr>
        <w:t>679/2016</w:t>
      </w:r>
      <w:r w:rsidR="00ED0DBD">
        <w:rPr>
          <w:rStyle w:val="Numeropagina"/>
          <w:bCs/>
          <w:color w:val="000000" w:themeColor="text1"/>
          <w:sz w:val="24"/>
          <w:szCs w:val="24"/>
        </w:rPr>
        <w:t xml:space="preserve"> sul</w:t>
      </w:r>
      <w:r w:rsidR="00226C0C">
        <w:rPr>
          <w:rStyle w:val="Numeropagina"/>
          <w:bCs/>
          <w:color w:val="000000" w:themeColor="text1"/>
          <w:sz w:val="24"/>
          <w:szCs w:val="24"/>
        </w:rPr>
        <w:t>la protezione dei dati</w:t>
      </w:r>
      <w:r w:rsidR="00C67D1C">
        <w:rPr>
          <w:rStyle w:val="Numeropagina"/>
          <w:bCs/>
          <w:color w:val="000000" w:themeColor="text1"/>
          <w:sz w:val="24"/>
          <w:szCs w:val="24"/>
        </w:rPr>
        <w:t xml:space="preserve"> (</w:t>
      </w:r>
      <w:r w:rsidR="00BD3E46">
        <w:rPr>
          <w:rStyle w:val="Numeropagina"/>
          <w:bCs/>
          <w:color w:val="000000" w:themeColor="text1"/>
          <w:sz w:val="24"/>
          <w:szCs w:val="24"/>
        </w:rPr>
        <w:t>“</w:t>
      </w:r>
      <w:r w:rsidR="00C67D1C" w:rsidRPr="00BD3E46">
        <w:rPr>
          <w:rStyle w:val="Numeropagina"/>
          <w:bCs/>
          <w:i/>
          <w:iCs/>
          <w:color w:val="000000" w:themeColor="text1"/>
          <w:sz w:val="24"/>
          <w:szCs w:val="24"/>
        </w:rPr>
        <w:t>L'interessato ha il diritto di non essere sottoposto a una decisione basata unicamente sul trattamento automatizzato, compresa la profilazione, che produca effetti giuridici che lo riguardano o che incida in modo analogo significativamente sulla sua persona</w:t>
      </w:r>
      <w:r w:rsidR="00BD3E46">
        <w:rPr>
          <w:rStyle w:val="Numeropagina"/>
          <w:bCs/>
          <w:color w:val="000000" w:themeColor="text1"/>
          <w:sz w:val="24"/>
          <w:szCs w:val="24"/>
        </w:rPr>
        <w:t>”)</w:t>
      </w:r>
      <w:r w:rsidR="00ED6EE5">
        <w:rPr>
          <w:rStyle w:val="Numeropagina"/>
          <w:bCs/>
          <w:color w:val="000000" w:themeColor="text1"/>
          <w:sz w:val="24"/>
          <w:szCs w:val="24"/>
        </w:rPr>
        <w:t xml:space="preserve">. </w:t>
      </w:r>
    </w:p>
    <w:p w14:paraId="1AED09A2" w14:textId="258785A9" w:rsidR="00321365" w:rsidRDefault="006E0A4A" w:rsidP="00601A60">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Al di là di </w:t>
      </w:r>
      <w:r w:rsidR="00E85C1E">
        <w:rPr>
          <w:rStyle w:val="Numeropagina"/>
          <w:bCs/>
          <w:color w:val="000000" w:themeColor="text1"/>
          <w:sz w:val="24"/>
          <w:szCs w:val="24"/>
        </w:rPr>
        <w:t>questo aspetto</w:t>
      </w:r>
      <w:r w:rsidR="00EA0730">
        <w:rPr>
          <w:rStyle w:val="Numeropagina"/>
          <w:bCs/>
          <w:color w:val="000000" w:themeColor="text1"/>
          <w:sz w:val="24"/>
          <w:szCs w:val="24"/>
        </w:rPr>
        <w:t xml:space="preserve">, di carattere eminentemente tecnico, c’è un'altra problematica che risulta essere degna di considerazione, ossia quella relativa al </w:t>
      </w:r>
      <w:r w:rsidR="00C053BE">
        <w:rPr>
          <w:rStyle w:val="Numeropagina"/>
          <w:bCs/>
          <w:i/>
          <w:iCs/>
          <w:color w:val="000000" w:themeColor="text1"/>
          <w:sz w:val="24"/>
          <w:szCs w:val="24"/>
        </w:rPr>
        <w:t xml:space="preserve">quantum </w:t>
      </w:r>
      <w:r w:rsidR="00C053BE">
        <w:rPr>
          <w:rStyle w:val="Numeropagina"/>
          <w:bCs/>
          <w:color w:val="000000" w:themeColor="text1"/>
          <w:sz w:val="24"/>
          <w:szCs w:val="24"/>
        </w:rPr>
        <w:t>di contributo umano è necessario vi sia per restituire una decisione</w:t>
      </w:r>
      <w:r w:rsidR="00CC6657">
        <w:rPr>
          <w:rStyle w:val="Numeropagina"/>
          <w:bCs/>
          <w:color w:val="000000" w:themeColor="text1"/>
          <w:sz w:val="24"/>
          <w:szCs w:val="24"/>
        </w:rPr>
        <w:t xml:space="preserve"> automa</w:t>
      </w:r>
      <w:r w:rsidR="0022115C">
        <w:rPr>
          <w:rStyle w:val="Numeropagina"/>
          <w:bCs/>
          <w:color w:val="000000" w:themeColor="text1"/>
          <w:sz w:val="24"/>
          <w:szCs w:val="24"/>
        </w:rPr>
        <w:t>tizzata che sia</w:t>
      </w:r>
      <w:r w:rsidR="00C053BE">
        <w:rPr>
          <w:rStyle w:val="Numeropagina"/>
          <w:bCs/>
          <w:color w:val="000000" w:themeColor="text1"/>
          <w:sz w:val="24"/>
          <w:szCs w:val="24"/>
        </w:rPr>
        <w:t xml:space="preserve"> </w:t>
      </w:r>
      <w:r w:rsidR="00A96757">
        <w:rPr>
          <w:rStyle w:val="Numeropagina"/>
          <w:bCs/>
          <w:color w:val="000000" w:themeColor="text1"/>
          <w:sz w:val="24"/>
          <w:szCs w:val="24"/>
        </w:rPr>
        <w:t xml:space="preserve">legittima. Anche qui </w:t>
      </w:r>
      <w:r w:rsidR="00F929EE">
        <w:rPr>
          <w:rStyle w:val="Numeropagina"/>
          <w:bCs/>
          <w:color w:val="000000" w:themeColor="text1"/>
          <w:sz w:val="24"/>
          <w:szCs w:val="24"/>
        </w:rPr>
        <w:t xml:space="preserve">la risposta non può essere univoca e trasversale, in quanto </w:t>
      </w:r>
      <w:r w:rsidR="00A96757">
        <w:rPr>
          <w:rStyle w:val="Numeropagina"/>
          <w:bCs/>
          <w:color w:val="000000" w:themeColor="text1"/>
          <w:sz w:val="24"/>
          <w:szCs w:val="24"/>
        </w:rPr>
        <w:t>il problema si deve porre</w:t>
      </w:r>
      <w:r w:rsidR="0022115C">
        <w:rPr>
          <w:rStyle w:val="Numeropagina"/>
          <w:bCs/>
          <w:color w:val="000000" w:themeColor="text1"/>
          <w:sz w:val="24"/>
          <w:szCs w:val="24"/>
        </w:rPr>
        <w:t xml:space="preserve"> e raffrontare</w:t>
      </w:r>
      <w:r w:rsidR="00A96757">
        <w:rPr>
          <w:rStyle w:val="Numeropagina"/>
          <w:bCs/>
          <w:color w:val="000000" w:themeColor="text1"/>
          <w:sz w:val="24"/>
          <w:szCs w:val="24"/>
        </w:rPr>
        <w:t xml:space="preserve"> con riferimento </w:t>
      </w:r>
      <w:r w:rsidR="00F929EE">
        <w:rPr>
          <w:rStyle w:val="Numeropagina"/>
          <w:bCs/>
          <w:color w:val="000000" w:themeColor="text1"/>
          <w:sz w:val="24"/>
          <w:szCs w:val="24"/>
        </w:rPr>
        <w:t xml:space="preserve">alle specifiche </w:t>
      </w:r>
      <w:r w:rsidR="00635494">
        <w:rPr>
          <w:rStyle w:val="Numeropagina"/>
          <w:bCs/>
          <w:color w:val="000000" w:themeColor="text1"/>
          <w:sz w:val="24"/>
          <w:szCs w:val="24"/>
        </w:rPr>
        <w:t>tipologie di gare</w:t>
      </w:r>
      <w:r w:rsidR="00F95EC0">
        <w:rPr>
          <w:rStyle w:val="Numeropagina"/>
          <w:bCs/>
          <w:color w:val="000000" w:themeColor="text1"/>
          <w:sz w:val="24"/>
          <w:szCs w:val="24"/>
        </w:rPr>
        <w:t xml:space="preserve"> e, inoltre, al loro concreto sviluppo</w:t>
      </w:r>
      <w:r w:rsidR="00635494">
        <w:rPr>
          <w:rStyle w:val="Numeropagina"/>
          <w:bCs/>
          <w:color w:val="000000" w:themeColor="text1"/>
          <w:sz w:val="24"/>
          <w:szCs w:val="24"/>
        </w:rPr>
        <w:t>.</w:t>
      </w:r>
    </w:p>
    <w:p w14:paraId="2FEAD48C" w14:textId="2C8ACF77" w:rsidR="00F95EC0" w:rsidRDefault="00F95EC0" w:rsidP="00601A60">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Questo, a</w:t>
      </w:r>
      <w:r w:rsidR="00294C60">
        <w:rPr>
          <w:rStyle w:val="Numeropagina"/>
          <w:bCs/>
          <w:color w:val="000000" w:themeColor="text1"/>
          <w:sz w:val="24"/>
          <w:szCs w:val="24"/>
        </w:rPr>
        <w:t xml:space="preserve">d avviso di chi scrive, </w:t>
      </w:r>
      <w:r>
        <w:rPr>
          <w:rStyle w:val="Numeropagina"/>
          <w:bCs/>
          <w:color w:val="000000" w:themeColor="text1"/>
          <w:sz w:val="24"/>
          <w:szCs w:val="24"/>
        </w:rPr>
        <w:t>sarà uno dei campi di azione di maggior rilievo che impegnerà la giurisprudenza amministrativa nel futuro prossimo.</w:t>
      </w:r>
    </w:p>
    <w:p w14:paraId="595449CB" w14:textId="6BE6F840" w:rsidR="00635494" w:rsidRDefault="00601A60" w:rsidP="00321365">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L’elemento decisivo</w:t>
      </w:r>
      <w:r w:rsidR="00D9591A">
        <w:rPr>
          <w:rStyle w:val="Numeropagina"/>
          <w:bCs/>
          <w:color w:val="000000" w:themeColor="text1"/>
          <w:sz w:val="24"/>
          <w:szCs w:val="24"/>
        </w:rPr>
        <w:t xml:space="preserve"> per valutare adeguatamente </w:t>
      </w:r>
      <w:r w:rsidR="00B82108">
        <w:rPr>
          <w:rStyle w:val="Numeropagina"/>
          <w:bCs/>
          <w:color w:val="000000" w:themeColor="text1"/>
          <w:sz w:val="24"/>
          <w:szCs w:val="24"/>
        </w:rPr>
        <w:t>questi sviluppi procedimentali</w:t>
      </w:r>
      <w:proofErr w:type="gramStart"/>
      <w:r w:rsidR="00471EE5">
        <w:rPr>
          <w:rStyle w:val="Numeropagina"/>
          <w:bCs/>
          <w:color w:val="000000" w:themeColor="text1"/>
          <w:sz w:val="24"/>
          <w:szCs w:val="24"/>
        </w:rPr>
        <w:t>, ,</w:t>
      </w:r>
      <w:proofErr w:type="gramEnd"/>
      <w:r w:rsidR="00471EE5">
        <w:rPr>
          <w:rStyle w:val="Numeropagina"/>
          <w:bCs/>
          <w:color w:val="000000" w:themeColor="text1"/>
          <w:sz w:val="24"/>
          <w:szCs w:val="24"/>
        </w:rPr>
        <w:t xml:space="preserve"> </w:t>
      </w:r>
      <w:r w:rsidR="00F951B0">
        <w:rPr>
          <w:rStyle w:val="Numeropagina"/>
          <w:bCs/>
          <w:color w:val="000000" w:themeColor="text1"/>
          <w:sz w:val="24"/>
          <w:szCs w:val="24"/>
        </w:rPr>
        <w:t>evidentemente</w:t>
      </w:r>
      <w:r w:rsidR="00471EE5">
        <w:rPr>
          <w:rStyle w:val="Numeropagina"/>
          <w:bCs/>
          <w:color w:val="000000" w:themeColor="text1"/>
          <w:sz w:val="24"/>
          <w:szCs w:val="24"/>
        </w:rPr>
        <w:t xml:space="preserve">, </w:t>
      </w:r>
      <w:r w:rsidR="00307C53">
        <w:rPr>
          <w:rStyle w:val="Numeropagina"/>
          <w:bCs/>
          <w:color w:val="000000" w:themeColor="text1"/>
          <w:sz w:val="24"/>
          <w:szCs w:val="24"/>
        </w:rPr>
        <w:t xml:space="preserve">non potrà che </w:t>
      </w:r>
      <w:r w:rsidR="00993DC1">
        <w:rPr>
          <w:rStyle w:val="Numeropagina"/>
          <w:bCs/>
          <w:color w:val="000000" w:themeColor="text1"/>
          <w:sz w:val="24"/>
          <w:szCs w:val="24"/>
        </w:rPr>
        <w:t>partire</w:t>
      </w:r>
      <w:r w:rsidR="00307C53">
        <w:rPr>
          <w:rStyle w:val="Numeropagina"/>
          <w:bCs/>
          <w:color w:val="000000" w:themeColor="text1"/>
          <w:sz w:val="24"/>
          <w:szCs w:val="24"/>
        </w:rPr>
        <w:t xml:space="preserve"> </w:t>
      </w:r>
      <w:r w:rsidR="00993DC1">
        <w:rPr>
          <w:rStyle w:val="Numeropagina"/>
          <w:bCs/>
          <w:color w:val="000000" w:themeColor="text1"/>
          <w:sz w:val="24"/>
          <w:szCs w:val="24"/>
        </w:rPr>
        <w:t>dal</w:t>
      </w:r>
      <w:r w:rsidR="00307C53">
        <w:rPr>
          <w:rStyle w:val="Numeropagina"/>
          <w:bCs/>
          <w:color w:val="000000" w:themeColor="text1"/>
          <w:sz w:val="24"/>
          <w:szCs w:val="24"/>
        </w:rPr>
        <w:t xml:space="preserve">l’approccio </w:t>
      </w:r>
      <w:r w:rsidR="00993DC1">
        <w:rPr>
          <w:rStyle w:val="Numeropagina"/>
          <w:bCs/>
          <w:color w:val="000000" w:themeColor="text1"/>
          <w:sz w:val="24"/>
          <w:szCs w:val="24"/>
        </w:rPr>
        <w:t>(</w:t>
      </w:r>
      <w:r w:rsidR="00307C53">
        <w:rPr>
          <w:rStyle w:val="Numeropagina"/>
          <w:bCs/>
          <w:color w:val="000000" w:themeColor="text1"/>
          <w:sz w:val="24"/>
          <w:szCs w:val="24"/>
        </w:rPr>
        <w:t>disfunzionale</w:t>
      </w:r>
      <w:r w:rsidR="00993DC1">
        <w:rPr>
          <w:rStyle w:val="Numeropagina"/>
          <w:bCs/>
          <w:color w:val="000000" w:themeColor="text1"/>
          <w:sz w:val="24"/>
          <w:szCs w:val="24"/>
        </w:rPr>
        <w:t xml:space="preserve"> o meno)</w:t>
      </w:r>
      <w:r w:rsidR="004F07CF">
        <w:rPr>
          <w:rStyle w:val="Numeropagina"/>
          <w:bCs/>
          <w:color w:val="000000" w:themeColor="text1"/>
          <w:sz w:val="24"/>
          <w:szCs w:val="24"/>
        </w:rPr>
        <w:t>,</w:t>
      </w:r>
      <w:r w:rsidR="00307C53">
        <w:rPr>
          <w:rStyle w:val="Numeropagina"/>
          <w:bCs/>
          <w:color w:val="000000" w:themeColor="text1"/>
          <w:sz w:val="24"/>
          <w:szCs w:val="24"/>
        </w:rPr>
        <w:t xml:space="preserve"> rispetto alla proposta normativa</w:t>
      </w:r>
      <w:r w:rsidR="004F07CF">
        <w:rPr>
          <w:rStyle w:val="Numeropagina"/>
          <w:bCs/>
          <w:color w:val="000000" w:themeColor="text1"/>
          <w:sz w:val="24"/>
          <w:szCs w:val="24"/>
        </w:rPr>
        <w:t>,</w:t>
      </w:r>
      <w:r w:rsidR="00307C53">
        <w:rPr>
          <w:rStyle w:val="Numeropagina"/>
          <w:bCs/>
          <w:color w:val="000000" w:themeColor="text1"/>
          <w:sz w:val="24"/>
          <w:szCs w:val="24"/>
        </w:rPr>
        <w:t xml:space="preserve"> </w:t>
      </w:r>
      <w:r w:rsidR="004F07CF">
        <w:rPr>
          <w:rStyle w:val="Numeropagina"/>
          <w:bCs/>
          <w:color w:val="000000" w:themeColor="text1"/>
          <w:sz w:val="24"/>
          <w:szCs w:val="24"/>
        </w:rPr>
        <w:t xml:space="preserve">che esprimerà il funzionario pubblico. </w:t>
      </w:r>
      <w:r w:rsidR="0030731B">
        <w:rPr>
          <w:rStyle w:val="Numeropagina"/>
          <w:bCs/>
          <w:color w:val="000000" w:themeColor="text1"/>
          <w:sz w:val="24"/>
          <w:szCs w:val="24"/>
        </w:rPr>
        <w:t>Se, infatti, per utilizzare i verbi del legislatore</w:t>
      </w:r>
      <w:r w:rsidR="005F3270">
        <w:rPr>
          <w:rStyle w:val="Numeropagina"/>
          <w:bCs/>
          <w:color w:val="000000" w:themeColor="text1"/>
          <w:sz w:val="24"/>
          <w:szCs w:val="24"/>
        </w:rPr>
        <w:t>,</w:t>
      </w:r>
      <w:r w:rsidR="0030731B">
        <w:rPr>
          <w:rStyle w:val="Numeropagina"/>
          <w:bCs/>
          <w:color w:val="000000" w:themeColor="text1"/>
          <w:sz w:val="24"/>
          <w:szCs w:val="24"/>
        </w:rPr>
        <w:t xml:space="preserve"> </w:t>
      </w:r>
      <w:r w:rsidR="00C539DD">
        <w:rPr>
          <w:rStyle w:val="Numeropagina"/>
          <w:bCs/>
          <w:color w:val="000000" w:themeColor="text1"/>
          <w:sz w:val="24"/>
          <w:szCs w:val="24"/>
        </w:rPr>
        <w:t>non creerà particolari problemi</w:t>
      </w:r>
      <w:r w:rsidR="005F3270">
        <w:rPr>
          <w:rStyle w:val="Numeropagina"/>
          <w:bCs/>
          <w:color w:val="000000" w:themeColor="text1"/>
          <w:sz w:val="24"/>
          <w:szCs w:val="24"/>
        </w:rPr>
        <w:t xml:space="preserve"> </w:t>
      </w:r>
      <w:r w:rsidR="0030731B">
        <w:rPr>
          <w:rStyle w:val="Numeropagina"/>
          <w:bCs/>
          <w:color w:val="000000" w:themeColor="text1"/>
          <w:sz w:val="24"/>
          <w:szCs w:val="24"/>
        </w:rPr>
        <w:t>“controllare” e</w:t>
      </w:r>
      <w:r w:rsidR="005F3270">
        <w:rPr>
          <w:rStyle w:val="Numeropagina"/>
          <w:bCs/>
          <w:color w:val="000000" w:themeColor="text1"/>
          <w:sz w:val="24"/>
          <w:szCs w:val="24"/>
        </w:rPr>
        <w:t>/o</w:t>
      </w:r>
      <w:r w:rsidR="0030731B">
        <w:rPr>
          <w:rStyle w:val="Numeropagina"/>
          <w:bCs/>
          <w:color w:val="000000" w:themeColor="text1"/>
          <w:sz w:val="24"/>
          <w:szCs w:val="24"/>
        </w:rPr>
        <w:t xml:space="preserve"> “validare”</w:t>
      </w:r>
      <w:r w:rsidR="00BA5322">
        <w:rPr>
          <w:rStyle w:val="Numeropagina"/>
          <w:bCs/>
          <w:color w:val="000000" w:themeColor="text1"/>
          <w:sz w:val="24"/>
          <w:szCs w:val="24"/>
        </w:rPr>
        <w:t xml:space="preserve"> la scelta automatizzata</w:t>
      </w:r>
      <w:r w:rsidR="005F3270">
        <w:rPr>
          <w:rStyle w:val="Numeropagina"/>
          <w:bCs/>
          <w:color w:val="000000" w:themeColor="text1"/>
          <w:sz w:val="24"/>
          <w:szCs w:val="24"/>
        </w:rPr>
        <w:t xml:space="preserve"> (che rappresentano attività </w:t>
      </w:r>
      <w:r w:rsidR="0016097B">
        <w:rPr>
          <w:rStyle w:val="Numeropagina"/>
          <w:bCs/>
          <w:color w:val="000000" w:themeColor="text1"/>
          <w:sz w:val="24"/>
          <w:szCs w:val="24"/>
        </w:rPr>
        <w:t>marcatamente estrinseche e di supporto formale alla decisione automatizzata)</w:t>
      </w:r>
      <w:r w:rsidR="005F3270">
        <w:rPr>
          <w:rStyle w:val="Numeropagina"/>
          <w:bCs/>
          <w:color w:val="000000" w:themeColor="text1"/>
          <w:sz w:val="24"/>
          <w:szCs w:val="24"/>
        </w:rPr>
        <w:t xml:space="preserve">, la vera domanda da porsi </w:t>
      </w:r>
      <w:r w:rsidR="004F07CF">
        <w:rPr>
          <w:rStyle w:val="Numeropagina"/>
          <w:bCs/>
          <w:color w:val="000000" w:themeColor="text1"/>
          <w:sz w:val="24"/>
          <w:szCs w:val="24"/>
        </w:rPr>
        <w:t>è chi</w:t>
      </w:r>
      <w:r w:rsidR="00CD557C">
        <w:rPr>
          <w:rStyle w:val="Numeropagina"/>
          <w:bCs/>
          <w:color w:val="000000" w:themeColor="text1"/>
          <w:sz w:val="24"/>
          <w:szCs w:val="24"/>
        </w:rPr>
        <w:t xml:space="preserve"> mai </w:t>
      </w:r>
      <w:r w:rsidR="008319DF">
        <w:rPr>
          <w:rStyle w:val="Numeropagina"/>
          <w:bCs/>
          <w:color w:val="000000" w:themeColor="text1"/>
          <w:sz w:val="24"/>
          <w:szCs w:val="24"/>
        </w:rPr>
        <w:t xml:space="preserve">oserà “smentire” un </w:t>
      </w:r>
      <w:r w:rsidR="00A13A45">
        <w:rPr>
          <w:rStyle w:val="Numeropagina"/>
          <w:bCs/>
          <w:i/>
          <w:iCs/>
          <w:color w:val="000000" w:themeColor="text1"/>
          <w:sz w:val="24"/>
          <w:szCs w:val="24"/>
        </w:rPr>
        <w:t>software</w:t>
      </w:r>
      <w:r w:rsidR="008319DF">
        <w:rPr>
          <w:rStyle w:val="Numeropagina"/>
          <w:bCs/>
          <w:color w:val="000000" w:themeColor="text1"/>
          <w:sz w:val="24"/>
          <w:szCs w:val="24"/>
        </w:rPr>
        <w:t xml:space="preserve"> o una decisione di intelligenza artificiale</w:t>
      </w:r>
      <w:r w:rsidR="008F0F52">
        <w:rPr>
          <w:rStyle w:val="Numeropagina"/>
          <w:bCs/>
          <w:color w:val="000000" w:themeColor="text1"/>
          <w:sz w:val="24"/>
          <w:szCs w:val="24"/>
        </w:rPr>
        <w:t>.</w:t>
      </w:r>
    </w:p>
    <w:p w14:paraId="2F830864" w14:textId="01DFB454" w:rsidR="0049449C" w:rsidRDefault="0049449C" w:rsidP="00321365">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Molto più comodo e rassicurante potrà essere </w:t>
      </w:r>
      <w:r w:rsidR="005D3F2D">
        <w:rPr>
          <w:rStyle w:val="Numeropagina"/>
          <w:bCs/>
          <w:color w:val="000000" w:themeColor="text1"/>
          <w:sz w:val="24"/>
          <w:szCs w:val="24"/>
        </w:rPr>
        <w:t>– come sino a oggi è capitato</w:t>
      </w:r>
      <w:r w:rsidR="00A26EFB">
        <w:rPr>
          <w:rStyle w:val="Numeropagina"/>
          <w:bCs/>
          <w:color w:val="000000" w:themeColor="text1"/>
          <w:sz w:val="24"/>
          <w:szCs w:val="24"/>
        </w:rPr>
        <w:t>,</w:t>
      </w:r>
      <w:r w:rsidR="005D3F2D">
        <w:rPr>
          <w:rStyle w:val="Numeropagina"/>
          <w:bCs/>
          <w:color w:val="000000" w:themeColor="text1"/>
          <w:sz w:val="24"/>
          <w:szCs w:val="24"/>
        </w:rPr>
        <w:t xml:space="preserve"> costantemente</w:t>
      </w:r>
      <w:r w:rsidR="00A26EFB">
        <w:rPr>
          <w:rStyle w:val="Numeropagina"/>
          <w:bCs/>
          <w:color w:val="000000" w:themeColor="text1"/>
          <w:sz w:val="24"/>
          <w:szCs w:val="24"/>
        </w:rPr>
        <w:t>,</w:t>
      </w:r>
      <w:r w:rsidR="00707ABA">
        <w:rPr>
          <w:rStyle w:val="Numeropagina"/>
          <w:bCs/>
          <w:color w:val="000000" w:themeColor="text1"/>
          <w:sz w:val="24"/>
          <w:szCs w:val="24"/>
        </w:rPr>
        <w:t xml:space="preserve"> per situazioni molto più banali alle quali il nuovo Codice ha cercato, </w:t>
      </w:r>
      <w:r w:rsidR="008E5081">
        <w:rPr>
          <w:rStyle w:val="Numeropagina"/>
          <w:bCs/>
          <w:color w:val="000000" w:themeColor="text1"/>
          <w:sz w:val="24"/>
          <w:szCs w:val="24"/>
        </w:rPr>
        <w:t xml:space="preserve">peraltro, sapientemente di porre rimedio </w:t>
      </w:r>
      <w:r w:rsidR="005D3F2D">
        <w:rPr>
          <w:rStyle w:val="Numeropagina"/>
          <w:bCs/>
          <w:color w:val="000000" w:themeColor="text1"/>
          <w:sz w:val="24"/>
          <w:szCs w:val="24"/>
        </w:rPr>
        <w:t xml:space="preserve">– rimandare la “palla” sul tavolo del </w:t>
      </w:r>
      <w:r w:rsidR="00097A55">
        <w:rPr>
          <w:rStyle w:val="Numeropagina"/>
          <w:bCs/>
          <w:color w:val="000000" w:themeColor="text1"/>
          <w:sz w:val="24"/>
          <w:szCs w:val="24"/>
        </w:rPr>
        <w:t>giudice</w:t>
      </w:r>
      <w:r w:rsidR="00707ABA">
        <w:rPr>
          <w:rStyle w:val="Numeropagina"/>
          <w:bCs/>
          <w:color w:val="000000" w:themeColor="text1"/>
          <w:sz w:val="24"/>
          <w:szCs w:val="24"/>
        </w:rPr>
        <w:t xml:space="preserve">. </w:t>
      </w:r>
    </w:p>
    <w:p w14:paraId="4750E936" w14:textId="3E82ABBE" w:rsidR="008E5081" w:rsidRDefault="008E5081" w:rsidP="00321365">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Qui</w:t>
      </w:r>
      <w:r w:rsidR="00F35035">
        <w:rPr>
          <w:rStyle w:val="Numeropagina"/>
          <w:bCs/>
          <w:color w:val="000000" w:themeColor="text1"/>
          <w:sz w:val="24"/>
          <w:szCs w:val="24"/>
        </w:rPr>
        <w:t xml:space="preserve"> -</w:t>
      </w:r>
      <w:r w:rsidR="0068035C">
        <w:rPr>
          <w:rStyle w:val="Numeropagina"/>
          <w:bCs/>
          <w:color w:val="000000" w:themeColor="text1"/>
          <w:sz w:val="24"/>
          <w:szCs w:val="24"/>
        </w:rPr>
        <w:t xml:space="preserve"> esattamente su questo punto</w:t>
      </w:r>
      <w:r w:rsidR="00F35035">
        <w:rPr>
          <w:rStyle w:val="Numeropagina"/>
          <w:bCs/>
          <w:color w:val="000000" w:themeColor="text1"/>
          <w:sz w:val="24"/>
          <w:szCs w:val="24"/>
        </w:rPr>
        <w:t xml:space="preserve"> -</w:t>
      </w:r>
      <w:r w:rsidR="00286352">
        <w:rPr>
          <w:rStyle w:val="Numeropagina"/>
          <w:bCs/>
          <w:color w:val="000000" w:themeColor="text1"/>
          <w:sz w:val="24"/>
          <w:szCs w:val="24"/>
        </w:rPr>
        <w:t xml:space="preserve"> si gioca la corretta applicazione dell’art. 30</w:t>
      </w:r>
      <w:r w:rsidR="00F00634">
        <w:rPr>
          <w:rStyle w:val="Numeropagina"/>
          <w:bCs/>
          <w:color w:val="000000" w:themeColor="text1"/>
          <w:sz w:val="24"/>
          <w:szCs w:val="24"/>
        </w:rPr>
        <w:t xml:space="preserve"> e, conseguentemente, </w:t>
      </w:r>
      <w:r w:rsidR="0068035C">
        <w:rPr>
          <w:rStyle w:val="Numeropagina"/>
          <w:bCs/>
          <w:color w:val="000000" w:themeColor="text1"/>
          <w:sz w:val="24"/>
          <w:szCs w:val="24"/>
        </w:rPr>
        <w:t xml:space="preserve">rischia di </w:t>
      </w:r>
      <w:r w:rsidR="000402AF">
        <w:rPr>
          <w:rStyle w:val="Numeropagina"/>
          <w:bCs/>
          <w:color w:val="000000" w:themeColor="text1"/>
          <w:sz w:val="24"/>
          <w:szCs w:val="24"/>
        </w:rPr>
        <w:t>venire meno</w:t>
      </w:r>
      <w:r w:rsidR="0068035C">
        <w:rPr>
          <w:rStyle w:val="Numeropagina"/>
          <w:bCs/>
          <w:color w:val="000000" w:themeColor="text1"/>
          <w:sz w:val="24"/>
          <w:szCs w:val="24"/>
        </w:rPr>
        <w:t xml:space="preserve"> quell’ottimismo sul contributo umano e sui richiami </w:t>
      </w:r>
      <w:r w:rsidR="00AB0DC7">
        <w:rPr>
          <w:rStyle w:val="Numeropagina"/>
          <w:bCs/>
          <w:color w:val="000000" w:themeColor="text1"/>
          <w:sz w:val="24"/>
          <w:szCs w:val="24"/>
        </w:rPr>
        <w:t>(</w:t>
      </w:r>
      <w:r w:rsidR="0068035C">
        <w:rPr>
          <w:rStyle w:val="Numeropagina"/>
          <w:bCs/>
          <w:color w:val="000000" w:themeColor="text1"/>
          <w:sz w:val="24"/>
          <w:szCs w:val="24"/>
        </w:rPr>
        <w:t>di natura umanistico rinascimentale</w:t>
      </w:r>
      <w:r w:rsidR="00AB0DC7">
        <w:rPr>
          <w:rStyle w:val="Numeropagina"/>
          <w:bCs/>
          <w:color w:val="000000" w:themeColor="text1"/>
          <w:sz w:val="24"/>
          <w:szCs w:val="24"/>
        </w:rPr>
        <w:t>)</w:t>
      </w:r>
      <w:r w:rsidR="0068035C">
        <w:rPr>
          <w:rStyle w:val="Numeropagina"/>
          <w:bCs/>
          <w:color w:val="000000" w:themeColor="text1"/>
          <w:sz w:val="24"/>
          <w:szCs w:val="24"/>
        </w:rPr>
        <w:t xml:space="preserve"> </w:t>
      </w:r>
      <w:r w:rsidR="0050128B">
        <w:rPr>
          <w:rStyle w:val="Numeropagina"/>
          <w:bCs/>
          <w:color w:val="000000" w:themeColor="text1"/>
          <w:sz w:val="24"/>
          <w:szCs w:val="24"/>
        </w:rPr>
        <w:t>all’antropocentrismo.</w:t>
      </w:r>
      <w:r w:rsidR="002870A6">
        <w:rPr>
          <w:rStyle w:val="Numeropagina"/>
          <w:bCs/>
          <w:color w:val="000000" w:themeColor="text1"/>
          <w:sz w:val="24"/>
          <w:szCs w:val="24"/>
        </w:rPr>
        <w:t xml:space="preserve"> La correzione e lo smentire la decisione </w:t>
      </w:r>
      <w:r w:rsidR="009F6B2D">
        <w:rPr>
          <w:rStyle w:val="Numeropagina"/>
          <w:bCs/>
          <w:color w:val="000000" w:themeColor="text1"/>
          <w:sz w:val="24"/>
          <w:szCs w:val="24"/>
        </w:rPr>
        <w:t>robotizzata</w:t>
      </w:r>
      <w:r w:rsidR="000402AF">
        <w:rPr>
          <w:rStyle w:val="Numeropagina"/>
          <w:bCs/>
          <w:color w:val="000000" w:themeColor="text1"/>
          <w:sz w:val="24"/>
          <w:szCs w:val="24"/>
        </w:rPr>
        <w:t xml:space="preserve">, con ogni probabilità, </w:t>
      </w:r>
      <w:r w:rsidR="009F6B2D">
        <w:rPr>
          <w:rStyle w:val="Numeropagina"/>
          <w:bCs/>
          <w:color w:val="000000" w:themeColor="text1"/>
          <w:sz w:val="24"/>
          <w:szCs w:val="24"/>
        </w:rPr>
        <w:t>saranno</w:t>
      </w:r>
      <w:r w:rsidR="002870A6">
        <w:rPr>
          <w:rStyle w:val="Numeropagina"/>
          <w:bCs/>
          <w:color w:val="000000" w:themeColor="text1"/>
          <w:sz w:val="24"/>
          <w:szCs w:val="24"/>
        </w:rPr>
        <w:t xml:space="preserve"> </w:t>
      </w:r>
      <w:r w:rsidR="001D24E9">
        <w:rPr>
          <w:rStyle w:val="Numeropagina"/>
          <w:bCs/>
          <w:color w:val="000000" w:themeColor="text1"/>
          <w:sz w:val="24"/>
          <w:szCs w:val="24"/>
        </w:rPr>
        <w:t>cas</w:t>
      </w:r>
      <w:r w:rsidR="009F6B2D">
        <w:rPr>
          <w:rStyle w:val="Numeropagina"/>
          <w:bCs/>
          <w:color w:val="000000" w:themeColor="text1"/>
          <w:sz w:val="24"/>
          <w:szCs w:val="24"/>
        </w:rPr>
        <w:t>i</w:t>
      </w:r>
      <w:r w:rsidR="001D24E9">
        <w:rPr>
          <w:rStyle w:val="Numeropagina"/>
          <w:bCs/>
          <w:color w:val="000000" w:themeColor="text1"/>
          <w:sz w:val="24"/>
          <w:szCs w:val="24"/>
        </w:rPr>
        <w:t xml:space="preserve"> di scuola, non </w:t>
      </w:r>
      <w:r w:rsidR="00AB0DC7">
        <w:rPr>
          <w:rStyle w:val="Numeropagina"/>
          <w:bCs/>
          <w:color w:val="000000" w:themeColor="text1"/>
          <w:sz w:val="24"/>
          <w:szCs w:val="24"/>
        </w:rPr>
        <w:t>se ne vedrann</w:t>
      </w:r>
      <w:r w:rsidR="001D24E9">
        <w:rPr>
          <w:rStyle w:val="Numeropagina"/>
          <w:bCs/>
          <w:color w:val="000000" w:themeColor="text1"/>
          <w:sz w:val="24"/>
          <w:szCs w:val="24"/>
        </w:rPr>
        <w:t>o</w:t>
      </w:r>
      <w:r w:rsidR="00015D40">
        <w:rPr>
          <w:rStyle w:val="Numeropagina"/>
          <w:bCs/>
          <w:color w:val="000000" w:themeColor="text1"/>
          <w:sz w:val="24"/>
          <w:szCs w:val="24"/>
        </w:rPr>
        <w:t xml:space="preserve"> negli anni a venire.</w:t>
      </w:r>
    </w:p>
    <w:p w14:paraId="26B71547" w14:textId="26726553" w:rsidR="001D24E9" w:rsidRDefault="001D24E9" w:rsidP="00321365">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Ergo, proprio </w:t>
      </w:r>
      <w:r w:rsidR="009C5CF4">
        <w:rPr>
          <w:rStyle w:val="Numeropagina"/>
          <w:bCs/>
          <w:color w:val="000000" w:themeColor="text1"/>
          <w:sz w:val="24"/>
          <w:szCs w:val="24"/>
        </w:rPr>
        <w:t xml:space="preserve">è sempre </w:t>
      </w:r>
      <w:r>
        <w:rPr>
          <w:rStyle w:val="Numeropagina"/>
          <w:bCs/>
          <w:color w:val="000000" w:themeColor="text1"/>
          <w:sz w:val="24"/>
          <w:szCs w:val="24"/>
        </w:rPr>
        <w:t xml:space="preserve">su questo punto, </w:t>
      </w:r>
      <w:r w:rsidR="009C2DAB">
        <w:rPr>
          <w:rStyle w:val="Numeropagina"/>
          <w:bCs/>
          <w:color w:val="000000" w:themeColor="text1"/>
          <w:sz w:val="24"/>
          <w:szCs w:val="24"/>
        </w:rPr>
        <w:t>sarà la magistratura (con la speranza che si</w:t>
      </w:r>
      <w:r w:rsidR="000201BC">
        <w:rPr>
          <w:rStyle w:val="Numeropagina"/>
          <w:bCs/>
          <w:color w:val="000000" w:themeColor="text1"/>
          <w:sz w:val="24"/>
          <w:szCs w:val="24"/>
        </w:rPr>
        <w:t>a</w:t>
      </w:r>
      <w:r w:rsidR="009C2DAB">
        <w:rPr>
          <w:rStyle w:val="Numeropagina"/>
          <w:bCs/>
          <w:color w:val="000000" w:themeColor="text1"/>
          <w:sz w:val="24"/>
          <w:szCs w:val="24"/>
        </w:rPr>
        <w:t xml:space="preserve"> coraggiosa </w:t>
      </w:r>
      <w:r w:rsidR="0091486E">
        <w:rPr>
          <w:rStyle w:val="Numeropagina"/>
          <w:bCs/>
          <w:color w:val="000000" w:themeColor="text1"/>
          <w:sz w:val="24"/>
          <w:szCs w:val="24"/>
        </w:rPr>
        <w:t xml:space="preserve">e </w:t>
      </w:r>
      <w:r w:rsidR="009C2DAB">
        <w:rPr>
          <w:rStyle w:val="Numeropagina"/>
          <w:bCs/>
          <w:color w:val="000000" w:themeColor="text1"/>
          <w:sz w:val="24"/>
          <w:szCs w:val="24"/>
        </w:rPr>
        <w:t>che non si fermi a</w:t>
      </w:r>
      <w:r w:rsidR="000201BC">
        <w:rPr>
          <w:rStyle w:val="Numeropagina"/>
          <w:bCs/>
          <w:color w:val="000000" w:themeColor="text1"/>
          <w:sz w:val="24"/>
          <w:szCs w:val="24"/>
        </w:rPr>
        <w:t xml:space="preserve"> banali e comodi</w:t>
      </w:r>
      <w:r w:rsidR="009C2DAB">
        <w:rPr>
          <w:rStyle w:val="Numeropagina"/>
          <w:bCs/>
          <w:color w:val="000000" w:themeColor="text1"/>
          <w:sz w:val="24"/>
          <w:szCs w:val="24"/>
        </w:rPr>
        <w:t xml:space="preserve"> richiami </w:t>
      </w:r>
      <w:proofErr w:type="spellStart"/>
      <w:r w:rsidR="009C2DAB">
        <w:rPr>
          <w:rStyle w:val="Numeropagina"/>
          <w:bCs/>
          <w:color w:val="000000" w:themeColor="text1"/>
          <w:sz w:val="24"/>
          <w:szCs w:val="24"/>
        </w:rPr>
        <w:t>tralatici</w:t>
      </w:r>
      <w:proofErr w:type="spellEnd"/>
      <w:r w:rsidR="009C2DAB">
        <w:rPr>
          <w:rStyle w:val="Numeropagina"/>
          <w:bCs/>
          <w:color w:val="000000" w:themeColor="text1"/>
          <w:sz w:val="24"/>
          <w:szCs w:val="24"/>
        </w:rPr>
        <w:t xml:space="preserve"> </w:t>
      </w:r>
      <w:r w:rsidR="00085AA7">
        <w:rPr>
          <w:rStyle w:val="Numeropagina"/>
          <w:bCs/>
          <w:color w:val="000000" w:themeColor="text1"/>
          <w:sz w:val="24"/>
          <w:szCs w:val="24"/>
        </w:rPr>
        <w:t>all’insindacabilità delle scelte</w:t>
      </w:r>
      <w:r w:rsidR="009C5CF4">
        <w:rPr>
          <w:rStyle w:val="Numeropagina"/>
          <w:bCs/>
          <w:color w:val="000000" w:themeColor="text1"/>
          <w:sz w:val="24"/>
          <w:szCs w:val="24"/>
        </w:rPr>
        <w:t xml:space="preserve"> discrezionali</w:t>
      </w:r>
      <w:r w:rsidR="00085AA7">
        <w:rPr>
          <w:rStyle w:val="Numeropagina"/>
          <w:bCs/>
          <w:color w:val="000000" w:themeColor="text1"/>
          <w:sz w:val="24"/>
          <w:szCs w:val="24"/>
        </w:rPr>
        <w:t>)</w:t>
      </w:r>
      <w:r w:rsidR="00804982">
        <w:rPr>
          <w:rStyle w:val="Numeropagina"/>
          <w:bCs/>
          <w:color w:val="000000" w:themeColor="text1"/>
          <w:sz w:val="24"/>
          <w:szCs w:val="24"/>
        </w:rPr>
        <w:t xml:space="preserve"> a dover dare le risposte più adeguate. Quel contributo umano, </w:t>
      </w:r>
      <w:r w:rsidR="008B590E">
        <w:rPr>
          <w:rStyle w:val="Numeropagina"/>
          <w:bCs/>
          <w:color w:val="000000" w:themeColor="text1"/>
          <w:sz w:val="24"/>
          <w:szCs w:val="24"/>
        </w:rPr>
        <w:t xml:space="preserve">e non è una buona notizia – in questo </w:t>
      </w:r>
      <w:r w:rsidR="005D76C4">
        <w:rPr>
          <w:rStyle w:val="Numeropagina"/>
          <w:bCs/>
          <w:color w:val="000000" w:themeColor="text1"/>
          <w:sz w:val="24"/>
          <w:szCs w:val="24"/>
        </w:rPr>
        <w:t>non può non concordarsi</w:t>
      </w:r>
      <w:r w:rsidR="008B590E">
        <w:rPr>
          <w:rStyle w:val="Numeropagina"/>
          <w:bCs/>
          <w:color w:val="000000" w:themeColor="text1"/>
          <w:sz w:val="24"/>
          <w:szCs w:val="24"/>
        </w:rPr>
        <w:t xml:space="preserve"> con Giovanni Gallone </w:t>
      </w:r>
      <w:r w:rsidR="00556495">
        <w:rPr>
          <w:rStyle w:val="Numeropagina"/>
          <w:bCs/>
          <w:color w:val="000000" w:themeColor="text1"/>
          <w:sz w:val="24"/>
          <w:szCs w:val="24"/>
        </w:rPr>
        <w:t>– si sposterà dal procedimento al processo, dal funzionario al magistrato. Ma</w:t>
      </w:r>
      <w:r w:rsidR="00BF2F9D">
        <w:rPr>
          <w:rStyle w:val="Numeropagina"/>
          <w:bCs/>
          <w:color w:val="000000" w:themeColor="text1"/>
          <w:sz w:val="24"/>
          <w:szCs w:val="24"/>
        </w:rPr>
        <w:t xml:space="preserve"> questa</w:t>
      </w:r>
      <w:r w:rsidR="00556495">
        <w:rPr>
          <w:rStyle w:val="Numeropagina"/>
          <w:bCs/>
          <w:color w:val="000000" w:themeColor="text1"/>
          <w:sz w:val="24"/>
          <w:szCs w:val="24"/>
        </w:rPr>
        <w:t xml:space="preserve"> </w:t>
      </w:r>
      <w:r w:rsidR="00970ADE">
        <w:rPr>
          <w:rStyle w:val="Numeropagina"/>
          <w:bCs/>
          <w:color w:val="000000" w:themeColor="text1"/>
          <w:sz w:val="24"/>
          <w:szCs w:val="24"/>
        </w:rPr>
        <w:t>sarà</w:t>
      </w:r>
      <w:r w:rsidR="00BF2F9D">
        <w:rPr>
          <w:rStyle w:val="Numeropagina"/>
          <w:bCs/>
          <w:color w:val="000000" w:themeColor="text1"/>
          <w:sz w:val="24"/>
          <w:szCs w:val="24"/>
        </w:rPr>
        <w:t xml:space="preserve"> una sconfitta</w:t>
      </w:r>
      <w:r w:rsidR="00BB5D1E">
        <w:rPr>
          <w:rStyle w:val="Numeropagina"/>
          <w:bCs/>
          <w:color w:val="000000" w:themeColor="text1"/>
          <w:sz w:val="24"/>
          <w:szCs w:val="24"/>
        </w:rPr>
        <w:t xml:space="preserve"> e</w:t>
      </w:r>
      <w:r w:rsidR="00970ADE">
        <w:rPr>
          <w:rStyle w:val="Numeropagina"/>
          <w:bCs/>
          <w:color w:val="000000" w:themeColor="text1"/>
          <w:sz w:val="24"/>
          <w:szCs w:val="24"/>
        </w:rPr>
        <w:t xml:space="preserve"> il segno di una disfunzione patologica in quanto, </w:t>
      </w:r>
      <w:r w:rsidR="00E97253">
        <w:rPr>
          <w:rStyle w:val="Numeropagina"/>
          <w:bCs/>
          <w:color w:val="000000" w:themeColor="text1"/>
          <w:sz w:val="24"/>
          <w:szCs w:val="24"/>
        </w:rPr>
        <w:t xml:space="preserve">evidentemente, </w:t>
      </w:r>
      <w:r w:rsidR="00556495">
        <w:rPr>
          <w:rStyle w:val="Numeropagina"/>
          <w:bCs/>
          <w:color w:val="000000" w:themeColor="text1"/>
          <w:sz w:val="24"/>
          <w:szCs w:val="24"/>
        </w:rPr>
        <w:t>non è</w:t>
      </w:r>
      <w:r w:rsidR="004A0890">
        <w:rPr>
          <w:rStyle w:val="Numeropagina"/>
          <w:bCs/>
          <w:color w:val="000000" w:themeColor="text1"/>
          <w:sz w:val="24"/>
          <w:szCs w:val="24"/>
        </w:rPr>
        <w:t xml:space="preserve"> (non deve essere)</w:t>
      </w:r>
      <w:r w:rsidR="00556495">
        <w:rPr>
          <w:rStyle w:val="Numeropagina"/>
          <w:bCs/>
          <w:color w:val="000000" w:themeColor="text1"/>
          <w:sz w:val="24"/>
          <w:szCs w:val="24"/>
        </w:rPr>
        <w:t xml:space="preserve"> questa la </w:t>
      </w:r>
      <w:r w:rsidR="00556495">
        <w:rPr>
          <w:rStyle w:val="Numeropagina"/>
          <w:bCs/>
          <w:i/>
          <w:iCs/>
          <w:color w:val="000000" w:themeColor="text1"/>
          <w:sz w:val="24"/>
          <w:szCs w:val="24"/>
        </w:rPr>
        <w:t xml:space="preserve">ratio </w:t>
      </w:r>
      <w:r w:rsidR="00556495">
        <w:rPr>
          <w:rStyle w:val="Numeropagina"/>
          <w:bCs/>
          <w:color w:val="000000" w:themeColor="text1"/>
          <w:sz w:val="24"/>
          <w:szCs w:val="24"/>
        </w:rPr>
        <w:t>della legge</w:t>
      </w:r>
      <w:r w:rsidR="00885FA5">
        <w:rPr>
          <w:rStyle w:val="Numeropagina"/>
          <w:bCs/>
          <w:color w:val="000000" w:themeColor="text1"/>
          <w:sz w:val="24"/>
          <w:szCs w:val="24"/>
        </w:rPr>
        <w:t>.</w:t>
      </w:r>
    </w:p>
    <w:p w14:paraId="0FCBC500" w14:textId="57A23D11" w:rsidR="00575368" w:rsidRDefault="00562C59" w:rsidP="0004062F">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L’unica soluzione per far sì che il sistema dell’art. 30</w:t>
      </w:r>
      <w:r w:rsidR="005F362C">
        <w:rPr>
          <w:rStyle w:val="Numeropagina"/>
          <w:bCs/>
          <w:color w:val="000000" w:themeColor="text1"/>
          <w:sz w:val="24"/>
          <w:szCs w:val="24"/>
        </w:rPr>
        <w:t>,</w:t>
      </w:r>
      <w:r>
        <w:rPr>
          <w:rStyle w:val="Numeropagina"/>
          <w:bCs/>
          <w:color w:val="000000" w:themeColor="text1"/>
          <w:sz w:val="24"/>
          <w:szCs w:val="24"/>
        </w:rPr>
        <w:t xml:space="preserve"> così come pensato, possa dare risposte e funzionare</w:t>
      </w:r>
      <w:r w:rsidR="00A123EE">
        <w:rPr>
          <w:rStyle w:val="Numeropagina"/>
          <w:bCs/>
          <w:color w:val="000000" w:themeColor="text1"/>
          <w:sz w:val="24"/>
          <w:szCs w:val="24"/>
        </w:rPr>
        <w:t xml:space="preserve"> adeguatamente</w:t>
      </w:r>
      <w:r w:rsidR="00B548C6">
        <w:rPr>
          <w:rStyle w:val="Numeropagina"/>
          <w:bCs/>
          <w:color w:val="000000" w:themeColor="text1"/>
          <w:sz w:val="24"/>
          <w:szCs w:val="24"/>
        </w:rPr>
        <w:t xml:space="preserve"> </w:t>
      </w:r>
      <w:r w:rsidR="00885FA5">
        <w:rPr>
          <w:rStyle w:val="Numeropagina"/>
          <w:bCs/>
          <w:color w:val="000000" w:themeColor="text1"/>
          <w:sz w:val="24"/>
          <w:szCs w:val="24"/>
        </w:rPr>
        <w:t xml:space="preserve">– e, quindi, evitare </w:t>
      </w:r>
      <w:r w:rsidR="00A123EE">
        <w:rPr>
          <w:rStyle w:val="Numeropagina"/>
          <w:bCs/>
          <w:color w:val="000000" w:themeColor="text1"/>
          <w:sz w:val="24"/>
          <w:szCs w:val="24"/>
        </w:rPr>
        <w:t xml:space="preserve">derive disfunzionali </w:t>
      </w:r>
      <w:r w:rsidR="00B548C6">
        <w:rPr>
          <w:rStyle w:val="Numeropagina"/>
          <w:bCs/>
          <w:color w:val="000000" w:themeColor="text1"/>
          <w:sz w:val="24"/>
          <w:szCs w:val="24"/>
        </w:rPr>
        <w:t>–</w:t>
      </w:r>
      <w:r w:rsidR="008469D1">
        <w:rPr>
          <w:rStyle w:val="Numeropagina"/>
          <w:bCs/>
          <w:color w:val="000000" w:themeColor="text1"/>
          <w:sz w:val="24"/>
          <w:szCs w:val="24"/>
        </w:rPr>
        <w:t xml:space="preserve"> è</w:t>
      </w:r>
      <w:r w:rsidR="00B548C6">
        <w:rPr>
          <w:rStyle w:val="Numeropagina"/>
          <w:bCs/>
          <w:color w:val="000000" w:themeColor="text1"/>
          <w:sz w:val="24"/>
          <w:szCs w:val="24"/>
        </w:rPr>
        <w:t xml:space="preserve">, almeno allo stato dei fatti, </w:t>
      </w:r>
      <w:r w:rsidR="008469D1">
        <w:rPr>
          <w:rStyle w:val="Numeropagina"/>
          <w:bCs/>
          <w:color w:val="000000" w:themeColor="text1"/>
          <w:sz w:val="24"/>
          <w:szCs w:val="24"/>
        </w:rPr>
        <w:t>quello c</w:t>
      </w:r>
      <w:r w:rsidR="00BB49FB">
        <w:rPr>
          <w:rStyle w:val="Numeropagina"/>
          <w:bCs/>
          <w:color w:val="000000" w:themeColor="text1"/>
          <w:sz w:val="24"/>
          <w:szCs w:val="24"/>
        </w:rPr>
        <w:t>he</w:t>
      </w:r>
      <w:r w:rsidR="008469D1">
        <w:rPr>
          <w:rStyle w:val="Numeropagina"/>
          <w:bCs/>
          <w:color w:val="000000" w:themeColor="text1"/>
          <w:sz w:val="24"/>
          <w:szCs w:val="24"/>
        </w:rPr>
        <w:t xml:space="preserve"> ha cercato di ricostruire la sentenza </w:t>
      </w:r>
      <w:r w:rsidR="00C072D3">
        <w:rPr>
          <w:rStyle w:val="Numeropagina"/>
          <w:bCs/>
          <w:color w:val="000000" w:themeColor="text1"/>
          <w:sz w:val="24"/>
          <w:szCs w:val="24"/>
        </w:rPr>
        <w:t xml:space="preserve">n. </w:t>
      </w:r>
      <w:r w:rsidR="008469D1">
        <w:rPr>
          <w:rStyle w:val="Numeropagina"/>
          <w:bCs/>
          <w:color w:val="000000" w:themeColor="text1"/>
          <w:sz w:val="24"/>
          <w:szCs w:val="24"/>
        </w:rPr>
        <w:t>2270/2019</w:t>
      </w:r>
      <w:r w:rsidR="00C072D3">
        <w:rPr>
          <w:rStyle w:val="Numeropagina"/>
          <w:bCs/>
          <w:color w:val="000000" w:themeColor="text1"/>
          <w:sz w:val="24"/>
          <w:szCs w:val="24"/>
        </w:rPr>
        <w:t>,</w:t>
      </w:r>
      <w:r w:rsidR="00BB49FB">
        <w:rPr>
          <w:rStyle w:val="Numeropagina"/>
          <w:bCs/>
          <w:color w:val="000000" w:themeColor="text1"/>
          <w:sz w:val="24"/>
          <w:szCs w:val="24"/>
        </w:rPr>
        <w:t xml:space="preserve"> attraverso la limitazione del sistema della decisione automatizzata alle </w:t>
      </w:r>
      <w:r w:rsidR="00CC5406">
        <w:rPr>
          <w:rStyle w:val="Numeropagina"/>
          <w:bCs/>
          <w:color w:val="000000" w:themeColor="text1"/>
          <w:sz w:val="24"/>
          <w:szCs w:val="24"/>
        </w:rPr>
        <w:t xml:space="preserve">sole </w:t>
      </w:r>
      <w:r w:rsidR="008D37BC">
        <w:rPr>
          <w:rStyle w:val="Numeropagina"/>
          <w:bCs/>
          <w:color w:val="000000" w:themeColor="text1"/>
          <w:sz w:val="24"/>
          <w:szCs w:val="24"/>
        </w:rPr>
        <w:t xml:space="preserve">attività </w:t>
      </w:r>
      <w:r w:rsidR="00DC7DA2">
        <w:rPr>
          <w:rStyle w:val="Numeropagina"/>
          <w:bCs/>
          <w:color w:val="000000" w:themeColor="text1"/>
          <w:sz w:val="24"/>
          <w:szCs w:val="24"/>
        </w:rPr>
        <w:t>vincolate.</w:t>
      </w:r>
      <w:r w:rsidR="0004062F">
        <w:rPr>
          <w:rStyle w:val="Numeropagina"/>
          <w:bCs/>
          <w:color w:val="000000" w:themeColor="text1"/>
          <w:sz w:val="24"/>
          <w:szCs w:val="24"/>
        </w:rPr>
        <w:t xml:space="preserve"> </w:t>
      </w:r>
      <w:r w:rsidR="0003768F">
        <w:rPr>
          <w:rStyle w:val="Numeropagina"/>
          <w:bCs/>
          <w:color w:val="000000" w:themeColor="text1"/>
          <w:sz w:val="24"/>
          <w:szCs w:val="24"/>
        </w:rPr>
        <w:t>I</w:t>
      </w:r>
      <w:r w:rsidR="00575368">
        <w:rPr>
          <w:rStyle w:val="Numeropagina"/>
          <w:bCs/>
          <w:color w:val="000000" w:themeColor="text1"/>
          <w:sz w:val="24"/>
          <w:szCs w:val="24"/>
        </w:rPr>
        <w:t>l problema</w:t>
      </w:r>
      <w:r w:rsidR="0003768F">
        <w:rPr>
          <w:rStyle w:val="Numeropagina"/>
          <w:bCs/>
          <w:color w:val="000000" w:themeColor="text1"/>
          <w:sz w:val="24"/>
          <w:szCs w:val="24"/>
        </w:rPr>
        <w:t>, insomma,</w:t>
      </w:r>
      <w:r w:rsidR="00575368">
        <w:rPr>
          <w:rStyle w:val="Numeropagina"/>
          <w:bCs/>
          <w:color w:val="000000" w:themeColor="text1"/>
          <w:sz w:val="24"/>
          <w:szCs w:val="24"/>
        </w:rPr>
        <w:t xml:space="preserve"> (come sempre) non sta negli strumenti automatizzati e nella digitalizzazione (ai quali, comunque, piaccia o meno, bisognerà “arrendersi”)</w:t>
      </w:r>
      <w:r w:rsidR="00C072D3">
        <w:rPr>
          <w:rStyle w:val="Numeropagina"/>
          <w:bCs/>
          <w:color w:val="000000" w:themeColor="text1"/>
          <w:sz w:val="24"/>
          <w:szCs w:val="24"/>
        </w:rPr>
        <w:t>,</w:t>
      </w:r>
      <w:r w:rsidR="00575368">
        <w:rPr>
          <w:rStyle w:val="Numeropagina"/>
          <w:bCs/>
          <w:color w:val="000000" w:themeColor="text1"/>
          <w:sz w:val="24"/>
          <w:szCs w:val="24"/>
        </w:rPr>
        <w:t xml:space="preserve"> ma va ricercato, in massima parte, nella corretta </w:t>
      </w:r>
      <w:r w:rsidR="00575368">
        <w:rPr>
          <w:rStyle w:val="Numeropagina"/>
          <w:bCs/>
          <w:i/>
          <w:iCs/>
          <w:color w:val="000000" w:themeColor="text1"/>
          <w:sz w:val="24"/>
          <w:szCs w:val="24"/>
        </w:rPr>
        <w:t xml:space="preserve">governance </w:t>
      </w:r>
      <w:r w:rsidR="00575368">
        <w:rPr>
          <w:rStyle w:val="Numeropagina"/>
          <w:bCs/>
          <w:color w:val="000000" w:themeColor="text1"/>
          <w:sz w:val="24"/>
          <w:szCs w:val="24"/>
        </w:rPr>
        <w:t xml:space="preserve">del fenomeno e nelle dovute precauzioni nel maneggiarlo </w:t>
      </w:r>
      <w:r w:rsidR="00575368" w:rsidRPr="00861A03">
        <w:rPr>
          <w:rStyle w:val="Numeropagina"/>
          <w:bCs/>
          <w:i/>
          <w:iCs/>
          <w:color w:val="000000" w:themeColor="text1"/>
          <w:sz w:val="24"/>
          <w:szCs w:val="24"/>
        </w:rPr>
        <w:t>in primis</w:t>
      </w:r>
      <w:r w:rsidR="00575368">
        <w:rPr>
          <w:rStyle w:val="Numeropagina"/>
          <w:bCs/>
          <w:color w:val="000000" w:themeColor="text1"/>
          <w:sz w:val="24"/>
          <w:szCs w:val="24"/>
        </w:rPr>
        <w:t xml:space="preserve"> da parte del pubblico funzionario e poi, in seconda battuta, dal Giudice.</w:t>
      </w:r>
    </w:p>
    <w:p w14:paraId="4924CC8A" w14:textId="77777777" w:rsidR="0004062F" w:rsidRPr="007C1F97" w:rsidRDefault="00C437D0" w:rsidP="0004062F">
      <w:pPr>
        <w:spacing w:line="567" w:lineRule="exact"/>
        <w:ind w:left="284" w:right="849"/>
        <w:jc w:val="right"/>
        <w:rPr>
          <w:rStyle w:val="Numeropagina"/>
          <w:b/>
          <w:bCs/>
          <w:color w:val="000000" w:themeColor="text1"/>
          <w:sz w:val="36"/>
          <w:szCs w:val="36"/>
        </w:rPr>
      </w:pPr>
      <w:r>
        <w:rPr>
          <w:rStyle w:val="Numeropagina"/>
          <w:bCs/>
          <w:color w:val="000000" w:themeColor="text1"/>
          <w:sz w:val="24"/>
          <w:szCs w:val="24"/>
        </w:rPr>
        <w:tab/>
      </w:r>
      <w:r>
        <w:rPr>
          <w:rStyle w:val="Numeropagina"/>
          <w:bCs/>
          <w:color w:val="000000" w:themeColor="text1"/>
          <w:sz w:val="24"/>
          <w:szCs w:val="24"/>
        </w:rPr>
        <w:tab/>
      </w:r>
      <w:r>
        <w:rPr>
          <w:rStyle w:val="Numeropagina"/>
          <w:bCs/>
          <w:color w:val="000000" w:themeColor="text1"/>
          <w:sz w:val="24"/>
          <w:szCs w:val="24"/>
        </w:rPr>
        <w:tab/>
      </w:r>
      <w:r w:rsidRPr="007C1F97">
        <w:rPr>
          <w:rStyle w:val="Numeropagina"/>
          <w:bCs/>
          <w:color w:val="000000" w:themeColor="text1"/>
          <w:sz w:val="36"/>
          <w:szCs w:val="36"/>
        </w:rPr>
        <w:tab/>
      </w:r>
      <w:r w:rsidRPr="007C1F97">
        <w:rPr>
          <w:rStyle w:val="Numeropagina"/>
          <w:b/>
          <w:bCs/>
          <w:color w:val="000000" w:themeColor="text1"/>
          <w:sz w:val="36"/>
          <w:szCs w:val="36"/>
        </w:rPr>
        <w:t>Mau</w:t>
      </w:r>
      <w:r w:rsidR="00EC2460" w:rsidRPr="007C1F97">
        <w:rPr>
          <w:rStyle w:val="Numeropagina"/>
          <w:b/>
          <w:bCs/>
          <w:color w:val="000000" w:themeColor="text1"/>
          <w:sz w:val="36"/>
          <w:szCs w:val="36"/>
        </w:rPr>
        <w:t xml:space="preserve">ro Barberio </w:t>
      </w:r>
    </w:p>
    <w:p w14:paraId="413C1DB4" w14:textId="6120FA07" w:rsidR="00150175" w:rsidRPr="0004062F" w:rsidRDefault="00C437D0" w:rsidP="0004062F">
      <w:pPr>
        <w:spacing w:line="567" w:lineRule="exact"/>
        <w:ind w:left="284" w:right="849"/>
        <w:jc w:val="right"/>
        <w:rPr>
          <w:rStyle w:val="Numeropagina"/>
          <w:b/>
          <w:bCs/>
          <w:color w:val="000000" w:themeColor="text1"/>
          <w:sz w:val="24"/>
          <w:szCs w:val="24"/>
        </w:rPr>
      </w:pPr>
      <w:r>
        <w:rPr>
          <w:rStyle w:val="Numeropagina"/>
          <w:bCs/>
          <w:color w:val="000000" w:themeColor="text1"/>
          <w:sz w:val="24"/>
          <w:szCs w:val="24"/>
        </w:rPr>
        <w:t>Avvocato</w:t>
      </w:r>
    </w:p>
    <w:p w14:paraId="290936AA" w14:textId="05C59936" w:rsidR="00150175" w:rsidRDefault="00150175" w:rsidP="00C437D0">
      <w:pPr>
        <w:spacing w:line="360" w:lineRule="auto"/>
        <w:ind w:right="851"/>
        <w:jc w:val="both"/>
        <w:rPr>
          <w:rStyle w:val="Numeropagina"/>
          <w:sz w:val="24"/>
          <w:szCs w:val="24"/>
        </w:rPr>
      </w:pPr>
    </w:p>
    <w:p w14:paraId="08934DBD" w14:textId="6508635A" w:rsidR="007C1F97" w:rsidRDefault="007C1F97" w:rsidP="007C1F97">
      <w:pPr>
        <w:spacing w:line="360" w:lineRule="auto"/>
        <w:ind w:right="851"/>
        <w:jc w:val="right"/>
        <w:rPr>
          <w:rStyle w:val="Numeropagina"/>
          <w:sz w:val="24"/>
          <w:szCs w:val="24"/>
        </w:rPr>
      </w:pPr>
      <w:r>
        <w:rPr>
          <w:rStyle w:val="Numeropagina"/>
          <w:sz w:val="24"/>
          <w:szCs w:val="24"/>
        </w:rPr>
        <w:t>Pubblicato il 19 giugno 2023</w:t>
      </w:r>
    </w:p>
    <w:sectPr w:rsidR="007C1F97" w:rsidSect="00C437D0">
      <w:footerReference w:type="default" r:id="rId11"/>
      <w:headerReference w:type="first" r:id="rId12"/>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A0ED" w14:textId="77777777" w:rsidR="00BF00B8" w:rsidRDefault="00BF00B8" w:rsidP="00150175">
      <w:r>
        <w:separator/>
      </w:r>
    </w:p>
  </w:endnote>
  <w:endnote w:type="continuationSeparator" w:id="0">
    <w:p w14:paraId="0447EC9F" w14:textId="77777777" w:rsidR="00BF00B8" w:rsidRDefault="00BF00B8" w:rsidP="0015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CFD" w14:textId="2BF01C65" w:rsidR="00C3667B" w:rsidRDefault="00C86D9B" w:rsidP="0091043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1F97">
      <w:rPr>
        <w:rStyle w:val="Numeropagina"/>
        <w:noProof/>
      </w:rPr>
      <w:t>5</w:t>
    </w:r>
    <w:r>
      <w:rPr>
        <w:rStyle w:val="Numeropagina"/>
      </w:rPr>
      <w:fldChar w:fldCharType="end"/>
    </w:r>
  </w:p>
  <w:p w14:paraId="7D7CFF9A" w14:textId="77777777" w:rsidR="00C3667B" w:rsidRDefault="007C1F97" w:rsidP="0091043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441C" w14:textId="77777777" w:rsidR="00BF00B8" w:rsidRDefault="00BF00B8" w:rsidP="00150175">
      <w:r>
        <w:separator/>
      </w:r>
    </w:p>
  </w:footnote>
  <w:footnote w:type="continuationSeparator" w:id="0">
    <w:p w14:paraId="515F4C4A" w14:textId="77777777" w:rsidR="00BF00B8" w:rsidRDefault="00BF00B8" w:rsidP="00150175">
      <w:r>
        <w:continuationSeparator/>
      </w:r>
    </w:p>
  </w:footnote>
  <w:footnote w:id="1">
    <w:p w14:paraId="196783FA" w14:textId="694DA9B3" w:rsidR="0024754C" w:rsidRDefault="0024754C" w:rsidP="0024754C">
      <w:pPr>
        <w:pStyle w:val="Testonotaapidipagina"/>
        <w:ind w:left="284" w:right="849"/>
        <w:jc w:val="both"/>
      </w:pPr>
      <w:r>
        <w:rPr>
          <w:rStyle w:val="Rimandonotaapidipagina"/>
        </w:rPr>
        <w:footnoteRef/>
      </w:r>
      <w:r>
        <w:t xml:space="preserve"> </w:t>
      </w:r>
      <w:r w:rsidR="00FB50A1" w:rsidRPr="00FB50A1">
        <w:rPr>
          <w:sz w:val="18"/>
          <w:szCs w:val="18"/>
        </w:rPr>
        <w:t>D.</w:t>
      </w:r>
      <w:proofErr w:type="gramStart"/>
      <w:r w:rsidR="00FB50A1" w:rsidRPr="00FB50A1">
        <w:rPr>
          <w:sz w:val="18"/>
          <w:szCs w:val="18"/>
        </w:rPr>
        <w:t>L.vo</w:t>
      </w:r>
      <w:proofErr w:type="gramEnd"/>
      <w:r w:rsidR="00FB50A1" w:rsidRPr="00FB50A1">
        <w:rPr>
          <w:sz w:val="18"/>
          <w:szCs w:val="18"/>
        </w:rPr>
        <w:t xml:space="preserve"> 36/2023</w:t>
      </w:r>
      <w:r w:rsidR="00FB50A1">
        <w:t xml:space="preserve">, </w:t>
      </w:r>
      <w:r w:rsidR="00FB50A1">
        <w:rPr>
          <w:sz w:val="18"/>
          <w:szCs w:val="18"/>
        </w:rPr>
        <w:t>a</w:t>
      </w:r>
      <w:r w:rsidRPr="0024754C">
        <w:rPr>
          <w:sz w:val="18"/>
          <w:szCs w:val="18"/>
        </w:rPr>
        <w:t>rt</w:t>
      </w:r>
      <w:r w:rsidR="00FB50A1">
        <w:rPr>
          <w:sz w:val="18"/>
          <w:szCs w:val="18"/>
        </w:rPr>
        <w:t>.</w:t>
      </w:r>
      <w:r w:rsidRPr="0024754C">
        <w:rPr>
          <w:sz w:val="18"/>
          <w:szCs w:val="18"/>
        </w:rPr>
        <w:t xml:space="preserve"> 30 “Uso di procedure automatizzate nel ciclo di vita dei contratti pubblici” </w:t>
      </w:r>
      <w:r>
        <w:t>“</w:t>
      </w:r>
      <w:r w:rsidRPr="0024754C">
        <w:rPr>
          <w:i/>
          <w:iCs/>
          <w:sz w:val="18"/>
          <w:szCs w:val="18"/>
        </w:rPr>
        <w:t>1. Per migliorare l’efficienza le stazioni appaltanti e gli enti concedenti provvedono, ove possibile, ad automatizzare le proprie attività ricorrendo a soluzioni tecnologiche, ivi incluse l’intelligenza artificiale e le tecnologie di registri distribuiti, nel rispetto delle specifiche disposizioni in materia. 2. Nell’acquisto o sviluppo delle soluzioni di cui al comma 1 le stazioni appaltanti e gli enti concedenti: a) assicurano la disponibilità del codice sorgente, della relativa documentazione, nonché di ogni altro elemento utile a comprenderne le logiche di funzionamento; b) introducono negli atti di indizione delle gare clausole volte ad assicurare le prestazioni di assistenza e manutenzione necessarie alla correzione degli errori e degli effetti indesiderati derivanti dall’automazione. 3. Le decisioni assunte mediante automazione rispettano i principi di: a) conoscibilità e comprensibilità, per cui ogni operatore economico ha diritto a conoscere l’esistenza di processi decisionali automatizzati che lo riguardino e, in tal caso, a ricevere informazioni significative sulla logica utilizzata; b) non esclusività della decisione algoritmica, per cui comunque esiste nel processo decisionale un contributo umano capace di controllare, validare ovvero smentire la decisione automatizzata; c) non discriminazione algoritmica, per cui il titolare mette in atto misure tecniche e organizzative adeguate al fine di impedire effetti discriminatori nei confronti degli operatori economici. 4. Le stazioni appaltanti e gli enti concedenti adottano ogni misura tecnica e organizzativa atta a garantire che siano rettificati i fattori che comportano inesattezze dei dati e sia minimizzato il rischio di errori, nonché a impedire effetti discriminatori nei confronti di persone fisiche sulla base della nazionalità, dell'origine etnica, delle opinioni politiche, della religione, delle convinzioni personali, dell'appartenenza sindacale, dei caratteri somatici, dello status genetico, dello stato di salute, del genere o dell’orientamento sessuale. 5. Le pubbliche amministrazioni pubblicano sul sito istituzionale, nella sezione «Amministrazione trasparente», l’elenco delle soluzioni tecnologiche di cui al comma 1 utilizzate ai fini dello svolgimento della propria attività</w:t>
      </w:r>
      <w:r>
        <w:t>”.</w:t>
      </w:r>
    </w:p>
  </w:footnote>
  <w:footnote w:id="2">
    <w:p w14:paraId="675C717D" w14:textId="0DB7DC50" w:rsidR="00FB50A1" w:rsidRPr="00FB50A1" w:rsidRDefault="00FB50A1" w:rsidP="00AF76CA">
      <w:pPr>
        <w:pStyle w:val="Testonotaapidipagina"/>
        <w:ind w:left="284" w:right="849"/>
        <w:jc w:val="both"/>
        <w:rPr>
          <w:i/>
          <w:iCs/>
          <w:sz w:val="18"/>
          <w:szCs w:val="18"/>
        </w:rPr>
      </w:pPr>
      <w:r>
        <w:rPr>
          <w:rStyle w:val="Rimandonotaapidipagina"/>
        </w:rPr>
        <w:footnoteRef/>
      </w:r>
      <w:r>
        <w:t xml:space="preserve"> </w:t>
      </w:r>
      <w:r w:rsidRPr="00FB50A1">
        <w:rPr>
          <w:sz w:val="18"/>
          <w:szCs w:val="18"/>
        </w:rPr>
        <w:t>Legge 241/1990, art. 3 bis:</w:t>
      </w:r>
      <w:r>
        <w:t xml:space="preserve"> </w:t>
      </w:r>
      <w:r w:rsidRPr="00FB50A1">
        <w:rPr>
          <w:sz w:val="18"/>
          <w:szCs w:val="18"/>
        </w:rPr>
        <w:t>“</w:t>
      </w:r>
      <w:r w:rsidRPr="00FB50A1">
        <w:rPr>
          <w:i/>
          <w:iCs/>
          <w:sz w:val="18"/>
          <w:szCs w:val="18"/>
        </w:rPr>
        <w:t>Per conseguire maggiore efficienza nella loro attività, le amministrazioni pubbliche agiscono mediante strumenti informatici e telematici, nei rapporti interni, tra le diverse amministrazioni e tra queste e i privati</w:t>
      </w:r>
      <w:r w:rsidRPr="00FB50A1">
        <w:rPr>
          <w:sz w:val="18"/>
          <w:szCs w:val="18"/>
        </w:rPr>
        <w:t>”</w:t>
      </w:r>
      <w:r>
        <w:rPr>
          <w:sz w:val="18"/>
          <w:szCs w:val="18"/>
        </w:rPr>
        <w:t>.</w:t>
      </w:r>
    </w:p>
  </w:footnote>
  <w:footnote w:id="3">
    <w:p w14:paraId="7F7E7F97" w14:textId="178656FF" w:rsidR="00C269DE" w:rsidRPr="005F28FC" w:rsidRDefault="00C269DE" w:rsidP="005F28FC">
      <w:pPr>
        <w:ind w:left="284" w:right="851"/>
        <w:jc w:val="both"/>
        <w:rPr>
          <w:bCs/>
          <w:color w:val="000000" w:themeColor="text1"/>
          <w:sz w:val="24"/>
          <w:szCs w:val="24"/>
        </w:rPr>
      </w:pPr>
      <w:r>
        <w:rPr>
          <w:rStyle w:val="Rimandonotaapidipagina"/>
        </w:rPr>
        <w:footnoteRef/>
      </w:r>
      <w:r>
        <w:t xml:space="preserve"> </w:t>
      </w:r>
      <w:r w:rsidRPr="00C269DE">
        <w:rPr>
          <w:sz w:val="18"/>
          <w:szCs w:val="18"/>
        </w:rPr>
        <w:t>“</w:t>
      </w:r>
      <w:r w:rsidRPr="00C269DE">
        <w:rPr>
          <w:i/>
          <w:iCs/>
          <w:sz w:val="18"/>
          <w:szCs w:val="18"/>
        </w:rPr>
        <w:t>l’utilizzo di una procedura informatica che conduca direttamente alla decisione finale non deve essere stigmatizzata, ma anzi, in linea di massima, incoraggiata: essa comporta infatti numerosi vantaggi quali, ad esempio, la notevole riduzione della tempistica procedimentale per operazioni meramente ripetitive e prive di discrezionalità, l’esclusione di interferenze dovute a negligenza (o peggio dolo) del funzionario (essere umano) e la conseguente maggior garanzia di imparzialità della decisione automatizzata</w:t>
      </w:r>
      <w:r w:rsidRPr="00C269DE">
        <w:rPr>
          <w:sz w:val="18"/>
          <w:szCs w:val="18"/>
        </w:rPr>
        <w:t>”</w:t>
      </w:r>
      <w:r>
        <w:rPr>
          <w:sz w:val="18"/>
          <w:szCs w:val="18"/>
        </w:rPr>
        <w:t xml:space="preserve"> (Cons. di St. n. 881 del 4.02.2020)</w:t>
      </w:r>
      <w:r w:rsidRPr="00C269DE">
        <w:rPr>
          <w:sz w:val="18"/>
          <w:szCs w:val="18"/>
        </w:rPr>
        <w:t>.</w:t>
      </w:r>
    </w:p>
  </w:footnote>
  <w:footnote w:id="4">
    <w:p w14:paraId="4E515366" w14:textId="141C0418" w:rsidR="005F28FC" w:rsidRPr="005F28FC" w:rsidRDefault="005F28FC" w:rsidP="005F28FC">
      <w:pPr>
        <w:pStyle w:val="NormaleWeb"/>
        <w:shd w:val="clear" w:color="auto" w:fill="FFFFFF" w:themeFill="background1"/>
        <w:ind w:left="284" w:right="849"/>
        <w:jc w:val="both"/>
        <w:rPr>
          <w:sz w:val="18"/>
          <w:szCs w:val="18"/>
        </w:rPr>
      </w:pPr>
      <w:r w:rsidRPr="005F28FC">
        <w:rPr>
          <w:rStyle w:val="Rimandonotaapidipagina"/>
          <w:sz w:val="20"/>
          <w:szCs w:val="20"/>
        </w:rPr>
        <w:footnoteRef/>
      </w:r>
      <w:bookmarkStart w:id="1" w:name="091"/>
      <w:r>
        <w:rPr>
          <w:rFonts w:eastAsia="SimSun"/>
          <w:sz w:val="18"/>
          <w:szCs w:val="18"/>
        </w:rPr>
        <w:t>D.P.R. 554 del 21.12.1999, a</w:t>
      </w:r>
      <w:r w:rsidRPr="005F28FC">
        <w:rPr>
          <w:rFonts w:eastAsia="SimSun"/>
          <w:sz w:val="18"/>
          <w:szCs w:val="18"/>
        </w:rPr>
        <w:t>rt. 91 </w:t>
      </w:r>
      <w:bookmarkEnd w:id="1"/>
      <w:r w:rsidRPr="005F28FC">
        <w:rPr>
          <w:rFonts w:eastAsia="SimSun"/>
          <w:sz w:val="18"/>
          <w:szCs w:val="18"/>
        </w:rPr>
        <w:t>(Offerta economicamente più vantaggiosa)</w:t>
      </w:r>
      <w:r>
        <w:rPr>
          <w:rFonts w:eastAsia="SimSun"/>
          <w:sz w:val="18"/>
          <w:szCs w:val="18"/>
        </w:rPr>
        <w:t>: “</w:t>
      </w:r>
      <w:r w:rsidRPr="005F28FC">
        <w:rPr>
          <w:rFonts w:eastAsia="SimSun"/>
          <w:i/>
          <w:iCs/>
          <w:sz w:val="18"/>
          <w:szCs w:val="18"/>
        </w:rPr>
        <w:t>1. In caso di aggiudicazione con il criterio dell’offerta economicamente più vantaggiosa, i "pesi" o "punteggi" da assegnare agli elementi di valutazione previsti dall’articolo 21, comma 2, della Legge devono essere globalmente pari a cento, e devono essere indicati nel bando di gara.</w:t>
      </w:r>
      <w:r>
        <w:rPr>
          <w:rFonts w:eastAsia="SimSun"/>
          <w:sz w:val="18"/>
          <w:szCs w:val="18"/>
        </w:rPr>
        <w:t xml:space="preserve"> </w:t>
      </w:r>
      <w:r w:rsidRPr="005F28FC">
        <w:rPr>
          <w:rFonts w:eastAsia="SimSun"/>
          <w:i/>
          <w:iCs/>
          <w:sz w:val="18"/>
          <w:szCs w:val="18"/>
        </w:rPr>
        <w:t>2. Lo stesso bando di gara per tutti gli elementi di valutazione qualitativa prevede i sub-elementi ed i "sub-pesi" o i "sub-punteggi" in base ai quali è determinata la valutazione.</w:t>
      </w:r>
      <w:r>
        <w:rPr>
          <w:rFonts w:eastAsia="SimSun"/>
          <w:sz w:val="18"/>
          <w:szCs w:val="18"/>
        </w:rPr>
        <w:t xml:space="preserve"> </w:t>
      </w:r>
      <w:r w:rsidRPr="005F28FC">
        <w:rPr>
          <w:rFonts w:eastAsia="SimSun"/>
          <w:i/>
          <w:iCs/>
          <w:sz w:val="18"/>
          <w:szCs w:val="18"/>
        </w:rPr>
        <w:t>3. In una o più sedute riservate, la Commissione valuta le offerte tecniche e procede alla assegnazione dei relativi punteggi applicando i criteri e le formule di cui all’</w:t>
      </w:r>
      <w:hyperlink r:id="rId1" w:anchor="A_B" w:history="1">
        <w:r w:rsidRPr="005F28FC">
          <w:rPr>
            <w:rFonts w:eastAsia="SimSun"/>
            <w:i/>
            <w:iCs/>
            <w:sz w:val="18"/>
            <w:szCs w:val="18"/>
          </w:rPr>
          <w:t>allegato B</w:t>
        </w:r>
      </w:hyperlink>
      <w:r w:rsidRPr="005F28FC">
        <w:rPr>
          <w:rFonts w:eastAsia="SimSun"/>
          <w:i/>
          <w:iCs/>
          <w:sz w:val="18"/>
          <w:szCs w:val="18"/>
        </w:rPr>
        <w:t>. Successivamente, in seduta pubblica, la Commissione dà lettura dei punteggi attribuiti alle singole offerte tecniche, procede alla apertura delle buste contenenti le offerte economiche e, data lettura dei ribassi e delle riduzioni di ciascuna di esse, determina l'offerta economicamente più vantaggiosa applicando, tra i criteri di cui all’</w:t>
      </w:r>
      <w:hyperlink r:id="rId2" w:anchor="A_B" w:history="1">
        <w:r w:rsidRPr="005F28FC">
          <w:rPr>
            <w:rFonts w:eastAsia="SimSun"/>
            <w:i/>
            <w:iCs/>
            <w:sz w:val="18"/>
            <w:szCs w:val="18"/>
          </w:rPr>
          <w:t>allegato B</w:t>
        </w:r>
      </w:hyperlink>
      <w:r w:rsidRPr="005F28FC">
        <w:rPr>
          <w:rFonts w:eastAsia="SimSun"/>
          <w:i/>
          <w:iCs/>
          <w:sz w:val="18"/>
          <w:szCs w:val="18"/>
        </w:rPr>
        <w:t>, quello indicato nel bando</w:t>
      </w:r>
      <w:r>
        <w:rPr>
          <w:rFonts w:eastAsia="SimSun"/>
          <w:sz w:val="18"/>
          <w:szCs w:val="18"/>
        </w:rPr>
        <w:t>”; Allegato B “</w:t>
      </w:r>
      <w:r w:rsidRPr="005F28FC">
        <w:rPr>
          <w:rFonts w:eastAsia="SimSun"/>
          <w:i/>
          <w:iCs/>
          <w:sz w:val="18"/>
          <w:szCs w:val="18"/>
        </w:rPr>
        <w:t>Il calcolo dell’offerta economicamente più vantaggiosa è effettuata con il metodo aggregativo-compensatore o con il metodo </w:t>
      </w:r>
      <w:proofErr w:type="spellStart"/>
      <w:r w:rsidRPr="005F28FC">
        <w:rPr>
          <w:rFonts w:eastAsia="SimSun"/>
          <w:i/>
          <w:iCs/>
          <w:sz w:val="18"/>
          <w:szCs w:val="18"/>
        </w:rPr>
        <w:t>electre</w:t>
      </w:r>
      <w:proofErr w:type="spellEnd"/>
      <w:r w:rsidRPr="005F28FC">
        <w:rPr>
          <w:rFonts w:eastAsia="SimSun"/>
          <w:i/>
          <w:iCs/>
          <w:sz w:val="18"/>
          <w:szCs w:val="18"/>
        </w:rPr>
        <w:t>, secondo le linee guida appresso illustrate, ovvero con uno degli altri metodi multicriteri o </w:t>
      </w:r>
      <w:proofErr w:type="spellStart"/>
      <w:r w:rsidRPr="005F28FC">
        <w:rPr>
          <w:rFonts w:eastAsia="SimSun"/>
          <w:i/>
          <w:iCs/>
          <w:sz w:val="18"/>
          <w:szCs w:val="18"/>
        </w:rPr>
        <w:t>multiobiettivi</w:t>
      </w:r>
      <w:proofErr w:type="spellEnd"/>
      <w:r w:rsidRPr="005F28FC">
        <w:rPr>
          <w:rFonts w:eastAsia="SimSun"/>
          <w:i/>
          <w:iCs/>
          <w:sz w:val="18"/>
          <w:szCs w:val="18"/>
        </w:rPr>
        <w:t> che si rinvengono nella letteratura scientifica quali, il metodo </w:t>
      </w:r>
      <w:proofErr w:type="spellStart"/>
      <w:r w:rsidRPr="005F28FC">
        <w:rPr>
          <w:rFonts w:eastAsia="SimSun"/>
          <w:i/>
          <w:iCs/>
          <w:sz w:val="18"/>
          <w:szCs w:val="18"/>
        </w:rPr>
        <w:t>analityc</w:t>
      </w:r>
      <w:proofErr w:type="spellEnd"/>
      <w:r w:rsidRPr="005F28FC">
        <w:rPr>
          <w:rFonts w:eastAsia="SimSun"/>
          <w:i/>
          <w:iCs/>
          <w:sz w:val="18"/>
          <w:szCs w:val="18"/>
        </w:rPr>
        <w:t xml:space="preserve"> </w:t>
      </w:r>
      <w:proofErr w:type="spellStart"/>
      <w:r w:rsidRPr="005F28FC">
        <w:rPr>
          <w:rFonts w:eastAsia="SimSun"/>
          <w:i/>
          <w:iCs/>
          <w:sz w:val="18"/>
          <w:szCs w:val="18"/>
        </w:rPr>
        <w:t>hierarchy</w:t>
      </w:r>
      <w:proofErr w:type="spellEnd"/>
      <w:r w:rsidRPr="005F28FC">
        <w:rPr>
          <w:rFonts w:eastAsia="SimSun"/>
          <w:i/>
          <w:iCs/>
          <w:sz w:val="18"/>
          <w:szCs w:val="18"/>
        </w:rPr>
        <w:t xml:space="preserve"> </w:t>
      </w:r>
      <w:proofErr w:type="spellStart"/>
      <w:r w:rsidRPr="005F28FC">
        <w:rPr>
          <w:rFonts w:eastAsia="SimSun"/>
          <w:i/>
          <w:iCs/>
          <w:sz w:val="18"/>
          <w:szCs w:val="18"/>
        </w:rPr>
        <w:t>process</w:t>
      </w:r>
      <w:proofErr w:type="spellEnd"/>
      <w:r w:rsidRPr="005F28FC">
        <w:rPr>
          <w:rFonts w:eastAsia="SimSun"/>
          <w:i/>
          <w:iCs/>
          <w:sz w:val="18"/>
          <w:szCs w:val="18"/>
        </w:rPr>
        <w:t xml:space="preserve"> (AHP), il metodo </w:t>
      </w:r>
      <w:proofErr w:type="spellStart"/>
      <w:r w:rsidRPr="005F28FC">
        <w:rPr>
          <w:rFonts w:eastAsia="SimSun"/>
          <w:i/>
          <w:iCs/>
          <w:sz w:val="18"/>
          <w:szCs w:val="18"/>
        </w:rPr>
        <w:t>evamix</w:t>
      </w:r>
      <w:proofErr w:type="spellEnd"/>
      <w:r w:rsidRPr="005F28FC">
        <w:rPr>
          <w:rFonts w:eastAsia="SimSun"/>
          <w:i/>
          <w:iCs/>
          <w:sz w:val="18"/>
          <w:szCs w:val="18"/>
        </w:rPr>
        <w:t>, il metodo </w:t>
      </w:r>
      <w:proofErr w:type="spellStart"/>
      <w:r w:rsidRPr="005F28FC">
        <w:rPr>
          <w:rFonts w:eastAsia="SimSun"/>
          <w:i/>
          <w:iCs/>
          <w:sz w:val="18"/>
          <w:szCs w:val="18"/>
        </w:rPr>
        <w:t>technique</w:t>
      </w:r>
      <w:proofErr w:type="spellEnd"/>
      <w:r w:rsidRPr="005F28FC">
        <w:rPr>
          <w:rFonts w:eastAsia="SimSun"/>
          <w:i/>
          <w:iCs/>
          <w:sz w:val="18"/>
          <w:szCs w:val="18"/>
        </w:rPr>
        <w:t xml:space="preserve"> for </w:t>
      </w:r>
      <w:proofErr w:type="spellStart"/>
      <w:r w:rsidRPr="005F28FC">
        <w:rPr>
          <w:rFonts w:eastAsia="SimSun"/>
          <w:i/>
          <w:iCs/>
          <w:sz w:val="18"/>
          <w:szCs w:val="18"/>
        </w:rPr>
        <w:t>order</w:t>
      </w:r>
      <w:proofErr w:type="spellEnd"/>
      <w:r w:rsidRPr="005F28FC">
        <w:rPr>
          <w:rFonts w:eastAsia="SimSun"/>
          <w:i/>
          <w:iCs/>
          <w:sz w:val="18"/>
          <w:szCs w:val="18"/>
        </w:rPr>
        <w:t xml:space="preserve"> </w:t>
      </w:r>
      <w:proofErr w:type="spellStart"/>
      <w:r w:rsidRPr="005F28FC">
        <w:rPr>
          <w:rFonts w:eastAsia="SimSun"/>
          <w:i/>
          <w:iCs/>
          <w:sz w:val="18"/>
          <w:szCs w:val="18"/>
        </w:rPr>
        <w:t>preference</w:t>
      </w:r>
      <w:proofErr w:type="spellEnd"/>
      <w:r w:rsidRPr="005F28FC">
        <w:rPr>
          <w:rFonts w:eastAsia="SimSun"/>
          <w:i/>
          <w:iCs/>
          <w:sz w:val="18"/>
          <w:szCs w:val="18"/>
        </w:rPr>
        <w:t xml:space="preserve"> by </w:t>
      </w:r>
      <w:proofErr w:type="spellStart"/>
      <w:r w:rsidRPr="005F28FC">
        <w:rPr>
          <w:rFonts w:eastAsia="SimSun"/>
          <w:i/>
          <w:iCs/>
          <w:sz w:val="18"/>
          <w:szCs w:val="18"/>
        </w:rPr>
        <w:t>similarity</w:t>
      </w:r>
      <w:proofErr w:type="spellEnd"/>
      <w:r w:rsidRPr="005F28FC">
        <w:rPr>
          <w:rFonts w:eastAsia="SimSun"/>
          <w:i/>
          <w:iCs/>
          <w:sz w:val="18"/>
          <w:szCs w:val="18"/>
        </w:rPr>
        <w:t xml:space="preserve"> to </w:t>
      </w:r>
      <w:proofErr w:type="spellStart"/>
      <w:r w:rsidRPr="005F28FC">
        <w:rPr>
          <w:rFonts w:eastAsia="SimSun"/>
          <w:i/>
          <w:iCs/>
          <w:sz w:val="18"/>
          <w:szCs w:val="18"/>
        </w:rPr>
        <w:t>ideal</w:t>
      </w:r>
      <w:proofErr w:type="spellEnd"/>
      <w:r w:rsidRPr="005F28FC">
        <w:rPr>
          <w:rFonts w:eastAsia="SimSun"/>
          <w:i/>
          <w:iCs/>
          <w:sz w:val="18"/>
          <w:szCs w:val="18"/>
        </w:rPr>
        <w:t xml:space="preserve"> </w:t>
      </w:r>
      <w:proofErr w:type="spellStart"/>
      <w:r w:rsidRPr="005F28FC">
        <w:rPr>
          <w:rFonts w:eastAsia="SimSun"/>
          <w:i/>
          <w:iCs/>
          <w:sz w:val="18"/>
          <w:szCs w:val="18"/>
        </w:rPr>
        <w:t>solution</w:t>
      </w:r>
      <w:proofErr w:type="spellEnd"/>
      <w:r w:rsidRPr="005F28FC">
        <w:rPr>
          <w:rFonts w:eastAsia="SimSun"/>
          <w:i/>
          <w:iCs/>
          <w:sz w:val="18"/>
          <w:szCs w:val="18"/>
        </w:rPr>
        <w:t xml:space="preserve"> (TOPSIS) da indicarsi nel bando di gara o nella lettera di invito</w:t>
      </w:r>
      <w:r>
        <w:rPr>
          <w:rFonts w:eastAsia="Times New Roman"/>
          <w:color w:val="000000"/>
        </w:rPr>
        <w:t>…</w:t>
      </w:r>
      <w:r>
        <w:rPr>
          <w:rFonts w:eastAsia="SimSun"/>
          <w:sz w:val="18"/>
          <w:szCs w:val="18"/>
        </w:rPr>
        <w:t>”</w:t>
      </w:r>
    </w:p>
    <w:p w14:paraId="1567158F" w14:textId="20F960C0" w:rsidR="005F28FC" w:rsidRPr="005F28FC" w:rsidRDefault="005F28FC" w:rsidP="005F28FC">
      <w:pPr>
        <w:pStyle w:val="Testonotaapidipagina"/>
        <w:shd w:val="clear" w:color="auto" w:fill="FFFFFF" w:themeFill="background1"/>
        <w:ind w:left="284" w:right="849"/>
        <w:rPr>
          <w:sz w:val="18"/>
          <w:szCs w:val="18"/>
        </w:rPr>
      </w:pPr>
    </w:p>
  </w:footnote>
  <w:footnote w:id="5">
    <w:p w14:paraId="08BC8B04" w14:textId="30D7638D" w:rsidR="00EC0051" w:rsidRPr="00EC0051" w:rsidRDefault="00EC0051" w:rsidP="00EC0051">
      <w:pPr>
        <w:pStyle w:val="Testonotaapidipagina"/>
        <w:ind w:left="284" w:right="707"/>
        <w:jc w:val="both"/>
        <w:rPr>
          <w:i/>
          <w:iCs/>
          <w:sz w:val="18"/>
          <w:szCs w:val="18"/>
        </w:rPr>
      </w:pPr>
      <w:r>
        <w:rPr>
          <w:rStyle w:val="Rimandonotaapidipagina"/>
        </w:rPr>
        <w:footnoteRef/>
      </w:r>
      <w:r>
        <w:t xml:space="preserve"> </w:t>
      </w:r>
      <w:r w:rsidRPr="00EC0051">
        <w:rPr>
          <w:i/>
          <w:iCs/>
          <w:sz w:val="18"/>
          <w:szCs w:val="18"/>
        </w:rPr>
        <w:t xml:space="preserve">“Del resto, a dire anche una parola sulla dottrina di come dev'essere il mondo, la filosofia arriva sempre troppo tardi. Come pensiero del mondo, essa appare per la prima volta nel tempo dopo che la realtà ha compiuto il suo processo di formazione ed è bell'e fatta. Questo, che il concetto insegna, la storia mostra, appunto, necessario: che, cioè, prima l'ideale appare di contro al reale, nella maturità della realtà, e poi esso costruisce questo mondo medesimo, colto nella sostanza di esso, in forma di regno intellettuale. Quando la filosofia dipinge a chiaro scuro, allora un aspetto della vita è invecchiato, e dal chiaroscuro, esso non si lascia ringiovanire, ma soltanto riconoscere: la nottola di Minerva inizia il suo volo sul far del crepuscolo”. </w:t>
      </w:r>
      <w:r w:rsidRPr="00EC0051">
        <w:rPr>
          <w:sz w:val="18"/>
          <w:szCs w:val="18"/>
        </w:rPr>
        <w:t xml:space="preserve">Georg Wilhelm Friedrich Hegel, </w:t>
      </w:r>
      <w:r>
        <w:rPr>
          <w:sz w:val="18"/>
          <w:szCs w:val="18"/>
        </w:rPr>
        <w:t>“</w:t>
      </w:r>
      <w:r w:rsidRPr="00EC0051">
        <w:rPr>
          <w:sz w:val="18"/>
          <w:szCs w:val="18"/>
        </w:rPr>
        <w:t>Lineamenti di filosofia del diritto. Prefazione</w:t>
      </w:r>
      <w:r>
        <w:rPr>
          <w:sz w:val="18"/>
          <w:szCs w:val="18"/>
        </w:rPr>
        <w:t>”</w:t>
      </w:r>
    </w:p>
  </w:footnote>
  <w:footnote w:id="6">
    <w:p w14:paraId="7A90A5B2" w14:textId="5E270C64" w:rsidR="00F50ACD" w:rsidRDefault="00F50ACD" w:rsidP="00F50ACD">
      <w:pPr>
        <w:pStyle w:val="Testonotaapidipagina"/>
        <w:ind w:left="284" w:right="849"/>
        <w:jc w:val="both"/>
      </w:pPr>
      <w:r>
        <w:rPr>
          <w:rStyle w:val="Rimandonotaapidipagina"/>
        </w:rPr>
        <w:footnoteRef/>
      </w:r>
      <w:r>
        <w:t xml:space="preserve"> </w:t>
      </w:r>
      <w:r w:rsidRPr="00F50ACD">
        <w:rPr>
          <w:sz w:val="18"/>
          <w:szCs w:val="18"/>
        </w:rPr>
        <w:t>“</w:t>
      </w:r>
      <w:r w:rsidRPr="00F50ACD">
        <w:rPr>
          <w:i/>
          <w:iCs/>
          <w:sz w:val="18"/>
          <w:szCs w:val="18"/>
        </w:rPr>
        <w:t>In proposito, va ribadito che, la "caratterizzazione multidisciplinare" dell'algoritmo (costruzione che certo non richiede solo competenze giuridiche, ma tecniche, informatiche, statistiche, amministrative) non esime dalla necessità che la "formula tecnica", che di fatto rappresenta l'algoritmo, sia corredata da spiegazioni che la traducano nella "regola giuridica" ad essa sottesa e che la rendano leggibile e comprensibile. Con le già individuate conseguenze in termini di conoscenza e di sindacabilità</w:t>
      </w:r>
      <w:r w:rsidRPr="00F50ACD">
        <w:rPr>
          <w:sz w:val="18"/>
          <w:szCs w:val="18"/>
        </w:rPr>
        <w:t>”</w:t>
      </w:r>
      <w:r>
        <w:t xml:space="preserve"> (</w:t>
      </w:r>
      <w:r w:rsidRPr="00CC3798">
        <w:rPr>
          <w:sz w:val="18"/>
          <w:szCs w:val="18"/>
        </w:rPr>
        <w:t>Cons. di St. sez. VI, n. 8472 del 13.12.2019</w:t>
      </w:r>
      <w:r>
        <w:t>)</w:t>
      </w:r>
    </w:p>
  </w:footnote>
  <w:footnote w:id="7">
    <w:p w14:paraId="6E68B1AD" w14:textId="49FC811E" w:rsidR="00CC3798" w:rsidRPr="00CC3798" w:rsidRDefault="00CC3798" w:rsidP="00CC3798">
      <w:pPr>
        <w:pStyle w:val="Testonotaapidipagina"/>
        <w:ind w:left="284"/>
        <w:rPr>
          <w:sz w:val="18"/>
          <w:szCs w:val="18"/>
        </w:rPr>
      </w:pPr>
      <w:r>
        <w:rPr>
          <w:rStyle w:val="Rimandonotaapidipagina"/>
        </w:rPr>
        <w:footnoteRef/>
      </w:r>
      <w:r>
        <w:t xml:space="preserve"> </w:t>
      </w:r>
      <w:r w:rsidRPr="00CC3798">
        <w:rPr>
          <w:sz w:val="18"/>
          <w:szCs w:val="18"/>
        </w:rPr>
        <w:t xml:space="preserve">Giovanni Gallone – </w:t>
      </w:r>
      <w:r>
        <w:rPr>
          <w:sz w:val="18"/>
          <w:szCs w:val="18"/>
        </w:rPr>
        <w:t>“</w:t>
      </w:r>
      <w:r w:rsidRPr="00CC3798">
        <w:rPr>
          <w:sz w:val="18"/>
          <w:szCs w:val="18"/>
        </w:rPr>
        <w:t>Riserva di umanità e funzioni amministrative</w:t>
      </w:r>
      <w:r>
        <w:rPr>
          <w:sz w:val="18"/>
          <w:szCs w:val="18"/>
        </w:rPr>
        <w:t>”</w:t>
      </w:r>
      <w:r w:rsidRPr="00CC3798">
        <w:rPr>
          <w:sz w:val="18"/>
          <w:szCs w:val="18"/>
        </w:rPr>
        <w:t xml:space="preserve">, </w:t>
      </w:r>
      <w:r w:rsidR="00200194">
        <w:rPr>
          <w:sz w:val="18"/>
          <w:szCs w:val="18"/>
        </w:rPr>
        <w:t>202</w:t>
      </w:r>
      <w:r w:rsidR="00011A87">
        <w:rPr>
          <w:sz w:val="18"/>
          <w:szCs w:val="18"/>
        </w:rPr>
        <w:t>3</w:t>
      </w:r>
      <w:r w:rsidR="00200194">
        <w:rPr>
          <w:sz w:val="18"/>
          <w:szCs w:val="18"/>
        </w:rPr>
        <w:t xml:space="preserve"> </w:t>
      </w:r>
      <w:r w:rsidRPr="00CC3798">
        <w:rPr>
          <w:sz w:val="18"/>
          <w:szCs w:val="18"/>
        </w:rPr>
        <w:t xml:space="preserve">ed. </w:t>
      </w:r>
      <w:r w:rsidR="00011A87">
        <w:rPr>
          <w:sz w:val="18"/>
          <w:szCs w:val="18"/>
        </w:rPr>
        <w:t>CEDAM</w:t>
      </w:r>
    </w:p>
  </w:footnote>
  <w:footnote w:id="8">
    <w:p w14:paraId="32F6A52D" w14:textId="6545AF5E" w:rsidR="00CC3798" w:rsidRPr="00CC3798" w:rsidRDefault="00CC3798" w:rsidP="00CC3798">
      <w:pPr>
        <w:pStyle w:val="Testonotaapidipagina"/>
        <w:ind w:left="284" w:right="707"/>
        <w:jc w:val="both"/>
        <w:rPr>
          <w:i/>
          <w:iCs/>
          <w:sz w:val="18"/>
          <w:szCs w:val="18"/>
        </w:rPr>
      </w:pPr>
      <w:r>
        <w:rPr>
          <w:rStyle w:val="Rimandonotaapidipagina"/>
        </w:rPr>
        <w:footnoteRef/>
      </w:r>
      <w:r>
        <w:t xml:space="preserve"> </w:t>
      </w:r>
      <w:r w:rsidRPr="00CC3798">
        <w:rPr>
          <w:sz w:val="18"/>
          <w:szCs w:val="18"/>
        </w:rPr>
        <w:t>“</w:t>
      </w:r>
      <w:r w:rsidRPr="00CC3798">
        <w:rPr>
          <w:i/>
          <w:iCs/>
          <w:sz w:val="18"/>
          <w:szCs w:val="18"/>
        </w:rPr>
        <w:t xml:space="preserve">… si intende: … </w:t>
      </w:r>
      <w:r w:rsidRPr="00866E9C">
        <w:rPr>
          <w:i/>
          <w:iCs/>
          <w:sz w:val="18"/>
          <w:szCs w:val="18"/>
        </w:rPr>
        <w:t>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866E9C">
        <w:rPr>
          <w:sz w:val="18"/>
          <w:szCs w:val="18"/>
        </w:rPr>
        <w:t>”</w:t>
      </w:r>
      <w:r w:rsidR="00866E9C">
        <w:rPr>
          <w:sz w:val="18"/>
          <w:szCs w:val="18"/>
        </w:rPr>
        <w:t>.</w:t>
      </w:r>
    </w:p>
  </w:footnote>
  <w:footnote w:id="9">
    <w:p w14:paraId="28AC23B6" w14:textId="7079C45D" w:rsidR="00866E9C" w:rsidRPr="00F24FB8" w:rsidRDefault="00866E9C" w:rsidP="00F24FB8">
      <w:pPr>
        <w:pStyle w:val="Testonotaapidipagina"/>
        <w:ind w:left="284" w:right="707"/>
        <w:jc w:val="both"/>
        <w:rPr>
          <w:sz w:val="18"/>
          <w:szCs w:val="18"/>
        </w:rPr>
      </w:pPr>
      <w:r>
        <w:rPr>
          <w:rStyle w:val="Rimandonotaapidipagina"/>
        </w:rPr>
        <w:footnoteRef/>
      </w:r>
      <w:r>
        <w:t xml:space="preserve"> </w:t>
      </w:r>
      <w:r>
        <w:rPr>
          <w:rStyle w:val="Numeropagina"/>
          <w:bCs/>
          <w:color w:val="000000" w:themeColor="text1"/>
          <w:sz w:val="24"/>
          <w:szCs w:val="24"/>
        </w:rPr>
        <w:t xml:space="preserve"> </w:t>
      </w:r>
      <w:r w:rsidRPr="00CC3798">
        <w:rPr>
          <w:sz w:val="18"/>
          <w:szCs w:val="18"/>
        </w:rPr>
        <w:t xml:space="preserve">Giovanni Gallone – </w:t>
      </w:r>
      <w:r>
        <w:rPr>
          <w:sz w:val="18"/>
          <w:szCs w:val="18"/>
        </w:rPr>
        <w:t>“</w:t>
      </w:r>
      <w:r w:rsidRPr="00CC3798">
        <w:rPr>
          <w:sz w:val="18"/>
          <w:szCs w:val="18"/>
        </w:rPr>
        <w:t>Riserva di umanità e funzioni amministrative</w:t>
      </w:r>
      <w:r>
        <w:rPr>
          <w:sz w:val="18"/>
          <w:szCs w:val="18"/>
        </w:rPr>
        <w:t>”</w:t>
      </w:r>
      <w:r w:rsidRPr="00CC3798">
        <w:rPr>
          <w:sz w:val="18"/>
          <w:szCs w:val="18"/>
        </w:rPr>
        <w:t xml:space="preserve">, </w:t>
      </w:r>
      <w:r w:rsidR="00E57FBC">
        <w:rPr>
          <w:sz w:val="18"/>
          <w:szCs w:val="18"/>
        </w:rPr>
        <w:t xml:space="preserve">2023 </w:t>
      </w:r>
      <w:r w:rsidRPr="00CC3798">
        <w:rPr>
          <w:sz w:val="18"/>
          <w:szCs w:val="18"/>
        </w:rPr>
        <w:t xml:space="preserve">ed. </w:t>
      </w:r>
      <w:r w:rsidR="00E57FBC">
        <w:rPr>
          <w:sz w:val="18"/>
          <w:szCs w:val="18"/>
        </w:rPr>
        <w:t>CEDAM</w:t>
      </w:r>
      <w:r>
        <w:rPr>
          <w:sz w:val="18"/>
          <w:szCs w:val="18"/>
        </w:rPr>
        <w:t xml:space="preserve">; A.G. </w:t>
      </w:r>
      <w:proofErr w:type="spellStart"/>
      <w:r>
        <w:rPr>
          <w:sz w:val="18"/>
          <w:szCs w:val="18"/>
        </w:rPr>
        <w:t>Orofino</w:t>
      </w:r>
      <w:proofErr w:type="spellEnd"/>
      <w:r>
        <w:rPr>
          <w:sz w:val="18"/>
          <w:szCs w:val="18"/>
        </w:rPr>
        <w:t xml:space="preserve"> “La patologia dell’atto amministrativo elettronico: sindacato giurisdizionale e strumenti di tutela” in Foro amm. C.d.S. 2002</w:t>
      </w:r>
    </w:p>
  </w:footnote>
  <w:footnote w:id="10">
    <w:p w14:paraId="57A67A6A" w14:textId="29A862FC" w:rsidR="00F24FB8" w:rsidRPr="00F24FB8" w:rsidRDefault="00F24FB8" w:rsidP="00F24FB8">
      <w:pPr>
        <w:pStyle w:val="NormaleWeb"/>
        <w:shd w:val="clear" w:color="auto" w:fill="FFFFFF" w:themeFill="background1"/>
        <w:ind w:left="284" w:right="707"/>
        <w:jc w:val="both"/>
        <w:rPr>
          <w:rFonts w:eastAsia="SimSun"/>
          <w:color w:val="000000" w:themeColor="text1"/>
          <w:sz w:val="18"/>
          <w:szCs w:val="18"/>
        </w:rPr>
      </w:pPr>
      <w:r w:rsidRPr="00F24FB8">
        <w:rPr>
          <w:rStyle w:val="Rimandonotaapidipagina"/>
          <w:color w:val="000000" w:themeColor="text1"/>
        </w:rPr>
        <w:footnoteRef/>
      </w:r>
      <w:r w:rsidRPr="00F24FB8">
        <w:rPr>
          <w:color w:val="000000" w:themeColor="text1"/>
        </w:rPr>
        <w:t xml:space="preserve"> </w:t>
      </w:r>
      <w:r w:rsidRPr="00F24FB8">
        <w:rPr>
          <w:rFonts w:eastAsia="SimSun"/>
          <w:color w:val="000000" w:themeColor="text1"/>
          <w:sz w:val="18"/>
          <w:szCs w:val="18"/>
        </w:rPr>
        <w:t>“</w:t>
      </w:r>
      <w:r w:rsidRPr="00F24FB8">
        <w:rPr>
          <w:rFonts w:eastAsia="SimSun"/>
          <w:i/>
          <w:iCs/>
          <w:color w:val="000000" w:themeColor="text1"/>
          <w:sz w:val="18"/>
          <w:szCs w:val="18"/>
        </w:rPr>
        <w:t>2. Le stazioni appaltanti, prima di adottare i processi relativi alla gestione informativa digitale delle costruzioni per i singoli procedimenti, indipendentemente dalla fase progettuale e dal relativo valore delle opere, provvedono necessariamente a: a) definire e attuare un piano di formazione specifica del personale, secondo i diversi ruoli ricoperti, con particolare riferimento ai metodi e agli strumenti digitali di modellazione, anche per assicurare che quello preposto ad attività amministrative e tecniche consegua adeguata formazione e requisiti di professionalità ed esperienza in riferimento altresì ai profili di responsabili della gestione informativa di cui al comma 3;</w:t>
      </w:r>
      <w:r w:rsidR="00E60B20">
        <w:rPr>
          <w:rFonts w:eastAsia="SimSun"/>
          <w:i/>
          <w:iCs/>
          <w:color w:val="000000" w:themeColor="text1"/>
          <w:sz w:val="18"/>
          <w:szCs w:val="18"/>
        </w:rPr>
        <w:t xml:space="preserve"> </w:t>
      </w:r>
      <w:r w:rsidRPr="00F24FB8">
        <w:rPr>
          <w:rFonts w:eastAsia="SimSun"/>
          <w:i/>
          <w:iCs/>
          <w:color w:val="000000" w:themeColor="text1"/>
          <w:sz w:val="18"/>
          <w:szCs w:val="18"/>
        </w:rPr>
        <w:t>b) definire e attuare un piano di acquisizione e di manutenzione degli strumenti hardware e software di gestione digitale dei processi decisionali e informativi; c) redigere e adottare un atto di organizzazione per la formale e analitica esplicazione delle procedure di controllo e gestione volte a digitalizzare il sistema organizzativo dei processi relativi all’affidamento e alla esecuzione dei contratti pubblici, oltre che per la gestione del ciclo di vita dei beni disponibili e indisponibili. Tale atto di organizzazione è integrato con gli eventuali sistemi di gestione e di qualità della stazione appaltante. 3. Le stazioni appaltanti che adottano i metodi e gli strumenti di cui al comma 1 nominano un gestore dell’ambiente di condivisione dei dati e almeno un gestore dei processi digitali supportati da modelli informativi. Tali stazioni appaltanti inoltre nominano per ogni intervento un coordinatore dei flussi informativi all’interno della struttura di supporto al responsabile unico di cui all’</w:t>
      </w:r>
      <w:hyperlink r:id="rId3" w:anchor="015" w:history="1">
        <w:r w:rsidRPr="00F24FB8">
          <w:rPr>
            <w:rFonts w:eastAsia="SimSun"/>
            <w:i/>
            <w:iCs/>
            <w:color w:val="000000" w:themeColor="text1"/>
            <w:sz w:val="18"/>
            <w:szCs w:val="18"/>
          </w:rPr>
          <w:t>articolo 15 del codic</w:t>
        </w:r>
      </w:hyperlink>
      <w:r w:rsidRPr="00F24FB8">
        <w:rPr>
          <w:rFonts w:eastAsia="SimSun"/>
          <w:i/>
          <w:iCs/>
          <w:color w:val="000000" w:themeColor="text1"/>
          <w:sz w:val="18"/>
          <w:szCs w:val="18"/>
        </w:rPr>
        <w:t>e. Tali gestori e coordinatori devono conseguire adeguata competenza anche mediante la frequenza, con profitto, di appositi corsi di formazione</w:t>
      </w:r>
      <w:r w:rsidRPr="00F24FB8">
        <w:rPr>
          <w:rFonts w:eastAsia="SimSun"/>
          <w:color w:val="000000" w:themeColor="text1"/>
          <w:sz w:val="18"/>
          <w:szCs w:val="18"/>
        </w:rPr>
        <w:t>”</w:t>
      </w:r>
      <w:r>
        <w:rPr>
          <w:rFonts w:eastAsia="SimSun"/>
          <w:color w:val="000000" w:themeColor="text1"/>
          <w:sz w:val="18"/>
          <w:szCs w:val="18"/>
        </w:rPr>
        <w:t>.</w:t>
      </w:r>
    </w:p>
  </w:footnote>
  <w:footnote w:id="11">
    <w:p w14:paraId="068FB4D8" w14:textId="30370661" w:rsidR="00F24FB8" w:rsidRDefault="00F24FB8" w:rsidP="00F24FB8">
      <w:pPr>
        <w:pStyle w:val="Testonotaapidipagina"/>
        <w:ind w:left="284" w:right="849"/>
      </w:pPr>
      <w:r>
        <w:rPr>
          <w:rStyle w:val="Rimandonotaapidipagina"/>
        </w:rPr>
        <w:footnoteRef/>
      </w:r>
      <w:r>
        <w:t xml:space="preserve"> Luciano Floridi – “Etica dell’intelligenza artificiale”</w:t>
      </w:r>
      <w:r w:rsidR="00AF55AD">
        <w:t xml:space="preserve"> 2022, </w:t>
      </w:r>
      <w:r>
        <w:t>Raffaello Cortina editore</w:t>
      </w:r>
    </w:p>
  </w:footnote>
  <w:footnote w:id="12">
    <w:p w14:paraId="74DEA05B" w14:textId="5A5D31D1" w:rsidR="00AC375E" w:rsidRPr="002E74E0" w:rsidRDefault="00AC375E" w:rsidP="00EF319F">
      <w:pPr>
        <w:spacing w:line="567" w:lineRule="exact"/>
        <w:ind w:left="284" w:right="851"/>
        <w:jc w:val="both"/>
        <w:rPr>
          <w:bCs/>
          <w:color w:val="000000" w:themeColor="text1"/>
          <w:sz w:val="18"/>
          <w:szCs w:val="18"/>
        </w:rPr>
      </w:pPr>
      <w:r>
        <w:rPr>
          <w:rStyle w:val="Rimandonotaapidipagina"/>
        </w:rPr>
        <w:footnoteRef/>
      </w:r>
      <w:r>
        <w:t xml:space="preserve"> </w:t>
      </w:r>
      <w:r w:rsidR="00CD0BED">
        <w:rPr>
          <w:rStyle w:val="Numeropagina"/>
          <w:bCs/>
          <w:color w:val="000000" w:themeColor="text1"/>
          <w:sz w:val="18"/>
          <w:szCs w:val="18"/>
        </w:rPr>
        <w:t>Cfr</w:t>
      </w:r>
      <w:r w:rsidRPr="009C6636">
        <w:rPr>
          <w:rStyle w:val="Numeropagina"/>
          <w:bCs/>
          <w:color w:val="000000" w:themeColor="text1"/>
          <w:sz w:val="18"/>
          <w:szCs w:val="18"/>
        </w:rPr>
        <w:t xml:space="preserve">. Paolo Zuddas </w:t>
      </w:r>
      <w:r w:rsidR="00C64565">
        <w:rPr>
          <w:rStyle w:val="Numeropagina"/>
          <w:bCs/>
          <w:color w:val="000000" w:themeColor="text1"/>
          <w:sz w:val="18"/>
          <w:szCs w:val="18"/>
        </w:rPr>
        <w:t>– “</w:t>
      </w:r>
      <w:r w:rsidRPr="00C64565">
        <w:rPr>
          <w:rStyle w:val="Numeropagina"/>
          <w:bCs/>
          <w:color w:val="000000" w:themeColor="text1"/>
          <w:sz w:val="18"/>
          <w:szCs w:val="18"/>
        </w:rPr>
        <w:t>Pregiudizi digitali e principio di precauzione</w:t>
      </w:r>
      <w:r w:rsidR="00474574" w:rsidRPr="00474574">
        <w:rPr>
          <w:rStyle w:val="Numeropagina"/>
          <w:bCs/>
          <w:color w:val="000000" w:themeColor="text1"/>
          <w:sz w:val="18"/>
          <w:szCs w:val="18"/>
        </w:rPr>
        <w:t>”</w:t>
      </w:r>
      <w:r w:rsidRPr="00474574">
        <w:rPr>
          <w:rStyle w:val="Numeropagina"/>
          <w:bCs/>
          <w:color w:val="000000" w:themeColor="text1"/>
          <w:sz w:val="18"/>
          <w:szCs w:val="18"/>
        </w:rPr>
        <w:t xml:space="preserve"> in Consultaonline.it, 2020</w:t>
      </w:r>
    </w:p>
  </w:footnote>
  <w:footnote w:id="13">
    <w:p w14:paraId="5D6BD8AB" w14:textId="4D145D95" w:rsidR="00901F3E" w:rsidRDefault="00901F3E" w:rsidP="00EF319F">
      <w:pPr>
        <w:pStyle w:val="Testonotaapidipagina"/>
        <w:ind w:left="284"/>
      </w:pPr>
      <w:r>
        <w:rPr>
          <w:rStyle w:val="Rimandonotaapidipagina"/>
        </w:rPr>
        <w:footnoteRef/>
      </w:r>
      <w:r>
        <w:t xml:space="preserve"> </w:t>
      </w:r>
      <w:r w:rsidR="00CD0BED" w:rsidRPr="002E74E0">
        <w:rPr>
          <w:sz w:val="18"/>
          <w:szCs w:val="18"/>
        </w:rPr>
        <w:t>Cfr</w:t>
      </w:r>
      <w:r w:rsidR="002E74E0">
        <w:t xml:space="preserve">. </w:t>
      </w:r>
      <w:r w:rsidRPr="00CC3798">
        <w:rPr>
          <w:sz w:val="18"/>
          <w:szCs w:val="18"/>
        </w:rPr>
        <w:t xml:space="preserve">Giovanni Gallone – </w:t>
      </w:r>
      <w:r>
        <w:rPr>
          <w:sz w:val="18"/>
          <w:szCs w:val="18"/>
        </w:rPr>
        <w:t>“</w:t>
      </w:r>
      <w:r w:rsidRPr="00CC3798">
        <w:rPr>
          <w:sz w:val="18"/>
          <w:szCs w:val="18"/>
        </w:rPr>
        <w:t>Riserva di umanità e funzioni amministrative</w:t>
      </w:r>
      <w:r>
        <w:rPr>
          <w:sz w:val="18"/>
          <w:szCs w:val="18"/>
        </w:rPr>
        <w:t>”</w:t>
      </w:r>
      <w:r w:rsidRPr="00CC3798">
        <w:rPr>
          <w:sz w:val="18"/>
          <w:szCs w:val="18"/>
        </w:rPr>
        <w:t xml:space="preserve">, </w:t>
      </w:r>
      <w:r>
        <w:rPr>
          <w:sz w:val="18"/>
          <w:szCs w:val="18"/>
        </w:rPr>
        <w:t xml:space="preserve">2023 </w:t>
      </w:r>
      <w:r w:rsidRPr="00CC3798">
        <w:rPr>
          <w:sz w:val="18"/>
          <w:szCs w:val="18"/>
        </w:rPr>
        <w:t xml:space="preserve">ed. </w:t>
      </w:r>
      <w:r>
        <w:rPr>
          <w:sz w:val="18"/>
          <w:szCs w:val="18"/>
        </w:rPr>
        <w:t>CEDAM</w:t>
      </w:r>
      <w:r w:rsidR="00166FB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C79A" w14:textId="77777777" w:rsidR="00101232" w:rsidRPr="00101232" w:rsidRDefault="007C1F97" w:rsidP="00101232">
    <w:pPr>
      <w:widowControl w:val="0"/>
      <w:ind w:left="-425" w:right="4251" w:firstLine="425"/>
      <w:jc w:val="center"/>
      <w:rPr>
        <w:rFonts w:ascii="Garamond" w:hAnsi="Garamond"/>
        <w:b/>
        <w:color w:val="1F497D"/>
        <w:spacing w:val="2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3F30"/>
    <w:multiLevelType w:val="multilevel"/>
    <w:tmpl w:val="9392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775BB"/>
    <w:multiLevelType w:val="multilevel"/>
    <w:tmpl w:val="A3D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209EF"/>
    <w:multiLevelType w:val="hybridMultilevel"/>
    <w:tmpl w:val="02027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08428F"/>
    <w:multiLevelType w:val="multilevel"/>
    <w:tmpl w:val="5C5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2286F"/>
    <w:multiLevelType w:val="multilevel"/>
    <w:tmpl w:val="AFA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5"/>
    <w:rsid w:val="00000D83"/>
    <w:rsid w:val="00000FED"/>
    <w:rsid w:val="00003F11"/>
    <w:rsid w:val="00011A87"/>
    <w:rsid w:val="00015D40"/>
    <w:rsid w:val="000201BC"/>
    <w:rsid w:val="0003768F"/>
    <w:rsid w:val="000402AF"/>
    <w:rsid w:val="0004062F"/>
    <w:rsid w:val="00040C74"/>
    <w:rsid w:val="000429DA"/>
    <w:rsid w:val="000448E1"/>
    <w:rsid w:val="00044A43"/>
    <w:rsid w:val="00057514"/>
    <w:rsid w:val="0008451A"/>
    <w:rsid w:val="00085AA7"/>
    <w:rsid w:val="0009366A"/>
    <w:rsid w:val="00097A55"/>
    <w:rsid w:val="000A6717"/>
    <w:rsid w:val="000B434C"/>
    <w:rsid w:val="000D7E02"/>
    <w:rsid w:val="000E517D"/>
    <w:rsid w:val="000E5902"/>
    <w:rsid w:val="00100EF4"/>
    <w:rsid w:val="00101E32"/>
    <w:rsid w:val="0010410B"/>
    <w:rsid w:val="0010676B"/>
    <w:rsid w:val="0011248F"/>
    <w:rsid w:val="001402A7"/>
    <w:rsid w:val="00141243"/>
    <w:rsid w:val="00141D27"/>
    <w:rsid w:val="00143DDF"/>
    <w:rsid w:val="00147D08"/>
    <w:rsid w:val="00150175"/>
    <w:rsid w:val="0015144E"/>
    <w:rsid w:val="001542AA"/>
    <w:rsid w:val="0016097B"/>
    <w:rsid w:val="00166FBA"/>
    <w:rsid w:val="00171973"/>
    <w:rsid w:val="00174BB2"/>
    <w:rsid w:val="00184073"/>
    <w:rsid w:val="00196A48"/>
    <w:rsid w:val="001A03E3"/>
    <w:rsid w:val="001A1862"/>
    <w:rsid w:val="001B39E6"/>
    <w:rsid w:val="001C1DB8"/>
    <w:rsid w:val="001C7947"/>
    <w:rsid w:val="001D24E9"/>
    <w:rsid w:val="001D7D5B"/>
    <w:rsid w:val="001E6C65"/>
    <w:rsid w:val="001F57F8"/>
    <w:rsid w:val="00200194"/>
    <w:rsid w:val="00210840"/>
    <w:rsid w:val="002174D2"/>
    <w:rsid w:val="0022070E"/>
    <w:rsid w:val="0022115C"/>
    <w:rsid w:val="00221640"/>
    <w:rsid w:val="00222DD1"/>
    <w:rsid w:val="00226C0C"/>
    <w:rsid w:val="00234983"/>
    <w:rsid w:val="00235034"/>
    <w:rsid w:val="0024754C"/>
    <w:rsid w:val="002627C5"/>
    <w:rsid w:val="0026504D"/>
    <w:rsid w:val="002723B8"/>
    <w:rsid w:val="00275ADB"/>
    <w:rsid w:val="00277CD9"/>
    <w:rsid w:val="0028214B"/>
    <w:rsid w:val="002845B1"/>
    <w:rsid w:val="00286352"/>
    <w:rsid w:val="00286FD0"/>
    <w:rsid w:val="002870A6"/>
    <w:rsid w:val="00294C60"/>
    <w:rsid w:val="002A4E48"/>
    <w:rsid w:val="002A5D65"/>
    <w:rsid w:val="002B4168"/>
    <w:rsid w:val="002B5AC1"/>
    <w:rsid w:val="002B63AD"/>
    <w:rsid w:val="002D124E"/>
    <w:rsid w:val="002D2709"/>
    <w:rsid w:val="002D3882"/>
    <w:rsid w:val="002D76EE"/>
    <w:rsid w:val="002E2EF7"/>
    <w:rsid w:val="002E6A78"/>
    <w:rsid w:val="002E74E0"/>
    <w:rsid w:val="002F0A65"/>
    <w:rsid w:val="002F0D46"/>
    <w:rsid w:val="002F3C1C"/>
    <w:rsid w:val="00301D73"/>
    <w:rsid w:val="0030731B"/>
    <w:rsid w:val="00307C53"/>
    <w:rsid w:val="00313C37"/>
    <w:rsid w:val="00314509"/>
    <w:rsid w:val="003164DC"/>
    <w:rsid w:val="003209F9"/>
    <w:rsid w:val="00321365"/>
    <w:rsid w:val="00326F52"/>
    <w:rsid w:val="00334FE2"/>
    <w:rsid w:val="00340669"/>
    <w:rsid w:val="00340D5E"/>
    <w:rsid w:val="0034274F"/>
    <w:rsid w:val="00345D1B"/>
    <w:rsid w:val="00377933"/>
    <w:rsid w:val="0038212D"/>
    <w:rsid w:val="003827CA"/>
    <w:rsid w:val="00384B71"/>
    <w:rsid w:val="00387AC0"/>
    <w:rsid w:val="003970C0"/>
    <w:rsid w:val="003A5FBA"/>
    <w:rsid w:val="003C406B"/>
    <w:rsid w:val="003D0B1C"/>
    <w:rsid w:val="003E3EA4"/>
    <w:rsid w:val="003F0027"/>
    <w:rsid w:val="00400124"/>
    <w:rsid w:val="00402929"/>
    <w:rsid w:val="00404996"/>
    <w:rsid w:val="00420E44"/>
    <w:rsid w:val="00424153"/>
    <w:rsid w:val="00440011"/>
    <w:rsid w:val="0045577D"/>
    <w:rsid w:val="00456A74"/>
    <w:rsid w:val="00462978"/>
    <w:rsid w:val="00466E18"/>
    <w:rsid w:val="00467A01"/>
    <w:rsid w:val="00471EE5"/>
    <w:rsid w:val="00474574"/>
    <w:rsid w:val="00474688"/>
    <w:rsid w:val="00494254"/>
    <w:rsid w:val="0049449C"/>
    <w:rsid w:val="00495CFD"/>
    <w:rsid w:val="004A0890"/>
    <w:rsid w:val="004B2064"/>
    <w:rsid w:val="004B4039"/>
    <w:rsid w:val="004B45AF"/>
    <w:rsid w:val="004C189F"/>
    <w:rsid w:val="004C5590"/>
    <w:rsid w:val="004D4C37"/>
    <w:rsid w:val="004E3537"/>
    <w:rsid w:val="004E40F8"/>
    <w:rsid w:val="004E6B2D"/>
    <w:rsid w:val="004F07CF"/>
    <w:rsid w:val="0050128B"/>
    <w:rsid w:val="00502E43"/>
    <w:rsid w:val="00502FA2"/>
    <w:rsid w:val="005053AF"/>
    <w:rsid w:val="0051763C"/>
    <w:rsid w:val="00523E9E"/>
    <w:rsid w:val="00542684"/>
    <w:rsid w:val="0054780B"/>
    <w:rsid w:val="00556495"/>
    <w:rsid w:val="00562C59"/>
    <w:rsid w:val="005639F4"/>
    <w:rsid w:val="0057126C"/>
    <w:rsid w:val="005720ED"/>
    <w:rsid w:val="00575368"/>
    <w:rsid w:val="0057607A"/>
    <w:rsid w:val="00576F82"/>
    <w:rsid w:val="00586A27"/>
    <w:rsid w:val="005902E4"/>
    <w:rsid w:val="00591211"/>
    <w:rsid w:val="005A0E0A"/>
    <w:rsid w:val="005B566A"/>
    <w:rsid w:val="005C0291"/>
    <w:rsid w:val="005C0F0A"/>
    <w:rsid w:val="005C14A9"/>
    <w:rsid w:val="005C17F9"/>
    <w:rsid w:val="005C4BB6"/>
    <w:rsid w:val="005D10AD"/>
    <w:rsid w:val="005D3F2D"/>
    <w:rsid w:val="005D54BE"/>
    <w:rsid w:val="005D76C4"/>
    <w:rsid w:val="005E5E47"/>
    <w:rsid w:val="005F031E"/>
    <w:rsid w:val="005F28FC"/>
    <w:rsid w:val="005F3270"/>
    <w:rsid w:val="005F362C"/>
    <w:rsid w:val="005F71F3"/>
    <w:rsid w:val="0060057D"/>
    <w:rsid w:val="00601050"/>
    <w:rsid w:val="00601A60"/>
    <w:rsid w:val="00623054"/>
    <w:rsid w:val="00623EAF"/>
    <w:rsid w:val="00624A6F"/>
    <w:rsid w:val="00635494"/>
    <w:rsid w:val="00646D0B"/>
    <w:rsid w:val="00651B08"/>
    <w:rsid w:val="006559D3"/>
    <w:rsid w:val="00666FD6"/>
    <w:rsid w:val="00670D62"/>
    <w:rsid w:val="00674316"/>
    <w:rsid w:val="0067729A"/>
    <w:rsid w:val="0068033A"/>
    <w:rsid w:val="0068035C"/>
    <w:rsid w:val="00681BB8"/>
    <w:rsid w:val="00685D18"/>
    <w:rsid w:val="00691E3A"/>
    <w:rsid w:val="006A2EF0"/>
    <w:rsid w:val="006A2FF3"/>
    <w:rsid w:val="006A5617"/>
    <w:rsid w:val="006B399E"/>
    <w:rsid w:val="006C6E5A"/>
    <w:rsid w:val="006D1A8D"/>
    <w:rsid w:val="006D3EC4"/>
    <w:rsid w:val="006E0A4A"/>
    <w:rsid w:val="006E1D5E"/>
    <w:rsid w:val="006F50DB"/>
    <w:rsid w:val="006F5D58"/>
    <w:rsid w:val="006F7BAF"/>
    <w:rsid w:val="007029B9"/>
    <w:rsid w:val="007030F0"/>
    <w:rsid w:val="00707ABA"/>
    <w:rsid w:val="00727479"/>
    <w:rsid w:val="00733F49"/>
    <w:rsid w:val="00735664"/>
    <w:rsid w:val="00735CD6"/>
    <w:rsid w:val="0073652C"/>
    <w:rsid w:val="00742A71"/>
    <w:rsid w:val="00744005"/>
    <w:rsid w:val="00744DE0"/>
    <w:rsid w:val="00753D61"/>
    <w:rsid w:val="0075410C"/>
    <w:rsid w:val="00757B6C"/>
    <w:rsid w:val="0076311D"/>
    <w:rsid w:val="00767247"/>
    <w:rsid w:val="00773197"/>
    <w:rsid w:val="007944E2"/>
    <w:rsid w:val="00795474"/>
    <w:rsid w:val="007A01C6"/>
    <w:rsid w:val="007B5C78"/>
    <w:rsid w:val="007B5E2B"/>
    <w:rsid w:val="007C1F97"/>
    <w:rsid w:val="007C237F"/>
    <w:rsid w:val="007D0416"/>
    <w:rsid w:val="007E01A9"/>
    <w:rsid w:val="007E7C14"/>
    <w:rsid w:val="00800747"/>
    <w:rsid w:val="00804982"/>
    <w:rsid w:val="008148E7"/>
    <w:rsid w:val="00814BFE"/>
    <w:rsid w:val="00820765"/>
    <w:rsid w:val="008211FF"/>
    <w:rsid w:val="00822D39"/>
    <w:rsid w:val="008319DF"/>
    <w:rsid w:val="008332DE"/>
    <w:rsid w:val="00844488"/>
    <w:rsid w:val="008469D1"/>
    <w:rsid w:val="0084718C"/>
    <w:rsid w:val="0084718E"/>
    <w:rsid w:val="00853DDB"/>
    <w:rsid w:val="0085563B"/>
    <w:rsid w:val="008608B5"/>
    <w:rsid w:val="00861A03"/>
    <w:rsid w:val="008649B9"/>
    <w:rsid w:val="00866E9C"/>
    <w:rsid w:val="008710A4"/>
    <w:rsid w:val="008716E4"/>
    <w:rsid w:val="00871A63"/>
    <w:rsid w:val="00875053"/>
    <w:rsid w:val="00876090"/>
    <w:rsid w:val="0088227F"/>
    <w:rsid w:val="00885FA5"/>
    <w:rsid w:val="008B2A2F"/>
    <w:rsid w:val="008B590E"/>
    <w:rsid w:val="008C313D"/>
    <w:rsid w:val="008D378E"/>
    <w:rsid w:val="008D37BC"/>
    <w:rsid w:val="008E12DC"/>
    <w:rsid w:val="008E3411"/>
    <w:rsid w:val="008E5081"/>
    <w:rsid w:val="008F0F52"/>
    <w:rsid w:val="008F234D"/>
    <w:rsid w:val="008F5C1B"/>
    <w:rsid w:val="008F74AB"/>
    <w:rsid w:val="00901F3E"/>
    <w:rsid w:val="00902965"/>
    <w:rsid w:val="00905CBB"/>
    <w:rsid w:val="0091151C"/>
    <w:rsid w:val="0091486E"/>
    <w:rsid w:val="0092129D"/>
    <w:rsid w:val="009212DD"/>
    <w:rsid w:val="00921D55"/>
    <w:rsid w:val="0093390A"/>
    <w:rsid w:val="00936C8B"/>
    <w:rsid w:val="0094567D"/>
    <w:rsid w:val="009471FE"/>
    <w:rsid w:val="009537D9"/>
    <w:rsid w:val="0095767B"/>
    <w:rsid w:val="00962FC4"/>
    <w:rsid w:val="0096441C"/>
    <w:rsid w:val="00966CAF"/>
    <w:rsid w:val="00970ADE"/>
    <w:rsid w:val="00971CFC"/>
    <w:rsid w:val="0097721C"/>
    <w:rsid w:val="00993DC1"/>
    <w:rsid w:val="009B4649"/>
    <w:rsid w:val="009B5C37"/>
    <w:rsid w:val="009C08DC"/>
    <w:rsid w:val="009C2DAB"/>
    <w:rsid w:val="009C5CF4"/>
    <w:rsid w:val="009C6636"/>
    <w:rsid w:val="009D2294"/>
    <w:rsid w:val="009E4233"/>
    <w:rsid w:val="009F6B2D"/>
    <w:rsid w:val="00A0734E"/>
    <w:rsid w:val="00A123EE"/>
    <w:rsid w:val="00A13A45"/>
    <w:rsid w:val="00A13A6F"/>
    <w:rsid w:val="00A26EFB"/>
    <w:rsid w:val="00A271ED"/>
    <w:rsid w:val="00A31889"/>
    <w:rsid w:val="00A4242B"/>
    <w:rsid w:val="00A516E1"/>
    <w:rsid w:val="00A5774D"/>
    <w:rsid w:val="00A64337"/>
    <w:rsid w:val="00A663D2"/>
    <w:rsid w:val="00A72597"/>
    <w:rsid w:val="00A735F4"/>
    <w:rsid w:val="00A8603F"/>
    <w:rsid w:val="00A92D39"/>
    <w:rsid w:val="00A96757"/>
    <w:rsid w:val="00AA6A79"/>
    <w:rsid w:val="00AB0804"/>
    <w:rsid w:val="00AB0DC7"/>
    <w:rsid w:val="00AB1D9F"/>
    <w:rsid w:val="00AB4600"/>
    <w:rsid w:val="00AB588E"/>
    <w:rsid w:val="00AC0C11"/>
    <w:rsid w:val="00AC375E"/>
    <w:rsid w:val="00AC6439"/>
    <w:rsid w:val="00AE018D"/>
    <w:rsid w:val="00AE3FDC"/>
    <w:rsid w:val="00AF2C11"/>
    <w:rsid w:val="00AF55AD"/>
    <w:rsid w:val="00AF76CA"/>
    <w:rsid w:val="00B04D3F"/>
    <w:rsid w:val="00B0611E"/>
    <w:rsid w:val="00B21FF6"/>
    <w:rsid w:val="00B43091"/>
    <w:rsid w:val="00B434EE"/>
    <w:rsid w:val="00B46F73"/>
    <w:rsid w:val="00B50DD0"/>
    <w:rsid w:val="00B50E4B"/>
    <w:rsid w:val="00B548C6"/>
    <w:rsid w:val="00B54C74"/>
    <w:rsid w:val="00B55C04"/>
    <w:rsid w:val="00B612C8"/>
    <w:rsid w:val="00B75284"/>
    <w:rsid w:val="00B82108"/>
    <w:rsid w:val="00B84117"/>
    <w:rsid w:val="00B8675F"/>
    <w:rsid w:val="00BA355C"/>
    <w:rsid w:val="00BA5322"/>
    <w:rsid w:val="00BB49FB"/>
    <w:rsid w:val="00BB5D1E"/>
    <w:rsid w:val="00BC1B0E"/>
    <w:rsid w:val="00BC438A"/>
    <w:rsid w:val="00BC4647"/>
    <w:rsid w:val="00BC70EB"/>
    <w:rsid w:val="00BD3E46"/>
    <w:rsid w:val="00BD69A1"/>
    <w:rsid w:val="00BE19B7"/>
    <w:rsid w:val="00BE39E4"/>
    <w:rsid w:val="00BE49D2"/>
    <w:rsid w:val="00BE4E16"/>
    <w:rsid w:val="00BF00B8"/>
    <w:rsid w:val="00BF2F9D"/>
    <w:rsid w:val="00BF66E4"/>
    <w:rsid w:val="00BF70EA"/>
    <w:rsid w:val="00C053BE"/>
    <w:rsid w:val="00C06271"/>
    <w:rsid w:val="00C072D3"/>
    <w:rsid w:val="00C07827"/>
    <w:rsid w:val="00C12086"/>
    <w:rsid w:val="00C16AC3"/>
    <w:rsid w:val="00C16C12"/>
    <w:rsid w:val="00C20BD8"/>
    <w:rsid w:val="00C25331"/>
    <w:rsid w:val="00C269DE"/>
    <w:rsid w:val="00C27AF6"/>
    <w:rsid w:val="00C437D0"/>
    <w:rsid w:val="00C439DC"/>
    <w:rsid w:val="00C4418C"/>
    <w:rsid w:val="00C539DD"/>
    <w:rsid w:val="00C64565"/>
    <w:rsid w:val="00C67CE9"/>
    <w:rsid w:val="00C67D1C"/>
    <w:rsid w:val="00C74ABF"/>
    <w:rsid w:val="00C7574A"/>
    <w:rsid w:val="00C86D9B"/>
    <w:rsid w:val="00C92EDB"/>
    <w:rsid w:val="00C939A6"/>
    <w:rsid w:val="00C96283"/>
    <w:rsid w:val="00CB03E7"/>
    <w:rsid w:val="00CB2CE8"/>
    <w:rsid w:val="00CB4E2E"/>
    <w:rsid w:val="00CC3798"/>
    <w:rsid w:val="00CC5406"/>
    <w:rsid w:val="00CC6657"/>
    <w:rsid w:val="00CD0BED"/>
    <w:rsid w:val="00CD40E1"/>
    <w:rsid w:val="00CD557C"/>
    <w:rsid w:val="00CF0F65"/>
    <w:rsid w:val="00CF4190"/>
    <w:rsid w:val="00D40EA6"/>
    <w:rsid w:val="00D44A2F"/>
    <w:rsid w:val="00D50BBE"/>
    <w:rsid w:val="00D523C6"/>
    <w:rsid w:val="00D54C89"/>
    <w:rsid w:val="00D62C13"/>
    <w:rsid w:val="00D634A9"/>
    <w:rsid w:val="00D6419C"/>
    <w:rsid w:val="00D744AB"/>
    <w:rsid w:val="00D878DA"/>
    <w:rsid w:val="00D9591A"/>
    <w:rsid w:val="00D97063"/>
    <w:rsid w:val="00DA4BDF"/>
    <w:rsid w:val="00DA658E"/>
    <w:rsid w:val="00DB2508"/>
    <w:rsid w:val="00DB68CB"/>
    <w:rsid w:val="00DC0F72"/>
    <w:rsid w:val="00DC272A"/>
    <w:rsid w:val="00DC2DB1"/>
    <w:rsid w:val="00DC7DA2"/>
    <w:rsid w:val="00DD6D3D"/>
    <w:rsid w:val="00DE07A2"/>
    <w:rsid w:val="00DE4C1E"/>
    <w:rsid w:val="00DE5492"/>
    <w:rsid w:val="00DE6A20"/>
    <w:rsid w:val="00DF57DD"/>
    <w:rsid w:val="00E07F47"/>
    <w:rsid w:val="00E1199E"/>
    <w:rsid w:val="00E119FD"/>
    <w:rsid w:val="00E216BC"/>
    <w:rsid w:val="00E32897"/>
    <w:rsid w:val="00E3723E"/>
    <w:rsid w:val="00E5481D"/>
    <w:rsid w:val="00E57FBC"/>
    <w:rsid w:val="00E60B20"/>
    <w:rsid w:val="00E61D51"/>
    <w:rsid w:val="00E65379"/>
    <w:rsid w:val="00E76A04"/>
    <w:rsid w:val="00E77058"/>
    <w:rsid w:val="00E77D41"/>
    <w:rsid w:val="00E77FE0"/>
    <w:rsid w:val="00E8096D"/>
    <w:rsid w:val="00E84100"/>
    <w:rsid w:val="00E85C1E"/>
    <w:rsid w:val="00E8671E"/>
    <w:rsid w:val="00E97253"/>
    <w:rsid w:val="00EA0730"/>
    <w:rsid w:val="00EA511B"/>
    <w:rsid w:val="00EB4CA3"/>
    <w:rsid w:val="00EB53C1"/>
    <w:rsid w:val="00EB62EE"/>
    <w:rsid w:val="00EC0051"/>
    <w:rsid w:val="00EC20AB"/>
    <w:rsid w:val="00EC2460"/>
    <w:rsid w:val="00ED0DBD"/>
    <w:rsid w:val="00ED3D36"/>
    <w:rsid w:val="00ED6EE5"/>
    <w:rsid w:val="00EE354F"/>
    <w:rsid w:val="00EE6F70"/>
    <w:rsid w:val="00EF319F"/>
    <w:rsid w:val="00F00634"/>
    <w:rsid w:val="00F00D3F"/>
    <w:rsid w:val="00F03266"/>
    <w:rsid w:val="00F041B1"/>
    <w:rsid w:val="00F14681"/>
    <w:rsid w:val="00F17A87"/>
    <w:rsid w:val="00F216B8"/>
    <w:rsid w:val="00F24C35"/>
    <w:rsid w:val="00F24FB8"/>
    <w:rsid w:val="00F32CF5"/>
    <w:rsid w:val="00F344C9"/>
    <w:rsid w:val="00F3450B"/>
    <w:rsid w:val="00F35035"/>
    <w:rsid w:val="00F36FAF"/>
    <w:rsid w:val="00F43C3F"/>
    <w:rsid w:val="00F50ACD"/>
    <w:rsid w:val="00F54985"/>
    <w:rsid w:val="00F66275"/>
    <w:rsid w:val="00F66FAC"/>
    <w:rsid w:val="00F71C6B"/>
    <w:rsid w:val="00F84B2F"/>
    <w:rsid w:val="00F929EE"/>
    <w:rsid w:val="00F93058"/>
    <w:rsid w:val="00F951B0"/>
    <w:rsid w:val="00F95EC0"/>
    <w:rsid w:val="00FA175A"/>
    <w:rsid w:val="00FA2131"/>
    <w:rsid w:val="00FB4D31"/>
    <w:rsid w:val="00FB50A1"/>
    <w:rsid w:val="00FB7A6B"/>
    <w:rsid w:val="00FC1977"/>
    <w:rsid w:val="00FC2035"/>
    <w:rsid w:val="00FC3DC4"/>
    <w:rsid w:val="00FC616C"/>
    <w:rsid w:val="00FC77DB"/>
    <w:rsid w:val="00FE56B0"/>
    <w:rsid w:val="00FF0FE7"/>
    <w:rsid w:val="00FF1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63C4"/>
  <w15:chartTrackingRefBased/>
  <w15:docId w15:val="{B2E8E1A6-1392-4C44-B65E-F727C5E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175"/>
    <w:pPr>
      <w:spacing w:after="0" w:line="240" w:lineRule="auto"/>
    </w:pPr>
    <w:rPr>
      <w:rFonts w:ascii="Times New Roman" w:eastAsia="SimSun" w:hAnsi="Times New Roman" w:cs="Times New Roman"/>
      <w:sz w:val="20"/>
      <w:szCs w:val="20"/>
      <w:lang w:eastAsia="it-IT"/>
    </w:rPr>
  </w:style>
  <w:style w:type="paragraph" w:styleId="Titolo2">
    <w:name w:val="heading 2"/>
    <w:basedOn w:val="Normale"/>
    <w:next w:val="Normale"/>
    <w:link w:val="Titolo2Carattere"/>
    <w:uiPriority w:val="9"/>
    <w:unhideWhenUsed/>
    <w:qFormat/>
    <w:rsid w:val="001501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150175"/>
    <w:rPr>
      <w:rFonts w:cs="Times New Roman"/>
    </w:rPr>
  </w:style>
  <w:style w:type="paragraph" w:styleId="Pidipagina">
    <w:name w:val="footer"/>
    <w:basedOn w:val="Normale"/>
    <w:link w:val="PidipaginaCarattere"/>
    <w:uiPriority w:val="99"/>
    <w:rsid w:val="00150175"/>
    <w:pPr>
      <w:tabs>
        <w:tab w:val="center" w:pos="4819"/>
        <w:tab w:val="right" w:pos="9638"/>
      </w:tabs>
    </w:pPr>
  </w:style>
  <w:style w:type="character" w:customStyle="1" w:styleId="PidipaginaCarattere">
    <w:name w:val="Piè di pagina Carattere"/>
    <w:basedOn w:val="Carpredefinitoparagrafo"/>
    <w:link w:val="Pidipagina"/>
    <w:uiPriority w:val="99"/>
    <w:rsid w:val="00150175"/>
    <w:rPr>
      <w:rFonts w:ascii="Times New Roman" w:eastAsia="SimSu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150175"/>
  </w:style>
  <w:style w:type="character" w:customStyle="1" w:styleId="TestonotaapidipaginaCarattere">
    <w:name w:val="Testo nota a piè di pagina Carattere"/>
    <w:basedOn w:val="Carpredefinitoparagrafo"/>
    <w:link w:val="Testonotaapidipagina"/>
    <w:uiPriority w:val="99"/>
    <w:rsid w:val="00150175"/>
    <w:rPr>
      <w:rFonts w:ascii="Times New Roman" w:eastAsia="SimSun" w:hAnsi="Times New Roman" w:cs="Times New Roman"/>
      <w:sz w:val="20"/>
      <w:szCs w:val="20"/>
      <w:lang w:eastAsia="it-IT"/>
    </w:rPr>
  </w:style>
  <w:style w:type="character" w:styleId="Rimandonotaapidipagina">
    <w:name w:val="footnote reference"/>
    <w:basedOn w:val="Carpredefinitoparagrafo"/>
    <w:uiPriority w:val="99"/>
    <w:semiHidden/>
    <w:unhideWhenUsed/>
    <w:rsid w:val="00150175"/>
    <w:rPr>
      <w:vertAlign w:val="superscript"/>
    </w:rPr>
  </w:style>
  <w:style w:type="character" w:customStyle="1" w:styleId="Titolo2Carattere">
    <w:name w:val="Titolo 2 Carattere"/>
    <w:basedOn w:val="Carpredefinitoparagrafo"/>
    <w:link w:val="Titolo2"/>
    <w:uiPriority w:val="9"/>
    <w:rsid w:val="00150175"/>
    <w:rPr>
      <w:rFonts w:asciiTheme="majorHAnsi" w:eastAsiaTheme="majorEastAsia" w:hAnsiTheme="majorHAnsi" w:cstheme="majorBidi"/>
      <w:color w:val="2F5496" w:themeColor="accent1" w:themeShade="BF"/>
      <w:sz w:val="26"/>
      <w:szCs w:val="26"/>
      <w:lang w:eastAsia="it-IT"/>
    </w:rPr>
  </w:style>
  <w:style w:type="paragraph" w:styleId="NormaleWeb">
    <w:name w:val="Normal (Web)"/>
    <w:basedOn w:val="Normale"/>
    <w:uiPriority w:val="99"/>
    <w:unhideWhenUsed/>
    <w:rsid w:val="00150175"/>
    <w:pPr>
      <w:spacing w:before="100" w:beforeAutospacing="1" w:after="100" w:afterAutospacing="1"/>
    </w:pPr>
    <w:rPr>
      <w:rFonts w:eastAsiaTheme="minorEastAsia"/>
      <w:sz w:val="24"/>
      <w:szCs w:val="24"/>
    </w:rPr>
  </w:style>
  <w:style w:type="character" w:customStyle="1" w:styleId="apple-converted-space">
    <w:name w:val="apple-converted-space"/>
    <w:basedOn w:val="Carpredefinitoparagrafo"/>
    <w:rsid w:val="00150175"/>
  </w:style>
  <w:style w:type="character" w:styleId="Enfasigrassetto">
    <w:name w:val="Strong"/>
    <w:basedOn w:val="Carpredefinitoparagrafo"/>
    <w:uiPriority w:val="22"/>
    <w:qFormat/>
    <w:rsid w:val="00150175"/>
    <w:rPr>
      <w:b/>
      <w:bCs/>
    </w:rPr>
  </w:style>
  <w:style w:type="character" w:styleId="Enfasicorsivo">
    <w:name w:val="Emphasis"/>
    <w:basedOn w:val="Carpredefinitoparagrafo"/>
    <w:uiPriority w:val="20"/>
    <w:qFormat/>
    <w:rsid w:val="00150175"/>
    <w:rPr>
      <w:i/>
      <w:iCs/>
    </w:rPr>
  </w:style>
  <w:style w:type="paragraph" w:customStyle="1" w:styleId="popolo">
    <w:name w:val="popolo"/>
    <w:basedOn w:val="Normale"/>
    <w:rsid w:val="00150175"/>
    <w:pPr>
      <w:spacing w:before="100" w:beforeAutospacing="1" w:after="100" w:afterAutospacing="1"/>
    </w:pPr>
    <w:rPr>
      <w:rFonts w:eastAsiaTheme="minorEastAsia"/>
      <w:sz w:val="24"/>
      <w:szCs w:val="24"/>
    </w:rPr>
  </w:style>
  <w:style w:type="paragraph" w:customStyle="1" w:styleId="testocenter">
    <w:name w:val="testocenter"/>
    <w:basedOn w:val="Normale"/>
    <w:rsid w:val="008148E7"/>
    <w:pPr>
      <w:spacing w:before="100" w:beforeAutospacing="1" w:after="100" w:afterAutospacing="1"/>
    </w:pPr>
    <w:rPr>
      <w:rFonts w:eastAsiaTheme="minorEastAsia"/>
      <w:sz w:val="24"/>
      <w:szCs w:val="24"/>
    </w:rPr>
  </w:style>
  <w:style w:type="character" w:styleId="Collegamentoipertestuale">
    <w:name w:val="Hyperlink"/>
    <w:basedOn w:val="Carpredefinitoparagrafo"/>
    <w:uiPriority w:val="99"/>
    <w:unhideWhenUsed/>
    <w:rsid w:val="008148E7"/>
    <w:rPr>
      <w:color w:val="0000FF"/>
      <w:u w:val="single"/>
    </w:rPr>
  </w:style>
  <w:style w:type="paragraph" w:customStyle="1" w:styleId="l97">
    <w:name w:val="l97"/>
    <w:basedOn w:val="Normale"/>
    <w:rsid w:val="0076311D"/>
    <w:pPr>
      <w:spacing w:before="100" w:beforeAutospacing="1" w:after="100" w:afterAutospacing="1"/>
    </w:pPr>
    <w:rPr>
      <w:rFonts w:eastAsia="Times New Roman"/>
      <w:sz w:val="24"/>
      <w:szCs w:val="24"/>
    </w:rPr>
  </w:style>
  <w:style w:type="paragraph" w:customStyle="1" w:styleId="l98">
    <w:name w:val="l98"/>
    <w:basedOn w:val="Normale"/>
    <w:rsid w:val="0076311D"/>
    <w:pPr>
      <w:spacing w:before="100" w:beforeAutospacing="1" w:after="100" w:afterAutospacing="1"/>
    </w:pPr>
    <w:rPr>
      <w:rFonts w:eastAsia="Times New Roman"/>
      <w:sz w:val="24"/>
      <w:szCs w:val="24"/>
    </w:rPr>
  </w:style>
  <w:style w:type="paragraph" w:customStyle="1" w:styleId="l99">
    <w:name w:val="l99"/>
    <w:basedOn w:val="Normale"/>
    <w:rsid w:val="0076311D"/>
    <w:pPr>
      <w:spacing w:before="100" w:beforeAutospacing="1" w:after="100" w:afterAutospacing="1"/>
    </w:pPr>
    <w:rPr>
      <w:rFonts w:eastAsia="Times New Roman"/>
      <w:sz w:val="24"/>
      <w:szCs w:val="24"/>
    </w:rPr>
  </w:style>
  <w:style w:type="character" w:customStyle="1" w:styleId="UnresolvedMention">
    <w:name w:val="Unresolved Mention"/>
    <w:basedOn w:val="Carpredefinitoparagrafo"/>
    <w:uiPriority w:val="99"/>
    <w:semiHidden/>
    <w:unhideWhenUsed/>
    <w:rsid w:val="00D7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9682">
      <w:bodyDiv w:val="1"/>
      <w:marLeft w:val="0"/>
      <w:marRight w:val="0"/>
      <w:marTop w:val="0"/>
      <w:marBottom w:val="0"/>
      <w:divBdr>
        <w:top w:val="none" w:sz="0" w:space="0" w:color="auto"/>
        <w:left w:val="none" w:sz="0" w:space="0" w:color="auto"/>
        <w:bottom w:val="none" w:sz="0" w:space="0" w:color="auto"/>
        <w:right w:val="none" w:sz="0" w:space="0" w:color="auto"/>
      </w:divBdr>
    </w:div>
    <w:div w:id="512303959">
      <w:bodyDiv w:val="1"/>
      <w:marLeft w:val="0"/>
      <w:marRight w:val="0"/>
      <w:marTop w:val="0"/>
      <w:marBottom w:val="0"/>
      <w:divBdr>
        <w:top w:val="none" w:sz="0" w:space="0" w:color="auto"/>
        <w:left w:val="none" w:sz="0" w:space="0" w:color="auto"/>
        <w:bottom w:val="none" w:sz="0" w:space="0" w:color="auto"/>
        <w:right w:val="none" w:sz="0" w:space="0" w:color="auto"/>
      </w:divBdr>
    </w:div>
    <w:div w:id="1262833298">
      <w:bodyDiv w:val="1"/>
      <w:marLeft w:val="0"/>
      <w:marRight w:val="0"/>
      <w:marTop w:val="0"/>
      <w:marBottom w:val="0"/>
      <w:divBdr>
        <w:top w:val="none" w:sz="0" w:space="0" w:color="auto"/>
        <w:left w:val="none" w:sz="0" w:space="0" w:color="auto"/>
        <w:bottom w:val="none" w:sz="0" w:space="0" w:color="auto"/>
        <w:right w:val="none" w:sz="0" w:space="0" w:color="auto"/>
      </w:divBdr>
      <w:divsChild>
        <w:div w:id="178160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14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47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7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49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575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85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5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875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8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6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7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9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7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53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2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57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2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8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343475">
      <w:bodyDiv w:val="1"/>
      <w:marLeft w:val="0"/>
      <w:marRight w:val="0"/>
      <w:marTop w:val="0"/>
      <w:marBottom w:val="0"/>
      <w:divBdr>
        <w:top w:val="none" w:sz="0" w:space="0" w:color="auto"/>
        <w:left w:val="none" w:sz="0" w:space="0" w:color="auto"/>
        <w:bottom w:val="none" w:sz="0" w:space="0" w:color="auto"/>
        <w:right w:val="none" w:sz="0" w:space="0" w:color="auto"/>
      </w:divBdr>
    </w:div>
    <w:div w:id="1994330506">
      <w:bodyDiv w:val="1"/>
      <w:marLeft w:val="0"/>
      <w:marRight w:val="0"/>
      <w:marTop w:val="0"/>
      <w:marBottom w:val="0"/>
      <w:divBdr>
        <w:top w:val="none" w:sz="0" w:space="0" w:color="auto"/>
        <w:left w:val="none" w:sz="0" w:space="0" w:color="auto"/>
        <w:bottom w:val="none" w:sz="0" w:space="0" w:color="auto"/>
        <w:right w:val="none" w:sz="0" w:space="0" w:color="auto"/>
      </w:divBdr>
      <w:divsChild>
        <w:div w:id="65033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73215">
      <w:bodyDiv w:val="1"/>
      <w:marLeft w:val="0"/>
      <w:marRight w:val="0"/>
      <w:marTop w:val="0"/>
      <w:marBottom w:val="0"/>
      <w:divBdr>
        <w:top w:val="none" w:sz="0" w:space="0" w:color="auto"/>
        <w:left w:val="none" w:sz="0" w:space="0" w:color="auto"/>
        <w:bottom w:val="none" w:sz="0" w:space="0" w:color="auto"/>
        <w:right w:val="none" w:sz="0" w:space="0" w:color="auto"/>
      </w:divBdr>
    </w:div>
    <w:div w:id="20907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23_0036.htm" TargetMode="External"/><Relationship Id="rId2" Type="http://schemas.openxmlformats.org/officeDocument/2006/relationships/hyperlink" Target="https://www.bosettiegatti.eu/info/norme/statali/1999_0554_A.htm" TargetMode="External"/><Relationship Id="rId1" Type="http://schemas.openxmlformats.org/officeDocument/2006/relationships/hyperlink" Target="https://www.bosettiegatti.eu/info/norme/statali/1999_0554_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bc2c-9ecb-4c98-93a4-c5ac7de86388" xsi:nil="true"/>
    <lcf76f155ced4ddcb4097134ff3c332f xmlns="24e9e9ec-e14b-4a0f-81fd-970f84f34f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313409E3D0DC24A8A7F8D3476496B13" ma:contentTypeVersion="16" ma:contentTypeDescription="Creare un nuovo documento." ma:contentTypeScope="" ma:versionID="d0555e9de0a43a1f0e3869e7425bc5a9">
  <xsd:schema xmlns:xsd="http://www.w3.org/2001/XMLSchema" xmlns:xs="http://www.w3.org/2001/XMLSchema" xmlns:p="http://schemas.microsoft.com/office/2006/metadata/properties" xmlns:ns2="24e9e9ec-e14b-4a0f-81fd-970f84f34fba" xmlns:ns3="1932bc2c-9ecb-4c98-93a4-c5ac7de86388" targetNamespace="http://schemas.microsoft.com/office/2006/metadata/properties" ma:root="true" ma:fieldsID="0fe7c50bb31257983b0273343316faa5" ns2:_="" ns3:_="">
    <xsd:import namespace="24e9e9ec-e14b-4a0f-81fd-970f84f34fba"/>
    <xsd:import namespace="1932bc2c-9ecb-4c98-93a4-c5ac7de863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9e9ec-e14b-4a0f-81fd-970f84f34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ddfce59-d62e-4dbd-9f72-610d1bccf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bc2c-9ecb-4c98-93a4-c5ac7de8638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0447d12-5a26-4c58-845c-72b685d7a54d}" ma:internalName="TaxCatchAll" ma:showField="CatchAllData" ma:web="1932bc2c-9ecb-4c98-93a4-c5ac7de86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72ED-80A5-4181-9D3B-EA0E17DE52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4e9e9ec-e14b-4a0f-81fd-970f84f34fba"/>
    <ds:schemaRef ds:uri="1932bc2c-9ecb-4c98-93a4-c5ac7de8638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C43581-F39A-41F6-803C-AF256446EA29}">
  <ds:schemaRefs>
    <ds:schemaRef ds:uri="http://schemas.microsoft.com/sharepoint/v3/contenttype/forms"/>
  </ds:schemaRefs>
</ds:datastoreItem>
</file>

<file path=customXml/itemProps3.xml><?xml version="1.0" encoding="utf-8"?>
<ds:datastoreItem xmlns:ds="http://schemas.openxmlformats.org/officeDocument/2006/customXml" ds:itemID="{D534C4C2-EA64-4B4C-80F5-E52C40E3CBB4}">
  <ds:schemaRefs>
    <ds:schemaRef ds:uri="http://schemas.microsoft.com/office/2006/metadata/contentType"/>
    <ds:schemaRef ds:uri="http://schemas.microsoft.com/office/2006/metadata/properties/metaAttributes"/>
    <ds:schemaRef ds:uri="http://www.w3.org/2000/xmlns/"/>
    <ds:schemaRef ds:uri="http://www.w3.org/2001/XMLSchema"/>
    <ds:schemaRef ds:uri="24e9e9ec-e14b-4a0f-81fd-970f84f34fba"/>
    <ds:schemaRef ds:uri="1932bc2c-9ecb-4c98-93a4-c5ac7de8638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3CD9C-84A3-43CB-AB82-75FF7188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3505</Words>
  <Characters>19979</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Barberio</dc:creator>
  <cp:keywords/>
  <dc:description/>
  <cp:lastModifiedBy>FERRARI Giulia</cp:lastModifiedBy>
  <cp:revision>3</cp:revision>
  <dcterms:created xsi:type="dcterms:W3CDTF">2023-06-19T17:34:00Z</dcterms:created>
  <dcterms:modified xsi:type="dcterms:W3CDTF">2023-06-19T17:35:00Z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0x0101004313409E3D0DC24A8A7F8D3476496B13</vt:lpwstr>
  </property>
  <property fmtid="{D5CDD505-2E9C-101B-9397-08002B2CF9AE}" pid="3" name="MediaServiceImageTags">
    <vt:lpwstr/>
  </property>
</Properties>
</file>