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1D5" w:rsidRPr="009C4C8B" w:rsidRDefault="00B451D5" w:rsidP="007E753A">
      <w:pPr>
        <w:spacing w:line="240" w:lineRule="auto"/>
        <w:jc w:val="center"/>
        <w:rPr>
          <w:rFonts w:ascii="Times New Roman" w:hAnsi="Times New Roman" w:cs="Times New Roman"/>
          <w:b/>
          <w:sz w:val="32"/>
          <w:szCs w:val="32"/>
        </w:rPr>
      </w:pPr>
      <w:r w:rsidRPr="009C4C8B">
        <w:rPr>
          <w:rFonts w:ascii="Times New Roman" w:hAnsi="Times New Roman" w:cs="Times New Roman"/>
          <w:b/>
          <w:sz w:val="32"/>
          <w:szCs w:val="32"/>
        </w:rPr>
        <w:t>RECENTI SVILUPPI NELL’ANTITRUST ITALIANO ED EUROPEO</w:t>
      </w:r>
      <w:r w:rsidR="009C4C8B">
        <w:rPr>
          <w:rStyle w:val="Rimandonotaapidipagina"/>
          <w:rFonts w:ascii="Times New Roman" w:hAnsi="Times New Roman" w:cs="Times New Roman"/>
          <w:b/>
          <w:sz w:val="32"/>
          <w:szCs w:val="32"/>
        </w:rPr>
        <w:footnoteReference w:id="1"/>
      </w:r>
    </w:p>
    <w:p w:rsidR="00B451D5" w:rsidRDefault="00B451D5" w:rsidP="007E753A">
      <w:pPr>
        <w:spacing w:line="240" w:lineRule="auto"/>
        <w:jc w:val="both"/>
        <w:rPr>
          <w:rFonts w:ascii="Times New Roman" w:hAnsi="Times New Roman" w:cs="Times New Roman"/>
          <w:sz w:val="28"/>
          <w:szCs w:val="28"/>
        </w:rPr>
      </w:pPr>
    </w:p>
    <w:p w:rsidR="00377F2F" w:rsidRPr="00377F2F" w:rsidRDefault="004928F2" w:rsidP="00377F2F">
      <w:pPr>
        <w:spacing w:line="240" w:lineRule="auto"/>
        <w:jc w:val="both"/>
        <w:rPr>
          <w:rFonts w:ascii="Times New Roman" w:hAnsi="Times New Roman" w:cs="Times New Roman"/>
          <w:b/>
          <w:sz w:val="28"/>
          <w:szCs w:val="28"/>
        </w:rPr>
      </w:pPr>
      <w:r w:rsidRPr="004928F2">
        <w:rPr>
          <w:rFonts w:ascii="Times New Roman" w:hAnsi="Times New Roman" w:cs="Times New Roman"/>
          <w:b/>
          <w:sz w:val="28"/>
          <w:szCs w:val="28"/>
        </w:rPr>
        <w:t xml:space="preserve">SOMMARIO: 1. </w:t>
      </w:r>
      <w:r w:rsidR="009C4C8B">
        <w:rPr>
          <w:rFonts w:ascii="Times New Roman" w:hAnsi="Times New Roman" w:cs="Times New Roman"/>
          <w:b/>
          <w:sz w:val="28"/>
          <w:szCs w:val="28"/>
        </w:rPr>
        <w:t xml:space="preserve">Introduzione. 2. Novità legislative. </w:t>
      </w:r>
      <w:r w:rsidR="00E04E19">
        <w:rPr>
          <w:rFonts w:ascii="Times New Roman" w:hAnsi="Times New Roman" w:cs="Times New Roman"/>
          <w:b/>
          <w:sz w:val="28"/>
          <w:szCs w:val="28"/>
        </w:rPr>
        <w:t>3. Recenti sviluppi giurisprudenziali: i</w:t>
      </w:r>
      <w:r w:rsidR="007E753A">
        <w:rPr>
          <w:rFonts w:ascii="Times New Roman" w:hAnsi="Times New Roman" w:cs="Times New Roman"/>
          <w:b/>
          <w:sz w:val="28"/>
          <w:szCs w:val="28"/>
        </w:rPr>
        <w:t>n tema di intese anticoncorrenziali.</w:t>
      </w:r>
      <w:r w:rsidR="00E04E19">
        <w:rPr>
          <w:rFonts w:ascii="Times New Roman" w:hAnsi="Times New Roman" w:cs="Times New Roman"/>
          <w:b/>
          <w:sz w:val="28"/>
          <w:szCs w:val="28"/>
        </w:rPr>
        <w:t xml:space="preserve"> 4. Segue: i</w:t>
      </w:r>
      <w:r w:rsidR="00377F2F" w:rsidRPr="00377F2F">
        <w:rPr>
          <w:rFonts w:ascii="Times New Roman" w:hAnsi="Times New Roman" w:cs="Times New Roman"/>
          <w:b/>
          <w:sz w:val="28"/>
          <w:szCs w:val="28"/>
        </w:rPr>
        <w:t>n tema di abuso di posizione dominante.</w:t>
      </w:r>
      <w:r w:rsidR="003513E3">
        <w:rPr>
          <w:rFonts w:ascii="Times New Roman" w:hAnsi="Times New Roman" w:cs="Times New Roman"/>
          <w:b/>
          <w:sz w:val="28"/>
          <w:szCs w:val="28"/>
        </w:rPr>
        <w:t xml:space="preserve"> 5. Il dialogo tra il Consiglio di Stato e la CGUE.</w:t>
      </w:r>
      <w:r w:rsidR="001415BA">
        <w:rPr>
          <w:rFonts w:ascii="Times New Roman" w:hAnsi="Times New Roman" w:cs="Times New Roman"/>
          <w:b/>
          <w:sz w:val="28"/>
          <w:szCs w:val="28"/>
        </w:rPr>
        <w:t xml:space="preserve"> 6. Conclusioni.</w:t>
      </w:r>
    </w:p>
    <w:p w:rsidR="004928F2" w:rsidRDefault="004928F2" w:rsidP="007E753A">
      <w:pPr>
        <w:spacing w:line="240" w:lineRule="auto"/>
        <w:jc w:val="both"/>
        <w:rPr>
          <w:rFonts w:ascii="Times New Roman" w:hAnsi="Times New Roman" w:cs="Times New Roman"/>
          <w:sz w:val="28"/>
          <w:szCs w:val="28"/>
        </w:rPr>
      </w:pPr>
    </w:p>
    <w:p w:rsidR="009C4C8B" w:rsidRDefault="009C4C8B" w:rsidP="007E753A">
      <w:pPr>
        <w:spacing w:line="240" w:lineRule="auto"/>
        <w:jc w:val="both"/>
        <w:rPr>
          <w:rFonts w:ascii="Times New Roman" w:hAnsi="Times New Roman" w:cs="Times New Roman"/>
          <w:b/>
          <w:sz w:val="28"/>
          <w:szCs w:val="28"/>
        </w:rPr>
      </w:pPr>
      <w:r>
        <w:rPr>
          <w:rFonts w:ascii="Times New Roman" w:hAnsi="Times New Roman" w:cs="Times New Roman"/>
          <w:b/>
          <w:sz w:val="28"/>
          <w:szCs w:val="28"/>
        </w:rPr>
        <w:t>1. Introduzione.</w:t>
      </w:r>
    </w:p>
    <w:p w:rsidR="00936D15" w:rsidRDefault="00936D15" w:rsidP="007E753A">
      <w:pPr>
        <w:spacing w:line="240" w:lineRule="auto"/>
        <w:jc w:val="both"/>
        <w:rPr>
          <w:rFonts w:ascii="Times New Roman" w:hAnsi="Times New Roman" w:cs="Times New Roman"/>
          <w:sz w:val="28"/>
          <w:szCs w:val="28"/>
        </w:rPr>
      </w:pPr>
      <w:r>
        <w:rPr>
          <w:rFonts w:ascii="Times New Roman" w:hAnsi="Times New Roman" w:cs="Times New Roman"/>
          <w:sz w:val="28"/>
          <w:szCs w:val="28"/>
        </w:rPr>
        <w:t>Nell’introdurre</w:t>
      </w:r>
      <w:r w:rsidR="0007312F">
        <w:rPr>
          <w:rFonts w:ascii="Times New Roman" w:hAnsi="Times New Roman" w:cs="Times New Roman"/>
          <w:sz w:val="28"/>
          <w:szCs w:val="28"/>
        </w:rPr>
        <w:t>, brevemente e sommariamente,</w:t>
      </w:r>
      <w:r>
        <w:rPr>
          <w:rFonts w:ascii="Times New Roman" w:hAnsi="Times New Roman" w:cs="Times New Roman"/>
          <w:sz w:val="28"/>
          <w:szCs w:val="28"/>
        </w:rPr>
        <w:t xml:space="preserve"> gli argomenti specifici </w:t>
      </w:r>
      <w:r w:rsidR="0007312F">
        <w:rPr>
          <w:rFonts w:ascii="Times New Roman" w:hAnsi="Times New Roman" w:cs="Times New Roman"/>
          <w:sz w:val="28"/>
          <w:szCs w:val="28"/>
        </w:rPr>
        <w:t xml:space="preserve">che saranno trattatati dai singoli relatori </w:t>
      </w:r>
      <w:r>
        <w:rPr>
          <w:rFonts w:ascii="Times New Roman" w:hAnsi="Times New Roman" w:cs="Times New Roman"/>
          <w:sz w:val="28"/>
          <w:szCs w:val="28"/>
        </w:rPr>
        <w:t>per quanto riguarda i recenti sviluppi nell’antitrust italiano ed europeo, limiterò innanzitutto il campo di indagine agli artt. 101 e 102 del Trattato sul funzionamento dell’Unione europea (TFUE). Il che vuol dire esaminare tre fattispecie: intese restrittive della concorrenza, abuso di posizione dominante e concentrazioni tra imprese.</w:t>
      </w:r>
    </w:p>
    <w:p w:rsidR="00936D15" w:rsidRDefault="00936D15" w:rsidP="007E753A">
      <w:pPr>
        <w:spacing w:line="240" w:lineRule="auto"/>
        <w:jc w:val="both"/>
        <w:rPr>
          <w:rFonts w:ascii="Times New Roman" w:hAnsi="Times New Roman" w:cs="Times New Roman"/>
          <w:sz w:val="28"/>
          <w:szCs w:val="28"/>
        </w:rPr>
      </w:pPr>
      <w:r>
        <w:rPr>
          <w:rFonts w:ascii="Times New Roman" w:hAnsi="Times New Roman" w:cs="Times New Roman"/>
          <w:sz w:val="28"/>
          <w:szCs w:val="28"/>
        </w:rPr>
        <w:t>E lo dedicherò te</w:t>
      </w:r>
      <w:r w:rsidR="00E04E19">
        <w:rPr>
          <w:rFonts w:ascii="Times New Roman" w:hAnsi="Times New Roman" w:cs="Times New Roman"/>
          <w:sz w:val="28"/>
          <w:szCs w:val="28"/>
        </w:rPr>
        <w:t xml:space="preserve">mporalmente </w:t>
      </w:r>
      <w:r w:rsidR="00963FC2">
        <w:rPr>
          <w:rFonts w:ascii="Times New Roman" w:hAnsi="Times New Roman" w:cs="Times New Roman"/>
          <w:sz w:val="28"/>
          <w:szCs w:val="28"/>
        </w:rPr>
        <w:t>a</w:t>
      </w:r>
      <w:r w:rsidR="00E04E19">
        <w:rPr>
          <w:rFonts w:ascii="Times New Roman" w:hAnsi="Times New Roman" w:cs="Times New Roman"/>
          <w:sz w:val="28"/>
          <w:szCs w:val="28"/>
        </w:rPr>
        <w:t>lle</w:t>
      </w:r>
      <w:r>
        <w:rPr>
          <w:rFonts w:ascii="Times New Roman" w:hAnsi="Times New Roman" w:cs="Times New Roman"/>
          <w:sz w:val="28"/>
          <w:szCs w:val="28"/>
        </w:rPr>
        <w:t xml:space="preserve"> novità di rilievo intervenute, a livello legislativo e giurisprudenziale, all’incirca nel periodo trascorso </w:t>
      </w:r>
      <w:r w:rsidR="00377F2F">
        <w:rPr>
          <w:rFonts w:ascii="Times New Roman" w:hAnsi="Times New Roman" w:cs="Times New Roman"/>
          <w:sz w:val="28"/>
          <w:szCs w:val="28"/>
        </w:rPr>
        <w:t xml:space="preserve">dato </w:t>
      </w:r>
      <w:r>
        <w:rPr>
          <w:rFonts w:ascii="Times New Roman" w:hAnsi="Times New Roman" w:cs="Times New Roman"/>
          <w:sz w:val="28"/>
          <w:szCs w:val="28"/>
        </w:rPr>
        <w:t>d</w:t>
      </w:r>
      <w:r w:rsidR="00377F2F">
        <w:rPr>
          <w:rFonts w:ascii="Times New Roman" w:hAnsi="Times New Roman" w:cs="Times New Roman"/>
          <w:sz w:val="28"/>
          <w:szCs w:val="28"/>
        </w:rPr>
        <w:t>a</w:t>
      </w:r>
      <w:r>
        <w:rPr>
          <w:rFonts w:ascii="Times New Roman" w:hAnsi="Times New Roman" w:cs="Times New Roman"/>
          <w:sz w:val="28"/>
          <w:szCs w:val="28"/>
        </w:rPr>
        <w:t>ll’ultimo anno.</w:t>
      </w:r>
      <w:r w:rsidR="00377F2F">
        <w:rPr>
          <w:rFonts w:ascii="Times New Roman" w:hAnsi="Times New Roman" w:cs="Times New Roman"/>
          <w:sz w:val="28"/>
          <w:szCs w:val="28"/>
        </w:rPr>
        <w:t xml:space="preserve"> E si procederà in maniera sintetica per non togliere tempo ai successivi relatori i quali affronteranno </w:t>
      </w:r>
      <w:r w:rsidR="00377F2F" w:rsidRPr="00377F2F">
        <w:rPr>
          <w:rFonts w:ascii="Times New Roman" w:hAnsi="Times New Roman" w:cs="Times New Roman"/>
          <w:i/>
          <w:sz w:val="28"/>
          <w:szCs w:val="28"/>
        </w:rPr>
        <w:t>funditus</w:t>
      </w:r>
      <w:r w:rsidR="00377F2F">
        <w:rPr>
          <w:rFonts w:ascii="Times New Roman" w:hAnsi="Times New Roman" w:cs="Times New Roman"/>
          <w:sz w:val="28"/>
          <w:szCs w:val="28"/>
        </w:rPr>
        <w:t xml:space="preserve"> le singole tematiche.</w:t>
      </w:r>
    </w:p>
    <w:p w:rsidR="00936D15" w:rsidRDefault="00936D15" w:rsidP="007E753A">
      <w:pPr>
        <w:spacing w:line="240" w:lineRule="auto"/>
        <w:jc w:val="both"/>
        <w:rPr>
          <w:rFonts w:ascii="Times New Roman" w:hAnsi="Times New Roman" w:cs="Times New Roman"/>
          <w:sz w:val="28"/>
          <w:szCs w:val="28"/>
        </w:rPr>
      </w:pPr>
    </w:p>
    <w:p w:rsidR="009C4C8B" w:rsidRPr="009C4C8B" w:rsidRDefault="00E04E19" w:rsidP="007E753A">
      <w:pPr>
        <w:spacing w:line="240" w:lineRule="auto"/>
        <w:jc w:val="both"/>
        <w:rPr>
          <w:rFonts w:ascii="Times New Roman" w:hAnsi="Times New Roman" w:cs="Times New Roman"/>
          <w:b/>
          <w:sz w:val="28"/>
          <w:szCs w:val="28"/>
        </w:rPr>
      </w:pPr>
      <w:r>
        <w:rPr>
          <w:rFonts w:ascii="Times New Roman" w:hAnsi="Times New Roman" w:cs="Times New Roman"/>
          <w:b/>
          <w:sz w:val="28"/>
          <w:szCs w:val="28"/>
        </w:rPr>
        <w:t>2. Novità legislative</w:t>
      </w:r>
      <w:r w:rsidR="009C4C8B" w:rsidRPr="009C4C8B">
        <w:rPr>
          <w:rFonts w:ascii="Times New Roman" w:hAnsi="Times New Roman" w:cs="Times New Roman"/>
          <w:b/>
          <w:sz w:val="28"/>
          <w:szCs w:val="28"/>
        </w:rPr>
        <w:t>.</w:t>
      </w:r>
    </w:p>
    <w:p w:rsidR="009C4C8B" w:rsidRDefault="00936D15" w:rsidP="007E753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Alcune novità sono state apportate dalla l. </w:t>
      </w:r>
      <w:r w:rsidR="00E04E19">
        <w:rPr>
          <w:rFonts w:ascii="Times New Roman" w:hAnsi="Times New Roman" w:cs="Times New Roman"/>
          <w:sz w:val="28"/>
          <w:szCs w:val="28"/>
        </w:rPr>
        <w:t xml:space="preserve">5 agosto 2022, </w:t>
      </w:r>
      <w:r>
        <w:rPr>
          <w:rFonts w:ascii="Times New Roman" w:hAnsi="Times New Roman" w:cs="Times New Roman"/>
          <w:sz w:val="28"/>
          <w:szCs w:val="28"/>
        </w:rPr>
        <w:t xml:space="preserve">n. 118 </w:t>
      </w:r>
      <w:r w:rsidRPr="00936D15">
        <w:rPr>
          <w:rFonts w:ascii="Times New Roman" w:hAnsi="Times New Roman" w:cs="Times New Roman"/>
          <w:sz w:val="28"/>
          <w:szCs w:val="28"/>
        </w:rPr>
        <w:t>(“Legge annuale per il mercato e la concorrenza 2021”)</w:t>
      </w:r>
      <w:r w:rsidR="00265C85">
        <w:rPr>
          <w:rFonts w:ascii="Times New Roman" w:hAnsi="Times New Roman" w:cs="Times New Roman"/>
          <w:sz w:val="28"/>
          <w:szCs w:val="28"/>
        </w:rPr>
        <w:t>.</w:t>
      </w:r>
    </w:p>
    <w:p w:rsidR="00733FC6" w:rsidRPr="00265C85" w:rsidRDefault="00265C85" w:rsidP="007E753A">
      <w:pPr>
        <w:spacing w:line="240" w:lineRule="auto"/>
        <w:jc w:val="both"/>
        <w:rPr>
          <w:rFonts w:ascii="Times New Roman" w:hAnsi="Times New Roman" w:cs="Times New Roman"/>
          <w:sz w:val="28"/>
          <w:szCs w:val="28"/>
        </w:rPr>
      </w:pPr>
      <w:r>
        <w:rPr>
          <w:rFonts w:ascii="Times New Roman" w:hAnsi="Times New Roman" w:cs="Times New Roman"/>
          <w:sz w:val="28"/>
          <w:szCs w:val="28"/>
        </w:rPr>
        <w:t>Si tratta del rafforzamento dei poteri istruttori dell’Autorità garante della concorrenza e del mercato (AGCM) i</w:t>
      </w:r>
      <w:r w:rsidR="00733FC6" w:rsidRPr="00265C85">
        <w:rPr>
          <w:rFonts w:ascii="Times New Roman" w:hAnsi="Times New Roman" w:cs="Times New Roman"/>
          <w:sz w:val="28"/>
          <w:szCs w:val="28"/>
        </w:rPr>
        <w:t>n tema di intese restrittive, di abuso di posizione dominante e di concentrazione tra imprese.</w:t>
      </w:r>
    </w:p>
    <w:p w:rsidR="00733FC6" w:rsidRDefault="00265C85" w:rsidP="007E753A">
      <w:pPr>
        <w:spacing w:line="240" w:lineRule="auto"/>
        <w:jc w:val="both"/>
        <w:rPr>
          <w:rFonts w:ascii="Times New Roman" w:hAnsi="Times New Roman" w:cs="Times New Roman"/>
          <w:sz w:val="28"/>
          <w:szCs w:val="28"/>
        </w:rPr>
      </w:pPr>
      <w:r>
        <w:rPr>
          <w:rFonts w:ascii="Times New Roman" w:hAnsi="Times New Roman" w:cs="Times New Roman"/>
          <w:sz w:val="28"/>
          <w:szCs w:val="28"/>
        </w:rPr>
        <w:t>L’art. 35, comma 1, lett. a) e b), della l. n. 118/2022 ha aggiunto i commi 2-bis e 2-ter, nonché l’art. 16-bis alla l. 10 ottobre 1990, n. 287.</w:t>
      </w:r>
    </w:p>
    <w:p w:rsidR="00265C85" w:rsidRPr="00265C85" w:rsidRDefault="00265C85" w:rsidP="007E753A">
      <w:pPr>
        <w:spacing w:line="240" w:lineRule="auto"/>
        <w:jc w:val="both"/>
        <w:rPr>
          <w:rFonts w:ascii="Times New Roman" w:hAnsi="Times New Roman" w:cs="Times New Roman"/>
          <w:sz w:val="28"/>
          <w:szCs w:val="28"/>
        </w:rPr>
      </w:pPr>
      <w:r>
        <w:rPr>
          <w:rFonts w:ascii="Times New Roman" w:hAnsi="Times New Roman" w:cs="Times New Roman"/>
          <w:sz w:val="28"/>
          <w:szCs w:val="28"/>
        </w:rPr>
        <w:t>Si prevede che “</w:t>
      </w:r>
      <w:r w:rsidR="00733FC6" w:rsidRPr="00265C85">
        <w:rPr>
          <w:rFonts w:ascii="Times New Roman" w:hAnsi="Times New Roman" w:cs="Times New Roman"/>
          <w:i/>
          <w:sz w:val="28"/>
          <w:szCs w:val="28"/>
        </w:rPr>
        <w:t>l'Autorità può in ogni momento richiedere a imprese e a enti che ne siano in possesso di fornire informazioni e di esibire documenti utili</w:t>
      </w:r>
      <w:r>
        <w:rPr>
          <w:rFonts w:ascii="Times New Roman" w:hAnsi="Times New Roman" w:cs="Times New Roman"/>
          <w:sz w:val="28"/>
          <w:szCs w:val="28"/>
        </w:rPr>
        <w:t>” (citato comma 2-bis) e che “</w:t>
      </w:r>
      <w:r w:rsidR="00733FC6" w:rsidRPr="00733FC6">
        <w:rPr>
          <w:rFonts w:ascii="Times New Roman" w:hAnsi="Times New Roman" w:cs="Times New Roman"/>
          <w:i/>
          <w:sz w:val="28"/>
          <w:szCs w:val="28"/>
        </w:rPr>
        <w:t xml:space="preserve">Con provvedimento </w:t>
      </w:r>
      <w:r w:rsidR="00733FC6" w:rsidRPr="00265C85">
        <w:rPr>
          <w:rFonts w:ascii="Times New Roman" w:hAnsi="Times New Roman" w:cs="Times New Roman"/>
          <w:i/>
          <w:sz w:val="28"/>
          <w:szCs w:val="28"/>
        </w:rPr>
        <w:t xml:space="preserve">dell'Autorità, i soggetti ai quali è richiesto di fornire o esibire gli elementi di cui al comma 2-bis sono sottoposti alle sanzioni amministrative pecuniarie di cui all'articolo 14, comma 5, se rifiutano od omettono di fornire le </w:t>
      </w:r>
      <w:r w:rsidR="00733FC6" w:rsidRPr="00265C85">
        <w:rPr>
          <w:rFonts w:ascii="Times New Roman" w:hAnsi="Times New Roman" w:cs="Times New Roman"/>
          <w:i/>
          <w:sz w:val="28"/>
          <w:szCs w:val="28"/>
        </w:rPr>
        <w:lastRenderedPageBreak/>
        <w:t>informazioni o di esibire i documenti richiesti ovvero se forniscono informazioni od esibiscono documenti non veritier</w:t>
      </w:r>
      <w:r>
        <w:rPr>
          <w:rFonts w:ascii="Times New Roman" w:hAnsi="Times New Roman" w:cs="Times New Roman"/>
          <w:i/>
          <w:sz w:val="28"/>
          <w:szCs w:val="28"/>
        </w:rPr>
        <w:t>i, senza giustificato motivo</w:t>
      </w:r>
      <w:r>
        <w:rPr>
          <w:rFonts w:ascii="Times New Roman" w:hAnsi="Times New Roman" w:cs="Times New Roman"/>
          <w:sz w:val="28"/>
          <w:szCs w:val="28"/>
        </w:rPr>
        <w:t>” (citato comma 2-ter).</w:t>
      </w:r>
    </w:p>
    <w:p w:rsidR="00733FC6" w:rsidRPr="00265C85" w:rsidRDefault="00265C85" w:rsidP="007E753A">
      <w:pPr>
        <w:spacing w:line="240" w:lineRule="auto"/>
        <w:jc w:val="both"/>
        <w:rPr>
          <w:rFonts w:ascii="Times New Roman" w:hAnsi="Times New Roman" w:cs="Times New Roman"/>
          <w:sz w:val="28"/>
          <w:szCs w:val="28"/>
        </w:rPr>
      </w:pPr>
      <w:r w:rsidRPr="00265C85">
        <w:rPr>
          <w:rFonts w:ascii="Times New Roman" w:hAnsi="Times New Roman" w:cs="Times New Roman"/>
          <w:sz w:val="28"/>
          <w:szCs w:val="28"/>
        </w:rPr>
        <w:t xml:space="preserve">Nello stesso senso dispone </w:t>
      </w:r>
      <w:r>
        <w:rPr>
          <w:rFonts w:ascii="Times New Roman" w:hAnsi="Times New Roman" w:cs="Times New Roman"/>
          <w:sz w:val="28"/>
          <w:szCs w:val="28"/>
        </w:rPr>
        <w:t xml:space="preserve">il nuovo </w:t>
      </w:r>
      <w:r w:rsidR="00733FC6" w:rsidRPr="00265C85">
        <w:rPr>
          <w:rFonts w:ascii="Times New Roman" w:hAnsi="Times New Roman" w:cs="Times New Roman"/>
          <w:sz w:val="28"/>
          <w:szCs w:val="28"/>
        </w:rPr>
        <w:t xml:space="preserve">art. 16-bis </w:t>
      </w:r>
      <w:r>
        <w:rPr>
          <w:rFonts w:ascii="Times New Roman" w:hAnsi="Times New Roman" w:cs="Times New Roman"/>
          <w:sz w:val="28"/>
          <w:szCs w:val="28"/>
        </w:rPr>
        <w:t xml:space="preserve">della </w:t>
      </w:r>
      <w:r w:rsidR="00733FC6" w:rsidRPr="00265C85">
        <w:rPr>
          <w:rFonts w:ascii="Times New Roman" w:hAnsi="Times New Roman" w:cs="Times New Roman"/>
          <w:sz w:val="28"/>
          <w:szCs w:val="28"/>
        </w:rPr>
        <w:t xml:space="preserve">l. n. 287/1990 </w:t>
      </w:r>
      <w:r>
        <w:rPr>
          <w:rFonts w:ascii="Times New Roman" w:hAnsi="Times New Roman" w:cs="Times New Roman"/>
          <w:sz w:val="28"/>
          <w:szCs w:val="28"/>
        </w:rPr>
        <w:t>in materia di concentrazioni tra imprese.</w:t>
      </w:r>
    </w:p>
    <w:p w:rsidR="00733FC6" w:rsidRDefault="00E04E19" w:rsidP="007E753A">
      <w:pPr>
        <w:spacing w:line="240" w:lineRule="auto"/>
        <w:jc w:val="both"/>
        <w:rPr>
          <w:rFonts w:ascii="Times New Roman" w:hAnsi="Times New Roman" w:cs="Times New Roman"/>
          <w:sz w:val="28"/>
          <w:szCs w:val="28"/>
        </w:rPr>
      </w:pPr>
      <w:r>
        <w:rPr>
          <w:rFonts w:ascii="Times New Roman" w:hAnsi="Times New Roman" w:cs="Times New Roman"/>
          <w:sz w:val="28"/>
          <w:szCs w:val="28"/>
        </w:rPr>
        <w:t>Sempre</w:t>
      </w:r>
      <w:r w:rsidR="0007312F">
        <w:rPr>
          <w:rFonts w:ascii="Times New Roman" w:hAnsi="Times New Roman" w:cs="Times New Roman"/>
          <w:sz w:val="28"/>
          <w:szCs w:val="28"/>
        </w:rPr>
        <w:t xml:space="preserve"> la l. n. 118/2022 (con l’art. 32) ha apportato alcune modifiche alla l. n. 287/1990 in tema di concentrazioni e ha previsto </w:t>
      </w:r>
      <w:r w:rsidR="007E753A">
        <w:rPr>
          <w:rFonts w:ascii="Times New Roman" w:hAnsi="Times New Roman" w:cs="Times New Roman"/>
          <w:sz w:val="28"/>
          <w:szCs w:val="28"/>
        </w:rPr>
        <w:t>una speciale</w:t>
      </w:r>
      <w:r w:rsidR="0007312F">
        <w:rPr>
          <w:rFonts w:ascii="Times New Roman" w:hAnsi="Times New Roman" w:cs="Times New Roman"/>
          <w:sz w:val="28"/>
          <w:szCs w:val="28"/>
        </w:rPr>
        <w:t xml:space="preserve"> procedura di transazione (</w:t>
      </w:r>
      <w:r>
        <w:rPr>
          <w:rFonts w:ascii="Times New Roman" w:hAnsi="Times New Roman" w:cs="Times New Roman"/>
          <w:sz w:val="28"/>
          <w:szCs w:val="28"/>
        </w:rPr>
        <w:t>art. 14-quater della l. n. 287/</w:t>
      </w:r>
      <w:r w:rsidR="0007312F">
        <w:rPr>
          <w:rFonts w:ascii="Times New Roman" w:hAnsi="Times New Roman" w:cs="Times New Roman"/>
          <w:sz w:val="28"/>
          <w:szCs w:val="28"/>
        </w:rPr>
        <w:t>1990 inserito dall’art. 34, comma 1, della l. n. 118/2022</w:t>
      </w:r>
      <w:r w:rsidR="007E753A">
        <w:rPr>
          <w:rFonts w:ascii="Times New Roman" w:hAnsi="Times New Roman" w:cs="Times New Roman"/>
          <w:sz w:val="28"/>
          <w:szCs w:val="28"/>
        </w:rPr>
        <w:t>)</w:t>
      </w:r>
      <w:r>
        <w:rPr>
          <w:rFonts w:ascii="Times New Roman" w:hAnsi="Times New Roman" w:cs="Times New Roman"/>
          <w:sz w:val="28"/>
          <w:szCs w:val="28"/>
        </w:rPr>
        <w:t>,</w:t>
      </w:r>
      <w:r w:rsidR="007E753A">
        <w:rPr>
          <w:rFonts w:ascii="Times New Roman" w:hAnsi="Times New Roman" w:cs="Times New Roman"/>
          <w:sz w:val="28"/>
          <w:szCs w:val="28"/>
        </w:rPr>
        <w:t xml:space="preserve"> stabilendone tempi, modalità ed effetti.</w:t>
      </w:r>
    </w:p>
    <w:p w:rsidR="0007312F" w:rsidRDefault="0007312F" w:rsidP="007E753A">
      <w:pPr>
        <w:spacing w:line="240" w:lineRule="auto"/>
        <w:jc w:val="both"/>
        <w:rPr>
          <w:rFonts w:ascii="Times New Roman" w:hAnsi="Times New Roman" w:cs="Times New Roman"/>
          <w:sz w:val="28"/>
          <w:szCs w:val="28"/>
        </w:rPr>
      </w:pPr>
    </w:p>
    <w:p w:rsidR="007E753A" w:rsidRPr="00733FC6" w:rsidRDefault="00E04E19" w:rsidP="007E753A">
      <w:pPr>
        <w:spacing w:line="240" w:lineRule="auto"/>
        <w:jc w:val="both"/>
        <w:rPr>
          <w:rFonts w:ascii="Times New Roman" w:hAnsi="Times New Roman" w:cs="Times New Roman"/>
          <w:sz w:val="28"/>
          <w:szCs w:val="28"/>
        </w:rPr>
      </w:pPr>
      <w:r>
        <w:rPr>
          <w:rFonts w:ascii="Times New Roman" w:hAnsi="Times New Roman" w:cs="Times New Roman"/>
          <w:b/>
          <w:sz w:val="28"/>
          <w:szCs w:val="28"/>
        </w:rPr>
        <w:t>3. Recenti sviluppi giurisprudenziali: in tema di intese anticoncorrenziali.</w:t>
      </w:r>
    </w:p>
    <w:p w:rsidR="007E753A" w:rsidRDefault="00272F7E" w:rsidP="007E753A">
      <w:pPr>
        <w:spacing w:line="240" w:lineRule="auto"/>
        <w:jc w:val="both"/>
        <w:rPr>
          <w:rFonts w:ascii="Times New Roman" w:hAnsi="Times New Roman" w:cs="Times New Roman"/>
          <w:sz w:val="28"/>
          <w:szCs w:val="28"/>
        </w:rPr>
      </w:pPr>
      <w:r w:rsidRPr="00272F7E">
        <w:rPr>
          <w:rFonts w:ascii="Times New Roman" w:hAnsi="Times New Roman" w:cs="Times New Roman"/>
          <w:b/>
          <w:sz w:val="28"/>
          <w:szCs w:val="28"/>
        </w:rPr>
        <w:t>3.1.</w:t>
      </w:r>
      <w:r>
        <w:rPr>
          <w:rFonts w:ascii="Times New Roman" w:hAnsi="Times New Roman" w:cs="Times New Roman"/>
          <w:sz w:val="28"/>
          <w:szCs w:val="28"/>
        </w:rPr>
        <w:t xml:space="preserve"> </w:t>
      </w:r>
      <w:r w:rsidR="005D01B6">
        <w:rPr>
          <w:rFonts w:ascii="Times New Roman" w:hAnsi="Times New Roman" w:cs="Times New Roman"/>
          <w:sz w:val="28"/>
          <w:szCs w:val="28"/>
        </w:rPr>
        <w:t xml:space="preserve">Nell’ambito </w:t>
      </w:r>
      <w:r w:rsidR="004951B0" w:rsidRPr="007201E8">
        <w:rPr>
          <w:rFonts w:ascii="Times New Roman" w:hAnsi="Times New Roman" w:cs="Times New Roman"/>
          <w:sz w:val="28"/>
          <w:szCs w:val="28"/>
        </w:rPr>
        <w:t>di due intese anticoncorrenziali realizzate attraverso il coordinamento dell’associazione di categoria GIFCO</w:t>
      </w:r>
      <w:r w:rsidR="007E753A">
        <w:rPr>
          <w:rFonts w:ascii="Times New Roman" w:hAnsi="Times New Roman" w:cs="Times New Roman"/>
          <w:sz w:val="28"/>
          <w:szCs w:val="28"/>
        </w:rPr>
        <w:t xml:space="preserve"> (</w:t>
      </w:r>
      <w:r w:rsidR="004951B0" w:rsidRPr="007201E8">
        <w:rPr>
          <w:rFonts w:ascii="Times New Roman" w:hAnsi="Times New Roman" w:cs="Times New Roman"/>
          <w:sz w:val="28"/>
          <w:szCs w:val="28"/>
        </w:rPr>
        <w:t>la prima</w:t>
      </w:r>
      <w:r w:rsidR="00DD6DBA">
        <w:rPr>
          <w:rFonts w:ascii="Times New Roman" w:hAnsi="Times New Roman" w:cs="Times New Roman"/>
          <w:sz w:val="28"/>
          <w:szCs w:val="28"/>
        </w:rPr>
        <w:t>,</w:t>
      </w:r>
      <w:r w:rsidR="004951B0" w:rsidRPr="007201E8">
        <w:rPr>
          <w:rFonts w:ascii="Times New Roman" w:hAnsi="Times New Roman" w:cs="Times New Roman"/>
          <w:sz w:val="28"/>
          <w:szCs w:val="28"/>
        </w:rPr>
        <w:t xml:space="preserve"> volta a limitare il confronto competitivo tra gli operatori nel mercato della produzione e commercializzazione di fogli in cartone ondulato; l’altra</w:t>
      </w:r>
      <w:r w:rsidR="00DD6DBA">
        <w:rPr>
          <w:rFonts w:ascii="Times New Roman" w:hAnsi="Times New Roman" w:cs="Times New Roman"/>
          <w:sz w:val="28"/>
          <w:szCs w:val="28"/>
        </w:rPr>
        <w:t>,</w:t>
      </w:r>
      <w:r w:rsidR="004951B0" w:rsidRPr="007201E8">
        <w:rPr>
          <w:rFonts w:ascii="Times New Roman" w:hAnsi="Times New Roman" w:cs="Times New Roman"/>
          <w:sz w:val="28"/>
          <w:szCs w:val="28"/>
        </w:rPr>
        <w:t xml:space="preserve"> volta a limitare il confronto competitivo nel diverso mercato della produzione e commercializzazione di</w:t>
      </w:r>
      <w:r w:rsidR="007E753A">
        <w:rPr>
          <w:rFonts w:ascii="Times New Roman" w:hAnsi="Times New Roman" w:cs="Times New Roman"/>
          <w:sz w:val="28"/>
          <w:szCs w:val="28"/>
        </w:rPr>
        <w:t xml:space="preserve"> imballaggi in cartone ondulato)</w:t>
      </w:r>
      <w:r w:rsidR="005D01B6">
        <w:rPr>
          <w:rFonts w:ascii="Times New Roman" w:hAnsi="Times New Roman" w:cs="Times New Roman"/>
          <w:sz w:val="28"/>
          <w:szCs w:val="28"/>
        </w:rPr>
        <w:t>,</w:t>
      </w:r>
      <w:r w:rsidR="007E753A">
        <w:rPr>
          <w:rFonts w:ascii="Times New Roman" w:hAnsi="Times New Roman" w:cs="Times New Roman"/>
          <w:sz w:val="28"/>
          <w:szCs w:val="28"/>
        </w:rPr>
        <w:t xml:space="preserve"> il Consiglio di Stato (sez. VI, 22 marzo 2023, n. 2929) ha ribadito </w:t>
      </w:r>
      <w:r w:rsidR="004951B0" w:rsidRPr="007E753A">
        <w:rPr>
          <w:rFonts w:ascii="Times New Roman" w:hAnsi="Times New Roman" w:cs="Times New Roman"/>
          <w:sz w:val="28"/>
          <w:szCs w:val="28"/>
        </w:rPr>
        <w:t>principi già affermati dall</w:t>
      </w:r>
      <w:r w:rsidR="007E753A">
        <w:rPr>
          <w:rFonts w:ascii="Times New Roman" w:hAnsi="Times New Roman" w:cs="Times New Roman"/>
          <w:sz w:val="28"/>
          <w:szCs w:val="28"/>
        </w:rPr>
        <w:t xml:space="preserve">a </w:t>
      </w:r>
      <w:r w:rsidR="00DD6DBA">
        <w:rPr>
          <w:rFonts w:ascii="Times New Roman" w:hAnsi="Times New Roman" w:cs="Times New Roman"/>
          <w:sz w:val="28"/>
          <w:szCs w:val="28"/>
        </w:rPr>
        <w:t>propria giurisprudenza</w:t>
      </w:r>
      <w:r w:rsidR="007E753A">
        <w:rPr>
          <w:rFonts w:ascii="Times New Roman" w:hAnsi="Times New Roman" w:cs="Times New Roman"/>
          <w:sz w:val="28"/>
          <w:szCs w:val="28"/>
        </w:rPr>
        <w:t>.</w:t>
      </w:r>
    </w:p>
    <w:p w:rsidR="004951B0" w:rsidRPr="007E753A" w:rsidRDefault="007E753A" w:rsidP="007E753A">
      <w:pPr>
        <w:spacing w:line="240" w:lineRule="auto"/>
        <w:jc w:val="both"/>
        <w:rPr>
          <w:rFonts w:ascii="Times New Roman" w:hAnsi="Times New Roman" w:cs="Times New Roman"/>
          <w:sz w:val="28"/>
          <w:szCs w:val="28"/>
        </w:rPr>
      </w:pPr>
      <w:r>
        <w:rPr>
          <w:rFonts w:ascii="Times New Roman" w:hAnsi="Times New Roman" w:cs="Times New Roman"/>
          <w:sz w:val="28"/>
          <w:szCs w:val="28"/>
        </w:rPr>
        <w:t>I</w:t>
      </w:r>
      <w:r w:rsidR="004951B0" w:rsidRPr="007E753A">
        <w:rPr>
          <w:rFonts w:ascii="Times New Roman" w:hAnsi="Times New Roman" w:cs="Times New Roman"/>
          <w:sz w:val="28"/>
          <w:szCs w:val="28"/>
        </w:rPr>
        <w:t>n tema di:</w:t>
      </w:r>
    </w:p>
    <w:p w:rsidR="009360B0" w:rsidRDefault="00272F7E" w:rsidP="007E753A">
      <w:pPr>
        <w:spacing w:line="240" w:lineRule="auto"/>
        <w:jc w:val="both"/>
        <w:rPr>
          <w:rFonts w:ascii="Times New Roman" w:hAnsi="Times New Roman" w:cs="Times New Roman"/>
          <w:sz w:val="28"/>
          <w:szCs w:val="28"/>
        </w:rPr>
      </w:pPr>
      <w:r>
        <w:rPr>
          <w:rFonts w:ascii="Times New Roman" w:hAnsi="Times New Roman" w:cs="Times New Roman"/>
          <w:sz w:val="28"/>
          <w:szCs w:val="28"/>
        </w:rPr>
        <w:t>a</w:t>
      </w:r>
      <w:r w:rsidR="007E753A">
        <w:rPr>
          <w:rFonts w:ascii="Times New Roman" w:hAnsi="Times New Roman" w:cs="Times New Roman"/>
          <w:sz w:val="28"/>
          <w:szCs w:val="28"/>
        </w:rPr>
        <w:t>) r</w:t>
      </w:r>
      <w:r w:rsidR="009360B0" w:rsidRPr="007E753A">
        <w:rPr>
          <w:rFonts w:ascii="Times New Roman" w:hAnsi="Times New Roman" w:cs="Times New Roman"/>
          <w:sz w:val="28"/>
          <w:szCs w:val="28"/>
        </w:rPr>
        <w:t xml:space="preserve">ealizzazione della </w:t>
      </w:r>
      <w:r w:rsidR="007E753A">
        <w:rPr>
          <w:rFonts w:ascii="Times New Roman" w:hAnsi="Times New Roman" w:cs="Times New Roman"/>
          <w:sz w:val="28"/>
          <w:szCs w:val="28"/>
        </w:rPr>
        <w:t>condotta</w:t>
      </w:r>
      <w:r w:rsidR="007E753A">
        <w:rPr>
          <w:rStyle w:val="Rimandonotaapidipagina"/>
          <w:rFonts w:ascii="Times New Roman" w:hAnsi="Times New Roman" w:cs="Times New Roman"/>
          <w:sz w:val="28"/>
          <w:szCs w:val="28"/>
        </w:rPr>
        <w:footnoteReference w:id="2"/>
      </w:r>
      <w:r w:rsidR="007E753A">
        <w:rPr>
          <w:rFonts w:ascii="Times New Roman" w:hAnsi="Times New Roman" w:cs="Times New Roman"/>
          <w:sz w:val="28"/>
          <w:szCs w:val="28"/>
        </w:rPr>
        <w:t>;</w:t>
      </w:r>
    </w:p>
    <w:p w:rsidR="004951B0" w:rsidRDefault="00272F7E" w:rsidP="007E753A">
      <w:pPr>
        <w:spacing w:line="240" w:lineRule="auto"/>
        <w:jc w:val="both"/>
        <w:rPr>
          <w:rFonts w:ascii="Times New Roman" w:hAnsi="Times New Roman" w:cs="Times New Roman"/>
          <w:bCs/>
          <w:sz w:val="28"/>
          <w:szCs w:val="28"/>
        </w:rPr>
      </w:pPr>
      <w:r>
        <w:rPr>
          <w:rFonts w:ascii="Times New Roman" w:hAnsi="Times New Roman" w:cs="Times New Roman"/>
          <w:sz w:val="28"/>
          <w:szCs w:val="28"/>
        </w:rPr>
        <w:t>b</w:t>
      </w:r>
      <w:r w:rsidR="007E753A" w:rsidRPr="007E753A">
        <w:rPr>
          <w:rFonts w:ascii="Times New Roman" w:hAnsi="Times New Roman" w:cs="Times New Roman"/>
          <w:sz w:val="28"/>
          <w:szCs w:val="28"/>
        </w:rPr>
        <w:t xml:space="preserve">) </w:t>
      </w:r>
      <w:r w:rsidR="007E753A">
        <w:rPr>
          <w:rFonts w:ascii="Times New Roman" w:hAnsi="Times New Roman" w:cs="Times New Roman"/>
          <w:bCs/>
          <w:sz w:val="28"/>
          <w:szCs w:val="28"/>
        </w:rPr>
        <w:t>qualificazione della fattispecie</w:t>
      </w:r>
      <w:r w:rsidR="007E753A">
        <w:rPr>
          <w:rStyle w:val="Rimandonotaapidipagina"/>
          <w:rFonts w:ascii="Times New Roman" w:hAnsi="Times New Roman" w:cs="Times New Roman"/>
          <w:bCs/>
          <w:sz w:val="28"/>
          <w:szCs w:val="28"/>
        </w:rPr>
        <w:footnoteReference w:id="3"/>
      </w:r>
      <w:r w:rsidR="007E753A">
        <w:rPr>
          <w:rFonts w:ascii="Times New Roman" w:hAnsi="Times New Roman" w:cs="Times New Roman"/>
          <w:bCs/>
          <w:sz w:val="28"/>
          <w:szCs w:val="28"/>
        </w:rPr>
        <w:t>;</w:t>
      </w:r>
    </w:p>
    <w:p w:rsidR="004951B0" w:rsidRPr="007E753A" w:rsidRDefault="00272F7E" w:rsidP="007E753A">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c</w:t>
      </w:r>
      <w:r w:rsidR="007E753A" w:rsidRPr="007E753A">
        <w:rPr>
          <w:rFonts w:ascii="Times New Roman" w:hAnsi="Times New Roman" w:cs="Times New Roman"/>
          <w:bCs/>
          <w:sz w:val="28"/>
          <w:szCs w:val="28"/>
        </w:rPr>
        <w:t xml:space="preserve">) </w:t>
      </w:r>
      <w:r w:rsidR="007E753A">
        <w:rPr>
          <w:rFonts w:ascii="Times New Roman" w:hAnsi="Times New Roman" w:cs="Times New Roman"/>
          <w:bCs/>
          <w:sz w:val="28"/>
          <w:szCs w:val="28"/>
        </w:rPr>
        <w:t>onere probatorio</w:t>
      </w:r>
      <w:r w:rsidR="00E652B2">
        <w:rPr>
          <w:rStyle w:val="Rimandonotaapidipagina"/>
          <w:rFonts w:ascii="Times New Roman" w:hAnsi="Times New Roman" w:cs="Times New Roman"/>
          <w:bCs/>
          <w:sz w:val="28"/>
          <w:szCs w:val="28"/>
        </w:rPr>
        <w:footnoteReference w:id="4"/>
      </w:r>
      <w:r w:rsidR="007E753A">
        <w:rPr>
          <w:rFonts w:ascii="Times New Roman" w:hAnsi="Times New Roman" w:cs="Times New Roman"/>
          <w:bCs/>
          <w:sz w:val="28"/>
          <w:szCs w:val="28"/>
        </w:rPr>
        <w:t>;</w:t>
      </w:r>
    </w:p>
    <w:p w:rsidR="009360B0" w:rsidRPr="007201E8" w:rsidRDefault="00272F7E" w:rsidP="007E753A">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d</w:t>
      </w:r>
      <w:r w:rsidR="00E652B2">
        <w:rPr>
          <w:rFonts w:ascii="Times New Roman" w:hAnsi="Times New Roman" w:cs="Times New Roman"/>
          <w:bCs/>
          <w:sz w:val="28"/>
          <w:szCs w:val="28"/>
        </w:rPr>
        <w:t>) q</w:t>
      </w:r>
      <w:r w:rsidR="009360B0" w:rsidRPr="007201E8">
        <w:rPr>
          <w:rFonts w:ascii="Times New Roman" w:hAnsi="Times New Roman" w:cs="Times New Roman"/>
          <w:bCs/>
          <w:sz w:val="28"/>
          <w:szCs w:val="28"/>
        </w:rPr>
        <w:t>uantificazione della sanzione.</w:t>
      </w:r>
    </w:p>
    <w:p w:rsidR="005D01B6" w:rsidRDefault="00272F7E" w:rsidP="007E753A">
      <w:pPr>
        <w:spacing w:line="240" w:lineRule="auto"/>
        <w:jc w:val="both"/>
        <w:rPr>
          <w:rFonts w:ascii="Times New Roman" w:hAnsi="Times New Roman" w:cs="Times New Roman"/>
          <w:bCs/>
          <w:iCs/>
          <w:sz w:val="28"/>
          <w:szCs w:val="28"/>
        </w:rPr>
      </w:pPr>
      <w:r w:rsidRPr="00272F7E">
        <w:rPr>
          <w:rFonts w:ascii="Times New Roman" w:hAnsi="Times New Roman" w:cs="Times New Roman"/>
          <w:b/>
          <w:sz w:val="28"/>
          <w:szCs w:val="28"/>
        </w:rPr>
        <w:lastRenderedPageBreak/>
        <w:t>3.2.</w:t>
      </w:r>
      <w:r>
        <w:rPr>
          <w:rFonts w:ascii="Times New Roman" w:hAnsi="Times New Roman" w:cs="Times New Roman"/>
          <w:sz w:val="28"/>
          <w:szCs w:val="28"/>
        </w:rPr>
        <w:t xml:space="preserve"> </w:t>
      </w:r>
      <w:r w:rsidR="005D01B6">
        <w:rPr>
          <w:rFonts w:ascii="Times New Roman" w:hAnsi="Times New Roman" w:cs="Times New Roman"/>
          <w:sz w:val="28"/>
          <w:szCs w:val="28"/>
        </w:rPr>
        <w:t xml:space="preserve">Con riguardo alla responsabilità singola e collettiva nelle </w:t>
      </w:r>
      <w:r w:rsidR="00562DD2" w:rsidRPr="005D01B6">
        <w:rPr>
          <w:rFonts w:ascii="Times New Roman" w:hAnsi="Times New Roman" w:cs="Times New Roman"/>
          <w:bCs/>
          <w:sz w:val="28"/>
          <w:szCs w:val="28"/>
        </w:rPr>
        <w:t>i</w:t>
      </w:r>
      <w:r w:rsidR="004652B4" w:rsidRPr="005D01B6">
        <w:rPr>
          <w:rFonts w:ascii="Times New Roman" w:hAnsi="Times New Roman" w:cs="Times New Roman"/>
          <w:bCs/>
          <w:sz w:val="28"/>
          <w:szCs w:val="28"/>
        </w:rPr>
        <w:t>ntese anticoncorrenziali in materia di appalti</w:t>
      </w:r>
      <w:r w:rsidR="00DD6DBA">
        <w:rPr>
          <w:rFonts w:ascii="Times New Roman" w:hAnsi="Times New Roman" w:cs="Times New Roman"/>
          <w:bCs/>
          <w:sz w:val="28"/>
          <w:szCs w:val="28"/>
        </w:rPr>
        <w:t xml:space="preserve"> e a</w:t>
      </w:r>
      <w:r w:rsidR="005D01B6">
        <w:rPr>
          <w:rFonts w:ascii="Times New Roman" w:hAnsi="Times New Roman" w:cs="Times New Roman"/>
          <w:bCs/>
          <w:sz w:val="28"/>
          <w:szCs w:val="28"/>
        </w:rPr>
        <w:t xml:space="preserve">l conseguente onere della prova a carico dell’AGCM, si consolidano i principi </w:t>
      </w:r>
      <w:r w:rsidR="00E04E19">
        <w:rPr>
          <w:rFonts w:ascii="Times New Roman" w:hAnsi="Times New Roman" w:cs="Times New Roman"/>
          <w:bCs/>
          <w:sz w:val="28"/>
          <w:szCs w:val="28"/>
        </w:rPr>
        <w:t>affermati da</w:t>
      </w:r>
      <w:r w:rsidR="005D01B6">
        <w:rPr>
          <w:rFonts w:ascii="Times New Roman" w:hAnsi="Times New Roman" w:cs="Times New Roman"/>
          <w:bCs/>
          <w:sz w:val="28"/>
          <w:szCs w:val="28"/>
        </w:rPr>
        <w:t>lla giurisprudenza della sez. VI del Consiglio di Stato (</w:t>
      </w:r>
      <w:r w:rsidR="00204A83" w:rsidRPr="005D01B6">
        <w:rPr>
          <w:rFonts w:ascii="Times New Roman" w:hAnsi="Times New Roman" w:cs="Times New Roman"/>
          <w:bCs/>
          <w:iCs/>
          <w:sz w:val="28"/>
          <w:szCs w:val="28"/>
        </w:rPr>
        <w:t>30 marzo 2023, n. 3312</w:t>
      </w:r>
      <w:r w:rsidR="005D01B6">
        <w:rPr>
          <w:rFonts w:ascii="Times New Roman" w:hAnsi="Times New Roman" w:cs="Times New Roman"/>
          <w:bCs/>
          <w:iCs/>
          <w:sz w:val="28"/>
          <w:szCs w:val="28"/>
        </w:rPr>
        <w:t xml:space="preserve"> e 30 settembre 2022, n. 8400), ribaditi, tra l’altro, dalla Corte di Giustizia dell’Unione europea (CGUE).</w:t>
      </w:r>
    </w:p>
    <w:p w:rsidR="00562DD2" w:rsidRDefault="005D01B6" w:rsidP="007E753A">
      <w:pPr>
        <w:spacing w:line="240" w:lineRule="auto"/>
        <w:jc w:val="both"/>
        <w:rPr>
          <w:rFonts w:ascii="Times New Roman" w:hAnsi="Times New Roman" w:cs="Times New Roman"/>
          <w:bCs/>
          <w:iCs/>
          <w:sz w:val="28"/>
          <w:szCs w:val="28"/>
        </w:rPr>
      </w:pPr>
      <w:r>
        <w:rPr>
          <w:rFonts w:ascii="Times New Roman" w:hAnsi="Times New Roman" w:cs="Times New Roman"/>
          <w:bCs/>
          <w:iCs/>
          <w:sz w:val="28"/>
          <w:szCs w:val="28"/>
        </w:rPr>
        <w:t>Secondo la prima sentenza citata, “…</w:t>
      </w:r>
      <w:r w:rsidR="00562DD2" w:rsidRPr="005D01B6">
        <w:rPr>
          <w:rFonts w:ascii="Times New Roman" w:hAnsi="Times New Roman" w:cs="Times New Roman"/>
          <w:bCs/>
          <w:i/>
          <w:iCs/>
          <w:sz w:val="28"/>
          <w:szCs w:val="28"/>
        </w:rPr>
        <w:t>una volta dimostrata l'esistenza di un piano di insieme e di un comune obiettivo anticoncorrenziale, l'Autorità non è tenuta a dimostrare l'illiceità di ogni singola condotta. Sotto altro</w:t>
      </w:r>
      <w:r w:rsidR="00562DD2" w:rsidRPr="007201E8">
        <w:rPr>
          <w:rFonts w:ascii="Times New Roman" w:hAnsi="Times New Roman" w:cs="Times New Roman"/>
          <w:b/>
          <w:bCs/>
          <w:i/>
          <w:iCs/>
          <w:sz w:val="28"/>
          <w:szCs w:val="28"/>
        </w:rPr>
        <w:t xml:space="preserve"> </w:t>
      </w:r>
      <w:r w:rsidR="00562DD2" w:rsidRPr="005D01B6">
        <w:rPr>
          <w:rFonts w:ascii="Times New Roman" w:hAnsi="Times New Roman" w:cs="Times New Roman"/>
          <w:bCs/>
          <w:i/>
          <w:iCs/>
          <w:sz w:val="28"/>
          <w:szCs w:val="28"/>
        </w:rPr>
        <w:t>profilo, un'impresa che abbia partecipato a una tale infrazione unica e complessa può essere ritenuta responsabile anche dei comportamenti attuati da altre imprese nell'ambito della medesima infrazione per tutto il periodo della sua partecipazione alla stessa (sentenza della Corte di Giustizia UE 6 dicem</w:t>
      </w:r>
      <w:r>
        <w:rPr>
          <w:rFonts w:ascii="Times New Roman" w:hAnsi="Times New Roman" w:cs="Times New Roman"/>
          <w:bCs/>
          <w:i/>
          <w:iCs/>
          <w:sz w:val="28"/>
          <w:szCs w:val="28"/>
        </w:rPr>
        <w:t>bre 2012, C 441/11 P, punto 42)”</w:t>
      </w:r>
      <w:r>
        <w:rPr>
          <w:rFonts w:ascii="Times New Roman" w:hAnsi="Times New Roman" w:cs="Times New Roman"/>
          <w:bCs/>
          <w:iCs/>
          <w:sz w:val="28"/>
          <w:szCs w:val="28"/>
        </w:rPr>
        <w:t>.</w:t>
      </w:r>
    </w:p>
    <w:p w:rsidR="00204A83" w:rsidRPr="007201E8" w:rsidRDefault="005D01B6" w:rsidP="007E753A">
      <w:pPr>
        <w:spacing w:line="240" w:lineRule="auto"/>
        <w:jc w:val="both"/>
        <w:rPr>
          <w:rFonts w:ascii="Times New Roman" w:hAnsi="Times New Roman" w:cs="Times New Roman"/>
          <w:sz w:val="28"/>
          <w:szCs w:val="28"/>
        </w:rPr>
      </w:pPr>
      <w:r>
        <w:rPr>
          <w:rFonts w:ascii="Times New Roman" w:hAnsi="Times New Roman" w:cs="Times New Roman"/>
          <w:bCs/>
          <w:iCs/>
          <w:sz w:val="28"/>
          <w:szCs w:val="28"/>
        </w:rPr>
        <w:t>Secondo la seconda più risalente sentenza</w:t>
      </w:r>
      <w:r w:rsidR="00DD6DBA">
        <w:rPr>
          <w:rFonts w:ascii="Times New Roman" w:hAnsi="Times New Roman" w:cs="Times New Roman"/>
          <w:bCs/>
          <w:iCs/>
          <w:sz w:val="28"/>
          <w:szCs w:val="28"/>
        </w:rPr>
        <w:t>,</w:t>
      </w:r>
      <w:r>
        <w:rPr>
          <w:rFonts w:ascii="Times New Roman" w:hAnsi="Times New Roman" w:cs="Times New Roman"/>
          <w:bCs/>
          <w:iCs/>
          <w:sz w:val="28"/>
          <w:szCs w:val="28"/>
        </w:rPr>
        <w:t xml:space="preserve"> </w:t>
      </w:r>
      <w:r w:rsidR="00204A83" w:rsidRPr="00204A83">
        <w:rPr>
          <w:rFonts w:ascii="Times New Roman" w:hAnsi="Times New Roman" w:cs="Times New Roman"/>
          <w:i/>
          <w:iCs/>
          <w:sz w:val="28"/>
          <w:szCs w:val="28"/>
        </w:rPr>
        <w:t xml:space="preserve">“Con riferimento alle intese restrittive della concorrenza, in presenza di un illecito collusivo ripetuto da imprese diverse per un </w:t>
      </w:r>
      <w:r w:rsidR="00204A83" w:rsidRPr="007201E8">
        <w:rPr>
          <w:rFonts w:ascii="Times New Roman" w:hAnsi="Times New Roman" w:cs="Times New Roman"/>
          <w:i/>
          <w:iCs/>
          <w:sz w:val="28"/>
          <w:szCs w:val="28"/>
        </w:rPr>
        <w:t>certo periodo di tempo, la caratterizzazione della violazione come una singola collusione comporta che un partecipante viene ritenuto responsabile per tutte le azioni del cartello, anche se non abbia preso personalmente parte alla totalità di esse”</w:t>
      </w:r>
      <w:r w:rsidR="00204A83" w:rsidRPr="007201E8">
        <w:rPr>
          <w:rFonts w:ascii="Times New Roman" w:hAnsi="Times New Roman" w:cs="Times New Roman"/>
          <w:sz w:val="28"/>
          <w:szCs w:val="28"/>
        </w:rPr>
        <w:t>.</w:t>
      </w:r>
    </w:p>
    <w:p w:rsidR="00204A83" w:rsidRDefault="00272F7E" w:rsidP="007E753A">
      <w:pPr>
        <w:spacing w:line="240" w:lineRule="auto"/>
        <w:jc w:val="both"/>
        <w:rPr>
          <w:rFonts w:ascii="Times New Roman" w:hAnsi="Times New Roman" w:cs="Times New Roman"/>
          <w:sz w:val="28"/>
          <w:szCs w:val="28"/>
        </w:rPr>
      </w:pPr>
      <w:r w:rsidRPr="00272F7E">
        <w:rPr>
          <w:rFonts w:ascii="Times New Roman" w:hAnsi="Times New Roman" w:cs="Times New Roman"/>
          <w:b/>
          <w:sz w:val="28"/>
          <w:szCs w:val="28"/>
        </w:rPr>
        <w:t>3.3.</w:t>
      </w:r>
      <w:r>
        <w:rPr>
          <w:rFonts w:ascii="Times New Roman" w:hAnsi="Times New Roman" w:cs="Times New Roman"/>
          <w:sz w:val="28"/>
          <w:szCs w:val="28"/>
        </w:rPr>
        <w:t xml:space="preserve"> Quanto agli effetti delle intese anticoncorrenziali e delle decisioni definitive </w:t>
      </w:r>
      <w:r w:rsidR="00DD6DBA">
        <w:rPr>
          <w:rFonts w:ascii="Times New Roman" w:hAnsi="Times New Roman" w:cs="Times New Roman"/>
          <w:sz w:val="28"/>
          <w:szCs w:val="28"/>
        </w:rPr>
        <w:t>delle autorità nazionali garanti</w:t>
      </w:r>
      <w:r>
        <w:rPr>
          <w:rFonts w:ascii="Times New Roman" w:hAnsi="Times New Roman" w:cs="Times New Roman"/>
          <w:sz w:val="28"/>
          <w:szCs w:val="28"/>
        </w:rPr>
        <w:t xml:space="preserve"> della concorrenza, secondo CGUE 20 aprile 2023, n. 25:</w:t>
      </w:r>
    </w:p>
    <w:p w:rsidR="001E0518" w:rsidRPr="001E0518" w:rsidRDefault="00272F7E" w:rsidP="007E753A">
      <w:pPr>
        <w:spacing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a) </w:t>
      </w:r>
      <w:r w:rsidR="00DD6DBA">
        <w:rPr>
          <w:rFonts w:ascii="Times New Roman" w:hAnsi="Times New Roman" w:cs="Times New Roman"/>
          <w:bCs/>
          <w:sz w:val="28"/>
          <w:szCs w:val="28"/>
        </w:rPr>
        <w:t>l</w:t>
      </w:r>
      <w:r w:rsidR="001E0518" w:rsidRPr="00272F7E">
        <w:rPr>
          <w:rFonts w:ascii="Times New Roman" w:hAnsi="Times New Roman" w:cs="Times New Roman"/>
          <w:bCs/>
          <w:sz w:val="28"/>
          <w:szCs w:val="28"/>
        </w:rPr>
        <w:t xml:space="preserve">a presenza di intese anticoncorrenziali porta alla nullità dell'intero accordo in cui sono </w:t>
      </w:r>
      <w:r w:rsidR="00460252" w:rsidRPr="00272F7E">
        <w:rPr>
          <w:rFonts w:ascii="Times New Roman" w:hAnsi="Times New Roman" w:cs="Times New Roman"/>
          <w:bCs/>
          <w:sz w:val="28"/>
          <w:szCs w:val="28"/>
        </w:rPr>
        <w:t>rip</w:t>
      </w:r>
      <w:r>
        <w:rPr>
          <w:rFonts w:ascii="Times New Roman" w:hAnsi="Times New Roman" w:cs="Times New Roman"/>
          <w:bCs/>
          <w:sz w:val="28"/>
          <w:szCs w:val="28"/>
        </w:rPr>
        <w:t>ortate</w:t>
      </w:r>
      <w:r>
        <w:rPr>
          <w:rStyle w:val="Rimandonotaapidipagina"/>
          <w:rFonts w:ascii="Times New Roman" w:hAnsi="Times New Roman" w:cs="Times New Roman"/>
          <w:bCs/>
          <w:sz w:val="28"/>
          <w:szCs w:val="28"/>
        </w:rPr>
        <w:footnoteReference w:id="5"/>
      </w:r>
      <w:r>
        <w:rPr>
          <w:rFonts w:ascii="Times New Roman" w:hAnsi="Times New Roman" w:cs="Times New Roman"/>
          <w:bCs/>
          <w:sz w:val="28"/>
          <w:szCs w:val="28"/>
        </w:rPr>
        <w:t>;</w:t>
      </w:r>
    </w:p>
    <w:p w:rsidR="001E0518" w:rsidRDefault="00272F7E" w:rsidP="007E753A">
      <w:pPr>
        <w:spacing w:line="240" w:lineRule="auto"/>
        <w:jc w:val="both"/>
        <w:rPr>
          <w:rFonts w:ascii="Times New Roman" w:hAnsi="Times New Roman" w:cs="Times New Roman"/>
          <w:bCs/>
          <w:sz w:val="28"/>
          <w:szCs w:val="28"/>
        </w:rPr>
      </w:pPr>
      <w:r w:rsidRPr="00272F7E">
        <w:rPr>
          <w:rFonts w:ascii="Times New Roman" w:hAnsi="Times New Roman" w:cs="Times New Roman"/>
          <w:sz w:val="28"/>
          <w:szCs w:val="28"/>
        </w:rPr>
        <w:t xml:space="preserve">b) è </w:t>
      </w:r>
      <w:r w:rsidR="001E0518" w:rsidRPr="00272F7E">
        <w:rPr>
          <w:rFonts w:ascii="Times New Roman" w:hAnsi="Times New Roman" w:cs="Times New Roman"/>
          <w:bCs/>
          <w:sz w:val="28"/>
          <w:szCs w:val="28"/>
        </w:rPr>
        <w:t>nullo e non opponibile a terzi l'accordo che contiene intese anticoncorrenziali</w:t>
      </w:r>
      <w:r>
        <w:rPr>
          <w:rStyle w:val="Rimandonotaapidipagina"/>
          <w:rFonts w:ascii="Times New Roman" w:hAnsi="Times New Roman" w:cs="Times New Roman"/>
          <w:bCs/>
          <w:sz w:val="28"/>
          <w:szCs w:val="28"/>
        </w:rPr>
        <w:footnoteReference w:id="6"/>
      </w:r>
      <w:r>
        <w:rPr>
          <w:rFonts w:ascii="Times New Roman" w:hAnsi="Times New Roman" w:cs="Times New Roman"/>
          <w:bCs/>
          <w:sz w:val="28"/>
          <w:szCs w:val="28"/>
        </w:rPr>
        <w:t>;</w:t>
      </w:r>
    </w:p>
    <w:p w:rsidR="001E0518" w:rsidRPr="00272F7E" w:rsidRDefault="00272F7E" w:rsidP="007E753A">
      <w:pPr>
        <w:spacing w:line="240" w:lineRule="auto"/>
        <w:jc w:val="both"/>
        <w:rPr>
          <w:rFonts w:ascii="Times New Roman" w:hAnsi="Times New Roman" w:cs="Times New Roman"/>
          <w:bCs/>
          <w:sz w:val="28"/>
          <w:szCs w:val="28"/>
        </w:rPr>
      </w:pPr>
      <w:r w:rsidRPr="00272F7E">
        <w:rPr>
          <w:rFonts w:ascii="Times New Roman" w:hAnsi="Times New Roman" w:cs="Times New Roman"/>
          <w:bCs/>
          <w:sz w:val="28"/>
          <w:szCs w:val="28"/>
        </w:rPr>
        <w:t xml:space="preserve">c) </w:t>
      </w:r>
      <w:r w:rsidR="00E04E19">
        <w:rPr>
          <w:rFonts w:ascii="Times New Roman" w:hAnsi="Times New Roman" w:cs="Times New Roman"/>
          <w:bCs/>
          <w:sz w:val="28"/>
          <w:szCs w:val="28"/>
        </w:rPr>
        <w:t>l</w:t>
      </w:r>
      <w:r w:rsidR="001E0518" w:rsidRPr="00272F7E">
        <w:rPr>
          <w:rFonts w:ascii="Times New Roman" w:hAnsi="Times New Roman" w:cs="Times New Roman"/>
          <w:bCs/>
          <w:sz w:val="28"/>
          <w:szCs w:val="28"/>
        </w:rPr>
        <w:t>e decisioni definitive delle autorità nazionali garanti della concorrenza hanno efficacia per le successive azioni di nullità e risarcimento danni</w:t>
      </w:r>
      <w:r w:rsidR="00E04E19">
        <w:rPr>
          <w:rStyle w:val="Rimandonotaapidipagina"/>
          <w:rFonts w:ascii="Times New Roman" w:hAnsi="Times New Roman" w:cs="Times New Roman"/>
          <w:bCs/>
          <w:sz w:val="28"/>
          <w:szCs w:val="28"/>
        </w:rPr>
        <w:footnoteReference w:id="7"/>
      </w:r>
      <w:r w:rsidR="00460252" w:rsidRPr="00272F7E">
        <w:rPr>
          <w:rFonts w:ascii="Times New Roman" w:hAnsi="Times New Roman" w:cs="Times New Roman"/>
          <w:bCs/>
          <w:sz w:val="28"/>
          <w:szCs w:val="28"/>
        </w:rPr>
        <w:t>.</w:t>
      </w:r>
    </w:p>
    <w:p w:rsidR="001E0518" w:rsidRPr="00802CCB" w:rsidRDefault="00802CCB" w:rsidP="007E753A">
      <w:pPr>
        <w:spacing w:line="240" w:lineRule="auto"/>
        <w:jc w:val="both"/>
        <w:rPr>
          <w:rFonts w:ascii="Times New Roman" w:hAnsi="Times New Roman" w:cs="Times New Roman"/>
          <w:sz w:val="28"/>
          <w:szCs w:val="28"/>
        </w:rPr>
      </w:pPr>
      <w:r w:rsidRPr="00802CCB">
        <w:rPr>
          <w:rFonts w:ascii="Times New Roman" w:hAnsi="Times New Roman" w:cs="Times New Roman"/>
          <w:b/>
          <w:sz w:val="28"/>
          <w:szCs w:val="28"/>
        </w:rPr>
        <w:t>3.4.</w:t>
      </w:r>
      <w:r>
        <w:rPr>
          <w:rFonts w:ascii="Times New Roman" w:hAnsi="Times New Roman" w:cs="Times New Roman"/>
          <w:sz w:val="28"/>
          <w:szCs w:val="28"/>
        </w:rPr>
        <w:t xml:space="preserve"> </w:t>
      </w:r>
      <w:r w:rsidR="00460252" w:rsidRPr="00802CCB">
        <w:rPr>
          <w:rFonts w:ascii="Times New Roman" w:hAnsi="Times New Roman" w:cs="Times New Roman"/>
          <w:sz w:val="28"/>
          <w:szCs w:val="28"/>
        </w:rPr>
        <w:t>In</w:t>
      </w:r>
      <w:r w:rsidR="001E0518" w:rsidRPr="00802CCB">
        <w:rPr>
          <w:rFonts w:ascii="Times New Roman" w:hAnsi="Times New Roman" w:cs="Times New Roman"/>
          <w:sz w:val="28"/>
          <w:szCs w:val="28"/>
        </w:rPr>
        <w:t xml:space="preserve"> tema </w:t>
      </w:r>
      <w:r w:rsidR="00460252" w:rsidRPr="00802CCB">
        <w:rPr>
          <w:rFonts w:ascii="Times New Roman" w:hAnsi="Times New Roman" w:cs="Times New Roman"/>
          <w:sz w:val="28"/>
          <w:szCs w:val="28"/>
        </w:rPr>
        <w:t>di</w:t>
      </w:r>
      <w:r w:rsidR="001E0518" w:rsidRPr="00802CCB">
        <w:rPr>
          <w:rFonts w:ascii="Times New Roman" w:hAnsi="Times New Roman" w:cs="Times New Roman"/>
          <w:sz w:val="28"/>
          <w:szCs w:val="28"/>
        </w:rPr>
        <w:t xml:space="preserve"> </w:t>
      </w:r>
      <w:r>
        <w:rPr>
          <w:rFonts w:ascii="Times New Roman" w:hAnsi="Times New Roman" w:cs="Times New Roman"/>
          <w:sz w:val="28"/>
          <w:szCs w:val="28"/>
        </w:rPr>
        <w:t>quantificazione delle sanzioni</w:t>
      </w:r>
      <w:r w:rsidR="00E04E19">
        <w:rPr>
          <w:rFonts w:ascii="Times New Roman" w:hAnsi="Times New Roman" w:cs="Times New Roman"/>
          <w:sz w:val="28"/>
          <w:szCs w:val="28"/>
        </w:rPr>
        <w:t xml:space="preserve"> pecuniarie</w:t>
      </w:r>
      <w:r>
        <w:rPr>
          <w:rFonts w:ascii="Times New Roman" w:hAnsi="Times New Roman" w:cs="Times New Roman"/>
          <w:sz w:val="28"/>
          <w:szCs w:val="28"/>
        </w:rPr>
        <w:t xml:space="preserve">, </w:t>
      </w:r>
      <w:r w:rsidR="0050518E" w:rsidRPr="00802CCB">
        <w:rPr>
          <w:rFonts w:ascii="Times New Roman" w:hAnsi="Times New Roman" w:cs="Times New Roman"/>
          <w:sz w:val="28"/>
          <w:szCs w:val="28"/>
        </w:rPr>
        <w:t>CGUE</w:t>
      </w:r>
      <w:r w:rsidR="001E0518" w:rsidRPr="00802CCB">
        <w:rPr>
          <w:rFonts w:ascii="Times New Roman" w:hAnsi="Times New Roman" w:cs="Times New Roman"/>
          <w:sz w:val="28"/>
          <w:szCs w:val="28"/>
        </w:rPr>
        <w:t>, sez. V, 10 novembre 2022, n.</w:t>
      </w:r>
      <w:r w:rsidR="00460252" w:rsidRPr="00802CCB">
        <w:rPr>
          <w:rFonts w:ascii="Times New Roman" w:hAnsi="Times New Roman" w:cs="Times New Roman"/>
          <w:sz w:val="28"/>
          <w:szCs w:val="28"/>
        </w:rPr>
        <w:t xml:space="preserve"> </w:t>
      </w:r>
      <w:r w:rsidR="001E0518" w:rsidRPr="00802CCB">
        <w:rPr>
          <w:rFonts w:ascii="Times New Roman" w:hAnsi="Times New Roman" w:cs="Times New Roman"/>
          <w:sz w:val="28"/>
          <w:szCs w:val="28"/>
        </w:rPr>
        <w:t>385</w:t>
      </w:r>
      <w:r>
        <w:rPr>
          <w:rFonts w:ascii="Times New Roman" w:hAnsi="Times New Roman" w:cs="Times New Roman"/>
          <w:sz w:val="28"/>
          <w:szCs w:val="28"/>
        </w:rPr>
        <w:t xml:space="preserve"> ha statuito che:</w:t>
      </w:r>
    </w:p>
    <w:p w:rsidR="001E0518" w:rsidRDefault="001E0518" w:rsidP="007E753A">
      <w:pPr>
        <w:spacing w:line="240" w:lineRule="auto"/>
        <w:jc w:val="both"/>
        <w:rPr>
          <w:rFonts w:ascii="Times New Roman" w:hAnsi="Times New Roman" w:cs="Times New Roman"/>
          <w:bCs/>
          <w:sz w:val="28"/>
          <w:szCs w:val="28"/>
        </w:rPr>
      </w:pPr>
      <w:r w:rsidRPr="00802CCB">
        <w:rPr>
          <w:rFonts w:ascii="Times New Roman" w:hAnsi="Times New Roman" w:cs="Times New Roman"/>
          <w:sz w:val="28"/>
          <w:szCs w:val="28"/>
        </w:rPr>
        <w:t xml:space="preserve">- </w:t>
      </w:r>
      <w:r w:rsidR="00802CCB">
        <w:rPr>
          <w:rFonts w:ascii="Times New Roman" w:hAnsi="Times New Roman" w:cs="Times New Roman"/>
          <w:bCs/>
          <w:sz w:val="28"/>
          <w:szCs w:val="28"/>
        </w:rPr>
        <w:t>per determinare l'importo dell’</w:t>
      </w:r>
      <w:r w:rsidRPr="00802CCB">
        <w:rPr>
          <w:rFonts w:ascii="Times New Roman" w:hAnsi="Times New Roman" w:cs="Times New Roman"/>
          <w:bCs/>
          <w:sz w:val="28"/>
          <w:szCs w:val="28"/>
        </w:rPr>
        <w:t>ammenda da comminare per il suo comportamento anticoncorrenziale</w:t>
      </w:r>
      <w:r w:rsidR="00963FC2">
        <w:rPr>
          <w:rFonts w:ascii="Times New Roman" w:hAnsi="Times New Roman" w:cs="Times New Roman"/>
          <w:bCs/>
          <w:sz w:val="28"/>
          <w:szCs w:val="28"/>
        </w:rPr>
        <w:t>,</w:t>
      </w:r>
      <w:r w:rsidRPr="00802CCB">
        <w:rPr>
          <w:rFonts w:ascii="Times New Roman" w:hAnsi="Times New Roman" w:cs="Times New Roman"/>
          <w:bCs/>
          <w:sz w:val="28"/>
          <w:szCs w:val="28"/>
        </w:rPr>
        <w:t xml:space="preserve"> occorre tener conto del reddito reale dell</w:t>
      </w:r>
      <w:r w:rsidR="002A1204" w:rsidRPr="00802CCB">
        <w:rPr>
          <w:rFonts w:ascii="Times New Roman" w:hAnsi="Times New Roman" w:cs="Times New Roman"/>
          <w:bCs/>
          <w:sz w:val="28"/>
          <w:szCs w:val="28"/>
        </w:rPr>
        <w:t>’impres</w:t>
      </w:r>
      <w:r w:rsidR="00802CCB">
        <w:rPr>
          <w:rFonts w:ascii="Times New Roman" w:hAnsi="Times New Roman" w:cs="Times New Roman"/>
          <w:bCs/>
          <w:sz w:val="28"/>
          <w:szCs w:val="28"/>
        </w:rPr>
        <w:t>a</w:t>
      </w:r>
      <w:r w:rsidR="00802CCB">
        <w:rPr>
          <w:rStyle w:val="Rimandonotaapidipagina"/>
          <w:rFonts w:ascii="Times New Roman" w:hAnsi="Times New Roman" w:cs="Times New Roman"/>
          <w:bCs/>
          <w:sz w:val="28"/>
          <w:szCs w:val="28"/>
        </w:rPr>
        <w:footnoteReference w:id="8"/>
      </w:r>
      <w:r w:rsidR="00802CCB">
        <w:rPr>
          <w:rFonts w:ascii="Times New Roman" w:hAnsi="Times New Roman" w:cs="Times New Roman"/>
          <w:bCs/>
          <w:sz w:val="28"/>
          <w:szCs w:val="28"/>
        </w:rPr>
        <w:t>;</w:t>
      </w:r>
    </w:p>
    <w:p w:rsidR="001E0518" w:rsidRPr="00802CCB" w:rsidRDefault="001E0518" w:rsidP="00377F2F">
      <w:pPr>
        <w:spacing w:line="240" w:lineRule="auto"/>
        <w:jc w:val="both"/>
        <w:rPr>
          <w:rFonts w:ascii="Times New Roman" w:hAnsi="Times New Roman" w:cs="Times New Roman"/>
          <w:bCs/>
          <w:sz w:val="28"/>
          <w:szCs w:val="28"/>
        </w:rPr>
      </w:pPr>
      <w:r w:rsidRPr="00802CCB">
        <w:rPr>
          <w:rFonts w:ascii="Times New Roman" w:hAnsi="Times New Roman" w:cs="Times New Roman"/>
          <w:sz w:val="28"/>
          <w:szCs w:val="28"/>
        </w:rPr>
        <w:t xml:space="preserve">- </w:t>
      </w:r>
      <w:r w:rsidR="00802CCB" w:rsidRPr="00802CCB">
        <w:rPr>
          <w:rFonts w:ascii="Times New Roman" w:hAnsi="Times New Roman" w:cs="Times New Roman"/>
          <w:bCs/>
          <w:sz w:val="28"/>
          <w:szCs w:val="28"/>
        </w:rPr>
        <w:t>i</w:t>
      </w:r>
      <w:r w:rsidRPr="00802CCB">
        <w:rPr>
          <w:rFonts w:ascii="Times New Roman" w:hAnsi="Times New Roman" w:cs="Times New Roman"/>
          <w:bCs/>
          <w:sz w:val="28"/>
          <w:szCs w:val="28"/>
        </w:rPr>
        <w:t xml:space="preserve">l fatturato su </w:t>
      </w:r>
      <w:r w:rsidR="000C56EC" w:rsidRPr="00802CCB">
        <w:rPr>
          <w:rFonts w:ascii="Times New Roman" w:hAnsi="Times New Roman" w:cs="Times New Roman"/>
          <w:bCs/>
          <w:sz w:val="28"/>
          <w:szCs w:val="28"/>
        </w:rPr>
        <w:t>cui determinare l'importo dell’</w:t>
      </w:r>
      <w:r w:rsidRPr="00802CCB">
        <w:rPr>
          <w:rFonts w:ascii="Times New Roman" w:hAnsi="Times New Roman" w:cs="Times New Roman"/>
          <w:bCs/>
          <w:sz w:val="28"/>
          <w:szCs w:val="28"/>
        </w:rPr>
        <w:t>ammenda per comportamento</w:t>
      </w:r>
      <w:r w:rsidR="00716200" w:rsidRPr="00802CCB">
        <w:rPr>
          <w:rFonts w:ascii="Times New Roman" w:hAnsi="Times New Roman" w:cs="Times New Roman"/>
          <w:bCs/>
          <w:sz w:val="28"/>
          <w:szCs w:val="28"/>
        </w:rPr>
        <w:t xml:space="preserve"> </w:t>
      </w:r>
      <w:r w:rsidRPr="00802CCB">
        <w:rPr>
          <w:rFonts w:ascii="Times New Roman" w:hAnsi="Times New Roman" w:cs="Times New Roman"/>
          <w:bCs/>
          <w:sz w:val="28"/>
          <w:szCs w:val="28"/>
        </w:rPr>
        <w:t>anticoncorrenziale di una azienda deve riflettere una situazione reale</w:t>
      </w:r>
      <w:r w:rsidR="00802CCB">
        <w:rPr>
          <w:rStyle w:val="Rimandonotaapidipagina"/>
          <w:rFonts w:ascii="Times New Roman" w:hAnsi="Times New Roman" w:cs="Times New Roman"/>
          <w:bCs/>
          <w:sz w:val="28"/>
          <w:szCs w:val="28"/>
        </w:rPr>
        <w:footnoteReference w:id="9"/>
      </w:r>
      <w:r w:rsidR="00802CCB">
        <w:rPr>
          <w:rFonts w:ascii="Times New Roman" w:hAnsi="Times New Roman" w:cs="Times New Roman"/>
          <w:bCs/>
          <w:sz w:val="28"/>
          <w:szCs w:val="28"/>
        </w:rPr>
        <w:t>.</w:t>
      </w:r>
    </w:p>
    <w:p w:rsidR="0050518E" w:rsidRPr="00802CCB" w:rsidRDefault="00802CCB" w:rsidP="00377F2F">
      <w:pPr>
        <w:spacing w:line="240" w:lineRule="auto"/>
        <w:jc w:val="both"/>
        <w:rPr>
          <w:rFonts w:ascii="Times New Roman" w:hAnsi="Times New Roman" w:cs="Times New Roman"/>
          <w:sz w:val="28"/>
          <w:szCs w:val="28"/>
        </w:rPr>
      </w:pPr>
      <w:r w:rsidRPr="00377F2F">
        <w:rPr>
          <w:rFonts w:ascii="Times New Roman" w:hAnsi="Times New Roman" w:cs="Times New Roman"/>
          <w:b/>
          <w:sz w:val="28"/>
          <w:szCs w:val="28"/>
        </w:rPr>
        <w:t>3.5.</w:t>
      </w:r>
      <w:r>
        <w:rPr>
          <w:rFonts w:ascii="Times New Roman" w:hAnsi="Times New Roman" w:cs="Times New Roman"/>
          <w:sz w:val="28"/>
          <w:szCs w:val="28"/>
        </w:rPr>
        <w:t xml:space="preserve"> </w:t>
      </w:r>
      <w:r w:rsidR="0050518E" w:rsidRPr="00802CCB">
        <w:rPr>
          <w:rFonts w:ascii="Times New Roman" w:hAnsi="Times New Roman" w:cs="Times New Roman"/>
          <w:sz w:val="28"/>
          <w:szCs w:val="28"/>
        </w:rPr>
        <w:t>Sulla revocazione</w:t>
      </w:r>
      <w:r>
        <w:rPr>
          <w:rFonts w:ascii="Times New Roman" w:hAnsi="Times New Roman" w:cs="Times New Roman"/>
          <w:sz w:val="28"/>
          <w:szCs w:val="28"/>
        </w:rPr>
        <w:t xml:space="preserve">, </w:t>
      </w:r>
      <w:r w:rsidR="0050518E" w:rsidRPr="00802CCB">
        <w:rPr>
          <w:rFonts w:ascii="Times New Roman" w:hAnsi="Times New Roman" w:cs="Times New Roman"/>
          <w:sz w:val="28"/>
          <w:szCs w:val="28"/>
        </w:rPr>
        <w:t xml:space="preserve">Cons. Stato, sez. </w:t>
      </w:r>
      <w:r>
        <w:rPr>
          <w:rFonts w:ascii="Times New Roman" w:hAnsi="Times New Roman" w:cs="Times New Roman"/>
          <w:sz w:val="28"/>
          <w:szCs w:val="28"/>
        </w:rPr>
        <w:t xml:space="preserve">VI, 8 maggio 2023, n. 4632, dopo l’intervento della </w:t>
      </w:r>
      <w:r w:rsidRPr="00802CCB">
        <w:rPr>
          <w:rFonts w:ascii="Times New Roman" w:hAnsi="Times New Roman" w:cs="Times New Roman"/>
          <w:sz w:val="28"/>
          <w:szCs w:val="28"/>
        </w:rPr>
        <w:t xml:space="preserve">CGUE </w:t>
      </w:r>
      <w:r>
        <w:rPr>
          <w:rFonts w:ascii="Times New Roman" w:hAnsi="Times New Roman" w:cs="Times New Roman"/>
          <w:sz w:val="28"/>
          <w:szCs w:val="28"/>
        </w:rPr>
        <w:t xml:space="preserve">con la sentenza </w:t>
      </w:r>
      <w:r w:rsidRPr="00802CCB">
        <w:rPr>
          <w:rFonts w:ascii="Times New Roman" w:hAnsi="Times New Roman" w:cs="Times New Roman"/>
          <w:sz w:val="28"/>
          <w:szCs w:val="28"/>
        </w:rPr>
        <w:t>7 luglio 2022, causa C-261/21</w:t>
      </w:r>
      <w:r w:rsidR="0050518E" w:rsidRPr="00802CCB">
        <w:rPr>
          <w:rFonts w:ascii="Times New Roman" w:hAnsi="Times New Roman" w:cs="Times New Roman"/>
          <w:sz w:val="28"/>
          <w:szCs w:val="28"/>
        </w:rPr>
        <w:t xml:space="preserve">, </w:t>
      </w:r>
      <w:r w:rsidR="00377F2F">
        <w:rPr>
          <w:rFonts w:ascii="Times New Roman" w:hAnsi="Times New Roman" w:cs="Times New Roman"/>
          <w:sz w:val="28"/>
          <w:szCs w:val="28"/>
        </w:rPr>
        <w:t>emessa a seguito della</w:t>
      </w:r>
      <w:r w:rsidR="0050518E" w:rsidRPr="00802CCB">
        <w:rPr>
          <w:rFonts w:ascii="Times New Roman" w:hAnsi="Times New Roman" w:cs="Times New Roman"/>
          <w:sz w:val="28"/>
          <w:szCs w:val="28"/>
        </w:rPr>
        <w:t xml:space="preserve"> remissione da parte dello stesso</w:t>
      </w:r>
      <w:r w:rsidR="00E04E19">
        <w:rPr>
          <w:rFonts w:ascii="Times New Roman" w:hAnsi="Times New Roman" w:cs="Times New Roman"/>
          <w:sz w:val="28"/>
          <w:szCs w:val="28"/>
        </w:rPr>
        <w:t xml:space="preserve"> Consiglio</w:t>
      </w:r>
      <w:r w:rsidR="0050518E" w:rsidRPr="00802CCB">
        <w:rPr>
          <w:rFonts w:ascii="Times New Roman" w:hAnsi="Times New Roman" w:cs="Times New Roman"/>
          <w:sz w:val="28"/>
          <w:szCs w:val="28"/>
        </w:rPr>
        <w:t>,</w:t>
      </w:r>
      <w:r w:rsidR="00377F2F">
        <w:rPr>
          <w:rFonts w:ascii="Times New Roman" w:hAnsi="Times New Roman" w:cs="Times New Roman"/>
          <w:sz w:val="28"/>
          <w:szCs w:val="28"/>
        </w:rPr>
        <w:t xml:space="preserve"> ha affermato la l</w:t>
      </w:r>
      <w:r w:rsidR="0050518E" w:rsidRPr="00802CCB">
        <w:rPr>
          <w:rFonts w:ascii="Times New Roman" w:hAnsi="Times New Roman" w:cs="Times New Roman"/>
          <w:sz w:val="28"/>
          <w:szCs w:val="28"/>
        </w:rPr>
        <w:t>egittimità comunitaria e costituzionale dell’art. 395 c.p.c. nella parte</w:t>
      </w:r>
      <w:r w:rsidR="00377F2F">
        <w:rPr>
          <w:rFonts w:ascii="Times New Roman" w:hAnsi="Times New Roman" w:cs="Times New Roman"/>
          <w:sz w:val="28"/>
          <w:szCs w:val="28"/>
        </w:rPr>
        <w:t xml:space="preserve"> in cui non prevede un’ipotesi specifica d</w:t>
      </w:r>
      <w:r w:rsidR="0050518E" w:rsidRPr="00802CCB">
        <w:rPr>
          <w:rFonts w:ascii="Times New Roman" w:hAnsi="Times New Roman" w:cs="Times New Roman"/>
          <w:sz w:val="28"/>
          <w:szCs w:val="28"/>
        </w:rPr>
        <w:t xml:space="preserve">i revocazione per il caso in cui la sentenza </w:t>
      </w:r>
      <w:r w:rsidR="006A4A12" w:rsidRPr="00802CCB">
        <w:rPr>
          <w:rFonts w:ascii="Times New Roman" w:hAnsi="Times New Roman" w:cs="Times New Roman"/>
          <w:sz w:val="28"/>
          <w:szCs w:val="28"/>
        </w:rPr>
        <w:t xml:space="preserve">revocanda </w:t>
      </w:r>
      <w:r w:rsidR="0050518E" w:rsidRPr="00802CCB">
        <w:rPr>
          <w:rFonts w:ascii="Times New Roman" w:hAnsi="Times New Roman" w:cs="Times New Roman"/>
          <w:sz w:val="28"/>
          <w:szCs w:val="28"/>
        </w:rPr>
        <w:t>sia in contrasto con il diritto europeo.</w:t>
      </w:r>
    </w:p>
    <w:p w:rsidR="009360B0" w:rsidRDefault="009360B0" w:rsidP="007E753A">
      <w:pPr>
        <w:spacing w:line="240" w:lineRule="auto"/>
        <w:rPr>
          <w:rFonts w:ascii="Times New Roman" w:hAnsi="Times New Roman" w:cs="Times New Roman"/>
          <w:sz w:val="28"/>
          <w:szCs w:val="28"/>
        </w:rPr>
      </w:pPr>
    </w:p>
    <w:p w:rsidR="00377F2F" w:rsidRPr="00377F2F" w:rsidRDefault="00E04E19" w:rsidP="007E753A">
      <w:pPr>
        <w:spacing w:line="240" w:lineRule="auto"/>
        <w:rPr>
          <w:rFonts w:ascii="Times New Roman" w:hAnsi="Times New Roman" w:cs="Times New Roman"/>
          <w:b/>
          <w:sz w:val="28"/>
          <w:szCs w:val="28"/>
        </w:rPr>
      </w:pPr>
      <w:r>
        <w:rPr>
          <w:rFonts w:ascii="Times New Roman" w:hAnsi="Times New Roman" w:cs="Times New Roman"/>
          <w:b/>
          <w:sz w:val="28"/>
          <w:szCs w:val="28"/>
        </w:rPr>
        <w:t>4. Segue: i</w:t>
      </w:r>
      <w:r w:rsidR="00377F2F" w:rsidRPr="00377F2F">
        <w:rPr>
          <w:rFonts w:ascii="Times New Roman" w:hAnsi="Times New Roman" w:cs="Times New Roman"/>
          <w:b/>
          <w:sz w:val="28"/>
          <w:szCs w:val="28"/>
        </w:rPr>
        <w:t>n tema di abuso di posizione dominante.</w:t>
      </w:r>
    </w:p>
    <w:p w:rsidR="00B03EE1" w:rsidRDefault="004F6693" w:rsidP="00377F2F">
      <w:pPr>
        <w:spacing w:line="240" w:lineRule="auto"/>
        <w:jc w:val="both"/>
        <w:rPr>
          <w:rFonts w:ascii="Times New Roman" w:hAnsi="Times New Roman" w:cs="Times New Roman"/>
          <w:sz w:val="28"/>
          <w:szCs w:val="28"/>
        </w:rPr>
      </w:pPr>
      <w:r w:rsidRPr="004F6693">
        <w:rPr>
          <w:rFonts w:ascii="Times New Roman" w:hAnsi="Times New Roman" w:cs="Times New Roman"/>
          <w:b/>
          <w:sz w:val="28"/>
          <w:szCs w:val="28"/>
        </w:rPr>
        <w:t>4.1.</w:t>
      </w:r>
      <w:r>
        <w:rPr>
          <w:rFonts w:ascii="Times New Roman" w:hAnsi="Times New Roman" w:cs="Times New Roman"/>
          <w:sz w:val="28"/>
          <w:szCs w:val="28"/>
        </w:rPr>
        <w:t xml:space="preserve"> </w:t>
      </w:r>
      <w:r w:rsidR="00E04E19">
        <w:rPr>
          <w:rFonts w:ascii="Times New Roman" w:hAnsi="Times New Roman" w:cs="Times New Roman"/>
          <w:sz w:val="28"/>
          <w:szCs w:val="28"/>
        </w:rPr>
        <w:t>Nella tematica sull’</w:t>
      </w:r>
      <w:r w:rsidR="00377F2F" w:rsidRPr="00377F2F">
        <w:rPr>
          <w:rFonts w:ascii="Times New Roman" w:hAnsi="Times New Roman" w:cs="Times New Roman"/>
          <w:sz w:val="28"/>
          <w:szCs w:val="28"/>
        </w:rPr>
        <w:t xml:space="preserve">abuso di posizione dominante la </w:t>
      </w:r>
      <w:r w:rsidR="00B03EE1" w:rsidRPr="00377F2F">
        <w:rPr>
          <w:rFonts w:ascii="Times New Roman" w:hAnsi="Times New Roman" w:cs="Times New Roman"/>
          <w:sz w:val="28"/>
          <w:szCs w:val="28"/>
        </w:rPr>
        <w:t>giurisprudenza della CGUE assume rilievo predominante.</w:t>
      </w:r>
    </w:p>
    <w:p w:rsidR="00716200" w:rsidRDefault="00377F2F" w:rsidP="00377F2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Importanti principi sono stati affermati dalla CGUE con la sentenza della </w:t>
      </w:r>
      <w:r w:rsidR="00716200" w:rsidRPr="00377F2F">
        <w:rPr>
          <w:rFonts w:ascii="Times New Roman" w:hAnsi="Times New Roman" w:cs="Times New Roman"/>
          <w:sz w:val="28"/>
          <w:szCs w:val="28"/>
        </w:rPr>
        <w:t>sez. V, 19 gennaio 2023, n.</w:t>
      </w:r>
      <w:r w:rsidR="00265E83" w:rsidRPr="00377F2F">
        <w:rPr>
          <w:rFonts w:ascii="Times New Roman" w:hAnsi="Times New Roman" w:cs="Times New Roman"/>
          <w:sz w:val="28"/>
          <w:szCs w:val="28"/>
        </w:rPr>
        <w:t xml:space="preserve"> </w:t>
      </w:r>
      <w:r w:rsidR="00716200" w:rsidRPr="00377F2F">
        <w:rPr>
          <w:rFonts w:ascii="Times New Roman" w:hAnsi="Times New Roman" w:cs="Times New Roman"/>
          <w:sz w:val="28"/>
          <w:szCs w:val="28"/>
        </w:rPr>
        <w:t>680</w:t>
      </w:r>
      <w:r w:rsidR="00C56C7A" w:rsidRPr="00377F2F">
        <w:rPr>
          <w:rFonts w:ascii="Times New Roman" w:hAnsi="Times New Roman" w:cs="Times New Roman"/>
          <w:sz w:val="28"/>
          <w:szCs w:val="28"/>
        </w:rPr>
        <w:t xml:space="preserve"> (</w:t>
      </w:r>
      <w:r>
        <w:rPr>
          <w:rFonts w:ascii="Times New Roman" w:hAnsi="Times New Roman" w:cs="Times New Roman"/>
          <w:sz w:val="28"/>
          <w:szCs w:val="28"/>
        </w:rPr>
        <w:t>caso Unilever</w:t>
      </w:r>
      <w:r w:rsidR="00C56C7A" w:rsidRPr="00377F2F">
        <w:rPr>
          <w:rFonts w:ascii="Times New Roman" w:hAnsi="Times New Roman" w:cs="Times New Roman"/>
          <w:sz w:val="28"/>
          <w:szCs w:val="28"/>
        </w:rPr>
        <w:t>)</w:t>
      </w:r>
      <w:r w:rsidR="00F24CDC">
        <w:rPr>
          <w:rStyle w:val="Rimandonotaapidipagina"/>
          <w:rFonts w:ascii="Times New Roman" w:hAnsi="Times New Roman" w:cs="Times New Roman"/>
          <w:sz w:val="28"/>
          <w:szCs w:val="28"/>
        </w:rPr>
        <w:footnoteReference w:id="10"/>
      </w:r>
      <w:r>
        <w:rPr>
          <w:rFonts w:ascii="Times New Roman" w:hAnsi="Times New Roman" w:cs="Times New Roman"/>
          <w:sz w:val="28"/>
          <w:szCs w:val="28"/>
        </w:rPr>
        <w:t>. In sintesi:</w:t>
      </w:r>
    </w:p>
    <w:p w:rsidR="00716200" w:rsidRPr="00F24CDC" w:rsidRDefault="00377F2F" w:rsidP="007E753A">
      <w:pPr>
        <w:spacing w:line="240" w:lineRule="auto"/>
        <w:jc w:val="both"/>
        <w:rPr>
          <w:rFonts w:ascii="Times New Roman" w:hAnsi="Times New Roman" w:cs="Times New Roman"/>
          <w:bCs/>
          <w:sz w:val="28"/>
          <w:szCs w:val="28"/>
        </w:rPr>
      </w:pPr>
      <w:r>
        <w:rPr>
          <w:rFonts w:ascii="Times New Roman" w:hAnsi="Times New Roman" w:cs="Times New Roman"/>
          <w:sz w:val="28"/>
          <w:szCs w:val="28"/>
        </w:rPr>
        <w:t>a) u</w:t>
      </w:r>
      <w:r w:rsidR="007C1B5B" w:rsidRPr="00377F2F">
        <w:rPr>
          <w:rFonts w:ascii="Times New Roman" w:hAnsi="Times New Roman" w:cs="Times New Roman"/>
          <w:bCs/>
          <w:sz w:val="28"/>
          <w:szCs w:val="28"/>
        </w:rPr>
        <w:t>na prassi anticoncorrenziale è illecita anche se potenziale e se non ha ancora prodotto effetto</w:t>
      </w:r>
      <w:r w:rsidR="00DD6DBA">
        <w:rPr>
          <w:rFonts w:ascii="Times New Roman" w:hAnsi="Times New Roman" w:cs="Times New Roman"/>
          <w:bCs/>
          <w:sz w:val="28"/>
          <w:szCs w:val="28"/>
        </w:rPr>
        <w:t>,</w:t>
      </w:r>
      <w:r w:rsidR="007C1B5B" w:rsidRPr="00377F2F">
        <w:rPr>
          <w:rFonts w:ascii="Times New Roman" w:hAnsi="Times New Roman" w:cs="Times New Roman"/>
          <w:bCs/>
          <w:sz w:val="28"/>
          <w:szCs w:val="28"/>
        </w:rPr>
        <w:t xml:space="preserve"> ma non lo è se rimane a livello progettuale</w:t>
      </w:r>
      <w:r>
        <w:rPr>
          <w:rStyle w:val="Rimandonotaapidipagina"/>
          <w:rFonts w:ascii="Times New Roman" w:hAnsi="Times New Roman" w:cs="Times New Roman"/>
          <w:b/>
          <w:bCs/>
          <w:sz w:val="28"/>
          <w:szCs w:val="28"/>
        </w:rPr>
        <w:footnoteReference w:id="11"/>
      </w:r>
      <w:r w:rsidR="00F24CDC">
        <w:rPr>
          <w:rFonts w:ascii="Times New Roman" w:hAnsi="Times New Roman" w:cs="Times New Roman"/>
          <w:bCs/>
          <w:sz w:val="28"/>
          <w:szCs w:val="28"/>
        </w:rPr>
        <w:t>;</w:t>
      </w:r>
    </w:p>
    <w:p w:rsidR="00F24CDC" w:rsidRDefault="00F24CDC" w:rsidP="00F24CDC">
      <w:pPr>
        <w:spacing w:line="240" w:lineRule="auto"/>
        <w:jc w:val="both"/>
        <w:rPr>
          <w:rFonts w:ascii="Times New Roman" w:hAnsi="Times New Roman" w:cs="Times New Roman"/>
          <w:bCs/>
          <w:sz w:val="28"/>
          <w:szCs w:val="28"/>
        </w:rPr>
      </w:pPr>
      <w:r w:rsidRPr="00F24CDC">
        <w:rPr>
          <w:rFonts w:ascii="Times New Roman" w:hAnsi="Times New Roman" w:cs="Times New Roman"/>
          <w:bCs/>
          <w:sz w:val="28"/>
          <w:szCs w:val="28"/>
        </w:rPr>
        <w:t xml:space="preserve">b) </w:t>
      </w:r>
      <w:r>
        <w:rPr>
          <w:rFonts w:ascii="Times New Roman" w:hAnsi="Times New Roman" w:cs="Times New Roman"/>
          <w:bCs/>
          <w:sz w:val="28"/>
          <w:szCs w:val="28"/>
        </w:rPr>
        <w:t>s</w:t>
      </w:r>
      <w:r w:rsidRPr="00F24CDC">
        <w:rPr>
          <w:rFonts w:ascii="Times New Roman" w:hAnsi="Times New Roman" w:cs="Times New Roman"/>
          <w:bCs/>
          <w:sz w:val="28"/>
          <w:szCs w:val="28"/>
        </w:rPr>
        <w:t>ono imputabili all'impresa in posizione dominante i comportamenti anticoncorrenziali messi in atto dalla sua rete distributiva</w:t>
      </w:r>
      <w:r>
        <w:rPr>
          <w:rStyle w:val="Rimandonotaapidipagina"/>
          <w:rFonts w:ascii="Times New Roman" w:hAnsi="Times New Roman" w:cs="Times New Roman"/>
          <w:bCs/>
          <w:sz w:val="28"/>
          <w:szCs w:val="28"/>
        </w:rPr>
        <w:footnoteReference w:id="12"/>
      </w:r>
      <w:r>
        <w:rPr>
          <w:rFonts w:ascii="Times New Roman" w:hAnsi="Times New Roman" w:cs="Times New Roman"/>
          <w:bCs/>
          <w:sz w:val="28"/>
          <w:szCs w:val="28"/>
        </w:rPr>
        <w:t>;</w:t>
      </w:r>
    </w:p>
    <w:p w:rsidR="00716200" w:rsidRPr="00F24CDC" w:rsidRDefault="00F24CDC" w:rsidP="007E753A">
      <w:pPr>
        <w:spacing w:line="240" w:lineRule="auto"/>
        <w:jc w:val="both"/>
        <w:rPr>
          <w:rFonts w:ascii="Times New Roman" w:hAnsi="Times New Roman" w:cs="Times New Roman"/>
          <w:bCs/>
          <w:sz w:val="28"/>
          <w:szCs w:val="28"/>
        </w:rPr>
      </w:pPr>
      <w:r w:rsidRPr="00F24CDC">
        <w:rPr>
          <w:rFonts w:ascii="Times New Roman" w:hAnsi="Times New Roman" w:cs="Times New Roman"/>
          <w:bCs/>
          <w:sz w:val="28"/>
          <w:szCs w:val="28"/>
        </w:rPr>
        <w:t>c) l</w:t>
      </w:r>
      <w:r w:rsidR="00716200" w:rsidRPr="00F24CDC">
        <w:rPr>
          <w:rFonts w:ascii="Times New Roman" w:hAnsi="Times New Roman" w:cs="Times New Roman"/>
          <w:bCs/>
          <w:sz w:val="28"/>
          <w:szCs w:val="28"/>
        </w:rPr>
        <w:t>'impiego di clausole di esclusiva da parte di un'impresa detentrice di posizione dominante è sufficiente a configurare un abuso</w:t>
      </w:r>
      <w:r w:rsidRPr="00F24CDC">
        <w:rPr>
          <w:rStyle w:val="Rimandonotaapidipagina"/>
          <w:rFonts w:ascii="Times New Roman" w:hAnsi="Times New Roman" w:cs="Times New Roman"/>
          <w:bCs/>
          <w:sz w:val="28"/>
          <w:szCs w:val="28"/>
        </w:rPr>
        <w:footnoteReference w:id="13"/>
      </w:r>
      <w:r w:rsidRPr="00F24CDC">
        <w:rPr>
          <w:rFonts w:ascii="Times New Roman" w:hAnsi="Times New Roman" w:cs="Times New Roman"/>
          <w:bCs/>
          <w:sz w:val="28"/>
          <w:szCs w:val="28"/>
        </w:rPr>
        <w:t>;</w:t>
      </w:r>
    </w:p>
    <w:p w:rsidR="00716200" w:rsidRPr="00F24CDC" w:rsidRDefault="00F24CDC" w:rsidP="007E753A">
      <w:pPr>
        <w:spacing w:line="240" w:lineRule="auto"/>
        <w:jc w:val="both"/>
        <w:rPr>
          <w:rFonts w:ascii="Times New Roman" w:hAnsi="Times New Roman" w:cs="Times New Roman"/>
          <w:bCs/>
          <w:sz w:val="28"/>
          <w:szCs w:val="28"/>
        </w:rPr>
      </w:pPr>
      <w:r w:rsidRPr="00F24CDC">
        <w:rPr>
          <w:rFonts w:ascii="Times New Roman" w:hAnsi="Times New Roman" w:cs="Times New Roman"/>
          <w:sz w:val="28"/>
          <w:szCs w:val="28"/>
        </w:rPr>
        <w:t>d) t</w:t>
      </w:r>
      <w:r w:rsidR="00B03EE1" w:rsidRPr="00F24CDC">
        <w:rPr>
          <w:rFonts w:ascii="Times New Roman" w:hAnsi="Times New Roman" w:cs="Times New Roman"/>
          <w:bCs/>
          <w:sz w:val="28"/>
          <w:szCs w:val="28"/>
        </w:rPr>
        <w:t>uttavia l</w:t>
      </w:r>
      <w:r w:rsidR="00265E83" w:rsidRPr="00F24CDC">
        <w:rPr>
          <w:rFonts w:ascii="Times New Roman" w:hAnsi="Times New Roman" w:cs="Times New Roman"/>
          <w:bCs/>
          <w:sz w:val="28"/>
          <w:szCs w:val="28"/>
        </w:rPr>
        <w:t>'AGCM è tenuta ad esaminare</w:t>
      </w:r>
      <w:r w:rsidR="00716200" w:rsidRPr="00F24CDC">
        <w:rPr>
          <w:rFonts w:ascii="Times New Roman" w:hAnsi="Times New Roman" w:cs="Times New Roman"/>
          <w:bCs/>
          <w:sz w:val="28"/>
          <w:szCs w:val="28"/>
        </w:rPr>
        <w:t xml:space="preserve"> il valore probatorio della prova del criterio del 'concorrente altrettan</w:t>
      </w:r>
      <w:r>
        <w:rPr>
          <w:rFonts w:ascii="Times New Roman" w:hAnsi="Times New Roman" w:cs="Times New Roman"/>
          <w:bCs/>
          <w:sz w:val="28"/>
          <w:szCs w:val="28"/>
        </w:rPr>
        <w:t>to efficiente' presentata dall’</w:t>
      </w:r>
      <w:r w:rsidR="00716200" w:rsidRPr="00F24CDC">
        <w:rPr>
          <w:rFonts w:ascii="Times New Roman" w:hAnsi="Times New Roman" w:cs="Times New Roman"/>
          <w:bCs/>
          <w:sz w:val="28"/>
          <w:szCs w:val="28"/>
        </w:rPr>
        <w:t>azienda in posizione dominante</w:t>
      </w:r>
      <w:r>
        <w:rPr>
          <w:rStyle w:val="Rimandonotaapidipagina"/>
          <w:rFonts w:ascii="Times New Roman" w:hAnsi="Times New Roman" w:cs="Times New Roman"/>
          <w:bCs/>
          <w:sz w:val="28"/>
          <w:szCs w:val="28"/>
        </w:rPr>
        <w:footnoteReference w:id="14"/>
      </w:r>
      <w:r>
        <w:rPr>
          <w:rFonts w:ascii="Times New Roman" w:hAnsi="Times New Roman" w:cs="Times New Roman"/>
          <w:bCs/>
          <w:sz w:val="28"/>
          <w:szCs w:val="28"/>
        </w:rPr>
        <w:t>.</w:t>
      </w:r>
    </w:p>
    <w:p w:rsidR="004F6693" w:rsidRDefault="004F6693" w:rsidP="007E753A">
      <w:pPr>
        <w:spacing w:line="240" w:lineRule="auto"/>
        <w:jc w:val="both"/>
        <w:rPr>
          <w:rFonts w:ascii="Times New Roman" w:hAnsi="Times New Roman" w:cs="Times New Roman"/>
          <w:sz w:val="28"/>
          <w:szCs w:val="28"/>
        </w:rPr>
      </w:pPr>
      <w:r w:rsidRPr="002339D6">
        <w:rPr>
          <w:rFonts w:ascii="Times New Roman" w:hAnsi="Times New Roman" w:cs="Times New Roman"/>
          <w:b/>
          <w:iCs/>
          <w:sz w:val="28"/>
          <w:szCs w:val="28"/>
        </w:rPr>
        <w:t>4.2</w:t>
      </w:r>
      <w:r w:rsidRPr="004F6693">
        <w:rPr>
          <w:rFonts w:ascii="Times New Roman" w:hAnsi="Times New Roman" w:cs="Times New Roman"/>
          <w:iCs/>
          <w:sz w:val="28"/>
          <w:szCs w:val="28"/>
        </w:rPr>
        <w:t xml:space="preserve">. </w:t>
      </w:r>
      <w:r>
        <w:rPr>
          <w:rFonts w:ascii="Times New Roman" w:hAnsi="Times New Roman" w:cs="Times New Roman"/>
          <w:iCs/>
          <w:sz w:val="28"/>
          <w:szCs w:val="28"/>
        </w:rPr>
        <w:t xml:space="preserve">Ulteriori principi </w:t>
      </w:r>
      <w:r w:rsidR="00EB22BA">
        <w:rPr>
          <w:rFonts w:ascii="Times New Roman" w:hAnsi="Times New Roman" w:cs="Times New Roman"/>
          <w:iCs/>
          <w:sz w:val="28"/>
          <w:szCs w:val="28"/>
        </w:rPr>
        <w:t>sono</w:t>
      </w:r>
      <w:r>
        <w:rPr>
          <w:rFonts w:ascii="Times New Roman" w:hAnsi="Times New Roman" w:cs="Times New Roman"/>
          <w:iCs/>
          <w:sz w:val="28"/>
          <w:szCs w:val="28"/>
        </w:rPr>
        <w:t xml:space="preserve"> stati affermati nella materia</w:t>
      </w:r>
      <w:r w:rsidR="00D6553F">
        <w:rPr>
          <w:rFonts w:ascii="Times New Roman" w:hAnsi="Times New Roman" w:cs="Times New Roman"/>
          <w:iCs/>
          <w:sz w:val="28"/>
          <w:szCs w:val="28"/>
        </w:rPr>
        <w:t>,</w:t>
      </w:r>
      <w:r>
        <w:rPr>
          <w:rFonts w:ascii="Times New Roman" w:hAnsi="Times New Roman" w:cs="Times New Roman"/>
          <w:iCs/>
          <w:sz w:val="28"/>
          <w:szCs w:val="28"/>
        </w:rPr>
        <w:t xml:space="preserve"> poco prima</w:t>
      </w:r>
      <w:r w:rsidR="00D6553F">
        <w:rPr>
          <w:rFonts w:ascii="Times New Roman" w:hAnsi="Times New Roman" w:cs="Times New Roman"/>
          <w:iCs/>
          <w:sz w:val="28"/>
          <w:szCs w:val="28"/>
        </w:rPr>
        <w:t>,</w:t>
      </w:r>
      <w:r>
        <w:rPr>
          <w:rFonts w:ascii="Times New Roman" w:hAnsi="Times New Roman" w:cs="Times New Roman"/>
          <w:iCs/>
          <w:sz w:val="28"/>
          <w:szCs w:val="28"/>
        </w:rPr>
        <w:t xml:space="preserve"> da</w:t>
      </w:r>
      <w:r w:rsidR="00DD6DBA">
        <w:rPr>
          <w:rFonts w:ascii="Times New Roman" w:hAnsi="Times New Roman" w:cs="Times New Roman"/>
          <w:iCs/>
          <w:sz w:val="28"/>
          <w:szCs w:val="28"/>
        </w:rPr>
        <w:t>lla</w:t>
      </w:r>
      <w:r>
        <w:rPr>
          <w:rFonts w:ascii="Times New Roman" w:hAnsi="Times New Roman" w:cs="Times New Roman"/>
          <w:iCs/>
          <w:sz w:val="28"/>
          <w:szCs w:val="28"/>
        </w:rPr>
        <w:t xml:space="preserve"> </w:t>
      </w:r>
      <w:r w:rsidR="00716200" w:rsidRPr="004F6693">
        <w:rPr>
          <w:rFonts w:ascii="Times New Roman" w:hAnsi="Times New Roman" w:cs="Times New Roman"/>
          <w:sz w:val="28"/>
          <w:szCs w:val="28"/>
        </w:rPr>
        <w:t>CGUE</w:t>
      </w:r>
      <w:r>
        <w:rPr>
          <w:rFonts w:ascii="Times New Roman" w:hAnsi="Times New Roman" w:cs="Times New Roman"/>
          <w:sz w:val="28"/>
          <w:szCs w:val="28"/>
        </w:rPr>
        <w:t xml:space="preserve"> con la sentenza della</w:t>
      </w:r>
      <w:r w:rsidR="00716200" w:rsidRPr="004F6693">
        <w:rPr>
          <w:rFonts w:ascii="Times New Roman" w:hAnsi="Times New Roman" w:cs="Times New Roman"/>
          <w:sz w:val="28"/>
          <w:szCs w:val="28"/>
        </w:rPr>
        <w:t xml:space="preserve"> sez. V, 12 maggio 2022, n. 377</w:t>
      </w:r>
      <w:r w:rsidR="00C56C7A" w:rsidRPr="004F6693">
        <w:rPr>
          <w:rFonts w:ascii="Times New Roman" w:hAnsi="Times New Roman" w:cs="Times New Roman"/>
          <w:sz w:val="28"/>
          <w:szCs w:val="28"/>
        </w:rPr>
        <w:t xml:space="preserve"> (</w:t>
      </w:r>
      <w:r>
        <w:rPr>
          <w:rFonts w:ascii="Times New Roman" w:hAnsi="Times New Roman" w:cs="Times New Roman"/>
          <w:sz w:val="28"/>
          <w:szCs w:val="28"/>
        </w:rPr>
        <w:t xml:space="preserve">caso </w:t>
      </w:r>
      <w:r w:rsidR="00C56C7A" w:rsidRPr="004F6693">
        <w:rPr>
          <w:rFonts w:ascii="Times New Roman" w:hAnsi="Times New Roman" w:cs="Times New Roman"/>
          <w:sz w:val="28"/>
          <w:szCs w:val="28"/>
        </w:rPr>
        <w:t>Servi</w:t>
      </w:r>
      <w:r w:rsidR="00FB014D" w:rsidRPr="004F6693">
        <w:rPr>
          <w:rFonts w:ascii="Times New Roman" w:hAnsi="Times New Roman" w:cs="Times New Roman"/>
          <w:sz w:val="28"/>
          <w:szCs w:val="28"/>
        </w:rPr>
        <w:t>zio</w:t>
      </w:r>
      <w:r w:rsidR="00C56C7A" w:rsidRPr="004F6693">
        <w:rPr>
          <w:rFonts w:ascii="Times New Roman" w:hAnsi="Times New Roman" w:cs="Times New Roman"/>
          <w:sz w:val="28"/>
          <w:szCs w:val="28"/>
        </w:rPr>
        <w:t xml:space="preserve"> elettrico nazionale</w:t>
      </w:r>
      <w:r>
        <w:rPr>
          <w:rFonts w:ascii="Times New Roman" w:hAnsi="Times New Roman" w:cs="Times New Roman"/>
          <w:sz w:val="28"/>
          <w:szCs w:val="28"/>
        </w:rPr>
        <w:t>), secondo cui:</w:t>
      </w:r>
    </w:p>
    <w:p w:rsidR="00716200" w:rsidRDefault="004F6693" w:rsidP="007E753A">
      <w:pPr>
        <w:spacing w:line="240" w:lineRule="auto"/>
        <w:jc w:val="both"/>
        <w:rPr>
          <w:rFonts w:ascii="Times New Roman" w:hAnsi="Times New Roman" w:cs="Times New Roman"/>
          <w:bCs/>
          <w:sz w:val="28"/>
          <w:szCs w:val="28"/>
        </w:rPr>
      </w:pPr>
      <w:r>
        <w:rPr>
          <w:rFonts w:ascii="Times New Roman" w:hAnsi="Times New Roman" w:cs="Times New Roman"/>
          <w:sz w:val="28"/>
          <w:szCs w:val="28"/>
        </w:rPr>
        <w:t>a) u</w:t>
      </w:r>
      <w:r w:rsidR="00716200" w:rsidRPr="004F6693">
        <w:rPr>
          <w:rFonts w:ascii="Times New Roman" w:hAnsi="Times New Roman" w:cs="Times New Roman"/>
          <w:bCs/>
          <w:sz w:val="28"/>
          <w:szCs w:val="28"/>
        </w:rPr>
        <w:t>na posizione dominante sfruttata in modo abusivo da più società figlie configura, salvo prova contraria, anche una responsabilità presunta della società madre</w:t>
      </w:r>
      <w:r>
        <w:rPr>
          <w:rStyle w:val="Rimandonotaapidipagina"/>
          <w:rFonts w:ascii="Times New Roman" w:hAnsi="Times New Roman" w:cs="Times New Roman"/>
          <w:bCs/>
          <w:sz w:val="28"/>
          <w:szCs w:val="28"/>
        </w:rPr>
        <w:footnoteReference w:id="15"/>
      </w:r>
      <w:r>
        <w:rPr>
          <w:rFonts w:ascii="Times New Roman" w:hAnsi="Times New Roman" w:cs="Times New Roman"/>
          <w:bCs/>
          <w:sz w:val="28"/>
          <w:szCs w:val="28"/>
        </w:rPr>
        <w:t>;</w:t>
      </w:r>
    </w:p>
    <w:p w:rsidR="00716200" w:rsidRDefault="004F6693" w:rsidP="007E753A">
      <w:pPr>
        <w:spacing w:line="240" w:lineRule="auto"/>
        <w:jc w:val="both"/>
        <w:rPr>
          <w:rFonts w:ascii="Times New Roman" w:hAnsi="Times New Roman" w:cs="Times New Roman"/>
          <w:bCs/>
          <w:sz w:val="28"/>
          <w:szCs w:val="28"/>
        </w:rPr>
      </w:pPr>
      <w:r w:rsidRPr="004F6693">
        <w:rPr>
          <w:rFonts w:ascii="Times New Roman" w:hAnsi="Times New Roman" w:cs="Times New Roman"/>
          <w:bCs/>
          <w:sz w:val="28"/>
          <w:szCs w:val="28"/>
        </w:rPr>
        <w:t>b) u</w:t>
      </w:r>
      <w:r w:rsidR="00716200" w:rsidRPr="004F6693">
        <w:rPr>
          <w:rFonts w:ascii="Times New Roman" w:hAnsi="Times New Roman" w:cs="Times New Roman"/>
          <w:bCs/>
          <w:sz w:val="28"/>
          <w:szCs w:val="28"/>
        </w:rPr>
        <w:t>na pratica lecita se attuata da un'impresa in posizione dominante può diventare abusiva</w:t>
      </w:r>
      <w:r>
        <w:rPr>
          <w:rStyle w:val="Rimandonotaapidipagina"/>
          <w:rFonts w:ascii="Times New Roman" w:hAnsi="Times New Roman" w:cs="Times New Roman"/>
          <w:bCs/>
          <w:sz w:val="28"/>
          <w:szCs w:val="28"/>
        </w:rPr>
        <w:footnoteReference w:id="16"/>
      </w:r>
      <w:r>
        <w:rPr>
          <w:rFonts w:ascii="Times New Roman" w:hAnsi="Times New Roman" w:cs="Times New Roman"/>
          <w:bCs/>
          <w:sz w:val="28"/>
          <w:szCs w:val="28"/>
        </w:rPr>
        <w:t>;</w:t>
      </w:r>
    </w:p>
    <w:p w:rsidR="00716200" w:rsidRDefault="004F6693" w:rsidP="007E753A">
      <w:pPr>
        <w:spacing w:line="240" w:lineRule="auto"/>
        <w:jc w:val="both"/>
        <w:rPr>
          <w:rFonts w:ascii="Times New Roman" w:hAnsi="Times New Roman" w:cs="Times New Roman"/>
          <w:bCs/>
          <w:sz w:val="28"/>
          <w:szCs w:val="28"/>
        </w:rPr>
      </w:pPr>
      <w:r w:rsidRPr="004F6693">
        <w:rPr>
          <w:rFonts w:ascii="Times New Roman" w:hAnsi="Times New Roman" w:cs="Times New Roman"/>
          <w:bCs/>
          <w:sz w:val="28"/>
          <w:szCs w:val="28"/>
        </w:rPr>
        <w:t>c) u</w:t>
      </w:r>
      <w:r w:rsidR="00716200" w:rsidRPr="004F6693">
        <w:rPr>
          <w:rFonts w:ascii="Times New Roman" w:hAnsi="Times New Roman" w:cs="Times New Roman"/>
          <w:bCs/>
          <w:sz w:val="28"/>
          <w:szCs w:val="28"/>
        </w:rPr>
        <w:t>na pratica escludente anticoncorrenziale di una società in posizione dominante non va valutata in base all'intento ma all'effetto</w:t>
      </w:r>
      <w:r>
        <w:rPr>
          <w:rStyle w:val="Rimandonotaapidipagina"/>
          <w:rFonts w:ascii="Times New Roman" w:hAnsi="Times New Roman" w:cs="Times New Roman"/>
          <w:bCs/>
          <w:sz w:val="28"/>
          <w:szCs w:val="28"/>
        </w:rPr>
        <w:footnoteReference w:id="17"/>
      </w:r>
      <w:r>
        <w:rPr>
          <w:rFonts w:ascii="Times New Roman" w:hAnsi="Times New Roman" w:cs="Times New Roman"/>
          <w:bCs/>
          <w:sz w:val="28"/>
          <w:szCs w:val="28"/>
        </w:rPr>
        <w:t>;</w:t>
      </w:r>
    </w:p>
    <w:p w:rsidR="00C44C19" w:rsidRPr="004F6693" w:rsidRDefault="004F6693" w:rsidP="007E753A">
      <w:pPr>
        <w:spacing w:line="240" w:lineRule="auto"/>
        <w:jc w:val="both"/>
        <w:rPr>
          <w:rFonts w:ascii="Times New Roman" w:hAnsi="Times New Roman" w:cs="Times New Roman"/>
          <w:bCs/>
          <w:sz w:val="28"/>
          <w:szCs w:val="28"/>
        </w:rPr>
      </w:pPr>
      <w:r w:rsidRPr="004F6693">
        <w:rPr>
          <w:rFonts w:ascii="Times New Roman" w:hAnsi="Times New Roman" w:cs="Times New Roman"/>
          <w:bCs/>
          <w:sz w:val="28"/>
          <w:szCs w:val="28"/>
        </w:rPr>
        <w:t>d) c</w:t>
      </w:r>
      <w:r w:rsidR="00C44C19" w:rsidRPr="004F6693">
        <w:rPr>
          <w:rFonts w:ascii="Times New Roman" w:hAnsi="Times New Roman" w:cs="Times New Roman"/>
          <w:bCs/>
          <w:sz w:val="28"/>
          <w:szCs w:val="28"/>
        </w:rPr>
        <w:t>ostituisce solo un indizio</w:t>
      </w:r>
      <w:r w:rsidR="00D6553F">
        <w:rPr>
          <w:rFonts w:ascii="Times New Roman" w:hAnsi="Times New Roman" w:cs="Times New Roman"/>
          <w:bCs/>
          <w:sz w:val="28"/>
          <w:szCs w:val="28"/>
        </w:rPr>
        <w:t>,</w:t>
      </w:r>
      <w:r w:rsidR="00C44C19" w:rsidRPr="004F6693">
        <w:rPr>
          <w:rFonts w:ascii="Times New Roman" w:hAnsi="Times New Roman" w:cs="Times New Roman"/>
          <w:bCs/>
          <w:sz w:val="28"/>
          <w:szCs w:val="28"/>
        </w:rPr>
        <w:t xml:space="preserve"> e non una prova</w:t>
      </w:r>
      <w:r w:rsidR="00D6553F">
        <w:rPr>
          <w:rFonts w:ascii="Times New Roman" w:hAnsi="Times New Roman" w:cs="Times New Roman"/>
          <w:bCs/>
          <w:sz w:val="28"/>
          <w:szCs w:val="28"/>
        </w:rPr>
        <w:t>,</w:t>
      </w:r>
      <w:r w:rsidR="00C44C19" w:rsidRPr="004F6693">
        <w:rPr>
          <w:rFonts w:ascii="Times New Roman" w:hAnsi="Times New Roman" w:cs="Times New Roman"/>
          <w:bCs/>
          <w:sz w:val="28"/>
          <w:szCs w:val="28"/>
        </w:rPr>
        <w:t xml:space="preserve"> il fatto che una condotta di posizione dominante non </w:t>
      </w:r>
      <w:r w:rsidR="00EB22BA">
        <w:rPr>
          <w:rFonts w:ascii="Times New Roman" w:hAnsi="Times New Roman" w:cs="Times New Roman"/>
          <w:bCs/>
          <w:sz w:val="28"/>
          <w:szCs w:val="28"/>
        </w:rPr>
        <w:t>abbia</w:t>
      </w:r>
      <w:r w:rsidR="00C44C19" w:rsidRPr="004F6693">
        <w:rPr>
          <w:rFonts w:ascii="Times New Roman" w:hAnsi="Times New Roman" w:cs="Times New Roman"/>
          <w:bCs/>
          <w:sz w:val="28"/>
          <w:szCs w:val="28"/>
        </w:rPr>
        <w:t xml:space="preserve"> prodotto effetti restrittivi concreti</w:t>
      </w:r>
      <w:r>
        <w:rPr>
          <w:rStyle w:val="Rimandonotaapidipagina"/>
          <w:rFonts w:ascii="Times New Roman" w:hAnsi="Times New Roman" w:cs="Times New Roman"/>
          <w:bCs/>
          <w:sz w:val="28"/>
          <w:szCs w:val="28"/>
        </w:rPr>
        <w:footnoteReference w:id="18"/>
      </w:r>
      <w:r w:rsidR="00733FC6" w:rsidRPr="004F6693">
        <w:rPr>
          <w:rFonts w:ascii="Times New Roman" w:hAnsi="Times New Roman" w:cs="Times New Roman"/>
          <w:bCs/>
          <w:sz w:val="28"/>
          <w:szCs w:val="28"/>
        </w:rPr>
        <w:t>.</w:t>
      </w:r>
    </w:p>
    <w:p w:rsidR="00DD6DBA" w:rsidRDefault="002339D6" w:rsidP="007E753A">
      <w:pPr>
        <w:spacing w:line="240" w:lineRule="auto"/>
        <w:jc w:val="both"/>
        <w:rPr>
          <w:rFonts w:ascii="Times New Roman" w:hAnsi="Times New Roman" w:cs="Times New Roman"/>
          <w:sz w:val="28"/>
          <w:szCs w:val="28"/>
        </w:rPr>
      </w:pPr>
      <w:r w:rsidRPr="002339D6">
        <w:rPr>
          <w:rFonts w:ascii="Times New Roman" w:hAnsi="Times New Roman" w:cs="Times New Roman"/>
          <w:b/>
          <w:sz w:val="28"/>
          <w:szCs w:val="28"/>
        </w:rPr>
        <w:t>4.3.</w:t>
      </w:r>
      <w:r w:rsidRPr="002339D6">
        <w:rPr>
          <w:rFonts w:ascii="Times New Roman" w:hAnsi="Times New Roman" w:cs="Times New Roman"/>
          <w:sz w:val="28"/>
          <w:szCs w:val="28"/>
        </w:rPr>
        <w:t xml:space="preserve"> Viene ribadita </w:t>
      </w:r>
      <w:r w:rsidR="00733FC6" w:rsidRPr="002339D6">
        <w:rPr>
          <w:rFonts w:ascii="Times New Roman" w:hAnsi="Times New Roman" w:cs="Times New Roman"/>
          <w:sz w:val="28"/>
          <w:szCs w:val="28"/>
        </w:rPr>
        <w:t xml:space="preserve">la </w:t>
      </w:r>
      <w:r w:rsidR="00733FC6" w:rsidRPr="002339D6">
        <w:rPr>
          <w:rFonts w:ascii="Times New Roman" w:hAnsi="Times New Roman" w:cs="Times New Roman"/>
          <w:i/>
          <w:sz w:val="28"/>
          <w:szCs w:val="28"/>
        </w:rPr>
        <w:t>full j</w:t>
      </w:r>
      <w:r w:rsidR="000C56EC" w:rsidRPr="002339D6">
        <w:rPr>
          <w:rFonts w:ascii="Times New Roman" w:hAnsi="Times New Roman" w:cs="Times New Roman"/>
          <w:i/>
          <w:sz w:val="28"/>
          <w:szCs w:val="28"/>
        </w:rPr>
        <w:t>urisdiction</w:t>
      </w:r>
      <w:r w:rsidR="002A1204" w:rsidRPr="002339D6">
        <w:rPr>
          <w:rFonts w:ascii="Times New Roman" w:hAnsi="Times New Roman" w:cs="Times New Roman"/>
          <w:i/>
          <w:sz w:val="28"/>
          <w:szCs w:val="28"/>
        </w:rPr>
        <w:t xml:space="preserve"> </w:t>
      </w:r>
      <w:r>
        <w:rPr>
          <w:rFonts w:ascii="Times New Roman" w:hAnsi="Times New Roman" w:cs="Times New Roman"/>
          <w:sz w:val="28"/>
          <w:szCs w:val="28"/>
        </w:rPr>
        <w:t>del giudice amm</w:t>
      </w:r>
      <w:r w:rsidRPr="002339D6">
        <w:rPr>
          <w:rFonts w:ascii="Times New Roman" w:hAnsi="Times New Roman" w:cs="Times New Roman"/>
          <w:sz w:val="28"/>
          <w:szCs w:val="28"/>
        </w:rPr>
        <w:t>inistrativo</w:t>
      </w:r>
      <w:r>
        <w:rPr>
          <w:rFonts w:ascii="Times New Roman" w:hAnsi="Times New Roman" w:cs="Times New Roman"/>
          <w:sz w:val="28"/>
          <w:szCs w:val="28"/>
        </w:rPr>
        <w:t xml:space="preserve"> (C</w:t>
      </w:r>
      <w:r w:rsidR="000C56EC" w:rsidRPr="002339D6">
        <w:rPr>
          <w:rFonts w:ascii="Times New Roman" w:hAnsi="Times New Roman" w:cs="Times New Roman"/>
          <w:sz w:val="28"/>
          <w:szCs w:val="28"/>
        </w:rPr>
        <w:t>ons. Stato, VI, 1 giugno 2023, n. 5413, ordinanza).</w:t>
      </w:r>
      <w:r>
        <w:rPr>
          <w:rFonts w:ascii="Times New Roman" w:hAnsi="Times New Roman" w:cs="Times New Roman"/>
          <w:sz w:val="28"/>
          <w:szCs w:val="28"/>
        </w:rPr>
        <w:t xml:space="preserve"> Ossia la p</w:t>
      </w:r>
      <w:r w:rsidR="00B451D5" w:rsidRPr="002339D6">
        <w:rPr>
          <w:rFonts w:ascii="Times New Roman" w:hAnsi="Times New Roman" w:cs="Times New Roman"/>
          <w:sz w:val="28"/>
          <w:szCs w:val="28"/>
        </w:rPr>
        <w:t>iena conoscenza</w:t>
      </w:r>
      <w:r>
        <w:rPr>
          <w:rFonts w:ascii="Times New Roman" w:hAnsi="Times New Roman" w:cs="Times New Roman"/>
          <w:sz w:val="28"/>
          <w:szCs w:val="28"/>
        </w:rPr>
        <w:t>, da parte dello stesso,</w:t>
      </w:r>
      <w:r w:rsidR="00B451D5" w:rsidRPr="002339D6">
        <w:rPr>
          <w:rFonts w:ascii="Times New Roman" w:hAnsi="Times New Roman" w:cs="Times New Roman"/>
          <w:sz w:val="28"/>
          <w:szCs w:val="28"/>
        </w:rPr>
        <w:t xml:space="preserve"> del fatto e del percorso intellettivo e volitivo seguito dall’amministrazione</w:t>
      </w:r>
      <w:r>
        <w:rPr>
          <w:rFonts w:ascii="Times New Roman" w:hAnsi="Times New Roman" w:cs="Times New Roman"/>
          <w:sz w:val="28"/>
          <w:szCs w:val="28"/>
        </w:rPr>
        <w:t>.</w:t>
      </w:r>
    </w:p>
    <w:p w:rsidR="002339D6" w:rsidRDefault="00EB22BA" w:rsidP="007E753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Ulteriore </w:t>
      </w:r>
      <w:r w:rsidR="00DD6DBA">
        <w:rPr>
          <w:rFonts w:ascii="Times New Roman" w:hAnsi="Times New Roman" w:cs="Times New Roman"/>
          <w:sz w:val="28"/>
          <w:szCs w:val="28"/>
        </w:rPr>
        <w:t>punto fermo</w:t>
      </w:r>
      <w:r>
        <w:rPr>
          <w:rFonts w:ascii="Times New Roman" w:hAnsi="Times New Roman" w:cs="Times New Roman"/>
          <w:sz w:val="28"/>
          <w:szCs w:val="28"/>
        </w:rPr>
        <w:t xml:space="preserve"> sulla strada dell’abbandono definitivo del cosiddetto sindacato debole. Non c’è più la differenza tra sindacato debole e forte del giudice amministrativo sul potere dell’AGCM; c’è solo il sindacato (pieno) sull’esercizio potere della pubblica amministrazione. Con l’unico limite, per il giudice amministrativo, dell’impossibilità di sostituirsi all’amministrazione; ossia di entrare nel cosiddetto merito amministrativo.</w:t>
      </w:r>
    </w:p>
    <w:p w:rsidR="00B451D5" w:rsidRPr="002339D6" w:rsidRDefault="00EB22BA" w:rsidP="007E753A">
      <w:pPr>
        <w:spacing w:line="240" w:lineRule="auto"/>
        <w:jc w:val="both"/>
        <w:rPr>
          <w:rFonts w:ascii="Times New Roman" w:hAnsi="Times New Roman" w:cs="Times New Roman"/>
          <w:sz w:val="28"/>
          <w:szCs w:val="28"/>
        </w:rPr>
      </w:pPr>
      <w:r>
        <w:rPr>
          <w:rFonts w:ascii="Times New Roman" w:hAnsi="Times New Roman" w:cs="Times New Roman"/>
          <w:sz w:val="28"/>
          <w:szCs w:val="28"/>
        </w:rPr>
        <w:t>Così che,</w:t>
      </w:r>
      <w:r w:rsidR="00DD6DBA">
        <w:rPr>
          <w:rFonts w:ascii="Times New Roman" w:hAnsi="Times New Roman" w:cs="Times New Roman"/>
          <w:sz w:val="28"/>
          <w:szCs w:val="28"/>
        </w:rPr>
        <w:t xml:space="preserve"> con </w:t>
      </w:r>
      <w:r>
        <w:rPr>
          <w:rFonts w:ascii="Times New Roman" w:hAnsi="Times New Roman" w:cs="Times New Roman"/>
          <w:sz w:val="28"/>
          <w:szCs w:val="28"/>
        </w:rPr>
        <w:t xml:space="preserve">la detta </w:t>
      </w:r>
      <w:r w:rsidR="00DD6DBA">
        <w:rPr>
          <w:rFonts w:ascii="Times New Roman" w:hAnsi="Times New Roman" w:cs="Times New Roman"/>
          <w:sz w:val="28"/>
          <w:szCs w:val="28"/>
        </w:rPr>
        <w:t>ordinanza</w:t>
      </w:r>
      <w:r>
        <w:rPr>
          <w:rFonts w:ascii="Times New Roman" w:hAnsi="Times New Roman" w:cs="Times New Roman"/>
          <w:sz w:val="28"/>
          <w:szCs w:val="28"/>
        </w:rPr>
        <w:t xml:space="preserve">, il Consiglio di Stato </w:t>
      </w:r>
      <w:r w:rsidR="00B451D5" w:rsidRPr="002339D6">
        <w:rPr>
          <w:rFonts w:ascii="Times New Roman" w:hAnsi="Times New Roman" w:cs="Times New Roman"/>
          <w:sz w:val="28"/>
          <w:szCs w:val="28"/>
        </w:rPr>
        <w:t xml:space="preserve">ammette la </w:t>
      </w:r>
      <w:r w:rsidR="002339D6">
        <w:rPr>
          <w:rFonts w:ascii="Times New Roman" w:hAnsi="Times New Roman" w:cs="Times New Roman"/>
          <w:sz w:val="28"/>
          <w:szCs w:val="28"/>
        </w:rPr>
        <w:t>consulenza tecnica di ufficio</w:t>
      </w:r>
      <w:r w:rsidR="00B451D5" w:rsidRPr="002339D6">
        <w:rPr>
          <w:rFonts w:ascii="Times New Roman" w:hAnsi="Times New Roman" w:cs="Times New Roman"/>
          <w:sz w:val="28"/>
          <w:szCs w:val="28"/>
        </w:rPr>
        <w:t xml:space="preserve"> al </w:t>
      </w:r>
      <w:r w:rsidR="002339D6">
        <w:rPr>
          <w:rFonts w:ascii="Times New Roman" w:hAnsi="Times New Roman" w:cs="Times New Roman"/>
          <w:sz w:val="28"/>
          <w:szCs w:val="28"/>
        </w:rPr>
        <w:t>fine di verificare se l’AGCM</w:t>
      </w:r>
      <w:r w:rsidR="00B451D5" w:rsidRPr="002339D6">
        <w:rPr>
          <w:rFonts w:ascii="Times New Roman" w:hAnsi="Times New Roman" w:cs="Times New Roman"/>
          <w:sz w:val="28"/>
          <w:szCs w:val="28"/>
        </w:rPr>
        <w:t xml:space="preserve"> </w:t>
      </w:r>
      <w:r>
        <w:rPr>
          <w:rFonts w:ascii="Times New Roman" w:hAnsi="Times New Roman" w:cs="Times New Roman"/>
          <w:sz w:val="28"/>
          <w:szCs w:val="28"/>
        </w:rPr>
        <w:t>abbia</w:t>
      </w:r>
      <w:r w:rsidR="00B451D5" w:rsidRPr="002339D6">
        <w:rPr>
          <w:rFonts w:ascii="Times New Roman" w:hAnsi="Times New Roman" w:cs="Times New Roman"/>
          <w:sz w:val="28"/>
          <w:szCs w:val="28"/>
        </w:rPr>
        <w:t xml:space="preserve"> violato il principio di ragionevolezza tecnica, senza che sia consentito sostituire le valutazioni, anche opinabili, dell’ammini</w:t>
      </w:r>
      <w:r w:rsidR="002A1204" w:rsidRPr="002339D6">
        <w:rPr>
          <w:rFonts w:ascii="Times New Roman" w:hAnsi="Times New Roman" w:cs="Times New Roman"/>
          <w:sz w:val="28"/>
          <w:szCs w:val="28"/>
        </w:rPr>
        <w:t>strazione con quelle giudiziali.</w:t>
      </w:r>
    </w:p>
    <w:p w:rsidR="002339D6" w:rsidRDefault="002339D6" w:rsidP="007E753A">
      <w:pPr>
        <w:spacing w:line="240" w:lineRule="auto"/>
        <w:jc w:val="both"/>
        <w:rPr>
          <w:rFonts w:ascii="Times New Roman" w:hAnsi="Times New Roman" w:cs="Times New Roman"/>
          <w:sz w:val="28"/>
          <w:szCs w:val="28"/>
        </w:rPr>
      </w:pPr>
      <w:r w:rsidRPr="002339D6">
        <w:rPr>
          <w:rFonts w:ascii="Times New Roman" w:hAnsi="Times New Roman" w:cs="Times New Roman"/>
          <w:b/>
          <w:sz w:val="28"/>
          <w:szCs w:val="28"/>
        </w:rPr>
        <w:t>4.4.</w:t>
      </w:r>
      <w:r>
        <w:rPr>
          <w:rFonts w:ascii="Times New Roman" w:hAnsi="Times New Roman" w:cs="Times New Roman"/>
          <w:sz w:val="28"/>
          <w:szCs w:val="28"/>
        </w:rPr>
        <w:t xml:space="preserve"> In una controversia </w:t>
      </w:r>
      <w:r w:rsidR="00DD6DBA">
        <w:rPr>
          <w:rFonts w:ascii="Times New Roman" w:hAnsi="Times New Roman" w:cs="Times New Roman"/>
          <w:sz w:val="28"/>
          <w:szCs w:val="28"/>
        </w:rPr>
        <w:t xml:space="preserve">avente </w:t>
      </w:r>
      <w:r>
        <w:rPr>
          <w:rFonts w:ascii="Times New Roman" w:hAnsi="Times New Roman" w:cs="Times New Roman"/>
          <w:sz w:val="28"/>
          <w:szCs w:val="28"/>
        </w:rPr>
        <w:t>ad oggetto il r</w:t>
      </w:r>
      <w:r w:rsidR="004570CC" w:rsidRPr="002339D6">
        <w:rPr>
          <w:rFonts w:ascii="Times New Roman" w:hAnsi="Times New Roman" w:cs="Times New Roman"/>
          <w:bCs/>
          <w:sz w:val="28"/>
          <w:szCs w:val="28"/>
        </w:rPr>
        <w:t>ifiuto</w:t>
      </w:r>
      <w:r>
        <w:rPr>
          <w:rFonts w:ascii="Times New Roman" w:hAnsi="Times New Roman" w:cs="Times New Roman"/>
          <w:bCs/>
          <w:sz w:val="28"/>
          <w:szCs w:val="28"/>
        </w:rPr>
        <w:t xml:space="preserve">, presunto </w:t>
      </w:r>
      <w:r w:rsidR="004570CC" w:rsidRPr="002339D6">
        <w:rPr>
          <w:rFonts w:ascii="Times New Roman" w:hAnsi="Times New Roman" w:cs="Times New Roman"/>
          <w:bCs/>
          <w:sz w:val="28"/>
          <w:szCs w:val="28"/>
        </w:rPr>
        <w:t>abusivo</w:t>
      </w:r>
      <w:r>
        <w:rPr>
          <w:rFonts w:ascii="Times New Roman" w:hAnsi="Times New Roman" w:cs="Times New Roman"/>
          <w:bCs/>
          <w:sz w:val="28"/>
          <w:szCs w:val="28"/>
        </w:rPr>
        <w:t>, da parte di un’impresa in posizione dominante,</w:t>
      </w:r>
      <w:r w:rsidR="004570CC" w:rsidRPr="002339D6">
        <w:rPr>
          <w:rFonts w:ascii="Times New Roman" w:hAnsi="Times New Roman" w:cs="Times New Roman"/>
          <w:bCs/>
          <w:sz w:val="28"/>
          <w:szCs w:val="28"/>
        </w:rPr>
        <w:t xml:space="preserve"> di fornitura nei mercati digitali</w:t>
      </w:r>
      <w:r>
        <w:rPr>
          <w:rFonts w:ascii="Times New Roman" w:hAnsi="Times New Roman" w:cs="Times New Roman"/>
          <w:bCs/>
          <w:sz w:val="28"/>
          <w:szCs w:val="28"/>
        </w:rPr>
        <w:t>, il Consiglio di Stato ha posto una serie di quesiti alla CGUE (</w:t>
      </w:r>
      <w:r w:rsidR="004570CC" w:rsidRPr="002339D6">
        <w:rPr>
          <w:rFonts w:ascii="Times New Roman" w:hAnsi="Times New Roman" w:cs="Times New Roman"/>
          <w:sz w:val="28"/>
          <w:szCs w:val="28"/>
        </w:rPr>
        <w:t>sez</w:t>
      </w:r>
      <w:r w:rsidR="00D53615">
        <w:rPr>
          <w:rFonts w:ascii="Times New Roman" w:hAnsi="Times New Roman" w:cs="Times New Roman"/>
          <w:sz w:val="28"/>
          <w:szCs w:val="28"/>
        </w:rPr>
        <w:t>.</w:t>
      </w:r>
      <w:r w:rsidR="004570CC" w:rsidRPr="002339D6">
        <w:rPr>
          <w:rFonts w:ascii="Times New Roman" w:hAnsi="Times New Roman" w:cs="Times New Roman"/>
          <w:sz w:val="28"/>
          <w:szCs w:val="28"/>
        </w:rPr>
        <w:t xml:space="preserve"> VI, 7 aprile 2023, n. 5384</w:t>
      </w:r>
      <w:r w:rsidR="00733FC6" w:rsidRPr="002339D6">
        <w:rPr>
          <w:rFonts w:ascii="Times New Roman" w:hAnsi="Times New Roman" w:cs="Times New Roman"/>
          <w:sz w:val="28"/>
          <w:szCs w:val="28"/>
        </w:rPr>
        <w:t>, ordinanza</w:t>
      </w:r>
      <w:r>
        <w:rPr>
          <w:rFonts w:ascii="Times New Roman" w:hAnsi="Times New Roman" w:cs="Times New Roman"/>
          <w:sz w:val="28"/>
          <w:szCs w:val="28"/>
        </w:rPr>
        <w:t>).</w:t>
      </w:r>
      <w:r w:rsidR="00D53615">
        <w:rPr>
          <w:rFonts w:ascii="Times New Roman" w:hAnsi="Times New Roman" w:cs="Times New Roman"/>
          <w:sz w:val="28"/>
          <w:szCs w:val="28"/>
        </w:rPr>
        <w:t xml:space="preserve"> Soprattutto in tema di </w:t>
      </w:r>
      <w:r w:rsidR="00D53615" w:rsidRPr="00D53615">
        <w:rPr>
          <w:rFonts w:ascii="Times New Roman" w:hAnsi="Times New Roman" w:cs="Times New Roman"/>
          <w:sz w:val="28"/>
          <w:szCs w:val="28"/>
        </w:rPr>
        <w:t>indispensabilità del prodotto oggetto di un rifiuto di fornitura</w:t>
      </w:r>
      <w:r w:rsidR="00D53615">
        <w:rPr>
          <w:rFonts w:ascii="Times New Roman" w:hAnsi="Times New Roman" w:cs="Times New Roman"/>
          <w:sz w:val="28"/>
          <w:szCs w:val="28"/>
        </w:rPr>
        <w:t xml:space="preserve"> e di necessità, o meno, da parte dell’impresa in posizione dominate, di fissare </w:t>
      </w:r>
      <w:r w:rsidR="00DD6DBA">
        <w:rPr>
          <w:rFonts w:ascii="Times New Roman" w:hAnsi="Times New Roman" w:cs="Times New Roman"/>
          <w:sz w:val="28"/>
          <w:szCs w:val="28"/>
        </w:rPr>
        <w:t xml:space="preserve">preventivamente </w:t>
      </w:r>
      <w:r w:rsidR="00D53615">
        <w:rPr>
          <w:rFonts w:ascii="Times New Roman" w:hAnsi="Times New Roman" w:cs="Times New Roman"/>
          <w:sz w:val="28"/>
          <w:szCs w:val="28"/>
        </w:rPr>
        <w:t>criteri per esaminare le richieste che le vengono presentate</w:t>
      </w:r>
      <w:r w:rsidR="00EB22BA">
        <w:rPr>
          <w:rStyle w:val="Rimandonotaapidipagina"/>
          <w:rFonts w:ascii="Times New Roman" w:hAnsi="Times New Roman" w:cs="Times New Roman"/>
          <w:sz w:val="28"/>
          <w:szCs w:val="28"/>
        </w:rPr>
        <w:footnoteReference w:id="19"/>
      </w:r>
      <w:r w:rsidR="00D53615">
        <w:rPr>
          <w:rFonts w:ascii="Times New Roman" w:hAnsi="Times New Roman" w:cs="Times New Roman"/>
          <w:sz w:val="28"/>
          <w:szCs w:val="28"/>
        </w:rPr>
        <w:t>.</w:t>
      </w:r>
    </w:p>
    <w:p w:rsidR="00733FC6" w:rsidRPr="00D53615" w:rsidRDefault="00D53615" w:rsidP="007E753A">
      <w:pPr>
        <w:spacing w:line="240" w:lineRule="auto"/>
        <w:jc w:val="both"/>
        <w:rPr>
          <w:rFonts w:ascii="Times New Roman" w:hAnsi="Times New Roman" w:cs="Times New Roman"/>
          <w:bCs/>
          <w:sz w:val="28"/>
          <w:szCs w:val="28"/>
        </w:rPr>
      </w:pPr>
      <w:r w:rsidRPr="00D53615">
        <w:rPr>
          <w:rFonts w:ascii="Times New Roman" w:hAnsi="Times New Roman" w:cs="Times New Roman"/>
          <w:b/>
          <w:sz w:val="28"/>
          <w:szCs w:val="28"/>
        </w:rPr>
        <w:t>4.5.</w:t>
      </w:r>
      <w:r>
        <w:rPr>
          <w:rFonts w:ascii="Times New Roman" w:hAnsi="Times New Roman" w:cs="Times New Roman"/>
          <w:sz w:val="28"/>
          <w:szCs w:val="28"/>
        </w:rPr>
        <w:t xml:space="preserve"> </w:t>
      </w:r>
      <w:r w:rsidR="00963FC2">
        <w:rPr>
          <w:rFonts w:ascii="Times New Roman" w:hAnsi="Times New Roman" w:cs="Times New Roman"/>
          <w:sz w:val="28"/>
          <w:szCs w:val="28"/>
        </w:rPr>
        <w:t>Con riguardo ad u</w:t>
      </w:r>
      <w:r w:rsidRPr="00D53615">
        <w:rPr>
          <w:rFonts w:ascii="Times New Roman" w:hAnsi="Times New Roman" w:cs="Times New Roman"/>
          <w:sz w:val="28"/>
          <w:szCs w:val="28"/>
        </w:rPr>
        <w:t>n’operazione di concentrazione</w:t>
      </w:r>
      <w:r w:rsidR="00963FC2">
        <w:rPr>
          <w:rFonts w:ascii="Times New Roman" w:hAnsi="Times New Roman" w:cs="Times New Roman"/>
          <w:sz w:val="28"/>
          <w:szCs w:val="28"/>
        </w:rPr>
        <w:t>, si è ritenuto che essa possa assumere</w:t>
      </w:r>
      <w:r w:rsidRPr="00D53615">
        <w:rPr>
          <w:rFonts w:ascii="Times New Roman" w:hAnsi="Times New Roman" w:cs="Times New Roman"/>
          <w:sz w:val="28"/>
          <w:szCs w:val="28"/>
        </w:rPr>
        <w:t xml:space="preserve"> rilevan</w:t>
      </w:r>
      <w:r w:rsidR="00DD6DBA">
        <w:rPr>
          <w:rFonts w:ascii="Times New Roman" w:hAnsi="Times New Roman" w:cs="Times New Roman"/>
          <w:sz w:val="28"/>
          <w:szCs w:val="28"/>
        </w:rPr>
        <w:t>za</w:t>
      </w:r>
      <w:r w:rsidRPr="00D53615">
        <w:rPr>
          <w:rFonts w:ascii="Times New Roman" w:hAnsi="Times New Roman" w:cs="Times New Roman"/>
          <w:sz w:val="28"/>
          <w:szCs w:val="28"/>
        </w:rPr>
        <w:t xml:space="preserve"> anche non </w:t>
      </w:r>
      <w:r w:rsidR="00EB22BA">
        <w:rPr>
          <w:rFonts w:ascii="Times New Roman" w:hAnsi="Times New Roman" w:cs="Times New Roman"/>
          <w:sz w:val="28"/>
          <w:szCs w:val="28"/>
        </w:rPr>
        <w:t>di</w:t>
      </w:r>
      <w:r w:rsidRPr="00D53615">
        <w:rPr>
          <w:rFonts w:ascii="Times New Roman" w:hAnsi="Times New Roman" w:cs="Times New Roman"/>
          <w:sz w:val="28"/>
          <w:szCs w:val="28"/>
        </w:rPr>
        <w:t xml:space="preserve"> per sé ma com</w:t>
      </w:r>
      <w:r w:rsidR="00EB22BA">
        <w:rPr>
          <w:rFonts w:ascii="Times New Roman" w:hAnsi="Times New Roman" w:cs="Times New Roman"/>
          <w:sz w:val="28"/>
          <w:szCs w:val="28"/>
        </w:rPr>
        <w:t>e abuso di posizione dominante [</w:t>
      </w:r>
      <w:r w:rsidR="00733FC6" w:rsidRPr="00D53615">
        <w:rPr>
          <w:rFonts w:ascii="Times New Roman" w:hAnsi="Times New Roman" w:cs="Times New Roman"/>
          <w:sz w:val="28"/>
          <w:szCs w:val="28"/>
        </w:rPr>
        <w:t xml:space="preserve">CGUE, </w:t>
      </w:r>
      <w:r w:rsidR="00204A83" w:rsidRPr="00D53615">
        <w:rPr>
          <w:rFonts w:ascii="Times New Roman" w:hAnsi="Times New Roman" w:cs="Times New Roman"/>
          <w:bCs/>
          <w:sz w:val="28"/>
          <w:szCs w:val="28"/>
        </w:rPr>
        <w:t>sez. II, 16</w:t>
      </w:r>
      <w:r w:rsidR="002A1204" w:rsidRPr="00D53615">
        <w:rPr>
          <w:rFonts w:ascii="Times New Roman" w:hAnsi="Times New Roman" w:cs="Times New Roman"/>
          <w:bCs/>
          <w:sz w:val="28"/>
          <w:szCs w:val="28"/>
        </w:rPr>
        <w:t xml:space="preserve"> marzo </w:t>
      </w:r>
      <w:r w:rsidR="00204A83" w:rsidRPr="00D53615">
        <w:rPr>
          <w:rFonts w:ascii="Times New Roman" w:hAnsi="Times New Roman" w:cs="Times New Roman"/>
          <w:bCs/>
          <w:sz w:val="28"/>
          <w:szCs w:val="28"/>
        </w:rPr>
        <w:t>2023, n.</w:t>
      </w:r>
      <w:r w:rsidR="007201E8" w:rsidRPr="00D53615">
        <w:rPr>
          <w:rFonts w:ascii="Times New Roman" w:hAnsi="Times New Roman" w:cs="Times New Roman"/>
          <w:bCs/>
          <w:sz w:val="28"/>
          <w:szCs w:val="28"/>
        </w:rPr>
        <w:t xml:space="preserve"> </w:t>
      </w:r>
      <w:r w:rsidR="00204A83" w:rsidRPr="00D53615">
        <w:rPr>
          <w:rFonts w:ascii="Times New Roman" w:hAnsi="Times New Roman" w:cs="Times New Roman"/>
          <w:bCs/>
          <w:sz w:val="28"/>
          <w:szCs w:val="28"/>
        </w:rPr>
        <w:t>449</w:t>
      </w:r>
      <w:r>
        <w:rPr>
          <w:rFonts w:ascii="Times New Roman" w:hAnsi="Times New Roman" w:cs="Times New Roman"/>
          <w:bCs/>
          <w:sz w:val="28"/>
          <w:szCs w:val="28"/>
        </w:rPr>
        <w:t xml:space="preserve"> (C</w:t>
      </w:r>
      <w:r w:rsidRPr="00D53615">
        <w:rPr>
          <w:rFonts w:ascii="Times New Roman" w:hAnsi="Times New Roman" w:cs="Times New Roman"/>
          <w:bCs/>
          <w:sz w:val="28"/>
          <w:szCs w:val="28"/>
        </w:rPr>
        <w:t xml:space="preserve">aso </w:t>
      </w:r>
      <w:r w:rsidR="002B2C22">
        <w:rPr>
          <w:rFonts w:ascii="Times New Roman" w:hAnsi="Times New Roman" w:cs="Times New Roman"/>
          <w:bCs/>
          <w:sz w:val="28"/>
          <w:szCs w:val="28"/>
        </w:rPr>
        <w:t>T</w:t>
      </w:r>
      <w:r w:rsidRPr="00D53615">
        <w:rPr>
          <w:rFonts w:ascii="Times New Roman" w:hAnsi="Times New Roman" w:cs="Times New Roman"/>
          <w:bCs/>
          <w:sz w:val="28"/>
          <w:szCs w:val="28"/>
        </w:rPr>
        <w:t>owercast</w:t>
      </w:r>
      <w:r w:rsidR="00963FC2">
        <w:rPr>
          <w:rFonts w:ascii="Times New Roman" w:hAnsi="Times New Roman" w:cs="Times New Roman"/>
          <w:bCs/>
          <w:sz w:val="28"/>
          <w:szCs w:val="28"/>
        </w:rPr>
        <w:t>)</w:t>
      </w:r>
      <w:r w:rsidR="00EB22BA">
        <w:rPr>
          <w:rFonts w:ascii="Times New Roman" w:hAnsi="Times New Roman" w:cs="Times New Roman"/>
          <w:bCs/>
          <w:sz w:val="28"/>
          <w:szCs w:val="28"/>
        </w:rPr>
        <w:t>]</w:t>
      </w:r>
      <w:r w:rsidR="00E04E19">
        <w:rPr>
          <w:rStyle w:val="Rimandonotaapidipagina"/>
          <w:rFonts w:ascii="Times New Roman" w:hAnsi="Times New Roman" w:cs="Times New Roman"/>
          <w:bCs/>
          <w:sz w:val="28"/>
          <w:szCs w:val="28"/>
        </w:rPr>
        <w:footnoteReference w:id="20"/>
      </w:r>
      <w:r w:rsidRPr="00D53615">
        <w:rPr>
          <w:rFonts w:ascii="Times New Roman" w:hAnsi="Times New Roman" w:cs="Times New Roman"/>
          <w:bCs/>
          <w:sz w:val="28"/>
          <w:szCs w:val="28"/>
        </w:rPr>
        <w:t>.</w:t>
      </w:r>
    </w:p>
    <w:p w:rsidR="00733FC6" w:rsidRDefault="00D53615" w:rsidP="007E753A">
      <w:pPr>
        <w:spacing w:line="240" w:lineRule="auto"/>
        <w:jc w:val="both"/>
        <w:rPr>
          <w:rFonts w:ascii="Times New Roman" w:hAnsi="Times New Roman" w:cs="Times New Roman"/>
          <w:sz w:val="28"/>
          <w:szCs w:val="28"/>
        </w:rPr>
      </w:pPr>
      <w:r w:rsidRPr="00E137ED">
        <w:rPr>
          <w:rFonts w:ascii="Times New Roman" w:hAnsi="Times New Roman" w:cs="Times New Roman"/>
          <w:b/>
          <w:iCs/>
          <w:sz w:val="28"/>
          <w:szCs w:val="28"/>
        </w:rPr>
        <w:t>4.6.</w:t>
      </w:r>
      <w:r>
        <w:rPr>
          <w:rFonts w:ascii="Times New Roman" w:hAnsi="Times New Roman" w:cs="Times New Roman"/>
          <w:iCs/>
          <w:sz w:val="28"/>
          <w:szCs w:val="28"/>
        </w:rPr>
        <w:t xml:space="preserve"> </w:t>
      </w:r>
      <w:r w:rsidR="00E137ED" w:rsidRPr="00E137ED">
        <w:rPr>
          <w:rFonts w:ascii="Times New Roman" w:hAnsi="Times New Roman" w:cs="Times New Roman"/>
          <w:iCs/>
          <w:sz w:val="28"/>
          <w:szCs w:val="28"/>
        </w:rPr>
        <w:t>Infine</w:t>
      </w:r>
      <w:r w:rsidR="00E137ED">
        <w:rPr>
          <w:rFonts w:ascii="Times New Roman" w:hAnsi="Times New Roman" w:cs="Times New Roman"/>
          <w:iCs/>
          <w:sz w:val="28"/>
          <w:szCs w:val="28"/>
        </w:rPr>
        <w:t xml:space="preserve">, nell’ambito di una situazione </w:t>
      </w:r>
      <w:r w:rsidR="00E137ED" w:rsidRPr="00E137ED">
        <w:rPr>
          <w:rFonts w:ascii="Times New Roman" w:hAnsi="Times New Roman" w:cs="Times New Roman"/>
          <w:iCs/>
          <w:sz w:val="28"/>
          <w:szCs w:val="28"/>
        </w:rPr>
        <w:t>intra-gruppo</w:t>
      </w:r>
      <w:r w:rsidR="00963FC2">
        <w:rPr>
          <w:rFonts w:ascii="Times New Roman" w:hAnsi="Times New Roman" w:cs="Times New Roman"/>
          <w:iCs/>
          <w:sz w:val="28"/>
          <w:szCs w:val="28"/>
        </w:rPr>
        <w:t>,</w:t>
      </w:r>
      <w:r w:rsidR="00E137ED" w:rsidRPr="00E137ED">
        <w:rPr>
          <w:rFonts w:ascii="Times New Roman" w:hAnsi="Times New Roman" w:cs="Times New Roman"/>
          <w:iCs/>
          <w:sz w:val="28"/>
          <w:szCs w:val="28"/>
        </w:rPr>
        <w:t xml:space="preserve"> al fine di </w:t>
      </w:r>
      <w:r w:rsidR="00285534">
        <w:rPr>
          <w:rFonts w:ascii="Times New Roman" w:hAnsi="Times New Roman" w:cs="Times New Roman"/>
          <w:iCs/>
          <w:sz w:val="28"/>
          <w:szCs w:val="28"/>
        </w:rPr>
        <w:t>configurare un</w:t>
      </w:r>
      <w:r w:rsidR="00E137ED" w:rsidRPr="00E137ED">
        <w:rPr>
          <w:rFonts w:ascii="Times New Roman" w:hAnsi="Times New Roman" w:cs="Times New Roman"/>
          <w:iCs/>
          <w:sz w:val="28"/>
          <w:szCs w:val="28"/>
        </w:rPr>
        <w:t xml:space="preserve"> abuso di posizione dominante con effetti escludenti a da</w:t>
      </w:r>
      <w:r w:rsidR="00E137ED">
        <w:rPr>
          <w:rFonts w:ascii="Times New Roman" w:hAnsi="Times New Roman" w:cs="Times New Roman"/>
          <w:iCs/>
          <w:sz w:val="28"/>
          <w:szCs w:val="28"/>
        </w:rPr>
        <w:t xml:space="preserve">nno dei cittadini, </w:t>
      </w:r>
      <w:r w:rsidR="00E137ED" w:rsidRPr="00E137ED">
        <w:rPr>
          <w:rFonts w:ascii="Times New Roman" w:hAnsi="Times New Roman" w:cs="Times New Roman"/>
          <w:iCs/>
          <w:sz w:val="28"/>
          <w:szCs w:val="28"/>
        </w:rPr>
        <w:t xml:space="preserve">di rilevo </w:t>
      </w:r>
      <w:r w:rsidR="00733FC6" w:rsidRPr="00E137ED">
        <w:rPr>
          <w:rFonts w:ascii="Times New Roman" w:hAnsi="Times New Roman" w:cs="Times New Roman"/>
          <w:sz w:val="28"/>
          <w:szCs w:val="28"/>
        </w:rPr>
        <w:t>Cons. Stato, sez</w:t>
      </w:r>
      <w:r w:rsidR="00E137ED">
        <w:rPr>
          <w:rFonts w:ascii="Times New Roman" w:hAnsi="Times New Roman" w:cs="Times New Roman"/>
          <w:sz w:val="28"/>
          <w:szCs w:val="28"/>
        </w:rPr>
        <w:t>.</w:t>
      </w:r>
      <w:r w:rsidR="00733FC6" w:rsidRPr="00E137ED">
        <w:rPr>
          <w:rFonts w:ascii="Times New Roman" w:hAnsi="Times New Roman" w:cs="Times New Roman"/>
          <w:sz w:val="28"/>
          <w:szCs w:val="28"/>
        </w:rPr>
        <w:t xml:space="preserve"> VI, 1 marzo 2023, n. 2114</w:t>
      </w:r>
      <w:r w:rsidR="00E137ED">
        <w:rPr>
          <w:rFonts w:ascii="Times New Roman" w:hAnsi="Times New Roman" w:cs="Times New Roman"/>
          <w:sz w:val="28"/>
          <w:szCs w:val="28"/>
        </w:rPr>
        <w:t>, secondo cui:</w:t>
      </w:r>
    </w:p>
    <w:p w:rsidR="009525A9" w:rsidRPr="00E137ED" w:rsidRDefault="009525A9" w:rsidP="007E753A">
      <w:pPr>
        <w:spacing w:line="240" w:lineRule="auto"/>
        <w:jc w:val="both"/>
        <w:rPr>
          <w:rFonts w:ascii="Times New Roman" w:hAnsi="Times New Roman" w:cs="Times New Roman"/>
          <w:iCs/>
          <w:sz w:val="28"/>
          <w:szCs w:val="28"/>
        </w:rPr>
      </w:pPr>
      <w:r w:rsidRPr="009525A9">
        <w:rPr>
          <w:rFonts w:ascii="Times New Roman" w:hAnsi="Times New Roman" w:cs="Times New Roman"/>
          <w:sz w:val="28"/>
          <w:szCs w:val="28"/>
        </w:rPr>
        <w:t xml:space="preserve">- </w:t>
      </w:r>
      <w:r w:rsidRPr="009525A9">
        <w:rPr>
          <w:rFonts w:ascii="Times New Roman" w:hAnsi="Times New Roman" w:cs="Times New Roman"/>
          <w:i/>
          <w:iCs/>
          <w:sz w:val="28"/>
          <w:szCs w:val="28"/>
        </w:rPr>
        <w:t xml:space="preserve">“posto che il benessere dei consumatori, sia intermedi sia finali, costituisce l'obiettivo ultimo che giustifica l'intervento del diritto della concorrenza per reprimere lo sfruttamento abusivo di una posizione dominante sul mercato interno o su una parte sostanziale del medesimo, </w:t>
      </w:r>
      <w:r w:rsidRPr="00E137ED">
        <w:rPr>
          <w:rFonts w:ascii="Times New Roman" w:hAnsi="Times New Roman" w:cs="Times New Roman"/>
          <w:i/>
          <w:iCs/>
          <w:sz w:val="28"/>
          <w:szCs w:val="28"/>
        </w:rPr>
        <w:t>un'impresa che detiene una simile posizione può provare che una pratica escludente non incorre nel divieto di cui all'articolo 102 TUE, dimostrando che gli effetti che tale pratica può produrre sono controbilanciati, se non superati, da vantaggi in termini di efficienza che vanno a beneficio anche dei consumatori, in particolare in termini di prezzi, di scelta, di qualità o di innovazione” […]</w:t>
      </w:r>
      <w:r w:rsidR="00963FC2">
        <w:rPr>
          <w:rFonts w:ascii="Times New Roman" w:hAnsi="Times New Roman" w:cs="Times New Roman"/>
          <w:i/>
          <w:iCs/>
          <w:sz w:val="28"/>
          <w:szCs w:val="28"/>
        </w:rPr>
        <w:t>.</w:t>
      </w:r>
      <w:r w:rsidRPr="00E137ED">
        <w:rPr>
          <w:rFonts w:ascii="Times New Roman" w:hAnsi="Times New Roman" w:cs="Times New Roman"/>
          <w:i/>
          <w:iCs/>
          <w:sz w:val="28"/>
          <w:szCs w:val="28"/>
        </w:rPr>
        <w:t xml:space="preserve"> </w:t>
      </w:r>
      <w:r w:rsidRPr="00E137ED">
        <w:rPr>
          <w:rFonts w:ascii="Times New Roman" w:hAnsi="Times New Roman" w:cs="Times New Roman"/>
          <w:sz w:val="28"/>
          <w:szCs w:val="28"/>
        </w:rPr>
        <w:t>“</w:t>
      </w:r>
      <w:r w:rsidRPr="00E137ED">
        <w:rPr>
          <w:rFonts w:ascii="Times New Roman" w:hAnsi="Times New Roman" w:cs="Times New Roman"/>
          <w:i/>
          <w:iCs/>
          <w:sz w:val="28"/>
          <w:szCs w:val="28"/>
        </w:rPr>
        <w:t>Lo sfruttamento abusivo di una posizione dominante è una nozione oggettiva che non richiede la prova di un elemento intenzionale</w:t>
      </w:r>
      <w:r w:rsidR="00E137ED">
        <w:rPr>
          <w:rFonts w:ascii="Times New Roman" w:hAnsi="Times New Roman" w:cs="Times New Roman"/>
          <w:i/>
          <w:iCs/>
          <w:sz w:val="28"/>
          <w:szCs w:val="28"/>
        </w:rPr>
        <w:t>”</w:t>
      </w:r>
      <w:r w:rsidR="00E137ED">
        <w:rPr>
          <w:rFonts w:ascii="Times New Roman" w:hAnsi="Times New Roman" w:cs="Times New Roman"/>
          <w:iCs/>
          <w:sz w:val="28"/>
          <w:szCs w:val="28"/>
        </w:rPr>
        <w:t>;</w:t>
      </w:r>
    </w:p>
    <w:p w:rsidR="009525A9" w:rsidRDefault="009525A9" w:rsidP="007E753A">
      <w:pPr>
        <w:spacing w:line="240" w:lineRule="auto"/>
        <w:jc w:val="both"/>
        <w:rPr>
          <w:rFonts w:ascii="Times New Roman" w:hAnsi="Times New Roman" w:cs="Times New Roman"/>
          <w:iCs/>
          <w:sz w:val="28"/>
          <w:szCs w:val="28"/>
        </w:rPr>
      </w:pPr>
      <w:r w:rsidRPr="00E137ED">
        <w:rPr>
          <w:rFonts w:ascii="Times New Roman" w:hAnsi="Times New Roman" w:cs="Times New Roman"/>
          <w:sz w:val="28"/>
          <w:szCs w:val="28"/>
        </w:rPr>
        <w:t xml:space="preserve">- </w:t>
      </w:r>
      <w:r w:rsidRPr="00E137ED">
        <w:rPr>
          <w:rFonts w:ascii="Times New Roman" w:hAnsi="Times New Roman" w:cs="Times New Roman"/>
          <w:iCs/>
          <w:sz w:val="28"/>
          <w:szCs w:val="28"/>
        </w:rPr>
        <w:t>l’operazione di contestualizzazione del mercato</w:t>
      </w:r>
      <w:r w:rsidRPr="00E137ED">
        <w:rPr>
          <w:rFonts w:ascii="Times New Roman" w:hAnsi="Times New Roman" w:cs="Times New Roman"/>
          <w:i/>
          <w:iCs/>
          <w:sz w:val="28"/>
          <w:szCs w:val="28"/>
        </w:rPr>
        <w:t xml:space="preserve"> "implica margini di opinabilità, atteso il carattere di concetto giuridico indeterminato di detta nozione</w:t>
      </w:r>
      <w:r w:rsidR="00E137ED">
        <w:rPr>
          <w:rFonts w:ascii="Times New Roman" w:hAnsi="Times New Roman" w:cs="Times New Roman"/>
          <w:i/>
          <w:iCs/>
          <w:sz w:val="28"/>
          <w:szCs w:val="28"/>
        </w:rPr>
        <w:t>”</w:t>
      </w:r>
      <w:r w:rsidR="00E137ED">
        <w:rPr>
          <w:rFonts w:ascii="Times New Roman" w:hAnsi="Times New Roman" w:cs="Times New Roman"/>
          <w:iCs/>
          <w:sz w:val="28"/>
          <w:szCs w:val="28"/>
        </w:rPr>
        <w:t>;</w:t>
      </w:r>
    </w:p>
    <w:p w:rsidR="009525A9" w:rsidRDefault="009525A9" w:rsidP="007E753A">
      <w:pPr>
        <w:spacing w:line="240" w:lineRule="auto"/>
        <w:jc w:val="both"/>
        <w:rPr>
          <w:rFonts w:ascii="Times New Roman" w:hAnsi="Times New Roman" w:cs="Times New Roman"/>
          <w:sz w:val="28"/>
          <w:szCs w:val="28"/>
        </w:rPr>
      </w:pPr>
      <w:r w:rsidRPr="00E137ED">
        <w:rPr>
          <w:rFonts w:ascii="Times New Roman" w:hAnsi="Times New Roman" w:cs="Times New Roman"/>
          <w:sz w:val="28"/>
          <w:szCs w:val="28"/>
        </w:rPr>
        <w:t>- speciale responsabilità discende dalla posizione di dominanza dell’impresa sul mercato</w:t>
      </w:r>
      <w:r w:rsidR="00963FC2">
        <w:rPr>
          <w:rFonts w:ascii="Times New Roman" w:hAnsi="Times New Roman" w:cs="Times New Roman"/>
          <w:sz w:val="28"/>
          <w:szCs w:val="28"/>
        </w:rPr>
        <w:t>,</w:t>
      </w:r>
      <w:r w:rsidRPr="00E137ED">
        <w:rPr>
          <w:rFonts w:ascii="Times New Roman" w:hAnsi="Times New Roman" w:cs="Times New Roman"/>
          <w:sz w:val="28"/>
          <w:szCs w:val="28"/>
        </w:rPr>
        <w:t xml:space="preserve"> con </w:t>
      </w:r>
      <w:r w:rsidR="00DD6DBA">
        <w:rPr>
          <w:rFonts w:ascii="Times New Roman" w:hAnsi="Times New Roman" w:cs="Times New Roman"/>
          <w:sz w:val="28"/>
          <w:szCs w:val="28"/>
        </w:rPr>
        <w:t>il conseguente obbligo</w:t>
      </w:r>
      <w:r w:rsidRPr="00E137ED">
        <w:rPr>
          <w:rFonts w:ascii="Times New Roman" w:hAnsi="Times New Roman" w:cs="Times New Roman"/>
          <w:sz w:val="28"/>
          <w:szCs w:val="28"/>
        </w:rPr>
        <w:t xml:space="preserve"> di astenersi da comportamenti che avrebbero un effetto distorsivo proprio in quanto originati dalla dominanza (cfr</w:t>
      </w:r>
      <w:r w:rsidRPr="00E137ED">
        <w:rPr>
          <w:rFonts w:ascii="Times New Roman" w:hAnsi="Times New Roman" w:cs="Times New Roman"/>
          <w:bCs/>
          <w:sz w:val="28"/>
          <w:szCs w:val="28"/>
        </w:rPr>
        <w:t>. Cons</w:t>
      </w:r>
      <w:r w:rsidR="00733FC6" w:rsidRPr="00E137ED">
        <w:rPr>
          <w:rFonts w:ascii="Times New Roman" w:hAnsi="Times New Roman" w:cs="Times New Roman"/>
          <w:bCs/>
          <w:sz w:val="28"/>
          <w:szCs w:val="28"/>
        </w:rPr>
        <w:t xml:space="preserve">. </w:t>
      </w:r>
      <w:r w:rsidRPr="00E137ED">
        <w:rPr>
          <w:rFonts w:ascii="Times New Roman" w:hAnsi="Times New Roman" w:cs="Times New Roman"/>
          <w:bCs/>
          <w:sz w:val="28"/>
          <w:szCs w:val="28"/>
        </w:rPr>
        <w:t xml:space="preserve">Stato, </w:t>
      </w:r>
      <w:r w:rsidR="00E137ED">
        <w:rPr>
          <w:rFonts w:ascii="Times New Roman" w:hAnsi="Times New Roman" w:cs="Times New Roman"/>
          <w:bCs/>
          <w:sz w:val="28"/>
          <w:szCs w:val="28"/>
        </w:rPr>
        <w:t xml:space="preserve">sez. VI, </w:t>
      </w:r>
      <w:r w:rsidRPr="00E137ED">
        <w:rPr>
          <w:rFonts w:ascii="Times New Roman" w:hAnsi="Times New Roman" w:cs="Times New Roman"/>
          <w:bCs/>
          <w:sz w:val="28"/>
          <w:szCs w:val="28"/>
        </w:rPr>
        <w:t>15 maggio 2015, n. 2479</w:t>
      </w:r>
      <w:r w:rsidR="00733FC6" w:rsidRPr="00E137ED">
        <w:rPr>
          <w:rFonts w:ascii="Times New Roman" w:hAnsi="Times New Roman" w:cs="Times New Roman"/>
          <w:bCs/>
          <w:sz w:val="28"/>
          <w:szCs w:val="28"/>
        </w:rPr>
        <w:t xml:space="preserve"> e </w:t>
      </w:r>
      <w:r w:rsidRPr="00E137ED">
        <w:rPr>
          <w:rFonts w:ascii="Times New Roman" w:hAnsi="Times New Roman" w:cs="Times New Roman"/>
          <w:bCs/>
          <w:sz w:val="28"/>
          <w:szCs w:val="28"/>
        </w:rPr>
        <w:t>8 aprile 2014, n. 1673</w:t>
      </w:r>
      <w:r w:rsidR="00E137ED">
        <w:rPr>
          <w:rFonts w:ascii="Times New Roman" w:hAnsi="Times New Roman" w:cs="Times New Roman"/>
          <w:sz w:val="28"/>
          <w:szCs w:val="28"/>
        </w:rPr>
        <w:t>)</w:t>
      </w:r>
      <w:r w:rsidR="00E137ED">
        <w:rPr>
          <w:rStyle w:val="Rimandonotaapidipagina"/>
          <w:rFonts w:ascii="Times New Roman" w:hAnsi="Times New Roman" w:cs="Times New Roman"/>
          <w:sz w:val="28"/>
          <w:szCs w:val="28"/>
        </w:rPr>
        <w:footnoteReference w:id="21"/>
      </w:r>
      <w:r w:rsidR="00E137ED">
        <w:rPr>
          <w:rFonts w:ascii="Times New Roman" w:hAnsi="Times New Roman" w:cs="Times New Roman"/>
          <w:sz w:val="28"/>
          <w:szCs w:val="28"/>
        </w:rPr>
        <w:t>.</w:t>
      </w:r>
    </w:p>
    <w:p w:rsidR="006A774E" w:rsidRDefault="006A774E" w:rsidP="007E753A">
      <w:pPr>
        <w:spacing w:line="240" w:lineRule="auto"/>
        <w:rPr>
          <w:rFonts w:ascii="Times New Roman" w:hAnsi="Times New Roman" w:cs="Times New Roman"/>
          <w:sz w:val="28"/>
          <w:szCs w:val="28"/>
        </w:rPr>
      </w:pPr>
    </w:p>
    <w:p w:rsidR="003513E3" w:rsidRDefault="003513E3" w:rsidP="007E753A">
      <w:pPr>
        <w:spacing w:line="240" w:lineRule="auto"/>
        <w:rPr>
          <w:rFonts w:ascii="Times New Roman" w:hAnsi="Times New Roman" w:cs="Times New Roman"/>
          <w:b/>
          <w:sz w:val="28"/>
          <w:szCs w:val="28"/>
        </w:rPr>
      </w:pPr>
      <w:r>
        <w:rPr>
          <w:rFonts w:ascii="Times New Roman" w:hAnsi="Times New Roman" w:cs="Times New Roman"/>
          <w:b/>
          <w:sz w:val="28"/>
          <w:szCs w:val="28"/>
        </w:rPr>
        <w:t>5. Il dialogo tra il Consiglio di Stato e la CGUE.</w:t>
      </w:r>
    </w:p>
    <w:p w:rsidR="006A774E" w:rsidRDefault="00262E48" w:rsidP="007E753A">
      <w:pPr>
        <w:spacing w:line="240" w:lineRule="auto"/>
        <w:jc w:val="both"/>
        <w:rPr>
          <w:rFonts w:ascii="Times New Roman" w:hAnsi="Times New Roman" w:cs="Times New Roman"/>
          <w:sz w:val="28"/>
          <w:szCs w:val="28"/>
        </w:rPr>
      </w:pPr>
      <w:r>
        <w:rPr>
          <w:rFonts w:ascii="Times New Roman" w:hAnsi="Times New Roman" w:cs="Times New Roman"/>
          <w:sz w:val="28"/>
          <w:szCs w:val="28"/>
        </w:rPr>
        <w:t>Ne</w:t>
      </w:r>
      <w:r w:rsidR="008409DC">
        <w:rPr>
          <w:rFonts w:ascii="Times New Roman" w:hAnsi="Times New Roman" w:cs="Times New Roman"/>
          <w:sz w:val="28"/>
          <w:szCs w:val="28"/>
        </w:rPr>
        <w:t>l</w:t>
      </w:r>
      <w:r>
        <w:rPr>
          <w:rFonts w:ascii="Times New Roman" w:hAnsi="Times New Roman" w:cs="Times New Roman"/>
          <w:sz w:val="28"/>
          <w:szCs w:val="28"/>
        </w:rPr>
        <w:t xml:space="preserve"> dialogo verticale tra le Corti, come visto, il dialogo tra il Consiglio di Stato e la CGUE è continuo.</w:t>
      </w:r>
    </w:p>
    <w:p w:rsidR="009B3A77" w:rsidRDefault="00262E48" w:rsidP="007E753A">
      <w:pPr>
        <w:spacing w:line="240" w:lineRule="auto"/>
        <w:jc w:val="both"/>
        <w:rPr>
          <w:rFonts w:ascii="Times New Roman" w:hAnsi="Times New Roman" w:cs="Times New Roman"/>
          <w:sz w:val="28"/>
          <w:szCs w:val="28"/>
        </w:rPr>
      </w:pPr>
      <w:r>
        <w:rPr>
          <w:rFonts w:ascii="Times New Roman" w:hAnsi="Times New Roman" w:cs="Times New Roman"/>
          <w:sz w:val="28"/>
          <w:szCs w:val="28"/>
        </w:rPr>
        <w:t>E qui si innesta il problema conseguente della responsabilità del giudice di ultima istanza nel caso in cui</w:t>
      </w:r>
      <w:r w:rsidR="008409DC">
        <w:rPr>
          <w:rFonts w:ascii="Times New Roman" w:hAnsi="Times New Roman" w:cs="Times New Roman"/>
          <w:sz w:val="28"/>
          <w:szCs w:val="28"/>
        </w:rPr>
        <w:t xml:space="preserve"> non rimetta</w:t>
      </w:r>
      <w:r>
        <w:rPr>
          <w:rFonts w:ascii="Times New Roman" w:hAnsi="Times New Roman" w:cs="Times New Roman"/>
          <w:sz w:val="28"/>
          <w:szCs w:val="28"/>
        </w:rPr>
        <w:t xml:space="preserve"> alla CGUE</w:t>
      </w:r>
      <w:r w:rsidR="00DD6DBA">
        <w:rPr>
          <w:rFonts w:ascii="Times New Roman" w:hAnsi="Times New Roman" w:cs="Times New Roman"/>
          <w:sz w:val="28"/>
          <w:szCs w:val="28"/>
        </w:rPr>
        <w:t>, data la configurazione di un obbligo al riguardo</w:t>
      </w:r>
      <w:r>
        <w:rPr>
          <w:rFonts w:ascii="Times New Roman" w:hAnsi="Times New Roman" w:cs="Times New Roman"/>
          <w:sz w:val="28"/>
          <w:szCs w:val="28"/>
        </w:rPr>
        <w:t>. Infatti, l</w:t>
      </w:r>
      <w:r w:rsidR="009B3A77" w:rsidRPr="003513E3">
        <w:rPr>
          <w:rFonts w:ascii="Times New Roman" w:hAnsi="Times New Roman" w:cs="Times New Roman"/>
          <w:sz w:val="28"/>
          <w:szCs w:val="28"/>
        </w:rPr>
        <w:t>’omessa rimessione alla CGUE</w:t>
      </w:r>
      <w:r>
        <w:rPr>
          <w:rFonts w:ascii="Times New Roman" w:hAnsi="Times New Roman" w:cs="Times New Roman"/>
          <w:sz w:val="28"/>
          <w:szCs w:val="28"/>
        </w:rPr>
        <w:t>,</w:t>
      </w:r>
      <w:r w:rsidR="009B3A77" w:rsidRPr="003513E3">
        <w:rPr>
          <w:rFonts w:ascii="Times New Roman" w:hAnsi="Times New Roman" w:cs="Times New Roman"/>
          <w:sz w:val="28"/>
          <w:szCs w:val="28"/>
        </w:rPr>
        <w:t xml:space="preserve"> </w:t>
      </w:r>
      <w:r>
        <w:rPr>
          <w:rFonts w:ascii="Times New Roman" w:hAnsi="Times New Roman" w:cs="Times New Roman"/>
          <w:sz w:val="28"/>
          <w:szCs w:val="28"/>
        </w:rPr>
        <w:t>ai sensi dell’art. 267 del TFUE</w:t>
      </w:r>
      <w:r>
        <w:rPr>
          <w:rStyle w:val="Rimandonotaapidipagina"/>
          <w:rFonts w:ascii="Times New Roman" w:hAnsi="Times New Roman" w:cs="Times New Roman"/>
          <w:sz w:val="28"/>
          <w:szCs w:val="28"/>
        </w:rPr>
        <w:footnoteReference w:id="22"/>
      </w:r>
      <w:r>
        <w:rPr>
          <w:rFonts w:ascii="Times New Roman" w:hAnsi="Times New Roman" w:cs="Times New Roman"/>
          <w:sz w:val="28"/>
          <w:szCs w:val="28"/>
        </w:rPr>
        <w:t xml:space="preserve">, </w:t>
      </w:r>
      <w:r w:rsidR="009B3A77" w:rsidRPr="003513E3">
        <w:rPr>
          <w:rFonts w:ascii="Times New Roman" w:hAnsi="Times New Roman" w:cs="Times New Roman"/>
          <w:sz w:val="28"/>
          <w:szCs w:val="28"/>
        </w:rPr>
        <w:t>costituisce un caso specific</w:t>
      </w:r>
      <w:r>
        <w:rPr>
          <w:rFonts w:ascii="Times New Roman" w:hAnsi="Times New Roman" w:cs="Times New Roman"/>
          <w:sz w:val="28"/>
          <w:szCs w:val="28"/>
        </w:rPr>
        <w:t xml:space="preserve">o di responsabilità del giudice di ultima istanza, </w:t>
      </w:r>
      <w:r w:rsidR="00C85A28">
        <w:rPr>
          <w:rFonts w:ascii="Times New Roman" w:hAnsi="Times New Roman" w:cs="Times New Roman"/>
          <w:sz w:val="28"/>
          <w:szCs w:val="28"/>
        </w:rPr>
        <w:t>qual è</w:t>
      </w:r>
      <w:r>
        <w:rPr>
          <w:rFonts w:ascii="Times New Roman" w:hAnsi="Times New Roman" w:cs="Times New Roman"/>
          <w:sz w:val="28"/>
          <w:szCs w:val="28"/>
        </w:rPr>
        <w:t xml:space="preserve"> il Consiglio di Stato.</w:t>
      </w:r>
    </w:p>
    <w:p w:rsidR="00021A4F" w:rsidRDefault="005E1CC4" w:rsidP="007E753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Al riguardo la CGUE ritiene che </w:t>
      </w:r>
      <w:r w:rsidRPr="005E1CC4">
        <w:rPr>
          <w:rFonts w:ascii="Times New Roman" w:hAnsi="Times New Roman" w:cs="Times New Roman"/>
          <w:sz w:val="28"/>
          <w:szCs w:val="28"/>
        </w:rPr>
        <w:t>l</w:t>
      </w:r>
      <w:r>
        <w:rPr>
          <w:rFonts w:ascii="Times New Roman" w:hAnsi="Times New Roman" w:cs="Times New Roman"/>
          <w:sz w:val="28"/>
          <w:szCs w:val="28"/>
        </w:rPr>
        <w:t>'art.</w:t>
      </w:r>
      <w:r w:rsidR="00021A4F" w:rsidRPr="005E1CC4">
        <w:rPr>
          <w:rFonts w:ascii="Times New Roman" w:hAnsi="Times New Roman" w:cs="Times New Roman"/>
          <w:sz w:val="28"/>
          <w:szCs w:val="28"/>
        </w:rPr>
        <w:t xml:space="preserve"> 267 </w:t>
      </w:r>
      <w:r>
        <w:rPr>
          <w:rFonts w:ascii="Times New Roman" w:hAnsi="Times New Roman" w:cs="Times New Roman"/>
          <w:sz w:val="28"/>
          <w:szCs w:val="28"/>
        </w:rPr>
        <w:t xml:space="preserve">del </w:t>
      </w:r>
      <w:r w:rsidR="00021A4F" w:rsidRPr="005E1CC4">
        <w:rPr>
          <w:rFonts w:ascii="Times New Roman" w:hAnsi="Times New Roman" w:cs="Times New Roman"/>
          <w:sz w:val="28"/>
          <w:szCs w:val="28"/>
        </w:rPr>
        <w:t xml:space="preserve">TFUE </w:t>
      </w:r>
      <w:r>
        <w:rPr>
          <w:rFonts w:ascii="Times New Roman" w:hAnsi="Times New Roman" w:cs="Times New Roman"/>
          <w:sz w:val="28"/>
          <w:szCs w:val="28"/>
        </w:rPr>
        <w:t>debba</w:t>
      </w:r>
      <w:r w:rsidR="00021A4F" w:rsidRPr="005E1CC4">
        <w:rPr>
          <w:rFonts w:ascii="Times New Roman" w:hAnsi="Times New Roman" w:cs="Times New Roman"/>
          <w:sz w:val="28"/>
          <w:szCs w:val="28"/>
        </w:rPr>
        <w:t xml:space="preserve"> essere interpretato nel senso che </w:t>
      </w:r>
      <w:r>
        <w:rPr>
          <w:rFonts w:ascii="Times New Roman" w:hAnsi="Times New Roman" w:cs="Times New Roman"/>
          <w:sz w:val="28"/>
          <w:szCs w:val="28"/>
        </w:rPr>
        <w:t>“</w:t>
      </w:r>
      <w:r w:rsidR="00021A4F" w:rsidRPr="005E1CC4">
        <w:rPr>
          <w:rFonts w:ascii="Times New Roman" w:hAnsi="Times New Roman" w:cs="Times New Roman"/>
          <w:i/>
          <w:sz w:val="28"/>
          <w:szCs w:val="28"/>
        </w:rPr>
        <w:t>un giudice nazionale avverso le cui decisioni non possa proporsi ricorso giurisdizionale di diritto interno deve adempiere il proprio obbligo di sottoporre alla Corte una questione relativa all'interpretazione del diritto dell'Unione sollevata dinanzi ad esso, a meno che constati che tale questione non è rilevante o che la disposizione di diritto dell'Unione di cui trattasi è già stata oggetto d'interpretazione da parte della Corte o che la corretta interpretazione del diritto dell'Unione s'impone con tale evidenza da non las</w:t>
      </w:r>
      <w:r>
        <w:rPr>
          <w:rFonts w:ascii="Times New Roman" w:hAnsi="Times New Roman" w:cs="Times New Roman"/>
          <w:i/>
          <w:sz w:val="28"/>
          <w:szCs w:val="28"/>
        </w:rPr>
        <w:t>ciare adito a ragionevoli dubbi</w:t>
      </w:r>
      <w:r>
        <w:rPr>
          <w:rFonts w:ascii="Times New Roman" w:hAnsi="Times New Roman" w:cs="Times New Roman"/>
          <w:sz w:val="28"/>
          <w:szCs w:val="28"/>
        </w:rPr>
        <w:t>”</w:t>
      </w:r>
      <w:r w:rsidR="008409DC">
        <w:rPr>
          <w:rFonts w:ascii="Times New Roman" w:hAnsi="Times New Roman" w:cs="Times New Roman"/>
          <w:sz w:val="28"/>
          <w:szCs w:val="28"/>
        </w:rPr>
        <w:t>. Ritiene, inoltre,</w:t>
      </w:r>
      <w:r>
        <w:rPr>
          <w:rFonts w:ascii="Times New Roman" w:hAnsi="Times New Roman" w:cs="Times New Roman"/>
          <w:sz w:val="28"/>
          <w:szCs w:val="28"/>
        </w:rPr>
        <w:t xml:space="preserve"> che l</w:t>
      </w:r>
      <w:r w:rsidR="00021A4F" w:rsidRPr="005E1CC4">
        <w:rPr>
          <w:rFonts w:ascii="Times New Roman" w:hAnsi="Times New Roman" w:cs="Times New Roman"/>
          <w:sz w:val="28"/>
          <w:szCs w:val="28"/>
        </w:rPr>
        <w:t xml:space="preserve">a configurabilità di siffatta eventualità </w:t>
      </w:r>
      <w:r>
        <w:rPr>
          <w:rFonts w:ascii="Times New Roman" w:hAnsi="Times New Roman" w:cs="Times New Roman"/>
          <w:sz w:val="28"/>
          <w:szCs w:val="28"/>
        </w:rPr>
        <w:t>debba</w:t>
      </w:r>
      <w:r w:rsidR="00021A4F" w:rsidRPr="005E1CC4">
        <w:rPr>
          <w:rFonts w:ascii="Times New Roman" w:hAnsi="Times New Roman" w:cs="Times New Roman"/>
          <w:i/>
          <w:sz w:val="28"/>
          <w:szCs w:val="28"/>
        </w:rPr>
        <w:t xml:space="preserve"> </w:t>
      </w:r>
      <w:r>
        <w:rPr>
          <w:rFonts w:ascii="Times New Roman" w:hAnsi="Times New Roman" w:cs="Times New Roman"/>
          <w:sz w:val="28"/>
          <w:szCs w:val="28"/>
        </w:rPr>
        <w:t>“</w:t>
      </w:r>
      <w:r w:rsidR="00021A4F" w:rsidRPr="005E1CC4">
        <w:rPr>
          <w:rFonts w:ascii="Times New Roman" w:hAnsi="Times New Roman" w:cs="Times New Roman"/>
          <w:i/>
          <w:sz w:val="28"/>
          <w:szCs w:val="28"/>
        </w:rPr>
        <w:t>essere valutata in funzione delle caratteristiche proprie del diritto dell'Unione, delle particolari difficoltà che la sua interpretazione presenta e del rischio di divergenze giuri</w:t>
      </w:r>
      <w:r>
        <w:rPr>
          <w:rFonts w:ascii="Times New Roman" w:hAnsi="Times New Roman" w:cs="Times New Roman"/>
          <w:i/>
          <w:sz w:val="28"/>
          <w:szCs w:val="28"/>
        </w:rPr>
        <w:t>sprudenziali in seno all'Unione</w:t>
      </w:r>
      <w:r>
        <w:rPr>
          <w:rFonts w:ascii="Times New Roman" w:hAnsi="Times New Roman" w:cs="Times New Roman"/>
          <w:sz w:val="28"/>
          <w:szCs w:val="28"/>
        </w:rPr>
        <w:t>”</w:t>
      </w:r>
      <w:r>
        <w:rPr>
          <w:rStyle w:val="Rimandonotaapidipagina"/>
          <w:rFonts w:ascii="Times New Roman" w:hAnsi="Times New Roman" w:cs="Times New Roman"/>
          <w:sz w:val="28"/>
          <w:szCs w:val="28"/>
        </w:rPr>
        <w:footnoteReference w:id="23"/>
      </w:r>
      <w:r>
        <w:rPr>
          <w:rFonts w:ascii="Times New Roman" w:hAnsi="Times New Roman" w:cs="Times New Roman"/>
          <w:sz w:val="28"/>
          <w:szCs w:val="28"/>
        </w:rPr>
        <w:t>.</w:t>
      </w:r>
    </w:p>
    <w:p w:rsidR="006D3B79" w:rsidRPr="005E1CC4" w:rsidRDefault="006D3B79" w:rsidP="007E753A">
      <w:pPr>
        <w:spacing w:line="240" w:lineRule="auto"/>
        <w:jc w:val="both"/>
        <w:rPr>
          <w:rFonts w:ascii="Times New Roman" w:hAnsi="Times New Roman" w:cs="Times New Roman"/>
          <w:sz w:val="28"/>
          <w:szCs w:val="28"/>
        </w:rPr>
      </w:pPr>
      <w:r w:rsidRPr="005E1CC4">
        <w:rPr>
          <w:rFonts w:ascii="Times New Roman" w:hAnsi="Times New Roman" w:cs="Times New Roman"/>
          <w:sz w:val="28"/>
          <w:szCs w:val="28"/>
        </w:rPr>
        <w:t xml:space="preserve">In questa prospettiva la </w:t>
      </w:r>
      <w:r w:rsidR="005E1CC4">
        <w:rPr>
          <w:rFonts w:ascii="Times New Roman" w:hAnsi="Times New Roman" w:cs="Times New Roman"/>
          <w:sz w:val="28"/>
          <w:szCs w:val="28"/>
        </w:rPr>
        <w:t>CG</w:t>
      </w:r>
      <w:r w:rsidRPr="005E1CC4">
        <w:rPr>
          <w:rFonts w:ascii="Times New Roman" w:hAnsi="Times New Roman" w:cs="Times New Roman"/>
          <w:sz w:val="28"/>
          <w:szCs w:val="28"/>
        </w:rPr>
        <w:t>UE non manca di sottolineare che</w:t>
      </w:r>
      <w:r w:rsidR="005E1CC4">
        <w:rPr>
          <w:rFonts w:ascii="Times New Roman" w:hAnsi="Times New Roman" w:cs="Times New Roman"/>
          <w:sz w:val="28"/>
          <w:szCs w:val="28"/>
        </w:rPr>
        <w:t>,</w:t>
      </w:r>
      <w:r w:rsidRPr="005E1CC4">
        <w:rPr>
          <w:rFonts w:ascii="Times New Roman" w:hAnsi="Times New Roman" w:cs="Times New Roman"/>
          <w:sz w:val="28"/>
          <w:szCs w:val="28"/>
        </w:rPr>
        <w:t xml:space="preserve"> per verificare se l’interpretazione del diritto UE s’imponga senza lasciare adito a ragionevoli dubbi</w:t>
      </w:r>
      <w:r w:rsidR="005E1CC4">
        <w:rPr>
          <w:rFonts w:ascii="Times New Roman" w:hAnsi="Times New Roman" w:cs="Times New Roman"/>
          <w:sz w:val="28"/>
          <w:szCs w:val="28"/>
        </w:rPr>
        <w:t>,</w:t>
      </w:r>
      <w:r w:rsidRPr="005E1CC4">
        <w:rPr>
          <w:rFonts w:ascii="Times New Roman" w:hAnsi="Times New Roman" w:cs="Times New Roman"/>
          <w:sz w:val="28"/>
          <w:szCs w:val="28"/>
        </w:rPr>
        <w:t xml:space="preserve"> il giudice nazionale di ultima istanza “</w:t>
      </w:r>
      <w:r w:rsidRPr="005E1CC4">
        <w:rPr>
          <w:rFonts w:ascii="Times New Roman" w:hAnsi="Times New Roman" w:cs="Times New Roman"/>
          <w:i/>
          <w:sz w:val="28"/>
          <w:szCs w:val="28"/>
        </w:rPr>
        <w:t>…prima di concludere nel senso dell’esistenza di una situazione di tal genere deve maturare il convincimento che la stessa evidenza si imporrebbe altresì ai giudici di ultima istanza degli altri Stati membri e alla Corte</w:t>
      </w:r>
      <w:r w:rsidRPr="005E1CC4">
        <w:rPr>
          <w:rFonts w:ascii="Times New Roman" w:hAnsi="Times New Roman" w:cs="Times New Roman"/>
          <w:sz w:val="28"/>
          <w:szCs w:val="28"/>
        </w:rPr>
        <w:t>”.</w:t>
      </w:r>
    </w:p>
    <w:p w:rsidR="006D3B79" w:rsidRDefault="006D3B79" w:rsidP="007E753A">
      <w:pPr>
        <w:spacing w:line="240" w:lineRule="auto"/>
        <w:jc w:val="both"/>
        <w:rPr>
          <w:rFonts w:ascii="Times New Roman" w:hAnsi="Times New Roman" w:cs="Times New Roman"/>
          <w:sz w:val="28"/>
          <w:szCs w:val="28"/>
        </w:rPr>
      </w:pPr>
      <w:r w:rsidRPr="005E1CC4">
        <w:rPr>
          <w:rFonts w:ascii="Times New Roman" w:hAnsi="Times New Roman" w:cs="Times New Roman"/>
          <w:sz w:val="28"/>
          <w:szCs w:val="28"/>
        </w:rPr>
        <w:t xml:space="preserve">Irrompe, così, sulla scena una dimensione </w:t>
      </w:r>
      <w:r w:rsidR="004A2246" w:rsidRPr="005E1CC4">
        <w:rPr>
          <w:rFonts w:ascii="Times New Roman" w:hAnsi="Times New Roman" w:cs="Times New Roman"/>
          <w:sz w:val="28"/>
          <w:szCs w:val="28"/>
        </w:rPr>
        <w:t>transnazionale</w:t>
      </w:r>
      <w:r w:rsidRPr="005E1CC4">
        <w:rPr>
          <w:rFonts w:ascii="Times New Roman" w:hAnsi="Times New Roman" w:cs="Times New Roman"/>
          <w:sz w:val="28"/>
          <w:szCs w:val="28"/>
        </w:rPr>
        <w:t xml:space="preserve"> della giurisdizione nazionale quando essa si occupa del diritto </w:t>
      </w:r>
      <w:r w:rsidR="004774CB">
        <w:rPr>
          <w:rFonts w:ascii="Times New Roman" w:hAnsi="Times New Roman" w:cs="Times New Roman"/>
          <w:sz w:val="28"/>
          <w:szCs w:val="28"/>
        </w:rPr>
        <w:t>europeo</w:t>
      </w:r>
      <w:r w:rsidRPr="005E1CC4">
        <w:rPr>
          <w:rFonts w:ascii="Times New Roman" w:hAnsi="Times New Roman" w:cs="Times New Roman"/>
          <w:sz w:val="28"/>
          <w:szCs w:val="28"/>
        </w:rPr>
        <w:t>, la quale dovrà indossare un</w:t>
      </w:r>
      <w:r w:rsidR="004774CB">
        <w:rPr>
          <w:rFonts w:ascii="Times New Roman" w:hAnsi="Times New Roman" w:cs="Times New Roman"/>
          <w:sz w:val="28"/>
          <w:szCs w:val="28"/>
        </w:rPr>
        <w:t>a</w:t>
      </w:r>
      <w:r w:rsidRPr="005E1CC4">
        <w:rPr>
          <w:rFonts w:ascii="Times New Roman" w:hAnsi="Times New Roman" w:cs="Times New Roman"/>
          <w:sz w:val="28"/>
          <w:szCs w:val="28"/>
        </w:rPr>
        <w:t xml:space="preserve"> </w:t>
      </w:r>
      <w:r w:rsidR="004774CB">
        <w:rPr>
          <w:rFonts w:ascii="Times New Roman" w:hAnsi="Times New Roman" w:cs="Times New Roman"/>
          <w:sz w:val="28"/>
          <w:szCs w:val="28"/>
        </w:rPr>
        <w:t>veste</w:t>
      </w:r>
      <w:r w:rsidRPr="005E1CC4">
        <w:rPr>
          <w:rFonts w:ascii="Times New Roman" w:hAnsi="Times New Roman" w:cs="Times New Roman"/>
          <w:sz w:val="28"/>
          <w:szCs w:val="28"/>
        </w:rPr>
        <w:t xml:space="preserve"> che va ben oltre il suo ruolo di giudice interno per assumere </w:t>
      </w:r>
      <w:r w:rsidR="004774CB">
        <w:rPr>
          <w:rFonts w:ascii="Times New Roman" w:hAnsi="Times New Roman" w:cs="Times New Roman"/>
          <w:sz w:val="28"/>
          <w:szCs w:val="28"/>
        </w:rPr>
        <w:t>le vesti del giudice dell’Unione</w:t>
      </w:r>
      <w:r w:rsidRPr="005E1CC4">
        <w:rPr>
          <w:rFonts w:ascii="Times New Roman" w:hAnsi="Times New Roman" w:cs="Times New Roman"/>
          <w:sz w:val="28"/>
          <w:szCs w:val="28"/>
        </w:rPr>
        <w:t>. Compito improbo</w:t>
      </w:r>
      <w:r w:rsidR="008409DC">
        <w:rPr>
          <w:rFonts w:ascii="Times New Roman" w:hAnsi="Times New Roman" w:cs="Times New Roman"/>
          <w:sz w:val="28"/>
          <w:szCs w:val="28"/>
        </w:rPr>
        <w:t xml:space="preserve"> o missione impossibile, a prima impressione, </w:t>
      </w:r>
      <w:r w:rsidRPr="005E1CC4">
        <w:rPr>
          <w:rFonts w:ascii="Times New Roman" w:hAnsi="Times New Roman" w:cs="Times New Roman"/>
          <w:sz w:val="28"/>
          <w:szCs w:val="28"/>
        </w:rPr>
        <w:t>ch</w:t>
      </w:r>
      <w:r w:rsidR="004774CB">
        <w:rPr>
          <w:rFonts w:ascii="Times New Roman" w:hAnsi="Times New Roman" w:cs="Times New Roman"/>
          <w:sz w:val="28"/>
          <w:szCs w:val="28"/>
        </w:rPr>
        <w:t xml:space="preserve">e </w:t>
      </w:r>
      <w:r w:rsidR="008409DC">
        <w:rPr>
          <w:rFonts w:ascii="Times New Roman" w:hAnsi="Times New Roman" w:cs="Times New Roman"/>
          <w:sz w:val="28"/>
          <w:szCs w:val="28"/>
        </w:rPr>
        <w:t>però</w:t>
      </w:r>
      <w:r w:rsidR="004774CB">
        <w:rPr>
          <w:rFonts w:ascii="Times New Roman" w:hAnsi="Times New Roman" w:cs="Times New Roman"/>
          <w:sz w:val="28"/>
          <w:szCs w:val="28"/>
        </w:rPr>
        <w:t xml:space="preserve"> la Corte</w:t>
      </w:r>
      <w:r w:rsidRPr="005E1CC4">
        <w:rPr>
          <w:rFonts w:ascii="Times New Roman" w:hAnsi="Times New Roman" w:cs="Times New Roman"/>
          <w:sz w:val="28"/>
          <w:szCs w:val="28"/>
        </w:rPr>
        <w:t xml:space="preserve"> </w:t>
      </w:r>
      <w:r w:rsidR="008409DC">
        <w:rPr>
          <w:rFonts w:ascii="Times New Roman" w:hAnsi="Times New Roman" w:cs="Times New Roman"/>
          <w:sz w:val="28"/>
          <w:szCs w:val="28"/>
        </w:rPr>
        <w:t xml:space="preserve">stessa </w:t>
      </w:r>
      <w:r w:rsidRPr="005E1CC4">
        <w:rPr>
          <w:rFonts w:ascii="Times New Roman" w:hAnsi="Times New Roman" w:cs="Times New Roman"/>
          <w:sz w:val="28"/>
          <w:szCs w:val="28"/>
        </w:rPr>
        <w:t>prova a circoscrivere.</w:t>
      </w:r>
    </w:p>
    <w:p w:rsidR="004A1423" w:rsidRDefault="004A1423" w:rsidP="004A1423">
      <w:pPr>
        <w:spacing w:line="240" w:lineRule="auto"/>
        <w:jc w:val="both"/>
        <w:rPr>
          <w:rFonts w:ascii="Times New Roman" w:hAnsi="Times New Roman" w:cs="Times New Roman"/>
          <w:sz w:val="28"/>
          <w:szCs w:val="28"/>
        </w:rPr>
      </w:pPr>
      <w:r>
        <w:rPr>
          <w:rFonts w:ascii="Times New Roman" w:hAnsi="Times New Roman" w:cs="Times New Roman"/>
          <w:sz w:val="28"/>
          <w:szCs w:val="28"/>
        </w:rPr>
        <w:t>Infatti la CGUE</w:t>
      </w:r>
      <w:r>
        <w:rPr>
          <w:rStyle w:val="Rimandonotaapidipagina"/>
          <w:rFonts w:ascii="Times New Roman" w:hAnsi="Times New Roman" w:cs="Times New Roman"/>
          <w:sz w:val="28"/>
          <w:szCs w:val="28"/>
        </w:rPr>
        <w:footnoteReference w:id="24"/>
      </w:r>
      <w:r w:rsidR="008409DC">
        <w:rPr>
          <w:rFonts w:ascii="Times New Roman" w:hAnsi="Times New Roman" w:cs="Times New Roman"/>
          <w:sz w:val="28"/>
          <w:szCs w:val="28"/>
        </w:rPr>
        <w:t>,</w:t>
      </w:r>
      <w:r>
        <w:rPr>
          <w:rFonts w:ascii="Times New Roman" w:hAnsi="Times New Roman" w:cs="Times New Roman"/>
          <w:sz w:val="28"/>
          <w:szCs w:val="28"/>
        </w:rPr>
        <w:t xml:space="preserve"> ritorna</w:t>
      </w:r>
      <w:r w:rsidR="008409DC">
        <w:rPr>
          <w:rFonts w:ascii="Times New Roman" w:hAnsi="Times New Roman" w:cs="Times New Roman"/>
          <w:sz w:val="28"/>
          <w:szCs w:val="28"/>
        </w:rPr>
        <w:t>ndo</w:t>
      </w:r>
      <w:r>
        <w:rPr>
          <w:rFonts w:ascii="Times New Roman" w:hAnsi="Times New Roman" w:cs="Times New Roman"/>
          <w:sz w:val="28"/>
          <w:szCs w:val="28"/>
        </w:rPr>
        <w:t xml:space="preserve"> sulla problematica</w:t>
      </w:r>
      <w:r w:rsidR="008409DC">
        <w:rPr>
          <w:rFonts w:ascii="Times New Roman" w:hAnsi="Times New Roman" w:cs="Times New Roman"/>
          <w:sz w:val="28"/>
          <w:szCs w:val="28"/>
        </w:rPr>
        <w:t>,</w:t>
      </w:r>
      <w:r>
        <w:rPr>
          <w:rFonts w:ascii="Times New Roman" w:hAnsi="Times New Roman" w:cs="Times New Roman"/>
          <w:sz w:val="28"/>
          <w:szCs w:val="28"/>
        </w:rPr>
        <w:t xml:space="preserve"> afferma che non sussiste l’obbligo di rimessione “</w:t>
      </w:r>
      <w:r w:rsidRPr="004A1423">
        <w:rPr>
          <w:rFonts w:ascii="Times New Roman" w:hAnsi="Times New Roman" w:cs="Times New Roman"/>
          <w:i/>
          <w:sz w:val="28"/>
          <w:szCs w:val="28"/>
        </w:rPr>
        <w:t>qualora la corretta interpretazione del diritto dell'Unione si imponga con un'evidenza tale da non lasciar adito ad alcun ragionevole dubbio</w:t>
      </w:r>
      <w:r>
        <w:rPr>
          <w:rFonts w:ascii="Times New Roman" w:hAnsi="Times New Roman" w:cs="Times New Roman"/>
          <w:sz w:val="28"/>
          <w:szCs w:val="28"/>
        </w:rPr>
        <w:t>” e che “</w:t>
      </w:r>
      <w:r w:rsidRPr="004A1423">
        <w:rPr>
          <w:rFonts w:ascii="Times New Roman" w:hAnsi="Times New Roman" w:cs="Times New Roman"/>
          <w:i/>
          <w:sz w:val="28"/>
          <w:szCs w:val="28"/>
        </w:rPr>
        <w:t>l'esistenza di una siffatta eventualità dev'essere valutata in base alle caratteristiche proprie del diritto dell'Unione, alle difficoltà particolari relative alla sua interpretazione e al rischio di divergenze giurisprudenziali in seno all'Unione europea</w:t>
      </w:r>
      <w:r>
        <w:rPr>
          <w:rFonts w:ascii="Times New Roman" w:hAnsi="Times New Roman" w:cs="Times New Roman"/>
          <w:sz w:val="28"/>
          <w:szCs w:val="28"/>
        </w:rPr>
        <w:t>”. Aggiunge poi che il giudice nazionale “</w:t>
      </w:r>
      <w:r w:rsidRPr="004A1423">
        <w:rPr>
          <w:rFonts w:ascii="Times New Roman" w:hAnsi="Times New Roman" w:cs="Times New Roman"/>
          <w:i/>
          <w:sz w:val="28"/>
          <w:szCs w:val="28"/>
        </w:rPr>
        <w:t>non è tenuto a dimostrare in maniera circostanziata che gli altri giudici di ultima istanza degli Stati membri e la Corte adotterebbero la medesima interpretazione, ma deve aver maturato la convinzione, sulla base di una valutazione che tenga conto dei citati elementi, che la stessa evidenza si imponga anche agli altri giudici nazionali in parola e alla Corte</w:t>
      </w:r>
      <w:r>
        <w:rPr>
          <w:rFonts w:ascii="Times New Roman" w:hAnsi="Times New Roman" w:cs="Times New Roman"/>
          <w:sz w:val="28"/>
          <w:szCs w:val="28"/>
        </w:rPr>
        <w:t>”.</w:t>
      </w:r>
    </w:p>
    <w:p w:rsidR="004A1423" w:rsidRDefault="004A1423" w:rsidP="004A14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Ma come si fa a maturare una convinzione di tal tipo? La quale non è di poco rilievo, visto che comporta la sussistenza o meno dell’obbligo </w:t>
      </w:r>
      <w:r w:rsidR="008409DC">
        <w:rPr>
          <w:rFonts w:ascii="Times New Roman" w:hAnsi="Times New Roman" w:cs="Times New Roman"/>
          <w:sz w:val="28"/>
          <w:szCs w:val="28"/>
        </w:rPr>
        <w:t xml:space="preserve">per il giudice </w:t>
      </w:r>
      <w:r>
        <w:rPr>
          <w:rFonts w:ascii="Times New Roman" w:hAnsi="Times New Roman" w:cs="Times New Roman"/>
          <w:sz w:val="28"/>
          <w:szCs w:val="28"/>
        </w:rPr>
        <w:t xml:space="preserve">di rimettere alla CGUE e, conseguentemente, la responsabilità del giudice </w:t>
      </w:r>
      <w:r w:rsidR="00DB6188">
        <w:rPr>
          <w:rFonts w:ascii="Times New Roman" w:hAnsi="Times New Roman" w:cs="Times New Roman"/>
          <w:sz w:val="28"/>
          <w:szCs w:val="28"/>
        </w:rPr>
        <w:t xml:space="preserve">italiano </w:t>
      </w:r>
      <w:r>
        <w:rPr>
          <w:rFonts w:ascii="Times New Roman" w:hAnsi="Times New Roman" w:cs="Times New Roman"/>
          <w:sz w:val="28"/>
          <w:szCs w:val="28"/>
        </w:rPr>
        <w:t xml:space="preserve">che non </w:t>
      </w:r>
      <w:r w:rsidR="00DB6188">
        <w:rPr>
          <w:rFonts w:ascii="Times New Roman" w:hAnsi="Times New Roman" w:cs="Times New Roman"/>
          <w:sz w:val="28"/>
          <w:szCs w:val="28"/>
        </w:rPr>
        <w:t>ha rimesso</w:t>
      </w:r>
      <w:r>
        <w:rPr>
          <w:rFonts w:ascii="Times New Roman" w:hAnsi="Times New Roman" w:cs="Times New Roman"/>
          <w:sz w:val="28"/>
          <w:szCs w:val="28"/>
        </w:rPr>
        <w:t xml:space="preserve"> in un’ipotesi in cui</w:t>
      </w:r>
      <w:r w:rsidR="00DB6188">
        <w:rPr>
          <w:rFonts w:ascii="Times New Roman" w:hAnsi="Times New Roman" w:cs="Times New Roman"/>
          <w:sz w:val="28"/>
          <w:szCs w:val="28"/>
        </w:rPr>
        <w:t>,</w:t>
      </w:r>
      <w:r>
        <w:rPr>
          <w:rFonts w:ascii="Times New Roman" w:hAnsi="Times New Roman" w:cs="Times New Roman"/>
          <w:sz w:val="28"/>
          <w:szCs w:val="28"/>
        </w:rPr>
        <w:t xml:space="preserve"> invece</w:t>
      </w:r>
      <w:r w:rsidR="00DB6188">
        <w:rPr>
          <w:rFonts w:ascii="Times New Roman" w:hAnsi="Times New Roman" w:cs="Times New Roman"/>
          <w:sz w:val="28"/>
          <w:szCs w:val="28"/>
        </w:rPr>
        <w:t>,</w:t>
      </w:r>
      <w:r>
        <w:rPr>
          <w:rFonts w:ascii="Times New Roman" w:hAnsi="Times New Roman" w:cs="Times New Roman"/>
          <w:sz w:val="28"/>
          <w:szCs w:val="28"/>
        </w:rPr>
        <w:t xml:space="preserve"> ci sarebbe </w:t>
      </w:r>
      <w:r w:rsidR="00DB6188">
        <w:rPr>
          <w:rFonts w:ascii="Times New Roman" w:hAnsi="Times New Roman" w:cs="Times New Roman"/>
          <w:sz w:val="28"/>
          <w:szCs w:val="28"/>
        </w:rPr>
        <w:t xml:space="preserve">stato </w:t>
      </w:r>
      <w:r>
        <w:rPr>
          <w:rFonts w:ascii="Times New Roman" w:hAnsi="Times New Roman" w:cs="Times New Roman"/>
          <w:sz w:val="28"/>
          <w:szCs w:val="28"/>
        </w:rPr>
        <w:t>l’obbligo di rimettere.</w:t>
      </w:r>
    </w:p>
    <w:p w:rsidR="00DB6188" w:rsidRDefault="00DB6188" w:rsidP="004A14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La CGUE non fornisce sicuri </w:t>
      </w:r>
      <w:r w:rsidR="008409DC">
        <w:rPr>
          <w:rFonts w:ascii="Times New Roman" w:hAnsi="Times New Roman" w:cs="Times New Roman"/>
          <w:sz w:val="28"/>
          <w:szCs w:val="28"/>
        </w:rPr>
        <w:t xml:space="preserve">e certi </w:t>
      </w:r>
      <w:r>
        <w:rPr>
          <w:rFonts w:ascii="Times New Roman" w:hAnsi="Times New Roman" w:cs="Times New Roman"/>
          <w:sz w:val="28"/>
          <w:szCs w:val="28"/>
        </w:rPr>
        <w:t>parametri guida, diversi da quelli attinenti alla necessità di operare un’attenta analisi ermeneutica del diritto dell’Unione. Parametri che, invece, sarebbero stati necessari al fine di prevedere quando una data interpretazione del giudice potenzialmente rimettente si possa sovrapporre a quella che avrebbe adottato il giudice della CGUE o altro giudice di uno Stato membro.</w:t>
      </w:r>
    </w:p>
    <w:p w:rsidR="00DB6188" w:rsidRDefault="00A5015A" w:rsidP="004A142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Ma soprattutto </w:t>
      </w:r>
      <w:r w:rsidR="008409DC">
        <w:rPr>
          <w:rFonts w:ascii="Times New Roman" w:hAnsi="Times New Roman" w:cs="Times New Roman"/>
          <w:sz w:val="28"/>
          <w:szCs w:val="28"/>
        </w:rPr>
        <w:t>viene</w:t>
      </w:r>
      <w:r>
        <w:rPr>
          <w:rFonts w:ascii="Times New Roman" w:hAnsi="Times New Roman" w:cs="Times New Roman"/>
          <w:sz w:val="28"/>
          <w:szCs w:val="28"/>
        </w:rPr>
        <w:t xml:space="preserve"> </w:t>
      </w:r>
      <w:r w:rsidR="00963FC2">
        <w:rPr>
          <w:rFonts w:ascii="Times New Roman" w:hAnsi="Times New Roman" w:cs="Times New Roman"/>
          <w:sz w:val="28"/>
          <w:szCs w:val="28"/>
        </w:rPr>
        <w:t>richiesta</w:t>
      </w:r>
      <w:r w:rsidR="008409DC">
        <w:rPr>
          <w:rFonts w:ascii="Times New Roman" w:hAnsi="Times New Roman" w:cs="Times New Roman"/>
          <w:sz w:val="28"/>
          <w:szCs w:val="28"/>
        </w:rPr>
        <w:t xml:space="preserve"> </w:t>
      </w:r>
      <w:r>
        <w:rPr>
          <w:rFonts w:ascii="Times New Roman" w:hAnsi="Times New Roman" w:cs="Times New Roman"/>
          <w:sz w:val="28"/>
          <w:szCs w:val="28"/>
        </w:rPr>
        <w:t>al giudice nazionale la conoscenza dell’applicazione e dell’interpretazione del diritto dell’Unione da parte dei giudici degli altri Stati</w:t>
      </w:r>
      <w:r w:rsidR="008409DC">
        <w:rPr>
          <w:rFonts w:ascii="Times New Roman" w:hAnsi="Times New Roman" w:cs="Times New Roman"/>
          <w:sz w:val="28"/>
          <w:szCs w:val="28"/>
        </w:rPr>
        <w:t xml:space="preserve"> membri</w:t>
      </w:r>
      <w:r>
        <w:rPr>
          <w:rFonts w:ascii="Times New Roman" w:hAnsi="Times New Roman" w:cs="Times New Roman"/>
          <w:sz w:val="28"/>
          <w:szCs w:val="28"/>
        </w:rPr>
        <w:t>. Il che complica ulteriormente la situazione in un contesto già compl</w:t>
      </w:r>
      <w:r w:rsidR="00963FC2">
        <w:rPr>
          <w:rFonts w:ascii="Times New Roman" w:hAnsi="Times New Roman" w:cs="Times New Roman"/>
          <w:sz w:val="28"/>
          <w:szCs w:val="28"/>
        </w:rPr>
        <w:t xml:space="preserve">esso </w:t>
      </w:r>
      <w:r>
        <w:rPr>
          <w:rFonts w:ascii="Times New Roman" w:hAnsi="Times New Roman" w:cs="Times New Roman"/>
          <w:sz w:val="28"/>
          <w:szCs w:val="28"/>
        </w:rPr>
        <w:t>e implicante profili di responsabilità del giudice.</w:t>
      </w:r>
    </w:p>
    <w:p w:rsidR="004A1423" w:rsidRDefault="00C85A28" w:rsidP="004A1423">
      <w:pPr>
        <w:spacing w:line="240" w:lineRule="auto"/>
        <w:jc w:val="both"/>
        <w:rPr>
          <w:rFonts w:ascii="Times New Roman" w:hAnsi="Times New Roman" w:cs="Times New Roman"/>
          <w:sz w:val="28"/>
          <w:szCs w:val="28"/>
        </w:rPr>
      </w:pPr>
      <w:r>
        <w:rPr>
          <w:rFonts w:ascii="Times New Roman" w:hAnsi="Times New Roman" w:cs="Times New Roman"/>
          <w:sz w:val="28"/>
          <w:szCs w:val="28"/>
        </w:rPr>
        <w:t>Emergono</w:t>
      </w:r>
      <w:r w:rsidR="004F5BC7">
        <w:rPr>
          <w:rFonts w:ascii="Times New Roman" w:hAnsi="Times New Roman" w:cs="Times New Roman"/>
          <w:sz w:val="28"/>
          <w:szCs w:val="28"/>
        </w:rPr>
        <w:t xml:space="preserve"> ancora</w:t>
      </w:r>
      <w:r>
        <w:rPr>
          <w:rFonts w:ascii="Times New Roman" w:hAnsi="Times New Roman" w:cs="Times New Roman"/>
          <w:sz w:val="28"/>
          <w:szCs w:val="28"/>
        </w:rPr>
        <w:t xml:space="preserve"> una volta</w:t>
      </w:r>
      <w:r w:rsidR="004F5BC7">
        <w:rPr>
          <w:rFonts w:ascii="Times New Roman" w:hAnsi="Times New Roman" w:cs="Times New Roman"/>
          <w:sz w:val="28"/>
          <w:szCs w:val="28"/>
        </w:rPr>
        <w:t xml:space="preserve"> alcune criticità</w:t>
      </w:r>
      <w:r w:rsidR="00DD6DBA">
        <w:rPr>
          <w:rFonts w:ascii="Times New Roman" w:hAnsi="Times New Roman" w:cs="Times New Roman"/>
          <w:sz w:val="28"/>
          <w:szCs w:val="28"/>
        </w:rPr>
        <w:t xml:space="preserve"> n</w:t>
      </w:r>
      <w:r w:rsidR="004F5BC7">
        <w:rPr>
          <w:rFonts w:ascii="Times New Roman" w:hAnsi="Times New Roman" w:cs="Times New Roman"/>
          <w:sz w:val="28"/>
          <w:szCs w:val="28"/>
        </w:rPr>
        <w:t>elle decisioni della CGUE,</w:t>
      </w:r>
      <w:r>
        <w:rPr>
          <w:rFonts w:ascii="Times New Roman" w:hAnsi="Times New Roman" w:cs="Times New Roman"/>
          <w:sz w:val="28"/>
          <w:szCs w:val="28"/>
        </w:rPr>
        <w:t xml:space="preserve"> che spesso manca</w:t>
      </w:r>
      <w:r w:rsidR="004F5BC7">
        <w:rPr>
          <w:rFonts w:ascii="Times New Roman" w:hAnsi="Times New Roman" w:cs="Times New Roman"/>
          <w:sz w:val="28"/>
          <w:szCs w:val="28"/>
        </w:rPr>
        <w:t xml:space="preserve"> di concretezza approfondendo profili teorici di difficile applicazione pratica nell’ambito delle controversie che danno luogo alle questioni di interpretazione </w:t>
      </w:r>
      <w:r w:rsidR="00867CB6">
        <w:rPr>
          <w:rFonts w:ascii="Times New Roman" w:hAnsi="Times New Roman" w:cs="Times New Roman"/>
          <w:sz w:val="28"/>
          <w:szCs w:val="28"/>
        </w:rPr>
        <w:t xml:space="preserve">ad essa </w:t>
      </w:r>
      <w:r w:rsidR="004F5BC7">
        <w:rPr>
          <w:rFonts w:ascii="Times New Roman" w:hAnsi="Times New Roman" w:cs="Times New Roman"/>
          <w:sz w:val="28"/>
          <w:szCs w:val="28"/>
        </w:rPr>
        <w:t>rimesse e</w:t>
      </w:r>
      <w:r w:rsidR="00867CB6">
        <w:rPr>
          <w:rFonts w:ascii="Times New Roman" w:hAnsi="Times New Roman" w:cs="Times New Roman"/>
          <w:sz w:val="28"/>
          <w:szCs w:val="28"/>
        </w:rPr>
        <w:t>, inoltre,</w:t>
      </w:r>
      <w:r w:rsidR="004F5BC7">
        <w:rPr>
          <w:rFonts w:ascii="Times New Roman" w:hAnsi="Times New Roman" w:cs="Times New Roman"/>
          <w:sz w:val="28"/>
          <w:szCs w:val="28"/>
        </w:rPr>
        <w:t xml:space="preserve"> </w:t>
      </w:r>
      <w:r>
        <w:rPr>
          <w:rFonts w:ascii="Times New Roman" w:hAnsi="Times New Roman" w:cs="Times New Roman"/>
          <w:sz w:val="28"/>
          <w:szCs w:val="28"/>
        </w:rPr>
        <w:t>appare distante</w:t>
      </w:r>
      <w:r w:rsidR="00DD6DBA">
        <w:rPr>
          <w:rFonts w:ascii="Times New Roman" w:hAnsi="Times New Roman" w:cs="Times New Roman"/>
          <w:sz w:val="28"/>
          <w:szCs w:val="28"/>
        </w:rPr>
        <w:t xml:space="preserve"> dall’</w:t>
      </w:r>
      <w:r>
        <w:rPr>
          <w:rFonts w:ascii="Times New Roman" w:hAnsi="Times New Roman" w:cs="Times New Roman"/>
          <w:sz w:val="28"/>
          <w:szCs w:val="28"/>
        </w:rPr>
        <w:t>effettiva ri</w:t>
      </w:r>
      <w:r w:rsidR="004F5BC7">
        <w:rPr>
          <w:rFonts w:ascii="Times New Roman" w:hAnsi="Times New Roman" w:cs="Times New Roman"/>
          <w:sz w:val="28"/>
          <w:szCs w:val="28"/>
        </w:rPr>
        <w:t xml:space="preserve">soluzione dei problemi sollevati. Anche perché la CGUE spesso si limita ad affermare principi la cui applicazione pratica poi viene demandata </w:t>
      </w:r>
      <w:r w:rsidR="00867CB6">
        <w:rPr>
          <w:rFonts w:ascii="Times New Roman" w:hAnsi="Times New Roman" w:cs="Times New Roman"/>
          <w:sz w:val="28"/>
          <w:szCs w:val="28"/>
        </w:rPr>
        <w:t xml:space="preserve">al </w:t>
      </w:r>
      <w:r w:rsidR="004F5BC7">
        <w:rPr>
          <w:rFonts w:ascii="Times New Roman" w:hAnsi="Times New Roman" w:cs="Times New Roman"/>
          <w:sz w:val="28"/>
          <w:szCs w:val="28"/>
        </w:rPr>
        <w:t>giudice nazionale</w:t>
      </w:r>
      <w:r w:rsidR="00867CB6">
        <w:rPr>
          <w:rFonts w:ascii="Times New Roman" w:hAnsi="Times New Roman" w:cs="Times New Roman"/>
          <w:sz w:val="28"/>
          <w:szCs w:val="28"/>
        </w:rPr>
        <w:t xml:space="preserve"> al quale</w:t>
      </w:r>
      <w:r>
        <w:rPr>
          <w:rFonts w:ascii="Times New Roman" w:hAnsi="Times New Roman" w:cs="Times New Roman"/>
          <w:sz w:val="28"/>
          <w:szCs w:val="28"/>
        </w:rPr>
        <w:t>,</w:t>
      </w:r>
      <w:r w:rsidR="00867CB6">
        <w:rPr>
          <w:rFonts w:ascii="Times New Roman" w:hAnsi="Times New Roman" w:cs="Times New Roman"/>
          <w:sz w:val="28"/>
          <w:szCs w:val="28"/>
        </w:rPr>
        <w:t xml:space="preserve"> </w:t>
      </w:r>
      <w:r>
        <w:rPr>
          <w:rFonts w:ascii="Times New Roman" w:hAnsi="Times New Roman" w:cs="Times New Roman"/>
          <w:sz w:val="28"/>
          <w:szCs w:val="28"/>
        </w:rPr>
        <w:t>però,</w:t>
      </w:r>
      <w:r w:rsidR="00867CB6">
        <w:rPr>
          <w:rFonts w:ascii="Times New Roman" w:hAnsi="Times New Roman" w:cs="Times New Roman"/>
          <w:sz w:val="28"/>
          <w:szCs w:val="28"/>
        </w:rPr>
        <w:t xml:space="preserve"> i principi affermati non </w:t>
      </w:r>
      <w:r w:rsidR="00963FC2">
        <w:rPr>
          <w:rFonts w:ascii="Times New Roman" w:hAnsi="Times New Roman" w:cs="Times New Roman"/>
          <w:sz w:val="28"/>
          <w:szCs w:val="28"/>
        </w:rPr>
        <w:t xml:space="preserve">sempre </w:t>
      </w:r>
      <w:r w:rsidR="00867CB6">
        <w:rPr>
          <w:rFonts w:ascii="Times New Roman" w:hAnsi="Times New Roman" w:cs="Times New Roman"/>
          <w:sz w:val="28"/>
          <w:szCs w:val="28"/>
        </w:rPr>
        <w:t>sono di utilità per la decisione del</w:t>
      </w:r>
      <w:r w:rsidR="00963FC2">
        <w:rPr>
          <w:rFonts w:ascii="Times New Roman" w:hAnsi="Times New Roman" w:cs="Times New Roman"/>
          <w:sz w:val="28"/>
          <w:szCs w:val="28"/>
        </w:rPr>
        <w:t xml:space="preserve"> caso concreto</w:t>
      </w:r>
      <w:r w:rsidR="00867CB6">
        <w:rPr>
          <w:rFonts w:ascii="Times New Roman" w:hAnsi="Times New Roman" w:cs="Times New Roman"/>
          <w:sz w:val="28"/>
          <w:szCs w:val="28"/>
        </w:rPr>
        <w:t>.</w:t>
      </w:r>
    </w:p>
    <w:p w:rsidR="00021A4F" w:rsidRDefault="004A2246" w:rsidP="007E753A">
      <w:pPr>
        <w:spacing w:line="240" w:lineRule="auto"/>
        <w:jc w:val="both"/>
        <w:rPr>
          <w:rFonts w:ascii="Times New Roman" w:hAnsi="Times New Roman" w:cs="Times New Roman"/>
          <w:sz w:val="28"/>
          <w:szCs w:val="28"/>
        </w:rPr>
      </w:pPr>
      <w:r w:rsidRPr="005E1CC4">
        <w:rPr>
          <w:rFonts w:ascii="Times New Roman" w:hAnsi="Times New Roman" w:cs="Times New Roman"/>
          <w:sz w:val="28"/>
          <w:szCs w:val="28"/>
        </w:rPr>
        <w:t xml:space="preserve">La </w:t>
      </w:r>
      <w:r w:rsidR="001415BA">
        <w:rPr>
          <w:rFonts w:ascii="Times New Roman" w:hAnsi="Times New Roman" w:cs="Times New Roman"/>
          <w:sz w:val="28"/>
          <w:szCs w:val="28"/>
        </w:rPr>
        <w:t>CGUE non manca</w:t>
      </w:r>
      <w:r w:rsidR="00C85A28">
        <w:rPr>
          <w:rFonts w:ascii="Times New Roman" w:hAnsi="Times New Roman" w:cs="Times New Roman"/>
          <w:sz w:val="28"/>
          <w:szCs w:val="28"/>
        </w:rPr>
        <w:t>, inoltre,</w:t>
      </w:r>
      <w:r w:rsidR="001415BA">
        <w:rPr>
          <w:rFonts w:ascii="Times New Roman" w:hAnsi="Times New Roman" w:cs="Times New Roman"/>
          <w:sz w:val="28"/>
          <w:szCs w:val="28"/>
        </w:rPr>
        <w:t xml:space="preserve"> di aggiungere</w:t>
      </w:r>
      <w:r w:rsidR="001415BA">
        <w:rPr>
          <w:rStyle w:val="Rimandonotaapidipagina"/>
          <w:rFonts w:ascii="Times New Roman" w:hAnsi="Times New Roman" w:cs="Times New Roman"/>
          <w:sz w:val="28"/>
          <w:szCs w:val="28"/>
        </w:rPr>
        <w:footnoteReference w:id="25"/>
      </w:r>
      <w:r w:rsidR="00C85A28">
        <w:rPr>
          <w:rFonts w:ascii="Times New Roman" w:hAnsi="Times New Roman" w:cs="Times New Roman"/>
          <w:sz w:val="28"/>
          <w:szCs w:val="28"/>
        </w:rPr>
        <w:t xml:space="preserve"> </w:t>
      </w:r>
      <w:r w:rsidRPr="005E1CC4">
        <w:rPr>
          <w:rFonts w:ascii="Times New Roman" w:hAnsi="Times New Roman" w:cs="Times New Roman"/>
          <w:sz w:val="28"/>
          <w:szCs w:val="28"/>
        </w:rPr>
        <w:t>che la mera possibilità di effettuare una o diverse altre letture di una disposizione del diritto dell’Unione, nei limiti in cui nessuna di esse - alla luce del contesto e della finalità di detta disposizione, nonché del sistema normativo in cui essa si inserisce - appaia sufficientemente plausibile al giudice nazionale interessato, non può essere sufficiente per considerare che sussista un dubbio ragionevole quanto all’interpretazione corretta di tale disposizione.</w:t>
      </w:r>
    </w:p>
    <w:p w:rsidR="001415BA" w:rsidRDefault="00D6553F" w:rsidP="007E753A">
      <w:pPr>
        <w:spacing w:line="240" w:lineRule="auto"/>
        <w:jc w:val="both"/>
        <w:rPr>
          <w:rFonts w:ascii="Times New Roman" w:hAnsi="Times New Roman" w:cs="Times New Roman"/>
          <w:sz w:val="28"/>
          <w:szCs w:val="28"/>
        </w:rPr>
      </w:pPr>
      <w:r>
        <w:rPr>
          <w:rFonts w:ascii="Times New Roman" w:hAnsi="Times New Roman" w:cs="Times New Roman"/>
          <w:sz w:val="28"/>
          <w:szCs w:val="28"/>
        </w:rPr>
        <w:t>R</w:t>
      </w:r>
      <w:r w:rsidR="00963FC2">
        <w:rPr>
          <w:rFonts w:ascii="Times New Roman" w:hAnsi="Times New Roman" w:cs="Times New Roman"/>
          <w:sz w:val="28"/>
          <w:szCs w:val="28"/>
        </w:rPr>
        <w:t>equisito questo</w:t>
      </w:r>
      <w:r w:rsidR="001415BA">
        <w:rPr>
          <w:rFonts w:ascii="Times New Roman" w:hAnsi="Times New Roman" w:cs="Times New Roman"/>
          <w:sz w:val="28"/>
          <w:szCs w:val="28"/>
        </w:rPr>
        <w:t xml:space="preserve"> che spesso viene</w:t>
      </w:r>
      <w:r w:rsidR="00963FC2">
        <w:rPr>
          <w:rFonts w:ascii="Times New Roman" w:hAnsi="Times New Roman" w:cs="Times New Roman"/>
          <w:sz w:val="28"/>
          <w:szCs w:val="28"/>
        </w:rPr>
        <w:t xml:space="preserve"> dimenticato</w:t>
      </w:r>
      <w:r w:rsidR="001415BA">
        <w:rPr>
          <w:rFonts w:ascii="Times New Roman" w:hAnsi="Times New Roman" w:cs="Times New Roman"/>
          <w:sz w:val="28"/>
          <w:szCs w:val="28"/>
        </w:rPr>
        <w:t xml:space="preserve"> dal giudice nazionale, per il quale la mera possibilità di una diversa lettura della norma europea consente di per sé</w:t>
      </w:r>
      <w:r w:rsidR="00C85A28">
        <w:rPr>
          <w:rFonts w:ascii="Times New Roman" w:hAnsi="Times New Roman" w:cs="Times New Roman"/>
          <w:sz w:val="28"/>
          <w:szCs w:val="28"/>
        </w:rPr>
        <w:t xml:space="preserve"> la rime</w:t>
      </w:r>
      <w:r w:rsidR="001415BA">
        <w:rPr>
          <w:rFonts w:ascii="Times New Roman" w:hAnsi="Times New Roman" w:cs="Times New Roman"/>
          <w:sz w:val="28"/>
          <w:szCs w:val="28"/>
        </w:rPr>
        <w:t>ssione alla CGUE. Mentre invece la C</w:t>
      </w:r>
      <w:r w:rsidR="00963FC2">
        <w:rPr>
          <w:rFonts w:ascii="Times New Roman" w:hAnsi="Times New Roman" w:cs="Times New Roman"/>
          <w:sz w:val="28"/>
          <w:szCs w:val="28"/>
        </w:rPr>
        <w:t>orte</w:t>
      </w:r>
      <w:r w:rsidR="001415BA">
        <w:rPr>
          <w:rFonts w:ascii="Times New Roman" w:hAnsi="Times New Roman" w:cs="Times New Roman"/>
          <w:sz w:val="28"/>
          <w:szCs w:val="28"/>
        </w:rPr>
        <w:t xml:space="preserve">, nel </w:t>
      </w:r>
      <w:r w:rsidR="00C85A28">
        <w:rPr>
          <w:rFonts w:ascii="Times New Roman" w:hAnsi="Times New Roman" w:cs="Times New Roman"/>
          <w:sz w:val="28"/>
          <w:szCs w:val="28"/>
        </w:rPr>
        <w:t>pretendere</w:t>
      </w:r>
      <w:r w:rsidR="001415BA">
        <w:rPr>
          <w:rFonts w:ascii="Times New Roman" w:hAnsi="Times New Roman" w:cs="Times New Roman"/>
          <w:sz w:val="28"/>
          <w:szCs w:val="28"/>
        </w:rPr>
        <w:t xml:space="preserve"> qualcosa </w:t>
      </w:r>
      <w:r w:rsidR="00963FC2">
        <w:rPr>
          <w:rFonts w:ascii="Times New Roman" w:hAnsi="Times New Roman" w:cs="Times New Roman"/>
          <w:sz w:val="28"/>
          <w:szCs w:val="28"/>
        </w:rPr>
        <w:t>di</w:t>
      </w:r>
      <w:r w:rsidR="001415BA">
        <w:rPr>
          <w:rFonts w:ascii="Times New Roman" w:hAnsi="Times New Roman" w:cs="Times New Roman"/>
          <w:sz w:val="28"/>
          <w:szCs w:val="28"/>
        </w:rPr>
        <w:t xml:space="preserve"> più rispetto a letture alternative, mira soprattutto a limitare la proposizione delle questioni di interpretazione innanzi alla stessa</w:t>
      </w:r>
      <w:r w:rsidR="00C85A28">
        <w:rPr>
          <w:rFonts w:ascii="Times New Roman" w:hAnsi="Times New Roman" w:cs="Times New Roman"/>
          <w:sz w:val="28"/>
          <w:szCs w:val="28"/>
        </w:rPr>
        <w:t>; questioni</w:t>
      </w:r>
      <w:r w:rsidR="001415BA">
        <w:rPr>
          <w:rFonts w:ascii="Times New Roman" w:hAnsi="Times New Roman" w:cs="Times New Roman"/>
          <w:sz w:val="28"/>
          <w:szCs w:val="28"/>
        </w:rPr>
        <w:t xml:space="preserve"> alle quali proprio il giudice italiano è </w:t>
      </w:r>
      <w:r w:rsidR="00C85A28">
        <w:rPr>
          <w:rFonts w:ascii="Times New Roman" w:hAnsi="Times New Roman" w:cs="Times New Roman"/>
          <w:sz w:val="28"/>
          <w:szCs w:val="28"/>
        </w:rPr>
        <w:t>tra i più</w:t>
      </w:r>
      <w:r w:rsidR="001415BA">
        <w:rPr>
          <w:rFonts w:ascii="Times New Roman" w:hAnsi="Times New Roman" w:cs="Times New Roman"/>
          <w:sz w:val="28"/>
          <w:szCs w:val="28"/>
        </w:rPr>
        <w:t xml:space="preserve"> </w:t>
      </w:r>
      <w:r w:rsidR="00C85A28">
        <w:rPr>
          <w:rFonts w:ascii="Times New Roman" w:hAnsi="Times New Roman" w:cs="Times New Roman"/>
          <w:sz w:val="28"/>
          <w:szCs w:val="28"/>
        </w:rPr>
        <w:t>affezionati nell’Unione</w:t>
      </w:r>
      <w:r w:rsidR="001415BA">
        <w:rPr>
          <w:rFonts w:ascii="Times New Roman" w:hAnsi="Times New Roman" w:cs="Times New Roman"/>
          <w:sz w:val="28"/>
          <w:szCs w:val="28"/>
        </w:rPr>
        <w:t>.</w:t>
      </w:r>
    </w:p>
    <w:p w:rsidR="001415BA" w:rsidRDefault="001415BA" w:rsidP="007E753A">
      <w:pPr>
        <w:spacing w:line="240" w:lineRule="auto"/>
        <w:jc w:val="both"/>
        <w:rPr>
          <w:rFonts w:ascii="Times New Roman" w:hAnsi="Times New Roman" w:cs="Times New Roman"/>
          <w:sz w:val="28"/>
          <w:szCs w:val="28"/>
        </w:rPr>
      </w:pPr>
    </w:p>
    <w:p w:rsidR="001415BA" w:rsidRPr="00377F2F" w:rsidRDefault="001415BA" w:rsidP="001415BA">
      <w:pPr>
        <w:spacing w:line="240" w:lineRule="auto"/>
        <w:jc w:val="both"/>
        <w:rPr>
          <w:rFonts w:ascii="Times New Roman" w:hAnsi="Times New Roman" w:cs="Times New Roman"/>
          <w:b/>
          <w:sz w:val="28"/>
          <w:szCs w:val="28"/>
        </w:rPr>
      </w:pPr>
      <w:r>
        <w:rPr>
          <w:rFonts w:ascii="Times New Roman" w:hAnsi="Times New Roman" w:cs="Times New Roman"/>
          <w:b/>
          <w:sz w:val="28"/>
          <w:szCs w:val="28"/>
        </w:rPr>
        <w:t>6. Conclusioni.</w:t>
      </w:r>
    </w:p>
    <w:p w:rsidR="001415BA" w:rsidRPr="005E1CC4" w:rsidRDefault="00D574FD" w:rsidP="007E753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In conclusione, secondo gli orientamenti della CGUE, di cui si è detto nel paragrafo precedente, nel </w:t>
      </w:r>
      <w:r w:rsidRPr="00D574FD">
        <w:rPr>
          <w:rFonts w:ascii="Times New Roman" w:hAnsi="Times New Roman" w:cs="Times New Roman"/>
          <w:sz w:val="28"/>
          <w:szCs w:val="28"/>
        </w:rPr>
        <w:t xml:space="preserve">dialogo verticale </w:t>
      </w:r>
      <w:r>
        <w:rPr>
          <w:rFonts w:ascii="Times New Roman" w:hAnsi="Times New Roman" w:cs="Times New Roman"/>
          <w:sz w:val="28"/>
          <w:szCs w:val="28"/>
        </w:rPr>
        <w:t xml:space="preserve">tra le Corti europee </w:t>
      </w:r>
      <w:r w:rsidR="00C85A28">
        <w:rPr>
          <w:rFonts w:ascii="Times New Roman" w:hAnsi="Times New Roman" w:cs="Times New Roman"/>
          <w:sz w:val="28"/>
          <w:szCs w:val="28"/>
        </w:rPr>
        <w:t>diventa</w:t>
      </w:r>
      <w:r>
        <w:rPr>
          <w:rFonts w:ascii="Times New Roman" w:hAnsi="Times New Roman" w:cs="Times New Roman"/>
          <w:sz w:val="28"/>
          <w:szCs w:val="28"/>
        </w:rPr>
        <w:t xml:space="preserve"> </w:t>
      </w:r>
      <w:r w:rsidR="00C85A28">
        <w:rPr>
          <w:rFonts w:ascii="Times New Roman" w:hAnsi="Times New Roman" w:cs="Times New Roman"/>
          <w:sz w:val="28"/>
          <w:szCs w:val="28"/>
        </w:rPr>
        <w:t>di preliminare rilievo il</w:t>
      </w:r>
      <w:r>
        <w:rPr>
          <w:rFonts w:ascii="Times New Roman" w:hAnsi="Times New Roman" w:cs="Times New Roman"/>
          <w:sz w:val="28"/>
          <w:szCs w:val="28"/>
        </w:rPr>
        <w:t xml:space="preserve"> </w:t>
      </w:r>
      <w:r w:rsidRPr="00D574FD">
        <w:rPr>
          <w:rFonts w:ascii="Times New Roman" w:hAnsi="Times New Roman" w:cs="Times New Roman"/>
          <w:sz w:val="28"/>
          <w:szCs w:val="28"/>
        </w:rPr>
        <w:t>dialogo orizzontale</w:t>
      </w:r>
      <w:r>
        <w:rPr>
          <w:rFonts w:ascii="Times New Roman" w:hAnsi="Times New Roman" w:cs="Times New Roman"/>
          <w:sz w:val="28"/>
          <w:szCs w:val="28"/>
        </w:rPr>
        <w:t xml:space="preserve"> tra i giudici dell’Unione.</w:t>
      </w:r>
    </w:p>
    <w:p w:rsidR="00D6553F" w:rsidRDefault="00D574FD" w:rsidP="007E753A">
      <w:pPr>
        <w:spacing w:line="240" w:lineRule="auto"/>
        <w:jc w:val="both"/>
        <w:rPr>
          <w:rFonts w:ascii="Times New Roman" w:hAnsi="Times New Roman" w:cs="Times New Roman"/>
          <w:sz w:val="28"/>
          <w:szCs w:val="28"/>
        </w:rPr>
      </w:pPr>
      <w:r>
        <w:rPr>
          <w:rFonts w:ascii="Times New Roman" w:hAnsi="Times New Roman" w:cs="Times New Roman"/>
          <w:sz w:val="28"/>
          <w:szCs w:val="28"/>
        </w:rPr>
        <w:t>Se, secondo la CGUE,</w:t>
      </w:r>
      <w:r w:rsidR="004A2246" w:rsidRPr="005E1CC4">
        <w:rPr>
          <w:rFonts w:ascii="Times New Roman" w:hAnsi="Times New Roman" w:cs="Times New Roman"/>
          <w:sz w:val="28"/>
          <w:szCs w:val="28"/>
        </w:rPr>
        <w:t xml:space="preserve"> l’obiettivo della procedura pregiudiziale è quello di perseguire l’unità di interpretazione del diritto dell’Unione</w:t>
      </w:r>
      <w:r>
        <w:rPr>
          <w:rFonts w:ascii="Times New Roman" w:hAnsi="Times New Roman" w:cs="Times New Roman"/>
          <w:sz w:val="28"/>
          <w:szCs w:val="28"/>
        </w:rPr>
        <w:t xml:space="preserve"> e</w:t>
      </w:r>
      <w:r w:rsidR="0091145A" w:rsidRPr="005E1CC4">
        <w:rPr>
          <w:rFonts w:ascii="Times New Roman" w:hAnsi="Times New Roman" w:cs="Times New Roman"/>
          <w:sz w:val="28"/>
          <w:szCs w:val="28"/>
        </w:rPr>
        <w:t>,</w:t>
      </w:r>
      <w:r>
        <w:rPr>
          <w:rFonts w:ascii="Times New Roman" w:hAnsi="Times New Roman" w:cs="Times New Roman"/>
          <w:sz w:val="28"/>
          <w:szCs w:val="28"/>
        </w:rPr>
        <w:t xml:space="preserve"> conseguentemente,</w:t>
      </w:r>
      <w:r w:rsidR="004A2246" w:rsidRPr="005E1CC4">
        <w:rPr>
          <w:rFonts w:ascii="Times New Roman" w:hAnsi="Times New Roman" w:cs="Times New Roman"/>
          <w:sz w:val="28"/>
          <w:szCs w:val="28"/>
        </w:rPr>
        <w:t xml:space="preserve"> </w:t>
      </w:r>
      <w:r w:rsidRPr="00D574FD">
        <w:rPr>
          <w:rFonts w:ascii="Times New Roman" w:hAnsi="Times New Roman" w:cs="Times New Roman"/>
          <w:sz w:val="28"/>
          <w:szCs w:val="28"/>
        </w:rPr>
        <w:t xml:space="preserve">non </w:t>
      </w:r>
      <w:r>
        <w:rPr>
          <w:rFonts w:ascii="Times New Roman" w:hAnsi="Times New Roman" w:cs="Times New Roman"/>
          <w:sz w:val="28"/>
          <w:szCs w:val="28"/>
        </w:rPr>
        <w:t>va</w:t>
      </w:r>
      <w:r w:rsidRPr="00D574FD">
        <w:rPr>
          <w:rFonts w:ascii="Times New Roman" w:hAnsi="Times New Roman" w:cs="Times New Roman"/>
          <w:sz w:val="28"/>
          <w:szCs w:val="28"/>
        </w:rPr>
        <w:t xml:space="preserve"> trascurata </w:t>
      </w:r>
      <w:r w:rsidR="008409DC">
        <w:rPr>
          <w:rFonts w:ascii="Times New Roman" w:hAnsi="Times New Roman" w:cs="Times New Roman"/>
          <w:sz w:val="28"/>
          <w:szCs w:val="28"/>
        </w:rPr>
        <w:t>l</w:t>
      </w:r>
      <w:r w:rsidR="004A2246" w:rsidRPr="005E1CC4">
        <w:rPr>
          <w:rFonts w:ascii="Times New Roman" w:hAnsi="Times New Roman" w:cs="Times New Roman"/>
          <w:sz w:val="28"/>
          <w:szCs w:val="28"/>
        </w:rPr>
        <w:t xml:space="preserve">a particolare attenzione alle caratteristiche del diritto </w:t>
      </w:r>
      <w:r>
        <w:rPr>
          <w:rFonts w:ascii="Times New Roman" w:hAnsi="Times New Roman" w:cs="Times New Roman"/>
          <w:sz w:val="28"/>
          <w:szCs w:val="28"/>
        </w:rPr>
        <w:t>dell’Unione</w:t>
      </w:r>
      <w:r w:rsidR="004A2246" w:rsidRPr="005E1CC4">
        <w:rPr>
          <w:rFonts w:ascii="Times New Roman" w:hAnsi="Times New Roman" w:cs="Times New Roman"/>
          <w:sz w:val="28"/>
          <w:szCs w:val="28"/>
        </w:rPr>
        <w:t xml:space="preserve"> e delle sue ricadute in altri Paesi diversi da quello in cui sorge il dubbio sul rinvio</w:t>
      </w:r>
      <w:r>
        <w:rPr>
          <w:rFonts w:ascii="Times New Roman" w:hAnsi="Times New Roman" w:cs="Times New Roman"/>
          <w:sz w:val="28"/>
          <w:szCs w:val="28"/>
        </w:rPr>
        <w:t xml:space="preserve">, </w:t>
      </w:r>
      <w:r w:rsidR="008409DC">
        <w:rPr>
          <w:rFonts w:ascii="Times New Roman" w:hAnsi="Times New Roman" w:cs="Times New Roman"/>
          <w:sz w:val="28"/>
          <w:szCs w:val="28"/>
        </w:rPr>
        <w:t>assume importanza</w:t>
      </w:r>
      <w:r>
        <w:rPr>
          <w:rFonts w:ascii="Times New Roman" w:hAnsi="Times New Roman" w:cs="Times New Roman"/>
          <w:sz w:val="28"/>
          <w:szCs w:val="28"/>
        </w:rPr>
        <w:t xml:space="preserve"> rilevante il dialogo orizzontale tra i giudici europei.</w:t>
      </w:r>
      <w:r w:rsidR="008409DC">
        <w:rPr>
          <w:rFonts w:ascii="Times New Roman" w:hAnsi="Times New Roman" w:cs="Times New Roman"/>
          <w:sz w:val="28"/>
          <w:szCs w:val="28"/>
        </w:rPr>
        <w:t xml:space="preserve"> </w:t>
      </w:r>
      <w:r>
        <w:rPr>
          <w:rFonts w:ascii="Times New Roman" w:hAnsi="Times New Roman" w:cs="Times New Roman"/>
          <w:sz w:val="28"/>
          <w:szCs w:val="28"/>
        </w:rPr>
        <w:t>Ossia la capacità di informazione, comprensione e applicazione</w:t>
      </w:r>
      <w:r w:rsidR="00D6553F">
        <w:rPr>
          <w:rFonts w:ascii="Times New Roman" w:hAnsi="Times New Roman" w:cs="Times New Roman"/>
          <w:sz w:val="28"/>
          <w:szCs w:val="28"/>
        </w:rPr>
        <w:t xml:space="preserve"> da parte</w:t>
      </w:r>
      <w:r>
        <w:rPr>
          <w:rFonts w:ascii="Times New Roman" w:hAnsi="Times New Roman" w:cs="Times New Roman"/>
          <w:sz w:val="28"/>
          <w:szCs w:val="28"/>
        </w:rPr>
        <w:t xml:space="preserve"> </w:t>
      </w:r>
      <w:r w:rsidR="00C85A28">
        <w:rPr>
          <w:rFonts w:ascii="Times New Roman" w:hAnsi="Times New Roman" w:cs="Times New Roman"/>
          <w:sz w:val="28"/>
          <w:szCs w:val="28"/>
        </w:rPr>
        <w:t>d</w:t>
      </w:r>
      <w:r w:rsidR="00D6553F">
        <w:rPr>
          <w:rFonts w:ascii="Times New Roman" w:hAnsi="Times New Roman" w:cs="Times New Roman"/>
          <w:sz w:val="28"/>
          <w:szCs w:val="28"/>
        </w:rPr>
        <w:t xml:space="preserve">i questi ultimi </w:t>
      </w:r>
      <w:r>
        <w:rPr>
          <w:rFonts w:ascii="Times New Roman" w:hAnsi="Times New Roman" w:cs="Times New Roman"/>
          <w:sz w:val="28"/>
          <w:szCs w:val="28"/>
        </w:rPr>
        <w:t>di quelle che sono le norme europee direttamente applicabili negli ordinamenti giuridici degli Stati membri.</w:t>
      </w:r>
      <w:r w:rsidR="00DD6DBA">
        <w:rPr>
          <w:rFonts w:ascii="Times New Roman" w:hAnsi="Times New Roman" w:cs="Times New Roman"/>
          <w:sz w:val="28"/>
          <w:szCs w:val="28"/>
        </w:rPr>
        <w:t xml:space="preserve"> Il che comporta il necessario incremento degli strumenti relazionali </w:t>
      </w:r>
      <w:r w:rsidR="00963FC2">
        <w:rPr>
          <w:rFonts w:ascii="Times New Roman" w:hAnsi="Times New Roman" w:cs="Times New Roman"/>
          <w:sz w:val="28"/>
          <w:szCs w:val="28"/>
        </w:rPr>
        <w:t xml:space="preserve">e di scambio </w:t>
      </w:r>
      <w:r w:rsidR="00DD6DBA">
        <w:rPr>
          <w:rFonts w:ascii="Times New Roman" w:hAnsi="Times New Roman" w:cs="Times New Roman"/>
          <w:sz w:val="28"/>
          <w:szCs w:val="28"/>
        </w:rPr>
        <w:t xml:space="preserve">tra </w:t>
      </w:r>
      <w:r w:rsidR="00D6553F">
        <w:rPr>
          <w:rFonts w:ascii="Times New Roman" w:hAnsi="Times New Roman" w:cs="Times New Roman"/>
          <w:sz w:val="28"/>
          <w:szCs w:val="28"/>
        </w:rPr>
        <w:t>gli stessi giudici.</w:t>
      </w:r>
    </w:p>
    <w:p w:rsidR="00D574FD" w:rsidRDefault="00D574FD" w:rsidP="007E753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Solo così, </w:t>
      </w:r>
      <w:r w:rsidR="00DD6DBA">
        <w:rPr>
          <w:rFonts w:ascii="Times New Roman" w:hAnsi="Times New Roman" w:cs="Times New Roman"/>
          <w:sz w:val="28"/>
          <w:szCs w:val="28"/>
        </w:rPr>
        <w:t xml:space="preserve">anche </w:t>
      </w:r>
      <w:r>
        <w:rPr>
          <w:rFonts w:ascii="Times New Roman" w:hAnsi="Times New Roman" w:cs="Times New Roman"/>
          <w:sz w:val="28"/>
          <w:szCs w:val="28"/>
        </w:rPr>
        <w:t xml:space="preserve">previa adozione di un linguaggio </w:t>
      </w:r>
      <w:r w:rsidR="00C85A28">
        <w:rPr>
          <w:rFonts w:ascii="Times New Roman" w:hAnsi="Times New Roman" w:cs="Times New Roman"/>
          <w:sz w:val="28"/>
          <w:szCs w:val="28"/>
        </w:rPr>
        <w:t>unico e comune</w:t>
      </w:r>
      <w:r>
        <w:rPr>
          <w:rFonts w:ascii="Times New Roman" w:hAnsi="Times New Roman" w:cs="Times New Roman"/>
          <w:sz w:val="28"/>
          <w:szCs w:val="28"/>
        </w:rPr>
        <w:t xml:space="preserve"> nella definizione dei vari istituti giuridici, sarà possibile raggiungere</w:t>
      </w:r>
      <w:r w:rsidR="008409DC">
        <w:rPr>
          <w:rFonts w:ascii="Times New Roman" w:hAnsi="Times New Roman" w:cs="Times New Roman"/>
          <w:sz w:val="28"/>
          <w:szCs w:val="28"/>
        </w:rPr>
        <w:t xml:space="preserve"> l’obiettivo </w:t>
      </w:r>
      <w:r>
        <w:rPr>
          <w:rFonts w:ascii="Times New Roman" w:hAnsi="Times New Roman" w:cs="Times New Roman"/>
          <w:sz w:val="28"/>
          <w:szCs w:val="28"/>
        </w:rPr>
        <w:t>finale, a cui dovrebbero tendere</w:t>
      </w:r>
      <w:r w:rsidR="008409DC">
        <w:rPr>
          <w:rFonts w:ascii="Times New Roman" w:hAnsi="Times New Roman" w:cs="Times New Roman"/>
          <w:sz w:val="28"/>
          <w:szCs w:val="28"/>
        </w:rPr>
        <w:t xml:space="preserve"> sia i</w:t>
      </w:r>
      <w:r>
        <w:rPr>
          <w:rFonts w:ascii="Times New Roman" w:hAnsi="Times New Roman" w:cs="Times New Roman"/>
          <w:sz w:val="28"/>
          <w:szCs w:val="28"/>
        </w:rPr>
        <w:t xml:space="preserve"> giudici nazionali che</w:t>
      </w:r>
      <w:r w:rsidR="008409DC">
        <w:rPr>
          <w:rFonts w:ascii="Times New Roman" w:hAnsi="Times New Roman" w:cs="Times New Roman"/>
          <w:sz w:val="28"/>
          <w:szCs w:val="28"/>
        </w:rPr>
        <w:t xml:space="preserve"> il supremo </w:t>
      </w:r>
      <w:r>
        <w:rPr>
          <w:rFonts w:ascii="Times New Roman" w:hAnsi="Times New Roman" w:cs="Times New Roman"/>
          <w:sz w:val="28"/>
          <w:szCs w:val="28"/>
        </w:rPr>
        <w:t>organo di giustizia dell’</w:t>
      </w:r>
      <w:r w:rsidR="008409DC">
        <w:rPr>
          <w:rFonts w:ascii="Times New Roman" w:hAnsi="Times New Roman" w:cs="Times New Roman"/>
          <w:sz w:val="28"/>
          <w:szCs w:val="28"/>
        </w:rPr>
        <w:t>U</w:t>
      </w:r>
      <w:r>
        <w:rPr>
          <w:rFonts w:ascii="Times New Roman" w:hAnsi="Times New Roman" w:cs="Times New Roman"/>
          <w:sz w:val="28"/>
          <w:szCs w:val="28"/>
        </w:rPr>
        <w:t>nione: ossia l’unicità dell’interpretazione</w:t>
      </w:r>
      <w:r w:rsidR="008409DC">
        <w:rPr>
          <w:rFonts w:ascii="Times New Roman" w:hAnsi="Times New Roman" w:cs="Times New Roman"/>
          <w:sz w:val="28"/>
          <w:szCs w:val="28"/>
        </w:rPr>
        <w:t xml:space="preserve"> e d</w:t>
      </w:r>
      <w:r>
        <w:rPr>
          <w:rFonts w:ascii="Times New Roman" w:hAnsi="Times New Roman" w:cs="Times New Roman"/>
          <w:sz w:val="28"/>
          <w:szCs w:val="28"/>
        </w:rPr>
        <w:t>ell’applicazione del</w:t>
      </w:r>
      <w:r w:rsidR="008409DC">
        <w:rPr>
          <w:rFonts w:ascii="Times New Roman" w:hAnsi="Times New Roman" w:cs="Times New Roman"/>
          <w:sz w:val="28"/>
          <w:szCs w:val="28"/>
        </w:rPr>
        <w:t xml:space="preserve"> diritto europeo</w:t>
      </w:r>
      <w:r w:rsidR="00920BAA">
        <w:rPr>
          <w:rStyle w:val="Rimandonotaapidipagina"/>
          <w:rFonts w:ascii="Times New Roman" w:hAnsi="Times New Roman" w:cs="Times New Roman"/>
          <w:sz w:val="28"/>
          <w:szCs w:val="28"/>
        </w:rPr>
        <w:footnoteReference w:id="26"/>
      </w:r>
      <w:r>
        <w:rPr>
          <w:rFonts w:ascii="Times New Roman" w:hAnsi="Times New Roman" w:cs="Times New Roman"/>
          <w:sz w:val="28"/>
          <w:szCs w:val="28"/>
        </w:rPr>
        <w:t>.</w:t>
      </w:r>
    </w:p>
    <w:p w:rsidR="00D10D05" w:rsidRDefault="00D10D05" w:rsidP="00D10D05">
      <w:pPr>
        <w:spacing w:line="240" w:lineRule="auto"/>
        <w:jc w:val="right"/>
        <w:rPr>
          <w:rFonts w:ascii="Times New Roman" w:hAnsi="Times New Roman" w:cs="Times New Roman"/>
          <w:sz w:val="28"/>
          <w:szCs w:val="28"/>
        </w:rPr>
      </w:pPr>
    </w:p>
    <w:p w:rsidR="00D10D05" w:rsidRPr="00D10D05" w:rsidRDefault="00D10D05" w:rsidP="00D10D05">
      <w:pPr>
        <w:spacing w:line="240" w:lineRule="auto"/>
        <w:jc w:val="right"/>
        <w:rPr>
          <w:rFonts w:ascii="Times New Roman" w:hAnsi="Times New Roman" w:cs="Times New Roman"/>
          <w:sz w:val="28"/>
          <w:szCs w:val="28"/>
        </w:rPr>
      </w:pPr>
      <w:r w:rsidRPr="00D10D05">
        <w:rPr>
          <w:rFonts w:ascii="Times New Roman" w:hAnsi="Times New Roman" w:cs="Times New Roman"/>
          <w:sz w:val="28"/>
          <w:szCs w:val="28"/>
        </w:rPr>
        <w:t>Carmine Volpe</w:t>
      </w:r>
    </w:p>
    <w:p w:rsidR="004A2246" w:rsidRDefault="00D10D05" w:rsidP="00D10D05">
      <w:pPr>
        <w:spacing w:line="240" w:lineRule="auto"/>
        <w:jc w:val="right"/>
        <w:rPr>
          <w:rFonts w:ascii="Times New Roman" w:hAnsi="Times New Roman" w:cs="Times New Roman"/>
          <w:sz w:val="28"/>
          <w:szCs w:val="28"/>
        </w:rPr>
      </w:pPr>
      <w:r w:rsidRPr="00D10D05">
        <w:rPr>
          <w:rFonts w:ascii="Times New Roman" w:hAnsi="Times New Roman" w:cs="Times New Roman"/>
          <w:sz w:val="28"/>
          <w:szCs w:val="28"/>
        </w:rPr>
        <w:t>Presidente Aggiunto del Consiglio di Stato</w:t>
      </w:r>
    </w:p>
    <w:p w:rsidR="00C369D5" w:rsidRDefault="00C369D5" w:rsidP="00D10D05">
      <w:pPr>
        <w:spacing w:line="240" w:lineRule="auto"/>
        <w:jc w:val="right"/>
        <w:rPr>
          <w:rFonts w:ascii="Times New Roman" w:hAnsi="Times New Roman" w:cs="Times New Roman"/>
          <w:sz w:val="28"/>
          <w:szCs w:val="28"/>
        </w:rPr>
      </w:pPr>
    </w:p>
    <w:p w:rsidR="00C369D5" w:rsidRDefault="00C369D5" w:rsidP="00D10D05">
      <w:pPr>
        <w:spacing w:line="240" w:lineRule="auto"/>
        <w:jc w:val="right"/>
        <w:rPr>
          <w:rFonts w:ascii="Times New Roman" w:hAnsi="Times New Roman" w:cs="Times New Roman"/>
          <w:sz w:val="28"/>
          <w:szCs w:val="28"/>
        </w:rPr>
      </w:pPr>
      <w:r>
        <w:rPr>
          <w:rFonts w:ascii="Times New Roman" w:hAnsi="Times New Roman" w:cs="Times New Roman"/>
          <w:sz w:val="28"/>
          <w:szCs w:val="28"/>
        </w:rPr>
        <w:t>Pubblicato</w:t>
      </w:r>
      <w:bookmarkStart w:id="0" w:name="_GoBack"/>
      <w:bookmarkEnd w:id="0"/>
      <w:r>
        <w:rPr>
          <w:rFonts w:ascii="Times New Roman" w:hAnsi="Times New Roman" w:cs="Times New Roman"/>
          <w:sz w:val="28"/>
          <w:szCs w:val="28"/>
        </w:rPr>
        <w:t xml:space="preserve"> il 27 luglio 2023</w:t>
      </w:r>
    </w:p>
    <w:p w:rsidR="00CC6C24" w:rsidRDefault="00CC6C24" w:rsidP="007E753A">
      <w:pPr>
        <w:spacing w:line="240" w:lineRule="auto"/>
        <w:jc w:val="both"/>
      </w:pPr>
    </w:p>
    <w:sectPr w:rsidR="00CC6C24">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7D0" w:rsidRDefault="002527D0" w:rsidP="00547C3D">
      <w:pPr>
        <w:spacing w:after="0" w:line="240" w:lineRule="auto"/>
      </w:pPr>
      <w:r>
        <w:separator/>
      </w:r>
    </w:p>
  </w:endnote>
  <w:endnote w:type="continuationSeparator" w:id="0">
    <w:p w:rsidR="002527D0" w:rsidRDefault="002527D0" w:rsidP="0054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C3D" w:rsidRDefault="00547C3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457802"/>
      <w:docPartObj>
        <w:docPartGallery w:val="Page Numbers (Bottom of Page)"/>
        <w:docPartUnique/>
      </w:docPartObj>
    </w:sdtPr>
    <w:sdtEndPr/>
    <w:sdtContent>
      <w:p w:rsidR="00547C3D" w:rsidRDefault="00547C3D">
        <w:pPr>
          <w:pStyle w:val="Pidipagina"/>
          <w:jc w:val="right"/>
        </w:pPr>
        <w:r>
          <w:fldChar w:fldCharType="begin"/>
        </w:r>
        <w:r>
          <w:instrText>PAGE   \* MERGEFORMAT</w:instrText>
        </w:r>
        <w:r>
          <w:fldChar w:fldCharType="separate"/>
        </w:r>
        <w:r w:rsidR="00C369D5">
          <w:rPr>
            <w:noProof/>
          </w:rPr>
          <w:t>10</w:t>
        </w:r>
        <w:r>
          <w:fldChar w:fldCharType="end"/>
        </w:r>
      </w:p>
    </w:sdtContent>
  </w:sdt>
  <w:p w:rsidR="00547C3D" w:rsidRDefault="00547C3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C3D" w:rsidRDefault="00547C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7D0" w:rsidRDefault="002527D0" w:rsidP="00547C3D">
      <w:pPr>
        <w:spacing w:after="0" w:line="240" w:lineRule="auto"/>
      </w:pPr>
      <w:r>
        <w:separator/>
      </w:r>
    </w:p>
  </w:footnote>
  <w:footnote w:type="continuationSeparator" w:id="0">
    <w:p w:rsidR="002527D0" w:rsidRDefault="002527D0" w:rsidP="00547C3D">
      <w:pPr>
        <w:spacing w:after="0" w:line="240" w:lineRule="auto"/>
      </w:pPr>
      <w:r>
        <w:continuationSeparator/>
      </w:r>
    </w:p>
  </w:footnote>
  <w:footnote w:id="1">
    <w:p w:rsidR="009C4C8B" w:rsidRDefault="009C4C8B" w:rsidP="009C4C8B">
      <w:pPr>
        <w:pStyle w:val="Testonotaapidipagina"/>
        <w:jc w:val="both"/>
        <w:rPr>
          <w:rFonts w:ascii="Times New Roman" w:hAnsi="Times New Roman" w:cs="Times New Roman"/>
        </w:rPr>
      </w:pPr>
      <w:r w:rsidRPr="009C4C8B">
        <w:rPr>
          <w:rStyle w:val="Rimandonotaapidipagina"/>
          <w:rFonts w:ascii="Times New Roman" w:hAnsi="Times New Roman" w:cs="Times New Roman"/>
        </w:rPr>
        <w:footnoteRef/>
      </w:r>
      <w:r w:rsidRPr="009C4C8B">
        <w:rPr>
          <w:rFonts w:ascii="Times New Roman" w:hAnsi="Times New Roman" w:cs="Times New Roman"/>
        </w:rPr>
        <w:t xml:space="preserve"> Lo scritto è lo sviluppo della relazione svolta dal sottoscritto al </w:t>
      </w:r>
      <w:r w:rsidR="00551608">
        <w:rPr>
          <w:rFonts w:ascii="Times New Roman" w:hAnsi="Times New Roman" w:cs="Times New Roman"/>
        </w:rPr>
        <w:t xml:space="preserve">VII </w:t>
      </w:r>
      <w:r w:rsidRPr="009C4C8B">
        <w:rPr>
          <w:rFonts w:ascii="Times New Roman" w:hAnsi="Times New Roman" w:cs="Times New Roman"/>
        </w:rPr>
        <w:t xml:space="preserve">convegno </w:t>
      </w:r>
      <w:r w:rsidR="00551608">
        <w:rPr>
          <w:rFonts w:ascii="Times New Roman" w:hAnsi="Times New Roman" w:cs="Times New Roman"/>
        </w:rPr>
        <w:t>biennale de</w:t>
      </w:r>
      <w:r w:rsidRPr="009C4C8B">
        <w:rPr>
          <w:rFonts w:ascii="Times New Roman" w:hAnsi="Times New Roman" w:cs="Times New Roman"/>
        </w:rPr>
        <w:t>ll’Associazione Antitrust Italiana dal titolo “</w:t>
      </w:r>
      <w:r>
        <w:rPr>
          <w:rFonts w:ascii="Times New Roman" w:hAnsi="Times New Roman" w:cs="Times New Roman"/>
        </w:rPr>
        <w:t>I p</w:t>
      </w:r>
      <w:r w:rsidRPr="009C4C8B">
        <w:rPr>
          <w:rFonts w:ascii="Times New Roman" w:hAnsi="Times New Roman" w:cs="Times New Roman"/>
        </w:rPr>
        <w:t xml:space="preserve">rincipali sviluppi nel diritto della concorrenza dell’Unione </w:t>
      </w:r>
      <w:r>
        <w:rPr>
          <w:rFonts w:ascii="Times New Roman" w:hAnsi="Times New Roman" w:cs="Times New Roman"/>
        </w:rPr>
        <w:t>e</w:t>
      </w:r>
      <w:r w:rsidRPr="009C4C8B">
        <w:rPr>
          <w:rFonts w:ascii="Times New Roman" w:hAnsi="Times New Roman" w:cs="Times New Roman"/>
        </w:rPr>
        <w:t>uropea e nazionale”</w:t>
      </w:r>
      <w:r>
        <w:rPr>
          <w:rFonts w:ascii="Times New Roman" w:hAnsi="Times New Roman" w:cs="Times New Roman"/>
        </w:rPr>
        <w:t>,</w:t>
      </w:r>
      <w:r w:rsidRPr="009C4C8B">
        <w:rPr>
          <w:rFonts w:ascii="Times New Roman" w:hAnsi="Times New Roman" w:cs="Times New Roman"/>
        </w:rPr>
        <w:t xml:space="preserve"> svoltosi a Firenze l’</w:t>
      </w:r>
      <w:r>
        <w:rPr>
          <w:rFonts w:ascii="Times New Roman" w:hAnsi="Times New Roman" w:cs="Times New Roman"/>
        </w:rPr>
        <w:t>8 e il 9 giugno 2023</w:t>
      </w:r>
      <w:r w:rsidRPr="009C4C8B">
        <w:rPr>
          <w:rFonts w:ascii="Times New Roman" w:hAnsi="Times New Roman" w:cs="Times New Roman"/>
        </w:rPr>
        <w:t xml:space="preserve">. Il sottoscritto ha presieduto la prima sessione </w:t>
      </w:r>
      <w:r>
        <w:rPr>
          <w:rFonts w:ascii="Times New Roman" w:hAnsi="Times New Roman" w:cs="Times New Roman"/>
        </w:rPr>
        <w:t xml:space="preserve">plenaria </w:t>
      </w:r>
      <w:r w:rsidR="00551608">
        <w:rPr>
          <w:rFonts w:ascii="Times New Roman" w:hAnsi="Times New Roman" w:cs="Times New Roman"/>
        </w:rPr>
        <w:t xml:space="preserve">del primo giorno, </w:t>
      </w:r>
      <w:r>
        <w:rPr>
          <w:rFonts w:ascii="Times New Roman" w:hAnsi="Times New Roman" w:cs="Times New Roman"/>
        </w:rPr>
        <w:t>intito</w:t>
      </w:r>
      <w:r w:rsidRPr="009C4C8B">
        <w:rPr>
          <w:rFonts w:ascii="Times New Roman" w:hAnsi="Times New Roman" w:cs="Times New Roman"/>
        </w:rPr>
        <w:t>lata “Recenti sviluppi nell’antitrust italiano ed europeo”.</w:t>
      </w:r>
    </w:p>
    <w:p w:rsidR="00285534" w:rsidRPr="009C4C8B" w:rsidRDefault="00285534" w:rsidP="009C4C8B">
      <w:pPr>
        <w:pStyle w:val="Testonotaapidipagina"/>
        <w:jc w:val="both"/>
        <w:rPr>
          <w:rFonts w:ascii="Times New Roman" w:hAnsi="Times New Roman" w:cs="Times New Roman"/>
        </w:rPr>
      </w:pPr>
    </w:p>
  </w:footnote>
  <w:footnote w:id="2">
    <w:p w:rsidR="007E753A" w:rsidRDefault="007E753A" w:rsidP="007E753A">
      <w:pPr>
        <w:pStyle w:val="Testonotaapidipagina"/>
        <w:jc w:val="both"/>
        <w:rPr>
          <w:rFonts w:ascii="Times New Roman" w:hAnsi="Times New Roman" w:cs="Times New Roman"/>
        </w:rPr>
      </w:pPr>
      <w:r w:rsidRPr="007E753A">
        <w:rPr>
          <w:rStyle w:val="Rimandonotaapidipagina"/>
          <w:rFonts w:ascii="Times New Roman" w:hAnsi="Times New Roman" w:cs="Times New Roman"/>
        </w:rPr>
        <w:footnoteRef/>
      </w:r>
      <w:r w:rsidRPr="007E753A">
        <w:rPr>
          <w:rFonts w:ascii="Times New Roman" w:hAnsi="Times New Roman" w:cs="Times New Roman"/>
        </w:rPr>
        <w:t xml:space="preserve"> L’intesa restrittiva della concorrenza può realizzarsi sia mediante un "accordo", sia mediante una ''pratica concordata".</w:t>
      </w:r>
    </w:p>
    <w:p w:rsidR="00285534" w:rsidRPr="007E753A" w:rsidRDefault="00285534" w:rsidP="007E753A">
      <w:pPr>
        <w:pStyle w:val="Testonotaapidipagina"/>
        <w:jc w:val="both"/>
        <w:rPr>
          <w:rFonts w:ascii="Times New Roman" w:hAnsi="Times New Roman" w:cs="Times New Roman"/>
        </w:rPr>
      </w:pPr>
    </w:p>
  </w:footnote>
  <w:footnote w:id="3">
    <w:p w:rsidR="007E753A" w:rsidRDefault="007E753A" w:rsidP="007E753A">
      <w:pPr>
        <w:pStyle w:val="Testonotaapidipagina"/>
        <w:jc w:val="both"/>
        <w:rPr>
          <w:rFonts w:ascii="Times New Roman" w:hAnsi="Times New Roman" w:cs="Times New Roman"/>
        </w:rPr>
      </w:pPr>
      <w:r w:rsidRPr="007E753A">
        <w:rPr>
          <w:rStyle w:val="Rimandonotaapidipagina"/>
          <w:rFonts w:ascii="Times New Roman" w:hAnsi="Times New Roman" w:cs="Times New Roman"/>
        </w:rPr>
        <w:footnoteRef/>
      </w:r>
      <w:r w:rsidRPr="007E753A">
        <w:rPr>
          <w:rFonts w:ascii="Times New Roman" w:hAnsi="Times New Roman" w:cs="Times New Roman"/>
        </w:rPr>
        <w:t xml:space="preserve"> “</w:t>
      </w:r>
      <w:r w:rsidRPr="007E753A">
        <w:rPr>
          <w:rFonts w:ascii="Times New Roman" w:hAnsi="Times New Roman" w:cs="Times New Roman"/>
          <w:i/>
        </w:rPr>
        <w:t>5.1. In linea generale, va ricordato che l’intesa restrittiva della concorrenza integra una fattispecie di pericolo</w:t>
      </w:r>
      <w:r w:rsidRPr="007E753A">
        <w:rPr>
          <w:rFonts w:ascii="Times New Roman" w:hAnsi="Times New Roman" w:cs="Times New Roman"/>
        </w:rPr>
        <w:t>”.</w:t>
      </w:r>
    </w:p>
    <w:p w:rsidR="00285534" w:rsidRPr="007E753A" w:rsidRDefault="00285534" w:rsidP="007E753A">
      <w:pPr>
        <w:pStyle w:val="Testonotaapidipagina"/>
        <w:jc w:val="both"/>
        <w:rPr>
          <w:rFonts w:ascii="Times New Roman" w:hAnsi="Times New Roman" w:cs="Times New Roman"/>
        </w:rPr>
      </w:pPr>
    </w:p>
  </w:footnote>
  <w:footnote w:id="4">
    <w:p w:rsidR="00E652B2" w:rsidRPr="00E652B2" w:rsidRDefault="00E652B2" w:rsidP="00E652B2">
      <w:pPr>
        <w:pStyle w:val="Testonotaapidipagina"/>
        <w:jc w:val="both"/>
        <w:rPr>
          <w:rFonts w:ascii="Times New Roman" w:hAnsi="Times New Roman" w:cs="Times New Roman"/>
          <w:i/>
        </w:rPr>
      </w:pPr>
      <w:r>
        <w:rPr>
          <w:rStyle w:val="Rimandonotaapidipagina"/>
        </w:rPr>
        <w:footnoteRef/>
      </w:r>
      <w:r>
        <w:t xml:space="preserve"> “</w:t>
      </w:r>
      <w:r w:rsidRPr="00E652B2">
        <w:rPr>
          <w:rFonts w:ascii="Times New Roman" w:hAnsi="Times New Roman" w:cs="Times New Roman"/>
          <w:i/>
        </w:rPr>
        <w:t>L'accertamento di un'intesa anticompetitiva è il portato di un'analisi complessa ed articolata, che deve tenere conto di tutti gli elementi di prova acquisiti nella loro interezza e nella correlazione reciproca che lega gli uni agli altri. Il "parallelismo dei comportamenti" può essere considerato prova di una concertazione soltanto qualora questa ne costituisca l'unica spiegazione plausibile, tenuto conto della natura dei prodotti, dell'entità e del numero delle imprese. Le spiegazioni lecite alternative devono essere esaminate non nella loro astratta plausibilità, ma nel contesto in cui sono concretamente formulate.</w:t>
      </w:r>
    </w:p>
    <w:p w:rsidR="00E652B2" w:rsidRPr="00E652B2" w:rsidRDefault="00E652B2" w:rsidP="00E652B2">
      <w:pPr>
        <w:pStyle w:val="Testonotaapidipagina"/>
        <w:jc w:val="both"/>
        <w:rPr>
          <w:rFonts w:ascii="Times New Roman" w:hAnsi="Times New Roman" w:cs="Times New Roman"/>
          <w:i/>
        </w:rPr>
      </w:pPr>
      <w:r w:rsidRPr="00E652B2">
        <w:rPr>
          <w:rFonts w:ascii="Times New Roman" w:hAnsi="Times New Roman" w:cs="Times New Roman"/>
          <w:i/>
        </w:rPr>
        <w:t>5.2. In particolare è stato affermato che la prova della pratica concordata, oltre che documentale, può essere indiziaria, purché gli indizi siano gravi, precisi e concordanti, con la precisazione che la circostanza che la prova sia indiretta (o indiziaria) non comporta necessariamente che la stessa abbia una forza probatoria attenuata (Cons. Stato, Sez. VI, 12/10/2017, n.4733; 11/7/2016, n. 3047; 30/6/2016, n. 294; 18/5/2015, n. 2514).</w:t>
      </w:r>
    </w:p>
    <w:p w:rsidR="00E652B2" w:rsidRDefault="00E652B2" w:rsidP="00E652B2">
      <w:pPr>
        <w:pStyle w:val="Testonotaapidipagina"/>
        <w:jc w:val="both"/>
      </w:pPr>
      <w:r w:rsidRPr="00E652B2">
        <w:rPr>
          <w:rFonts w:ascii="Times New Roman" w:hAnsi="Times New Roman" w:cs="Times New Roman"/>
          <w:i/>
        </w:rPr>
        <w:t>5.3. Sempre sul piano della prova è stato chiarito che risulta superfluo, ai fini dell’an della responsabilità, indagare quale sia stato il ruolo del singolo aderente all’intesa, essendo all’uopo sufficiente anche una condotta meramente passiva, di modo che risponde dell’illecito anche il partecipante che, senza assumere una veste attiva, abbia, comunque, tratto vantaggio dall’intesa, potendo l’esonero da responsabilità discendere soltanto da un’esplicita dissociazione (Cons. Stato, Sez. VI, 19/12/2019, n. 8585; 29/3/2018, n. 1999; 30/6/2016, n. 2947; 23/6/2014, n. 3167)</w:t>
      </w:r>
      <w:r>
        <w:t>”.</w:t>
      </w:r>
    </w:p>
    <w:p w:rsidR="005F2ED1" w:rsidRDefault="005F2ED1" w:rsidP="00E652B2">
      <w:pPr>
        <w:pStyle w:val="Testonotaapidipagina"/>
        <w:jc w:val="both"/>
      </w:pPr>
    </w:p>
  </w:footnote>
  <w:footnote w:id="5">
    <w:p w:rsidR="00272F7E" w:rsidRDefault="00272F7E" w:rsidP="00272F7E">
      <w:pPr>
        <w:pStyle w:val="Testonotaapidipagina"/>
        <w:jc w:val="both"/>
        <w:rPr>
          <w:rFonts w:ascii="Times New Roman" w:hAnsi="Times New Roman" w:cs="Times New Roman"/>
        </w:rPr>
      </w:pPr>
      <w:r w:rsidRPr="00272F7E">
        <w:rPr>
          <w:rStyle w:val="Rimandonotaapidipagina"/>
          <w:rFonts w:ascii="Times New Roman" w:hAnsi="Times New Roman" w:cs="Times New Roman"/>
        </w:rPr>
        <w:footnoteRef/>
      </w:r>
      <w:r w:rsidRPr="00272F7E">
        <w:rPr>
          <w:rFonts w:ascii="Times New Roman" w:hAnsi="Times New Roman" w:cs="Times New Roman"/>
        </w:rPr>
        <w:t xml:space="preserve"> “</w:t>
      </w:r>
      <w:r w:rsidRPr="00272F7E">
        <w:rPr>
          <w:rFonts w:ascii="Times New Roman" w:hAnsi="Times New Roman" w:cs="Times New Roman"/>
          <w:i/>
        </w:rPr>
        <w:t>L'articolo 101 TFUE deve essere interpretato nel senso che, qualora una parte ricorrente riesca a dimostrare l'esistenza di una violazione di tale articolo che costituisce l'oggetto tanto della sua azione di nullità ai sensi dell'articolo 101, paragrafo 2, TFUE quanto della sua azione per il risarcimento del danno causato da tale violazione, il giudice nazionale deve trarne tutte le conseguenze e dedurne, in particolare, ai sensi dell'articolo 101, paragrafo 2, TFUE, la nullità di pieno diritto di tutte le clausole contrattuali incompatibili con l'articolo 101, paragrafo 1, TFUE, mentre l'intero accordo in questione sarà nullo solo se tali elementi non appaiono scindibili dall'accordo stesso</w:t>
      </w:r>
      <w:r w:rsidRPr="00272F7E">
        <w:rPr>
          <w:rFonts w:ascii="Times New Roman" w:hAnsi="Times New Roman" w:cs="Times New Roman"/>
        </w:rPr>
        <w:t>”.</w:t>
      </w:r>
    </w:p>
    <w:p w:rsidR="005F2ED1" w:rsidRPr="00272F7E" w:rsidRDefault="005F2ED1" w:rsidP="00272F7E">
      <w:pPr>
        <w:pStyle w:val="Testonotaapidipagina"/>
        <w:jc w:val="both"/>
        <w:rPr>
          <w:rFonts w:ascii="Times New Roman" w:hAnsi="Times New Roman" w:cs="Times New Roman"/>
        </w:rPr>
      </w:pPr>
    </w:p>
  </w:footnote>
  <w:footnote w:id="6">
    <w:p w:rsidR="00272F7E" w:rsidRDefault="00272F7E" w:rsidP="00272F7E">
      <w:pPr>
        <w:pStyle w:val="Testonotaapidipagina"/>
        <w:jc w:val="both"/>
      </w:pPr>
      <w:r>
        <w:rPr>
          <w:rStyle w:val="Rimandonotaapidipagina"/>
        </w:rPr>
        <w:footnoteRef/>
      </w:r>
      <w:r>
        <w:t xml:space="preserve"> “</w:t>
      </w:r>
      <w:r w:rsidRPr="00272F7E">
        <w:rPr>
          <w:rFonts w:ascii="Times New Roman" w:hAnsi="Times New Roman" w:cs="Times New Roman"/>
          <w:i/>
        </w:rPr>
        <w:t>Poiché la nullità di cui all'articolo 101, paragrafo 2, TFUE ha carattere assoluto, un accordo nullo in forza di tale disposizione non ha effetto nei rapporti tra i contraenti e non è opponibile ai terzi; inoltre, questa nullità riguarda tutti gli effetti, passati e futuri, dell'accordo o della decisione interessati</w:t>
      </w:r>
      <w:r>
        <w:t>”.</w:t>
      </w:r>
    </w:p>
    <w:p w:rsidR="005F2ED1" w:rsidRDefault="005F2ED1" w:rsidP="00272F7E">
      <w:pPr>
        <w:pStyle w:val="Testonotaapidipagina"/>
        <w:jc w:val="both"/>
      </w:pPr>
    </w:p>
  </w:footnote>
  <w:footnote w:id="7">
    <w:p w:rsidR="005F2ED1" w:rsidRPr="00272F7E" w:rsidRDefault="00E04E19" w:rsidP="00E04E19">
      <w:pPr>
        <w:pStyle w:val="Testonotaapidipagina"/>
        <w:jc w:val="both"/>
        <w:rPr>
          <w:rFonts w:ascii="Times New Roman" w:hAnsi="Times New Roman" w:cs="Times New Roman"/>
        </w:rPr>
      </w:pPr>
      <w:r w:rsidRPr="00272F7E">
        <w:rPr>
          <w:rStyle w:val="Rimandonotaapidipagina"/>
          <w:rFonts w:ascii="Times New Roman" w:hAnsi="Times New Roman" w:cs="Times New Roman"/>
        </w:rPr>
        <w:footnoteRef/>
      </w:r>
      <w:r w:rsidRPr="00272F7E">
        <w:rPr>
          <w:rFonts w:ascii="Times New Roman" w:hAnsi="Times New Roman" w:cs="Times New Roman"/>
        </w:rPr>
        <w:t xml:space="preserve"> “</w:t>
      </w:r>
      <w:r w:rsidRPr="00272F7E">
        <w:rPr>
          <w:rFonts w:ascii="Times New Roman" w:hAnsi="Times New Roman" w:cs="Times New Roman"/>
          <w:i/>
        </w:rPr>
        <w:t>L'articolo 101 TFUE, come attuato dall'articolo 2 del regolamento n. 1/2003/CE, concernente l'applicazione delle regole di concorrenza di cui agli articoli 101 e 102 TFUE, e in combinato disposto con il principio di effettività, deve essere interpretato nel senso che la violazione del diritto della concorrenza constatata in una decisione di un'autorità nazionale garante della concorrenza, che è stata oggetto di un ricorso di annullamento dinanzi ai giudici nazionali competenti ma che è divenuta definitiva dopo essere stata confermata da tali giudici, deve ritenersi dimostrata dal ricorrente, tanto nell'ambito di un'azione di nullità ai sensi dell'articolo 101, paragrafo 2, TFUE quanto di un'azione per il risarcimento del danno per una violazione dell'articolo 101 TFUE, fino a prova contraria, trasferendo così l'onere della prova definito da tale articolo 2 sul convenuto, a condizione che la natura dell'asserita violazione oggetto di tali azioni e la sua portata materiale, personale, temporale e territoriale coincidano con quelle della violazione constatata in detta decisione” Corte giustizia UE sez. II, 16/02/2023, n.312</w:t>
      </w:r>
      <w:r w:rsidRPr="00272F7E">
        <w:rPr>
          <w:rFonts w:ascii="Times New Roman" w:hAnsi="Times New Roman" w:cs="Times New Roman"/>
        </w:rPr>
        <w:t>”.</w:t>
      </w:r>
    </w:p>
  </w:footnote>
  <w:footnote w:id="8">
    <w:p w:rsidR="00802CCB" w:rsidRDefault="00802CCB" w:rsidP="00802CCB">
      <w:pPr>
        <w:pStyle w:val="Testonotaapidipagina"/>
        <w:jc w:val="both"/>
        <w:rPr>
          <w:rFonts w:ascii="Times New Roman" w:hAnsi="Times New Roman" w:cs="Times New Roman"/>
        </w:rPr>
      </w:pPr>
      <w:r w:rsidRPr="00802CCB">
        <w:rPr>
          <w:rStyle w:val="Rimandonotaapidipagina"/>
          <w:rFonts w:ascii="Times New Roman" w:hAnsi="Times New Roman" w:cs="Times New Roman"/>
        </w:rPr>
        <w:footnoteRef/>
      </w:r>
      <w:r w:rsidRPr="00802CCB">
        <w:rPr>
          <w:rFonts w:ascii="Times New Roman" w:hAnsi="Times New Roman" w:cs="Times New Roman"/>
        </w:rPr>
        <w:t xml:space="preserve"> “</w:t>
      </w:r>
      <w:r w:rsidRPr="00802CCB">
        <w:rPr>
          <w:rFonts w:ascii="Times New Roman" w:hAnsi="Times New Roman" w:cs="Times New Roman"/>
          <w:i/>
        </w:rPr>
        <w:t>Il requisito in base al quale l'ammenda inflitta a un'impresa che abbia violato l'articolo 101 TFUE non deve eccedere il 10% del fatturato totale realizzato dall'impresa nell'esercizio sociale precedente mira a garantire che l'impatto sia proporzionale al fatturato dell'impresa interessata. Va quindi valutato che il fatturato rifletta la reale situazione</w:t>
      </w:r>
      <w:r w:rsidRPr="00802CCB">
        <w:rPr>
          <w:rFonts w:ascii="Times New Roman" w:hAnsi="Times New Roman" w:cs="Times New Roman"/>
        </w:rPr>
        <w:t xml:space="preserve"> </w:t>
      </w:r>
      <w:r w:rsidRPr="00802CCB">
        <w:rPr>
          <w:rFonts w:ascii="Times New Roman" w:hAnsi="Times New Roman" w:cs="Times New Roman"/>
          <w:i/>
        </w:rPr>
        <w:t>economica dell'impresa stessa nel periodo nel corso del quale l'</w:t>
      </w:r>
      <w:r w:rsidR="00E04E19">
        <w:rPr>
          <w:rFonts w:ascii="Times New Roman" w:hAnsi="Times New Roman" w:cs="Times New Roman"/>
          <w:i/>
        </w:rPr>
        <w:t>infrazione è stata commessa ten</w:t>
      </w:r>
      <w:r w:rsidRPr="00802CCB">
        <w:rPr>
          <w:rFonts w:ascii="Times New Roman" w:hAnsi="Times New Roman" w:cs="Times New Roman"/>
          <w:i/>
        </w:rPr>
        <w:t>endo conto di casistiche particolari (nel caso in questione la riscossione somme per conto terzi)</w:t>
      </w:r>
      <w:r w:rsidRPr="00802CCB">
        <w:rPr>
          <w:rFonts w:ascii="Times New Roman" w:hAnsi="Times New Roman" w:cs="Times New Roman"/>
        </w:rPr>
        <w:t>”.</w:t>
      </w:r>
    </w:p>
    <w:p w:rsidR="005F2ED1" w:rsidRPr="00802CCB" w:rsidRDefault="005F2ED1" w:rsidP="00802CCB">
      <w:pPr>
        <w:pStyle w:val="Testonotaapidipagina"/>
        <w:jc w:val="both"/>
        <w:rPr>
          <w:rFonts w:ascii="Times New Roman" w:hAnsi="Times New Roman" w:cs="Times New Roman"/>
        </w:rPr>
      </w:pPr>
    </w:p>
  </w:footnote>
  <w:footnote w:id="9">
    <w:p w:rsidR="00802CCB" w:rsidRDefault="00802CCB" w:rsidP="00802CCB">
      <w:pPr>
        <w:pStyle w:val="Testonotaapidipagina"/>
        <w:jc w:val="both"/>
        <w:rPr>
          <w:rFonts w:ascii="Times New Roman" w:hAnsi="Times New Roman" w:cs="Times New Roman"/>
        </w:rPr>
      </w:pPr>
      <w:r w:rsidRPr="00802CCB">
        <w:rPr>
          <w:rStyle w:val="Rimandonotaapidipagina"/>
          <w:rFonts w:ascii="Times New Roman" w:hAnsi="Times New Roman" w:cs="Times New Roman"/>
        </w:rPr>
        <w:footnoteRef/>
      </w:r>
      <w:r w:rsidRPr="00802CCB">
        <w:rPr>
          <w:rFonts w:ascii="Times New Roman" w:hAnsi="Times New Roman" w:cs="Times New Roman"/>
        </w:rPr>
        <w:t xml:space="preserve"> “</w:t>
      </w:r>
      <w:r w:rsidRPr="00802CCB">
        <w:rPr>
          <w:rFonts w:ascii="Times New Roman" w:hAnsi="Times New Roman" w:cs="Times New Roman"/>
          <w:i/>
        </w:rPr>
        <w:t>L'articolo 4, paragrafo 3, TUE e l'articolo 101 TFUE devono essere interpretati nel senso che ostano a una normativa o a una prassi nazionale secondo cui, ai fini del calcolo dell'ammenda inflitta a un'impresa per violazione dell'articolo 101 TFUE, l'autorità nazionale garante della concorrenza è tenuta, in ogni caso, a prendere in considerazione il fatturato di tale impresa quale indicato nel suo conto profitti e perdite, senza poter esaminare gli elementi presentati da quest'ultima per dimostrare che detto fatturato non riflette la sua reale situazione economica, e che, di conseguenza, occorre tener conto, a titolo del fatturato, di un altro importo che rifletta tale situazione, purché detti elementi siano precisi e documentati</w:t>
      </w:r>
      <w:r w:rsidRPr="00802CCB">
        <w:rPr>
          <w:rFonts w:ascii="Times New Roman" w:hAnsi="Times New Roman" w:cs="Times New Roman"/>
        </w:rPr>
        <w:t>”.</w:t>
      </w:r>
    </w:p>
    <w:p w:rsidR="005F2ED1" w:rsidRPr="00802CCB" w:rsidRDefault="005F2ED1" w:rsidP="00802CCB">
      <w:pPr>
        <w:pStyle w:val="Testonotaapidipagina"/>
        <w:jc w:val="both"/>
        <w:rPr>
          <w:rFonts w:ascii="Times New Roman" w:hAnsi="Times New Roman" w:cs="Times New Roman"/>
        </w:rPr>
      </w:pPr>
    </w:p>
  </w:footnote>
  <w:footnote w:id="10">
    <w:p w:rsidR="00F24CDC" w:rsidRDefault="00F24CDC" w:rsidP="00401A51">
      <w:pPr>
        <w:pStyle w:val="Testonotaapidipagina"/>
        <w:jc w:val="both"/>
        <w:rPr>
          <w:rFonts w:ascii="Times New Roman" w:hAnsi="Times New Roman" w:cs="Times New Roman"/>
        </w:rPr>
      </w:pPr>
      <w:r w:rsidRPr="00401A51">
        <w:rPr>
          <w:rStyle w:val="Rimandonotaapidipagina"/>
          <w:rFonts w:ascii="Times New Roman" w:hAnsi="Times New Roman" w:cs="Times New Roman"/>
        </w:rPr>
        <w:footnoteRef/>
      </w:r>
      <w:r w:rsidRPr="00401A51">
        <w:rPr>
          <w:rFonts w:ascii="Times New Roman" w:hAnsi="Times New Roman" w:cs="Times New Roman"/>
        </w:rPr>
        <w:t xml:space="preserve"> La co</w:t>
      </w:r>
      <w:r w:rsidR="00401A51" w:rsidRPr="00401A51">
        <w:rPr>
          <w:rFonts w:ascii="Times New Roman" w:hAnsi="Times New Roman" w:cs="Times New Roman"/>
        </w:rPr>
        <w:t>ntroversia è stata poi decisa da</w:t>
      </w:r>
      <w:r w:rsidRPr="00401A51">
        <w:rPr>
          <w:rFonts w:ascii="Times New Roman" w:hAnsi="Times New Roman" w:cs="Times New Roman"/>
        </w:rPr>
        <w:t>l Cons. Stato, sez. VII, con sentenza 11 luglio 2023, n. 6806</w:t>
      </w:r>
      <w:r w:rsidR="00EB22BA">
        <w:rPr>
          <w:rFonts w:ascii="Times New Roman" w:hAnsi="Times New Roman" w:cs="Times New Roman"/>
        </w:rPr>
        <w:t xml:space="preserve">, con cui si è </w:t>
      </w:r>
      <w:r w:rsidRPr="00401A51">
        <w:rPr>
          <w:rFonts w:ascii="Times New Roman" w:hAnsi="Times New Roman" w:cs="Times New Roman"/>
        </w:rPr>
        <w:t>respinto l’ap</w:t>
      </w:r>
      <w:r w:rsidR="00EB22BA">
        <w:rPr>
          <w:rFonts w:ascii="Times New Roman" w:hAnsi="Times New Roman" w:cs="Times New Roman"/>
        </w:rPr>
        <w:t>pello della società e confermata</w:t>
      </w:r>
      <w:r w:rsidRPr="00401A51">
        <w:rPr>
          <w:rFonts w:ascii="Times New Roman" w:hAnsi="Times New Roman" w:cs="Times New Roman"/>
        </w:rPr>
        <w:t xml:space="preserve"> la legittimità del provvedimento sanzionatorio dell’AGCM</w:t>
      </w:r>
      <w:r w:rsidR="00EB22BA">
        <w:rPr>
          <w:rFonts w:ascii="Times New Roman" w:hAnsi="Times New Roman" w:cs="Times New Roman"/>
        </w:rPr>
        <w:t xml:space="preserve"> impugnato in primo grado</w:t>
      </w:r>
      <w:r w:rsidRPr="00401A51">
        <w:rPr>
          <w:rFonts w:ascii="Times New Roman" w:hAnsi="Times New Roman" w:cs="Times New Roman"/>
        </w:rPr>
        <w:t>.</w:t>
      </w:r>
    </w:p>
    <w:p w:rsidR="005F2ED1" w:rsidRPr="00401A51" w:rsidRDefault="005F2ED1" w:rsidP="00401A51">
      <w:pPr>
        <w:pStyle w:val="Testonotaapidipagina"/>
        <w:jc w:val="both"/>
        <w:rPr>
          <w:rFonts w:ascii="Times New Roman" w:hAnsi="Times New Roman" w:cs="Times New Roman"/>
        </w:rPr>
      </w:pPr>
    </w:p>
  </w:footnote>
  <w:footnote w:id="11">
    <w:p w:rsidR="00377F2F" w:rsidRDefault="00377F2F" w:rsidP="00377F2F">
      <w:pPr>
        <w:pStyle w:val="Testonotaapidipagina"/>
        <w:jc w:val="both"/>
        <w:rPr>
          <w:rFonts w:ascii="Times New Roman" w:hAnsi="Times New Roman" w:cs="Times New Roman"/>
        </w:rPr>
      </w:pPr>
      <w:r w:rsidRPr="00377F2F">
        <w:rPr>
          <w:rStyle w:val="Rimandonotaapidipagina"/>
          <w:rFonts w:ascii="Times New Roman" w:hAnsi="Times New Roman" w:cs="Times New Roman"/>
        </w:rPr>
        <w:footnoteRef/>
      </w:r>
      <w:r w:rsidRPr="00377F2F">
        <w:rPr>
          <w:rFonts w:ascii="Times New Roman" w:hAnsi="Times New Roman" w:cs="Times New Roman"/>
        </w:rPr>
        <w:t xml:space="preserve"> “</w:t>
      </w:r>
      <w:r w:rsidRPr="00377F2F">
        <w:rPr>
          <w:rFonts w:ascii="Times New Roman" w:hAnsi="Times New Roman" w:cs="Times New Roman"/>
          <w:i/>
        </w:rPr>
        <w:t>È vero che, per dimostrare il carattere abusivo di un comportamento, un'autorità garante della concorrenza non deve necessariamente dimostrare che tale comportamento abbia effettivamente prodotto effetti anticoncorrenziali, tuttavia tale dimostrazione deve fondarsi, in linea di principio, su elementi di prova tangibili, che dimostrino, aldilà della mera ipotesi, la capacità effettiva della prassi in questione di produrre tali effetti, dovendo l'esistenza di un dubbio al riguardo andare a vantaggio dell'impresa che ha fatto ricorso a detta prassi. Di conseguenza, una prassi non può essere qualificata come abusiva se è rimasta allo stato di progetto</w:t>
      </w:r>
      <w:r w:rsidRPr="00377F2F">
        <w:rPr>
          <w:rFonts w:ascii="Times New Roman" w:hAnsi="Times New Roman" w:cs="Times New Roman"/>
        </w:rPr>
        <w:t>”.</w:t>
      </w:r>
    </w:p>
    <w:p w:rsidR="005F2ED1" w:rsidRPr="00377F2F" w:rsidRDefault="005F2ED1" w:rsidP="00377F2F">
      <w:pPr>
        <w:pStyle w:val="Testonotaapidipagina"/>
        <w:jc w:val="both"/>
        <w:rPr>
          <w:rFonts w:ascii="Times New Roman" w:hAnsi="Times New Roman" w:cs="Times New Roman"/>
        </w:rPr>
      </w:pPr>
    </w:p>
  </w:footnote>
  <w:footnote w:id="12">
    <w:p w:rsidR="00F24CDC" w:rsidRPr="00F24CDC" w:rsidRDefault="00F24CDC" w:rsidP="00F24CDC">
      <w:pPr>
        <w:pStyle w:val="Testonotaapidipagina"/>
        <w:jc w:val="both"/>
        <w:rPr>
          <w:rFonts w:ascii="Times New Roman" w:hAnsi="Times New Roman" w:cs="Times New Roman"/>
          <w:i/>
        </w:rPr>
      </w:pPr>
      <w:r>
        <w:rPr>
          <w:rStyle w:val="Rimandonotaapidipagina"/>
        </w:rPr>
        <w:footnoteRef/>
      </w:r>
      <w:r>
        <w:t xml:space="preserve"> “</w:t>
      </w:r>
      <w:r w:rsidRPr="00F24CDC">
        <w:rPr>
          <w:rFonts w:ascii="Times New Roman" w:hAnsi="Times New Roman" w:cs="Times New Roman"/>
          <w:i/>
        </w:rPr>
        <w:t>L'articolo 102 TFUE deve essere interpretato nel senso che i comportamenti adottati da distributori facenti parte della rete di distribuzione dei prodotti o dei servizi di un produttore che gode di una posizione dominante possono essere imputati a quest'ultimo, qualora sia dimostrato che tali comportamenti non sono stati adottati in modo indipendente da detti distributori, ma fanno parte di una politica decisa unilateralmente da tale produttore e attuata tramite tali distributori”.</w:t>
      </w:r>
    </w:p>
    <w:p w:rsidR="00F24CDC" w:rsidRPr="00F24CDC" w:rsidRDefault="00F24CDC" w:rsidP="00F24CDC">
      <w:pPr>
        <w:pStyle w:val="Testonotaapidipagina"/>
        <w:jc w:val="both"/>
        <w:rPr>
          <w:rFonts w:ascii="Times New Roman" w:hAnsi="Times New Roman" w:cs="Times New Roman"/>
          <w:i/>
        </w:rPr>
      </w:pPr>
      <w:r>
        <w:rPr>
          <w:rFonts w:ascii="Times New Roman" w:hAnsi="Times New Roman" w:cs="Times New Roman"/>
        </w:rPr>
        <w:t>“</w:t>
      </w:r>
      <w:r w:rsidRPr="00F24CDC">
        <w:rPr>
          <w:rFonts w:ascii="Times New Roman" w:hAnsi="Times New Roman" w:cs="Times New Roman"/>
          <w:i/>
        </w:rPr>
        <w:t>Qualora il comportamento contestato all'impresa in posizione dominante sia materialmente attuato tramite un intermediario che fa parte di una rete di distribuzione, tale comportamento può essere imputato a detta impresa qualora</w:t>
      </w:r>
      <w:r>
        <w:t xml:space="preserve"> </w:t>
      </w:r>
      <w:r w:rsidRPr="00F24CDC">
        <w:rPr>
          <w:rFonts w:ascii="Times New Roman" w:hAnsi="Times New Roman" w:cs="Times New Roman"/>
          <w:i/>
        </w:rPr>
        <w:t>risulti che esso è stato adottato conformemente alle istruzioni specifiche impartite da quest'ultima, e quindi a titolo di esecuzione di una politica decisa unilateralmente dall'impresa suddetta, cui i distributori interessati erano tenuti a conformarsi. Nel caso di specie il comportamento era determinato dalla forma di contratti tipo, interamente redatti dal produttore in posizione dominante e contenenti clausole di esclusiva a vantaggio dei suoi prodotti, che i distributori di tale produttore erano tenuti a far firmare ai gestori di punti vendita senza potervi apportare modifiche, salvo espresso accordo di detto produttore.</w:t>
      </w:r>
    </w:p>
    <w:p w:rsidR="00F24CDC" w:rsidRDefault="00F24CDC" w:rsidP="00F24CDC">
      <w:pPr>
        <w:pStyle w:val="Testonotaapidipagina"/>
        <w:jc w:val="both"/>
      </w:pPr>
      <w:r w:rsidRPr="00F24CDC">
        <w:rPr>
          <w:rFonts w:ascii="Times New Roman" w:hAnsi="Times New Roman" w:cs="Times New Roman"/>
          <w:i/>
        </w:rPr>
        <w:t>In tale ipotesi, l'imputabilità all'impresa in posizione dominante del comportamento attuato dai distributori facenti parte della rete di distribuzione dei suoi prodotti o servizi non è subordinata né alla dimostrazione che i distributori interessati facciano parte anche di tale impresa, ai sensi dell'articolo 102 TFUE, né all'esistenza di un vincolo «gerarchico» risultante da una pluralità sistematica e costante di atti di indirizzo destinati a tali distributori, idonei ad influire sulle decisioni di gestione che questi ultimi adottano riguardo alle loro rispettive attività</w:t>
      </w:r>
      <w:r>
        <w:t>”.</w:t>
      </w:r>
    </w:p>
    <w:p w:rsidR="005F2ED1" w:rsidRDefault="005F2ED1" w:rsidP="00F24CDC">
      <w:pPr>
        <w:pStyle w:val="Testonotaapidipagina"/>
        <w:jc w:val="both"/>
      </w:pPr>
    </w:p>
  </w:footnote>
  <w:footnote w:id="13">
    <w:p w:rsidR="00F24CDC" w:rsidRDefault="00F24CDC" w:rsidP="00F24CDC">
      <w:pPr>
        <w:pStyle w:val="Testonotaapidipagina"/>
        <w:jc w:val="both"/>
      </w:pPr>
      <w:r>
        <w:rPr>
          <w:rStyle w:val="Rimandonotaapidipagina"/>
        </w:rPr>
        <w:footnoteRef/>
      </w:r>
      <w:r>
        <w:t xml:space="preserve"> </w:t>
      </w:r>
      <w:r w:rsidRPr="00F24CDC">
        <w:t>“</w:t>
      </w:r>
      <w:r w:rsidRPr="00F24CDC">
        <w:rPr>
          <w:rFonts w:ascii="Times New Roman" w:hAnsi="Times New Roman" w:cs="Times New Roman"/>
          <w:i/>
        </w:rPr>
        <w:t>L'Autorità italiana Garante della Concorrenza e del Mercato aveva constatato che un'impresa aveva abusato della sua posizione dominante sul mercato della commercializzazione di prodotti alimentari in confezioni singole destinate a essere consumate fuori dal domicilio dei consumatori. L'abuso contestato si fondava su comportamenti materialmente messi in atto non dalla società, ma da distributori indipendenti dei suoi prodotti, che avevano imposto clausole di esclusiva ai gestori dei punti vendita. L'Agcm non ha ritenuto di essere obbligata ad analizzare gli studi economici prodotti dall'impresa messa sotto la lente che intendeva dimostrare che le pratiche controverse non avevano effetti preclusivi nei confronti dei concorrenti. L'Agcm aveva ritenuto che tali studi fossero irrilevanti in presenza di clausole di esclusiva, dato che l'impiego di tali clausole da parte di un'impresa detentrice di una posizione dominante sarebbe sufficiente a configurare un abuso di tale posizione. Il raffronto tra operatori con pari efficienza sul medesimo mercato non è elemento che l'Antitrust può escludere dal proprio esame</w:t>
      </w:r>
      <w:r w:rsidRPr="00F24CDC">
        <w:t>”.</w:t>
      </w:r>
    </w:p>
    <w:p w:rsidR="005F2ED1" w:rsidRDefault="005F2ED1" w:rsidP="00F24CDC">
      <w:pPr>
        <w:pStyle w:val="Testonotaapidipagina"/>
        <w:jc w:val="both"/>
      </w:pPr>
    </w:p>
  </w:footnote>
  <w:footnote w:id="14">
    <w:p w:rsidR="00F24CDC" w:rsidRDefault="00F24CDC" w:rsidP="00F24CDC">
      <w:pPr>
        <w:pStyle w:val="Testonotaapidipagina"/>
        <w:jc w:val="both"/>
        <w:rPr>
          <w:rFonts w:ascii="Times New Roman" w:hAnsi="Times New Roman" w:cs="Times New Roman"/>
        </w:rPr>
      </w:pPr>
      <w:r w:rsidRPr="00F24CDC">
        <w:rPr>
          <w:rStyle w:val="Rimandonotaapidipagina"/>
          <w:rFonts w:ascii="Times New Roman" w:hAnsi="Times New Roman" w:cs="Times New Roman"/>
        </w:rPr>
        <w:footnoteRef/>
      </w:r>
      <w:r w:rsidRPr="00F24CDC">
        <w:rPr>
          <w:rFonts w:ascii="Times New Roman" w:hAnsi="Times New Roman" w:cs="Times New Roman"/>
        </w:rPr>
        <w:t xml:space="preserve"> “</w:t>
      </w:r>
      <w:r w:rsidRPr="00F24CDC">
        <w:rPr>
          <w:rFonts w:ascii="Times New Roman" w:hAnsi="Times New Roman" w:cs="Times New Roman"/>
          <w:i/>
        </w:rPr>
        <w:t>L'articolo 102 TFUE deve essere interpretato nel senso che, in presenza di clausole di esclusiva contenute in contratti di distribuzione, un'autorità garante della concorrenza è tenuta, per accertare un abuso di posizione dominante, a dimostrare, alla luce di tutte le circostanze rilevanti e tenuto conto, segnatamente, delle analisi economiche eventualmente prodotte dall'impresa in posizione dominante riguardo all'inidoneità dei comportamenti in questione ad escludere dal mercato i concorrenti efficienti tanto quanto essa stessa, che tali clausole siano capaci di limitare la concorrenza. Il ricorso al criterio detto «del concorrente altrettanto efficiente» ha carattere facoltativo. Tuttavia, se i risultati di un siffatto criterio sono prodotti dall'impresa interessata nel corso del procedimento amministrativo, l'autorità garante della concorrenza è tenuta a esaminarne il valore probatorio</w:t>
      </w:r>
      <w:r w:rsidRPr="00F24CDC">
        <w:rPr>
          <w:rFonts w:ascii="Times New Roman" w:hAnsi="Times New Roman" w:cs="Times New Roman"/>
        </w:rPr>
        <w:t>”.</w:t>
      </w:r>
    </w:p>
    <w:p w:rsidR="005F2ED1" w:rsidRPr="00F24CDC" w:rsidRDefault="005F2ED1" w:rsidP="00F24CDC">
      <w:pPr>
        <w:pStyle w:val="Testonotaapidipagina"/>
        <w:jc w:val="both"/>
        <w:rPr>
          <w:rFonts w:ascii="Times New Roman" w:hAnsi="Times New Roman" w:cs="Times New Roman"/>
        </w:rPr>
      </w:pPr>
    </w:p>
  </w:footnote>
  <w:footnote w:id="15">
    <w:p w:rsidR="004F6693" w:rsidRDefault="004F6693" w:rsidP="004F6693">
      <w:pPr>
        <w:pStyle w:val="Testonotaapidipagina"/>
        <w:jc w:val="both"/>
        <w:rPr>
          <w:rFonts w:ascii="Times New Roman" w:hAnsi="Times New Roman" w:cs="Times New Roman"/>
        </w:rPr>
      </w:pPr>
      <w:r w:rsidRPr="004F6693">
        <w:rPr>
          <w:rStyle w:val="Rimandonotaapidipagina"/>
          <w:rFonts w:ascii="Times New Roman" w:hAnsi="Times New Roman" w:cs="Times New Roman"/>
        </w:rPr>
        <w:footnoteRef/>
      </w:r>
      <w:r w:rsidRPr="004F6693">
        <w:rPr>
          <w:rFonts w:ascii="Times New Roman" w:hAnsi="Times New Roman" w:cs="Times New Roman"/>
        </w:rPr>
        <w:t xml:space="preserve"> “</w:t>
      </w:r>
      <w:r w:rsidRPr="004F6693">
        <w:rPr>
          <w:rFonts w:ascii="Times New Roman" w:hAnsi="Times New Roman" w:cs="Times New Roman"/>
          <w:i/>
        </w:rPr>
        <w:t>L'articolo 102 TFUE deve essere interpretato nel senso che, quando una posizione dominante è sfruttata in modo abusivo da una o più società figlie appartenenti a un'unità economica, l'esistenza di tale unità è sufficiente per ritenere che la società madre sia anch'essa responsabile di tale abuso. L'esistenza di una simile unità deve essere presunta qualora, all'epoca dei fatti, almeno la quasi totalità del capitale di tali società figlie fosse detenuta, direttamente o indirettamente, dalla società madre. L'autorità garante della concorrenza non è tenuta a fornire alcuna prova aggiuntiva, a meno che la società madre non dimostri che essa non aveva il potere di definire i comportamenti delle società figlie, le quali agivano autonomamente</w:t>
      </w:r>
      <w:r w:rsidRPr="004F6693">
        <w:rPr>
          <w:rFonts w:ascii="Times New Roman" w:hAnsi="Times New Roman" w:cs="Times New Roman"/>
        </w:rPr>
        <w:t>”.</w:t>
      </w:r>
    </w:p>
    <w:p w:rsidR="005F2ED1" w:rsidRPr="004F6693" w:rsidRDefault="005F2ED1" w:rsidP="004F6693">
      <w:pPr>
        <w:pStyle w:val="Testonotaapidipagina"/>
        <w:jc w:val="both"/>
        <w:rPr>
          <w:rFonts w:ascii="Times New Roman" w:hAnsi="Times New Roman" w:cs="Times New Roman"/>
        </w:rPr>
      </w:pPr>
    </w:p>
  </w:footnote>
  <w:footnote w:id="16">
    <w:p w:rsidR="004F6693" w:rsidRDefault="004F6693" w:rsidP="004F6693">
      <w:pPr>
        <w:pStyle w:val="Testonotaapidipagina"/>
        <w:jc w:val="both"/>
      </w:pPr>
      <w:r>
        <w:rPr>
          <w:rStyle w:val="Rimandonotaapidipagina"/>
        </w:rPr>
        <w:footnoteRef/>
      </w:r>
      <w:r>
        <w:t xml:space="preserve"> </w:t>
      </w:r>
      <w:r w:rsidRPr="004F6693">
        <w:t>“</w:t>
      </w:r>
      <w:r w:rsidRPr="004F6693">
        <w:rPr>
          <w:rFonts w:ascii="Times New Roman" w:hAnsi="Times New Roman" w:cs="Times New Roman"/>
          <w:i/>
        </w:rPr>
        <w:t>L'articolo 102 TFUE deve essere interpretato nel senso che una pratica lecita al di fuori del diritto della concorrenza può, qualora sia attuata da un'impresa in posizione dominante, essere qualificata come «abusiva», ai sensi di tale disposizione, se può produrre un effetto escludente e se si basa sull'utilizzo di mezzi diversi da quelli propri di una</w:t>
      </w:r>
      <w:r w:rsidRPr="004F6693">
        <w:t xml:space="preserve"> </w:t>
      </w:r>
      <w:r w:rsidRPr="004F6693">
        <w:rPr>
          <w:rFonts w:ascii="Times New Roman" w:hAnsi="Times New Roman" w:cs="Times New Roman"/>
          <w:i/>
        </w:rPr>
        <w:t>concorrenza basata sui meriti. Qualora queste due condizioni siano soddisfatte, l'impresa in posizione dominante interessata può nondimeno sottrarsi al divieto di cui all'articolo 102 TFUE dimostrando che la pratica in questione era obiettivamente giustificata e proporzionata a tale giustificazione oppure controbilanciata, se non superata, da vantaggi in termini di efficienza che vanno a beneficio anche dei consumatori</w:t>
      </w:r>
      <w:r w:rsidRPr="004F6693">
        <w:t>”.</w:t>
      </w:r>
    </w:p>
    <w:p w:rsidR="005F2ED1" w:rsidRDefault="005F2ED1" w:rsidP="004F6693">
      <w:pPr>
        <w:pStyle w:val="Testonotaapidipagina"/>
        <w:jc w:val="both"/>
      </w:pPr>
    </w:p>
  </w:footnote>
  <w:footnote w:id="17">
    <w:p w:rsidR="004F6693" w:rsidRDefault="004F6693" w:rsidP="004F6693">
      <w:pPr>
        <w:pStyle w:val="Testonotaapidipagina"/>
        <w:jc w:val="both"/>
        <w:rPr>
          <w:rFonts w:ascii="Times New Roman" w:hAnsi="Times New Roman" w:cs="Times New Roman"/>
        </w:rPr>
      </w:pPr>
      <w:r w:rsidRPr="004F6693">
        <w:rPr>
          <w:rStyle w:val="Rimandonotaapidipagina"/>
          <w:rFonts w:ascii="Times New Roman" w:hAnsi="Times New Roman" w:cs="Times New Roman"/>
        </w:rPr>
        <w:footnoteRef/>
      </w:r>
      <w:r w:rsidRPr="004F6693">
        <w:rPr>
          <w:rFonts w:ascii="Times New Roman" w:hAnsi="Times New Roman" w:cs="Times New Roman"/>
        </w:rPr>
        <w:t xml:space="preserve"> “</w:t>
      </w:r>
      <w:r w:rsidRPr="004F6693">
        <w:rPr>
          <w:rFonts w:ascii="Times New Roman" w:hAnsi="Times New Roman" w:cs="Times New Roman"/>
          <w:i/>
        </w:rPr>
        <w:t>L'articolo 102 TFUE deve essere interpretato nel senso che l'esistenza di una pratica escludente abusiva da parte di un'impresa in posizione dominante deve essere valutata sulla base della capacità di tale pratica di produrre effetti anticoncorrenziali. Un'autorità garante della concorrenza non è tenuta a dimostrare l'intento dell'impresa in questione di escludere i propri concorrenti ricorrendo a mezzi o risorse diversi da quelli su cui si impernia una concorrenza basata sui meriti. La prova di un simile intento costituisce nondimeno una circostanza di fatto che può essere presa in considerazione ai fini della determinazione di un abuso di posizione dominante</w:t>
      </w:r>
      <w:r w:rsidRPr="004F6693">
        <w:rPr>
          <w:rFonts w:ascii="Times New Roman" w:hAnsi="Times New Roman" w:cs="Times New Roman"/>
        </w:rPr>
        <w:t>”.</w:t>
      </w:r>
    </w:p>
    <w:p w:rsidR="005F2ED1" w:rsidRPr="004F6693" w:rsidRDefault="005F2ED1" w:rsidP="004F6693">
      <w:pPr>
        <w:pStyle w:val="Testonotaapidipagina"/>
        <w:jc w:val="both"/>
        <w:rPr>
          <w:rFonts w:ascii="Times New Roman" w:hAnsi="Times New Roman" w:cs="Times New Roman"/>
        </w:rPr>
      </w:pPr>
    </w:p>
  </w:footnote>
  <w:footnote w:id="18">
    <w:p w:rsidR="004F6693" w:rsidRDefault="004F6693" w:rsidP="004F6693">
      <w:pPr>
        <w:pStyle w:val="Testonotaapidipagina"/>
        <w:jc w:val="both"/>
        <w:rPr>
          <w:rFonts w:ascii="Times New Roman" w:hAnsi="Times New Roman" w:cs="Times New Roman"/>
        </w:rPr>
      </w:pPr>
      <w:r w:rsidRPr="004F6693">
        <w:rPr>
          <w:rStyle w:val="Rimandonotaapidipagina"/>
          <w:rFonts w:ascii="Times New Roman" w:hAnsi="Times New Roman" w:cs="Times New Roman"/>
        </w:rPr>
        <w:footnoteRef/>
      </w:r>
      <w:r w:rsidRPr="004F6693">
        <w:rPr>
          <w:rFonts w:ascii="Times New Roman" w:hAnsi="Times New Roman" w:cs="Times New Roman"/>
        </w:rPr>
        <w:t xml:space="preserve"> “</w:t>
      </w:r>
      <w:r w:rsidRPr="004F6693">
        <w:rPr>
          <w:rFonts w:ascii="Times New Roman" w:hAnsi="Times New Roman" w:cs="Times New Roman"/>
          <w:i/>
        </w:rPr>
        <w:t>Ai sensi dell'articolo 102 TFUE, deve ritenersi che per il diritto dell'Unione, al fine di accertare se una pratica costituisca uno sfruttamento abusivo di posizione dominante, è sufficiente che un'autorità garante della concorrenza dimostri che tale pratica è idonea a pregiudicare la struttura di effettiva concorrenza sul mercato rilevante, a meno che l'impresa dominante in questione non dimostri che gli effetti anticoncorrenziali che possono derivare da detta pratica sono controbilanciati, se non superati, da effetti positivi per i consumatori, in particolare in termini di prezzi, di scelta, di qualità e di innovazione</w:t>
      </w:r>
      <w:r w:rsidRPr="004F6693">
        <w:rPr>
          <w:rFonts w:ascii="Times New Roman" w:hAnsi="Times New Roman" w:cs="Times New Roman"/>
        </w:rPr>
        <w:t>”.</w:t>
      </w:r>
    </w:p>
    <w:p w:rsidR="005F2ED1" w:rsidRPr="004F6693" w:rsidRDefault="005F2ED1" w:rsidP="004F6693">
      <w:pPr>
        <w:pStyle w:val="Testonotaapidipagina"/>
        <w:jc w:val="both"/>
        <w:rPr>
          <w:rFonts w:ascii="Times New Roman" w:hAnsi="Times New Roman" w:cs="Times New Roman"/>
        </w:rPr>
      </w:pPr>
    </w:p>
  </w:footnote>
  <w:footnote w:id="19">
    <w:p w:rsidR="00EB22BA" w:rsidRPr="00EB22BA" w:rsidRDefault="00EB22BA" w:rsidP="00EB22BA">
      <w:pPr>
        <w:pStyle w:val="Testonotaapidipagina"/>
        <w:jc w:val="both"/>
        <w:rPr>
          <w:rFonts w:ascii="Times New Roman" w:hAnsi="Times New Roman" w:cs="Times New Roman"/>
        </w:rPr>
      </w:pPr>
      <w:r w:rsidRPr="00EB22BA">
        <w:rPr>
          <w:rStyle w:val="Rimandonotaapidipagina"/>
          <w:rFonts w:ascii="Times New Roman" w:hAnsi="Times New Roman" w:cs="Times New Roman"/>
        </w:rPr>
        <w:footnoteRef/>
      </w:r>
      <w:r w:rsidRPr="00EB22BA">
        <w:rPr>
          <w:rFonts w:ascii="Times New Roman" w:hAnsi="Times New Roman" w:cs="Times New Roman"/>
        </w:rPr>
        <w:t xml:space="preserve"> Il Consiglio di Stato ha chiesto:</w:t>
      </w:r>
    </w:p>
    <w:p w:rsidR="00EB22BA" w:rsidRPr="00EB22BA" w:rsidRDefault="00EB22BA" w:rsidP="00EB22BA">
      <w:pPr>
        <w:pStyle w:val="Testonotaapidipagina"/>
        <w:jc w:val="both"/>
        <w:rPr>
          <w:rFonts w:ascii="Times New Roman" w:hAnsi="Times New Roman" w:cs="Times New Roman"/>
          <w:i/>
        </w:rPr>
      </w:pPr>
      <w:r w:rsidRPr="00EB22BA">
        <w:rPr>
          <w:rFonts w:ascii="Times New Roman" w:hAnsi="Times New Roman" w:cs="Times New Roman"/>
        </w:rPr>
        <w:t>&lt;&lt;</w:t>
      </w:r>
      <w:r w:rsidRPr="00EB22BA">
        <w:rPr>
          <w:rFonts w:ascii="Times New Roman" w:hAnsi="Times New Roman" w:cs="Times New Roman"/>
          <w:i/>
        </w:rPr>
        <w:t>A. “se, ai sensi dell’art. 102 TFUE, il requisito dell’indispensabilità del prodotto oggetto di un rifiuto di fornitura debba essere interpretato nel senso che l’accesso deve essere indispensabile per l’esercizio di una determinata attività su un mercato vicino, o se sia sufficiente che l’accesso sia indispensabile per un utilizzo più conveniente dei prodotti o servizi offerti dall’impresa richiedente l’accesso, specie nel caso in cui il prodotto oggetto del rifiuto abbia essenzialmente la funzione di rendere più agevole e conveniente la fruizione di prodotti o servizi già esistenti”;</w:t>
      </w:r>
    </w:p>
    <w:p w:rsidR="00EB22BA" w:rsidRPr="00EB22BA" w:rsidRDefault="00EB22BA" w:rsidP="00EB22BA">
      <w:pPr>
        <w:pStyle w:val="Testonotaapidipagina"/>
        <w:jc w:val="both"/>
        <w:rPr>
          <w:rFonts w:ascii="Times New Roman" w:hAnsi="Times New Roman" w:cs="Times New Roman"/>
          <w:i/>
        </w:rPr>
      </w:pPr>
      <w:r w:rsidRPr="00EB22BA">
        <w:rPr>
          <w:rFonts w:ascii="Times New Roman" w:hAnsi="Times New Roman" w:cs="Times New Roman"/>
          <w:i/>
        </w:rPr>
        <w:t>B. “se, nel quadro di una condotta qualificata quale rifiuto di fornitura, sia possibile ritenere un comportamento abusivo, ai sensi dell’art. 102 TFUE, in un contesto nel quale, nonostante il mancato accesso al prodotto richiesto, (i)</w:t>
      </w:r>
      <w:r>
        <w:t xml:space="preserve"> </w:t>
      </w:r>
      <w:r w:rsidRPr="00EB22BA">
        <w:rPr>
          <w:i/>
        </w:rPr>
        <w:t xml:space="preserve">l’impresa </w:t>
      </w:r>
      <w:r w:rsidRPr="00EB22BA">
        <w:rPr>
          <w:rFonts w:ascii="Times New Roman" w:hAnsi="Times New Roman" w:cs="Times New Roman"/>
          <w:i/>
        </w:rPr>
        <w:t>richiedente fosse già attiva sul mercato e abbia continuato a crescere nello stesso per tutto il periodo del presunto abuso e (ii) altri operatori in concorrenza con l’impresa richiedente l’accesso al prodotto abbiano continuato ad operare sul mercato”;</w:t>
      </w:r>
    </w:p>
    <w:p w:rsidR="00EB22BA" w:rsidRPr="00EB22BA" w:rsidRDefault="00EB22BA" w:rsidP="00EB22BA">
      <w:pPr>
        <w:pStyle w:val="Testonotaapidipagina"/>
        <w:jc w:val="both"/>
        <w:rPr>
          <w:rFonts w:ascii="Times New Roman" w:hAnsi="Times New Roman" w:cs="Times New Roman"/>
          <w:i/>
        </w:rPr>
      </w:pPr>
      <w:r w:rsidRPr="00EB22BA">
        <w:rPr>
          <w:rFonts w:ascii="Times New Roman" w:hAnsi="Times New Roman" w:cs="Times New Roman"/>
          <w:i/>
        </w:rPr>
        <w:t>C. “se, nel quadro di un abuso consistente nel rifiuto di concedere l’accesso a un prodotto o servizio asseritamente indispensabile, l’art. 102 TFUE debba essere interpretato nel senso che l’inesistenza del prodotto o del servizio al momento della richiesta di fornitura debba essere presa in considerazione quale una giustificazione oggettiva per il rifiuto stesso, o quantomeno se un’autorità di concorrenza sia tenuta a svolgere un’analisi, su elementi oggettivi, del tempo necessario a un’impresa dominante al fine di sviluppare il prodotto o servizio per il quale viene richiesto l’accesso, oppure se sia invece esigibile che l’impresa dominante, stante la responsabilità che assume sul mercato, sia onerata di comunicare al richiedente la tempistica necessaria allo sviluppo del prodotto”;</w:t>
      </w:r>
    </w:p>
    <w:p w:rsidR="00EB22BA" w:rsidRPr="00EB22BA" w:rsidRDefault="00EB22BA" w:rsidP="00EB22BA">
      <w:pPr>
        <w:pStyle w:val="Testonotaapidipagina"/>
        <w:jc w:val="both"/>
        <w:rPr>
          <w:rFonts w:ascii="Times New Roman" w:hAnsi="Times New Roman" w:cs="Times New Roman"/>
          <w:i/>
        </w:rPr>
      </w:pPr>
      <w:r w:rsidRPr="00EB22BA">
        <w:rPr>
          <w:rFonts w:ascii="Times New Roman" w:hAnsi="Times New Roman" w:cs="Times New Roman"/>
          <w:i/>
        </w:rPr>
        <w:t>D. “se l’art. 102 TFUE debba essere interpretato nel senso che un’impresa dominante, che detiene il controllo di una piattaforma digitale, può essere tenuta a modificare i propri prodotti, o a svilupparne di nuovi, al fine di consentire a coloro che lo richiedono di accedere a tali prodotti. In tal caso, se un’impresa dominante sia tenuta a prendere in considerazione le generali esigenze del mercato o le esigenze della singola impresa richiedente accesso all’input asseritamente indispensabile, o quantomeno, stante la speciale responsabilità che viene ad assumere sul mercato, se debba prefissare dei criteri oggettivi per l’esame delle richieste che le vengono rivolte e per graduarne l’ordine di priorità”;</w:t>
      </w:r>
    </w:p>
    <w:p w:rsidR="00EB22BA" w:rsidRDefault="00EB22BA" w:rsidP="00EB22BA">
      <w:pPr>
        <w:pStyle w:val="Testonotaapidipagina"/>
        <w:jc w:val="both"/>
        <w:rPr>
          <w:rFonts w:ascii="Times New Roman" w:hAnsi="Times New Roman" w:cs="Times New Roman"/>
        </w:rPr>
      </w:pPr>
      <w:r w:rsidRPr="00EB22BA">
        <w:rPr>
          <w:rFonts w:ascii="Times New Roman" w:hAnsi="Times New Roman" w:cs="Times New Roman"/>
          <w:i/>
        </w:rPr>
        <w:t>E. “se, nel quadro di un abuso consistente nel rifiuto di concedere l’accesso a un prodotto o servizio asseritamente indispensabile, l’art. 102 TFUE debba essere interpretato nel senso che un’autorità di concorrenza è tenuta previamente a definire e individuare il mercato rilevante a valle interessato dall’abuso, e se questo possa essere anche solo potenziale</w:t>
      </w:r>
      <w:r w:rsidRPr="00EB22BA">
        <w:rPr>
          <w:rFonts w:ascii="Times New Roman" w:hAnsi="Times New Roman" w:cs="Times New Roman"/>
        </w:rPr>
        <w:t>”&gt;&gt;.</w:t>
      </w:r>
    </w:p>
    <w:p w:rsidR="005F2ED1" w:rsidRPr="00EB22BA" w:rsidRDefault="005F2ED1" w:rsidP="00EB22BA">
      <w:pPr>
        <w:pStyle w:val="Testonotaapidipagina"/>
        <w:jc w:val="both"/>
        <w:rPr>
          <w:rFonts w:ascii="Times New Roman" w:hAnsi="Times New Roman" w:cs="Times New Roman"/>
        </w:rPr>
      </w:pPr>
    </w:p>
  </w:footnote>
  <w:footnote w:id="20">
    <w:p w:rsidR="00E04E19" w:rsidRPr="00E04E19" w:rsidRDefault="00E04E19" w:rsidP="00E04E19">
      <w:pPr>
        <w:pStyle w:val="Testonotaapidipagina"/>
        <w:jc w:val="both"/>
        <w:rPr>
          <w:rFonts w:ascii="Times New Roman" w:hAnsi="Times New Roman" w:cs="Times New Roman"/>
        </w:rPr>
      </w:pPr>
      <w:r w:rsidRPr="00E04E19">
        <w:rPr>
          <w:rStyle w:val="Rimandonotaapidipagina"/>
          <w:rFonts w:ascii="Times New Roman" w:hAnsi="Times New Roman" w:cs="Times New Roman"/>
        </w:rPr>
        <w:footnoteRef/>
      </w:r>
      <w:r w:rsidRPr="00E04E19">
        <w:rPr>
          <w:rFonts w:ascii="Times New Roman" w:hAnsi="Times New Roman" w:cs="Times New Roman"/>
        </w:rPr>
        <w:t xml:space="preserve"> “</w:t>
      </w:r>
      <w:r w:rsidRPr="00E04E19">
        <w:rPr>
          <w:rFonts w:ascii="Times New Roman" w:hAnsi="Times New Roman" w:cs="Times New Roman"/>
          <w:i/>
        </w:rPr>
        <w:t>Il controllo delle concentrazioni tra imprese può avvenire, a livello nazionale, anche per quelle che non superano la soglia comunitaria</w:t>
      </w:r>
      <w:r w:rsidR="00963FC2">
        <w:rPr>
          <w:rFonts w:ascii="Times New Roman" w:hAnsi="Times New Roman" w:cs="Times New Roman"/>
          <w:i/>
        </w:rPr>
        <w:t>.</w:t>
      </w:r>
      <w:r w:rsidRPr="00E04E19">
        <w:rPr>
          <w:rFonts w:ascii="Times New Roman" w:hAnsi="Times New Roman" w:cs="Times New Roman"/>
          <w:i/>
        </w:rPr>
        <w:t xml:space="preserve"> L'articolo 21, paragrafo 1, del regolamento n. 139/2004/CE relativo al controllo delle concentrazioni tra imprese, dev'essere interpretato nel senso che esso non osta a che un'operazione di concentrazione tra imprese, priva di dimensione comunitaria, ai sensi dell'articolo 1 del citato regolamento, che sia inferiore alle soglie di controllo ex ante obbligatorio previste dal diritto nazionale e che non abbia dato luogo a un rinvio alla Commissione europea a norma dell'articolo 22 di detto regolamento, sia considerata da un'autorità garante della concorrenza di uno Stato membro come costitutiva di un abuso di posizione dominante, vietato dall'articolo 102 TFUE, tenuto conto della struttura della concorrenza su un mercato di dimensione nazionale</w:t>
      </w:r>
      <w:r w:rsidRPr="00E04E19">
        <w:rPr>
          <w:rFonts w:ascii="Times New Roman" w:hAnsi="Times New Roman" w:cs="Times New Roman"/>
        </w:rPr>
        <w:t>”.</w:t>
      </w:r>
    </w:p>
  </w:footnote>
  <w:footnote w:id="21">
    <w:p w:rsidR="00E137ED" w:rsidRDefault="00E137ED" w:rsidP="00E137ED">
      <w:pPr>
        <w:pStyle w:val="Testonotaapidipagina"/>
        <w:jc w:val="both"/>
      </w:pPr>
      <w:r>
        <w:rPr>
          <w:rStyle w:val="Rimandonotaapidipagina"/>
        </w:rPr>
        <w:footnoteRef/>
      </w:r>
      <w:r>
        <w:t xml:space="preserve"> </w:t>
      </w:r>
      <w:r w:rsidRPr="00E137ED">
        <w:t>“</w:t>
      </w:r>
      <w:r w:rsidRPr="00E137ED">
        <w:rPr>
          <w:rFonts w:ascii="Times New Roman" w:hAnsi="Times New Roman" w:cs="Times New Roman"/>
          <w:i/>
        </w:rPr>
        <w:t>Invero, la giurisprudenza ha sottolineato che la sussistenza di una posizione di dominio sul mercato non è di per sé illecita o censurabile; ciò che è vietato è l'abuso di tale posizione. In questo senso l'impresa, acquisita una posizione di dominanza, assume una sorta di speciale responsabilità, dovendo adoperarsi per non incidere, distorcendola, sulla libera competizione del relativo mercato di riferimento. Ciò può implicare, nella sua applicazione concreta, una limitazione della libertà economica dell'impresa dominante e, pertanto, deve essere giustificato dal perseguimento delle finalità "pro concorrenziali'" a cui tende lo strumento azionato dall'Autorità, dovendosi scongiurare che l'intervento di quest'ultima possa, in ipotesi, costituire un deterrente allo sviluppo di nuovi prodotti, o modelli imprenditoriali, suscettibili di rappresentare un beneficio per il settore ed i consumatori. Sul piano generale, deve evidenziarsi la delicatezza della fattispecie in esame, la cui contestazione, come detto, comporta un'intensa restrizione della libertà economica dell'impresa (dominante) e che, pertanto, deve essere attentamente valutata alla stregua dei principi di ragionevolezza e proporzionalità”. […] “Anticipando quanto di seguito meglio spiegato, avuto riguardo alla peculiarità del caso in esame, deve affermarsi che l'accennata speciale responsabilità, che viene ad assumere la società in posizione dominante, e gli obblighi che ne discendono, devono ritenersi ancor più pregnanti nell'ipotesi in cui la posizione di dominanza tragga origine dalle titolarità di un diritto di esclusiva e la condotta censurata si rifletta su un mercato ancora allo stato embrionale e del quale deve esserne incentivato lo sviluppo. In tal senso, anche eventuali effetti benefici al sistema in termini di qualità o di innovazione, che in astratto potrebbero "giustificare la condotta, devono essere attentamente ponderati, non potendo la loro valorizzazione, alla stregua del canone di proporzionalità, risolversi nel precludere alla radice e completamente lo sviluppo di una effettiva concorrenza in un settore che si sta aprendo al mercato</w:t>
      </w:r>
      <w:r w:rsidRPr="00E137ED">
        <w:t>”.</w:t>
      </w:r>
    </w:p>
    <w:p w:rsidR="00262E48" w:rsidRDefault="00262E48" w:rsidP="00E137ED">
      <w:pPr>
        <w:pStyle w:val="Testonotaapidipagina"/>
        <w:jc w:val="both"/>
      </w:pPr>
    </w:p>
  </w:footnote>
  <w:footnote w:id="22">
    <w:p w:rsidR="00262E48" w:rsidRPr="00262E48" w:rsidRDefault="00262E48" w:rsidP="00262E48">
      <w:pPr>
        <w:pStyle w:val="Testonotaapidipagina"/>
        <w:jc w:val="both"/>
        <w:rPr>
          <w:rFonts w:ascii="Times New Roman" w:hAnsi="Times New Roman" w:cs="Times New Roman"/>
          <w:i/>
        </w:rPr>
      </w:pPr>
      <w:r w:rsidRPr="00262E48">
        <w:rPr>
          <w:rStyle w:val="Rimandonotaapidipagina"/>
          <w:rFonts w:ascii="Times New Roman" w:hAnsi="Times New Roman" w:cs="Times New Roman"/>
        </w:rPr>
        <w:footnoteRef/>
      </w:r>
      <w:r w:rsidRPr="00262E48">
        <w:rPr>
          <w:rFonts w:ascii="Times New Roman" w:hAnsi="Times New Roman" w:cs="Times New Roman"/>
        </w:rPr>
        <w:t xml:space="preserve"> Il quale stabilisce che “</w:t>
      </w:r>
      <w:r w:rsidRPr="00262E48">
        <w:rPr>
          <w:rFonts w:ascii="Times New Roman" w:hAnsi="Times New Roman" w:cs="Times New Roman"/>
          <w:i/>
        </w:rPr>
        <w:t>La Corte di giustizia dell'Unione europea è competente a pronunciarsi, in via pregiudiziale:</w:t>
      </w:r>
    </w:p>
    <w:p w:rsidR="00262E48" w:rsidRPr="00262E48" w:rsidRDefault="00262E48" w:rsidP="00262E48">
      <w:pPr>
        <w:pStyle w:val="Testonotaapidipagina"/>
        <w:jc w:val="both"/>
        <w:rPr>
          <w:rFonts w:ascii="Times New Roman" w:hAnsi="Times New Roman" w:cs="Times New Roman"/>
          <w:i/>
        </w:rPr>
      </w:pPr>
      <w:r w:rsidRPr="00262E48">
        <w:rPr>
          <w:rFonts w:ascii="Times New Roman" w:hAnsi="Times New Roman" w:cs="Times New Roman"/>
          <w:i/>
        </w:rPr>
        <w:t>a) sull'interpretazione dei trattati;</w:t>
      </w:r>
    </w:p>
    <w:p w:rsidR="00262E48" w:rsidRPr="00262E48" w:rsidRDefault="00262E48" w:rsidP="00262E48">
      <w:pPr>
        <w:pStyle w:val="Testonotaapidipagina"/>
        <w:jc w:val="both"/>
        <w:rPr>
          <w:rFonts w:ascii="Times New Roman" w:hAnsi="Times New Roman" w:cs="Times New Roman"/>
          <w:i/>
        </w:rPr>
      </w:pPr>
      <w:r w:rsidRPr="00262E48">
        <w:rPr>
          <w:rFonts w:ascii="Times New Roman" w:hAnsi="Times New Roman" w:cs="Times New Roman"/>
          <w:i/>
        </w:rPr>
        <w:t>b) sulla validità e l'interpretazione degli atti compiuti dalle istituzioni, dagli organi o dagli organismi dell'Unione.</w:t>
      </w:r>
    </w:p>
    <w:p w:rsidR="00262E48" w:rsidRPr="00262E48" w:rsidRDefault="00262E48" w:rsidP="00262E48">
      <w:pPr>
        <w:pStyle w:val="Testonotaapidipagina"/>
        <w:jc w:val="both"/>
        <w:rPr>
          <w:rFonts w:ascii="Times New Roman" w:hAnsi="Times New Roman" w:cs="Times New Roman"/>
          <w:i/>
        </w:rPr>
      </w:pPr>
      <w:r w:rsidRPr="00262E48">
        <w:rPr>
          <w:rFonts w:ascii="Times New Roman" w:hAnsi="Times New Roman" w:cs="Times New Roman"/>
          <w:i/>
        </w:rPr>
        <w:t>Quando una questione del genere è sollevata dinanzi ad un organo giurisdizionale di uno degli Stati membri, tale organo giurisdizionale può, qualora reputi necessaria per emanare la sua sentenza una decisione su questo punto, domandare alla Corte di pronunciarsi sulla questione.</w:t>
      </w:r>
    </w:p>
    <w:p w:rsidR="00262E48" w:rsidRPr="00262E48" w:rsidRDefault="00262E48" w:rsidP="00262E48">
      <w:pPr>
        <w:pStyle w:val="Testonotaapidipagina"/>
        <w:jc w:val="both"/>
        <w:rPr>
          <w:rFonts w:ascii="Times New Roman" w:hAnsi="Times New Roman" w:cs="Times New Roman"/>
          <w:i/>
        </w:rPr>
      </w:pPr>
      <w:r w:rsidRPr="00262E48">
        <w:rPr>
          <w:rFonts w:ascii="Times New Roman" w:hAnsi="Times New Roman" w:cs="Times New Roman"/>
          <w:i/>
        </w:rPr>
        <w:t>Quando una questione del genere è sollevata in un giudizio pendente davanti a un organo giurisdizionale nazionale, avverso le cui decisioni non possa proporsi un ricorso giurisdizionale di diritto interno, tale organo giurisdizionale è tenuto a rivolgersi alla Corte.</w:t>
      </w:r>
    </w:p>
    <w:p w:rsidR="00262E48" w:rsidRDefault="00262E48" w:rsidP="00262E48">
      <w:pPr>
        <w:pStyle w:val="Testonotaapidipagina"/>
        <w:jc w:val="both"/>
        <w:rPr>
          <w:rFonts w:ascii="Times New Roman" w:hAnsi="Times New Roman" w:cs="Times New Roman"/>
        </w:rPr>
      </w:pPr>
      <w:r w:rsidRPr="00262E48">
        <w:rPr>
          <w:rFonts w:ascii="Times New Roman" w:hAnsi="Times New Roman" w:cs="Times New Roman"/>
          <w:i/>
        </w:rPr>
        <w:t>Quando una questione del genere è sollevata in un giudizio pendente davanti a un organo giurisdizionale nazionale e riguardante una persona in stato di detenzione, la Corte statuisce il più rapidamente possibile</w:t>
      </w:r>
      <w:r w:rsidRPr="00262E48">
        <w:rPr>
          <w:rFonts w:ascii="Times New Roman" w:hAnsi="Times New Roman" w:cs="Times New Roman"/>
        </w:rPr>
        <w:t>”.</w:t>
      </w:r>
    </w:p>
    <w:p w:rsidR="004A1423" w:rsidRPr="00262E48" w:rsidRDefault="004A1423" w:rsidP="00262E48">
      <w:pPr>
        <w:pStyle w:val="Testonotaapidipagina"/>
        <w:jc w:val="both"/>
        <w:rPr>
          <w:rFonts w:ascii="Times New Roman" w:hAnsi="Times New Roman" w:cs="Times New Roman"/>
        </w:rPr>
      </w:pPr>
    </w:p>
  </w:footnote>
  <w:footnote w:id="23">
    <w:p w:rsidR="005E1CC4" w:rsidRDefault="005E1CC4" w:rsidP="005E1CC4">
      <w:pPr>
        <w:pStyle w:val="Testonotaapidipagina"/>
        <w:jc w:val="both"/>
        <w:rPr>
          <w:rFonts w:ascii="Times New Roman" w:hAnsi="Times New Roman" w:cs="Times New Roman"/>
        </w:rPr>
      </w:pPr>
      <w:r w:rsidRPr="005E1CC4">
        <w:rPr>
          <w:rStyle w:val="Rimandonotaapidipagina"/>
          <w:rFonts w:ascii="Times New Roman" w:hAnsi="Times New Roman" w:cs="Times New Roman"/>
        </w:rPr>
        <w:footnoteRef/>
      </w:r>
      <w:r w:rsidRPr="005E1CC4">
        <w:rPr>
          <w:rFonts w:ascii="Times New Roman" w:hAnsi="Times New Roman" w:cs="Times New Roman"/>
        </w:rPr>
        <w:t xml:space="preserve"> CGUE, grande sezione, 6 ottobre 2021, n. 561</w:t>
      </w:r>
      <w:r w:rsidR="004774CB">
        <w:rPr>
          <w:rFonts w:ascii="Times New Roman" w:hAnsi="Times New Roman" w:cs="Times New Roman"/>
        </w:rPr>
        <w:t xml:space="preserve">, </w:t>
      </w:r>
      <w:r w:rsidRPr="005E1CC4">
        <w:rPr>
          <w:rFonts w:ascii="Times New Roman" w:hAnsi="Times New Roman" w:cs="Times New Roman"/>
        </w:rPr>
        <w:t>cos</w:t>
      </w:r>
      <w:r>
        <w:rPr>
          <w:rFonts w:ascii="Times New Roman" w:hAnsi="Times New Roman" w:cs="Times New Roman"/>
        </w:rPr>
        <w:t xml:space="preserve">ì </w:t>
      </w:r>
      <w:r w:rsidRPr="005E1CC4">
        <w:rPr>
          <w:rFonts w:ascii="Times New Roman" w:hAnsi="Times New Roman" w:cs="Times New Roman"/>
        </w:rPr>
        <w:t>detta</w:t>
      </w:r>
      <w:r w:rsidR="004774CB">
        <w:rPr>
          <w:rFonts w:ascii="Times New Roman" w:hAnsi="Times New Roman" w:cs="Times New Roman"/>
        </w:rPr>
        <w:t xml:space="preserve"> sentenza Cilfit</w:t>
      </w:r>
      <w:r w:rsidR="00963FC2">
        <w:rPr>
          <w:rFonts w:ascii="Times New Roman" w:hAnsi="Times New Roman" w:cs="Times New Roman"/>
        </w:rPr>
        <w:t xml:space="preserve"> </w:t>
      </w:r>
      <w:r w:rsidR="004774CB">
        <w:rPr>
          <w:rFonts w:ascii="Times New Roman" w:hAnsi="Times New Roman" w:cs="Times New Roman"/>
        </w:rPr>
        <w:t xml:space="preserve">2 per differenziarla dalla precedente sentenza della CGUE 6 ottobre 1982, </w:t>
      </w:r>
      <w:r w:rsidR="009301D7">
        <w:rPr>
          <w:rFonts w:ascii="Times New Roman" w:hAnsi="Times New Roman" w:cs="Times New Roman"/>
        </w:rPr>
        <w:t xml:space="preserve">n. 283, </w:t>
      </w:r>
      <w:r w:rsidR="004774CB">
        <w:rPr>
          <w:rFonts w:ascii="Times New Roman" w:hAnsi="Times New Roman" w:cs="Times New Roman"/>
        </w:rPr>
        <w:t>caso Cilfit, che aveva fissato i criteri per il rinvio pregiudiziale del giudice nazionale di ultima istanza.</w:t>
      </w:r>
    </w:p>
    <w:p w:rsidR="004A1423" w:rsidRPr="005E1CC4" w:rsidRDefault="004A1423" w:rsidP="005E1CC4">
      <w:pPr>
        <w:pStyle w:val="Testonotaapidipagina"/>
        <w:jc w:val="both"/>
        <w:rPr>
          <w:rFonts w:ascii="Times New Roman" w:hAnsi="Times New Roman" w:cs="Times New Roman"/>
        </w:rPr>
      </w:pPr>
    </w:p>
  </w:footnote>
  <w:footnote w:id="24">
    <w:p w:rsidR="004A1423" w:rsidRPr="004A1423" w:rsidRDefault="004A1423" w:rsidP="004A1423">
      <w:pPr>
        <w:pStyle w:val="Testonotaapidipagina"/>
        <w:jc w:val="both"/>
        <w:rPr>
          <w:rFonts w:ascii="Times New Roman" w:hAnsi="Times New Roman" w:cs="Times New Roman"/>
        </w:rPr>
      </w:pPr>
      <w:r w:rsidRPr="004A1423">
        <w:rPr>
          <w:rStyle w:val="Rimandonotaapidipagina"/>
          <w:rFonts w:ascii="Times New Roman" w:hAnsi="Times New Roman" w:cs="Times New Roman"/>
        </w:rPr>
        <w:footnoteRef/>
      </w:r>
      <w:r w:rsidRPr="004A1423">
        <w:rPr>
          <w:rFonts w:ascii="Times New Roman" w:hAnsi="Times New Roman" w:cs="Times New Roman"/>
        </w:rPr>
        <w:t xml:space="preserve"> Sez. VI, ordinanza, 27 aprile 2023, C-495/2022. Negli stessi termini CGUE, sez. VI, ordinanza, 27 aprile 2023, C-482/2022.</w:t>
      </w:r>
    </w:p>
  </w:footnote>
  <w:footnote w:id="25">
    <w:p w:rsidR="001415BA" w:rsidRPr="001415BA" w:rsidRDefault="001415BA" w:rsidP="001415BA">
      <w:pPr>
        <w:pStyle w:val="Testonotaapidipagina"/>
        <w:jc w:val="both"/>
        <w:rPr>
          <w:rFonts w:ascii="Times New Roman" w:hAnsi="Times New Roman" w:cs="Times New Roman"/>
        </w:rPr>
      </w:pPr>
      <w:r w:rsidRPr="001415BA">
        <w:rPr>
          <w:rStyle w:val="Rimandonotaapidipagina"/>
          <w:rFonts w:ascii="Times New Roman" w:hAnsi="Times New Roman" w:cs="Times New Roman"/>
        </w:rPr>
        <w:footnoteRef/>
      </w:r>
      <w:r w:rsidRPr="001415BA">
        <w:rPr>
          <w:rFonts w:ascii="Times New Roman" w:hAnsi="Times New Roman" w:cs="Times New Roman"/>
        </w:rPr>
        <w:t xml:space="preserve"> Con la sentenza Cilfit</w:t>
      </w:r>
      <w:r w:rsidR="00963FC2">
        <w:rPr>
          <w:rFonts w:ascii="Times New Roman" w:hAnsi="Times New Roman" w:cs="Times New Roman"/>
        </w:rPr>
        <w:t xml:space="preserve"> </w:t>
      </w:r>
      <w:r w:rsidRPr="001415BA">
        <w:rPr>
          <w:rFonts w:ascii="Times New Roman" w:hAnsi="Times New Roman" w:cs="Times New Roman"/>
        </w:rPr>
        <w:t>2 citata alla nota 23.</w:t>
      </w:r>
    </w:p>
  </w:footnote>
  <w:footnote w:id="26">
    <w:p w:rsidR="00920BAA" w:rsidRPr="00920BAA" w:rsidRDefault="00920BAA" w:rsidP="00920BAA">
      <w:pPr>
        <w:pStyle w:val="Testonotaapidipagina"/>
        <w:jc w:val="both"/>
        <w:rPr>
          <w:rFonts w:ascii="Times New Roman" w:hAnsi="Times New Roman" w:cs="Times New Roman"/>
        </w:rPr>
      </w:pPr>
      <w:r w:rsidRPr="00920BAA">
        <w:rPr>
          <w:rStyle w:val="Rimandonotaapidipagina"/>
          <w:rFonts w:ascii="Times New Roman" w:hAnsi="Times New Roman" w:cs="Times New Roman"/>
        </w:rPr>
        <w:footnoteRef/>
      </w:r>
      <w:r w:rsidRPr="00920BAA">
        <w:rPr>
          <w:rFonts w:ascii="Times New Roman" w:hAnsi="Times New Roman" w:cs="Times New Roman"/>
        </w:rPr>
        <w:t xml:space="preserve"> È su questa la strada che si muove l’ACA-Europe, ossia l’Associazione composta dalle Corti supreme amministrative europee, la cui presidenza, svolta dal Consiglio di Stato italiano per due anni, si è conclusa con il convegno </w:t>
      </w:r>
      <w:r w:rsidR="00D6553F">
        <w:rPr>
          <w:rFonts w:ascii="Times New Roman" w:hAnsi="Times New Roman" w:cs="Times New Roman"/>
        </w:rPr>
        <w:t>tenuto</w:t>
      </w:r>
      <w:r w:rsidRPr="00920BAA">
        <w:rPr>
          <w:rFonts w:ascii="Times New Roman" w:hAnsi="Times New Roman" w:cs="Times New Roman"/>
        </w:rPr>
        <w:t xml:space="preserve"> a Napoli il 26 e 27 giugno 2023</w:t>
      </w:r>
      <w:r>
        <w:rPr>
          <w:rFonts w:ascii="Times New Roman" w:hAnsi="Times New Roman" w:cs="Times New Roman"/>
        </w:rPr>
        <w:t>,</w:t>
      </w:r>
      <w:r w:rsidRPr="00920BAA">
        <w:rPr>
          <w:rFonts w:ascii="Times New Roman" w:hAnsi="Times New Roman" w:cs="Times New Roman"/>
        </w:rPr>
        <w:t xml:space="preserve"> in cui è stato </w:t>
      </w:r>
      <w:r w:rsidR="00D6553F">
        <w:rPr>
          <w:rFonts w:ascii="Times New Roman" w:hAnsi="Times New Roman" w:cs="Times New Roman"/>
        </w:rPr>
        <w:t xml:space="preserve">anche </w:t>
      </w:r>
      <w:r w:rsidRPr="00920BAA">
        <w:rPr>
          <w:rFonts w:ascii="Times New Roman" w:hAnsi="Times New Roman" w:cs="Times New Roman"/>
        </w:rPr>
        <w:t>approvato un glossario di definizioni giuridiche comun</w:t>
      </w:r>
      <w:r w:rsidR="00D6553F">
        <w:rPr>
          <w:rFonts w:ascii="Times New Roman" w:hAnsi="Times New Roman" w:cs="Times New Roman"/>
        </w:rPr>
        <w:t>i</w:t>
      </w:r>
      <w:r w:rsidRPr="00920BAA">
        <w:rPr>
          <w:rFonts w:ascii="Times New Roman" w:hAnsi="Times New Roman" w:cs="Times New Roman"/>
        </w:rPr>
        <w:t xml:space="preserve"> a tutti i membri dell’ACA.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C3D" w:rsidRDefault="00547C3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C3D" w:rsidRDefault="00547C3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C3D" w:rsidRDefault="00547C3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9810AF-5C34-442C-B541-D644230CD5BB}"/>
    <w:docVar w:name="dgnword-eventsink" w:val="447503584"/>
  </w:docVars>
  <w:rsids>
    <w:rsidRoot w:val="00B451D5"/>
    <w:rsid w:val="00021A4F"/>
    <w:rsid w:val="00040DFA"/>
    <w:rsid w:val="0007312F"/>
    <w:rsid w:val="000C56EC"/>
    <w:rsid w:val="001415BA"/>
    <w:rsid w:val="001E0518"/>
    <w:rsid w:val="00204A83"/>
    <w:rsid w:val="002339D6"/>
    <w:rsid w:val="002527D0"/>
    <w:rsid w:val="00262E48"/>
    <w:rsid w:val="00265C85"/>
    <w:rsid w:val="00265E83"/>
    <w:rsid w:val="00272F7E"/>
    <w:rsid w:val="00285534"/>
    <w:rsid w:val="00293E54"/>
    <w:rsid w:val="002A1204"/>
    <w:rsid w:val="002B2C22"/>
    <w:rsid w:val="002C573A"/>
    <w:rsid w:val="0034163B"/>
    <w:rsid w:val="003513E3"/>
    <w:rsid w:val="00377F2F"/>
    <w:rsid w:val="003F7C02"/>
    <w:rsid w:val="00401A51"/>
    <w:rsid w:val="0042181B"/>
    <w:rsid w:val="00455E78"/>
    <w:rsid w:val="004570CC"/>
    <w:rsid w:val="00460252"/>
    <w:rsid w:val="004652B4"/>
    <w:rsid w:val="004774CB"/>
    <w:rsid w:val="004913E7"/>
    <w:rsid w:val="004928F2"/>
    <w:rsid w:val="004951B0"/>
    <w:rsid w:val="004A1423"/>
    <w:rsid w:val="004A2246"/>
    <w:rsid w:val="004F5BC7"/>
    <w:rsid w:val="004F6693"/>
    <w:rsid w:val="0050518E"/>
    <w:rsid w:val="00547C3D"/>
    <w:rsid w:val="00551608"/>
    <w:rsid w:val="00562DD2"/>
    <w:rsid w:val="005D01B6"/>
    <w:rsid w:val="005E1CC4"/>
    <w:rsid w:val="005F2ED1"/>
    <w:rsid w:val="006A4A12"/>
    <w:rsid w:val="006A774E"/>
    <w:rsid w:val="006D3B79"/>
    <w:rsid w:val="00716200"/>
    <w:rsid w:val="007201E8"/>
    <w:rsid w:val="00733FC6"/>
    <w:rsid w:val="007467F0"/>
    <w:rsid w:val="007C1B5B"/>
    <w:rsid w:val="007E753A"/>
    <w:rsid w:val="00802CCB"/>
    <w:rsid w:val="008409DC"/>
    <w:rsid w:val="00867CB6"/>
    <w:rsid w:val="0091145A"/>
    <w:rsid w:val="00920BAA"/>
    <w:rsid w:val="009301D7"/>
    <w:rsid w:val="009360B0"/>
    <w:rsid w:val="00936D15"/>
    <w:rsid w:val="009525A9"/>
    <w:rsid w:val="00963FC2"/>
    <w:rsid w:val="00993C09"/>
    <w:rsid w:val="009B3A77"/>
    <w:rsid w:val="009C4C8B"/>
    <w:rsid w:val="00A5015A"/>
    <w:rsid w:val="00A9112A"/>
    <w:rsid w:val="00B03EE1"/>
    <w:rsid w:val="00B451D5"/>
    <w:rsid w:val="00C33C40"/>
    <w:rsid w:val="00C369D5"/>
    <w:rsid w:val="00C44C19"/>
    <w:rsid w:val="00C56C7A"/>
    <w:rsid w:val="00C85A28"/>
    <w:rsid w:val="00C9154E"/>
    <w:rsid w:val="00CC6C24"/>
    <w:rsid w:val="00D10D05"/>
    <w:rsid w:val="00D15F69"/>
    <w:rsid w:val="00D27689"/>
    <w:rsid w:val="00D378D6"/>
    <w:rsid w:val="00D53615"/>
    <w:rsid w:val="00D574FD"/>
    <w:rsid w:val="00D6553F"/>
    <w:rsid w:val="00D6673F"/>
    <w:rsid w:val="00DB6188"/>
    <w:rsid w:val="00DC7F5F"/>
    <w:rsid w:val="00DD6DBA"/>
    <w:rsid w:val="00E04E19"/>
    <w:rsid w:val="00E137ED"/>
    <w:rsid w:val="00E652B2"/>
    <w:rsid w:val="00E90DB9"/>
    <w:rsid w:val="00EB22BA"/>
    <w:rsid w:val="00ED463C"/>
    <w:rsid w:val="00F24CDC"/>
    <w:rsid w:val="00F40D1A"/>
    <w:rsid w:val="00F91568"/>
    <w:rsid w:val="00FA7012"/>
    <w:rsid w:val="00FB014D"/>
    <w:rsid w:val="00FF69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E343"/>
  <w15:chartTrackingRefBased/>
  <w15:docId w15:val="{162E9FEF-0FA8-4907-B8EB-3FC1DCDA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415B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47C3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7C3D"/>
  </w:style>
  <w:style w:type="paragraph" w:styleId="Pidipagina">
    <w:name w:val="footer"/>
    <w:basedOn w:val="Normale"/>
    <w:link w:val="PidipaginaCarattere"/>
    <w:uiPriority w:val="99"/>
    <w:unhideWhenUsed/>
    <w:rsid w:val="00547C3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7C3D"/>
  </w:style>
  <w:style w:type="paragraph" w:styleId="Testofumetto">
    <w:name w:val="Balloon Text"/>
    <w:basedOn w:val="Normale"/>
    <w:link w:val="TestofumettoCarattere"/>
    <w:uiPriority w:val="99"/>
    <w:semiHidden/>
    <w:unhideWhenUsed/>
    <w:rsid w:val="00D15F6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15F69"/>
    <w:rPr>
      <w:rFonts w:ascii="Segoe UI" w:hAnsi="Segoe UI" w:cs="Segoe UI"/>
      <w:sz w:val="18"/>
      <w:szCs w:val="18"/>
    </w:rPr>
  </w:style>
  <w:style w:type="paragraph" w:styleId="Testonotadichiusura">
    <w:name w:val="endnote text"/>
    <w:basedOn w:val="Normale"/>
    <w:link w:val="TestonotadichiusuraCarattere"/>
    <w:uiPriority w:val="99"/>
    <w:semiHidden/>
    <w:unhideWhenUsed/>
    <w:rsid w:val="009C4C8B"/>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9C4C8B"/>
    <w:rPr>
      <w:sz w:val="20"/>
      <w:szCs w:val="20"/>
    </w:rPr>
  </w:style>
  <w:style w:type="character" w:styleId="Rimandonotadichiusura">
    <w:name w:val="endnote reference"/>
    <w:basedOn w:val="Carpredefinitoparagrafo"/>
    <w:uiPriority w:val="99"/>
    <w:semiHidden/>
    <w:unhideWhenUsed/>
    <w:rsid w:val="009C4C8B"/>
    <w:rPr>
      <w:vertAlign w:val="superscript"/>
    </w:rPr>
  </w:style>
  <w:style w:type="paragraph" w:styleId="Testonotaapidipagina">
    <w:name w:val="footnote text"/>
    <w:basedOn w:val="Normale"/>
    <w:link w:val="TestonotaapidipaginaCarattere"/>
    <w:uiPriority w:val="99"/>
    <w:semiHidden/>
    <w:unhideWhenUsed/>
    <w:rsid w:val="009C4C8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C4C8B"/>
    <w:rPr>
      <w:sz w:val="20"/>
      <w:szCs w:val="20"/>
    </w:rPr>
  </w:style>
  <w:style w:type="character" w:styleId="Rimandonotaapidipagina">
    <w:name w:val="footnote reference"/>
    <w:basedOn w:val="Carpredefinitoparagrafo"/>
    <w:uiPriority w:val="99"/>
    <w:semiHidden/>
    <w:unhideWhenUsed/>
    <w:rsid w:val="009C4C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1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4311E-49C0-47FD-9C8F-B49C95DE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2699</Words>
  <Characters>15390</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VOLPE Carmine</dc:creator>
  <cp:keywords/>
  <dc:description/>
  <cp:lastModifiedBy>FERRARI Giulia</cp:lastModifiedBy>
  <cp:revision>3</cp:revision>
  <cp:lastPrinted>2023-07-22T11:06:00Z</cp:lastPrinted>
  <dcterms:created xsi:type="dcterms:W3CDTF">2023-07-26T19:25:00Z</dcterms:created>
  <dcterms:modified xsi:type="dcterms:W3CDTF">2023-07-26T19:26:00Z</dcterms:modified>
</cp:coreProperties>
</file>