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CFFE" w14:textId="332623A5" w:rsidR="00EB7F48" w:rsidRPr="00631079" w:rsidRDefault="00631079" w:rsidP="00E85CB6">
      <w:pPr>
        <w:spacing w:line="360" w:lineRule="auto"/>
        <w:ind w:firstLine="709"/>
        <w:contextualSpacing/>
        <w:jc w:val="center"/>
        <w:rPr>
          <w:rFonts w:ascii="Century Schoolbook" w:hAnsi="Century Schoolbook"/>
          <w:b/>
          <w:sz w:val="36"/>
          <w:szCs w:val="36"/>
        </w:rPr>
      </w:pPr>
      <w:bookmarkStart w:id="0" w:name="_GoBack"/>
      <w:r>
        <w:rPr>
          <w:rFonts w:ascii="Century Schoolbook" w:hAnsi="Century Schoolbook"/>
          <w:b/>
          <w:sz w:val="36"/>
          <w:szCs w:val="36"/>
        </w:rPr>
        <w:t>I</w:t>
      </w:r>
      <w:r w:rsidRPr="00631079">
        <w:rPr>
          <w:rFonts w:ascii="Century Schoolbook" w:hAnsi="Century Schoolbook"/>
          <w:b/>
          <w:sz w:val="36"/>
          <w:szCs w:val="36"/>
        </w:rPr>
        <w:t>n difesa degli standard urbanistici</w:t>
      </w:r>
    </w:p>
    <w:p w14:paraId="244605C4" w14:textId="0D3A97C3" w:rsidR="0007309E" w:rsidRPr="00B4003A" w:rsidRDefault="00631079" w:rsidP="00E85CB6">
      <w:pPr>
        <w:spacing w:line="360" w:lineRule="auto"/>
        <w:ind w:firstLine="709"/>
        <w:contextualSpacing/>
        <w:jc w:val="center"/>
        <w:rPr>
          <w:rFonts w:ascii="Century Schoolbook" w:hAnsi="Century Schoolbook"/>
        </w:rPr>
      </w:pPr>
      <w:r w:rsidRPr="00631079">
        <w:rPr>
          <w:rFonts w:ascii="Century Schoolbook" w:hAnsi="Century Schoolbook"/>
          <w:b/>
          <w:sz w:val="36"/>
          <w:szCs w:val="36"/>
        </w:rPr>
        <w:t xml:space="preserve">come livelli essenziali inderogabili dalle </w:t>
      </w:r>
      <w:r>
        <w:rPr>
          <w:rFonts w:ascii="Century Schoolbook" w:hAnsi="Century Schoolbook"/>
          <w:b/>
          <w:sz w:val="36"/>
          <w:szCs w:val="36"/>
        </w:rPr>
        <w:t>R</w:t>
      </w:r>
      <w:r w:rsidRPr="00631079">
        <w:rPr>
          <w:rFonts w:ascii="Century Schoolbook" w:hAnsi="Century Schoolbook"/>
          <w:b/>
          <w:sz w:val="36"/>
          <w:szCs w:val="36"/>
        </w:rPr>
        <w:t>egioni</w:t>
      </w:r>
      <w:bookmarkEnd w:id="0"/>
      <w:r w:rsidR="00764020">
        <w:rPr>
          <w:rFonts w:ascii="Century Schoolbook" w:hAnsi="Century Schoolbook"/>
        </w:rPr>
        <w:t>*</w:t>
      </w:r>
    </w:p>
    <w:p w14:paraId="02396852" w14:textId="77777777" w:rsidR="00FA36C2" w:rsidRPr="00B4003A" w:rsidRDefault="00FA36C2" w:rsidP="00FA36C2">
      <w:pPr>
        <w:spacing w:line="360" w:lineRule="auto"/>
        <w:ind w:firstLine="709"/>
        <w:contextualSpacing/>
        <w:jc w:val="right"/>
        <w:rPr>
          <w:rFonts w:ascii="Century Schoolbook" w:hAnsi="Century Schoolbook"/>
          <w:sz w:val="20"/>
          <w:szCs w:val="20"/>
        </w:rPr>
      </w:pPr>
    </w:p>
    <w:p w14:paraId="3F9CF4A6" w14:textId="77777777" w:rsidR="00F83AB7" w:rsidRPr="00B4003A" w:rsidRDefault="00F83AB7" w:rsidP="00BD0A9B">
      <w:pPr>
        <w:spacing w:line="360" w:lineRule="auto"/>
        <w:ind w:firstLine="709"/>
        <w:contextualSpacing/>
        <w:jc w:val="both"/>
        <w:rPr>
          <w:rFonts w:ascii="Century Schoolbook" w:hAnsi="Century Schoolbook"/>
        </w:rPr>
      </w:pPr>
    </w:p>
    <w:p w14:paraId="3BA5FBD7" w14:textId="77777777" w:rsidR="00A91BCF" w:rsidRPr="00B4003A" w:rsidRDefault="00A91BCF" w:rsidP="007D627F">
      <w:pPr>
        <w:spacing w:line="360" w:lineRule="auto"/>
        <w:contextualSpacing/>
        <w:jc w:val="both"/>
        <w:rPr>
          <w:rFonts w:ascii="Century Schoolbook" w:hAnsi="Century Schoolbook"/>
        </w:rPr>
      </w:pPr>
    </w:p>
    <w:p w14:paraId="40A74479" w14:textId="2C7FD58B" w:rsidR="002C063E" w:rsidRPr="00B4003A" w:rsidRDefault="00933704" w:rsidP="007D627F">
      <w:pPr>
        <w:spacing w:line="360" w:lineRule="auto"/>
        <w:contextualSpacing/>
        <w:jc w:val="both"/>
        <w:rPr>
          <w:rFonts w:ascii="Century Schoolbook" w:hAnsi="Century Schoolbook"/>
        </w:rPr>
      </w:pPr>
      <w:r w:rsidRPr="00933704">
        <w:rPr>
          <w:rFonts w:ascii="Century Schoolbook" w:hAnsi="Century Schoolbook"/>
          <w:i/>
          <w:iCs/>
        </w:rPr>
        <w:t>Sintesi</w:t>
      </w:r>
      <w:r w:rsidR="002C063E" w:rsidRPr="00B4003A">
        <w:rPr>
          <w:rFonts w:ascii="Century Schoolbook" w:hAnsi="Century Schoolbook"/>
        </w:rPr>
        <w:t>:</w:t>
      </w:r>
      <w:r w:rsidR="007D627F" w:rsidRPr="00B4003A">
        <w:rPr>
          <w:rFonts w:ascii="Century Schoolbook" w:hAnsi="Century Schoolbook"/>
        </w:rPr>
        <w:t xml:space="preserve"> L</w:t>
      </w:r>
      <w:r w:rsidR="00AC10F5" w:rsidRPr="00B4003A">
        <w:rPr>
          <w:rFonts w:ascii="Century Schoolbook" w:hAnsi="Century Schoolbook"/>
        </w:rPr>
        <w:t>’istituzione delle Regioni ha innescato un prevedibile movimento di erosione delle competenze statali anche in ambiti dove una cabina di regia centralizzata sarebbe comunque preferibile. Il governo del territorio è uno di questi</w:t>
      </w:r>
      <w:r w:rsidR="00CC5237" w:rsidRPr="00B4003A">
        <w:rPr>
          <w:rFonts w:ascii="Century Schoolbook" w:hAnsi="Century Schoolbook"/>
        </w:rPr>
        <w:t>:</w:t>
      </w:r>
      <w:r w:rsidR="00AC10F5" w:rsidRPr="00B4003A">
        <w:rPr>
          <w:rFonts w:ascii="Century Schoolbook" w:hAnsi="Century Schoolbook"/>
        </w:rPr>
        <w:t xml:space="preserve"> </w:t>
      </w:r>
      <w:r w:rsidR="00CC5237" w:rsidRPr="00B4003A">
        <w:rPr>
          <w:rFonts w:ascii="Century Schoolbook" w:hAnsi="Century Schoolbook"/>
        </w:rPr>
        <w:t xml:space="preserve">vi sono </w:t>
      </w:r>
      <w:r w:rsidR="0017368B" w:rsidRPr="00B4003A">
        <w:rPr>
          <w:rFonts w:ascii="Century Schoolbook" w:hAnsi="Century Schoolbook"/>
        </w:rPr>
        <w:t>esperienze regolative</w:t>
      </w:r>
      <w:r w:rsidR="00AC10F5" w:rsidRPr="00B4003A">
        <w:rPr>
          <w:rFonts w:ascii="Century Schoolbook" w:hAnsi="Century Schoolbook"/>
        </w:rPr>
        <w:t xml:space="preserve"> altamente discutibili come </w:t>
      </w:r>
      <w:r w:rsidR="0017368B" w:rsidRPr="00B4003A">
        <w:rPr>
          <w:rFonts w:ascii="Century Schoolbook" w:hAnsi="Century Schoolbook"/>
        </w:rPr>
        <w:t>l’intesa</w:t>
      </w:r>
      <w:r w:rsidR="00AC10F5" w:rsidRPr="00B4003A">
        <w:rPr>
          <w:rFonts w:ascii="Century Schoolbook" w:hAnsi="Century Schoolbook"/>
        </w:rPr>
        <w:t xml:space="preserve"> che </w:t>
      </w:r>
      <w:r w:rsidR="00B61B6F" w:rsidRPr="00B4003A">
        <w:rPr>
          <w:rFonts w:ascii="Century Schoolbook" w:hAnsi="Century Schoolbook"/>
        </w:rPr>
        <w:t xml:space="preserve">nel </w:t>
      </w:r>
      <w:r w:rsidR="0017368B" w:rsidRPr="00B4003A">
        <w:rPr>
          <w:rFonts w:ascii="Century Schoolbook" w:hAnsi="Century Schoolbook"/>
        </w:rPr>
        <w:t>2009</w:t>
      </w:r>
      <w:r w:rsidR="00B61B6F" w:rsidRPr="00B4003A">
        <w:rPr>
          <w:rFonts w:ascii="Century Schoolbook" w:hAnsi="Century Schoolbook"/>
        </w:rPr>
        <w:t xml:space="preserve"> </w:t>
      </w:r>
      <w:r w:rsidR="00AC10F5" w:rsidRPr="00B4003A">
        <w:rPr>
          <w:rFonts w:ascii="Century Schoolbook" w:hAnsi="Century Schoolbook"/>
        </w:rPr>
        <w:t xml:space="preserve">ha </w:t>
      </w:r>
      <w:r w:rsidR="00856CA4" w:rsidRPr="00B4003A">
        <w:rPr>
          <w:rFonts w:ascii="Century Schoolbook" w:hAnsi="Century Schoolbook"/>
        </w:rPr>
        <w:t>consentito alle Regioni di dar vita ai “piani” casa, poi portati dallo stesso Stato davanti alla Consulta; o</w:t>
      </w:r>
      <w:r w:rsidR="00EE7484" w:rsidRPr="00B4003A">
        <w:rPr>
          <w:rFonts w:ascii="Century Schoolbook" w:hAnsi="Century Schoolbook"/>
        </w:rPr>
        <w:t xml:space="preserve"> come</w:t>
      </w:r>
      <w:r w:rsidR="00856CA4" w:rsidRPr="00B4003A">
        <w:rPr>
          <w:rFonts w:ascii="Century Schoolbook" w:hAnsi="Century Schoolbook"/>
        </w:rPr>
        <w:t xml:space="preserve"> </w:t>
      </w:r>
      <w:r w:rsidR="0017368B" w:rsidRPr="00B4003A">
        <w:rPr>
          <w:rFonts w:ascii="Century Schoolbook" w:hAnsi="Century Schoolbook"/>
        </w:rPr>
        <w:t>le legge</w:t>
      </w:r>
      <w:r w:rsidR="00204624" w:rsidRPr="00B4003A">
        <w:rPr>
          <w:rFonts w:ascii="Century Schoolbook" w:hAnsi="Century Schoolbook"/>
        </w:rPr>
        <w:t xml:space="preserve"> del 2013</w:t>
      </w:r>
      <w:r w:rsidR="00CC5237" w:rsidRPr="00B4003A">
        <w:rPr>
          <w:rFonts w:ascii="Century Schoolbook" w:hAnsi="Century Schoolbook"/>
        </w:rPr>
        <w:t>, qui esam</w:t>
      </w:r>
      <w:r w:rsidR="00204624" w:rsidRPr="00B4003A">
        <w:rPr>
          <w:rFonts w:ascii="Century Schoolbook" w:hAnsi="Century Schoolbook"/>
        </w:rPr>
        <w:t>inata nella sua genesi</w:t>
      </w:r>
      <w:r w:rsidR="00CC5237" w:rsidRPr="00B4003A">
        <w:rPr>
          <w:rFonts w:ascii="Century Schoolbook" w:hAnsi="Century Schoolbook"/>
        </w:rPr>
        <w:t>,</w:t>
      </w:r>
      <w:r w:rsidR="00EE7484" w:rsidRPr="00B4003A">
        <w:rPr>
          <w:rFonts w:ascii="Century Schoolbook" w:hAnsi="Century Schoolbook"/>
        </w:rPr>
        <w:t xml:space="preserve"> che </w:t>
      </w:r>
      <w:r w:rsidR="00204624" w:rsidRPr="00B4003A">
        <w:rPr>
          <w:rFonts w:ascii="Century Schoolbook" w:hAnsi="Century Schoolbook"/>
        </w:rPr>
        <w:t xml:space="preserve">ha </w:t>
      </w:r>
      <w:r w:rsidR="00EE7484" w:rsidRPr="00B4003A">
        <w:rPr>
          <w:rFonts w:ascii="Century Schoolbook" w:hAnsi="Century Schoolbook"/>
        </w:rPr>
        <w:t xml:space="preserve">abbandonato </w:t>
      </w:r>
      <w:r w:rsidR="00CC5237" w:rsidRPr="00B4003A">
        <w:rPr>
          <w:rFonts w:ascii="Century Schoolbook" w:hAnsi="Century Schoolbook"/>
        </w:rPr>
        <w:t xml:space="preserve">sempre in mani regionali </w:t>
      </w:r>
      <w:r w:rsidR="00204624" w:rsidRPr="00B4003A">
        <w:rPr>
          <w:rFonts w:ascii="Century Schoolbook" w:hAnsi="Century Schoolbook"/>
        </w:rPr>
        <w:t>gl</w:t>
      </w:r>
      <w:r w:rsidR="00EE7484" w:rsidRPr="00B4003A">
        <w:rPr>
          <w:rFonts w:ascii="Century Schoolbook" w:hAnsi="Century Schoolbook"/>
        </w:rPr>
        <w:t xml:space="preserve">i standard urbanistici </w:t>
      </w:r>
      <w:r w:rsidR="00EE168A" w:rsidRPr="00B4003A">
        <w:rPr>
          <w:rFonts w:ascii="Century Schoolbook" w:hAnsi="Century Schoolbook"/>
        </w:rPr>
        <w:t>approvati dal</w:t>
      </w:r>
      <w:r w:rsidR="00EE7484" w:rsidRPr="00B4003A">
        <w:rPr>
          <w:rFonts w:ascii="Century Schoolbook" w:hAnsi="Century Schoolbook"/>
        </w:rPr>
        <w:t xml:space="preserve"> d.m. n. </w:t>
      </w:r>
      <w:r w:rsidR="00452AA3" w:rsidRPr="00B4003A">
        <w:rPr>
          <w:rFonts w:ascii="Century Schoolbook" w:hAnsi="Century Schoolbook"/>
        </w:rPr>
        <w:t>1444/</w:t>
      </w:r>
      <w:r w:rsidR="00B4003A" w:rsidRPr="00B4003A">
        <w:rPr>
          <w:rFonts w:ascii="Century Schoolbook" w:hAnsi="Century Schoolbook"/>
        </w:rPr>
        <w:t>’</w:t>
      </w:r>
      <w:r w:rsidR="00452AA3" w:rsidRPr="00B4003A">
        <w:rPr>
          <w:rFonts w:ascii="Century Schoolbook" w:hAnsi="Century Schoolbook"/>
        </w:rPr>
        <w:t>68</w:t>
      </w:r>
      <w:r w:rsidR="00B61B6F" w:rsidRPr="00B4003A">
        <w:rPr>
          <w:rFonts w:ascii="Century Schoolbook" w:hAnsi="Century Schoolbook"/>
        </w:rPr>
        <w:t xml:space="preserve">, divenuti </w:t>
      </w:r>
      <w:r w:rsidR="00EE168A" w:rsidRPr="00B4003A">
        <w:rPr>
          <w:rFonts w:ascii="Century Schoolbook" w:hAnsi="Century Schoolbook"/>
        </w:rPr>
        <w:t xml:space="preserve">da quel momento </w:t>
      </w:r>
      <w:r w:rsidR="00B61B6F" w:rsidRPr="00B4003A">
        <w:rPr>
          <w:rFonts w:ascii="Century Schoolbook" w:hAnsi="Century Schoolbook"/>
        </w:rPr>
        <w:t>derogabili.</w:t>
      </w:r>
    </w:p>
    <w:p w14:paraId="103C5363" w14:textId="21E4117F" w:rsidR="00204624" w:rsidRPr="00B4003A" w:rsidRDefault="00204624" w:rsidP="007D627F">
      <w:pPr>
        <w:spacing w:line="360" w:lineRule="auto"/>
        <w:contextualSpacing/>
        <w:jc w:val="both"/>
        <w:rPr>
          <w:rFonts w:ascii="Century Schoolbook" w:hAnsi="Century Schoolbook"/>
        </w:rPr>
      </w:pPr>
      <w:r w:rsidRPr="00B4003A">
        <w:rPr>
          <w:rFonts w:ascii="Century Schoolbook" w:hAnsi="Century Schoolbook"/>
        </w:rPr>
        <w:t xml:space="preserve">Non resta che invocare ancora una volta l’intervento della Corte costituzionale, </w:t>
      </w:r>
      <w:proofErr w:type="spellStart"/>
      <w:r w:rsidRPr="00B4003A">
        <w:rPr>
          <w:rFonts w:ascii="Century Schoolbook" w:hAnsi="Century Schoolbook"/>
        </w:rPr>
        <w:t>adìta</w:t>
      </w:r>
      <w:proofErr w:type="spellEnd"/>
      <w:r w:rsidRPr="00B4003A">
        <w:rPr>
          <w:rFonts w:ascii="Century Schoolbook" w:hAnsi="Century Schoolbook"/>
        </w:rPr>
        <w:t xml:space="preserve"> dal Consiglio di Stato con una puntuale ordinanza di rimessione </w:t>
      </w:r>
      <w:r w:rsidR="00B61B6F" w:rsidRPr="00B4003A">
        <w:rPr>
          <w:rFonts w:ascii="Century Schoolbook" w:hAnsi="Century Schoolbook"/>
        </w:rPr>
        <w:t xml:space="preserve">che ha </w:t>
      </w:r>
      <w:r w:rsidR="0029142A" w:rsidRPr="00B4003A">
        <w:rPr>
          <w:rFonts w:ascii="Century Schoolbook" w:hAnsi="Century Schoolbook"/>
        </w:rPr>
        <w:t>duramente criticato</w:t>
      </w:r>
      <w:r w:rsidR="00B61B6F" w:rsidRPr="00B4003A">
        <w:rPr>
          <w:rFonts w:ascii="Century Schoolbook" w:hAnsi="Century Schoolbook"/>
        </w:rPr>
        <w:t xml:space="preserve"> quella sciagurata scelta del 2013.</w:t>
      </w:r>
    </w:p>
    <w:p w14:paraId="488C7029" w14:textId="4EB79F13" w:rsidR="0017368B" w:rsidRPr="00B4003A" w:rsidRDefault="0017368B" w:rsidP="007D627F">
      <w:pPr>
        <w:spacing w:line="360" w:lineRule="auto"/>
        <w:contextualSpacing/>
        <w:jc w:val="both"/>
        <w:rPr>
          <w:rFonts w:ascii="Century Schoolbook" w:hAnsi="Century Schoolbook"/>
        </w:rPr>
      </w:pPr>
    </w:p>
    <w:p w14:paraId="37E3C73E" w14:textId="6BDEDBF5" w:rsidR="0017368B" w:rsidRPr="00B4003A" w:rsidRDefault="0017368B" w:rsidP="0017368B">
      <w:pPr>
        <w:spacing w:line="360" w:lineRule="auto"/>
        <w:contextualSpacing/>
        <w:jc w:val="both"/>
        <w:rPr>
          <w:rFonts w:ascii="Century Schoolbook" w:hAnsi="Century Schoolbook"/>
          <w:lang w:val="en-GB"/>
        </w:rPr>
      </w:pPr>
      <w:r w:rsidRPr="00933704">
        <w:rPr>
          <w:rFonts w:ascii="Century Schoolbook" w:hAnsi="Century Schoolbook"/>
          <w:i/>
          <w:iCs/>
          <w:lang w:val="en-US"/>
        </w:rPr>
        <w:t>Abstract</w:t>
      </w:r>
      <w:r w:rsidRPr="00B4003A">
        <w:rPr>
          <w:rFonts w:ascii="Century Schoolbook" w:hAnsi="Century Schoolbook"/>
          <w:lang w:val="en-US"/>
        </w:rPr>
        <w:t xml:space="preserve">: </w:t>
      </w:r>
      <w:r w:rsidRPr="00B4003A">
        <w:rPr>
          <w:rFonts w:ascii="Century Schoolbook" w:hAnsi="Century Schoolbook"/>
          <w:lang w:val="en-GB"/>
        </w:rPr>
        <w:t xml:space="preserve">The creation of the </w:t>
      </w:r>
      <w:r w:rsidR="00A64436" w:rsidRPr="00B4003A">
        <w:rPr>
          <w:rFonts w:ascii="Century Schoolbook" w:hAnsi="Century Schoolbook"/>
          <w:lang w:val="en-GB"/>
        </w:rPr>
        <w:t>R</w:t>
      </w:r>
      <w:r w:rsidRPr="00B4003A">
        <w:rPr>
          <w:rFonts w:ascii="Century Schoolbook" w:hAnsi="Century Schoolbook"/>
          <w:lang w:val="en-GB"/>
        </w:rPr>
        <w:t xml:space="preserve">egions has triggered a predictable movement of erosion of </w:t>
      </w:r>
      <w:r w:rsidR="00A64436" w:rsidRPr="00B4003A">
        <w:rPr>
          <w:rFonts w:ascii="Century Schoolbook" w:hAnsi="Century Schoolbook"/>
          <w:lang w:val="en-GB"/>
        </w:rPr>
        <w:t>S</w:t>
      </w:r>
      <w:r w:rsidRPr="00B4003A">
        <w:rPr>
          <w:rFonts w:ascii="Century Schoolbook" w:hAnsi="Century Schoolbook"/>
          <w:lang w:val="en-GB"/>
        </w:rPr>
        <w:t xml:space="preserve">tate competences even in areas where a centralised control room would in any case be preferable. </w:t>
      </w:r>
      <w:proofErr w:type="gramStart"/>
      <w:r w:rsidRPr="00B4003A">
        <w:rPr>
          <w:rFonts w:ascii="Century Schoolbook" w:hAnsi="Century Schoolbook"/>
          <w:lang w:val="en-GB"/>
        </w:rPr>
        <w:t xml:space="preserve">The government of the territory is one of these: there are highly debatable regulatory experiences such as the agreement that in 2009 allowed the </w:t>
      </w:r>
      <w:r w:rsidR="00A64436" w:rsidRPr="00B4003A">
        <w:rPr>
          <w:rFonts w:ascii="Century Schoolbook" w:hAnsi="Century Schoolbook"/>
          <w:lang w:val="en-GB"/>
        </w:rPr>
        <w:t>R</w:t>
      </w:r>
      <w:r w:rsidRPr="00B4003A">
        <w:rPr>
          <w:rFonts w:ascii="Century Schoolbook" w:hAnsi="Century Schoolbook"/>
          <w:lang w:val="en-GB"/>
        </w:rPr>
        <w:t xml:space="preserve">egions to give life to the </w:t>
      </w:r>
      <w:r w:rsidR="00A64436" w:rsidRPr="00B4003A">
        <w:rPr>
          <w:rFonts w:ascii="Century Schoolbook" w:hAnsi="Century Schoolbook"/>
          <w:lang w:val="en-GB"/>
        </w:rPr>
        <w:t>«house “</w:t>
      </w:r>
      <w:r w:rsidRPr="00B4003A">
        <w:rPr>
          <w:rFonts w:ascii="Century Schoolbook" w:hAnsi="Century Schoolbook"/>
          <w:lang w:val="en-GB"/>
        </w:rPr>
        <w:t>plans</w:t>
      </w:r>
      <w:r w:rsidR="00A64436" w:rsidRPr="00B4003A">
        <w:rPr>
          <w:rFonts w:ascii="Century Schoolbook" w:hAnsi="Century Schoolbook"/>
          <w:lang w:val="en-GB"/>
        </w:rPr>
        <w:t>”»</w:t>
      </w:r>
      <w:r w:rsidRPr="00B4003A">
        <w:rPr>
          <w:rFonts w:ascii="Century Schoolbook" w:hAnsi="Century Schoolbook"/>
          <w:lang w:val="en-GB"/>
        </w:rPr>
        <w:t xml:space="preserve">, brought by the same </w:t>
      </w:r>
      <w:r w:rsidR="00A64436" w:rsidRPr="00B4003A">
        <w:rPr>
          <w:rFonts w:ascii="Century Schoolbook" w:hAnsi="Century Schoolbook"/>
          <w:lang w:val="en-GB"/>
        </w:rPr>
        <w:t>S</w:t>
      </w:r>
      <w:r w:rsidRPr="00B4003A">
        <w:rPr>
          <w:rFonts w:ascii="Century Schoolbook" w:hAnsi="Century Schoolbook"/>
          <w:lang w:val="en-GB"/>
        </w:rPr>
        <w:t xml:space="preserve">tate </w:t>
      </w:r>
      <w:r w:rsidR="00452AA3" w:rsidRPr="00B4003A">
        <w:rPr>
          <w:rFonts w:ascii="Century Schoolbook" w:hAnsi="Century Schoolbook"/>
          <w:lang w:val="en-GB"/>
        </w:rPr>
        <w:t xml:space="preserve">government level </w:t>
      </w:r>
      <w:r w:rsidRPr="00B4003A">
        <w:rPr>
          <w:rFonts w:ascii="Century Schoolbook" w:hAnsi="Century Schoolbook"/>
          <w:lang w:val="en-GB"/>
        </w:rPr>
        <w:t xml:space="preserve">before the Constitutional Court; or such as the 2013 law, examined here in its genesis, which has left the urban planning standards </w:t>
      </w:r>
      <w:r w:rsidR="00EE168A" w:rsidRPr="00B4003A">
        <w:rPr>
          <w:rFonts w:ascii="Century Schoolbook" w:hAnsi="Century Schoolbook"/>
          <w:lang w:val="en-GB"/>
        </w:rPr>
        <w:t>approved by</w:t>
      </w:r>
      <w:r w:rsidRPr="00B4003A">
        <w:rPr>
          <w:rFonts w:ascii="Century Schoolbook" w:hAnsi="Century Schoolbook"/>
          <w:lang w:val="en-GB"/>
        </w:rPr>
        <w:t xml:space="preserve"> Ministerial Decree no. </w:t>
      </w:r>
      <w:r w:rsidR="00452AA3" w:rsidRPr="00B4003A">
        <w:rPr>
          <w:rFonts w:ascii="Century Schoolbook" w:hAnsi="Century Schoolbook"/>
          <w:lang w:val="en-US"/>
        </w:rPr>
        <w:t>1444/</w:t>
      </w:r>
      <w:r w:rsidR="00B4003A" w:rsidRPr="00B4003A">
        <w:rPr>
          <w:rFonts w:ascii="Century Schoolbook" w:hAnsi="Century Schoolbook"/>
          <w:lang w:val="en-US"/>
        </w:rPr>
        <w:t>’</w:t>
      </w:r>
      <w:r w:rsidR="00452AA3" w:rsidRPr="00B4003A">
        <w:rPr>
          <w:rFonts w:ascii="Century Schoolbook" w:hAnsi="Century Schoolbook"/>
          <w:lang w:val="en-US"/>
        </w:rPr>
        <w:t>68</w:t>
      </w:r>
      <w:r w:rsidRPr="00B4003A">
        <w:rPr>
          <w:rFonts w:ascii="Century Schoolbook" w:hAnsi="Century Schoolbook"/>
          <w:lang w:val="en-GB"/>
        </w:rPr>
        <w:t xml:space="preserve">, which </w:t>
      </w:r>
      <w:r w:rsidR="00A64436" w:rsidRPr="00B4003A">
        <w:rPr>
          <w:rFonts w:ascii="Century Schoolbook" w:hAnsi="Century Schoolbook"/>
          <w:lang w:val="en-GB"/>
        </w:rPr>
        <w:t>ha</w:t>
      </w:r>
      <w:r w:rsidR="00EE168A" w:rsidRPr="00B4003A">
        <w:rPr>
          <w:rFonts w:ascii="Century Schoolbook" w:hAnsi="Century Schoolbook"/>
          <w:lang w:val="en-GB"/>
        </w:rPr>
        <w:t>ve</w:t>
      </w:r>
      <w:r w:rsidR="00A64436" w:rsidRPr="00B4003A">
        <w:rPr>
          <w:rFonts w:ascii="Century Schoolbook" w:hAnsi="Century Schoolbook"/>
          <w:lang w:val="en-GB"/>
        </w:rPr>
        <w:t xml:space="preserve"> </w:t>
      </w:r>
      <w:r w:rsidR="00A91BCF" w:rsidRPr="00B4003A">
        <w:rPr>
          <w:rFonts w:ascii="Century Schoolbook" w:hAnsi="Century Schoolbook"/>
          <w:lang w:val="en-GB"/>
        </w:rPr>
        <w:t xml:space="preserve">since </w:t>
      </w:r>
      <w:r w:rsidRPr="00B4003A">
        <w:rPr>
          <w:rFonts w:ascii="Century Schoolbook" w:hAnsi="Century Schoolbook"/>
          <w:lang w:val="en-GB"/>
        </w:rPr>
        <w:t>bec</w:t>
      </w:r>
      <w:r w:rsidR="00A64436" w:rsidRPr="00B4003A">
        <w:rPr>
          <w:rFonts w:ascii="Century Schoolbook" w:hAnsi="Century Schoolbook"/>
          <w:lang w:val="en-GB"/>
        </w:rPr>
        <w:t>o</w:t>
      </w:r>
      <w:r w:rsidRPr="00B4003A">
        <w:rPr>
          <w:rFonts w:ascii="Century Schoolbook" w:hAnsi="Century Schoolbook"/>
          <w:lang w:val="en-GB"/>
        </w:rPr>
        <w:t>me derogable, in regional hands.</w:t>
      </w:r>
      <w:proofErr w:type="gramEnd"/>
    </w:p>
    <w:p w14:paraId="385F6E17" w14:textId="7D489FF9" w:rsidR="0017368B" w:rsidRPr="00B4003A" w:rsidRDefault="0017368B" w:rsidP="0017368B">
      <w:pPr>
        <w:spacing w:line="360" w:lineRule="auto"/>
        <w:contextualSpacing/>
        <w:jc w:val="both"/>
        <w:rPr>
          <w:rFonts w:ascii="Century Schoolbook" w:hAnsi="Century Schoolbook"/>
          <w:lang w:val="en-GB"/>
        </w:rPr>
      </w:pPr>
      <w:r w:rsidRPr="00B4003A">
        <w:rPr>
          <w:rFonts w:ascii="Century Schoolbook" w:hAnsi="Century Schoolbook"/>
          <w:lang w:val="en-GB"/>
        </w:rPr>
        <w:t xml:space="preserve">All that remains is to invoke once again the intervention of the Constitutional Court, to </w:t>
      </w:r>
      <w:r w:rsidR="0029142A" w:rsidRPr="00B4003A">
        <w:rPr>
          <w:rFonts w:ascii="Century Schoolbook" w:hAnsi="Century Schoolbook"/>
          <w:lang w:val="en-GB"/>
        </w:rPr>
        <w:t>which</w:t>
      </w:r>
      <w:r w:rsidRPr="00B4003A">
        <w:rPr>
          <w:rFonts w:ascii="Century Schoolbook" w:hAnsi="Century Schoolbook"/>
          <w:lang w:val="en-GB"/>
        </w:rPr>
        <w:t xml:space="preserve"> the </w:t>
      </w:r>
      <w:r w:rsidR="00A64436" w:rsidRPr="00B4003A">
        <w:rPr>
          <w:rFonts w:ascii="Century Schoolbook" w:hAnsi="Century Schoolbook"/>
          <w:lang w:val="en-GB"/>
        </w:rPr>
        <w:t>Council of State</w:t>
      </w:r>
      <w:r w:rsidRPr="00B4003A">
        <w:rPr>
          <w:rFonts w:ascii="Century Schoolbook" w:hAnsi="Century Schoolbook"/>
          <w:lang w:val="en-GB"/>
        </w:rPr>
        <w:t xml:space="preserve"> </w:t>
      </w:r>
      <w:r w:rsidR="0029142A" w:rsidRPr="00B4003A">
        <w:rPr>
          <w:rFonts w:ascii="Century Schoolbook" w:hAnsi="Century Schoolbook"/>
          <w:lang w:val="en-GB"/>
        </w:rPr>
        <w:t xml:space="preserve">referred </w:t>
      </w:r>
      <w:r w:rsidRPr="00B4003A">
        <w:rPr>
          <w:rFonts w:ascii="Century Schoolbook" w:hAnsi="Century Schoolbook"/>
          <w:lang w:val="en-GB"/>
        </w:rPr>
        <w:t xml:space="preserve">with a </w:t>
      </w:r>
      <w:r w:rsidR="0029142A" w:rsidRPr="00B4003A">
        <w:rPr>
          <w:rFonts w:ascii="Century Schoolbook" w:hAnsi="Century Schoolbook"/>
          <w:lang w:val="en-GB"/>
        </w:rPr>
        <w:t>well-motivated</w:t>
      </w:r>
      <w:r w:rsidRPr="00B4003A">
        <w:rPr>
          <w:rFonts w:ascii="Century Schoolbook" w:hAnsi="Century Schoolbook"/>
          <w:lang w:val="en-GB"/>
        </w:rPr>
        <w:t xml:space="preserve"> </w:t>
      </w:r>
      <w:r w:rsidR="006635A4" w:rsidRPr="00B4003A">
        <w:rPr>
          <w:rFonts w:ascii="Century Schoolbook" w:hAnsi="Century Schoolbook"/>
          <w:lang w:val="en-GB"/>
        </w:rPr>
        <w:t>pronounce</w:t>
      </w:r>
      <w:r w:rsidRPr="00B4003A">
        <w:rPr>
          <w:rFonts w:ascii="Century Schoolbook" w:hAnsi="Century Schoolbook"/>
          <w:lang w:val="en-GB"/>
        </w:rPr>
        <w:t xml:space="preserve"> that </w:t>
      </w:r>
      <w:r w:rsidR="0029142A" w:rsidRPr="00B4003A">
        <w:rPr>
          <w:rFonts w:ascii="Century Schoolbook" w:hAnsi="Century Schoolbook"/>
          <w:lang w:val="en-GB"/>
        </w:rPr>
        <w:t xml:space="preserve">severely criticised </w:t>
      </w:r>
      <w:r w:rsidRPr="00B4003A">
        <w:rPr>
          <w:rFonts w:ascii="Century Schoolbook" w:hAnsi="Century Schoolbook"/>
          <w:lang w:val="en-GB"/>
        </w:rPr>
        <w:t>t</w:t>
      </w:r>
      <w:r w:rsidR="0029142A" w:rsidRPr="00B4003A">
        <w:rPr>
          <w:rFonts w:ascii="Century Schoolbook" w:hAnsi="Century Schoolbook"/>
          <w:lang w:val="en-GB"/>
        </w:rPr>
        <w:t>he</w:t>
      </w:r>
      <w:r w:rsidRPr="00B4003A">
        <w:rPr>
          <w:rFonts w:ascii="Century Schoolbook" w:hAnsi="Century Schoolbook"/>
          <w:lang w:val="en-GB"/>
        </w:rPr>
        <w:t xml:space="preserve"> ill-</w:t>
      </w:r>
      <w:r w:rsidR="0029142A" w:rsidRPr="00B4003A">
        <w:rPr>
          <w:rFonts w:ascii="Century Schoolbook" w:hAnsi="Century Schoolbook"/>
          <w:lang w:val="en-GB"/>
        </w:rPr>
        <w:t>considered</w:t>
      </w:r>
      <w:r w:rsidRPr="00B4003A">
        <w:rPr>
          <w:rFonts w:ascii="Century Schoolbook" w:hAnsi="Century Schoolbook"/>
          <w:lang w:val="en-GB"/>
        </w:rPr>
        <w:t xml:space="preserve"> </w:t>
      </w:r>
      <w:r w:rsidR="0029142A" w:rsidRPr="00B4003A">
        <w:rPr>
          <w:rFonts w:ascii="Century Schoolbook" w:hAnsi="Century Schoolbook"/>
          <w:lang w:val="en-GB"/>
        </w:rPr>
        <w:t>decision</w:t>
      </w:r>
      <w:r w:rsidRPr="00B4003A">
        <w:rPr>
          <w:rFonts w:ascii="Century Schoolbook" w:hAnsi="Century Schoolbook"/>
          <w:lang w:val="en-GB"/>
        </w:rPr>
        <w:t xml:space="preserve"> of 2013.</w:t>
      </w:r>
    </w:p>
    <w:p w14:paraId="400F36A8" w14:textId="77777777" w:rsidR="0017368B" w:rsidRPr="00B4003A" w:rsidRDefault="0017368B" w:rsidP="0017368B">
      <w:pPr>
        <w:spacing w:line="360" w:lineRule="auto"/>
        <w:contextualSpacing/>
        <w:jc w:val="both"/>
        <w:rPr>
          <w:rFonts w:ascii="Century Schoolbook" w:hAnsi="Century Schoolbook"/>
          <w:lang w:val="en-US"/>
        </w:rPr>
      </w:pPr>
    </w:p>
    <w:p w14:paraId="192902E2" w14:textId="77777777" w:rsidR="00CC5237" w:rsidRPr="00B4003A" w:rsidRDefault="00CC5237" w:rsidP="007D627F">
      <w:pPr>
        <w:spacing w:line="360" w:lineRule="auto"/>
        <w:contextualSpacing/>
        <w:jc w:val="both"/>
        <w:rPr>
          <w:rFonts w:ascii="Century Schoolbook" w:hAnsi="Century Schoolbook"/>
          <w:lang w:val="en-US"/>
        </w:rPr>
      </w:pPr>
    </w:p>
    <w:p w14:paraId="0A53E100" w14:textId="77777777" w:rsidR="002C063E" w:rsidRPr="00B4003A" w:rsidRDefault="002C063E" w:rsidP="00BD0A9B">
      <w:pPr>
        <w:spacing w:line="360" w:lineRule="auto"/>
        <w:ind w:firstLine="709"/>
        <w:contextualSpacing/>
        <w:jc w:val="both"/>
        <w:rPr>
          <w:rFonts w:ascii="Century Schoolbook" w:hAnsi="Century Schoolbook"/>
          <w:lang w:val="en-US"/>
        </w:rPr>
      </w:pPr>
    </w:p>
    <w:p w14:paraId="3C042A70" w14:textId="77777777" w:rsidR="002C063E" w:rsidRPr="00B4003A" w:rsidRDefault="002C063E" w:rsidP="00BD0A9B">
      <w:pPr>
        <w:spacing w:line="360" w:lineRule="auto"/>
        <w:ind w:firstLine="709"/>
        <w:contextualSpacing/>
        <w:jc w:val="both"/>
        <w:rPr>
          <w:rFonts w:ascii="Century Schoolbook" w:hAnsi="Century Schoolbook"/>
          <w:lang w:val="en-US"/>
        </w:rPr>
      </w:pPr>
    </w:p>
    <w:p w14:paraId="0006C663" w14:textId="4EEB82C2" w:rsidR="00CD469A" w:rsidRPr="00B4003A" w:rsidRDefault="00DE2482"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1. </w:t>
      </w:r>
      <w:r w:rsidR="00023110" w:rsidRPr="00B4003A">
        <w:rPr>
          <w:rFonts w:ascii="Century Schoolbook" w:hAnsi="Century Schoolbook"/>
        </w:rPr>
        <w:t xml:space="preserve">Ai </w:t>
      </w:r>
      <w:r w:rsidR="00CD469A" w:rsidRPr="00B4003A">
        <w:rPr>
          <w:rFonts w:ascii="Century Schoolbook" w:hAnsi="Century Schoolbook"/>
        </w:rPr>
        <w:t xml:space="preserve">Padri </w:t>
      </w:r>
      <w:r w:rsidR="00023110" w:rsidRPr="00B4003A">
        <w:rPr>
          <w:rFonts w:ascii="Century Schoolbook" w:hAnsi="Century Schoolbook"/>
        </w:rPr>
        <w:t xml:space="preserve">costituenti più avvertiti, o almeno a quelli più intellettualmente limpidi, il rischio era chiarissimo. </w:t>
      </w:r>
      <w:r w:rsidR="00457EC7" w:rsidRPr="00B4003A">
        <w:rPr>
          <w:rFonts w:ascii="Century Schoolbook" w:hAnsi="Century Schoolbook"/>
        </w:rPr>
        <w:t xml:space="preserve">Le </w:t>
      </w:r>
      <w:r w:rsidR="00023110" w:rsidRPr="00B4003A">
        <w:rPr>
          <w:rFonts w:ascii="Century Schoolbook" w:hAnsi="Century Schoolbook"/>
        </w:rPr>
        <w:t>Regioni</w:t>
      </w:r>
      <w:r w:rsidR="0013620C" w:rsidRPr="00B4003A">
        <w:rPr>
          <w:rStyle w:val="Rimandonotaapidipagina"/>
          <w:rFonts w:ascii="Century Schoolbook" w:hAnsi="Century Schoolbook"/>
        </w:rPr>
        <w:footnoteReference w:id="1"/>
      </w:r>
      <w:r w:rsidR="00023110" w:rsidRPr="00B4003A">
        <w:rPr>
          <w:rFonts w:ascii="Century Schoolbook" w:hAnsi="Century Schoolbook"/>
        </w:rPr>
        <w:t xml:space="preserve"> avrebbe</w:t>
      </w:r>
      <w:r w:rsidR="00457EC7" w:rsidRPr="00B4003A">
        <w:rPr>
          <w:rFonts w:ascii="Century Schoolbook" w:hAnsi="Century Schoolbook"/>
        </w:rPr>
        <w:t>ro</w:t>
      </w:r>
      <w:r w:rsidR="00023110" w:rsidRPr="00B4003A">
        <w:rPr>
          <w:rFonts w:ascii="Century Schoolbook" w:hAnsi="Century Schoolbook"/>
        </w:rPr>
        <w:t xml:space="preserve"> generato una conflittualità endemica con lo Stato, per </w:t>
      </w:r>
      <w:r w:rsidR="007836B7" w:rsidRPr="00B4003A">
        <w:rPr>
          <w:rFonts w:ascii="Century Schoolbook" w:hAnsi="Century Schoolbook"/>
        </w:rPr>
        <w:t>eroder</w:t>
      </w:r>
      <w:r w:rsidR="00CD469A" w:rsidRPr="00B4003A">
        <w:rPr>
          <w:rFonts w:ascii="Century Schoolbook" w:hAnsi="Century Schoolbook"/>
        </w:rPr>
        <w:t>n</w:t>
      </w:r>
      <w:r w:rsidR="007836B7" w:rsidRPr="00B4003A">
        <w:rPr>
          <w:rFonts w:ascii="Century Schoolbook" w:hAnsi="Century Schoolbook"/>
        </w:rPr>
        <w:t xml:space="preserve">e </w:t>
      </w:r>
      <w:r w:rsidR="00CD469A" w:rsidRPr="00B4003A">
        <w:rPr>
          <w:rFonts w:ascii="Century Schoolbook" w:hAnsi="Century Schoolbook"/>
        </w:rPr>
        <w:t xml:space="preserve">progressivamente </w:t>
      </w:r>
      <w:r w:rsidR="00686719" w:rsidRPr="00B4003A">
        <w:rPr>
          <w:rFonts w:ascii="Century Schoolbook" w:hAnsi="Century Schoolbook"/>
        </w:rPr>
        <w:t xml:space="preserve">ambiti </w:t>
      </w:r>
      <w:r w:rsidR="007836B7" w:rsidRPr="00B4003A">
        <w:rPr>
          <w:rFonts w:ascii="Century Schoolbook" w:hAnsi="Century Schoolbook"/>
        </w:rPr>
        <w:t>di competenza</w:t>
      </w:r>
      <w:r w:rsidR="00C01762" w:rsidRPr="00B4003A">
        <w:rPr>
          <w:rStyle w:val="Rimandonotaapidipagina"/>
          <w:rFonts w:ascii="Century Schoolbook" w:hAnsi="Century Schoolbook"/>
        </w:rPr>
        <w:footnoteReference w:id="2"/>
      </w:r>
      <w:r w:rsidR="00CD469A" w:rsidRPr="00B4003A">
        <w:rPr>
          <w:rFonts w:ascii="Century Schoolbook" w:hAnsi="Century Schoolbook"/>
        </w:rPr>
        <w:t>.</w:t>
      </w:r>
    </w:p>
    <w:p w14:paraId="6B4790E1" w14:textId="5576DC4C" w:rsidR="00CD469A" w:rsidRPr="00B4003A" w:rsidRDefault="00FC036A" w:rsidP="00BD0A9B">
      <w:pPr>
        <w:spacing w:line="360" w:lineRule="auto"/>
        <w:ind w:firstLine="709"/>
        <w:contextualSpacing/>
        <w:jc w:val="both"/>
        <w:rPr>
          <w:rFonts w:ascii="Century Schoolbook" w:hAnsi="Century Schoolbook"/>
        </w:rPr>
      </w:pPr>
      <w:r w:rsidRPr="00B4003A">
        <w:rPr>
          <w:rFonts w:ascii="Century Schoolbook" w:hAnsi="Century Schoolbook"/>
        </w:rPr>
        <w:lastRenderedPageBreak/>
        <w:t xml:space="preserve">Per esempio </w:t>
      </w:r>
      <w:r w:rsidR="00CD469A" w:rsidRPr="00B4003A">
        <w:rPr>
          <w:rFonts w:ascii="Century Schoolbook" w:hAnsi="Century Schoolbook"/>
        </w:rPr>
        <w:t>Concetto Marchesi, il grande latinista</w:t>
      </w:r>
      <w:r w:rsidR="007E6A8B" w:rsidRPr="00B4003A">
        <w:rPr>
          <w:rFonts w:ascii="Century Schoolbook" w:hAnsi="Century Schoolbook"/>
        </w:rPr>
        <w:t>, era</w:t>
      </w:r>
      <w:r w:rsidR="004821AC" w:rsidRPr="00B4003A">
        <w:rPr>
          <w:rFonts w:ascii="Century Schoolbook" w:hAnsi="Century Schoolbook"/>
        </w:rPr>
        <w:t xml:space="preserve"> </w:t>
      </w:r>
      <w:r w:rsidR="00701029" w:rsidRPr="00B4003A">
        <w:rPr>
          <w:rFonts w:ascii="Century Schoolbook" w:hAnsi="Century Schoolbook"/>
        </w:rPr>
        <w:t xml:space="preserve">molto </w:t>
      </w:r>
      <w:r w:rsidR="004821AC" w:rsidRPr="00B4003A">
        <w:rPr>
          <w:rFonts w:ascii="Century Schoolbook" w:hAnsi="Century Schoolbook"/>
        </w:rPr>
        <w:t>p</w:t>
      </w:r>
      <w:r w:rsidR="00E85CB6" w:rsidRPr="00B4003A">
        <w:rPr>
          <w:rFonts w:ascii="Century Schoolbook" w:hAnsi="Century Schoolbook"/>
        </w:rPr>
        <w:t>essimista</w:t>
      </w:r>
      <w:r w:rsidR="00E57C9A" w:rsidRPr="00B4003A">
        <w:rPr>
          <w:rFonts w:ascii="Century Schoolbook" w:hAnsi="Century Schoolbook"/>
        </w:rPr>
        <w:t xml:space="preserve">: </w:t>
      </w:r>
      <w:r w:rsidR="004147C3" w:rsidRPr="00B4003A">
        <w:rPr>
          <w:rFonts w:ascii="Century Schoolbook" w:hAnsi="Century Schoolbook"/>
        </w:rPr>
        <w:t>pur marxista</w:t>
      </w:r>
      <w:r w:rsidR="004147C3" w:rsidRPr="00B4003A">
        <w:rPr>
          <w:rStyle w:val="Rimandonotaapidipagina"/>
          <w:rFonts w:ascii="Century Schoolbook" w:hAnsi="Century Schoolbook"/>
        </w:rPr>
        <w:footnoteReference w:id="3"/>
      </w:r>
      <w:r w:rsidR="004147C3" w:rsidRPr="00B4003A">
        <w:rPr>
          <w:rFonts w:ascii="Century Schoolbook" w:hAnsi="Century Schoolbook"/>
        </w:rPr>
        <w:t xml:space="preserve">, parlava </w:t>
      </w:r>
      <w:r w:rsidR="00E85CB6" w:rsidRPr="00B4003A">
        <w:rPr>
          <w:rFonts w:ascii="Century Schoolbook" w:hAnsi="Century Schoolbook"/>
        </w:rPr>
        <w:t xml:space="preserve">addirittura </w:t>
      </w:r>
      <w:r w:rsidR="004147C3" w:rsidRPr="00B4003A">
        <w:rPr>
          <w:rFonts w:ascii="Century Schoolbook" w:hAnsi="Century Schoolbook"/>
        </w:rPr>
        <w:t>di</w:t>
      </w:r>
      <w:r w:rsidR="004821AC" w:rsidRPr="00B4003A">
        <w:rPr>
          <w:rFonts w:ascii="Century Schoolbook" w:hAnsi="Century Schoolbook"/>
        </w:rPr>
        <w:t xml:space="preserve"> raffica regionalista</w:t>
      </w:r>
      <w:r w:rsidR="001C07C0" w:rsidRPr="00B4003A">
        <w:rPr>
          <w:rStyle w:val="Rimandonotaapidipagina"/>
          <w:rFonts w:ascii="Century Schoolbook" w:hAnsi="Century Schoolbook"/>
        </w:rPr>
        <w:footnoteReference w:id="4"/>
      </w:r>
      <w:r w:rsidR="001C07C0" w:rsidRPr="00B4003A">
        <w:rPr>
          <w:rFonts w:ascii="Century Schoolbook" w:hAnsi="Century Schoolbook"/>
        </w:rPr>
        <w:t>.</w:t>
      </w:r>
      <w:r w:rsidR="00CD469A" w:rsidRPr="00B4003A">
        <w:rPr>
          <w:rFonts w:ascii="Century Schoolbook" w:hAnsi="Century Schoolbook"/>
        </w:rPr>
        <w:t xml:space="preserve"> </w:t>
      </w:r>
    </w:p>
    <w:p w14:paraId="715C6C35" w14:textId="262773F7" w:rsidR="007E6A8B" w:rsidRPr="00B4003A" w:rsidRDefault="007E6A8B"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In questa </w:t>
      </w:r>
      <w:r w:rsidR="00E85CB6" w:rsidRPr="00B4003A">
        <w:rPr>
          <w:rFonts w:ascii="Century Schoolbook" w:hAnsi="Century Schoolbook"/>
        </w:rPr>
        <w:t>storia</w:t>
      </w:r>
      <w:r w:rsidRPr="00B4003A">
        <w:rPr>
          <w:rFonts w:ascii="Century Schoolbook" w:hAnsi="Century Schoolbook"/>
        </w:rPr>
        <w:t>, aggravata dall’infelice riforma del Titolo V, i</w:t>
      </w:r>
      <w:r w:rsidR="00CD469A" w:rsidRPr="00B4003A">
        <w:rPr>
          <w:rFonts w:ascii="Century Schoolbook" w:hAnsi="Century Schoolbook"/>
        </w:rPr>
        <w:t>l governo del territorio</w:t>
      </w:r>
      <w:r w:rsidRPr="00B4003A">
        <w:rPr>
          <w:rFonts w:ascii="Century Schoolbook" w:hAnsi="Century Schoolbook"/>
        </w:rPr>
        <w:t xml:space="preserve"> risalta per essere uno degli ambiti più contesi fra le </w:t>
      </w:r>
      <w:r w:rsidRPr="00B4003A">
        <w:rPr>
          <w:rFonts w:ascii="Century Schoolbook" w:hAnsi="Century Schoolbook"/>
          <w:i/>
          <w:iCs/>
        </w:rPr>
        <w:t>figur</w:t>
      </w:r>
      <w:r w:rsidR="00643487" w:rsidRPr="00B4003A">
        <w:rPr>
          <w:rFonts w:ascii="Century Schoolbook" w:hAnsi="Century Schoolbook"/>
          <w:i/>
          <w:iCs/>
        </w:rPr>
        <w:t>a</w:t>
      </w:r>
      <w:r w:rsidRPr="00B4003A">
        <w:rPr>
          <w:rFonts w:ascii="Century Schoolbook" w:hAnsi="Century Schoolbook"/>
          <w:i/>
          <w:iCs/>
        </w:rPr>
        <w:t>e</w:t>
      </w:r>
      <w:r w:rsidRPr="00B4003A">
        <w:rPr>
          <w:rFonts w:ascii="Century Schoolbook" w:hAnsi="Century Schoolbook"/>
        </w:rPr>
        <w:t xml:space="preserve"> in campo</w:t>
      </w:r>
      <w:r w:rsidR="00E85CB6" w:rsidRPr="00B4003A">
        <w:rPr>
          <w:rFonts w:ascii="Century Schoolbook" w:hAnsi="Century Schoolbook"/>
        </w:rPr>
        <w:t>;</w:t>
      </w:r>
      <w:r w:rsidR="005712C5" w:rsidRPr="00B4003A">
        <w:rPr>
          <w:rFonts w:ascii="Century Schoolbook" w:hAnsi="Century Schoolbook"/>
        </w:rPr>
        <w:t xml:space="preserve"> </w:t>
      </w:r>
      <w:r w:rsidR="00E85CB6" w:rsidRPr="00B4003A">
        <w:rPr>
          <w:rFonts w:ascii="Century Schoolbook" w:hAnsi="Century Schoolbook"/>
        </w:rPr>
        <w:t xml:space="preserve">e </w:t>
      </w:r>
      <w:r w:rsidR="000815A5" w:rsidRPr="00B4003A">
        <w:rPr>
          <w:rFonts w:ascii="Century Schoolbook" w:hAnsi="Century Schoolbook"/>
        </w:rPr>
        <w:t xml:space="preserve">fra i </w:t>
      </w:r>
      <w:r w:rsidR="005712C5" w:rsidRPr="00B4003A">
        <w:rPr>
          <w:rFonts w:ascii="Century Schoolbook" w:hAnsi="Century Schoolbook"/>
        </w:rPr>
        <w:t>più martoriati</w:t>
      </w:r>
      <w:r w:rsidR="002E311A" w:rsidRPr="00B4003A">
        <w:rPr>
          <w:rStyle w:val="Rimandonotaapidipagina"/>
          <w:rFonts w:ascii="Century Schoolbook" w:hAnsi="Century Schoolbook"/>
        </w:rPr>
        <w:footnoteReference w:id="5"/>
      </w:r>
      <w:r w:rsidRPr="00B4003A">
        <w:rPr>
          <w:rFonts w:ascii="Century Schoolbook" w:hAnsi="Century Schoolbook"/>
        </w:rPr>
        <w:t>.</w:t>
      </w:r>
    </w:p>
    <w:p w14:paraId="4F187E9B" w14:textId="1B1C4D58" w:rsidR="007577F1" w:rsidRPr="00B4003A" w:rsidRDefault="00643487" w:rsidP="00BD0A9B">
      <w:pPr>
        <w:spacing w:line="360" w:lineRule="auto"/>
        <w:ind w:firstLine="709"/>
        <w:contextualSpacing/>
        <w:jc w:val="both"/>
        <w:rPr>
          <w:rFonts w:ascii="Century Schoolbook" w:hAnsi="Century Schoolbook"/>
        </w:rPr>
      </w:pPr>
      <w:r w:rsidRPr="00B4003A">
        <w:rPr>
          <w:rFonts w:ascii="Century Schoolbook" w:hAnsi="Century Schoolbook"/>
        </w:rPr>
        <w:t>Fra i tanti</w:t>
      </w:r>
      <w:r w:rsidR="000815A5" w:rsidRPr="00B4003A">
        <w:rPr>
          <w:rFonts w:ascii="Century Schoolbook" w:hAnsi="Century Schoolbook"/>
        </w:rPr>
        <w:t xml:space="preserve"> esempi</w:t>
      </w:r>
      <w:r w:rsidR="00E57C9A" w:rsidRPr="00B4003A">
        <w:rPr>
          <w:rFonts w:ascii="Century Schoolbook" w:hAnsi="Century Schoolbook"/>
        </w:rPr>
        <w:t xml:space="preserve"> </w:t>
      </w:r>
      <w:r w:rsidRPr="00B4003A">
        <w:rPr>
          <w:rFonts w:ascii="Century Schoolbook" w:hAnsi="Century Schoolbook"/>
        </w:rPr>
        <w:t>che potrebbero essere citati, s</w:t>
      </w:r>
      <w:r w:rsidR="007E6A8B" w:rsidRPr="00B4003A">
        <w:rPr>
          <w:rFonts w:ascii="Century Schoolbook" w:hAnsi="Century Schoolbook"/>
        </w:rPr>
        <w:t xml:space="preserve">olo un cenno faccio </w:t>
      </w:r>
      <w:r w:rsidR="001256BC" w:rsidRPr="00B4003A">
        <w:rPr>
          <w:rFonts w:ascii="Century Schoolbook" w:hAnsi="Century Schoolbook"/>
        </w:rPr>
        <w:t>all’</w:t>
      </w:r>
      <w:r w:rsidR="003467E3" w:rsidRPr="00B4003A">
        <w:rPr>
          <w:rFonts w:ascii="Century Schoolbook" w:hAnsi="Century Schoolbook"/>
        </w:rPr>
        <w:t xml:space="preserve">inaggettivabile </w:t>
      </w:r>
      <w:r w:rsidR="00E57C9A" w:rsidRPr="00B4003A">
        <w:rPr>
          <w:rFonts w:ascii="Century Schoolbook" w:hAnsi="Century Schoolbook"/>
        </w:rPr>
        <w:t>esperienza di normazione</w:t>
      </w:r>
      <w:r w:rsidRPr="00B4003A">
        <w:rPr>
          <w:rFonts w:ascii="Century Schoolbook" w:hAnsi="Century Schoolbook"/>
        </w:rPr>
        <w:t xml:space="preserve"> che è i</w:t>
      </w:r>
      <w:r w:rsidR="000A6728" w:rsidRPr="00B4003A">
        <w:rPr>
          <w:rFonts w:ascii="Century Schoolbook" w:hAnsi="Century Schoolbook"/>
        </w:rPr>
        <w:t>l</w:t>
      </w:r>
      <w:r w:rsidR="00DE2482" w:rsidRPr="00B4003A">
        <w:rPr>
          <w:rFonts w:ascii="Century Schoolbook" w:hAnsi="Century Schoolbook"/>
        </w:rPr>
        <w:t xml:space="preserve"> </w:t>
      </w:r>
      <w:r w:rsidR="003467E3" w:rsidRPr="00B4003A">
        <w:rPr>
          <w:rFonts w:ascii="Century Schoolbook" w:hAnsi="Century Schoolbook"/>
        </w:rPr>
        <w:t xml:space="preserve">c.d. </w:t>
      </w:r>
      <w:r w:rsidR="00DE2482" w:rsidRPr="00B4003A">
        <w:rPr>
          <w:rFonts w:ascii="Century Schoolbook" w:hAnsi="Century Schoolbook"/>
        </w:rPr>
        <w:t>piano casa</w:t>
      </w:r>
      <w:r w:rsidR="003467E3" w:rsidRPr="00B4003A">
        <w:rPr>
          <w:rFonts w:ascii="Century Schoolbook" w:hAnsi="Century Schoolbook"/>
        </w:rPr>
        <w:t xml:space="preserve">, dove lo Stato </w:t>
      </w:r>
      <w:r w:rsidR="00C06FD9" w:rsidRPr="00B4003A">
        <w:rPr>
          <w:rFonts w:ascii="Century Schoolbook" w:hAnsi="Century Schoolbook"/>
        </w:rPr>
        <w:t>dap</w:t>
      </w:r>
      <w:r w:rsidR="003467E3" w:rsidRPr="00B4003A">
        <w:rPr>
          <w:rFonts w:ascii="Century Schoolbook" w:hAnsi="Century Schoolbook"/>
        </w:rPr>
        <w:t xml:space="preserve">prima </w:t>
      </w:r>
      <w:r w:rsidR="007577F1" w:rsidRPr="00B4003A">
        <w:rPr>
          <w:rFonts w:ascii="Century Schoolbook" w:hAnsi="Century Schoolbook"/>
        </w:rPr>
        <w:t xml:space="preserve">ha </w:t>
      </w:r>
      <w:r w:rsidR="003467E3" w:rsidRPr="00B4003A">
        <w:rPr>
          <w:rFonts w:ascii="Century Schoolbook" w:hAnsi="Century Schoolbook"/>
        </w:rPr>
        <w:t>consegna</w:t>
      </w:r>
      <w:r w:rsidR="00E57C9A" w:rsidRPr="00B4003A">
        <w:rPr>
          <w:rFonts w:ascii="Century Schoolbook" w:hAnsi="Century Schoolbook"/>
        </w:rPr>
        <w:t>to</w:t>
      </w:r>
      <w:r w:rsidR="003467E3" w:rsidRPr="00B4003A">
        <w:rPr>
          <w:rFonts w:ascii="Century Schoolbook" w:hAnsi="Century Schoolbook"/>
        </w:rPr>
        <w:t xml:space="preserve"> </w:t>
      </w:r>
      <w:r w:rsidRPr="00B4003A">
        <w:rPr>
          <w:rFonts w:ascii="Century Schoolbook" w:hAnsi="Century Schoolbook"/>
        </w:rPr>
        <w:t xml:space="preserve">alle Regioni </w:t>
      </w:r>
      <w:r w:rsidR="003467E3" w:rsidRPr="00B4003A">
        <w:rPr>
          <w:rFonts w:ascii="Century Schoolbook" w:hAnsi="Century Schoolbook"/>
        </w:rPr>
        <w:t>i fucili per la raffica</w:t>
      </w:r>
      <w:r w:rsidR="007577F1" w:rsidRPr="00B4003A">
        <w:rPr>
          <w:rFonts w:ascii="Century Schoolbook" w:hAnsi="Century Schoolbook"/>
        </w:rPr>
        <w:t>,</w:t>
      </w:r>
      <w:r w:rsidR="003467E3" w:rsidRPr="00B4003A">
        <w:rPr>
          <w:rFonts w:ascii="Century Schoolbook" w:hAnsi="Century Schoolbook"/>
        </w:rPr>
        <w:t xml:space="preserve"> poi </w:t>
      </w:r>
      <w:r w:rsidR="007577F1" w:rsidRPr="00B4003A">
        <w:rPr>
          <w:rFonts w:ascii="Century Schoolbook" w:hAnsi="Century Schoolbook"/>
        </w:rPr>
        <w:t xml:space="preserve">ha </w:t>
      </w:r>
      <w:r w:rsidR="003467E3" w:rsidRPr="00B4003A">
        <w:rPr>
          <w:rFonts w:ascii="Century Schoolbook" w:hAnsi="Century Schoolbook"/>
        </w:rPr>
        <w:t>cerca</w:t>
      </w:r>
      <w:r w:rsidR="007577F1" w:rsidRPr="00B4003A">
        <w:rPr>
          <w:rFonts w:ascii="Century Schoolbook" w:hAnsi="Century Schoolbook"/>
        </w:rPr>
        <w:t>to – e cerca ancora oggi</w:t>
      </w:r>
      <w:r w:rsidR="003467E3" w:rsidRPr="00B4003A">
        <w:rPr>
          <w:rFonts w:ascii="Century Schoolbook" w:hAnsi="Century Schoolbook"/>
        </w:rPr>
        <w:t xml:space="preserve"> </w:t>
      </w:r>
      <w:r w:rsidR="007577F1" w:rsidRPr="00B4003A">
        <w:rPr>
          <w:rFonts w:ascii="Century Schoolbook" w:hAnsi="Century Schoolbook"/>
        </w:rPr>
        <w:t xml:space="preserve">– </w:t>
      </w:r>
      <w:r w:rsidR="003467E3" w:rsidRPr="00B4003A">
        <w:rPr>
          <w:rFonts w:ascii="Century Schoolbook" w:hAnsi="Century Schoolbook"/>
        </w:rPr>
        <w:t xml:space="preserve">di correre tardivamente ai ripari invocando </w:t>
      </w:r>
      <w:r w:rsidR="00D6280C" w:rsidRPr="00B4003A">
        <w:rPr>
          <w:rFonts w:ascii="Century Schoolbook" w:hAnsi="Century Schoolbook"/>
        </w:rPr>
        <w:t>l’</w:t>
      </w:r>
      <w:proofErr w:type="spellStart"/>
      <w:r w:rsidR="00D6280C" w:rsidRPr="00B4003A">
        <w:rPr>
          <w:rFonts w:ascii="Century Schoolbook" w:hAnsi="Century Schoolbook"/>
          <w:i/>
          <w:iCs/>
        </w:rPr>
        <w:t>opitulatio</w:t>
      </w:r>
      <w:proofErr w:type="spellEnd"/>
      <w:r w:rsidR="00D6280C" w:rsidRPr="00B4003A">
        <w:rPr>
          <w:rFonts w:ascii="Century Schoolbook" w:hAnsi="Century Schoolbook"/>
        </w:rPr>
        <w:t xml:space="preserve"> misericordiosa dell</w:t>
      </w:r>
      <w:r w:rsidR="003467E3" w:rsidRPr="00B4003A">
        <w:rPr>
          <w:rFonts w:ascii="Century Schoolbook" w:hAnsi="Century Schoolbook"/>
        </w:rPr>
        <w:t>a</w:t>
      </w:r>
      <w:r w:rsidR="00DE2482" w:rsidRPr="00B4003A">
        <w:rPr>
          <w:rFonts w:ascii="Century Schoolbook" w:hAnsi="Century Schoolbook"/>
        </w:rPr>
        <w:t xml:space="preserve"> </w:t>
      </w:r>
      <w:r w:rsidR="003467E3" w:rsidRPr="00B4003A">
        <w:rPr>
          <w:rFonts w:ascii="Century Schoolbook" w:hAnsi="Century Schoolbook"/>
        </w:rPr>
        <w:t>Consulta</w:t>
      </w:r>
      <w:r w:rsidR="00C11531" w:rsidRPr="00B4003A">
        <w:rPr>
          <w:rStyle w:val="Rimandonotaapidipagina"/>
          <w:rFonts w:ascii="Century Schoolbook" w:hAnsi="Century Schoolbook"/>
        </w:rPr>
        <w:footnoteReference w:id="6"/>
      </w:r>
      <w:r w:rsidR="003467E3" w:rsidRPr="00B4003A">
        <w:rPr>
          <w:rFonts w:ascii="Century Schoolbook" w:hAnsi="Century Schoolbook"/>
        </w:rPr>
        <w:t xml:space="preserve">. </w:t>
      </w:r>
    </w:p>
    <w:p w14:paraId="2001B478" w14:textId="60123F79" w:rsidR="00C41895" w:rsidRPr="00B4003A" w:rsidRDefault="003467E3" w:rsidP="00BD0A9B">
      <w:pPr>
        <w:spacing w:line="360" w:lineRule="auto"/>
        <w:ind w:firstLine="709"/>
        <w:contextualSpacing/>
        <w:jc w:val="both"/>
        <w:rPr>
          <w:rFonts w:ascii="Century Schoolbook" w:hAnsi="Century Schoolbook"/>
        </w:rPr>
      </w:pPr>
      <w:r w:rsidRPr="00B4003A">
        <w:rPr>
          <w:rFonts w:ascii="Century Schoolbook" w:hAnsi="Century Schoolbook"/>
        </w:rPr>
        <w:t>Dic</w:t>
      </w:r>
      <w:r w:rsidR="007577F1" w:rsidRPr="00B4003A">
        <w:rPr>
          <w:rFonts w:ascii="Century Schoolbook" w:hAnsi="Century Schoolbook"/>
        </w:rPr>
        <w:t>evano</w:t>
      </w:r>
      <w:r w:rsidRPr="00B4003A">
        <w:rPr>
          <w:rFonts w:ascii="Century Schoolbook" w:hAnsi="Century Schoolbook"/>
        </w:rPr>
        <w:t xml:space="preserve"> ben</w:t>
      </w:r>
      <w:r w:rsidR="001256BC" w:rsidRPr="00B4003A">
        <w:rPr>
          <w:rFonts w:ascii="Century Schoolbook" w:hAnsi="Century Schoolbook"/>
        </w:rPr>
        <w:t>e</w:t>
      </w:r>
      <w:r w:rsidRPr="00B4003A">
        <w:rPr>
          <w:rFonts w:ascii="Century Schoolbook" w:hAnsi="Century Schoolbook"/>
        </w:rPr>
        <w:t xml:space="preserve"> </w:t>
      </w:r>
      <w:proofErr w:type="spellStart"/>
      <w:r w:rsidR="00DE2482" w:rsidRPr="00B4003A">
        <w:rPr>
          <w:rFonts w:ascii="Century Schoolbook" w:hAnsi="Century Schoolbook"/>
        </w:rPr>
        <w:t>Cerulli</w:t>
      </w:r>
      <w:proofErr w:type="spellEnd"/>
      <w:r w:rsidR="000A6728" w:rsidRPr="00B4003A">
        <w:rPr>
          <w:rFonts w:ascii="Century Schoolbook" w:hAnsi="Century Schoolbook"/>
        </w:rPr>
        <w:t xml:space="preserve"> Irelli e De Lucia</w:t>
      </w:r>
      <w:r w:rsidRPr="00B4003A">
        <w:rPr>
          <w:rFonts w:ascii="Century Schoolbook" w:hAnsi="Century Schoolbook"/>
        </w:rPr>
        <w:t xml:space="preserve"> già nel 2009</w:t>
      </w:r>
      <w:r w:rsidR="007577F1" w:rsidRPr="00B4003A">
        <w:rPr>
          <w:rStyle w:val="Rimandonotaapidipagina"/>
          <w:rFonts w:ascii="Century Schoolbook" w:hAnsi="Century Schoolbook"/>
        </w:rPr>
        <w:footnoteReference w:id="7"/>
      </w:r>
      <w:r w:rsidR="00DE2482" w:rsidRPr="00B4003A">
        <w:rPr>
          <w:rFonts w:ascii="Century Schoolbook" w:hAnsi="Century Schoolbook"/>
        </w:rPr>
        <w:t xml:space="preserve">: </w:t>
      </w:r>
      <w:r w:rsidR="002768A0" w:rsidRPr="00B4003A">
        <w:rPr>
          <w:rFonts w:ascii="Century Schoolbook" w:hAnsi="Century Schoolbook"/>
        </w:rPr>
        <w:t xml:space="preserve">in quella storia </w:t>
      </w:r>
      <w:r w:rsidR="00EE384C" w:rsidRPr="00B4003A">
        <w:rPr>
          <w:rFonts w:ascii="Century Schoolbook" w:hAnsi="Century Schoolbook"/>
        </w:rPr>
        <w:t xml:space="preserve">– cito </w:t>
      </w:r>
      <w:r w:rsidR="00C06FD9" w:rsidRPr="00B4003A">
        <w:rPr>
          <w:rFonts w:ascii="Century Schoolbook" w:hAnsi="Century Schoolbook"/>
        </w:rPr>
        <w:t>fedelmente</w:t>
      </w:r>
      <w:r w:rsidR="00EE384C" w:rsidRPr="00B4003A">
        <w:rPr>
          <w:rFonts w:ascii="Century Schoolbook" w:hAnsi="Century Schoolbook"/>
        </w:rPr>
        <w:t xml:space="preserve"> – </w:t>
      </w:r>
      <w:r w:rsidRPr="00B4003A">
        <w:rPr>
          <w:rFonts w:ascii="Century Schoolbook" w:hAnsi="Century Schoolbook"/>
        </w:rPr>
        <w:t xml:space="preserve">regnano </w:t>
      </w:r>
      <w:r w:rsidR="0033465F" w:rsidRPr="00B4003A">
        <w:rPr>
          <w:rFonts w:ascii="Century Schoolbook" w:hAnsi="Century Schoolbook"/>
        </w:rPr>
        <w:t>«</w:t>
      </w:r>
      <w:r w:rsidR="00533991" w:rsidRPr="00B4003A">
        <w:rPr>
          <w:rFonts w:ascii="Century Schoolbook" w:hAnsi="Century Schoolbook"/>
        </w:rPr>
        <w:t>furbizia</w:t>
      </w:r>
      <w:r w:rsidR="0033465F" w:rsidRPr="00B4003A">
        <w:rPr>
          <w:rFonts w:ascii="Century Schoolbook" w:hAnsi="Century Schoolbook"/>
        </w:rPr>
        <w:t>»</w:t>
      </w:r>
      <w:r w:rsidR="000A6728" w:rsidRPr="00B4003A">
        <w:rPr>
          <w:rFonts w:ascii="Century Schoolbook" w:hAnsi="Century Schoolbook"/>
        </w:rPr>
        <w:t>,</w:t>
      </w:r>
      <w:r w:rsidR="00533991" w:rsidRPr="00B4003A">
        <w:rPr>
          <w:rFonts w:ascii="Century Schoolbook" w:hAnsi="Century Schoolbook"/>
        </w:rPr>
        <w:t xml:space="preserve"> </w:t>
      </w:r>
      <w:r w:rsidR="0033465F" w:rsidRPr="00B4003A">
        <w:rPr>
          <w:rFonts w:ascii="Century Schoolbook" w:hAnsi="Century Schoolbook"/>
        </w:rPr>
        <w:t>«</w:t>
      </w:r>
      <w:r w:rsidR="00533991" w:rsidRPr="00B4003A">
        <w:rPr>
          <w:rFonts w:ascii="Century Schoolbook" w:hAnsi="Century Schoolbook"/>
        </w:rPr>
        <w:t>incoscienza</w:t>
      </w:r>
      <w:r w:rsidR="0033465F" w:rsidRPr="00B4003A">
        <w:rPr>
          <w:rFonts w:ascii="Century Schoolbook" w:hAnsi="Century Schoolbook"/>
        </w:rPr>
        <w:t>»</w:t>
      </w:r>
      <w:r w:rsidR="000A6728" w:rsidRPr="00B4003A">
        <w:rPr>
          <w:rFonts w:ascii="Century Schoolbook" w:hAnsi="Century Schoolbook"/>
        </w:rPr>
        <w:t>,</w:t>
      </w:r>
      <w:r w:rsidR="00533991" w:rsidRPr="00B4003A">
        <w:rPr>
          <w:rFonts w:ascii="Century Schoolbook" w:hAnsi="Century Schoolbook"/>
        </w:rPr>
        <w:t xml:space="preserve"> </w:t>
      </w:r>
      <w:r w:rsidR="0033465F" w:rsidRPr="00B4003A">
        <w:rPr>
          <w:rFonts w:ascii="Century Schoolbook" w:hAnsi="Century Schoolbook"/>
        </w:rPr>
        <w:t>«</w:t>
      </w:r>
      <w:r w:rsidR="000A6728" w:rsidRPr="00B4003A">
        <w:rPr>
          <w:rFonts w:ascii="Century Schoolbook" w:hAnsi="Century Schoolbook"/>
        </w:rPr>
        <w:t>s</w:t>
      </w:r>
      <w:r w:rsidR="00533991" w:rsidRPr="00B4003A">
        <w:rPr>
          <w:rFonts w:ascii="Century Schoolbook" w:hAnsi="Century Schoolbook"/>
        </w:rPr>
        <w:t>ciatteria</w:t>
      </w:r>
      <w:r w:rsidR="0033465F" w:rsidRPr="00B4003A">
        <w:rPr>
          <w:rFonts w:ascii="Century Schoolbook" w:hAnsi="Century Schoolbook"/>
        </w:rPr>
        <w:t>»</w:t>
      </w:r>
      <w:r w:rsidR="00533991" w:rsidRPr="00B4003A">
        <w:rPr>
          <w:rFonts w:ascii="Century Schoolbook" w:hAnsi="Century Schoolbook"/>
        </w:rPr>
        <w:t xml:space="preserve">, </w:t>
      </w:r>
      <w:r w:rsidR="0033465F" w:rsidRPr="00B4003A">
        <w:rPr>
          <w:rFonts w:ascii="Century Schoolbook" w:hAnsi="Century Schoolbook"/>
        </w:rPr>
        <w:t>«</w:t>
      </w:r>
      <w:r w:rsidR="00533991" w:rsidRPr="00B4003A">
        <w:rPr>
          <w:rFonts w:ascii="Century Schoolbook" w:hAnsi="Century Schoolbook"/>
        </w:rPr>
        <w:t>superficialità</w:t>
      </w:r>
      <w:r w:rsidR="0033465F" w:rsidRPr="00B4003A">
        <w:rPr>
          <w:rFonts w:ascii="Century Schoolbook" w:hAnsi="Century Schoolbook"/>
        </w:rPr>
        <w:t>»</w:t>
      </w:r>
      <w:r w:rsidR="000A6728" w:rsidRPr="00B4003A">
        <w:rPr>
          <w:rFonts w:ascii="Century Schoolbook" w:hAnsi="Century Schoolbook"/>
        </w:rPr>
        <w:t xml:space="preserve">, </w:t>
      </w:r>
      <w:r w:rsidR="0033465F" w:rsidRPr="00B4003A">
        <w:rPr>
          <w:rFonts w:ascii="Century Schoolbook" w:hAnsi="Century Schoolbook"/>
        </w:rPr>
        <w:t>«</w:t>
      </w:r>
      <w:r w:rsidR="00533991" w:rsidRPr="00B4003A">
        <w:rPr>
          <w:rFonts w:ascii="Century Schoolbook" w:hAnsi="Century Schoolbook"/>
        </w:rPr>
        <w:t>insensibilità istituzionale</w:t>
      </w:r>
      <w:r w:rsidR="0033465F" w:rsidRPr="00B4003A">
        <w:rPr>
          <w:rFonts w:ascii="Century Schoolbook" w:hAnsi="Century Schoolbook"/>
        </w:rPr>
        <w:t>»</w:t>
      </w:r>
      <w:r w:rsidR="000A6728" w:rsidRPr="00B4003A">
        <w:rPr>
          <w:rFonts w:ascii="Century Schoolbook" w:hAnsi="Century Schoolbook"/>
        </w:rPr>
        <w:t>,</w:t>
      </w:r>
      <w:r w:rsidR="00533991" w:rsidRPr="00B4003A">
        <w:rPr>
          <w:rFonts w:ascii="Century Schoolbook" w:hAnsi="Century Schoolbook"/>
        </w:rPr>
        <w:t xml:space="preserve"> </w:t>
      </w:r>
      <w:r w:rsidR="0033465F" w:rsidRPr="00B4003A">
        <w:rPr>
          <w:rFonts w:ascii="Century Schoolbook" w:hAnsi="Century Schoolbook"/>
        </w:rPr>
        <w:t>«</w:t>
      </w:r>
      <w:r w:rsidR="00DE2482" w:rsidRPr="00B4003A">
        <w:rPr>
          <w:rFonts w:ascii="Century Schoolbook" w:hAnsi="Century Schoolbook"/>
        </w:rPr>
        <w:t>impostura</w:t>
      </w:r>
      <w:r w:rsidR="00201570" w:rsidRPr="00B4003A">
        <w:rPr>
          <w:rFonts w:ascii="Century Schoolbook" w:hAnsi="Century Schoolbook"/>
        </w:rPr>
        <w:t xml:space="preserve"> </w:t>
      </w:r>
      <w:r w:rsidR="0033465F" w:rsidRPr="00B4003A">
        <w:rPr>
          <w:rFonts w:ascii="Century Schoolbook" w:hAnsi="Century Schoolbook"/>
        </w:rPr>
        <w:t xml:space="preserve">[…] </w:t>
      </w:r>
      <w:r w:rsidR="00201570" w:rsidRPr="00B4003A">
        <w:rPr>
          <w:rFonts w:ascii="Century Schoolbook" w:hAnsi="Century Schoolbook"/>
        </w:rPr>
        <w:t>a spese del territorio</w:t>
      </w:r>
      <w:r w:rsidR="0033465F" w:rsidRPr="00B4003A">
        <w:rPr>
          <w:rFonts w:ascii="Century Schoolbook" w:hAnsi="Century Schoolbook"/>
        </w:rPr>
        <w:t>»</w:t>
      </w:r>
      <w:r w:rsidR="00EE384C" w:rsidRPr="00B4003A">
        <w:rPr>
          <w:rFonts w:ascii="Century Schoolbook" w:hAnsi="Century Schoolbook"/>
        </w:rPr>
        <w:t>. E</w:t>
      </w:r>
      <w:r w:rsidR="0033465F" w:rsidRPr="00B4003A">
        <w:rPr>
          <w:rFonts w:ascii="Century Schoolbook" w:hAnsi="Century Schoolbook"/>
        </w:rPr>
        <w:t xml:space="preserve"> – soggiungono </w:t>
      </w:r>
      <w:r w:rsidR="00FF0056" w:rsidRPr="00B4003A">
        <w:rPr>
          <w:rFonts w:ascii="Century Schoolbook" w:hAnsi="Century Schoolbook"/>
        </w:rPr>
        <w:t xml:space="preserve">in sostanza </w:t>
      </w:r>
      <w:r w:rsidR="0033465F" w:rsidRPr="00B4003A">
        <w:rPr>
          <w:rFonts w:ascii="Century Schoolbook" w:hAnsi="Century Schoolbook"/>
        </w:rPr>
        <w:t>–</w:t>
      </w:r>
      <w:r w:rsidR="00C17937" w:rsidRPr="00B4003A">
        <w:rPr>
          <w:rFonts w:ascii="Century Schoolbook" w:hAnsi="Century Schoolbook"/>
        </w:rPr>
        <w:t xml:space="preserve"> </w:t>
      </w:r>
      <w:r w:rsidR="00C06FD9" w:rsidRPr="00B4003A">
        <w:rPr>
          <w:rFonts w:ascii="Century Schoolbook" w:hAnsi="Century Schoolbook"/>
        </w:rPr>
        <w:t xml:space="preserve">agisce </w:t>
      </w:r>
      <w:r w:rsidR="00FF0056" w:rsidRPr="00B4003A">
        <w:rPr>
          <w:rFonts w:ascii="Century Schoolbook" w:hAnsi="Century Schoolbook"/>
        </w:rPr>
        <w:t xml:space="preserve">una sorta di </w:t>
      </w:r>
      <w:r w:rsidR="0033465F" w:rsidRPr="00B4003A">
        <w:rPr>
          <w:rFonts w:ascii="Century Schoolbook" w:hAnsi="Century Schoolbook"/>
        </w:rPr>
        <w:t xml:space="preserve">legittimazione </w:t>
      </w:r>
      <w:proofErr w:type="spellStart"/>
      <w:r w:rsidR="00C17937" w:rsidRPr="00B4003A">
        <w:rPr>
          <w:rFonts w:ascii="Century Schoolbook" w:hAnsi="Century Schoolbook"/>
        </w:rPr>
        <w:t>paranazista</w:t>
      </w:r>
      <w:proofErr w:type="spellEnd"/>
      <w:r w:rsidR="00C17937" w:rsidRPr="00B4003A">
        <w:rPr>
          <w:rFonts w:ascii="Century Schoolbook" w:hAnsi="Century Schoolbook"/>
        </w:rPr>
        <w:t xml:space="preserve"> </w:t>
      </w:r>
      <w:r w:rsidR="00FF0056" w:rsidRPr="00B4003A">
        <w:rPr>
          <w:rFonts w:ascii="Century Schoolbook" w:hAnsi="Century Schoolbook"/>
        </w:rPr>
        <w:t xml:space="preserve">e </w:t>
      </w:r>
      <w:proofErr w:type="spellStart"/>
      <w:r w:rsidRPr="00B4003A">
        <w:rPr>
          <w:rFonts w:ascii="Century Schoolbook" w:hAnsi="Century Schoolbook"/>
        </w:rPr>
        <w:t>controcostituzionale</w:t>
      </w:r>
      <w:proofErr w:type="spellEnd"/>
      <w:r w:rsidR="00C17937" w:rsidRPr="00B4003A">
        <w:rPr>
          <w:rFonts w:ascii="Century Schoolbook" w:hAnsi="Century Schoolbook"/>
        </w:rPr>
        <w:t xml:space="preserve"> d</w:t>
      </w:r>
      <w:r w:rsidR="0010022C" w:rsidRPr="00B4003A">
        <w:rPr>
          <w:rFonts w:ascii="Century Schoolbook" w:hAnsi="Century Schoolbook"/>
        </w:rPr>
        <w:t>egli istinti predatori</w:t>
      </w:r>
      <w:r w:rsidR="00C17937" w:rsidRPr="00B4003A">
        <w:rPr>
          <w:rFonts w:ascii="Century Schoolbook" w:hAnsi="Century Schoolbook"/>
        </w:rPr>
        <w:t xml:space="preserve"> </w:t>
      </w:r>
      <w:r w:rsidR="00C06FD9" w:rsidRPr="00B4003A">
        <w:rPr>
          <w:rFonts w:ascii="Century Schoolbook" w:hAnsi="Century Schoolbook"/>
        </w:rPr>
        <w:t>nei confronti del territorio</w:t>
      </w:r>
      <w:r w:rsidR="0010022C" w:rsidRPr="00B4003A">
        <w:rPr>
          <w:rFonts w:ascii="Century Schoolbook" w:hAnsi="Century Schoolbook"/>
        </w:rPr>
        <w:t>, la cui presenza</w:t>
      </w:r>
      <w:r w:rsidR="005E324E" w:rsidRPr="00B4003A">
        <w:rPr>
          <w:rFonts w:ascii="Century Schoolbook" w:hAnsi="Century Schoolbook"/>
        </w:rPr>
        <w:t xml:space="preserve"> attiva</w:t>
      </w:r>
      <w:r w:rsidR="0010022C" w:rsidRPr="00B4003A">
        <w:rPr>
          <w:rFonts w:ascii="Century Schoolbook" w:hAnsi="Century Schoolbook"/>
        </w:rPr>
        <w:t xml:space="preserve"> è </w:t>
      </w:r>
      <w:r w:rsidR="00C17937" w:rsidRPr="00B4003A">
        <w:rPr>
          <w:rFonts w:ascii="Century Schoolbook" w:hAnsi="Century Schoolbook"/>
        </w:rPr>
        <w:t xml:space="preserve">dimostrata dall’ampio consenso </w:t>
      </w:r>
      <w:r w:rsidR="005E324E" w:rsidRPr="00B4003A">
        <w:rPr>
          <w:rFonts w:ascii="Century Schoolbook" w:hAnsi="Century Schoolbook"/>
        </w:rPr>
        <w:t xml:space="preserve">sociale </w:t>
      </w:r>
      <w:r w:rsidR="00C06FD9" w:rsidRPr="00B4003A">
        <w:rPr>
          <w:rFonts w:ascii="Century Schoolbook" w:hAnsi="Century Schoolbook"/>
        </w:rPr>
        <w:t>che il</w:t>
      </w:r>
      <w:r w:rsidR="00C17937" w:rsidRPr="00B4003A">
        <w:rPr>
          <w:rFonts w:ascii="Century Schoolbook" w:hAnsi="Century Schoolbook"/>
        </w:rPr>
        <w:t xml:space="preserve"> </w:t>
      </w:r>
      <w:r w:rsidR="00C06FD9" w:rsidRPr="00B4003A">
        <w:rPr>
          <w:rFonts w:ascii="Century Schoolbook" w:hAnsi="Century Schoolbook"/>
        </w:rPr>
        <w:t>“</w:t>
      </w:r>
      <w:r w:rsidR="00C17937" w:rsidRPr="00B4003A">
        <w:rPr>
          <w:rFonts w:ascii="Century Schoolbook" w:hAnsi="Century Schoolbook"/>
        </w:rPr>
        <w:t>piano</w:t>
      </w:r>
      <w:r w:rsidR="00C06FD9" w:rsidRPr="00B4003A">
        <w:rPr>
          <w:rFonts w:ascii="Century Schoolbook" w:hAnsi="Century Schoolbook"/>
        </w:rPr>
        <w:t>”</w:t>
      </w:r>
      <w:r w:rsidR="00C17937" w:rsidRPr="00B4003A">
        <w:rPr>
          <w:rFonts w:ascii="Century Schoolbook" w:hAnsi="Century Schoolbook"/>
        </w:rPr>
        <w:t xml:space="preserve"> casa</w:t>
      </w:r>
      <w:r w:rsidR="00C06FD9" w:rsidRPr="00B4003A">
        <w:rPr>
          <w:rFonts w:ascii="Century Schoolbook" w:hAnsi="Century Schoolbook"/>
        </w:rPr>
        <w:t xml:space="preserve"> si è subito conquistato</w:t>
      </w:r>
      <w:r w:rsidR="005E324E" w:rsidRPr="00B4003A">
        <w:rPr>
          <w:rStyle w:val="Rimandonotaapidipagina"/>
          <w:rFonts w:ascii="Century Schoolbook" w:hAnsi="Century Schoolbook"/>
        </w:rPr>
        <w:footnoteReference w:id="8"/>
      </w:r>
      <w:r w:rsidR="00DE2482" w:rsidRPr="00B4003A">
        <w:rPr>
          <w:rFonts w:ascii="Century Schoolbook" w:hAnsi="Century Schoolbook"/>
        </w:rPr>
        <w:t>.</w:t>
      </w:r>
    </w:p>
    <w:p w14:paraId="77A74C9B" w14:textId="77777777" w:rsidR="000A6728" w:rsidRPr="00B4003A" w:rsidRDefault="000A6728" w:rsidP="00BD0A9B">
      <w:pPr>
        <w:spacing w:line="360" w:lineRule="auto"/>
        <w:ind w:firstLine="709"/>
        <w:contextualSpacing/>
        <w:rPr>
          <w:rFonts w:ascii="Century Schoolbook" w:hAnsi="Century Schoolbook"/>
        </w:rPr>
      </w:pPr>
    </w:p>
    <w:p w14:paraId="3EF44400" w14:textId="463B935D" w:rsidR="00421FD8" w:rsidRPr="00B4003A" w:rsidRDefault="00DE2482"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2.- </w:t>
      </w:r>
      <w:r w:rsidR="00421FD8" w:rsidRPr="00B4003A">
        <w:rPr>
          <w:rFonts w:ascii="Century Schoolbook" w:hAnsi="Century Schoolbook"/>
        </w:rPr>
        <w:t xml:space="preserve">Scelgo </w:t>
      </w:r>
      <w:r w:rsidR="00C06FD9" w:rsidRPr="00B4003A">
        <w:rPr>
          <w:rFonts w:ascii="Century Schoolbook" w:hAnsi="Century Schoolbook"/>
        </w:rPr>
        <w:t xml:space="preserve">invece </w:t>
      </w:r>
      <w:r w:rsidR="00421FD8" w:rsidRPr="00B4003A">
        <w:rPr>
          <w:rFonts w:ascii="Century Schoolbook" w:hAnsi="Century Schoolbook"/>
        </w:rPr>
        <w:t xml:space="preserve">un altro </w:t>
      </w:r>
      <w:r w:rsidR="00C06FD9" w:rsidRPr="00B4003A">
        <w:rPr>
          <w:rFonts w:ascii="Century Schoolbook" w:hAnsi="Century Schoolbook"/>
        </w:rPr>
        <w:t>caso d’</w:t>
      </w:r>
      <w:r w:rsidR="00201570" w:rsidRPr="00B4003A">
        <w:rPr>
          <w:rFonts w:ascii="Century Schoolbook" w:hAnsi="Century Schoolbook"/>
        </w:rPr>
        <w:t>attacco al</w:t>
      </w:r>
      <w:r w:rsidR="004A4D14" w:rsidRPr="00B4003A">
        <w:rPr>
          <w:rFonts w:ascii="Century Schoolbook" w:hAnsi="Century Schoolbook"/>
        </w:rPr>
        <w:t xml:space="preserve">l’ordinata governazione del </w:t>
      </w:r>
      <w:r w:rsidR="00421FD8" w:rsidRPr="00B4003A">
        <w:rPr>
          <w:rFonts w:ascii="Century Schoolbook" w:hAnsi="Century Schoolbook"/>
        </w:rPr>
        <w:t>territorio, più grave</w:t>
      </w:r>
      <w:r w:rsidR="002F21A0" w:rsidRPr="00B4003A">
        <w:rPr>
          <w:rFonts w:ascii="Century Schoolbook" w:hAnsi="Century Schoolbook"/>
        </w:rPr>
        <w:t xml:space="preserve"> ancora</w:t>
      </w:r>
      <w:r w:rsidR="00421FD8" w:rsidRPr="00B4003A">
        <w:rPr>
          <w:rFonts w:ascii="Century Schoolbook" w:hAnsi="Century Schoolbook"/>
        </w:rPr>
        <w:t>: l</w:t>
      </w:r>
      <w:r w:rsidR="001C408C" w:rsidRPr="00B4003A">
        <w:rPr>
          <w:rFonts w:ascii="Century Schoolbook" w:hAnsi="Century Schoolbook"/>
        </w:rPr>
        <w:t>’inaccettabile</w:t>
      </w:r>
      <w:r w:rsidR="00421FD8" w:rsidRPr="00B4003A">
        <w:rPr>
          <w:rFonts w:ascii="Century Schoolbook" w:hAnsi="Century Schoolbook"/>
        </w:rPr>
        <w:t xml:space="preserve"> frammentazione regionalista degli standard. </w:t>
      </w:r>
    </w:p>
    <w:p w14:paraId="3CE294C3" w14:textId="43A4D1EE" w:rsidR="00421FD8" w:rsidRPr="00B4003A" w:rsidRDefault="00152555"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Riascoltiamo </w:t>
      </w:r>
      <w:r w:rsidR="002F21A0" w:rsidRPr="00B4003A">
        <w:rPr>
          <w:rFonts w:ascii="Century Schoolbook" w:hAnsi="Century Schoolbook"/>
        </w:rPr>
        <w:t xml:space="preserve">per un attimo </w:t>
      </w:r>
      <w:r w:rsidR="004A4D14" w:rsidRPr="00B4003A">
        <w:rPr>
          <w:rFonts w:ascii="Century Schoolbook" w:hAnsi="Century Schoolbook"/>
        </w:rPr>
        <w:t xml:space="preserve">quella parola, onde percepirne </w:t>
      </w:r>
      <w:r w:rsidRPr="00B4003A">
        <w:rPr>
          <w:rFonts w:ascii="Century Schoolbook" w:hAnsi="Century Schoolbook"/>
        </w:rPr>
        <w:t>il senso profondo: s</w:t>
      </w:r>
      <w:r w:rsidR="00421FD8" w:rsidRPr="00B4003A">
        <w:rPr>
          <w:rFonts w:ascii="Century Schoolbook" w:hAnsi="Century Schoolbook"/>
        </w:rPr>
        <w:t xml:space="preserve">tandard </w:t>
      </w:r>
      <w:r w:rsidRPr="00B4003A">
        <w:rPr>
          <w:rFonts w:ascii="Century Schoolbook" w:hAnsi="Century Schoolbook"/>
        </w:rPr>
        <w:t>è</w:t>
      </w:r>
      <w:r w:rsidR="00421FD8" w:rsidRPr="00B4003A">
        <w:rPr>
          <w:rFonts w:ascii="Century Schoolbook" w:hAnsi="Century Schoolbook"/>
        </w:rPr>
        <w:t xml:space="preserve"> </w:t>
      </w:r>
      <w:r w:rsidR="00421FD8" w:rsidRPr="00B4003A">
        <w:rPr>
          <w:rFonts w:ascii="Century Schoolbook" w:hAnsi="Century Schoolbook"/>
          <w:i/>
          <w:iCs/>
        </w:rPr>
        <w:t>stendardo</w:t>
      </w:r>
      <w:r w:rsidR="00421FD8" w:rsidRPr="00B4003A">
        <w:rPr>
          <w:rFonts w:ascii="Century Schoolbook" w:hAnsi="Century Schoolbook"/>
        </w:rPr>
        <w:t xml:space="preserve">, </w:t>
      </w:r>
      <w:r w:rsidR="00421FD8" w:rsidRPr="00B4003A">
        <w:rPr>
          <w:rFonts w:ascii="Century Schoolbook" w:hAnsi="Century Schoolbook"/>
          <w:i/>
          <w:iCs/>
        </w:rPr>
        <w:t>vessillo</w:t>
      </w:r>
      <w:r w:rsidRPr="00B4003A">
        <w:rPr>
          <w:rFonts w:ascii="Century Schoolbook" w:hAnsi="Century Schoolbook"/>
        </w:rPr>
        <w:t>;</w:t>
      </w:r>
      <w:r w:rsidR="00421FD8" w:rsidRPr="00B4003A">
        <w:rPr>
          <w:rFonts w:ascii="Century Schoolbook" w:hAnsi="Century Schoolbook"/>
        </w:rPr>
        <w:t xml:space="preserve"> </w:t>
      </w:r>
      <w:r w:rsidRPr="00B4003A">
        <w:rPr>
          <w:rFonts w:ascii="Century Schoolbook" w:hAnsi="Century Schoolbook"/>
        </w:rPr>
        <w:t xml:space="preserve">dunque </w:t>
      </w:r>
      <w:r w:rsidR="00421FD8" w:rsidRPr="00B4003A">
        <w:rPr>
          <w:rFonts w:ascii="Century Schoolbook" w:hAnsi="Century Schoolbook"/>
        </w:rPr>
        <w:t>simbolo</w:t>
      </w:r>
      <w:r w:rsidRPr="00B4003A">
        <w:rPr>
          <w:rFonts w:ascii="Century Schoolbook" w:hAnsi="Century Schoolbook"/>
        </w:rPr>
        <w:t>.</w:t>
      </w:r>
      <w:r w:rsidR="00421FD8" w:rsidRPr="00B4003A">
        <w:rPr>
          <w:rFonts w:ascii="Century Schoolbook" w:hAnsi="Century Schoolbook"/>
        </w:rPr>
        <w:t xml:space="preserve"> </w:t>
      </w:r>
      <w:r w:rsidRPr="00B4003A">
        <w:rPr>
          <w:rFonts w:ascii="Century Schoolbook" w:hAnsi="Century Schoolbook"/>
        </w:rPr>
        <w:t xml:space="preserve">Nel nostro caso, simbolo </w:t>
      </w:r>
      <w:r w:rsidR="00421FD8" w:rsidRPr="00B4003A">
        <w:rPr>
          <w:rFonts w:ascii="Century Schoolbook" w:hAnsi="Century Schoolbook"/>
        </w:rPr>
        <w:t xml:space="preserve">di </w:t>
      </w:r>
      <w:r w:rsidR="00421FD8" w:rsidRPr="00B4003A">
        <w:rPr>
          <w:rFonts w:ascii="Century Schoolbook" w:hAnsi="Century Schoolbook"/>
          <w:i/>
          <w:iCs/>
        </w:rPr>
        <w:t>civiltà</w:t>
      </w:r>
      <w:r w:rsidRPr="00B4003A">
        <w:rPr>
          <w:rFonts w:ascii="Century Schoolbook" w:hAnsi="Century Schoolbook"/>
        </w:rPr>
        <w:t xml:space="preserve">, lemma nobilissimo che ha lo </w:t>
      </w:r>
      <w:r w:rsidR="00421FD8" w:rsidRPr="00B4003A">
        <w:rPr>
          <w:rFonts w:ascii="Century Schoolbook" w:hAnsi="Century Schoolbook"/>
        </w:rPr>
        <w:t xml:space="preserve">stesso etimo di </w:t>
      </w:r>
      <w:r w:rsidR="00421FD8" w:rsidRPr="00B4003A">
        <w:rPr>
          <w:rFonts w:ascii="Century Schoolbook" w:hAnsi="Century Schoolbook"/>
          <w:i/>
          <w:iCs/>
        </w:rPr>
        <w:t>città</w:t>
      </w:r>
      <w:r w:rsidR="00421FD8" w:rsidRPr="00B4003A">
        <w:rPr>
          <w:rFonts w:ascii="Century Schoolbook" w:hAnsi="Century Schoolbook"/>
        </w:rPr>
        <w:t xml:space="preserve">. </w:t>
      </w:r>
    </w:p>
    <w:p w14:paraId="465708E7" w14:textId="77777777" w:rsidR="009F44AE" w:rsidRPr="00B4003A" w:rsidRDefault="006C4111" w:rsidP="00BD0A9B">
      <w:pPr>
        <w:spacing w:line="360" w:lineRule="auto"/>
        <w:ind w:firstLine="709"/>
        <w:contextualSpacing/>
        <w:jc w:val="both"/>
        <w:rPr>
          <w:rFonts w:ascii="Century Schoolbook" w:hAnsi="Century Schoolbook"/>
        </w:rPr>
      </w:pPr>
      <w:r w:rsidRPr="00B4003A">
        <w:rPr>
          <w:rFonts w:ascii="Century Schoolbook" w:hAnsi="Century Schoolbook"/>
        </w:rPr>
        <w:t>Come tutti sanno, i</w:t>
      </w:r>
      <w:r w:rsidR="00421FD8" w:rsidRPr="00B4003A">
        <w:rPr>
          <w:rFonts w:ascii="Century Schoolbook" w:hAnsi="Century Schoolbook"/>
        </w:rPr>
        <w:t xml:space="preserve">l glorioso d.m. </w:t>
      </w:r>
      <w:r w:rsidRPr="00B4003A">
        <w:rPr>
          <w:rFonts w:ascii="Century Schoolbook" w:hAnsi="Century Schoolbook"/>
        </w:rPr>
        <w:t xml:space="preserve">n. </w:t>
      </w:r>
      <w:r w:rsidR="00421FD8" w:rsidRPr="00B4003A">
        <w:rPr>
          <w:rFonts w:ascii="Century Schoolbook" w:hAnsi="Century Schoolbook"/>
        </w:rPr>
        <w:t>1444/’68</w:t>
      </w:r>
      <w:r w:rsidR="002F21A0" w:rsidRPr="00B4003A">
        <w:rPr>
          <w:rStyle w:val="Rimandonotaapidipagina"/>
          <w:rFonts w:ascii="Century Schoolbook" w:hAnsi="Century Schoolbook"/>
        </w:rPr>
        <w:footnoteReference w:id="9"/>
      </w:r>
      <w:r w:rsidR="00421FD8" w:rsidRPr="00B4003A">
        <w:rPr>
          <w:rFonts w:ascii="Century Schoolbook" w:hAnsi="Century Schoolbook"/>
        </w:rPr>
        <w:t xml:space="preserve"> è l’unico </w:t>
      </w:r>
      <w:r w:rsidR="009804D5" w:rsidRPr="00B4003A">
        <w:rPr>
          <w:rFonts w:ascii="Century Schoolbook" w:hAnsi="Century Schoolbook"/>
          <w:i/>
          <w:iCs/>
        </w:rPr>
        <w:t>corpus</w:t>
      </w:r>
      <w:r w:rsidR="009804D5" w:rsidRPr="00B4003A">
        <w:rPr>
          <w:rFonts w:ascii="Century Schoolbook" w:hAnsi="Century Schoolbook"/>
        </w:rPr>
        <w:t xml:space="preserve"> normativo sugli standard </w:t>
      </w:r>
      <w:r w:rsidR="00421FD8" w:rsidRPr="00B4003A">
        <w:rPr>
          <w:rFonts w:ascii="Century Schoolbook" w:hAnsi="Century Schoolbook"/>
        </w:rPr>
        <w:t>di cui l’Italia sia riuscita a dotarsi</w:t>
      </w:r>
      <w:r w:rsidRPr="00B4003A">
        <w:rPr>
          <w:rFonts w:ascii="Century Schoolbook" w:hAnsi="Century Schoolbook"/>
        </w:rPr>
        <w:t>;</w:t>
      </w:r>
      <w:r w:rsidR="009804D5" w:rsidRPr="00B4003A">
        <w:rPr>
          <w:rFonts w:ascii="Century Schoolbook" w:hAnsi="Century Schoolbook"/>
        </w:rPr>
        <w:t xml:space="preserve"> </w:t>
      </w:r>
      <w:r w:rsidR="00715BE4" w:rsidRPr="00B4003A">
        <w:rPr>
          <w:rFonts w:ascii="Century Schoolbook" w:hAnsi="Century Schoolbook"/>
        </w:rPr>
        <w:t xml:space="preserve">peraltro </w:t>
      </w:r>
      <w:r w:rsidR="009804D5" w:rsidRPr="00B4003A">
        <w:rPr>
          <w:rFonts w:ascii="Century Schoolbook" w:hAnsi="Century Schoolbook"/>
        </w:rPr>
        <w:t>con grande fatica.</w:t>
      </w:r>
      <w:r w:rsidR="00715BE4" w:rsidRPr="00B4003A">
        <w:rPr>
          <w:rFonts w:ascii="Century Schoolbook" w:hAnsi="Century Schoolbook"/>
        </w:rPr>
        <w:t xml:space="preserve"> </w:t>
      </w:r>
    </w:p>
    <w:p w14:paraId="3D53F69B" w14:textId="52B14779" w:rsidR="00DE2482" w:rsidRPr="00B4003A" w:rsidRDefault="009A10D9" w:rsidP="00BD0A9B">
      <w:pPr>
        <w:spacing w:line="360" w:lineRule="auto"/>
        <w:ind w:firstLine="709"/>
        <w:contextualSpacing/>
        <w:jc w:val="both"/>
        <w:rPr>
          <w:rFonts w:ascii="Century Schoolbook" w:hAnsi="Century Schoolbook"/>
        </w:rPr>
      </w:pPr>
      <w:r w:rsidRPr="00B4003A">
        <w:rPr>
          <w:rFonts w:ascii="Century Schoolbook" w:hAnsi="Century Schoolbook"/>
        </w:rPr>
        <w:t>Vorrei sbagliarmi,</w:t>
      </w:r>
      <w:r w:rsidR="004F0B03" w:rsidRPr="00B4003A">
        <w:rPr>
          <w:rFonts w:ascii="Century Schoolbook" w:hAnsi="Century Schoolbook"/>
        </w:rPr>
        <w:t xml:space="preserve"> </w:t>
      </w:r>
      <w:r w:rsidRPr="00B4003A">
        <w:rPr>
          <w:rFonts w:ascii="Century Schoolbook" w:hAnsi="Century Schoolbook"/>
        </w:rPr>
        <w:t>ma</w:t>
      </w:r>
      <w:r w:rsidR="004F0B03" w:rsidRPr="00B4003A">
        <w:rPr>
          <w:rFonts w:ascii="Century Schoolbook" w:hAnsi="Century Schoolbook"/>
        </w:rPr>
        <w:t xml:space="preserve"> il testo </w:t>
      </w:r>
      <w:r w:rsidR="006C4111" w:rsidRPr="00B4003A">
        <w:rPr>
          <w:rFonts w:ascii="Century Schoolbook" w:hAnsi="Century Schoolbook"/>
        </w:rPr>
        <w:t xml:space="preserve">di riforma </w:t>
      </w:r>
      <w:r w:rsidR="004F0B03" w:rsidRPr="00B4003A">
        <w:rPr>
          <w:rFonts w:ascii="Century Schoolbook" w:hAnsi="Century Schoolbook"/>
        </w:rPr>
        <w:t xml:space="preserve">che il Gruppo di lavoro ministeriale </w:t>
      </w:r>
      <w:r w:rsidR="00715BE4" w:rsidRPr="00B4003A">
        <w:rPr>
          <w:rFonts w:ascii="Century Schoolbook" w:hAnsi="Century Schoolbook"/>
        </w:rPr>
        <w:t xml:space="preserve">presieduto da Costanza </w:t>
      </w:r>
      <w:r w:rsidR="004F0B03" w:rsidRPr="00B4003A">
        <w:rPr>
          <w:rFonts w:ascii="Century Schoolbook" w:hAnsi="Century Schoolbook"/>
        </w:rPr>
        <w:t>Pera</w:t>
      </w:r>
      <w:r w:rsidR="00715BE4" w:rsidRPr="00B4003A">
        <w:rPr>
          <w:rStyle w:val="Rimandonotaapidipagina"/>
          <w:rFonts w:ascii="Century Schoolbook" w:hAnsi="Century Schoolbook"/>
        </w:rPr>
        <w:footnoteReference w:id="10"/>
      </w:r>
      <w:r w:rsidR="004F0B03" w:rsidRPr="00B4003A">
        <w:rPr>
          <w:rFonts w:ascii="Century Schoolbook" w:hAnsi="Century Schoolbook"/>
        </w:rPr>
        <w:t xml:space="preserve"> ha </w:t>
      </w:r>
      <w:r w:rsidR="006C4111" w:rsidRPr="00B4003A">
        <w:rPr>
          <w:rFonts w:ascii="Century Schoolbook" w:hAnsi="Century Schoolbook"/>
        </w:rPr>
        <w:t>elabor</w:t>
      </w:r>
      <w:r w:rsidR="004F0B03" w:rsidRPr="00B4003A">
        <w:rPr>
          <w:rFonts w:ascii="Century Schoolbook" w:hAnsi="Century Schoolbook"/>
        </w:rPr>
        <w:t xml:space="preserve">ato nel luglio 2019 </w:t>
      </w:r>
      <w:r w:rsidR="009F44AE" w:rsidRPr="00B4003A">
        <w:rPr>
          <w:rFonts w:ascii="Century Schoolbook" w:hAnsi="Century Schoolbook"/>
        </w:rPr>
        <w:t xml:space="preserve">non </w:t>
      </w:r>
      <w:r w:rsidRPr="00B4003A">
        <w:rPr>
          <w:rFonts w:ascii="Century Schoolbook" w:hAnsi="Century Schoolbook"/>
        </w:rPr>
        <w:t xml:space="preserve">credo </w:t>
      </w:r>
      <w:r w:rsidR="004F0B03" w:rsidRPr="00B4003A">
        <w:rPr>
          <w:rFonts w:ascii="Century Schoolbook" w:hAnsi="Century Schoolbook"/>
        </w:rPr>
        <w:t>abbia avuto molto seguito</w:t>
      </w:r>
      <w:r w:rsidRPr="00B4003A">
        <w:rPr>
          <w:rFonts w:ascii="Century Schoolbook" w:hAnsi="Century Schoolbook"/>
        </w:rPr>
        <w:t>:</w:t>
      </w:r>
      <w:r w:rsidR="00EC6441" w:rsidRPr="00B4003A">
        <w:rPr>
          <w:rFonts w:ascii="Century Schoolbook" w:hAnsi="Century Schoolbook"/>
        </w:rPr>
        <w:t xml:space="preserve"> pur essendo gli standard – dice </w:t>
      </w:r>
      <w:r w:rsidRPr="00B4003A">
        <w:rPr>
          <w:rFonts w:ascii="Century Schoolbook" w:hAnsi="Century Schoolbook"/>
        </w:rPr>
        <w:t xml:space="preserve">giustamente </w:t>
      </w:r>
      <w:r w:rsidR="00EC6441" w:rsidRPr="00B4003A">
        <w:rPr>
          <w:rFonts w:ascii="Century Schoolbook" w:hAnsi="Century Schoolbook"/>
        </w:rPr>
        <w:t>la relazione d’accompagnamento – «una garanzia cruciale per la messa in opera di diritti fondamentali dei cittadini».</w:t>
      </w:r>
    </w:p>
    <w:p w14:paraId="51A1C82D" w14:textId="2876A5F8" w:rsidR="000C6DB8" w:rsidRPr="00B4003A" w:rsidRDefault="001A4A67"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Come </w:t>
      </w:r>
      <w:r w:rsidR="006C4111" w:rsidRPr="00B4003A">
        <w:rPr>
          <w:rFonts w:ascii="Century Schoolbook" w:hAnsi="Century Schoolbook"/>
        </w:rPr>
        <w:t xml:space="preserve">pure è a </w:t>
      </w:r>
      <w:r w:rsidRPr="00B4003A">
        <w:rPr>
          <w:rFonts w:ascii="Century Schoolbook" w:hAnsi="Century Schoolbook"/>
        </w:rPr>
        <w:t>tutti no</w:t>
      </w:r>
      <w:r w:rsidR="006C4111" w:rsidRPr="00B4003A">
        <w:rPr>
          <w:rFonts w:ascii="Century Schoolbook" w:hAnsi="Century Schoolbook"/>
        </w:rPr>
        <w:t>to</w:t>
      </w:r>
      <w:r w:rsidRPr="00B4003A">
        <w:rPr>
          <w:rFonts w:ascii="Century Schoolbook" w:hAnsi="Century Schoolbook"/>
        </w:rPr>
        <w:t>, per conquistare quella regolazione bisognerà attendere – cosa tipicamente italiana – le disgrazie di Firenze e di Agrigento</w:t>
      </w:r>
      <w:r w:rsidR="006C4111" w:rsidRPr="00B4003A">
        <w:rPr>
          <w:rFonts w:ascii="Century Schoolbook" w:hAnsi="Century Schoolbook"/>
        </w:rPr>
        <w:t>.</w:t>
      </w:r>
      <w:r w:rsidRPr="00B4003A">
        <w:rPr>
          <w:rFonts w:ascii="Century Schoolbook" w:hAnsi="Century Schoolbook"/>
        </w:rPr>
        <w:t xml:space="preserve"> </w:t>
      </w:r>
      <w:r w:rsidR="006C4111" w:rsidRPr="00B4003A">
        <w:rPr>
          <w:rFonts w:ascii="Century Schoolbook" w:hAnsi="Century Schoolbook"/>
        </w:rPr>
        <w:t>Si arriva così</w:t>
      </w:r>
      <w:r w:rsidRPr="00B4003A">
        <w:rPr>
          <w:rFonts w:ascii="Century Schoolbook" w:hAnsi="Century Schoolbook"/>
        </w:rPr>
        <w:t xml:space="preserve"> all</w:t>
      </w:r>
      <w:r w:rsidR="006C4111" w:rsidRPr="00B4003A">
        <w:rPr>
          <w:rFonts w:ascii="Century Schoolbook" w:hAnsi="Century Schoolbook"/>
        </w:rPr>
        <w:t>’</w:t>
      </w:r>
      <w:r w:rsidRPr="00B4003A">
        <w:rPr>
          <w:rFonts w:ascii="Century Schoolbook" w:hAnsi="Century Schoolbook"/>
        </w:rPr>
        <w:t>ambiguissima</w:t>
      </w:r>
      <w:r w:rsidR="006C4111" w:rsidRPr="00B4003A">
        <w:rPr>
          <w:rStyle w:val="Rimandonotaapidipagina"/>
          <w:rFonts w:ascii="Century Schoolbook" w:hAnsi="Century Schoolbook"/>
        </w:rPr>
        <w:footnoteReference w:id="11"/>
      </w:r>
      <w:r w:rsidR="000C6DB8" w:rsidRPr="00B4003A">
        <w:rPr>
          <w:rFonts w:ascii="Century Schoolbook" w:hAnsi="Century Schoolbook"/>
        </w:rPr>
        <w:t xml:space="preserve"> legge ponte </w:t>
      </w:r>
      <w:r w:rsidRPr="00B4003A">
        <w:rPr>
          <w:rFonts w:ascii="Century Schoolbook" w:hAnsi="Century Schoolbook"/>
        </w:rPr>
        <w:t>n. 765/’</w:t>
      </w:r>
      <w:r w:rsidR="000C6DB8" w:rsidRPr="00B4003A">
        <w:rPr>
          <w:rFonts w:ascii="Century Schoolbook" w:hAnsi="Century Schoolbook"/>
        </w:rPr>
        <w:t>67</w:t>
      </w:r>
      <w:r w:rsidR="00AC6048" w:rsidRPr="00B4003A">
        <w:rPr>
          <w:rFonts w:ascii="Century Schoolbook" w:hAnsi="Century Schoolbook"/>
        </w:rPr>
        <w:t xml:space="preserve"> e ai nostri preziosi standard sessantott</w:t>
      </w:r>
      <w:r w:rsidR="001C408C" w:rsidRPr="00B4003A">
        <w:rPr>
          <w:rFonts w:ascii="Century Schoolbook" w:hAnsi="Century Schoolbook"/>
        </w:rPr>
        <w:t>eschi</w:t>
      </w:r>
      <w:r w:rsidR="00AC6048" w:rsidRPr="00B4003A">
        <w:rPr>
          <w:rFonts w:ascii="Century Schoolbook" w:hAnsi="Century Schoolbook"/>
        </w:rPr>
        <w:t>.</w:t>
      </w:r>
    </w:p>
    <w:p w14:paraId="3DC2460A" w14:textId="15417331" w:rsidR="002F21A0" w:rsidRPr="00B4003A" w:rsidRDefault="00BD0A9B" w:rsidP="00BD0A9B">
      <w:pPr>
        <w:spacing w:line="360" w:lineRule="auto"/>
        <w:ind w:firstLine="709"/>
        <w:contextualSpacing/>
        <w:jc w:val="both"/>
        <w:rPr>
          <w:rFonts w:ascii="Century Schoolbook" w:hAnsi="Century Schoolbook" w:cs="Times New Roman"/>
          <w:color w:val="000000" w:themeColor="text1"/>
        </w:rPr>
      </w:pPr>
      <w:r w:rsidRPr="00B4003A">
        <w:rPr>
          <w:rFonts w:ascii="Century Schoolbook" w:hAnsi="Century Schoolbook" w:cs="Times New Roman"/>
          <w:color w:val="000000" w:themeColor="text1"/>
        </w:rPr>
        <w:t xml:space="preserve">Ricorda </w:t>
      </w:r>
      <w:r w:rsidR="002F21A0" w:rsidRPr="00B4003A">
        <w:rPr>
          <w:rFonts w:ascii="Century Schoolbook" w:hAnsi="Century Schoolbook" w:cs="Times New Roman"/>
          <w:color w:val="000000" w:themeColor="text1"/>
        </w:rPr>
        <w:t>Carlo Odorisio</w:t>
      </w:r>
      <w:r w:rsidRPr="00B4003A">
        <w:rPr>
          <w:rFonts w:ascii="Century Schoolbook" w:hAnsi="Century Schoolbook" w:cs="Times New Roman"/>
          <w:color w:val="000000" w:themeColor="text1"/>
        </w:rPr>
        <w:t>,</w:t>
      </w:r>
      <w:r w:rsidR="002F21A0" w:rsidRPr="00B4003A">
        <w:rPr>
          <w:rFonts w:ascii="Century Schoolbook" w:hAnsi="Century Schoolbook" w:cs="Times New Roman"/>
          <w:color w:val="000000" w:themeColor="text1"/>
        </w:rPr>
        <w:t xml:space="preserve"> </w:t>
      </w:r>
      <w:r w:rsidRPr="00B4003A">
        <w:rPr>
          <w:rFonts w:ascii="Century Schoolbook" w:hAnsi="Century Schoolbook" w:cs="Times New Roman"/>
          <w:color w:val="000000" w:themeColor="text1"/>
        </w:rPr>
        <w:t xml:space="preserve">che </w:t>
      </w:r>
      <w:r w:rsidR="002F21A0" w:rsidRPr="00B4003A">
        <w:rPr>
          <w:rFonts w:ascii="Century Schoolbook" w:hAnsi="Century Schoolbook" w:cs="Times New Roman"/>
          <w:color w:val="000000" w:themeColor="text1"/>
        </w:rPr>
        <w:t>rappresenta</w:t>
      </w:r>
      <w:r w:rsidR="009F44AE" w:rsidRPr="00B4003A">
        <w:rPr>
          <w:rFonts w:ascii="Century Schoolbook" w:hAnsi="Century Schoolbook" w:cs="Times New Roman"/>
          <w:color w:val="000000" w:themeColor="text1"/>
        </w:rPr>
        <w:t xml:space="preserve">va </w:t>
      </w:r>
      <w:r w:rsidR="002F21A0" w:rsidRPr="00B4003A">
        <w:rPr>
          <w:rFonts w:ascii="Century Schoolbook" w:hAnsi="Century Schoolbook" w:cs="Times New Roman"/>
          <w:color w:val="000000" w:themeColor="text1"/>
        </w:rPr>
        <w:t>l’ANCE all’interno del Consiglio superiore dei lavori pubblici dove si svol</w:t>
      </w:r>
      <w:r w:rsidRPr="00B4003A">
        <w:rPr>
          <w:rFonts w:ascii="Century Schoolbook" w:hAnsi="Century Schoolbook" w:cs="Times New Roman"/>
          <w:color w:val="000000" w:themeColor="text1"/>
        </w:rPr>
        <w:t>s</w:t>
      </w:r>
      <w:r w:rsidR="002F21A0" w:rsidRPr="00B4003A">
        <w:rPr>
          <w:rFonts w:ascii="Century Schoolbook" w:hAnsi="Century Schoolbook" w:cs="Times New Roman"/>
          <w:color w:val="000000" w:themeColor="text1"/>
        </w:rPr>
        <w:t xml:space="preserve">e </w:t>
      </w:r>
      <w:r w:rsidR="00AC6048" w:rsidRPr="00B4003A">
        <w:rPr>
          <w:rFonts w:ascii="Century Schoolbook" w:hAnsi="Century Schoolbook" w:cs="Times New Roman"/>
          <w:color w:val="000000" w:themeColor="text1"/>
        </w:rPr>
        <w:t>in quell’anno</w:t>
      </w:r>
      <w:r w:rsidR="002F21A0" w:rsidRPr="00B4003A">
        <w:rPr>
          <w:rFonts w:ascii="Century Schoolbook" w:hAnsi="Century Schoolbook" w:cs="Times New Roman"/>
          <w:color w:val="000000" w:themeColor="text1"/>
        </w:rPr>
        <w:t xml:space="preserve"> la discussione sui contenuti d</w:t>
      </w:r>
      <w:r w:rsidR="00AC6048" w:rsidRPr="00B4003A">
        <w:rPr>
          <w:rFonts w:ascii="Century Schoolbook" w:hAnsi="Century Schoolbook" w:cs="Times New Roman"/>
          <w:color w:val="000000" w:themeColor="text1"/>
        </w:rPr>
        <w:t>ell’articolato</w:t>
      </w:r>
      <w:r w:rsidR="002F21A0" w:rsidRPr="00B4003A">
        <w:rPr>
          <w:rFonts w:ascii="Century Schoolbook" w:hAnsi="Century Schoolbook" w:cs="Times New Roman"/>
          <w:color w:val="000000" w:themeColor="text1"/>
        </w:rPr>
        <w:t>: «la finalità della “legge ponte” fu quella di far compiere al Paese un vero salto di qualità nella gestione urbanistica attraverso una grande promozione dei p.r.g., ma in un clima di sostanziale sfiducia nei confronti degli enti locali. […] È facile quindi comprendere il significato che ebbe allora il decreto sugli standard e anche i modi della sua formulazione: uno strumento semplice, con delle regole generalizzate che potessero garantire almeno alcuni elementi di base per una corretta redazione degli strumenti urbanistici, nella convinzione che non ci si potesse fidare più di tanto degli enti locali»</w:t>
      </w:r>
      <w:r w:rsidR="002F21A0" w:rsidRPr="00B4003A">
        <w:rPr>
          <w:rStyle w:val="Rimandonotaapidipagina"/>
          <w:rFonts w:ascii="Century Schoolbook" w:hAnsi="Century Schoolbook" w:cs="Times New Roman"/>
          <w:color w:val="000000" w:themeColor="text1"/>
        </w:rPr>
        <w:footnoteReference w:id="12"/>
      </w:r>
      <w:r w:rsidR="002F21A0" w:rsidRPr="00B4003A">
        <w:rPr>
          <w:rFonts w:ascii="Century Schoolbook" w:hAnsi="Century Schoolbook" w:cs="Times New Roman"/>
          <w:color w:val="000000" w:themeColor="text1"/>
        </w:rPr>
        <w:t>.</w:t>
      </w:r>
    </w:p>
    <w:p w14:paraId="2349C33F" w14:textId="5BDB0238" w:rsidR="00BD0A9B" w:rsidRPr="00B4003A" w:rsidRDefault="00581078" w:rsidP="00BD0A9B">
      <w:pPr>
        <w:spacing w:line="360" w:lineRule="auto"/>
        <w:ind w:firstLine="709"/>
        <w:contextualSpacing/>
        <w:jc w:val="both"/>
        <w:rPr>
          <w:rFonts w:ascii="Century Schoolbook" w:hAnsi="Century Schoolbook" w:cs="Times New Roman"/>
          <w:color w:val="000000" w:themeColor="text1"/>
        </w:rPr>
      </w:pPr>
      <w:r w:rsidRPr="00B4003A">
        <w:rPr>
          <w:rFonts w:ascii="Century Schoolbook" w:hAnsi="Century Schoolbook" w:cs="Times New Roman"/>
          <w:color w:val="000000" w:themeColor="text1"/>
        </w:rPr>
        <w:t xml:space="preserve">Consideriamoli, in somma, un patrimonio tecnico-culturale dell’Italia migliore, dove hanno dialogato </w:t>
      </w:r>
      <w:r w:rsidR="006824C9" w:rsidRPr="00B4003A">
        <w:rPr>
          <w:rFonts w:ascii="Century Schoolbook" w:hAnsi="Century Schoolbook" w:cs="Times New Roman"/>
          <w:color w:val="000000" w:themeColor="text1"/>
        </w:rPr>
        <w:t>in modo fecondo ed equilibrato la logica della tutela e lo spirito del profitto.</w:t>
      </w:r>
      <w:r w:rsidRPr="00B4003A">
        <w:rPr>
          <w:rFonts w:ascii="Century Schoolbook" w:hAnsi="Century Schoolbook" w:cs="Times New Roman"/>
          <w:color w:val="000000" w:themeColor="text1"/>
        </w:rPr>
        <w:t xml:space="preserve"> </w:t>
      </w:r>
      <w:r w:rsidR="006824C9" w:rsidRPr="00B4003A">
        <w:rPr>
          <w:rFonts w:ascii="Century Schoolbook" w:hAnsi="Century Schoolbook" w:cs="Times New Roman"/>
          <w:color w:val="000000" w:themeColor="text1"/>
        </w:rPr>
        <w:t xml:space="preserve">Come dirò fra un attimo, anche la </w:t>
      </w:r>
      <w:r w:rsidR="006824C9" w:rsidRPr="00B4003A">
        <w:rPr>
          <w:rFonts w:ascii="Century Schoolbook" w:hAnsi="Century Schoolbook" w:cs="Times New Roman"/>
          <w:i/>
          <w:iCs/>
          <w:color w:val="000000" w:themeColor="text1"/>
        </w:rPr>
        <w:t>scientia iuris</w:t>
      </w:r>
      <w:r w:rsidR="006824C9" w:rsidRPr="00B4003A">
        <w:rPr>
          <w:rFonts w:ascii="Century Schoolbook" w:hAnsi="Century Schoolbook" w:cs="Times New Roman"/>
          <w:color w:val="000000" w:themeColor="text1"/>
        </w:rPr>
        <w:t xml:space="preserve"> ha fatto il suo dovere, proteggendo quello scarno</w:t>
      </w:r>
      <w:r w:rsidR="00245008" w:rsidRPr="00B4003A">
        <w:rPr>
          <w:rFonts w:ascii="Century Schoolbook" w:hAnsi="Century Schoolbook" w:cs="Times New Roman"/>
          <w:color w:val="000000" w:themeColor="text1"/>
        </w:rPr>
        <w:t>,</w:t>
      </w:r>
      <w:r w:rsidR="006824C9" w:rsidRPr="00B4003A">
        <w:rPr>
          <w:rFonts w:ascii="Century Schoolbook" w:hAnsi="Century Schoolbook" w:cs="Times New Roman"/>
          <w:color w:val="000000" w:themeColor="text1"/>
        </w:rPr>
        <w:t xml:space="preserve"> semplice articolato </w:t>
      </w:r>
      <w:r w:rsidR="00245008" w:rsidRPr="00B4003A">
        <w:rPr>
          <w:rFonts w:ascii="Century Schoolbook" w:hAnsi="Century Schoolbook" w:cs="Times New Roman"/>
          <w:color w:val="000000" w:themeColor="text1"/>
        </w:rPr>
        <w:t>e – con esso – le speranze di una vita più dignitosa a favore delle classi più deboli: le quali confidano di necessità non nel privato, ma nei servizi offerti dalla città pubblica.</w:t>
      </w:r>
    </w:p>
    <w:p w14:paraId="43508C17" w14:textId="041B26DA" w:rsidR="004F0B03" w:rsidRPr="00B4003A" w:rsidRDefault="004F0B03" w:rsidP="00BD0A9B">
      <w:pPr>
        <w:spacing w:line="360" w:lineRule="auto"/>
        <w:ind w:firstLine="709"/>
        <w:contextualSpacing/>
        <w:jc w:val="both"/>
        <w:rPr>
          <w:rFonts w:ascii="Century Schoolbook" w:hAnsi="Century Schoolbook"/>
        </w:rPr>
      </w:pPr>
    </w:p>
    <w:p w14:paraId="1ACC1639" w14:textId="7C531427" w:rsidR="00CB658D" w:rsidRPr="00B4003A" w:rsidRDefault="004F0B03"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3.- </w:t>
      </w:r>
      <w:r w:rsidR="00CB658D" w:rsidRPr="00B4003A">
        <w:rPr>
          <w:rFonts w:ascii="Century Schoolbook" w:hAnsi="Century Schoolbook"/>
        </w:rPr>
        <w:t xml:space="preserve">Dicevo dell’ottima barriera alzata dal diritto giurisprudenziale a difesa dei nostri standard. </w:t>
      </w:r>
      <w:r w:rsidR="001C408C" w:rsidRPr="00B4003A">
        <w:rPr>
          <w:rFonts w:ascii="Century Schoolbook" w:hAnsi="Century Schoolbook"/>
        </w:rPr>
        <w:t xml:space="preserve">Un po’ come </w:t>
      </w:r>
      <w:r w:rsidR="00E24B6F" w:rsidRPr="00B4003A">
        <w:rPr>
          <w:rFonts w:ascii="Century Schoolbook" w:hAnsi="Century Schoolbook"/>
        </w:rPr>
        <w:t xml:space="preserve">i versi di un </w:t>
      </w:r>
      <w:r w:rsidR="0027514D" w:rsidRPr="00B4003A">
        <w:rPr>
          <w:rFonts w:ascii="Century Schoolbook" w:hAnsi="Century Schoolbook"/>
        </w:rPr>
        <w:t>celebre autore</w:t>
      </w:r>
      <w:r w:rsidR="00D154D2" w:rsidRPr="00B4003A">
        <w:rPr>
          <w:rFonts w:ascii="Century Schoolbook" w:hAnsi="Century Schoolbook"/>
        </w:rPr>
        <w:t xml:space="preserve"> di musica leggera</w:t>
      </w:r>
      <w:r w:rsidR="00E24B6F" w:rsidRPr="00B4003A">
        <w:rPr>
          <w:rFonts w:ascii="Century Schoolbook" w:hAnsi="Century Schoolbook"/>
        </w:rPr>
        <w:t xml:space="preserve">, Giulio </w:t>
      </w:r>
      <w:proofErr w:type="spellStart"/>
      <w:r w:rsidR="00E24B6F" w:rsidRPr="00B4003A">
        <w:rPr>
          <w:rFonts w:ascii="Century Schoolbook" w:hAnsi="Century Schoolbook"/>
        </w:rPr>
        <w:t>Rapetti</w:t>
      </w:r>
      <w:proofErr w:type="spellEnd"/>
      <w:r w:rsidR="00D154D2" w:rsidRPr="00B4003A">
        <w:rPr>
          <w:rFonts w:ascii="Century Schoolbook" w:hAnsi="Century Schoolbook"/>
        </w:rPr>
        <w:t>, in arte</w:t>
      </w:r>
      <w:r w:rsidR="00E24B6F" w:rsidRPr="00B4003A">
        <w:rPr>
          <w:rFonts w:ascii="Century Schoolbook" w:hAnsi="Century Schoolbook"/>
        </w:rPr>
        <w:t xml:space="preserve"> Mogol. </w:t>
      </w:r>
      <w:r w:rsidR="001C408C" w:rsidRPr="00B4003A">
        <w:rPr>
          <w:rFonts w:ascii="Century Schoolbook" w:hAnsi="Century Schoolbook"/>
        </w:rPr>
        <w:t>Solo che q</w:t>
      </w:r>
      <w:r w:rsidR="00CB658D" w:rsidRPr="00B4003A">
        <w:rPr>
          <w:rFonts w:ascii="Century Schoolbook" w:hAnsi="Century Schoolbook"/>
        </w:rPr>
        <w:t>u</w:t>
      </w:r>
      <w:r w:rsidR="00D154D2" w:rsidRPr="00B4003A">
        <w:rPr>
          <w:rFonts w:ascii="Century Schoolbook" w:hAnsi="Century Schoolbook"/>
        </w:rPr>
        <w:t>esta volta</w:t>
      </w:r>
      <w:r w:rsidR="00CB658D" w:rsidRPr="00B4003A">
        <w:rPr>
          <w:rFonts w:ascii="Century Schoolbook" w:hAnsi="Century Schoolbook"/>
        </w:rPr>
        <w:t xml:space="preserve"> a essere stonate, ma benefiche</w:t>
      </w:r>
      <w:r w:rsidR="00452AA3" w:rsidRPr="00B4003A">
        <w:rPr>
          <w:rFonts w:ascii="Century Schoolbook" w:hAnsi="Century Schoolbook"/>
        </w:rPr>
        <w:t>,</w:t>
      </w:r>
      <w:r w:rsidR="00CB658D" w:rsidRPr="00B4003A">
        <w:rPr>
          <w:rFonts w:ascii="Century Schoolbook" w:hAnsi="Century Schoolbook"/>
        </w:rPr>
        <w:t xml:space="preserve"> n</w:t>
      </w:r>
      <w:r w:rsidR="00E24B6F" w:rsidRPr="00B4003A">
        <w:rPr>
          <w:rFonts w:ascii="Century Schoolbook" w:hAnsi="Century Schoolbook"/>
        </w:rPr>
        <w:t xml:space="preserve">on </w:t>
      </w:r>
      <w:r w:rsidR="00CB658D" w:rsidRPr="00B4003A">
        <w:rPr>
          <w:rFonts w:ascii="Century Schoolbook" w:hAnsi="Century Schoolbook"/>
        </w:rPr>
        <w:t xml:space="preserve">sono </w:t>
      </w:r>
      <w:r w:rsidR="00D154D2" w:rsidRPr="00B4003A">
        <w:rPr>
          <w:rFonts w:ascii="Century Schoolbook" w:hAnsi="Century Schoolbook"/>
        </w:rPr>
        <w:t xml:space="preserve">le </w:t>
      </w:r>
      <w:r w:rsidR="00E24B6F" w:rsidRPr="00B4003A">
        <w:rPr>
          <w:rFonts w:ascii="Century Schoolbook" w:hAnsi="Century Schoolbook"/>
        </w:rPr>
        <w:t>canzoni;</w:t>
      </w:r>
      <w:r w:rsidR="00CB658D" w:rsidRPr="00B4003A">
        <w:rPr>
          <w:rFonts w:ascii="Century Schoolbook" w:hAnsi="Century Schoolbook"/>
        </w:rPr>
        <w:t xml:space="preserve"> sono</w:t>
      </w:r>
      <w:r w:rsidR="00E24B6F" w:rsidRPr="00B4003A">
        <w:rPr>
          <w:rFonts w:ascii="Century Schoolbook" w:hAnsi="Century Schoolbook"/>
        </w:rPr>
        <w:t xml:space="preserve"> </w:t>
      </w:r>
      <w:r w:rsidR="00D154D2" w:rsidRPr="00B4003A">
        <w:rPr>
          <w:rFonts w:ascii="Century Schoolbook" w:hAnsi="Century Schoolbook"/>
        </w:rPr>
        <w:t xml:space="preserve">le </w:t>
      </w:r>
      <w:r w:rsidR="00E24B6F" w:rsidRPr="00B4003A">
        <w:rPr>
          <w:rFonts w:ascii="Century Schoolbook" w:hAnsi="Century Schoolbook"/>
        </w:rPr>
        <w:t xml:space="preserve">sentenze. </w:t>
      </w:r>
    </w:p>
    <w:p w14:paraId="5E6C0C50" w14:textId="393D8B9F" w:rsidR="005F3B88" w:rsidRPr="00B4003A" w:rsidRDefault="00E24B6F"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Tutte le alte Corti italiane </w:t>
      </w:r>
      <w:r w:rsidR="001C408C" w:rsidRPr="00B4003A">
        <w:rPr>
          <w:rFonts w:ascii="Century Schoolbook" w:hAnsi="Century Schoolbook"/>
        </w:rPr>
        <w:t>si sono</w:t>
      </w:r>
      <w:r w:rsidRPr="00B4003A">
        <w:rPr>
          <w:rFonts w:ascii="Century Schoolbook" w:hAnsi="Century Schoolbook"/>
        </w:rPr>
        <w:t xml:space="preserve"> </w:t>
      </w:r>
      <w:r w:rsidR="005F3B88" w:rsidRPr="00B4003A">
        <w:rPr>
          <w:rFonts w:ascii="Century Schoolbook" w:hAnsi="Century Schoolbook"/>
        </w:rPr>
        <w:t xml:space="preserve">infatti </w:t>
      </w:r>
      <w:r w:rsidRPr="00B4003A">
        <w:rPr>
          <w:rFonts w:ascii="Century Schoolbook" w:hAnsi="Century Schoolbook"/>
          <w:i/>
          <w:iCs/>
        </w:rPr>
        <w:t>inventat</w:t>
      </w:r>
      <w:r w:rsidR="001C408C" w:rsidRPr="00B4003A">
        <w:rPr>
          <w:rFonts w:ascii="Century Schoolbook" w:hAnsi="Century Schoolbook"/>
          <w:i/>
          <w:iCs/>
        </w:rPr>
        <w:t>e</w:t>
      </w:r>
      <w:r w:rsidR="00D154D2" w:rsidRPr="00B4003A">
        <w:rPr>
          <w:rStyle w:val="Rimandonotaapidipagina"/>
          <w:rFonts w:ascii="Century Schoolbook" w:hAnsi="Century Schoolbook"/>
        </w:rPr>
        <w:footnoteReference w:id="13"/>
      </w:r>
      <w:r w:rsidRPr="00B4003A">
        <w:rPr>
          <w:rFonts w:ascii="Century Schoolbook" w:hAnsi="Century Schoolbook"/>
        </w:rPr>
        <w:t xml:space="preserve"> la natura legislativa del d.m.</w:t>
      </w:r>
      <w:r w:rsidR="00D154D2" w:rsidRPr="00B4003A">
        <w:rPr>
          <w:rFonts w:ascii="Century Schoolbook" w:hAnsi="Century Schoolbook"/>
        </w:rPr>
        <w:t xml:space="preserve"> n. 1444/’68</w:t>
      </w:r>
      <w:r w:rsidRPr="00B4003A">
        <w:rPr>
          <w:rFonts w:ascii="Century Schoolbook" w:hAnsi="Century Schoolbook"/>
        </w:rPr>
        <w:t>, al fine di proteggerlo da</w:t>
      </w:r>
      <w:r w:rsidR="00D154D2" w:rsidRPr="00B4003A">
        <w:rPr>
          <w:rFonts w:ascii="Century Schoolbook" w:hAnsi="Century Schoolbook"/>
        </w:rPr>
        <w:t>gli attacchi che da più parti gli sono stati mossi</w:t>
      </w:r>
      <w:r w:rsidRPr="00B4003A">
        <w:rPr>
          <w:rFonts w:ascii="Century Schoolbook" w:hAnsi="Century Schoolbook"/>
        </w:rPr>
        <w:t>.</w:t>
      </w:r>
      <w:r w:rsidR="005F3B88" w:rsidRPr="00B4003A">
        <w:rPr>
          <w:rFonts w:ascii="Century Schoolbook" w:hAnsi="Century Schoolbook"/>
        </w:rPr>
        <w:t xml:space="preserve"> </w:t>
      </w:r>
      <w:r w:rsidR="00B534FC" w:rsidRPr="00B4003A">
        <w:rPr>
          <w:rFonts w:ascii="Century Schoolbook" w:hAnsi="Century Schoolbook"/>
        </w:rPr>
        <w:t xml:space="preserve">Il motivo è nobile: </w:t>
      </w:r>
      <w:r w:rsidR="005F3B88" w:rsidRPr="00B4003A">
        <w:rPr>
          <w:rFonts w:ascii="Century Schoolbook" w:hAnsi="Century Schoolbook"/>
        </w:rPr>
        <w:t>una normazione di rango assolutamente primario nel sistema socio-economico</w:t>
      </w:r>
      <w:r w:rsidR="00B534FC" w:rsidRPr="00B4003A">
        <w:rPr>
          <w:rFonts w:ascii="Century Schoolbook" w:hAnsi="Century Schoolbook"/>
        </w:rPr>
        <w:t xml:space="preserve"> italiano</w:t>
      </w:r>
      <w:r w:rsidR="005F3B88" w:rsidRPr="00B4003A">
        <w:rPr>
          <w:rFonts w:ascii="Century Schoolbook" w:hAnsi="Century Schoolbook"/>
        </w:rPr>
        <w:t xml:space="preserve"> richiedeva </w:t>
      </w:r>
      <w:r w:rsidR="00B534FC" w:rsidRPr="00B4003A">
        <w:rPr>
          <w:rFonts w:ascii="Century Schoolbook" w:hAnsi="Century Schoolbook"/>
        </w:rPr>
        <w:t>altrettale</w:t>
      </w:r>
      <w:r w:rsidR="005F3B88" w:rsidRPr="00B4003A">
        <w:rPr>
          <w:rFonts w:ascii="Century Schoolbook" w:hAnsi="Century Schoolbook"/>
        </w:rPr>
        <w:t xml:space="preserve"> </w:t>
      </w:r>
      <w:r w:rsidR="00B534FC" w:rsidRPr="00B4003A">
        <w:rPr>
          <w:rFonts w:ascii="Century Schoolbook" w:hAnsi="Century Schoolbook"/>
        </w:rPr>
        <w:t xml:space="preserve">collocazione </w:t>
      </w:r>
      <w:r w:rsidR="005F3B88" w:rsidRPr="00B4003A">
        <w:rPr>
          <w:rFonts w:ascii="Century Schoolbook" w:hAnsi="Century Schoolbook"/>
          <w:i/>
          <w:iCs/>
        </w:rPr>
        <w:t>anche nel sistema delle fonti</w:t>
      </w:r>
      <w:r w:rsidR="004E29C2" w:rsidRPr="00B4003A">
        <w:rPr>
          <w:rFonts w:ascii="Century Schoolbook" w:hAnsi="Century Schoolbook"/>
        </w:rPr>
        <w:t>; che</w:t>
      </w:r>
      <w:r w:rsidR="00150FEE" w:rsidRPr="00B4003A">
        <w:rPr>
          <w:rFonts w:ascii="Century Schoolbook" w:hAnsi="Century Schoolbook"/>
        </w:rPr>
        <w:t xml:space="preserve"> </w:t>
      </w:r>
      <w:r w:rsidR="004E29C2" w:rsidRPr="00B4003A">
        <w:rPr>
          <w:rFonts w:ascii="Century Schoolbook" w:hAnsi="Century Schoolbook"/>
        </w:rPr>
        <w:t xml:space="preserve">però è </w:t>
      </w:r>
      <w:r w:rsidR="00150FEE" w:rsidRPr="00B4003A">
        <w:rPr>
          <w:rFonts w:ascii="Century Schoolbook" w:hAnsi="Century Schoolbook"/>
        </w:rPr>
        <w:t>poco disponibile</w:t>
      </w:r>
      <w:r w:rsidR="004E29C2" w:rsidRPr="00B4003A">
        <w:rPr>
          <w:rFonts w:ascii="Century Schoolbook" w:hAnsi="Century Schoolbook"/>
        </w:rPr>
        <w:t xml:space="preserve"> </w:t>
      </w:r>
      <w:r w:rsidR="00150FEE" w:rsidRPr="00B4003A">
        <w:rPr>
          <w:rFonts w:ascii="Century Schoolbook" w:hAnsi="Century Schoolbook"/>
        </w:rPr>
        <w:t>– almeno stando alle regole che lo disciplinano – ad accogliere un decreto ministeriale sul gradino più alto dell’ordinamento in senso formale (in disparte ovviamente le norme costituzionali).</w:t>
      </w:r>
    </w:p>
    <w:p w14:paraId="591ED104" w14:textId="7328D2C3" w:rsidR="000E29B5" w:rsidRPr="00B4003A" w:rsidRDefault="009F44AE" w:rsidP="00444F2A">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Vi ha anzitutto provveduto </w:t>
      </w:r>
      <w:r w:rsidRPr="001F1DDD">
        <w:rPr>
          <w:rFonts w:ascii="Century Schoolbook" w:hAnsi="Century Schoolbook"/>
          <w:highlight w:val="yellow"/>
        </w:rPr>
        <w:t>l</w:t>
      </w:r>
      <w:r w:rsidR="000E29B5" w:rsidRPr="001F1DDD">
        <w:rPr>
          <w:rFonts w:ascii="Century Schoolbook" w:hAnsi="Century Schoolbook"/>
          <w:highlight w:val="yellow"/>
        </w:rPr>
        <w:t>a Consulta</w:t>
      </w:r>
      <w:r w:rsidR="00042D02" w:rsidRPr="001F1DDD">
        <w:rPr>
          <w:rStyle w:val="Rimandonotaapidipagina"/>
          <w:rFonts w:ascii="Century Schoolbook" w:hAnsi="Century Schoolbook"/>
          <w:highlight w:val="yellow"/>
        </w:rPr>
        <w:footnoteReference w:id="14"/>
      </w:r>
      <w:r w:rsidR="000E29B5" w:rsidRPr="001F1DDD">
        <w:rPr>
          <w:rFonts w:ascii="Century Schoolbook" w:hAnsi="Century Schoolbook"/>
          <w:highlight w:val="yellow"/>
        </w:rPr>
        <w:t xml:space="preserve">, </w:t>
      </w:r>
      <w:r w:rsidRPr="001F1DDD">
        <w:rPr>
          <w:rFonts w:ascii="Century Schoolbook" w:hAnsi="Century Schoolbook"/>
          <w:highlight w:val="yellow"/>
        </w:rPr>
        <w:t>che</w:t>
      </w:r>
      <w:r w:rsidR="000E29B5" w:rsidRPr="001F1DDD">
        <w:rPr>
          <w:rFonts w:ascii="Century Schoolbook" w:hAnsi="Century Schoolbook"/>
          <w:highlight w:val="yellow"/>
        </w:rPr>
        <w:t xml:space="preserve"> ha </w:t>
      </w:r>
      <w:r w:rsidR="00042D02" w:rsidRPr="001F1DDD">
        <w:rPr>
          <w:rFonts w:ascii="Century Schoolbook" w:hAnsi="Century Schoolbook"/>
          <w:highlight w:val="yellow"/>
        </w:rPr>
        <w:t>attribuito</w:t>
      </w:r>
      <w:r w:rsidR="000E29B5" w:rsidRPr="001F1DDD">
        <w:rPr>
          <w:rFonts w:ascii="Century Schoolbook" w:hAnsi="Century Schoolbook"/>
          <w:highlight w:val="yellow"/>
        </w:rPr>
        <w:t xml:space="preserve"> </w:t>
      </w:r>
      <w:r w:rsidR="00042D02" w:rsidRPr="001F1DDD">
        <w:rPr>
          <w:rFonts w:ascii="Century Schoolbook" w:hAnsi="Century Schoolbook"/>
          <w:highlight w:val="yellow"/>
        </w:rPr>
        <w:t xml:space="preserve">al d.m. del 1969 </w:t>
      </w:r>
      <w:r w:rsidR="000E29B5" w:rsidRPr="001F1DDD">
        <w:rPr>
          <w:rFonts w:ascii="Century Schoolbook" w:hAnsi="Century Schoolbook"/>
          <w:highlight w:val="yellow"/>
        </w:rPr>
        <w:t>«efficacia precettiva e inderogabile</w:t>
      </w:r>
      <w:r w:rsidR="000E29B5" w:rsidRPr="00B4003A">
        <w:rPr>
          <w:rFonts w:ascii="Century Schoolbook" w:hAnsi="Century Schoolbook"/>
        </w:rPr>
        <w:t>» in quanto richiamato dall</w:t>
      </w:r>
      <w:r w:rsidR="00042D02" w:rsidRPr="00B4003A">
        <w:rPr>
          <w:rFonts w:ascii="Century Schoolbook" w:hAnsi="Century Schoolbook"/>
        </w:rPr>
        <w:t>’</w:t>
      </w:r>
      <w:r w:rsidR="000E29B5" w:rsidRPr="00B4003A">
        <w:rPr>
          <w:rFonts w:ascii="Century Schoolbook" w:hAnsi="Century Schoolbook"/>
        </w:rPr>
        <w:t>art. 41-</w:t>
      </w:r>
      <w:r w:rsidR="000E29B5" w:rsidRPr="00B4003A">
        <w:rPr>
          <w:rFonts w:ascii="Century Schoolbook" w:hAnsi="Century Schoolbook"/>
          <w:i/>
          <w:iCs/>
        </w:rPr>
        <w:t>quinquies</w:t>
      </w:r>
      <w:r w:rsidR="000E29B5" w:rsidRPr="00B4003A">
        <w:rPr>
          <w:rFonts w:ascii="Century Schoolbook" w:hAnsi="Century Schoolbook"/>
        </w:rPr>
        <w:t xml:space="preserve"> della legge </w:t>
      </w:r>
      <w:r w:rsidR="00042D02" w:rsidRPr="00B4003A">
        <w:rPr>
          <w:rFonts w:ascii="Century Schoolbook" w:hAnsi="Century Schoolbook"/>
        </w:rPr>
        <w:t>ponte</w:t>
      </w:r>
      <w:r w:rsidR="000E29B5" w:rsidRPr="00B4003A">
        <w:rPr>
          <w:rFonts w:ascii="Century Schoolbook" w:hAnsi="Century Schoolbook"/>
        </w:rPr>
        <w:t xml:space="preserve">. </w:t>
      </w:r>
    </w:p>
    <w:p w14:paraId="7F4BD02C" w14:textId="77777777" w:rsidR="00C71479" w:rsidRPr="00B4003A" w:rsidRDefault="004E29C2" w:rsidP="00444F2A">
      <w:pPr>
        <w:spacing w:before="240" w:after="240" w:line="360" w:lineRule="auto"/>
        <w:ind w:firstLine="709"/>
        <w:contextualSpacing/>
        <w:jc w:val="both"/>
        <w:rPr>
          <w:rFonts w:ascii="Century Schoolbook" w:hAnsi="Century Schoolbook"/>
        </w:rPr>
      </w:pPr>
      <w:r w:rsidRPr="00B4003A">
        <w:rPr>
          <w:rFonts w:ascii="Century Schoolbook" w:hAnsi="Century Schoolbook"/>
        </w:rPr>
        <w:t>Secondo l</w:t>
      </w:r>
      <w:r w:rsidR="00587A98" w:rsidRPr="00B4003A">
        <w:rPr>
          <w:rFonts w:ascii="Century Schoolbook" w:hAnsi="Century Schoolbook"/>
        </w:rPr>
        <w:t>a Cassazione</w:t>
      </w:r>
      <w:r w:rsidRPr="00B4003A">
        <w:rPr>
          <w:rStyle w:val="Rimandonotaapidipagina"/>
          <w:rFonts w:ascii="Century Schoolbook" w:hAnsi="Century Schoolbook"/>
        </w:rPr>
        <w:footnoteReference w:id="15"/>
      </w:r>
      <w:r w:rsidRPr="00B4003A">
        <w:rPr>
          <w:rFonts w:ascii="Century Schoolbook" w:hAnsi="Century Schoolbook"/>
        </w:rPr>
        <w:t>, p</w:t>
      </w:r>
      <w:r w:rsidR="005971DB" w:rsidRPr="00B4003A">
        <w:rPr>
          <w:rFonts w:ascii="Century Schoolbook" w:hAnsi="Century Schoolbook"/>
        </w:rPr>
        <w:t>oi</w:t>
      </w:r>
      <w:r w:rsidRPr="00B4003A">
        <w:rPr>
          <w:rFonts w:ascii="Century Schoolbook" w:hAnsi="Century Schoolbook"/>
        </w:rPr>
        <w:t xml:space="preserve">, la normazione regolamentare </w:t>
      </w:r>
      <w:r w:rsidR="00444F2A" w:rsidRPr="00B4003A">
        <w:rPr>
          <w:rFonts w:ascii="Century Schoolbook" w:hAnsi="Century Schoolbook"/>
        </w:rPr>
        <w:t>in esame</w:t>
      </w:r>
      <w:r w:rsidRPr="00B4003A">
        <w:rPr>
          <w:rFonts w:ascii="Century Schoolbook" w:hAnsi="Century Schoolbook"/>
        </w:rPr>
        <w:t xml:space="preserve"> «ha efficacia di legge dello Stato, essendo stato emanato il decreto che la contiene su delega della legge urbanistica 17 agosto 1942 n. 1150»</w:t>
      </w:r>
      <w:r w:rsidR="00444F2A" w:rsidRPr="00B4003A">
        <w:rPr>
          <w:rFonts w:ascii="Century Schoolbook" w:hAnsi="Century Schoolbook"/>
        </w:rPr>
        <w:t>; e ancora: «l’accertata efficacia legislativa del decreto ministeriale obbliga i Comuni a redigere e revisionare gli strumenti urbanistici senza discostarsi dalle regole inderogabili da esso fissate, perché l’autonomia normativa loro conferita dall’art. 33 della menzionata legge nella materia edilizia e, in particolare, in quella delle distanze tra fabbricati, incontra un limite insuperabile nell’art. 4 delle disposizioni sulla legge in generale, per il quale una norma regolamentare locale non può apportare modifiche a norme di rango superiore. E lo stesso art. 33, nell’attribuire ai Comuni il potere regolamentare, stabilisce che esso deve essere esercitato “in armonia con le disposizioni della presente legge”, il che comporta, da parte di tali Enti, anche l'osservanza dell’art. 9 del decreto ministeriale del 1968 il quale, per quel che si è detto, trae la sua forza cogente dall’art. 41-</w:t>
      </w:r>
      <w:r w:rsidR="00444F2A" w:rsidRPr="00B4003A">
        <w:rPr>
          <w:rFonts w:ascii="Century Schoolbook" w:hAnsi="Century Schoolbook"/>
          <w:i/>
          <w:iCs/>
        </w:rPr>
        <w:t>quinquies</w:t>
      </w:r>
      <w:r w:rsidR="00444F2A" w:rsidRPr="00B4003A">
        <w:rPr>
          <w:rFonts w:ascii="Century Schoolbook" w:hAnsi="Century Schoolbook"/>
        </w:rPr>
        <w:t xml:space="preserve"> della medesima legge».</w:t>
      </w:r>
      <w:r w:rsidR="00C71479" w:rsidRPr="00B4003A">
        <w:rPr>
          <w:rFonts w:ascii="Century Schoolbook" w:hAnsi="Century Schoolbook"/>
        </w:rPr>
        <w:t xml:space="preserve"> </w:t>
      </w:r>
    </w:p>
    <w:p w14:paraId="050E59DA" w14:textId="3DEE601B" w:rsidR="00BD6243" w:rsidRPr="00B4003A" w:rsidRDefault="006C47AC" w:rsidP="00444F2A">
      <w:pPr>
        <w:spacing w:before="240" w:after="240" w:line="360" w:lineRule="auto"/>
        <w:ind w:firstLine="709"/>
        <w:contextualSpacing/>
        <w:jc w:val="both"/>
        <w:rPr>
          <w:rFonts w:ascii="Century Schoolbook" w:hAnsi="Century Schoolbook"/>
        </w:rPr>
      </w:pPr>
      <w:r w:rsidRPr="00B4003A">
        <w:rPr>
          <w:rFonts w:ascii="Century Schoolbook" w:hAnsi="Century Schoolbook"/>
        </w:rPr>
        <w:t>Il giudice nostro, infine:</w:t>
      </w:r>
      <w:r w:rsidR="00BD6243" w:rsidRPr="00B4003A">
        <w:rPr>
          <w:rFonts w:ascii="Century Schoolbook" w:hAnsi="Century Schoolbook"/>
        </w:rPr>
        <w:t xml:space="preserve"> «</w:t>
      </w:r>
      <w:r w:rsidR="00127707" w:rsidRPr="00B4003A">
        <w:rPr>
          <w:rFonts w:ascii="Century Schoolbook" w:hAnsi="Century Schoolbook"/>
        </w:rPr>
        <w:t>L</w:t>
      </w:r>
      <w:r w:rsidR="00BD6243" w:rsidRPr="00B4003A">
        <w:rPr>
          <w:rFonts w:ascii="Century Schoolbook" w:hAnsi="Century Schoolbook"/>
        </w:rPr>
        <w:t>a giurisprudenza (cfr. Cons. St., IV, 2 novembre 2010 n. 7731) da tempo ha chiarito che l</w:t>
      </w:r>
      <w:r w:rsidR="00F53FFB" w:rsidRPr="00B4003A">
        <w:rPr>
          <w:rFonts w:ascii="Century Schoolbook" w:hAnsi="Century Schoolbook"/>
        </w:rPr>
        <w:t>’</w:t>
      </w:r>
      <w:r w:rsidR="00BD6243" w:rsidRPr="00B4003A">
        <w:rPr>
          <w:rFonts w:ascii="Century Schoolbook" w:hAnsi="Century Schoolbook"/>
        </w:rPr>
        <w:t>art. 9 del d.m. 2.4.1968 n. 1444, il quale detta le citate disposizioni in tema di distanze tra le costruzioni, stante la sua natura di norma primaria, sostituisce eventuali disposizioni contrarie contenute nelle norme tecniche di attuazione di un piano regolatore»</w:t>
      </w:r>
      <w:r w:rsidR="009F44AE" w:rsidRPr="00B4003A">
        <w:rPr>
          <w:rStyle w:val="Rimandonotaapidipagina"/>
          <w:rFonts w:ascii="Century Schoolbook" w:hAnsi="Century Schoolbook"/>
        </w:rPr>
        <w:footnoteReference w:id="16"/>
      </w:r>
      <w:r w:rsidR="00BD6243" w:rsidRPr="00B4003A">
        <w:rPr>
          <w:rFonts w:ascii="Century Schoolbook" w:hAnsi="Century Schoolbook"/>
        </w:rPr>
        <w:t>.</w:t>
      </w:r>
    </w:p>
    <w:p w14:paraId="568B429F" w14:textId="77777777" w:rsidR="00B534FC" w:rsidRPr="00B4003A" w:rsidRDefault="00B534FC" w:rsidP="00BD0A9B">
      <w:pPr>
        <w:spacing w:before="240" w:after="240" w:line="360" w:lineRule="auto"/>
        <w:ind w:firstLine="709"/>
        <w:contextualSpacing/>
        <w:jc w:val="both"/>
        <w:rPr>
          <w:rFonts w:ascii="Century Schoolbook" w:hAnsi="Century Schoolbook"/>
        </w:rPr>
      </w:pPr>
    </w:p>
    <w:p w14:paraId="13B09824" w14:textId="77777777" w:rsidR="0087678D" w:rsidRPr="00B4003A" w:rsidRDefault="005F3B88" w:rsidP="00BD0A9B">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4.- </w:t>
      </w:r>
      <w:r w:rsidR="008C2430" w:rsidRPr="00B4003A">
        <w:rPr>
          <w:rFonts w:ascii="Century Schoolbook" w:hAnsi="Century Schoolbook"/>
        </w:rPr>
        <w:t xml:space="preserve">Possiamo adesso </w:t>
      </w:r>
      <w:r w:rsidR="0087678D" w:rsidRPr="00B4003A">
        <w:rPr>
          <w:rFonts w:ascii="Century Schoolbook" w:hAnsi="Century Schoolbook"/>
        </w:rPr>
        <w:t>vedere più da vicino i fronti dell</w:t>
      </w:r>
      <w:r w:rsidRPr="00B4003A">
        <w:rPr>
          <w:rFonts w:ascii="Century Schoolbook" w:hAnsi="Century Schoolbook"/>
        </w:rPr>
        <w:t xml:space="preserve">’attacco </w:t>
      </w:r>
      <w:r w:rsidR="0087678D" w:rsidRPr="00B4003A">
        <w:rPr>
          <w:rFonts w:ascii="Century Schoolbook" w:hAnsi="Century Schoolbook"/>
        </w:rPr>
        <w:t>che le Regioni</w:t>
      </w:r>
      <w:r w:rsidRPr="00B4003A">
        <w:rPr>
          <w:rFonts w:ascii="Century Schoolbook" w:hAnsi="Century Schoolbook"/>
        </w:rPr>
        <w:t xml:space="preserve"> </w:t>
      </w:r>
      <w:r w:rsidR="0087678D" w:rsidRPr="00B4003A">
        <w:rPr>
          <w:rFonts w:ascii="Century Schoolbook" w:hAnsi="Century Schoolbook"/>
        </w:rPr>
        <w:t>hanno mosso avverso il decreto n. 1444.</w:t>
      </w:r>
    </w:p>
    <w:p w14:paraId="28311C8B" w14:textId="77777777" w:rsidR="0087678D" w:rsidRPr="00B4003A" w:rsidRDefault="0087678D" w:rsidP="00BD0A9B">
      <w:pPr>
        <w:spacing w:before="240" w:after="240" w:line="360" w:lineRule="auto"/>
        <w:ind w:firstLine="709"/>
        <w:contextualSpacing/>
        <w:jc w:val="both"/>
        <w:rPr>
          <w:rFonts w:ascii="Century Schoolbook" w:hAnsi="Century Schoolbook"/>
        </w:rPr>
      </w:pPr>
      <w:r w:rsidRPr="00B4003A">
        <w:rPr>
          <w:rFonts w:ascii="Century Schoolbook" w:hAnsi="Century Schoolbook"/>
        </w:rPr>
        <w:t>La prima offensiva ha mirato</w:t>
      </w:r>
      <w:r w:rsidR="003F46AE" w:rsidRPr="00B4003A">
        <w:rPr>
          <w:rFonts w:ascii="Century Schoolbook" w:hAnsi="Century Schoolbook"/>
        </w:rPr>
        <w:t xml:space="preserve"> alle </w:t>
      </w:r>
      <w:r w:rsidR="003F46AE" w:rsidRPr="00B4003A">
        <w:rPr>
          <w:rFonts w:ascii="Century Schoolbook" w:hAnsi="Century Schoolbook"/>
          <w:i/>
          <w:iCs/>
        </w:rPr>
        <w:t>distanze</w:t>
      </w:r>
      <w:r w:rsidR="003F46AE" w:rsidRPr="00B4003A">
        <w:rPr>
          <w:rFonts w:ascii="Century Schoolbook" w:hAnsi="Century Schoolbook"/>
        </w:rPr>
        <w:t xml:space="preserve"> </w:t>
      </w:r>
      <w:r w:rsidRPr="00B4003A">
        <w:rPr>
          <w:rFonts w:ascii="Century Schoolbook" w:hAnsi="Century Schoolbook"/>
        </w:rPr>
        <w:t xml:space="preserve">minime </w:t>
      </w:r>
      <w:r w:rsidR="003F46AE" w:rsidRPr="00B4003A">
        <w:rPr>
          <w:rFonts w:ascii="Century Schoolbook" w:hAnsi="Century Schoolbook"/>
        </w:rPr>
        <w:t xml:space="preserve">fra </w:t>
      </w:r>
      <w:r w:rsidRPr="00B4003A">
        <w:rPr>
          <w:rFonts w:ascii="Century Schoolbook" w:hAnsi="Century Schoolbook"/>
        </w:rPr>
        <w:t xml:space="preserve">gli </w:t>
      </w:r>
      <w:r w:rsidR="003F46AE" w:rsidRPr="00B4003A">
        <w:rPr>
          <w:rFonts w:ascii="Century Schoolbook" w:hAnsi="Century Schoolbook"/>
        </w:rPr>
        <w:t xml:space="preserve">immobili. </w:t>
      </w:r>
    </w:p>
    <w:p w14:paraId="79CDE7F6" w14:textId="77777777" w:rsidR="008303BA" w:rsidRPr="00B4003A" w:rsidRDefault="003F46AE" w:rsidP="008303BA">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La Consulta ha </w:t>
      </w:r>
      <w:r w:rsidR="0087678D" w:rsidRPr="00B4003A">
        <w:rPr>
          <w:rFonts w:ascii="Century Schoolbook" w:hAnsi="Century Schoolbook"/>
        </w:rPr>
        <w:t xml:space="preserve">saputo </w:t>
      </w:r>
      <w:r w:rsidRPr="00B4003A">
        <w:rPr>
          <w:rFonts w:ascii="Century Schoolbook" w:hAnsi="Century Schoolbook"/>
        </w:rPr>
        <w:t>resist</w:t>
      </w:r>
      <w:r w:rsidR="0087678D" w:rsidRPr="00B4003A">
        <w:rPr>
          <w:rFonts w:ascii="Century Schoolbook" w:hAnsi="Century Schoolbook"/>
        </w:rPr>
        <w:t>ere</w:t>
      </w:r>
      <w:r w:rsidRPr="00B4003A">
        <w:rPr>
          <w:rFonts w:ascii="Century Schoolbook" w:hAnsi="Century Schoolbook"/>
        </w:rPr>
        <w:t xml:space="preserve">, elaborando la </w:t>
      </w:r>
      <w:r w:rsidR="00B442BB" w:rsidRPr="00B4003A">
        <w:rPr>
          <w:rFonts w:ascii="Century Schoolbook" w:hAnsi="Century Schoolbook"/>
        </w:rPr>
        <w:t xml:space="preserve">nota </w:t>
      </w:r>
      <w:r w:rsidRPr="00B4003A">
        <w:rPr>
          <w:rFonts w:ascii="Century Schoolbook" w:hAnsi="Century Schoolbook"/>
        </w:rPr>
        <w:t>tesi della doppia valenza</w:t>
      </w:r>
      <w:r w:rsidR="008303BA" w:rsidRPr="00B4003A">
        <w:rPr>
          <w:rFonts w:ascii="Century Schoolbook" w:hAnsi="Century Schoolbook"/>
        </w:rPr>
        <w:t>.</w:t>
      </w:r>
    </w:p>
    <w:p w14:paraId="1FB9A786" w14:textId="61D81645" w:rsidR="002B769F" w:rsidRPr="00B4003A" w:rsidRDefault="008303BA" w:rsidP="008303BA">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Lasciamo la parola a C. cost. n. 41/’17 cit.: «Secondo la giurisprudenza di questa Corte, la disciplina delle distanze fra costruzioni ha la sua collocazione anzitutto nella sezione VI del Capo II del Titolo II del Libro III del codice civile, intitolata appunto </w:t>
      </w:r>
      <w:r w:rsidR="002B769F" w:rsidRPr="00B4003A">
        <w:rPr>
          <w:rFonts w:ascii="Century Schoolbook" w:hAnsi="Century Schoolbook"/>
        </w:rPr>
        <w:t>“</w:t>
      </w:r>
      <w:r w:rsidRPr="00B4003A">
        <w:rPr>
          <w:rFonts w:ascii="Century Schoolbook" w:hAnsi="Century Schoolbook"/>
        </w:rPr>
        <w:t>Delle distanze nelle costruzioni, piantagioni e scavi, e dei muri, fossi e siepi interposti tra fondi</w:t>
      </w:r>
      <w:r w:rsidR="002B769F" w:rsidRPr="00B4003A">
        <w:rPr>
          <w:rFonts w:ascii="Century Schoolbook" w:hAnsi="Century Schoolbook"/>
        </w:rPr>
        <w:t>”</w:t>
      </w:r>
      <w:r w:rsidRPr="00B4003A">
        <w:rPr>
          <w:rFonts w:ascii="Century Schoolbook" w:hAnsi="Century Schoolbook"/>
        </w:rPr>
        <w:t xml:space="preserve">. </w:t>
      </w:r>
      <w:r w:rsidR="002B769F" w:rsidRPr="00B4003A">
        <w:rPr>
          <w:rFonts w:ascii="Century Schoolbook" w:hAnsi="Century Schoolbook"/>
        </w:rPr>
        <w:t>“</w:t>
      </w:r>
      <w:r w:rsidRPr="00B4003A">
        <w:rPr>
          <w:rFonts w:ascii="Century Schoolbook" w:hAnsi="Century Schoolbook"/>
        </w:rPr>
        <w:t>Tale disciplina, ed in particolare quella degli articoli 873 e 875 che viene qui in più specifico rilievo, attiene in via primaria e diretta ai rapporti tra proprietari di fondi finitimi. [...] Non si può pertanto dubitare che la disciplina delle distanze, per quanto concerne i rapporti suindicati, rientri nella materia dell</w:t>
      </w:r>
      <w:r w:rsidR="002B769F" w:rsidRPr="00B4003A">
        <w:rPr>
          <w:rFonts w:ascii="Century Schoolbook" w:hAnsi="Century Schoolbook"/>
        </w:rPr>
        <w:t>’</w:t>
      </w:r>
      <w:r w:rsidRPr="00B4003A">
        <w:rPr>
          <w:rFonts w:ascii="Century Schoolbook" w:hAnsi="Century Schoolbook"/>
        </w:rPr>
        <w:t>ordinamento civile, di competenza legislativa esclusiva dello Stato</w:t>
      </w:r>
      <w:r w:rsidR="002B769F" w:rsidRPr="00B4003A">
        <w:rPr>
          <w:rFonts w:ascii="Century Schoolbook" w:hAnsi="Century Schoolbook"/>
        </w:rPr>
        <w:t>”</w:t>
      </w:r>
      <w:r w:rsidRPr="00B4003A">
        <w:rPr>
          <w:rFonts w:ascii="Century Schoolbook" w:hAnsi="Century Schoolbook"/>
        </w:rPr>
        <w:t xml:space="preserve"> (sentenza n. 232 del 2005). Nondimeno, si è altresì sottolineato, che quando i fabbricati insistono su di un territorio che può avere, rispetto ad altri – per ragioni naturali e storiche – specifiche caratteristiche, </w:t>
      </w:r>
      <w:r w:rsidR="002B769F" w:rsidRPr="00B4003A">
        <w:rPr>
          <w:rFonts w:ascii="Century Schoolbook" w:hAnsi="Century Schoolbook"/>
        </w:rPr>
        <w:t>“</w:t>
      </w:r>
      <w:r w:rsidRPr="00B4003A">
        <w:rPr>
          <w:rFonts w:ascii="Century Schoolbook" w:hAnsi="Century Schoolbook"/>
        </w:rPr>
        <w:t>la disciplina che li riguarda – e in particolare quella dei loro rapporti nel territorio stesso – esorbita dai limiti propri dei rapporti interprivati e tocca anche interessi pubblici</w:t>
      </w:r>
      <w:r w:rsidR="005472B1" w:rsidRPr="00B4003A">
        <w:rPr>
          <w:rFonts w:ascii="Century Schoolbook" w:hAnsi="Century Schoolbook"/>
        </w:rPr>
        <w:t>”</w:t>
      </w:r>
      <w:r w:rsidRPr="00B4003A">
        <w:rPr>
          <w:rFonts w:ascii="Century Schoolbook" w:hAnsi="Century Schoolbook"/>
        </w:rPr>
        <w:t>, la cui cura deve ritenersi affidata anche alle Regioni perché attratta all</w:t>
      </w:r>
      <w:r w:rsidR="002B769F" w:rsidRPr="00B4003A">
        <w:rPr>
          <w:rFonts w:ascii="Century Schoolbook" w:hAnsi="Century Schoolbook"/>
        </w:rPr>
        <w:t>’</w:t>
      </w:r>
      <w:r w:rsidRPr="00B4003A">
        <w:rPr>
          <w:rFonts w:ascii="Century Schoolbook" w:hAnsi="Century Schoolbook"/>
        </w:rPr>
        <w:t>ambito di competenza concorrente del governo del territorio (si veda sempre la sentenza n. 232 del 2005)</w:t>
      </w:r>
      <w:r w:rsidR="005472B1" w:rsidRPr="00B4003A">
        <w:rPr>
          <w:rFonts w:ascii="Century Schoolbook" w:hAnsi="Century Schoolbook"/>
        </w:rPr>
        <w:t>. In questa cornice si è dunque affermato che “alle Regioni è consentito fissare limiti in deroga alle distanze minime stabilite nelle normative statali, solo a condizione che la deroga sia giustificata dall'esigenza di soddisfare interessi pubblici legati al governo del territorio. Dunque, se da un lato non può essere del tutto esclusa una competenza legislativa regionale relativa alle distanze tra gli edifici, dall’altro essa, interferendo con l’ordinamento civile, è rigorosamente circoscritta dal suo scopo – il governo del territorio – che ne detta anche le modalità di esercizio” (sentenza n. 6 del 2013; nello stesso senso, da ultimo, anche le sentenze n. 231, n. 189, n. 185 e n. 178 del 2016)</w:t>
      </w:r>
      <w:r w:rsidR="002B769F" w:rsidRPr="00B4003A">
        <w:rPr>
          <w:rFonts w:ascii="Century Schoolbook" w:hAnsi="Century Schoolbook"/>
        </w:rPr>
        <w:t>»</w:t>
      </w:r>
      <w:r w:rsidRPr="00B4003A">
        <w:rPr>
          <w:rFonts w:ascii="Century Schoolbook" w:hAnsi="Century Schoolbook"/>
        </w:rPr>
        <w:t xml:space="preserve">. </w:t>
      </w:r>
    </w:p>
    <w:p w14:paraId="6D40EE25" w14:textId="03BABFAC" w:rsidR="002B769F" w:rsidRPr="00B4003A" w:rsidRDefault="002B769F" w:rsidP="008303BA">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In sintesi. </w:t>
      </w:r>
      <w:r w:rsidRPr="001F1DDD">
        <w:rPr>
          <w:rFonts w:ascii="Century Schoolbook" w:hAnsi="Century Schoolbook"/>
          <w:highlight w:val="yellow"/>
        </w:rPr>
        <w:t>Le norme sulle distanze che regolano rapporti privati concernono</w:t>
      </w:r>
      <w:r w:rsidR="003F46AE" w:rsidRPr="001F1DDD">
        <w:rPr>
          <w:rFonts w:ascii="Century Schoolbook" w:hAnsi="Century Schoolbook"/>
          <w:highlight w:val="yellow"/>
        </w:rPr>
        <w:t xml:space="preserve"> </w:t>
      </w:r>
      <w:r w:rsidRPr="001F1DDD">
        <w:rPr>
          <w:rFonts w:ascii="Century Schoolbook" w:hAnsi="Century Schoolbook"/>
          <w:highlight w:val="yellow"/>
        </w:rPr>
        <w:t>l’</w:t>
      </w:r>
      <w:r w:rsidR="003F46AE" w:rsidRPr="001F1DDD">
        <w:rPr>
          <w:rFonts w:ascii="Century Schoolbook" w:hAnsi="Century Schoolbook"/>
          <w:highlight w:val="yellow"/>
        </w:rPr>
        <w:t xml:space="preserve">ordinamento civile </w:t>
      </w:r>
      <w:r w:rsidR="00B442BB" w:rsidRPr="001F1DDD">
        <w:rPr>
          <w:rFonts w:ascii="Century Schoolbook" w:hAnsi="Century Schoolbook"/>
          <w:highlight w:val="yellow"/>
        </w:rPr>
        <w:t xml:space="preserve">e quindi </w:t>
      </w:r>
      <w:r w:rsidRPr="001F1DDD">
        <w:rPr>
          <w:rFonts w:ascii="Century Schoolbook" w:hAnsi="Century Schoolbook"/>
          <w:highlight w:val="yellow"/>
        </w:rPr>
        <w:t xml:space="preserve">ricadono nella </w:t>
      </w:r>
      <w:r w:rsidR="00B442BB" w:rsidRPr="001F1DDD">
        <w:rPr>
          <w:rFonts w:ascii="Century Schoolbook" w:hAnsi="Century Schoolbook"/>
          <w:highlight w:val="yellow"/>
        </w:rPr>
        <w:t>competenza esclusiva statale</w:t>
      </w:r>
      <w:r w:rsidRPr="001F1DDD">
        <w:rPr>
          <w:rFonts w:ascii="Century Schoolbook" w:hAnsi="Century Schoolbook"/>
          <w:highlight w:val="yellow"/>
        </w:rPr>
        <w:t>;</w:t>
      </w:r>
      <w:r w:rsidR="00B442BB" w:rsidRPr="001F1DDD">
        <w:rPr>
          <w:rFonts w:ascii="Century Schoolbook" w:hAnsi="Century Schoolbook"/>
          <w:highlight w:val="yellow"/>
        </w:rPr>
        <w:t xml:space="preserve"> </w:t>
      </w:r>
      <w:r w:rsidRPr="001F1DDD">
        <w:rPr>
          <w:rFonts w:ascii="Century Schoolbook" w:hAnsi="Century Schoolbook"/>
          <w:highlight w:val="yellow"/>
        </w:rPr>
        <w:t>se invece si esorbita dalle relazioni puntuali interdominicali e si attinge il livello pianificatorio (</w:t>
      </w:r>
      <w:r w:rsidR="008D230E" w:rsidRPr="001F1DDD">
        <w:rPr>
          <w:rFonts w:ascii="Century Schoolbook" w:hAnsi="Century Schoolbook"/>
          <w:highlight w:val="yellow"/>
        </w:rPr>
        <w:t>anc</w:t>
      </w:r>
      <w:r w:rsidR="00323089" w:rsidRPr="001F1DDD">
        <w:rPr>
          <w:rFonts w:ascii="Century Schoolbook" w:hAnsi="Century Schoolbook"/>
          <w:highlight w:val="yellow"/>
        </w:rPr>
        <w:t>orché</w:t>
      </w:r>
      <w:r w:rsidR="008D230E" w:rsidRPr="001F1DDD">
        <w:rPr>
          <w:rFonts w:ascii="Century Schoolbook" w:hAnsi="Century Schoolbook"/>
          <w:highlight w:val="yellow"/>
        </w:rPr>
        <w:t xml:space="preserve"> l</w:t>
      </w:r>
      <w:r w:rsidR="00B246BC" w:rsidRPr="001F1DDD">
        <w:rPr>
          <w:rFonts w:ascii="Century Schoolbook" w:hAnsi="Century Schoolbook"/>
          <w:highlight w:val="yellow"/>
        </w:rPr>
        <w:t>e</w:t>
      </w:r>
      <w:r w:rsidR="008D230E" w:rsidRPr="001F1DDD">
        <w:rPr>
          <w:rFonts w:ascii="Century Schoolbook" w:hAnsi="Century Schoolbook"/>
          <w:highlight w:val="yellow"/>
        </w:rPr>
        <w:t xml:space="preserve"> </w:t>
      </w:r>
      <w:r w:rsidR="008D230E" w:rsidRPr="001F1DDD">
        <w:rPr>
          <w:rFonts w:ascii="Century Schoolbook" w:hAnsi="Century Schoolbook"/>
          <w:i/>
          <w:iCs/>
          <w:highlight w:val="yellow"/>
        </w:rPr>
        <w:t>figura</w:t>
      </w:r>
      <w:r w:rsidR="00B246BC" w:rsidRPr="001F1DDD">
        <w:rPr>
          <w:rFonts w:ascii="Century Schoolbook" w:hAnsi="Century Schoolbook"/>
          <w:i/>
          <w:iCs/>
          <w:highlight w:val="yellow"/>
        </w:rPr>
        <w:t>e</w:t>
      </w:r>
      <w:r w:rsidR="008D230E" w:rsidRPr="001F1DDD">
        <w:rPr>
          <w:rFonts w:ascii="Century Schoolbook" w:hAnsi="Century Schoolbook"/>
          <w:highlight w:val="yellow"/>
        </w:rPr>
        <w:t xml:space="preserve"> in concreto scelt</w:t>
      </w:r>
      <w:r w:rsidR="00B246BC" w:rsidRPr="001F1DDD">
        <w:rPr>
          <w:rFonts w:ascii="Century Schoolbook" w:hAnsi="Century Schoolbook"/>
          <w:highlight w:val="yellow"/>
        </w:rPr>
        <w:t>e</w:t>
      </w:r>
      <w:r w:rsidR="008D230E" w:rsidRPr="001F1DDD">
        <w:rPr>
          <w:rFonts w:ascii="Century Schoolbook" w:hAnsi="Century Schoolbook"/>
          <w:highlight w:val="yellow"/>
        </w:rPr>
        <w:t xml:space="preserve"> non sia</w:t>
      </w:r>
      <w:r w:rsidR="00B246BC" w:rsidRPr="001F1DDD">
        <w:rPr>
          <w:rFonts w:ascii="Century Schoolbook" w:hAnsi="Century Schoolbook"/>
          <w:highlight w:val="yellow"/>
        </w:rPr>
        <w:t>no</w:t>
      </w:r>
      <w:r w:rsidR="008D230E" w:rsidRPr="001F1DDD">
        <w:rPr>
          <w:rFonts w:ascii="Century Schoolbook" w:hAnsi="Century Schoolbook"/>
          <w:highlight w:val="yellow"/>
        </w:rPr>
        <w:t xml:space="preserve"> i classic</w:t>
      </w:r>
      <w:r w:rsidR="00B246BC" w:rsidRPr="001F1DDD">
        <w:rPr>
          <w:rFonts w:ascii="Century Schoolbook" w:hAnsi="Century Schoolbook"/>
          <w:highlight w:val="yellow"/>
        </w:rPr>
        <w:t>i</w:t>
      </w:r>
      <w:r w:rsidR="008D230E" w:rsidRPr="001F1DDD">
        <w:rPr>
          <w:rFonts w:ascii="Century Schoolbook" w:hAnsi="Century Schoolbook"/>
          <w:highlight w:val="yellow"/>
        </w:rPr>
        <w:t xml:space="preserve"> </w:t>
      </w:r>
      <w:r w:rsidR="00E8334F" w:rsidRPr="001F1DDD">
        <w:rPr>
          <w:rFonts w:ascii="Century Schoolbook" w:hAnsi="Century Schoolbook"/>
          <w:highlight w:val="yellow"/>
        </w:rPr>
        <w:t xml:space="preserve">piani di lottizzazione o piani particolareggiati, </w:t>
      </w:r>
      <w:r w:rsidR="008D230E" w:rsidRPr="001F1DDD">
        <w:rPr>
          <w:rFonts w:ascii="Century Schoolbook" w:hAnsi="Century Schoolbook"/>
          <w:highlight w:val="yellow"/>
        </w:rPr>
        <w:t>ma sia</w:t>
      </w:r>
      <w:r w:rsidR="00E8334F" w:rsidRPr="001F1DDD">
        <w:rPr>
          <w:rFonts w:ascii="Century Schoolbook" w:hAnsi="Century Schoolbook"/>
          <w:highlight w:val="yellow"/>
        </w:rPr>
        <w:t>no</w:t>
      </w:r>
      <w:r w:rsidRPr="001F1DDD">
        <w:rPr>
          <w:rFonts w:ascii="Century Schoolbook" w:hAnsi="Century Schoolbook"/>
          <w:highlight w:val="yellow"/>
        </w:rPr>
        <w:t xml:space="preserve"> </w:t>
      </w:r>
      <w:r w:rsidR="00AF306F" w:rsidRPr="001F1DDD">
        <w:rPr>
          <w:rFonts w:ascii="Century Schoolbook" w:hAnsi="Century Schoolbook"/>
          <w:highlight w:val="yellow"/>
        </w:rPr>
        <w:t xml:space="preserve">invece </w:t>
      </w:r>
      <w:r w:rsidRPr="001F1DDD">
        <w:rPr>
          <w:rFonts w:ascii="Century Schoolbook" w:hAnsi="Century Schoolbook"/>
          <w:highlight w:val="yellow"/>
        </w:rPr>
        <w:t>atipic</w:t>
      </w:r>
      <w:r w:rsidR="00E8334F" w:rsidRPr="001F1DDD">
        <w:rPr>
          <w:rFonts w:ascii="Century Schoolbook" w:hAnsi="Century Schoolbook"/>
          <w:highlight w:val="yellow"/>
        </w:rPr>
        <w:t>he</w:t>
      </w:r>
      <w:r w:rsidR="00E8334F" w:rsidRPr="001F1DDD">
        <w:rPr>
          <w:rStyle w:val="Rimandonotaapidipagina"/>
          <w:rFonts w:ascii="Century Schoolbook" w:hAnsi="Century Schoolbook"/>
          <w:highlight w:val="yellow"/>
        </w:rPr>
        <w:footnoteReference w:id="17"/>
      </w:r>
      <w:r w:rsidR="008D230E" w:rsidRPr="001F1DDD">
        <w:rPr>
          <w:rFonts w:ascii="Century Schoolbook" w:hAnsi="Century Schoolbook"/>
          <w:highlight w:val="yellow"/>
        </w:rPr>
        <w:t>),</w:t>
      </w:r>
      <w:r w:rsidRPr="001F1DDD">
        <w:rPr>
          <w:rFonts w:ascii="Century Schoolbook" w:hAnsi="Century Schoolbook"/>
          <w:highlight w:val="yellow"/>
        </w:rPr>
        <w:t xml:space="preserve"> </w:t>
      </w:r>
      <w:r w:rsidR="008D230E" w:rsidRPr="001F1DDD">
        <w:rPr>
          <w:rFonts w:ascii="Century Schoolbook" w:hAnsi="Century Schoolbook"/>
          <w:highlight w:val="yellow"/>
        </w:rPr>
        <w:t xml:space="preserve">versiamo nel campo del </w:t>
      </w:r>
      <w:r w:rsidR="00B442BB" w:rsidRPr="001F1DDD">
        <w:rPr>
          <w:rFonts w:ascii="Century Schoolbook" w:hAnsi="Century Schoolbook"/>
          <w:highlight w:val="yellow"/>
        </w:rPr>
        <w:t>governo del territorio</w:t>
      </w:r>
      <w:r w:rsidR="008D230E" w:rsidRPr="001F1DDD">
        <w:rPr>
          <w:rFonts w:ascii="Century Schoolbook" w:hAnsi="Century Schoolbook"/>
          <w:highlight w:val="yellow"/>
        </w:rPr>
        <w:t>, onde la</w:t>
      </w:r>
      <w:r w:rsidR="00B442BB" w:rsidRPr="001F1DDD">
        <w:rPr>
          <w:rFonts w:ascii="Century Schoolbook" w:hAnsi="Century Schoolbook"/>
          <w:highlight w:val="yellow"/>
        </w:rPr>
        <w:t xml:space="preserve"> competenza concorrente</w:t>
      </w:r>
      <w:r w:rsidR="008D230E" w:rsidRPr="001F1DDD">
        <w:rPr>
          <w:rFonts w:ascii="Century Schoolbook" w:hAnsi="Century Schoolbook"/>
          <w:highlight w:val="yellow"/>
        </w:rPr>
        <w:t xml:space="preserve"> fra Stato e Regioni</w:t>
      </w:r>
      <w:r w:rsidR="005472B1" w:rsidRPr="001F1DDD">
        <w:rPr>
          <w:rFonts w:ascii="Century Schoolbook" w:hAnsi="Century Schoolbook"/>
          <w:highlight w:val="yellow"/>
        </w:rPr>
        <w:t xml:space="preserve">, le quali possono </w:t>
      </w:r>
      <w:r w:rsidR="00AF306F" w:rsidRPr="001F1DDD">
        <w:rPr>
          <w:rFonts w:ascii="Century Schoolbook" w:hAnsi="Century Schoolbook"/>
          <w:highlight w:val="yellow"/>
        </w:rPr>
        <w:t>derogare alle distanze minime stabilite dalle norme statali</w:t>
      </w:r>
      <w:r w:rsidR="008D230E" w:rsidRPr="001F1DDD">
        <w:rPr>
          <w:rFonts w:ascii="Century Schoolbook" w:hAnsi="Century Schoolbook"/>
          <w:highlight w:val="yellow"/>
        </w:rPr>
        <w:t>.</w:t>
      </w:r>
      <w:r w:rsidR="00B442BB" w:rsidRPr="00B4003A">
        <w:rPr>
          <w:rFonts w:ascii="Century Schoolbook" w:hAnsi="Century Schoolbook"/>
        </w:rPr>
        <w:t xml:space="preserve"> </w:t>
      </w:r>
    </w:p>
    <w:p w14:paraId="3A8694F2" w14:textId="2C649DF4" w:rsidR="00AF306F" w:rsidRPr="00B4003A" w:rsidRDefault="008D230E" w:rsidP="00AF306F">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In quest’ultimo caso, la compresenza di due soggetti pubblici pone il problema di individuare il criterio </w:t>
      </w:r>
      <w:r w:rsidR="009A5C09" w:rsidRPr="00B4003A">
        <w:rPr>
          <w:rFonts w:ascii="Century Schoolbook" w:hAnsi="Century Schoolbook"/>
        </w:rPr>
        <w:t>onde scrutinare la legittimità o meno d</w:t>
      </w:r>
      <w:r w:rsidR="00323089" w:rsidRPr="00B4003A">
        <w:rPr>
          <w:rFonts w:ascii="Century Schoolbook" w:hAnsi="Century Schoolbook"/>
        </w:rPr>
        <w:t xml:space="preserve">i una specifica </w:t>
      </w:r>
      <w:r w:rsidR="009A5C09" w:rsidRPr="00B4003A">
        <w:rPr>
          <w:rFonts w:ascii="Century Schoolbook" w:hAnsi="Century Schoolbook"/>
        </w:rPr>
        <w:t>scelt</w:t>
      </w:r>
      <w:r w:rsidR="00323089" w:rsidRPr="00B4003A">
        <w:rPr>
          <w:rFonts w:ascii="Century Schoolbook" w:hAnsi="Century Schoolbook"/>
        </w:rPr>
        <w:t>a</w:t>
      </w:r>
      <w:r w:rsidR="009A5C09" w:rsidRPr="00B4003A">
        <w:rPr>
          <w:rFonts w:ascii="Century Schoolbook" w:hAnsi="Century Schoolbook"/>
        </w:rPr>
        <w:t xml:space="preserve"> </w:t>
      </w:r>
      <w:r w:rsidR="00AF306F" w:rsidRPr="00B4003A">
        <w:rPr>
          <w:rFonts w:ascii="Century Schoolbook" w:hAnsi="Century Schoolbook"/>
        </w:rPr>
        <w:t>regional</w:t>
      </w:r>
      <w:r w:rsidR="00323089" w:rsidRPr="00B4003A">
        <w:rPr>
          <w:rFonts w:ascii="Century Schoolbook" w:hAnsi="Century Schoolbook"/>
        </w:rPr>
        <w:t>e</w:t>
      </w:r>
      <w:r w:rsidR="00AF306F" w:rsidRPr="00B4003A">
        <w:rPr>
          <w:rFonts w:ascii="Century Schoolbook" w:hAnsi="Century Schoolbook"/>
        </w:rPr>
        <w:t xml:space="preserve"> </w:t>
      </w:r>
      <w:r w:rsidR="009A5C09" w:rsidRPr="00B4003A">
        <w:rPr>
          <w:rFonts w:ascii="Century Schoolbook" w:hAnsi="Century Schoolbook"/>
        </w:rPr>
        <w:t>deroga</w:t>
      </w:r>
      <w:r w:rsidR="00AF306F" w:rsidRPr="00B4003A">
        <w:rPr>
          <w:rFonts w:ascii="Century Schoolbook" w:hAnsi="Century Schoolbook"/>
        </w:rPr>
        <w:t>tori</w:t>
      </w:r>
      <w:r w:rsidR="00323089" w:rsidRPr="00B4003A">
        <w:rPr>
          <w:rFonts w:ascii="Century Schoolbook" w:hAnsi="Century Schoolbook"/>
        </w:rPr>
        <w:t>a</w:t>
      </w:r>
      <w:r w:rsidR="00AF306F" w:rsidRPr="00B4003A">
        <w:rPr>
          <w:rFonts w:ascii="Century Schoolbook" w:hAnsi="Century Schoolbook"/>
        </w:rPr>
        <w:t>. La Consulta</w:t>
      </w:r>
      <w:r w:rsidR="00B442BB" w:rsidRPr="00B4003A">
        <w:rPr>
          <w:rFonts w:ascii="Century Schoolbook" w:hAnsi="Century Schoolbook"/>
        </w:rPr>
        <w:t xml:space="preserve"> ha individuato il «punto di equilibrio» nell’art. 9</w:t>
      </w:r>
      <w:r w:rsidR="00F4182A" w:rsidRPr="00B4003A">
        <w:rPr>
          <w:rFonts w:ascii="Century Schoolbook" w:hAnsi="Century Schoolbook"/>
        </w:rPr>
        <w:t>, ultimo comma</w:t>
      </w:r>
      <w:r w:rsidR="00323089" w:rsidRPr="00B4003A">
        <w:rPr>
          <w:rFonts w:ascii="Century Schoolbook" w:hAnsi="Century Schoolbook"/>
        </w:rPr>
        <w:t>,</w:t>
      </w:r>
      <w:r w:rsidR="00B442BB" w:rsidRPr="00B4003A">
        <w:rPr>
          <w:rFonts w:ascii="Century Schoolbook" w:hAnsi="Century Schoolbook"/>
        </w:rPr>
        <w:t xml:space="preserve"> del d.m.</w:t>
      </w:r>
      <w:r w:rsidR="00AF306F" w:rsidRPr="00B4003A">
        <w:rPr>
          <w:rFonts w:ascii="Century Schoolbook" w:hAnsi="Century Schoolbook"/>
        </w:rPr>
        <w:t xml:space="preserve"> n. 1444/’68. </w:t>
      </w:r>
      <w:r w:rsidR="00E35EC9" w:rsidRPr="00B4003A">
        <w:rPr>
          <w:rFonts w:ascii="Century Schoolbook" w:hAnsi="Century Schoolbook"/>
        </w:rPr>
        <w:t>È</w:t>
      </w:r>
      <w:r w:rsidR="00AF306F" w:rsidRPr="00B4003A">
        <w:rPr>
          <w:rFonts w:ascii="Century Schoolbook" w:hAnsi="Century Schoolbook"/>
        </w:rPr>
        <w:t xml:space="preserve"> ancora </w:t>
      </w:r>
      <w:r w:rsidR="00F4182A" w:rsidRPr="00B4003A">
        <w:rPr>
          <w:rFonts w:ascii="Century Schoolbook" w:hAnsi="Century Schoolbook"/>
        </w:rPr>
        <w:t xml:space="preserve">C. cost. </w:t>
      </w:r>
      <w:r w:rsidR="00AF306F" w:rsidRPr="00B4003A">
        <w:rPr>
          <w:rFonts w:ascii="Century Schoolbook" w:hAnsi="Century Schoolbook"/>
        </w:rPr>
        <w:t xml:space="preserve">n. </w:t>
      </w:r>
      <w:r w:rsidR="00F4182A" w:rsidRPr="00B4003A">
        <w:rPr>
          <w:rFonts w:ascii="Century Schoolbook" w:hAnsi="Century Schoolbook"/>
        </w:rPr>
        <w:t>41/’17,</w:t>
      </w:r>
      <w:r w:rsidR="008C2430" w:rsidRPr="00B4003A">
        <w:rPr>
          <w:rFonts w:ascii="Century Schoolbook" w:hAnsi="Century Schoolbook"/>
        </w:rPr>
        <w:t xml:space="preserve"> cit.</w:t>
      </w:r>
      <w:r w:rsidR="00E35EC9" w:rsidRPr="00B4003A">
        <w:rPr>
          <w:rFonts w:ascii="Century Schoolbook" w:hAnsi="Century Schoolbook"/>
        </w:rPr>
        <w:t>, a parlare</w:t>
      </w:r>
      <w:r w:rsidR="00AF306F" w:rsidRPr="00B4003A">
        <w:rPr>
          <w:rFonts w:ascii="Century Schoolbook" w:hAnsi="Century Schoolbook"/>
        </w:rPr>
        <w:t>:</w:t>
      </w:r>
      <w:r w:rsidR="00F4182A" w:rsidRPr="00B4003A">
        <w:rPr>
          <w:rFonts w:ascii="Century Schoolbook" w:hAnsi="Century Schoolbook"/>
        </w:rPr>
        <w:t xml:space="preserve"> «</w:t>
      </w:r>
      <w:r w:rsidR="00F4182A" w:rsidRPr="00B4003A">
        <w:rPr>
          <w:rFonts w:ascii="Century Schoolbook" w:hAnsi="Century Schoolbook"/>
          <w:lang w:eastAsia="it-IT"/>
        </w:rPr>
        <w:t>la deroga alla disciplina delle distanze realizzata dagli strumenti urbanistici deve, in conclusione, ritenersi legittima sempre che faccia riferimento ad una pluralità di fabbricati (</w:t>
      </w:r>
      <w:r w:rsidR="00AF306F" w:rsidRPr="00B4003A">
        <w:rPr>
          <w:rFonts w:ascii="Century Schoolbook" w:hAnsi="Century Schoolbook"/>
          <w:lang w:eastAsia="it-IT"/>
        </w:rPr>
        <w:t>“</w:t>
      </w:r>
      <w:r w:rsidR="00F4182A" w:rsidRPr="00B4003A">
        <w:rPr>
          <w:rFonts w:ascii="Century Schoolbook" w:hAnsi="Century Schoolbook"/>
          <w:lang w:eastAsia="it-IT"/>
        </w:rPr>
        <w:t>gruppi di edifici</w:t>
      </w:r>
      <w:r w:rsidR="00AF306F" w:rsidRPr="00B4003A">
        <w:rPr>
          <w:rFonts w:ascii="Century Schoolbook" w:hAnsi="Century Schoolbook"/>
          <w:lang w:eastAsia="it-IT"/>
        </w:rPr>
        <w:t>”</w:t>
      </w:r>
      <w:r w:rsidR="00F4182A" w:rsidRPr="00B4003A">
        <w:rPr>
          <w:rFonts w:ascii="Century Schoolbook" w:hAnsi="Century Schoolbook"/>
          <w:lang w:eastAsia="it-IT"/>
        </w:rPr>
        <w:t>) e sia fondata su previsioni planovolumetriche che evidenzino, cioè, una capacità progettuale tale da definire i rapporti spazio-dimensionali e architettonici delle varie costruzioni considerate come fossero un edificio unitario (</w:t>
      </w:r>
      <w:hyperlink w:anchor="/ricerca/fonti_documento?idDatabank=7&amp;idDocMaster=1813017&amp;idUnitaDoc=5653559&amp;nVigUnitaDoc=1&amp;docIdx=1&amp;isCorrelazioniSearch=true&amp;correlatoA=Giurisprudenza" w:history="1">
        <w:r w:rsidR="00F4182A" w:rsidRPr="00B4003A">
          <w:rPr>
            <w:rStyle w:val="alink"/>
            <w:rFonts w:ascii="Century Schoolbook" w:hAnsi="Century Schoolbook"/>
            <w:lang w:eastAsia="it-IT"/>
          </w:rPr>
          <w:t>art. 9, ultimo comma, del d.m. n. 1444 del 1968</w:t>
        </w:r>
      </w:hyperlink>
      <w:r w:rsidR="00F4182A" w:rsidRPr="00B4003A">
        <w:rPr>
          <w:rFonts w:ascii="Century Schoolbook" w:hAnsi="Century Schoolbook"/>
          <w:lang w:eastAsia="it-IT"/>
        </w:rPr>
        <w:t>)».</w:t>
      </w:r>
    </w:p>
    <w:p w14:paraId="7F263406" w14:textId="3ECCD90B" w:rsidR="005F3B88" w:rsidRPr="00B4003A" w:rsidRDefault="006F3FD3" w:rsidP="00AF306F">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Ribadendo la vigenza del principio di pianificazione anche in tema di distanze (tranne che nei rapporti </w:t>
      </w:r>
      <w:r w:rsidR="00AF306F" w:rsidRPr="00B4003A">
        <w:rPr>
          <w:rFonts w:ascii="Century Schoolbook" w:hAnsi="Century Schoolbook"/>
        </w:rPr>
        <w:t>privatistici fra fondi finitimi</w:t>
      </w:r>
      <w:r w:rsidRPr="00B4003A">
        <w:rPr>
          <w:rFonts w:ascii="Century Schoolbook" w:hAnsi="Century Schoolbook"/>
        </w:rPr>
        <w:t xml:space="preserve">), la Corte ha </w:t>
      </w:r>
      <w:r w:rsidR="00323089" w:rsidRPr="00B4003A">
        <w:rPr>
          <w:rFonts w:ascii="Century Schoolbook" w:hAnsi="Century Schoolbook"/>
        </w:rPr>
        <w:t xml:space="preserve">dunque </w:t>
      </w:r>
      <w:r w:rsidRPr="00B4003A">
        <w:rPr>
          <w:rFonts w:ascii="Century Schoolbook" w:hAnsi="Century Schoolbook"/>
        </w:rPr>
        <w:t xml:space="preserve">reso un </w:t>
      </w:r>
      <w:r w:rsidR="00F33B5B" w:rsidRPr="00B4003A">
        <w:rPr>
          <w:rFonts w:ascii="Century Schoolbook" w:hAnsi="Century Schoolbook"/>
        </w:rPr>
        <w:t xml:space="preserve">cattivo </w:t>
      </w:r>
      <w:r w:rsidRPr="00B4003A">
        <w:rPr>
          <w:rFonts w:ascii="Century Schoolbook" w:hAnsi="Century Schoolbook"/>
        </w:rPr>
        <w:t>servizio a</w:t>
      </w:r>
      <w:r w:rsidR="00F33B5B" w:rsidRPr="00B4003A">
        <w:rPr>
          <w:rFonts w:ascii="Century Schoolbook" w:hAnsi="Century Schoolbook"/>
        </w:rPr>
        <w:t>gl</w:t>
      </w:r>
      <w:r w:rsidRPr="00B4003A">
        <w:rPr>
          <w:rFonts w:ascii="Century Schoolbook" w:hAnsi="Century Schoolbook"/>
        </w:rPr>
        <w:t xml:space="preserve">i interessi </w:t>
      </w:r>
      <w:r w:rsidR="00E35EC9" w:rsidRPr="00B4003A">
        <w:rPr>
          <w:rFonts w:ascii="Century Schoolbook" w:hAnsi="Century Schoolbook"/>
        </w:rPr>
        <w:t>che vorrebbero</w:t>
      </w:r>
      <w:r w:rsidRPr="00B4003A">
        <w:rPr>
          <w:rFonts w:ascii="Century Schoolbook" w:hAnsi="Century Schoolbook"/>
        </w:rPr>
        <w:t xml:space="preserve"> trasformare il territorio senza subire vincoli di piano, e dunque senza </w:t>
      </w:r>
      <w:r w:rsidR="00323089" w:rsidRPr="00B4003A">
        <w:rPr>
          <w:rFonts w:ascii="Century Schoolbook" w:hAnsi="Century Schoolbook"/>
        </w:rPr>
        <w:t xml:space="preserve">troppi </w:t>
      </w:r>
      <w:r w:rsidRPr="00B4003A">
        <w:rPr>
          <w:rFonts w:ascii="Century Schoolbook" w:hAnsi="Century Schoolbook"/>
        </w:rPr>
        <w:t>obblighi di reperimento di standard.</w:t>
      </w:r>
    </w:p>
    <w:p w14:paraId="78F91715" w14:textId="12E3A18D" w:rsidR="005A7BE3" w:rsidRPr="00B4003A" w:rsidRDefault="005A7BE3" w:rsidP="00AF306F">
      <w:pPr>
        <w:spacing w:before="240" w:after="240" w:line="360" w:lineRule="auto"/>
        <w:ind w:firstLine="709"/>
        <w:contextualSpacing/>
        <w:jc w:val="both"/>
        <w:rPr>
          <w:rFonts w:ascii="Century Schoolbook" w:hAnsi="Century Schoolbook"/>
        </w:rPr>
      </w:pPr>
      <w:r w:rsidRPr="00B4003A">
        <w:rPr>
          <w:rFonts w:ascii="Century Schoolbook" w:hAnsi="Century Schoolbook"/>
        </w:rPr>
        <w:t xml:space="preserve">Prima di proseguire, </w:t>
      </w:r>
      <w:r w:rsidR="00E8334F" w:rsidRPr="00B4003A">
        <w:rPr>
          <w:rFonts w:ascii="Century Schoolbook" w:hAnsi="Century Schoolbook"/>
        </w:rPr>
        <w:t xml:space="preserve">però, </w:t>
      </w:r>
      <w:r w:rsidRPr="00B4003A">
        <w:rPr>
          <w:rFonts w:ascii="Century Schoolbook" w:hAnsi="Century Schoolbook"/>
        </w:rPr>
        <w:t>devo sottolineare ancora una volta un punto che si rivelerà centrale: sin qu</w:t>
      </w:r>
      <w:r w:rsidR="000515B0" w:rsidRPr="00B4003A">
        <w:rPr>
          <w:rFonts w:ascii="Century Schoolbook" w:hAnsi="Century Schoolbook"/>
        </w:rPr>
        <w:t>i</w:t>
      </w:r>
      <w:r w:rsidRPr="00B4003A">
        <w:rPr>
          <w:rFonts w:ascii="Century Schoolbook" w:hAnsi="Century Schoolbook"/>
        </w:rPr>
        <w:t xml:space="preserve"> l</w:t>
      </w:r>
      <w:r w:rsidR="00323089" w:rsidRPr="00B4003A">
        <w:rPr>
          <w:rFonts w:ascii="Century Schoolbook" w:hAnsi="Century Schoolbook"/>
        </w:rPr>
        <w:t>’</w:t>
      </w:r>
      <w:r w:rsidR="000515B0" w:rsidRPr="00B4003A">
        <w:rPr>
          <w:rFonts w:ascii="Century Schoolbook" w:hAnsi="Century Schoolbook"/>
        </w:rPr>
        <w:t>a</w:t>
      </w:r>
      <w:r w:rsidR="00A359B4" w:rsidRPr="00B4003A">
        <w:rPr>
          <w:rFonts w:ascii="Century Schoolbook" w:hAnsi="Century Schoolbook"/>
        </w:rPr>
        <w:t>ggressione</w:t>
      </w:r>
      <w:r w:rsidR="00323089" w:rsidRPr="00B4003A">
        <w:rPr>
          <w:rFonts w:ascii="Century Schoolbook" w:hAnsi="Century Schoolbook"/>
        </w:rPr>
        <w:t xml:space="preserve"> (sventata)</w:t>
      </w:r>
      <w:r w:rsidR="000515B0" w:rsidRPr="00B4003A">
        <w:rPr>
          <w:rFonts w:ascii="Century Schoolbook" w:hAnsi="Century Schoolbook"/>
        </w:rPr>
        <w:t xml:space="preserve"> a</w:t>
      </w:r>
      <w:r w:rsidRPr="00B4003A">
        <w:rPr>
          <w:rFonts w:ascii="Century Schoolbook" w:hAnsi="Century Schoolbook"/>
        </w:rPr>
        <w:t>l decreto n. 1444</w:t>
      </w:r>
      <w:r w:rsidR="00A359B4" w:rsidRPr="00B4003A">
        <w:rPr>
          <w:rFonts w:ascii="Century Schoolbook" w:hAnsi="Century Schoolbook"/>
        </w:rPr>
        <w:t xml:space="preserve"> </w:t>
      </w:r>
      <w:r w:rsidR="000515B0" w:rsidRPr="00B4003A">
        <w:rPr>
          <w:rFonts w:ascii="Century Schoolbook" w:hAnsi="Century Schoolbook"/>
        </w:rPr>
        <w:t xml:space="preserve">aveva </w:t>
      </w:r>
      <w:r w:rsidR="00E8334F" w:rsidRPr="00B4003A">
        <w:rPr>
          <w:rFonts w:ascii="Century Schoolbook" w:hAnsi="Century Schoolbook"/>
        </w:rPr>
        <w:t xml:space="preserve">avuto come obbiettivo </w:t>
      </w:r>
      <w:r w:rsidR="000515B0" w:rsidRPr="00B4003A">
        <w:rPr>
          <w:rFonts w:ascii="Century Schoolbook" w:hAnsi="Century Schoolbook"/>
          <w:i/>
          <w:iCs/>
        </w:rPr>
        <w:t>soltanto le norme</w:t>
      </w:r>
      <w:r w:rsidR="00E8334F" w:rsidRPr="00B4003A">
        <w:rPr>
          <w:rFonts w:ascii="Century Schoolbook" w:hAnsi="Century Schoolbook"/>
          <w:i/>
          <w:iCs/>
        </w:rPr>
        <w:t xml:space="preserve"> generali,</w:t>
      </w:r>
      <w:r w:rsidR="000515B0" w:rsidRPr="00B4003A">
        <w:rPr>
          <w:rFonts w:ascii="Century Schoolbook" w:hAnsi="Century Schoolbook"/>
          <w:i/>
          <w:iCs/>
        </w:rPr>
        <w:t xml:space="preserve"> ivi racchiuse</w:t>
      </w:r>
      <w:r w:rsidR="00E8334F" w:rsidRPr="00B4003A">
        <w:rPr>
          <w:rFonts w:ascii="Century Schoolbook" w:hAnsi="Century Schoolbook"/>
          <w:i/>
          <w:iCs/>
        </w:rPr>
        <w:t>,</w:t>
      </w:r>
      <w:r w:rsidR="000515B0" w:rsidRPr="00B4003A">
        <w:rPr>
          <w:rFonts w:ascii="Century Schoolbook" w:hAnsi="Century Schoolbook"/>
          <w:i/>
          <w:iCs/>
        </w:rPr>
        <w:t xml:space="preserve"> in tema di distanze</w:t>
      </w:r>
      <w:r w:rsidR="00B246BC" w:rsidRPr="00B4003A">
        <w:rPr>
          <w:rFonts w:ascii="Century Schoolbook" w:hAnsi="Century Schoolbook"/>
        </w:rPr>
        <w:t>.</w:t>
      </w:r>
    </w:p>
    <w:p w14:paraId="4E7E8A87" w14:textId="67953FB9" w:rsidR="006F3FD3" w:rsidRPr="00B4003A" w:rsidRDefault="006F3FD3" w:rsidP="00BD0A9B">
      <w:pPr>
        <w:spacing w:line="360" w:lineRule="auto"/>
        <w:ind w:firstLine="709"/>
        <w:contextualSpacing/>
        <w:jc w:val="both"/>
        <w:rPr>
          <w:rFonts w:ascii="Century Schoolbook" w:hAnsi="Century Schoolbook"/>
        </w:rPr>
      </w:pPr>
    </w:p>
    <w:p w14:paraId="0D9A743C" w14:textId="65B8C698" w:rsidR="00A359B4" w:rsidRPr="00B4003A" w:rsidRDefault="00A359B4" w:rsidP="00BD0A9B">
      <w:pPr>
        <w:spacing w:line="360" w:lineRule="auto"/>
        <w:ind w:firstLine="709"/>
        <w:contextualSpacing/>
        <w:jc w:val="both"/>
        <w:rPr>
          <w:rFonts w:ascii="Century Schoolbook" w:hAnsi="Century Schoolbook"/>
        </w:rPr>
      </w:pPr>
      <w:r w:rsidRPr="00B4003A">
        <w:rPr>
          <w:rFonts w:ascii="Century Schoolbook" w:hAnsi="Century Schoolbook"/>
        </w:rPr>
        <w:t>5</w:t>
      </w:r>
      <w:r w:rsidR="006F3FD3" w:rsidRPr="00B4003A">
        <w:rPr>
          <w:rFonts w:ascii="Century Schoolbook" w:hAnsi="Century Schoolbook"/>
        </w:rPr>
        <w:t xml:space="preserve">.- </w:t>
      </w:r>
      <w:r w:rsidR="006F3FD3" w:rsidRPr="001F1DDD">
        <w:rPr>
          <w:rFonts w:ascii="Century Schoolbook" w:hAnsi="Century Schoolbook"/>
          <w:highlight w:val="yellow"/>
        </w:rPr>
        <w:t xml:space="preserve">L’attacco </w:t>
      </w:r>
      <w:r w:rsidRPr="001F1DDD">
        <w:rPr>
          <w:rFonts w:ascii="Century Schoolbook" w:hAnsi="Century Schoolbook"/>
          <w:highlight w:val="yellow"/>
        </w:rPr>
        <w:t>a tutto campo</w:t>
      </w:r>
      <w:r w:rsidR="006F3FD3" w:rsidRPr="001F1DDD">
        <w:rPr>
          <w:rFonts w:ascii="Century Schoolbook" w:hAnsi="Century Schoolbook"/>
          <w:highlight w:val="yellow"/>
        </w:rPr>
        <w:t xml:space="preserve"> arriva nel 2013</w:t>
      </w:r>
      <w:r w:rsidR="00763B64" w:rsidRPr="001F1DDD">
        <w:rPr>
          <w:rFonts w:ascii="Century Schoolbook" w:hAnsi="Century Schoolbook"/>
          <w:highlight w:val="yellow"/>
        </w:rPr>
        <w:t>.</w:t>
      </w:r>
    </w:p>
    <w:p w14:paraId="1A548656" w14:textId="74D66FCB" w:rsidR="00A359B4" w:rsidRPr="00B4003A" w:rsidRDefault="00A359B4" w:rsidP="00BD0A9B">
      <w:pPr>
        <w:spacing w:line="360" w:lineRule="auto"/>
        <w:ind w:firstLine="709"/>
        <w:contextualSpacing/>
        <w:jc w:val="both"/>
        <w:rPr>
          <w:rFonts w:ascii="Century Schoolbook" w:hAnsi="Century Schoolbook"/>
        </w:rPr>
      </w:pPr>
      <w:r w:rsidRPr="00B4003A">
        <w:rPr>
          <w:rFonts w:ascii="Century Schoolbook" w:hAnsi="Century Schoolbook"/>
        </w:rPr>
        <w:t>Siamo a</w:t>
      </w:r>
      <w:r w:rsidR="00F34488" w:rsidRPr="00B4003A">
        <w:rPr>
          <w:rFonts w:ascii="Century Schoolbook" w:hAnsi="Century Schoolbook"/>
        </w:rPr>
        <w:t>l Senato, i</w:t>
      </w:r>
      <w:r w:rsidR="00763B64" w:rsidRPr="00B4003A">
        <w:rPr>
          <w:rFonts w:ascii="Century Schoolbook" w:hAnsi="Century Schoolbook"/>
        </w:rPr>
        <w:t>n sede di conversione del d</w:t>
      </w:r>
      <w:r w:rsidRPr="00B4003A">
        <w:rPr>
          <w:rFonts w:ascii="Century Schoolbook" w:hAnsi="Century Schoolbook"/>
        </w:rPr>
        <w:t>.l.</w:t>
      </w:r>
      <w:r w:rsidR="00763B64" w:rsidRPr="00B4003A">
        <w:rPr>
          <w:rFonts w:ascii="Century Schoolbook" w:hAnsi="Century Schoolbook"/>
        </w:rPr>
        <w:t xml:space="preserve"> </w:t>
      </w:r>
      <w:r w:rsidR="00DA3CC9" w:rsidRPr="00B4003A">
        <w:rPr>
          <w:rFonts w:ascii="Century Schoolbook" w:hAnsi="Century Schoolbook"/>
        </w:rPr>
        <w:t>21 giugno 2013, n.</w:t>
      </w:r>
      <w:r w:rsidR="00452AA3" w:rsidRPr="00B4003A">
        <w:rPr>
          <w:rFonts w:ascii="Century Schoolbook" w:hAnsi="Century Schoolbook"/>
        </w:rPr>
        <w:t xml:space="preserve"> </w:t>
      </w:r>
      <w:r w:rsidR="00DA3CC9" w:rsidRPr="00B4003A">
        <w:rPr>
          <w:rFonts w:ascii="Century Schoolbook" w:hAnsi="Century Schoolbook"/>
        </w:rPr>
        <w:t>69, recante «Disposizioni urgenti per il rilancio dell</w:t>
      </w:r>
      <w:r w:rsidR="003C2888" w:rsidRPr="00B4003A">
        <w:rPr>
          <w:rFonts w:ascii="Century Schoolbook" w:hAnsi="Century Schoolbook"/>
        </w:rPr>
        <w:t>’</w:t>
      </w:r>
      <w:r w:rsidR="00DA3CC9" w:rsidRPr="00B4003A">
        <w:rPr>
          <w:rFonts w:ascii="Century Schoolbook" w:hAnsi="Century Schoolbook"/>
        </w:rPr>
        <w:t xml:space="preserve">economia» </w:t>
      </w:r>
      <w:r w:rsidR="00EC6441" w:rsidRPr="00B4003A">
        <w:rPr>
          <w:rFonts w:ascii="Century Schoolbook" w:hAnsi="Century Schoolbook"/>
        </w:rPr>
        <w:t>(</w:t>
      </w:r>
      <w:r w:rsidR="00DA3CC9" w:rsidRPr="00B4003A">
        <w:rPr>
          <w:rFonts w:ascii="Century Schoolbook" w:hAnsi="Century Schoolbook"/>
          <w:i/>
          <w:iCs/>
        </w:rPr>
        <w:t>vulgo</w:t>
      </w:r>
      <w:r w:rsidR="00DA3CC9" w:rsidRPr="00B4003A">
        <w:rPr>
          <w:rFonts w:ascii="Century Schoolbook" w:hAnsi="Century Schoolbook"/>
        </w:rPr>
        <w:t xml:space="preserve">, </w:t>
      </w:r>
      <w:r w:rsidR="008F7E05" w:rsidRPr="00B4003A">
        <w:rPr>
          <w:rFonts w:ascii="Century Schoolbook" w:hAnsi="Century Schoolbook"/>
        </w:rPr>
        <w:t xml:space="preserve">decreto legge </w:t>
      </w:r>
      <w:r w:rsidR="00E35EC9" w:rsidRPr="00B4003A">
        <w:rPr>
          <w:rFonts w:ascii="Century Schoolbook" w:hAnsi="Century Schoolbook"/>
        </w:rPr>
        <w:t>“</w:t>
      </w:r>
      <w:r w:rsidR="00763B64" w:rsidRPr="00B4003A">
        <w:rPr>
          <w:rFonts w:ascii="Century Schoolbook" w:hAnsi="Century Schoolbook"/>
        </w:rPr>
        <w:t>del fare</w:t>
      </w:r>
      <w:r w:rsidR="00E35EC9" w:rsidRPr="00B4003A">
        <w:rPr>
          <w:rFonts w:ascii="Century Schoolbook" w:hAnsi="Century Schoolbook"/>
        </w:rPr>
        <w:t>”</w:t>
      </w:r>
      <w:r w:rsidR="00EC6441" w:rsidRPr="00B4003A">
        <w:rPr>
          <w:rFonts w:ascii="Century Schoolbook" w:hAnsi="Century Schoolbook"/>
        </w:rPr>
        <w:t>)</w:t>
      </w:r>
      <w:r w:rsidRPr="00B4003A">
        <w:rPr>
          <w:rFonts w:ascii="Century Schoolbook" w:hAnsi="Century Schoolbook"/>
        </w:rPr>
        <w:t>.</w:t>
      </w:r>
    </w:p>
    <w:p w14:paraId="25ABF7B6" w14:textId="5633BC94" w:rsidR="00010226" w:rsidRPr="00B4003A" w:rsidRDefault="003C2888" w:rsidP="00010226">
      <w:pPr>
        <w:spacing w:line="360" w:lineRule="auto"/>
        <w:ind w:firstLine="709"/>
        <w:contextualSpacing/>
        <w:jc w:val="both"/>
        <w:rPr>
          <w:rFonts w:ascii="Century Schoolbook" w:hAnsi="Century Schoolbook"/>
        </w:rPr>
      </w:pPr>
      <w:r w:rsidRPr="00B4003A">
        <w:rPr>
          <w:rFonts w:ascii="Century Schoolbook" w:hAnsi="Century Schoolbook"/>
        </w:rPr>
        <w:t xml:space="preserve">Vi </w:t>
      </w:r>
      <w:r w:rsidR="00EF0473" w:rsidRPr="00B4003A">
        <w:rPr>
          <w:rFonts w:ascii="Century Schoolbook" w:hAnsi="Century Schoolbook"/>
        </w:rPr>
        <w:t>è</w:t>
      </w:r>
      <w:r w:rsidRPr="00B4003A">
        <w:rPr>
          <w:rFonts w:ascii="Century Schoolbook" w:hAnsi="Century Schoolbook"/>
        </w:rPr>
        <w:t xml:space="preserve"> </w:t>
      </w:r>
      <w:r w:rsidR="00D5128D" w:rsidRPr="00B4003A">
        <w:rPr>
          <w:rFonts w:ascii="Century Schoolbook" w:hAnsi="Century Schoolbook"/>
        </w:rPr>
        <w:t xml:space="preserve">molta </w:t>
      </w:r>
      <w:r w:rsidRPr="00B4003A">
        <w:rPr>
          <w:rFonts w:ascii="Century Schoolbook" w:hAnsi="Century Schoolbook"/>
        </w:rPr>
        <w:t>fretta</w:t>
      </w:r>
      <w:r w:rsidR="00D5128D" w:rsidRPr="00B4003A">
        <w:rPr>
          <w:rFonts w:ascii="Century Schoolbook" w:hAnsi="Century Schoolbook"/>
        </w:rPr>
        <w:t>:</w:t>
      </w:r>
      <w:r w:rsidRPr="00B4003A">
        <w:rPr>
          <w:rFonts w:ascii="Century Schoolbook" w:hAnsi="Century Schoolbook"/>
        </w:rPr>
        <w:t xml:space="preserve"> </w:t>
      </w:r>
      <w:r w:rsidR="00E35EC9" w:rsidRPr="00B4003A">
        <w:rPr>
          <w:rFonts w:ascii="Century Schoolbook" w:hAnsi="Century Schoolbook"/>
        </w:rPr>
        <w:t xml:space="preserve">forse </w:t>
      </w:r>
      <w:r w:rsidR="00D5128D" w:rsidRPr="00B4003A">
        <w:rPr>
          <w:rFonts w:ascii="Century Schoolbook" w:hAnsi="Century Schoolbook"/>
        </w:rPr>
        <w:t>d</w:t>
      </w:r>
      <w:r w:rsidRPr="00B4003A">
        <w:rPr>
          <w:rFonts w:ascii="Century Schoolbook" w:hAnsi="Century Schoolbook"/>
        </w:rPr>
        <w:t xml:space="preserve">i mettere in sicurezza il Paese con </w:t>
      </w:r>
      <w:r w:rsidR="00EF0473" w:rsidRPr="00B4003A">
        <w:rPr>
          <w:rFonts w:ascii="Century Schoolbook" w:hAnsi="Century Schoolbook"/>
        </w:rPr>
        <w:t xml:space="preserve">una </w:t>
      </w:r>
      <w:r w:rsidRPr="00B4003A">
        <w:rPr>
          <w:rFonts w:ascii="Century Schoolbook" w:hAnsi="Century Schoolbook"/>
        </w:rPr>
        <w:t>no</w:t>
      </w:r>
      <w:r w:rsidR="00D5128D" w:rsidRPr="00B4003A">
        <w:rPr>
          <w:rFonts w:ascii="Century Schoolbook" w:hAnsi="Century Schoolbook"/>
        </w:rPr>
        <w:t xml:space="preserve">rmazione </w:t>
      </w:r>
      <w:r w:rsidR="00323089" w:rsidRPr="00B4003A">
        <w:rPr>
          <w:rFonts w:ascii="Century Schoolbook" w:hAnsi="Century Schoolbook"/>
        </w:rPr>
        <w:t>im</w:t>
      </w:r>
      <w:r w:rsidR="00EF0473" w:rsidRPr="00B4003A">
        <w:rPr>
          <w:rFonts w:ascii="Century Schoolbook" w:hAnsi="Century Schoolbook"/>
        </w:rPr>
        <w:t>procrastina</w:t>
      </w:r>
      <w:r w:rsidR="00323089" w:rsidRPr="00B4003A">
        <w:rPr>
          <w:rFonts w:ascii="Century Schoolbook" w:hAnsi="Century Schoolbook"/>
        </w:rPr>
        <w:t>bile</w:t>
      </w:r>
      <w:r w:rsidR="00EF0473" w:rsidRPr="00B4003A">
        <w:rPr>
          <w:rFonts w:ascii="Century Schoolbook" w:hAnsi="Century Schoolbook"/>
        </w:rPr>
        <w:t xml:space="preserve">; o </w:t>
      </w:r>
      <w:r w:rsidR="00010226" w:rsidRPr="00B4003A">
        <w:rPr>
          <w:rFonts w:ascii="Century Schoolbook" w:hAnsi="Century Schoolbook"/>
        </w:rPr>
        <w:t xml:space="preserve">forse </w:t>
      </w:r>
      <w:r w:rsidR="00EF0473" w:rsidRPr="00B4003A">
        <w:rPr>
          <w:rFonts w:ascii="Century Schoolbook" w:hAnsi="Century Schoolbook"/>
        </w:rPr>
        <w:t xml:space="preserve">di andare in ferie, poiché si è </w:t>
      </w:r>
      <w:r w:rsidR="00010226" w:rsidRPr="00B4003A">
        <w:rPr>
          <w:rFonts w:ascii="Century Schoolbook" w:hAnsi="Century Schoolbook"/>
        </w:rPr>
        <w:t xml:space="preserve">ormai </w:t>
      </w:r>
      <w:r w:rsidR="00EF0473" w:rsidRPr="00B4003A">
        <w:rPr>
          <w:rFonts w:ascii="Century Schoolbook" w:hAnsi="Century Schoolbook"/>
        </w:rPr>
        <w:t xml:space="preserve">ad agosto. </w:t>
      </w:r>
      <w:r w:rsidRPr="00B4003A">
        <w:rPr>
          <w:rFonts w:ascii="Century Schoolbook" w:hAnsi="Century Schoolbook"/>
        </w:rPr>
        <w:t>Per cui i</w:t>
      </w:r>
      <w:r w:rsidR="00EF1823" w:rsidRPr="00B4003A">
        <w:rPr>
          <w:rFonts w:ascii="Century Schoolbook" w:hAnsi="Century Schoolbook"/>
        </w:rPr>
        <w:t xml:space="preserve"> due rami del Parlamento </w:t>
      </w:r>
      <w:r w:rsidRPr="00B4003A">
        <w:rPr>
          <w:rFonts w:ascii="Century Schoolbook" w:hAnsi="Century Schoolbook"/>
        </w:rPr>
        <w:t>conclu</w:t>
      </w:r>
      <w:r w:rsidR="00EF0473" w:rsidRPr="00B4003A">
        <w:rPr>
          <w:rFonts w:ascii="Century Schoolbook" w:hAnsi="Century Schoolbook"/>
        </w:rPr>
        <w:t>d</w:t>
      </w:r>
      <w:r w:rsidRPr="00B4003A">
        <w:rPr>
          <w:rFonts w:ascii="Century Schoolbook" w:hAnsi="Century Schoolbook"/>
        </w:rPr>
        <w:t>o</w:t>
      </w:r>
      <w:r w:rsidR="00EF0473" w:rsidRPr="00B4003A">
        <w:rPr>
          <w:rFonts w:ascii="Century Schoolbook" w:hAnsi="Century Schoolbook"/>
        </w:rPr>
        <w:t>no</w:t>
      </w:r>
      <w:r w:rsidRPr="00B4003A">
        <w:rPr>
          <w:rFonts w:ascii="Century Schoolbook" w:hAnsi="Century Schoolbook"/>
        </w:rPr>
        <w:t xml:space="preserve"> un</w:t>
      </w:r>
      <w:r w:rsidR="00EF0473" w:rsidRPr="00B4003A">
        <w:rPr>
          <w:rFonts w:ascii="Century Schoolbook" w:hAnsi="Century Schoolbook"/>
        </w:rPr>
        <w:t>a sorta di</w:t>
      </w:r>
      <w:r w:rsidRPr="00B4003A">
        <w:rPr>
          <w:rFonts w:ascii="Century Schoolbook" w:hAnsi="Century Schoolbook"/>
        </w:rPr>
        <w:t xml:space="preserve"> accordo fra gentiluomini: </w:t>
      </w:r>
      <w:r w:rsidRPr="00B4003A">
        <w:rPr>
          <w:rFonts w:ascii="Century Schoolbook" w:hAnsi="Century Schoolbook"/>
          <w:i/>
          <w:iCs/>
        </w:rPr>
        <w:t>tutte</w:t>
      </w:r>
      <w:r w:rsidRPr="00B4003A">
        <w:rPr>
          <w:rFonts w:ascii="Century Schoolbook" w:hAnsi="Century Schoolbook"/>
        </w:rPr>
        <w:t xml:space="preserve"> le modifiche da apportare al decreto sar</w:t>
      </w:r>
      <w:r w:rsidR="00EF0473" w:rsidRPr="00B4003A">
        <w:rPr>
          <w:rFonts w:ascii="Century Schoolbook" w:hAnsi="Century Schoolbook"/>
        </w:rPr>
        <w:t>anno</w:t>
      </w:r>
      <w:r w:rsidRPr="00B4003A">
        <w:rPr>
          <w:rFonts w:ascii="Century Schoolbook" w:hAnsi="Century Schoolbook"/>
        </w:rPr>
        <w:t xml:space="preserve"> fatte alla Camera; il Senato approv</w:t>
      </w:r>
      <w:r w:rsidR="00EF0473" w:rsidRPr="00B4003A">
        <w:rPr>
          <w:rFonts w:ascii="Century Schoolbook" w:hAnsi="Century Schoolbook"/>
        </w:rPr>
        <w:t>erà</w:t>
      </w:r>
      <w:r w:rsidRPr="00B4003A">
        <w:rPr>
          <w:rFonts w:ascii="Century Schoolbook" w:hAnsi="Century Schoolbook"/>
        </w:rPr>
        <w:t xml:space="preserve"> </w:t>
      </w:r>
      <w:r w:rsidR="00010226" w:rsidRPr="00B4003A">
        <w:rPr>
          <w:rFonts w:ascii="Century Schoolbook" w:hAnsi="Century Schoolbook"/>
        </w:rPr>
        <w:t xml:space="preserve">poi </w:t>
      </w:r>
      <w:r w:rsidRPr="00B4003A">
        <w:rPr>
          <w:rFonts w:ascii="Century Schoolbook" w:hAnsi="Century Schoolbook"/>
        </w:rPr>
        <w:t>il testo senza introdurre ulteriori variazioni.</w:t>
      </w:r>
      <w:r w:rsidR="00010226" w:rsidRPr="00B4003A">
        <w:rPr>
          <w:rFonts w:ascii="Century Schoolbook" w:hAnsi="Century Schoolbook"/>
        </w:rPr>
        <w:t xml:space="preserve"> A Montecitorio si </w:t>
      </w:r>
      <w:r w:rsidR="00323089" w:rsidRPr="00B4003A">
        <w:rPr>
          <w:rFonts w:ascii="Century Schoolbook" w:hAnsi="Century Schoolbook"/>
        </w:rPr>
        <w:t xml:space="preserve">lavora di </w:t>
      </w:r>
      <w:r w:rsidR="00010226" w:rsidRPr="00B4003A">
        <w:rPr>
          <w:rFonts w:ascii="Century Schoolbook" w:hAnsi="Century Schoolbook"/>
        </w:rPr>
        <w:t>not</w:t>
      </w:r>
      <w:r w:rsidR="00323089" w:rsidRPr="00B4003A">
        <w:rPr>
          <w:rFonts w:ascii="Century Schoolbook" w:hAnsi="Century Schoolbook"/>
        </w:rPr>
        <w:t>t</w:t>
      </w:r>
      <w:r w:rsidR="00010226" w:rsidRPr="00B4003A">
        <w:rPr>
          <w:rFonts w:ascii="Century Schoolbook" w:hAnsi="Century Schoolbook"/>
        </w:rPr>
        <w:t>e.</w:t>
      </w:r>
    </w:p>
    <w:p w14:paraId="6F772E89" w14:textId="2D59AA95" w:rsidR="00010226" w:rsidRPr="00B4003A" w:rsidRDefault="00EF0473"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Ma il </w:t>
      </w:r>
      <w:r w:rsidRPr="00B4003A">
        <w:rPr>
          <w:rFonts w:ascii="Century Schoolbook" w:hAnsi="Century Schoolbook"/>
          <w:i/>
          <w:iCs/>
        </w:rPr>
        <w:t xml:space="preserve">gentlemen </w:t>
      </w:r>
      <w:proofErr w:type="spellStart"/>
      <w:r w:rsidRPr="00B4003A">
        <w:rPr>
          <w:rFonts w:ascii="Century Schoolbook" w:hAnsi="Century Schoolbook"/>
          <w:i/>
          <w:iCs/>
        </w:rPr>
        <w:t>agreement</w:t>
      </w:r>
      <w:proofErr w:type="spellEnd"/>
      <w:r w:rsidRPr="00B4003A">
        <w:rPr>
          <w:rFonts w:ascii="Century Schoolbook" w:hAnsi="Century Schoolbook"/>
        </w:rPr>
        <w:t xml:space="preserve"> salta </w:t>
      </w:r>
      <w:r w:rsidR="00010226" w:rsidRPr="00B4003A">
        <w:rPr>
          <w:rFonts w:ascii="Century Schoolbook" w:hAnsi="Century Schoolbook"/>
        </w:rPr>
        <w:t>(</w:t>
      </w:r>
      <w:r w:rsidRPr="00B4003A">
        <w:rPr>
          <w:rFonts w:ascii="Century Schoolbook" w:hAnsi="Century Schoolbook"/>
        </w:rPr>
        <w:t xml:space="preserve">il che susciterà </w:t>
      </w:r>
      <w:r w:rsidR="00010226" w:rsidRPr="00B4003A">
        <w:rPr>
          <w:rFonts w:ascii="Century Schoolbook" w:hAnsi="Century Schoolbook"/>
        </w:rPr>
        <w:t xml:space="preserve">poi </w:t>
      </w:r>
      <w:r w:rsidRPr="00B4003A">
        <w:rPr>
          <w:rFonts w:ascii="Century Schoolbook" w:hAnsi="Century Schoolbook"/>
        </w:rPr>
        <w:t>proteste vivissime fra i deputati, costretti alla seconda lettura</w:t>
      </w:r>
      <w:r w:rsidR="00010226" w:rsidRPr="00B4003A">
        <w:rPr>
          <w:rFonts w:ascii="Century Schoolbook" w:hAnsi="Century Schoolbook"/>
        </w:rPr>
        <w:t>):</w:t>
      </w:r>
      <w:r w:rsidRPr="00B4003A">
        <w:rPr>
          <w:rFonts w:ascii="Century Schoolbook" w:hAnsi="Century Schoolbook"/>
        </w:rPr>
        <w:t xml:space="preserve"> </w:t>
      </w:r>
      <w:r w:rsidR="00010226" w:rsidRPr="00B4003A">
        <w:rPr>
          <w:rFonts w:ascii="Century Schoolbook" w:hAnsi="Century Schoolbook"/>
        </w:rPr>
        <w:t>i</w:t>
      </w:r>
      <w:r w:rsidRPr="00B4003A">
        <w:rPr>
          <w:rFonts w:ascii="Century Schoolbook" w:hAnsi="Century Schoolbook"/>
        </w:rPr>
        <w:t>l Senato</w:t>
      </w:r>
      <w:r w:rsidR="00010226" w:rsidRPr="00B4003A">
        <w:rPr>
          <w:rFonts w:ascii="Century Schoolbook" w:hAnsi="Century Schoolbook"/>
        </w:rPr>
        <w:t xml:space="preserve"> </w:t>
      </w:r>
      <w:r w:rsidRPr="00B4003A">
        <w:rPr>
          <w:rFonts w:ascii="Century Schoolbook" w:hAnsi="Century Schoolbook"/>
        </w:rPr>
        <w:t xml:space="preserve">modifica </w:t>
      </w:r>
      <w:r w:rsidR="00323089" w:rsidRPr="00B4003A">
        <w:rPr>
          <w:rFonts w:ascii="Century Schoolbook" w:hAnsi="Century Schoolbook"/>
        </w:rPr>
        <w:t xml:space="preserve">infatti </w:t>
      </w:r>
      <w:r w:rsidRPr="00B4003A">
        <w:rPr>
          <w:rFonts w:ascii="Century Schoolbook" w:hAnsi="Century Schoolbook"/>
        </w:rPr>
        <w:t>il testo</w:t>
      </w:r>
      <w:r w:rsidR="00010226" w:rsidRPr="00B4003A">
        <w:rPr>
          <w:rFonts w:ascii="Century Schoolbook" w:hAnsi="Century Schoolbook"/>
        </w:rPr>
        <w:t xml:space="preserve"> ricevuto dalla Camera.</w:t>
      </w:r>
    </w:p>
    <w:p w14:paraId="6A576F95" w14:textId="24DAB06A" w:rsidR="00552675" w:rsidRPr="00B4003A" w:rsidRDefault="00323089" w:rsidP="00E800AC">
      <w:pPr>
        <w:spacing w:line="360" w:lineRule="auto"/>
        <w:ind w:firstLine="709"/>
        <w:contextualSpacing/>
        <w:jc w:val="both"/>
        <w:rPr>
          <w:rFonts w:ascii="Century Schoolbook" w:hAnsi="Century Schoolbook"/>
        </w:rPr>
      </w:pPr>
      <w:r w:rsidRPr="00B4003A">
        <w:rPr>
          <w:rFonts w:ascii="Century Schoolbook" w:hAnsi="Century Schoolbook"/>
        </w:rPr>
        <w:t>Ora, f</w:t>
      </w:r>
      <w:r w:rsidR="00010226" w:rsidRPr="00B4003A">
        <w:rPr>
          <w:rFonts w:ascii="Century Schoolbook" w:hAnsi="Century Schoolbook"/>
        </w:rPr>
        <w:t xml:space="preserve">ra gli emendamenti che Palazzo Madama approva incurante del </w:t>
      </w:r>
      <w:proofErr w:type="spellStart"/>
      <w:r w:rsidR="00010226" w:rsidRPr="00B4003A">
        <w:rPr>
          <w:rFonts w:ascii="Century Schoolbook" w:hAnsi="Century Schoolbook"/>
          <w:i/>
          <w:iCs/>
        </w:rPr>
        <w:t>pactum</w:t>
      </w:r>
      <w:proofErr w:type="spellEnd"/>
      <w:r w:rsidR="00010226" w:rsidRPr="00B4003A">
        <w:rPr>
          <w:rFonts w:ascii="Century Schoolbook" w:hAnsi="Century Schoolbook"/>
        </w:rPr>
        <w:t xml:space="preserve">, ve n’è uno </w:t>
      </w:r>
      <w:r w:rsidR="00293C9A" w:rsidRPr="00B4003A">
        <w:rPr>
          <w:rFonts w:ascii="Century Schoolbook" w:hAnsi="Century Schoolbook"/>
        </w:rPr>
        <w:t xml:space="preserve">che </w:t>
      </w:r>
      <w:r w:rsidR="00E03505" w:rsidRPr="00B4003A">
        <w:rPr>
          <w:rFonts w:ascii="Century Schoolbook" w:hAnsi="Century Schoolbook"/>
        </w:rPr>
        <w:t>riguarda l’art. 30</w:t>
      </w:r>
      <w:r w:rsidR="00A1360D" w:rsidRPr="00B4003A">
        <w:rPr>
          <w:rFonts w:ascii="Century Schoolbook" w:hAnsi="Century Schoolbook"/>
        </w:rPr>
        <w:t xml:space="preserve"> del</w:t>
      </w:r>
      <w:r w:rsidR="00E03505" w:rsidRPr="00B4003A">
        <w:rPr>
          <w:rFonts w:ascii="Century Schoolbook" w:hAnsi="Century Schoolbook"/>
        </w:rPr>
        <w:t xml:space="preserve"> </w:t>
      </w:r>
      <w:r w:rsidR="00A1360D" w:rsidRPr="00B4003A">
        <w:rPr>
          <w:rFonts w:ascii="Century Schoolbook" w:hAnsi="Century Schoolbook"/>
        </w:rPr>
        <w:t>d.l.</w:t>
      </w:r>
      <w:r w:rsidR="00E03505" w:rsidRPr="00B4003A">
        <w:rPr>
          <w:rFonts w:ascii="Century Schoolbook" w:hAnsi="Century Schoolbook"/>
        </w:rPr>
        <w:t xml:space="preserve"> </w:t>
      </w:r>
      <w:r w:rsidR="00A1360D" w:rsidRPr="00B4003A">
        <w:rPr>
          <w:rFonts w:ascii="Century Schoolbook" w:hAnsi="Century Schoolbook"/>
        </w:rPr>
        <w:t xml:space="preserve">n. 69/’13 </w:t>
      </w:r>
      <w:r w:rsidR="00E03505" w:rsidRPr="00B4003A">
        <w:rPr>
          <w:rFonts w:ascii="Century Schoolbook" w:hAnsi="Century Schoolbook"/>
        </w:rPr>
        <w:t>in esame</w:t>
      </w:r>
      <w:r w:rsidR="00552675" w:rsidRPr="00B4003A">
        <w:rPr>
          <w:rFonts w:ascii="Century Schoolbook" w:hAnsi="Century Schoolbook"/>
        </w:rPr>
        <w:t>.</w:t>
      </w:r>
    </w:p>
    <w:p w14:paraId="0DD88BCE" w14:textId="14DD4BAB" w:rsidR="00E03505" w:rsidRPr="00B4003A" w:rsidRDefault="00A1360D" w:rsidP="00E800AC">
      <w:pPr>
        <w:spacing w:line="360" w:lineRule="auto"/>
        <w:ind w:firstLine="709"/>
        <w:contextualSpacing/>
        <w:jc w:val="both"/>
        <w:rPr>
          <w:rFonts w:ascii="Century Schoolbook" w:hAnsi="Century Schoolbook"/>
        </w:rPr>
      </w:pPr>
      <w:r w:rsidRPr="00B4003A">
        <w:rPr>
          <w:rFonts w:ascii="Century Schoolbook" w:hAnsi="Century Schoolbook"/>
        </w:rPr>
        <w:t xml:space="preserve">Nella stesura governativa </w:t>
      </w:r>
      <w:r w:rsidR="00552675" w:rsidRPr="00B4003A">
        <w:rPr>
          <w:rFonts w:ascii="Century Schoolbook" w:hAnsi="Century Schoolbook"/>
        </w:rPr>
        <w:t>l</w:t>
      </w:r>
      <w:r w:rsidR="00E800AC" w:rsidRPr="00B4003A">
        <w:rPr>
          <w:rFonts w:ascii="Century Schoolbook" w:hAnsi="Century Schoolbook"/>
        </w:rPr>
        <w:t xml:space="preserve">’art. 30 cit. </w:t>
      </w:r>
      <w:r w:rsidR="00552675" w:rsidRPr="00B4003A">
        <w:rPr>
          <w:rFonts w:ascii="Century Schoolbook" w:hAnsi="Century Schoolbook"/>
        </w:rPr>
        <w:t>novella</w:t>
      </w:r>
      <w:r w:rsidR="00AC2016" w:rsidRPr="00B4003A">
        <w:rPr>
          <w:rFonts w:ascii="Century Schoolbook" w:hAnsi="Century Schoolbook"/>
        </w:rPr>
        <w:t>va</w:t>
      </w:r>
      <w:r w:rsidR="00E800AC" w:rsidRPr="00B4003A">
        <w:rPr>
          <w:rFonts w:ascii="Century Schoolbook" w:hAnsi="Century Schoolbook"/>
        </w:rPr>
        <w:t xml:space="preserve"> il d.P.R. n. 380/’01 – </w:t>
      </w:r>
      <w:r w:rsidR="00606DA1" w:rsidRPr="00B4003A">
        <w:rPr>
          <w:rFonts w:ascii="Century Schoolbook" w:hAnsi="Century Schoolbook"/>
        </w:rPr>
        <w:t>t</w:t>
      </w:r>
      <w:r w:rsidR="00E800AC" w:rsidRPr="00B4003A">
        <w:rPr>
          <w:rFonts w:ascii="Century Schoolbook" w:hAnsi="Century Schoolbook"/>
        </w:rPr>
        <w:t>.u. in materia edilizia</w:t>
      </w:r>
      <w:r w:rsidR="00552675" w:rsidRPr="00B4003A">
        <w:rPr>
          <w:rFonts w:ascii="Century Schoolbook" w:hAnsi="Century Schoolbook"/>
        </w:rPr>
        <w:t>,</w:t>
      </w:r>
      <w:r w:rsidRPr="00B4003A">
        <w:rPr>
          <w:rFonts w:ascii="Century Schoolbook" w:hAnsi="Century Schoolbook"/>
        </w:rPr>
        <w:t xml:space="preserve"> </w:t>
      </w:r>
      <w:r w:rsidR="00552675" w:rsidRPr="00B4003A">
        <w:rPr>
          <w:rFonts w:ascii="Century Schoolbook" w:hAnsi="Century Schoolbook"/>
        </w:rPr>
        <w:t>introduce</w:t>
      </w:r>
      <w:r w:rsidRPr="00B4003A">
        <w:rPr>
          <w:rFonts w:ascii="Century Schoolbook" w:hAnsi="Century Schoolbook"/>
        </w:rPr>
        <w:t>ndovi</w:t>
      </w:r>
      <w:r w:rsidR="00552675" w:rsidRPr="00B4003A">
        <w:rPr>
          <w:rFonts w:ascii="Century Schoolbook" w:hAnsi="Century Schoolbook"/>
        </w:rPr>
        <w:t xml:space="preserve"> </w:t>
      </w:r>
      <w:r w:rsidRPr="00B4003A">
        <w:rPr>
          <w:rFonts w:ascii="Century Schoolbook" w:hAnsi="Century Schoolbook"/>
        </w:rPr>
        <w:t>alcune</w:t>
      </w:r>
      <w:r w:rsidR="00552675" w:rsidRPr="00B4003A">
        <w:rPr>
          <w:rFonts w:ascii="Century Schoolbook" w:hAnsi="Century Schoolbook"/>
        </w:rPr>
        <w:t xml:space="preserve"> norme di semplificazione </w:t>
      </w:r>
      <w:r w:rsidR="00AC2016" w:rsidRPr="00B4003A">
        <w:rPr>
          <w:rFonts w:ascii="Century Schoolbook" w:hAnsi="Century Schoolbook"/>
        </w:rPr>
        <w:t>(</w:t>
      </w:r>
      <w:r w:rsidR="00552675" w:rsidRPr="00B4003A">
        <w:rPr>
          <w:rFonts w:ascii="Century Schoolbook" w:hAnsi="Century Schoolbook"/>
        </w:rPr>
        <w:t xml:space="preserve">qui </w:t>
      </w:r>
      <w:r w:rsidRPr="00B4003A">
        <w:rPr>
          <w:rFonts w:ascii="Century Schoolbook" w:hAnsi="Century Schoolbook"/>
        </w:rPr>
        <w:t>inconfere</w:t>
      </w:r>
      <w:r w:rsidR="00552675" w:rsidRPr="00B4003A">
        <w:rPr>
          <w:rFonts w:ascii="Century Schoolbook" w:hAnsi="Century Schoolbook"/>
        </w:rPr>
        <w:t>nti</w:t>
      </w:r>
      <w:r w:rsidR="00AC2016" w:rsidRPr="00B4003A">
        <w:rPr>
          <w:rFonts w:ascii="Century Schoolbook" w:hAnsi="Century Schoolbook"/>
        </w:rPr>
        <w:t>)</w:t>
      </w:r>
      <w:r w:rsidR="00552675" w:rsidRPr="00B4003A">
        <w:rPr>
          <w:rFonts w:ascii="Century Schoolbook" w:hAnsi="Century Schoolbook"/>
        </w:rPr>
        <w:t>.</w:t>
      </w:r>
      <w:r w:rsidR="00E03505" w:rsidRPr="00B4003A">
        <w:rPr>
          <w:rFonts w:ascii="Century Schoolbook" w:hAnsi="Century Schoolbook"/>
        </w:rPr>
        <w:t xml:space="preserve"> </w:t>
      </w:r>
      <w:r w:rsidRPr="00B4003A">
        <w:rPr>
          <w:rFonts w:ascii="Century Schoolbook" w:hAnsi="Century Schoolbook"/>
        </w:rPr>
        <w:t>Ma ecco che a</w:t>
      </w:r>
      <w:r w:rsidR="00552675" w:rsidRPr="00B4003A">
        <w:rPr>
          <w:rFonts w:ascii="Century Schoolbook" w:hAnsi="Century Schoolbook"/>
        </w:rPr>
        <w:t xml:space="preserve">l Senato </w:t>
      </w:r>
      <w:r w:rsidR="00E03505" w:rsidRPr="00B4003A">
        <w:rPr>
          <w:rFonts w:ascii="Century Schoolbook" w:hAnsi="Century Schoolbook"/>
        </w:rPr>
        <w:t>si in</w:t>
      </w:r>
      <w:r w:rsidR="00552675" w:rsidRPr="00B4003A">
        <w:rPr>
          <w:rFonts w:ascii="Century Schoolbook" w:hAnsi="Century Schoolbook"/>
        </w:rPr>
        <w:t xml:space="preserve">terviene sul comma 1 </w:t>
      </w:r>
      <w:r w:rsidRPr="00B4003A">
        <w:rPr>
          <w:rFonts w:ascii="Century Schoolbook" w:hAnsi="Century Schoolbook"/>
        </w:rPr>
        <w:t>di quell’art. 30, premettendo</w:t>
      </w:r>
      <w:r w:rsidR="00552675" w:rsidRPr="00B4003A">
        <w:rPr>
          <w:rFonts w:ascii="Century Schoolbook" w:hAnsi="Century Schoolbook"/>
        </w:rPr>
        <w:t xml:space="preserve"> </w:t>
      </w:r>
      <w:r w:rsidR="00EC6441" w:rsidRPr="00B4003A">
        <w:rPr>
          <w:rFonts w:ascii="Century Schoolbook" w:hAnsi="Century Schoolbook"/>
        </w:rPr>
        <w:t>la lett</w:t>
      </w:r>
      <w:r w:rsidR="00E03505" w:rsidRPr="00B4003A">
        <w:rPr>
          <w:rFonts w:ascii="Century Schoolbook" w:hAnsi="Century Schoolbook"/>
          <w:i/>
          <w:iCs/>
        </w:rPr>
        <w:t>.</w:t>
      </w:r>
      <w:r w:rsidR="00EC6441" w:rsidRPr="00B4003A">
        <w:rPr>
          <w:rFonts w:ascii="Century Schoolbook" w:hAnsi="Century Schoolbook"/>
          <w:i/>
          <w:iCs/>
        </w:rPr>
        <w:t xml:space="preserve"> 0a)</w:t>
      </w:r>
      <w:r w:rsidR="00EC6441" w:rsidRPr="00B4003A">
        <w:rPr>
          <w:rFonts w:ascii="Century Schoolbook" w:hAnsi="Century Schoolbook"/>
        </w:rPr>
        <w:t xml:space="preserve"> </w:t>
      </w:r>
      <w:r w:rsidRPr="00B4003A">
        <w:rPr>
          <w:rFonts w:ascii="Century Schoolbook" w:hAnsi="Century Schoolbook"/>
        </w:rPr>
        <w:t>a</w:t>
      </w:r>
      <w:r w:rsidR="00E03505" w:rsidRPr="00B4003A">
        <w:rPr>
          <w:rFonts w:ascii="Century Schoolbook" w:hAnsi="Century Schoolbook"/>
        </w:rPr>
        <w:t xml:space="preserve">lla </w:t>
      </w:r>
      <w:r w:rsidRPr="00B4003A">
        <w:rPr>
          <w:rFonts w:ascii="Century Schoolbook" w:hAnsi="Century Schoolbook"/>
        </w:rPr>
        <w:t xml:space="preserve">già esistente </w:t>
      </w:r>
      <w:r w:rsidR="00E03505" w:rsidRPr="00B4003A">
        <w:rPr>
          <w:rFonts w:ascii="Century Schoolbook" w:hAnsi="Century Schoolbook"/>
        </w:rPr>
        <w:t>lett</w:t>
      </w:r>
      <w:r w:rsidR="00E03505" w:rsidRPr="00B4003A">
        <w:rPr>
          <w:rFonts w:ascii="Century Schoolbook" w:hAnsi="Century Schoolbook"/>
          <w:i/>
          <w:iCs/>
        </w:rPr>
        <w:t>. a)</w:t>
      </w:r>
      <w:r w:rsidRPr="00B4003A">
        <w:rPr>
          <w:rFonts w:ascii="Century Schoolbook" w:hAnsi="Century Schoolbook"/>
        </w:rPr>
        <w:t xml:space="preserve">. </w:t>
      </w:r>
    </w:p>
    <w:p w14:paraId="2676B7B4" w14:textId="48379DEF" w:rsidR="00F34488" w:rsidRPr="00B4003A" w:rsidRDefault="00A1360D" w:rsidP="00E03505">
      <w:pPr>
        <w:spacing w:line="360" w:lineRule="auto"/>
        <w:ind w:firstLine="709"/>
        <w:contextualSpacing/>
        <w:jc w:val="both"/>
        <w:rPr>
          <w:rFonts w:ascii="Century Schoolbook" w:hAnsi="Century Schoolbook"/>
        </w:rPr>
      </w:pPr>
      <w:r w:rsidRPr="00B4003A">
        <w:rPr>
          <w:rFonts w:ascii="Century Schoolbook" w:hAnsi="Century Schoolbook"/>
        </w:rPr>
        <w:t>Riporto</w:t>
      </w:r>
      <w:r w:rsidR="00606DA1" w:rsidRPr="00B4003A">
        <w:rPr>
          <w:rFonts w:ascii="Century Schoolbook" w:hAnsi="Century Schoolbook"/>
        </w:rPr>
        <w:t>,</w:t>
      </w:r>
      <w:r w:rsidR="00E03505" w:rsidRPr="00B4003A">
        <w:rPr>
          <w:rFonts w:ascii="Century Schoolbook" w:hAnsi="Century Schoolbook"/>
        </w:rPr>
        <w:t xml:space="preserve"> </w:t>
      </w:r>
      <w:r w:rsidR="00606DA1" w:rsidRPr="00B4003A">
        <w:rPr>
          <w:rFonts w:ascii="Century Schoolbook" w:hAnsi="Century Schoolbook"/>
        </w:rPr>
        <w:t xml:space="preserve">nella parte che qui rileva, </w:t>
      </w:r>
      <w:r w:rsidR="00E03505" w:rsidRPr="00B4003A">
        <w:rPr>
          <w:rFonts w:ascii="Century Schoolbook" w:hAnsi="Century Schoolbook"/>
        </w:rPr>
        <w:t xml:space="preserve">il testo </w:t>
      </w:r>
      <w:r w:rsidRPr="00B4003A">
        <w:rPr>
          <w:rFonts w:ascii="Century Schoolbook" w:hAnsi="Century Schoolbook"/>
        </w:rPr>
        <w:t xml:space="preserve">della lett. </w:t>
      </w:r>
      <w:r w:rsidRPr="00B4003A">
        <w:rPr>
          <w:rFonts w:ascii="Century Schoolbook" w:hAnsi="Century Schoolbook"/>
          <w:i/>
          <w:iCs/>
        </w:rPr>
        <w:t>0a)</w:t>
      </w:r>
      <w:r w:rsidR="00E03505" w:rsidRPr="00B4003A">
        <w:rPr>
          <w:rFonts w:ascii="Century Schoolbook" w:hAnsi="Century Schoolbook"/>
        </w:rPr>
        <w:t xml:space="preserve">: </w:t>
      </w:r>
      <w:r w:rsidR="0024069B" w:rsidRPr="00B4003A">
        <w:rPr>
          <w:rFonts w:ascii="Century Schoolbook" w:hAnsi="Century Schoolbook"/>
        </w:rPr>
        <w:t>«</w:t>
      </w:r>
      <w:r w:rsidR="00FB50A2" w:rsidRPr="00B4003A">
        <w:rPr>
          <w:rFonts w:ascii="Century Schoolbook" w:hAnsi="Century Schoolbook"/>
        </w:rPr>
        <w:t xml:space="preserve">dopo l’articolo 2, inserire il seguente: </w:t>
      </w:r>
      <w:r w:rsidR="00606DA1" w:rsidRPr="00B4003A">
        <w:rPr>
          <w:rFonts w:ascii="Century Schoolbook" w:hAnsi="Century Schoolbook"/>
        </w:rPr>
        <w:t>“</w:t>
      </w:r>
      <w:r w:rsidR="00FB50A2" w:rsidRPr="00B4003A">
        <w:rPr>
          <w:rFonts w:ascii="Century Schoolbook" w:hAnsi="Century Schoolbook"/>
        </w:rPr>
        <w:t>Art. 2-</w:t>
      </w:r>
      <w:r w:rsidR="00FB50A2" w:rsidRPr="00B4003A">
        <w:rPr>
          <w:rFonts w:ascii="Century Schoolbook" w:hAnsi="Century Schoolbook"/>
          <w:i/>
          <w:iCs/>
        </w:rPr>
        <w:t>bis</w:t>
      </w:r>
      <w:r w:rsidR="00FB50A2" w:rsidRPr="00B4003A">
        <w:rPr>
          <w:rFonts w:ascii="Century Schoolbook" w:hAnsi="Century Schoolbook"/>
        </w:rPr>
        <w:t>. - (Deroghe in materia di limiti di distanza tra fabbricati). -</w:t>
      </w:r>
      <w:r w:rsidR="00B362E5" w:rsidRPr="00B4003A">
        <w:rPr>
          <w:rFonts w:ascii="Century Schoolbook" w:hAnsi="Century Schoolbook"/>
        </w:rPr>
        <w:t xml:space="preserve">1. </w:t>
      </w:r>
      <w:r w:rsidR="00B362E5" w:rsidRPr="00B4003A">
        <w:rPr>
          <w:rFonts w:ascii="Century Schoolbook" w:hAnsi="Century Schoolbook"/>
          <w:i/>
          <w:iCs/>
        </w:rPr>
        <w:t>Ferma restando la competenza statale in materia di ordinamento civile con riferimento al diritto di proprietà e alle connesse norme del codice civile e alle disposizioni integrative</w:t>
      </w:r>
      <w:r w:rsidR="00B362E5" w:rsidRPr="00B4003A">
        <w:rPr>
          <w:rFonts w:ascii="Century Schoolbook" w:hAnsi="Century Schoolbook"/>
        </w:rPr>
        <w:t xml:space="preserve">, </w:t>
      </w:r>
      <w:r w:rsidR="00B362E5" w:rsidRPr="00B4003A">
        <w:rPr>
          <w:rFonts w:ascii="Century Schoolbook" w:hAnsi="Century Schoolbook"/>
          <w:i/>
          <w:iCs/>
        </w:rPr>
        <w:t>le Regioni e le Province autonome di Trento e di Bolzano possono prevedere, con proprie leggi e regolamenti, disposizioni derogatorie al DM 2 aprile 1968, n. 1444</w:t>
      </w:r>
      <w:r w:rsidR="00B362E5" w:rsidRPr="00B4003A">
        <w:rPr>
          <w:rFonts w:ascii="Century Schoolbook" w:hAnsi="Century Schoolbook"/>
        </w:rPr>
        <w:t xml:space="preserve"> e possono dettare disposizioni sugli spazi da destinare agli insediamenti residenziali, a quelli produttivi, a quelli riservati alle attività collettive, al verde e ai parcheggi, nell</w:t>
      </w:r>
      <w:r w:rsidR="00E03505" w:rsidRPr="00B4003A">
        <w:rPr>
          <w:rFonts w:ascii="Century Schoolbook" w:hAnsi="Century Schoolbook"/>
        </w:rPr>
        <w:t>’</w:t>
      </w:r>
      <w:r w:rsidR="00B362E5" w:rsidRPr="00B4003A">
        <w:rPr>
          <w:rFonts w:ascii="Century Schoolbook" w:hAnsi="Century Schoolbook"/>
        </w:rPr>
        <w:t>ambito della definizione o revisione di strumenti urbanistici comunque funzionali a un assetto complessivo e unitario o di specifiche aree territoriali</w:t>
      </w:r>
      <w:r w:rsidR="00606DA1" w:rsidRPr="00B4003A">
        <w:rPr>
          <w:rFonts w:ascii="Century Schoolbook" w:hAnsi="Century Schoolbook"/>
        </w:rPr>
        <w:t>.”</w:t>
      </w:r>
      <w:r w:rsidR="0024069B" w:rsidRPr="00B4003A">
        <w:rPr>
          <w:rFonts w:ascii="Century Schoolbook" w:hAnsi="Century Schoolbook"/>
        </w:rPr>
        <w:t>»</w:t>
      </w:r>
      <w:r w:rsidR="000F3282" w:rsidRPr="00B4003A">
        <w:rPr>
          <w:rStyle w:val="Rimandonotaapidipagina"/>
          <w:rFonts w:ascii="Century Schoolbook" w:hAnsi="Century Schoolbook"/>
        </w:rPr>
        <w:footnoteReference w:id="18"/>
      </w:r>
      <w:r w:rsidR="000F3282" w:rsidRPr="00B4003A">
        <w:rPr>
          <w:rFonts w:ascii="Century Schoolbook" w:hAnsi="Century Schoolbook"/>
        </w:rPr>
        <w:t>.</w:t>
      </w:r>
    </w:p>
    <w:p w14:paraId="1D2175B9" w14:textId="21ABCC8C" w:rsidR="00606DA1" w:rsidRPr="00B4003A" w:rsidRDefault="00606DA1" w:rsidP="00E03505">
      <w:pPr>
        <w:spacing w:line="360" w:lineRule="auto"/>
        <w:ind w:firstLine="709"/>
        <w:contextualSpacing/>
        <w:jc w:val="both"/>
        <w:rPr>
          <w:rFonts w:ascii="Century Schoolbook" w:hAnsi="Century Schoolbook"/>
        </w:rPr>
      </w:pPr>
      <w:r w:rsidRPr="00B4003A">
        <w:rPr>
          <w:rFonts w:ascii="Century Schoolbook" w:hAnsi="Century Schoolbook"/>
        </w:rPr>
        <w:t>In somma, l’emendamento approvato al Senato inserisce nel t.u. dell’edilizia l’art. 2-</w:t>
      </w:r>
      <w:r w:rsidRPr="00B4003A">
        <w:rPr>
          <w:rFonts w:ascii="Century Schoolbook" w:hAnsi="Century Schoolbook"/>
          <w:i/>
          <w:iCs/>
        </w:rPr>
        <w:t>bis</w:t>
      </w:r>
      <w:r w:rsidRPr="00B4003A">
        <w:rPr>
          <w:rFonts w:ascii="Century Schoolbook" w:hAnsi="Century Schoolbook"/>
        </w:rPr>
        <w:t>.</w:t>
      </w:r>
    </w:p>
    <w:p w14:paraId="6071B072" w14:textId="70FE0609" w:rsidR="00E03505" w:rsidRPr="00B4003A" w:rsidRDefault="00E03505" w:rsidP="00E03505">
      <w:pPr>
        <w:spacing w:line="360" w:lineRule="auto"/>
        <w:ind w:firstLine="709"/>
        <w:contextualSpacing/>
        <w:jc w:val="both"/>
        <w:rPr>
          <w:rFonts w:ascii="Century Schoolbook" w:hAnsi="Century Schoolbook"/>
        </w:rPr>
      </w:pPr>
      <w:r w:rsidRPr="00B4003A">
        <w:rPr>
          <w:rFonts w:ascii="Century Schoolbook" w:hAnsi="Century Schoolbook"/>
        </w:rPr>
        <w:t xml:space="preserve">Il senso è </w:t>
      </w:r>
      <w:r w:rsidR="000F3282" w:rsidRPr="00B4003A">
        <w:rPr>
          <w:rFonts w:ascii="Century Schoolbook" w:hAnsi="Century Schoolbook"/>
        </w:rPr>
        <w:t xml:space="preserve">abbastanza </w:t>
      </w:r>
      <w:r w:rsidRPr="00B4003A">
        <w:rPr>
          <w:rFonts w:ascii="Century Schoolbook" w:hAnsi="Century Schoolbook"/>
        </w:rPr>
        <w:t>chiaro</w:t>
      </w:r>
      <w:r w:rsidR="000F3282" w:rsidRPr="00B4003A">
        <w:rPr>
          <w:rFonts w:ascii="Century Schoolbook" w:hAnsi="Century Schoolbook"/>
        </w:rPr>
        <w:t>.</w:t>
      </w:r>
      <w:r w:rsidR="00606DA1" w:rsidRPr="00B4003A">
        <w:rPr>
          <w:rFonts w:ascii="Century Schoolbook" w:hAnsi="Century Schoolbook"/>
        </w:rPr>
        <w:t xml:space="preserve"> L’articolo</w:t>
      </w:r>
      <w:r w:rsidR="000F3282" w:rsidRPr="00B4003A">
        <w:rPr>
          <w:rFonts w:ascii="Century Schoolbook" w:hAnsi="Century Schoolbook"/>
        </w:rPr>
        <w:t xml:space="preserve"> </w:t>
      </w:r>
      <w:r w:rsidR="00EF78CA" w:rsidRPr="00B4003A">
        <w:rPr>
          <w:rFonts w:ascii="Century Schoolbook" w:hAnsi="Century Schoolbook"/>
        </w:rPr>
        <w:t>mira non a</w:t>
      </w:r>
      <w:r w:rsidR="000F3282" w:rsidRPr="00B4003A">
        <w:rPr>
          <w:rFonts w:ascii="Century Schoolbook" w:hAnsi="Century Schoolbook"/>
        </w:rPr>
        <w:t xml:space="preserve"> un</w:t>
      </w:r>
      <w:r w:rsidR="00EF78CA" w:rsidRPr="00B4003A">
        <w:rPr>
          <w:rFonts w:ascii="Century Schoolbook" w:hAnsi="Century Schoolbook"/>
        </w:rPr>
        <w:t>o</w:t>
      </w:r>
      <w:r w:rsidR="000F3282" w:rsidRPr="00B4003A">
        <w:rPr>
          <w:rFonts w:ascii="Century Schoolbook" w:hAnsi="Century Schoolbook"/>
        </w:rPr>
        <w:t xml:space="preserve">, ma </w:t>
      </w:r>
      <w:r w:rsidR="00EF78CA" w:rsidRPr="00B4003A">
        <w:rPr>
          <w:rFonts w:ascii="Century Schoolbook" w:hAnsi="Century Schoolbook"/>
        </w:rPr>
        <w:t xml:space="preserve">a </w:t>
      </w:r>
      <w:r w:rsidR="000F3282" w:rsidRPr="00B4003A">
        <w:rPr>
          <w:rFonts w:ascii="Century Schoolbook" w:hAnsi="Century Schoolbook"/>
          <w:i/>
          <w:iCs/>
        </w:rPr>
        <w:t>due</w:t>
      </w:r>
      <w:r w:rsidR="000F3282" w:rsidRPr="00B4003A">
        <w:rPr>
          <w:rFonts w:ascii="Century Schoolbook" w:hAnsi="Century Schoolbook"/>
        </w:rPr>
        <w:t xml:space="preserve"> </w:t>
      </w:r>
      <w:r w:rsidR="00EF78CA" w:rsidRPr="00B4003A">
        <w:rPr>
          <w:rFonts w:ascii="Century Schoolbook" w:hAnsi="Century Schoolbook"/>
        </w:rPr>
        <w:t>risultati</w:t>
      </w:r>
      <w:r w:rsidR="000F3282" w:rsidRPr="00B4003A">
        <w:rPr>
          <w:rFonts w:ascii="Century Schoolbook" w:hAnsi="Century Schoolbook"/>
        </w:rPr>
        <w:t>.</w:t>
      </w:r>
    </w:p>
    <w:p w14:paraId="6B7B8863" w14:textId="4D7ABFBE" w:rsidR="0012751C" w:rsidRPr="00B4003A" w:rsidRDefault="00EF78CA" w:rsidP="00E03505">
      <w:pPr>
        <w:spacing w:line="360" w:lineRule="auto"/>
        <w:ind w:firstLine="709"/>
        <w:contextualSpacing/>
        <w:jc w:val="both"/>
        <w:rPr>
          <w:rFonts w:ascii="Century Schoolbook" w:hAnsi="Century Schoolbook"/>
        </w:rPr>
      </w:pPr>
      <w:r w:rsidRPr="00B4003A">
        <w:rPr>
          <w:rFonts w:ascii="Century Schoolbook" w:hAnsi="Century Schoolbook"/>
        </w:rPr>
        <w:t xml:space="preserve">Il primo. Facendo – ovviamente! – salva la competenza statale nella regolazione delle distanze </w:t>
      </w:r>
      <w:r w:rsidR="00357887" w:rsidRPr="00B4003A">
        <w:rPr>
          <w:rFonts w:ascii="Century Schoolbook" w:hAnsi="Century Schoolbook"/>
        </w:rPr>
        <w:t>ove si tratt</w:t>
      </w:r>
      <w:r w:rsidRPr="00B4003A">
        <w:rPr>
          <w:rFonts w:ascii="Century Schoolbook" w:hAnsi="Century Schoolbook"/>
        </w:rPr>
        <w:t xml:space="preserve">i </w:t>
      </w:r>
      <w:r w:rsidR="00357887" w:rsidRPr="00B4003A">
        <w:rPr>
          <w:rFonts w:ascii="Century Schoolbook" w:hAnsi="Century Schoolbook"/>
        </w:rPr>
        <w:t xml:space="preserve">di </w:t>
      </w:r>
      <w:r w:rsidR="00F01E36" w:rsidRPr="00B4003A">
        <w:rPr>
          <w:rFonts w:ascii="Century Schoolbook" w:hAnsi="Century Schoolbook"/>
        </w:rPr>
        <w:t xml:space="preserve">meri </w:t>
      </w:r>
      <w:r w:rsidRPr="00B4003A">
        <w:rPr>
          <w:rFonts w:ascii="Century Schoolbook" w:hAnsi="Century Schoolbook"/>
        </w:rPr>
        <w:t>rapporti inter</w:t>
      </w:r>
      <w:r w:rsidR="00F01E36" w:rsidRPr="00B4003A">
        <w:rPr>
          <w:rFonts w:ascii="Century Schoolbook" w:hAnsi="Century Schoolbook"/>
        </w:rPr>
        <w:t>dominicali</w:t>
      </w:r>
      <w:r w:rsidR="00357887" w:rsidRPr="00B4003A">
        <w:rPr>
          <w:rFonts w:ascii="Century Schoolbook" w:hAnsi="Century Schoolbook"/>
        </w:rPr>
        <w:t xml:space="preserve">, </w:t>
      </w:r>
      <w:r w:rsidR="00606DA1" w:rsidRPr="00B4003A">
        <w:rPr>
          <w:rFonts w:ascii="Century Schoolbook" w:hAnsi="Century Schoolbook"/>
        </w:rPr>
        <w:t>esso</w:t>
      </w:r>
      <w:r w:rsidR="00291FA0" w:rsidRPr="00B4003A">
        <w:rPr>
          <w:rFonts w:ascii="Century Schoolbook" w:hAnsi="Century Schoolbook"/>
        </w:rPr>
        <w:t xml:space="preserve"> </w:t>
      </w:r>
      <w:r w:rsidR="00357887" w:rsidRPr="00B4003A">
        <w:rPr>
          <w:rFonts w:ascii="Century Schoolbook" w:hAnsi="Century Schoolbook"/>
        </w:rPr>
        <w:t>non fa che r</w:t>
      </w:r>
      <w:r w:rsidRPr="00B4003A">
        <w:rPr>
          <w:rFonts w:ascii="Century Schoolbook" w:hAnsi="Century Schoolbook"/>
        </w:rPr>
        <w:t xml:space="preserve">ecepire e </w:t>
      </w:r>
      <w:proofErr w:type="spellStart"/>
      <w:r w:rsidRPr="00B4003A">
        <w:rPr>
          <w:rFonts w:ascii="Century Schoolbook" w:hAnsi="Century Schoolbook"/>
        </w:rPr>
        <w:t>legificare</w:t>
      </w:r>
      <w:proofErr w:type="spellEnd"/>
      <w:r w:rsidR="00357887" w:rsidRPr="00B4003A">
        <w:rPr>
          <w:rFonts w:ascii="Century Schoolbook" w:hAnsi="Century Schoolbook"/>
        </w:rPr>
        <w:t xml:space="preserve"> </w:t>
      </w:r>
      <w:r w:rsidR="00F01E36" w:rsidRPr="00B4003A">
        <w:rPr>
          <w:rFonts w:ascii="Century Schoolbook" w:hAnsi="Century Schoolbook"/>
        </w:rPr>
        <w:t>indirettamente</w:t>
      </w:r>
      <w:r w:rsidR="00F01E36" w:rsidRPr="00B4003A">
        <w:rPr>
          <w:rStyle w:val="Rimandonotaapidipagina"/>
          <w:rFonts w:ascii="Century Schoolbook" w:hAnsi="Century Schoolbook"/>
        </w:rPr>
        <w:footnoteReference w:id="19"/>
      </w:r>
      <w:r w:rsidR="00F01E36" w:rsidRPr="00B4003A">
        <w:rPr>
          <w:rFonts w:ascii="Century Schoolbook" w:hAnsi="Century Schoolbook"/>
        </w:rPr>
        <w:t xml:space="preserve"> </w:t>
      </w:r>
      <w:r w:rsidR="00357887" w:rsidRPr="00B4003A">
        <w:rPr>
          <w:rFonts w:ascii="Century Schoolbook" w:hAnsi="Century Schoolbook"/>
        </w:rPr>
        <w:t>la giurisprudenza costituzionale che abbiamo ricordato più sopra</w:t>
      </w:r>
      <w:r w:rsidR="00F01E36" w:rsidRPr="00B4003A">
        <w:rPr>
          <w:rFonts w:ascii="Century Schoolbook" w:hAnsi="Century Schoolbook"/>
        </w:rPr>
        <w:t>. Sin qui, nulla di particolarmente rilevante. Anzi, potre</w:t>
      </w:r>
      <w:r w:rsidR="003307D7" w:rsidRPr="00B4003A">
        <w:rPr>
          <w:rFonts w:ascii="Century Schoolbook" w:hAnsi="Century Schoolbook"/>
        </w:rPr>
        <w:t>mmo</w:t>
      </w:r>
      <w:r w:rsidR="00F01E36" w:rsidRPr="00B4003A">
        <w:rPr>
          <w:rFonts w:ascii="Century Schoolbook" w:hAnsi="Century Schoolbook"/>
        </w:rPr>
        <w:t xml:space="preserve"> persino esprimere un apprezzamento positivo nei confronti di una norma che mette fine a</w:t>
      </w:r>
      <w:r w:rsidR="00AC2016" w:rsidRPr="00B4003A">
        <w:rPr>
          <w:rFonts w:ascii="Century Schoolbook" w:hAnsi="Century Schoolbook"/>
        </w:rPr>
        <w:t>lla necessità di</w:t>
      </w:r>
      <w:r w:rsidR="00F01E36" w:rsidRPr="00B4003A">
        <w:rPr>
          <w:rFonts w:ascii="Century Schoolbook" w:hAnsi="Century Schoolbook"/>
        </w:rPr>
        <w:t xml:space="preserve"> quelle – </w:t>
      </w:r>
      <w:r w:rsidR="00AC2016" w:rsidRPr="00B4003A">
        <w:rPr>
          <w:rFonts w:ascii="Century Schoolbook" w:hAnsi="Century Schoolbook"/>
        </w:rPr>
        <w:t xml:space="preserve">pur assai </w:t>
      </w:r>
      <w:r w:rsidR="00F01E36" w:rsidRPr="00B4003A">
        <w:rPr>
          <w:rFonts w:ascii="Century Schoolbook" w:hAnsi="Century Schoolbook"/>
        </w:rPr>
        <w:t xml:space="preserve">preziose, lo ripeto – stonature di </w:t>
      </w:r>
      <w:r w:rsidR="003307D7" w:rsidRPr="00B4003A">
        <w:rPr>
          <w:rFonts w:ascii="Century Schoolbook" w:hAnsi="Century Schoolbook"/>
        </w:rPr>
        <w:t xml:space="preserve">una </w:t>
      </w:r>
      <w:proofErr w:type="spellStart"/>
      <w:r w:rsidR="00F01E36" w:rsidRPr="00B4003A">
        <w:rPr>
          <w:rFonts w:ascii="Century Schoolbook" w:hAnsi="Century Schoolbook"/>
          <w:i/>
          <w:iCs/>
        </w:rPr>
        <w:t>Wertjurisprudenz</w:t>
      </w:r>
      <w:proofErr w:type="spellEnd"/>
      <w:r w:rsidR="00F01E36" w:rsidRPr="00B4003A">
        <w:rPr>
          <w:rFonts w:ascii="Century Schoolbook" w:hAnsi="Century Schoolbook"/>
          <w:i/>
          <w:iCs/>
        </w:rPr>
        <w:t xml:space="preserve"> contra </w:t>
      </w:r>
      <w:proofErr w:type="spellStart"/>
      <w:r w:rsidR="00F01E36" w:rsidRPr="00B4003A">
        <w:rPr>
          <w:rFonts w:ascii="Century Schoolbook" w:hAnsi="Century Schoolbook"/>
          <w:i/>
          <w:iCs/>
        </w:rPr>
        <w:t>legem</w:t>
      </w:r>
      <w:proofErr w:type="spellEnd"/>
      <w:r w:rsidR="00F01E36" w:rsidRPr="00B4003A">
        <w:rPr>
          <w:rFonts w:ascii="Century Schoolbook" w:hAnsi="Century Schoolbook"/>
        </w:rPr>
        <w:t xml:space="preserve"> che </w:t>
      </w:r>
      <w:r w:rsidR="003307D7" w:rsidRPr="00B4003A">
        <w:rPr>
          <w:rFonts w:ascii="Century Schoolbook" w:hAnsi="Century Schoolbook"/>
        </w:rPr>
        <w:t xml:space="preserve">aveva </w:t>
      </w:r>
      <w:r w:rsidR="00F01E36" w:rsidRPr="00B4003A">
        <w:rPr>
          <w:rFonts w:ascii="Century Schoolbook" w:hAnsi="Century Schoolbook"/>
        </w:rPr>
        <w:t>eleva</w:t>
      </w:r>
      <w:r w:rsidR="003307D7" w:rsidRPr="00B4003A">
        <w:rPr>
          <w:rFonts w:ascii="Century Schoolbook" w:hAnsi="Century Schoolbook"/>
        </w:rPr>
        <w:t>t</w:t>
      </w:r>
      <w:r w:rsidR="00F01E36" w:rsidRPr="00B4003A">
        <w:rPr>
          <w:rFonts w:ascii="Century Schoolbook" w:hAnsi="Century Schoolbook"/>
        </w:rPr>
        <w:t>o</w:t>
      </w:r>
      <w:r w:rsidR="003307D7" w:rsidRPr="00B4003A">
        <w:rPr>
          <w:rFonts w:ascii="Century Schoolbook" w:hAnsi="Century Schoolbook"/>
        </w:rPr>
        <w:t xml:space="preserve"> il nostro d.m. a norma di rango primario</w:t>
      </w:r>
      <w:r w:rsidR="00AC2016" w:rsidRPr="00B4003A">
        <w:rPr>
          <w:rFonts w:ascii="Century Schoolbook" w:hAnsi="Century Schoolbook"/>
        </w:rPr>
        <w:t>-</w:t>
      </w:r>
      <w:r w:rsidR="003307D7" w:rsidRPr="00B4003A">
        <w:rPr>
          <w:rFonts w:ascii="Century Schoolbook" w:hAnsi="Century Schoolbook"/>
        </w:rPr>
        <w:t>legislativo.</w:t>
      </w:r>
      <w:r w:rsidR="00F01E36" w:rsidRPr="00B4003A">
        <w:rPr>
          <w:rFonts w:ascii="Century Schoolbook" w:hAnsi="Century Schoolbook"/>
        </w:rPr>
        <w:t xml:space="preserve"> </w:t>
      </w:r>
    </w:p>
    <w:p w14:paraId="68CDC1C7" w14:textId="43A6A480" w:rsidR="00F01E36" w:rsidRPr="00B4003A" w:rsidRDefault="00AC2016" w:rsidP="004B54C6">
      <w:pPr>
        <w:spacing w:line="360" w:lineRule="auto"/>
        <w:ind w:firstLine="709"/>
        <w:contextualSpacing/>
        <w:jc w:val="both"/>
        <w:rPr>
          <w:rFonts w:ascii="Century Schoolbook" w:hAnsi="Century Schoolbook"/>
        </w:rPr>
      </w:pPr>
      <w:r w:rsidRPr="00B4003A">
        <w:rPr>
          <w:rFonts w:ascii="Century Schoolbook" w:hAnsi="Century Schoolbook"/>
        </w:rPr>
        <w:t>Ma si noti:</w:t>
      </w:r>
      <w:r w:rsidR="003307D7" w:rsidRPr="00B4003A">
        <w:rPr>
          <w:rFonts w:ascii="Century Schoolbook" w:hAnsi="Century Schoolbook"/>
        </w:rPr>
        <w:t xml:space="preserve"> </w:t>
      </w:r>
      <w:r w:rsidR="00291FA0" w:rsidRPr="00B4003A">
        <w:rPr>
          <w:rFonts w:ascii="Century Schoolbook" w:hAnsi="Century Schoolbook"/>
        </w:rPr>
        <w:t xml:space="preserve">quella </w:t>
      </w:r>
      <w:r w:rsidR="003307D7" w:rsidRPr="00B4003A">
        <w:rPr>
          <w:rFonts w:ascii="Century Schoolbook" w:hAnsi="Century Schoolbook"/>
        </w:rPr>
        <w:t xml:space="preserve">legificazione </w:t>
      </w:r>
      <w:r w:rsidR="00291FA0" w:rsidRPr="00B4003A">
        <w:rPr>
          <w:rFonts w:ascii="Century Schoolbook" w:hAnsi="Century Schoolbook"/>
        </w:rPr>
        <w:t xml:space="preserve">non “consolida” </w:t>
      </w:r>
      <w:r w:rsidR="00291FA0" w:rsidRPr="00B4003A">
        <w:rPr>
          <w:rFonts w:ascii="Century Schoolbook" w:hAnsi="Century Schoolbook"/>
          <w:i/>
          <w:iCs/>
        </w:rPr>
        <w:t>tutto</w:t>
      </w:r>
      <w:r w:rsidR="00291FA0" w:rsidRPr="00B4003A">
        <w:rPr>
          <w:rFonts w:ascii="Century Schoolbook" w:hAnsi="Century Schoolbook"/>
        </w:rPr>
        <w:t xml:space="preserve"> il d.m., ma </w:t>
      </w:r>
      <w:r w:rsidR="00291FA0" w:rsidRPr="00B4003A">
        <w:rPr>
          <w:rFonts w:ascii="Century Schoolbook" w:hAnsi="Century Schoolbook"/>
          <w:i/>
          <w:iCs/>
        </w:rPr>
        <w:t>soltanto le norme sulle distanze</w:t>
      </w:r>
      <w:r w:rsidR="0012751C" w:rsidRPr="00B4003A">
        <w:rPr>
          <w:rFonts w:ascii="Century Schoolbook" w:hAnsi="Century Schoolbook"/>
          <w:i/>
          <w:iCs/>
        </w:rPr>
        <w:t xml:space="preserve"> </w:t>
      </w:r>
      <w:r w:rsidR="0012751C" w:rsidRPr="00B4003A">
        <w:rPr>
          <w:rFonts w:ascii="Century Schoolbook" w:hAnsi="Century Schoolbook"/>
        </w:rPr>
        <w:t>(come lette dalla Consulta)</w:t>
      </w:r>
      <w:r w:rsidR="00291FA0" w:rsidRPr="00B4003A">
        <w:rPr>
          <w:rFonts w:ascii="Century Schoolbook" w:hAnsi="Century Schoolbook"/>
        </w:rPr>
        <w:t xml:space="preserve">. </w:t>
      </w:r>
      <w:r w:rsidR="00291FA0" w:rsidRPr="00E42217">
        <w:rPr>
          <w:rFonts w:ascii="Century Schoolbook" w:hAnsi="Century Schoolbook"/>
          <w:highlight w:val="yellow"/>
        </w:rPr>
        <w:t xml:space="preserve">Quanto </w:t>
      </w:r>
      <w:r w:rsidRPr="00E42217">
        <w:rPr>
          <w:rFonts w:ascii="Century Schoolbook" w:hAnsi="Century Schoolbook"/>
          <w:highlight w:val="yellow"/>
        </w:rPr>
        <w:t xml:space="preserve">invece </w:t>
      </w:r>
      <w:r w:rsidR="00291FA0" w:rsidRPr="00E42217">
        <w:rPr>
          <w:rFonts w:ascii="Century Schoolbook" w:hAnsi="Century Schoolbook"/>
          <w:highlight w:val="yellow"/>
        </w:rPr>
        <w:t>alla parte restante del d.m. – di gran lunga la più rilevante –</w:t>
      </w:r>
      <w:r w:rsidR="00944C33" w:rsidRPr="00E42217">
        <w:rPr>
          <w:rFonts w:ascii="Century Schoolbook" w:hAnsi="Century Schoolbook"/>
          <w:highlight w:val="yellow"/>
        </w:rPr>
        <w:t>,</w:t>
      </w:r>
      <w:r w:rsidR="00291FA0" w:rsidRPr="00E42217">
        <w:rPr>
          <w:rFonts w:ascii="Century Schoolbook" w:hAnsi="Century Schoolbook"/>
          <w:highlight w:val="yellow"/>
        </w:rPr>
        <w:t xml:space="preserve"> l’</w:t>
      </w:r>
      <w:r w:rsidR="00606DA1" w:rsidRPr="00E42217">
        <w:rPr>
          <w:rFonts w:ascii="Century Schoolbook" w:hAnsi="Century Schoolbook"/>
          <w:highlight w:val="yellow"/>
        </w:rPr>
        <w:t>art. 2-</w:t>
      </w:r>
      <w:r w:rsidR="00606DA1" w:rsidRPr="00E42217">
        <w:rPr>
          <w:rFonts w:ascii="Century Schoolbook" w:hAnsi="Century Schoolbook"/>
          <w:i/>
          <w:iCs/>
          <w:highlight w:val="yellow"/>
        </w:rPr>
        <w:t>bis</w:t>
      </w:r>
      <w:r w:rsidR="00291FA0" w:rsidRPr="00E42217">
        <w:rPr>
          <w:rFonts w:ascii="Century Schoolbook" w:hAnsi="Century Schoolbook"/>
          <w:highlight w:val="yellow"/>
        </w:rPr>
        <w:t xml:space="preserve"> non solo non la protegge da aggressioni regionali</w:t>
      </w:r>
      <w:r w:rsidR="0012751C" w:rsidRPr="00E42217">
        <w:rPr>
          <w:rFonts w:ascii="Century Schoolbook" w:hAnsi="Century Schoolbook"/>
          <w:highlight w:val="yellow"/>
        </w:rPr>
        <w:t xml:space="preserve"> derogatorie, </w:t>
      </w:r>
      <w:r w:rsidR="0012751C" w:rsidRPr="00E42217">
        <w:rPr>
          <w:rFonts w:ascii="Century Schoolbook" w:hAnsi="Century Schoolbook"/>
          <w:i/>
          <w:iCs/>
          <w:highlight w:val="yellow"/>
        </w:rPr>
        <w:t>ma quelle deroghe espressamente consente</w:t>
      </w:r>
      <w:r w:rsidR="0012751C" w:rsidRPr="00E42217">
        <w:rPr>
          <w:rFonts w:ascii="Century Schoolbook" w:hAnsi="Century Schoolbook"/>
          <w:highlight w:val="yellow"/>
        </w:rPr>
        <w:t xml:space="preserve"> (</w:t>
      </w:r>
      <w:r w:rsidRPr="00E42217">
        <w:rPr>
          <w:rFonts w:ascii="Century Schoolbook" w:hAnsi="Century Schoolbook"/>
          <w:highlight w:val="yellow"/>
        </w:rPr>
        <w:t>è questo</w:t>
      </w:r>
      <w:r w:rsidR="0012751C" w:rsidRPr="00E42217">
        <w:rPr>
          <w:rFonts w:ascii="Century Schoolbook" w:hAnsi="Century Schoolbook"/>
          <w:highlight w:val="yellow"/>
        </w:rPr>
        <w:t xml:space="preserve"> il secondo dei due risultati cui accennavo)</w:t>
      </w:r>
      <w:r w:rsidR="00944C33" w:rsidRPr="00E42217">
        <w:rPr>
          <w:rFonts w:ascii="Century Schoolbook" w:hAnsi="Century Schoolbook"/>
          <w:highlight w:val="yellow"/>
        </w:rPr>
        <w:t>.</w:t>
      </w:r>
      <w:r w:rsidR="0012751C" w:rsidRPr="00E42217">
        <w:rPr>
          <w:rFonts w:ascii="Century Schoolbook" w:hAnsi="Century Schoolbook"/>
          <w:highlight w:val="yellow"/>
        </w:rPr>
        <w:t xml:space="preserve"> In altre parole, </w:t>
      </w:r>
      <w:r w:rsidR="00944C33" w:rsidRPr="00E42217">
        <w:rPr>
          <w:rFonts w:ascii="Century Schoolbook" w:hAnsi="Century Schoolbook"/>
          <w:highlight w:val="yellow"/>
        </w:rPr>
        <w:t xml:space="preserve">la norma introdotta al Senato – lungi dal garantirgli un </w:t>
      </w:r>
      <w:r w:rsidRPr="00E42217">
        <w:rPr>
          <w:rFonts w:ascii="Century Schoolbook" w:hAnsi="Century Schoolbook"/>
          <w:highlight w:val="yellow"/>
        </w:rPr>
        <w:t>più elevato</w:t>
      </w:r>
      <w:r w:rsidR="00944C33" w:rsidRPr="00E42217">
        <w:rPr>
          <w:rFonts w:ascii="Century Schoolbook" w:hAnsi="Century Schoolbook"/>
          <w:highlight w:val="yellow"/>
        </w:rPr>
        <w:t xml:space="preserve"> rango formale – abbandona </w:t>
      </w:r>
      <w:r w:rsidR="0059152A" w:rsidRPr="00E42217">
        <w:rPr>
          <w:rFonts w:ascii="Century Schoolbook" w:hAnsi="Century Schoolbook"/>
          <w:highlight w:val="yellow"/>
        </w:rPr>
        <w:t xml:space="preserve">invece </w:t>
      </w:r>
      <w:r w:rsidR="00944C33" w:rsidRPr="00E42217">
        <w:rPr>
          <w:rFonts w:ascii="Century Schoolbook" w:hAnsi="Century Schoolbook"/>
          <w:highlight w:val="yellow"/>
        </w:rPr>
        <w:t xml:space="preserve">a sé stesso il d.m. proprio dove esso contiene le previsioni più qualificanti: quelle che per quarantacinque anni di storia italiana ne hanno fatto il segno di una speranza per un dignitoso </w:t>
      </w:r>
      <w:proofErr w:type="spellStart"/>
      <w:r w:rsidR="00944C33" w:rsidRPr="00E42217">
        <w:rPr>
          <w:rFonts w:ascii="Century Schoolbook" w:hAnsi="Century Schoolbook"/>
          <w:i/>
          <w:iCs/>
          <w:highlight w:val="yellow"/>
        </w:rPr>
        <w:t>Existenzminimum</w:t>
      </w:r>
      <w:proofErr w:type="spellEnd"/>
      <w:r w:rsidR="00944C33" w:rsidRPr="00E42217">
        <w:rPr>
          <w:rFonts w:ascii="Century Schoolbook" w:hAnsi="Century Schoolbook"/>
          <w:highlight w:val="yellow"/>
        </w:rPr>
        <w:t>.</w:t>
      </w:r>
      <w:r w:rsidR="00944C33" w:rsidRPr="00B4003A">
        <w:rPr>
          <w:rFonts w:ascii="Century Schoolbook" w:hAnsi="Century Schoolbook"/>
        </w:rPr>
        <w:t xml:space="preserve">  </w:t>
      </w:r>
    </w:p>
    <w:p w14:paraId="3F7204F4" w14:textId="7C7C3643" w:rsidR="0024069B" w:rsidRPr="00B4003A" w:rsidRDefault="00F34488"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La reazione è veemente. Alla Camera si cerca </w:t>
      </w:r>
      <w:r w:rsidR="0024069B" w:rsidRPr="00B4003A">
        <w:rPr>
          <w:rFonts w:ascii="Century Schoolbook" w:hAnsi="Century Schoolbook"/>
        </w:rPr>
        <w:t xml:space="preserve">disperatamente </w:t>
      </w:r>
      <w:r w:rsidRPr="00B4003A">
        <w:rPr>
          <w:rFonts w:ascii="Century Schoolbook" w:hAnsi="Century Schoolbook"/>
        </w:rPr>
        <w:t xml:space="preserve">di </w:t>
      </w:r>
      <w:r w:rsidR="00606DA1" w:rsidRPr="00B4003A">
        <w:rPr>
          <w:rFonts w:ascii="Century Schoolbook" w:hAnsi="Century Schoolbook"/>
        </w:rPr>
        <w:t>tornare indietro</w:t>
      </w:r>
      <w:r w:rsidR="00FF1176" w:rsidRPr="00B4003A">
        <w:rPr>
          <w:rFonts w:ascii="Century Schoolbook" w:hAnsi="Century Schoolbook"/>
        </w:rPr>
        <w:t xml:space="preserve">: </w:t>
      </w:r>
      <w:r w:rsidR="00601CDA" w:rsidRPr="00B4003A">
        <w:rPr>
          <w:rFonts w:ascii="Century Schoolbook" w:hAnsi="Century Schoolbook"/>
        </w:rPr>
        <w:t xml:space="preserve">non pochi deputati </w:t>
      </w:r>
      <w:r w:rsidR="00FF1176" w:rsidRPr="00B4003A">
        <w:rPr>
          <w:rFonts w:ascii="Century Schoolbook" w:hAnsi="Century Schoolbook"/>
        </w:rPr>
        <w:t>presenta</w:t>
      </w:r>
      <w:r w:rsidR="00601CDA" w:rsidRPr="00B4003A">
        <w:rPr>
          <w:rFonts w:ascii="Century Schoolbook" w:hAnsi="Century Schoolbook"/>
        </w:rPr>
        <w:t>no</w:t>
      </w:r>
      <w:r w:rsidR="00FF1176" w:rsidRPr="00B4003A">
        <w:rPr>
          <w:rFonts w:ascii="Century Schoolbook" w:hAnsi="Century Schoolbook"/>
        </w:rPr>
        <w:t xml:space="preserve"> due proposte emendative </w:t>
      </w:r>
      <w:r w:rsidR="00601CDA" w:rsidRPr="00B4003A">
        <w:rPr>
          <w:rFonts w:ascii="Century Schoolbook" w:hAnsi="Century Schoolbook"/>
        </w:rPr>
        <w:t xml:space="preserve">identiche, </w:t>
      </w:r>
      <w:r w:rsidR="00FF1176" w:rsidRPr="00B4003A">
        <w:rPr>
          <w:rFonts w:ascii="Century Schoolbook" w:hAnsi="Century Schoolbook"/>
        </w:rPr>
        <w:t xml:space="preserve">che prevedono la soppressione della lett. </w:t>
      </w:r>
      <w:r w:rsidR="00FF1176" w:rsidRPr="00B4003A">
        <w:rPr>
          <w:rFonts w:ascii="Century Schoolbook" w:hAnsi="Century Schoolbook"/>
          <w:i/>
          <w:iCs/>
        </w:rPr>
        <w:t>0a)</w:t>
      </w:r>
      <w:r w:rsidR="000620E2" w:rsidRPr="00B4003A">
        <w:rPr>
          <w:rStyle w:val="Rimandonotaapidipagina"/>
          <w:rFonts w:ascii="Century Schoolbook" w:hAnsi="Century Schoolbook"/>
        </w:rPr>
        <w:footnoteReference w:id="20"/>
      </w:r>
      <w:r w:rsidRPr="00B4003A">
        <w:rPr>
          <w:rFonts w:ascii="Century Schoolbook" w:hAnsi="Century Schoolbook"/>
        </w:rPr>
        <w:t>.</w:t>
      </w:r>
    </w:p>
    <w:p w14:paraId="389779AB" w14:textId="04441B57" w:rsidR="00C82F5F" w:rsidRPr="00B4003A" w:rsidRDefault="004B54C6"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Desidero </w:t>
      </w:r>
      <w:r w:rsidR="0086384E" w:rsidRPr="00B4003A">
        <w:rPr>
          <w:rFonts w:ascii="Century Schoolbook" w:hAnsi="Century Schoolbook"/>
        </w:rPr>
        <w:t xml:space="preserve">qui </w:t>
      </w:r>
      <w:r w:rsidRPr="00B4003A">
        <w:rPr>
          <w:rFonts w:ascii="Century Schoolbook" w:hAnsi="Century Schoolbook"/>
        </w:rPr>
        <w:t xml:space="preserve">ricordare l’intervento </w:t>
      </w:r>
      <w:r w:rsidR="00FE7A8E" w:rsidRPr="00B4003A">
        <w:rPr>
          <w:rFonts w:ascii="Century Schoolbook" w:hAnsi="Century Schoolbook"/>
        </w:rPr>
        <w:t xml:space="preserve">– solo un passo – </w:t>
      </w:r>
      <w:r w:rsidRPr="00B4003A">
        <w:rPr>
          <w:rFonts w:ascii="Century Schoolbook" w:hAnsi="Century Schoolbook"/>
        </w:rPr>
        <w:t xml:space="preserve">di uno dei deputati che si oppongono all’emendamento senatoriale, </w:t>
      </w:r>
      <w:proofErr w:type="gramStart"/>
      <w:r w:rsidR="00601CDA" w:rsidRPr="00B4003A">
        <w:rPr>
          <w:rFonts w:ascii="Century Schoolbook" w:hAnsi="Century Schoolbook"/>
        </w:rPr>
        <w:t>l’</w:t>
      </w:r>
      <w:proofErr w:type="spellStart"/>
      <w:r w:rsidR="00601CDA" w:rsidRPr="00B4003A">
        <w:rPr>
          <w:rFonts w:ascii="Century Schoolbook" w:hAnsi="Century Schoolbook"/>
        </w:rPr>
        <w:t>on.le</w:t>
      </w:r>
      <w:proofErr w:type="spellEnd"/>
      <w:proofErr w:type="gramEnd"/>
      <w:r w:rsidR="00601CDA" w:rsidRPr="00B4003A">
        <w:rPr>
          <w:rFonts w:ascii="Century Schoolbook" w:hAnsi="Century Schoolbook"/>
        </w:rPr>
        <w:t xml:space="preserve"> </w:t>
      </w:r>
      <w:r w:rsidR="004866C2" w:rsidRPr="00B4003A">
        <w:rPr>
          <w:rFonts w:ascii="Century Schoolbook" w:hAnsi="Century Schoolbook"/>
        </w:rPr>
        <w:t>Filiberto Zaratti: «Io ritengo che questa norma introdotta dal Senato sia una norma assolutamente incivile, una norma assolutamente sbagliata nel merito e nella sostanza</w:t>
      </w:r>
      <w:r w:rsidRPr="00B4003A">
        <w:rPr>
          <w:rFonts w:ascii="Century Schoolbook" w:hAnsi="Century Schoolbook"/>
        </w:rPr>
        <w:t xml:space="preserve"> […]</w:t>
      </w:r>
      <w:r w:rsidR="004866C2" w:rsidRPr="00B4003A">
        <w:rPr>
          <w:rFonts w:ascii="Century Schoolbook" w:hAnsi="Century Schoolbook"/>
        </w:rPr>
        <w:t xml:space="preserve">». </w:t>
      </w:r>
    </w:p>
    <w:p w14:paraId="2E7DB874" w14:textId="5C26560B" w:rsidR="0086384E" w:rsidRPr="00B4003A" w:rsidRDefault="0086384E" w:rsidP="0086384E">
      <w:pPr>
        <w:spacing w:line="360" w:lineRule="auto"/>
        <w:ind w:firstLine="709"/>
        <w:contextualSpacing/>
        <w:jc w:val="both"/>
        <w:rPr>
          <w:rFonts w:ascii="Century Schoolbook" w:hAnsi="Century Schoolbook"/>
        </w:rPr>
      </w:pPr>
      <w:r w:rsidRPr="00B4003A">
        <w:rPr>
          <w:rFonts w:ascii="Century Schoolbook" w:hAnsi="Century Schoolbook"/>
        </w:rPr>
        <w:t>A Zaratti replica l’on.</w:t>
      </w:r>
      <w:r w:rsidR="00FA5806" w:rsidRPr="00B4003A">
        <w:rPr>
          <w:rFonts w:ascii="Century Schoolbook" w:hAnsi="Century Schoolbook"/>
        </w:rPr>
        <w:t xml:space="preserve"> </w:t>
      </w:r>
      <w:r w:rsidRPr="00B4003A">
        <w:rPr>
          <w:rFonts w:ascii="Century Schoolbook" w:hAnsi="Century Schoolbook"/>
        </w:rPr>
        <w:t xml:space="preserve">Manfred </w:t>
      </w:r>
      <w:proofErr w:type="spellStart"/>
      <w:r w:rsidRPr="00B4003A">
        <w:rPr>
          <w:rFonts w:ascii="Century Schoolbook" w:hAnsi="Century Schoolbook"/>
        </w:rPr>
        <w:t>Schullian</w:t>
      </w:r>
      <w:proofErr w:type="spellEnd"/>
      <w:r w:rsidRPr="00B4003A">
        <w:rPr>
          <w:rFonts w:ascii="Century Schoolbook" w:hAnsi="Century Schoolbook"/>
        </w:rPr>
        <w:t xml:space="preserve">: </w:t>
      </w:r>
      <w:r w:rsidR="004866C2" w:rsidRPr="00B4003A">
        <w:rPr>
          <w:rFonts w:ascii="Century Schoolbook" w:hAnsi="Century Schoolbook"/>
        </w:rPr>
        <w:t>«[…] l</w:t>
      </w:r>
      <w:r w:rsidRPr="00B4003A">
        <w:rPr>
          <w:rFonts w:ascii="Century Schoolbook" w:hAnsi="Century Schoolbook"/>
        </w:rPr>
        <w:t>’</w:t>
      </w:r>
      <w:r w:rsidR="004866C2" w:rsidRPr="00B4003A">
        <w:rPr>
          <w:rFonts w:ascii="Century Schoolbook" w:hAnsi="Century Schoolbook"/>
        </w:rPr>
        <w:t>articolo 2-</w:t>
      </w:r>
      <w:r w:rsidR="004866C2" w:rsidRPr="00B4003A">
        <w:rPr>
          <w:rFonts w:ascii="Century Schoolbook" w:hAnsi="Century Schoolbook"/>
          <w:i/>
          <w:iCs/>
        </w:rPr>
        <w:t>bis</w:t>
      </w:r>
      <w:r w:rsidR="004866C2" w:rsidRPr="00B4003A">
        <w:rPr>
          <w:rFonts w:ascii="Century Schoolbook" w:hAnsi="Century Schoolbook"/>
        </w:rPr>
        <w:t xml:space="preserve"> del testo unico in materia edilizia, che è stato inserito, sta per essere inserito, nell</w:t>
      </w:r>
      <w:r w:rsidR="005C2DDE" w:rsidRPr="00B4003A">
        <w:rPr>
          <w:rFonts w:ascii="Century Schoolbook" w:hAnsi="Century Schoolbook"/>
        </w:rPr>
        <w:t>’</w:t>
      </w:r>
      <w:r w:rsidR="004866C2" w:rsidRPr="00B4003A">
        <w:rPr>
          <w:rFonts w:ascii="Century Schoolbook" w:hAnsi="Century Schoolbook"/>
        </w:rPr>
        <w:t>articolo 30 con un emendamento approvato dal Senato, assolve la funzione di correre ai ripari di una giurisprudenza che ha cambiato il carattere di una norma. Il decreto ministeriale n. 1444 è nato come norma urbanistica ed è stato trasformato, soprattutto all</w:t>
      </w:r>
      <w:r w:rsidRPr="00B4003A">
        <w:rPr>
          <w:rFonts w:ascii="Century Schoolbook" w:hAnsi="Century Schoolbook"/>
        </w:rPr>
        <w:t>’</w:t>
      </w:r>
      <w:r w:rsidR="004866C2" w:rsidRPr="00B4003A">
        <w:rPr>
          <w:rFonts w:ascii="Century Schoolbook" w:hAnsi="Century Schoolbook"/>
        </w:rPr>
        <w:t>articolo 9, che prevede le distanze, in norma integrativa del diritto civile. È questo che non funziona, che non ha funzionato e che, sostanzialmente, ha comportato il blocco dell</w:t>
      </w:r>
      <w:r w:rsidR="005C2DDE" w:rsidRPr="00B4003A">
        <w:rPr>
          <w:rFonts w:ascii="Century Schoolbook" w:hAnsi="Century Schoolbook"/>
        </w:rPr>
        <w:t>’</w:t>
      </w:r>
      <w:r w:rsidR="004866C2" w:rsidRPr="00B4003A">
        <w:rPr>
          <w:rFonts w:ascii="Century Schoolbook" w:hAnsi="Century Schoolbook"/>
        </w:rPr>
        <w:t>attività edilizia nella provincia di Bolzano. È giusto che si corra ai ripari di fronte a una giurisprudenza che, inspiegabilmente, ha cambiato il carattere di una norma</w:t>
      </w:r>
      <w:r w:rsidR="00C82F5F" w:rsidRPr="00B4003A">
        <w:rPr>
          <w:rFonts w:ascii="Century Schoolbook" w:hAnsi="Century Schoolbook"/>
        </w:rPr>
        <w:t>».</w:t>
      </w:r>
    </w:p>
    <w:p w14:paraId="6E0E1F24" w14:textId="34A15466" w:rsidR="001B25C7" w:rsidRPr="00B4003A" w:rsidRDefault="00D6318F" w:rsidP="0086384E">
      <w:pPr>
        <w:spacing w:line="360" w:lineRule="auto"/>
        <w:ind w:firstLine="709"/>
        <w:contextualSpacing/>
        <w:jc w:val="both"/>
        <w:rPr>
          <w:rFonts w:ascii="Century Schoolbook" w:hAnsi="Century Schoolbook"/>
        </w:rPr>
      </w:pPr>
      <w:r w:rsidRPr="00B4003A">
        <w:rPr>
          <w:rFonts w:ascii="Century Schoolbook" w:hAnsi="Century Schoolbook"/>
        </w:rPr>
        <w:t xml:space="preserve">Quella replica </w:t>
      </w:r>
      <w:r w:rsidR="007C6466" w:rsidRPr="00B4003A">
        <w:rPr>
          <w:rFonts w:ascii="Century Schoolbook" w:hAnsi="Century Schoolbook"/>
        </w:rPr>
        <w:t>è</w:t>
      </w:r>
      <w:r w:rsidRPr="00B4003A">
        <w:rPr>
          <w:rFonts w:ascii="Century Schoolbook" w:hAnsi="Century Schoolbook"/>
        </w:rPr>
        <w:t xml:space="preserve"> </w:t>
      </w:r>
      <w:r w:rsidR="005C2DDE" w:rsidRPr="00B4003A">
        <w:rPr>
          <w:rFonts w:ascii="Century Schoolbook" w:hAnsi="Century Schoolbook"/>
        </w:rPr>
        <w:t xml:space="preserve">significativa. L’accento batte solo sulle distanze. Intento dichiarato è quello di </w:t>
      </w:r>
      <w:r w:rsidR="005C2DDE" w:rsidRPr="00B4003A">
        <w:rPr>
          <w:rFonts w:ascii="Century Schoolbook" w:hAnsi="Century Schoolbook"/>
          <w:i/>
          <w:iCs/>
        </w:rPr>
        <w:t>reagire</w:t>
      </w:r>
      <w:r w:rsidR="005C2DDE" w:rsidRPr="00B4003A">
        <w:rPr>
          <w:rFonts w:ascii="Century Schoolbook" w:hAnsi="Century Schoolbook"/>
        </w:rPr>
        <w:t xml:space="preserve"> </w:t>
      </w:r>
      <w:r w:rsidRPr="00B4003A">
        <w:rPr>
          <w:rFonts w:ascii="Century Schoolbook" w:hAnsi="Century Schoolbook"/>
        </w:rPr>
        <w:t xml:space="preserve">all’avvenuta legificazione </w:t>
      </w:r>
      <w:r w:rsidRPr="00B4003A">
        <w:rPr>
          <w:rFonts w:ascii="Century Schoolbook" w:hAnsi="Century Schoolbook"/>
          <w:i/>
          <w:iCs/>
        </w:rPr>
        <w:t>giurisprudenziale</w:t>
      </w:r>
      <w:r w:rsidRPr="00B4003A">
        <w:rPr>
          <w:rFonts w:ascii="Century Schoolbook" w:hAnsi="Century Schoolbook"/>
        </w:rPr>
        <w:t xml:space="preserve"> del d.m., i cui effetti pratici</w:t>
      </w:r>
      <w:r w:rsidR="00B2042C" w:rsidRPr="00B4003A">
        <w:rPr>
          <w:rFonts w:ascii="Century Schoolbook" w:hAnsi="Century Schoolbook"/>
        </w:rPr>
        <w:t xml:space="preserve"> </w:t>
      </w:r>
      <w:r w:rsidRPr="00B4003A">
        <w:rPr>
          <w:rFonts w:ascii="Century Schoolbook" w:hAnsi="Century Schoolbook"/>
        </w:rPr>
        <w:t xml:space="preserve">sono contestati nella parte in cui </w:t>
      </w:r>
      <w:r w:rsidR="00B2042C" w:rsidRPr="00B4003A">
        <w:rPr>
          <w:rFonts w:ascii="Century Schoolbook" w:hAnsi="Century Schoolbook"/>
        </w:rPr>
        <w:t xml:space="preserve">hanno irrigidito la regolazione </w:t>
      </w:r>
      <w:r w:rsidR="00B2042C" w:rsidRPr="00B4003A">
        <w:rPr>
          <w:rFonts w:ascii="Century Schoolbook" w:hAnsi="Century Schoolbook"/>
          <w:i/>
          <w:iCs/>
        </w:rPr>
        <w:t>sulle</w:t>
      </w:r>
      <w:r w:rsidR="00B2042C" w:rsidRPr="00B4003A">
        <w:rPr>
          <w:rFonts w:ascii="Century Schoolbook" w:hAnsi="Century Schoolbook"/>
        </w:rPr>
        <w:t xml:space="preserve"> </w:t>
      </w:r>
      <w:r w:rsidR="00B2042C" w:rsidRPr="00B4003A">
        <w:rPr>
          <w:rFonts w:ascii="Century Schoolbook" w:hAnsi="Century Schoolbook"/>
          <w:i/>
          <w:iCs/>
        </w:rPr>
        <w:t>distanze</w:t>
      </w:r>
      <w:r w:rsidR="00B2042C" w:rsidRPr="00B4003A">
        <w:rPr>
          <w:rFonts w:ascii="Century Schoolbook" w:hAnsi="Century Schoolbook"/>
        </w:rPr>
        <w:t xml:space="preserve"> racchiusa nel decreto stesso, impedendo alle Regioni di derogarvi: per cui sempre la replica afferma che l’emendamento </w:t>
      </w:r>
      <w:r w:rsidR="001B25C7" w:rsidRPr="00B4003A">
        <w:rPr>
          <w:rFonts w:ascii="Century Schoolbook" w:hAnsi="Century Schoolbook"/>
        </w:rPr>
        <w:t xml:space="preserve">approvato al Senato (e </w:t>
      </w:r>
      <w:r w:rsidR="00B2042C" w:rsidRPr="00B4003A">
        <w:rPr>
          <w:rFonts w:ascii="Century Schoolbook" w:hAnsi="Century Schoolbook"/>
        </w:rPr>
        <w:t xml:space="preserve">in corso di discussione </w:t>
      </w:r>
      <w:r w:rsidR="001B25C7" w:rsidRPr="00B4003A">
        <w:rPr>
          <w:rFonts w:ascii="Century Schoolbook" w:hAnsi="Century Schoolbook"/>
        </w:rPr>
        <w:t xml:space="preserve">soppressiva </w:t>
      </w:r>
      <w:r w:rsidR="00B2042C" w:rsidRPr="00B4003A">
        <w:rPr>
          <w:rFonts w:ascii="Century Schoolbook" w:hAnsi="Century Schoolbook"/>
        </w:rPr>
        <w:t>alla Camera</w:t>
      </w:r>
      <w:r w:rsidR="001B25C7" w:rsidRPr="00B4003A">
        <w:rPr>
          <w:rFonts w:ascii="Century Schoolbook" w:hAnsi="Century Schoolbook"/>
        </w:rPr>
        <w:t>)</w:t>
      </w:r>
      <w:r w:rsidR="00B2042C" w:rsidRPr="00B4003A">
        <w:rPr>
          <w:rFonts w:ascii="Century Schoolbook" w:hAnsi="Century Schoolbook"/>
        </w:rPr>
        <w:t xml:space="preserve"> </w:t>
      </w:r>
      <w:r w:rsidR="001B25C7" w:rsidRPr="00B4003A">
        <w:rPr>
          <w:rFonts w:ascii="Century Schoolbook" w:hAnsi="Century Schoolbook"/>
        </w:rPr>
        <w:t>serve a</w:t>
      </w:r>
      <w:r w:rsidR="00B2042C" w:rsidRPr="00B4003A">
        <w:rPr>
          <w:rFonts w:ascii="Century Schoolbook" w:hAnsi="Century Schoolbook"/>
        </w:rPr>
        <w:t xml:space="preserve"> </w:t>
      </w:r>
      <w:r w:rsidR="001B25C7" w:rsidRPr="00B4003A">
        <w:rPr>
          <w:rFonts w:ascii="Century Schoolbook" w:hAnsi="Century Schoolbook"/>
        </w:rPr>
        <w:t>superare quel blocco, “liberando” l’attività edilizia che è paralizzata sopra tutto dall’art. 9 del d.m.</w:t>
      </w:r>
    </w:p>
    <w:p w14:paraId="2061FF10" w14:textId="1D5E4ED4" w:rsidR="001B25C7" w:rsidRPr="00B4003A" w:rsidRDefault="005E63D7" w:rsidP="0086384E">
      <w:pPr>
        <w:spacing w:line="360" w:lineRule="auto"/>
        <w:ind w:firstLine="709"/>
        <w:contextualSpacing/>
        <w:jc w:val="both"/>
        <w:rPr>
          <w:rFonts w:ascii="Century Schoolbook" w:hAnsi="Century Schoolbook"/>
        </w:rPr>
      </w:pPr>
      <w:r w:rsidRPr="00B4003A">
        <w:rPr>
          <w:rFonts w:ascii="Century Schoolbook" w:hAnsi="Century Schoolbook"/>
        </w:rPr>
        <w:t>A me pare</w:t>
      </w:r>
      <w:r w:rsidR="001B25C7" w:rsidRPr="00B4003A">
        <w:rPr>
          <w:rFonts w:ascii="Century Schoolbook" w:hAnsi="Century Schoolbook"/>
        </w:rPr>
        <w:t xml:space="preserve"> vero il contrario.</w:t>
      </w:r>
    </w:p>
    <w:p w14:paraId="55DD8DF3" w14:textId="271552F4" w:rsidR="000E7C9C" w:rsidRPr="00B4003A" w:rsidRDefault="0057658E" w:rsidP="000E7C9C">
      <w:pPr>
        <w:spacing w:line="360" w:lineRule="auto"/>
        <w:ind w:firstLine="709"/>
        <w:contextualSpacing/>
        <w:jc w:val="both"/>
        <w:rPr>
          <w:rFonts w:ascii="Century Schoolbook" w:hAnsi="Century Schoolbook"/>
        </w:rPr>
      </w:pPr>
      <w:r w:rsidRPr="00B4003A">
        <w:rPr>
          <w:rFonts w:ascii="Century Schoolbook" w:hAnsi="Century Schoolbook"/>
        </w:rPr>
        <w:t xml:space="preserve">Come ho detto più sopra, </w:t>
      </w:r>
      <w:r w:rsidR="00AC2016" w:rsidRPr="00B4003A">
        <w:rPr>
          <w:rFonts w:ascii="Century Schoolbook" w:hAnsi="Century Schoolbook"/>
        </w:rPr>
        <w:t xml:space="preserve">per una parte </w:t>
      </w:r>
      <w:r w:rsidR="00E45CEE" w:rsidRPr="00B4003A">
        <w:rPr>
          <w:rFonts w:ascii="Century Schoolbook" w:hAnsi="Century Schoolbook"/>
        </w:rPr>
        <w:t xml:space="preserve">l’emendamento senatoriale </w:t>
      </w:r>
      <w:r w:rsidR="000E7C9C" w:rsidRPr="00B4003A">
        <w:rPr>
          <w:rFonts w:ascii="Century Schoolbook" w:hAnsi="Century Schoolbook"/>
        </w:rPr>
        <w:t xml:space="preserve">– sia pure mediante una formulazione particolarmente generica, quasi allusiva – non </w:t>
      </w:r>
      <w:r w:rsidR="00BB7A88" w:rsidRPr="00B4003A">
        <w:rPr>
          <w:rFonts w:ascii="Century Schoolbook" w:hAnsi="Century Schoolbook"/>
        </w:rPr>
        <w:t>azzera</w:t>
      </w:r>
      <w:r w:rsidR="000E7C9C" w:rsidRPr="00B4003A">
        <w:rPr>
          <w:rFonts w:ascii="Century Schoolbook" w:hAnsi="Century Schoolbook"/>
        </w:rPr>
        <w:t xml:space="preserve">, ma invece </w:t>
      </w:r>
      <w:r w:rsidR="00BB7A88" w:rsidRPr="00B4003A">
        <w:rPr>
          <w:rFonts w:ascii="Century Schoolbook" w:hAnsi="Century Schoolbook"/>
        </w:rPr>
        <w:t xml:space="preserve">(e per fortuna…) </w:t>
      </w:r>
      <w:r w:rsidR="000E7C9C" w:rsidRPr="00B4003A">
        <w:rPr>
          <w:rFonts w:ascii="Century Schoolbook" w:hAnsi="Century Schoolbook"/>
          <w:i/>
          <w:iCs/>
        </w:rPr>
        <w:t>conferma</w:t>
      </w:r>
      <w:r w:rsidR="000E7C9C" w:rsidRPr="00B4003A">
        <w:rPr>
          <w:rFonts w:ascii="Century Schoolbook" w:hAnsi="Century Schoolbook"/>
        </w:rPr>
        <w:t xml:space="preserve"> il diritto giurisprudenziale che aveva </w:t>
      </w:r>
      <w:proofErr w:type="spellStart"/>
      <w:r w:rsidR="000E7C9C" w:rsidRPr="00B4003A">
        <w:rPr>
          <w:rFonts w:ascii="Century Schoolbook" w:hAnsi="Century Schoolbook"/>
        </w:rPr>
        <w:t>legificato</w:t>
      </w:r>
      <w:proofErr w:type="spellEnd"/>
      <w:r w:rsidR="000E7C9C" w:rsidRPr="00B4003A">
        <w:rPr>
          <w:rFonts w:ascii="Century Schoolbook" w:hAnsi="Century Schoolbook"/>
        </w:rPr>
        <w:t xml:space="preserve"> la regolazione sulle distanze contenuta nel nostro d.m.</w:t>
      </w:r>
      <w:r w:rsidR="00AC2016" w:rsidRPr="00B4003A">
        <w:rPr>
          <w:rFonts w:ascii="Century Schoolbook" w:hAnsi="Century Schoolbook"/>
        </w:rPr>
        <w:t xml:space="preserve"> L’altra sua parte, d</w:t>
      </w:r>
      <w:r w:rsidR="005E63D7" w:rsidRPr="00B4003A">
        <w:rPr>
          <w:rFonts w:ascii="Century Schoolbook" w:hAnsi="Century Schoolbook"/>
        </w:rPr>
        <w:t>i converso, l</w:t>
      </w:r>
      <w:r w:rsidR="000E7C9C" w:rsidRPr="00B4003A">
        <w:rPr>
          <w:rFonts w:ascii="Century Schoolbook" w:hAnsi="Century Schoolbook"/>
        </w:rPr>
        <w:t xml:space="preserve">ascia purtroppo mano libera alle Regioni </w:t>
      </w:r>
      <w:r w:rsidR="001E1F2D" w:rsidRPr="00B4003A">
        <w:rPr>
          <w:rFonts w:ascii="Century Schoolbook" w:hAnsi="Century Schoolbook"/>
        </w:rPr>
        <w:t xml:space="preserve">per tutta la restante area normativa coperta dal decreto, cioè </w:t>
      </w:r>
      <w:r w:rsidR="005E63D7" w:rsidRPr="00B4003A">
        <w:rPr>
          <w:rFonts w:ascii="Century Schoolbook" w:hAnsi="Century Schoolbook"/>
        </w:rPr>
        <w:t>la</w:t>
      </w:r>
      <w:r w:rsidR="001E1F2D" w:rsidRPr="00B4003A">
        <w:rPr>
          <w:rFonts w:ascii="Century Schoolbook" w:hAnsi="Century Schoolbook"/>
        </w:rPr>
        <w:t xml:space="preserve"> materia d</w:t>
      </w:r>
      <w:r w:rsidR="005E63D7" w:rsidRPr="00B4003A">
        <w:rPr>
          <w:rFonts w:ascii="Century Schoolbook" w:hAnsi="Century Schoolbook"/>
        </w:rPr>
        <w:t>egl</w:t>
      </w:r>
      <w:r w:rsidR="001E1F2D" w:rsidRPr="00B4003A">
        <w:rPr>
          <w:rFonts w:ascii="Century Schoolbook" w:hAnsi="Century Schoolbook"/>
        </w:rPr>
        <w:t>i standard in senso tecnico: intesi come quantità minime di spazi pubblici da assicurare in sede di pianificazione comunale.</w:t>
      </w:r>
    </w:p>
    <w:p w14:paraId="0AC25B3F" w14:textId="17A7A8B2" w:rsidR="00C82F5F" w:rsidRPr="00B4003A" w:rsidRDefault="000910F8" w:rsidP="000910F8">
      <w:pPr>
        <w:spacing w:line="360" w:lineRule="auto"/>
        <w:ind w:firstLine="709"/>
        <w:contextualSpacing/>
        <w:jc w:val="both"/>
        <w:rPr>
          <w:rFonts w:ascii="Century Schoolbook" w:hAnsi="Century Schoolbook"/>
        </w:rPr>
      </w:pPr>
      <w:r w:rsidRPr="00B4003A">
        <w:rPr>
          <w:rFonts w:ascii="Century Schoolbook" w:hAnsi="Century Schoolbook"/>
        </w:rPr>
        <w:t>La controffensiva</w:t>
      </w:r>
      <w:r w:rsidR="00F273C2" w:rsidRPr="00B4003A">
        <w:rPr>
          <w:rFonts w:ascii="Century Schoolbook" w:hAnsi="Century Schoolbook"/>
        </w:rPr>
        <w:t xml:space="preserve"> a difesa del d.m.</w:t>
      </w:r>
      <w:r w:rsidR="005E63D7" w:rsidRPr="00B4003A">
        <w:rPr>
          <w:rFonts w:ascii="Century Schoolbook" w:hAnsi="Century Schoolbook"/>
        </w:rPr>
        <w:t>,</w:t>
      </w:r>
      <w:r w:rsidRPr="00B4003A">
        <w:rPr>
          <w:rFonts w:ascii="Century Schoolbook" w:hAnsi="Century Schoolbook"/>
        </w:rPr>
        <w:t xml:space="preserve"> tuttavia</w:t>
      </w:r>
      <w:r w:rsidR="005E63D7" w:rsidRPr="00B4003A">
        <w:rPr>
          <w:rFonts w:ascii="Century Schoolbook" w:hAnsi="Century Schoolbook"/>
        </w:rPr>
        <w:t>,</w:t>
      </w:r>
      <w:r w:rsidRPr="00B4003A">
        <w:rPr>
          <w:rFonts w:ascii="Century Schoolbook" w:hAnsi="Century Schoolbook"/>
        </w:rPr>
        <w:t xml:space="preserve"> fallisce.</w:t>
      </w:r>
      <w:r w:rsidR="00223ED1" w:rsidRPr="00B4003A">
        <w:rPr>
          <w:rFonts w:ascii="Century Schoolbook" w:hAnsi="Century Schoolbook"/>
        </w:rPr>
        <w:t xml:space="preserve"> </w:t>
      </w:r>
      <w:r w:rsidR="005E63D7" w:rsidRPr="00B4003A">
        <w:rPr>
          <w:rFonts w:ascii="Century Schoolbook" w:hAnsi="Century Schoolbook"/>
        </w:rPr>
        <w:t>I due</w:t>
      </w:r>
      <w:r w:rsidRPr="00B4003A">
        <w:rPr>
          <w:rFonts w:ascii="Century Schoolbook" w:hAnsi="Century Schoolbook"/>
        </w:rPr>
        <w:t xml:space="preserve"> emendamenti soppressivi sono respinti a larga maggioranza</w:t>
      </w:r>
      <w:r w:rsidRPr="00B4003A">
        <w:rPr>
          <w:rStyle w:val="Rimandonotaapidipagina"/>
          <w:rFonts w:ascii="Century Schoolbook" w:hAnsi="Century Schoolbook"/>
        </w:rPr>
        <w:footnoteReference w:id="21"/>
      </w:r>
      <w:r w:rsidRPr="00B4003A">
        <w:rPr>
          <w:rFonts w:ascii="Century Schoolbook" w:hAnsi="Century Schoolbook"/>
        </w:rPr>
        <w:t xml:space="preserve"> e </w:t>
      </w:r>
      <w:r w:rsidR="00BA5000" w:rsidRPr="00B4003A">
        <w:rPr>
          <w:rFonts w:ascii="Century Schoolbook" w:hAnsi="Century Schoolbook"/>
        </w:rPr>
        <w:t xml:space="preserve">così </w:t>
      </w:r>
      <w:r w:rsidR="00357887" w:rsidRPr="00B4003A">
        <w:rPr>
          <w:rFonts w:ascii="Century Schoolbook" w:hAnsi="Century Schoolbook"/>
        </w:rPr>
        <w:t>i</w:t>
      </w:r>
      <w:r w:rsidR="00F34488" w:rsidRPr="00B4003A">
        <w:rPr>
          <w:rFonts w:ascii="Century Schoolbook" w:hAnsi="Century Schoolbook"/>
        </w:rPr>
        <w:t xml:space="preserve">l </w:t>
      </w:r>
      <w:r w:rsidR="00357887" w:rsidRPr="00B4003A">
        <w:rPr>
          <w:rFonts w:ascii="Century Schoolbook" w:hAnsi="Century Schoolbook"/>
        </w:rPr>
        <w:t>famige</w:t>
      </w:r>
      <w:r w:rsidR="00F34488" w:rsidRPr="00B4003A">
        <w:rPr>
          <w:rFonts w:ascii="Century Schoolbook" w:hAnsi="Century Schoolbook"/>
        </w:rPr>
        <w:t>rato art. 2-</w:t>
      </w:r>
      <w:r w:rsidR="00F34488" w:rsidRPr="00B4003A">
        <w:rPr>
          <w:rFonts w:ascii="Century Schoolbook" w:hAnsi="Century Schoolbook"/>
          <w:i/>
          <w:iCs/>
        </w:rPr>
        <w:t>bis</w:t>
      </w:r>
      <w:r w:rsidR="00F34488" w:rsidRPr="00B4003A">
        <w:rPr>
          <w:rFonts w:ascii="Century Schoolbook" w:hAnsi="Century Schoolbook"/>
        </w:rPr>
        <w:t xml:space="preserve"> </w:t>
      </w:r>
      <w:r w:rsidRPr="00B4003A">
        <w:rPr>
          <w:rFonts w:ascii="Century Schoolbook" w:hAnsi="Century Schoolbook"/>
        </w:rPr>
        <w:t xml:space="preserve">del t.u. </w:t>
      </w:r>
      <w:r w:rsidR="00BA5000" w:rsidRPr="00B4003A">
        <w:rPr>
          <w:rFonts w:ascii="Century Schoolbook" w:hAnsi="Century Schoolbook"/>
        </w:rPr>
        <w:t xml:space="preserve">sull’edilizia </w:t>
      </w:r>
      <w:r w:rsidRPr="00B4003A">
        <w:rPr>
          <w:rFonts w:ascii="Century Schoolbook" w:hAnsi="Century Schoolbook"/>
        </w:rPr>
        <w:t>diviene norma di legge</w:t>
      </w:r>
      <w:r w:rsidR="00F34488" w:rsidRPr="00B4003A">
        <w:rPr>
          <w:rFonts w:ascii="Century Schoolbook" w:hAnsi="Century Schoolbook"/>
        </w:rPr>
        <w:t>.</w:t>
      </w:r>
    </w:p>
    <w:p w14:paraId="112F1DFC" w14:textId="77777777" w:rsidR="00C82F5F" w:rsidRPr="00B4003A" w:rsidRDefault="00C82F5F" w:rsidP="00BD0A9B">
      <w:pPr>
        <w:spacing w:line="360" w:lineRule="auto"/>
        <w:ind w:firstLine="709"/>
        <w:contextualSpacing/>
        <w:jc w:val="both"/>
        <w:rPr>
          <w:rFonts w:ascii="Century Schoolbook" w:hAnsi="Century Schoolbook"/>
        </w:rPr>
      </w:pPr>
    </w:p>
    <w:p w14:paraId="6F655711" w14:textId="1BE83AB6" w:rsidR="00B442BB" w:rsidRPr="00B4003A" w:rsidRDefault="00BA5000" w:rsidP="00BD0A9B">
      <w:pPr>
        <w:spacing w:line="360" w:lineRule="auto"/>
        <w:ind w:firstLine="709"/>
        <w:contextualSpacing/>
        <w:jc w:val="both"/>
        <w:rPr>
          <w:rFonts w:ascii="Century Schoolbook" w:hAnsi="Century Schoolbook"/>
        </w:rPr>
      </w:pPr>
      <w:r w:rsidRPr="00B4003A">
        <w:rPr>
          <w:rFonts w:ascii="Century Schoolbook" w:hAnsi="Century Schoolbook"/>
        </w:rPr>
        <w:t>6</w:t>
      </w:r>
      <w:r w:rsidR="00C82F5F" w:rsidRPr="00B4003A">
        <w:rPr>
          <w:rFonts w:ascii="Century Schoolbook" w:hAnsi="Century Schoolbook"/>
        </w:rPr>
        <w:t xml:space="preserve">.- </w:t>
      </w:r>
      <w:r w:rsidR="00223ED1" w:rsidRPr="00B4003A">
        <w:rPr>
          <w:rFonts w:ascii="Century Schoolbook" w:hAnsi="Century Schoolbook"/>
        </w:rPr>
        <w:t>Devo pertanto dissentire da chi</w:t>
      </w:r>
      <w:r w:rsidR="00223ED1" w:rsidRPr="00B4003A">
        <w:rPr>
          <w:rStyle w:val="Rimandonotaapidipagina"/>
          <w:rFonts w:ascii="Century Schoolbook" w:hAnsi="Century Schoolbook"/>
        </w:rPr>
        <w:footnoteReference w:id="22"/>
      </w:r>
      <w:r w:rsidR="00B362E5" w:rsidRPr="00B4003A">
        <w:rPr>
          <w:rFonts w:ascii="Century Schoolbook" w:hAnsi="Century Schoolbook"/>
        </w:rPr>
        <w:t xml:space="preserve"> ha attribuito all’art. 2-</w:t>
      </w:r>
      <w:r w:rsidR="00B362E5" w:rsidRPr="00B4003A">
        <w:rPr>
          <w:rFonts w:ascii="Century Schoolbook" w:hAnsi="Century Schoolbook"/>
          <w:i/>
          <w:iCs/>
        </w:rPr>
        <w:t>bis</w:t>
      </w:r>
      <w:r w:rsidR="00B362E5" w:rsidRPr="00B4003A">
        <w:rPr>
          <w:rFonts w:ascii="Century Schoolbook" w:hAnsi="Century Schoolbook"/>
        </w:rPr>
        <w:t xml:space="preserve"> un </w:t>
      </w:r>
      <w:r w:rsidR="00BB7A88" w:rsidRPr="00B4003A">
        <w:rPr>
          <w:rFonts w:ascii="Century Schoolbook" w:hAnsi="Century Schoolbook"/>
        </w:rPr>
        <w:t>effetto</w:t>
      </w:r>
      <w:r w:rsidR="00B362E5" w:rsidRPr="00B4003A">
        <w:rPr>
          <w:rFonts w:ascii="Century Schoolbook" w:hAnsi="Century Schoolbook"/>
        </w:rPr>
        <w:t xml:space="preserve"> benefico, p</w:t>
      </w:r>
      <w:r w:rsidR="00B04107" w:rsidRPr="00B4003A">
        <w:rPr>
          <w:rFonts w:ascii="Century Schoolbook" w:hAnsi="Century Schoolbook"/>
        </w:rPr>
        <w:t>oiché conterrebbe «un richiamo-rinvio “</w:t>
      </w:r>
      <w:r w:rsidR="00B362E5" w:rsidRPr="00B4003A">
        <w:rPr>
          <w:rFonts w:ascii="Century Schoolbook" w:hAnsi="Century Schoolbook"/>
        </w:rPr>
        <w:t>sanante</w:t>
      </w:r>
      <w:r w:rsidR="00B04107" w:rsidRPr="00B4003A">
        <w:rPr>
          <w:rFonts w:ascii="Century Schoolbook" w:hAnsi="Century Schoolbook"/>
        </w:rPr>
        <w:t>”» al d.m.</w:t>
      </w:r>
      <w:r w:rsidR="00B362E5" w:rsidRPr="00B4003A">
        <w:rPr>
          <w:rFonts w:ascii="Century Schoolbook" w:hAnsi="Century Schoolbook"/>
        </w:rPr>
        <w:t>: come se</w:t>
      </w:r>
      <w:r w:rsidR="00BB7A88" w:rsidRPr="00B4003A">
        <w:rPr>
          <w:rFonts w:ascii="Century Schoolbook" w:hAnsi="Century Schoolbook"/>
        </w:rPr>
        <w:t>, cioè,</w:t>
      </w:r>
      <w:r w:rsidR="00B362E5" w:rsidRPr="00B4003A">
        <w:rPr>
          <w:rFonts w:ascii="Century Schoolbook" w:hAnsi="Century Schoolbook"/>
        </w:rPr>
        <w:t xml:space="preserve"> </w:t>
      </w:r>
      <w:r w:rsidR="00B04107" w:rsidRPr="00B4003A">
        <w:rPr>
          <w:rFonts w:ascii="Century Schoolbook" w:hAnsi="Century Schoolbook"/>
        </w:rPr>
        <w:t xml:space="preserve">quella norma </w:t>
      </w:r>
      <w:r w:rsidR="00B362E5" w:rsidRPr="00B4003A">
        <w:rPr>
          <w:rFonts w:ascii="Century Schoolbook" w:hAnsi="Century Schoolbook"/>
        </w:rPr>
        <w:t>avesse posto fine alle incertezze</w:t>
      </w:r>
      <w:r w:rsidR="00B04107" w:rsidRPr="00B4003A">
        <w:rPr>
          <w:rFonts w:ascii="Century Schoolbook" w:hAnsi="Century Schoolbook"/>
        </w:rPr>
        <w:t xml:space="preserve"> derivanti</w:t>
      </w:r>
      <w:r w:rsidR="00B362E5" w:rsidRPr="00B4003A">
        <w:rPr>
          <w:rFonts w:ascii="Century Schoolbook" w:hAnsi="Century Schoolbook"/>
        </w:rPr>
        <w:t xml:space="preserve"> </w:t>
      </w:r>
      <w:r w:rsidR="00B04107" w:rsidRPr="00B4003A">
        <w:rPr>
          <w:rFonts w:ascii="Century Schoolbook" w:hAnsi="Century Schoolbook"/>
        </w:rPr>
        <w:t>d</w:t>
      </w:r>
      <w:r w:rsidR="00B362E5" w:rsidRPr="00B4003A">
        <w:rPr>
          <w:rFonts w:ascii="Century Schoolbook" w:hAnsi="Century Schoolbook"/>
        </w:rPr>
        <w:t xml:space="preserve">al </w:t>
      </w:r>
      <w:r w:rsidR="00E632AB" w:rsidRPr="00B4003A">
        <w:rPr>
          <w:rFonts w:ascii="Century Schoolbook" w:hAnsi="Century Schoolbook"/>
        </w:rPr>
        <w:t xml:space="preserve">suddetto </w:t>
      </w:r>
      <w:r w:rsidR="00B362E5" w:rsidRPr="00B4003A">
        <w:rPr>
          <w:rFonts w:ascii="Century Schoolbook" w:hAnsi="Century Schoolbook"/>
        </w:rPr>
        <w:t>diritto giurisprudenziale</w:t>
      </w:r>
      <w:r w:rsidR="00E632AB" w:rsidRPr="00B4003A">
        <w:rPr>
          <w:rFonts w:ascii="Century Schoolbook" w:hAnsi="Century Schoolbook"/>
        </w:rPr>
        <w:t>, il quale</w:t>
      </w:r>
      <w:r w:rsidR="00B362E5" w:rsidRPr="00B4003A">
        <w:rPr>
          <w:rFonts w:ascii="Century Schoolbook" w:hAnsi="Century Schoolbook"/>
        </w:rPr>
        <w:t xml:space="preserve"> </w:t>
      </w:r>
      <w:r w:rsidR="00E95EA6" w:rsidRPr="00B4003A">
        <w:rPr>
          <w:rFonts w:ascii="Century Schoolbook" w:hAnsi="Century Schoolbook"/>
        </w:rPr>
        <w:t>aveva forzatamente</w:t>
      </w:r>
      <w:r w:rsidR="00B362E5" w:rsidRPr="00B4003A">
        <w:rPr>
          <w:rFonts w:ascii="Century Schoolbook" w:hAnsi="Century Schoolbook"/>
        </w:rPr>
        <w:t xml:space="preserve"> </w:t>
      </w:r>
      <w:r w:rsidR="00E95EA6" w:rsidRPr="00B4003A">
        <w:rPr>
          <w:rFonts w:ascii="Century Schoolbook" w:hAnsi="Century Schoolbook"/>
        </w:rPr>
        <w:t xml:space="preserve">ritenuto </w:t>
      </w:r>
      <w:r w:rsidR="00B362E5" w:rsidRPr="00B4003A">
        <w:rPr>
          <w:rFonts w:ascii="Century Schoolbook" w:hAnsi="Century Schoolbook"/>
        </w:rPr>
        <w:t>il rango legislativo d</w:t>
      </w:r>
      <w:r w:rsidR="00B04107" w:rsidRPr="00B4003A">
        <w:rPr>
          <w:rFonts w:ascii="Century Schoolbook" w:hAnsi="Century Schoolbook"/>
        </w:rPr>
        <w:t>i qu</w:t>
      </w:r>
      <w:r w:rsidR="00B362E5" w:rsidRPr="00B4003A">
        <w:rPr>
          <w:rFonts w:ascii="Century Schoolbook" w:hAnsi="Century Schoolbook"/>
        </w:rPr>
        <w:t>el d</w:t>
      </w:r>
      <w:r w:rsidR="00B04107" w:rsidRPr="00B4003A">
        <w:rPr>
          <w:rFonts w:ascii="Century Schoolbook" w:hAnsi="Century Schoolbook"/>
        </w:rPr>
        <w:t>ecreto</w:t>
      </w:r>
      <w:r w:rsidR="00B362E5" w:rsidRPr="00B4003A">
        <w:rPr>
          <w:rFonts w:ascii="Century Schoolbook" w:hAnsi="Century Schoolbook"/>
        </w:rPr>
        <w:t>.</w:t>
      </w:r>
    </w:p>
    <w:p w14:paraId="43992F7A" w14:textId="02DB99E7" w:rsidR="00CF7A9F" w:rsidRPr="00B4003A" w:rsidRDefault="00B362E5" w:rsidP="00F273C2">
      <w:pPr>
        <w:spacing w:line="360" w:lineRule="auto"/>
        <w:ind w:firstLine="709"/>
        <w:contextualSpacing/>
        <w:jc w:val="both"/>
        <w:rPr>
          <w:rFonts w:ascii="Century Schoolbook" w:hAnsi="Century Schoolbook"/>
        </w:rPr>
      </w:pPr>
      <w:r w:rsidRPr="00B4003A">
        <w:rPr>
          <w:rFonts w:ascii="Century Schoolbook" w:hAnsi="Century Schoolbook"/>
        </w:rPr>
        <w:t xml:space="preserve"> </w:t>
      </w:r>
      <w:r w:rsidR="00E632AB" w:rsidRPr="00B4003A">
        <w:rPr>
          <w:rFonts w:ascii="Century Schoolbook" w:hAnsi="Century Schoolbook"/>
        </w:rPr>
        <w:t xml:space="preserve">A me pare, invece, </w:t>
      </w:r>
      <w:r w:rsidRPr="00B4003A">
        <w:rPr>
          <w:rFonts w:ascii="Century Schoolbook" w:hAnsi="Century Schoolbook"/>
        </w:rPr>
        <w:t>c</w:t>
      </w:r>
      <w:r w:rsidR="00E632AB" w:rsidRPr="00B4003A">
        <w:rPr>
          <w:rFonts w:ascii="Century Schoolbook" w:hAnsi="Century Schoolbook"/>
        </w:rPr>
        <w:t>he vi sia</w:t>
      </w:r>
      <w:r w:rsidRPr="00B4003A">
        <w:rPr>
          <w:rFonts w:ascii="Century Schoolbook" w:hAnsi="Century Schoolbook"/>
        </w:rPr>
        <w:t xml:space="preserve"> un equivoco</w:t>
      </w:r>
      <w:r w:rsidR="00B04107" w:rsidRPr="00B4003A">
        <w:rPr>
          <w:rFonts w:ascii="Century Schoolbook" w:hAnsi="Century Schoolbook"/>
        </w:rPr>
        <w:t>.</w:t>
      </w:r>
      <w:r w:rsidR="00E632AB" w:rsidRPr="00B4003A">
        <w:rPr>
          <w:rFonts w:ascii="Century Schoolbook" w:hAnsi="Century Schoolbook"/>
        </w:rPr>
        <w:t xml:space="preserve"> </w:t>
      </w:r>
      <w:r w:rsidR="00B04107" w:rsidRPr="00B4003A">
        <w:rPr>
          <w:rFonts w:ascii="Century Schoolbook" w:hAnsi="Century Schoolbook"/>
        </w:rPr>
        <w:t>Questa lettura</w:t>
      </w:r>
      <w:r w:rsidR="00E632AB" w:rsidRPr="00B4003A">
        <w:rPr>
          <w:rFonts w:ascii="Century Schoolbook" w:hAnsi="Century Schoolbook"/>
        </w:rPr>
        <w:t xml:space="preserve"> </w:t>
      </w:r>
      <w:r w:rsidR="00BB7A88" w:rsidRPr="00B4003A">
        <w:rPr>
          <w:rFonts w:ascii="Century Schoolbook" w:hAnsi="Century Schoolbook"/>
          <w:i/>
          <w:iCs/>
        </w:rPr>
        <w:t>in bonam partem</w:t>
      </w:r>
      <w:r w:rsidR="00BB7A88" w:rsidRPr="00B4003A">
        <w:rPr>
          <w:rFonts w:ascii="Century Schoolbook" w:hAnsi="Century Schoolbook"/>
        </w:rPr>
        <w:t xml:space="preserve"> </w:t>
      </w:r>
      <w:r w:rsidR="00956D44" w:rsidRPr="00B4003A">
        <w:rPr>
          <w:rFonts w:ascii="Century Schoolbook" w:hAnsi="Century Schoolbook"/>
        </w:rPr>
        <w:t>capovol</w:t>
      </w:r>
      <w:r w:rsidR="00B04107" w:rsidRPr="00B4003A">
        <w:rPr>
          <w:rFonts w:ascii="Century Schoolbook" w:hAnsi="Century Schoolbook"/>
        </w:rPr>
        <w:t>ge</w:t>
      </w:r>
      <w:r w:rsidR="00956D44" w:rsidRPr="00B4003A">
        <w:rPr>
          <w:rFonts w:ascii="Century Schoolbook" w:hAnsi="Century Schoolbook"/>
        </w:rPr>
        <w:t xml:space="preserve"> il senso dell’art. 2-</w:t>
      </w:r>
      <w:r w:rsidR="00956D44" w:rsidRPr="00B4003A">
        <w:rPr>
          <w:rFonts w:ascii="Century Schoolbook" w:hAnsi="Century Schoolbook"/>
          <w:i/>
          <w:iCs/>
        </w:rPr>
        <w:t>bis</w:t>
      </w:r>
      <w:r w:rsidR="00956D44" w:rsidRPr="00B4003A">
        <w:rPr>
          <w:rFonts w:ascii="Century Schoolbook" w:hAnsi="Century Schoolbook"/>
        </w:rPr>
        <w:t xml:space="preserve">, o comunque </w:t>
      </w:r>
      <w:r w:rsidR="00CF7A9F" w:rsidRPr="00B4003A">
        <w:rPr>
          <w:rFonts w:ascii="Century Schoolbook" w:hAnsi="Century Schoolbook"/>
        </w:rPr>
        <w:t>ne</w:t>
      </w:r>
      <w:r w:rsidR="00E632AB" w:rsidRPr="00B4003A">
        <w:rPr>
          <w:rFonts w:ascii="Century Schoolbook" w:hAnsi="Century Schoolbook"/>
        </w:rPr>
        <w:t xml:space="preserve"> </w:t>
      </w:r>
      <w:r w:rsidR="00E95EA6" w:rsidRPr="00B4003A">
        <w:rPr>
          <w:rFonts w:ascii="Century Schoolbook" w:hAnsi="Century Schoolbook"/>
        </w:rPr>
        <w:t xml:space="preserve">generalizza </w:t>
      </w:r>
      <w:r w:rsidR="00CF7A9F" w:rsidRPr="00B4003A">
        <w:rPr>
          <w:rFonts w:ascii="Century Schoolbook" w:hAnsi="Century Schoolbook"/>
        </w:rPr>
        <w:t>la portata</w:t>
      </w:r>
      <w:r w:rsidR="00956D44" w:rsidRPr="00B4003A">
        <w:rPr>
          <w:rFonts w:ascii="Century Schoolbook" w:hAnsi="Century Schoolbook"/>
        </w:rPr>
        <w:t>, fraintendendo alcune sentenze della Consulta</w:t>
      </w:r>
      <w:r w:rsidR="00BB7A88" w:rsidRPr="00B4003A">
        <w:rPr>
          <w:rFonts w:ascii="Century Schoolbook" w:hAnsi="Century Schoolbook"/>
        </w:rPr>
        <w:t xml:space="preserve"> che si sono confrontate con questa norma</w:t>
      </w:r>
      <w:r w:rsidR="00CF7A9F" w:rsidRPr="00B4003A">
        <w:rPr>
          <w:rFonts w:ascii="Century Schoolbook" w:hAnsi="Century Schoolbook"/>
        </w:rPr>
        <w:t>:</w:t>
      </w:r>
      <w:r w:rsidR="00956D44" w:rsidRPr="00B4003A">
        <w:rPr>
          <w:rFonts w:ascii="Century Schoolbook" w:hAnsi="Century Schoolbook"/>
        </w:rPr>
        <w:t xml:space="preserve"> come la </w:t>
      </w:r>
      <w:r w:rsidR="00E632AB" w:rsidRPr="00B4003A">
        <w:rPr>
          <w:rFonts w:ascii="Century Schoolbook" w:hAnsi="Century Schoolbook"/>
        </w:rPr>
        <w:t xml:space="preserve">più volte </w:t>
      </w:r>
      <w:r w:rsidR="00956D44" w:rsidRPr="00B4003A">
        <w:rPr>
          <w:rFonts w:ascii="Century Schoolbook" w:hAnsi="Century Schoolbook"/>
        </w:rPr>
        <w:t xml:space="preserve">citata n. 41/’17. </w:t>
      </w:r>
    </w:p>
    <w:p w14:paraId="13265749" w14:textId="18B9236D" w:rsidR="00B362E5" w:rsidRPr="00B4003A" w:rsidRDefault="00956D44" w:rsidP="00F273C2">
      <w:pPr>
        <w:spacing w:line="360" w:lineRule="auto"/>
        <w:ind w:firstLine="709"/>
        <w:contextualSpacing/>
        <w:jc w:val="both"/>
        <w:rPr>
          <w:rFonts w:ascii="Century Schoolbook" w:hAnsi="Century Schoolbook"/>
        </w:rPr>
      </w:pPr>
      <w:r w:rsidRPr="00B4003A">
        <w:rPr>
          <w:rFonts w:ascii="Century Schoolbook" w:hAnsi="Century Schoolbook"/>
        </w:rPr>
        <w:t>Ecco il passo della</w:t>
      </w:r>
      <w:r w:rsidR="00CF7A9F" w:rsidRPr="00B4003A">
        <w:rPr>
          <w:rFonts w:ascii="Century Schoolbook" w:hAnsi="Century Schoolbook"/>
        </w:rPr>
        <w:t xml:space="preserve"> sentenza dove si parla dell’art. 2-</w:t>
      </w:r>
      <w:r w:rsidR="00CF7A9F" w:rsidRPr="00B4003A">
        <w:rPr>
          <w:rFonts w:ascii="Century Schoolbook" w:hAnsi="Century Schoolbook"/>
          <w:i/>
          <w:iCs/>
        </w:rPr>
        <w:t>bis</w:t>
      </w:r>
      <w:r w:rsidRPr="00B4003A">
        <w:rPr>
          <w:rFonts w:ascii="Century Schoolbook" w:hAnsi="Century Schoolbook"/>
        </w:rPr>
        <w:t>: «La disposizione, infatti, ha sostanzialmente recepito l</w:t>
      </w:r>
      <w:r w:rsidR="00F273C2" w:rsidRPr="00B4003A">
        <w:rPr>
          <w:rFonts w:ascii="Century Schoolbook" w:hAnsi="Century Schoolbook"/>
        </w:rPr>
        <w:t>’</w:t>
      </w:r>
      <w:r w:rsidRPr="00B4003A">
        <w:rPr>
          <w:rFonts w:ascii="Century Schoolbook" w:hAnsi="Century Schoolbook"/>
        </w:rPr>
        <w:t>orientamento della giurisprudenza costituzionale, inserendo nel testo unico sull</w:t>
      </w:r>
      <w:r w:rsidR="00CF7A9F" w:rsidRPr="00B4003A">
        <w:rPr>
          <w:rFonts w:ascii="Century Schoolbook" w:hAnsi="Century Schoolbook"/>
        </w:rPr>
        <w:t>’</w:t>
      </w:r>
      <w:r w:rsidRPr="00B4003A">
        <w:rPr>
          <w:rFonts w:ascii="Century Schoolbook" w:hAnsi="Century Schoolbook"/>
        </w:rPr>
        <w:t>edilizia i principi fondamentali della vincolatività, anche per le Regioni e le Province autonome, delle distanze legali stabilite dal d.m. n. 1444 del 1968 e dell</w:t>
      </w:r>
      <w:r w:rsidR="002B225E" w:rsidRPr="00B4003A">
        <w:rPr>
          <w:rFonts w:ascii="Century Schoolbook" w:hAnsi="Century Schoolbook"/>
        </w:rPr>
        <w:t>’</w:t>
      </w:r>
      <w:r w:rsidRPr="00B4003A">
        <w:rPr>
          <w:rFonts w:ascii="Century Schoolbook" w:hAnsi="Century Schoolbook"/>
        </w:rPr>
        <w:t>ammissibilità delle deroghe</w:t>
      </w:r>
      <w:r w:rsidR="00CF7A9F" w:rsidRPr="00B4003A">
        <w:rPr>
          <w:rFonts w:ascii="Century Schoolbook" w:hAnsi="Century Schoolbook"/>
          <w:lang w:eastAsia="it-IT"/>
        </w:rPr>
        <w:t>,</w:t>
      </w:r>
      <w:r w:rsidR="00CF7A9F" w:rsidRPr="00B4003A">
        <w:rPr>
          <w:rFonts w:ascii="Century Schoolbook" w:hAnsi="Century Schoolbook"/>
        </w:rPr>
        <w:t xml:space="preserve"> </w:t>
      </w:r>
      <w:r w:rsidRPr="00B4003A">
        <w:rPr>
          <w:rFonts w:ascii="Century Schoolbook" w:hAnsi="Century Schoolbook"/>
        </w:rPr>
        <w:t xml:space="preserve">solo a condizione che siano </w:t>
      </w:r>
      <w:r w:rsidR="00CF7A9F" w:rsidRPr="00B4003A">
        <w:rPr>
          <w:rFonts w:ascii="Century Schoolbook" w:hAnsi="Century Schoolbook"/>
        </w:rPr>
        <w:t>“</w:t>
      </w:r>
      <w:r w:rsidRPr="00B4003A">
        <w:rPr>
          <w:rFonts w:ascii="Century Schoolbook" w:hAnsi="Century Schoolbook"/>
        </w:rPr>
        <w:t>inserite in strumenti urbanistici, funzionali a conformare un assetto complessivo e unitario di determinate zone del territorio</w:t>
      </w:r>
      <w:r w:rsidR="00CF7A9F" w:rsidRPr="00B4003A">
        <w:rPr>
          <w:rFonts w:ascii="Century Schoolbook" w:hAnsi="Century Schoolbook"/>
        </w:rPr>
        <w:t>”</w:t>
      </w:r>
      <w:r w:rsidRPr="00B4003A">
        <w:rPr>
          <w:rFonts w:ascii="Century Schoolbook" w:hAnsi="Century Schoolbook"/>
        </w:rPr>
        <w:t xml:space="preserve"> (sentenza n. 185 del 2016; nello stesso senso, </w:t>
      </w:r>
      <w:r w:rsidRPr="00B4003A">
        <w:rPr>
          <w:rFonts w:ascii="Century Schoolbook" w:hAnsi="Century Schoolbook"/>
          <w:i/>
          <w:iCs/>
        </w:rPr>
        <w:t>ex plurimis</w:t>
      </w:r>
      <w:r w:rsidRPr="00B4003A">
        <w:rPr>
          <w:rFonts w:ascii="Century Schoolbook" w:hAnsi="Century Schoolbook"/>
        </w:rPr>
        <w:t>, sentenza n. 189 del 2016)»</w:t>
      </w:r>
      <w:r w:rsidR="002B225E" w:rsidRPr="00B4003A">
        <w:rPr>
          <w:rFonts w:ascii="Century Schoolbook" w:hAnsi="Century Schoolbook"/>
        </w:rPr>
        <w:t>.</w:t>
      </w:r>
    </w:p>
    <w:p w14:paraId="4119EEBB" w14:textId="4793D650" w:rsidR="002B225E" w:rsidRPr="00B4003A" w:rsidRDefault="002B225E" w:rsidP="00F273C2">
      <w:pPr>
        <w:spacing w:line="360" w:lineRule="auto"/>
        <w:ind w:firstLine="709"/>
        <w:contextualSpacing/>
        <w:jc w:val="both"/>
        <w:rPr>
          <w:rFonts w:ascii="Century Schoolbook" w:hAnsi="Century Schoolbook"/>
        </w:rPr>
      </w:pPr>
      <w:r w:rsidRPr="00B4003A">
        <w:rPr>
          <w:rFonts w:ascii="Century Schoolbook" w:hAnsi="Century Schoolbook"/>
        </w:rPr>
        <w:t xml:space="preserve">Si badi. La Consulta precisa chiaramente che il recepimento </w:t>
      </w:r>
      <w:r w:rsidR="0018721A" w:rsidRPr="00B4003A">
        <w:rPr>
          <w:rFonts w:ascii="Century Schoolbook" w:hAnsi="Century Schoolbook"/>
        </w:rPr>
        <w:t xml:space="preserve">legislativo della sua giurisprudenza </w:t>
      </w:r>
      <w:r w:rsidR="00BB7A88" w:rsidRPr="00B4003A">
        <w:rPr>
          <w:rFonts w:ascii="Century Schoolbook" w:hAnsi="Century Schoolbook"/>
        </w:rPr>
        <w:t>per opera dell’art. 2-</w:t>
      </w:r>
      <w:r w:rsidR="00BB7A88" w:rsidRPr="00B4003A">
        <w:rPr>
          <w:rFonts w:ascii="Century Schoolbook" w:hAnsi="Century Schoolbook"/>
          <w:i/>
          <w:iCs/>
        </w:rPr>
        <w:t>bis</w:t>
      </w:r>
      <w:r w:rsidR="00BB7A88" w:rsidRPr="00B4003A">
        <w:rPr>
          <w:rFonts w:ascii="Century Schoolbook" w:hAnsi="Century Schoolbook"/>
        </w:rPr>
        <w:t xml:space="preserve"> </w:t>
      </w:r>
      <w:r w:rsidRPr="00B4003A">
        <w:rPr>
          <w:rFonts w:ascii="Century Schoolbook" w:hAnsi="Century Schoolbook"/>
          <w:i/>
          <w:iCs/>
        </w:rPr>
        <w:t>concerne solo ed esclusivamente la materia delle distanze</w:t>
      </w:r>
      <w:r w:rsidRPr="00B4003A">
        <w:rPr>
          <w:rFonts w:ascii="Century Schoolbook" w:hAnsi="Century Schoolbook"/>
        </w:rPr>
        <w:t xml:space="preserve">; e che quindi le deroghe regionali – sempre </w:t>
      </w:r>
      <w:r w:rsidR="0018721A" w:rsidRPr="00B4003A">
        <w:rPr>
          <w:rFonts w:ascii="Century Schoolbook" w:hAnsi="Century Schoolbook"/>
        </w:rPr>
        <w:t xml:space="preserve">relative </w:t>
      </w:r>
      <w:r w:rsidRPr="00B4003A">
        <w:rPr>
          <w:rFonts w:ascii="Century Schoolbook" w:hAnsi="Century Schoolbook"/>
        </w:rPr>
        <w:t xml:space="preserve">alle distanze – sono legittime </w:t>
      </w:r>
      <w:r w:rsidR="0018721A" w:rsidRPr="00B4003A">
        <w:rPr>
          <w:rFonts w:ascii="Century Schoolbook" w:hAnsi="Century Schoolbook"/>
        </w:rPr>
        <w:t>sol</w:t>
      </w:r>
      <w:r w:rsidR="00EB7FA0" w:rsidRPr="00B4003A">
        <w:rPr>
          <w:rFonts w:ascii="Century Schoolbook" w:hAnsi="Century Schoolbook"/>
        </w:rPr>
        <w:t>tant</w:t>
      </w:r>
      <w:r w:rsidR="0018721A" w:rsidRPr="00B4003A">
        <w:rPr>
          <w:rFonts w:ascii="Century Schoolbook" w:hAnsi="Century Schoolbook"/>
        </w:rPr>
        <w:t xml:space="preserve">o </w:t>
      </w:r>
      <w:r w:rsidRPr="00B4003A">
        <w:rPr>
          <w:rFonts w:ascii="Century Schoolbook" w:hAnsi="Century Schoolbook"/>
        </w:rPr>
        <w:t>se atting</w:t>
      </w:r>
      <w:r w:rsidR="0018721A" w:rsidRPr="00B4003A">
        <w:rPr>
          <w:rFonts w:ascii="Century Schoolbook" w:hAnsi="Century Schoolbook"/>
        </w:rPr>
        <w:t>a</w:t>
      </w:r>
      <w:r w:rsidRPr="00B4003A">
        <w:rPr>
          <w:rFonts w:ascii="Century Schoolbook" w:hAnsi="Century Schoolbook"/>
        </w:rPr>
        <w:t xml:space="preserve">no il livello urbanistico nel senso appena ricordato.  </w:t>
      </w:r>
    </w:p>
    <w:p w14:paraId="69174DAB" w14:textId="43F20E52" w:rsidR="00132FC3" w:rsidRPr="00B4003A" w:rsidRDefault="00132FC3" w:rsidP="00BD0A9B">
      <w:pPr>
        <w:spacing w:line="360" w:lineRule="auto"/>
        <w:ind w:firstLine="709"/>
        <w:contextualSpacing/>
        <w:jc w:val="both"/>
        <w:rPr>
          <w:rFonts w:ascii="Century Schoolbook" w:hAnsi="Century Schoolbook"/>
        </w:rPr>
      </w:pPr>
      <w:r w:rsidRPr="00B4003A">
        <w:rPr>
          <w:rFonts w:ascii="Century Schoolbook" w:hAnsi="Century Schoolbook"/>
        </w:rPr>
        <w:t>In altre parole, è vero sì che l’inciso iniziale dell’art. 2-</w:t>
      </w:r>
      <w:r w:rsidRPr="00B4003A">
        <w:rPr>
          <w:rFonts w:ascii="Century Schoolbook" w:hAnsi="Century Schoolbook"/>
          <w:i/>
          <w:iCs/>
        </w:rPr>
        <w:t>bis</w:t>
      </w:r>
      <w:r w:rsidRPr="00B4003A">
        <w:rPr>
          <w:rFonts w:ascii="Century Schoolbook" w:hAnsi="Century Schoolbook"/>
        </w:rPr>
        <w:t xml:space="preserve"> («Ferma restando la competenza statale in materia di ordinamento civile con riferimento al diritto di proprietà e alle connesse norme del codice civile e alle disposizioni integrative») ha</w:t>
      </w:r>
      <w:r w:rsidR="00E95EA6" w:rsidRPr="00B4003A">
        <w:rPr>
          <w:rFonts w:ascii="Century Schoolbook" w:hAnsi="Century Schoolbook"/>
        </w:rPr>
        <w:t xml:space="preserve"> opportunamente </w:t>
      </w:r>
      <w:proofErr w:type="spellStart"/>
      <w:r w:rsidRPr="00B4003A">
        <w:rPr>
          <w:rFonts w:ascii="Century Schoolbook" w:hAnsi="Century Schoolbook"/>
        </w:rPr>
        <w:t>legificato</w:t>
      </w:r>
      <w:proofErr w:type="spellEnd"/>
      <w:r w:rsidRPr="00B4003A">
        <w:rPr>
          <w:rFonts w:ascii="Century Schoolbook" w:hAnsi="Century Schoolbook"/>
        </w:rPr>
        <w:t xml:space="preserve"> il </w:t>
      </w:r>
      <w:proofErr w:type="spellStart"/>
      <w:r w:rsidRPr="00B4003A">
        <w:rPr>
          <w:rFonts w:ascii="Century Schoolbook" w:hAnsi="Century Schoolbook"/>
        </w:rPr>
        <w:t>d.m.</w:t>
      </w:r>
      <w:proofErr w:type="spellEnd"/>
      <w:r w:rsidRPr="00B4003A">
        <w:rPr>
          <w:rFonts w:ascii="Century Schoolbook" w:hAnsi="Century Schoolbook"/>
        </w:rPr>
        <w:t xml:space="preserve"> e il diritto giurisprudenziale che si è formato su di esso: così </w:t>
      </w:r>
      <w:r w:rsidRPr="00B4003A">
        <w:rPr>
          <w:rFonts w:ascii="Century Schoolbook" w:hAnsi="Century Schoolbook"/>
          <w:i/>
          <w:iCs/>
        </w:rPr>
        <w:t>ribadendo</w:t>
      </w:r>
      <w:r w:rsidR="00EB7FA0" w:rsidRPr="00B4003A">
        <w:rPr>
          <w:rFonts w:ascii="Century Schoolbook" w:hAnsi="Century Schoolbook"/>
        </w:rPr>
        <w:t>, sul punto, l’operatività</w:t>
      </w:r>
      <w:r w:rsidRPr="00B4003A">
        <w:rPr>
          <w:rFonts w:ascii="Century Schoolbook" w:hAnsi="Century Schoolbook"/>
        </w:rPr>
        <w:t xml:space="preserve"> </w:t>
      </w:r>
      <w:r w:rsidR="00EB7FA0" w:rsidRPr="00B4003A">
        <w:rPr>
          <w:rFonts w:ascii="Century Schoolbook" w:hAnsi="Century Schoolbook"/>
        </w:rPr>
        <w:t>de</w:t>
      </w:r>
      <w:r w:rsidRPr="00B4003A">
        <w:rPr>
          <w:rFonts w:ascii="Century Schoolbook" w:hAnsi="Century Schoolbook"/>
        </w:rPr>
        <w:t>l principio di pianificazione.</w:t>
      </w:r>
    </w:p>
    <w:p w14:paraId="575FA4D9" w14:textId="2B23FFD4" w:rsidR="00226BEC" w:rsidRPr="00B4003A" w:rsidRDefault="00EB7FA0" w:rsidP="00BD0A9B">
      <w:pPr>
        <w:spacing w:line="360" w:lineRule="auto"/>
        <w:ind w:firstLine="709"/>
        <w:contextualSpacing/>
        <w:jc w:val="both"/>
        <w:rPr>
          <w:rFonts w:ascii="Century Schoolbook" w:hAnsi="Century Schoolbook"/>
        </w:rPr>
      </w:pPr>
      <w:r w:rsidRPr="00B4003A">
        <w:rPr>
          <w:rFonts w:ascii="Century Schoolbook" w:hAnsi="Century Schoolbook"/>
        </w:rPr>
        <w:t>Però</w:t>
      </w:r>
      <w:r w:rsidR="00132FC3" w:rsidRPr="00B4003A">
        <w:rPr>
          <w:rFonts w:ascii="Century Schoolbook" w:hAnsi="Century Schoolbook"/>
        </w:rPr>
        <w:t xml:space="preserve"> è </w:t>
      </w:r>
      <w:r w:rsidRPr="00B4003A">
        <w:rPr>
          <w:rFonts w:ascii="Century Schoolbook" w:hAnsi="Century Schoolbook"/>
        </w:rPr>
        <w:t xml:space="preserve">anche – e </w:t>
      </w:r>
      <w:r w:rsidR="00132FC3" w:rsidRPr="00B4003A">
        <w:rPr>
          <w:rFonts w:ascii="Century Schoolbook" w:hAnsi="Century Schoolbook"/>
        </w:rPr>
        <w:t xml:space="preserve">sopra tutto </w:t>
      </w:r>
      <w:r w:rsidRPr="00B4003A">
        <w:rPr>
          <w:rFonts w:ascii="Century Schoolbook" w:hAnsi="Century Schoolbook"/>
        </w:rPr>
        <w:t xml:space="preserve">– </w:t>
      </w:r>
      <w:r w:rsidR="00132FC3" w:rsidRPr="00B4003A">
        <w:rPr>
          <w:rFonts w:ascii="Century Schoolbook" w:hAnsi="Century Schoolbook"/>
        </w:rPr>
        <w:t xml:space="preserve">vera un’altra, </w:t>
      </w:r>
      <w:r w:rsidRPr="00B4003A">
        <w:rPr>
          <w:rFonts w:ascii="Century Schoolbook" w:hAnsi="Century Schoolbook"/>
        </w:rPr>
        <w:t>deleteria</w:t>
      </w:r>
      <w:r w:rsidR="00132FC3" w:rsidRPr="00B4003A">
        <w:rPr>
          <w:rFonts w:ascii="Century Schoolbook" w:hAnsi="Century Schoolbook"/>
        </w:rPr>
        <w:t xml:space="preserve"> cosa: che, come dimostra la genesi </w:t>
      </w:r>
      <w:r w:rsidR="00226BEC" w:rsidRPr="00B4003A">
        <w:rPr>
          <w:rFonts w:ascii="Century Schoolbook" w:hAnsi="Century Schoolbook"/>
        </w:rPr>
        <w:t>della norma</w:t>
      </w:r>
      <w:r w:rsidR="00BA5000" w:rsidRPr="00B4003A">
        <w:rPr>
          <w:rStyle w:val="Rimandonotaapidipagina"/>
          <w:rFonts w:ascii="Century Schoolbook" w:hAnsi="Century Schoolbook"/>
        </w:rPr>
        <w:footnoteReference w:id="23"/>
      </w:r>
      <w:r w:rsidR="00B04107" w:rsidRPr="00B4003A">
        <w:rPr>
          <w:rFonts w:ascii="Century Schoolbook" w:hAnsi="Century Schoolbook"/>
        </w:rPr>
        <w:t>,</w:t>
      </w:r>
      <w:r w:rsidR="00226BEC" w:rsidRPr="00B4003A">
        <w:rPr>
          <w:rFonts w:ascii="Century Schoolbook" w:hAnsi="Century Schoolbook"/>
        </w:rPr>
        <w:t xml:space="preserve"> </w:t>
      </w:r>
      <w:r w:rsidR="00226BEC" w:rsidRPr="00E42217">
        <w:rPr>
          <w:rFonts w:ascii="Century Schoolbook" w:hAnsi="Century Schoolbook"/>
          <w:highlight w:val="yellow"/>
        </w:rPr>
        <w:t>la restante parte dell’art. 2-</w:t>
      </w:r>
      <w:r w:rsidR="00226BEC" w:rsidRPr="00E42217">
        <w:rPr>
          <w:rFonts w:ascii="Century Schoolbook" w:hAnsi="Century Schoolbook"/>
          <w:i/>
          <w:iCs/>
          <w:highlight w:val="yellow"/>
        </w:rPr>
        <w:t>bis</w:t>
      </w:r>
      <w:r w:rsidR="00226BEC" w:rsidRPr="00E42217">
        <w:rPr>
          <w:rFonts w:ascii="Century Schoolbook" w:hAnsi="Century Schoolbook"/>
          <w:highlight w:val="yellow"/>
        </w:rPr>
        <w:t xml:space="preserve"> è una norma </w:t>
      </w:r>
      <w:r w:rsidRPr="00E42217">
        <w:rPr>
          <w:rFonts w:ascii="Century Schoolbook" w:hAnsi="Century Schoolbook"/>
          <w:highlight w:val="yellow"/>
        </w:rPr>
        <w:t>per nulla</w:t>
      </w:r>
      <w:r w:rsidR="00226BEC" w:rsidRPr="00E42217">
        <w:rPr>
          <w:rFonts w:ascii="Century Schoolbook" w:hAnsi="Century Schoolbook"/>
          <w:highlight w:val="yellow"/>
        </w:rPr>
        <w:t xml:space="preserve"> sanante, ma </w:t>
      </w:r>
      <w:r w:rsidR="00226BEC" w:rsidRPr="00E42217">
        <w:rPr>
          <w:rFonts w:ascii="Century Schoolbook" w:hAnsi="Century Schoolbook"/>
          <w:i/>
          <w:iCs/>
          <w:highlight w:val="yellow"/>
        </w:rPr>
        <w:t>neutralizzante</w:t>
      </w:r>
      <w:r w:rsidR="00226BEC" w:rsidRPr="00E42217">
        <w:rPr>
          <w:rFonts w:ascii="Century Schoolbook" w:hAnsi="Century Schoolbook"/>
          <w:highlight w:val="yellow"/>
        </w:rPr>
        <w:t xml:space="preserve"> </w:t>
      </w:r>
      <w:r w:rsidR="00E95EA6" w:rsidRPr="00E42217">
        <w:rPr>
          <w:rFonts w:ascii="Century Schoolbook" w:hAnsi="Century Schoolbook"/>
          <w:highlight w:val="yellow"/>
        </w:rPr>
        <w:t>il nucleo più importante del d.m.</w:t>
      </w:r>
      <w:r w:rsidRPr="00E42217">
        <w:rPr>
          <w:rFonts w:ascii="Century Schoolbook" w:hAnsi="Century Schoolbook"/>
          <w:highlight w:val="yellow"/>
        </w:rPr>
        <w:t>, come non mi stanco di ripetere.</w:t>
      </w:r>
      <w:r w:rsidR="00226BEC" w:rsidRPr="00B4003A">
        <w:rPr>
          <w:rFonts w:ascii="Century Schoolbook" w:hAnsi="Century Schoolbook"/>
        </w:rPr>
        <w:t xml:space="preserve"> </w:t>
      </w:r>
    </w:p>
    <w:p w14:paraId="2972FE51" w14:textId="77777777" w:rsidR="00946474" w:rsidRPr="00B4003A" w:rsidRDefault="00946474" w:rsidP="00BD0A9B">
      <w:pPr>
        <w:spacing w:line="360" w:lineRule="auto"/>
        <w:ind w:firstLine="709"/>
        <w:contextualSpacing/>
        <w:jc w:val="both"/>
        <w:rPr>
          <w:rFonts w:ascii="Century Schoolbook" w:hAnsi="Century Schoolbook"/>
        </w:rPr>
      </w:pPr>
    </w:p>
    <w:p w14:paraId="7F75B555" w14:textId="4AAE3638" w:rsidR="003A26D8" w:rsidRPr="00B4003A" w:rsidRDefault="00EB7FA0" w:rsidP="003A26D8">
      <w:pPr>
        <w:spacing w:line="360" w:lineRule="auto"/>
        <w:ind w:firstLine="709"/>
        <w:contextualSpacing/>
        <w:jc w:val="both"/>
        <w:rPr>
          <w:rFonts w:ascii="Century Schoolbook" w:hAnsi="Century Schoolbook"/>
        </w:rPr>
      </w:pPr>
      <w:r w:rsidRPr="00B4003A">
        <w:rPr>
          <w:rFonts w:ascii="Century Schoolbook" w:hAnsi="Century Schoolbook"/>
        </w:rPr>
        <w:t xml:space="preserve">7.- </w:t>
      </w:r>
      <w:r w:rsidR="00DD285E" w:rsidRPr="00B4003A">
        <w:rPr>
          <w:rFonts w:ascii="Century Schoolbook" w:hAnsi="Century Schoolbook"/>
        </w:rPr>
        <w:t>Abbattuta</w:t>
      </w:r>
      <w:r w:rsidR="00226BEC" w:rsidRPr="00B4003A">
        <w:rPr>
          <w:rFonts w:ascii="Century Schoolbook" w:hAnsi="Century Schoolbook"/>
        </w:rPr>
        <w:t xml:space="preserve"> </w:t>
      </w:r>
      <w:r w:rsidR="000E3D4D" w:rsidRPr="00B4003A">
        <w:rPr>
          <w:rFonts w:ascii="Century Schoolbook" w:hAnsi="Century Schoolbook"/>
        </w:rPr>
        <w:t xml:space="preserve">in questo modo </w:t>
      </w:r>
      <w:r w:rsidR="00226BEC" w:rsidRPr="00B4003A">
        <w:rPr>
          <w:rFonts w:ascii="Century Schoolbook" w:hAnsi="Century Schoolbook"/>
        </w:rPr>
        <w:t>l</w:t>
      </w:r>
      <w:r w:rsidR="00DD285E" w:rsidRPr="00B4003A">
        <w:rPr>
          <w:rFonts w:ascii="Century Schoolbook" w:hAnsi="Century Schoolbook"/>
        </w:rPr>
        <w:t>a barriera giurisprudenziale,</w:t>
      </w:r>
      <w:r w:rsidR="00226BEC" w:rsidRPr="00B4003A">
        <w:rPr>
          <w:rFonts w:ascii="Century Schoolbook" w:hAnsi="Century Schoolbook"/>
        </w:rPr>
        <w:t xml:space="preserve"> </w:t>
      </w:r>
      <w:r w:rsidR="00DD285E" w:rsidRPr="00B4003A">
        <w:rPr>
          <w:rFonts w:ascii="Century Schoolbook" w:hAnsi="Century Schoolbook"/>
        </w:rPr>
        <w:t xml:space="preserve">le </w:t>
      </w:r>
      <w:r w:rsidR="00226BEC" w:rsidRPr="00B4003A">
        <w:rPr>
          <w:rFonts w:ascii="Century Schoolbook" w:hAnsi="Century Schoolbook"/>
        </w:rPr>
        <w:t>raffiche sono partite subito</w:t>
      </w:r>
      <w:r w:rsidR="003A26D8" w:rsidRPr="00B4003A">
        <w:rPr>
          <w:rFonts w:ascii="Century Schoolbook" w:hAnsi="Century Schoolbook"/>
        </w:rPr>
        <w:t>;</w:t>
      </w:r>
      <w:r w:rsidR="00226BEC" w:rsidRPr="00B4003A">
        <w:rPr>
          <w:rFonts w:ascii="Century Schoolbook" w:hAnsi="Century Schoolbook"/>
        </w:rPr>
        <w:t xml:space="preserve"> la maggioranza delle Regioni ha regolato gli standard </w:t>
      </w:r>
      <w:r w:rsidR="00DD285E" w:rsidRPr="00B4003A">
        <w:rPr>
          <w:rFonts w:ascii="Century Schoolbook" w:hAnsi="Century Schoolbook"/>
        </w:rPr>
        <w:t xml:space="preserve">ponendosi </w:t>
      </w:r>
      <w:r w:rsidR="00226BEC" w:rsidRPr="00B4003A">
        <w:rPr>
          <w:rFonts w:ascii="Century Schoolbook" w:hAnsi="Century Schoolbook"/>
        </w:rPr>
        <w:t xml:space="preserve">in modalità </w:t>
      </w:r>
      <w:r w:rsidR="00226BEC" w:rsidRPr="00B4003A">
        <w:rPr>
          <w:rFonts w:ascii="Century Schoolbook" w:hAnsi="Century Schoolbook"/>
          <w:i/>
          <w:iCs/>
        </w:rPr>
        <w:t xml:space="preserve">do </w:t>
      </w:r>
      <w:proofErr w:type="spellStart"/>
      <w:r w:rsidR="00226BEC" w:rsidRPr="00B4003A">
        <w:rPr>
          <w:rFonts w:ascii="Century Schoolbook" w:hAnsi="Century Schoolbook"/>
          <w:i/>
          <w:iCs/>
        </w:rPr>
        <w:t>it</w:t>
      </w:r>
      <w:proofErr w:type="spellEnd"/>
      <w:r w:rsidR="00226BEC" w:rsidRPr="00B4003A">
        <w:rPr>
          <w:rFonts w:ascii="Century Schoolbook" w:hAnsi="Century Schoolbook"/>
          <w:i/>
          <w:iCs/>
        </w:rPr>
        <w:t xml:space="preserve"> by </w:t>
      </w:r>
      <w:proofErr w:type="spellStart"/>
      <w:r w:rsidR="00226BEC" w:rsidRPr="00B4003A">
        <w:rPr>
          <w:rFonts w:ascii="Century Schoolbook" w:hAnsi="Century Schoolbook"/>
          <w:i/>
          <w:iCs/>
        </w:rPr>
        <w:t>yourself</w:t>
      </w:r>
      <w:proofErr w:type="spellEnd"/>
      <w:r w:rsidR="00226BEC" w:rsidRPr="00B4003A">
        <w:rPr>
          <w:rFonts w:ascii="Century Schoolbook" w:hAnsi="Century Schoolbook"/>
        </w:rPr>
        <w:t xml:space="preserve"> o – se si preferisce un francesismo – </w:t>
      </w:r>
      <w:r w:rsidR="00B04107" w:rsidRPr="00B4003A">
        <w:rPr>
          <w:rFonts w:ascii="Century Schoolbook" w:hAnsi="Century Schoolbook"/>
          <w:i/>
          <w:iCs/>
        </w:rPr>
        <w:t>à</w:t>
      </w:r>
      <w:r w:rsidR="00226BEC" w:rsidRPr="00B4003A">
        <w:rPr>
          <w:rFonts w:ascii="Century Schoolbook" w:hAnsi="Century Schoolbook"/>
          <w:i/>
          <w:iCs/>
        </w:rPr>
        <w:t xml:space="preserve"> la carte</w:t>
      </w:r>
      <w:r w:rsidR="00226BEC" w:rsidRPr="00B4003A">
        <w:rPr>
          <w:rFonts w:ascii="Century Schoolbook" w:hAnsi="Century Schoolbook"/>
        </w:rPr>
        <w:t>.</w:t>
      </w:r>
      <w:r w:rsidR="003A26D8" w:rsidRPr="00B4003A">
        <w:rPr>
          <w:rFonts w:ascii="Century Schoolbook" w:hAnsi="Century Schoolbook"/>
        </w:rPr>
        <w:t xml:space="preserve"> Un </w:t>
      </w:r>
      <w:r w:rsidR="003A26D8" w:rsidRPr="00B4003A">
        <w:rPr>
          <w:rFonts w:ascii="Century Schoolbook" w:hAnsi="Century Schoolbook"/>
          <w:i/>
          <w:iCs/>
        </w:rPr>
        <w:t xml:space="preserve">dossier </w:t>
      </w:r>
      <w:r w:rsidR="003A26D8" w:rsidRPr="00B4003A">
        <w:rPr>
          <w:rFonts w:ascii="Century Schoolbook" w:hAnsi="Century Schoolbook"/>
        </w:rPr>
        <w:t xml:space="preserve">ANCE aggiornato al 18 giugno 2022 censisce infatti </w:t>
      </w:r>
      <w:r w:rsidR="00AE300A" w:rsidRPr="00B4003A">
        <w:rPr>
          <w:rFonts w:ascii="Century Schoolbook" w:hAnsi="Century Schoolbook"/>
        </w:rPr>
        <w:t xml:space="preserve">ben </w:t>
      </w:r>
      <w:r w:rsidR="003A26D8" w:rsidRPr="00B4003A">
        <w:rPr>
          <w:rFonts w:ascii="Century Schoolbook" w:hAnsi="Century Schoolbook"/>
        </w:rPr>
        <w:t>tredici Regioni che hanno prodotto normazioni in deroga.</w:t>
      </w:r>
    </w:p>
    <w:p w14:paraId="5BEF6FCE" w14:textId="349FA695" w:rsidR="003A26D8" w:rsidRPr="00B4003A" w:rsidRDefault="003A26D8" w:rsidP="003A26D8">
      <w:pPr>
        <w:spacing w:line="360" w:lineRule="auto"/>
        <w:ind w:firstLine="709"/>
        <w:contextualSpacing/>
        <w:jc w:val="both"/>
        <w:rPr>
          <w:rFonts w:ascii="Century Schoolbook" w:hAnsi="Century Schoolbook"/>
        </w:rPr>
      </w:pPr>
      <w:r w:rsidRPr="00B4003A">
        <w:rPr>
          <w:rFonts w:ascii="Century Schoolbook" w:hAnsi="Century Schoolbook"/>
        </w:rPr>
        <w:t xml:space="preserve">A riprova, poi, di quanto sia sempre in agguato il </w:t>
      </w:r>
      <w:r w:rsidR="00F72FEF" w:rsidRPr="00B4003A">
        <w:rPr>
          <w:rFonts w:ascii="Century Schoolbook" w:hAnsi="Century Schoolbook"/>
        </w:rPr>
        <w:t xml:space="preserve">pericoloso </w:t>
      </w:r>
      <w:r w:rsidRPr="00B4003A">
        <w:rPr>
          <w:rFonts w:ascii="Century Schoolbook" w:hAnsi="Century Schoolbook"/>
          <w:i/>
          <w:iCs/>
        </w:rPr>
        <w:t xml:space="preserve">piercing </w:t>
      </w:r>
      <w:proofErr w:type="spellStart"/>
      <w:r w:rsidRPr="00B4003A">
        <w:rPr>
          <w:rFonts w:ascii="Century Schoolbook" w:hAnsi="Century Schoolbook"/>
          <w:i/>
          <w:iCs/>
        </w:rPr>
        <w:t>effect</w:t>
      </w:r>
      <w:proofErr w:type="spellEnd"/>
      <w:r w:rsidRPr="00B4003A">
        <w:rPr>
          <w:rFonts w:ascii="Century Schoolbook" w:hAnsi="Century Schoolbook"/>
        </w:rPr>
        <w:t>, ossia l</w:t>
      </w:r>
      <w:r w:rsidR="00F72FEF" w:rsidRPr="00B4003A">
        <w:rPr>
          <w:rFonts w:ascii="Century Schoolbook" w:hAnsi="Century Schoolbook"/>
        </w:rPr>
        <w:t>a</w:t>
      </w:r>
      <w:r w:rsidRPr="00B4003A">
        <w:rPr>
          <w:rFonts w:ascii="Century Schoolbook" w:hAnsi="Century Schoolbook"/>
        </w:rPr>
        <w:t xml:space="preserve"> </w:t>
      </w:r>
      <w:r w:rsidR="00F72FEF" w:rsidRPr="00B4003A">
        <w:rPr>
          <w:rFonts w:ascii="Century Schoolbook" w:hAnsi="Century Schoolbook"/>
        </w:rPr>
        <w:t>crepa</w:t>
      </w:r>
      <w:r w:rsidRPr="00B4003A">
        <w:rPr>
          <w:rFonts w:ascii="Century Schoolbook" w:hAnsi="Century Schoolbook"/>
        </w:rPr>
        <w:t xml:space="preserve"> </w:t>
      </w:r>
      <w:r w:rsidR="00F72FEF" w:rsidRPr="00B4003A">
        <w:rPr>
          <w:rFonts w:ascii="Century Schoolbook" w:hAnsi="Century Schoolbook"/>
        </w:rPr>
        <w:t>iniziale che poi fa crollare l’intera</w:t>
      </w:r>
      <w:r w:rsidRPr="00B4003A">
        <w:rPr>
          <w:rFonts w:ascii="Century Schoolbook" w:hAnsi="Century Schoolbook"/>
        </w:rPr>
        <w:t xml:space="preserve"> diga, è interessante soffermarsi un attimo sulla lettura dell’art. 2-</w:t>
      </w:r>
      <w:r w:rsidRPr="00B4003A">
        <w:rPr>
          <w:rFonts w:ascii="Century Schoolbook" w:hAnsi="Century Schoolbook"/>
          <w:i/>
          <w:iCs/>
        </w:rPr>
        <w:t>bis</w:t>
      </w:r>
      <w:r w:rsidRPr="00B4003A">
        <w:rPr>
          <w:rFonts w:ascii="Century Schoolbook" w:hAnsi="Century Schoolbook"/>
        </w:rPr>
        <w:t xml:space="preserve"> offert</w:t>
      </w:r>
      <w:r w:rsidR="00F72FEF" w:rsidRPr="00B4003A">
        <w:rPr>
          <w:rFonts w:ascii="Century Schoolbook" w:hAnsi="Century Schoolbook"/>
        </w:rPr>
        <w:t>a</w:t>
      </w:r>
      <w:r w:rsidRPr="00B4003A">
        <w:rPr>
          <w:rFonts w:ascii="Century Schoolbook" w:hAnsi="Century Schoolbook"/>
        </w:rPr>
        <w:t xml:space="preserve"> </w:t>
      </w:r>
      <w:r w:rsidR="00F72FEF" w:rsidRPr="00B4003A">
        <w:rPr>
          <w:rFonts w:ascii="Century Schoolbook" w:hAnsi="Century Schoolbook"/>
        </w:rPr>
        <w:t xml:space="preserve">proprio dall’ANCE </w:t>
      </w:r>
      <w:r w:rsidRPr="00B4003A">
        <w:rPr>
          <w:rFonts w:ascii="Century Schoolbook" w:hAnsi="Century Schoolbook"/>
        </w:rPr>
        <w:t xml:space="preserve">nel </w:t>
      </w:r>
      <w:r w:rsidRPr="00B4003A">
        <w:rPr>
          <w:rFonts w:ascii="Century Schoolbook" w:hAnsi="Century Schoolbook"/>
          <w:i/>
          <w:iCs/>
        </w:rPr>
        <w:t>dossier</w:t>
      </w:r>
      <w:r w:rsidRPr="00B4003A">
        <w:rPr>
          <w:rFonts w:ascii="Century Schoolbook" w:hAnsi="Century Schoolbook"/>
        </w:rPr>
        <w:t xml:space="preserve"> appena ricordato.</w:t>
      </w:r>
      <w:r w:rsidRPr="00B4003A">
        <w:rPr>
          <w:rFonts w:ascii="Century Schoolbook" w:hAnsi="Century Schoolbook"/>
          <w:i/>
          <w:iCs/>
        </w:rPr>
        <w:t xml:space="preserve"> </w:t>
      </w:r>
    </w:p>
    <w:p w14:paraId="0C5A6700" w14:textId="747F1310" w:rsidR="00BC387B" w:rsidRPr="00B4003A" w:rsidRDefault="002F1058" w:rsidP="00BC387B">
      <w:pPr>
        <w:spacing w:line="360" w:lineRule="auto"/>
        <w:ind w:firstLine="709"/>
        <w:contextualSpacing/>
        <w:jc w:val="both"/>
        <w:rPr>
          <w:rFonts w:ascii="Century Schoolbook" w:hAnsi="Century Schoolbook"/>
        </w:rPr>
      </w:pPr>
      <w:r w:rsidRPr="00B4003A">
        <w:rPr>
          <w:rFonts w:ascii="Century Schoolbook" w:hAnsi="Century Schoolbook"/>
        </w:rPr>
        <w:t>L’</w:t>
      </w:r>
      <w:r w:rsidR="00F72FEF" w:rsidRPr="00B4003A">
        <w:rPr>
          <w:rFonts w:ascii="Century Schoolbook" w:hAnsi="Century Schoolbook"/>
        </w:rPr>
        <w:t>a</w:t>
      </w:r>
      <w:r w:rsidR="003A26D8" w:rsidRPr="00B4003A">
        <w:rPr>
          <w:rFonts w:ascii="Century Schoolbook" w:hAnsi="Century Schoolbook"/>
        </w:rPr>
        <w:t>ssociazione dei costruttori</w:t>
      </w:r>
      <w:r w:rsidRPr="00B4003A">
        <w:rPr>
          <w:rFonts w:ascii="Century Schoolbook" w:hAnsi="Century Schoolbook"/>
        </w:rPr>
        <w:t xml:space="preserve"> ha </w:t>
      </w:r>
      <w:r w:rsidR="008146A8" w:rsidRPr="00B4003A">
        <w:rPr>
          <w:rFonts w:ascii="Century Schoolbook" w:hAnsi="Century Schoolbook"/>
        </w:rPr>
        <w:t>ritenut</w:t>
      </w:r>
      <w:r w:rsidRPr="00B4003A">
        <w:rPr>
          <w:rFonts w:ascii="Century Schoolbook" w:hAnsi="Century Schoolbook"/>
        </w:rPr>
        <w:t xml:space="preserve">o </w:t>
      </w:r>
      <w:r w:rsidR="008146A8" w:rsidRPr="00B4003A">
        <w:rPr>
          <w:rFonts w:ascii="Century Schoolbook" w:hAnsi="Century Schoolbook"/>
        </w:rPr>
        <w:t xml:space="preserve">che </w:t>
      </w:r>
      <w:r w:rsidRPr="00B4003A">
        <w:rPr>
          <w:rFonts w:ascii="Century Schoolbook" w:hAnsi="Century Schoolbook"/>
        </w:rPr>
        <w:t>l’art. 2-</w:t>
      </w:r>
      <w:r w:rsidRPr="00B4003A">
        <w:rPr>
          <w:rFonts w:ascii="Century Schoolbook" w:hAnsi="Century Schoolbook"/>
          <w:i/>
          <w:iCs/>
        </w:rPr>
        <w:t>bis</w:t>
      </w:r>
      <w:r w:rsidR="00226BEC" w:rsidRPr="00B4003A">
        <w:rPr>
          <w:rFonts w:ascii="Century Schoolbook" w:hAnsi="Century Schoolbook"/>
        </w:rPr>
        <w:t xml:space="preserve"> </w:t>
      </w:r>
      <w:r w:rsidR="008146A8" w:rsidRPr="00B4003A">
        <w:rPr>
          <w:rFonts w:ascii="Century Schoolbook" w:hAnsi="Century Schoolbook"/>
        </w:rPr>
        <w:t>pecc</w:t>
      </w:r>
      <w:r w:rsidR="00BC387B" w:rsidRPr="00B4003A">
        <w:rPr>
          <w:rFonts w:ascii="Century Schoolbook" w:hAnsi="Century Schoolbook"/>
        </w:rPr>
        <w:t>hi</w:t>
      </w:r>
      <w:r w:rsidR="008146A8" w:rsidRPr="00B4003A">
        <w:rPr>
          <w:rFonts w:ascii="Century Schoolbook" w:hAnsi="Century Schoolbook"/>
        </w:rPr>
        <w:t xml:space="preserve"> </w:t>
      </w:r>
      <w:r w:rsidRPr="00B4003A">
        <w:rPr>
          <w:rFonts w:ascii="Century Schoolbook" w:hAnsi="Century Schoolbook"/>
        </w:rPr>
        <w:t xml:space="preserve">di </w:t>
      </w:r>
      <w:proofErr w:type="spellStart"/>
      <w:r w:rsidRPr="00B4003A">
        <w:rPr>
          <w:rFonts w:ascii="Century Schoolbook" w:hAnsi="Century Schoolbook"/>
        </w:rPr>
        <w:t>riduttivismo</w:t>
      </w:r>
      <w:proofErr w:type="spellEnd"/>
      <w:r w:rsidR="008146A8" w:rsidRPr="00B4003A">
        <w:rPr>
          <w:rFonts w:ascii="Century Schoolbook" w:hAnsi="Century Schoolbook"/>
        </w:rPr>
        <w:t>, poiché</w:t>
      </w:r>
      <w:r w:rsidRPr="00B4003A">
        <w:rPr>
          <w:rFonts w:ascii="Century Schoolbook" w:hAnsi="Century Schoolbook"/>
        </w:rPr>
        <w:t xml:space="preserve"> </w:t>
      </w:r>
      <w:r w:rsidR="008146A8" w:rsidRPr="00B4003A">
        <w:rPr>
          <w:rFonts w:ascii="Century Schoolbook" w:hAnsi="Century Schoolbook"/>
        </w:rPr>
        <w:t>«[…] fin dalla sua entrata in vigore, ha fatto sorgere molti dubbi interpretativi perché la rubrica parla di deroghe in materia di distanza tra fabbricati, mentre il testo contiene un riferimento generico a “disposizioni derogatorie al DM 1444/68”. La norma inoltre lega le deroghe alla “definizione o revisione di strumenti urbanistici comunque funzionali ad un assetto complessivo e unitario o di specifiche aree territoriali”, senza un riferimento espresso alle fattispecie, potenzialmente rilevantissime, di intervento in diretta esecuzione del piano urbanistico generale</w:t>
      </w:r>
      <w:r w:rsidR="00BC387B" w:rsidRPr="00B4003A">
        <w:rPr>
          <w:rFonts w:ascii="Century Schoolbook" w:hAnsi="Century Schoolbook"/>
        </w:rPr>
        <w:t>. L</w:t>
      </w:r>
      <w:r w:rsidRPr="00B4003A">
        <w:rPr>
          <w:rFonts w:ascii="Century Schoolbook" w:hAnsi="Century Schoolbook"/>
        </w:rPr>
        <w:t>e Regioni hanno inizialmente emanato norme ampie che consentivano derog</w:t>
      </w:r>
      <w:r w:rsidR="00BC387B" w:rsidRPr="00B4003A">
        <w:rPr>
          <w:rFonts w:ascii="Century Schoolbook" w:hAnsi="Century Schoolbook"/>
        </w:rPr>
        <w:t>he</w:t>
      </w:r>
      <w:r w:rsidRPr="00B4003A">
        <w:rPr>
          <w:rFonts w:ascii="Century Schoolbook" w:hAnsi="Century Schoolbook"/>
        </w:rPr>
        <w:t xml:space="preserve"> </w:t>
      </w:r>
      <w:r w:rsidR="00BC387B" w:rsidRPr="00B4003A">
        <w:rPr>
          <w:rFonts w:ascii="Century Schoolbook" w:hAnsi="Century Schoolbook"/>
        </w:rPr>
        <w:t xml:space="preserve">sia </w:t>
      </w:r>
      <w:r w:rsidRPr="00B4003A">
        <w:rPr>
          <w:rFonts w:ascii="Century Schoolbook" w:hAnsi="Century Schoolbook"/>
        </w:rPr>
        <w:t xml:space="preserve">alle distanze, </w:t>
      </w:r>
      <w:r w:rsidR="00BC387B" w:rsidRPr="00B4003A">
        <w:rPr>
          <w:rFonts w:ascii="Century Schoolbook" w:hAnsi="Century Schoolbook"/>
        </w:rPr>
        <w:t>che</w:t>
      </w:r>
      <w:r w:rsidRPr="00B4003A">
        <w:rPr>
          <w:rFonts w:ascii="Century Schoolbook" w:hAnsi="Century Schoolbook"/>
        </w:rPr>
        <w:t xml:space="preserve"> agli altri standard </w:t>
      </w:r>
      <w:r w:rsidR="00BC387B" w:rsidRPr="00B4003A">
        <w:rPr>
          <w:rFonts w:ascii="Century Schoolbook" w:hAnsi="Century Schoolbook"/>
        </w:rPr>
        <w:t xml:space="preserve">e limiti </w:t>
      </w:r>
      <w:r w:rsidRPr="00B4003A">
        <w:rPr>
          <w:rFonts w:ascii="Century Schoolbook" w:hAnsi="Century Schoolbook"/>
        </w:rPr>
        <w:t xml:space="preserve">edilizi, </w:t>
      </w:r>
      <w:r w:rsidR="00CC2F76" w:rsidRPr="00B4003A">
        <w:rPr>
          <w:rFonts w:ascii="Century Schoolbook" w:hAnsi="Century Schoolbook"/>
        </w:rPr>
        <w:t xml:space="preserve">e riguardavano sia interventi ricompresi in piani attuativi, sia interventi puntuali ossia su singoli edifici». </w:t>
      </w:r>
      <w:r w:rsidR="00AE300A" w:rsidRPr="00B4003A">
        <w:rPr>
          <w:rFonts w:ascii="Century Schoolbook" w:hAnsi="Century Schoolbook"/>
        </w:rPr>
        <w:t>Purtroppo, però,</w:t>
      </w:r>
      <w:r w:rsidR="00CC2F76" w:rsidRPr="00B4003A">
        <w:rPr>
          <w:rFonts w:ascii="Century Schoolbook" w:hAnsi="Century Schoolbook"/>
        </w:rPr>
        <w:t xml:space="preserve"> la Consulta – sembra che si dolga il </w:t>
      </w:r>
      <w:r w:rsidR="00CC2F76" w:rsidRPr="00B4003A">
        <w:rPr>
          <w:rFonts w:ascii="Century Schoolbook" w:hAnsi="Century Schoolbook"/>
          <w:i/>
          <w:iCs/>
        </w:rPr>
        <w:t>dossier</w:t>
      </w:r>
      <w:r w:rsidR="00CC2F76" w:rsidRPr="00B4003A">
        <w:rPr>
          <w:rFonts w:ascii="Century Schoolbook" w:hAnsi="Century Schoolbook"/>
        </w:rPr>
        <w:t xml:space="preserve"> – ne ha censurate più d’una, proprio applicando la teoria della doppia valenza</w:t>
      </w:r>
      <w:r w:rsidRPr="00B4003A">
        <w:rPr>
          <w:rFonts w:ascii="Century Schoolbook" w:hAnsi="Century Schoolbook"/>
        </w:rPr>
        <w:t xml:space="preserve"> </w:t>
      </w:r>
    </w:p>
    <w:p w14:paraId="2F272824" w14:textId="4FF8E955" w:rsidR="003F46AE" w:rsidRPr="00B4003A" w:rsidRDefault="002F1058" w:rsidP="00BC387B">
      <w:pPr>
        <w:spacing w:line="360" w:lineRule="auto"/>
        <w:ind w:firstLine="709"/>
        <w:contextualSpacing/>
        <w:jc w:val="both"/>
        <w:rPr>
          <w:rFonts w:ascii="Century Schoolbook" w:hAnsi="Century Schoolbook"/>
        </w:rPr>
      </w:pPr>
      <w:r w:rsidRPr="00B4003A">
        <w:rPr>
          <w:rFonts w:ascii="Century Schoolbook" w:hAnsi="Century Schoolbook"/>
        </w:rPr>
        <w:t>In</w:t>
      </w:r>
      <w:r w:rsidR="00CC2F76" w:rsidRPr="00B4003A">
        <w:rPr>
          <w:rFonts w:ascii="Century Schoolbook" w:hAnsi="Century Schoolbook"/>
        </w:rPr>
        <w:t xml:space="preserve"> </w:t>
      </w:r>
      <w:r w:rsidRPr="00B4003A">
        <w:rPr>
          <w:rFonts w:ascii="Century Schoolbook" w:hAnsi="Century Schoolbook"/>
        </w:rPr>
        <w:t>somma, ANCE e Regioni</w:t>
      </w:r>
      <w:r w:rsidR="00AE300A" w:rsidRPr="00B4003A">
        <w:rPr>
          <w:rStyle w:val="Rimandonotaapidipagina"/>
          <w:rFonts w:ascii="Century Schoolbook" w:hAnsi="Century Schoolbook"/>
        </w:rPr>
        <w:footnoteReference w:id="24"/>
      </w:r>
      <w:r w:rsidRPr="00B4003A">
        <w:rPr>
          <w:rFonts w:ascii="Century Schoolbook" w:hAnsi="Century Schoolbook"/>
        </w:rPr>
        <w:t xml:space="preserve"> </w:t>
      </w:r>
      <w:r w:rsidR="00AE300A" w:rsidRPr="00B4003A">
        <w:rPr>
          <w:rFonts w:ascii="Century Schoolbook" w:hAnsi="Century Schoolbook"/>
        </w:rPr>
        <w:t>ambivano a qualcosa</w:t>
      </w:r>
      <w:r w:rsidRPr="00B4003A">
        <w:rPr>
          <w:rFonts w:ascii="Century Schoolbook" w:hAnsi="Century Schoolbook"/>
        </w:rPr>
        <w:t xml:space="preserve"> </w:t>
      </w:r>
      <w:r w:rsidR="004A12F6" w:rsidRPr="00B4003A">
        <w:rPr>
          <w:rFonts w:ascii="Century Schoolbook" w:hAnsi="Century Schoolbook"/>
        </w:rPr>
        <w:t>di più</w:t>
      </w:r>
      <w:r w:rsidR="00CC2F76" w:rsidRPr="00B4003A">
        <w:rPr>
          <w:rFonts w:ascii="Century Schoolbook" w:hAnsi="Century Schoolbook"/>
        </w:rPr>
        <w:t xml:space="preserve"> rispetto a ciò che l’art. 2-</w:t>
      </w:r>
      <w:r w:rsidR="00CC2F76" w:rsidRPr="00B4003A">
        <w:rPr>
          <w:rFonts w:ascii="Century Schoolbook" w:hAnsi="Century Schoolbook"/>
          <w:i/>
          <w:iCs/>
        </w:rPr>
        <w:t>bis</w:t>
      </w:r>
      <w:r w:rsidR="00CC2F76" w:rsidRPr="00B4003A">
        <w:rPr>
          <w:rFonts w:ascii="Century Schoolbook" w:hAnsi="Century Schoolbook"/>
        </w:rPr>
        <w:t xml:space="preserve"> aveva già improvvidamente concesso: di poter prevedere</w:t>
      </w:r>
      <w:r w:rsidR="004A12F6" w:rsidRPr="00B4003A">
        <w:rPr>
          <w:rFonts w:ascii="Century Schoolbook" w:hAnsi="Century Schoolbook"/>
        </w:rPr>
        <w:t xml:space="preserve"> deroghe agli standard anche al di fuori di qualunque pianificazione, cioè anche in caso di interventi diretti.</w:t>
      </w:r>
      <w:r w:rsidR="00CC2F76" w:rsidRPr="00B4003A">
        <w:rPr>
          <w:rFonts w:ascii="Century Schoolbook" w:hAnsi="Century Schoolbook"/>
        </w:rPr>
        <w:t xml:space="preserve"> </w:t>
      </w:r>
    </w:p>
    <w:p w14:paraId="2539DF2E" w14:textId="3833B7CF" w:rsidR="004A12F6" w:rsidRPr="00B4003A" w:rsidRDefault="004A12F6" w:rsidP="00BD0A9B">
      <w:pPr>
        <w:spacing w:line="360" w:lineRule="auto"/>
        <w:ind w:firstLine="709"/>
        <w:contextualSpacing/>
        <w:jc w:val="both"/>
        <w:rPr>
          <w:rFonts w:ascii="Century Schoolbook" w:hAnsi="Century Schoolbook"/>
        </w:rPr>
      </w:pPr>
    </w:p>
    <w:p w14:paraId="43E13080" w14:textId="439D869D" w:rsidR="0089539C" w:rsidRPr="00B4003A" w:rsidRDefault="009C2043" w:rsidP="00BD0A9B">
      <w:pPr>
        <w:spacing w:line="360" w:lineRule="auto"/>
        <w:ind w:firstLine="709"/>
        <w:contextualSpacing/>
        <w:jc w:val="both"/>
        <w:rPr>
          <w:rFonts w:ascii="Century Schoolbook" w:hAnsi="Century Schoolbook"/>
        </w:rPr>
      </w:pPr>
      <w:r w:rsidRPr="00B4003A">
        <w:rPr>
          <w:rFonts w:ascii="Century Schoolbook" w:hAnsi="Century Schoolbook"/>
        </w:rPr>
        <w:t xml:space="preserve">8.- </w:t>
      </w:r>
      <w:r w:rsidR="00AE300A" w:rsidRPr="00B4003A">
        <w:rPr>
          <w:rFonts w:ascii="Century Schoolbook" w:hAnsi="Century Schoolbook"/>
        </w:rPr>
        <w:t xml:space="preserve">Sia dunque </w:t>
      </w:r>
      <w:r w:rsidR="00F55CDA" w:rsidRPr="00B4003A">
        <w:rPr>
          <w:rFonts w:ascii="Century Schoolbook" w:hAnsi="Century Schoolbook"/>
        </w:rPr>
        <w:t>b</w:t>
      </w:r>
      <w:r w:rsidRPr="00B4003A">
        <w:rPr>
          <w:rFonts w:ascii="Century Schoolbook" w:hAnsi="Century Schoolbook"/>
        </w:rPr>
        <w:t>envenuta la q</w:t>
      </w:r>
      <w:r w:rsidR="00190C6D" w:rsidRPr="00B4003A">
        <w:rPr>
          <w:rFonts w:ascii="Century Schoolbook" w:hAnsi="Century Schoolbook"/>
        </w:rPr>
        <w:t xml:space="preserve">uestione di </w:t>
      </w:r>
      <w:r w:rsidRPr="00B4003A">
        <w:rPr>
          <w:rFonts w:ascii="Century Schoolbook" w:hAnsi="Century Schoolbook"/>
        </w:rPr>
        <w:t>l</w:t>
      </w:r>
      <w:r w:rsidR="00190C6D" w:rsidRPr="00B4003A">
        <w:rPr>
          <w:rFonts w:ascii="Century Schoolbook" w:hAnsi="Century Schoolbook"/>
        </w:rPr>
        <w:t xml:space="preserve">egittimità </w:t>
      </w:r>
      <w:r w:rsidRPr="00B4003A">
        <w:rPr>
          <w:rFonts w:ascii="Century Schoolbook" w:hAnsi="Century Schoolbook"/>
        </w:rPr>
        <w:t>c</w:t>
      </w:r>
      <w:r w:rsidR="00190C6D" w:rsidRPr="00B4003A">
        <w:rPr>
          <w:rFonts w:ascii="Century Schoolbook" w:hAnsi="Century Schoolbook"/>
        </w:rPr>
        <w:t>ostituzionale</w:t>
      </w:r>
      <w:r w:rsidRPr="00B4003A">
        <w:rPr>
          <w:rFonts w:ascii="Century Schoolbook" w:hAnsi="Century Schoolbook"/>
        </w:rPr>
        <w:t xml:space="preserve"> </w:t>
      </w:r>
      <w:r w:rsidR="0089539C" w:rsidRPr="00B4003A">
        <w:rPr>
          <w:rFonts w:ascii="Century Schoolbook" w:hAnsi="Century Schoolbook"/>
        </w:rPr>
        <w:t>dell’art. 2-</w:t>
      </w:r>
      <w:r w:rsidR="0089539C" w:rsidRPr="00B4003A">
        <w:rPr>
          <w:rFonts w:ascii="Century Schoolbook" w:hAnsi="Century Schoolbook"/>
          <w:i/>
          <w:iCs/>
        </w:rPr>
        <w:t>bis</w:t>
      </w:r>
      <w:r w:rsidR="0089539C" w:rsidRPr="00B4003A">
        <w:rPr>
          <w:rFonts w:ascii="Century Schoolbook" w:hAnsi="Century Schoolbook"/>
        </w:rPr>
        <w:t xml:space="preserve"> </w:t>
      </w:r>
      <w:r w:rsidRPr="00B4003A">
        <w:rPr>
          <w:rFonts w:ascii="Century Schoolbook" w:hAnsi="Century Schoolbook"/>
        </w:rPr>
        <w:t>sollevata dal</w:t>
      </w:r>
      <w:r w:rsidR="0089539C" w:rsidRPr="00B4003A">
        <w:rPr>
          <w:rFonts w:ascii="Century Schoolbook" w:hAnsi="Century Schoolbook"/>
        </w:rPr>
        <w:t>la Sezione quarta</w:t>
      </w:r>
      <w:r w:rsidRPr="00B4003A">
        <w:rPr>
          <w:rFonts w:ascii="Century Schoolbook" w:hAnsi="Century Schoolbook"/>
        </w:rPr>
        <w:t xml:space="preserve"> </w:t>
      </w:r>
      <w:r w:rsidR="0089539C" w:rsidRPr="00B4003A">
        <w:rPr>
          <w:rFonts w:ascii="Century Schoolbook" w:hAnsi="Century Schoolbook"/>
        </w:rPr>
        <w:t xml:space="preserve">del </w:t>
      </w:r>
      <w:r w:rsidRPr="00B4003A">
        <w:rPr>
          <w:rFonts w:ascii="Century Schoolbook" w:hAnsi="Century Schoolbook"/>
        </w:rPr>
        <w:t xml:space="preserve">Consiglio di Stato </w:t>
      </w:r>
      <w:r w:rsidR="0089539C" w:rsidRPr="00B4003A">
        <w:rPr>
          <w:rFonts w:ascii="Century Schoolbook" w:hAnsi="Century Schoolbook"/>
        </w:rPr>
        <w:t>(Pres. Raffaele Greco, Est</w:t>
      </w:r>
      <w:r w:rsidR="00845C17" w:rsidRPr="00B4003A">
        <w:rPr>
          <w:rFonts w:ascii="Century Schoolbook" w:hAnsi="Century Schoolbook"/>
        </w:rPr>
        <w:t>.</w:t>
      </w:r>
      <w:r w:rsidR="0089539C" w:rsidRPr="00B4003A">
        <w:rPr>
          <w:rFonts w:ascii="Century Schoolbook" w:hAnsi="Century Schoolbook"/>
        </w:rPr>
        <w:t xml:space="preserve"> Emanuela Loria) </w:t>
      </w:r>
      <w:r w:rsidRPr="00B4003A">
        <w:rPr>
          <w:rFonts w:ascii="Century Schoolbook" w:hAnsi="Century Schoolbook"/>
        </w:rPr>
        <w:t>con l’</w:t>
      </w:r>
      <w:r w:rsidR="0089539C" w:rsidRPr="00B4003A">
        <w:rPr>
          <w:rFonts w:ascii="Century Schoolbook" w:hAnsi="Century Schoolbook"/>
        </w:rPr>
        <w:t xml:space="preserve">ottima </w:t>
      </w:r>
      <w:r w:rsidRPr="00B4003A">
        <w:rPr>
          <w:rFonts w:ascii="Century Schoolbook" w:hAnsi="Century Schoolbook"/>
        </w:rPr>
        <w:t>ord</w:t>
      </w:r>
      <w:r w:rsidR="00190C6D" w:rsidRPr="00B4003A">
        <w:rPr>
          <w:rFonts w:ascii="Century Schoolbook" w:hAnsi="Century Schoolbook"/>
        </w:rPr>
        <w:t>inanza</w:t>
      </w:r>
      <w:r w:rsidRPr="00B4003A">
        <w:rPr>
          <w:rFonts w:ascii="Century Schoolbook" w:hAnsi="Century Schoolbook"/>
        </w:rPr>
        <w:t xml:space="preserve"> </w:t>
      </w:r>
      <w:r w:rsidR="0089539C" w:rsidRPr="00B4003A">
        <w:rPr>
          <w:rFonts w:ascii="Century Schoolbook" w:hAnsi="Century Schoolbook"/>
        </w:rPr>
        <w:t xml:space="preserve">17 marzo 2022, n. </w:t>
      </w:r>
      <w:r w:rsidRPr="00B4003A">
        <w:rPr>
          <w:rFonts w:ascii="Century Schoolbook" w:hAnsi="Century Schoolbook"/>
        </w:rPr>
        <w:t>1949</w:t>
      </w:r>
      <w:r w:rsidR="0089539C" w:rsidRPr="00B4003A">
        <w:rPr>
          <w:rFonts w:ascii="Century Schoolbook" w:hAnsi="Century Schoolbook"/>
        </w:rPr>
        <w:t>.</w:t>
      </w:r>
    </w:p>
    <w:p w14:paraId="33FF8335" w14:textId="354330A7" w:rsidR="001A2E2E" w:rsidRPr="00B4003A" w:rsidRDefault="006366DB" w:rsidP="006366DB">
      <w:pPr>
        <w:spacing w:line="360" w:lineRule="auto"/>
        <w:ind w:firstLine="709"/>
        <w:contextualSpacing/>
        <w:jc w:val="both"/>
        <w:rPr>
          <w:rFonts w:ascii="Century Schoolbook" w:hAnsi="Century Schoolbook"/>
        </w:rPr>
      </w:pPr>
      <w:r w:rsidRPr="00B4003A">
        <w:rPr>
          <w:rFonts w:ascii="Century Schoolbook" w:hAnsi="Century Schoolbook"/>
        </w:rPr>
        <w:t>Per la puntualità delle sue argomentazioni, l’atto di promovimento merita il richiamo di</w:t>
      </w:r>
      <w:r w:rsidR="0089539C" w:rsidRPr="00B4003A">
        <w:rPr>
          <w:rFonts w:ascii="Century Schoolbook" w:hAnsi="Century Schoolbook"/>
        </w:rPr>
        <w:t xml:space="preserve"> alcuni </w:t>
      </w:r>
      <w:r w:rsidRPr="00B4003A">
        <w:rPr>
          <w:rFonts w:ascii="Century Schoolbook" w:hAnsi="Century Schoolbook"/>
        </w:rPr>
        <w:t xml:space="preserve">suoi </w:t>
      </w:r>
      <w:r w:rsidR="0089539C" w:rsidRPr="00B4003A">
        <w:rPr>
          <w:rFonts w:ascii="Century Schoolbook" w:hAnsi="Century Schoolbook"/>
        </w:rPr>
        <w:t xml:space="preserve">passi: </w:t>
      </w:r>
      <w:r w:rsidR="009C2043" w:rsidRPr="00B4003A">
        <w:rPr>
          <w:rFonts w:ascii="Century Schoolbook" w:hAnsi="Century Schoolbook"/>
        </w:rPr>
        <w:t>«</w:t>
      </w:r>
      <w:r w:rsidRPr="00B4003A">
        <w:rPr>
          <w:rFonts w:ascii="Century Schoolbook" w:hAnsi="Century Schoolbook"/>
        </w:rPr>
        <w:t xml:space="preserve">[…] </w:t>
      </w:r>
      <w:r w:rsidR="009C2043" w:rsidRPr="00B4003A">
        <w:rPr>
          <w:rFonts w:ascii="Century Schoolbook" w:hAnsi="Century Schoolbook"/>
        </w:rPr>
        <w:t>la nuova disposizione statale introdotta nel 2013, intervenendo in materia di competenza concorrente senza porre alcun confine di principio al potere di deroga attribuito a tutte le regioni rispetto alle preesistenti norme statali, senza assolvere alla funzione propria attribuita dalla Costituzione allo Stato di individuare i principi, così rendendo certamente possibili legislazioni regionali molto diverse tra di loro, contrasterebbe con l’art. 117, terzo comma, Cost. Inoltre, andrebbe esplorato anche un altro possibile profilo di legittimità costituzionale, rispetto all’art. 117, secondo comma Cost. attinente alle materie di competenza esclusiva dello Stato. Si tratta di valori costituzionali che […] sono oramai strettamente correlati alla materia del “governo del territorio”, quali la materia attinente alla “determinazione dei livelli essenziali delle prestazioni concernenti i diritti civili e sociali” [117, secondo comma, lett. m)].</w:t>
      </w:r>
      <w:r w:rsidRPr="00B4003A">
        <w:rPr>
          <w:rFonts w:ascii="Century Schoolbook" w:hAnsi="Century Schoolbook"/>
        </w:rPr>
        <w:t xml:space="preserve"> </w:t>
      </w:r>
      <w:r w:rsidR="001A2E2E" w:rsidRPr="00B4003A">
        <w:rPr>
          <w:rFonts w:ascii="Century Schoolbook" w:hAnsi="Century Schoolbook"/>
        </w:rPr>
        <w:t>[…]</w:t>
      </w:r>
      <w:r w:rsidRPr="00B4003A">
        <w:rPr>
          <w:rFonts w:ascii="Century Schoolbook" w:hAnsi="Century Schoolbook"/>
        </w:rPr>
        <w:t xml:space="preserve"> </w:t>
      </w:r>
      <w:r w:rsidR="009C2043" w:rsidRPr="00B33B9B">
        <w:rPr>
          <w:rFonts w:ascii="Century Schoolbook" w:hAnsi="Century Schoolbook"/>
          <w:highlight w:val="yellow"/>
        </w:rPr>
        <w:t>Può dunque ritenersi, posto che nella materia del governo del territorio le leggi regionali debbano rispettare le norme di principio della legislazione statale, che il nono comma dell’articolo 41-</w:t>
      </w:r>
      <w:r w:rsidR="009C2043" w:rsidRPr="00B33B9B">
        <w:rPr>
          <w:rFonts w:ascii="Century Schoolbook" w:hAnsi="Century Schoolbook"/>
          <w:i/>
          <w:iCs/>
          <w:highlight w:val="yellow"/>
        </w:rPr>
        <w:t>quinquies</w:t>
      </w:r>
      <w:r w:rsidR="009C2043" w:rsidRPr="00B33B9B">
        <w:rPr>
          <w:rFonts w:ascii="Century Schoolbook" w:hAnsi="Century Schoolbook"/>
          <w:highlight w:val="yellow"/>
        </w:rPr>
        <w:t xml:space="preserve"> della legge n. 1150/1942 esprima l’esigenza che le dotazioni di spazi pubblici, infrastrutture, servizi etc. rispondano a criteri di definizione omogenei su tutto il territorio nazionale, non essendo costituzionalmente ammissibile che possano esservi discrasie anche vistose tra Regione e Regione, in virtù dei diversi rapporti e parametri liberamente individuabili dalle diverse legislazioni regionali.</w:t>
      </w:r>
      <w:r w:rsidRPr="00B4003A">
        <w:rPr>
          <w:rFonts w:ascii="Century Schoolbook" w:hAnsi="Century Schoolbook"/>
        </w:rPr>
        <w:t xml:space="preserve"> </w:t>
      </w:r>
      <w:r w:rsidR="001A2E2E" w:rsidRPr="00B4003A">
        <w:rPr>
          <w:rFonts w:ascii="Century Schoolbook" w:hAnsi="Century Schoolbook"/>
        </w:rPr>
        <w:t>[…]</w:t>
      </w:r>
      <w:r w:rsidRPr="00B4003A">
        <w:rPr>
          <w:rFonts w:ascii="Century Schoolbook" w:hAnsi="Century Schoolbook"/>
        </w:rPr>
        <w:t xml:space="preserve"> </w:t>
      </w:r>
      <w:r w:rsidR="001A2E2E" w:rsidRPr="00B33B9B">
        <w:rPr>
          <w:rFonts w:ascii="Century Schoolbook" w:hAnsi="Century Schoolbook"/>
          <w:highlight w:val="yellow"/>
        </w:rPr>
        <w:t xml:space="preserve">In definitiva, pur in un quadro costituzionale e legislativo caratterizzato dai principi di sussidiarietà verticale e di prossimità territoriale, in ragione dei quali la regolazione dell’assetto del territorio è rimessa quanto più possibile ai livelli di governo più vicini alle comunità di riferimento, deve ritenersi che la determinazione delle dotazioni infrastrutturali pubbliche o di interesse generale resti riservata al legislatore statale, in quanto ragionevolmente riconducibile all’ambito delle prestazioni concernenti diritti civili e sociali; in tale prospettiva, al legislatore statale spetta non soltanto individuare i principi fondamentali della materia, </w:t>
      </w:r>
      <w:proofErr w:type="spellStart"/>
      <w:r w:rsidR="001A2E2E" w:rsidRPr="00B33B9B">
        <w:rPr>
          <w:rFonts w:ascii="Century Schoolbook" w:hAnsi="Century Schoolbook"/>
          <w:highlight w:val="yellow"/>
        </w:rPr>
        <w:t>sibbene</w:t>
      </w:r>
      <w:proofErr w:type="spellEnd"/>
      <w:r w:rsidR="001A2E2E" w:rsidRPr="00B33B9B">
        <w:rPr>
          <w:rFonts w:ascii="Century Schoolbook" w:hAnsi="Century Schoolbook"/>
          <w:highlight w:val="yellow"/>
        </w:rPr>
        <w:t xml:space="preserve"> fissare i livelli minimi delle predette prestazioni, rispetto ai quali le normative regionali potrebbero intervenire esclusivamente in senso “rafforzativo”</w:t>
      </w:r>
      <w:r w:rsidR="001A2E2E" w:rsidRPr="00B4003A">
        <w:rPr>
          <w:rFonts w:ascii="Century Schoolbook" w:hAnsi="Century Schoolbook"/>
        </w:rPr>
        <w:t>».</w:t>
      </w:r>
    </w:p>
    <w:p w14:paraId="5B444B2C" w14:textId="3533FB68" w:rsidR="00597410" w:rsidRPr="00B4003A" w:rsidRDefault="00597410" w:rsidP="00352DEE">
      <w:pPr>
        <w:spacing w:line="360" w:lineRule="auto"/>
        <w:ind w:firstLine="709"/>
        <w:contextualSpacing/>
        <w:jc w:val="both"/>
        <w:rPr>
          <w:rFonts w:ascii="Century Schoolbook" w:hAnsi="Century Schoolbook"/>
        </w:rPr>
      </w:pPr>
      <w:r w:rsidRPr="00B4003A">
        <w:rPr>
          <w:rFonts w:ascii="Century Schoolbook" w:hAnsi="Century Schoolbook"/>
        </w:rPr>
        <w:t xml:space="preserve">Siamo </w:t>
      </w:r>
      <w:r w:rsidR="00F35C24" w:rsidRPr="00B4003A">
        <w:rPr>
          <w:rFonts w:ascii="Century Schoolbook" w:hAnsi="Century Schoolbook"/>
        </w:rPr>
        <w:t xml:space="preserve">forse </w:t>
      </w:r>
      <w:r w:rsidRPr="00B4003A">
        <w:rPr>
          <w:rFonts w:ascii="Century Schoolbook" w:hAnsi="Century Schoolbook"/>
        </w:rPr>
        <w:t xml:space="preserve">a una svolta, e mi auguro che la Consulta condivida gli argomenti limpidamente portati </w:t>
      </w:r>
      <w:r w:rsidR="00AE300A" w:rsidRPr="00B4003A">
        <w:rPr>
          <w:rFonts w:ascii="Century Schoolbook" w:hAnsi="Century Schoolbook"/>
        </w:rPr>
        <w:t xml:space="preserve">in giudizio </w:t>
      </w:r>
      <w:r w:rsidRPr="00B4003A">
        <w:rPr>
          <w:rFonts w:ascii="Century Schoolbook" w:hAnsi="Century Schoolbook"/>
        </w:rPr>
        <w:t>dal Consiglio di Stato</w:t>
      </w:r>
      <w:r w:rsidR="00F35C24" w:rsidRPr="00B4003A">
        <w:rPr>
          <w:rFonts w:ascii="Century Schoolbook" w:hAnsi="Century Schoolbook"/>
        </w:rPr>
        <w:t>.</w:t>
      </w:r>
      <w:r w:rsidRPr="00B4003A">
        <w:rPr>
          <w:rFonts w:ascii="Century Schoolbook" w:hAnsi="Century Schoolbook"/>
        </w:rPr>
        <w:t xml:space="preserve"> </w:t>
      </w:r>
    </w:p>
    <w:p w14:paraId="25BF31B8" w14:textId="598D3B27" w:rsidR="00597410" w:rsidRPr="00B4003A" w:rsidRDefault="00597410" w:rsidP="00F35C24">
      <w:pPr>
        <w:spacing w:line="360" w:lineRule="auto"/>
        <w:ind w:firstLine="709"/>
        <w:contextualSpacing/>
        <w:jc w:val="both"/>
        <w:rPr>
          <w:rFonts w:ascii="Century Schoolbook" w:hAnsi="Century Schoolbook"/>
        </w:rPr>
      </w:pPr>
      <w:r w:rsidRPr="00B4003A">
        <w:rPr>
          <w:rFonts w:ascii="Century Schoolbook" w:hAnsi="Century Schoolbook"/>
        </w:rPr>
        <w:t>L’importanza di quell’ordinanza</w:t>
      </w:r>
      <w:r w:rsidR="00AE300A" w:rsidRPr="00B4003A">
        <w:rPr>
          <w:rFonts w:ascii="Century Schoolbook" w:hAnsi="Century Schoolbook"/>
        </w:rPr>
        <w:t>, peraltro,</w:t>
      </w:r>
      <w:r w:rsidRPr="00B4003A">
        <w:rPr>
          <w:rFonts w:ascii="Century Schoolbook" w:hAnsi="Century Schoolbook"/>
        </w:rPr>
        <w:t xml:space="preserve"> non è sfuggita alla Commissione </w:t>
      </w:r>
      <w:r w:rsidR="00500A08" w:rsidRPr="00B4003A">
        <w:rPr>
          <w:rFonts w:ascii="Century Schoolbook" w:hAnsi="Century Schoolbook"/>
        </w:rPr>
        <w:t xml:space="preserve">ministeriale </w:t>
      </w:r>
      <w:r w:rsidR="00512E9A" w:rsidRPr="00B4003A">
        <w:rPr>
          <w:rFonts w:ascii="Century Schoolbook" w:hAnsi="Century Schoolbook"/>
        </w:rPr>
        <w:t>istituita per la riforma</w:t>
      </w:r>
      <w:r w:rsidR="0048447D" w:rsidRPr="00B4003A">
        <w:rPr>
          <w:rFonts w:ascii="Century Schoolbook" w:hAnsi="Century Schoolbook"/>
        </w:rPr>
        <w:t xml:space="preserve"> </w:t>
      </w:r>
      <w:r w:rsidR="00512E9A" w:rsidRPr="00B4003A">
        <w:rPr>
          <w:rFonts w:ascii="Century Schoolbook" w:hAnsi="Century Schoolbook"/>
        </w:rPr>
        <w:t>della normazione sul governo del territorio (</w:t>
      </w:r>
      <w:r w:rsidR="00500A08" w:rsidRPr="00B4003A">
        <w:rPr>
          <w:rFonts w:ascii="Century Schoolbook" w:hAnsi="Century Schoolbook"/>
        </w:rPr>
        <w:t>ne</w:t>
      </w:r>
      <w:r w:rsidR="0048447D" w:rsidRPr="00B4003A">
        <w:rPr>
          <w:rFonts w:ascii="Century Schoolbook" w:hAnsi="Century Schoolbook"/>
        </w:rPr>
        <w:t xml:space="preserve"> dirò più avanti</w:t>
      </w:r>
      <w:r w:rsidR="00512E9A" w:rsidRPr="00B4003A">
        <w:rPr>
          <w:rFonts w:ascii="Century Schoolbook" w:hAnsi="Century Schoolbook"/>
        </w:rPr>
        <w:t>)</w:t>
      </w:r>
      <w:r w:rsidR="005D5AC5" w:rsidRPr="00B4003A">
        <w:rPr>
          <w:rFonts w:ascii="Century Schoolbook" w:hAnsi="Century Schoolbook"/>
        </w:rPr>
        <w:t xml:space="preserve">, </w:t>
      </w:r>
      <w:r w:rsidR="00500A08" w:rsidRPr="00B4003A">
        <w:rPr>
          <w:rFonts w:ascii="Century Schoolbook" w:hAnsi="Century Schoolbook"/>
        </w:rPr>
        <w:t xml:space="preserve">che la </w:t>
      </w:r>
      <w:r w:rsidR="005D5AC5" w:rsidRPr="00B4003A">
        <w:rPr>
          <w:rFonts w:ascii="Century Schoolbook" w:hAnsi="Century Schoolbook"/>
        </w:rPr>
        <w:t xml:space="preserve">richiama </w:t>
      </w:r>
      <w:r w:rsidR="00500A08" w:rsidRPr="00B4003A">
        <w:rPr>
          <w:rFonts w:ascii="Century Schoolbook" w:hAnsi="Century Schoolbook"/>
        </w:rPr>
        <w:t xml:space="preserve">per </w:t>
      </w:r>
      <w:r w:rsidR="005D5AC5" w:rsidRPr="00B4003A">
        <w:rPr>
          <w:rFonts w:ascii="Century Schoolbook" w:hAnsi="Century Schoolbook"/>
        </w:rPr>
        <w:t>due volte (in apertura e a p. 5</w:t>
      </w:r>
      <w:r w:rsidR="00500A08" w:rsidRPr="00B4003A">
        <w:rPr>
          <w:rFonts w:ascii="Century Schoolbook" w:hAnsi="Century Schoolbook"/>
        </w:rPr>
        <w:t>)</w:t>
      </w:r>
      <w:r w:rsidR="005D5AC5" w:rsidRPr="00B4003A">
        <w:rPr>
          <w:rFonts w:ascii="Century Schoolbook" w:hAnsi="Century Schoolbook"/>
        </w:rPr>
        <w:t xml:space="preserve"> </w:t>
      </w:r>
      <w:r w:rsidR="00500A08" w:rsidRPr="00B4003A">
        <w:rPr>
          <w:rFonts w:ascii="Century Schoolbook" w:hAnsi="Century Schoolbook"/>
        </w:rPr>
        <w:t>n</w:t>
      </w:r>
      <w:r w:rsidR="005D5AC5" w:rsidRPr="00B4003A">
        <w:rPr>
          <w:rFonts w:ascii="Century Schoolbook" w:hAnsi="Century Schoolbook"/>
        </w:rPr>
        <w:t xml:space="preserve">ella </w:t>
      </w:r>
      <w:r w:rsidR="00512E9A" w:rsidRPr="00B4003A">
        <w:rPr>
          <w:rFonts w:ascii="Century Schoolbook" w:hAnsi="Century Schoolbook"/>
        </w:rPr>
        <w:t>r</w:t>
      </w:r>
      <w:r w:rsidR="005D5AC5" w:rsidRPr="00B4003A">
        <w:rPr>
          <w:rFonts w:ascii="Century Schoolbook" w:hAnsi="Century Schoolbook"/>
        </w:rPr>
        <w:t xml:space="preserve">elazione che illustra </w:t>
      </w:r>
      <w:r w:rsidR="00512E9A" w:rsidRPr="00B4003A">
        <w:rPr>
          <w:rFonts w:ascii="Century Schoolbook" w:hAnsi="Century Schoolbook"/>
        </w:rPr>
        <w:t>il disegno di legge</w:t>
      </w:r>
      <w:r w:rsidR="00F35C24" w:rsidRPr="00B4003A">
        <w:rPr>
          <w:rFonts w:ascii="Century Schoolbook" w:hAnsi="Century Schoolbook"/>
        </w:rPr>
        <w:t xml:space="preserve"> elaborato </w:t>
      </w:r>
      <w:r w:rsidR="00F35C24" w:rsidRPr="00B4003A">
        <w:rPr>
          <w:rFonts w:ascii="Century Schoolbook" w:hAnsi="Century Schoolbook"/>
          <w:i/>
          <w:iCs/>
        </w:rPr>
        <w:t>ad hoc</w:t>
      </w:r>
      <w:r w:rsidRPr="00B4003A">
        <w:rPr>
          <w:rFonts w:ascii="Century Schoolbook" w:hAnsi="Century Schoolbook"/>
        </w:rPr>
        <w:t>: la «</w:t>
      </w:r>
      <w:r w:rsidR="00352DEE" w:rsidRPr="00B4003A">
        <w:rPr>
          <w:rFonts w:ascii="Century Schoolbook" w:hAnsi="Century Schoolbook"/>
        </w:rPr>
        <w:t>giurisprudenza più recente</w:t>
      </w:r>
      <w:r w:rsidR="0048447D" w:rsidRPr="00B4003A">
        <w:rPr>
          <w:rFonts w:ascii="Century Schoolbook" w:hAnsi="Century Schoolbook"/>
        </w:rPr>
        <w:t xml:space="preserve"> […] </w:t>
      </w:r>
      <w:r w:rsidR="00352DEE" w:rsidRPr="00B4003A">
        <w:rPr>
          <w:rFonts w:ascii="Century Schoolbook" w:hAnsi="Century Schoolbook"/>
        </w:rPr>
        <w:t>riconosce all’urbanistica una dimensione più ampia e dinamica di quella tradizionale, vedendo nel potere pianificatorio non più un</w:t>
      </w:r>
      <w:r w:rsidRPr="00B4003A">
        <w:rPr>
          <w:rFonts w:ascii="Century Schoolbook" w:hAnsi="Century Schoolbook"/>
        </w:rPr>
        <w:t xml:space="preserve"> </w:t>
      </w:r>
      <w:r w:rsidR="00352DEE" w:rsidRPr="00B4003A">
        <w:rPr>
          <w:rFonts w:ascii="Century Schoolbook" w:hAnsi="Century Schoolbook"/>
        </w:rPr>
        <w:t>mero strumento di coordinamento delle potenzialità edificatorie della proprietà privata, ma i</w:t>
      </w:r>
      <w:r w:rsidRPr="00B4003A">
        <w:rPr>
          <w:rFonts w:ascii="Century Schoolbook" w:hAnsi="Century Schoolbook"/>
        </w:rPr>
        <w:t xml:space="preserve">l </w:t>
      </w:r>
      <w:r w:rsidR="00352DEE" w:rsidRPr="00B4003A">
        <w:rPr>
          <w:rFonts w:ascii="Century Schoolbook" w:hAnsi="Century Schoolbook"/>
        </w:rPr>
        <w:t>terreno di elezione della disciplina del territorio per la tutela del diritto di proprietà ma anche degli</w:t>
      </w:r>
      <w:r w:rsidRPr="00B4003A">
        <w:rPr>
          <w:rFonts w:ascii="Century Schoolbook" w:hAnsi="Century Schoolbook"/>
        </w:rPr>
        <w:t xml:space="preserve"> </w:t>
      </w:r>
      <w:r w:rsidR="00352DEE" w:rsidRPr="00B4003A">
        <w:rPr>
          <w:rFonts w:ascii="Century Schoolbook" w:hAnsi="Century Schoolbook"/>
        </w:rPr>
        <w:t>equilibri socio-economici che devono essere garantiti ai cittadini (cfr. Cons. Stato, sez. IV, 28</w:t>
      </w:r>
      <w:r w:rsidRPr="00B4003A">
        <w:rPr>
          <w:rFonts w:ascii="Century Schoolbook" w:hAnsi="Century Schoolbook"/>
        </w:rPr>
        <w:t xml:space="preserve"> </w:t>
      </w:r>
      <w:r w:rsidR="00352DEE" w:rsidRPr="00B4003A">
        <w:rPr>
          <w:rFonts w:ascii="Century Schoolbook" w:hAnsi="Century Schoolbook"/>
        </w:rPr>
        <w:t>novembre 2012, n. 6040; id., 10 maggio 2012, n. 2710)</w:t>
      </w:r>
      <w:r w:rsidRPr="00B4003A">
        <w:rPr>
          <w:rFonts w:ascii="Century Schoolbook" w:hAnsi="Century Schoolbook"/>
        </w:rPr>
        <w:t>. Sulla base di tale visione moderna e interdisciplinare dell’attività di pianificazione, è stata di recente rimessa alla Corte costituzionale la questione di legittimità costituzionale dell’articolo 2-</w:t>
      </w:r>
      <w:r w:rsidRPr="00B4003A">
        <w:rPr>
          <w:rFonts w:ascii="Century Schoolbook" w:hAnsi="Century Schoolbook"/>
          <w:i/>
          <w:iCs/>
        </w:rPr>
        <w:t>bis</w:t>
      </w:r>
      <w:r w:rsidRPr="00B4003A">
        <w:rPr>
          <w:rFonts w:ascii="Century Schoolbook" w:hAnsi="Century Schoolbook"/>
        </w:rPr>
        <w:t xml:space="preserve"> del T.U. edilizia, introdotto dal d.l. n. 69/2013, il quale, autorizzando le Regioni a disciplinare le dotazioni a standard anche in deroga ai minimi a suo tempo individuati dal d.m. n. 1444/1968, attuativo dell’articolo 41-</w:t>
      </w:r>
      <w:r w:rsidRPr="00B4003A">
        <w:rPr>
          <w:rFonts w:ascii="Century Schoolbook" w:hAnsi="Century Schoolbook"/>
          <w:i/>
          <w:iCs/>
        </w:rPr>
        <w:t>quinquies</w:t>
      </w:r>
      <w:r w:rsidRPr="00B4003A">
        <w:rPr>
          <w:rFonts w:ascii="Century Schoolbook" w:hAnsi="Century Schoolbook"/>
        </w:rPr>
        <w:t xml:space="preserve"> della legge n. 1150/1942, introdotto dalla legge n. 765/1967 (cd. “legge Ponte”), consente a ciascuna Regione di determinare livelli anche molto diversi di servizi essenziali, di fatto abdicando al dovere del legislatore statale di dettare </w:t>
      </w:r>
      <w:r w:rsidRPr="00B4003A">
        <w:rPr>
          <w:rFonts w:ascii="Century Schoolbook" w:hAnsi="Century Schoolbook"/>
          <w:i/>
          <w:iCs/>
        </w:rPr>
        <w:t>in subiecta materia</w:t>
      </w:r>
      <w:r w:rsidRPr="00B4003A">
        <w:rPr>
          <w:rFonts w:ascii="Century Schoolbook" w:hAnsi="Century Schoolbook"/>
        </w:rPr>
        <w:t xml:space="preserve"> regole uniformi per l’intero territorio nazionale (cfr. Cons. Stato, sez. IV, </w:t>
      </w:r>
      <w:proofErr w:type="spellStart"/>
      <w:r w:rsidRPr="00B4003A">
        <w:rPr>
          <w:rFonts w:ascii="Century Schoolbook" w:hAnsi="Century Schoolbook"/>
        </w:rPr>
        <w:t>ord</w:t>
      </w:r>
      <w:proofErr w:type="spellEnd"/>
      <w:r w:rsidRPr="00B4003A">
        <w:rPr>
          <w:rFonts w:ascii="Century Schoolbook" w:hAnsi="Century Schoolbook"/>
        </w:rPr>
        <w:t>. 17 marzo 2022, n. 1949)»</w:t>
      </w:r>
      <w:r w:rsidR="00500A08" w:rsidRPr="00B4003A">
        <w:rPr>
          <w:rFonts w:ascii="Century Schoolbook" w:hAnsi="Century Schoolbook"/>
        </w:rPr>
        <w:t>.</w:t>
      </w:r>
      <w:r w:rsidR="0048447D" w:rsidRPr="00B4003A">
        <w:rPr>
          <w:rFonts w:ascii="Century Schoolbook" w:hAnsi="Century Schoolbook"/>
        </w:rPr>
        <w:t xml:space="preserve"> </w:t>
      </w:r>
      <w:r w:rsidR="00F35C24" w:rsidRPr="00B4003A">
        <w:rPr>
          <w:rFonts w:ascii="Century Schoolbook" w:hAnsi="Century Schoolbook"/>
        </w:rPr>
        <w:t>E a</w:t>
      </w:r>
      <w:r w:rsidR="0048447D" w:rsidRPr="00B4003A">
        <w:rPr>
          <w:rFonts w:ascii="Century Schoolbook" w:hAnsi="Century Schoolbook"/>
        </w:rPr>
        <w:t>ncora: «Al riguardo, si è ritenuto necessario superare definitivamente il meccanismo incentrato sulla persistente vigenza del d.m. n. 1444/1968, che tanti problemi ha posto e tuttora pone in termini di rango delle disposizioni ivi contenute nella gerarchia delle fonti, di loro cogenza e di rapporti con le sopravvenute competenze regionali (come da ultimo confermato proprio dalla già richiamata rimessione alla Corte costituzionale della questione di legittimità costituzionale dell’articolo 2-bis del d.P.R. n. 380/2001)».</w:t>
      </w:r>
    </w:p>
    <w:p w14:paraId="41BF362B" w14:textId="055EED38" w:rsidR="004F2EB6" w:rsidRPr="00B4003A" w:rsidRDefault="004F2EB6" w:rsidP="006366DB">
      <w:pPr>
        <w:spacing w:line="360" w:lineRule="auto"/>
        <w:ind w:firstLine="709"/>
        <w:contextualSpacing/>
        <w:jc w:val="both"/>
        <w:rPr>
          <w:rFonts w:ascii="Century Schoolbook" w:hAnsi="Century Schoolbook"/>
        </w:rPr>
      </w:pPr>
      <w:r w:rsidRPr="00B4003A">
        <w:rPr>
          <w:rFonts w:ascii="Century Schoolbook" w:hAnsi="Century Schoolbook"/>
        </w:rPr>
        <w:t xml:space="preserve">In discussione </w:t>
      </w:r>
      <w:r w:rsidR="004D3916" w:rsidRPr="00B4003A">
        <w:rPr>
          <w:rFonts w:ascii="Century Schoolbook" w:hAnsi="Century Schoolbook"/>
        </w:rPr>
        <w:t xml:space="preserve">davanti alla Consulta </w:t>
      </w:r>
      <w:r w:rsidRPr="00B4003A">
        <w:rPr>
          <w:rFonts w:ascii="Century Schoolbook" w:hAnsi="Century Schoolbook"/>
        </w:rPr>
        <w:t xml:space="preserve">nell’udienza </w:t>
      </w:r>
      <w:r w:rsidR="004D3916" w:rsidRPr="00B4003A">
        <w:rPr>
          <w:rFonts w:ascii="Century Schoolbook" w:hAnsi="Century Schoolbook"/>
        </w:rPr>
        <w:t xml:space="preserve">del </w:t>
      </w:r>
      <w:r w:rsidRPr="00525AF9">
        <w:rPr>
          <w:rFonts w:ascii="Century Schoolbook" w:hAnsi="Century Schoolbook"/>
          <w:highlight w:val="green"/>
        </w:rPr>
        <w:t>21 marzo 2023</w:t>
      </w:r>
      <w:r w:rsidRPr="00B4003A">
        <w:rPr>
          <w:rFonts w:ascii="Century Schoolbook" w:hAnsi="Century Schoolbook"/>
        </w:rPr>
        <w:t xml:space="preserve">, </w:t>
      </w:r>
      <w:r w:rsidR="004D3916" w:rsidRPr="00B4003A">
        <w:rPr>
          <w:rFonts w:ascii="Century Schoolbook" w:hAnsi="Century Schoolbook"/>
        </w:rPr>
        <w:t>i dubbi di costituzionalità</w:t>
      </w:r>
      <w:r w:rsidRPr="00B4003A">
        <w:rPr>
          <w:rFonts w:ascii="Century Schoolbook" w:hAnsi="Century Schoolbook"/>
        </w:rPr>
        <w:t xml:space="preserve"> sollevat</w:t>
      </w:r>
      <w:r w:rsidR="004D3916" w:rsidRPr="00B4003A">
        <w:rPr>
          <w:rFonts w:ascii="Century Schoolbook" w:hAnsi="Century Schoolbook"/>
        </w:rPr>
        <w:t>i</w:t>
      </w:r>
      <w:r w:rsidRPr="00B4003A">
        <w:rPr>
          <w:rFonts w:ascii="Century Schoolbook" w:hAnsi="Century Schoolbook"/>
        </w:rPr>
        <w:t xml:space="preserve"> dal giudice nostro </w:t>
      </w:r>
      <w:r w:rsidR="004D3916" w:rsidRPr="00B4003A">
        <w:rPr>
          <w:rFonts w:ascii="Century Schoolbook" w:hAnsi="Century Schoolbook"/>
        </w:rPr>
        <w:t>disegnano</w:t>
      </w:r>
      <w:r w:rsidRPr="00B4003A">
        <w:rPr>
          <w:rFonts w:ascii="Century Schoolbook" w:hAnsi="Century Schoolbook"/>
        </w:rPr>
        <w:t xml:space="preserve"> </w:t>
      </w:r>
      <w:r w:rsidR="004D3916" w:rsidRPr="00B4003A">
        <w:rPr>
          <w:rFonts w:ascii="Century Schoolbook" w:hAnsi="Century Schoolbook"/>
        </w:rPr>
        <w:t xml:space="preserve">perfettamente i nodi non solo del governo del territorio come campo conteso </w:t>
      </w:r>
      <w:r w:rsidR="0062766A" w:rsidRPr="00B4003A">
        <w:rPr>
          <w:rFonts w:ascii="Century Schoolbook" w:hAnsi="Century Schoolbook"/>
        </w:rPr>
        <w:t xml:space="preserve">fra le due entità rappresentative in lotta; ma pure quelli di </w:t>
      </w:r>
      <w:r w:rsidR="00BB0A83" w:rsidRPr="00B4003A">
        <w:rPr>
          <w:rFonts w:ascii="Century Schoolbook" w:hAnsi="Century Schoolbook"/>
        </w:rPr>
        <w:t>un</w:t>
      </w:r>
      <w:r w:rsidR="0062766A" w:rsidRPr="00B4003A">
        <w:rPr>
          <w:rFonts w:ascii="Century Schoolbook" w:hAnsi="Century Schoolbook"/>
        </w:rPr>
        <w:t xml:space="preserve"> </w:t>
      </w:r>
      <w:r w:rsidR="004D3916" w:rsidRPr="00B4003A">
        <w:rPr>
          <w:rFonts w:ascii="Century Schoolbook" w:hAnsi="Century Schoolbook"/>
        </w:rPr>
        <w:t xml:space="preserve">tardo regionalismo </w:t>
      </w:r>
      <w:r w:rsidR="0062766A" w:rsidRPr="00B4003A">
        <w:rPr>
          <w:rFonts w:ascii="Century Schoolbook" w:hAnsi="Century Schoolbook"/>
        </w:rPr>
        <w:t>italiano</w:t>
      </w:r>
      <w:r w:rsidR="00FC036A" w:rsidRPr="00B4003A">
        <w:rPr>
          <w:rFonts w:ascii="Century Schoolbook" w:hAnsi="Century Schoolbook"/>
        </w:rPr>
        <w:t>:</w:t>
      </w:r>
      <w:r w:rsidR="0062766A" w:rsidRPr="00B4003A">
        <w:rPr>
          <w:rFonts w:ascii="Century Schoolbook" w:hAnsi="Century Schoolbook"/>
        </w:rPr>
        <w:t xml:space="preserve"> </w:t>
      </w:r>
      <w:r w:rsidR="00FC036A" w:rsidRPr="00B4003A">
        <w:rPr>
          <w:rFonts w:ascii="Century Schoolbook" w:hAnsi="Century Schoolbook"/>
        </w:rPr>
        <w:t>c</w:t>
      </w:r>
      <w:r w:rsidR="0062766A" w:rsidRPr="00B4003A">
        <w:rPr>
          <w:rFonts w:ascii="Century Schoolbook" w:hAnsi="Century Schoolbook"/>
        </w:rPr>
        <w:t xml:space="preserve">he ha largamente tradito la sua missione di riequilibrare i divari </w:t>
      </w:r>
      <w:r w:rsidR="00BB0A83" w:rsidRPr="00B4003A">
        <w:rPr>
          <w:rFonts w:ascii="Century Schoolbook" w:hAnsi="Century Schoolbook"/>
        </w:rPr>
        <w:t xml:space="preserve">esistenti fra le aree del Paese, costituendosi invece come fattore di potentati economico-politici sempre più notabilari, centrifughi e autoreferenziali. </w:t>
      </w:r>
      <w:r w:rsidR="0062766A" w:rsidRPr="00B4003A">
        <w:rPr>
          <w:rFonts w:ascii="Century Schoolbook" w:hAnsi="Century Schoolbook"/>
        </w:rPr>
        <w:t xml:space="preserve"> </w:t>
      </w:r>
    </w:p>
    <w:p w14:paraId="0BF63C79" w14:textId="007A98F8" w:rsidR="00625756" w:rsidRPr="00B4003A" w:rsidRDefault="00625756" w:rsidP="00BD0A9B">
      <w:pPr>
        <w:spacing w:line="360" w:lineRule="auto"/>
        <w:ind w:firstLine="709"/>
        <w:contextualSpacing/>
        <w:jc w:val="both"/>
        <w:rPr>
          <w:rFonts w:ascii="Century Schoolbook" w:hAnsi="Century Schoolbook"/>
        </w:rPr>
      </w:pPr>
    </w:p>
    <w:p w14:paraId="4322A0F1" w14:textId="374C6458" w:rsidR="006E6742" w:rsidRPr="00B4003A" w:rsidRDefault="00625756" w:rsidP="004F2EB6">
      <w:pPr>
        <w:spacing w:line="360" w:lineRule="auto"/>
        <w:ind w:firstLine="709"/>
        <w:contextualSpacing/>
        <w:jc w:val="both"/>
        <w:rPr>
          <w:rFonts w:ascii="Century Schoolbook" w:hAnsi="Century Schoolbook"/>
        </w:rPr>
      </w:pPr>
      <w:r w:rsidRPr="00B4003A">
        <w:rPr>
          <w:rFonts w:ascii="Century Schoolbook" w:hAnsi="Century Schoolbook"/>
        </w:rPr>
        <w:t xml:space="preserve">9.- </w:t>
      </w:r>
      <w:r w:rsidR="006E6742" w:rsidRPr="00B4003A">
        <w:rPr>
          <w:rFonts w:ascii="Century Schoolbook" w:hAnsi="Century Schoolbook"/>
        </w:rPr>
        <w:t xml:space="preserve">Chiudo con un </w:t>
      </w:r>
      <w:r w:rsidR="00AF1C77" w:rsidRPr="00B4003A">
        <w:rPr>
          <w:rFonts w:ascii="Century Schoolbook" w:hAnsi="Century Schoolbook"/>
        </w:rPr>
        <w:t>po’</w:t>
      </w:r>
      <w:r w:rsidR="006E6742" w:rsidRPr="00B4003A">
        <w:rPr>
          <w:rFonts w:ascii="Century Schoolbook" w:hAnsi="Century Schoolbook"/>
        </w:rPr>
        <w:t xml:space="preserve"> di </w:t>
      </w:r>
      <w:r w:rsidR="00AF1C77" w:rsidRPr="00B4003A">
        <w:rPr>
          <w:rFonts w:ascii="Century Schoolbook" w:hAnsi="Century Schoolbook"/>
        </w:rPr>
        <w:t>ottimismo</w:t>
      </w:r>
      <w:r w:rsidR="006E6742" w:rsidRPr="00B4003A">
        <w:rPr>
          <w:rFonts w:ascii="Century Schoolbook" w:hAnsi="Century Schoolbook"/>
        </w:rPr>
        <w:t>.</w:t>
      </w:r>
    </w:p>
    <w:p w14:paraId="3D1048B8" w14:textId="2F21A446" w:rsidR="006A5502" w:rsidRPr="00B4003A" w:rsidRDefault="006A5502" w:rsidP="00F35C24">
      <w:pPr>
        <w:spacing w:line="360" w:lineRule="auto"/>
        <w:ind w:firstLine="709"/>
        <w:contextualSpacing/>
        <w:jc w:val="both"/>
        <w:rPr>
          <w:rFonts w:ascii="Century Schoolbook" w:hAnsi="Century Schoolbook"/>
        </w:rPr>
      </w:pPr>
      <w:r w:rsidRPr="00B4003A">
        <w:rPr>
          <w:rFonts w:ascii="Century Schoolbook" w:hAnsi="Century Schoolbook"/>
        </w:rPr>
        <w:t>Nella XVIII legislatura, co</w:t>
      </w:r>
      <w:r w:rsidR="00F35C24" w:rsidRPr="00B4003A">
        <w:rPr>
          <w:rFonts w:ascii="Century Schoolbook" w:hAnsi="Century Schoolbook"/>
        </w:rPr>
        <w:t>l</w:t>
      </w:r>
      <w:r w:rsidRPr="00B4003A">
        <w:rPr>
          <w:rFonts w:ascii="Century Schoolbook" w:hAnsi="Century Schoolbook"/>
        </w:rPr>
        <w:t xml:space="preserve"> d.m. 11 novembre 2021, n. 441</w:t>
      </w:r>
      <w:r w:rsidR="00F35C24" w:rsidRPr="00B4003A">
        <w:rPr>
          <w:rFonts w:ascii="Century Schoolbook" w:hAnsi="Century Schoolbook"/>
        </w:rPr>
        <w:t>,</w:t>
      </w:r>
      <w:r w:rsidRPr="00B4003A">
        <w:rPr>
          <w:rFonts w:ascii="Century Schoolbook" w:hAnsi="Century Schoolbook"/>
        </w:rPr>
        <w:t xml:space="preserve"> </w:t>
      </w:r>
      <w:r w:rsidR="006E6742" w:rsidRPr="00B4003A">
        <w:rPr>
          <w:rFonts w:ascii="Century Schoolbook" w:hAnsi="Century Schoolbook"/>
        </w:rPr>
        <w:t xml:space="preserve">il Governo ha </w:t>
      </w:r>
      <w:r w:rsidR="00E67485" w:rsidRPr="00B4003A">
        <w:rPr>
          <w:rFonts w:ascii="Century Schoolbook" w:hAnsi="Century Schoolbook"/>
        </w:rPr>
        <w:t>«ritenuto</w:t>
      </w:r>
      <w:r w:rsidRPr="00B4003A">
        <w:rPr>
          <w:rFonts w:ascii="Century Schoolbook" w:hAnsi="Century Schoolbook"/>
        </w:rPr>
        <w:t xml:space="preserve"> necessario dare impulso e contribuire alla riforma organica dei principi della normativa in materia di pianificazione del territorio e standard urbanistici, nonché di riordino e modifica delle disposizioni del Testo unico dell’edilizia, mediante l’elaborazione di uno o più schemi di provvedimento sui quali aprire un dibattito pubblico e raccogliere contributi di riflessione e proposte in vista del riordino complessivo del settore</w:t>
      </w:r>
      <w:r w:rsidR="00E67485" w:rsidRPr="00B4003A">
        <w:rPr>
          <w:rFonts w:ascii="Century Schoolbook" w:hAnsi="Century Schoolbook"/>
        </w:rPr>
        <w:t>»</w:t>
      </w:r>
      <w:r w:rsidR="00500A08" w:rsidRPr="00B4003A">
        <w:rPr>
          <w:rFonts w:ascii="Century Schoolbook" w:hAnsi="Century Schoolbook"/>
        </w:rPr>
        <w:t>.</w:t>
      </w:r>
      <w:r w:rsidR="00E67485" w:rsidRPr="00B4003A">
        <w:rPr>
          <w:rFonts w:ascii="Century Schoolbook" w:hAnsi="Century Schoolbook"/>
        </w:rPr>
        <w:t xml:space="preserve"> </w:t>
      </w:r>
      <w:r w:rsidR="00500A08" w:rsidRPr="00B4003A">
        <w:rPr>
          <w:rFonts w:ascii="Century Schoolbook" w:hAnsi="Century Schoolbook"/>
        </w:rPr>
        <w:t>Per</w:t>
      </w:r>
      <w:r w:rsidR="00E67485" w:rsidRPr="00B4003A">
        <w:rPr>
          <w:rFonts w:ascii="Century Schoolbook" w:hAnsi="Century Schoolbook"/>
        </w:rPr>
        <w:t xml:space="preserve"> questo fine ha istituito </w:t>
      </w:r>
      <w:r w:rsidR="00F35C24" w:rsidRPr="00B4003A">
        <w:rPr>
          <w:rFonts w:ascii="Century Schoolbook" w:hAnsi="Century Schoolbook"/>
        </w:rPr>
        <w:t>l</w:t>
      </w:r>
      <w:r w:rsidR="00E67485" w:rsidRPr="00B4003A">
        <w:rPr>
          <w:rFonts w:ascii="Century Schoolbook" w:hAnsi="Century Schoolbook"/>
        </w:rPr>
        <w:t>a «Commissione per la riforma della normativa nazionale in materia di pianificazione del territorio, standard urbanistici e in materia edilizia»</w:t>
      </w:r>
      <w:r w:rsidR="008B11B6" w:rsidRPr="00B4003A">
        <w:rPr>
          <w:rStyle w:val="Rimandonotaapidipagina"/>
          <w:rFonts w:ascii="Century Schoolbook" w:hAnsi="Century Schoolbook"/>
        </w:rPr>
        <w:footnoteReference w:id="25"/>
      </w:r>
      <w:r w:rsidR="00E67485" w:rsidRPr="00B4003A">
        <w:rPr>
          <w:rFonts w:ascii="Century Schoolbook" w:hAnsi="Century Schoolbook"/>
        </w:rPr>
        <w:t>, presieduta da Raffaele Greco</w:t>
      </w:r>
      <w:r w:rsidR="00B1020F" w:rsidRPr="00B4003A">
        <w:rPr>
          <w:rFonts w:ascii="Century Schoolbook" w:hAnsi="Century Schoolbook"/>
        </w:rPr>
        <w:t xml:space="preserve"> </w:t>
      </w:r>
      <w:r w:rsidR="00500A08" w:rsidRPr="00B4003A">
        <w:rPr>
          <w:rFonts w:ascii="Century Schoolbook" w:hAnsi="Century Schoolbook"/>
        </w:rPr>
        <w:t>(</w:t>
      </w:r>
      <w:r w:rsidR="00B1020F" w:rsidRPr="00B4003A">
        <w:rPr>
          <w:rFonts w:ascii="Century Schoolbook" w:hAnsi="Century Schoolbook"/>
        </w:rPr>
        <w:t>e alla quale</w:t>
      </w:r>
      <w:r w:rsidR="00F35C24" w:rsidRPr="00B4003A">
        <w:rPr>
          <w:rFonts w:ascii="Century Schoolbook" w:hAnsi="Century Schoolbook"/>
        </w:rPr>
        <w:t xml:space="preserve"> </w:t>
      </w:r>
      <w:r w:rsidR="00B1020F" w:rsidRPr="00B4003A">
        <w:rPr>
          <w:rFonts w:ascii="Century Schoolbook" w:hAnsi="Century Schoolbook"/>
        </w:rPr>
        <w:t xml:space="preserve">ho </w:t>
      </w:r>
      <w:r w:rsidR="00F35C24" w:rsidRPr="00B4003A">
        <w:rPr>
          <w:rFonts w:ascii="Century Schoolbook" w:hAnsi="Century Schoolbook"/>
        </w:rPr>
        <w:t>accenna</w:t>
      </w:r>
      <w:r w:rsidR="00B1020F" w:rsidRPr="00B4003A">
        <w:rPr>
          <w:rFonts w:ascii="Century Schoolbook" w:hAnsi="Century Schoolbook"/>
        </w:rPr>
        <w:t>to</w:t>
      </w:r>
      <w:r w:rsidR="00F35C24" w:rsidRPr="00B4003A">
        <w:rPr>
          <w:rFonts w:ascii="Century Schoolbook" w:hAnsi="Century Schoolbook"/>
        </w:rPr>
        <w:t xml:space="preserve"> più sopra</w:t>
      </w:r>
      <w:r w:rsidR="00500A08" w:rsidRPr="00B4003A">
        <w:rPr>
          <w:rFonts w:ascii="Century Schoolbook" w:hAnsi="Century Schoolbook"/>
        </w:rPr>
        <w:t>)</w:t>
      </w:r>
      <w:r w:rsidR="00E67485" w:rsidRPr="00B4003A">
        <w:rPr>
          <w:rFonts w:ascii="Century Schoolbook" w:hAnsi="Century Schoolbook"/>
        </w:rPr>
        <w:t xml:space="preserve">.  </w:t>
      </w:r>
    </w:p>
    <w:p w14:paraId="65AE09F9" w14:textId="1ED94544" w:rsidR="00C56E33" w:rsidRPr="00B4003A" w:rsidRDefault="00F52870" w:rsidP="004F2EB6">
      <w:pPr>
        <w:spacing w:line="360" w:lineRule="auto"/>
        <w:ind w:firstLine="709"/>
        <w:contextualSpacing/>
        <w:jc w:val="both"/>
        <w:rPr>
          <w:rFonts w:ascii="Century Schoolbook" w:hAnsi="Century Schoolbook"/>
        </w:rPr>
      </w:pPr>
      <w:r w:rsidRPr="00B4003A">
        <w:rPr>
          <w:rFonts w:ascii="Century Schoolbook" w:hAnsi="Century Schoolbook"/>
        </w:rPr>
        <w:t>La centralità de</w:t>
      </w:r>
      <w:r w:rsidR="00C56E33" w:rsidRPr="00B4003A">
        <w:rPr>
          <w:rFonts w:ascii="Century Schoolbook" w:hAnsi="Century Schoolbook"/>
        </w:rPr>
        <w:t xml:space="preserve">gli standard si mostra evidente </w:t>
      </w:r>
      <w:r w:rsidR="00500A08" w:rsidRPr="00B4003A">
        <w:rPr>
          <w:rFonts w:ascii="Century Schoolbook" w:hAnsi="Century Schoolbook"/>
        </w:rPr>
        <w:t>già nell’</w:t>
      </w:r>
      <w:r w:rsidR="00C56E33" w:rsidRPr="00B4003A">
        <w:rPr>
          <w:rFonts w:ascii="Century Schoolbook" w:hAnsi="Century Schoolbook"/>
        </w:rPr>
        <w:t>i</w:t>
      </w:r>
      <w:r w:rsidR="00411061" w:rsidRPr="00B4003A">
        <w:rPr>
          <w:rFonts w:ascii="Century Schoolbook" w:hAnsi="Century Schoolbook"/>
        </w:rPr>
        <w:t>ndicazione degli</w:t>
      </w:r>
      <w:r w:rsidR="00C56E33" w:rsidRPr="00B4003A">
        <w:rPr>
          <w:rFonts w:ascii="Century Schoolbook" w:hAnsi="Century Schoolbook"/>
        </w:rPr>
        <w:t xml:space="preserve"> obiettivi </w:t>
      </w:r>
      <w:r w:rsidR="00500A08" w:rsidRPr="00B4003A">
        <w:rPr>
          <w:rFonts w:ascii="Century Schoolbook" w:hAnsi="Century Schoolbook"/>
        </w:rPr>
        <w:t xml:space="preserve">generali </w:t>
      </w:r>
      <w:r w:rsidR="00C56E33" w:rsidRPr="00B4003A">
        <w:rPr>
          <w:rFonts w:ascii="Century Schoolbook" w:hAnsi="Century Schoolbook"/>
        </w:rPr>
        <w:t xml:space="preserve">perseguiti dal </w:t>
      </w:r>
      <w:r w:rsidR="00500A08" w:rsidRPr="00B4003A">
        <w:rPr>
          <w:rFonts w:ascii="Century Schoolbook" w:hAnsi="Century Schoolbook"/>
        </w:rPr>
        <w:t xml:space="preserve">citato </w:t>
      </w:r>
      <w:r w:rsidR="00C56E33" w:rsidRPr="00B4003A">
        <w:rPr>
          <w:rFonts w:ascii="Century Schoolbook" w:hAnsi="Century Schoolbook"/>
        </w:rPr>
        <w:t>decreto istitutivo: la «riforma organica dei principi della normativa in materia di pianificazione del territorio e standard urbanistici»</w:t>
      </w:r>
      <w:r w:rsidR="00411061" w:rsidRPr="00B4003A">
        <w:rPr>
          <w:rFonts w:ascii="Century Schoolbook" w:hAnsi="Century Schoolbook"/>
        </w:rPr>
        <w:t xml:space="preserve">; ed è ribadita </w:t>
      </w:r>
      <w:r w:rsidR="00411061" w:rsidRPr="00B4003A">
        <w:rPr>
          <w:rFonts w:ascii="Century Schoolbook" w:hAnsi="Century Schoolbook"/>
          <w:i/>
          <w:iCs/>
        </w:rPr>
        <w:t xml:space="preserve">in </w:t>
      </w:r>
      <w:proofErr w:type="spellStart"/>
      <w:r w:rsidR="00411061" w:rsidRPr="00B4003A">
        <w:rPr>
          <w:rFonts w:ascii="Century Schoolbook" w:hAnsi="Century Schoolbook"/>
          <w:i/>
          <w:iCs/>
        </w:rPr>
        <w:t>exordio</w:t>
      </w:r>
      <w:proofErr w:type="spellEnd"/>
      <w:r w:rsidR="00500A08" w:rsidRPr="00B4003A">
        <w:rPr>
          <w:rFonts w:ascii="Century Schoolbook" w:hAnsi="Century Schoolbook"/>
          <w:i/>
          <w:iCs/>
        </w:rPr>
        <w:t xml:space="preserve"> </w:t>
      </w:r>
      <w:r w:rsidR="00411061" w:rsidRPr="00B4003A">
        <w:rPr>
          <w:rFonts w:ascii="Century Schoolbook" w:hAnsi="Century Schoolbook"/>
        </w:rPr>
        <w:t>dall’art. 2, comma 1, del decreto stesso.</w:t>
      </w:r>
    </w:p>
    <w:p w14:paraId="710C3B87" w14:textId="46B72CFC" w:rsidR="00411061" w:rsidRPr="00B4003A" w:rsidRDefault="00A931CC" w:rsidP="004F2EB6">
      <w:pPr>
        <w:spacing w:line="360" w:lineRule="auto"/>
        <w:ind w:firstLine="709"/>
        <w:contextualSpacing/>
        <w:jc w:val="both"/>
        <w:rPr>
          <w:rFonts w:ascii="Century Schoolbook" w:hAnsi="Century Schoolbook"/>
        </w:rPr>
      </w:pPr>
      <w:r w:rsidRPr="00B4003A">
        <w:rPr>
          <w:rFonts w:ascii="Century Schoolbook" w:hAnsi="Century Schoolbook"/>
        </w:rPr>
        <w:t xml:space="preserve">L’invito </w:t>
      </w:r>
      <w:r w:rsidR="005D4869" w:rsidRPr="00B4003A">
        <w:rPr>
          <w:rFonts w:ascii="Century Schoolbook" w:hAnsi="Century Schoolbook"/>
        </w:rPr>
        <w:t xml:space="preserve">fatto </w:t>
      </w:r>
      <w:r w:rsidRPr="00B4003A">
        <w:rPr>
          <w:rFonts w:ascii="Century Schoolbook" w:hAnsi="Century Schoolbook"/>
        </w:rPr>
        <w:t>d</w:t>
      </w:r>
      <w:r w:rsidR="005D4869" w:rsidRPr="00B4003A">
        <w:rPr>
          <w:rFonts w:ascii="Century Schoolbook" w:hAnsi="Century Schoolbook"/>
        </w:rPr>
        <w:t>a</w:t>
      </w:r>
      <w:r w:rsidR="00500A08" w:rsidRPr="00B4003A">
        <w:rPr>
          <w:rFonts w:ascii="Century Schoolbook" w:hAnsi="Century Schoolbook"/>
        </w:rPr>
        <w:t xml:space="preserve"> qu</w:t>
      </w:r>
      <w:r w:rsidRPr="00B4003A">
        <w:rPr>
          <w:rFonts w:ascii="Century Schoolbook" w:hAnsi="Century Schoolbook"/>
        </w:rPr>
        <w:t xml:space="preserve">el decreto è stato </w:t>
      </w:r>
      <w:r w:rsidR="00642857" w:rsidRPr="00B4003A">
        <w:rPr>
          <w:rFonts w:ascii="Century Schoolbook" w:hAnsi="Century Schoolbook"/>
        </w:rPr>
        <w:t>rac</w:t>
      </w:r>
      <w:r w:rsidRPr="00B4003A">
        <w:rPr>
          <w:rFonts w:ascii="Century Schoolbook" w:hAnsi="Century Schoolbook"/>
        </w:rPr>
        <w:t>colto con grande sensibilità dalla Commissione Greco</w:t>
      </w:r>
      <w:r w:rsidR="00654AF6" w:rsidRPr="00B4003A">
        <w:rPr>
          <w:rFonts w:ascii="Century Schoolbook" w:hAnsi="Century Schoolbook"/>
        </w:rPr>
        <w:t xml:space="preserve">, </w:t>
      </w:r>
      <w:r w:rsidR="008A1B42" w:rsidRPr="00B4003A">
        <w:rPr>
          <w:rFonts w:ascii="Century Schoolbook" w:hAnsi="Century Schoolbook"/>
        </w:rPr>
        <w:t xml:space="preserve">che </w:t>
      </w:r>
      <w:r w:rsidR="00500A08" w:rsidRPr="00B4003A">
        <w:rPr>
          <w:rFonts w:ascii="Century Schoolbook" w:hAnsi="Century Schoolbook"/>
        </w:rPr>
        <w:t xml:space="preserve">– come ho detto più sopra – </w:t>
      </w:r>
      <w:r w:rsidR="008A1B42" w:rsidRPr="00B4003A">
        <w:rPr>
          <w:rFonts w:ascii="Century Schoolbook" w:hAnsi="Century Schoolbook"/>
        </w:rPr>
        <w:t>ha prodotto un disegno di legge e una</w:t>
      </w:r>
      <w:r w:rsidR="00654AF6" w:rsidRPr="00B4003A">
        <w:rPr>
          <w:rFonts w:ascii="Century Schoolbook" w:hAnsi="Century Schoolbook"/>
        </w:rPr>
        <w:t xml:space="preserve"> </w:t>
      </w:r>
      <w:r w:rsidR="008A1B42" w:rsidRPr="00B4003A">
        <w:rPr>
          <w:rFonts w:ascii="Century Schoolbook" w:hAnsi="Century Schoolbook"/>
        </w:rPr>
        <w:t>r</w:t>
      </w:r>
      <w:r w:rsidR="00654AF6" w:rsidRPr="00B4003A">
        <w:rPr>
          <w:rFonts w:ascii="Century Schoolbook" w:hAnsi="Century Schoolbook"/>
        </w:rPr>
        <w:t>elazione illustrativa</w:t>
      </w:r>
      <w:r w:rsidR="008A1B42" w:rsidRPr="00B4003A">
        <w:rPr>
          <w:rFonts w:ascii="Century Schoolbook" w:hAnsi="Century Schoolbook"/>
        </w:rPr>
        <w:t>: la quale</w:t>
      </w:r>
      <w:r w:rsidR="00654AF6" w:rsidRPr="00B4003A">
        <w:rPr>
          <w:rFonts w:ascii="Century Schoolbook" w:hAnsi="Century Schoolbook"/>
        </w:rPr>
        <w:t xml:space="preserve"> </w:t>
      </w:r>
      <w:r w:rsidR="00D94535" w:rsidRPr="00B4003A">
        <w:rPr>
          <w:rFonts w:ascii="Century Schoolbook" w:hAnsi="Century Schoolbook"/>
        </w:rPr>
        <w:t xml:space="preserve">già in apertura </w:t>
      </w:r>
      <w:r w:rsidR="006441F1" w:rsidRPr="00B4003A">
        <w:rPr>
          <w:rFonts w:ascii="Century Schoolbook" w:hAnsi="Century Schoolbook"/>
        </w:rPr>
        <w:t>richiama «</w:t>
      </w:r>
      <w:r w:rsidR="00654AF6" w:rsidRPr="00B4003A">
        <w:rPr>
          <w:rFonts w:ascii="Century Schoolbook" w:hAnsi="Century Schoolbook"/>
        </w:rPr>
        <w:t>la giurisprudenza in ordine alla riconducibilità della disciplina degli standard urbanistici ai “</w:t>
      </w:r>
      <w:r w:rsidR="00654AF6" w:rsidRPr="00B4003A">
        <w:rPr>
          <w:rFonts w:ascii="Century Schoolbook" w:hAnsi="Century Schoolbook"/>
          <w:i/>
          <w:iCs/>
        </w:rPr>
        <w:t>livelli essenziali delle prestazioni concernenti i diritti civili e sociali che devono essere garantiti su tutto il territorio nazionale</w:t>
      </w:r>
      <w:r w:rsidR="00654AF6" w:rsidRPr="00B4003A">
        <w:rPr>
          <w:rFonts w:ascii="Century Schoolbook" w:hAnsi="Century Schoolbook"/>
        </w:rPr>
        <w:t xml:space="preserve">” ai sensi della precedente lettera </w:t>
      </w:r>
      <w:r w:rsidR="00654AF6" w:rsidRPr="00B4003A">
        <w:rPr>
          <w:rFonts w:ascii="Century Schoolbook" w:hAnsi="Century Schoolbook"/>
          <w:i/>
          <w:iCs/>
        </w:rPr>
        <w:t>m</w:t>
      </w:r>
      <w:r w:rsidR="00654AF6" w:rsidRPr="00B4003A">
        <w:rPr>
          <w:rFonts w:ascii="Century Schoolbook" w:hAnsi="Century Schoolbook"/>
        </w:rPr>
        <w:t>), concorrendo gli stessi all’individuazione delle dotazioni minime indispensabili ad assicurare i servizi socio-economici indispensabili alla collettività che fruisce del bene territorio</w:t>
      </w:r>
      <w:r w:rsidR="006441F1" w:rsidRPr="00B4003A">
        <w:rPr>
          <w:rFonts w:ascii="Century Schoolbook" w:hAnsi="Century Schoolbook"/>
        </w:rPr>
        <w:t>»</w:t>
      </w:r>
      <w:r w:rsidR="006441F1" w:rsidRPr="00B4003A">
        <w:rPr>
          <w:rStyle w:val="Rimandonotaapidipagina"/>
          <w:rFonts w:ascii="Century Schoolbook" w:hAnsi="Century Schoolbook"/>
        </w:rPr>
        <w:footnoteReference w:id="26"/>
      </w:r>
      <w:r w:rsidR="00654AF6" w:rsidRPr="00B4003A">
        <w:rPr>
          <w:rFonts w:ascii="Century Schoolbook" w:hAnsi="Century Schoolbook"/>
        </w:rPr>
        <w:t>.</w:t>
      </w:r>
    </w:p>
    <w:p w14:paraId="5581DF87" w14:textId="2CE0CAC6" w:rsidR="00AA06EE" w:rsidRPr="00B4003A" w:rsidRDefault="00D94535" w:rsidP="00D94535">
      <w:pPr>
        <w:spacing w:line="360" w:lineRule="auto"/>
        <w:ind w:firstLine="709"/>
        <w:contextualSpacing/>
        <w:jc w:val="both"/>
        <w:rPr>
          <w:rFonts w:ascii="Century Schoolbook" w:hAnsi="Century Schoolbook"/>
        </w:rPr>
      </w:pPr>
      <w:r w:rsidRPr="00B4003A">
        <w:rPr>
          <w:rFonts w:ascii="Century Schoolbook" w:hAnsi="Century Schoolbook"/>
        </w:rPr>
        <w:t xml:space="preserve">Il senso è chiarissimo. Gli standard </w:t>
      </w:r>
      <w:r w:rsidR="00BD4695" w:rsidRPr="00B4003A">
        <w:rPr>
          <w:rFonts w:ascii="Century Schoolbook" w:hAnsi="Century Schoolbook"/>
        </w:rPr>
        <w:t xml:space="preserve">urbanistici </w:t>
      </w:r>
      <w:r w:rsidRPr="00B4003A">
        <w:rPr>
          <w:rFonts w:ascii="Century Schoolbook" w:hAnsi="Century Schoolbook"/>
        </w:rPr>
        <w:t xml:space="preserve">sono elementi costitutivi di tutto il territorio italiano assunto nella sua </w:t>
      </w:r>
      <w:r w:rsidRPr="00B4003A">
        <w:rPr>
          <w:rFonts w:ascii="Century Schoolbook" w:hAnsi="Century Schoolbook"/>
          <w:i/>
          <w:iCs/>
        </w:rPr>
        <w:t>interezza</w:t>
      </w:r>
      <w:r w:rsidRPr="00B4003A">
        <w:rPr>
          <w:rFonts w:ascii="Century Schoolbook" w:hAnsi="Century Schoolbook"/>
        </w:rPr>
        <w:t xml:space="preserve"> e </w:t>
      </w:r>
      <w:proofErr w:type="spellStart"/>
      <w:r w:rsidRPr="00B4003A">
        <w:rPr>
          <w:rFonts w:ascii="Century Schoolbook" w:hAnsi="Century Schoolbook"/>
          <w:i/>
          <w:iCs/>
        </w:rPr>
        <w:t>indifferenziabilità</w:t>
      </w:r>
      <w:proofErr w:type="spellEnd"/>
      <w:r w:rsidRPr="00B4003A">
        <w:rPr>
          <w:rFonts w:ascii="Century Schoolbook" w:hAnsi="Century Schoolbook"/>
        </w:rPr>
        <w:t xml:space="preserve">: </w:t>
      </w:r>
      <w:r w:rsidR="00BD4695" w:rsidRPr="00B4003A">
        <w:rPr>
          <w:rFonts w:ascii="Century Schoolbook" w:hAnsi="Century Schoolbook"/>
        </w:rPr>
        <w:t xml:space="preserve">affatto indisponibili, dunque, a subire </w:t>
      </w:r>
      <w:r w:rsidR="00AA06EE" w:rsidRPr="00B4003A">
        <w:rPr>
          <w:rFonts w:ascii="Century Schoolbook" w:hAnsi="Century Schoolbook"/>
        </w:rPr>
        <w:t>compressioni su scala regionale</w:t>
      </w:r>
      <w:r w:rsidRPr="00B4003A">
        <w:rPr>
          <w:rFonts w:ascii="Century Schoolbook" w:hAnsi="Century Schoolbook"/>
        </w:rPr>
        <w:t>.</w:t>
      </w:r>
    </w:p>
    <w:p w14:paraId="567A1A88" w14:textId="5F712C64" w:rsidR="00D94535" w:rsidRPr="00B4003A" w:rsidRDefault="008A1B42" w:rsidP="006158C2">
      <w:pPr>
        <w:spacing w:line="360" w:lineRule="auto"/>
        <w:ind w:firstLine="709"/>
        <w:contextualSpacing/>
        <w:jc w:val="both"/>
        <w:rPr>
          <w:rFonts w:ascii="Century Schoolbook" w:hAnsi="Century Schoolbook"/>
        </w:rPr>
      </w:pPr>
      <w:r w:rsidRPr="00B4003A">
        <w:rPr>
          <w:rFonts w:ascii="Century Schoolbook" w:hAnsi="Century Schoolbook"/>
        </w:rPr>
        <w:t>Non a caso, già l’</w:t>
      </w:r>
      <w:r w:rsidR="00AA06EE" w:rsidRPr="00B4003A">
        <w:rPr>
          <w:rFonts w:ascii="Century Schoolbook" w:hAnsi="Century Schoolbook"/>
        </w:rPr>
        <w:t xml:space="preserve">art. 1, comma 2, </w:t>
      </w:r>
      <w:r w:rsidRPr="00B4003A">
        <w:rPr>
          <w:rFonts w:ascii="Century Schoolbook" w:hAnsi="Century Schoolbook"/>
        </w:rPr>
        <w:t>di quell’articolato stabilisce</w:t>
      </w:r>
      <w:r w:rsidR="00AA06EE" w:rsidRPr="00B4003A">
        <w:rPr>
          <w:rFonts w:ascii="Century Schoolbook" w:hAnsi="Century Schoolbook"/>
        </w:rPr>
        <w:t>: «La presente legge disciplina, altresì, ai sensi dell’articolo 117, comma secondo, lettera m), della Costituzione, i livelli minimi essenziali dei sistemi delle infrastrutture, delle attrezzature urbane e territoriali nonché dei relativi servizi reali e personali da garantire su tutto il territorio nazionale».</w:t>
      </w:r>
      <w:r w:rsidR="006158C2" w:rsidRPr="00B4003A">
        <w:rPr>
          <w:rFonts w:ascii="Century Schoolbook" w:hAnsi="Century Schoolbook"/>
        </w:rPr>
        <w:t xml:space="preserve"> E il successivo </w:t>
      </w:r>
      <w:r w:rsidR="007233AD" w:rsidRPr="00B4003A">
        <w:rPr>
          <w:rFonts w:ascii="Century Schoolbook" w:hAnsi="Century Schoolbook"/>
        </w:rPr>
        <w:t>art. 11</w:t>
      </w:r>
      <w:r w:rsidR="006158C2" w:rsidRPr="00B4003A">
        <w:rPr>
          <w:rStyle w:val="Rimandonotaapidipagina"/>
          <w:rFonts w:ascii="Century Schoolbook" w:hAnsi="Century Schoolbook"/>
        </w:rPr>
        <w:footnoteReference w:id="27"/>
      </w:r>
      <w:r w:rsidR="006158C2" w:rsidRPr="00B4003A">
        <w:rPr>
          <w:rFonts w:ascii="Century Schoolbook" w:hAnsi="Century Schoolbook"/>
        </w:rPr>
        <w:t xml:space="preserve"> al</w:t>
      </w:r>
      <w:r w:rsidR="007233AD" w:rsidRPr="00B4003A">
        <w:rPr>
          <w:rFonts w:ascii="Century Schoolbook" w:hAnsi="Century Schoolbook"/>
        </w:rPr>
        <w:t xml:space="preserve"> comma 2</w:t>
      </w:r>
      <w:r w:rsidR="006158C2" w:rsidRPr="00B4003A">
        <w:rPr>
          <w:rFonts w:ascii="Century Schoolbook" w:hAnsi="Century Schoolbook"/>
        </w:rPr>
        <w:t xml:space="preserve"> </w:t>
      </w:r>
      <w:r w:rsidR="001C748A" w:rsidRPr="00B4003A">
        <w:rPr>
          <w:rFonts w:ascii="Century Schoolbook" w:hAnsi="Century Schoolbook"/>
        </w:rPr>
        <w:t>collega</w:t>
      </w:r>
      <w:r w:rsidR="006158C2" w:rsidRPr="00B4003A">
        <w:rPr>
          <w:rFonts w:ascii="Century Schoolbook" w:hAnsi="Century Schoolbook"/>
        </w:rPr>
        <w:t xml:space="preserve"> in un rapporto </w:t>
      </w:r>
      <w:r w:rsidR="00621A4A" w:rsidRPr="00B4003A">
        <w:rPr>
          <w:rFonts w:ascii="Century Schoolbook" w:hAnsi="Century Schoolbook"/>
        </w:rPr>
        <w:t xml:space="preserve">rispettivamente </w:t>
      </w:r>
      <w:r w:rsidR="006158C2" w:rsidRPr="00B4003A">
        <w:rPr>
          <w:rFonts w:ascii="Century Schoolbook" w:hAnsi="Century Schoolbook"/>
        </w:rPr>
        <w:t xml:space="preserve">di causa ed effetto «il raggiungimento dei livelli minimi delle dotazioni urbanistiche e territoriali» con </w:t>
      </w:r>
      <w:r w:rsidR="007233AD" w:rsidRPr="00B4003A">
        <w:rPr>
          <w:rFonts w:ascii="Century Schoolbook" w:hAnsi="Century Schoolbook"/>
        </w:rPr>
        <w:t>«il conseguimento dei livelli essenziali delle prestazioni concernenti i diritti sociali e civili di cui al precedente articolo 1, comma 2</w:t>
      </w:r>
      <w:r w:rsidR="006158C2" w:rsidRPr="00B4003A">
        <w:rPr>
          <w:rFonts w:ascii="Century Schoolbook" w:hAnsi="Century Schoolbook"/>
        </w:rPr>
        <w:t>»</w:t>
      </w:r>
      <w:r w:rsidR="007233AD" w:rsidRPr="00B4003A">
        <w:rPr>
          <w:rFonts w:ascii="Century Schoolbook" w:hAnsi="Century Schoolbook"/>
        </w:rPr>
        <w:t>.</w:t>
      </w:r>
      <w:r w:rsidR="00D94535" w:rsidRPr="00B4003A">
        <w:rPr>
          <w:rFonts w:ascii="Century Schoolbook" w:hAnsi="Century Schoolbook"/>
        </w:rPr>
        <w:t xml:space="preserve"> </w:t>
      </w:r>
    </w:p>
    <w:p w14:paraId="7264E5C9" w14:textId="77777777" w:rsidR="005E5B72" w:rsidRPr="00B4003A" w:rsidRDefault="00116ACE" w:rsidP="005E5B72">
      <w:pPr>
        <w:spacing w:line="360" w:lineRule="auto"/>
        <w:ind w:firstLine="709"/>
        <w:contextualSpacing/>
        <w:jc w:val="both"/>
        <w:rPr>
          <w:rFonts w:ascii="Century Schoolbook" w:hAnsi="Century Schoolbook"/>
        </w:rPr>
      </w:pPr>
      <w:r w:rsidRPr="00B4003A">
        <w:rPr>
          <w:rFonts w:ascii="Century Schoolbook" w:hAnsi="Century Schoolbook"/>
        </w:rPr>
        <w:t>A questo fine, l’art. 11, comma 2,</w:t>
      </w:r>
      <w:r w:rsidR="003B3344" w:rsidRPr="00B4003A">
        <w:rPr>
          <w:rFonts w:ascii="Century Schoolbook" w:hAnsi="Century Schoolbook"/>
        </w:rPr>
        <w:t xml:space="preserve"> prevede che con «decreto del Presidente del Consiglio dei ministri, su proposta del Ministro delle infrastrutture e della mobilità sostenibili di concerto con il Ministro della funzione pubblica, adottato sulla base di un’apposita intesa in sede di conferenza permanente per i rapporti tra lo Stato, le regioni e le province autonome di Trento e Bolzano ai sensi dell’articolo 8, comma 6, della legge 5 giugno 2003, n. 131, sono stabiliti quantità, parametri e riferimenti che i comuni sono tenuti a osservare in sede di formazione dei nuovi strumenti urbanistici e nella revisione di quelli esistenti, così come definiti al precedente articolo 9, in termini di rapporti massimi tra aree destinate agli insediamenti residenziali, direzionali, commerciali, per la logistica, terziari, e industriali-artigianali, e aree per attrezzature pubbliche e per servizi pubblici o di interesse pubblico e generale, comunque riservate alle attività collettive, a verde pubblico e parcheggi»</w:t>
      </w:r>
      <w:r w:rsidR="003B3344" w:rsidRPr="00B4003A">
        <w:rPr>
          <w:rStyle w:val="Rimandonotaapidipagina"/>
          <w:rFonts w:ascii="Century Schoolbook" w:hAnsi="Century Schoolbook"/>
        </w:rPr>
        <w:footnoteReference w:id="28"/>
      </w:r>
      <w:r w:rsidR="003B3344" w:rsidRPr="00B4003A">
        <w:rPr>
          <w:rFonts w:ascii="Century Schoolbook" w:hAnsi="Century Schoolbook"/>
        </w:rPr>
        <w:t>.</w:t>
      </w:r>
    </w:p>
    <w:p w14:paraId="7A4B1F9B" w14:textId="5BA81C2B" w:rsidR="00625756" w:rsidRPr="00B4003A" w:rsidRDefault="003176F5" w:rsidP="00875449">
      <w:pPr>
        <w:spacing w:line="360" w:lineRule="auto"/>
        <w:ind w:firstLine="709"/>
        <w:contextualSpacing/>
        <w:jc w:val="both"/>
        <w:rPr>
          <w:rFonts w:ascii="Century Schoolbook" w:hAnsi="Century Schoolbook"/>
        </w:rPr>
      </w:pPr>
      <w:r w:rsidRPr="00B4003A">
        <w:rPr>
          <w:rFonts w:ascii="Century Schoolbook" w:hAnsi="Century Schoolbook"/>
        </w:rPr>
        <w:t>Qui e</w:t>
      </w:r>
      <w:r w:rsidR="002824E9" w:rsidRPr="00B4003A">
        <w:rPr>
          <w:rFonts w:ascii="Century Schoolbook" w:hAnsi="Century Schoolbook"/>
        </w:rPr>
        <w:t xml:space="preserve">viterei </w:t>
      </w:r>
      <w:r w:rsidR="005D4869" w:rsidRPr="00B4003A">
        <w:rPr>
          <w:rFonts w:ascii="Century Schoolbook" w:hAnsi="Century Schoolbook"/>
        </w:rPr>
        <w:t xml:space="preserve">però </w:t>
      </w:r>
      <w:r w:rsidR="002824E9" w:rsidRPr="00B4003A">
        <w:rPr>
          <w:rFonts w:ascii="Century Schoolbook" w:hAnsi="Century Schoolbook"/>
        </w:rPr>
        <w:t>l</w:t>
      </w:r>
      <w:r w:rsidRPr="00B4003A">
        <w:rPr>
          <w:rFonts w:ascii="Century Schoolbook" w:hAnsi="Century Schoolbook"/>
        </w:rPr>
        <w:t>’utilizzo di un</w:t>
      </w:r>
      <w:r w:rsidR="002824E9" w:rsidRPr="00B4003A">
        <w:rPr>
          <w:rFonts w:ascii="Century Schoolbook" w:hAnsi="Century Schoolbook"/>
        </w:rPr>
        <w:t xml:space="preserve">a fonte </w:t>
      </w:r>
      <w:r w:rsidR="00681BAA" w:rsidRPr="00B4003A">
        <w:rPr>
          <w:rFonts w:ascii="Century Schoolbook" w:hAnsi="Century Schoolbook"/>
        </w:rPr>
        <w:t>regolamentare</w:t>
      </w:r>
      <w:r w:rsidR="002824E9" w:rsidRPr="00B4003A">
        <w:rPr>
          <w:rFonts w:ascii="Century Schoolbook" w:hAnsi="Century Schoolbook"/>
        </w:rPr>
        <w:t xml:space="preserve"> </w:t>
      </w:r>
      <w:r w:rsidR="00681BAA" w:rsidRPr="00B4003A">
        <w:rPr>
          <w:rFonts w:ascii="Century Schoolbook" w:hAnsi="Century Schoolbook"/>
        </w:rPr>
        <w:t xml:space="preserve">a base </w:t>
      </w:r>
      <w:r w:rsidR="002824E9" w:rsidRPr="00B4003A">
        <w:rPr>
          <w:rFonts w:ascii="Century Schoolbook" w:hAnsi="Century Schoolbook"/>
        </w:rPr>
        <w:t xml:space="preserve">consensuale, vista l’esperienza </w:t>
      </w:r>
      <w:r w:rsidR="005E5B72" w:rsidRPr="00B4003A">
        <w:rPr>
          <w:rFonts w:ascii="Century Schoolbook" w:hAnsi="Century Schoolbook"/>
        </w:rPr>
        <w:t xml:space="preserve">assolutamente negativa </w:t>
      </w:r>
      <w:r w:rsidR="002824E9" w:rsidRPr="00B4003A">
        <w:rPr>
          <w:rFonts w:ascii="Century Schoolbook" w:hAnsi="Century Schoolbook"/>
        </w:rPr>
        <w:t xml:space="preserve">dell’intesa </w:t>
      </w:r>
      <w:r w:rsidR="00C73637" w:rsidRPr="00B4003A">
        <w:rPr>
          <w:rFonts w:ascii="Century Schoolbook" w:hAnsi="Century Schoolbook"/>
        </w:rPr>
        <w:t xml:space="preserve">tra Stato, Regioni ed enti locali del 1° aprile 2009 </w:t>
      </w:r>
      <w:r w:rsidR="002824E9" w:rsidRPr="00B4003A">
        <w:rPr>
          <w:rFonts w:ascii="Century Schoolbook" w:hAnsi="Century Schoolbook"/>
        </w:rPr>
        <w:t xml:space="preserve">che ha portato al </w:t>
      </w:r>
      <w:r w:rsidR="005E5B72" w:rsidRPr="00B4003A">
        <w:rPr>
          <w:rFonts w:ascii="Century Schoolbook" w:hAnsi="Century Schoolbook"/>
        </w:rPr>
        <w:t>“</w:t>
      </w:r>
      <w:r w:rsidR="002824E9" w:rsidRPr="00B4003A">
        <w:rPr>
          <w:rFonts w:ascii="Century Schoolbook" w:hAnsi="Century Schoolbook"/>
        </w:rPr>
        <w:t>piano</w:t>
      </w:r>
      <w:r w:rsidR="005E5B72" w:rsidRPr="00B4003A">
        <w:rPr>
          <w:rFonts w:ascii="Century Schoolbook" w:hAnsi="Century Schoolbook"/>
        </w:rPr>
        <w:t>”</w:t>
      </w:r>
      <w:r w:rsidR="002824E9" w:rsidRPr="00B4003A">
        <w:rPr>
          <w:rFonts w:ascii="Century Schoolbook" w:hAnsi="Century Schoolbook"/>
        </w:rPr>
        <w:t xml:space="preserve"> casa</w:t>
      </w:r>
      <w:r w:rsidR="00C73637" w:rsidRPr="00B4003A">
        <w:rPr>
          <w:rFonts w:ascii="Century Schoolbook" w:hAnsi="Century Schoolbook"/>
        </w:rPr>
        <w:t>;</w:t>
      </w:r>
      <w:r w:rsidR="002824E9" w:rsidRPr="00B4003A">
        <w:rPr>
          <w:rFonts w:ascii="Century Schoolbook" w:hAnsi="Century Schoolbook"/>
        </w:rPr>
        <w:t xml:space="preserve"> e </w:t>
      </w:r>
      <w:r w:rsidR="00C73637" w:rsidRPr="00B4003A">
        <w:rPr>
          <w:rFonts w:ascii="Century Schoolbook" w:hAnsi="Century Schoolbook"/>
        </w:rPr>
        <w:t xml:space="preserve">considerata </w:t>
      </w:r>
      <w:r w:rsidR="002824E9" w:rsidRPr="00B4003A">
        <w:rPr>
          <w:rFonts w:ascii="Century Schoolbook" w:hAnsi="Century Schoolbook"/>
        </w:rPr>
        <w:t xml:space="preserve">la fragilità formale </w:t>
      </w:r>
      <w:r w:rsidR="00B20A3D" w:rsidRPr="00B4003A">
        <w:rPr>
          <w:rFonts w:ascii="Century Schoolbook" w:hAnsi="Century Schoolbook"/>
        </w:rPr>
        <w:t>– dunque l’</w:t>
      </w:r>
      <w:proofErr w:type="spellStart"/>
      <w:r w:rsidR="00B20A3D" w:rsidRPr="00B4003A">
        <w:rPr>
          <w:rFonts w:ascii="Century Schoolbook" w:hAnsi="Century Schoolbook"/>
        </w:rPr>
        <w:t>aggredibilità</w:t>
      </w:r>
      <w:proofErr w:type="spellEnd"/>
      <w:r w:rsidR="00B20A3D" w:rsidRPr="00B4003A">
        <w:rPr>
          <w:rFonts w:ascii="Century Schoolbook" w:hAnsi="Century Schoolbook"/>
        </w:rPr>
        <w:t xml:space="preserve"> </w:t>
      </w:r>
      <w:r w:rsidR="00875449" w:rsidRPr="00B4003A">
        <w:rPr>
          <w:rFonts w:ascii="Century Schoolbook" w:hAnsi="Century Schoolbook"/>
        </w:rPr>
        <w:t xml:space="preserve">in genere </w:t>
      </w:r>
      <w:r w:rsidR="00B20A3D" w:rsidRPr="00B4003A">
        <w:rPr>
          <w:rFonts w:ascii="Century Schoolbook" w:hAnsi="Century Schoolbook"/>
        </w:rPr>
        <w:t xml:space="preserve">– </w:t>
      </w:r>
      <w:r w:rsidR="002824E9" w:rsidRPr="00B4003A">
        <w:rPr>
          <w:rFonts w:ascii="Century Schoolbook" w:hAnsi="Century Schoolbook"/>
        </w:rPr>
        <w:t>d</w:t>
      </w:r>
      <w:r w:rsidR="00224ED0" w:rsidRPr="00B4003A">
        <w:rPr>
          <w:rFonts w:ascii="Century Schoolbook" w:hAnsi="Century Schoolbook"/>
        </w:rPr>
        <w:t>i una normazione non protetta dal rango legislativo</w:t>
      </w:r>
      <w:r w:rsidR="002824E9" w:rsidRPr="00B4003A">
        <w:rPr>
          <w:rFonts w:ascii="Century Schoolbook" w:hAnsi="Century Schoolbook"/>
        </w:rPr>
        <w:t>.</w:t>
      </w:r>
    </w:p>
    <w:p w14:paraId="2038B46D" w14:textId="5B4D8E9D" w:rsidR="00681BAA" w:rsidRPr="00B4003A" w:rsidRDefault="00681BAA" w:rsidP="00116ACE">
      <w:pPr>
        <w:spacing w:line="360" w:lineRule="auto"/>
        <w:ind w:firstLine="709"/>
        <w:contextualSpacing/>
        <w:jc w:val="both"/>
        <w:rPr>
          <w:rFonts w:ascii="Century Schoolbook" w:hAnsi="Century Schoolbook"/>
        </w:rPr>
      </w:pPr>
      <w:r w:rsidRPr="00B4003A">
        <w:rPr>
          <w:rFonts w:ascii="Century Schoolbook" w:hAnsi="Century Schoolbook"/>
        </w:rPr>
        <w:t>Aspetto ben presente, peraltro</w:t>
      </w:r>
      <w:r w:rsidR="005D4869" w:rsidRPr="00B4003A">
        <w:rPr>
          <w:rFonts w:ascii="Century Schoolbook" w:hAnsi="Century Schoolbook"/>
        </w:rPr>
        <w:t>,</w:t>
      </w:r>
      <w:r w:rsidRPr="00B4003A">
        <w:rPr>
          <w:rFonts w:ascii="Century Schoolbook" w:hAnsi="Century Schoolbook"/>
        </w:rPr>
        <w:t xml:space="preserve"> alla Commissione, come si legge nella relazione illustrativa: «si è ritenuto necessario superare definitivamente il meccanismo incentrato sulla persistente vigenza del d.m. n. 1444/1968, che tanti problemi ha posto e tuttora pone in termini di rango delle disposizioni ivi contenute nella gerarchia delle fonti, di loro cogenza e di rapporti con le sopravvenute competenze regionali»</w:t>
      </w:r>
      <w:r w:rsidR="00E82C76" w:rsidRPr="00B4003A">
        <w:rPr>
          <w:rStyle w:val="Rimandonotaapidipagina"/>
          <w:rFonts w:ascii="Century Schoolbook" w:hAnsi="Century Schoolbook"/>
        </w:rPr>
        <w:footnoteReference w:id="29"/>
      </w:r>
      <w:r w:rsidRPr="00B4003A">
        <w:rPr>
          <w:rFonts w:ascii="Century Schoolbook" w:hAnsi="Century Schoolbook"/>
        </w:rPr>
        <w:t>.</w:t>
      </w:r>
    </w:p>
    <w:p w14:paraId="457665F3" w14:textId="7A141D52" w:rsidR="00116ACE" w:rsidRPr="00B4003A" w:rsidRDefault="00116ACE" w:rsidP="00116ACE">
      <w:pPr>
        <w:spacing w:line="360" w:lineRule="auto"/>
        <w:ind w:firstLine="709"/>
        <w:contextualSpacing/>
        <w:jc w:val="both"/>
        <w:rPr>
          <w:rFonts w:ascii="Century Schoolbook" w:hAnsi="Century Schoolbook"/>
        </w:rPr>
      </w:pPr>
      <w:r w:rsidRPr="00B4003A">
        <w:rPr>
          <w:rFonts w:ascii="Century Schoolbook" w:hAnsi="Century Schoolbook"/>
        </w:rPr>
        <w:t>Sempre l’art. 11 del disegno di legge</w:t>
      </w:r>
      <w:r w:rsidR="00875449" w:rsidRPr="00B4003A">
        <w:rPr>
          <w:rFonts w:ascii="Century Schoolbook" w:hAnsi="Century Schoolbook"/>
        </w:rPr>
        <w:t xml:space="preserve">, </w:t>
      </w:r>
      <w:r w:rsidR="00B61F11" w:rsidRPr="00B4003A">
        <w:rPr>
          <w:rFonts w:ascii="Century Schoolbook" w:hAnsi="Century Schoolbook"/>
        </w:rPr>
        <w:t xml:space="preserve">poi, </w:t>
      </w:r>
      <w:r w:rsidR="00875449" w:rsidRPr="00B4003A">
        <w:rPr>
          <w:rFonts w:ascii="Century Schoolbook" w:hAnsi="Century Schoolbook"/>
        </w:rPr>
        <w:t>al comma 6</w:t>
      </w:r>
      <w:r w:rsidR="005D4869" w:rsidRPr="00B4003A">
        <w:rPr>
          <w:rFonts w:ascii="Century Schoolbook" w:hAnsi="Century Schoolbook"/>
        </w:rPr>
        <w:t xml:space="preserve"> recita</w:t>
      </w:r>
      <w:r w:rsidRPr="00B4003A">
        <w:rPr>
          <w:rFonts w:ascii="Century Schoolbook" w:hAnsi="Century Schoolbook"/>
        </w:rPr>
        <w:t>: «Le Regioni, nel rispetto dei rapporti massimi stabiliti ai sensi del comma 2, disciplinano quantità e qualità delle prestazioni e dotazioni territoriali, considerando anche le specificità socio-economiche e territoriali dei comuni e le diversità di fabbisogni. Individuano, inoltre, le opere e le misure di ordine gestionale necessarie al soddisfacimento delle esigenze dei servizi di cui al comma 1. Disciplinano, altresì, la monetizzazione degli standard urbanistici per le aree non reperite nell’ambito di interventi diretti e indiretti, per effetto dell’applicazione del comma 3, lettere a) e b), e del comma 5».</w:t>
      </w:r>
    </w:p>
    <w:p w14:paraId="0E01A473" w14:textId="438072AE" w:rsidR="00875449" w:rsidRPr="00B4003A" w:rsidRDefault="000B5826" w:rsidP="00810E6E">
      <w:pPr>
        <w:spacing w:line="360" w:lineRule="auto"/>
        <w:ind w:firstLine="709"/>
        <w:contextualSpacing/>
        <w:jc w:val="both"/>
        <w:rPr>
          <w:rFonts w:ascii="Century Schoolbook" w:hAnsi="Century Schoolbook"/>
        </w:rPr>
      </w:pPr>
      <w:r w:rsidRPr="00B4003A">
        <w:rPr>
          <w:rFonts w:ascii="Century Schoolbook" w:hAnsi="Century Schoolbook"/>
        </w:rPr>
        <w:t xml:space="preserve">Nessuna possibilità di deroga </w:t>
      </w:r>
      <w:r w:rsidR="00AD3015" w:rsidRPr="00B4003A">
        <w:rPr>
          <w:rFonts w:ascii="Century Schoolbook" w:hAnsi="Century Schoolbook"/>
        </w:rPr>
        <w:t xml:space="preserve">è stata </w:t>
      </w:r>
      <w:r w:rsidR="005D4869" w:rsidRPr="00B4003A">
        <w:rPr>
          <w:rFonts w:ascii="Century Schoolbook" w:hAnsi="Century Schoolbook"/>
        </w:rPr>
        <w:t xml:space="preserve">dunque </w:t>
      </w:r>
      <w:r w:rsidRPr="00B4003A">
        <w:rPr>
          <w:rFonts w:ascii="Century Schoolbook" w:hAnsi="Century Schoolbook"/>
        </w:rPr>
        <w:t xml:space="preserve">concessa alle Regioni, se non m’inganno. </w:t>
      </w:r>
      <w:r w:rsidR="00875449" w:rsidRPr="00B4003A">
        <w:rPr>
          <w:rFonts w:ascii="Century Schoolbook" w:hAnsi="Century Schoolbook"/>
        </w:rPr>
        <w:t>I</w:t>
      </w:r>
      <w:r w:rsidR="00B61F11" w:rsidRPr="00B4003A">
        <w:rPr>
          <w:rFonts w:ascii="Century Schoolbook" w:hAnsi="Century Schoolbook"/>
        </w:rPr>
        <w:t>n tal modo, i</w:t>
      </w:r>
      <w:r w:rsidR="00875449" w:rsidRPr="00B4003A">
        <w:rPr>
          <w:rFonts w:ascii="Century Schoolbook" w:hAnsi="Century Schoolbook"/>
        </w:rPr>
        <w:t xml:space="preserve">l </w:t>
      </w:r>
      <w:r w:rsidRPr="00B4003A">
        <w:rPr>
          <w:rFonts w:ascii="Century Schoolbook" w:hAnsi="Century Schoolbook"/>
        </w:rPr>
        <w:t xml:space="preserve">loro </w:t>
      </w:r>
      <w:r w:rsidR="00875449" w:rsidRPr="00B4003A">
        <w:rPr>
          <w:rFonts w:ascii="Century Schoolbook" w:hAnsi="Century Schoolbook"/>
        </w:rPr>
        <w:t xml:space="preserve">ruolo – è evidente – ne esce giustamente ridimensionato. </w:t>
      </w:r>
    </w:p>
    <w:p w14:paraId="34514EB0" w14:textId="70B6FBCB" w:rsidR="000B5826" w:rsidRPr="00B4003A" w:rsidRDefault="00875449" w:rsidP="0064782F">
      <w:pPr>
        <w:pStyle w:val="Testonotaapidipagina"/>
        <w:spacing w:line="360" w:lineRule="auto"/>
        <w:ind w:firstLine="709"/>
        <w:contextualSpacing/>
        <w:jc w:val="both"/>
        <w:rPr>
          <w:rFonts w:ascii="Century Schoolbook" w:hAnsi="Century Schoolbook"/>
          <w:sz w:val="24"/>
          <w:szCs w:val="24"/>
        </w:rPr>
      </w:pPr>
      <w:r w:rsidRPr="00B4003A">
        <w:rPr>
          <w:rFonts w:ascii="Century Schoolbook" w:hAnsi="Century Schoolbook"/>
          <w:sz w:val="24"/>
          <w:szCs w:val="24"/>
        </w:rPr>
        <w:t>Anzi. Direi che</w:t>
      </w:r>
      <w:r w:rsidR="00810E6E" w:rsidRPr="00B4003A">
        <w:rPr>
          <w:rFonts w:ascii="Century Schoolbook" w:hAnsi="Century Schoolbook"/>
          <w:sz w:val="24"/>
          <w:szCs w:val="24"/>
        </w:rPr>
        <w:t xml:space="preserve"> la Commissione Greco è stata – a mio avviso – sin troppo fiduciosa </w:t>
      </w:r>
      <w:r w:rsidR="00B61F11" w:rsidRPr="00B4003A">
        <w:rPr>
          <w:rFonts w:ascii="Century Schoolbook" w:hAnsi="Century Schoolbook"/>
          <w:sz w:val="24"/>
          <w:szCs w:val="24"/>
        </w:rPr>
        <w:t xml:space="preserve">e benevola </w:t>
      </w:r>
      <w:r w:rsidR="00810E6E" w:rsidRPr="00B4003A">
        <w:rPr>
          <w:rFonts w:ascii="Century Schoolbook" w:hAnsi="Century Schoolbook"/>
          <w:sz w:val="24"/>
          <w:szCs w:val="24"/>
        </w:rPr>
        <w:t>verso le Region</w:t>
      </w:r>
      <w:r w:rsidRPr="00B4003A">
        <w:rPr>
          <w:rFonts w:ascii="Century Schoolbook" w:hAnsi="Century Schoolbook"/>
          <w:sz w:val="24"/>
          <w:szCs w:val="24"/>
        </w:rPr>
        <w:t>i</w:t>
      </w:r>
      <w:r w:rsidR="00810E6E" w:rsidRPr="00B4003A">
        <w:rPr>
          <w:rFonts w:ascii="Century Schoolbook" w:hAnsi="Century Schoolbook"/>
          <w:sz w:val="24"/>
          <w:szCs w:val="24"/>
        </w:rPr>
        <w:t xml:space="preserve">, cui ha </w:t>
      </w:r>
      <w:r w:rsidR="000B5826" w:rsidRPr="00B4003A">
        <w:rPr>
          <w:rFonts w:ascii="Century Schoolbook" w:hAnsi="Century Schoolbook"/>
          <w:sz w:val="24"/>
          <w:szCs w:val="24"/>
        </w:rPr>
        <w:t xml:space="preserve">comunque </w:t>
      </w:r>
      <w:r w:rsidR="00810E6E" w:rsidRPr="00B4003A">
        <w:rPr>
          <w:rFonts w:ascii="Century Schoolbook" w:hAnsi="Century Schoolbook"/>
          <w:sz w:val="24"/>
          <w:szCs w:val="24"/>
        </w:rPr>
        <w:t xml:space="preserve">lasciato carta bianca </w:t>
      </w:r>
      <w:r w:rsidRPr="00B4003A">
        <w:rPr>
          <w:rFonts w:ascii="Century Schoolbook" w:hAnsi="Century Schoolbook"/>
          <w:sz w:val="24"/>
          <w:szCs w:val="24"/>
        </w:rPr>
        <w:t>nel regola</w:t>
      </w:r>
      <w:r w:rsidR="001D6B9C" w:rsidRPr="00B4003A">
        <w:rPr>
          <w:rFonts w:ascii="Century Schoolbook" w:hAnsi="Century Schoolbook"/>
          <w:sz w:val="24"/>
          <w:szCs w:val="24"/>
        </w:rPr>
        <w:t>re</w:t>
      </w:r>
      <w:r w:rsidRPr="00B4003A">
        <w:rPr>
          <w:rFonts w:ascii="Century Schoolbook" w:hAnsi="Century Schoolbook"/>
          <w:sz w:val="24"/>
          <w:szCs w:val="24"/>
        </w:rPr>
        <w:t xml:space="preserve"> </w:t>
      </w:r>
      <w:r w:rsidR="00AE4167" w:rsidRPr="00B4003A">
        <w:rPr>
          <w:rFonts w:ascii="Century Schoolbook" w:hAnsi="Century Schoolbook"/>
          <w:sz w:val="24"/>
          <w:szCs w:val="24"/>
        </w:rPr>
        <w:t>la monetizzazione</w:t>
      </w:r>
      <w:r w:rsidR="001D6B9C" w:rsidRPr="00B4003A">
        <w:rPr>
          <w:rFonts w:ascii="Century Schoolbook" w:hAnsi="Century Schoolbook"/>
          <w:sz w:val="24"/>
          <w:szCs w:val="24"/>
        </w:rPr>
        <w:t xml:space="preserve"> degli</w:t>
      </w:r>
      <w:r w:rsidR="003037CA" w:rsidRPr="00B4003A">
        <w:rPr>
          <w:rFonts w:ascii="Century Schoolbook" w:hAnsi="Century Schoolbook"/>
          <w:sz w:val="24"/>
          <w:szCs w:val="24"/>
        </w:rPr>
        <w:t xml:space="preserve"> standard</w:t>
      </w:r>
      <w:r w:rsidR="00AE4167" w:rsidRPr="00B4003A">
        <w:rPr>
          <w:rFonts w:ascii="Century Schoolbook" w:hAnsi="Century Schoolbook"/>
          <w:sz w:val="24"/>
          <w:szCs w:val="24"/>
        </w:rPr>
        <w:t>: un profilo cruciale che richiederebbe forse la previsione di principi generali</w:t>
      </w:r>
      <w:r w:rsidR="003037CA" w:rsidRPr="00B4003A">
        <w:rPr>
          <w:rFonts w:ascii="Century Schoolbook" w:hAnsi="Century Schoolbook"/>
          <w:sz w:val="24"/>
          <w:szCs w:val="24"/>
        </w:rPr>
        <w:t xml:space="preserve"> di matrice statale. </w:t>
      </w:r>
    </w:p>
    <w:p w14:paraId="09CDA84A" w14:textId="11C3B60C" w:rsidR="0064782F" w:rsidRPr="00B4003A" w:rsidRDefault="00EE073B" w:rsidP="0064782F">
      <w:pPr>
        <w:pStyle w:val="Testonotaapidipagina"/>
        <w:spacing w:line="360" w:lineRule="auto"/>
        <w:ind w:firstLine="709"/>
        <w:contextualSpacing/>
        <w:jc w:val="both"/>
        <w:rPr>
          <w:rFonts w:ascii="Century Schoolbook" w:hAnsi="Century Schoolbook"/>
          <w:sz w:val="24"/>
          <w:szCs w:val="24"/>
        </w:rPr>
      </w:pPr>
      <w:r w:rsidRPr="00B4003A">
        <w:rPr>
          <w:rFonts w:ascii="Century Schoolbook" w:hAnsi="Century Schoolbook"/>
          <w:sz w:val="24"/>
          <w:szCs w:val="24"/>
        </w:rPr>
        <w:t>È vero</w:t>
      </w:r>
      <w:r w:rsidR="000B5826" w:rsidRPr="00B4003A">
        <w:rPr>
          <w:rFonts w:ascii="Century Schoolbook" w:hAnsi="Century Schoolbook"/>
          <w:sz w:val="24"/>
          <w:szCs w:val="24"/>
        </w:rPr>
        <w:t>, infatti,</w:t>
      </w:r>
      <w:r w:rsidRPr="00B4003A">
        <w:rPr>
          <w:rFonts w:ascii="Century Schoolbook" w:hAnsi="Century Schoolbook"/>
          <w:sz w:val="24"/>
          <w:szCs w:val="24"/>
        </w:rPr>
        <w:t xml:space="preserve"> che </w:t>
      </w:r>
      <w:r w:rsidR="00BF4830" w:rsidRPr="00B4003A">
        <w:rPr>
          <w:rFonts w:ascii="Century Schoolbook" w:hAnsi="Century Schoolbook"/>
          <w:sz w:val="24"/>
          <w:szCs w:val="24"/>
        </w:rPr>
        <w:t>nel d.d.l. la monetizzazione è stata prevista come meccanismo assolutamente residuale</w:t>
      </w:r>
      <w:r w:rsidR="000B5826" w:rsidRPr="00B4003A">
        <w:rPr>
          <w:rFonts w:ascii="Century Schoolbook" w:hAnsi="Century Schoolbook"/>
          <w:sz w:val="24"/>
          <w:szCs w:val="24"/>
        </w:rPr>
        <w:t>:</w:t>
      </w:r>
      <w:r w:rsidR="0064782F" w:rsidRPr="00B4003A">
        <w:rPr>
          <w:rFonts w:ascii="Century Schoolbook" w:hAnsi="Century Schoolbook"/>
          <w:sz w:val="24"/>
          <w:szCs w:val="24"/>
        </w:rPr>
        <w:t xml:space="preserve"> utilizzabile </w:t>
      </w:r>
      <w:r w:rsidR="0064782F" w:rsidRPr="00B4003A">
        <w:rPr>
          <w:rFonts w:ascii="Century Schoolbook" w:hAnsi="Century Schoolbook"/>
          <w:i/>
          <w:iCs/>
          <w:sz w:val="24"/>
          <w:szCs w:val="24"/>
        </w:rPr>
        <w:t>solo</w:t>
      </w:r>
      <w:r w:rsidR="0064782F" w:rsidRPr="00B4003A">
        <w:rPr>
          <w:rFonts w:ascii="Century Schoolbook" w:hAnsi="Century Schoolbook"/>
          <w:sz w:val="24"/>
          <w:szCs w:val="24"/>
        </w:rPr>
        <w:t xml:space="preserve"> per i due ambiti </w:t>
      </w:r>
      <w:r w:rsidR="002665F9" w:rsidRPr="00B4003A">
        <w:rPr>
          <w:rFonts w:ascii="Century Schoolbook" w:hAnsi="Century Schoolbook"/>
          <w:sz w:val="24"/>
          <w:szCs w:val="24"/>
        </w:rPr>
        <w:t xml:space="preserve">territoriali </w:t>
      </w:r>
      <w:r w:rsidR="0064782F" w:rsidRPr="00B4003A">
        <w:rPr>
          <w:rFonts w:ascii="Century Schoolbook" w:hAnsi="Century Schoolbook"/>
          <w:sz w:val="24"/>
          <w:szCs w:val="24"/>
        </w:rPr>
        <w:t xml:space="preserve">della </w:t>
      </w:r>
      <w:r w:rsidR="002665F9" w:rsidRPr="00B4003A">
        <w:rPr>
          <w:rFonts w:ascii="Century Schoolbook" w:hAnsi="Century Schoolbook"/>
          <w:sz w:val="24"/>
          <w:szCs w:val="24"/>
        </w:rPr>
        <w:t>«</w:t>
      </w:r>
      <w:r w:rsidR="0064782F" w:rsidRPr="00B4003A">
        <w:rPr>
          <w:rFonts w:ascii="Century Schoolbook" w:hAnsi="Century Schoolbook"/>
          <w:sz w:val="24"/>
          <w:szCs w:val="24"/>
        </w:rPr>
        <w:t>città storica</w:t>
      </w:r>
      <w:r w:rsidR="002665F9" w:rsidRPr="00B4003A">
        <w:rPr>
          <w:rFonts w:ascii="Century Schoolbook" w:hAnsi="Century Schoolbook"/>
          <w:sz w:val="24"/>
          <w:szCs w:val="24"/>
        </w:rPr>
        <w:t>»</w:t>
      </w:r>
      <w:r w:rsidR="0064782F" w:rsidRPr="00B4003A">
        <w:rPr>
          <w:rFonts w:ascii="Century Schoolbook" w:hAnsi="Century Schoolbook"/>
          <w:sz w:val="24"/>
          <w:szCs w:val="24"/>
        </w:rPr>
        <w:t xml:space="preserve"> </w:t>
      </w:r>
      <w:r w:rsidR="002665F9" w:rsidRPr="00B4003A">
        <w:rPr>
          <w:rFonts w:ascii="Century Schoolbook" w:hAnsi="Century Schoolbook"/>
          <w:sz w:val="24"/>
          <w:szCs w:val="24"/>
        </w:rPr>
        <w:t>(</w:t>
      </w:r>
      <w:r w:rsidR="002665F9" w:rsidRPr="00B4003A">
        <w:rPr>
          <w:rFonts w:ascii="Century Schoolbook" w:hAnsi="Century Schoolbook"/>
          <w:i/>
          <w:iCs/>
          <w:sz w:val="24"/>
          <w:szCs w:val="24"/>
        </w:rPr>
        <w:t>ex</w:t>
      </w:r>
      <w:r w:rsidR="002665F9" w:rsidRPr="00B4003A">
        <w:rPr>
          <w:rFonts w:ascii="Century Schoolbook" w:hAnsi="Century Schoolbook"/>
          <w:sz w:val="24"/>
          <w:szCs w:val="24"/>
        </w:rPr>
        <w:t xml:space="preserve"> art. 11, comma 3, lett. b) </w:t>
      </w:r>
      <w:r w:rsidR="0064782F" w:rsidRPr="00B4003A">
        <w:rPr>
          <w:rFonts w:ascii="Century Schoolbook" w:hAnsi="Century Schoolbook"/>
          <w:sz w:val="24"/>
          <w:szCs w:val="24"/>
        </w:rPr>
        <w:t xml:space="preserve">e della </w:t>
      </w:r>
      <w:r w:rsidR="002665F9" w:rsidRPr="00B4003A">
        <w:rPr>
          <w:rFonts w:ascii="Century Schoolbook" w:hAnsi="Century Schoolbook"/>
          <w:sz w:val="24"/>
          <w:szCs w:val="24"/>
        </w:rPr>
        <w:t>«</w:t>
      </w:r>
      <w:r w:rsidR="0064782F" w:rsidRPr="00B4003A">
        <w:rPr>
          <w:rFonts w:ascii="Century Schoolbook" w:hAnsi="Century Schoolbook"/>
          <w:sz w:val="24"/>
          <w:szCs w:val="24"/>
        </w:rPr>
        <w:t>città consolidata</w:t>
      </w:r>
      <w:r w:rsidR="002665F9" w:rsidRPr="00B4003A">
        <w:rPr>
          <w:rFonts w:ascii="Century Schoolbook" w:hAnsi="Century Schoolbook"/>
          <w:sz w:val="24"/>
          <w:szCs w:val="24"/>
        </w:rPr>
        <w:t>» (</w:t>
      </w:r>
      <w:r w:rsidR="002665F9" w:rsidRPr="00B4003A">
        <w:rPr>
          <w:rFonts w:ascii="Century Schoolbook" w:hAnsi="Century Schoolbook"/>
          <w:i/>
          <w:iCs/>
          <w:sz w:val="24"/>
          <w:szCs w:val="24"/>
        </w:rPr>
        <w:t>ex</w:t>
      </w:r>
      <w:r w:rsidR="002665F9" w:rsidRPr="00B4003A">
        <w:rPr>
          <w:rFonts w:ascii="Century Schoolbook" w:hAnsi="Century Schoolbook"/>
          <w:sz w:val="24"/>
          <w:szCs w:val="24"/>
        </w:rPr>
        <w:t xml:space="preserve"> art. 11, comma 3, lett. b)</w:t>
      </w:r>
      <w:r w:rsidR="00B61F11" w:rsidRPr="00B4003A">
        <w:rPr>
          <w:rFonts w:ascii="Century Schoolbook" w:hAnsi="Century Schoolbook"/>
          <w:sz w:val="24"/>
          <w:szCs w:val="24"/>
        </w:rPr>
        <w:t>;</w:t>
      </w:r>
      <w:r w:rsidR="0064782F" w:rsidRPr="00B4003A">
        <w:rPr>
          <w:rFonts w:ascii="Century Schoolbook" w:hAnsi="Century Schoolbook"/>
          <w:sz w:val="24"/>
          <w:szCs w:val="24"/>
        </w:rPr>
        <w:t xml:space="preserve"> e </w:t>
      </w:r>
      <w:r w:rsidR="0064782F" w:rsidRPr="00B4003A">
        <w:rPr>
          <w:rFonts w:ascii="Century Schoolbook" w:hAnsi="Century Schoolbook"/>
          <w:i/>
          <w:iCs/>
          <w:sz w:val="24"/>
          <w:szCs w:val="24"/>
        </w:rPr>
        <w:t>solo</w:t>
      </w:r>
      <w:r w:rsidR="0064782F" w:rsidRPr="00B4003A">
        <w:rPr>
          <w:rFonts w:ascii="Century Schoolbook" w:hAnsi="Century Schoolbook"/>
          <w:sz w:val="24"/>
          <w:szCs w:val="24"/>
        </w:rPr>
        <w:t xml:space="preserve"> quando </w:t>
      </w:r>
      <w:r w:rsidR="00B61F11" w:rsidRPr="00B4003A">
        <w:rPr>
          <w:rFonts w:ascii="Century Schoolbook" w:hAnsi="Century Schoolbook"/>
          <w:sz w:val="24"/>
          <w:szCs w:val="24"/>
        </w:rPr>
        <w:t xml:space="preserve">– dice il comma 5 dell’art. 11 – </w:t>
      </w:r>
      <w:r w:rsidR="0064782F" w:rsidRPr="00B4003A">
        <w:rPr>
          <w:rFonts w:ascii="Century Schoolbook" w:hAnsi="Century Schoolbook"/>
          <w:sz w:val="24"/>
          <w:szCs w:val="24"/>
        </w:rPr>
        <w:t>sia dimostrata l’impossibilità</w:t>
      </w:r>
      <w:r w:rsidR="00B61F11" w:rsidRPr="00B4003A">
        <w:rPr>
          <w:rFonts w:ascii="Century Schoolbook" w:hAnsi="Century Schoolbook"/>
          <w:sz w:val="24"/>
          <w:szCs w:val="24"/>
        </w:rPr>
        <w:t>,</w:t>
      </w:r>
      <w:r w:rsidR="0064782F" w:rsidRPr="00B4003A">
        <w:rPr>
          <w:rFonts w:ascii="Century Schoolbook" w:hAnsi="Century Schoolbook"/>
          <w:sz w:val="24"/>
          <w:szCs w:val="24"/>
        </w:rPr>
        <w:t xml:space="preserve"> detratti i fabbisogni comunque già soddisfatti</w:t>
      </w:r>
      <w:r w:rsidR="00B61F11" w:rsidRPr="00B4003A">
        <w:rPr>
          <w:rFonts w:ascii="Century Schoolbook" w:hAnsi="Century Schoolbook"/>
          <w:sz w:val="24"/>
          <w:szCs w:val="24"/>
        </w:rPr>
        <w:t>,</w:t>
      </w:r>
      <w:r w:rsidR="0064782F" w:rsidRPr="00B4003A">
        <w:rPr>
          <w:rFonts w:ascii="Century Schoolbook" w:hAnsi="Century Schoolbook"/>
          <w:sz w:val="24"/>
          <w:szCs w:val="24"/>
        </w:rPr>
        <w:t xml:space="preserve"> di raggiungere le quantità minima di standard su aree idonee, ovvero entro i limiti delle disponibilità esistenti nelle adiacenze immediate, ovvero ancora  su aree accessibili tenendo conto dei raggi di influenza delle singole attrezzature e della organizzazione dei trasporti pubblici.</w:t>
      </w:r>
    </w:p>
    <w:p w14:paraId="0580BE1B" w14:textId="3B3AE63B" w:rsidR="000B5826" w:rsidRPr="00B4003A" w:rsidRDefault="000B5826" w:rsidP="0064782F">
      <w:pPr>
        <w:pStyle w:val="Testonotaapidipagina"/>
        <w:spacing w:line="360" w:lineRule="auto"/>
        <w:ind w:firstLine="709"/>
        <w:contextualSpacing/>
        <w:jc w:val="both"/>
        <w:rPr>
          <w:rFonts w:ascii="Century Schoolbook" w:hAnsi="Century Schoolbook"/>
          <w:sz w:val="24"/>
          <w:szCs w:val="24"/>
        </w:rPr>
      </w:pPr>
      <w:r w:rsidRPr="00B4003A">
        <w:rPr>
          <w:rFonts w:ascii="Century Schoolbook" w:hAnsi="Century Schoolbook"/>
          <w:sz w:val="24"/>
          <w:szCs w:val="24"/>
        </w:rPr>
        <w:t xml:space="preserve">Ma è anche vero </w:t>
      </w:r>
      <w:r w:rsidR="00AD3015" w:rsidRPr="00B4003A">
        <w:rPr>
          <w:rFonts w:ascii="Century Schoolbook" w:hAnsi="Century Schoolbook"/>
          <w:sz w:val="24"/>
          <w:szCs w:val="24"/>
        </w:rPr>
        <w:t xml:space="preserve">che le Regioni – cui la fantasia poietica in certi casi non fa difetto – potrebbero usare questa competenza come leva per </w:t>
      </w:r>
      <w:r w:rsidR="00835A7C" w:rsidRPr="00B4003A">
        <w:rPr>
          <w:rFonts w:ascii="Century Schoolbook" w:hAnsi="Century Schoolbook"/>
          <w:sz w:val="24"/>
          <w:szCs w:val="24"/>
        </w:rPr>
        <w:t xml:space="preserve">rientrare in modo interstiziale nel gioco </w:t>
      </w:r>
      <w:r w:rsidR="0066439C" w:rsidRPr="00B4003A">
        <w:rPr>
          <w:rFonts w:ascii="Century Schoolbook" w:hAnsi="Century Schoolbook"/>
          <w:sz w:val="24"/>
          <w:szCs w:val="24"/>
        </w:rPr>
        <w:t xml:space="preserve">normativo </w:t>
      </w:r>
      <w:r w:rsidR="00835A7C" w:rsidRPr="00B4003A">
        <w:rPr>
          <w:rFonts w:ascii="Century Schoolbook" w:hAnsi="Century Schoolbook"/>
          <w:sz w:val="24"/>
          <w:szCs w:val="24"/>
        </w:rPr>
        <w:t xml:space="preserve">da cui il d.d.l. le ha provvidamente escluse: per esempio, </w:t>
      </w:r>
      <w:r w:rsidR="00681BAA" w:rsidRPr="00B4003A">
        <w:rPr>
          <w:rFonts w:ascii="Century Schoolbook" w:hAnsi="Century Schoolbook"/>
          <w:sz w:val="24"/>
          <w:szCs w:val="24"/>
        </w:rPr>
        <w:t>approfittando del</w:t>
      </w:r>
      <w:r w:rsidR="00835A7C" w:rsidRPr="00B4003A">
        <w:rPr>
          <w:rFonts w:ascii="Century Schoolbook" w:hAnsi="Century Schoolbook"/>
          <w:sz w:val="24"/>
          <w:szCs w:val="24"/>
        </w:rPr>
        <w:t xml:space="preserve">le maglie </w:t>
      </w:r>
      <w:r w:rsidR="0066439C" w:rsidRPr="00B4003A">
        <w:rPr>
          <w:rFonts w:ascii="Century Schoolbook" w:hAnsi="Century Schoolbook"/>
          <w:sz w:val="24"/>
          <w:szCs w:val="24"/>
        </w:rPr>
        <w:t xml:space="preserve">regolative </w:t>
      </w:r>
      <w:r w:rsidR="00835A7C" w:rsidRPr="00B4003A">
        <w:rPr>
          <w:rFonts w:ascii="Century Schoolbook" w:hAnsi="Century Schoolbook"/>
          <w:sz w:val="24"/>
          <w:szCs w:val="24"/>
        </w:rPr>
        <w:t xml:space="preserve">che i non pochi concetti </w:t>
      </w:r>
      <w:r w:rsidR="00681BAA" w:rsidRPr="00B4003A">
        <w:rPr>
          <w:rFonts w:ascii="Century Schoolbook" w:hAnsi="Century Schoolbook"/>
          <w:sz w:val="24"/>
          <w:szCs w:val="24"/>
        </w:rPr>
        <w:t>(</w:t>
      </w:r>
      <w:r w:rsidR="00835A7C" w:rsidRPr="00B4003A">
        <w:rPr>
          <w:rFonts w:ascii="Century Schoolbook" w:hAnsi="Century Schoolbook"/>
          <w:sz w:val="24"/>
          <w:szCs w:val="24"/>
        </w:rPr>
        <w:t>inevitabilmente</w:t>
      </w:r>
      <w:r w:rsidR="00681BAA" w:rsidRPr="00B4003A">
        <w:rPr>
          <w:rFonts w:ascii="Century Schoolbook" w:hAnsi="Century Schoolbook"/>
          <w:sz w:val="24"/>
          <w:szCs w:val="24"/>
        </w:rPr>
        <w:t>)</w:t>
      </w:r>
      <w:r w:rsidR="00835A7C" w:rsidRPr="00B4003A">
        <w:rPr>
          <w:rFonts w:ascii="Century Schoolbook" w:hAnsi="Century Schoolbook"/>
          <w:sz w:val="24"/>
          <w:szCs w:val="24"/>
        </w:rPr>
        <w:t xml:space="preserve"> indeterminati racchiusi nel comma 5 disegnano in modo </w:t>
      </w:r>
      <w:r w:rsidR="002665F9" w:rsidRPr="00B4003A">
        <w:rPr>
          <w:rFonts w:ascii="Century Schoolbook" w:hAnsi="Century Schoolbook"/>
          <w:sz w:val="24"/>
          <w:szCs w:val="24"/>
        </w:rPr>
        <w:t xml:space="preserve">abbastanza </w:t>
      </w:r>
      <w:r w:rsidR="00681BAA" w:rsidRPr="00B4003A">
        <w:rPr>
          <w:rFonts w:ascii="Century Schoolbook" w:hAnsi="Century Schoolbook"/>
          <w:sz w:val="24"/>
          <w:szCs w:val="24"/>
        </w:rPr>
        <w:t>largo.</w:t>
      </w:r>
    </w:p>
    <w:p w14:paraId="6FCC77D0" w14:textId="0339676F" w:rsidR="00A6112A" w:rsidRPr="00B4003A" w:rsidRDefault="00B1020F" w:rsidP="0066439C">
      <w:pPr>
        <w:spacing w:line="360" w:lineRule="auto"/>
        <w:ind w:firstLine="709"/>
        <w:contextualSpacing/>
        <w:jc w:val="both"/>
        <w:rPr>
          <w:rFonts w:ascii="Century Schoolbook" w:hAnsi="Century Schoolbook"/>
        </w:rPr>
      </w:pPr>
      <w:r w:rsidRPr="00B4003A">
        <w:rPr>
          <w:rFonts w:ascii="Century Schoolbook" w:hAnsi="Century Schoolbook"/>
        </w:rPr>
        <w:t xml:space="preserve">Confido </w:t>
      </w:r>
      <w:r w:rsidR="0037347A" w:rsidRPr="00B4003A">
        <w:rPr>
          <w:rFonts w:ascii="Century Schoolbook" w:hAnsi="Century Schoolbook"/>
        </w:rPr>
        <w:t xml:space="preserve">ancora </w:t>
      </w:r>
      <w:r w:rsidRPr="00B4003A">
        <w:rPr>
          <w:rFonts w:ascii="Century Schoolbook" w:hAnsi="Century Schoolbook"/>
        </w:rPr>
        <w:t xml:space="preserve">nel ritorno di un neocentralismo equilibrato e savio, che restituisca allo Stato quel ruolo di garante </w:t>
      </w:r>
      <w:r w:rsidR="00A6112A" w:rsidRPr="00B4003A">
        <w:rPr>
          <w:rFonts w:ascii="Century Schoolbook" w:hAnsi="Century Schoolbook"/>
        </w:rPr>
        <w:t>e custode</w:t>
      </w:r>
      <w:r w:rsidR="00C7660C" w:rsidRPr="00B4003A">
        <w:rPr>
          <w:rFonts w:ascii="Century Schoolbook" w:hAnsi="Century Schoolbook"/>
        </w:rPr>
        <w:t xml:space="preserve"> della cittadinanza comune</w:t>
      </w:r>
      <w:r w:rsidR="0037347A" w:rsidRPr="00B4003A">
        <w:rPr>
          <w:rFonts w:ascii="Century Schoolbook" w:hAnsi="Century Schoolbook"/>
        </w:rPr>
        <w:t xml:space="preserve"> sottrattogli da decenni di regionalismo </w:t>
      </w:r>
      <w:r w:rsidR="00C7660C" w:rsidRPr="00B4003A">
        <w:rPr>
          <w:rFonts w:ascii="Century Schoolbook" w:hAnsi="Century Schoolbook"/>
        </w:rPr>
        <w:t>avventato e onnivoro</w:t>
      </w:r>
      <w:r w:rsidR="0037347A" w:rsidRPr="00B4003A">
        <w:rPr>
          <w:rFonts w:ascii="Century Schoolbook" w:hAnsi="Century Schoolbook"/>
        </w:rPr>
        <w:t>.</w:t>
      </w:r>
    </w:p>
    <w:p w14:paraId="79018132" w14:textId="53A9D983" w:rsidR="00DE2482" w:rsidRDefault="0050505D" w:rsidP="0037347A">
      <w:pPr>
        <w:spacing w:line="360" w:lineRule="auto"/>
        <w:ind w:firstLine="709"/>
        <w:contextualSpacing/>
        <w:jc w:val="both"/>
        <w:rPr>
          <w:rFonts w:ascii="Century Schoolbook" w:hAnsi="Century Schoolbook"/>
          <w:i/>
          <w:iCs/>
        </w:rPr>
      </w:pPr>
      <w:r w:rsidRPr="00B4003A">
        <w:rPr>
          <w:rFonts w:ascii="Century Schoolbook" w:hAnsi="Century Schoolbook"/>
        </w:rPr>
        <w:t xml:space="preserve">Quasi come </w:t>
      </w:r>
      <w:r w:rsidR="00C7660C" w:rsidRPr="00B4003A">
        <w:rPr>
          <w:rFonts w:ascii="Century Schoolbook" w:hAnsi="Century Schoolbook"/>
        </w:rPr>
        <w:t>il</w:t>
      </w:r>
      <w:r w:rsidR="00B1020F" w:rsidRPr="00B4003A">
        <w:rPr>
          <w:rFonts w:ascii="Century Schoolbook" w:hAnsi="Century Schoolbook"/>
        </w:rPr>
        <w:t xml:space="preserve"> Comandante</w:t>
      </w:r>
      <w:r w:rsidRPr="00B4003A">
        <w:rPr>
          <w:rFonts w:ascii="Century Schoolbook" w:hAnsi="Century Schoolbook"/>
        </w:rPr>
        <w:t xml:space="preserve">, mentre vola alto sulle azzurrità di </w:t>
      </w:r>
      <w:proofErr w:type="spellStart"/>
      <w:r w:rsidRPr="00B4003A">
        <w:rPr>
          <w:rFonts w:ascii="Century Schoolbook" w:hAnsi="Century Schoolbook"/>
        </w:rPr>
        <w:t>C</w:t>
      </w:r>
      <w:r w:rsidR="00B4003A">
        <w:rPr>
          <w:rFonts w:ascii="Century Schoolbook" w:hAnsi="Century Schoolbook"/>
        </w:rPr>
        <w:t>à</w:t>
      </w:r>
      <w:r w:rsidRPr="00B4003A">
        <w:rPr>
          <w:rFonts w:ascii="Century Schoolbook" w:hAnsi="Century Schoolbook"/>
        </w:rPr>
        <w:t>ttaro</w:t>
      </w:r>
      <w:proofErr w:type="spellEnd"/>
      <w:r w:rsidR="00B1020F" w:rsidRPr="00B4003A">
        <w:rPr>
          <w:rFonts w:ascii="Century Schoolbook" w:hAnsi="Century Schoolbook"/>
        </w:rPr>
        <w:t xml:space="preserve">: </w:t>
      </w:r>
      <w:proofErr w:type="spellStart"/>
      <w:r w:rsidR="00B1020F" w:rsidRPr="00B4003A">
        <w:rPr>
          <w:rFonts w:ascii="Century Schoolbook" w:hAnsi="Century Schoolbook"/>
          <w:i/>
          <w:iCs/>
        </w:rPr>
        <w:t>i</w:t>
      </w:r>
      <w:r w:rsidR="0066439C" w:rsidRPr="00B4003A">
        <w:rPr>
          <w:rFonts w:ascii="Century Schoolbook" w:hAnsi="Century Schoolbook"/>
          <w:i/>
          <w:iCs/>
        </w:rPr>
        <w:t>terum</w:t>
      </w:r>
      <w:proofErr w:type="spellEnd"/>
      <w:r w:rsidR="0066439C" w:rsidRPr="00B4003A">
        <w:rPr>
          <w:rFonts w:ascii="Century Schoolbook" w:hAnsi="Century Schoolbook"/>
          <w:i/>
          <w:iCs/>
        </w:rPr>
        <w:t xml:space="preserve"> </w:t>
      </w:r>
      <w:proofErr w:type="spellStart"/>
      <w:r w:rsidR="0066439C" w:rsidRPr="00B4003A">
        <w:rPr>
          <w:rFonts w:ascii="Century Schoolbook" w:hAnsi="Century Schoolbook"/>
          <w:i/>
          <w:iCs/>
        </w:rPr>
        <w:t>rud</w:t>
      </w:r>
      <w:r w:rsidRPr="00B4003A">
        <w:rPr>
          <w:rFonts w:ascii="Century Schoolbook" w:hAnsi="Century Schoolbook"/>
          <w:i/>
          <w:iCs/>
        </w:rPr>
        <w:t>a</w:t>
      </w:r>
      <w:r w:rsidR="0066439C" w:rsidRPr="00B4003A">
        <w:rPr>
          <w:rFonts w:ascii="Century Schoolbook" w:hAnsi="Century Schoolbook"/>
          <w:i/>
          <w:iCs/>
        </w:rPr>
        <w:t>t</w:t>
      </w:r>
      <w:proofErr w:type="spellEnd"/>
      <w:r w:rsidR="0066439C" w:rsidRPr="00B4003A">
        <w:rPr>
          <w:rFonts w:ascii="Century Schoolbook" w:hAnsi="Century Schoolbook"/>
          <w:i/>
          <w:iCs/>
        </w:rPr>
        <w:t xml:space="preserve"> </w:t>
      </w:r>
      <w:proofErr w:type="spellStart"/>
      <w:r w:rsidR="0066439C" w:rsidRPr="00B4003A">
        <w:rPr>
          <w:rFonts w:ascii="Century Schoolbook" w:hAnsi="Century Schoolbook"/>
          <w:i/>
          <w:iCs/>
        </w:rPr>
        <w:t>leo</w:t>
      </w:r>
      <w:proofErr w:type="spellEnd"/>
      <w:r w:rsidRPr="00B4003A">
        <w:rPr>
          <w:rFonts w:ascii="Century Schoolbook" w:hAnsi="Century Schoolbook"/>
          <w:i/>
          <w:iCs/>
        </w:rPr>
        <w:t>.</w:t>
      </w:r>
    </w:p>
    <w:p w14:paraId="360A639D" w14:textId="3230F1A8" w:rsidR="00631079" w:rsidRDefault="00631079" w:rsidP="0037347A">
      <w:pPr>
        <w:spacing w:line="360" w:lineRule="auto"/>
        <w:ind w:firstLine="709"/>
        <w:contextualSpacing/>
        <w:jc w:val="both"/>
        <w:rPr>
          <w:rFonts w:ascii="Century Schoolbook" w:hAnsi="Century Schoolbook"/>
          <w:i/>
          <w:iCs/>
        </w:rPr>
      </w:pPr>
    </w:p>
    <w:p w14:paraId="5C47A4D1" w14:textId="77777777" w:rsidR="00631079" w:rsidRPr="00B4003A" w:rsidRDefault="00631079" w:rsidP="00631079">
      <w:pPr>
        <w:spacing w:line="360" w:lineRule="auto"/>
        <w:ind w:firstLine="709"/>
        <w:contextualSpacing/>
        <w:jc w:val="right"/>
        <w:rPr>
          <w:rFonts w:ascii="Century Schoolbook" w:hAnsi="Century Schoolbook"/>
          <w:sz w:val="20"/>
          <w:szCs w:val="20"/>
        </w:rPr>
      </w:pPr>
      <w:r w:rsidRPr="00B4003A">
        <w:rPr>
          <w:rFonts w:ascii="Century Schoolbook" w:hAnsi="Century Schoolbook"/>
          <w:sz w:val="20"/>
          <w:szCs w:val="20"/>
        </w:rPr>
        <w:t xml:space="preserve">Pier Luigi </w:t>
      </w:r>
      <w:proofErr w:type="spellStart"/>
      <w:r w:rsidRPr="00B4003A">
        <w:rPr>
          <w:rFonts w:ascii="Century Schoolbook" w:hAnsi="Century Schoolbook"/>
          <w:sz w:val="20"/>
          <w:szCs w:val="20"/>
        </w:rPr>
        <w:t>Portaluri</w:t>
      </w:r>
      <w:proofErr w:type="spellEnd"/>
    </w:p>
    <w:p w14:paraId="438AD5B8" w14:textId="77777777" w:rsidR="00631079" w:rsidRPr="00B4003A" w:rsidRDefault="00631079" w:rsidP="00631079">
      <w:pPr>
        <w:spacing w:line="360" w:lineRule="auto"/>
        <w:ind w:firstLine="709"/>
        <w:contextualSpacing/>
        <w:jc w:val="right"/>
        <w:rPr>
          <w:rFonts w:ascii="Century Schoolbook" w:hAnsi="Century Schoolbook"/>
          <w:i/>
          <w:iCs/>
          <w:sz w:val="16"/>
          <w:szCs w:val="16"/>
        </w:rPr>
      </w:pPr>
      <w:r w:rsidRPr="00B4003A">
        <w:rPr>
          <w:rFonts w:ascii="Century Schoolbook" w:hAnsi="Century Schoolbook"/>
          <w:i/>
          <w:iCs/>
          <w:sz w:val="16"/>
          <w:szCs w:val="16"/>
        </w:rPr>
        <w:t>Ordinario di Diritto amministrativo</w:t>
      </w:r>
    </w:p>
    <w:p w14:paraId="4035CDFC" w14:textId="77777777" w:rsidR="00631079" w:rsidRPr="00B4003A" w:rsidRDefault="00631079" w:rsidP="00631079">
      <w:pPr>
        <w:spacing w:line="360" w:lineRule="auto"/>
        <w:ind w:firstLine="709"/>
        <w:contextualSpacing/>
        <w:jc w:val="right"/>
        <w:rPr>
          <w:rFonts w:ascii="Century Schoolbook" w:hAnsi="Century Schoolbook"/>
          <w:i/>
          <w:iCs/>
          <w:sz w:val="16"/>
          <w:szCs w:val="16"/>
        </w:rPr>
      </w:pPr>
      <w:r w:rsidRPr="00B4003A">
        <w:rPr>
          <w:rFonts w:ascii="Century Schoolbook" w:hAnsi="Century Schoolbook"/>
          <w:i/>
          <w:iCs/>
          <w:sz w:val="16"/>
          <w:szCs w:val="16"/>
        </w:rPr>
        <w:t>Dipartimento di Scienze giuridiche</w:t>
      </w:r>
    </w:p>
    <w:p w14:paraId="6B2C03BA" w14:textId="77777777" w:rsidR="00631079" w:rsidRPr="00B4003A" w:rsidRDefault="00631079" w:rsidP="00631079">
      <w:pPr>
        <w:spacing w:line="360" w:lineRule="auto"/>
        <w:ind w:firstLine="709"/>
        <w:contextualSpacing/>
        <w:jc w:val="right"/>
        <w:rPr>
          <w:rFonts w:ascii="Century Schoolbook" w:hAnsi="Century Schoolbook"/>
          <w:i/>
          <w:iCs/>
          <w:sz w:val="16"/>
          <w:szCs w:val="16"/>
        </w:rPr>
      </w:pPr>
      <w:r w:rsidRPr="00B4003A">
        <w:rPr>
          <w:rFonts w:ascii="Century Schoolbook" w:hAnsi="Century Schoolbook"/>
          <w:i/>
          <w:iCs/>
          <w:sz w:val="16"/>
          <w:szCs w:val="16"/>
        </w:rPr>
        <w:t>Università del Salento</w:t>
      </w:r>
    </w:p>
    <w:p w14:paraId="1AB398F8" w14:textId="77777777" w:rsidR="00631079" w:rsidRPr="0037347A" w:rsidRDefault="00631079" w:rsidP="0037347A">
      <w:pPr>
        <w:spacing w:line="360" w:lineRule="auto"/>
        <w:ind w:firstLine="709"/>
        <w:contextualSpacing/>
        <w:jc w:val="both"/>
        <w:rPr>
          <w:rFonts w:ascii="Century Schoolbook" w:hAnsi="Century Schoolbook"/>
        </w:rPr>
      </w:pPr>
    </w:p>
    <w:sectPr w:rsidR="00631079" w:rsidRPr="0037347A" w:rsidSect="00956D44">
      <w:footerReference w:type="even" r:id="rId7"/>
      <w:foot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24A7" w14:textId="77777777" w:rsidR="002B4AC8" w:rsidRDefault="002B4AC8" w:rsidP="00956D44">
      <w:r>
        <w:separator/>
      </w:r>
    </w:p>
  </w:endnote>
  <w:endnote w:type="continuationSeparator" w:id="0">
    <w:p w14:paraId="369F40BC" w14:textId="77777777" w:rsidR="002B4AC8" w:rsidRDefault="002B4AC8" w:rsidP="0095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465903019"/>
      <w:docPartObj>
        <w:docPartGallery w:val="Page Numbers (Bottom of Page)"/>
        <w:docPartUnique/>
      </w:docPartObj>
    </w:sdtPr>
    <w:sdtEndPr>
      <w:rPr>
        <w:rStyle w:val="Numeropagina"/>
      </w:rPr>
    </w:sdtEndPr>
    <w:sdtContent>
      <w:p w14:paraId="40A42FB9" w14:textId="04880B13" w:rsidR="00956D44" w:rsidRDefault="00956D44" w:rsidP="00AC0C7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22500FF" w14:textId="77777777" w:rsidR="00956D44" w:rsidRDefault="00956D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47408595"/>
      <w:docPartObj>
        <w:docPartGallery w:val="Page Numbers (Bottom of Page)"/>
        <w:docPartUnique/>
      </w:docPartObj>
    </w:sdtPr>
    <w:sdtEndPr>
      <w:rPr>
        <w:rStyle w:val="Numeropagina"/>
      </w:rPr>
    </w:sdtEndPr>
    <w:sdtContent>
      <w:p w14:paraId="3DD53CBD" w14:textId="07985102" w:rsidR="00956D44" w:rsidRDefault="00956D44" w:rsidP="00AC0C7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31079">
          <w:rPr>
            <w:rStyle w:val="Numeropagina"/>
            <w:noProof/>
          </w:rPr>
          <w:t>21</w:t>
        </w:r>
        <w:r>
          <w:rPr>
            <w:rStyle w:val="Numeropagina"/>
          </w:rPr>
          <w:fldChar w:fldCharType="end"/>
        </w:r>
      </w:p>
    </w:sdtContent>
  </w:sdt>
  <w:p w14:paraId="140924CB" w14:textId="77777777" w:rsidR="00956D44" w:rsidRDefault="00956D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29DD" w14:textId="77777777" w:rsidR="002B4AC8" w:rsidRDefault="002B4AC8" w:rsidP="00956D44">
      <w:r>
        <w:separator/>
      </w:r>
    </w:p>
  </w:footnote>
  <w:footnote w:type="continuationSeparator" w:id="0">
    <w:p w14:paraId="65F3EA60" w14:textId="77777777" w:rsidR="002B4AC8" w:rsidRDefault="002B4AC8" w:rsidP="00956D44">
      <w:r>
        <w:continuationSeparator/>
      </w:r>
    </w:p>
  </w:footnote>
  <w:footnote w:id="1">
    <w:p w14:paraId="538B5820" w14:textId="1890DB4E" w:rsidR="00764020" w:rsidRPr="00764020" w:rsidRDefault="00764020" w:rsidP="00764020">
      <w:pPr>
        <w:pStyle w:val="Testonotaapidipagina"/>
        <w:spacing w:line="360" w:lineRule="auto"/>
        <w:ind w:firstLine="708"/>
        <w:contextualSpacing/>
        <w:jc w:val="both"/>
        <w:rPr>
          <w:rFonts w:ascii="Century Schoolbook" w:hAnsi="Century Schoolbook"/>
          <w:sz w:val="16"/>
          <w:szCs w:val="16"/>
        </w:rPr>
      </w:pPr>
      <w:r>
        <w:rPr>
          <w:rFonts w:ascii="Century Schoolbook" w:hAnsi="Century Schoolbook"/>
          <w:sz w:val="16"/>
          <w:szCs w:val="16"/>
          <w:vertAlign w:val="superscript"/>
        </w:rPr>
        <w:t xml:space="preserve">* </w:t>
      </w:r>
      <w:r w:rsidR="001A681E">
        <w:rPr>
          <w:rFonts w:ascii="Century Schoolbook" w:hAnsi="Century Schoolbook"/>
          <w:sz w:val="16"/>
          <w:szCs w:val="16"/>
        </w:rPr>
        <w:t>Desidero r</w:t>
      </w:r>
      <w:r>
        <w:rPr>
          <w:rFonts w:ascii="Century Schoolbook" w:hAnsi="Century Schoolbook"/>
          <w:sz w:val="16"/>
          <w:szCs w:val="16"/>
        </w:rPr>
        <w:t>ingrazi</w:t>
      </w:r>
      <w:r w:rsidR="001A681E">
        <w:rPr>
          <w:rFonts w:ascii="Century Schoolbook" w:hAnsi="Century Schoolbook"/>
          <w:sz w:val="16"/>
          <w:szCs w:val="16"/>
        </w:rPr>
        <w:t>are</w:t>
      </w:r>
      <w:r>
        <w:rPr>
          <w:rFonts w:ascii="Century Schoolbook" w:hAnsi="Century Schoolbook"/>
          <w:sz w:val="16"/>
          <w:szCs w:val="16"/>
        </w:rPr>
        <w:t xml:space="preserve"> </w:t>
      </w:r>
      <w:r w:rsidR="001A681E">
        <w:rPr>
          <w:rFonts w:ascii="Century Schoolbook" w:hAnsi="Century Schoolbook"/>
          <w:sz w:val="16"/>
          <w:szCs w:val="16"/>
        </w:rPr>
        <w:t>due</w:t>
      </w:r>
      <w:r>
        <w:rPr>
          <w:rFonts w:ascii="Century Schoolbook" w:hAnsi="Century Schoolbook"/>
          <w:sz w:val="16"/>
          <w:szCs w:val="16"/>
        </w:rPr>
        <w:t xml:space="preserve"> amiche </w:t>
      </w:r>
      <w:r w:rsidR="00933704">
        <w:rPr>
          <w:rFonts w:ascii="Century Schoolbook" w:hAnsi="Century Schoolbook"/>
          <w:sz w:val="16"/>
          <w:szCs w:val="16"/>
        </w:rPr>
        <w:t xml:space="preserve">e colleghe </w:t>
      </w:r>
      <w:r>
        <w:rPr>
          <w:rFonts w:ascii="Century Schoolbook" w:hAnsi="Century Schoolbook"/>
          <w:sz w:val="16"/>
          <w:szCs w:val="16"/>
        </w:rPr>
        <w:t>carissime</w:t>
      </w:r>
      <w:r w:rsidR="001A681E">
        <w:rPr>
          <w:rFonts w:ascii="Century Schoolbook" w:hAnsi="Century Schoolbook"/>
          <w:sz w:val="16"/>
          <w:szCs w:val="16"/>
        </w:rPr>
        <w:t>.</w:t>
      </w:r>
      <w:r>
        <w:rPr>
          <w:rFonts w:ascii="Century Schoolbook" w:hAnsi="Century Schoolbook"/>
          <w:sz w:val="16"/>
          <w:szCs w:val="16"/>
        </w:rPr>
        <w:t xml:space="preserve"> Maria Immordino</w:t>
      </w:r>
      <w:r w:rsidR="001A681E">
        <w:rPr>
          <w:rFonts w:ascii="Century Schoolbook" w:hAnsi="Century Schoolbook"/>
          <w:sz w:val="16"/>
          <w:szCs w:val="16"/>
        </w:rPr>
        <w:t xml:space="preserve">, </w:t>
      </w:r>
      <w:r w:rsidR="00933704">
        <w:rPr>
          <w:rFonts w:ascii="Century Schoolbook" w:hAnsi="Century Schoolbook"/>
          <w:sz w:val="16"/>
          <w:szCs w:val="16"/>
        </w:rPr>
        <w:t xml:space="preserve">quale </w:t>
      </w:r>
      <w:r w:rsidR="001A681E">
        <w:rPr>
          <w:rFonts w:ascii="Century Schoolbook" w:hAnsi="Century Schoolbook"/>
          <w:sz w:val="16"/>
          <w:szCs w:val="16"/>
        </w:rPr>
        <w:t xml:space="preserve">co-curatrice degli </w:t>
      </w:r>
      <w:r w:rsidR="001A681E" w:rsidRPr="00764020">
        <w:rPr>
          <w:rFonts w:ascii="Century Schoolbook" w:hAnsi="Century Schoolbook"/>
          <w:i/>
          <w:iCs/>
          <w:sz w:val="16"/>
          <w:szCs w:val="16"/>
        </w:rPr>
        <w:t>Studi in onore di Filippo Salvia</w:t>
      </w:r>
      <w:r w:rsidR="00524091">
        <w:rPr>
          <w:rFonts w:ascii="Century Schoolbook" w:hAnsi="Century Schoolbook"/>
          <w:sz w:val="16"/>
          <w:szCs w:val="16"/>
        </w:rPr>
        <w:t>;</w:t>
      </w:r>
      <w:r w:rsidR="001A681E">
        <w:rPr>
          <w:rFonts w:ascii="Century Schoolbook" w:hAnsi="Century Schoolbook"/>
          <w:sz w:val="16"/>
          <w:szCs w:val="16"/>
        </w:rPr>
        <w:t xml:space="preserve"> </w:t>
      </w:r>
      <w:r>
        <w:rPr>
          <w:rFonts w:ascii="Century Schoolbook" w:hAnsi="Century Schoolbook"/>
          <w:sz w:val="16"/>
          <w:szCs w:val="16"/>
        </w:rPr>
        <w:t>Maria Alessandra Sandulli</w:t>
      </w:r>
      <w:r w:rsidR="001A681E">
        <w:rPr>
          <w:rFonts w:ascii="Century Schoolbook" w:hAnsi="Century Schoolbook"/>
          <w:sz w:val="16"/>
          <w:szCs w:val="16"/>
        </w:rPr>
        <w:t xml:space="preserve">, </w:t>
      </w:r>
      <w:r w:rsidR="00933704">
        <w:rPr>
          <w:rFonts w:ascii="Century Schoolbook" w:hAnsi="Century Schoolbook"/>
          <w:sz w:val="16"/>
          <w:szCs w:val="16"/>
        </w:rPr>
        <w:t>in veste di direttore del</w:t>
      </w:r>
      <w:r w:rsidR="00524091">
        <w:rPr>
          <w:rFonts w:ascii="Century Schoolbook" w:hAnsi="Century Schoolbook"/>
          <w:sz w:val="16"/>
          <w:szCs w:val="16"/>
        </w:rPr>
        <w:t xml:space="preserve">la </w:t>
      </w:r>
      <w:r w:rsidR="00524091" w:rsidRPr="00524091">
        <w:rPr>
          <w:rFonts w:ascii="Century Schoolbook" w:hAnsi="Century Schoolbook"/>
          <w:i/>
          <w:iCs/>
          <w:sz w:val="16"/>
          <w:szCs w:val="16"/>
        </w:rPr>
        <w:t>Rivista giuridica dell’edilizia</w:t>
      </w:r>
      <w:r w:rsidR="00524091">
        <w:rPr>
          <w:rFonts w:ascii="Century Schoolbook" w:hAnsi="Century Schoolbook"/>
          <w:sz w:val="16"/>
          <w:szCs w:val="16"/>
        </w:rPr>
        <w:t>. Dopo aver voluto ospitare questo scritto, e</w:t>
      </w:r>
      <w:r w:rsidR="001A681E">
        <w:rPr>
          <w:rFonts w:ascii="Century Schoolbook" w:hAnsi="Century Schoolbook"/>
          <w:sz w:val="16"/>
          <w:szCs w:val="16"/>
        </w:rPr>
        <w:t>ntrambe</w:t>
      </w:r>
      <w:r>
        <w:rPr>
          <w:rFonts w:ascii="Century Schoolbook" w:hAnsi="Century Schoolbook"/>
          <w:sz w:val="16"/>
          <w:szCs w:val="16"/>
        </w:rPr>
        <w:t xml:space="preserve"> </w:t>
      </w:r>
      <w:r w:rsidR="00524091">
        <w:rPr>
          <w:rFonts w:ascii="Century Schoolbook" w:hAnsi="Century Schoolbook"/>
          <w:sz w:val="16"/>
          <w:szCs w:val="16"/>
        </w:rPr>
        <w:t xml:space="preserve">– </w:t>
      </w:r>
      <w:r w:rsidR="001A681E">
        <w:rPr>
          <w:rFonts w:ascii="Century Schoolbook" w:hAnsi="Century Schoolbook"/>
          <w:sz w:val="16"/>
          <w:szCs w:val="16"/>
        </w:rPr>
        <w:t>con la squisitezza</w:t>
      </w:r>
      <w:r w:rsidR="001A681E" w:rsidRPr="00764020">
        <w:rPr>
          <w:rFonts w:ascii="Century Schoolbook" w:hAnsi="Century Schoolbook"/>
          <w:sz w:val="16"/>
          <w:szCs w:val="16"/>
        </w:rPr>
        <w:t xml:space="preserve"> </w:t>
      </w:r>
      <w:r w:rsidR="001A681E">
        <w:rPr>
          <w:rFonts w:ascii="Century Schoolbook" w:hAnsi="Century Schoolbook"/>
          <w:sz w:val="16"/>
          <w:szCs w:val="16"/>
        </w:rPr>
        <w:t>a loro consueta</w:t>
      </w:r>
      <w:r w:rsidR="00524091">
        <w:rPr>
          <w:rFonts w:ascii="Century Schoolbook" w:hAnsi="Century Schoolbook"/>
          <w:sz w:val="16"/>
          <w:szCs w:val="16"/>
        </w:rPr>
        <w:t xml:space="preserve"> –</w:t>
      </w:r>
      <w:r w:rsidR="001A681E">
        <w:rPr>
          <w:rFonts w:ascii="Century Schoolbook" w:hAnsi="Century Schoolbook"/>
          <w:sz w:val="16"/>
          <w:szCs w:val="16"/>
        </w:rPr>
        <w:t xml:space="preserve"> mi hanno</w:t>
      </w:r>
      <w:r>
        <w:rPr>
          <w:rFonts w:ascii="Century Schoolbook" w:hAnsi="Century Schoolbook"/>
          <w:sz w:val="16"/>
          <w:szCs w:val="16"/>
        </w:rPr>
        <w:t xml:space="preserve"> consentito di pubblicar</w:t>
      </w:r>
      <w:r w:rsidR="00524091">
        <w:rPr>
          <w:rFonts w:ascii="Century Schoolbook" w:hAnsi="Century Schoolbook"/>
          <w:sz w:val="16"/>
          <w:szCs w:val="16"/>
        </w:rPr>
        <w:t>lo</w:t>
      </w:r>
      <w:r>
        <w:rPr>
          <w:rFonts w:ascii="Century Schoolbook" w:hAnsi="Century Schoolbook"/>
          <w:sz w:val="16"/>
          <w:szCs w:val="16"/>
        </w:rPr>
        <w:t xml:space="preserve"> anche qui</w:t>
      </w:r>
      <w:r w:rsidR="00524091">
        <w:rPr>
          <w:rFonts w:ascii="Century Schoolbook" w:hAnsi="Century Schoolbook"/>
          <w:sz w:val="16"/>
          <w:szCs w:val="16"/>
        </w:rPr>
        <w:t>.</w:t>
      </w:r>
    </w:p>
    <w:p w14:paraId="351A830D" w14:textId="0A860C1D" w:rsidR="0013620C" w:rsidRPr="00B4003A" w:rsidRDefault="0013620C"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E85CB6" w:rsidRPr="00B4003A">
        <w:rPr>
          <w:rFonts w:ascii="Century Schoolbook" w:hAnsi="Century Schoolbook"/>
          <w:sz w:val="16"/>
          <w:szCs w:val="16"/>
        </w:rPr>
        <w:t>Per una trattazione generale, peraltro</w:t>
      </w:r>
      <w:r w:rsidRPr="00B4003A">
        <w:rPr>
          <w:rFonts w:ascii="Century Schoolbook" w:hAnsi="Century Schoolbook"/>
          <w:sz w:val="16"/>
          <w:szCs w:val="16"/>
        </w:rPr>
        <w:t xml:space="preserve"> </w:t>
      </w:r>
      <w:r w:rsidR="001C408C" w:rsidRPr="00B4003A">
        <w:rPr>
          <w:rFonts w:ascii="Century Schoolbook" w:hAnsi="Century Schoolbook"/>
          <w:sz w:val="16"/>
          <w:szCs w:val="16"/>
        </w:rPr>
        <w:t xml:space="preserve">non </w:t>
      </w:r>
      <w:r w:rsidR="00E85CB6" w:rsidRPr="00B4003A">
        <w:rPr>
          <w:rFonts w:ascii="Century Schoolbook" w:hAnsi="Century Schoolbook"/>
          <w:sz w:val="16"/>
          <w:szCs w:val="16"/>
        </w:rPr>
        <w:t>priva di</w:t>
      </w:r>
      <w:r w:rsidR="001C408C" w:rsidRPr="00B4003A">
        <w:rPr>
          <w:rFonts w:ascii="Century Schoolbook" w:hAnsi="Century Schoolbook"/>
          <w:sz w:val="16"/>
          <w:szCs w:val="16"/>
        </w:rPr>
        <w:t xml:space="preserve"> spunti critici, </w:t>
      </w:r>
      <w:r w:rsidR="00E85CB6" w:rsidRPr="00B4003A">
        <w:rPr>
          <w:rFonts w:ascii="Century Schoolbook" w:hAnsi="Century Schoolbook"/>
          <w:sz w:val="16"/>
          <w:szCs w:val="16"/>
        </w:rPr>
        <w:t xml:space="preserve">v. ora </w:t>
      </w:r>
      <w:r w:rsidRPr="00B4003A">
        <w:rPr>
          <w:rFonts w:ascii="Century Schoolbook" w:hAnsi="Century Schoolbook"/>
          <w:sz w:val="16"/>
          <w:szCs w:val="16"/>
        </w:rPr>
        <w:t xml:space="preserve">G. Gardini, C. Tubertini, </w:t>
      </w:r>
      <w:r w:rsidRPr="00B4003A">
        <w:rPr>
          <w:rFonts w:ascii="Century Schoolbook" w:hAnsi="Century Schoolbook"/>
          <w:i/>
          <w:iCs/>
          <w:sz w:val="16"/>
          <w:szCs w:val="16"/>
        </w:rPr>
        <w:t>L’Amministrazione regionale</w:t>
      </w:r>
      <w:r w:rsidRPr="00B4003A">
        <w:rPr>
          <w:rFonts w:ascii="Century Schoolbook" w:hAnsi="Century Schoolbook"/>
          <w:sz w:val="16"/>
          <w:szCs w:val="16"/>
        </w:rPr>
        <w:t>, Torino, Giappichelli, 2022.</w:t>
      </w:r>
    </w:p>
  </w:footnote>
  <w:footnote w:id="2">
    <w:p w14:paraId="16CF7B65" w14:textId="77777777" w:rsidR="00201AD0" w:rsidRPr="00B4003A" w:rsidRDefault="00C01762"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6A79B8" w:rsidRPr="00B4003A">
        <w:rPr>
          <w:rFonts w:ascii="Century Schoolbook" w:hAnsi="Century Schoolbook"/>
          <w:sz w:val="16"/>
          <w:szCs w:val="16"/>
        </w:rPr>
        <w:t xml:space="preserve">Il tema è avvertito </w:t>
      </w:r>
      <w:r w:rsidR="00201AD0" w:rsidRPr="00B4003A">
        <w:rPr>
          <w:rFonts w:ascii="Century Schoolbook" w:hAnsi="Century Schoolbook"/>
          <w:sz w:val="16"/>
          <w:szCs w:val="16"/>
        </w:rPr>
        <w:t>– con nettezza di toni – anche da avveduti commentatori non giuristi.</w:t>
      </w:r>
    </w:p>
    <w:p w14:paraId="138E1C7B" w14:textId="297FECBF" w:rsidR="006A79B8" w:rsidRPr="00B4003A" w:rsidRDefault="00201AD0"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V., per esempio, </w:t>
      </w:r>
      <w:r w:rsidR="006A79B8" w:rsidRPr="00B4003A">
        <w:rPr>
          <w:rFonts w:ascii="Century Schoolbook" w:hAnsi="Century Schoolbook"/>
          <w:sz w:val="16"/>
          <w:szCs w:val="16"/>
        </w:rPr>
        <w:t xml:space="preserve">C. Scamardella, </w:t>
      </w:r>
      <w:r w:rsidR="006A79B8" w:rsidRPr="00B4003A">
        <w:rPr>
          <w:rFonts w:ascii="Century Schoolbook" w:hAnsi="Century Schoolbook"/>
          <w:i/>
          <w:iCs/>
          <w:sz w:val="16"/>
          <w:szCs w:val="16"/>
        </w:rPr>
        <w:t>Il fallimento del regionalismo</w:t>
      </w:r>
      <w:r w:rsidR="006A79B8" w:rsidRPr="00B4003A">
        <w:rPr>
          <w:rFonts w:ascii="Century Schoolbook" w:hAnsi="Century Schoolbook"/>
          <w:sz w:val="16"/>
          <w:szCs w:val="16"/>
        </w:rPr>
        <w:t>,</w:t>
      </w:r>
      <w:r w:rsidRPr="00B4003A">
        <w:rPr>
          <w:rFonts w:ascii="Century Schoolbook" w:hAnsi="Century Schoolbook"/>
          <w:sz w:val="16"/>
          <w:szCs w:val="16"/>
        </w:rPr>
        <w:t xml:space="preserve"> in </w:t>
      </w:r>
      <w:r w:rsidRPr="00B4003A">
        <w:rPr>
          <w:rFonts w:ascii="Century Schoolbook" w:hAnsi="Century Schoolbook"/>
          <w:i/>
          <w:iCs/>
          <w:sz w:val="16"/>
          <w:szCs w:val="16"/>
        </w:rPr>
        <w:t>Corriere della Sera – Mezzogiorno</w:t>
      </w:r>
      <w:r w:rsidRPr="00B4003A">
        <w:rPr>
          <w:rFonts w:ascii="Century Schoolbook" w:hAnsi="Century Schoolbook"/>
          <w:sz w:val="16"/>
          <w:szCs w:val="16"/>
        </w:rPr>
        <w:t>, 3 dicembre 2022, pp. 1 e 5: «</w:t>
      </w:r>
      <w:r w:rsidR="00C01762" w:rsidRPr="00B4003A">
        <w:rPr>
          <w:rFonts w:ascii="Century Schoolbook" w:hAnsi="Century Schoolbook"/>
          <w:sz w:val="16"/>
          <w:szCs w:val="16"/>
        </w:rPr>
        <w:t xml:space="preserve">Oggi, </w:t>
      </w:r>
      <w:r w:rsidR="006A79B8" w:rsidRPr="00B4003A">
        <w:rPr>
          <w:rFonts w:ascii="Century Schoolbook" w:hAnsi="Century Schoolbook"/>
          <w:sz w:val="16"/>
          <w:szCs w:val="16"/>
        </w:rPr>
        <w:t>C’è un dato che più di tutti inquieta nella partita sull’autonomia differenziata. È l’assenza a destra come a sinistra, al Nord e al Sud, tra i rappresentanti istituzionali e tra i commentatori, di un rigetto radicale e definitivo della cultura del regionalismo in Italia dopo i fallimentari bilanci di tutte e quattro le stagioni che, nei 160 anni dall’unità nazionale a oggi, l’hanno inverata</w:t>
      </w:r>
      <w:r w:rsidRPr="00B4003A">
        <w:rPr>
          <w:rFonts w:ascii="Century Schoolbook" w:hAnsi="Century Schoolbook"/>
          <w:sz w:val="16"/>
          <w:szCs w:val="16"/>
        </w:rPr>
        <w:t>»</w:t>
      </w:r>
      <w:r w:rsidR="006A79B8" w:rsidRPr="00B4003A">
        <w:rPr>
          <w:rFonts w:ascii="Century Schoolbook" w:hAnsi="Century Schoolbook"/>
          <w:sz w:val="16"/>
          <w:szCs w:val="16"/>
        </w:rPr>
        <w:t>.</w:t>
      </w:r>
      <w:r w:rsidRPr="00B4003A">
        <w:rPr>
          <w:rFonts w:ascii="Century Schoolbook" w:hAnsi="Century Schoolbook"/>
          <w:sz w:val="16"/>
          <w:szCs w:val="16"/>
        </w:rPr>
        <w:t xml:space="preserve"> E poi: «Nessuno ha osato e osa mettere in discussione dal punto di visto teorico, politico, istituzionale e anche storico l’opzione regionalista in Italia. Si persevera, così, nel gravissimo errore che stiamo compiendo da trent’anni». Infine: «non è forse da irresponsabili proseguire sulla strada imboccata senza una seria e approfondita discussione pubblica sulla qualità, sulla funzionalità e sulla rispondenza ai bisogni delle diverse aree del Paese – l’intero Paese non solo il Sud – dell’attuale e futuro impianto regionalista?».</w:t>
      </w:r>
    </w:p>
    <w:p w14:paraId="0372BF9D" w14:textId="6464AF40" w:rsidR="007D5169" w:rsidRPr="00B4003A" w:rsidRDefault="00201AD0"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Sulla stessa linea </w:t>
      </w:r>
      <w:r w:rsidR="00C01762" w:rsidRPr="00B4003A">
        <w:rPr>
          <w:rFonts w:ascii="Century Schoolbook" w:hAnsi="Century Schoolbook"/>
          <w:sz w:val="16"/>
          <w:szCs w:val="16"/>
        </w:rPr>
        <w:t xml:space="preserve">I. Sales, </w:t>
      </w:r>
      <w:r w:rsidR="00C01762" w:rsidRPr="00B4003A">
        <w:rPr>
          <w:rFonts w:ascii="Century Schoolbook" w:hAnsi="Century Schoolbook"/>
          <w:i/>
          <w:iCs/>
          <w:sz w:val="16"/>
          <w:szCs w:val="16"/>
        </w:rPr>
        <w:t>La pessima prova delle Regioni</w:t>
      </w:r>
      <w:r w:rsidR="00C01762" w:rsidRPr="00B4003A">
        <w:rPr>
          <w:rFonts w:ascii="Century Schoolbook" w:hAnsi="Century Schoolbook"/>
          <w:sz w:val="16"/>
          <w:szCs w:val="16"/>
        </w:rPr>
        <w:t xml:space="preserve">, in </w:t>
      </w:r>
      <w:r w:rsidR="00C01762" w:rsidRPr="00B4003A">
        <w:rPr>
          <w:rFonts w:ascii="Century Schoolbook" w:hAnsi="Century Schoolbook"/>
          <w:i/>
          <w:iCs/>
          <w:sz w:val="16"/>
          <w:szCs w:val="16"/>
        </w:rPr>
        <w:t>La Repubblica</w:t>
      </w:r>
      <w:r w:rsidR="00C01762" w:rsidRPr="00B4003A">
        <w:rPr>
          <w:rFonts w:ascii="Century Schoolbook" w:hAnsi="Century Schoolbook"/>
          <w:sz w:val="16"/>
          <w:szCs w:val="16"/>
        </w:rPr>
        <w:t>, 10 dicembre 2022, p. 45</w:t>
      </w:r>
      <w:r w:rsidR="00D76FE5" w:rsidRPr="00B4003A">
        <w:rPr>
          <w:rFonts w:ascii="Century Schoolbook" w:hAnsi="Century Schoolbook"/>
          <w:sz w:val="16"/>
          <w:szCs w:val="16"/>
        </w:rPr>
        <w:t>, che parla giustamente di una vieta «poliarchia decisionale»</w:t>
      </w:r>
      <w:r w:rsidR="002E7C89" w:rsidRPr="00B4003A">
        <w:rPr>
          <w:rFonts w:ascii="Century Schoolbook" w:hAnsi="Century Schoolbook"/>
          <w:sz w:val="16"/>
          <w:szCs w:val="16"/>
        </w:rPr>
        <w:t xml:space="preserve"> su base regionale</w:t>
      </w:r>
      <w:r w:rsidR="00C01762" w:rsidRPr="00B4003A">
        <w:rPr>
          <w:rFonts w:ascii="Century Schoolbook" w:hAnsi="Century Schoolbook"/>
          <w:sz w:val="16"/>
          <w:szCs w:val="16"/>
        </w:rPr>
        <w:t>: «</w:t>
      </w:r>
      <w:r w:rsidR="00D76FE5" w:rsidRPr="00B4003A">
        <w:rPr>
          <w:rFonts w:ascii="Century Schoolbook" w:hAnsi="Century Schoolbook"/>
          <w:sz w:val="16"/>
          <w:szCs w:val="16"/>
        </w:rPr>
        <w:t>[…] è giudizio ampiamente condiviso dagli studiosi, dagli opinionisti e dalla pubblica opinione che nel periodo 2020/2022 si sono evidenziati in tutta la loro crudezza i macroscopici limiti del regionalismo italiano (al di là della prosopopea efficientista dei loro presidenti, del Nord, del Centro e del Sud) al punto da rendere non rinviabile un’immediata revisione delle competenze attribuite</w:t>
      </w:r>
      <w:r w:rsidR="00C01762" w:rsidRPr="00B4003A">
        <w:rPr>
          <w:rFonts w:ascii="Century Schoolbook" w:hAnsi="Century Schoolbook"/>
          <w:sz w:val="16"/>
          <w:szCs w:val="16"/>
        </w:rPr>
        <w:t>»</w:t>
      </w:r>
      <w:r w:rsidR="00D76FE5" w:rsidRPr="00B4003A">
        <w:rPr>
          <w:rFonts w:ascii="Century Schoolbook" w:hAnsi="Century Schoolbook"/>
          <w:sz w:val="16"/>
          <w:szCs w:val="16"/>
        </w:rPr>
        <w:t xml:space="preserve">; ancora: «Il problema politico al riguardo non consiste nell’assenza di una maggiore “autonomia” ma nel non voler prendere atto che le Regioni, immaginate come soluzione di storici problemi della nazione, rappresentano oggi la più forte incrinatura del sentimento nazionale». Le Regioni – prosegue – «erano state profetizzate come antidoto al notabilato e al centralismo statuale, ma al contrario hanno dato vita a un nuovo notabilato e a un’originale forma di “centralismo territorializzato”»; </w:t>
      </w:r>
      <w:r w:rsidR="002E7C89" w:rsidRPr="00B4003A">
        <w:rPr>
          <w:rFonts w:ascii="Century Schoolbook" w:hAnsi="Century Schoolbook"/>
          <w:sz w:val="16"/>
          <w:szCs w:val="16"/>
        </w:rPr>
        <w:t xml:space="preserve">infine </w:t>
      </w:r>
      <w:r w:rsidR="00D76FE5" w:rsidRPr="00B4003A">
        <w:rPr>
          <w:rFonts w:ascii="Century Schoolbook" w:hAnsi="Century Schoolbook"/>
          <w:sz w:val="16"/>
          <w:szCs w:val="16"/>
        </w:rPr>
        <w:t>la conclusione, lucida e pienamente condivisibile: «Una nazione come l’Italia, che ha squilibri territoriali così marcati senza averli mai risolti nel corso della sua storia, si può permettere di incrinare ancora di più il potere statuale lasciando solo ai livelli locali il compito di superarli?».</w:t>
      </w:r>
    </w:p>
  </w:footnote>
  <w:footnote w:id="3">
    <w:p w14:paraId="6827F603" w14:textId="282F774B" w:rsidR="004147C3" w:rsidRPr="00B4003A" w:rsidRDefault="004147C3"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E44960" w:rsidRPr="00B4003A">
        <w:rPr>
          <w:rFonts w:ascii="Century Schoolbook" w:hAnsi="Century Schoolbook"/>
          <w:sz w:val="16"/>
          <w:szCs w:val="16"/>
        </w:rPr>
        <w:t>Evidenzio</w:t>
      </w:r>
      <w:r w:rsidRPr="00B4003A">
        <w:rPr>
          <w:rFonts w:ascii="Century Schoolbook" w:hAnsi="Century Schoolbook"/>
          <w:sz w:val="16"/>
          <w:szCs w:val="16"/>
        </w:rPr>
        <w:t xml:space="preserve"> questo aspetto squisitamente ideologico per confermare l</w:t>
      </w:r>
      <w:r w:rsidR="00E44960" w:rsidRPr="00B4003A">
        <w:rPr>
          <w:rFonts w:ascii="Century Schoolbook" w:hAnsi="Century Schoolbook"/>
          <w:sz w:val="16"/>
          <w:szCs w:val="16"/>
        </w:rPr>
        <w:t xml:space="preserve">a sua </w:t>
      </w:r>
      <w:r w:rsidRPr="00B4003A">
        <w:rPr>
          <w:rFonts w:ascii="Century Schoolbook" w:hAnsi="Century Schoolbook"/>
          <w:sz w:val="16"/>
          <w:szCs w:val="16"/>
        </w:rPr>
        <w:t>indi</w:t>
      </w:r>
      <w:r w:rsidR="00E44960" w:rsidRPr="00B4003A">
        <w:rPr>
          <w:rFonts w:ascii="Century Schoolbook" w:hAnsi="Century Schoolbook"/>
          <w:sz w:val="16"/>
          <w:szCs w:val="16"/>
        </w:rPr>
        <w:t>p</w:t>
      </w:r>
      <w:r w:rsidRPr="00B4003A">
        <w:rPr>
          <w:rFonts w:ascii="Century Schoolbook" w:hAnsi="Century Schoolbook"/>
          <w:sz w:val="16"/>
          <w:szCs w:val="16"/>
        </w:rPr>
        <w:t>endenza di pensiero</w:t>
      </w:r>
      <w:r w:rsidR="00E44960" w:rsidRPr="00B4003A">
        <w:rPr>
          <w:rFonts w:ascii="Century Schoolbook" w:hAnsi="Century Schoolbook"/>
          <w:sz w:val="16"/>
          <w:szCs w:val="16"/>
        </w:rPr>
        <w:t xml:space="preserve">. </w:t>
      </w:r>
      <w:r w:rsidR="009D28A2" w:rsidRPr="00B4003A">
        <w:rPr>
          <w:rFonts w:ascii="Century Schoolbook" w:hAnsi="Century Schoolbook"/>
          <w:sz w:val="16"/>
          <w:szCs w:val="16"/>
        </w:rPr>
        <w:t>Richiamo un passo di</w:t>
      </w:r>
      <w:r w:rsidR="00E44960" w:rsidRPr="00B4003A">
        <w:rPr>
          <w:rFonts w:ascii="Century Schoolbook" w:hAnsi="Century Schoolbook"/>
          <w:sz w:val="16"/>
          <w:szCs w:val="16"/>
        </w:rPr>
        <w:t xml:space="preserve"> G. Gardini, </w:t>
      </w:r>
      <w:r w:rsidR="00E44960" w:rsidRPr="00B4003A">
        <w:rPr>
          <w:rFonts w:ascii="Century Schoolbook" w:hAnsi="Century Schoolbook"/>
          <w:i/>
          <w:iCs/>
          <w:sz w:val="16"/>
          <w:szCs w:val="16"/>
        </w:rPr>
        <w:t>Alle origini del regionalismo. Genesi e storia di un ente controverso</w:t>
      </w:r>
      <w:r w:rsidR="00E44960" w:rsidRPr="00B4003A">
        <w:rPr>
          <w:rFonts w:ascii="Century Schoolbook" w:hAnsi="Century Schoolbook"/>
          <w:sz w:val="16"/>
          <w:szCs w:val="16"/>
        </w:rPr>
        <w:t xml:space="preserve">, in G. Gardini, C. Tubertini, </w:t>
      </w:r>
      <w:r w:rsidR="00E44960" w:rsidRPr="00B4003A">
        <w:rPr>
          <w:rFonts w:ascii="Century Schoolbook" w:hAnsi="Century Schoolbook"/>
          <w:i/>
          <w:iCs/>
          <w:sz w:val="16"/>
          <w:szCs w:val="16"/>
        </w:rPr>
        <w:t>L’Amministrazione regionale</w:t>
      </w:r>
      <w:r w:rsidR="00E44960" w:rsidRPr="00B4003A">
        <w:rPr>
          <w:rFonts w:ascii="Century Schoolbook" w:hAnsi="Century Schoolbook"/>
          <w:sz w:val="16"/>
          <w:szCs w:val="16"/>
        </w:rPr>
        <w:t xml:space="preserve">, cit., p. </w:t>
      </w:r>
      <w:r w:rsidR="009D28A2" w:rsidRPr="00B4003A">
        <w:rPr>
          <w:rFonts w:ascii="Century Schoolbook" w:hAnsi="Century Schoolbook"/>
          <w:sz w:val="16"/>
          <w:szCs w:val="16"/>
        </w:rPr>
        <w:t>29 s.</w:t>
      </w:r>
      <w:r w:rsidR="00E44960" w:rsidRPr="00B4003A">
        <w:rPr>
          <w:rFonts w:ascii="Century Schoolbook" w:hAnsi="Century Schoolbook"/>
          <w:sz w:val="16"/>
          <w:szCs w:val="16"/>
        </w:rPr>
        <w:t xml:space="preserve"> «Il quadro iniziale registrava</w:t>
      </w:r>
      <w:r w:rsidR="009D28A2" w:rsidRPr="00B4003A">
        <w:rPr>
          <w:rFonts w:ascii="Century Schoolbook" w:hAnsi="Century Schoolbook"/>
          <w:sz w:val="16"/>
          <w:szCs w:val="16"/>
        </w:rPr>
        <w:t xml:space="preserve"> […]</w:t>
      </w:r>
      <w:r w:rsidR="00E44960" w:rsidRPr="00B4003A">
        <w:rPr>
          <w:rFonts w:ascii="Century Schoolbook" w:hAnsi="Century Schoolbook"/>
          <w:sz w:val="16"/>
          <w:szCs w:val="16"/>
        </w:rPr>
        <w:t xml:space="preserve"> una palese diffidenza delle sinistre (PCI, PSI) nei confronti delle Regioni: queste forze politiche, legate ad una prospettiva statalista totalizzante, vedevano nelle forme di autonomia un fattore di ritardo o di ostacolo al rinnovamento sociale e economico del paese durante la ricostruzione post-bellica; e, comunque, nella frammentazione dei centri decisionali e dei livelli di governo identificavano una minaccia al principio di uguaglianza. Per motivi diversi ma convergenti, in quel torno di temp</w:t>
      </w:r>
      <w:r w:rsidR="009D28A2" w:rsidRPr="00B4003A">
        <w:rPr>
          <w:rFonts w:ascii="Century Schoolbook" w:hAnsi="Century Schoolbook"/>
          <w:sz w:val="16"/>
          <w:szCs w:val="16"/>
        </w:rPr>
        <w:t xml:space="preserve">o anche le forze liberali presenti in Costituente, e quanti si rifacevano al modello postunitario, si spostarono su posizioni sempre più antiregionaliste. Destra e sinistra si trovarono quindi accomunate dall’avversione a nuovi livelli di governo, in forte contrapposizione con le forze cattoliche che, legate alla salvaguardia dei diritti di libertà del singolo e delle comunità intermedie intese come “società naturali”, erano invece nettamente favorevoli alla valorizzazione delle autonomie territoriali, in generale, e alla creazione delle Regioni, in particolare. </w:t>
      </w:r>
      <w:r w:rsidR="009D28A2" w:rsidRPr="00B4003A">
        <w:rPr>
          <w:rFonts w:ascii="Century Schoolbook" w:hAnsi="Century Schoolbook"/>
          <w:i/>
          <w:iCs/>
          <w:sz w:val="16"/>
          <w:szCs w:val="16"/>
        </w:rPr>
        <w:t>L’assetto delle posizioni in campo venne improvvisamente scompaginato dalla estromissione delle sinistre dalla coalizione di Governo, avvenuta nel maggio del 1947: la rottura del patto dei Comitati di liberazione nazionale, che aveva sino a quel momento assicurato la presenza nel Governo di tutte le forze antifasciste, condusse ad una repentina inversione di rotta nella politica della sinistra, che da posizioni antiregionaliste pass</w:t>
      </w:r>
      <w:r w:rsidR="00021798" w:rsidRPr="00B4003A">
        <w:rPr>
          <w:rFonts w:ascii="Century Schoolbook" w:hAnsi="Century Schoolbook"/>
          <w:i/>
          <w:iCs/>
          <w:sz w:val="16"/>
          <w:szCs w:val="16"/>
        </w:rPr>
        <w:t>ò</w:t>
      </w:r>
      <w:r w:rsidR="009D28A2" w:rsidRPr="00B4003A">
        <w:rPr>
          <w:rFonts w:ascii="Century Schoolbook" w:hAnsi="Century Schoolbook"/>
          <w:i/>
          <w:iCs/>
          <w:sz w:val="16"/>
          <w:szCs w:val="16"/>
        </w:rPr>
        <w:t xml:space="preserve"> ad un diverso orientamento, identificando nei nuovi enti un baluardo contro lo strapotere del governo centrale e conservatore</w:t>
      </w:r>
      <w:r w:rsidR="00E44960" w:rsidRPr="00B4003A">
        <w:rPr>
          <w:rFonts w:ascii="Century Schoolbook" w:hAnsi="Century Schoolbook"/>
          <w:sz w:val="16"/>
          <w:szCs w:val="16"/>
        </w:rPr>
        <w:t>»</w:t>
      </w:r>
      <w:r w:rsidR="00021798" w:rsidRPr="00B4003A">
        <w:rPr>
          <w:rFonts w:ascii="Century Schoolbook" w:hAnsi="Century Schoolbook"/>
          <w:sz w:val="16"/>
          <w:szCs w:val="16"/>
        </w:rPr>
        <w:t xml:space="preserve"> (corsivo mio)</w:t>
      </w:r>
      <w:r w:rsidR="00E44960" w:rsidRPr="00B4003A">
        <w:rPr>
          <w:rFonts w:ascii="Century Schoolbook" w:hAnsi="Century Schoolbook"/>
          <w:sz w:val="16"/>
          <w:szCs w:val="16"/>
        </w:rPr>
        <w:t>.</w:t>
      </w:r>
    </w:p>
  </w:footnote>
  <w:footnote w:id="4">
    <w:p w14:paraId="2B57DC12" w14:textId="30F4232A" w:rsidR="001C07C0" w:rsidRPr="00B4003A" w:rsidRDefault="001C07C0"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Col consenso dell’eventuale lettore rinvio a P.L. Portaluri, </w:t>
      </w:r>
      <w:r w:rsidRPr="00B4003A">
        <w:rPr>
          <w:rFonts w:ascii="Century Schoolbook" w:hAnsi="Century Schoolbook"/>
          <w:i/>
          <w:iCs/>
          <w:sz w:val="16"/>
          <w:szCs w:val="16"/>
        </w:rPr>
        <w:t>Contro il prossimalismo nel governo del territorio</w:t>
      </w:r>
      <w:r w:rsidR="00060163" w:rsidRPr="00B4003A">
        <w:rPr>
          <w:rFonts w:ascii="Century Schoolbook" w:hAnsi="Century Schoolbook"/>
          <w:sz w:val="16"/>
          <w:szCs w:val="16"/>
        </w:rPr>
        <w:t xml:space="preserve">, in </w:t>
      </w:r>
      <w:r w:rsidR="00060163" w:rsidRPr="00B4003A">
        <w:rPr>
          <w:rFonts w:ascii="Century Schoolbook" w:hAnsi="Century Schoolbook"/>
          <w:i/>
          <w:iCs/>
          <w:sz w:val="16"/>
          <w:szCs w:val="16"/>
        </w:rPr>
        <w:t>Nuove autonomie</w:t>
      </w:r>
      <w:r w:rsidR="00060163" w:rsidRPr="00B4003A">
        <w:rPr>
          <w:rFonts w:ascii="Century Schoolbook" w:hAnsi="Century Schoolbook"/>
          <w:sz w:val="16"/>
          <w:szCs w:val="16"/>
        </w:rPr>
        <w:t xml:space="preserve">, 2021, p. 81 ss., spec. p. 99 e in </w:t>
      </w:r>
      <w:r w:rsidR="002B371E" w:rsidRPr="00B4003A">
        <w:rPr>
          <w:rFonts w:ascii="Century Schoolbook" w:hAnsi="Century Schoolbook"/>
          <w:sz w:val="16"/>
          <w:szCs w:val="16"/>
        </w:rPr>
        <w:t xml:space="preserve">G. Corso, F.G. Scoca, A. Ruggeri, G. Verde (a cura di), </w:t>
      </w:r>
      <w:r w:rsidR="00060163" w:rsidRPr="00B4003A">
        <w:rPr>
          <w:rFonts w:ascii="Century Schoolbook" w:hAnsi="Century Schoolbook"/>
          <w:i/>
          <w:iCs/>
          <w:sz w:val="16"/>
          <w:szCs w:val="16"/>
        </w:rPr>
        <w:t>Scritti in onore di Maria Immordino</w:t>
      </w:r>
      <w:r w:rsidR="00060163" w:rsidRPr="00B4003A">
        <w:rPr>
          <w:rFonts w:ascii="Century Schoolbook" w:hAnsi="Century Schoolbook"/>
          <w:sz w:val="16"/>
          <w:szCs w:val="16"/>
        </w:rPr>
        <w:t xml:space="preserve">, </w:t>
      </w:r>
      <w:r w:rsidR="000266B9" w:rsidRPr="00B4003A">
        <w:rPr>
          <w:rFonts w:ascii="Century Schoolbook" w:hAnsi="Century Schoolbook"/>
          <w:sz w:val="16"/>
          <w:szCs w:val="16"/>
        </w:rPr>
        <w:t xml:space="preserve">Napoli, Editoriale scientifica, </w:t>
      </w:r>
      <w:r w:rsidR="002B371E" w:rsidRPr="00B4003A">
        <w:rPr>
          <w:rFonts w:ascii="Century Schoolbook" w:hAnsi="Century Schoolbook"/>
          <w:sz w:val="16"/>
          <w:szCs w:val="16"/>
        </w:rPr>
        <w:t xml:space="preserve">2022, III, </w:t>
      </w:r>
      <w:r w:rsidR="000266B9" w:rsidRPr="00B4003A">
        <w:rPr>
          <w:rFonts w:ascii="Century Schoolbook" w:hAnsi="Century Schoolbook"/>
          <w:sz w:val="16"/>
          <w:szCs w:val="16"/>
        </w:rPr>
        <w:t>p. 2865 ss., spec. p. 2887</w:t>
      </w:r>
      <w:r w:rsidR="002B371E" w:rsidRPr="00B4003A">
        <w:rPr>
          <w:rFonts w:ascii="Century Schoolbook" w:hAnsi="Century Schoolbook"/>
          <w:sz w:val="16"/>
          <w:szCs w:val="16"/>
        </w:rPr>
        <w:t>.</w:t>
      </w:r>
    </w:p>
  </w:footnote>
  <w:footnote w:id="5">
    <w:p w14:paraId="371C6E10" w14:textId="77777777" w:rsidR="000815A5" w:rsidRPr="00B4003A" w:rsidRDefault="002E311A"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F. Salvia, </w:t>
      </w:r>
      <w:r w:rsidRPr="00B4003A">
        <w:rPr>
          <w:rFonts w:ascii="Century Schoolbook" w:hAnsi="Century Schoolbook"/>
          <w:i/>
          <w:iCs/>
          <w:sz w:val="16"/>
          <w:szCs w:val="16"/>
        </w:rPr>
        <w:t xml:space="preserve">La parabola del diritto amministrativo negli ultimi anni sotto la spinta degli uomini del fare amici </w:t>
      </w:r>
      <w:proofErr w:type="gramStart"/>
      <w:r w:rsidRPr="00B4003A">
        <w:rPr>
          <w:rFonts w:ascii="Century Schoolbook" w:hAnsi="Century Schoolbook"/>
          <w:i/>
          <w:iCs/>
          <w:sz w:val="16"/>
          <w:szCs w:val="16"/>
        </w:rPr>
        <w:t>del macro</w:t>
      </w:r>
      <w:proofErr w:type="gramEnd"/>
      <w:r w:rsidRPr="00B4003A">
        <w:rPr>
          <w:rFonts w:ascii="Century Schoolbook" w:hAnsi="Century Schoolbook"/>
          <w:i/>
          <w:iCs/>
          <w:sz w:val="16"/>
          <w:szCs w:val="16"/>
        </w:rPr>
        <w:t xml:space="preserve"> e dei «guadagni rapidi»; nemici irriducibili dei beni comuni e di ogni forma di manutenzione dell’esistente</w:t>
      </w:r>
      <w:r w:rsidRPr="00B4003A">
        <w:rPr>
          <w:rFonts w:ascii="Century Schoolbook" w:hAnsi="Century Schoolbook"/>
          <w:sz w:val="16"/>
          <w:szCs w:val="16"/>
        </w:rPr>
        <w:t xml:space="preserve">, in </w:t>
      </w:r>
      <w:r w:rsidRPr="00B4003A">
        <w:rPr>
          <w:rFonts w:ascii="Century Schoolbook" w:hAnsi="Century Schoolbook"/>
          <w:i/>
          <w:iCs/>
          <w:sz w:val="16"/>
          <w:szCs w:val="16"/>
        </w:rPr>
        <w:t>Il dir. dell’</w:t>
      </w:r>
      <w:proofErr w:type="spellStart"/>
      <w:r w:rsidRPr="00B4003A">
        <w:rPr>
          <w:rFonts w:ascii="Century Schoolbook" w:hAnsi="Century Schoolbook"/>
          <w:i/>
          <w:iCs/>
          <w:sz w:val="16"/>
          <w:szCs w:val="16"/>
        </w:rPr>
        <w:t>econ</w:t>
      </w:r>
      <w:proofErr w:type="spellEnd"/>
      <w:r w:rsidRPr="00B4003A">
        <w:rPr>
          <w:rFonts w:ascii="Century Schoolbook" w:hAnsi="Century Schoolbook"/>
          <w:i/>
          <w:iCs/>
          <w:sz w:val="16"/>
          <w:szCs w:val="16"/>
        </w:rPr>
        <w:t>.</w:t>
      </w:r>
      <w:r w:rsidRPr="00B4003A">
        <w:rPr>
          <w:rFonts w:ascii="Century Schoolbook" w:hAnsi="Century Schoolbook"/>
          <w:sz w:val="16"/>
          <w:szCs w:val="16"/>
        </w:rPr>
        <w:t xml:space="preserve">, 2020, p. 169 ss., spec. p. </w:t>
      </w:r>
      <w:r w:rsidR="00B83C48" w:rsidRPr="00B4003A">
        <w:rPr>
          <w:rFonts w:ascii="Century Schoolbook" w:hAnsi="Century Schoolbook"/>
          <w:sz w:val="16"/>
          <w:szCs w:val="16"/>
        </w:rPr>
        <w:t xml:space="preserve">175: </w:t>
      </w:r>
      <w:r w:rsidRPr="00B4003A">
        <w:rPr>
          <w:rFonts w:ascii="Century Schoolbook" w:hAnsi="Century Schoolbook"/>
          <w:sz w:val="16"/>
          <w:szCs w:val="16"/>
        </w:rPr>
        <w:t>«[…] l’ansia riformistica che negli ultimi anni ha investito tutti coloro che, a vario titolo, hanno a che fare con la cosa pubblica e col bene comune (</w:t>
      </w:r>
      <w:r w:rsidRPr="00B4003A">
        <w:rPr>
          <w:rFonts w:ascii="Century Schoolbook" w:hAnsi="Century Schoolbook"/>
          <w:i/>
          <w:iCs/>
          <w:sz w:val="16"/>
          <w:szCs w:val="16"/>
        </w:rPr>
        <w:t>in primis</w:t>
      </w:r>
      <w:r w:rsidRPr="00B4003A">
        <w:rPr>
          <w:rFonts w:ascii="Century Schoolbook" w:hAnsi="Century Schoolbook"/>
          <w:sz w:val="16"/>
          <w:szCs w:val="16"/>
        </w:rPr>
        <w:t xml:space="preserve"> il legislatore) non è in realtà quella di una semplificazione virtuosa pura e semplice del sistema (su cui tutti concordiamo), ma di un sovvertimento dei valori sottostanti che sembra avere come obiettivo quello di subordinare indiscriminatamente i valori di lunga durata che caratterizzano ogni tipo di comunità a quelli di breve periodo di più immediato effetto. Questo capovolgimento di valori è oggi ad esempio percepibile chiaramente nella legislazione relativa all’assetto del territorio, costellata da deroghe di ogni sorta […]».</w:t>
      </w:r>
    </w:p>
    <w:p w14:paraId="66D51CB6" w14:textId="3ACF2071" w:rsidR="002E311A" w:rsidRPr="00B4003A" w:rsidRDefault="000815A5"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Fra le varie conseguenze – diciamo così – discutibili, ne segnalo una: con l’istituzione delle Regioni il Ministero dei lavori pubblici ha perso il potere di approvare i piani regolatori comunali. Le conseguenze infauste – sopra tutto nelle Regioni meridionali – di questo passaggio di competenze non credo </w:t>
      </w:r>
      <w:proofErr w:type="spellStart"/>
      <w:r w:rsidRPr="00B4003A">
        <w:rPr>
          <w:rFonts w:ascii="Century Schoolbook" w:hAnsi="Century Schoolbook"/>
          <w:sz w:val="16"/>
          <w:szCs w:val="16"/>
        </w:rPr>
        <w:t>abbian</w:t>
      </w:r>
      <w:proofErr w:type="spellEnd"/>
      <w:r w:rsidRPr="00B4003A">
        <w:rPr>
          <w:rFonts w:ascii="Century Schoolbook" w:hAnsi="Century Schoolbook"/>
          <w:sz w:val="16"/>
          <w:szCs w:val="16"/>
        </w:rPr>
        <w:t xml:space="preserve"> bisogno d’esser qui ricordate.</w:t>
      </w:r>
    </w:p>
  </w:footnote>
  <w:footnote w:id="6">
    <w:p w14:paraId="1005D929" w14:textId="2EA78AE9"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047841" w:rsidRPr="00B4003A">
        <w:rPr>
          <w:rFonts w:ascii="Century Schoolbook" w:hAnsi="Century Schoolbook"/>
          <w:sz w:val="16"/>
          <w:szCs w:val="16"/>
        </w:rPr>
        <w:t>L’ultima sentenza in materia è stata depositata i</w:t>
      </w:r>
      <w:r w:rsidRPr="00B4003A">
        <w:rPr>
          <w:rFonts w:ascii="Century Schoolbook" w:hAnsi="Century Schoolbook"/>
          <w:sz w:val="16"/>
          <w:szCs w:val="16"/>
        </w:rPr>
        <w:t xml:space="preserve">l 1° dicembre 2022 </w:t>
      </w:r>
      <w:r w:rsidR="00047841" w:rsidRPr="00B4003A">
        <w:rPr>
          <w:rFonts w:ascii="Century Schoolbook" w:hAnsi="Century Schoolbook"/>
          <w:sz w:val="16"/>
          <w:szCs w:val="16"/>
        </w:rPr>
        <w:t xml:space="preserve">col </w:t>
      </w:r>
      <w:r w:rsidRPr="00B4003A">
        <w:rPr>
          <w:rFonts w:ascii="Century Schoolbook" w:hAnsi="Century Schoolbook"/>
          <w:sz w:val="16"/>
          <w:szCs w:val="16"/>
        </w:rPr>
        <w:t>n. 240</w:t>
      </w:r>
      <w:r w:rsidR="00047841" w:rsidRPr="00B4003A">
        <w:rPr>
          <w:rFonts w:ascii="Century Schoolbook" w:hAnsi="Century Schoolbook"/>
          <w:sz w:val="16"/>
          <w:szCs w:val="16"/>
        </w:rPr>
        <w:t xml:space="preserve">, ed è </w:t>
      </w:r>
      <w:r w:rsidRPr="00B4003A">
        <w:rPr>
          <w:rFonts w:ascii="Century Schoolbook" w:hAnsi="Century Schoolbook"/>
          <w:sz w:val="16"/>
          <w:szCs w:val="16"/>
        </w:rPr>
        <w:t xml:space="preserve">l’ennesima puntata della saga che vede la Regione Puglia difendere </w:t>
      </w:r>
      <w:r w:rsidR="00047841" w:rsidRPr="00B4003A">
        <w:rPr>
          <w:rFonts w:ascii="Century Schoolbook" w:hAnsi="Century Schoolbook"/>
          <w:sz w:val="16"/>
          <w:szCs w:val="16"/>
        </w:rPr>
        <w:t xml:space="preserve">pervicacemente </w:t>
      </w:r>
      <w:r w:rsidRPr="00B4003A">
        <w:rPr>
          <w:rFonts w:ascii="Century Schoolbook" w:hAnsi="Century Schoolbook"/>
          <w:sz w:val="16"/>
          <w:szCs w:val="16"/>
        </w:rPr>
        <w:t xml:space="preserve">il </w:t>
      </w:r>
      <w:r w:rsidR="00047841" w:rsidRPr="00B4003A">
        <w:rPr>
          <w:rFonts w:ascii="Century Schoolbook" w:hAnsi="Century Schoolbook"/>
          <w:sz w:val="16"/>
          <w:szCs w:val="16"/>
        </w:rPr>
        <w:t xml:space="preserve">suo </w:t>
      </w:r>
      <w:r w:rsidR="007921A9" w:rsidRPr="00B4003A">
        <w:rPr>
          <w:rFonts w:ascii="Century Schoolbook" w:hAnsi="Century Schoolbook"/>
          <w:sz w:val="16"/>
          <w:szCs w:val="16"/>
        </w:rPr>
        <w:t>“</w:t>
      </w:r>
      <w:r w:rsidRPr="00B4003A">
        <w:rPr>
          <w:rFonts w:ascii="Century Schoolbook" w:hAnsi="Century Schoolbook"/>
          <w:sz w:val="16"/>
          <w:szCs w:val="16"/>
        </w:rPr>
        <w:t>piano</w:t>
      </w:r>
      <w:r w:rsidR="007921A9" w:rsidRPr="00B4003A">
        <w:rPr>
          <w:rFonts w:ascii="Century Schoolbook" w:hAnsi="Century Schoolbook"/>
          <w:sz w:val="16"/>
          <w:szCs w:val="16"/>
        </w:rPr>
        <w:t>”</w:t>
      </w:r>
      <w:r w:rsidRPr="00B4003A">
        <w:rPr>
          <w:rFonts w:ascii="Century Schoolbook" w:hAnsi="Century Schoolbook"/>
          <w:sz w:val="16"/>
          <w:szCs w:val="16"/>
        </w:rPr>
        <w:t xml:space="preserve"> casa di fronte alle reiterate impugnazioni del Governo centrale. Impossibile fare qui il classico riassunto dei capitoli precedenti. Ormai siamo di fronte a un groviglio di norme regionali che si succedono da anni per tentare di salvare dalle censure della Consulta questa singolare creatura. Nato tredici anni fa per durare poco, giusto il tempo di dare un po’ di salutari vitamine all’economia del mattone, il piano casa si è via via radicato negli ordinamenti regionali. In Puglia ha presto cambiato pelle, divenendo – nonostante il nome – un potente strumento di “depianificazione”: cioè di gestione delle trasformazioni territoriali al di fuori del sistema ordinario, che la affida – appunto – ai piani regolatori. </w:t>
      </w:r>
    </w:p>
    <w:p w14:paraId="44AD220C" w14:textId="7B56F892"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Non solo. La Puglia è una delle pochissime Regioni che si sono meritoriamente dotate di un piano paesaggistico (PPTR): un’ottima barriera di protezione (ma anche un fattore proattivo di sviluppo) a tutela dei valori connessi alle caratteristiche identitarie dei territori. Proprio per il suo ruolo di custode del paesaggio nei confronti di interventi edilizi </w:t>
      </w:r>
      <w:r w:rsidR="007921A9" w:rsidRPr="00B4003A">
        <w:rPr>
          <w:rFonts w:ascii="Century Schoolbook" w:hAnsi="Century Schoolbook"/>
          <w:sz w:val="16"/>
          <w:szCs w:val="16"/>
        </w:rPr>
        <w:t>particolarmente invasivi e impattanti</w:t>
      </w:r>
      <w:r w:rsidRPr="00B4003A">
        <w:rPr>
          <w:rFonts w:ascii="Century Schoolbook" w:hAnsi="Century Schoolbook"/>
          <w:sz w:val="16"/>
          <w:szCs w:val="16"/>
        </w:rPr>
        <w:t xml:space="preserve">, il PPTR non è sempre visto di buon’occhio. Anzi, si è cercato in molti casi di neutralizzarlo prevedendo deroghe più o meno palesi. </w:t>
      </w:r>
      <w:r w:rsidR="00047841" w:rsidRPr="00B4003A">
        <w:rPr>
          <w:rFonts w:ascii="Century Schoolbook" w:hAnsi="Century Schoolbook"/>
          <w:sz w:val="16"/>
          <w:szCs w:val="16"/>
        </w:rPr>
        <w:t>La normazione sul</w:t>
      </w:r>
      <w:r w:rsidRPr="00B4003A">
        <w:rPr>
          <w:rFonts w:ascii="Century Schoolbook" w:hAnsi="Century Schoolbook"/>
          <w:sz w:val="16"/>
          <w:szCs w:val="16"/>
        </w:rPr>
        <w:t xml:space="preserve"> </w:t>
      </w:r>
      <w:r w:rsidR="007921A9" w:rsidRPr="00B4003A">
        <w:rPr>
          <w:rFonts w:ascii="Century Schoolbook" w:hAnsi="Century Schoolbook"/>
          <w:sz w:val="16"/>
          <w:szCs w:val="16"/>
        </w:rPr>
        <w:t>“</w:t>
      </w:r>
      <w:r w:rsidRPr="00B4003A">
        <w:rPr>
          <w:rFonts w:ascii="Century Schoolbook" w:hAnsi="Century Schoolbook"/>
          <w:sz w:val="16"/>
          <w:szCs w:val="16"/>
        </w:rPr>
        <w:t>piano</w:t>
      </w:r>
      <w:r w:rsidR="007921A9" w:rsidRPr="00B4003A">
        <w:rPr>
          <w:rFonts w:ascii="Century Schoolbook" w:hAnsi="Century Schoolbook"/>
          <w:sz w:val="16"/>
          <w:szCs w:val="16"/>
        </w:rPr>
        <w:t>”</w:t>
      </w:r>
      <w:r w:rsidRPr="00B4003A">
        <w:rPr>
          <w:rFonts w:ascii="Century Schoolbook" w:hAnsi="Century Schoolbook"/>
          <w:sz w:val="16"/>
          <w:szCs w:val="16"/>
        </w:rPr>
        <w:t xml:space="preserve"> casa ne è un </w:t>
      </w:r>
      <w:r w:rsidR="00047841" w:rsidRPr="00B4003A">
        <w:rPr>
          <w:rFonts w:ascii="Century Schoolbook" w:hAnsi="Century Schoolbook"/>
          <w:sz w:val="16"/>
          <w:szCs w:val="16"/>
        </w:rPr>
        <w:t xml:space="preserve">tristo </w:t>
      </w:r>
      <w:r w:rsidRPr="00B4003A">
        <w:rPr>
          <w:rFonts w:ascii="Century Schoolbook" w:hAnsi="Century Schoolbook"/>
          <w:sz w:val="16"/>
          <w:szCs w:val="16"/>
        </w:rPr>
        <w:t xml:space="preserve">esempio, come dimostra da ultimo la sentenza </w:t>
      </w:r>
      <w:r w:rsidR="00047841" w:rsidRPr="00B4003A">
        <w:rPr>
          <w:rFonts w:ascii="Century Schoolbook" w:hAnsi="Century Schoolbook"/>
          <w:sz w:val="16"/>
          <w:szCs w:val="16"/>
        </w:rPr>
        <w:t>citata</w:t>
      </w:r>
      <w:r w:rsidRPr="00B4003A">
        <w:rPr>
          <w:rFonts w:ascii="Century Schoolbook" w:hAnsi="Century Schoolbook"/>
          <w:sz w:val="16"/>
          <w:szCs w:val="16"/>
        </w:rPr>
        <w:t xml:space="preserve">, che </w:t>
      </w:r>
      <w:r w:rsidR="00047841" w:rsidRPr="00B4003A">
        <w:rPr>
          <w:rFonts w:ascii="Century Schoolbook" w:hAnsi="Century Schoolbook"/>
          <w:sz w:val="16"/>
          <w:szCs w:val="16"/>
        </w:rPr>
        <w:t xml:space="preserve">ha </w:t>
      </w:r>
      <w:r w:rsidRPr="00B4003A">
        <w:rPr>
          <w:rFonts w:ascii="Century Schoolbook" w:hAnsi="Century Schoolbook"/>
          <w:sz w:val="16"/>
          <w:szCs w:val="16"/>
        </w:rPr>
        <w:t>acco</w:t>
      </w:r>
      <w:r w:rsidR="00047841" w:rsidRPr="00B4003A">
        <w:rPr>
          <w:rFonts w:ascii="Century Schoolbook" w:hAnsi="Century Schoolbook"/>
          <w:sz w:val="16"/>
          <w:szCs w:val="16"/>
        </w:rPr>
        <w:t>lto</w:t>
      </w:r>
      <w:r w:rsidRPr="00B4003A">
        <w:rPr>
          <w:rFonts w:ascii="Century Schoolbook" w:hAnsi="Century Schoolbook"/>
          <w:sz w:val="16"/>
          <w:szCs w:val="16"/>
        </w:rPr>
        <w:t xml:space="preserve"> molte delle ragioni di doglianza avanzate dal Governo nei confronti della legge pugliese n. 39 del 2021</w:t>
      </w:r>
      <w:r w:rsidR="00047841" w:rsidRPr="00B4003A">
        <w:rPr>
          <w:rFonts w:ascii="Century Schoolbook" w:hAnsi="Century Schoolbook"/>
          <w:sz w:val="16"/>
          <w:szCs w:val="16"/>
        </w:rPr>
        <w:t>.</w:t>
      </w:r>
      <w:r w:rsidRPr="00B4003A">
        <w:rPr>
          <w:rFonts w:ascii="Century Schoolbook" w:hAnsi="Century Schoolbook"/>
          <w:sz w:val="16"/>
          <w:szCs w:val="16"/>
        </w:rPr>
        <w:t xml:space="preserve"> </w:t>
      </w:r>
      <w:r w:rsidR="006F25DC" w:rsidRPr="00B4003A">
        <w:rPr>
          <w:rFonts w:ascii="Century Schoolbook" w:hAnsi="Century Schoolbook"/>
          <w:sz w:val="16"/>
          <w:szCs w:val="16"/>
        </w:rPr>
        <w:t xml:space="preserve">Non sembri inutile soffermarsi su quelle </w:t>
      </w:r>
      <w:r w:rsidRPr="00B4003A">
        <w:rPr>
          <w:rFonts w:ascii="Century Schoolbook" w:hAnsi="Century Schoolbook"/>
          <w:sz w:val="16"/>
          <w:szCs w:val="16"/>
        </w:rPr>
        <w:t>censure</w:t>
      </w:r>
      <w:r w:rsidR="006F25DC" w:rsidRPr="00B4003A">
        <w:rPr>
          <w:rFonts w:ascii="Century Schoolbook" w:hAnsi="Century Schoolbook"/>
          <w:sz w:val="16"/>
          <w:szCs w:val="16"/>
        </w:rPr>
        <w:t xml:space="preserve"> </w:t>
      </w:r>
      <w:r w:rsidR="007921A9" w:rsidRPr="00B4003A">
        <w:rPr>
          <w:rFonts w:ascii="Century Schoolbook" w:hAnsi="Century Schoolbook"/>
          <w:sz w:val="16"/>
          <w:szCs w:val="16"/>
        </w:rPr>
        <w:t xml:space="preserve">(quattro </w:t>
      </w:r>
      <w:r w:rsidR="006F25DC" w:rsidRPr="00B4003A">
        <w:rPr>
          <w:rFonts w:ascii="Century Schoolbook" w:hAnsi="Century Schoolbook"/>
          <w:sz w:val="16"/>
          <w:szCs w:val="16"/>
        </w:rPr>
        <w:t>in tutto</w:t>
      </w:r>
      <w:r w:rsidR="007921A9" w:rsidRPr="00B4003A">
        <w:rPr>
          <w:rFonts w:ascii="Century Schoolbook" w:hAnsi="Century Schoolbook"/>
          <w:sz w:val="16"/>
          <w:szCs w:val="16"/>
        </w:rPr>
        <w:t>)</w:t>
      </w:r>
      <w:r w:rsidRPr="00B4003A">
        <w:rPr>
          <w:rFonts w:ascii="Century Schoolbook" w:hAnsi="Century Schoolbook"/>
          <w:sz w:val="16"/>
          <w:szCs w:val="16"/>
        </w:rPr>
        <w:t xml:space="preserve">. </w:t>
      </w:r>
      <w:r w:rsidR="006F25DC" w:rsidRPr="00B4003A">
        <w:rPr>
          <w:rFonts w:ascii="Century Schoolbook" w:hAnsi="Century Schoolbook"/>
          <w:sz w:val="16"/>
          <w:szCs w:val="16"/>
        </w:rPr>
        <w:t>Anzi, è</w:t>
      </w:r>
      <w:r w:rsidRPr="00B4003A">
        <w:rPr>
          <w:rFonts w:ascii="Century Schoolbook" w:hAnsi="Century Schoolbook"/>
          <w:sz w:val="16"/>
          <w:szCs w:val="16"/>
        </w:rPr>
        <w:t xml:space="preserve"> bene analizzarle una per una</w:t>
      </w:r>
      <w:r w:rsidR="006F25DC" w:rsidRPr="00B4003A">
        <w:rPr>
          <w:rFonts w:ascii="Century Schoolbook" w:hAnsi="Century Schoolbook"/>
          <w:sz w:val="16"/>
          <w:szCs w:val="16"/>
        </w:rPr>
        <w:t xml:space="preserve"> poiché offrono un</w:t>
      </w:r>
      <w:r w:rsidR="001F631C" w:rsidRPr="00B4003A">
        <w:rPr>
          <w:rFonts w:ascii="Century Schoolbook" w:hAnsi="Century Schoolbook"/>
          <w:sz w:val="16"/>
          <w:szCs w:val="16"/>
        </w:rPr>
        <w:t xml:space="preserve">o spaccato </w:t>
      </w:r>
      <w:r w:rsidR="006F25DC" w:rsidRPr="00B4003A">
        <w:rPr>
          <w:rFonts w:ascii="Century Schoolbook" w:hAnsi="Century Schoolbook"/>
          <w:sz w:val="16"/>
          <w:szCs w:val="16"/>
        </w:rPr>
        <w:t xml:space="preserve">dei modi attraverso i quali una Regione cerca di avere mani libere nella gestione del territorio: </w:t>
      </w:r>
      <w:r w:rsidR="001F631C" w:rsidRPr="00B4003A">
        <w:rPr>
          <w:rFonts w:ascii="Century Schoolbook" w:hAnsi="Century Schoolbook"/>
          <w:sz w:val="16"/>
          <w:szCs w:val="16"/>
        </w:rPr>
        <w:t xml:space="preserve">per esempio </w:t>
      </w:r>
      <w:r w:rsidR="006F25DC" w:rsidRPr="00B4003A">
        <w:rPr>
          <w:rFonts w:ascii="Century Schoolbook" w:hAnsi="Century Schoolbook"/>
          <w:sz w:val="16"/>
          <w:szCs w:val="16"/>
        </w:rPr>
        <w:t xml:space="preserve">aggredendo </w:t>
      </w:r>
      <w:r w:rsidR="00A4128C" w:rsidRPr="00B4003A">
        <w:rPr>
          <w:rFonts w:ascii="Century Schoolbook" w:hAnsi="Century Schoolbook"/>
          <w:sz w:val="16"/>
          <w:szCs w:val="16"/>
        </w:rPr>
        <w:t xml:space="preserve">il suo stesso piano paesaggistico, </w:t>
      </w:r>
      <w:r w:rsidR="00D45C68" w:rsidRPr="00B4003A">
        <w:rPr>
          <w:rFonts w:ascii="Century Schoolbook" w:hAnsi="Century Schoolbook"/>
          <w:sz w:val="16"/>
          <w:szCs w:val="16"/>
        </w:rPr>
        <w:t>a mo’ di un uroboro negativo</w:t>
      </w:r>
      <w:r w:rsidR="001F631C" w:rsidRPr="00B4003A">
        <w:rPr>
          <w:rFonts w:ascii="Century Schoolbook" w:hAnsi="Century Schoolbook"/>
          <w:sz w:val="16"/>
          <w:szCs w:val="16"/>
        </w:rPr>
        <w:t xml:space="preserve">; o forzando la normazione del d.m. n. 1444/’68. </w:t>
      </w:r>
    </w:p>
    <w:p w14:paraId="4100030C" w14:textId="7A52B7C3" w:rsidR="00C11531" w:rsidRPr="00B4003A" w:rsidRDefault="00A4128C"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Questa l</w:t>
      </w:r>
      <w:r w:rsidR="00C11531" w:rsidRPr="00B4003A">
        <w:rPr>
          <w:rFonts w:ascii="Century Schoolbook" w:hAnsi="Century Schoolbook"/>
          <w:sz w:val="16"/>
          <w:szCs w:val="16"/>
        </w:rPr>
        <w:t>a prima</w:t>
      </w:r>
      <w:r w:rsidR="00D45C68" w:rsidRPr="00B4003A">
        <w:rPr>
          <w:rFonts w:ascii="Century Schoolbook" w:hAnsi="Century Schoolbook"/>
          <w:sz w:val="16"/>
          <w:szCs w:val="16"/>
        </w:rPr>
        <w:t xml:space="preserve"> censura</w:t>
      </w:r>
      <w:r w:rsidR="00C11531" w:rsidRPr="00B4003A">
        <w:rPr>
          <w:rFonts w:ascii="Century Schoolbook" w:hAnsi="Century Schoolbook"/>
          <w:sz w:val="16"/>
          <w:szCs w:val="16"/>
        </w:rPr>
        <w:t xml:space="preserve">. </w:t>
      </w:r>
      <w:r w:rsidR="00D45C68" w:rsidRPr="00B4003A">
        <w:rPr>
          <w:rFonts w:ascii="Century Schoolbook" w:hAnsi="Century Schoolbook"/>
          <w:sz w:val="16"/>
          <w:szCs w:val="16"/>
        </w:rPr>
        <w:t xml:space="preserve">La </w:t>
      </w:r>
      <w:r w:rsidR="00C11531" w:rsidRPr="00B4003A">
        <w:rPr>
          <w:rFonts w:ascii="Century Schoolbook" w:hAnsi="Century Schoolbook"/>
          <w:sz w:val="16"/>
          <w:szCs w:val="16"/>
        </w:rPr>
        <w:t xml:space="preserve">legge </w:t>
      </w:r>
      <w:r w:rsidR="00D45C68" w:rsidRPr="00B4003A">
        <w:rPr>
          <w:rFonts w:ascii="Century Schoolbook" w:hAnsi="Century Schoolbook"/>
          <w:sz w:val="16"/>
          <w:szCs w:val="16"/>
        </w:rPr>
        <w:t>pugliese</w:t>
      </w:r>
      <w:r w:rsidR="00C11531" w:rsidRPr="00B4003A">
        <w:rPr>
          <w:rFonts w:ascii="Century Schoolbook" w:hAnsi="Century Schoolbook"/>
          <w:sz w:val="16"/>
          <w:szCs w:val="16"/>
        </w:rPr>
        <w:t xml:space="preserve"> consente, a determinate condizioni, di realizzare nuovi fabbricati in zona agricola, qualora siano necessari alla conduzione del fondo e all</w:t>
      </w:r>
      <w:r w:rsidRPr="00B4003A">
        <w:rPr>
          <w:rFonts w:ascii="Century Schoolbook" w:hAnsi="Century Schoolbook"/>
          <w:sz w:val="16"/>
          <w:szCs w:val="16"/>
        </w:rPr>
        <w:t>’</w:t>
      </w:r>
      <w:r w:rsidR="00C11531" w:rsidRPr="00B4003A">
        <w:rPr>
          <w:rFonts w:ascii="Century Schoolbook" w:hAnsi="Century Schoolbook"/>
          <w:sz w:val="16"/>
          <w:szCs w:val="16"/>
        </w:rPr>
        <w:t>esercizio dell'attività agricola. Il Governo temeva che il particolare modo con cui questo articolo era stato “costruito” nascondesse l’intento regionale di introdurre una nuova disciplina delle aree agricole, al fine di consentirne la trasformazione in deroga al PPTR.</w:t>
      </w:r>
    </w:p>
    <w:p w14:paraId="3881B149" w14:textId="315947BE"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La Corte non ha condiviso la posizione dello Stato, perché la </w:t>
      </w:r>
      <w:r w:rsidR="00D45C68" w:rsidRPr="00B4003A">
        <w:rPr>
          <w:rFonts w:ascii="Century Schoolbook" w:hAnsi="Century Schoolbook"/>
          <w:sz w:val="16"/>
          <w:szCs w:val="16"/>
        </w:rPr>
        <w:t>l</w:t>
      </w:r>
      <w:r w:rsidR="00A4128C" w:rsidRPr="00B4003A">
        <w:rPr>
          <w:rFonts w:ascii="Century Schoolbook" w:hAnsi="Century Schoolbook"/>
          <w:sz w:val="16"/>
          <w:szCs w:val="16"/>
        </w:rPr>
        <w:t>.r. n. 39/’21 indubbiata</w:t>
      </w:r>
      <w:r w:rsidRPr="00B4003A">
        <w:rPr>
          <w:rFonts w:ascii="Century Schoolbook" w:hAnsi="Century Schoolbook"/>
          <w:sz w:val="16"/>
          <w:szCs w:val="16"/>
        </w:rPr>
        <w:t xml:space="preserve"> precisa </w:t>
      </w:r>
      <w:r w:rsidR="00D45C68" w:rsidRPr="00B4003A">
        <w:rPr>
          <w:rFonts w:ascii="Century Schoolbook" w:hAnsi="Century Schoolbook"/>
          <w:sz w:val="16"/>
          <w:szCs w:val="16"/>
        </w:rPr>
        <w:t xml:space="preserve">già </w:t>
      </w:r>
      <w:r w:rsidRPr="00B4003A">
        <w:rPr>
          <w:rFonts w:ascii="Century Schoolbook" w:hAnsi="Century Schoolbook"/>
          <w:sz w:val="16"/>
          <w:szCs w:val="16"/>
        </w:rPr>
        <w:t>che i manufatti in questione possono essere edificati «nel rispetto delle norme di tutela paesaggistica del Piano paesaggistico territoriale regionale» e comunque in conformità con le «norme di carattere paesaggistico ed ambientale». La Consulta, insomma, ha tranquillizzato il Governo</w:t>
      </w:r>
      <w:r w:rsidR="00A4128C" w:rsidRPr="00B4003A">
        <w:rPr>
          <w:rFonts w:ascii="Century Schoolbook" w:hAnsi="Century Schoolbook"/>
          <w:sz w:val="16"/>
          <w:szCs w:val="16"/>
        </w:rPr>
        <w:t xml:space="preserve"> con un accertamento negativo</w:t>
      </w:r>
      <w:r w:rsidRPr="00B4003A">
        <w:rPr>
          <w:rFonts w:ascii="Century Schoolbook" w:hAnsi="Century Schoolbook"/>
          <w:sz w:val="16"/>
          <w:szCs w:val="16"/>
        </w:rPr>
        <w:t xml:space="preserve">: </w:t>
      </w:r>
      <w:r w:rsidR="00A4128C" w:rsidRPr="00B4003A">
        <w:rPr>
          <w:rFonts w:ascii="Century Schoolbook" w:hAnsi="Century Schoolbook"/>
          <w:sz w:val="16"/>
          <w:szCs w:val="16"/>
        </w:rPr>
        <w:t>quel</w:t>
      </w:r>
      <w:r w:rsidRPr="00B4003A">
        <w:rPr>
          <w:rFonts w:ascii="Century Schoolbook" w:hAnsi="Century Schoolbook"/>
          <w:sz w:val="16"/>
          <w:szCs w:val="16"/>
        </w:rPr>
        <w:t>la legge regionale «non deroga dunque alle prescrizioni del PPTR a tutela dei paesaggi rurali, ma si limita a consentire nuove costruzioni destinate alla produzione agricola che siano compatibili con dette prescrizioni».</w:t>
      </w:r>
    </w:p>
    <w:p w14:paraId="627B13C3" w14:textId="28717A85"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Seconda </w:t>
      </w:r>
      <w:r w:rsidR="00A4128C" w:rsidRPr="00B4003A">
        <w:rPr>
          <w:rFonts w:ascii="Century Schoolbook" w:hAnsi="Century Schoolbook"/>
          <w:sz w:val="16"/>
          <w:szCs w:val="16"/>
        </w:rPr>
        <w:t>doglianza</w:t>
      </w:r>
      <w:r w:rsidRPr="00B4003A">
        <w:rPr>
          <w:rFonts w:ascii="Century Schoolbook" w:hAnsi="Century Schoolbook"/>
          <w:sz w:val="16"/>
          <w:szCs w:val="16"/>
        </w:rPr>
        <w:t xml:space="preserve">. Il Governo si lamentava del fatto che la legge regionale </w:t>
      </w:r>
      <w:r w:rsidR="00A4128C" w:rsidRPr="00B4003A">
        <w:rPr>
          <w:rFonts w:ascii="Century Schoolbook" w:hAnsi="Century Schoolbook"/>
          <w:sz w:val="16"/>
          <w:szCs w:val="16"/>
        </w:rPr>
        <w:t xml:space="preserve">in esame </w:t>
      </w:r>
      <w:r w:rsidRPr="00B4003A">
        <w:rPr>
          <w:rFonts w:ascii="Century Schoolbook" w:hAnsi="Century Schoolbook"/>
          <w:sz w:val="16"/>
          <w:szCs w:val="16"/>
        </w:rPr>
        <w:t>a</w:t>
      </w:r>
      <w:r w:rsidR="00A4128C" w:rsidRPr="00B4003A">
        <w:rPr>
          <w:rFonts w:ascii="Century Schoolbook" w:hAnsi="Century Schoolbook"/>
          <w:sz w:val="16"/>
          <w:szCs w:val="16"/>
        </w:rPr>
        <w:t>veva</w:t>
      </w:r>
      <w:r w:rsidRPr="00B4003A">
        <w:rPr>
          <w:rFonts w:ascii="Century Schoolbook" w:hAnsi="Century Schoolbook"/>
          <w:sz w:val="16"/>
          <w:szCs w:val="16"/>
        </w:rPr>
        <w:t xml:space="preserve"> ampliato la categoria degli interventi di ristrutturazione edilizia, includendovi quelli di demolizione e ricostruzione in aree vincolate con modifiche di sagoma, sedime, prospetti e aumenti di volume: interventi che – in base al</w:t>
      </w:r>
      <w:r w:rsidR="00A4128C" w:rsidRPr="00B4003A">
        <w:rPr>
          <w:rFonts w:ascii="Century Schoolbook" w:hAnsi="Century Schoolbook"/>
          <w:sz w:val="16"/>
          <w:szCs w:val="16"/>
        </w:rPr>
        <w:t xml:space="preserve"> t.u. sull’edilizia </w:t>
      </w:r>
      <w:r w:rsidRPr="00B4003A">
        <w:rPr>
          <w:rFonts w:ascii="Century Schoolbook" w:hAnsi="Century Schoolbook"/>
          <w:sz w:val="16"/>
          <w:szCs w:val="16"/>
        </w:rPr>
        <w:t>– si dovrebbero invece considerare come di «nuova costruzione». Con questo espediente – sosteneva il Governo – la legge regionale tenta di eludere il divieto di nuove costruzioni previsto dal PPTR in molte aree vincolate, come i territori costieri e quelli contermini ai laghi, i boschi e le relative aree di rispetto, le aree umide, i prati e pascoli naturali nonché le formazioni arbustive.</w:t>
      </w:r>
    </w:p>
    <w:p w14:paraId="26B1FC4E" w14:textId="73977B16" w:rsidR="00C11531" w:rsidRPr="00B4003A" w:rsidRDefault="00A4128C"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L</w:t>
      </w:r>
      <w:r w:rsidR="00C11531" w:rsidRPr="00B4003A">
        <w:rPr>
          <w:rFonts w:ascii="Century Schoolbook" w:hAnsi="Century Schoolbook"/>
          <w:sz w:val="16"/>
          <w:szCs w:val="16"/>
        </w:rPr>
        <w:t xml:space="preserve">a Corte ha </w:t>
      </w:r>
      <w:r w:rsidRPr="00B4003A">
        <w:rPr>
          <w:rFonts w:ascii="Century Schoolbook" w:hAnsi="Century Schoolbook"/>
          <w:sz w:val="16"/>
          <w:szCs w:val="16"/>
        </w:rPr>
        <w:t>accolto il motivo</w:t>
      </w:r>
      <w:r w:rsidR="00C11531" w:rsidRPr="00B4003A">
        <w:rPr>
          <w:rFonts w:ascii="Century Schoolbook" w:hAnsi="Century Schoolbook"/>
          <w:sz w:val="16"/>
          <w:szCs w:val="16"/>
        </w:rPr>
        <w:t xml:space="preserve">, </w:t>
      </w:r>
      <w:r w:rsidRPr="00B4003A">
        <w:rPr>
          <w:rFonts w:ascii="Century Schoolbook" w:hAnsi="Century Schoolbook"/>
          <w:sz w:val="16"/>
          <w:szCs w:val="16"/>
        </w:rPr>
        <w:t xml:space="preserve">poiché </w:t>
      </w:r>
      <w:r w:rsidR="00C11531" w:rsidRPr="00B4003A">
        <w:rPr>
          <w:rFonts w:ascii="Century Schoolbook" w:hAnsi="Century Schoolbook"/>
          <w:sz w:val="16"/>
          <w:szCs w:val="16"/>
        </w:rPr>
        <w:t>la Regione non poteva includere quegli interventi nell’ambito delle ristrutturazioni: quella fra nuova costruzione e ristrutturazione è una scelta qualificatoria riservata allo Stato.</w:t>
      </w:r>
    </w:p>
    <w:p w14:paraId="5F5986AA" w14:textId="77777777"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Siamo alla terza censura. La legge regionale consente anzitutto l’ampliamento dei manufatti destinati ad attività produttive senza «limitazioni di superficie coperta e di volume». E stabilisce poi che se questi ampliamenti sono contenuti nel 20% dell’esistente, non soggiacciono al complesso procedimento di variante al piano regolatore: che in base al PPTR deve avvenire con la partecipazione del Ministero della Cultura, a tutela del paesaggio.</w:t>
      </w:r>
    </w:p>
    <w:p w14:paraId="08900319" w14:textId="70B86702"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La Co</w:t>
      </w:r>
      <w:r w:rsidR="00C06FD9" w:rsidRPr="00B4003A">
        <w:rPr>
          <w:rFonts w:ascii="Century Schoolbook" w:hAnsi="Century Schoolbook"/>
          <w:sz w:val="16"/>
          <w:szCs w:val="16"/>
        </w:rPr>
        <w:t>nsulta</w:t>
      </w:r>
      <w:r w:rsidRPr="00B4003A">
        <w:rPr>
          <w:rFonts w:ascii="Century Schoolbook" w:hAnsi="Century Schoolbook"/>
          <w:sz w:val="16"/>
          <w:szCs w:val="16"/>
        </w:rPr>
        <w:t xml:space="preserve"> ha ritenuto incostituzionali entrambe le previsioni.</w:t>
      </w:r>
    </w:p>
    <w:p w14:paraId="17D399AC" w14:textId="637B2F2C"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Quanto all’ampliamento senza limiti, perché viola il d</w:t>
      </w:r>
      <w:r w:rsidR="00EE12C3" w:rsidRPr="00B4003A">
        <w:rPr>
          <w:rFonts w:ascii="Century Schoolbook" w:hAnsi="Century Schoolbook"/>
          <w:sz w:val="16"/>
          <w:szCs w:val="16"/>
        </w:rPr>
        <w:t>.m.</w:t>
      </w:r>
      <w:r w:rsidRPr="00B4003A">
        <w:rPr>
          <w:rFonts w:ascii="Century Schoolbook" w:hAnsi="Century Schoolbook"/>
          <w:sz w:val="16"/>
          <w:szCs w:val="16"/>
        </w:rPr>
        <w:t xml:space="preserve"> del 1968, che stabilisce limiti massimi di densità edilizia a tutela del «primario interesse generale all</w:t>
      </w:r>
      <w:r w:rsidR="00EE12C3" w:rsidRPr="00B4003A">
        <w:rPr>
          <w:rFonts w:ascii="Century Schoolbook" w:hAnsi="Century Schoolbook"/>
          <w:sz w:val="16"/>
          <w:szCs w:val="16"/>
        </w:rPr>
        <w:t>’</w:t>
      </w:r>
      <w:r w:rsidRPr="00B4003A">
        <w:rPr>
          <w:rFonts w:ascii="Century Schoolbook" w:hAnsi="Century Schoolbook"/>
          <w:sz w:val="16"/>
          <w:szCs w:val="16"/>
        </w:rPr>
        <w:t>ordinato sviluppo urbano». Quanto invece all’ampliamento “semplificato”, perché in tal modo si violano le previsioni del piano paesaggistico.</w:t>
      </w:r>
    </w:p>
    <w:p w14:paraId="2BBB08D1" w14:textId="306828E0"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Ultima censura. La legge regionale violerebbe il PPTR e consentirebbe un notevolissimo incremento dell'indice di fabbricabilità per gli interventi da realizzare nelle zone agricole: da 0,03 mc/mq, previsti nel decreto del 1968, si arriva </w:t>
      </w:r>
      <w:r w:rsidR="00EE12C3" w:rsidRPr="00B4003A">
        <w:rPr>
          <w:rFonts w:ascii="Century Schoolbook" w:hAnsi="Century Schoolbook"/>
          <w:sz w:val="16"/>
          <w:szCs w:val="16"/>
        </w:rPr>
        <w:t xml:space="preserve">infatti </w:t>
      </w:r>
      <w:r w:rsidRPr="00B4003A">
        <w:rPr>
          <w:rFonts w:ascii="Century Schoolbook" w:hAnsi="Century Schoolbook"/>
          <w:sz w:val="16"/>
          <w:szCs w:val="16"/>
        </w:rPr>
        <w:t>sino a 0,1 mc/mq.</w:t>
      </w:r>
    </w:p>
    <w:p w14:paraId="414E0FA5" w14:textId="77777777"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Il Governo ha sostenuto che la previsione contrasti con quel decreto, consentendo un aumento «indiscriminato» dell'indice in questione.</w:t>
      </w:r>
    </w:p>
    <w:p w14:paraId="6ABAFEFC" w14:textId="1E21E4E0"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La Corte non ha accolto il primo profilo di questa doglianza, </w:t>
      </w:r>
      <w:r w:rsidR="00EE12C3" w:rsidRPr="00B4003A">
        <w:rPr>
          <w:rFonts w:ascii="Century Schoolbook" w:hAnsi="Century Schoolbook"/>
          <w:sz w:val="16"/>
          <w:szCs w:val="16"/>
        </w:rPr>
        <w:t xml:space="preserve">ma </w:t>
      </w:r>
      <w:r w:rsidRPr="00B4003A">
        <w:rPr>
          <w:rFonts w:ascii="Century Schoolbook" w:hAnsi="Century Schoolbook"/>
          <w:sz w:val="16"/>
          <w:szCs w:val="16"/>
        </w:rPr>
        <w:t xml:space="preserve">perché ha ancora una volta </w:t>
      </w:r>
      <w:r w:rsidR="00EE12C3" w:rsidRPr="00B4003A">
        <w:rPr>
          <w:rFonts w:ascii="Century Schoolbook" w:hAnsi="Century Schoolbook"/>
          <w:sz w:val="16"/>
          <w:szCs w:val="16"/>
        </w:rPr>
        <w:t xml:space="preserve">dovuto </w:t>
      </w:r>
      <w:r w:rsidRPr="00B4003A">
        <w:rPr>
          <w:rFonts w:ascii="Century Schoolbook" w:hAnsi="Century Schoolbook"/>
          <w:sz w:val="16"/>
          <w:szCs w:val="16"/>
        </w:rPr>
        <w:t>chiari</w:t>
      </w:r>
      <w:r w:rsidR="00EE12C3" w:rsidRPr="00B4003A">
        <w:rPr>
          <w:rFonts w:ascii="Century Schoolbook" w:hAnsi="Century Schoolbook"/>
          <w:sz w:val="16"/>
          <w:szCs w:val="16"/>
        </w:rPr>
        <w:t>re</w:t>
      </w:r>
      <w:r w:rsidRPr="00B4003A">
        <w:rPr>
          <w:rFonts w:ascii="Century Schoolbook" w:hAnsi="Century Schoolbook"/>
          <w:sz w:val="16"/>
          <w:szCs w:val="16"/>
        </w:rPr>
        <w:t xml:space="preserve"> che la norma regionale «può ben essere interpretata nel senso che le variazioni derivanti dall'incremento dell'indice edificatorio debbano rispettare comunque le specifiche prescrizioni del PPTR». La Consulta ha poi ritenuto che non vi sia un contrasto col d.m.</w:t>
      </w:r>
      <w:r w:rsidR="00EE12C3" w:rsidRPr="00B4003A">
        <w:rPr>
          <w:rFonts w:ascii="Century Schoolbook" w:hAnsi="Century Schoolbook"/>
          <w:sz w:val="16"/>
          <w:szCs w:val="16"/>
        </w:rPr>
        <w:t xml:space="preserve"> del 1968</w:t>
      </w:r>
      <w:r w:rsidRPr="00B4003A">
        <w:rPr>
          <w:rFonts w:ascii="Century Schoolbook" w:hAnsi="Century Schoolbook"/>
          <w:sz w:val="16"/>
          <w:szCs w:val="16"/>
        </w:rPr>
        <w:t>, poiché esso si riferisce alle abitazioni in zona agricola, non ai fabbricati con destinazione produttiva. Vedremo quale sarà l’impatto di questa norma sul territorio.</w:t>
      </w:r>
    </w:p>
    <w:p w14:paraId="56B845B3" w14:textId="136BBF82" w:rsidR="00C11531" w:rsidRPr="00B4003A" w:rsidRDefault="00C11531" w:rsidP="00F103FF">
      <w:pPr>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Il 29 novembre 2022 la Consulta ha tenuto l’udienza di trattazione dell’ennesima impugnazione governativa nei confronti </w:t>
      </w:r>
      <w:r w:rsidR="009416B4" w:rsidRPr="00B4003A">
        <w:rPr>
          <w:rFonts w:ascii="Century Schoolbook" w:hAnsi="Century Schoolbook"/>
          <w:sz w:val="16"/>
          <w:szCs w:val="16"/>
        </w:rPr>
        <w:t xml:space="preserve">di una legge pugliese sul governo del territorio: questa volta si tratta </w:t>
      </w:r>
      <w:r w:rsidR="003B59DF" w:rsidRPr="00B4003A">
        <w:rPr>
          <w:rFonts w:ascii="Century Schoolbook" w:hAnsi="Century Schoolbook"/>
          <w:sz w:val="16"/>
          <w:szCs w:val="16"/>
        </w:rPr>
        <w:t>d</w:t>
      </w:r>
      <w:r w:rsidR="009416B4" w:rsidRPr="00B4003A">
        <w:rPr>
          <w:rFonts w:ascii="Century Schoolbook" w:hAnsi="Century Schoolbook"/>
          <w:sz w:val="16"/>
          <w:szCs w:val="16"/>
        </w:rPr>
        <w:t>ell</w:t>
      </w:r>
      <w:r w:rsidRPr="00B4003A">
        <w:rPr>
          <w:rFonts w:ascii="Century Schoolbook" w:hAnsi="Century Schoolbook"/>
          <w:sz w:val="16"/>
          <w:szCs w:val="16"/>
        </w:rPr>
        <w:t>a l</w:t>
      </w:r>
      <w:r w:rsidR="009416B4" w:rsidRPr="00B4003A">
        <w:rPr>
          <w:rFonts w:ascii="Century Schoolbook" w:hAnsi="Century Schoolbook"/>
          <w:sz w:val="16"/>
          <w:szCs w:val="16"/>
        </w:rPr>
        <w:t>.r.</w:t>
      </w:r>
      <w:r w:rsidR="003B59DF" w:rsidRPr="00B4003A">
        <w:rPr>
          <w:rFonts w:ascii="Century Schoolbook" w:hAnsi="Century Schoolbook"/>
          <w:sz w:val="16"/>
          <w:szCs w:val="16"/>
        </w:rPr>
        <w:t xml:space="preserve"> n. 38</w:t>
      </w:r>
      <w:r w:rsidR="009416B4" w:rsidRPr="00B4003A">
        <w:rPr>
          <w:rFonts w:ascii="Century Schoolbook" w:hAnsi="Century Schoolbook"/>
          <w:sz w:val="16"/>
          <w:szCs w:val="16"/>
        </w:rPr>
        <w:t>/’21, che ha prorogato al 2022 la possibilità di realizzare gli interventi previsti dal “piano” casa.</w:t>
      </w:r>
      <w:r w:rsidRPr="00B4003A">
        <w:rPr>
          <w:rFonts w:ascii="Century Schoolbook" w:hAnsi="Century Schoolbook"/>
          <w:sz w:val="16"/>
          <w:szCs w:val="16"/>
        </w:rPr>
        <w:t xml:space="preserve"> Ma sarebbe forse preferibile lasciarsi alle spalle – come molte Regioni hanno fatto </w:t>
      </w:r>
      <w:r w:rsidR="009416B4" w:rsidRPr="00B4003A">
        <w:rPr>
          <w:rFonts w:ascii="Century Schoolbook" w:hAnsi="Century Schoolbook"/>
          <w:sz w:val="16"/>
          <w:szCs w:val="16"/>
        </w:rPr>
        <w:t xml:space="preserve">da tempo </w:t>
      </w:r>
      <w:r w:rsidRPr="00B4003A">
        <w:rPr>
          <w:rFonts w:ascii="Century Schoolbook" w:hAnsi="Century Schoolbook"/>
          <w:sz w:val="16"/>
          <w:szCs w:val="16"/>
        </w:rPr>
        <w:t>– la stagione d</w:t>
      </w:r>
      <w:r w:rsidR="009416B4" w:rsidRPr="00B4003A">
        <w:rPr>
          <w:rFonts w:ascii="Century Schoolbook" w:hAnsi="Century Schoolbook"/>
          <w:sz w:val="16"/>
          <w:szCs w:val="16"/>
        </w:rPr>
        <w:t xml:space="preserve">i quella esperienza di normazione, </w:t>
      </w:r>
      <w:r w:rsidRPr="00B4003A">
        <w:rPr>
          <w:rFonts w:ascii="Century Schoolbook" w:hAnsi="Century Schoolbook"/>
          <w:sz w:val="16"/>
          <w:szCs w:val="16"/>
        </w:rPr>
        <w:t xml:space="preserve">dedicandosi invece alla redazione di una nuova legge urbanistica </w:t>
      </w:r>
      <w:r w:rsidR="009416B4" w:rsidRPr="00B4003A">
        <w:rPr>
          <w:rFonts w:ascii="Century Schoolbook" w:hAnsi="Century Schoolbook"/>
          <w:sz w:val="16"/>
          <w:szCs w:val="16"/>
        </w:rPr>
        <w:t xml:space="preserve">organica e </w:t>
      </w:r>
      <w:r w:rsidRPr="00B4003A">
        <w:rPr>
          <w:rFonts w:ascii="Century Schoolbook" w:hAnsi="Century Schoolbook"/>
          <w:sz w:val="16"/>
          <w:szCs w:val="16"/>
        </w:rPr>
        <w:t>di sistema</w:t>
      </w:r>
      <w:r w:rsidR="003B59DF" w:rsidRPr="00B4003A">
        <w:rPr>
          <w:rFonts w:ascii="Century Schoolbook" w:hAnsi="Century Schoolbook"/>
          <w:sz w:val="16"/>
          <w:szCs w:val="16"/>
        </w:rPr>
        <w:t xml:space="preserve"> dopo quella del</w:t>
      </w:r>
      <w:r w:rsidR="009416B4" w:rsidRPr="00B4003A">
        <w:rPr>
          <w:rFonts w:ascii="Century Schoolbook" w:hAnsi="Century Schoolbook"/>
          <w:sz w:val="16"/>
          <w:szCs w:val="16"/>
        </w:rPr>
        <w:t>l’ormai</w:t>
      </w:r>
      <w:r w:rsidR="003B59DF" w:rsidRPr="00B4003A">
        <w:rPr>
          <w:rFonts w:ascii="Century Schoolbook" w:hAnsi="Century Schoolbook"/>
          <w:sz w:val="16"/>
          <w:szCs w:val="16"/>
        </w:rPr>
        <w:t xml:space="preserve"> </w:t>
      </w:r>
      <w:r w:rsidR="009416B4" w:rsidRPr="00B4003A">
        <w:rPr>
          <w:rFonts w:ascii="Century Schoolbook" w:hAnsi="Century Schoolbook"/>
          <w:sz w:val="16"/>
          <w:szCs w:val="16"/>
        </w:rPr>
        <w:t>remoto</w:t>
      </w:r>
      <w:r w:rsidR="003B59DF" w:rsidRPr="00B4003A">
        <w:rPr>
          <w:rFonts w:ascii="Century Schoolbook" w:hAnsi="Century Schoolbook"/>
          <w:sz w:val="16"/>
          <w:szCs w:val="16"/>
        </w:rPr>
        <w:t xml:space="preserve"> 2001 (</w:t>
      </w:r>
      <w:r w:rsidR="009416B4" w:rsidRPr="00B4003A">
        <w:rPr>
          <w:rFonts w:ascii="Century Schoolbook" w:hAnsi="Century Schoolbook"/>
          <w:sz w:val="16"/>
          <w:szCs w:val="16"/>
        </w:rPr>
        <w:t xml:space="preserve">la </w:t>
      </w:r>
      <w:r w:rsidR="003B59DF" w:rsidRPr="00B4003A">
        <w:rPr>
          <w:rFonts w:ascii="Century Schoolbook" w:hAnsi="Century Schoolbook"/>
          <w:sz w:val="16"/>
          <w:szCs w:val="16"/>
        </w:rPr>
        <w:t>n. 20).</w:t>
      </w:r>
      <w:r w:rsidRPr="00B4003A">
        <w:rPr>
          <w:rFonts w:ascii="Century Schoolbook" w:hAnsi="Century Schoolbook"/>
          <w:sz w:val="16"/>
          <w:szCs w:val="16"/>
        </w:rPr>
        <w:t xml:space="preserve"> </w:t>
      </w:r>
      <w:proofErr w:type="spellStart"/>
      <w:r w:rsidRPr="00B4003A">
        <w:rPr>
          <w:rFonts w:ascii="Century Schoolbook" w:hAnsi="Century Schoolbook"/>
          <w:i/>
          <w:iCs/>
          <w:sz w:val="16"/>
          <w:szCs w:val="16"/>
        </w:rPr>
        <w:t>Spes</w:t>
      </w:r>
      <w:proofErr w:type="spellEnd"/>
      <w:r w:rsidRPr="00B4003A">
        <w:rPr>
          <w:rFonts w:ascii="Century Schoolbook" w:hAnsi="Century Schoolbook"/>
          <w:i/>
          <w:iCs/>
          <w:sz w:val="16"/>
          <w:szCs w:val="16"/>
        </w:rPr>
        <w:t xml:space="preserve"> contra </w:t>
      </w:r>
      <w:proofErr w:type="spellStart"/>
      <w:r w:rsidRPr="00B4003A">
        <w:rPr>
          <w:rFonts w:ascii="Century Schoolbook" w:hAnsi="Century Schoolbook"/>
          <w:i/>
          <w:iCs/>
          <w:sz w:val="16"/>
          <w:szCs w:val="16"/>
        </w:rPr>
        <w:t>spem</w:t>
      </w:r>
      <w:proofErr w:type="spellEnd"/>
      <w:r w:rsidRPr="00B4003A">
        <w:rPr>
          <w:rFonts w:ascii="Century Schoolbook" w:hAnsi="Century Schoolbook"/>
          <w:sz w:val="16"/>
          <w:szCs w:val="16"/>
        </w:rPr>
        <w:t>?</w:t>
      </w:r>
    </w:p>
  </w:footnote>
  <w:footnote w:id="7">
    <w:p w14:paraId="41D9AC9B" w14:textId="76702C49" w:rsidR="007577F1" w:rsidRPr="00B4003A" w:rsidRDefault="007577F1"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V. </w:t>
      </w:r>
      <w:proofErr w:type="spellStart"/>
      <w:r w:rsidRPr="00B4003A">
        <w:rPr>
          <w:rFonts w:ascii="Century Schoolbook" w:hAnsi="Century Schoolbook"/>
          <w:sz w:val="16"/>
          <w:szCs w:val="16"/>
        </w:rPr>
        <w:t>Cerulli</w:t>
      </w:r>
      <w:proofErr w:type="spellEnd"/>
      <w:r w:rsidRPr="00B4003A">
        <w:rPr>
          <w:rFonts w:ascii="Century Schoolbook" w:hAnsi="Century Schoolbook"/>
          <w:sz w:val="16"/>
          <w:szCs w:val="16"/>
        </w:rPr>
        <w:t xml:space="preserve"> Irelli, L. De Lucia, </w:t>
      </w:r>
      <w:r w:rsidRPr="00B4003A">
        <w:rPr>
          <w:rFonts w:ascii="Century Schoolbook" w:hAnsi="Century Schoolbook"/>
          <w:i/>
          <w:iCs/>
          <w:sz w:val="16"/>
          <w:szCs w:val="16"/>
        </w:rPr>
        <w:t>Il secondo “piano casa”: una (incostituzionale) de-pianificazione del territorio</w:t>
      </w:r>
      <w:r w:rsidRPr="00B4003A">
        <w:rPr>
          <w:rFonts w:ascii="Century Schoolbook" w:hAnsi="Century Schoolbook"/>
          <w:sz w:val="16"/>
          <w:szCs w:val="16"/>
        </w:rPr>
        <w:t xml:space="preserve">, in </w:t>
      </w:r>
      <w:r w:rsidRPr="00B4003A">
        <w:rPr>
          <w:rFonts w:ascii="Century Schoolbook" w:hAnsi="Century Schoolbook"/>
          <w:i/>
          <w:iCs/>
          <w:sz w:val="16"/>
          <w:szCs w:val="16"/>
        </w:rPr>
        <w:t>Democrazia e diritto</w:t>
      </w:r>
      <w:r w:rsidRPr="00B4003A">
        <w:rPr>
          <w:rFonts w:ascii="Century Schoolbook" w:hAnsi="Century Schoolbook"/>
          <w:sz w:val="16"/>
          <w:szCs w:val="16"/>
        </w:rPr>
        <w:t>, n. 1/09, p. 109 ss.</w:t>
      </w:r>
    </w:p>
  </w:footnote>
  <w:footnote w:id="8">
    <w:p w14:paraId="1C7B2DA4" w14:textId="7B06675A" w:rsidR="005E324E" w:rsidRPr="00B4003A" w:rsidRDefault="005E324E"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proofErr w:type="spellStart"/>
      <w:r w:rsidRPr="00B4003A">
        <w:rPr>
          <w:rFonts w:ascii="Century Schoolbook" w:hAnsi="Century Schoolbook"/>
          <w:sz w:val="16"/>
          <w:szCs w:val="16"/>
        </w:rPr>
        <w:t>Cerulli</w:t>
      </w:r>
      <w:proofErr w:type="spellEnd"/>
      <w:r w:rsidRPr="00B4003A">
        <w:rPr>
          <w:rFonts w:ascii="Century Schoolbook" w:hAnsi="Century Schoolbook"/>
          <w:sz w:val="16"/>
          <w:szCs w:val="16"/>
        </w:rPr>
        <w:t xml:space="preserve"> Irelli e De Lucia parlano di una «contrapposizione concettuale tra legalità costituzionale (finta e chiusa) e “legittimità di una volontà realmente esistente” (dimostrata dall’ampio consenso al “piano casa” nel sistema delle autonomie e tra gli elettori) e fondata sull’emergenza economica; ma questo modo di ragionare (e di governare) richiama alla mente tetri scenari e ideologie degli anni ’30. Probabilmente entrambi i motivi hanno animato i diversi protagonisti della vicenda» (op. cit., </w:t>
      </w:r>
      <w:proofErr w:type="gramStart"/>
      <w:r w:rsidRPr="00B4003A">
        <w:rPr>
          <w:rFonts w:ascii="Century Schoolbook" w:hAnsi="Century Schoolbook"/>
          <w:sz w:val="16"/>
          <w:szCs w:val="16"/>
        </w:rPr>
        <w:t>p. )</w:t>
      </w:r>
      <w:proofErr w:type="gramEnd"/>
      <w:r w:rsidRPr="00B4003A">
        <w:rPr>
          <w:rFonts w:ascii="Century Schoolbook" w:hAnsi="Century Schoolbook"/>
          <w:sz w:val="16"/>
          <w:szCs w:val="16"/>
        </w:rPr>
        <w:t>.</w:t>
      </w:r>
    </w:p>
  </w:footnote>
  <w:footnote w:id="9">
    <w:p w14:paraId="51D77ED7" w14:textId="270898C1" w:rsidR="002F21A0" w:rsidRPr="00B4003A" w:rsidRDefault="002F21A0"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Da rileggere, sempre, E. Salzano, </w:t>
      </w:r>
      <w:r w:rsidRPr="00B4003A">
        <w:rPr>
          <w:rFonts w:ascii="Century Schoolbook" w:hAnsi="Century Schoolbook"/>
          <w:i/>
          <w:iCs/>
          <w:sz w:val="16"/>
          <w:szCs w:val="16"/>
        </w:rPr>
        <w:t>Memorie di un urbanista. L’Italia che ho vissuto</w:t>
      </w:r>
      <w:r w:rsidRPr="00B4003A">
        <w:rPr>
          <w:rFonts w:ascii="Century Schoolbook" w:hAnsi="Century Schoolbook"/>
          <w:sz w:val="16"/>
          <w:szCs w:val="16"/>
        </w:rPr>
        <w:t xml:space="preserve">, Venezia, Corte del </w:t>
      </w:r>
      <w:proofErr w:type="spellStart"/>
      <w:r w:rsidRPr="00B4003A">
        <w:rPr>
          <w:rFonts w:ascii="Century Schoolbook" w:hAnsi="Century Schoolbook"/>
          <w:sz w:val="16"/>
          <w:szCs w:val="16"/>
        </w:rPr>
        <w:t>Fontego</w:t>
      </w:r>
      <w:proofErr w:type="spellEnd"/>
      <w:r w:rsidRPr="00B4003A">
        <w:rPr>
          <w:rFonts w:ascii="Century Schoolbook" w:hAnsi="Century Schoolbook"/>
          <w:sz w:val="16"/>
          <w:szCs w:val="16"/>
        </w:rPr>
        <w:t xml:space="preserve">, 2010, p. 54: «Al di là delle motivazioni sociali, al di là della tecnica e delle buone pratiche, la discussione andava al sodo: quali fossero i minimi di spazi pubblici da riservare nei piani. I due poli del confronto erano rappresentati da una parte dai parlamentari del PCI, rappresentati in quella sede da Alberto </w:t>
      </w:r>
      <w:proofErr w:type="spellStart"/>
      <w:r w:rsidRPr="00B4003A">
        <w:rPr>
          <w:rFonts w:ascii="Century Schoolbook" w:hAnsi="Century Schoolbook"/>
          <w:sz w:val="16"/>
          <w:szCs w:val="16"/>
        </w:rPr>
        <w:t>Todros</w:t>
      </w:r>
      <w:proofErr w:type="spellEnd"/>
      <w:r w:rsidRPr="00B4003A">
        <w:rPr>
          <w:rFonts w:ascii="Century Schoolbook" w:hAnsi="Century Schoolbook"/>
          <w:sz w:val="16"/>
          <w:szCs w:val="16"/>
        </w:rPr>
        <w:t>, noto urbanista piemontese e amministratore comunale, sopravvissuto al campo di concentramento di Mauthausen, e dall’altra parte dagli esponenti delle imprese di costruzione, rappresentati da Carlo Odorisio, un imprenditore che più tardi seppe lavorare concretamente per un ruolo moderno del settore, orientando l’attività delle aziende alla formazione di profitto industriale anziché all’appropriazione della rendita fondiaria. Allora lo scontro si concluse sulla cifra di 18 metri quadrati per abitante di “spazi pubblici e di uso pubblico”: meno di quanto si praticasse nei comuni evoluti delle amministrazioni di sinistra, ma molto più di quanto si prevedesse nella pianificazione della maggior parte dei comuni nelle altre regioni».</w:t>
      </w:r>
    </w:p>
  </w:footnote>
  <w:footnote w:id="10">
    <w:p w14:paraId="1703FE04" w14:textId="48AEF55E" w:rsidR="0020089D" w:rsidRPr="00B4003A" w:rsidRDefault="00715BE4"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Il Gruppo di lavoro è stato istituito con d</w:t>
      </w:r>
      <w:r w:rsidR="0020089D" w:rsidRPr="00B4003A">
        <w:rPr>
          <w:rFonts w:ascii="Century Schoolbook" w:hAnsi="Century Schoolbook"/>
          <w:sz w:val="16"/>
          <w:szCs w:val="16"/>
        </w:rPr>
        <w:t>ecreto</w:t>
      </w:r>
      <w:r w:rsidRPr="00B4003A">
        <w:rPr>
          <w:rFonts w:ascii="Century Schoolbook" w:hAnsi="Century Schoolbook"/>
          <w:sz w:val="16"/>
          <w:szCs w:val="16"/>
        </w:rPr>
        <w:t xml:space="preserve"> 31 luglio 2018, n. 349 </w:t>
      </w:r>
      <w:r w:rsidR="0020089D" w:rsidRPr="00B4003A">
        <w:rPr>
          <w:rFonts w:ascii="Century Schoolbook" w:hAnsi="Century Schoolbook"/>
          <w:sz w:val="16"/>
          <w:szCs w:val="16"/>
        </w:rPr>
        <w:t xml:space="preserve">(e prorogato con decreto 31 dicembre 2018) </w:t>
      </w:r>
      <w:r w:rsidRPr="00B4003A">
        <w:rPr>
          <w:rFonts w:ascii="Century Schoolbook" w:hAnsi="Century Schoolbook"/>
          <w:sz w:val="16"/>
          <w:szCs w:val="16"/>
        </w:rPr>
        <w:t xml:space="preserve">dal Ministro delle infrastrutture e dei trasporti («Adeguamento del Decreto Interministeriale 2 aprile 1968, n. 1444 alle nuove dotazioni urbanistiche necessarie per i processi di miglioramento della qualità urbana e per la disponibilità di nuovi presidi per la coesione sociale e disciplina dei parametri di altezza e distanza da osservare nella pianificazione urbanistica e nelle costruzioni»). </w:t>
      </w:r>
    </w:p>
    <w:p w14:paraId="558A8530" w14:textId="6C8E22EB" w:rsidR="00715BE4" w:rsidRPr="00B4003A" w:rsidRDefault="00715BE4"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I</w:t>
      </w:r>
      <w:r w:rsidR="0020089D" w:rsidRPr="00B4003A">
        <w:rPr>
          <w:rFonts w:ascii="Century Schoolbook" w:hAnsi="Century Schoolbook"/>
          <w:sz w:val="16"/>
          <w:szCs w:val="16"/>
        </w:rPr>
        <w:t xml:space="preserve"> lavori del</w:t>
      </w:r>
      <w:r w:rsidRPr="00B4003A">
        <w:rPr>
          <w:rFonts w:ascii="Century Schoolbook" w:hAnsi="Century Schoolbook"/>
          <w:sz w:val="16"/>
          <w:szCs w:val="16"/>
        </w:rPr>
        <w:t xml:space="preserve"> Gruppo </w:t>
      </w:r>
      <w:r w:rsidR="0020089D" w:rsidRPr="00B4003A">
        <w:rPr>
          <w:rFonts w:ascii="Century Schoolbook" w:hAnsi="Century Schoolbook"/>
          <w:sz w:val="16"/>
          <w:szCs w:val="16"/>
        </w:rPr>
        <w:t>si sono conclusi con</w:t>
      </w:r>
      <w:r w:rsidRPr="00B4003A">
        <w:rPr>
          <w:rFonts w:ascii="Century Schoolbook" w:hAnsi="Century Schoolbook"/>
          <w:sz w:val="16"/>
          <w:szCs w:val="16"/>
        </w:rPr>
        <w:t xml:space="preserve"> </w:t>
      </w:r>
      <w:r w:rsidR="0020089D" w:rsidRPr="00B4003A">
        <w:rPr>
          <w:rFonts w:ascii="Century Schoolbook" w:hAnsi="Century Schoolbook"/>
          <w:sz w:val="16"/>
          <w:szCs w:val="16"/>
        </w:rPr>
        <w:t>un articolato e con una r</w:t>
      </w:r>
      <w:r w:rsidRPr="00B4003A">
        <w:rPr>
          <w:rFonts w:ascii="Century Schoolbook" w:hAnsi="Century Schoolbook"/>
          <w:sz w:val="16"/>
          <w:szCs w:val="16"/>
        </w:rPr>
        <w:t>elazione conclusiva di accompagnamento</w:t>
      </w:r>
      <w:r w:rsidR="0020089D" w:rsidRPr="00B4003A">
        <w:rPr>
          <w:rFonts w:ascii="Century Schoolbook" w:hAnsi="Century Schoolbook"/>
          <w:sz w:val="16"/>
          <w:szCs w:val="16"/>
        </w:rPr>
        <w:t xml:space="preserve"> (del 3 luglio 2019).</w:t>
      </w:r>
      <w:r w:rsidR="00587A98" w:rsidRPr="00B4003A">
        <w:rPr>
          <w:rFonts w:ascii="Century Schoolbook" w:hAnsi="Century Schoolbook"/>
          <w:sz w:val="16"/>
          <w:szCs w:val="16"/>
        </w:rPr>
        <w:t xml:space="preserve"> </w:t>
      </w:r>
      <w:r w:rsidR="006145E5" w:rsidRPr="00B4003A">
        <w:rPr>
          <w:rFonts w:ascii="Century Schoolbook" w:hAnsi="Century Schoolbook"/>
          <w:sz w:val="16"/>
          <w:szCs w:val="16"/>
        </w:rPr>
        <w:t xml:space="preserve">L’esordio di quella relazione dà subito il giusto rilievo alle radici culturali e alla portata innovativa del d.m. n. 1444/’68: «Il decreto è stato al centro del dibattito urbanistico dell’epoca. Esso fu il prodotto culturale dei vasti studi, di ispirazione statunitense e nordeuropea, sui criteri di progettazione delle nuove città modello e delle ricerche comparative sulle dotazioni di verde pubblico e di servizi che animarono le università e il primo associazionismo italiano dedicato all’urbanistica, alla tutela culturale e ambientale. Le nuove norme sono state adottate anche sull’onda delle prime elaborazioni dei movimenti di emancipazione femminile che reclamavano asili nido e servizi per la famiglia nei centri abitati». </w:t>
      </w:r>
    </w:p>
  </w:footnote>
  <w:footnote w:id="11">
    <w:p w14:paraId="6F51BC07" w14:textId="092D3488" w:rsidR="006C4111" w:rsidRPr="00B4003A" w:rsidRDefault="006C4111"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AC6048" w:rsidRPr="00B4003A">
        <w:rPr>
          <w:rFonts w:ascii="Century Schoolbook" w:hAnsi="Century Schoolbook"/>
          <w:sz w:val="16"/>
          <w:szCs w:val="16"/>
        </w:rPr>
        <w:t>L’anno di moratoria devastò il territorio italiano, praticamente sommerso da una colata di cemento.</w:t>
      </w:r>
    </w:p>
  </w:footnote>
  <w:footnote w:id="12">
    <w:p w14:paraId="32A60274" w14:textId="41A19F04" w:rsidR="002F21A0" w:rsidRPr="00B4003A" w:rsidRDefault="002F21A0" w:rsidP="00F103FF">
      <w:pPr>
        <w:pStyle w:val="Testonotaapidipagina"/>
        <w:spacing w:line="360" w:lineRule="auto"/>
        <w:ind w:firstLine="709"/>
        <w:contextualSpacing/>
        <w:jc w:val="both"/>
        <w:rPr>
          <w:rFonts w:ascii="Century Schoolbook" w:hAnsi="Century Schoolbook" w:cs="Times New Roman"/>
          <w:sz w:val="16"/>
          <w:szCs w:val="16"/>
        </w:rPr>
      </w:pPr>
      <w:r w:rsidRPr="00B4003A">
        <w:rPr>
          <w:rStyle w:val="Rimandonotaapidipagina"/>
          <w:rFonts w:ascii="Century Schoolbook" w:hAnsi="Century Schoolbook" w:cs="Times New Roman"/>
          <w:sz w:val="16"/>
          <w:szCs w:val="16"/>
        </w:rPr>
        <w:footnoteRef/>
      </w:r>
      <w:r w:rsidRPr="00B4003A">
        <w:rPr>
          <w:rFonts w:ascii="Century Schoolbook" w:hAnsi="Century Schoolbook" w:cs="Times New Roman"/>
          <w:sz w:val="16"/>
          <w:szCs w:val="16"/>
        </w:rPr>
        <w:t xml:space="preserve"> C. Odorisio, </w:t>
      </w:r>
      <w:r w:rsidRPr="00B4003A">
        <w:rPr>
          <w:rFonts w:ascii="Century Schoolbook" w:hAnsi="Century Schoolbook" w:cs="Times New Roman"/>
          <w:i/>
          <w:iCs/>
          <w:sz w:val="16"/>
          <w:szCs w:val="16"/>
        </w:rPr>
        <w:t>Il dibattito del ’68 e il bilancio attuale</w:t>
      </w:r>
      <w:r w:rsidRPr="00B4003A">
        <w:rPr>
          <w:rFonts w:ascii="Century Schoolbook" w:hAnsi="Century Schoolbook" w:cs="Times New Roman"/>
          <w:sz w:val="16"/>
          <w:szCs w:val="16"/>
        </w:rPr>
        <w:t xml:space="preserve">, in </w:t>
      </w:r>
      <w:r w:rsidRPr="00B4003A">
        <w:rPr>
          <w:rFonts w:ascii="Century Schoolbook" w:hAnsi="Century Schoolbook" w:cs="Times New Roman"/>
          <w:i/>
          <w:iCs/>
          <w:sz w:val="16"/>
          <w:szCs w:val="16"/>
        </w:rPr>
        <w:t>Urbanistica Dossier</w:t>
      </w:r>
      <w:r w:rsidRPr="00B4003A">
        <w:rPr>
          <w:rFonts w:ascii="Century Schoolbook" w:hAnsi="Century Schoolbook" w:cs="Times New Roman"/>
          <w:sz w:val="16"/>
          <w:szCs w:val="16"/>
        </w:rPr>
        <w:t>, 1999, n. 21, p. 7.</w:t>
      </w:r>
    </w:p>
  </w:footnote>
  <w:footnote w:id="13">
    <w:p w14:paraId="660EDBC2" w14:textId="5E76F9A6" w:rsidR="00D154D2" w:rsidRPr="00B4003A" w:rsidRDefault="00D154D2"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117152" w:rsidRPr="00B4003A">
        <w:rPr>
          <w:rFonts w:ascii="Century Schoolbook" w:hAnsi="Century Schoolbook"/>
          <w:sz w:val="16"/>
          <w:szCs w:val="16"/>
        </w:rPr>
        <w:t xml:space="preserve">Teoria </w:t>
      </w:r>
      <w:r w:rsidRPr="00B4003A">
        <w:rPr>
          <w:rFonts w:ascii="Century Schoolbook" w:hAnsi="Century Schoolbook"/>
          <w:sz w:val="16"/>
          <w:szCs w:val="16"/>
        </w:rPr>
        <w:t xml:space="preserve">non priva di </w:t>
      </w:r>
      <w:r w:rsidR="00117152" w:rsidRPr="00B4003A">
        <w:rPr>
          <w:rFonts w:ascii="Century Schoolbook" w:hAnsi="Century Schoolbook"/>
          <w:sz w:val="16"/>
          <w:szCs w:val="16"/>
        </w:rPr>
        <w:t xml:space="preserve">molte </w:t>
      </w:r>
      <w:r w:rsidRPr="00B4003A">
        <w:rPr>
          <w:rFonts w:ascii="Century Schoolbook" w:hAnsi="Century Schoolbook"/>
          <w:sz w:val="16"/>
          <w:szCs w:val="16"/>
        </w:rPr>
        <w:t xml:space="preserve">ambiguità, quella della </w:t>
      </w:r>
      <w:r w:rsidR="00F54004" w:rsidRPr="00B4003A">
        <w:rPr>
          <w:rFonts w:ascii="Century Schoolbook" w:hAnsi="Century Schoolbook"/>
          <w:i/>
          <w:iCs/>
          <w:sz w:val="16"/>
          <w:szCs w:val="16"/>
        </w:rPr>
        <w:t>invenzione</w:t>
      </w:r>
      <w:r w:rsidR="00F54004" w:rsidRPr="00B4003A">
        <w:rPr>
          <w:rFonts w:ascii="Century Schoolbook" w:hAnsi="Century Schoolbook"/>
          <w:sz w:val="16"/>
          <w:szCs w:val="16"/>
        </w:rPr>
        <w:t xml:space="preserve"> del diritto</w:t>
      </w:r>
      <w:r w:rsidR="000C67D2" w:rsidRPr="00B4003A">
        <w:rPr>
          <w:rFonts w:ascii="Century Schoolbook" w:hAnsi="Century Schoolbook"/>
          <w:sz w:val="16"/>
          <w:szCs w:val="16"/>
        </w:rPr>
        <w:t xml:space="preserve">. </w:t>
      </w:r>
      <w:r w:rsidR="00F54004" w:rsidRPr="00B4003A">
        <w:rPr>
          <w:rFonts w:ascii="Century Schoolbook" w:hAnsi="Century Schoolbook"/>
          <w:sz w:val="16"/>
          <w:szCs w:val="16"/>
        </w:rPr>
        <w:t xml:space="preserve"> Nella sostanza, il giudice – o se si preferisce quest’altro sintagma, più esteso per comprensività: l’organo dell’applicazione – </w:t>
      </w:r>
      <w:r w:rsidR="00F54004" w:rsidRPr="00B4003A">
        <w:rPr>
          <w:rFonts w:ascii="Century Schoolbook" w:hAnsi="Century Schoolbook"/>
          <w:i/>
          <w:iCs/>
          <w:sz w:val="16"/>
          <w:szCs w:val="16"/>
        </w:rPr>
        <w:t xml:space="preserve">trova </w:t>
      </w:r>
      <w:r w:rsidR="00F54004" w:rsidRPr="00B4003A">
        <w:rPr>
          <w:rFonts w:ascii="Century Schoolbook" w:hAnsi="Century Schoolbook"/>
          <w:sz w:val="16"/>
          <w:szCs w:val="16"/>
        </w:rPr>
        <w:t>(</w:t>
      </w:r>
      <w:proofErr w:type="spellStart"/>
      <w:r w:rsidR="00F54004" w:rsidRPr="00B4003A">
        <w:rPr>
          <w:rFonts w:ascii="Century Schoolbook" w:hAnsi="Century Schoolbook"/>
          <w:i/>
          <w:iCs/>
          <w:sz w:val="16"/>
          <w:szCs w:val="16"/>
        </w:rPr>
        <w:t>invenit</w:t>
      </w:r>
      <w:proofErr w:type="spellEnd"/>
      <w:r w:rsidR="00F54004" w:rsidRPr="00B4003A">
        <w:rPr>
          <w:rFonts w:ascii="Century Schoolbook" w:hAnsi="Century Schoolbook"/>
          <w:sz w:val="16"/>
          <w:szCs w:val="16"/>
        </w:rPr>
        <w:t xml:space="preserve">, appunto) la regola decisoria non nel diritto legislativo, ma </w:t>
      </w:r>
      <w:r w:rsidR="000C67D2" w:rsidRPr="00B4003A">
        <w:rPr>
          <w:rFonts w:ascii="Century Schoolbook" w:hAnsi="Century Schoolbook"/>
          <w:sz w:val="16"/>
          <w:szCs w:val="16"/>
        </w:rPr>
        <w:t xml:space="preserve">nel substrato socio-economico col quale egli si pone in collegamento diretto, scavalcando la mediazione della </w:t>
      </w:r>
      <w:proofErr w:type="spellStart"/>
      <w:r w:rsidR="000C67D2" w:rsidRPr="00B4003A">
        <w:rPr>
          <w:rFonts w:ascii="Century Schoolbook" w:hAnsi="Century Schoolbook"/>
          <w:i/>
          <w:iCs/>
          <w:sz w:val="16"/>
          <w:szCs w:val="16"/>
        </w:rPr>
        <w:t>lex</w:t>
      </w:r>
      <w:proofErr w:type="spellEnd"/>
      <w:r w:rsidR="000C67D2" w:rsidRPr="00B4003A">
        <w:rPr>
          <w:rFonts w:ascii="Century Schoolbook" w:hAnsi="Century Schoolbook"/>
          <w:i/>
          <w:iCs/>
          <w:sz w:val="16"/>
          <w:szCs w:val="16"/>
        </w:rPr>
        <w:t xml:space="preserve"> </w:t>
      </w:r>
      <w:proofErr w:type="spellStart"/>
      <w:r w:rsidR="000C67D2" w:rsidRPr="00B4003A">
        <w:rPr>
          <w:rFonts w:ascii="Century Schoolbook" w:hAnsi="Century Schoolbook"/>
          <w:i/>
          <w:iCs/>
          <w:sz w:val="16"/>
          <w:szCs w:val="16"/>
        </w:rPr>
        <w:t>posita</w:t>
      </w:r>
      <w:proofErr w:type="spellEnd"/>
      <w:r w:rsidR="000C67D2" w:rsidRPr="00B4003A">
        <w:rPr>
          <w:rFonts w:ascii="Century Schoolbook" w:hAnsi="Century Schoolbook"/>
          <w:sz w:val="16"/>
          <w:szCs w:val="16"/>
        </w:rPr>
        <w:t xml:space="preserve">. </w:t>
      </w:r>
      <w:r w:rsidR="00B534FC" w:rsidRPr="00B4003A">
        <w:rPr>
          <w:rFonts w:ascii="Century Schoolbook" w:hAnsi="Century Schoolbook"/>
          <w:sz w:val="16"/>
          <w:szCs w:val="16"/>
        </w:rPr>
        <w:t xml:space="preserve">Meno problematico nel caso di silenzio legislativo sul caso da decidere, il tema diviene molto delicato quando il </w:t>
      </w:r>
      <w:r w:rsidR="00B534FC" w:rsidRPr="00B4003A">
        <w:rPr>
          <w:rFonts w:ascii="Century Schoolbook" w:hAnsi="Century Schoolbook"/>
          <w:i/>
          <w:iCs/>
          <w:sz w:val="16"/>
          <w:szCs w:val="16"/>
        </w:rPr>
        <w:t>Richterrecht</w:t>
      </w:r>
      <w:r w:rsidR="00B534FC" w:rsidRPr="00B4003A">
        <w:rPr>
          <w:rFonts w:ascii="Century Schoolbook" w:hAnsi="Century Schoolbook"/>
          <w:sz w:val="16"/>
          <w:szCs w:val="16"/>
        </w:rPr>
        <w:t xml:space="preserve"> arriva a porsi </w:t>
      </w:r>
      <w:r w:rsidR="00B534FC" w:rsidRPr="00B4003A">
        <w:rPr>
          <w:rFonts w:ascii="Century Schoolbook" w:hAnsi="Century Schoolbook"/>
          <w:i/>
          <w:iCs/>
          <w:sz w:val="16"/>
          <w:szCs w:val="16"/>
        </w:rPr>
        <w:t>contra legem</w:t>
      </w:r>
      <w:r w:rsidR="00B534FC" w:rsidRPr="00B4003A">
        <w:rPr>
          <w:rFonts w:ascii="Century Schoolbook" w:hAnsi="Century Schoolbook"/>
          <w:sz w:val="16"/>
          <w:szCs w:val="16"/>
        </w:rPr>
        <w:t>.</w:t>
      </w:r>
      <w:r w:rsidR="00B74C04" w:rsidRPr="00B4003A">
        <w:rPr>
          <w:rFonts w:ascii="Century Schoolbook" w:hAnsi="Century Schoolbook"/>
          <w:sz w:val="16"/>
          <w:szCs w:val="16"/>
        </w:rPr>
        <w:t xml:space="preserve"> Ma ci sono casi in </w:t>
      </w:r>
      <w:r w:rsidR="00F00B57" w:rsidRPr="00B4003A">
        <w:rPr>
          <w:rFonts w:ascii="Century Schoolbook" w:hAnsi="Century Schoolbook"/>
          <w:sz w:val="16"/>
          <w:szCs w:val="16"/>
        </w:rPr>
        <w:t>cui</w:t>
      </w:r>
      <w:r w:rsidR="00B74C04" w:rsidRPr="00B4003A">
        <w:rPr>
          <w:rFonts w:ascii="Century Schoolbook" w:hAnsi="Century Schoolbook"/>
          <w:sz w:val="16"/>
          <w:szCs w:val="16"/>
        </w:rPr>
        <w:t xml:space="preserve"> forzature</w:t>
      </w:r>
      <w:r w:rsidR="00F00B57" w:rsidRPr="00B4003A">
        <w:rPr>
          <w:rFonts w:ascii="Century Schoolbook" w:hAnsi="Century Schoolbook"/>
          <w:sz w:val="16"/>
          <w:szCs w:val="16"/>
        </w:rPr>
        <w:t xml:space="preserve"> del genere – occorre ammetterlo – sono preziose: la difesa degli standard è stata una di queste, almeno sino a quando nel 2013 un legislatore privo di scrupoli non ha sconvolto quell’equilibrio così fragile</w:t>
      </w:r>
      <w:r w:rsidR="00302F44" w:rsidRPr="00B4003A">
        <w:rPr>
          <w:rFonts w:ascii="Century Schoolbook" w:hAnsi="Century Schoolbook"/>
          <w:sz w:val="16"/>
          <w:szCs w:val="16"/>
        </w:rPr>
        <w:t>, nei termini che</w:t>
      </w:r>
      <w:r w:rsidR="00F00B57" w:rsidRPr="00B4003A">
        <w:rPr>
          <w:rFonts w:ascii="Century Schoolbook" w:hAnsi="Century Schoolbook"/>
          <w:sz w:val="16"/>
          <w:szCs w:val="16"/>
        </w:rPr>
        <w:t xml:space="preserve"> vedremo fra poco.</w:t>
      </w:r>
    </w:p>
  </w:footnote>
  <w:footnote w:id="14">
    <w:p w14:paraId="03D486F7" w14:textId="1682FE84" w:rsidR="00F273C2" w:rsidRPr="00B4003A" w:rsidRDefault="00042D02"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C. cost. 24 febbraio 2017, n. 41, la quale richiama le sue sentenze </w:t>
      </w:r>
      <w:r w:rsidR="006F685F" w:rsidRPr="00B4003A">
        <w:rPr>
          <w:rFonts w:ascii="Century Schoolbook" w:hAnsi="Century Schoolbook"/>
          <w:sz w:val="16"/>
          <w:szCs w:val="16"/>
        </w:rPr>
        <w:t xml:space="preserve">20 luglio 2016, </w:t>
      </w:r>
      <w:r w:rsidRPr="00B4003A">
        <w:rPr>
          <w:rFonts w:ascii="Century Schoolbook" w:hAnsi="Century Schoolbook"/>
          <w:sz w:val="16"/>
          <w:szCs w:val="16"/>
        </w:rPr>
        <w:t>n. 185</w:t>
      </w:r>
      <w:r w:rsidR="001C1E27" w:rsidRPr="00B4003A">
        <w:rPr>
          <w:rFonts w:ascii="Century Schoolbook" w:hAnsi="Century Schoolbook"/>
          <w:sz w:val="16"/>
          <w:szCs w:val="16"/>
        </w:rPr>
        <w:t xml:space="preserve"> («questa Corte ha più volte ritenuto dotato di efficacia precettiva e inderogabile» il d.m.)</w:t>
      </w:r>
      <w:r w:rsidR="001F51A4" w:rsidRPr="00B4003A">
        <w:rPr>
          <w:rFonts w:ascii="Century Schoolbook" w:hAnsi="Century Schoolbook"/>
          <w:sz w:val="16"/>
          <w:szCs w:val="16"/>
        </w:rPr>
        <w:t>;</w:t>
      </w:r>
      <w:r w:rsidRPr="00B4003A">
        <w:rPr>
          <w:rFonts w:ascii="Century Schoolbook" w:hAnsi="Century Schoolbook"/>
          <w:sz w:val="16"/>
          <w:szCs w:val="16"/>
        </w:rPr>
        <w:t xml:space="preserve"> </w:t>
      </w:r>
      <w:r w:rsidR="006F685F" w:rsidRPr="00B4003A">
        <w:rPr>
          <w:rFonts w:ascii="Century Schoolbook" w:hAnsi="Century Schoolbook"/>
          <w:sz w:val="16"/>
          <w:szCs w:val="16"/>
        </w:rPr>
        <w:t xml:space="preserve">10 maggio 2012, </w:t>
      </w:r>
      <w:r w:rsidRPr="00B4003A">
        <w:rPr>
          <w:rFonts w:ascii="Century Schoolbook" w:hAnsi="Century Schoolbook"/>
          <w:sz w:val="16"/>
          <w:szCs w:val="16"/>
        </w:rPr>
        <w:t xml:space="preserve">n. 114 </w:t>
      </w:r>
      <w:r w:rsidR="001F51A4" w:rsidRPr="00B4003A">
        <w:rPr>
          <w:rFonts w:ascii="Century Schoolbook" w:hAnsi="Century Schoolbook"/>
          <w:sz w:val="16"/>
          <w:szCs w:val="16"/>
        </w:rPr>
        <w:t xml:space="preserve">(che invoca, a tutela della «natura precettiva e inderogabile» del d.m., la «giurisprudenza consolidata»); </w:t>
      </w:r>
      <w:r w:rsidR="00CA78AE" w:rsidRPr="00B4003A">
        <w:rPr>
          <w:rFonts w:ascii="Century Schoolbook" w:hAnsi="Century Schoolbook"/>
          <w:sz w:val="16"/>
          <w:szCs w:val="16"/>
        </w:rPr>
        <w:t xml:space="preserve">16 giugno 2005, </w:t>
      </w:r>
      <w:r w:rsidRPr="00B4003A">
        <w:rPr>
          <w:rFonts w:ascii="Century Schoolbook" w:hAnsi="Century Schoolbook"/>
          <w:sz w:val="16"/>
          <w:szCs w:val="16"/>
        </w:rPr>
        <w:t>n. 232</w:t>
      </w:r>
      <w:r w:rsidR="001F51A4" w:rsidRPr="00B4003A">
        <w:rPr>
          <w:rFonts w:ascii="Century Schoolbook" w:hAnsi="Century Schoolbook"/>
          <w:sz w:val="16"/>
          <w:szCs w:val="16"/>
        </w:rPr>
        <w:t xml:space="preserve"> (</w:t>
      </w:r>
      <w:r w:rsidR="00CA78AE" w:rsidRPr="00B4003A">
        <w:rPr>
          <w:rFonts w:ascii="Century Schoolbook" w:hAnsi="Century Schoolbook"/>
          <w:sz w:val="16"/>
          <w:szCs w:val="16"/>
        </w:rPr>
        <w:t xml:space="preserve">che invece </w:t>
      </w:r>
      <w:r w:rsidR="00863B26" w:rsidRPr="00B4003A">
        <w:rPr>
          <w:rFonts w:ascii="Century Schoolbook" w:hAnsi="Century Schoolbook"/>
          <w:sz w:val="16"/>
          <w:szCs w:val="16"/>
        </w:rPr>
        <w:t xml:space="preserve">allo stesso fine </w:t>
      </w:r>
      <w:r w:rsidR="00CA78AE" w:rsidRPr="00B4003A">
        <w:rPr>
          <w:rFonts w:ascii="Century Schoolbook" w:hAnsi="Century Schoolbook"/>
          <w:sz w:val="16"/>
          <w:szCs w:val="16"/>
        </w:rPr>
        <w:t xml:space="preserve">parla di «un </w:t>
      </w:r>
      <w:r w:rsidR="001F51A4" w:rsidRPr="00B4003A">
        <w:rPr>
          <w:rFonts w:ascii="Century Schoolbook" w:hAnsi="Century Schoolbook"/>
          <w:sz w:val="16"/>
          <w:szCs w:val="16"/>
        </w:rPr>
        <w:t>prin</w:t>
      </w:r>
      <w:r w:rsidR="00CA78AE" w:rsidRPr="00B4003A">
        <w:rPr>
          <w:rFonts w:ascii="Century Schoolbook" w:hAnsi="Century Schoolbook"/>
          <w:sz w:val="16"/>
          <w:szCs w:val="16"/>
        </w:rPr>
        <w:t xml:space="preserve">cipio </w:t>
      </w:r>
      <w:r w:rsidR="001F51A4" w:rsidRPr="00B4003A">
        <w:rPr>
          <w:rFonts w:ascii="Century Schoolbook" w:hAnsi="Century Schoolbook"/>
          <w:sz w:val="16"/>
          <w:szCs w:val="16"/>
        </w:rPr>
        <w:t xml:space="preserve">giurisprudenziale consolidato»); </w:t>
      </w:r>
      <w:r w:rsidR="006F685F" w:rsidRPr="00B4003A">
        <w:rPr>
          <w:rFonts w:ascii="Century Schoolbook" w:hAnsi="Century Schoolbook"/>
          <w:sz w:val="16"/>
          <w:szCs w:val="16"/>
        </w:rPr>
        <w:t xml:space="preserve">cui </w:t>
      </w:r>
      <w:proofErr w:type="spellStart"/>
      <w:r w:rsidR="006F685F" w:rsidRPr="00B4003A">
        <w:rPr>
          <w:rFonts w:ascii="Century Schoolbook" w:hAnsi="Century Schoolbook"/>
          <w:i/>
          <w:iCs/>
          <w:sz w:val="16"/>
          <w:szCs w:val="16"/>
        </w:rPr>
        <w:t>adde</w:t>
      </w:r>
      <w:proofErr w:type="spellEnd"/>
      <w:r w:rsidR="006F685F" w:rsidRPr="00B4003A">
        <w:rPr>
          <w:rFonts w:ascii="Century Schoolbook" w:hAnsi="Century Schoolbook"/>
          <w:sz w:val="16"/>
          <w:szCs w:val="16"/>
        </w:rPr>
        <w:t xml:space="preserve"> l’ordinanza </w:t>
      </w:r>
      <w:r w:rsidR="001C1E27" w:rsidRPr="00B4003A">
        <w:rPr>
          <w:rFonts w:ascii="Century Schoolbook" w:hAnsi="Century Schoolbook"/>
          <w:sz w:val="16"/>
          <w:szCs w:val="16"/>
        </w:rPr>
        <w:t xml:space="preserve">19 maggio 2011, </w:t>
      </w:r>
      <w:r w:rsidR="006F685F" w:rsidRPr="00B4003A">
        <w:rPr>
          <w:rFonts w:ascii="Century Schoolbook" w:hAnsi="Century Schoolbook"/>
          <w:sz w:val="16"/>
          <w:szCs w:val="16"/>
        </w:rPr>
        <w:t xml:space="preserve">n. 173 </w:t>
      </w:r>
      <w:r w:rsidR="00863B26" w:rsidRPr="00B4003A">
        <w:rPr>
          <w:rFonts w:ascii="Century Schoolbook" w:hAnsi="Century Schoolbook"/>
          <w:sz w:val="16"/>
          <w:szCs w:val="16"/>
        </w:rPr>
        <w:t>(secondo cui una legge regionale di deroga «non può […] operare nei casi in cui lo strumento urbanistico riproduce disposizioni normative di rango superiore, a carattere inderogabile, quali sono quelle […] del d.m. n. 1444 del 1968»</w:t>
      </w:r>
      <w:r w:rsidR="006F685F" w:rsidRPr="00B4003A">
        <w:rPr>
          <w:rFonts w:ascii="Century Schoolbook" w:hAnsi="Century Schoolbook"/>
          <w:sz w:val="16"/>
          <w:szCs w:val="16"/>
        </w:rPr>
        <w:t>.</w:t>
      </w:r>
      <w:r w:rsidR="001C408C" w:rsidRPr="00B4003A">
        <w:rPr>
          <w:rFonts w:ascii="Century Schoolbook" w:hAnsi="Century Schoolbook"/>
          <w:sz w:val="16"/>
          <w:szCs w:val="16"/>
        </w:rPr>
        <w:t xml:space="preserve"> </w:t>
      </w:r>
      <w:r w:rsidR="00F273C2" w:rsidRPr="00B4003A">
        <w:rPr>
          <w:rFonts w:ascii="Century Schoolbook" w:hAnsi="Century Schoolbook"/>
          <w:sz w:val="16"/>
          <w:szCs w:val="16"/>
        </w:rPr>
        <w:t>Su C. cost. n. 41/’17 torneremo più volte.</w:t>
      </w:r>
    </w:p>
  </w:footnote>
  <w:footnote w:id="15">
    <w:p w14:paraId="307B61E8" w14:textId="77777777" w:rsidR="004E29C2" w:rsidRPr="00B4003A" w:rsidRDefault="004E29C2"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Cass., II, 27 marzo 2001, n. 4113.</w:t>
      </w:r>
    </w:p>
  </w:footnote>
  <w:footnote w:id="16">
    <w:p w14:paraId="3058B714" w14:textId="1A391E2C" w:rsidR="009F44AE" w:rsidRPr="00B4003A" w:rsidRDefault="009F44AE" w:rsidP="00452AA3">
      <w:pPr>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Cons. Stato, IV, 9 maggio 2011, n. 2749. Ma v. già Cons. St., IV, 2 novembre 2010 n. 7731 (ivi puntualmente richiamata): «l’art. 9 del d.m. 2 aprile 1968 n. 1444, che detta disposizioni in tema di distanze tra le costruzioni, stante la natura di norma primaria, sostituisce eventuali disposizioni contrarie contenute nelle norme tecniche di attuazione (Consiglio di Stato, sez. IV, 5 dicembre 2005, n. 6909)»; a sua volta, per Cons. St. n. 6909/’05 da ultimo ricordata l’art. 9 del decreto è norma «che, in ogni caso, stante la sua natura di norma primaria, sarebbe comunque obbligatoriamente applicabile in sostituzione di eventuali disposizioni illegittime (Cass. civ., Sez. II, 10 gennaio 2003, n. 158; 27 marzo 2001, n. 4713)».</w:t>
      </w:r>
    </w:p>
  </w:footnote>
  <w:footnote w:id="17">
    <w:p w14:paraId="23E7A144" w14:textId="2C525488" w:rsidR="00E8334F" w:rsidRPr="00B4003A" w:rsidRDefault="00E8334F"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«D’altro canto la stessa giurisprudenza di questa Corte ha stabilito che la deroga alle distanze minime potrà essere contenuta, oltre che in piani particolareggiati o di lottizzazione, in ogni strumento urbanistico equivalente sotto il profilo della sostanza e delle finalità, purché caratterizzato da una progettazione dettagliata e definita degli interventi (sentenza n. 6 del 2013). Ne consegue che devono ritenersi ammissibili le deroghe predisposte nel contesto dei piani urbanistici attuativi, in quanto strumenti funzionali a conformare un assetto complessivo e unitario di determinate zone del territorio […]» (C. cost., n. 41/’17, cit.).</w:t>
      </w:r>
    </w:p>
  </w:footnote>
  <w:footnote w:id="18">
    <w:p w14:paraId="242F6E25" w14:textId="270E660E" w:rsidR="000F3282" w:rsidRPr="00B4003A" w:rsidRDefault="000F3282"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Ho ovviamente aggiunto il corsivo.</w:t>
      </w:r>
    </w:p>
  </w:footnote>
  <w:footnote w:id="19">
    <w:p w14:paraId="39DB9E62" w14:textId="77777777" w:rsidR="00F01E36" w:rsidRPr="00B4003A" w:rsidRDefault="00F01E36"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In questa parte – come si può notare – la norma è molto generica, ma il suo significato è evidente nel senso che ho esplicitato nel testo.</w:t>
      </w:r>
    </w:p>
  </w:footnote>
  <w:footnote w:id="20">
    <w:p w14:paraId="43086EBC" w14:textId="5F000C75" w:rsidR="00626B3B" w:rsidRPr="00B4003A" w:rsidRDefault="000620E2" w:rsidP="00F103FF">
      <w:pPr>
        <w:spacing w:line="360" w:lineRule="auto"/>
        <w:ind w:firstLine="709"/>
        <w:contextualSpacing/>
        <w:jc w:val="both"/>
        <w:rPr>
          <w:rFonts w:ascii="Century Schoolbook" w:eastAsia="Times New Roman" w:hAnsi="Century Schoolbook" w:cs="Times New Roman"/>
          <w:color w:val="000000" w:themeColor="text1"/>
          <w:sz w:val="16"/>
          <w:szCs w:val="16"/>
          <w:lang w:eastAsia="it-IT"/>
        </w:rPr>
      </w:pPr>
      <w:r w:rsidRPr="00B4003A">
        <w:rPr>
          <w:rStyle w:val="Rimandonotaapidipagina"/>
          <w:rFonts w:ascii="Century Schoolbook" w:hAnsi="Century Schoolbook"/>
          <w:sz w:val="16"/>
          <w:szCs w:val="16"/>
        </w:rPr>
        <w:footnoteRef/>
      </w:r>
      <w:r w:rsidR="001D382B" w:rsidRPr="00B4003A">
        <w:rPr>
          <w:rFonts w:ascii="Century Schoolbook" w:hAnsi="Century Schoolbook"/>
          <w:sz w:val="16"/>
          <w:szCs w:val="16"/>
        </w:rPr>
        <w:t xml:space="preserve"> </w:t>
      </w:r>
      <w:r w:rsidR="00236DF8" w:rsidRPr="00B4003A">
        <w:rPr>
          <w:rFonts w:ascii="Century Schoolbook" w:hAnsi="Century Schoolbook"/>
          <w:sz w:val="16"/>
          <w:szCs w:val="16"/>
        </w:rPr>
        <w:t>Insieme con l’on.</w:t>
      </w:r>
      <w:r w:rsidR="001D382B" w:rsidRPr="00B4003A">
        <w:rPr>
          <w:rFonts w:ascii="Century Schoolbook" w:hAnsi="Century Schoolbook"/>
          <w:sz w:val="16"/>
          <w:szCs w:val="16"/>
        </w:rPr>
        <w:t xml:space="preserve"> </w:t>
      </w:r>
      <w:r w:rsidR="001D382B" w:rsidRPr="00B4003A">
        <w:rPr>
          <w:rFonts w:ascii="Century Schoolbook" w:hAnsi="Century Schoolbook"/>
          <w:color w:val="000000" w:themeColor="text1"/>
          <w:sz w:val="16"/>
          <w:szCs w:val="16"/>
        </w:rPr>
        <w:t>Filiberto Zaratti</w:t>
      </w:r>
      <w:r w:rsidR="001D382B" w:rsidRPr="00B4003A">
        <w:rPr>
          <w:rFonts w:ascii="Century Schoolbook" w:eastAsia="Times New Roman" w:hAnsi="Century Schoolbook" w:cs="Times New Roman"/>
          <w:color w:val="000000" w:themeColor="text1"/>
          <w:sz w:val="16"/>
          <w:szCs w:val="16"/>
          <w:lang w:eastAsia="it-IT"/>
        </w:rPr>
        <w:t xml:space="preserve">, </w:t>
      </w:r>
      <w:r w:rsidR="00236DF8" w:rsidRPr="00B4003A">
        <w:rPr>
          <w:rFonts w:ascii="Century Schoolbook" w:eastAsia="Times New Roman" w:hAnsi="Century Schoolbook" w:cs="Times New Roman"/>
          <w:color w:val="000000" w:themeColor="text1"/>
          <w:sz w:val="16"/>
          <w:szCs w:val="16"/>
          <w:lang w:eastAsia="it-IT"/>
        </w:rPr>
        <w:t xml:space="preserve">l’8 agosto 2013 presentano la proposta emendativa </w:t>
      </w:r>
      <w:r w:rsidR="00626B3B" w:rsidRPr="00B4003A">
        <w:rPr>
          <w:rFonts w:ascii="Century Schoolbook" w:eastAsia="Times New Roman" w:hAnsi="Century Schoolbook" w:cs="Times New Roman"/>
          <w:color w:val="000000" w:themeColor="text1"/>
          <w:sz w:val="16"/>
          <w:szCs w:val="16"/>
          <w:lang w:eastAsia="it-IT"/>
        </w:rPr>
        <w:t xml:space="preserve">soppressiva n. </w:t>
      </w:r>
      <w:r w:rsidR="00236DF8" w:rsidRPr="00B4003A">
        <w:rPr>
          <w:rFonts w:ascii="Century Schoolbook" w:eastAsia="Times New Roman" w:hAnsi="Century Schoolbook" w:cs="Times New Roman"/>
          <w:color w:val="000000" w:themeColor="text1"/>
          <w:sz w:val="16"/>
          <w:szCs w:val="16"/>
          <w:lang w:eastAsia="it-IT"/>
        </w:rPr>
        <w:t xml:space="preserve">30.1 anche gli on.li </w:t>
      </w:r>
      <w:r w:rsidR="001D382B" w:rsidRPr="00B4003A">
        <w:rPr>
          <w:rFonts w:ascii="Century Schoolbook" w:eastAsia="Times New Roman" w:hAnsi="Century Schoolbook" w:cs="Times New Roman"/>
          <w:color w:val="000000" w:themeColor="text1"/>
          <w:sz w:val="16"/>
          <w:szCs w:val="16"/>
          <w:lang w:eastAsia="it-IT"/>
        </w:rPr>
        <w:t xml:space="preserve">Serena </w:t>
      </w:r>
      <w:hyperlink r:id="rId1" w:history="1">
        <w:r w:rsidR="001D382B" w:rsidRPr="00B4003A">
          <w:rPr>
            <w:rFonts w:ascii="Century Schoolbook" w:eastAsia="Times New Roman" w:hAnsi="Century Schoolbook" w:cs="Times New Roman"/>
            <w:color w:val="000000" w:themeColor="text1"/>
            <w:sz w:val="16"/>
            <w:szCs w:val="16"/>
            <w:lang w:eastAsia="it-IT"/>
          </w:rPr>
          <w:t>Pellegrino</w:t>
        </w:r>
      </w:hyperlink>
      <w:r w:rsidR="001D382B" w:rsidRPr="00B4003A">
        <w:rPr>
          <w:rFonts w:ascii="Century Schoolbook" w:eastAsia="Times New Roman" w:hAnsi="Century Schoolbook" w:cs="Times New Roman"/>
          <w:color w:val="000000" w:themeColor="text1"/>
          <w:sz w:val="16"/>
          <w:szCs w:val="16"/>
          <w:lang w:eastAsia="it-IT"/>
        </w:rPr>
        <w:t xml:space="preserve">, Alessandro </w:t>
      </w:r>
      <w:hyperlink r:id="rId2" w:history="1">
        <w:proofErr w:type="spellStart"/>
        <w:r w:rsidR="001D382B" w:rsidRPr="00B4003A">
          <w:rPr>
            <w:rFonts w:ascii="Century Schoolbook" w:eastAsia="Times New Roman" w:hAnsi="Century Schoolbook" w:cs="Times New Roman"/>
            <w:color w:val="000000" w:themeColor="text1"/>
            <w:sz w:val="16"/>
            <w:szCs w:val="16"/>
            <w:lang w:eastAsia="it-IT"/>
          </w:rPr>
          <w:t>Zan</w:t>
        </w:r>
        <w:proofErr w:type="spellEnd"/>
        <w:r w:rsidR="001D382B" w:rsidRPr="00B4003A">
          <w:rPr>
            <w:rFonts w:ascii="Century Schoolbook" w:eastAsia="Times New Roman" w:hAnsi="Century Schoolbook" w:cs="Times New Roman"/>
            <w:color w:val="000000" w:themeColor="text1"/>
            <w:sz w:val="16"/>
            <w:szCs w:val="16"/>
            <w:lang w:eastAsia="it-IT"/>
          </w:rPr>
          <w:t>,</w:t>
        </w:r>
      </w:hyperlink>
      <w:r w:rsidR="001D382B" w:rsidRPr="00B4003A">
        <w:rPr>
          <w:rFonts w:ascii="Century Schoolbook" w:eastAsia="Times New Roman" w:hAnsi="Century Schoolbook" w:cs="Times New Roman"/>
          <w:color w:val="000000" w:themeColor="text1"/>
          <w:sz w:val="16"/>
          <w:szCs w:val="16"/>
          <w:lang w:eastAsia="it-IT"/>
        </w:rPr>
        <w:t xml:space="preserve"> Florian </w:t>
      </w:r>
      <w:hyperlink r:id="rId3" w:history="1">
        <w:proofErr w:type="spellStart"/>
        <w:r w:rsidR="001D382B" w:rsidRPr="00B4003A">
          <w:rPr>
            <w:rFonts w:ascii="Century Schoolbook" w:eastAsia="Times New Roman" w:hAnsi="Century Schoolbook" w:cs="Times New Roman"/>
            <w:color w:val="000000" w:themeColor="text1"/>
            <w:sz w:val="16"/>
            <w:szCs w:val="16"/>
            <w:lang w:eastAsia="it-IT"/>
          </w:rPr>
          <w:t>Kronbichler</w:t>
        </w:r>
        <w:proofErr w:type="spellEnd"/>
      </w:hyperlink>
      <w:r w:rsidR="001D382B" w:rsidRPr="00B4003A">
        <w:rPr>
          <w:rFonts w:ascii="Century Schoolbook" w:eastAsia="Times New Roman" w:hAnsi="Century Schoolbook" w:cs="Times New Roman"/>
          <w:color w:val="000000" w:themeColor="text1"/>
          <w:sz w:val="16"/>
          <w:szCs w:val="16"/>
          <w:lang w:eastAsia="it-IT"/>
        </w:rPr>
        <w:t xml:space="preserve">, Giulio </w:t>
      </w:r>
      <w:hyperlink r:id="rId4" w:history="1">
        <w:r w:rsidR="001D382B" w:rsidRPr="00B4003A">
          <w:rPr>
            <w:rFonts w:ascii="Century Schoolbook" w:eastAsia="Times New Roman" w:hAnsi="Century Schoolbook" w:cs="Times New Roman"/>
            <w:color w:val="000000" w:themeColor="text1"/>
            <w:sz w:val="16"/>
            <w:szCs w:val="16"/>
            <w:lang w:eastAsia="it-IT"/>
          </w:rPr>
          <w:t>Marcon</w:t>
        </w:r>
      </w:hyperlink>
      <w:r w:rsidR="001D382B" w:rsidRPr="00B4003A">
        <w:rPr>
          <w:rFonts w:ascii="Century Schoolbook" w:eastAsia="Times New Roman" w:hAnsi="Century Schoolbook" w:cs="Times New Roman"/>
          <w:color w:val="000000" w:themeColor="text1"/>
          <w:sz w:val="16"/>
          <w:szCs w:val="16"/>
          <w:lang w:eastAsia="it-IT"/>
        </w:rPr>
        <w:t xml:space="preserve">, Gianni </w:t>
      </w:r>
      <w:hyperlink r:id="rId5" w:history="1">
        <w:r w:rsidR="001D382B" w:rsidRPr="00B4003A">
          <w:rPr>
            <w:rFonts w:ascii="Century Schoolbook" w:eastAsia="Times New Roman" w:hAnsi="Century Schoolbook" w:cs="Times New Roman"/>
            <w:color w:val="000000" w:themeColor="text1"/>
            <w:sz w:val="16"/>
            <w:szCs w:val="16"/>
            <w:lang w:eastAsia="it-IT"/>
          </w:rPr>
          <w:t>Melilla</w:t>
        </w:r>
      </w:hyperlink>
      <w:r w:rsidR="001D382B" w:rsidRPr="00B4003A">
        <w:rPr>
          <w:rFonts w:ascii="Century Schoolbook" w:eastAsia="Times New Roman" w:hAnsi="Century Schoolbook" w:cs="Times New Roman"/>
          <w:color w:val="000000" w:themeColor="text1"/>
          <w:sz w:val="16"/>
          <w:szCs w:val="16"/>
          <w:lang w:eastAsia="it-IT"/>
        </w:rPr>
        <w:t xml:space="preserve">, Sergio </w:t>
      </w:r>
      <w:hyperlink r:id="rId6" w:history="1">
        <w:proofErr w:type="spellStart"/>
        <w:r w:rsidR="001D382B" w:rsidRPr="00B4003A">
          <w:rPr>
            <w:rFonts w:ascii="Century Schoolbook" w:eastAsia="Times New Roman" w:hAnsi="Century Schoolbook" w:cs="Times New Roman"/>
            <w:color w:val="000000" w:themeColor="text1"/>
            <w:sz w:val="16"/>
            <w:szCs w:val="16"/>
            <w:lang w:eastAsia="it-IT"/>
          </w:rPr>
          <w:t>Boccadutri</w:t>
        </w:r>
        <w:proofErr w:type="spellEnd"/>
      </w:hyperlink>
      <w:r w:rsidR="001D382B" w:rsidRPr="00B4003A">
        <w:rPr>
          <w:rFonts w:ascii="Century Schoolbook" w:eastAsia="Times New Roman" w:hAnsi="Century Schoolbook" w:cs="Times New Roman"/>
          <w:color w:val="000000" w:themeColor="text1"/>
          <w:sz w:val="16"/>
          <w:szCs w:val="16"/>
          <w:lang w:eastAsia="it-IT"/>
        </w:rPr>
        <w:t xml:space="preserve">, Nazzareno </w:t>
      </w:r>
      <w:hyperlink r:id="rId7" w:history="1">
        <w:proofErr w:type="spellStart"/>
        <w:r w:rsidR="001D382B" w:rsidRPr="00B4003A">
          <w:rPr>
            <w:rFonts w:ascii="Century Schoolbook" w:eastAsia="Times New Roman" w:hAnsi="Century Schoolbook" w:cs="Times New Roman"/>
            <w:color w:val="000000" w:themeColor="text1"/>
            <w:sz w:val="16"/>
            <w:szCs w:val="16"/>
            <w:lang w:eastAsia="it-IT"/>
          </w:rPr>
          <w:t>Pilozzi</w:t>
        </w:r>
        <w:proofErr w:type="spellEnd"/>
      </w:hyperlink>
      <w:r w:rsidR="00236DF8" w:rsidRPr="00B4003A">
        <w:rPr>
          <w:rFonts w:ascii="Century Schoolbook" w:eastAsia="Times New Roman" w:hAnsi="Century Schoolbook" w:cs="Times New Roman"/>
          <w:color w:val="000000" w:themeColor="text1"/>
          <w:sz w:val="16"/>
          <w:szCs w:val="16"/>
          <w:lang w:eastAsia="it-IT"/>
        </w:rPr>
        <w:t xml:space="preserve">. </w:t>
      </w:r>
    </w:p>
    <w:p w14:paraId="1F67961A" w14:textId="6C242E13" w:rsidR="001D382B" w:rsidRPr="00B4003A" w:rsidRDefault="00236DF8" w:rsidP="00F103FF">
      <w:pPr>
        <w:spacing w:line="360" w:lineRule="auto"/>
        <w:ind w:firstLine="709"/>
        <w:contextualSpacing/>
        <w:jc w:val="both"/>
        <w:rPr>
          <w:rFonts w:ascii="Century Schoolbook" w:eastAsia="Times New Roman" w:hAnsi="Century Schoolbook" w:cs="Times New Roman"/>
          <w:color w:val="000000" w:themeColor="text1"/>
          <w:sz w:val="16"/>
          <w:szCs w:val="16"/>
          <w:lang w:eastAsia="it-IT"/>
        </w:rPr>
      </w:pPr>
      <w:r w:rsidRPr="00B4003A">
        <w:rPr>
          <w:rFonts w:ascii="Century Schoolbook" w:eastAsia="Times New Roman" w:hAnsi="Century Schoolbook" w:cs="Times New Roman"/>
          <w:color w:val="000000" w:themeColor="text1"/>
          <w:sz w:val="16"/>
          <w:szCs w:val="16"/>
          <w:lang w:eastAsia="it-IT"/>
        </w:rPr>
        <w:t>Identica e coeva è poi la proposta emendativa 30.5.</w:t>
      </w:r>
      <w:r w:rsidR="00626B3B" w:rsidRPr="00B4003A">
        <w:rPr>
          <w:rFonts w:ascii="Century Schoolbook" w:eastAsia="Times New Roman" w:hAnsi="Century Schoolbook" w:cs="Times New Roman"/>
          <w:color w:val="000000" w:themeColor="text1"/>
          <w:sz w:val="16"/>
          <w:szCs w:val="16"/>
          <w:lang w:eastAsia="it-IT"/>
        </w:rPr>
        <w:t>,</w:t>
      </w:r>
      <w:r w:rsidRPr="00B4003A">
        <w:rPr>
          <w:rFonts w:ascii="Century Schoolbook" w:eastAsia="Times New Roman" w:hAnsi="Century Schoolbook" w:cs="Times New Roman"/>
          <w:color w:val="000000" w:themeColor="text1"/>
          <w:sz w:val="16"/>
          <w:szCs w:val="16"/>
          <w:lang w:eastAsia="it-IT"/>
        </w:rPr>
        <w:t xml:space="preserve"> presentata dagli on.li Massimo Felice De Rosa, Mirko Busto, Federica Daga, Claudia Mannino, Samuele Segoni, Patrizia Terzoni, Angelo </w:t>
      </w:r>
      <w:proofErr w:type="spellStart"/>
      <w:r w:rsidRPr="00B4003A">
        <w:rPr>
          <w:rFonts w:ascii="Century Schoolbook" w:eastAsia="Times New Roman" w:hAnsi="Century Schoolbook" w:cs="Times New Roman"/>
          <w:color w:val="000000" w:themeColor="text1"/>
          <w:sz w:val="16"/>
          <w:szCs w:val="16"/>
          <w:lang w:eastAsia="it-IT"/>
        </w:rPr>
        <w:t>Tofalo</w:t>
      </w:r>
      <w:proofErr w:type="spellEnd"/>
      <w:r w:rsidRPr="00B4003A">
        <w:rPr>
          <w:rFonts w:ascii="Century Schoolbook" w:eastAsia="Times New Roman" w:hAnsi="Century Schoolbook" w:cs="Times New Roman"/>
          <w:color w:val="000000" w:themeColor="text1"/>
          <w:sz w:val="16"/>
          <w:szCs w:val="16"/>
          <w:lang w:eastAsia="it-IT"/>
        </w:rPr>
        <w:t xml:space="preserve">, Alberto </w:t>
      </w:r>
      <w:proofErr w:type="spellStart"/>
      <w:r w:rsidRPr="00B4003A">
        <w:rPr>
          <w:rFonts w:ascii="Century Schoolbook" w:eastAsia="Times New Roman" w:hAnsi="Century Schoolbook" w:cs="Times New Roman"/>
          <w:color w:val="000000" w:themeColor="text1"/>
          <w:sz w:val="16"/>
          <w:szCs w:val="16"/>
          <w:lang w:eastAsia="it-IT"/>
        </w:rPr>
        <w:t>Zolezzi</w:t>
      </w:r>
      <w:proofErr w:type="spellEnd"/>
      <w:r w:rsidRPr="00B4003A">
        <w:rPr>
          <w:rFonts w:ascii="Century Schoolbook" w:eastAsia="Times New Roman" w:hAnsi="Century Schoolbook" w:cs="Times New Roman"/>
          <w:color w:val="000000" w:themeColor="text1"/>
          <w:sz w:val="16"/>
          <w:szCs w:val="16"/>
          <w:lang w:eastAsia="it-IT"/>
        </w:rPr>
        <w:t xml:space="preserve">, Daniele Pesco, Laura Castelli, Giorgio </w:t>
      </w:r>
      <w:proofErr w:type="spellStart"/>
      <w:r w:rsidRPr="00B4003A">
        <w:rPr>
          <w:rFonts w:ascii="Century Schoolbook" w:eastAsia="Times New Roman" w:hAnsi="Century Schoolbook" w:cs="Times New Roman"/>
          <w:color w:val="000000" w:themeColor="text1"/>
          <w:sz w:val="16"/>
          <w:szCs w:val="16"/>
          <w:lang w:eastAsia="it-IT"/>
        </w:rPr>
        <w:t>Sorial</w:t>
      </w:r>
      <w:proofErr w:type="spellEnd"/>
      <w:r w:rsidRPr="00B4003A">
        <w:rPr>
          <w:rFonts w:ascii="Century Schoolbook" w:eastAsia="Times New Roman" w:hAnsi="Century Schoolbook" w:cs="Times New Roman"/>
          <w:color w:val="000000" w:themeColor="text1"/>
          <w:sz w:val="16"/>
          <w:szCs w:val="16"/>
          <w:lang w:eastAsia="it-IT"/>
        </w:rPr>
        <w:t xml:space="preserve"> </w:t>
      </w:r>
      <w:proofErr w:type="spellStart"/>
      <w:r w:rsidRPr="00B4003A">
        <w:rPr>
          <w:rFonts w:ascii="Century Schoolbook" w:eastAsia="Times New Roman" w:hAnsi="Century Schoolbook" w:cs="Times New Roman"/>
          <w:color w:val="000000" w:themeColor="text1"/>
          <w:sz w:val="16"/>
          <w:szCs w:val="16"/>
          <w:lang w:eastAsia="it-IT"/>
        </w:rPr>
        <w:t>Girgis</w:t>
      </w:r>
      <w:proofErr w:type="spellEnd"/>
      <w:r w:rsidRPr="00B4003A">
        <w:rPr>
          <w:rFonts w:ascii="Century Schoolbook" w:eastAsia="Times New Roman" w:hAnsi="Century Schoolbook" w:cs="Times New Roman"/>
          <w:color w:val="000000" w:themeColor="text1"/>
          <w:sz w:val="16"/>
          <w:szCs w:val="16"/>
          <w:lang w:eastAsia="it-IT"/>
        </w:rPr>
        <w:t xml:space="preserve">, Vincenzo Caso, Tommaso </w:t>
      </w:r>
      <w:proofErr w:type="spellStart"/>
      <w:r w:rsidRPr="00B4003A">
        <w:rPr>
          <w:rFonts w:ascii="Century Schoolbook" w:eastAsia="Times New Roman" w:hAnsi="Century Schoolbook" w:cs="Times New Roman"/>
          <w:color w:val="000000" w:themeColor="text1"/>
          <w:sz w:val="16"/>
          <w:szCs w:val="16"/>
          <w:lang w:eastAsia="it-IT"/>
        </w:rPr>
        <w:t>Currò</w:t>
      </w:r>
      <w:proofErr w:type="spellEnd"/>
      <w:r w:rsidRPr="00B4003A">
        <w:rPr>
          <w:rFonts w:ascii="Century Schoolbook" w:eastAsia="Times New Roman" w:hAnsi="Century Schoolbook" w:cs="Times New Roman"/>
          <w:color w:val="000000" w:themeColor="text1"/>
          <w:sz w:val="16"/>
          <w:szCs w:val="16"/>
          <w:lang w:eastAsia="it-IT"/>
        </w:rPr>
        <w:t>, Francesco Cariello.</w:t>
      </w:r>
    </w:p>
    <w:p w14:paraId="4C02C95A" w14:textId="22F4AB97" w:rsidR="000620E2" w:rsidRPr="00B4003A" w:rsidRDefault="000620E2" w:rsidP="00F103FF">
      <w:pPr>
        <w:spacing w:line="360" w:lineRule="auto"/>
        <w:ind w:firstLine="709"/>
        <w:contextualSpacing/>
        <w:jc w:val="both"/>
        <w:rPr>
          <w:rFonts w:ascii="Century Schoolbook" w:eastAsia="Times New Roman" w:hAnsi="Century Schoolbook" w:cs="Times New Roman"/>
          <w:color w:val="000000" w:themeColor="text1"/>
          <w:sz w:val="16"/>
          <w:szCs w:val="16"/>
          <w:lang w:eastAsia="it-IT"/>
        </w:rPr>
      </w:pPr>
    </w:p>
  </w:footnote>
  <w:footnote w:id="21">
    <w:p w14:paraId="5E8D6BAF" w14:textId="46EDB9D1" w:rsidR="000910F8" w:rsidRPr="00B4003A" w:rsidRDefault="000910F8"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Su 468 presenti, votano in 465: 122 votano sì</w:t>
      </w:r>
      <w:r w:rsidR="005E63D7" w:rsidRPr="00B4003A">
        <w:rPr>
          <w:rFonts w:ascii="Century Schoolbook" w:hAnsi="Century Schoolbook"/>
          <w:sz w:val="16"/>
          <w:szCs w:val="16"/>
        </w:rPr>
        <w:t>;</w:t>
      </w:r>
      <w:r w:rsidRPr="00B4003A">
        <w:rPr>
          <w:rFonts w:ascii="Century Schoolbook" w:hAnsi="Century Schoolbook"/>
          <w:sz w:val="16"/>
          <w:szCs w:val="16"/>
        </w:rPr>
        <w:t xml:space="preserve"> ben 343 no.</w:t>
      </w:r>
    </w:p>
  </w:footnote>
  <w:footnote w:id="22">
    <w:p w14:paraId="5C18E165" w14:textId="37E1AFCC" w:rsidR="00223ED1" w:rsidRPr="00B4003A" w:rsidRDefault="00223ED1"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B03509" w:rsidRPr="00B4003A">
        <w:rPr>
          <w:rFonts w:ascii="Century Schoolbook" w:hAnsi="Century Schoolbook"/>
          <w:sz w:val="16"/>
          <w:szCs w:val="16"/>
        </w:rPr>
        <w:t xml:space="preserve">D. M. Traina, </w:t>
      </w:r>
      <w:r w:rsidR="00B03509" w:rsidRPr="00B4003A">
        <w:rPr>
          <w:rFonts w:ascii="Century Schoolbook" w:hAnsi="Century Schoolbook"/>
          <w:i/>
          <w:iCs/>
          <w:sz w:val="16"/>
          <w:szCs w:val="16"/>
        </w:rPr>
        <w:t>Ancora sulla competenza regionale a disciplinare le distanze tra costruzioni. Se rispetta la normativa nazionale, la Regione può prevedere interventi in deroga alle disposizioni degli strumenti urbanistici comunali</w:t>
      </w:r>
      <w:r w:rsidR="00B03509" w:rsidRPr="00B4003A">
        <w:rPr>
          <w:rFonts w:ascii="Century Schoolbook" w:hAnsi="Century Schoolbook"/>
          <w:sz w:val="16"/>
          <w:szCs w:val="16"/>
        </w:rPr>
        <w:t xml:space="preserve"> (nota a C. cost. 23 giugno 2020, n. 119), in </w:t>
      </w:r>
      <w:r w:rsidR="00B03509" w:rsidRPr="00B4003A">
        <w:rPr>
          <w:rFonts w:ascii="Century Schoolbook" w:hAnsi="Century Schoolbook"/>
          <w:i/>
          <w:iCs/>
          <w:sz w:val="16"/>
          <w:szCs w:val="16"/>
        </w:rPr>
        <w:t>Giur. cost.</w:t>
      </w:r>
      <w:r w:rsidR="00B03509" w:rsidRPr="00B4003A">
        <w:rPr>
          <w:rFonts w:ascii="Century Schoolbook" w:hAnsi="Century Schoolbook"/>
          <w:sz w:val="16"/>
          <w:szCs w:val="16"/>
        </w:rPr>
        <w:t xml:space="preserve">, 2020, </w:t>
      </w:r>
      <w:r w:rsidR="00B04107" w:rsidRPr="00B4003A">
        <w:rPr>
          <w:rFonts w:ascii="Century Schoolbook" w:hAnsi="Century Schoolbook"/>
          <w:sz w:val="16"/>
          <w:szCs w:val="16"/>
        </w:rPr>
        <w:t xml:space="preserve">p. 1336 ss., spec. </w:t>
      </w:r>
      <w:r w:rsidR="00B03509" w:rsidRPr="00B4003A">
        <w:rPr>
          <w:rFonts w:ascii="Century Schoolbook" w:hAnsi="Century Schoolbook"/>
          <w:sz w:val="16"/>
          <w:szCs w:val="16"/>
        </w:rPr>
        <w:t>p. 133</w:t>
      </w:r>
      <w:r w:rsidR="00B04107" w:rsidRPr="00B4003A">
        <w:rPr>
          <w:rFonts w:ascii="Century Schoolbook" w:hAnsi="Century Schoolbook"/>
          <w:sz w:val="16"/>
          <w:szCs w:val="16"/>
        </w:rPr>
        <w:t>7, nt. 1</w:t>
      </w:r>
      <w:r w:rsidR="00B03509" w:rsidRPr="00B4003A">
        <w:rPr>
          <w:rFonts w:ascii="Century Schoolbook" w:hAnsi="Century Schoolbook"/>
          <w:sz w:val="16"/>
          <w:szCs w:val="16"/>
        </w:rPr>
        <w:t>.</w:t>
      </w:r>
    </w:p>
  </w:footnote>
  <w:footnote w:id="23">
    <w:p w14:paraId="1B9D5F7A" w14:textId="17E16A70" w:rsidR="00BA5000" w:rsidRPr="00B4003A" w:rsidRDefault="00BA5000"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V. </w:t>
      </w:r>
      <w:proofErr w:type="spellStart"/>
      <w:r w:rsidRPr="00B4003A">
        <w:rPr>
          <w:rFonts w:ascii="Century Schoolbook" w:hAnsi="Century Schoolbook"/>
          <w:sz w:val="16"/>
          <w:szCs w:val="16"/>
        </w:rPr>
        <w:t>Cerulli</w:t>
      </w:r>
      <w:proofErr w:type="spellEnd"/>
      <w:r w:rsidRPr="00B4003A">
        <w:rPr>
          <w:rFonts w:ascii="Century Schoolbook" w:hAnsi="Century Schoolbook"/>
          <w:sz w:val="16"/>
          <w:szCs w:val="16"/>
        </w:rPr>
        <w:t xml:space="preserve"> Irelli, L. De Lucia, </w:t>
      </w:r>
      <w:r w:rsidRPr="00B4003A">
        <w:rPr>
          <w:rFonts w:ascii="Century Schoolbook" w:hAnsi="Century Schoolbook"/>
          <w:i/>
          <w:iCs/>
          <w:sz w:val="16"/>
          <w:szCs w:val="16"/>
        </w:rPr>
        <w:t>Il secondo “piano casa”</w:t>
      </w:r>
      <w:r w:rsidRPr="00B4003A">
        <w:rPr>
          <w:rFonts w:ascii="Century Schoolbook" w:hAnsi="Century Schoolbook"/>
          <w:sz w:val="16"/>
          <w:szCs w:val="16"/>
        </w:rPr>
        <w:t xml:space="preserve">, cit., ricordano argutamente un passo di G.B. Vico, </w:t>
      </w:r>
      <w:r w:rsidRPr="00B4003A">
        <w:rPr>
          <w:rFonts w:ascii="Century Schoolbook" w:hAnsi="Century Schoolbook"/>
          <w:i/>
          <w:iCs/>
          <w:sz w:val="16"/>
          <w:szCs w:val="16"/>
        </w:rPr>
        <w:t>Scienza nuova</w:t>
      </w:r>
      <w:r w:rsidRPr="00B4003A">
        <w:rPr>
          <w:rFonts w:ascii="Century Schoolbook" w:hAnsi="Century Schoolbook"/>
          <w:sz w:val="16"/>
          <w:szCs w:val="16"/>
        </w:rPr>
        <w:t xml:space="preserve">, cap. II, aforisma XIV: «Natura di cose altro non è che nascimento di esse in certi tempi e con certe guise, le quali sempre che sono tali indi tali e non altre </w:t>
      </w:r>
      <w:proofErr w:type="spellStart"/>
      <w:r w:rsidRPr="00B4003A">
        <w:rPr>
          <w:rFonts w:ascii="Century Schoolbook" w:hAnsi="Century Schoolbook"/>
          <w:sz w:val="16"/>
          <w:szCs w:val="16"/>
        </w:rPr>
        <w:t>nascon</w:t>
      </w:r>
      <w:proofErr w:type="spellEnd"/>
      <w:r w:rsidRPr="00B4003A">
        <w:rPr>
          <w:rFonts w:ascii="Century Schoolbook" w:hAnsi="Century Schoolbook"/>
          <w:sz w:val="16"/>
          <w:szCs w:val="16"/>
        </w:rPr>
        <w:t xml:space="preserve"> le cose».</w:t>
      </w:r>
    </w:p>
  </w:footnote>
  <w:footnote w:id="24">
    <w:p w14:paraId="1B1C373A" w14:textId="76E8D1AE" w:rsidR="00AE300A" w:rsidRPr="00B4003A" w:rsidRDefault="00AE300A">
      <w:pPr>
        <w:pStyle w:val="Testonotaapidipagina"/>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Pretesa statutariamente comprensibile per l’ANCE; un pochino meno per le Regioni.</w:t>
      </w:r>
    </w:p>
  </w:footnote>
  <w:footnote w:id="25">
    <w:p w14:paraId="118B91A1" w14:textId="1670372C"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522B36" w:rsidRPr="00B4003A">
        <w:rPr>
          <w:rFonts w:ascii="Century Schoolbook" w:hAnsi="Century Schoolbook"/>
          <w:sz w:val="16"/>
          <w:szCs w:val="16"/>
        </w:rPr>
        <w:t xml:space="preserve">Gli obbiettivi </w:t>
      </w:r>
      <w:r w:rsidRPr="00B4003A">
        <w:rPr>
          <w:rFonts w:ascii="Century Schoolbook" w:hAnsi="Century Schoolbook"/>
          <w:sz w:val="16"/>
          <w:szCs w:val="16"/>
        </w:rPr>
        <w:t xml:space="preserve">della Commissione Greco sono </w:t>
      </w:r>
      <w:r w:rsidR="00522B36" w:rsidRPr="00B4003A">
        <w:rPr>
          <w:rFonts w:ascii="Century Schoolbook" w:hAnsi="Century Schoolbook"/>
          <w:sz w:val="16"/>
          <w:szCs w:val="16"/>
        </w:rPr>
        <w:t xml:space="preserve">puntualmente </w:t>
      </w:r>
      <w:r w:rsidRPr="00B4003A">
        <w:rPr>
          <w:rFonts w:ascii="Century Schoolbook" w:hAnsi="Century Schoolbook"/>
          <w:sz w:val="16"/>
          <w:szCs w:val="16"/>
        </w:rPr>
        <w:t xml:space="preserve">definiti nell’art. 2 del citato </w:t>
      </w:r>
      <w:r w:rsidR="00522B36" w:rsidRPr="00B4003A">
        <w:rPr>
          <w:rFonts w:ascii="Century Schoolbook" w:hAnsi="Century Schoolbook"/>
          <w:sz w:val="16"/>
          <w:szCs w:val="16"/>
        </w:rPr>
        <w:t>decreto</w:t>
      </w:r>
      <w:r w:rsidRPr="00B4003A">
        <w:rPr>
          <w:rFonts w:ascii="Century Schoolbook" w:hAnsi="Century Schoolbook"/>
          <w:sz w:val="16"/>
          <w:szCs w:val="16"/>
        </w:rPr>
        <w:t xml:space="preserve"> istitutivo n. 441/’21:</w:t>
      </w:r>
    </w:p>
    <w:p w14:paraId="325E93B2" w14:textId="17A05890"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«1. La Commissione ha il compito di provvedere alla elaborazione di uno o più schemi di provvedimento finalizzati alla riforma organica dei principi della legislazione statale in materia di pianificazione del territorio e standard urbanistici, nonché al riordino e alla modifica delle disposizioni contenute nel Testo unico dell’edilizia, con riguardo ai seguenti profili:</w:t>
      </w:r>
    </w:p>
    <w:p w14:paraId="7154F511"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l’individuazione degli obiettivi e dei limiti costituzionali alla legislazione statale in materia urbanistica ed edilizia, tenuto conto della giurisprudenza costituzionale, con particolare attenzione sia alle interferenze con altre materie, sia all’autonomia garantita alle Regioni ed ai Comuni;</w:t>
      </w:r>
    </w:p>
    <w:p w14:paraId="634A9279"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l’individuazione degli obiettivi e dei limiti per la legislazione nazionale derivanti dai valori e dagli obblighi assunti dall’Italia a livello internazionale e nell’Unione europea;</w:t>
      </w:r>
    </w:p>
    <w:p w14:paraId="3EE20B31"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la declinazione a livello urbanistico degli obiettivi specifici dell’Agenda ONU 2030 per lo</w:t>
      </w:r>
    </w:p>
    <w:p w14:paraId="57007229" w14:textId="77777777" w:rsidR="00C56E33"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sviluppo sostenibile, del programma </w:t>
      </w:r>
      <w:proofErr w:type="spellStart"/>
      <w:r w:rsidRPr="00B4003A">
        <w:rPr>
          <w:rFonts w:ascii="Century Schoolbook" w:hAnsi="Century Schoolbook"/>
          <w:sz w:val="16"/>
          <w:szCs w:val="16"/>
        </w:rPr>
        <w:t>unionale</w:t>
      </w:r>
      <w:proofErr w:type="spellEnd"/>
      <w:r w:rsidRPr="00B4003A">
        <w:rPr>
          <w:rFonts w:ascii="Century Schoolbook" w:hAnsi="Century Schoolbook"/>
          <w:sz w:val="16"/>
          <w:szCs w:val="16"/>
        </w:rPr>
        <w:t xml:space="preserve"> </w:t>
      </w:r>
      <w:proofErr w:type="spellStart"/>
      <w:r w:rsidRPr="00B4003A">
        <w:rPr>
          <w:rFonts w:ascii="Century Schoolbook" w:hAnsi="Century Schoolbook"/>
          <w:sz w:val="16"/>
          <w:szCs w:val="16"/>
        </w:rPr>
        <w:t>Next</w:t>
      </w:r>
      <w:proofErr w:type="spellEnd"/>
      <w:r w:rsidRPr="00B4003A">
        <w:rPr>
          <w:rFonts w:ascii="Century Schoolbook" w:hAnsi="Century Schoolbook"/>
          <w:sz w:val="16"/>
          <w:szCs w:val="16"/>
        </w:rPr>
        <w:t xml:space="preserve"> Generation EU, del Piano Nazionale di Ripresa e Resilienza e degli obiettivi di contenimento del consumo di suolo e di promozione della rigenerazione urbana propri delle più recenti iniziative legislative parlamentari; </w:t>
      </w:r>
    </w:p>
    <w:p w14:paraId="52482F03" w14:textId="574A4330"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la declinazione a livello urbanistico dell’evoluzione del Paese sul piano demografico, sociale, economico;</w:t>
      </w:r>
    </w:p>
    <w:p w14:paraId="364070F0" w14:textId="568C4CF5"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w:t>
      </w:r>
      <w:r w:rsidR="00116ACE" w:rsidRPr="00B4003A">
        <w:rPr>
          <w:rFonts w:ascii="Century Schoolbook" w:hAnsi="Century Schoolbook"/>
          <w:sz w:val="16"/>
          <w:szCs w:val="16"/>
        </w:rPr>
        <w:t xml:space="preserve"> </w:t>
      </w:r>
      <w:r w:rsidRPr="00B4003A">
        <w:rPr>
          <w:rFonts w:ascii="Century Schoolbook" w:hAnsi="Century Schoolbook"/>
          <w:sz w:val="16"/>
          <w:szCs w:val="16"/>
        </w:rPr>
        <w:t>la ricostruzione delle linee evolutive della legislazione statale in materia urbanistica, dalla legge urbanistica fondamentale del 1942 ad oggi, dando evidenza ai profili di perdurante attualità e a quelli di inadeguatezza agli attuali obiettivi del Paese;</w:t>
      </w:r>
    </w:p>
    <w:p w14:paraId="613981C6"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la rilevazione nella prassi dei maggiori fattori di incertezza, lentezza, criticità, onerosità, difficolta gestionali e contenzioso;</w:t>
      </w:r>
    </w:p>
    <w:p w14:paraId="763479EB"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la rivisitazione della nozione di urbanistica, anche in relazione all’evoluzione delle nozioni di edilizia, paesaggio, beni culturali e ambiente, in modo da assicurare coerenza, chiarezza, efficienza e semplificazione dei procedimenti di programmazione e controllo;</w:t>
      </w:r>
    </w:p>
    <w:p w14:paraId="56362947"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la precisazione e definizione dei concetti fondamentali del diritto urbanistico così da garantire uniformità a livello nazionale e semplificare conoscenza e rispetto delle regole da parte dei cittadini e degli operatori economici;</w:t>
      </w:r>
    </w:p>
    <w:p w14:paraId="76DA5AD6"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l’individuazione dei principali profili di criticità dell’attuale disciplina delle costruzioni, in un’ottica di semplificazione delle procedure autorizzatorie, di limitazione del consumo di suolo e di armonizzazione con le altre normative di settore, e la elaborazione delle consequenziali proposte di modifica delle disposizioni del d.P.R. n. 380/2001;</w:t>
      </w:r>
    </w:p>
    <w:p w14:paraId="31DBBFF9"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 la rilevazione delle </w:t>
      </w:r>
      <w:r w:rsidRPr="00B4003A">
        <w:rPr>
          <w:rFonts w:ascii="Century Schoolbook" w:hAnsi="Century Schoolbook"/>
          <w:i/>
          <w:iCs/>
          <w:sz w:val="16"/>
          <w:szCs w:val="16"/>
        </w:rPr>
        <w:t xml:space="preserve">best </w:t>
      </w:r>
      <w:proofErr w:type="spellStart"/>
      <w:r w:rsidRPr="00B4003A">
        <w:rPr>
          <w:rFonts w:ascii="Century Schoolbook" w:hAnsi="Century Schoolbook"/>
          <w:i/>
          <w:iCs/>
          <w:sz w:val="16"/>
          <w:szCs w:val="16"/>
        </w:rPr>
        <w:t>practices</w:t>
      </w:r>
      <w:proofErr w:type="spellEnd"/>
      <w:r w:rsidRPr="00B4003A">
        <w:rPr>
          <w:rFonts w:ascii="Century Schoolbook" w:hAnsi="Century Schoolbook"/>
          <w:sz w:val="16"/>
          <w:szCs w:val="16"/>
        </w:rPr>
        <w:t xml:space="preserve"> regionali di innovazione legislativa ritenute suscettibili di integrare la regolazione a livello statale;</w:t>
      </w:r>
    </w:p>
    <w:p w14:paraId="56609397" w14:textId="77777777"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la fissazione di principi e metodologie per garantire la digitalizzazione continuativa, la custodia e la consultazione pubblica dei dati relativi all’assetto territoriale e alla regolazione.</w:t>
      </w:r>
    </w:p>
    <w:p w14:paraId="5DEEC376" w14:textId="22B85D8C" w:rsidR="008B11B6" w:rsidRPr="00B4003A" w:rsidRDefault="008B11B6"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2. All’esito dei lavori, la Commissione presenta al Ministro delle infrastrutture e della mobilità sostenibili, entro il termine di sei mesi a decorrere dalla data del presente decreto, una relazione sull’attività svolta nonché uno o più schemi di provvedimento recanti disposizioni di riforma della legge 17 agosto 1942, n. 1150, e s.m.i., e della normativa attuativa, del decreto del Presidente della Repubblica 6 giugno 2001, n. 380, nonché di ogni ulteriore disposizione la cui modifica dovesse rendersi necessaria o opportuna in conseguenza delle opzioni adottate ai sensi del comma precedente».</w:t>
      </w:r>
    </w:p>
  </w:footnote>
  <w:footnote w:id="26">
    <w:p w14:paraId="61B4074F" w14:textId="6FBCF49C" w:rsidR="006441F1" w:rsidRPr="00B4003A" w:rsidRDefault="006441F1"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Commissione per la riforma della normativa nazionale in materia di pianificazione del territorio, standard urbanistici e in materia edilizia,</w:t>
      </w:r>
      <w:r w:rsidRPr="00B4003A">
        <w:rPr>
          <w:rFonts w:ascii="Century Schoolbook" w:hAnsi="Century Schoolbook"/>
          <w:i/>
          <w:iCs/>
          <w:sz w:val="16"/>
          <w:szCs w:val="16"/>
        </w:rPr>
        <w:t xml:space="preserve"> Relazione illustrativa</w:t>
      </w:r>
      <w:r w:rsidRPr="00B4003A">
        <w:rPr>
          <w:rFonts w:ascii="Century Schoolbook" w:hAnsi="Century Schoolbook"/>
          <w:sz w:val="16"/>
          <w:szCs w:val="16"/>
        </w:rPr>
        <w:t>, p. 1.</w:t>
      </w:r>
    </w:p>
  </w:footnote>
  <w:footnote w:id="27">
    <w:p w14:paraId="08E25CD5"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Per la sua rilevanza ai nostri fini, come pure per una migliore leggibilità delle mie osservazioni di cui nel testo, ritengo opportuno riportare integralmente l’art. 11, rubricato </w:t>
      </w:r>
      <w:r w:rsidRPr="00B4003A">
        <w:rPr>
          <w:rFonts w:ascii="Century Schoolbook" w:hAnsi="Century Schoolbook"/>
          <w:i/>
          <w:iCs/>
          <w:sz w:val="16"/>
          <w:szCs w:val="16"/>
        </w:rPr>
        <w:t>Dotazioni urbanistiche e territoriali</w:t>
      </w:r>
      <w:r w:rsidRPr="00B4003A">
        <w:rPr>
          <w:rFonts w:ascii="Century Schoolbook" w:hAnsi="Century Schoolbook"/>
          <w:sz w:val="16"/>
          <w:szCs w:val="16"/>
        </w:rPr>
        <w:t>.</w:t>
      </w:r>
    </w:p>
    <w:p w14:paraId="6F100D1A"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«1. In sede di pianificazione urbanistica si provvede, ai sensi dell’articolo 9, comma 3, lettera d), e comma 5, lettera f), della presente legge, al reperimento delle aree per attrezzature pubbliche e per servizi pubblici o di interesse pubblico e generale e per le necessarie dotazioni delle attrezzature e dei servizi stessi, nonché per le reti e le infrastrutture occorrenti per garantire l’accessibilità alle attrezzature urbane e territoriali, la mobilità dei cittadini e delle merci e, in generale, il godimento dei beni comuni.</w:t>
      </w:r>
    </w:p>
    <w:p w14:paraId="55D3815A"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2. Al fine di garantire il conseguimento dei livelli essenziali delle prestazioni concernenti i diritti sociali e civili di cui al precedente articolo 1, comma 2, attraverso il raggiungimento dei livelli minimi delle dotazioni urbanistiche e territoriali, con decreto del Presidente del Consiglio dei ministri, su proposta del Ministro delle infrastrutture e della mobilità sostenibili di concerto con il Ministro della funzione pubblica, adottato sulla base di un’apposita intesa in sede di conferenza permanente per i rapporti tra lo Stato, le regioni e le province autonome di Trento e Bolzano, ai sensi dell’articolo 8, comma 6, della legge 5 giugno 2003, n. 131, sono stabiliti quantità, parametri e riferimenti che i comuni sono tenuti a osservare in sede di formazione dei nuovi strumenti urbanistici e nella revisione di quelli esistenti, così come definiti al precedente articolo 9, in termini di rapporti massimi tra aree destinate agli insediamenti residenziali, direzionali, commerciali, per la logistica, terziari, e industriali-artigianali, e aree per attrezzature pubbliche e per servizi pubblici o di interesse pubblico e generale, comunque riservate alle attività collettive, a verde pubblico e parcheggi.</w:t>
      </w:r>
    </w:p>
    <w:p w14:paraId="2E162A8B"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3. Nel provvedimento di cui al comma 2, sono considerati ambiti territoriali di riferimento ai fini della verifica degli standard urbanistici:</w:t>
      </w:r>
    </w:p>
    <w:p w14:paraId="236AEFF6"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a) l’ambito della città storica, per tale intendendosi l’insieme integrato delle parti urbane e dei singoli siti e manufatti localizzati nell’intero territorio comunale, che presentano una identità storico-culturale definita da particolari qualità, riconoscibili e riconosciute dal punto di vista dei caratteri morfogenetici e strutturanti dell’impianto urbano e di quelli tipo-morfologici, architettonici e d’uso dei singoli tessuti, edifici e spazi aperti, anche in riferimento al senso e al significato da essi assunti nella memoria delle comunità insediate;</w:t>
      </w:r>
    </w:p>
    <w:p w14:paraId="5884858F"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b) l’ambito della città consolidata, per tale intendendosi quella parte della città esistente, stabilmente configurata e definita nelle sue caratteristiche morfologiche e, in alcune parti, tipologiche, in larga misura generata dall’attuazione di strumenti urbanistici esecutivi;</w:t>
      </w:r>
    </w:p>
    <w:p w14:paraId="6F04ACF1"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c) l’ambito della città da consolidare, per tale intendendosi quella parte della città esistente solo parzialmente configurata e definita nelle sue caratteristiche di impianto e </w:t>
      </w:r>
      <w:proofErr w:type="spellStart"/>
      <w:r w:rsidRPr="00B4003A">
        <w:rPr>
          <w:rFonts w:ascii="Century Schoolbook" w:hAnsi="Century Schoolbook"/>
          <w:sz w:val="16"/>
          <w:szCs w:val="16"/>
        </w:rPr>
        <w:t>morfotipologiche</w:t>
      </w:r>
      <w:proofErr w:type="spellEnd"/>
      <w:r w:rsidRPr="00B4003A">
        <w:rPr>
          <w:rFonts w:ascii="Century Schoolbook" w:hAnsi="Century Schoolbook"/>
          <w:sz w:val="16"/>
          <w:szCs w:val="16"/>
        </w:rPr>
        <w:t>, che richiede interventi organici di riqualificazione dei tessuti edilizi, di riordino, di miglioramento e/o completamento di tali caratteri, nonché di infrastrutturazione del territorio, attraverso l’adeguamento e l’integrazione della viabilità, la dotazione di aree per attrezzature pubbliche e per servizi pubblici o di interesse pubblico e generale, comunque riservate alle attività collettive, a verde pubblico e parcheggi;</w:t>
      </w:r>
    </w:p>
    <w:p w14:paraId="216B8C45"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d) l’ambito della città della trasformazione, per tale intendendosi quella parte di città di nuova edificazione, destinata a soddisfare esigenze insediative, di servizi ed attrezzature di livello locale, urbano e metropolitano e a costituire nuove opportunità di qualificazione dei contesti urbani e periurbani, attraverso interventi finalizzati a garantire la sostenibilità delle trasformazioni, il riequilibrio del deficit degli standard urbanistici, il recupero di quote pubbliche di edificabilità destinate a soddisfare eventuali esigenze compensative e facilitare l’attuazione perequativa, così come definite al successivo articolo 12;</w:t>
      </w:r>
    </w:p>
    <w:p w14:paraId="35F0EA24"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e) l’ambito del territorio extraurbano, per tale intendendosi quelle parti del territorio non ricomprese negli ambiti di cui alle lett. a), b), c) e d) costituite dalle componenti del sistema ecologico-ambientale e agricolo. 4. Agli effetti di cui al comma 3, per la verifica degli standard urbanistici residenziali di livello generale, l’ambito territoriale di riferimento corrisponde all’intero territorio comunale.</w:t>
      </w:r>
    </w:p>
    <w:p w14:paraId="76532DF5" w14:textId="71B81321"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 xml:space="preserve">5. Per l’ambito della città storica e per l’ambito della città consolidata, le dotazioni di cui al comma 2 possono essere computate, ai fini della determinazione delle quantità minime prescritte dallo stesso comma, in misura doppia di quella effettiva. Quando sia dimostrata l’impossibilità </w:t>
      </w:r>
      <w:r w:rsidR="003B3344" w:rsidRPr="00B4003A">
        <w:rPr>
          <w:rFonts w:ascii="Century Schoolbook" w:hAnsi="Century Schoolbook"/>
          <w:sz w:val="16"/>
          <w:szCs w:val="16"/>
        </w:rPr>
        <w:t>–</w:t>
      </w:r>
      <w:r w:rsidRPr="00B4003A">
        <w:rPr>
          <w:rFonts w:ascii="Century Schoolbook" w:hAnsi="Century Schoolbook"/>
          <w:sz w:val="16"/>
          <w:szCs w:val="16"/>
        </w:rPr>
        <w:t xml:space="preserve"> detratti i fabbisogni comunque già soddisfatti </w:t>
      </w:r>
      <w:r w:rsidR="003B3344" w:rsidRPr="00B4003A">
        <w:rPr>
          <w:rFonts w:ascii="Century Schoolbook" w:hAnsi="Century Schoolbook"/>
          <w:sz w:val="16"/>
          <w:szCs w:val="16"/>
        </w:rPr>
        <w:t>–</w:t>
      </w:r>
      <w:r w:rsidRPr="00B4003A">
        <w:rPr>
          <w:rFonts w:ascii="Century Schoolbook" w:hAnsi="Century Schoolbook"/>
          <w:sz w:val="16"/>
          <w:szCs w:val="16"/>
        </w:rPr>
        <w:t xml:space="preserve"> di raggiungere la predetta quantità minima di spazi su aree idonee, gli spazi stessi sono reperiti entro i limiti delle disponibilità esistenti nelle adiacenze immediate, ovvero su aree accessibili tenendo conto dei raggi di influenza delle singole attrezzature e della organizzazione dei trasporti pubblici.</w:t>
      </w:r>
    </w:p>
    <w:p w14:paraId="701709C3"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6. Le regioni, nel rispetto dei rapporti massimi stabiliti ai sensi del comma 2, disciplinano quantità e qualità delle prestazioni e dotazioni territoriali, considerando anche le specificità socio-economiche e territoriali dei comuni e le diversità di fabbisogni. Individuano, inoltre, le opere e le misure di ordine gestionale necessarie al soddisfacimento delle esigenze dei servizi di cui al comma 1. Disciplinano, altresì, la monetizzazione degli standard urbanistici per le aree non reperite nell’ambito di interventi diretti e indiretti, per effetto dell’applicazione del comma 3, lettere a) e b), e del comma 5.</w:t>
      </w:r>
    </w:p>
    <w:p w14:paraId="3EDE5E20"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7. I comuni, in sede di formazione dei nuovi strumenti urbanistici e nella revisione di quelli esistenti, così come definiti al precedente articolo 9:</w:t>
      </w:r>
    </w:p>
    <w:p w14:paraId="73CDB4D5"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a) individuano il fabbisogno pregresso e futuro e lo stato effettivo di accessibilità e di fruibilità dei servizi pubblici e di interesse pubblico e generale esistenti;</w:t>
      </w:r>
    </w:p>
    <w:p w14:paraId="359F4CF6"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b) individuano gli ambiti territoriali di riferimento ai fini della verifica degli standard urbanistici, di cui al comma 3, lettere a), b), c), d), ed e);</w:t>
      </w:r>
    </w:p>
    <w:p w14:paraId="3B583D54" w14:textId="77777777" w:rsidR="006158C2" w:rsidRPr="00B4003A" w:rsidRDefault="006158C2" w:rsidP="00F103FF">
      <w:pPr>
        <w:pStyle w:val="Testonotaapidipagina"/>
        <w:spacing w:line="360" w:lineRule="auto"/>
        <w:ind w:firstLine="709"/>
        <w:contextualSpacing/>
        <w:jc w:val="both"/>
        <w:rPr>
          <w:rFonts w:ascii="Century Schoolbook" w:hAnsi="Century Schoolbook"/>
          <w:sz w:val="16"/>
          <w:szCs w:val="16"/>
        </w:rPr>
      </w:pPr>
      <w:r w:rsidRPr="00B4003A">
        <w:rPr>
          <w:rFonts w:ascii="Century Schoolbook" w:hAnsi="Century Schoolbook"/>
          <w:sz w:val="16"/>
          <w:szCs w:val="16"/>
        </w:rPr>
        <w:t>c) prevedono, previa considerazione delle politiche sociali già in essere o che si prospettano, le modalità, i criteri e i parametri tecnici ed economici relativi alla creazione e alla qualità dei servizi stessi, incentivando, per quanto possibile, il concorso di soggetti privati, in applicazione del principio di sussidiarietà».</w:t>
      </w:r>
    </w:p>
  </w:footnote>
  <w:footnote w:id="28">
    <w:p w14:paraId="422C2E41" w14:textId="548C3C90" w:rsidR="0064782F" w:rsidRPr="00B4003A" w:rsidRDefault="003B3344" w:rsidP="002665F9">
      <w:pPr>
        <w:spacing w:line="360" w:lineRule="auto"/>
        <w:ind w:firstLine="709"/>
        <w:contextualSpacing/>
        <w:jc w:val="both"/>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F103FF" w:rsidRPr="00B4003A">
        <w:rPr>
          <w:rFonts w:ascii="Century Schoolbook" w:hAnsi="Century Schoolbook"/>
          <w:sz w:val="16"/>
          <w:szCs w:val="16"/>
        </w:rPr>
        <w:t xml:space="preserve">Così, sul punto, la </w:t>
      </w:r>
      <w:r w:rsidRPr="00B4003A">
        <w:rPr>
          <w:rFonts w:ascii="Century Schoolbook" w:hAnsi="Century Schoolbook"/>
          <w:i/>
          <w:iCs/>
          <w:sz w:val="16"/>
          <w:szCs w:val="16"/>
        </w:rPr>
        <w:t>Relazione illustrativa</w:t>
      </w:r>
      <w:r w:rsidR="00F103FF" w:rsidRPr="00B4003A">
        <w:rPr>
          <w:rFonts w:ascii="Century Schoolbook" w:hAnsi="Century Schoolbook"/>
          <w:sz w:val="16"/>
          <w:szCs w:val="16"/>
        </w:rPr>
        <w:t xml:space="preserve">, </w:t>
      </w:r>
      <w:r w:rsidR="002665F9" w:rsidRPr="00B4003A">
        <w:rPr>
          <w:rFonts w:ascii="Century Schoolbook" w:hAnsi="Century Schoolbook"/>
          <w:sz w:val="16"/>
          <w:szCs w:val="16"/>
        </w:rPr>
        <w:t xml:space="preserve">cit., </w:t>
      </w:r>
      <w:r w:rsidR="00F103FF" w:rsidRPr="00B4003A">
        <w:rPr>
          <w:rFonts w:ascii="Century Schoolbook" w:hAnsi="Century Schoolbook"/>
          <w:sz w:val="16"/>
          <w:szCs w:val="16"/>
        </w:rPr>
        <w:t>p. 5</w:t>
      </w:r>
      <w:r w:rsidRPr="00B4003A">
        <w:rPr>
          <w:rFonts w:ascii="Century Schoolbook" w:hAnsi="Century Schoolbook"/>
          <w:sz w:val="16"/>
          <w:szCs w:val="16"/>
        </w:rPr>
        <w:t xml:space="preserve">: «è previsto che i nuovi parametri per l’edificazione e per le dotazioni infrastrutturali e dei servizi siano stabiliti con apposito provvedimento regolamentare a valle di un accordo tra Stato, Regioni e Province autonome, da sottoscrivere ai sensi dell’articolo 8, comma 6, della legge 5 giugno 2003, n. 131. A tale previsione si accompagna una ridefinizione generale dei diversi ambiti territoriali, che supera la distinzione in “zone” del d.m. n. 1444/1968 ponendosi maggiormente in linea con le moderne esigenze di flessibilità e sviluppo del territorio, e sulla cui base le Regioni e gli enti locali potranno esplicare la propria potestà normativa e amministrativa in materia di pianificazione». </w:t>
      </w:r>
    </w:p>
  </w:footnote>
  <w:footnote w:id="29">
    <w:p w14:paraId="2F9DC9BF" w14:textId="051A98C8" w:rsidR="00E82C76" w:rsidRPr="00AE300A" w:rsidRDefault="00E82C76" w:rsidP="002665F9">
      <w:pPr>
        <w:pStyle w:val="Testonotaapidipagina"/>
        <w:ind w:firstLine="708"/>
        <w:rPr>
          <w:rFonts w:ascii="Century Schoolbook" w:hAnsi="Century Schoolbook"/>
          <w:sz w:val="16"/>
          <w:szCs w:val="16"/>
        </w:rPr>
      </w:pPr>
      <w:r w:rsidRPr="00B4003A">
        <w:rPr>
          <w:rStyle w:val="Rimandonotaapidipagina"/>
          <w:rFonts w:ascii="Century Schoolbook" w:hAnsi="Century Schoolbook"/>
          <w:sz w:val="16"/>
          <w:szCs w:val="16"/>
        </w:rPr>
        <w:footnoteRef/>
      </w:r>
      <w:r w:rsidRPr="00B4003A">
        <w:rPr>
          <w:rFonts w:ascii="Century Schoolbook" w:hAnsi="Century Schoolbook"/>
          <w:sz w:val="16"/>
          <w:szCs w:val="16"/>
        </w:rPr>
        <w:t xml:space="preserve"> </w:t>
      </w:r>
      <w:r w:rsidR="002665F9" w:rsidRPr="00B4003A">
        <w:rPr>
          <w:rFonts w:ascii="Century Schoolbook" w:hAnsi="Century Schoolbook"/>
          <w:i/>
          <w:iCs/>
          <w:sz w:val="16"/>
          <w:szCs w:val="16"/>
        </w:rPr>
        <w:t>Relazione illustrativa</w:t>
      </w:r>
      <w:r w:rsidR="002665F9" w:rsidRPr="00B4003A">
        <w:rPr>
          <w:rFonts w:ascii="Century Schoolbook" w:hAnsi="Century Schoolbook"/>
          <w:sz w:val="16"/>
          <w:szCs w:val="16"/>
        </w:rPr>
        <w:t>, cit., p.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51772"/>
    <w:multiLevelType w:val="hybridMultilevel"/>
    <w:tmpl w:val="E2C663EE"/>
    <w:lvl w:ilvl="0" w:tplc="B5D641F6">
      <w:start w:val="30"/>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6B0025E3"/>
    <w:multiLevelType w:val="hybridMultilevel"/>
    <w:tmpl w:val="A1A4B7AC"/>
    <w:lvl w:ilvl="0" w:tplc="9D0AFE8A">
      <w:start w:val="30"/>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BA"/>
    <w:rsid w:val="00010226"/>
    <w:rsid w:val="00021798"/>
    <w:rsid w:val="00023110"/>
    <w:rsid w:val="000266B9"/>
    <w:rsid w:val="00042D02"/>
    <w:rsid w:val="00044299"/>
    <w:rsid w:val="00047841"/>
    <w:rsid w:val="000515B0"/>
    <w:rsid w:val="00060163"/>
    <w:rsid w:val="000611F6"/>
    <w:rsid w:val="000620E2"/>
    <w:rsid w:val="0007309E"/>
    <w:rsid w:val="000815A5"/>
    <w:rsid w:val="000823F4"/>
    <w:rsid w:val="000910F8"/>
    <w:rsid w:val="000A6728"/>
    <w:rsid w:val="000B4890"/>
    <w:rsid w:val="000B5826"/>
    <w:rsid w:val="000C67D2"/>
    <w:rsid w:val="000C6DB8"/>
    <w:rsid w:val="000E29B5"/>
    <w:rsid w:val="000E3D4D"/>
    <w:rsid w:val="000E7C9C"/>
    <w:rsid w:val="000F3282"/>
    <w:rsid w:val="000F51E3"/>
    <w:rsid w:val="0010022C"/>
    <w:rsid w:val="00116ACE"/>
    <w:rsid w:val="00117152"/>
    <w:rsid w:val="001217CF"/>
    <w:rsid w:val="001256BC"/>
    <w:rsid w:val="0012751C"/>
    <w:rsid w:val="00127707"/>
    <w:rsid w:val="00132FC3"/>
    <w:rsid w:val="00134395"/>
    <w:rsid w:val="0013620C"/>
    <w:rsid w:val="00150FEE"/>
    <w:rsid w:val="00152555"/>
    <w:rsid w:val="001640EA"/>
    <w:rsid w:val="0016765A"/>
    <w:rsid w:val="0017368B"/>
    <w:rsid w:val="0018721A"/>
    <w:rsid w:val="00190C6D"/>
    <w:rsid w:val="001A2E2E"/>
    <w:rsid w:val="001A4A67"/>
    <w:rsid w:val="001A681E"/>
    <w:rsid w:val="001B25C7"/>
    <w:rsid w:val="001C07C0"/>
    <w:rsid w:val="001C1E27"/>
    <w:rsid w:val="001C408C"/>
    <w:rsid w:val="001C748A"/>
    <w:rsid w:val="001D382B"/>
    <w:rsid w:val="001D6B9C"/>
    <w:rsid w:val="001E1F2D"/>
    <w:rsid w:val="001F1DDD"/>
    <w:rsid w:val="001F51A4"/>
    <w:rsid w:val="001F631C"/>
    <w:rsid w:val="0020089D"/>
    <w:rsid w:val="00201570"/>
    <w:rsid w:val="00201AD0"/>
    <w:rsid w:val="00204624"/>
    <w:rsid w:val="00223ED1"/>
    <w:rsid w:val="00224ED0"/>
    <w:rsid w:val="00226BEC"/>
    <w:rsid w:val="00236DF8"/>
    <w:rsid w:val="0024069B"/>
    <w:rsid w:val="00245008"/>
    <w:rsid w:val="002665F9"/>
    <w:rsid w:val="0027514D"/>
    <w:rsid w:val="002768A0"/>
    <w:rsid w:val="002824E9"/>
    <w:rsid w:val="0029142A"/>
    <w:rsid w:val="00291FA0"/>
    <w:rsid w:val="00293C9A"/>
    <w:rsid w:val="002944E4"/>
    <w:rsid w:val="002B225E"/>
    <w:rsid w:val="002B371E"/>
    <w:rsid w:val="002B4AC8"/>
    <w:rsid w:val="002B769F"/>
    <w:rsid w:val="002C063E"/>
    <w:rsid w:val="002E311A"/>
    <w:rsid w:val="002E7C89"/>
    <w:rsid w:val="002F1058"/>
    <w:rsid w:val="002F21A0"/>
    <w:rsid w:val="00302F44"/>
    <w:rsid w:val="003037CA"/>
    <w:rsid w:val="003176F5"/>
    <w:rsid w:val="00323089"/>
    <w:rsid w:val="003307D7"/>
    <w:rsid w:val="0033370C"/>
    <w:rsid w:val="0033465F"/>
    <w:rsid w:val="003467E3"/>
    <w:rsid w:val="00352DEE"/>
    <w:rsid w:val="00357887"/>
    <w:rsid w:val="0037347A"/>
    <w:rsid w:val="003A26D8"/>
    <w:rsid w:val="003B0379"/>
    <w:rsid w:val="003B3344"/>
    <w:rsid w:val="003B59DF"/>
    <w:rsid w:val="003C2888"/>
    <w:rsid w:val="003F46AE"/>
    <w:rsid w:val="00411061"/>
    <w:rsid w:val="004147C3"/>
    <w:rsid w:val="00421FD8"/>
    <w:rsid w:val="00444F2A"/>
    <w:rsid w:val="00452AA3"/>
    <w:rsid w:val="00457EC7"/>
    <w:rsid w:val="00472FFF"/>
    <w:rsid w:val="00477DBA"/>
    <w:rsid w:val="004821AC"/>
    <w:rsid w:val="0048447D"/>
    <w:rsid w:val="004866C2"/>
    <w:rsid w:val="00496B31"/>
    <w:rsid w:val="004A12F6"/>
    <w:rsid w:val="004A4D14"/>
    <w:rsid w:val="004B54C6"/>
    <w:rsid w:val="004C1D09"/>
    <w:rsid w:val="004C5AE8"/>
    <w:rsid w:val="004D3916"/>
    <w:rsid w:val="004E29C2"/>
    <w:rsid w:val="004E4ED7"/>
    <w:rsid w:val="004F0B03"/>
    <w:rsid w:val="004F2EB6"/>
    <w:rsid w:val="00500A08"/>
    <w:rsid w:val="0050505D"/>
    <w:rsid w:val="00512E9A"/>
    <w:rsid w:val="00522B36"/>
    <w:rsid w:val="00524091"/>
    <w:rsid w:val="00525AF9"/>
    <w:rsid w:val="00533991"/>
    <w:rsid w:val="005472B1"/>
    <w:rsid w:val="00551339"/>
    <w:rsid w:val="00552675"/>
    <w:rsid w:val="00552B06"/>
    <w:rsid w:val="005712C5"/>
    <w:rsid w:val="0057658E"/>
    <w:rsid w:val="00576F0C"/>
    <w:rsid w:val="00581078"/>
    <w:rsid w:val="00587A98"/>
    <w:rsid w:val="0059152A"/>
    <w:rsid w:val="005971DB"/>
    <w:rsid w:val="00597410"/>
    <w:rsid w:val="005A7BE3"/>
    <w:rsid w:val="005C0186"/>
    <w:rsid w:val="005C2DDE"/>
    <w:rsid w:val="005D4869"/>
    <w:rsid w:val="005D5AC5"/>
    <w:rsid w:val="005E324E"/>
    <w:rsid w:val="005E5B72"/>
    <w:rsid w:val="005E63D7"/>
    <w:rsid w:val="005F3B88"/>
    <w:rsid w:val="00601CDA"/>
    <w:rsid w:val="00606DA1"/>
    <w:rsid w:val="006145E5"/>
    <w:rsid w:val="006158C2"/>
    <w:rsid w:val="00621A4A"/>
    <w:rsid w:val="00625756"/>
    <w:rsid w:val="00626B3B"/>
    <w:rsid w:val="0062766A"/>
    <w:rsid w:val="00631079"/>
    <w:rsid w:val="00633FF4"/>
    <w:rsid w:val="006366DB"/>
    <w:rsid w:val="00642857"/>
    <w:rsid w:val="00643487"/>
    <w:rsid w:val="006441F1"/>
    <w:rsid w:val="0064782F"/>
    <w:rsid w:val="00654AF6"/>
    <w:rsid w:val="006635A4"/>
    <w:rsid w:val="0066439C"/>
    <w:rsid w:val="006670C1"/>
    <w:rsid w:val="00681BAA"/>
    <w:rsid w:val="006824C9"/>
    <w:rsid w:val="00686719"/>
    <w:rsid w:val="006A5502"/>
    <w:rsid w:val="006A79B8"/>
    <w:rsid w:val="006C4111"/>
    <w:rsid w:val="006C47AC"/>
    <w:rsid w:val="006E6742"/>
    <w:rsid w:val="006F25DC"/>
    <w:rsid w:val="006F3FD3"/>
    <w:rsid w:val="006F685F"/>
    <w:rsid w:val="00701029"/>
    <w:rsid w:val="00715BE4"/>
    <w:rsid w:val="007233AD"/>
    <w:rsid w:val="00723D07"/>
    <w:rsid w:val="00724F2E"/>
    <w:rsid w:val="00737E9E"/>
    <w:rsid w:val="007577F1"/>
    <w:rsid w:val="00763B64"/>
    <w:rsid w:val="00764020"/>
    <w:rsid w:val="007836B7"/>
    <w:rsid w:val="007855B8"/>
    <w:rsid w:val="007921A9"/>
    <w:rsid w:val="007C6466"/>
    <w:rsid w:val="007D5169"/>
    <w:rsid w:val="007D627F"/>
    <w:rsid w:val="007E6A8B"/>
    <w:rsid w:val="007F3E2F"/>
    <w:rsid w:val="00810E6E"/>
    <w:rsid w:val="008146A8"/>
    <w:rsid w:val="008303BA"/>
    <w:rsid w:val="00835A7C"/>
    <w:rsid w:val="00845C17"/>
    <w:rsid w:val="00856CA4"/>
    <w:rsid w:val="0086384E"/>
    <w:rsid w:val="00863B26"/>
    <w:rsid w:val="00875449"/>
    <w:rsid w:val="0087678D"/>
    <w:rsid w:val="00877AF9"/>
    <w:rsid w:val="0089539C"/>
    <w:rsid w:val="008A1B42"/>
    <w:rsid w:val="008B11B6"/>
    <w:rsid w:val="008C2430"/>
    <w:rsid w:val="008C5810"/>
    <w:rsid w:val="008D230E"/>
    <w:rsid w:val="008D30AE"/>
    <w:rsid w:val="008F7E05"/>
    <w:rsid w:val="00916E49"/>
    <w:rsid w:val="00933704"/>
    <w:rsid w:val="00936337"/>
    <w:rsid w:val="00936DE7"/>
    <w:rsid w:val="009416B4"/>
    <w:rsid w:val="00944C33"/>
    <w:rsid w:val="00946474"/>
    <w:rsid w:val="00956D44"/>
    <w:rsid w:val="00962074"/>
    <w:rsid w:val="009804D5"/>
    <w:rsid w:val="009A10D9"/>
    <w:rsid w:val="009A5C09"/>
    <w:rsid w:val="009B371F"/>
    <w:rsid w:val="009C2043"/>
    <w:rsid w:val="009D28A2"/>
    <w:rsid w:val="009F44AE"/>
    <w:rsid w:val="00A1360D"/>
    <w:rsid w:val="00A317A6"/>
    <w:rsid w:val="00A359B4"/>
    <w:rsid w:val="00A4128C"/>
    <w:rsid w:val="00A6112A"/>
    <w:rsid w:val="00A64436"/>
    <w:rsid w:val="00A91BCF"/>
    <w:rsid w:val="00A931CC"/>
    <w:rsid w:val="00AA06EE"/>
    <w:rsid w:val="00AC0C7F"/>
    <w:rsid w:val="00AC10F5"/>
    <w:rsid w:val="00AC2016"/>
    <w:rsid w:val="00AC6048"/>
    <w:rsid w:val="00AD3015"/>
    <w:rsid w:val="00AE300A"/>
    <w:rsid w:val="00AE4167"/>
    <w:rsid w:val="00AF1C77"/>
    <w:rsid w:val="00AF306F"/>
    <w:rsid w:val="00AF799C"/>
    <w:rsid w:val="00B03509"/>
    <w:rsid w:val="00B04107"/>
    <w:rsid w:val="00B1020F"/>
    <w:rsid w:val="00B2042C"/>
    <w:rsid w:val="00B20A3D"/>
    <w:rsid w:val="00B246BC"/>
    <w:rsid w:val="00B33B9B"/>
    <w:rsid w:val="00B362E5"/>
    <w:rsid w:val="00B37A21"/>
    <w:rsid w:val="00B4003A"/>
    <w:rsid w:val="00B436DA"/>
    <w:rsid w:val="00B442BB"/>
    <w:rsid w:val="00B500BA"/>
    <w:rsid w:val="00B534FC"/>
    <w:rsid w:val="00B61B6F"/>
    <w:rsid w:val="00B61F11"/>
    <w:rsid w:val="00B74C04"/>
    <w:rsid w:val="00B83C48"/>
    <w:rsid w:val="00BA5000"/>
    <w:rsid w:val="00BB0A83"/>
    <w:rsid w:val="00BB7A88"/>
    <w:rsid w:val="00BC387B"/>
    <w:rsid w:val="00BD0A9B"/>
    <w:rsid w:val="00BD4695"/>
    <w:rsid w:val="00BD6243"/>
    <w:rsid w:val="00BF4830"/>
    <w:rsid w:val="00C01762"/>
    <w:rsid w:val="00C06FD9"/>
    <w:rsid w:val="00C11531"/>
    <w:rsid w:val="00C17937"/>
    <w:rsid w:val="00C34444"/>
    <w:rsid w:val="00C41895"/>
    <w:rsid w:val="00C5513E"/>
    <w:rsid w:val="00C56E33"/>
    <w:rsid w:val="00C63342"/>
    <w:rsid w:val="00C71479"/>
    <w:rsid w:val="00C73637"/>
    <w:rsid w:val="00C7660C"/>
    <w:rsid w:val="00C82F5F"/>
    <w:rsid w:val="00CA2485"/>
    <w:rsid w:val="00CA78AE"/>
    <w:rsid w:val="00CB658D"/>
    <w:rsid w:val="00CC2F76"/>
    <w:rsid w:val="00CC5237"/>
    <w:rsid w:val="00CC71D1"/>
    <w:rsid w:val="00CD469A"/>
    <w:rsid w:val="00CE01C4"/>
    <w:rsid w:val="00CF7A9F"/>
    <w:rsid w:val="00D02B8E"/>
    <w:rsid w:val="00D154D2"/>
    <w:rsid w:val="00D3169C"/>
    <w:rsid w:val="00D45C68"/>
    <w:rsid w:val="00D5128D"/>
    <w:rsid w:val="00D6280C"/>
    <w:rsid w:val="00D6318F"/>
    <w:rsid w:val="00D76FE5"/>
    <w:rsid w:val="00D94535"/>
    <w:rsid w:val="00DA3CC9"/>
    <w:rsid w:val="00DD285E"/>
    <w:rsid w:val="00DE2482"/>
    <w:rsid w:val="00DE2B00"/>
    <w:rsid w:val="00E03505"/>
    <w:rsid w:val="00E05C92"/>
    <w:rsid w:val="00E06A6B"/>
    <w:rsid w:val="00E24B6F"/>
    <w:rsid w:val="00E35EC9"/>
    <w:rsid w:val="00E3768D"/>
    <w:rsid w:val="00E42217"/>
    <w:rsid w:val="00E44960"/>
    <w:rsid w:val="00E45CEE"/>
    <w:rsid w:val="00E54D3B"/>
    <w:rsid w:val="00E57C9A"/>
    <w:rsid w:val="00E632AB"/>
    <w:rsid w:val="00E67485"/>
    <w:rsid w:val="00E72E2B"/>
    <w:rsid w:val="00E800AC"/>
    <w:rsid w:val="00E82C76"/>
    <w:rsid w:val="00E8334F"/>
    <w:rsid w:val="00E85CB6"/>
    <w:rsid w:val="00E95EA6"/>
    <w:rsid w:val="00EB7F48"/>
    <w:rsid w:val="00EB7FA0"/>
    <w:rsid w:val="00EC6441"/>
    <w:rsid w:val="00EE073B"/>
    <w:rsid w:val="00EE12C3"/>
    <w:rsid w:val="00EE168A"/>
    <w:rsid w:val="00EE384C"/>
    <w:rsid w:val="00EE7484"/>
    <w:rsid w:val="00EF0473"/>
    <w:rsid w:val="00EF1823"/>
    <w:rsid w:val="00EF78CA"/>
    <w:rsid w:val="00F00B57"/>
    <w:rsid w:val="00F01E36"/>
    <w:rsid w:val="00F103FF"/>
    <w:rsid w:val="00F2711E"/>
    <w:rsid w:val="00F273C2"/>
    <w:rsid w:val="00F33B5B"/>
    <w:rsid w:val="00F34488"/>
    <w:rsid w:val="00F35C24"/>
    <w:rsid w:val="00F4182A"/>
    <w:rsid w:val="00F52870"/>
    <w:rsid w:val="00F53804"/>
    <w:rsid w:val="00F53FFB"/>
    <w:rsid w:val="00F54004"/>
    <w:rsid w:val="00F55CDA"/>
    <w:rsid w:val="00F72FEF"/>
    <w:rsid w:val="00F839D7"/>
    <w:rsid w:val="00F83AB7"/>
    <w:rsid w:val="00F85DA0"/>
    <w:rsid w:val="00FA36C2"/>
    <w:rsid w:val="00FA5806"/>
    <w:rsid w:val="00FB50A2"/>
    <w:rsid w:val="00FC036A"/>
    <w:rsid w:val="00FC6223"/>
    <w:rsid w:val="00FE7303"/>
    <w:rsid w:val="00FE7A8E"/>
    <w:rsid w:val="00FF0056"/>
    <w:rsid w:val="00FF1176"/>
    <w:rsid w:val="00FF7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EEF2"/>
  <w15:docId w15:val="{73A650A6-6E1E-B945-A5E2-2465B502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ink">
    <w:name w:val="a_link"/>
    <w:rsid w:val="00F4182A"/>
    <w:rPr>
      <w:color w:val="000000"/>
    </w:rPr>
  </w:style>
  <w:style w:type="paragraph" w:styleId="Pidipagina">
    <w:name w:val="footer"/>
    <w:basedOn w:val="Normale"/>
    <w:link w:val="PidipaginaCarattere"/>
    <w:uiPriority w:val="99"/>
    <w:unhideWhenUsed/>
    <w:rsid w:val="00956D44"/>
    <w:pPr>
      <w:tabs>
        <w:tab w:val="center" w:pos="4819"/>
        <w:tab w:val="right" w:pos="9638"/>
      </w:tabs>
    </w:pPr>
  </w:style>
  <w:style w:type="character" w:customStyle="1" w:styleId="PidipaginaCarattere">
    <w:name w:val="Piè di pagina Carattere"/>
    <w:basedOn w:val="Carpredefinitoparagrafo"/>
    <w:link w:val="Pidipagina"/>
    <w:uiPriority w:val="99"/>
    <w:rsid w:val="00956D44"/>
  </w:style>
  <w:style w:type="character" w:styleId="Numeropagina">
    <w:name w:val="page number"/>
    <w:basedOn w:val="Carpredefinitoparagrafo"/>
    <w:uiPriority w:val="99"/>
    <w:semiHidden/>
    <w:unhideWhenUsed/>
    <w:rsid w:val="00956D44"/>
  </w:style>
  <w:style w:type="paragraph" w:styleId="Testonotaapidipagina">
    <w:name w:val="footnote text"/>
    <w:basedOn w:val="Normale"/>
    <w:link w:val="TestonotaapidipaginaCarattere"/>
    <w:uiPriority w:val="99"/>
    <w:unhideWhenUsed/>
    <w:rsid w:val="00C11531"/>
    <w:rPr>
      <w:sz w:val="20"/>
      <w:szCs w:val="20"/>
    </w:rPr>
  </w:style>
  <w:style w:type="character" w:customStyle="1" w:styleId="TestonotaapidipaginaCarattere">
    <w:name w:val="Testo nota a piè di pagina Carattere"/>
    <w:basedOn w:val="Carpredefinitoparagrafo"/>
    <w:link w:val="Testonotaapidipagina"/>
    <w:uiPriority w:val="99"/>
    <w:rsid w:val="00C11531"/>
    <w:rPr>
      <w:sz w:val="20"/>
      <w:szCs w:val="20"/>
    </w:rPr>
  </w:style>
  <w:style w:type="character" w:styleId="Rimandonotaapidipagina">
    <w:name w:val="footnote reference"/>
    <w:basedOn w:val="Carpredefinitoparagrafo"/>
    <w:uiPriority w:val="99"/>
    <w:semiHidden/>
    <w:unhideWhenUsed/>
    <w:rsid w:val="00C11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3443">
      <w:bodyDiv w:val="1"/>
      <w:marLeft w:val="0"/>
      <w:marRight w:val="0"/>
      <w:marTop w:val="0"/>
      <w:marBottom w:val="0"/>
      <w:divBdr>
        <w:top w:val="none" w:sz="0" w:space="0" w:color="auto"/>
        <w:left w:val="none" w:sz="0" w:space="0" w:color="auto"/>
        <w:bottom w:val="none" w:sz="0" w:space="0" w:color="auto"/>
        <w:right w:val="none" w:sz="0" w:space="0" w:color="auto"/>
      </w:divBdr>
      <w:divsChild>
        <w:div w:id="733312848">
          <w:marLeft w:val="0"/>
          <w:marRight w:val="0"/>
          <w:marTop w:val="0"/>
          <w:marBottom w:val="0"/>
          <w:divBdr>
            <w:top w:val="none" w:sz="0" w:space="0" w:color="auto"/>
            <w:left w:val="none" w:sz="0" w:space="0" w:color="auto"/>
            <w:bottom w:val="none" w:sz="0" w:space="0" w:color="auto"/>
            <w:right w:val="none" w:sz="0" w:space="0" w:color="auto"/>
          </w:divBdr>
          <w:divsChild>
            <w:div w:id="1258296513">
              <w:marLeft w:val="0"/>
              <w:marRight w:val="0"/>
              <w:marTop w:val="0"/>
              <w:marBottom w:val="0"/>
              <w:divBdr>
                <w:top w:val="none" w:sz="0" w:space="0" w:color="auto"/>
                <w:left w:val="none" w:sz="0" w:space="0" w:color="auto"/>
                <w:bottom w:val="none" w:sz="0" w:space="0" w:color="auto"/>
                <w:right w:val="none" w:sz="0" w:space="0" w:color="auto"/>
              </w:divBdr>
              <w:divsChild>
                <w:div w:id="662395365">
                  <w:marLeft w:val="0"/>
                  <w:marRight w:val="0"/>
                  <w:marTop w:val="0"/>
                  <w:marBottom w:val="0"/>
                  <w:divBdr>
                    <w:top w:val="none" w:sz="0" w:space="0" w:color="auto"/>
                    <w:left w:val="none" w:sz="0" w:space="0" w:color="auto"/>
                    <w:bottom w:val="none" w:sz="0" w:space="0" w:color="auto"/>
                    <w:right w:val="none" w:sz="0" w:space="0" w:color="auto"/>
                  </w:divBdr>
                </w:div>
              </w:divsChild>
            </w:div>
            <w:div w:id="1055202420">
              <w:marLeft w:val="0"/>
              <w:marRight w:val="0"/>
              <w:marTop w:val="0"/>
              <w:marBottom w:val="0"/>
              <w:divBdr>
                <w:top w:val="none" w:sz="0" w:space="0" w:color="auto"/>
                <w:left w:val="none" w:sz="0" w:space="0" w:color="auto"/>
                <w:bottom w:val="none" w:sz="0" w:space="0" w:color="auto"/>
                <w:right w:val="none" w:sz="0" w:space="0" w:color="auto"/>
              </w:divBdr>
              <w:divsChild>
                <w:div w:id="235671384">
                  <w:marLeft w:val="0"/>
                  <w:marRight w:val="0"/>
                  <w:marTop w:val="0"/>
                  <w:marBottom w:val="0"/>
                  <w:divBdr>
                    <w:top w:val="none" w:sz="0" w:space="0" w:color="auto"/>
                    <w:left w:val="none" w:sz="0" w:space="0" w:color="auto"/>
                    <w:bottom w:val="none" w:sz="0" w:space="0" w:color="auto"/>
                    <w:right w:val="none" w:sz="0" w:space="0" w:color="auto"/>
                  </w:divBdr>
                  <w:divsChild>
                    <w:div w:id="1139034684">
                      <w:marLeft w:val="0"/>
                      <w:marRight w:val="0"/>
                      <w:marTop w:val="0"/>
                      <w:marBottom w:val="0"/>
                      <w:divBdr>
                        <w:top w:val="none" w:sz="0" w:space="0" w:color="auto"/>
                        <w:left w:val="none" w:sz="0" w:space="0" w:color="auto"/>
                        <w:bottom w:val="none" w:sz="0" w:space="0" w:color="auto"/>
                        <w:right w:val="none" w:sz="0" w:space="0" w:color="auto"/>
                      </w:divBdr>
                    </w:div>
                  </w:divsChild>
                </w:div>
                <w:div w:id="1961571893">
                  <w:marLeft w:val="0"/>
                  <w:marRight w:val="0"/>
                  <w:marTop w:val="0"/>
                  <w:marBottom w:val="0"/>
                  <w:divBdr>
                    <w:top w:val="none" w:sz="0" w:space="0" w:color="auto"/>
                    <w:left w:val="none" w:sz="0" w:space="0" w:color="auto"/>
                    <w:bottom w:val="none" w:sz="0" w:space="0" w:color="auto"/>
                    <w:right w:val="none" w:sz="0" w:space="0" w:color="auto"/>
                  </w:divBdr>
                  <w:divsChild>
                    <w:div w:id="663433416">
                      <w:marLeft w:val="0"/>
                      <w:marRight w:val="0"/>
                      <w:marTop w:val="0"/>
                      <w:marBottom w:val="0"/>
                      <w:divBdr>
                        <w:top w:val="none" w:sz="0" w:space="0" w:color="auto"/>
                        <w:left w:val="none" w:sz="0" w:space="0" w:color="auto"/>
                        <w:bottom w:val="none" w:sz="0" w:space="0" w:color="auto"/>
                        <w:right w:val="none" w:sz="0" w:space="0" w:color="auto"/>
                      </w:divBdr>
                    </w:div>
                  </w:divsChild>
                </w:div>
                <w:div w:id="1191452884">
                  <w:marLeft w:val="0"/>
                  <w:marRight w:val="0"/>
                  <w:marTop w:val="0"/>
                  <w:marBottom w:val="0"/>
                  <w:divBdr>
                    <w:top w:val="none" w:sz="0" w:space="0" w:color="auto"/>
                    <w:left w:val="none" w:sz="0" w:space="0" w:color="auto"/>
                    <w:bottom w:val="none" w:sz="0" w:space="0" w:color="auto"/>
                    <w:right w:val="none" w:sz="0" w:space="0" w:color="auto"/>
                  </w:divBdr>
                  <w:divsChild>
                    <w:div w:id="540094766">
                      <w:marLeft w:val="0"/>
                      <w:marRight w:val="0"/>
                      <w:marTop w:val="0"/>
                      <w:marBottom w:val="0"/>
                      <w:divBdr>
                        <w:top w:val="none" w:sz="0" w:space="0" w:color="auto"/>
                        <w:left w:val="none" w:sz="0" w:space="0" w:color="auto"/>
                        <w:bottom w:val="none" w:sz="0" w:space="0" w:color="auto"/>
                        <w:right w:val="none" w:sz="0" w:space="0" w:color="auto"/>
                      </w:divBdr>
                    </w:div>
                  </w:divsChild>
                </w:div>
                <w:div w:id="1323775008">
                  <w:marLeft w:val="0"/>
                  <w:marRight w:val="0"/>
                  <w:marTop w:val="0"/>
                  <w:marBottom w:val="0"/>
                  <w:divBdr>
                    <w:top w:val="none" w:sz="0" w:space="0" w:color="auto"/>
                    <w:left w:val="none" w:sz="0" w:space="0" w:color="auto"/>
                    <w:bottom w:val="none" w:sz="0" w:space="0" w:color="auto"/>
                    <w:right w:val="none" w:sz="0" w:space="0" w:color="auto"/>
                  </w:divBdr>
                  <w:divsChild>
                    <w:div w:id="20215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umenti.camera.it/apps/commonServices/getDocumento.ashx?sezione=deputati&amp;tipoDoc=schedaDeputato&amp;idLegislatura=17&amp;idPersona=306270&amp;webType=Normale" TargetMode="External"/><Relationship Id="rId7" Type="http://schemas.openxmlformats.org/officeDocument/2006/relationships/hyperlink" Target="http://documenti.camera.it/apps/commonServices/getDocumento.ashx?sezione=deputati&amp;tipoDoc=schedaDeputato&amp;idLegislatura=17&amp;idPersona=306290&amp;webType=Normale" TargetMode="External"/><Relationship Id="rId2" Type="http://schemas.openxmlformats.org/officeDocument/2006/relationships/hyperlink" Target="http://documenti.camera.it/apps/commonServices/getDocumento.ashx?sezione=deputati&amp;tipoDoc=schedaDeputato&amp;idLegislatura=17&amp;idPersona=306272&amp;webType=Normale" TargetMode="External"/><Relationship Id="rId1" Type="http://schemas.openxmlformats.org/officeDocument/2006/relationships/hyperlink" Target="http://documenti.camera.it/apps/commonServices/getDocumento.ashx?sezione=deputati&amp;tipoDoc=schedaDeputato&amp;idLegislatura=17&amp;idPersona=306278&amp;webType=Normale" TargetMode="External"/><Relationship Id="rId6" Type="http://schemas.openxmlformats.org/officeDocument/2006/relationships/hyperlink" Target="http://documenti.camera.it/apps/commonServices/getDocumento.ashx?sezione=deputati&amp;tipoDoc=schedaDeputato&amp;idLegislatura=17&amp;idPersona=305770&amp;webType=Normale" TargetMode="External"/><Relationship Id="rId5" Type="http://schemas.openxmlformats.org/officeDocument/2006/relationships/hyperlink" Target="http://documenti.camera.it/apps/commonServices/getDocumento.ashx?sezione=deputati&amp;tipoDoc=schedaDeputato&amp;idLegislatura=17&amp;idPersona=33730&amp;webType=Normale" TargetMode="External"/><Relationship Id="rId4" Type="http://schemas.openxmlformats.org/officeDocument/2006/relationships/hyperlink" Target="http://documenti.camera.it/apps/commonServices/getDocumento.ashx?sezione=deputati&amp;tipoDoc=schedaDeputato&amp;idLegislatura=17&amp;idPersona=306274&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5340</Words>
  <Characters>30440</Characters>
  <Application>Microsoft Office Word</Application>
  <DocSecurity>4</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2</cp:revision>
  <dcterms:created xsi:type="dcterms:W3CDTF">2023-03-24T21:58:00Z</dcterms:created>
  <dcterms:modified xsi:type="dcterms:W3CDTF">2023-03-24T21:58:00Z</dcterms:modified>
</cp:coreProperties>
</file>