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DCCAF" w14:textId="4EC3B69A" w:rsidR="003D2014" w:rsidRDefault="003D2014" w:rsidP="00EE782B">
      <w:pPr>
        <w:spacing w:after="0" w:line="360" w:lineRule="auto"/>
        <w:rPr>
          <w:rFonts w:ascii="Times New Roman" w:hAnsi="Times New Roman" w:cs="Times New Roman"/>
          <w:b/>
          <w:bCs/>
          <w:sz w:val="24"/>
          <w:szCs w:val="24"/>
        </w:rPr>
      </w:pPr>
      <w:r w:rsidRPr="006A67B3">
        <w:rPr>
          <w:rFonts w:ascii="Times New Roman" w:hAnsi="Times New Roman" w:cs="Times New Roman"/>
          <w:b/>
          <w:bCs/>
          <w:sz w:val="24"/>
          <w:szCs w:val="24"/>
        </w:rPr>
        <w:t>Il partenariato pubblico-privato nel nuovo codice dei contratti pubblici. Prime impressioni.</w:t>
      </w:r>
    </w:p>
    <w:p w14:paraId="1A136D9D" w14:textId="77777777" w:rsidR="00FB32AD" w:rsidRPr="0090086E" w:rsidRDefault="00FB32AD" w:rsidP="00FB32AD">
      <w:pPr>
        <w:spacing w:line="276" w:lineRule="auto"/>
        <w:jc w:val="both"/>
        <w:rPr>
          <w:rFonts w:ascii="Times New Roman" w:hAnsi="Times New Roman" w:cs="Times New Roman"/>
          <w:sz w:val="24"/>
          <w:szCs w:val="24"/>
        </w:rPr>
      </w:pPr>
      <w:r>
        <w:rPr>
          <w:rFonts w:ascii="Times New Roman" w:hAnsi="Times New Roman" w:cs="Times New Roman"/>
          <w:sz w:val="24"/>
          <w:szCs w:val="24"/>
        </w:rPr>
        <w:t>Testo dell’intervento svolto al convegno “</w:t>
      </w:r>
      <w:r>
        <w:rPr>
          <w:rFonts w:ascii="Times New Roman" w:hAnsi="Times New Roman" w:cs="Times New Roman"/>
          <w:i/>
          <w:iCs/>
          <w:sz w:val="24"/>
          <w:szCs w:val="24"/>
        </w:rPr>
        <w:t>I</w:t>
      </w:r>
      <w:r w:rsidRPr="006F1E7F">
        <w:rPr>
          <w:rFonts w:ascii="Times New Roman" w:hAnsi="Times New Roman" w:cs="Times New Roman"/>
          <w:i/>
          <w:iCs/>
          <w:sz w:val="24"/>
          <w:szCs w:val="24"/>
        </w:rPr>
        <w:t>l codice dei contratti pubblici (prime impressioni)</w:t>
      </w:r>
      <w:r>
        <w:rPr>
          <w:rFonts w:ascii="Times New Roman" w:hAnsi="Times New Roman" w:cs="Times New Roman"/>
          <w:sz w:val="24"/>
          <w:szCs w:val="24"/>
        </w:rPr>
        <w:t xml:space="preserve">”, organizzato dalla Società Italiana Avvocati Amministrativisti, tenutosi presso il </w:t>
      </w:r>
      <w:r w:rsidRPr="006F1E7F">
        <w:rPr>
          <w:rFonts w:ascii="Times New Roman" w:hAnsi="Times New Roman" w:cs="Times New Roman"/>
          <w:sz w:val="24"/>
          <w:szCs w:val="24"/>
        </w:rPr>
        <w:t>T.A.R. Calabria</w:t>
      </w:r>
      <w:r>
        <w:rPr>
          <w:rFonts w:ascii="Times New Roman" w:hAnsi="Times New Roman" w:cs="Times New Roman"/>
          <w:sz w:val="24"/>
          <w:szCs w:val="24"/>
        </w:rPr>
        <w:t xml:space="preserve">, </w:t>
      </w:r>
      <w:r w:rsidRPr="006F1E7F">
        <w:rPr>
          <w:rFonts w:ascii="Times New Roman" w:hAnsi="Times New Roman" w:cs="Times New Roman"/>
          <w:sz w:val="24"/>
          <w:szCs w:val="24"/>
        </w:rPr>
        <w:t>Catanzaro</w:t>
      </w:r>
      <w:r>
        <w:rPr>
          <w:rFonts w:ascii="Times New Roman" w:hAnsi="Times New Roman" w:cs="Times New Roman"/>
          <w:sz w:val="24"/>
          <w:szCs w:val="24"/>
        </w:rPr>
        <w:t>, in data</w:t>
      </w:r>
      <w:r w:rsidRPr="006F1E7F">
        <w:rPr>
          <w:rFonts w:ascii="Times New Roman" w:hAnsi="Times New Roman" w:cs="Times New Roman"/>
          <w:sz w:val="24"/>
          <w:szCs w:val="24"/>
        </w:rPr>
        <w:t xml:space="preserve"> 13 luglio 2023</w:t>
      </w:r>
      <w:r>
        <w:rPr>
          <w:rFonts w:ascii="Times New Roman" w:hAnsi="Times New Roman" w:cs="Times New Roman"/>
          <w:sz w:val="24"/>
          <w:szCs w:val="24"/>
        </w:rPr>
        <w:t>.</w:t>
      </w:r>
    </w:p>
    <w:p w14:paraId="12E89C8A" w14:textId="77777777" w:rsidR="003D2014" w:rsidRPr="00643FF9" w:rsidRDefault="003D2014" w:rsidP="00510024">
      <w:pPr>
        <w:spacing w:after="0" w:line="360" w:lineRule="auto"/>
        <w:jc w:val="both"/>
        <w:rPr>
          <w:rFonts w:ascii="Times New Roman" w:hAnsi="Times New Roman" w:cs="Times New Roman"/>
          <w:i/>
          <w:iCs/>
          <w:sz w:val="24"/>
          <w:szCs w:val="24"/>
        </w:rPr>
      </w:pPr>
      <w:r w:rsidRPr="004A7B04">
        <w:rPr>
          <w:rFonts w:ascii="Times New Roman" w:hAnsi="Times New Roman" w:cs="Times New Roman"/>
          <w:b/>
          <w:bCs/>
          <w:sz w:val="24"/>
          <w:szCs w:val="24"/>
        </w:rPr>
        <w:t xml:space="preserve">1.- </w:t>
      </w:r>
      <w:r w:rsidRPr="00643FF9">
        <w:rPr>
          <w:rFonts w:ascii="Times New Roman" w:hAnsi="Times New Roman" w:cs="Times New Roman"/>
          <w:b/>
          <w:bCs/>
          <w:i/>
          <w:iCs/>
          <w:sz w:val="24"/>
          <w:szCs w:val="24"/>
        </w:rPr>
        <w:t>Premessa.</w:t>
      </w:r>
    </w:p>
    <w:p w14:paraId="00CA0944" w14:textId="0DDE84C2"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È già stato affermato che con il nuovo codice</w:t>
      </w:r>
      <w:r w:rsidR="00E64B56">
        <w:rPr>
          <w:rFonts w:ascii="Times New Roman" w:hAnsi="Times New Roman" w:cs="Times New Roman"/>
          <w:sz w:val="24"/>
          <w:szCs w:val="24"/>
        </w:rPr>
        <w:t xml:space="preserve"> (d.lgs.</w:t>
      </w:r>
      <w:r w:rsidR="00E64B56" w:rsidRPr="00E64B56">
        <w:rPr>
          <w:rFonts w:ascii="Times New Roman" w:hAnsi="Times New Roman" w:cs="Times New Roman"/>
          <w:sz w:val="24"/>
          <w:szCs w:val="24"/>
        </w:rPr>
        <w:t xml:space="preserve"> 31 marzo 2023, n. 36</w:t>
      </w:r>
      <w:r w:rsidR="00E64B56">
        <w:rPr>
          <w:rFonts w:ascii="Times New Roman" w:hAnsi="Times New Roman" w:cs="Times New Roman"/>
          <w:sz w:val="24"/>
          <w:szCs w:val="24"/>
        </w:rPr>
        <w:t>)</w:t>
      </w:r>
      <w:r>
        <w:rPr>
          <w:rFonts w:ascii="Times New Roman" w:hAnsi="Times New Roman" w:cs="Times New Roman"/>
          <w:sz w:val="24"/>
          <w:szCs w:val="24"/>
        </w:rPr>
        <w:t xml:space="preserve"> s</w:t>
      </w:r>
      <w:r w:rsidR="00510024">
        <w:rPr>
          <w:rFonts w:ascii="Times New Roman" w:hAnsi="Times New Roman" w:cs="Times New Roman"/>
          <w:sz w:val="24"/>
          <w:szCs w:val="24"/>
        </w:rPr>
        <w:t>i è perseguito l’obiettivo</w:t>
      </w:r>
      <w:r>
        <w:rPr>
          <w:rFonts w:ascii="Times New Roman" w:hAnsi="Times New Roman" w:cs="Times New Roman"/>
          <w:sz w:val="24"/>
          <w:szCs w:val="24"/>
        </w:rPr>
        <w:t xml:space="preserve"> di “</w:t>
      </w:r>
      <w:r w:rsidRPr="009E16DD">
        <w:rPr>
          <w:rFonts w:ascii="Times New Roman" w:hAnsi="Times New Roman" w:cs="Times New Roman"/>
          <w:i/>
          <w:iCs/>
          <w:sz w:val="24"/>
          <w:szCs w:val="24"/>
        </w:rPr>
        <w:t>cambiare il paradigma</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1"/>
      </w:r>
      <w:r>
        <w:rPr>
          <w:rFonts w:ascii="Times New Roman" w:hAnsi="Times New Roman" w:cs="Times New Roman"/>
          <w:sz w:val="24"/>
          <w:szCs w:val="24"/>
        </w:rPr>
        <w:t xml:space="preserve"> rispetto al passato, </w:t>
      </w:r>
      <w:r w:rsidR="00510024">
        <w:rPr>
          <w:rFonts w:ascii="Times New Roman" w:hAnsi="Times New Roman" w:cs="Times New Roman"/>
          <w:sz w:val="24"/>
          <w:szCs w:val="24"/>
        </w:rPr>
        <w:t xml:space="preserve">al fine </w:t>
      </w:r>
      <w:r>
        <w:rPr>
          <w:rFonts w:ascii="Times New Roman" w:hAnsi="Times New Roman" w:cs="Times New Roman"/>
          <w:sz w:val="24"/>
          <w:szCs w:val="24"/>
        </w:rPr>
        <w:t xml:space="preserve">di superare una visione del diritto pubblico dei contratti </w:t>
      </w:r>
      <w:r w:rsidR="000F33AE">
        <w:rPr>
          <w:rFonts w:ascii="Times New Roman" w:hAnsi="Times New Roman" w:cs="Times New Roman"/>
          <w:sz w:val="24"/>
          <w:szCs w:val="24"/>
        </w:rPr>
        <w:t>quale</w:t>
      </w:r>
      <w:r>
        <w:rPr>
          <w:rFonts w:ascii="Times New Roman" w:hAnsi="Times New Roman" w:cs="Times New Roman"/>
          <w:sz w:val="24"/>
          <w:szCs w:val="24"/>
        </w:rPr>
        <w:t xml:space="preserve"> limite, contenimento – spesso </w:t>
      </w:r>
      <w:r w:rsidR="000F33AE">
        <w:rPr>
          <w:rFonts w:ascii="Times New Roman" w:hAnsi="Times New Roman" w:cs="Times New Roman"/>
          <w:sz w:val="24"/>
          <w:szCs w:val="24"/>
        </w:rPr>
        <w:t xml:space="preserve">quasi </w:t>
      </w:r>
      <w:r>
        <w:rPr>
          <w:rFonts w:ascii="Times New Roman" w:hAnsi="Times New Roman" w:cs="Times New Roman"/>
          <w:sz w:val="24"/>
          <w:szCs w:val="24"/>
        </w:rPr>
        <w:t xml:space="preserve">irragionevole – per la discrezionalità dell’Amministrazione, </w:t>
      </w:r>
      <w:r w:rsidR="00510024">
        <w:rPr>
          <w:rFonts w:ascii="Times New Roman" w:hAnsi="Times New Roman" w:cs="Times New Roman"/>
          <w:sz w:val="24"/>
          <w:szCs w:val="24"/>
        </w:rPr>
        <w:t>erigendo, invece,</w:t>
      </w:r>
      <w:r>
        <w:rPr>
          <w:rFonts w:ascii="Times New Roman" w:hAnsi="Times New Roman" w:cs="Times New Roman"/>
          <w:sz w:val="24"/>
          <w:szCs w:val="24"/>
        </w:rPr>
        <w:t xml:space="preserve"> </w:t>
      </w:r>
      <w:r w:rsidR="00510024">
        <w:rPr>
          <w:rFonts w:ascii="Times New Roman" w:hAnsi="Times New Roman" w:cs="Times New Roman"/>
          <w:sz w:val="24"/>
          <w:szCs w:val="24"/>
        </w:rPr>
        <w:t xml:space="preserve">il </w:t>
      </w:r>
      <w:r w:rsidR="00510024">
        <w:rPr>
          <w:rFonts w:ascii="Times New Roman" w:hAnsi="Times New Roman" w:cs="Times New Roman"/>
          <w:i/>
          <w:iCs/>
          <w:sz w:val="24"/>
          <w:szCs w:val="24"/>
        </w:rPr>
        <w:t>public procurement</w:t>
      </w:r>
      <w:r w:rsidR="00510024">
        <w:rPr>
          <w:rFonts w:ascii="Times New Roman" w:hAnsi="Times New Roman" w:cs="Times New Roman"/>
          <w:sz w:val="24"/>
          <w:szCs w:val="24"/>
        </w:rPr>
        <w:t xml:space="preserve"> </w:t>
      </w:r>
      <w:r>
        <w:rPr>
          <w:rFonts w:ascii="Times New Roman" w:hAnsi="Times New Roman" w:cs="Times New Roman"/>
          <w:sz w:val="24"/>
          <w:szCs w:val="24"/>
        </w:rPr>
        <w:t xml:space="preserve">a strumento di progresso economico e sociale, nella consapevolezza che </w:t>
      </w:r>
      <w:r w:rsidR="00510024">
        <w:rPr>
          <w:rFonts w:ascii="Times New Roman" w:hAnsi="Times New Roman" w:cs="Times New Roman"/>
          <w:sz w:val="24"/>
          <w:szCs w:val="24"/>
        </w:rPr>
        <w:t xml:space="preserve">questo </w:t>
      </w:r>
      <w:r>
        <w:rPr>
          <w:rFonts w:ascii="Times New Roman" w:hAnsi="Times New Roman" w:cs="Times New Roman"/>
          <w:sz w:val="24"/>
          <w:szCs w:val="24"/>
        </w:rPr>
        <w:t>costituisce uno dei principali mezzi di politica economica per il rilancio dell’economia nazionale ed europea, in particolare dopo la contrazione causata dalla pandemia e dalla guerra.</w:t>
      </w:r>
    </w:p>
    <w:p w14:paraId="61D232D8" w14:textId="4FE00811" w:rsidR="003D2014" w:rsidRDefault="003D2014" w:rsidP="00510024">
      <w:pPr>
        <w:spacing w:after="0" w:line="360" w:lineRule="auto"/>
        <w:jc w:val="both"/>
        <w:rPr>
          <w:rFonts w:ascii="Times New Roman" w:hAnsi="Times New Roman" w:cs="Times New Roman"/>
          <w:sz w:val="24"/>
          <w:szCs w:val="24"/>
        </w:rPr>
      </w:pPr>
      <w:r w:rsidRPr="005140A9">
        <w:rPr>
          <w:rFonts w:ascii="Times New Roman" w:hAnsi="Times New Roman" w:cs="Times New Roman"/>
          <w:sz w:val="24"/>
          <w:szCs w:val="24"/>
        </w:rPr>
        <w:t>Che il nuovo codice comporti una vera e propria “</w:t>
      </w:r>
      <w:r w:rsidRPr="005140A9">
        <w:rPr>
          <w:rFonts w:ascii="Times New Roman" w:hAnsi="Times New Roman" w:cs="Times New Roman"/>
          <w:i/>
          <w:iCs/>
          <w:sz w:val="24"/>
          <w:szCs w:val="24"/>
        </w:rPr>
        <w:t>rivoluzione</w:t>
      </w:r>
      <w:r w:rsidRPr="005140A9">
        <w:rPr>
          <w:rFonts w:ascii="Times New Roman" w:hAnsi="Times New Roman" w:cs="Times New Roman"/>
          <w:sz w:val="24"/>
          <w:szCs w:val="24"/>
        </w:rPr>
        <w:t>” nel settore delle commesse pubbliche</w:t>
      </w:r>
      <w:r w:rsidRPr="005140A9">
        <w:rPr>
          <w:rStyle w:val="Rimandonotaapidipagina"/>
          <w:rFonts w:ascii="Times New Roman" w:hAnsi="Times New Roman" w:cs="Times New Roman"/>
          <w:sz w:val="24"/>
          <w:szCs w:val="24"/>
        </w:rPr>
        <w:footnoteReference w:id="2"/>
      </w:r>
      <w:r w:rsidRPr="005140A9">
        <w:rPr>
          <w:rFonts w:ascii="Times New Roman" w:hAnsi="Times New Roman" w:cs="Times New Roman"/>
          <w:sz w:val="24"/>
          <w:szCs w:val="24"/>
        </w:rPr>
        <w:t>, pare a</w:t>
      </w:r>
      <w:r w:rsidR="00510024">
        <w:rPr>
          <w:rFonts w:ascii="Times New Roman" w:hAnsi="Times New Roman" w:cs="Times New Roman"/>
          <w:sz w:val="24"/>
          <w:szCs w:val="24"/>
        </w:rPr>
        <w:t>ffermazione ancora prematura</w:t>
      </w:r>
      <w:r w:rsidRPr="005140A9">
        <w:rPr>
          <w:rFonts w:ascii="Times New Roman" w:hAnsi="Times New Roman" w:cs="Times New Roman"/>
          <w:sz w:val="24"/>
          <w:szCs w:val="24"/>
        </w:rPr>
        <w:t xml:space="preserve">, considerato che non sarebbe la prima volta che il </w:t>
      </w:r>
      <w:proofErr w:type="spellStart"/>
      <w:r w:rsidRPr="005140A9">
        <w:rPr>
          <w:rFonts w:ascii="Times New Roman" w:hAnsi="Times New Roman" w:cs="Times New Roman"/>
          <w:i/>
          <w:iCs/>
          <w:sz w:val="24"/>
          <w:szCs w:val="24"/>
        </w:rPr>
        <w:t>law</w:t>
      </w:r>
      <w:proofErr w:type="spellEnd"/>
      <w:r w:rsidRPr="005140A9">
        <w:rPr>
          <w:rFonts w:ascii="Times New Roman" w:hAnsi="Times New Roman" w:cs="Times New Roman"/>
          <w:i/>
          <w:iCs/>
          <w:sz w:val="24"/>
          <w:szCs w:val="24"/>
        </w:rPr>
        <w:t xml:space="preserve"> in action </w:t>
      </w:r>
      <w:r w:rsidRPr="005140A9">
        <w:rPr>
          <w:rFonts w:ascii="Times New Roman" w:hAnsi="Times New Roman" w:cs="Times New Roman"/>
          <w:sz w:val="24"/>
          <w:szCs w:val="24"/>
        </w:rPr>
        <w:t xml:space="preserve">si discosta dal </w:t>
      </w:r>
      <w:proofErr w:type="spellStart"/>
      <w:r w:rsidRPr="005140A9">
        <w:rPr>
          <w:rFonts w:ascii="Times New Roman" w:hAnsi="Times New Roman" w:cs="Times New Roman"/>
          <w:i/>
          <w:iCs/>
          <w:sz w:val="24"/>
          <w:szCs w:val="24"/>
        </w:rPr>
        <w:t>law</w:t>
      </w:r>
      <w:proofErr w:type="spellEnd"/>
      <w:r w:rsidRPr="005140A9">
        <w:rPr>
          <w:rFonts w:ascii="Times New Roman" w:hAnsi="Times New Roman" w:cs="Times New Roman"/>
          <w:i/>
          <w:iCs/>
          <w:sz w:val="24"/>
          <w:szCs w:val="24"/>
        </w:rPr>
        <w:t xml:space="preserve"> in book</w:t>
      </w:r>
      <w:r>
        <w:rPr>
          <w:rFonts w:ascii="Times New Roman" w:hAnsi="Times New Roman" w:cs="Times New Roman"/>
          <w:sz w:val="24"/>
          <w:szCs w:val="24"/>
        </w:rPr>
        <w:t>.</w:t>
      </w:r>
    </w:p>
    <w:p w14:paraId="57F56AB3" w14:textId="2036CA0B" w:rsidR="003D2014" w:rsidRPr="005140A9"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È, però,</w:t>
      </w:r>
      <w:r w:rsidRPr="005140A9">
        <w:rPr>
          <w:rFonts w:ascii="Times New Roman" w:hAnsi="Times New Roman" w:cs="Times New Roman"/>
          <w:sz w:val="24"/>
          <w:szCs w:val="24"/>
        </w:rPr>
        <w:t xml:space="preserve"> certamente vero che con questo testo normativo si supera quella visione, </w:t>
      </w:r>
      <w:r>
        <w:rPr>
          <w:rFonts w:ascii="Times New Roman" w:hAnsi="Times New Roman" w:cs="Times New Roman"/>
          <w:sz w:val="24"/>
          <w:szCs w:val="24"/>
        </w:rPr>
        <w:t>un po’</w:t>
      </w:r>
      <w:r w:rsidRPr="005140A9">
        <w:rPr>
          <w:rFonts w:ascii="Times New Roman" w:hAnsi="Times New Roman" w:cs="Times New Roman"/>
          <w:sz w:val="24"/>
          <w:szCs w:val="24"/>
        </w:rPr>
        <w:t xml:space="preserve"> “</w:t>
      </w:r>
      <w:r w:rsidRPr="005140A9">
        <w:rPr>
          <w:rFonts w:ascii="Times New Roman" w:hAnsi="Times New Roman" w:cs="Times New Roman"/>
          <w:i/>
          <w:iCs/>
          <w:sz w:val="24"/>
          <w:szCs w:val="24"/>
        </w:rPr>
        <w:t>provinciale</w:t>
      </w:r>
      <w:r w:rsidRPr="005140A9">
        <w:rPr>
          <w:rFonts w:ascii="Times New Roman" w:hAnsi="Times New Roman" w:cs="Times New Roman"/>
          <w:sz w:val="24"/>
          <w:szCs w:val="24"/>
        </w:rPr>
        <w:t xml:space="preserve">” e non </w:t>
      </w:r>
      <w:r>
        <w:rPr>
          <w:rFonts w:ascii="Times New Roman" w:hAnsi="Times New Roman" w:cs="Times New Roman"/>
          <w:sz w:val="24"/>
          <w:szCs w:val="24"/>
        </w:rPr>
        <w:t xml:space="preserve">del tutto </w:t>
      </w:r>
      <w:r w:rsidRPr="005140A9">
        <w:rPr>
          <w:rFonts w:ascii="Times New Roman" w:hAnsi="Times New Roman" w:cs="Times New Roman"/>
          <w:sz w:val="24"/>
          <w:szCs w:val="24"/>
        </w:rPr>
        <w:t xml:space="preserve">conforme all’impostazione </w:t>
      </w:r>
      <w:r w:rsidR="00231D17">
        <w:rPr>
          <w:rFonts w:ascii="Times New Roman" w:hAnsi="Times New Roman" w:cs="Times New Roman"/>
          <w:sz w:val="24"/>
          <w:szCs w:val="24"/>
        </w:rPr>
        <w:t xml:space="preserve">pur </w:t>
      </w:r>
      <w:r w:rsidRPr="005140A9">
        <w:rPr>
          <w:rFonts w:ascii="Times New Roman" w:hAnsi="Times New Roman" w:cs="Times New Roman"/>
          <w:sz w:val="24"/>
          <w:szCs w:val="24"/>
        </w:rPr>
        <w:t xml:space="preserve">propria dell’Unione europea, del principio di concorrenza inteso quale </w:t>
      </w:r>
      <w:r w:rsidR="00CD41B3">
        <w:rPr>
          <w:rFonts w:ascii="Times New Roman" w:hAnsi="Times New Roman" w:cs="Times New Roman"/>
          <w:sz w:val="24"/>
          <w:szCs w:val="24"/>
        </w:rPr>
        <w:t>“</w:t>
      </w:r>
      <w:r w:rsidRPr="00CD41B3">
        <w:rPr>
          <w:rFonts w:ascii="Times New Roman" w:hAnsi="Times New Roman" w:cs="Times New Roman"/>
          <w:i/>
          <w:iCs/>
          <w:sz w:val="24"/>
          <w:szCs w:val="24"/>
        </w:rPr>
        <w:t>fine</w:t>
      </w:r>
      <w:r w:rsidR="00CD41B3">
        <w:rPr>
          <w:rFonts w:ascii="Times New Roman" w:hAnsi="Times New Roman" w:cs="Times New Roman"/>
          <w:sz w:val="24"/>
          <w:szCs w:val="24"/>
        </w:rPr>
        <w:t>”</w:t>
      </w:r>
      <w:r w:rsidRPr="005140A9">
        <w:rPr>
          <w:rFonts w:ascii="Times New Roman" w:hAnsi="Times New Roman" w:cs="Times New Roman"/>
          <w:sz w:val="24"/>
          <w:szCs w:val="24"/>
        </w:rPr>
        <w:t xml:space="preserve"> dell’ordinamento, riconducendolo, più prosaicamente, a </w:t>
      </w:r>
      <w:r w:rsidR="00CD41B3">
        <w:rPr>
          <w:rFonts w:ascii="Times New Roman" w:hAnsi="Times New Roman" w:cs="Times New Roman"/>
          <w:sz w:val="24"/>
          <w:szCs w:val="24"/>
        </w:rPr>
        <w:t>“</w:t>
      </w:r>
      <w:r w:rsidRPr="00CD41B3">
        <w:rPr>
          <w:rFonts w:ascii="Times New Roman" w:hAnsi="Times New Roman" w:cs="Times New Roman"/>
          <w:i/>
          <w:iCs/>
          <w:sz w:val="24"/>
          <w:szCs w:val="24"/>
        </w:rPr>
        <w:t>mezzo</w:t>
      </w:r>
      <w:r w:rsidR="00CD41B3">
        <w:rPr>
          <w:rFonts w:ascii="Times New Roman" w:hAnsi="Times New Roman" w:cs="Times New Roman"/>
          <w:sz w:val="24"/>
          <w:szCs w:val="24"/>
        </w:rPr>
        <w:t>”</w:t>
      </w:r>
      <w:r w:rsidRPr="005140A9">
        <w:rPr>
          <w:rFonts w:ascii="Times New Roman" w:hAnsi="Times New Roman" w:cs="Times New Roman"/>
          <w:sz w:val="24"/>
          <w:szCs w:val="24"/>
        </w:rPr>
        <w:t>, strumento per il perseguimento della finalità, unica ed effettiva, dell’Amministrazione in questo settore che, come oggi ricorda l’art. 1 del codice, consiste nell’“</w:t>
      </w:r>
      <w:r w:rsidRPr="005140A9">
        <w:rPr>
          <w:rFonts w:ascii="Times New Roman" w:hAnsi="Times New Roman" w:cs="Times New Roman"/>
          <w:i/>
          <w:iCs/>
          <w:sz w:val="24"/>
          <w:szCs w:val="24"/>
        </w:rPr>
        <w:t>affidamento del contratto e della sua esecuzione con la massima tempestività e il migliore rapporto possibile tra qualità e prezzo</w:t>
      </w:r>
      <w:r w:rsidRPr="005140A9">
        <w:rPr>
          <w:rFonts w:ascii="Times New Roman" w:hAnsi="Times New Roman" w:cs="Times New Roman"/>
          <w:sz w:val="24"/>
          <w:szCs w:val="24"/>
        </w:rPr>
        <w:t>”.</w:t>
      </w:r>
    </w:p>
    <w:p w14:paraId="7D0B3F59" w14:textId="2E347193" w:rsidR="003D2014" w:rsidRPr="00011862"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 nuovo codice va, quindi, salutato positivamente, proprio per il cambiamento di prospettiva che consente (</w:t>
      </w:r>
      <w:proofErr w:type="spellStart"/>
      <w:r>
        <w:rPr>
          <w:rFonts w:ascii="Times New Roman" w:hAnsi="Times New Roman" w:cs="Times New Roman"/>
          <w:i/>
          <w:iCs/>
          <w:sz w:val="24"/>
          <w:szCs w:val="24"/>
        </w:rPr>
        <w:t>rectius</w:t>
      </w:r>
      <w:proofErr w:type="spellEnd"/>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impone) agli apparati pubblici chiamati alla sua applicazione, ma merita di essere apprezzato anche perché, a fronte di un susseguirsi continuo, frenetico e spesso contraddittorio di interventi normativi </w:t>
      </w:r>
      <w:r w:rsidR="00CC3BAB">
        <w:rPr>
          <w:rFonts w:ascii="Times New Roman" w:hAnsi="Times New Roman" w:cs="Times New Roman"/>
          <w:sz w:val="24"/>
          <w:szCs w:val="24"/>
        </w:rPr>
        <w:t>nella</w:t>
      </w:r>
      <w:r>
        <w:rPr>
          <w:rFonts w:ascii="Times New Roman" w:hAnsi="Times New Roman" w:cs="Times New Roman"/>
          <w:sz w:val="24"/>
          <w:szCs w:val="24"/>
        </w:rPr>
        <w:t xml:space="preserve"> materia </w:t>
      </w:r>
      <w:r w:rsidR="00CC3BAB">
        <w:rPr>
          <w:rFonts w:ascii="Times New Roman" w:hAnsi="Times New Roman" w:cs="Times New Roman"/>
          <w:i/>
          <w:iCs/>
          <w:sz w:val="24"/>
          <w:szCs w:val="24"/>
        </w:rPr>
        <w:t>de qua</w:t>
      </w:r>
      <w:r>
        <w:rPr>
          <w:rFonts w:ascii="Times New Roman" w:hAnsi="Times New Roman" w:cs="Times New Roman"/>
          <w:sz w:val="24"/>
          <w:szCs w:val="24"/>
        </w:rPr>
        <w:t>, mira a “</w:t>
      </w:r>
      <w:r w:rsidRPr="00F73D2D">
        <w:rPr>
          <w:rFonts w:ascii="Times New Roman" w:hAnsi="Times New Roman" w:cs="Times New Roman"/>
          <w:i/>
          <w:iCs/>
          <w:sz w:val="24"/>
          <w:szCs w:val="24"/>
        </w:rPr>
        <w:t>consolidare</w:t>
      </w:r>
      <w:r>
        <w:rPr>
          <w:rFonts w:ascii="Times New Roman" w:hAnsi="Times New Roman" w:cs="Times New Roman"/>
          <w:sz w:val="24"/>
          <w:szCs w:val="24"/>
        </w:rPr>
        <w:t xml:space="preserve">” l’esistente e a strutturarlo con una organicità che </w:t>
      </w:r>
      <w:r w:rsidR="00CC3BAB">
        <w:rPr>
          <w:rFonts w:ascii="Times New Roman" w:hAnsi="Times New Roman" w:cs="Times New Roman"/>
          <w:sz w:val="24"/>
          <w:szCs w:val="24"/>
        </w:rPr>
        <w:t xml:space="preserve">prima </w:t>
      </w:r>
      <w:r>
        <w:rPr>
          <w:rFonts w:ascii="Times New Roman" w:hAnsi="Times New Roman" w:cs="Times New Roman"/>
          <w:sz w:val="24"/>
          <w:szCs w:val="24"/>
        </w:rPr>
        <w:t xml:space="preserve">non era mai stata </w:t>
      </w:r>
      <w:r w:rsidR="00CC3BAB">
        <w:rPr>
          <w:rFonts w:ascii="Times New Roman" w:hAnsi="Times New Roman" w:cs="Times New Roman"/>
          <w:sz w:val="24"/>
          <w:szCs w:val="24"/>
        </w:rPr>
        <w:t>neanche</w:t>
      </w:r>
      <w:r>
        <w:rPr>
          <w:rFonts w:ascii="Times New Roman" w:hAnsi="Times New Roman" w:cs="Times New Roman"/>
          <w:sz w:val="24"/>
          <w:szCs w:val="24"/>
        </w:rPr>
        <w:t xml:space="preserve"> tentata nel settore. È, quindi, un codice abbastanza “</w:t>
      </w:r>
      <w:r>
        <w:rPr>
          <w:rFonts w:ascii="Times New Roman" w:hAnsi="Times New Roman" w:cs="Times New Roman"/>
          <w:i/>
          <w:iCs/>
          <w:sz w:val="24"/>
          <w:szCs w:val="24"/>
        </w:rPr>
        <w:t>maturo</w:t>
      </w:r>
      <w:r>
        <w:rPr>
          <w:rFonts w:ascii="Times New Roman" w:hAnsi="Times New Roman" w:cs="Times New Roman"/>
          <w:sz w:val="24"/>
          <w:szCs w:val="24"/>
        </w:rPr>
        <w:t>” e, nonostante la ristrettezza dei tempi in cui è stato redatto, non certamente “</w:t>
      </w:r>
      <w:r w:rsidRPr="007C6C21">
        <w:rPr>
          <w:rFonts w:ascii="Times New Roman" w:hAnsi="Times New Roman" w:cs="Times New Roman"/>
          <w:i/>
          <w:iCs/>
          <w:sz w:val="24"/>
          <w:szCs w:val="24"/>
        </w:rPr>
        <w:t>frettoloso</w:t>
      </w:r>
      <w:r>
        <w:rPr>
          <w:rFonts w:ascii="Times New Roman" w:hAnsi="Times New Roman" w:cs="Times New Roman"/>
          <w:sz w:val="24"/>
          <w:szCs w:val="24"/>
        </w:rPr>
        <w:t>”.</w:t>
      </w:r>
    </w:p>
    <w:p w14:paraId="575B3F46" w14:textId="2FA42A78"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 questa maturità è indice quel particolare schema di contratto pubblico rappresentato dal partenariato pubblico privato (PPP), che costituisce un punto di osservazione privilegiato sotto plurimi profili</w:t>
      </w:r>
      <w:r w:rsidR="00B557A9">
        <w:rPr>
          <w:rStyle w:val="Rimandonotaapidipagina"/>
          <w:rFonts w:ascii="Times New Roman" w:hAnsi="Times New Roman" w:cs="Times New Roman"/>
          <w:sz w:val="24"/>
          <w:szCs w:val="24"/>
        </w:rPr>
        <w:footnoteReference w:id="3"/>
      </w:r>
      <w:r>
        <w:rPr>
          <w:rFonts w:ascii="Times New Roman" w:hAnsi="Times New Roman" w:cs="Times New Roman"/>
          <w:sz w:val="24"/>
          <w:szCs w:val="24"/>
        </w:rPr>
        <w:t xml:space="preserve">. </w:t>
      </w:r>
    </w:p>
    <w:p w14:paraId="62974249" w14:textId="6A13B080"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primo luogo, questo modulo contrattuale diviene, su sollecitazione europea, uno strumento imprescindibile – e, </w:t>
      </w:r>
      <w:r w:rsidR="00333800">
        <w:rPr>
          <w:rFonts w:ascii="Times New Roman" w:hAnsi="Times New Roman" w:cs="Times New Roman"/>
          <w:sz w:val="24"/>
          <w:szCs w:val="24"/>
        </w:rPr>
        <w:t>conseguentemente</w:t>
      </w:r>
      <w:r>
        <w:rPr>
          <w:rFonts w:ascii="Times New Roman" w:hAnsi="Times New Roman" w:cs="Times New Roman"/>
          <w:sz w:val="24"/>
          <w:szCs w:val="24"/>
        </w:rPr>
        <w:t xml:space="preserve">, uno degli strumenti principali – per perseguire quell’obiettivo di rilancio dell’economia cui si accennava </w:t>
      </w:r>
      <w:r w:rsidR="00CC3BAB">
        <w:rPr>
          <w:rFonts w:ascii="Times New Roman" w:hAnsi="Times New Roman" w:cs="Times New Roman"/>
          <w:sz w:val="24"/>
          <w:szCs w:val="24"/>
        </w:rPr>
        <w:t>poc’anzi</w:t>
      </w:r>
      <w:r>
        <w:rPr>
          <w:rFonts w:ascii="Times New Roman" w:hAnsi="Times New Roman" w:cs="Times New Roman"/>
          <w:sz w:val="24"/>
          <w:szCs w:val="24"/>
        </w:rPr>
        <w:t>, anche per l’“</w:t>
      </w:r>
      <w:r w:rsidRPr="00E45F0A">
        <w:rPr>
          <w:rFonts w:ascii="Times New Roman" w:hAnsi="Times New Roman" w:cs="Times New Roman"/>
          <w:i/>
          <w:iCs/>
          <w:sz w:val="24"/>
          <w:szCs w:val="24"/>
        </w:rPr>
        <w:t>effetto leva</w:t>
      </w:r>
      <w:r>
        <w:rPr>
          <w:rFonts w:ascii="Times New Roman" w:hAnsi="Times New Roman" w:cs="Times New Roman"/>
          <w:sz w:val="24"/>
          <w:szCs w:val="24"/>
        </w:rPr>
        <w:t>” che tale tipologia di operazione negoziale consente sul mercato, rientrando certamente fra quei modelli efficienti di allocazione e gestione delle risorse pubbliche alla cui applicazione il PNRR chiama tutte le Amministrazioni</w:t>
      </w:r>
      <w:r>
        <w:rPr>
          <w:rStyle w:val="Rimandonotaapidipagina"/>
          <w:rFonts w:ascii="Times New Roman" w:hAnsi="Times New Roman" w:cs="Times New Roman"/>
          <w:sz w:val="24"/>
          <w:szCs w:val="24"/>
        </w:rPr>
        <w:footnoteReference w:id="4"/>
      </w:r>
      <w:r>
        <w:rPr>
          <w:rFonts w:ascii="Times New Roman" w:hAnsi="Times New Roman" w:cs="Times New Roman"/>
          <w:sz w:val="24"/>
          <w:szCs w:val="24"/>
        </w:rPr>
        <w:t>.</w:t>
      </w:r>
    </w:p>
    <w:p w14:paraId="5FD6CCE6" w14:textId="66439046"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tal senso era orientata la stessa legge delega (l. 78/2022), che indicava quale criterio la “</w:t>
      </w:r>
      <w:r w:rsidRPr="00235907">
        <w:rPr>
          <w:rFonts w:ascii="Times New Roman" w:hAnsi="Times New Roman" w:cs="Times New Roman"/>
          <w:i/>
          <w:iCs/>
          <w:sz w:val="24"/>
          <w:szCs w:val="24"/>
        </w:rPr>
        <w:t>razionalizzazione, semplificazione</w:t>
      </w:r>
      <w:r>
        <w:rPr>
          <w:rFonts w:ascii="Times New Roman" w:hAnsi="Times New Roman" w:cs="Times New Roman"/>
          <w:i/>
          <w:iCs/>
          <w:sz w:val="24"/>
          <w:szCs w:val="24"/>
        </w:rPr>
        <w:t xml:space="preserve"> </w:t>
      </w:r>
      <w:r>
        <w:rPr>
          <w:rFonts w:ascii="Times New Roman" w:hAnsi="Times New Roman" w:cs="Times New Roman"/>
          <w:sz w:val="24"/>
          <w:szCs w:val="24"/>
        </w:rPr>
        <w:t>[…]</w:t>
      </w:r>
      <w:r w:rsidRPr="00235907">
        <w:rPr>
          <w:rFonts w:ascii="Times New Roman" w:hAnsi="Times New Roman" w:cs="Times New Roman"/>
          <w:i/>
          <w:iCs/>
          <w:sz w:val="24"/>
          <w:szCs w:val="24"/>
        </w:rPr>
        <w:t xml:space="preserve"> ed estensione delle forme di partenariato pubblico-privato, </w:t>
      </w:r>
      <w:r w:rsidRPr="00F36257">
        <w:rPr>
          <w:rFonts w:ascii="Times New Roman" w:hAnsi="Times New Roman" w:cs="Times New Roman"/>
          <w:sz w:val="24"/>
          <w:szCs w:val="24"/>
        </w:rPr>
        <w:t>[…]</w:t>
      </w:r>
      <w:r w:rsidRPr="00235907">
        <w:rPr>
          <w:rFonts w:ascii="Times New Roman" w:hAnsi="Times New Roman" w:cs="Times New Roman"/>
          <w:i/>
          <w:iCs/>
          <w:sz w:val="24"/>
          <w:szCs w:val="24"/>
        </w:rPr>
        <w:t xml:space="preserve">, anche al fine di rendere tali procedure effettivamente attrattive per gli investitori professionali, oltre che per gli operatori del mercato delle opere pubbliche e dell'erogazione dei servizi resi in concessione, </w:t>
      </w:r>
      <w:r>
        <w:rPr>
          <w:rFonts w:ascii="Times New Roman" w:hAnsi="Times New Roman" w:cs="Times New Roman"/>
          <w:sz w:val="24"/>
          <w:szCs w:val="24"/>
        </w:rPr>
        <w:t xml:space="preserve">[…]” (lett. </w:t>
      </w:r>
      <w:r>
        <w:rPr>
          <w:rFonts w:ascii="Times New Roman" w:hAnsi="Times New Roman" w:cs="Times New Roman"/>
          <w:i/>
          <w:iCs/>
          <w:sz w:val="24"/>
          <w:szCs w:val="24"/>
        </w:rPr>
        <w:t>aa)</w:t>
      </w:r>
      <w:r>
        <w:rPr>
          <w:rFonts w:ascii="Times New Roman" w:hAnsi="Times New Roman" w:cs="Times New Roman"/>
          <w:sz w:val="24"/>
          <w:szCs w:val="24"/>
        </w:rPr>
        <w:t>), nell’ottica del rilancio di detto strumento</w:t>
      </w:r>
      <w:r>
        <w:rPr>
          <w:rStyle w:val="Rimandonotaapidipagina"/>
          <w:rFonts w:ascii="Times New Roman" w:hAnsi="Times New Roman" w:cs="Times New Roman"/>
          <w:sz w:val="24"/>
          <w:szCs w:val="24"/>
        </w:rPr>
        <w:footnoteReference w:id="5"/>
      </w:r>
      <w:r>
        <w:rPr>
          <w:rFonts w:ascii="Times New Roman" w:hAnsi="Times New Roman" w:cs="Times New Roman"/>
          <w:sz w:val="24"/>
          <w:szCs w:val="24"/>
        </w:rPr>
        <w:t>, vero e proprio “</w:t>
      </w:r>
      <w:r w:rsidRPr="000B4AFD">
        <w:rPr>
          <w:rFonts w:ascii="Times New Roman" w:hAnsi="Times New Roman" w:cs="Times New Roman"/>
          <w:i/>
          <w:iCs/>
          <w:sz w:val="24"/>
          <w:szCs w:val="24"/>
        </w:rPr>
        <w:t>volano per la ripresa economica</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6"/>
      </w:r>
      <w:r>
        <w:rPr>
          <w:rFonts w:ascii="Times New Roman" w:hAnsi="Times New Roman" w:cs="Times New Roman"/>
          <w:sz w:val="24"/>
          <w:szCs w:val="24"/>
        </w:rPr>
        <w:t>.</w:t>
      </w:r>
    </w:p>
    <w:p w14:paraId="4E7F805A" w14:textId="0B9D5145"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secondo luogo, il partenariato pubblico privato è, allo stato, nell’ambito del codice l’operazione contrattuale più complessa e tecnicamente difficile da </w:t>
      </w:r>
      <w:proofErr w:type="gramStart"/>
      <w:r>
        <w:rPr>
          <w:rFonts w:ascii="Times New Roman" w:hAnsi="Times New Roman" w:cs="Times New Roman"/>
          <w:sz w:val="24"/>
          <w:szCs w:val="24"/>
        </w:rPr>
        <w:t>porre in essere</w:t>
      </w:r>
      <w:proofErr w:type="gramEnd"/>
      <w:r>
        <w:rPr>
          <w:rFonts w:ascii="Times New Roman" w:hAnsi="Times New Roman" w:cs="Times New Roman"/>
          <w:sz w:val="24"/>
          <w:szCs w:val="24"/>
        </w:rPr>
        <w:t xml:space="preserve"> da parte delle pubbliche Amministrazioni ed è, quindi, una delle principali e più interessanti sfide che si prospettano per l’immediato futuro, imponendo la compartecipazione di professionisti di diversa estrazione (giuristi, economisti, ingegneri e tecnici vari). Di questo il codice è ben consapevole e proprio per tale motivo prevede una ampia congerie di misure atte a garantire la corretta definizione, a monte, degli atti di gara e la corretta gestione, a valle, del rapporto contrattuale.</w:t>
      </w:r>
    </w:p>
    <w:p w14:paraId="0C6BCCA6" w14:textId="14884DE7"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terzo luogo, – ed è il motivo sicuramente più affascinante – il partenariato pubblico privato dà la stura alla concreta affermazione di un modello di pubblica Amministrazione assai lontano da quello </w:t>
      </w:r>
      <w:r>
        <w:rPr>
          <w:rFonts w:ascii="Times New Roman" w:hAnsi="Times New Roman" w:cs="Times New Roman"/>
          <w:sz w:val="24"/>
          <w:szCs w:val="24"/>
        </w:rPr>
        <w:lastRenderedPageBreak/>
        <w:t>tradizionale, imponendo una sempre più ampia compartecipazione del privato e della società alla definizione, alla realizzazione e alla cura degli interessi generali, nell’ottica della reciproca fiducia, come oggi ricorda l’art. 2 del codice. Vengono così ad essere concretizzati il principio costituzionale di sussidiarietà orizzontale (art. 118 Cost.)</w:t>
      </w:r>
      <w:r w:rsidR="00EC53D2">
        <w:rPr>
          <w:rStyle w:val="Rimandonotaapidipagina"/>
          <w:rFonts w:ascii="Times New Roman" w:hAnsi="Times New Roman" w:cs="Times New Roman"/>
          <w:sz w:val="24"/>
          <w:szCs w:val="24"/>
        </w:rPr>
        <w:footnoteReference w:id="7"/>
      </w:r>
      <w:r>
        <w:rPr>
          <w:rFonts w:ascii="Times New Roman" w:hAnsi="Times New Roman" w:cs="Times New Roman"/>
          <w:sz w:val="24"/>
          <w:szCs w:val="24"/>
        </w:rPr>
        <w:t xml:space="preserve"> e, con riferimento almeno al tipo del “</w:t>
      </w:r>
      <w:r>
        <w:rPr>
          <w:rFonts w:ascii="Times New Roman" w:hAnsi="Times New Roman" w:cs="Times New Roman"/>
          <w:i/>
          <w:iCs/>
          <w:sz w:val="24"/>
          <w:szCs w:val="24"/>
        </w:rPr>
        <w:t>Partenariato sociale</w:t>
      </w:r>
      <w:r>
        <w:rPr>
          <w:rFonts w:ascii="Times New Roman" w:hAnsi="Times New Roman" w:cs="Times New Roman"/>
          <w:sz w:val="24"/>
          <w:szCs w:val="24"/>
        </w:rPr>
        <w:t>”</w:t>
      </w:r>
      <w:r w:rsidR="002F3BB7">
        <w:rPr>
          <w:rStyle w:val="Rimandonotaapidipagina"/>
          <w:rFonts w:ascii="Times New Roman" w:hAnsi="Times New Roman" w:cs="Times New Roman"/>
          <w:sz w:val="24"/>
          <w:szCs w:val="24"/>
        </w:rPr>
        <w:footnoteReference w:id="8"/>
      </w:r>
      <w:r>
        <w:rPr>
          <w:rFonts w:ascii="Times New Roman" w:hAnsi="Times New Roman" w:cs="Times New Roman"/>
          <w:sz w:val="24"/>
          <w:szCs w:val="24"/>
        </w:rPr>
        <w:t>, oggi codificato all’art. 201, quella “</w:t>
      </w:r>
      <w:r>
        <w:rPr>
          <w:rFonts w:ascii="Times New Roman" w:hAnsi="Times New Roman" w:cs="Times New Roman"/>
          <w:i/>
          <w:iCs/>
          <w:sz w:val="24"/>
          <w:szCs w:val="24"/>
        </w:rPr>
        <w:t>demarchia</w:t>
      </w:r>
      <w:r>
        <w:rPr>
          <w:rFonts w:ascii="Times New Roman" w:hAnsi="Times New Roman" w:cs="Times New Roman"/>
          <w:sz w:val="24"/>
          <w:szCs w:val="24"/>
        </w:rPr>
        <w:t>” all’epoca quasi utopicamente delineata da Benvenuti</w:t>
      </w:r>
      <w:r>
        <w:rPr>
          <w:rStyle w:val="Rimandonotaapidipagina"/>
          <w:rFonts w:ascii="Times New Roman" w:hAnsi="Times New Roman" w:cs="Times New Roman"/>
          <w:sz w:val="24"/>
          <w:szCs w:val="24"/>
        </w:rPr>
        <w:footnoteReference w:id="9"/>
      </w:r>
      <w:r>
        <w:rPr>
          <w:rFonts w:ascii="Times New Roman" w:hAnsi="Times New Roman" w:cs="Times New Roman"/>
          <w:sz w:val="24"/>
          <w:szCs w:val="24"/>
        </w:rPr>
        <w:t xml:space="preserve">. </w:t>
      </w:r>
    </w:p>
    <w:p w14:paraId="1E96A884" w14:textId="54E8CC75" w:rsidR="003D2014" w:rsidRDefault="003D2014" w:rsidP="000B6025">
      <w:pPr>
        <w:spacing w:line="360" w:lineRule="auto"/>
        <w:jc w:val="both"/>
        <w:rPr>
          <w:rFonts w:ascii="Times New Roman" w:hAnsi="Times New Roman" w:cs="Times New Roman"/>
          <w:sz w:val="24"/>
          <w:szCs w:val="24"/>
        </w:rPr>
      </w:pPr>
      <w:r>
        <w:rPr>
          <w:rFonts w:ascii="Times New Roman" w:hAnsi="Times New Roman" w:cs="Times New Roman"/>
          <w:sz w:val="24"/>
          <w:szCs w:val="24"/>
        </w:rPr>
        <w:t>Ciò, sul piano procedimentale, si traduce in un ampio spazio riconosciuto a moduli di confronto diffuso</w:t>
      </w:r>
      <w:r w:rsidR="000B6025">
        <w:rPr>
          <w:rFonts w:ascii="Times New Roman" w:hAnsi="Times New Roman" w:cs="Times New Roman"/>
          <w:sz w:val="24"/>
          <w:szCs w:val="24"/>
        </w:rPr>
        <w:t>,</w:t>
      </w:r>
      <w:r>
        <w:rPr>
          <w:rFonts w:ascii="Times New Roman" w:hAnsi="Times New Roman" w:cs="Times New Roman"/>
          <w:sz w:val="24"/>
          <w:szCs w:val="24"/>
        </w:rPr>
        <w:t xml:space="preserve"> e con gli operatori economici (si veda, in particolare, l’art. 183, comma 7, a mente del quale, fermi l’oggetto della concessione, i criteri di aggiudicazione e i requisiti minimi, “</w:t>
      </w:r>
      <w:r w:rsidRPr="00CD7E73">
        <w:rPr>
          <w:rFonts w:ascii="Times New Roman" w:hAnsi="Times New Roman" w:cs="Times New Roman"/>
          <w:i/>
          <w:iCs/>
          <w:sz w:val="24"/>
          <w:szCs w:val="24"/>
        </w:rPr>
        <w:t>l’ente concedente può condurre liberamente negoziazioni con i candidati e gli offerenti</w:t>
      </w:r>
      <w:r>
        <w:rPr>
          <w:rFonts w:ascii="Times New Roman" w:hAnsi="Times New Roman" w:cs="Times New Roman"/>
          <w:sz w:val="24"/>
          <w:szCs w:val="24"/>
        </w:rPr>
        <w:t>”, negoziazioni</w:t>
      </w:r>
      <w:r w:rsidRPr="00CD7E73">
        <w:rPr>
          <w:rFonts w:ascii="Times New Roman" w:hAnsi="Times New Roman" w:cs="Times New Roman"/>
          <w:sz w:val="24"/>
          <w:szCs w:val="24"/>
        </w:rPr>
        <w:t xml:space="preserve"> </w:t>
      </w:r>
      <w:r>
        <w:rPr>
          <w:rFonts w:ascii="Times New Roman" w:hAnsi="Times New Roman" w:cs="Times New Roman"/>
          <w:sz w:val="24"/>
          <w:szCs w:val="24"/>
        </w:rPr>
        <w:t>“</w:t>
      </w:r>
      <w:r w:rsidRPr="00F309C8">
        <w:rPr>
          <w:rFonts w:ascii="Times New Roman" w:hAnsi="Times New Roman" w:cs="Times New Roman"/>
          <w:i/>
          <w:iCs/>
          <w:sz w:val="24"/>
          <w:szCs w:val="24"/>
        </w:rPr>
        <w:t>condotte di regola attraverso un dialogo competitivo ai sensi dell'articolo 74</w:t>
      </w:r>
      <w:r>
        <w:rPr>
          <w:rFonts w:ascii="Times New Roman" w:hAnsi="Times New Roman" w:cs="Times New Roman"/>
          <w:sz w:val="24"/>
          <w:szCs w:val="24"/>
        </w:rPr>
        <w:t>”, nonché chiaramente la finanza di progetto)</w:t>
      </w:r>
      <w:r w:rsidR="000B6025">
        <w:rPr>
          <w:rFonts w:ascii="Times New Roman" w:hAnsi="Times New Roman" w:cs="Times New Roman"/>
          <w:sz w:val="24"/>
          <w:szCs w:val="24"/>
        </w:rPr>
        <w:t>,</w:t>
      </w:r>
      <w:r>
        <w:rPr>
          <w:rFonts w:ascii="Times New Roman" w:hAnsi="Times New Roman" w:cs="Times New Roman"/>
          <w:sz w:val="24"/>
          <w:szCs w:val="24"/>
        </w:rPr>
        <w:t xml:space="preserve"> e con la società territoriale di riferimento (le opere indicate, difatti, come obbligatoriamente soggette a dibattito pubblico dalla tabella 1 di cui all’allegato I.6 al codice si prestano, per la gran parte, ad essere oggetto di contratti di PPP). </w:t>
      </w:r>
    </w:p>
    <w:p w14:paraId="14CB89E0" w14:textId="1F67F45F" w:rsidR="003D2014" w:rsidRPr="00FF532B" w:rsidRDefault="003D2014" w:rsidP="00510024">
      <w:pPr>
        <w:spacing w:after="0" w:line="360" w:lineRule="auto"/>
        <w:jc w:val="both"/>
        <w:rPr>
          <w:rFonts w:ascii="Times New Roman" w:hAnsi="Times New Roman" w:cs="Times New Roman"/>
          <w:b/>
          <w:bCs/>
          <w:i/>
          <w:iCs/>
          <w:sz w:val="24"/>
          <w:szCs w:val="24"/>
        </w:rPr>
      </w:pPr>
      <w:r>
        <w:rPr>
          <w:rFonts w:ascii="Times New Roman" w:hAnsi="Times New Roman" w:cs="Times New Roman"/>
          <w:b/>
          <w:bCs/>
          <w:sz w:val="24"/>
          <w:szCs w:val="24"/>
        </w:rPr>
        <w:t>2</w:t>
      </w:r>
      <w:r w:rsidRPr="004A7B04">
        <w:rPr>
          <w:rFonts w:ascii="Times New Roman" w:hAnsi="Times New Roman" w:cs="Times New Roman"/>
          <w:b/>
          <w:bCs/>
          <w:sz w:val="24"/>
          <w:szCs w:val="24"/>
        </w:rPr>
        <w:t xml:space="preserve">.- </w:t>
      </w:r>
      <w:r>
        <w:rPr>
          <w:rFonts w:ascii="Times New Roman" w:hAnsi="Times New Roman" w:cs="Times New Roman"/>
          <w:b/>
          <w:bCs/>
          <w:i/>
          <w:iCs/>
          <w:sz w:val="24"/>
          <w:szCs w:val="24"/>
        </w:rPr>
        <w:t>Il contesto generale</w:t>
      </w:r>
      <w:r w:rsidR="00A85599">
        <w:rPr>
          <w:rFonts w:ascii="Times New Roman" w:hAnsi="Times New Roman" w:cs="Times New Roman"/>
          <w:b/>
          <w:bCs/>
          <w:i/>
          <w:iCs/>
          <w:sz w:val="24"/>
          <w:szCs w:val="24"/>
        </w:rPr>
        <w:t>: l</w:t>
      </w:r>
      <w:r>
        <w:rPr>
          <w:rFonts w:ascii="Times New Roman" w:hAnsi="Times New Roman" w:cs="Times New Roman"/>
          <w:b/>
          <w:bCs/>
          <w:i/>
          <w:iCs/>
          <w:sz w:val="24"/>
          <w:szCs w:val="24"/>
        </w:rPr>
        <w:t>a formazione di una cultura del partenariato pubblico privato.</w:t>
      </w:r>
    </w:p>
    <w:p w14:paraId="2A6086D7" w14:textId="129DC617"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Prima di confrontarsi con le novità apportate dal novello codice, è necessario delineare il contesto in cui questo viene ad inserirsi, in quanto, come </w:t>
      </w:r>
      <w:r w:rsidR="00D24CDB">
        <w:rPr>
          <w:rFonts w:ascii="Times New Roman" w:hAnsi="Times New Roman" w:cs="Times New Roman"/>
          <w:sz w:val="24"/>
          <w:szCs w:val="24"/>
        </w:rPr>
        <w:t>segnalato</w:t>
      </w:r>
      <w:r>
        <w:rPr>
          <w:rFonts w:ascii="Times New Roman" w:hAnsi="Times New Roman" w:cs="Times New Roman"/>
          <w:sz w:val="24"/>
          <w:szCs w:val="24"/>
        </w:rPr>
        <w:t xml:space="preserve"> in apertura, l’applicazione concreta di un istituto non sempre corrisponde alla previsione astratta dello stesso.</w:t>
      </w:r>
    </w:p>
    <w:p w14:paraId="2B24373D" w14:textId="46231900"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tal fine, in primo luogo, occorre rilevare che il mercato del PPP oggi ha un valore </w:t>
      </w:r>
      <w:r w:rsidR="00A4209F">
        <w:rPr>
          <w:rFonts w:ascii="Times New Roman" w:hAnsi="Times New Roman" w:cs="Times New Roman"/>
          <w:sz w:val="24"/>
          <w:szCs w:val="24"/>
        </w:rPr>
        <w:t xml:space="preserve">certamente </w:t>
      </w:r>
      <w:r w:rsidR="00486974">
        <w:rPr>
          <w:rFonts w:ascii="Times New Roman" w:hAnsi="Times New Roman" w:cs="Times New Roman"/>
          <w:sz w:val="24"/>
          <w:szCs w:val="24"/>
        </w:rPr>
        <w:t>importante</w:t>
      </w:r>
      <w:r>
        <w:rPr>
          <w:rFonts w:ascii="Times New Roman" w:hAnsi="Times New Roman" w:cs="Times New Roman"/>
          <w:sz w:val="24"/>
          <w:szCs w:val="24"/>
        </w:rPr>
        <w:t xml:space="preserve">, ma </w:t>
      </w:r>
      <w:r w:rsidR="00A4209F">
        <w:rPr>
          <w:rFonts w:ascii="Times New Roman" w:hAnsi="Times New Roman" w:cs="Times New Roman"/>
          <w:sz w:val="24"/>
          <w:szCs w:val="24"/>
        </w:rPr>
        <w:t xml:space="preserve">ancora </w:t>
      </w:r>
      <w:r>
        <w:rPr>
          <w:rFonts w:ascii="Times New Roman" w:hAnsi="Times New Roman" w:cs="Times New Roman"/>
          <w:sz w:val="24"/>
          <w:szCs w:val="24"/>
        </w:rPr>
        <w:t xml:space="preserve">assolutamente insufficiente, specie se raffrontato con quello degli appalti, per come segnalato, in particolare, dal D.I.P.E. (Dipartimento </w:t>
      </w:r>
      <w:r w:rsidRPr="00E5730C">
        <w:rPr>
          <w:rFonts w:ascii="Times New Roman" w:hAnsi="Times New Roman" w:cs="Times New Roman"/>
          <w:sz w:val="24"/>
          <w:szCs w:val="24"/>
        </w:rPr>
        <w:t>per la programmazione e il coordinamento della politica economica</w:t>
      </w:r>
      <w:r>
        <w:rPr>
          <w:rFonts w:ascii="Times New Roman" w:hAnsi="Times New Roman" w:cs="Times New Roman"/>
          <w:sz w:val="24"/>
          <w:szCs w:val="24"/>
        </w:rPr>
        <w:t xml:space="preserve"> della Presidenza del </w:t>
      </w:r>
      <w:proofErr w:type="gramStart"/>
      <w:r>
        <w:rPr>
          <w:rFonts w:ascii="Times New Roman" w:hAnsi="Times New Roman" w:cs="Times New Roman"/>
          <w:sz w:val="24"/>
          <w:szCs w:val="24"/>
        </w:rPr>
        <w:t>Consiglio dei Ministri</w:t>
      </w:r>
      <w:proofErr w:type="gramEnd"/>
      <w:r>
        <w:rPr>
          <w:rFonts w:ascii="Times New Roman" w:hAnsi="Times New Roman" w:cs="Times New Roman"/>
          <w:sz w:val="24"/>
          <w:szCs w:val="24"/>
        </w:rPr>
        <w:t>), nella relazione sull’attività svolta nel 2021</w:t>
      </w:r>
      <w:r>
        <w:rPr>
          <w:rStyle w:val="Rimandonotaapidipagina"/>
          <w:rFonts w:ascii="Times New Roman" w:hAnsi="Times New Roman" w:cs="Times New Roman"/>
          <w:sz w:val="24"/>
          <w:szCs w:val="24"/>
        </w:rPr>
        <w:footnoteReference w:id="10"/>
      </w:r>
      <w:r>
        <w:rPr>
          <w:rFonts w:ascii="Times New Roman" w:hAnsi="Times New Roman" w:cs="Times New Roman"/>
          <w:sz w:val="24"/>
          <w:szCs w:val="24"/>
        </w:rPr>
        <w:t>.</w:t>
      </w:r>
    </w:p>
    <w:p w14:paraId="2767E3CC" w14:textId="415D2CED"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Sulla base dei dati forniti dall’E.P.E.C. (</w:t>
      </w:r>
      <w:r w:rsidRPr="00DE428B">
        <w:rPr>
          <w:rFonts w:ascii="Times New Roman" w:hAnsi="Times New Roman" w:cs="Times New Roman"/>
          <w:sz w:val="24"/>
          <w:szCs w:val="24"/>
        </w:rPr>
        <w:t>Centro europeo di consulenza per i partenariati pubblico-privato</w:t>
      </w:r>
      <w:r>
        <w:rPr>
          <w:rFonts w:ascii="Times New Roman" w:hAnsi="Times New Roman" w:cs="Times New Roman"/>
          <w:sz w:val="24"/>
          <w:szCs w:val="24"/>
        </w:rPr>
        <w:t xml:space="preserve"> presso la B.E.I.), che tiene conto, però, dei soli PPP di valore superiore ai dieci milioni di euro, i</w:t>
      </w:r>
      <w:r w:rsidRPr="00C90637">
        <w:rPr>
          <w:rFonts w:ascii="Times New Roman" w:hAnsi="Times New Roman" w:cs="Times New Roman"/>
          <w:sz w:val="24"/>
          <w:szCs w:val="24"/>
        </w:rPr>
        <w:t xml:space="preserve">l mercato delle operazioni di </w:t>
      </w:r>
      <w:r>
        <w:rPr>
          <w:rFonts w:ascii="Times New Roman" w:hAnsi="Times New Roman" w:cs="Times New Roman"/>
          <w:sz w:val="24"/>
          <w:szCs w:val="24"/>
        </w:rPr>
        <w:t>partenariato</w:t>
      </w:r>
      <w:r w:rsidRPr="00C90637">
        <w:rPr>
          <w:rFonts w:ascii="Times New Roman" w:hAnsi="Times New Roman" w:cs="Times New Roman"/>
          <w:sz w:val="24"/>
          <w:szCs w:val="24"/>
        </w:rPr>
        <w:t>, nel 2021,</w:t>
      </w:r>
      <w:r>
        <w:rPr>
          <w:rFonts w:ascii="Times New Roman" w:hAnsi="Times New Roman" w:cs="Times New Roman"/>
          <w:sz w:val="24"/>
          <w:szCs w:val="24"/>
        </w:rPr>
        <w:t xml:space="preserve"> in Europa</w:t>
      </w:r>
      <w:r w:rsidRPr="00C90637">
        <w:rPr>
          <w:rFonts w:ascii="Times New Roman" w:hAnsi="Times New Roman" w:cs="Times New Roman"/>
          <w:sz w:val="24"/>
          <w:szCs w:val="24"/>
        </w:rPr>
        <w:t xml:space="preserve"> ha fatto registrare un valore aggregato di </w:t>
      </w:r>
      <w:r>
        <w:rPr>
          <w:rFonts w:ascii="Times New Roman" w:hAnsi="Times New Roman" w:cs="Times New Roman"/>
          <w:sz w:val="24"/>
          <w:szCs w:val="24"/>
        </w:rPr>
        <w:t>otto</w:t>
      </w:r>
      <w:r w:rsidRPr="00C90637">
        <w:rPr>
          <w:rFonts w:ascii="Times New Roman" w:hAnsi="Times New Roman" w:cs="Times New Roman"/>
          <w:sz w:val="24"/>
          <w:szCs w:val="24"/>
        </w:rPr>
        <w:t xml:space="preserve"> miliardi di euro con un calo del 13% rispetto al 2020 (9,2 miliardi euro)</w:t>
      </w:r>
      <w:r>
        <w:rPr>
          <w:rFonts w:ascii="Times New Roman" w:hAnsi="Times New Roman" w:cs="Times New Roman"/>
          <w:sz w:val="24"/>
          <w:szCs w:val="24"/>
        </w:rPr>
        <w:t>, per un numero di operazioni pari a quaranta</w:t>
      </w:r>
      <w:r w:rsidRPr="00C90637">
        <w:rPr>
          <w:rFonts w:ascii="Times New Roman" w:hAnsi="Times New Roman" w:cs="Times New Roman"/>
          <w:sz w:val="24"/>
          <w:szCs w:val="24"/>
        </w:rPr>
        <w:t xml:space="preserve">. </w:t>
      </w:r>
      <w:r>
        <w:rPr>
          <w:rFonts w:ascii="Times New Roman" w:hAnsi="Times New Roman" w:cs="Times New Roman"/>
          <w:sz w:val="24"/>
          <w:szCs w:val="24"/>
        </w:rPr>
        <w:t>Fra queste, l’operazione di PPP più rilevante sul piano economico è italiana ed è rappresentata dalla realizzazione dell’</w:t>
      </w:r>
      <w:r w:rsidRPr="00C90637">
        <w:rPr>
          <w:rFonts w:ascii="Times New Roman" w:hAnsi="Times New Roman" w:cs="Times New Roman"/>
          <w:sz w:val="24"/>
          <w:szCs w:val="24"/>
        </w:rPr>
        <w:t>Autostrada Pedemontana Lombarda</w:t>
      </w:r>
      <w:r>
        <w:rPr>
          <w:rFonts w:ascii="Times New Roman" w:hAnsi="Times New Roman" w:cs="Times New Roman"/>
          <w:sz w:val="24"/>
          <w:szCs w:val="24"/>
        </w:rPr>
        <w:t xml:space="preserve"> per un valore di 2,1 miliardi di euro.</w:t>
      </w:r>
    </w:p>
    <w:p w14:paraId="579ACB45" w14:textId="0C1C2AD1"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Italia, al D.I.P.E. – che conosce, però, solo le operazioni che allo stesso sono state comunicate – risultano aggiudicati venti PPP (registrati) per un valore di circa </w:t>
      </w:r>
      <w:r w:rsidRPr="00256DB2">
        <w:rPr>
          <w:rFonts w:ascii="Times New Roman" w:hAnsi="Times New Roman" w:cs="Times New Roman"/>
          <w:sz w:val="24"/>
          <w:szCs w:val="24"/>
        </w:rPr>
        <w:t>402,8 milioni di euro</w:t>
      </w:r>
      <w:r>
        <w:rPr>
          <w:rFonts w:ascii="Times New Roman" w:hAnsi="Times New Roman" w:cs="Times New Roman"/>
          <w:sz w:val="24"/>
          <w:szCs w:val="24"/>
        </w:rPr>
        <w:t>, cui si aggiungerebbero ulteriori trentuno</w:t>
      </w:r>
      <w:r w:rsidRPr="00256DB2">
        <w:rPr>
          <w:rFonts w:ascii="Times New Roman" w:hAnsi="Times New Roman" w:cs="Times New Roman"/>
          <w:sz w:val="24"/>
          <w:szCs w:val="24"/>
        </w:rPr>
        <w:t xml:space="preserve"> progetti per un</w:t>
      </w:r>
      <w:r>
        <w:rPr>
          <w:rFonts w:ascii="Times New Roman" w:hAnsi="Times New Roman" w:cs="Times New Roman"/>
          <w:sz w:val="24"/>
          <w:szCs w:val="24"/>
        </w:rPr>
        <w:t xml:space="preserve"> ulteriore</w:t>
      </w:r>
      <w:r w:rsidRPr="00256DB2">
        <w:rPr>
          <w:rFonts w:ascii="Times New Roman" w:hAnsi="Times New Roman" w:cs="Times New Roman"/>
          <w:sz w:val="24"/>
          <w:szCs w:val="24"/>
        </w:rPr>
        <w:t xml:space="preserve"> valore stimato di </w:t>
      </w:r>
      <w:r>
        <w:rPr>
          <w:rFonts w:ascii="Times New Roman" w:hAnsi="Times New Roman" w:cs="Times New Roman"/>
          <w:sz w:val="24"/>
          <w:szCs w:val="24"/>
        </w:rPr>
        <w:t xml:space="preserve">circa </w:t>
      </w:r>
      <w:r w:rsidRPr="00256DB2">
        <w:rPr>
          <w:rFonts w:ascii="Times New Roman" w:hAnsi="Times New Roman" w:cs="Times New Roman"/>
          <w:sz w:val="24"/>
          <w:szCs w:val="24"/>
        </w:rPr>
        <w:t>500 milioni di euro</w:t>
      </w:r>
      <w:r>
        <w:rPr>
          <w:rFonts w:ascii="Times New Roman" w:hAnsi="Times New Roman" w:cs="Times New Roman"/>
          <w:sz w:val="24"/>
          <w:szCs w:val="24"/>
        </w:rPr>
        <w:t xml:space="preserve"> (per operazioni non registrate)</w:t>
      </w:r>
      <w:r w:rsidRPr="00256DB2">
        <w:rPr>
          <w:rFonts w:ascii="Times New Roman" w:hAnsi="Times New Roman" w:cs="Times New Roman"/>
          <w:sz w:val="24"/>
          <w:szCs w:val="24"/>
        </w:rPr>
        <w:t>.</w:t>
      </w:r>
    </w:p>
    <w:p w14:paraId="6874FED0" w14:textId="3225125E" w:rsidR="003D2014" w:rsidRDefault="000B6025"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 tratta di</w:t>
      </w:r>
      <w:r w:rsidR="003D2014">
        <w:rPr>
          <w:rFonts w:ascii="Times New Roman" w:hAnsi="Times New Roman" w:cs="Times New Roman"/>
          <w:sz w:val="24"/>
          <w:szCs w:val="24"/>
        </w:rPr>
        <w:t xml:space="preserve"> un dato sicuramente importante – pari, in totale, ad oltre tre miliardi di euro, stimati, come detto, di gran lunga in difetto –, ma pur sempre estremamente lontano dal valore complessivo del mercato degli appalti che, secondo la relazione sull’attività svolta nel 2022 presentata dall’A.N.A.C. al Parlamento l’8 giugno 2023, risulta, invece, pari a circa </w:t>
      </w:r>
      <w:r w:rsidR="003D2014" w:rsidRPr="002E5019">
        <w:rPr>
          <w:rFonts w:ascii="Times New Roman" w:hAnsi="Times New Roman" w:cs="Times New Roman"/>
          <w:sz w:val="24"/>
          <w:szCs w:val="24"/>
        </w:rPr>
        <w:t>290 miliardi di euro</w:t>
      </w:r>
      <w:r w:rsidR="003D2014">
        <w:rPr>
          <w:rFonts w:ascii="Times New Roman" w:hAnsi="Times New Roman" w:cs="Times New Roman"/>
          <w:sz w:val="24"/>
          <w:szCs w:val="24"/>
        </w:rPr>
        <w:t xml:space="preserve"> (</w:t>
      </w:r>
      <w:r w:rsidR="003D2014" w:rsidRPr="002E5019">
        <w:rPr>
          <w:rFonts w:ascii="Times New Roman" w:hAnsi="Times New Roman" w:cs="Times New Roman"/>
          <w:sz w:val="24"/>
          <w:szCs w:val="24"/>
        </w:rPr>
        <w:t>a fronte dei 208 dell’anno precedente, con un incremento di circa il 39% e del 56% rispetto al 2020</w:t>
      </w:r>
      <w:r w:rsidR="003D2014">
        <w:rPr>
          <w:rFonts w:ascii="Times New Roman" w:hAnsi="Times New Roman" w:cs="Times New Roman"/>
          <w:sz w:val="24"/>
          <w:szCs w:val="24"/>
        </w:rPr>
        <w:t>)</w:t>
      </w:r>
      <w:r w:rsidR="003D2014">
        <w:rPr>
          <w:rStyle w:val="Rimandonotaapidipagina"/>
          <w:rFonts w:ascii="Times New Roman" w:hAnsi="Times New Roman" w:cs="Times New Roman"/>
          <w:sz w:val="24"/>
          <w:szCs w:val="24"/>
        </w:rPr>
        <w:footnoteReference w:id="11"/>
      </w:r>
      <w:r w:rsidR="003D2014">
        <w:rPr>
          <w:rFonts w:ascii="Times New Roman" w:hAnsi="Times New Roman" w:cs="Times New Roman"/>
          <w:sz w:val="24"/>
          <w:szCs w:val="24"/>
        </w:rPr>
        <w:t>.</w:t>
      </w:r>
    </w:p>
    <w:p w14:paraId="6B606F37" w14:textId="77777777"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Il D.I.P.E. individua due principali cause che spiegherebbero il non adeguato sviluppo del PPP in Italia, ossia, da un lato, </w:t>
      </w:r>
      <w:r w:rsidRPr="0077255E">
        <w:rPr>
          <w:rFonts w:ascii="Times New Roman" w:hAnsi="Times New Roman" w:cs="Times New Roman"/>
          <w:sz w:val="24"/>
          <w:szCs w:val="24"/>
        </w:rPr>
        <w:t>l’incertezza e l’eccessiva lunghezza dei processi autorizzativi</w:t>
      </w:r>
      <w:r>
        <w:rPr>
          <w:rFonts w:ascii="Times New Roman" w:hAnsi="Times New Roman" w:cs="Times New Roman"/>
          <w:sz w:val="24"/>
          <w:szCs w:val="24"/>
        </w:rPr>
        <w:t>, incertezza che è “</w:t>
      </w:r>
      <w:r w:rsidRPr="0077255E">
        <w:rPr>
          <w:rFonts w:ascii="Times New Roman" w:hAnsi="Times New Roman" w:cs="Times New Roman"/>
          <w:i/>
          <w:iCs/>
          <w:sz w:val="24"/>
          <w:szCs w:val="24"/>
        </w:rPr>
        <w:t>tecnica (continua revisione e aggiornamento delle normative costruttive, tecnico-realizzative, impiantistiche, antisismiche), amministrativa (procedure, norme e regolamenti attuativi in continuo mutamento) ed economico-finanziaria (per citarne alcuni: stanziamenti erogati in parte, decaduti, non utilizzati interamente, nonché tagli di bilancio o riallocazioni di risorse)</w:t>
      </w:r>
      <w:r>
        <w:rPr>
          <w:rFonts w:ascii="Times New Roman" w:hAnsi="Times New Roman" w:cs="Times New Roman"/>
          <w:sz w:val="24"/>
          <w:szCs w:val="24"/>
        </w:rPr>
        <w:t>”; dall’altro, la “</w:t>
      </w:r>
      <w:r w:rsidRPr="00FF159D">
        <w:rPr>
          <w:rFonts w:ascii="Times New Roman" w:hAnsi="Times New Roman" w:cs="Times New Roman"/>
          <w:i/>
          <w:iCs/>
          <w:sz w:val="24"/>
          <w:szCs w:val="24"/>
        </w:rPr>
        <w:t>sovente carente e inadeguata definizione delle clausole contrattuali</w:t>
      </w:r>
      <w:r>
        <w:rPr>
          <w:rFonts w:ascii="Times New Roman" w:hAnsi="Times New Roman" w:cs="Times New Roman"/>
          <w:sz w:val="24"/>
          <w:szCs w:val="24"/>
        </w:rPr>
        <w:t>”, oltre che</w:t>
      </w:r>
      <w:r w:rsidRPr="0077255E">
        <w:rPr>
          <w:rFonts w:ascii="Times New Roman" w:hAnsi="Times New Roman" w:cs="Times New Roman"/>
          <w:sz w:val="24"/>
          <w:szCs w:val="24"/>
        </w:rPr>
        <w:t xml:space="preserve"> </w:t>
      </w:r>
      <w:r>
        <w:rPr>
          <w:rFonts w:ascii="Times New Roman" w:hAnsi="Times New Roman" w:cs="Times New Roman"/>
          <w:sz w:val="24"/>
          <w:szCs w:val="24"/>
        </w:rPr>
        <w:t>“</w:t>
      </w:r>
      <w:r w:rsidRPr="00FF159D">
        <w:rPr>
          <w:rFonts w:ascii="Times New Roman" w:hAnsi="Times New Roman" w:cs="Times New Roman"/>
          <w:i/>
          <w:iCs/>
          <w:sz w:val="24"/>
          <w:szCs w:val="24"/>
        </w:rPr>
        <w:t>la difficoltà di indicare in maniera puntuale gli obblighi e le responsabilità delle parti, che aumenta il rischio di contenziosi e scoraggia gli investitori</w:t>
      </w:r>
      <w:r>
        <w:rPr>
          <w:rFonts w:ascii="Times New Roman" w:hAnsi="Times New Roman" w:cs="Times New Roman"/>
          <w:sz w:val="24"/>
          <w:szCs w:val="24"/>
        </w:rPr>
        <w:t>”</w:t>
      </w:r>
      <w:r w:rsidRPr="0077255E">
        <w:rPr>
          <w:rFonts w:ascii="Times New Roman" w:hAnsi="Times New Roman" w:cs="Times New Roman"/>
          <w:sz w:val="24"/>
          <w:szCs w:val="24"/>
        </w:rPr>
        <w:t>.</w:t>
      </w:r>
    </w:p>
    <w:p w14:paraId="6D978245" w14:textId="77530B32"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queste cause si aggiunge quello che è certamente il maggiore ostacolo alla diffusione di questo modello contrattuale, ossia l’assenza, allo stato, di una vera e propria “</w:t>
      </w:r>
      <w:r>
        <w:rPr>
          <w:rFonts w:ascii="Times New Roman" w:hAnsi="Times New Roman" w:cs="Times New Roman"/>
          <w:i/>
          <w:iCs/>
          <w:sz w:val="24"/>
          <w:szCs w:val="24"/>
        </w:rPr>
        <w:t>cultura del PPP</w:t>
      </w:r>
      <w:r>
        <w:rPr>
          <w:rFonts w:ascii="Times New Roman" w:hAnsi="Times New Roman" w:cs="Times New Roman"/>
          <w:sz w:val="24"/>
          <w:szCs w:val="24"/>
        </w:rPr>
        <w:t xml:space="preserve">”, che passa necessariamente attraverso una diversa formazione dei funzionari delle stazioni appaltanti e, quindi, in una qualificazione delle stesse stazioni, come </w:t>
      </w:r>
      <w:r w:rsidR="00E21772">
        <w:rPr>
          <w:rFonts w:ascii="Times New Roman" w:hAnsi="Times New Roman" w:cs="Times New Roman"/>
          <w:sz w:val="24"/>
          <w:szCs w:val="24"/>
        </w:rPr>
        <w:t>suggerito</w:t>
      </w:r>
      <w:r>
        <w:rPr>
          <w:rFonts w:ascii="Times New Roman" w:hAnsi="Times New Roman" w:cs="Times New Roman"/>
          <w:sz w:val="24"/>
          <w:szCs w:val="24"/>
        </w:rPr>
        <w:t xml:space="preserve"> anche dalla Corte dei conti europea </w:t>
      </w:r>
      <w:r w:rsidR="001F5819">
        <w:rPr>
          <w:rFonts w:ascii="Times New Roman" w:hAnsi="Times New Roman" w:cs="Times New Roman"/>
          <w:sz w:val="24"/>
          <w:szCs w:val="24"/>
        </w:rPr>
        <w:t xml:space="preserve">già </w:t>
      </w:r>
      <w:r>
        <w:rPr>
          <w:rFonts w:ascii="Times New Roman" w:hAnsi="Times New Roman" w:cs="Times New Roman"/>
          <w:sz w:val="24"/>
          <w:szCs w:val="24"/>
        </w:rPr>
        <w:t xml:space="preserve">nella relazione speciale n. </w:t>
      </w:r>
      <w:r w:rsidRPr="002E6C19">
        <w:rPr>
          <w:rFonts w:ascii="Times New Roman" w:hAnsi="Times New Roman" w:cs="Times New Roman"/>
          <w:sz w:val="24"/>
          <w:szCs w:val="24"/>
        </w:rPr>
        <w:t>9/2018</w:t>
      </w:r>
      <w:r>
        <w:rPr>
          <w:rFonts w:ascii="Times New Roman" w:hAnsi="Times New Roman" w:cs="Times New Roman"/>
          <w:sz w:val="24"/>
          <w:szCs w:val="24"/>
        </w:rPr>
        <w:t>,</w:t>
      </w:r>
      <w:r w:rsidRPr="002E6C19">
        <w:rPr>
          <w:rFonts w:ascii="Times New Roman" w:hAnsi="Times New Roman" w:cs="Times New Roman"/>
          <w:sz w:val="24"/>
          <w:szCs w:val="24"/>
        </w:rPr>
        <w:t xml:space="preserve"> </w:t>
      </w:r>
      <w:r>
        <w:rPr>
          <w:rFonts w:ascii="Times New Roman" w:hAnsi="Times New Roman" w:cs="Times New Roman"/>
          <w:sz w:val="24"/>
          <w:szCs w:val="24"/>
        </w:rPr>
        <w:t>“</w:t>
      </w:r>
      <w:r w:rsidRPr="0015058F">
        <w:rPr>
          <w:rFonts w:ascii="Times New Roman" w:hAnsi="Times New Roman" w:cs="Times New Roman"/>
          <w:i/>
          <w:iCs/>
          <w:sz w:val="24"/>
          <w:szCs w:val="24"/>
        </w:rPr>
        <w:t>Partenariati pubblico-privato nell’UE: carenze diffuse e benefici limitati</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12"/>
      </w:r>
      <w:r>
        <w:rPr>
          <w:rFonts w:ascii="Times New Roman" w:hAnsi="Times New Roman" w:cs="Times New Roman"/>
          <w:sz w:val="24"/>
          <w:szCs w:val="24"/>
        </w:rPr>
        <w:t>.</w:t>
      </w:r>
    </w:p>
    <w:p w14:paraId="359F91CE" w14:textId="77777777" w:rsidR="00E64B56" w:rsidRDefault="00BC6466"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Occorrono, dunque,</w:t>
      </w:r>
      <w:r w:rsidR="003D2014">
        <w:rPr>
          <w:rFonts w:ascii="Times New Roman" w:hAnsi="Times New Roman" w:cs="Times New Roman"/>
          <w:sz w:val="24"/>
          <w:szCs w:val="24"/>
        </w:rPr>
        <w:t xml:space="preserve"> stazioni appaltanti qualificate – e in tale direzione va appunto il nuovo codice, che espressamente prevede, all’art. 174, comma 5, che questi tipi di contratti “</w:t>
      </w:r>
      <w:r w:rsidR="003D2014" w:rsidRPr="00CB1BC6">
        <w:rPr>
          <w:rFonts w:ascii="Times New Roman" w:hAnsi="Times New Roman" w:cs="Times New Roman"/>
          <w:i/>
          <w:iCs/>
          <w:sz w:val="24"/>
          <w:szCs w:val="24"/>
        </w:rPr>
        <w:t>possono essere stipulati solo da enti concedenti qualificati ai sensi dell'articolo 63</w:t>
      </w:r>
      <w:r w:rsidR="003D2014">
        <w:rPr>
          <w:rFonts w:ascii="Times New Roman" w:hAnsi="Times New Roman" w:cs="Times New Roman"/>
          <w:sz w:val="24"/>
          <w:szCs w:val="24"/>
        </w:rPr>
        <w:t>”</w:t>
      </w:r>
      <w:r w:rsidR="003D2014">
        <w:rPr>
          <w:rStyle w:val="Rimandonotaapidipagina"/>
          <w:rFonts w:ascii="Times New Roman" w:hAnsi="Times New Roman" w:cs="Times New Roman"/>
          <w:sz w:val="24"/>
          <w:szCs w:val="24"/>
        </w:rPr>
        <w:footnoteReference w:id="13"/>
      </w:r>
      <w:r w:rsidR="003D2014">
        <w:rPr>
          <w:rFonts w:ascii="Times New Roman" w:hAnsi="Times New Roman" w:cs="Times New Roman"/>
          <w:sz w:val="24"/>
          <w:szCs w:val="24"/>
        </w:rPr>
        <w:t xml:space="preserve"> –, ma, affinché queste siano in grado di gestire operazioni contrattuali così complesse come quelle di PPP, </w:t>
      </w:r>
      <w:r>
        <w:rPr>
          <w:rFonts w:ascii="Times New Roman" w:hAnsi="Times New Roman" w:cs="Times New Roman"/>
          <w:sz w:val="24"/>
          <w:szCs w:val="24"/>
        </w:rPr>
        <w:t>è necessaria</w:t>
      </w:r>
      <w:r w:rsidR="003D2014">
        <w:rPr>
          <w:rFonts w:ascii="Times New Roman" w:hAnsi="Times New Roman" w:cs="Times New Roman"/>
          <w:sz w:val="24"/>
          <w:szCs w:val="24"/>
        </w:rPr>
        <w:t xml:space="preserve"> </w:t>
      </w:r>
      <w:r>
        <w:rPr>
          <w:rFonts w:ascii="Times New Roman" w:hAnsi="Times New Roman" w:cs="Times New Roman"/>
          <w:sz w:val="24"/>
          <w:szCs w:val="24"/>
        </w:rPr>
        <w:t>altresì</w:t>
      </w:r>
      <w:r w:rsidR="003D2014">
        <w:rPr>
          <w:rFonts w:ascii="Times New Roman" w:hAnsi="Times New Roman" w:cs="Times New Roman"/>
          <w:sz w:val="24"/>
          <w:szCs w:val="24"/>
        </w:rPr>
        <w:t xml:space="preserve"> una vera e propria compartecipazione delle migliori risorse </w:t>
      </w:r>
      <w:r>
        <w:rPr>
          <w:rFonts w:ascii="Times New Roman" w:hAnsi="Times New Roman" w:cs="Times New Roman"/>
          <w:sz w:val="24"/>
          <w:szCs w:val="24"/>
        </w:rPr>
        <w:t xml:space="preserve">nazionali. </w:t>
      </w:r>
    </w:p>
    <w:p w14:paraId="686D837B" w14:textId="118EFD7E" w:rsidR="003D2014" w:rsidRDefault="00BC6466" w:rsidP="00510024">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All’uopo</w:t>
      </w:r>
      <w:proofErr w:type="gramEnd"/>
      <w:r>
        <w:rPr>
          <w:rFonts w:ascii="Times New Roman" w:hAnsi="Times New Roman" w:cs="Times New Roman"/>
          <w:sz w:val="24"/>
          <w:szCs w:val="24"/>
        </w:rPr>
        <w:t>,</w:t>
      </w:r>
      <w:r w:rsidR="003D2014">
        <w:rPr>
          <w:rFonts w:ascii="Times New Roman" w:hAnsi="Times New Roman" w:cs="Times New Roman"/>
          <w:sz w:val="24"/>
          <w:szCs w:val="24"/>
        </w:rPr>
        <w:t xml:space="preserve"> già prima del </w:t>
      </w:r>
      <w:r>
        <w:rPr>
          <w:rFonts w:ascii="Times New Roman" w:hAnsi="Times New Roman" w:cs="Times New Roman"/>
          <w:sz w:val="24"/>
          <w:szCs w:val="24"/>
        </w:rPr>
        <w:t xml:space="preserve">nuovo </w:t>
      </w:r>
      <w:r w:rsidR="003D2014">
        <w:rPr>
          <w:rFonts w:ascii="Times New Roman" w:hAnsi="Times New Roman" w:cs="Times New Roman"/>
          <w:sz w:val="24"/>
          <w:szCs w:val="24"/>
        </w:rPr>
        <w:t>codice, il legislatore</w:t>
      </w:r>
      <w:r>
        <w:rPr>
          <w:rFonts w:ascii="Times New Roman" w:hAnsi="Times New Roman" w:cs="Times New Roman"/>
          <w:sz w:val="24"/>
          <w:szCs w:val="24"/>
        </w:rPr>
        <w:t xml:space="preserve"> era intervenuto</w:t>
      </w:r>
      <w:r w:rsidR="003D2014">
        <w:rPr>
          <w:rFonts w:ascii="Times New Roman" w:hAnsi="Times New Roman" w:cs="Times New Roman"/>
          <w:sz w:val="24"/>
          <w:szCs w:val="24"/>
        </w:rPr>
        <w:t xml:space="preserve"> articolando una serie di uffici a livello centrale chiamati funzionalmente ad assistere tutte le pubbliche Amministrazioni, centrali e locali, nel percorso prodromico alla stipulazione di un contratto di PPP e, poi, in fase di esecuzione dello stesso.</w:t>
      </w:r>
    </w:p>
    <w:p w14:paraId="4C59ED9C" w14:textId="3174376D"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 parte l’attività consultiva generale di competenza dell’A.N.A.C., </w:t>
      </w:r>
      <w:r w:rsidR="00AD595E">
        <w:rPr>
          <w:rFonts w:ascii="Times New Roman" w:hAnsi="Times New Roman" w:cs="Times New Roman"/>
          <w:sz w:val="24"/>
          <w:szCs w:val="24"/>
        </w:rPr>
        <w:t>accanto al</w:t>
      </w:r>
      <w:r>
        <w:rPr>
          <w:rFonts w:ascii="Times New Roman" w:hAnsi="Times New Roman" w:cs="Times New Roman"/>
          <w:sz w:val="24"/>
          <w:szCs w:val="24"/>
        </w:rPr>
        <w:t xml:space="preserve"> già citato D.I.P.E. (in cui è confluita la precedente Unità Tecnica Finanza di Progetto</w:t>
      </w:r>
      <w:r w:rsidR="00E27B13">
        <w:rPr>
          <w:rStyle w:val="Rimandonotaapidipagina"/>
          <w:rFonts w:ascii="Times New Roman" w:hAnsi="Times New Roman" w:cs="Times New Roman"/>
          <w:sz w:val="24"/>
          <w:szCs w:val="24"/>
        </w:rPr>
        <w:footnoteReference w:id="14"/>
      </w:r>
      <w:r w:rsidRPr="00964CD3">
        <w:rPr>
          <w:rFonts w:ascii="Times New Roman" w:hAnsi="Times New Roman" w:cs="Times New Roman"/>
          <w:sz w:val="24"/>
          <w:szCs w:val="24"/>
        </w:rPr>
        <w:t>)</w:t>
      </w:r>
      <w:r>
        <w:rPr>
          <w:rFonts w:ascii="Times New Roman" w:hAnsi="Times New Roman" w:cs="Times New Roman"/>
          <w:sz w:val="24"/>
          <w:szCs w:val="24"/>
        </w:rPr>
        <w:t xml:space="preserve">, che ha, fra gli altri, il compito di curare la </w:t>
      </w:r>
      <w:r w:rsidRPr="003B4E17">
        <w:rPr>
          <w:rFonts w:ascii="Times New Roman" w:hAnsi="Times New Roman" w:cs="Times New Roman"/>
          <w:sz w:val="24"/>
          <w:szCs w:val="24"/>
        </w:rPr>
        <w:t xml:space="preserve">promozione e la diffusione di modelli di </w:t>
      </w:r>
      <w:r>
        <w:rPr>
          <w:rFonts w:ascii="Times New Roman" w:hAnsi="Times New Roman" w:cs="Times New Roman"/>
          <w:sz w:val="24"/>
          <w:szCs w:val="24"/>
        </w:rPr>
        <w:t>PPP, di assicurare il s</w:t>
      </w:r>
      <w:r w:rsidRPr="003B4E17">
        <w:rPr>
          <w:rFonts w:ascii="Times New Roman" w:hAnsi="Times New Roman" w:cs="Times New Roman"/>
          <w:sz w:val="24"/>
          <w:szCs w:val="24"/>
        </w:rPr>
        <w:t xml:space="preserve">upporto gratuito alle </w:t>
      </w:r>
      <w:r>
        <w:rPr>
          <w:rFonts w:ascii="Times New Roman" w:hAnsi="Times New Roman" w:cs="Times New Roman"/>
          <w:sz w:val="24"/>
          <w:szCs w:val="24"/>
        </w:rPr>
        <w:t>p</w:t>
      </w:r>
      <w:r w:rsidRPr="003B4E17">
        <w:rPr>
          <w:rFonts w:ascii="Times New Roman" w:hAnsi="Times New Roman" w:cs="Times New Roman"/>
          <w:sz w:val="24"/>
          <w:szCs w:val="24"/>
        </w:rPr>
        <w:t>ubbliche Amministrazioni</w:t>
      </w:r>
      <w:r>
        <w:rPr>
          <w:rFonts w:ascii="Times New Roman" w:hAnsi="Times New Roman" w:cs="Times New Roman"/>
          <w:sz w:val="24"/>
          <w:szCs w:val="24"/>
        </w:rPr>
        <w:t>, nonché di predisporre l</w:t>
      </w:r>
      <w:r w:rsidRPr="003B4E17">
        <w:rPr>
          <w:rFonts w:ascii="Times New Roman" w:hAnsi="Times New Roman" w:cs="Times New Roman"/>
          <w:sz w:val="24"/>
          <w:szCs w:val="24"/>
        </w:rPr>
        <w:t xml:space="preserve">a raccolta dei dati e il monitoraggio delle operazioni </w:t>
      </w:r>
      <w:r>
        <w:rPr>
          <w:rFonts w:ascii="Times New Roman" w:hAnsi="Times New Roman" w:cs="Times New Roman"/>
          <w:i/>
          <w:iCs/>
          <w:sz w:val="24"/>
          <w:szCs w:val="24"/>
        </w:rPr>
        <w:t xml:space="preserve">de </w:t>
      </w:r>
      <w:proofErr w:type="spellStart"/>
      <w:r>
        <w:rPr>
          <w:rFonts w:ascii="Times New Roman" w:hAnsi="Times New Roman" w:cs="Times New Roman"/>
          <w:i/>
          <w:iCs/>
          <w:sz w:val="24"/>
          <w:szCs w:val="24"/>
        </w:rPr>
        <w:t>quibus</w:t>
      </w:r>
      <w:proofErr w:type="spellEnd"/>
      <w:r w:rsidRPr="003B4E17">
        <w:rPr>
          <w:rFonts w:ascii="Times New Roman" w:hAnsi="Times New Roman" w:cs="Times New Roman"/>
          <w:sz w:val="24"/>
          <w:szCs w:val="24"/>
        </w:rPr>
        <w:t xml:space="preserve"> ai fini della stima dell’impatto sul bilancio pubblico</w:t>
      </w:r>
      <w:r>
        <w:rPr>
          <w:rFonts w:ascii="Times New Roman" w:hAnsi="Times New Roman" w:cs="Times New Roman"/>
          <w:sz w:val="24"/>
          <w:szCs w:val="24"/>
        </w:rPr>
        <w:t>, occorre ricordare il ruolo assegnato al</w:t>
      </w:r>
      <w:r w:rsidRPr="002E3F3F">
        <w:rPr>
          <w:rFonts w:ascii="Times New Roman" w:hAnsi="Times New Roman" w:cs="Times New Roman"/>
          <w:sz w:val="24"/>
          <w:szCs w:val="24"/>
        </w:rPr>
        <w:t xml:space="preserve"> Dipartimento della Ragioneria Generale dello Stato, </w:t>
      </w:r>
      <w:r>
        <w:rPr>
          <w:rFonts w:ascii="Times New Roman" w:hAnsi="Times New Roman" w:cs="Times New Roman"/>
          <w:sz w:val="24"/>
          <w:szCs w:val="24"/>
        </w:rPr>
        <w:t>che, oltre a gestire insieme al primo i</w:t>
      </w:r>
      <w:r w:rsidRPr="00096FFF">
        <w:rPr>
          <w:rFonts w:ascii="Times New Roman" w:hAnsi="Times New Roman" w:cs="Times New Roman"/>
          <w:sz w:val="24"/>
          <w:szCs w:val="24"/>
        </w:rPr>
        <w:t xml:space="preserve">l </w:t>
      </w:r>
      <w:r>
        <w:rPr>
          <w:rFonts w:ascii="Times New Roman" w:hAnsi="Times New Roman" w:cs="Times New Roman"/>
          <w:sz w:val="24"/>
          <w:szCs w:val="24"/>
        </w:rPr>
        <w:t>“</w:t>
      </w:r>
      <w:r w:rsidRPr="00096FFF">
        <w:rPr>
          <w:rFonts w:ascii="Times New Roman" w:hAnsi="Times New Roman" w:cs="Times New Roman"/>
          <w:i/>
          <w:iCs/>
          <w:sz w:val="24"/>
          <w:szCs w:val="24"/>
        </w:rPr>
        <w:t>Portale per il monitoraggio delle operazioni di Partenariato Pubblico privato</w:t>
      </w:r>
      <w:r>
        <w:rPr>
          <w:rFonts w:ascii="Times New Roman" w:hAnsi="Times New Roman" w:cs="Times New Roman"/>
          <w:sz w:val="24"/>
          <w:szCs w:val="24"/>
        </w:rPr>
        <w:t>” (oggi art. 175, commi 6 e 7), di concerto con il D.I.P.E. rende il parere preventivo, obbligatorio e non vincolante, per i “</w:t>
      </w:r>
      <w:r w:rsidRPr="00607C85">
        <w:rPr>
          <w:rFonts w:ascii="Times New Roman" w:hAnsi="Times New Roman" w:cs="Times New Roman"/>
          <w:i/>
          <w:iCs/>
          <w:sz w:val="24"/>
          <w:szCs w:val="24"/>
        </w:rPr>
        <w:t>progetti di interesse statale o finanziati con contributo a carico dello Stato, per i quali non sia prevista l'espressione del CIPESS,</w:t>
      </w:r>
      <w:r w:rsidRPr="00EB7D27">
        <w:rPr>
          <w:rFonts w:ascii="Times New Roman" w:hAnsi="Times New Roman" w:cs="Times New Roman"/>
          <w:sz w:val="24"/>
          <w:szCs w:val="24"/>
        </w:rPr>
        <w:t xml:space="preserve"> </w:t>
      </w:r>
      <w:r>
        <w:rPr>
          <w:rFonts w:ascii="Times New Roman" w:hAnsi="Times New Roman" w:cs="Times New Roman"/>
          <w:sz w:val="24"/>
          <w:szCs w:val="24"/>
        </w:rPr>
        <w:t>[…]</w:t>
      </w:r>
      <w:r w:rsidRPr="00EB7D27">
        <w:rPr>
          <w:rFonts w:ascii="Times New Roman" w:hAnsi="Times New Roman" w:cs="Times New Roman"/>
          <w:sz w:val="24"/>
          <w:szCs w:val="24"/>
        </w:rPr>
        <w:t xml:space="preserve"> </w:t>
      </w:r>
      <w:r w:rsidRPr="00607C85">
        <w:rPr>
          <w:rFonts w:ascii="Times New Roman" w:hAnsi="Times New Roman" w:cs="Times New Roman"/>
          <w:i/>
          <w:iCs/>
          <w:sz w:val="24"/>
          <w:szCs w:val="24"/>
        </w:rPr>
        <w:t>il cui ammontare dei lavori o dei servizi sia di importo pari o superiore a 50 milioni di euro e inferiore a 250</w:t>
      </w:r>
      <w:r>
        <w:rPr>
          <w:rFonts w:ascii="Times New Roman" w:hAnsi="Times New Roman" w:cs="Times New Roman"/>
          <w:i/>
          <w:iCs/>
          <w:sz w:val="24"/>
          <w:szCs w:val="24"/>
        </w:rPr>
        <w:t xml:space="preserve"> </w:t>
      </w:r>
      <w:r w:rsidRPr="00607C85">
        <w:rPr>
          <w:rFonts w:ascii="Times New Roman" w:hAnsi="Times New Roman" w:cs="Times New Roman"/>
          <w:i/>
          <w:iCs/>
          <w:sz w:val="24"/>
          <w:szCs w:val="24"/>
        </w:rPr>
        <w:t>milioni di euro</w:t>
      </w:r>
      <w:r>
        <w:rPr>
          <w:rFonts w:ascii="Times New Roman" w:hAnsi="Times New Roman" w:cs="Times New Roman"/>
          <w:sz w:val="24"/>
          <w:szCs w:val="24"/>
        </w:rPr>
        <w:t>”</w:t>
      </w:r>
      <w:r w:rsidR="00BC6466">
        <w:rPr>
          <w:rFonts w:ascii="Times New Roman" w:hAnsi="Times New Roman" w:cs="Times New Roman"/>
          <w:sz w:val="24"/>
          <w:szCs w:val="24"/>
        </w:rPr>
        <w:t xml:space="preserve"> (art. 175). </w:t>
      </w:r>
    </w:p>
    <w:p w14:paraId="30FD510A" w14:textId="08248CD1" w:rsidR="003D2014" w:rsidRDefault="00BC6466"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3D2014">
        <w:rPr>
          <w:rFonts w:ascii="Times New Roman" w:hAnsi="Times New Roman" w:cs="Times New Roman"/>
          <w:sz w:val="24"/>
          <w:szCs w:val="24"/>
        </w:rPr>
        <w:t>er i</w:t>
      </w:r>
      <w:r w:rsidR="003D2014" w:rsidRPr="00CF2F11">
        <w:rPr>
          <w:rFonts w:ascii="Times New Roman" w:hAnsi="Times New Roman" w:cs="Times New Roman"/>
          <w:sz w:val="24"/>
          <w:szCs w:val="24"/>
        </w:rPr>
        <w:t xml:space="preserve"> </w:t>
      </w:r>
      <w:r w:rsidR="003D2014">
        <w:rPr>
          <w:rFonts w:ascii="Times New Roman" w:hAnsi="Times New Roman" w:cs="Times New Roman"/>
          <w:sz w:val="24"/>
          <w:szCs w:val="24"/>
        </w:rPr>
        <w:t>“</w:t>
      </w:r>
      <w:r w:rsidR="003D2014" w:rsidRPr="00CF2F11">
        <w:rPr>
          <w:rFonts w:ascii="Times New Roman" w:hAnsi="Times New Roman" w:cs="Times New Roman"/>
          <w:i/>
          <w:iCs/>
          <w:sz w:val="24"/>
          <w:szCs w:val="24"/>
        </w:rPr>
        <w:t xml:space="preserve">progetti di interesse statale oppure di progetti finanziati con contributo a carico dello Stato, per i quali non sia già previsto che si esprima il CIPESS </w:t>
      </w:r>
      <w:r w:rsidR="003D2014" w:rsidRPr="00CF2F11">
        <w:rPr>
          <w:rFonts w:ascii="Times New Roman" w:hAnsi="Times New Roman" w:cs="Times New Roman"/>
          <w:sz w:val="24"/>
          <w:szCs w:val="24"/>
        </w:rPr>
        <w:t xml:space="preserve">[…] </w:t>
      </w:r>
      <w:r w:rsidR="003D2014" w:rsidRPr="00CF2F11">
        <w:rPr>
          <w:rFonts w:ascii="Times New Roman" w:hAnsi="Times New Roman" w:cs="Times New Roman"/>
          <w:i/>
          <w:iCs/>
          <w:sz w:val="24"/>
          <w:szCs w:val="24"/>
        </w:rPr>
        <w:t>di importo pari o superiore a 250 milioni di euro</w:t>
      </w:r>
      <w:r w:rsidR="003D2014">
        <w:rPr>
          <w:rFonts w:ascii="Times New Roman" w:hAnsi="Times New Roman" w:cs="Times New Roman"/>
          <w:sz w:val="24"/>
          <w:szCs w:val="24"/>
        </w:rPr>
        <w:t>”</w:t>
      </w:r>
      <w:r w:rsidR="003D2014" w:rsidRPr="00CF2F11">
        <w:rPr>
          <w:rFonts w:ascii="Times New Roman" w:hAnsi="Times New Roman" w:cs="Times New Roman"/>
          <w:sz w:val="24"/>
          <w:szCs w:val="24"/>
        </w:rPr>
        <w:t>,</w:t>
      </w:r>
      <w:r w:rsidR="003D2014">
        <w:rPr>
          <w:rFonts w:ascii="Times New Roman" w:hAnsi="Times New Roman" w:cs="Times New Roman"/>
          <w:sz w:val="24"/>
          <w:szCs w:val="24"/>
        </w:rPr>
        <w:t xml:space="preserve"> </w:t>
      </w:r>
      <w:r>
        <w:rPr>
          <w:rFonts w:ascii="Times New Roman" w:hAnsi="Times New Roman" w:cs="Times New Roman"/>
          <w:sz w:val="24"/>
          <w:szCs w:val="24"/>
        </w:rPr>
        <w:t xml:space="preserve">invece, il nuovo codice </w:t>
      </w:r>
      <w:r w:rsidR="003D2014">
        <w:rPr>
          <w:rFonts w:ascii="Times New Roman" w:hAnsi="Times New Roman" w:cs="Times New Roman"/>
          <w:sz w:val="24"/>
          <w:szCs w:val="24"/>
        </w:rPr>
        <w:t>prevede il parere, preventivo ed obbligatorio</w:t>
      </w:r>
      <w:r w:rsidR="003D2014">
        <w:rPr>
          <w:rStyle w:val="Rimandonotaapidipagina"/>
          <w:rFonts w:ascii="Times New Roman" w:hAnsi="Times New Roman" w:cs="Times New Roman"/>
          <w:sz w:val="24"/>
          <w:szCs w:val="24"/>
        </w:rPr>
        <w:footnoteReference w:id="15"/>
      </w:r>
      <w:r w:rsidR="003D2014">
        <w:rPr>
          <w:rFonts w:ascii="Times New Roman" w:hAnsi="Times New Roman" w:cs="Times New Roman"/>
          <w:sz w:val="24"/>
          <w:szCs w:val="24"/>
        </w:rPr>
        <w:t>, di due altri organi pubblici, o</w:t>
      </w:r>
      <w:r>
        <w:rPr>
          <w:rFonts w:ascii="Times New Roman" w:hAnsi="Times New Roman" w:cs="Times New Roman"/>
          <w:sz w:val="24"/>
          <w:szCs w:val="24"/>
        </w:rPr>
        <w:t>vvero</w:t>
      </w:r>
      <w:r w:rsidR="003D2014">
        <w:rPr>
          <w:rFonts w:ascii="Times New Roman" w:hAnsi="Times New Roman" w:cs="Times New Roman"/>
          <w:sz w:val="24"/>
          <w:szCs w:val="24"/>
        </w:rPr>
        <w:t>ssia lo stesso C.I.P.E.S.S. (</w:t>
      </w:r>
      <w:r w:rsidR="003D2014" w:rsidRPr="006604CA">
        <w:rPr>
          <w:rFonts w:ascii="Times New Roman" w:hAnsi="Times New Roman" w:cs="Times New Roman"/>
          <w:sz w:val="24"/>
          <w:szCs w:val="24"/>
        </w:rPr>
        <w:t>Comitato interministeriale per</w:t>
      </w:r>
      <w:r w:rsidR="003D2014">
        <w:rPr>
          <w:rFonts w:ascii="Times New Roman" w:hAnsi="Times New Roman" w:cs="Times New Roman"/>
          <w:sz w:val="24"/>
          <w:szCs w:val="24"/>
        </w:rPr>
        <w:t xml:space="preserve"> </w:t>
      </w:r>
      <w:r w:rsidR="003D2014" w:rsidRPr="006604CA">
        <w:rPr>
          <w:rFonts w:ascii="Times New Roman" w:hAnsi="Times New Roman" w:cs="Times New Roman"/>
          <w:sz w:val="24"/>
          <w:szCs w:val="24"/>
        </w:rPr>
        <w:t>la programmazione economica e lo sviluppo sostenibile</w:t>
      </w:r>
      <w:r w:rsidR="003D2014">
        <w:rPr>
          <w:rFonts w:ascii="Times New Roman" w:hAnsi="Times New Roman" w:cs="Times New Roman"/>
          <w:sz w:val="24"/>
          <w:szCs w:val="24"/>
        </w:rPr>
        <w:t>) e il N.A.R.S.</w:t>
      </w:r>
      <w:r>
        <w:rPr>
          <w:rFonts w:ascii="Times New Roman" w:hAnsi="Times New Roman" w:cs="Times New Roman"/>
          <w:sz w:val="24"/>
          <w:szCs w:val="24"/>
        </w:rPr>
        <w:t xml:space="preserve"> (</w:t>
      </w:r>
      <w:r w:rsidR="003D2014" w:rsidRPr="00CF2F11">
        <w:rPr>
          <w:rFonts w:ascii="Times New Roman" w:hAnsi="Times New Roman" w:cs="Times New Roman"/>
          <w:sz w:val="24"/>
          <w:szCs w:val="24"/>
        </w:rPr>
        <w:t>Nucleo di consulenza per l</w:t>
      </w:r>
      <w:r w:rsidR="003D2014">
        <w:rPr>
          <w:rFonts w:ascii="Times New Roman" w:hAnsi="Times New Roman" w:cs="Times New Roman"/>
          <w:sz w:val="24"/>
          <w:szCs w:val="24"/>
        </w:rPr>
        <w:t>’</w:t>
      </w:r>
      <w:r w:rsidR="003D2014" w:rsidRPr="00CF2F11">
        <w:rPr>
          <w:rFonts w:ascii="Times New Roman" w:hAnsi="Times New Roman" w:cs="Times New Roman"/>
          <w:sz w:val="24"/>
          <w:szCs w:val="24"/>
        </w:rPr>
        <w:t>attuazione</w:t>
      </w:r>
      <w:r w:rsidR="003D2014">
        <w:rPr>
          <w:rFonts w:ascii="Times New Roman" w:hAnsi="Times New Roman" w:cs="Times New Roman"/>
          <w:sz w:val="24"/>
          <w:szCs w:val="24"/>
        </w:rPr>
        <w:t xml:space="preserve"> </w:t>
      </w:r>
      <w:r w:rsidR="003D2014" w:rsidRPr="00CF2F11">
        <w:rPr>
          <w:rFonts w:ascii="Times New Roman" w:hAnsi="Times New Roman" w:cs="Times New Roman"/>
          <w:sz w:val="24"/>
          <w:szCs w:val="24"/>
        </w:rPr>
        <w:t xml:space="preserve">delle linee </w:t>
      </w:r>
      <w:r w:rsidR="003D2014" w:rsidRPr="00CF2F11">
        <w:rPr>
          <w:rFonts w:ascii="Times New Roman" w:hAnsi="Times New Roman" w:cs="Times New Roman"/>
          <w:sz w:val="24"/>
          <w:szCs w:val="24"/>
        </w:rPr>
        <w:lastRenderedPageBreak/>
        <w:t>guida per la regolazione dei servizi di pubblica utilit</w:t>
      </w:r>
      <w:r w:rsidR="003D2014">
        <w:rPr>
          <w:rFonts w:ascii="Times New Roman" w:hAnsi="Times New Roman" w:cs="Times New Roman"/>
          <w:sz w:val="24"/>
          <w:szCs w:val="24"/>
        </w:rPr>
        <w:t>à</w:t>
      </w:r>
      <w:r w:rsidR="003D2014">
        <w:rPr>
          <w:rStyle w:val="Rimandonotaapidipagina"/>
          <w:rFonts w:ascii="Times New Roman" w:hAnsi="Times New Roman" w:cs="Times New Roman"/>
          <w:sz w:val="24"/>
          <w:szCs w:val="24"/>
        </w:rPr>
        <w:footnoteReference w:id="16"/>
      </w:r>
      <w:r>
        <w:rPr>
          <w:rFonts w:ascii="Times New Roman" w:hAnsi="Times New Roman" w:cs="Times New Roman"/>
          <w:sz w:val="24"/>
          <w:szCs w:val="24"/>
        </w:rPr>
        <w:t>)</w:t>
      </w:r>
      <w:r w:rsidR="003D2014">
        <w:rPr>
          <w:rFonts w:ascii="Times New Roman" w:hAnsi="Times New Roman" w:cs="Times New Roman"/>
          <w:sz w:val="24"/>
          <w:szCs w:val="24"/>
        </w:rPr>
        <w:t>, organismo, quest’ultimo, cui compete anche, ai sensi dell’art. 192, comma 3, di pronunciarsi sulla revisione contrattuale “</w:t>
      </w:r>
      <w:r w:rsidR="003D2014" w:rsidRPr="000D6FBE">
        <w:rPr>
          <w:rFonts w:ascii="Times New Roman" w:hAnsi="Times New Roman" w:cs="Times New Roman"/>
          <w:i/>
          <w:iCs/>
          <w:sz w:val="24"/>
          <w:szCs w:val="24"/>
        </w:rPr>
        <w:t>nei casi di opere di interesse statale ovvero finanziate con contributo a carico dello Stato</w:t>
      </w:r>
      <w:r w:rsidR="003D2014">
        <w:rPr>
          <w:rFonts w:ascii="Times New Roman" w:hAnsi="Times New Roman" w:cs="Times New Roman"/>
          <w:sz w:val="24"/>
          <w:szCs w:val="24"/>
        </w:rPr>
        <w:t>”, intervenendo nella formazione del parere adottato di concerto sempre dal D.I.P.E. e dalla R.G.S.</w:t>
      </w:r>
    </w:p>
    <w:p w14:paraId="011ABE89" w14:textId="77777777"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Peraltro, la Ragioneria Generale dello Stato si era già fatta promotrice, nella vigenza del precedente codice, di una salutare iniziativa di </w:t>
      </w:r>
      <w:r>
        <w:rPr>
          <w:rFonts w:ascii="Times New Roman" w:hAnsi="Times New Roman" w:cs="Times New Roman"/>
          <w:i/>
          <w:iCs/>
          <w:sz w:val="24"/>
          <w:szCs w:val="24"/>
        </w:rPr>
        <w:t xml:space="preserve">soft </w:t>
      </w:r>
      <w:proofErr w:type="spellStart"/>
      <w:r>
        <w:rPr>
          <w:rFonts w:ascii="Times New Roman" w:hAnsi="Times New Roman" w:cs="Times New Roman"/>
          <w:i/>
          <w:iCs/>
          <w:sz w:val="24"/>
          <w:szCs w:val="24"/>
        </w:rPr>
        <w:t>regulation</w:t>
      </w:r>
      <w:proofErr w:type="spellEnd"/>
      <w:r>
        <w:rPr>
          <w:rFonts w:ascii="Times New Roman" w:hAnsi="Times New Roman" w:cs="Times New Roman"/>
          <w:sz w:val="24"/>
          <w:szCs w:val="24"/>
        </w:rPr>
        <w:t xml:space="preserve">, in affiancamento a quella già svolta dall’ANAC in materia, mercé la redazione di uno </w:t>
      </w:r>
      <w:r w:rsidRPr="000B0A53">
        <w:rPr>
          <w:rFonts w:ascii="Times New Roman" w:hAnsi="Times New Roman" w:cs="Times New Roman"/>
          <w:sz w:val="24"/>
          <w:szCs w:val="24"/>
        </w:rPr>
        <w:t xml:space="preserve">schema di </w:t>
      </w:r>
      <w:r>
        <w:rPr>
          <w:rFonts w:ascii="Times New Roman" w:hAnsi="Times New Roman" w:cs="Times New Roman"/>
          <w:sz w:val="24"/>
          <w:szCs w:val="24"/>
        </w:rPr>
        <w:t>“</w:t>
      </w:r>
      <w:r w:rsidRPr="004B0885">
        <w:rPr>
          <w:rFonts w:ascii="Times New Roman" w:hAnsi="Times New Roman" w:cs="Times New Roman"/>
          <w:i/>
          <w:iCs/>
          <w:sz w:val="24"/>
          <w:szCs w:val="24"/>
        </w:rPr>
        <w:t>contratto standard per l’affidamento della progettazione, costruzione e gestione di opere pubbliche a diretto utilizzo della pubblica amministrazione da realizzare in partenariato pubblico-privato</w:t>
      </w:r>
      <w:r>
        <w:rPr>
          <w:rFonts w:ascii="Times New Roman" w:hAnsi="Times New Roman" w:cs="Times New Roman"/>
          <w:sz w:val="24"/>
          <w:szCs w:val="24"/>
        </w:rPr>
        <w:t>”</w:t>
      </w:r>
      <w:r w:rsidRPr="000B0A53">
        <w:rPr>
          <w:rFonts w:ascii="Times New Roman" w:hAnsi="Times New Roman" w:cs="Times New Roman"/>
          <w:sz w:val="24"/>
          <w:szCs w:val="24"/>
        </w:rPr>
        <w:t xml:space="preserve">, con annessa </w:t>
      </w:r>
      <w:r>
        <w:rPr>
          <w:rFonts w:ascii="Times New Roman" w:hAnsi="Times New Roman" w:cs="Times New Roman"/>
          <w:sz w:val="24"/>
          <w:szCs w:val="24"/>
        </w:rPr>
        <w:t>“</w:t>
      </w:r>
      <w:r w:rsidRPr="004B0885">
        <w:rPr>
          <w:rFonts w:ascii="Times New Roman" w:hAnsi="Times New Roman" w:cs="Times New Roman"/>
          <w:i/>
          <w:iCs/>
          <w:sz w:val="24"/>
          <w:szCs w:val="24"/>
        </w:rPr>
        <w:t>Guida alla redazione</w:t>
      </w:r>
      <w:r>
        <w:rPr>
          <w:rFonts w:ascii="Times New Roman" w:hAnsi="Times New Roman" w:cs="Times New Roman"/>
          <w:sz w:val="24"/>
          <w:szCs w:val="24"/>
        </w:rPr>
        <w:t>” (2021)</w:t>
      </w:r>
      <w:r>
        <w:rPr>
          <w:rStyle w:val="Rimandonotaapidipagina"/>
          <w:rFonts w:ascii="Times New Roman" w:hAnsi="Times New Roman" w:cs="Times New Roman"/>
          <w:sz w:val="24"/>
          <w:szCs w:val="24"/>
        </w:rPr>
        <w:footnoteReference w:id="17"/>
      </w:r>
      <w:r w:rsidRPr="000B0A53">
        <w:rPr>
          <w:rFonts w:ascii="Times New Roman" w:hAnsi="Times New Roman" w:cs="Times New Roman"/>
          <w:sz w:val="24"/>
          <w:szCs w:val="24"/>
        </w:rPr>
        <w:t>.</w:t>
      </w:r>
    </w:p>
    <w:p w14:paraId="7A0C2F56" w14:textId="2BF242CB" w:rsidR="003D2014" w:rsidRDefault="003D2014" w:rsidP="001638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Oggi, con disposizione innovativa nel contesto del codice (ma che traduce una prassi che, come detto, già ha iniziato a formarsi negli anni precedenti), si prevede espressamente che dell’ausilio fornito da tali </w:t>
      </w:r>
      <w:r w:rsidR="003E48E4">
        <w:rPr>
          <w:rFonts w:ascii="Times New Roman" w:hAnsi="Times New Roman" w:cs="Times New Roman"/>
          <w:sz w:val="24"/>
          <w:szCs w:val="24"/>
        </w:rPr>
        <w:t>o</w:t>
      </w:r>
      <w:r>
        <w:rPr>
          <w:rFonts w:ascii="Times New Roman" w:hAnsi="Times New Roman" w:cs="Times New Roman"/>
          <w:sz w:val="24"/>
          <w:szCs w:val="24"/>
        </w:rPr>
        <w:t>rgani “</w:t>
      </w:r>
      <w:r>
        <w:rPr>
          <w:rFonts w:ascii="Times New Roman" w:hAnsi="Times New Roman" w:cs="Times New Roman"/>
          <w:i/>
          <w:iCs/>
          <w:sz w:val="24"/>
          <w:szCs w:val="24"/>
        </w:rPr>
        <w:t>specializzati</w:t>
      </w:r>
      <w:r>
        <w:rPr>
          <w:rFonts w:ascii="Times New Roman" w:hAnsi="Times New Roman" w:cs="Times New Roman"/>
          <w:sz w:val="24"/>
          <w:szCs w:val="24"/>
        </w:rPr>
        <w:t>”, mercé richiesta del parere preventivo siccome sovra delineato, possano avvalersi anche le Regioni e gli enti locali, “</w:t>
      </w:r>
      <w:r>
        <w:rPr>
          <w:rFonts w:ascii="Times New Roman" w:hAnsi="Times New Roman" w:cs="Times New Roman"/>
          <w:i/>
          <w:iCs/>
          <w:sz w:val="24"/>
          <w:szCs w:val="24"/>
        </w:rPr>
        <w:t>quando la complessità dell’operazione contrattuale lo richieda</w:t>
      </w:r>
      <w:r>
        <w:rPr>
          <w:rFonts w:ascii="Times New Roman" w:hAnsi="Times New Roman" w:cs="Times New Roman"/>
          <w:sz w:val="24"/>
          <w:szCs w:val="24"/>
        </w:rPr>
        <w:t>” (art. 175, comma 4), con una quanto mai opportuna condivisione delle esperienze nel settore pubblico.</w:t>
      </w:r>
    </w:p>
    <w:p w14:paraId="4080DE78" w14:textId="549D7E10" w:rsidR="003D2014" w:rsidRPr="00922C33" w:rsidRDefault="003D2014" w:rsidP="00510024">
      <w:pPr>
        <w:spacing w:after="0" w:line="360" w:lineRule="auto"/>
        <w:jc w:val="both"/>
        <w:rPr>
          <w:rFonts w:ascii="Times New Roman" w:hAnsi="Times New Roman" w:cs="Times New Roman"/>
          <w:b/>
          <w:bCs/>
          <w:i/>
          <w:iCs/>
          <w:sz w:val="24"/>
          <w:szCs w:val="24"/>
        </w:rPr>
      </w:pPr>
      <w:r>
        <w:rPr>
          <w:rFonts w:ascii="Times New Roman" w:hAnsi="Times New Roman" w:cs="Times New Roman"/>
          <w:b/>
          <w:bCs/>
          <w:sz w:val="24"/>
          <w:szCs w:val="24"/>
        </w:rPr>
        <w:t>3</w:t>
      </w:r>
      <w:r w:rsidRPr="004A7B04">
        <w:rPr>
          <w:rFonts w:ascii="Times New Roman" w:hAnsi="Times New Roman" w:cs="Times New Roman"/>
          <w:b/>
          <w:bCs/>
          <w:sz w:val="24"/>
          <w:szCs w:val="24"/>
        </w:rPr>
        <w:t xml:space="preserve">.- </w:t>
      </w:r>
      <w:r>
        <w:rPr>
          <w:rFonts w:ascii="Times New Roman" w:hAnsi="Times New Roman" w:cs="Times New Roman"/>
          <w:b/>
          <w:bCs/>
          <w:i/>
          <w:iCs/>
          <w:sz w:val="24"/>
          <w:szCs w:val="24"/>
        </w:rPr>
        <w:t>Il codice</w:t>
      </w:r>
      <w:r w:rsidR="00A85599">
        <w:rPr>
          <w:rFonts w:ascii="Times New Roman" w:hAnsi="Times New Roman" w:cs="Times New Roman"/>
          <w:b/>
          <w:bCs/>
          <w:i/>
          <w:iCs/>
          <w:sz w:val="24"/>
          <w:szCs w:val="24"/>
        </w:rPr>
        <w:t xml:space="preserve"> e </w:t>
      </w:r>
      <w:r>
        <w:rPr>
          <w:rFonts w:ascii="Times New Roman" w:hAnsi="Times New Roman" w:cs="Times New Roman"/>
          <w:b/>
          <w:bCs/>
          <w:i/>
          <w:iCs/>
          <w:sz w:val="24"/>
          <w:szCs w:val="24"/>
        </w:rPr>
        <w:t>la costruzione della fattispecie.</w:t>
      </w:r>
    </w:p>
    <w:p w14:paraId="2AE37A16" w14:textId="283E0EF3"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questo, che è, dunque, il contesto generale, si inserisce il </w:t>
      </w:r>
      <w:r w:rsidR="00DC0592">
        <w:rPr>
          <w:rFonts w:ascii="Times New Roman" w:hAnsi="Times New Roman" w:cs="Times New Roman"/>
          <w:sz w:val="24"/>
          <w:szCs w:val="24"/>
        </w:rPr>
        <w:t>nuovo</w:t>
      </w:r>
      <w:r>
        <w:rPr>
          <w:rFonts w:ascii="Times New Roman" w:hAnsi="Times New Roman" w:cs="Times New Roman"/>
          <w:sz w:val="24"/>
          <w:szCs w:val="24"/>
        </w:rPr>
        <w:t xml:space="preserve"> codice, che ha, in primo luogo, certamente il merito di dare una struttura finalmente compiuta all’istituto del partenariato pubblico privato, eletto a schema generale di contratto pubblico, del tutto alternativo all’appalto e a cui viene ricondotto, anche sul piano topografico, il contratto di concessione.</w:t>
      </w:r>
    </w:p>
    <w:p w14:paraId="73CF6552" w14:textId="4E7E38E1"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Il libro IV del codice si apre, </w:t>
      </w:r>
      <w:r w:rsidR="00BC6466">
        <w:rPr>
          <w:rFonts w:ascii="Times New Roman" w:hAnsi="Times New Roman" w:cs="Times New Roman"/>
          <w:sz w:val="24"/>
          <w:szCs w:val="24"/>
        </w:rPr>
        <w:t>di</w:t>
      </w:r>
      <w:r>
        <w:rPr>
          <w:rFonts w:ascii="Times New Roman" w:hAnsi="Times New Roman" w:cs="Times New Roman"/>
          <w:sz w:val="24"/>
          <w:szCs w:val="24"/>
        </w:rPr>
        <w:t>fatti, con la definizione generale del partenariato pubblico-privato, “</w:t>
      </w:r>
      <w:r>
        <w:rPr>
          <w:rFonts w:ascii="Times New Roman" w:hAnsi="Times New Roman" w:cs="Times New Roman"/>
          <w:i/>
          <w:iCs/>
          <w:sz w:val="24"/>
          <w:szCs w:val="24"/>
        </w:rPr>
        <w:t>operazione economica</w:t>
      </w:r>
      <w:r>
        <w:rPr>
          <w:rFonts w:ascii="Times New Roman" w:hAnsi="Times New Roman" w:cs="Times New Roman"/>
          <w:sz w:val="24"/>
          <w:szCs w:val="24"/>
        </w:rPr>
        <w:t>” che si sviluppa in un rapporto contrattuale di lungo periodo, nel quale “</w:t>
      </w:r>
      <w:r w:rsidRPr="0023188C">
        <w:rPr>
          <w:rFonts w:ascii="Times New Roman" w:hAnsi="Times New Roman" w:cs="Times New Roman"/>
          <w:i/>
          <w:iCs/>
          <w:sz w:val="24"/>
          <w:szCs w:val="24"/>
        </w:rPr>
        <w:t>la copertura dei fabbisogni finanziari connessi alla realizzazione del progetto proviene in misura significativa da risorse reperite dalla parte privata</w:t>
      </w:r>
      <w:r>
        <w:rPr>
          <w:rFonts w:ascii="Times New Roman" w:hAnsi="Times New Roman" w:cs="Times New Roman"/>
          <w:sz w:val="24"/>
          <w:szCs w:val="24"/>
        </w:rPr>
        <w:t>”, su cui deve essere allocato il rischio operativo e cui “</w:t>
      </w:r>
      <w:r w:rsidRPr="0023188C">
        <w:rPr>
          <w:rFonts w:ascii="Times New Roman" w:hAnsi="Times New Roman" w:cs="Times New Roman"/>
          <w:i/>
          <w:iCs/>
          <w:sz w:val="24"/>
          <w:szCs w:val="24"/>
        </w:rPr>
        <w:t>spetta il compito di realizzare e gestire il progetto, mentre alla parte pubblica quello di definire gli obiettivi e di verificarne l'attuazione</w:t>
      </w:r>
      <w:r>
        <w:rPr>
          <w:rFonts w:ascii="Times New Roman" w:hAnsi="Times New Roman" w:cs="Times New Roman"/>
          <w:sz w:val="24"/>
          <w:szCs w:val="24"/>
        </w:rPr>
        <w:t>” (art. 174)</w:t>
      </w:r>
      <w:r w:rsidRPr="007738ED">
        <w:rPr>
          <w:rFonts w:ascii="Times New Roman" w:hAnsi="Times New Roman" w:cs="Times New Roman"/>
          <w:sz w:val="24"/>
          <w:szCs w:val="24"/>
        </w:rPr>
        <w:t>.</w:t>
      </w:r>
    </w:p>
    <w:p w14:paraId="766EF7FE" w14:textId="1FD5626E"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Il legislatore, con una scelta non proprio felice, ripropone, poi, a livello normativo la categorizzazione, di ascendenza europea, fra partenariato pubblico-privato di tipo contrattuale – l’unico disciplinato dal codice – e PPP di tipo istituzionale, così traducendo sul piano del diritto positivo una distinzione di natura prettamente dottrinale e dalla portata più propriamente descrittiva. Con la nozione di PPP di tipo istituzionale si fa, infatti, riferimento, come noto, alla “</w:t>
      </w:r>
      <w:r w:rsidRPr="00D8394E">
        <w:rPr>
          <w:rFonts w:ascii="Times New Roman" w:hAnsi="Times New Roman" w:cs="Times New Roman"/>
          <w:i/>
          <w:iCs/>
          <w:sz w:val="24"/>
          <w:szCs w:val="24"/>
        </w:rPr>
        <w:t>creazione di un ente partecipato congiuntamente dalla parte privata e da quella pubblica</w:t>
      </w:r>
      <w:r>
        <w:rPr>
          <w:rFonts w:ascii="Times New Roman" w:hAnsi="Times New Roman" w:cs="Times New Roman"/>
          <w:sz w:val="24"/>
          <w:szCs w:val="24"/>
        </w:rPr>
        <w:t>” e, quindi, ad un fenomeno non rientrante nell’ambito del codice e di cui si occupa – senza, peraltro, che tale definizione ivi ricorra –, in particolare, il</w:t>
      </w:r>
      <w:r w:rsidRPr="00D8394E">
        <w:rPr>
          <w:rFonts w:ascii="Times New Roman" w:hAnsi="Times New Roman" w:cs="Times New Roman"/>
          <w:sz w:val="24"/>
          <w:szCs w:val="24"/>
        </w:rPr>
        <w:t xml:space="preserve"> testo unico in materia di societ</w:t>
      </w:r>
      <w:r>
        <w:rPr>
          <w:rFonts w:ascii="Times New Roman" w:hAnsi="Times New Roman" w:cs="Times New Roman"/>
          <w:sz w:val="24"/>
          <w:szCs w:val="24"/>
        </w:rPr>
        <w:t>à</w:t>
      </w:r>
      <w:r w:rsidRPr="00D8394E">
        <w:rPr>
          <w:rFonts w:ascii="Times New Roman" w:hAnsi="Times New Roman" w:cs="Times New Roman"/>
          <w:sz w:val="24"/>
          <w:szCs w:val="24"/>
        </w:rPr>
        <w:t xml:space="preserve"> a partecipazione</w:t>
      </w:r>
      <w:r>
        <w:rPr>
          <w:rFonts w:ascii="Times New Roman" w:hAnsi="Times New Roman" w:cs="Times New Roman"/>
          <w:sz w:val="24"/>
          <w:szCs w:val="24"/>
        </w:rPr>
        <w:t xml:space="preserve"> </w:t>
      </w:r>
      <w:r w:rsidRPr="00D8394E">
        <w:rPr>
          <w:rFonts w:ascii="Times New Roman" w:hAnsi="Times New Roman" w:cs="Times New Roman"/>
          <w:sz w:val="24"/>
          <w:szCs w:val="24"/>
        </w:rPr>
        <w:t>pubblica</w:t>
      </w:r>
      <w:r>
        <w:rPr>
          <w:rFonts w:ascii="Times New Roman" w:hAnsi="Times New Roman" w:cs="Times New Roman"/>
          <w:sz w:val="24"/>
          <w:szCs w:val="24"/>
        </w:rPr>
        <w:t xml:space="preserve"> (d.lgs. </w:t>
      </w:r>
      <w:r w:rsidRPr="00D8394E">
        <w:rPr>
          <w:rFonts w:ascii="Times New Roman" w:hAnsi="Times New Roman" w:cs="Times New Roman"/>
          <w:sz w:val="24"/>
          <w:szCs w:val="24"/>
        </w:rPr>
        <w:t>19 agosto 2016, n. 175</w:t>
      </w:r>
      <w:r>
        <w:rPr>
          <w:rFonts w:ascii="Times New Roman" w:hAnsi="Times New Roman" w:cs="Times New Roman"/>
          <w:sz w:val="24"/>
          <w:szCs w:val="24"/>
        </w:rPr>
        <w:t>).</w:t>
      </w:r>
    </w:p>
    <w:p w14:paraId="1A2CB932" w14:textId="6B95D772"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Ciò che </w:t>
      </w:r>
      <w:r w:rsidR="00341ADF">
        <w:rPr>
          <w:rFonts w:ascii="Times New Roman" w:hAnsi="Times New Roman" w:cs="Times New Roman"/>
          <w:sz w:val="24"/>
          <w:szCs w:val="24"/>
        </w:rPr>
        <w:t>in questa sede</w:t>
      </w:r>
      <w:r>
        <w:rPr>
          <w:rFonts w:ascii="Times New Roman" w:hAnsi="Times New Roman" w:cs="Times New Roman"/>
          <w:sz w:val="24"/>
          <w:szCs w:val="24"/>
        </w:rPr>
        <w:t xml:space="preserve"> interessa è, quindi, esclusivamente il PPP di tipo contrattuale, </w:t>
      </w:r>
      <w:proofErr w:type="spellStart"/>
      <w:r>
        <w:rPr>
          <w:rFonts w:ascii="Times New Roman" w:hAnsi="Times New Roman" w:cs="Times New Roman"/>
          <w:i/>
          <w:iCs/>
          <w:sz w:val="24"/>
          <w:szCs w:val="24"/>
        </w:rPr>
        <w:t>genus</w:t>
      </w:r>
      <w:proofErr w:type="spellEnd"/>
      <w:r>
        <w:rPr>
          <w:rFonts w:ascii="Times New Roman" w:hAnsi="Times New Roman" w:cs="Times New Roman"/>
          <w:sz w:val="24"/>
          <w:szCs w:val="24"/>
        </w:rPr>
        <w:t xml:space="preserve"> cui il codice – sulla falsariga, in verità, di quanto già proposto dal precedente – riconduce i vari tipi della concessione (che del PPP costituisce in un certo qual modo il paradigma)</w:t>
      </w:r>
      <w:r w:rsidR="007B0E29">
        <w:rPr>
          <w:rStyle w:val="Rimandonotaapidipagina"/>
          <w:rFonts w:ascii="Times New Roman" w:hAnsi="Times New Roman" w:cs="Times New Roman"/>
          <w:sz w:val="24"/>
          <w:szCs w:val="24"/>
        </w:rPr>
        <w:footnoteReference w:id="18"/>
      </w:r>
      <w:r>
        <w:rPr>
          <w:rFonts w:ascii="Times New Roman" w:hAnsi="Times New Roman" w:cs="Times New Roman"/>
          <w:sz w:val="24"/>
          <w:szCs w:val="24"/>
        </w:rPr>
        <w:t xml:space="preserve">, della locazione finanziaria (c.d. </w:t>
      </w:r>
      <w:r>
        <w:rPr>
          <w:rFonts w:ascii="Times New Roman" w:hAnsi="Times New Roman" w:cs="Times New Roman"/>
          <w:i/>
          <w:iCs/>
          <w:sz w:val="24"/>
          <w:szCs w:val="24"/>
        </w:rPr>
        <w:t>leasing in costruendo</w:t>
      </w:r>
      <w:r>
        <w:rPr>
          <w:rFonts w:ascii="Times New Roman" w:hAnsi="Times New Roman" w:cs="Times New Roman"/>
          <w:sz w:val="24"/>
          <w:szCs w:val="24"/>
        </w:rPr>
        <w:t>)</w:t>
      </w:r>
      <w:r w:rsidR="00497FAF">
        <w:rPr>
          <w:rStyle w:val="Rimandonotaapidipagina"/>
          <w:rFonts w:ascii="Times New Roman" w:hAnsi="Times New Roman" w:cs="Times New Roman"/>
          <w:sz w:val="24"/>
          <w:szCs w:val="24"/>
        </w:rPr>
        <w:footnoteReference w:id="19"/>
      </w:r>
      <w:r>
        <w:rPr>
          <w:rFonts w:ascii="Times New Roman" w:hAnsi="Times New Roman" w:cs="Times New Roman"/>
          <w:sz w:val="24"/>
          <w:szCs w:val="24"/>
        </w:rPr>
        <w:t xml:space="preserve"> e del contratto di disponibilità</w:t>
      </w:r>
      <w:r w:rsidR="00497FAF">
        <w:rPr>
          <w:rStyle w:val="Rimandonotaapidipagina"/>
          <w:rFonts w:ascii="Times New Roman" w:hAnsi="Times New Roman" w:cs="Times New Roman"/>
          <w:sz w:val="24"/>
          <w:szCs w:val="24"/>
        </w:rPr>
        <w:footnoteReference w:id="20"/>
      </w:r>
      <w:r>
        <w:rPr>
          <w:rFonts w:ascii="Times New Roman" w:hAnsi="Times New Roman" w:cs="Times New Roman"/>
          <w:sz w:val="24"/>
          <w:szCs w:val="24"/>
        </w:rPr>
        <w:t>, “</w:t>
      </w:r>
      <w:r w:rsidRPr="0011245E">
        <w:rPr>
          <w:rFonts w:ascii="Times New Roman" w:hAnsi="Times New Roman" w:cs="Times New Roman"/>
          <w:i/>
          <w:iCs/>
          <w:sz w:val="24"/>
          <w:szCs w:val="24"/>
        </w:rPr>
        <w:t>nonché gli altri contratti stipulati dalla pubblica amministrazione con operatori economici privati che abbiano i contenuti di cui al comma 1 e siano diretti a realizzare interessi meritevoli di tutela</w:t>
      </w:r>
      <w:r>
        <w:rPr>
          <w:rFonts w:ascii="Times New Roman" w:hAnsi="Times New Roman" w:cs="Times New Roman"/>
          <w:sz w:val="24"/>
          <w:szCs w:val="24"/>
        </w:rPr>
        <w:t>”.</w:t>
      </w:r>
    </w:p>
    <w:p w14:paraId="40C9789F" w14:textId="311B058D"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 di là della superfluità del riferimento agli “</w:t>
      </w:r>
      <w:r>
        <w:rPr>
          <w:rFonts w:ascii="Times New Roman" w:hAnsi="Times New Roman" w:cs="Times New Roman"/>
          <w:i/>
          <w:iCs/>
          <w:sz w:val="24"/>
          <w:szCs w:val="24"/>
        </w:rPr>
        <w:t>interessi meritevoli di tutela</w:t>
      </w:r>
      <w:r>
        <w:rPr>
          <w:rFonts w:ascii="Times New Roman" w:hAnsi="Times New Roman" w:cs="Times New Roman"/>
          <w:sz w:val="24"/>
          <w:szCs w:val="24"/>
        </w:rPr>
        <w:t xml:space="preserve">”, che, ai sensi dell’art. 1322 c.c., devono comunque sorreggere la causa di qualsiasi contratto atipico, ivi certamente compresi quelli che hanno come parte una pubblica Amministrazione (e ciò anzi vale </w:t>
      </w:r>
      <w:r>
        <w:rPr>
          <w:rFonts w:ascii="Times New Roman" w:hAnsi="Times New Roman" w:cs="Times New Roman"/>
          <w:i/>
          <w:iCs/>
          <w:sz w:val="24"/>
          <w:szCs w:val="24"/>
        </w:rPr>
        <w:t>a fortiori</w:t>
      </w:r>
      <w:r>
        <w:rPr>
          <w:rFonts w:ascii="Times New Roman" w:hAnsi="Times New Roman" w:cs="Times New Roman"/>
          <w:sz w:val="24"/>
          <w:szCs w:val="24"/>
        </w:rPr>
        <w:t xml:space="preserve"> per quest’ultima, venendo in rilievo anche l’interesse pubblico sotteso a detti </w:t>
      </w:r>
      <w:r w:rsidR="00BB751D">
        <w:rPr>
          <w:rFonts w:ascii="Times New Roman" w:hAnsi="Times New Roman" w:cs="Times New Roman"/>
          <w:sz w:val="24"/>
          <w:szCs w:val="24"/>
        </w:rPr>
        <w:t>negozi giuridici</w:t>
      </w:r>
      <w:r>
        <w:rPr>
          <w:rFonts w:ascii="Times New Roman" w:hAnsi="Times New Roman" w:cs="Times New Roman"/>
          <w:sz w:val="24"/>
          <w:szCs w:val="24"/>
        </w:rPr>
        <w:t xml:space="preserve">), si tratta di norma che, – pur non essendo innovativa rispetto al passato codice (art. 180, </w:t>
      </w:r>
      <w:proofErr w:type="spellStart"/>
      <w:r>
        <w:rPr>
          <w:rFonts w:ascii="Times New Roman" w:hAnsi="Times New Roman" w:cs="Times New Roman"/>
          <w:sz w:val="24"/>
          <w:szCs w:val="24"/>
        </w:rPr>
        <w:t>ult</w:t>
      </w:r>
      <w:proofErr w:type="spellEnd"/>
      <w:r>
        <w:rPr>
          <w:rFonts w:ascii="Times New Roman" w:hAnsi="Times New Roman" w:cs="Times New Roman"/>
          <w:sz w:val="24"/>
          <w:szCs w:val="24"/>
        </w:rPr>
        <w:t>. co., d.lgs. 50/2016) – ha il merito di ribadire il principio di autonomia contrattuale, che oggi è stato positivizzato nell’art. 8 del codice.</w:t>
      </w:r>
    </w:p>
    <w:p w14:paraId="0C255437" w14:textId="77777777"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Ed è principio particolarmente rilevante nell’ambito in esame, se sol si pensa che, ancor prima della espressa previsione in tal senso, già la dottrina e la giurisprudenza</w:t>
      </w:r>
      <w:r>
        <w:rPr>
          <w:rStyle w:val="Rimandonotaapidipagina"/>
          <w:rFonts w:ascii="Times New Roman" w:hAnsi="Times New Roman" w:cs="Times New Roman"/>
          <w:sz w:val="24"/>
          <w:szCs w:val="24"/>
        </w:rPr>
        <w:footnoteReference w:id="21"/>
      </w:r>
      <w:r>
        <w:rPr>
          <w:rFonts w:ascii="Times New Roman" w:hAnsi="Times New Roman" w:cs="Times New Roman"/>
          <w:sz w:val="24"/>
          <w:szCs w:val="24"/>
        </w:rPr>
        <w:t xml:space="preserve"> avevano ricondotto al modello del PPP i contratti, appunto atipici, di rendimento energetico (</w:t>
      </w:r>
      <w:r w:rsidRPr="00344037">
        <w:rPr>
          <w:rFonts w:ascii="Times New Roman" w:hAnsi="Times New Roman" w:cs="Times New Roman"/>
          <w:i/>
          <w:iCs/>
          <w:sz w:val="24"/>
          <w:szCs w:val="24"/>
        </w:rPr>
        <w:t xml:space="preserve">energy performance </w:t>
      </w:r>
      <w:proofErr w:type="spellStart"/>
      <w:r w:rsidRPr="00344037">
        <w:rPr>
          <w:rFonts w:ascii="Times New Roman" w:hAnsi="Times New Roman" w:cs="Times New Roman"/>
          <w:i/>
          <w:iCs/>
          <w:sz w:val="24"/>
          <w:szCs w:val="24"/>
        </w:rPr>
        <w:t>contract</w:t>
      </w:r>
      <w:proofErr w:type="spellEnd"/>
      <w:r>
        <w:rPr>
          <w:rFonts w:ascii="Times New Roman" w:hAnsi="Times New Roman" w:cs="Times New Roman"/>
          <w:sz w:val="24"/>
          <w:szCs w:val="24"/>
        </w:rPr>
        <w:t xml:space="preserve"> - EPC), prima inseriti nel d.lgs. 50/2016 dal “</w:t>
      </w:r>
      <w:r w:rsidRPr="00D9491A">
        <w:rPr>
          <w:rFonts w:ascii="Times New Roman" w:hAnsi="Times New Roman" w:cs="Times New Roman"/>
          <w:i/>
          <w:iCs/>
          <w:sz w:val="24"/>
          <w:szCs w:val="24"/>
        </w:rPr>
        <w:t>decreto semplificazioni</w:t>
      </w:r>
      <w:r>
        <w:rPr>
          <w:rFonts w:ascii="Times New Roman" w:hAnsi="Times New Roman" w:cs="Times New Roman"/>
          <w:sz w:val="24"/>
          <w:szCs w:val="24"/>
        </w:rPr>
        <w:t>”</w:t>
      </w:r>
      <w:r w:rsidRPr="009B3A4A">
        <w:rPr>
          <w:rFonts w:ascii="Times New Roman" w:hAnsi="Times New Roman" w:cs="Times New Roman"/>
          <w:sz w:val="24"/>
          <w:szCs w:val="24"/>
        </w:rPr>
        <w:t xml:space="preserve"> (</w:t>
      </w:r>
      <w:proofErr w:type="spellStart"/>
      <w:r w:rsidRPr="009B3A4A">
        <w:rPr>
          <w:rFonts w:ascii="Times New Roman" w:hAnsi="Times New Roman" w:cs="Times New Roman"/>
          <w:sz w:val="24"/>
          <w:szCs w:val="24"/>
        </w:rPr>
        <w:t>d.l.</w:t>
      </w:r>
      <w:proofErr w:type="spellEnd"/>
      <w:r w:rsidRPr="009B3A4A">
        <w:rPr>
          <w:rFonts w:ascii="Times New Roman" w:hAnsi="Times New Roman" w:cs="Times New Roman"/>
          <w:sz w:val="24"/>
          <w:szCs w:val="24"/>
        </w:rPr>
        <w:t xml:space="preserve"> 76/2020</w:t>
      </w:r>
      <w:r>
        <w:rPr>
          <w:rFonts w:ascii="Times New Roman" w:hAnsi="Times New Roman" w:cs="Times New Roman"/>
          <w:sz w:val="24"/>
          <w:szCs w:val="24"/>
        </w:rPr>
        <w:t>) e oggi previsti dall’art. 200 del codice.</w:t>
      </w:r>
    </w:p>
    <w:p w14:paraId="0F1C7D67" w14:textId="00E13D25"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 scelta operata, sul piano generale, dal codice dei contratti – sviluppando quanto </w:t>
      </w:r>
      <w:r>
        <w:rPr>
          <w:rFonts w:ascii="Times New Roman" w:hAnsi="Times New Roman" w:cs="Times New Roman"/>
          <w:i/>
          <w:iCs/>
          <w:sz w:val="24"/>
          <w:szCs w:val="24"/>
        </w:rPr>
        <w:t xml:space="preserve">in </w:t>
      </w:r>
      <w:proofErr w:type="spellStart"/>
      <w:r>
        <w:rPr>
          <w:rFonts w:ascii="Times New Roman" w:hAnsi="Times New Roman" w:cs="Times New Roman"/>
          <w:i/>
          <w:iCs/>
          <w:sz w:val="24"/>
          <w:szCs w:val="24"/>
        </w:rPr>
        <w:t>nuce</w:t>
      </w:r>
      <w:proofErr w:type="spellEnd"/>
      <w:r>
        <w:rPr>
          <w:rFonts w:ascii="Times New Roman" w:hAnsi="Times New Roman" w:cs="Times New Roman"/>
          <w:sz w:val="24"/>
          <w:szCs w:val="24"/>
        </w:rPr>
        <w:t xml:space="preserve"> delineato già nel precedente codice del 2016 – di eleggere a vero e unico modello alternativo all’appalto il partenariato pubblico privato (di tipo contrattuale), anche a livello di struttura dello stesso codice, </w:t>
      </w:r>
      <w:r w:rsidR="00BC6466">
        <w:rPr>
          <w:rFonts w:ascii="Times New Roman" w:hAnsi="Times New Roman" w:cs="Times New Roman"/>
          <w:sz w:val="24"/>
          <w:szCs w:val="24"/>
        </w:rPr>
        <w:t>è</w:t>
      </w:r>
      <w:r>
        <w:rPr>
          <w:rFonts w:ascii="Times New Roman" w:hAnsi="Times New Roman" w:cs="Times New Roman"/>
          <w:sz w:val="24"/>
          <w:szCs w:val="24"/>
        </w:rPr>
        <w:t xml:space="preserve"> particolarmente meritoria, in quanto rappresenta un tentativo di categorizzazione, di costruzione delle fattispecie, che va oltre le indicazioni europee. </w:t>
      </w:r>
    </w:p>
    <w:p w14:paraId="53038D77" w14:textId="77777777"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 una vera e propria “</w:t>
      </w:r>
      <w:r>
        <w:rPr>
          <w:rFonts w:ascii="Times New Roman" w:hAnsi="Times New Roman" w:cs="Times New Roman"/>
          <w:i/>
          <w:iCs/>
          <w:sz w:val="24"/>
          <w:szCs w:val="24"/>
        </w:rPr>
        <w:t>fuga in avanti</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22"/>
      </w:r>
      <w:r>
        <w:rPr>
          <w:rFonts w:ascii="Times New Roman" w:hAnsi="Times New Roman" w:cs="Times New Roman"/>
          <w:sz w:val="24"/>
          <w:szCs w:val="24"/>
        </w:rPr>
        <w:t xml:space="preserve">, il legislatore </w:t>
      </w:r>
      <w:proofErr w:type="gramStart"/>
      <w:r>
        <w:rPr>
          <w:rFonts w:ascii="Times New Roman" w:hAnsi="Times New Roman" w:cs="Times New Roman"/>
          <w:sz w:val="24"/>
          <w:szCs w:val="24"/>
        </w:rPr>
        <w:t>nazionale cioè</w:t>
      </w:r>
      <w:proofErr w:type="gramEnd"/>
      <w:r>
        <w:rPr>
          <w:rFonts w:ascii="Times New Roman" w:hAnsi="Times New Roman" w:cs="Times New Roman"/>
          <w:sz w:val="24"/>
          <w:szCs w:val="24"/>
        </w:rPr>
        <w:t xml:space="preserve"> positivizza la figura del PPP, sconosciuta invece al diritto positivo europeo</w:t>
      </w:r>
      <w:r>
        <w:rPr>
          <w:rStyle w:val="Rimandonotaapidipagina"/>
          <w:rFonts w:ascii="Times New Roman" w:hAnsi="Times New Roman" w:cs="Times New Roman"/>
          <w:sz w:val="24"/>
          <w:szCs w:val="24"/>
        </w:rPr>
        <w:footnoteReference w:id="23"/>
      </w:r>
      <w:r>
        <w:rPr>
          <w:rFonts w:ascii="Times New Roman" w:hAnsi="Times New Roman" w:cs="Times New Roman"/>
          <w:sz w:val="24"/>
          <w:szCs w:val="24"/>
        </w:rPr>
        <w:t>, ove pure questo rintraccia le proprie origini</w:t>
      </w:r>
      <w:r>
        <w:rPr>
          <w:rStyle w:val="Rimandonotaapidipagina"/>
          <w:rFonts w:ascii="Times New Roman" w:hAnsi="Times New Roman" w:cs="Times New Roman"/>
          <w:sz w:val="24"/>
          <w:szCs w:val="24"/>
        </w:rPr>
        <w:footnoteReference w:id="24"/>
      </w:r>
      <w:r>
        <w:rPr>
          <w:rFonts w:ascii="Times New Roman" w:hAnsi="Times New Roman" w:cs="Times New Roman"/>
          <w:sz w:val="24"/>
          <w:szCs w:val="24"/>
        </w:rPr>
        <w:t>. Non pare, difatti, superfluo ricordare che la direttiva 2014/23/UE (così come la</w:t>
      </w:r>
      <w:r w:rsidRPr="005064C0">
        <w:rPr>
          <w:rFonts w:ascii="Times New Roman" w:hAnsi="Times New Roman" w:cs="Times New Roman"/>
          <w:sz w:val="24"/>
          <w:szCs w:val="24"/>
        </w:rPr>
        <w:t xml:space="preserve"> direttiva 2014/24/UE</w:t>
      </w:r>
      <w:r>
        <w:rPr>
          <w:rFonts w:ascii="Times New Roman" w:hAnsi="Times New Roman" w:cs="Times New Roman"/>
          <w:sz w:val="24"/>
          <w:szCs w:val="24"/>
        </w:rPr>
        <w:t>), di cui anche questo codice ovviamente costituisce attuazione, è dedicata alle concessioni e non fa alcun cenno al PPP.</w:t>
      </w:r>
    </w:p>
    <w:p w14:paraId="4A56FF26" w14:textId="0B06A2D0"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 tratta di impostazione da valutare positivamente e che il legislatore dovrebbe adottare più spesso, in quanto consente, </w:t>
      </w:r>
      <w:r>
        <w:rPr>
          <w:rFonts w:ascii="Times New Roman" w:hAnsi="Times New Roman" w:cs="Times New Roman"/>
          <w:i/>
          <w:iCs/>
          <w:sz w:val="24"/>
          <w:szCs w:val="24"/>
        </w:rPr>
        <w:t>in primis</w:t>
      </w:r>
      <w:r>
        <w:rPr>
          <w:rFonts w:ascii="Times New Roman" w:hAnsi="Times New Roman" w:cs="Times New Roman"/>
          <w:sz w:val="24"/>
          <w:szCs w:val="24"/>
        </w:rPr>
        <w:t xml:space="preserve">, di dare contenuto alla terminologia quasi sempre troppo generica utilizzata nella regolamentazione europea (ma ciò è inevitabile, stante la necessità di garantire la ricezione della disciplina in tutti gli Stati dell’Unione) e, </w:t>
      </w:r>
      <w:r w:rsidR="007260F7">
        <w:rPr>
          <w:rFonts w:ascii="Times New Roman" w:hAnsi="Times New Roman" w:cs="Times New Roman"/>
          <w:sz w:val="24"/>
          <w:szCs w:val="24"/>
        </w:rPr>
        <w:t>in secondo luogo</w:t>
      </w:r>
      <w:r>
        <w:rPr>
          <w:rFonts w:ascii="Times New Roman" w:hAnsi="Times New Roman" w:cs="Times New Roman"/>
          <w:sz w:val="24"/>
          <w:szCs w:val="24"/>
        </w:rPr>
        <w:t>, di offrire una struttura concettuale, ancor prima che strettamente giuridica, agli istituti che nella stessa vanno formandosi.</w:t>
      </w:r>
    </w:p>
    <w:p w14:paraId="06872462" w14:textId="77777777"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Proprio per questo, non può che confessarsi una qual certa perplessità dinnanzi alla definizione generale del PPP come “</w:t>
      </w:r>
      <w:r>
        <w:rPr>
          <w:rFonts w:ascii="Times New Roman" w:hAnsi="Times New Roman" w:cs="Times New Roman"/>
          <w:i/>
          <w:iCs/>
          <w:sz w:val="24"/>
          <w:szCs w:val="24"/>
        </w:rPr>
        <w:t>operazione economica</w:t>
      </w:r>
      <w:r>
        <w:rPr>
          <w:rFonts w:ascii="Times New Roman" w:hAnsi="Times New Roman" w:cs="Times New Roman"/>
          <w:sz w:val="24"/>
          <w:szCs w:val="24"/>
        </w:rPr>
        <w:t>”, con espressione dal contenuto giuridico pressoché nullo e che si spiega solo perché il legislatore ha voluto dettare una qualificazione non generale, ma generalissima della figura, alla stessa appunto avendo voluto ricondurre anche il PPP di tipo istituzionale</w:t>
      </w:r>
      <w:r>
        <w:rPr>
          <w:rStyle w:val="Rimandonotaapidipagina"/>
          <w:rFonts w:ascii="Times New Roman" w:hAnsi="Times New Roman" w:cs="Times New Roman"/>
          <w:sz w:val="24"/>
          <w:szCs w:val="24"/>
        </w:rPr>
        <w:footnoteReference w:id="25"/>
      </w:r>
      <w:r>
        <w:rPr>
          <w:rFonts w:ascii="Times New Roman" w:hAnsi="Times New Roman" w:cs="Times New Roman"/>
          <w:sz w:val="24"/>
          <w:szCs w:val="24"/>
        </w:rPr>
        <w:t>.</w:t>
      </w:r>
    </w:p>
    <w:p w14:paraId="098B7356" w14:textId="10E0866B" w:rsidR="003D2014" w:rsidRPr="00922C33"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 maggior rigore definitorio sarebbe, dunque, stato preferibile, senza che per questo risultasse tradito il criterio di cui alla lettera </w:t>
      </w:r>
      <w:r>
        <w:rPr>
          <w:rFonts w:ascii="Times New Roman" w:hAnsi="Times New Roman" w:cs="Times New Roman"/>
          <w:i/>
          <w:iCs/>
          <w:sz w:val="24"/>
          <w:szCs w:val="24"/>
        </w:rPr>
        <w:t>a)</w:t>
      </w:r>
      <w:r>
        <w:rPr>
          <w:rFonts w:ascii="Times New Roman" w:hAnsi="Times New Roman" w:cs="Times New Roman"/>
          <w:sz w:val="24"/>
          <w:szCs w:val="24"/>
        </w:rPr>
        <w:t xml:space="preserve"> della legge delega, che imponeva il</w:t>
      </w:r>
      <w:r w:rsidRPr="009234D8">
        <w:rPr>
          <w:rFonts w:ascii="Times New Roman" w:hAnsi="Times New Roman" w:cs="Times New Roman"/>
          <w:sz w:val="24"/>
          <w:szCs w:val="24"/>
        </w:rPr>
        <w:t xml:space="preserve"> </w:t>
      </w:r>
      <w:r>
        <w:rPr>
          <w:rFonts w:ascii="Times New Roman" w:hAnsi="Times New Roman" w:cs="Times New Roman"/>
          <w:sz w:val="24"/>
          <w:szCs w:val="24"/>
        </w:rPr>
        <w:t>“</w:t>
      </w:r>
      <w:r w:rsidRPr="009234D8">
        <w:rPr>
          <w:rFonts w:ascii="Times New Roman" w:hAnsi="Times New Roman" w:cs="Times New Roman"/>
          <w:i/>
          <w:iCs/>
          <w:sz w:val="24"/>
          <w:szCs w:val="24"/>
        </w:rPr>
        <w:t>perseguimento di obiettivi di stretta aderenza alle direttive europee</w:t>
      </w:r>
      <w:r>
        <w:rPr>
          <w:rFonts w:ascii="Times New Roman" w:hAnsi="Times New Roman" w:cs="Times New Roman"/>
          <w:i/>
          <w:iCs/>
          <w:sz w:val="24"/>
          <w:szCs w:val="24"/>
        </w:rPr>
        <w:t xml:space="preserve"> </w:t>
      </w:r>
      <w:r>
        <w:rPr>
          <w:rFonts w:ascii="Times New Roman" w:hAnsi="Times New Roman" w:cs="Times New Roman"/>
          <w:sz w:val="24"/>
          <w:szCs w:val="24"/>
        </w:rPr>
        <w:t>[…]”.</w:t>
      </w:r>
    </w:p>
    <w:p w14:paraId="7D6A210A" w14:textId="0B42CD31" w:rsidR="003D2014" w:rsidRDefault="008C3803"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 il nuovo codice deve ritenersi ormai cristallizzata la alternatività fra </w:t>
      </w:r>
      <w:r w:rsidR="003D2014">
        <w:rPr>
          <w:rFonts w:ascii="Times New Roman" w:hAnsi="Times New Roman" w:cs="Times New Roman"/>
          <w:sz w:val="24"/>
          <w:szCs w:val="24"/>
        </w:rPr>
        <w:t xml:space="preserve">partenariato pubblico privato </w:t>
      </w:r>
      <w:r>
        <w:rPr>
          <w:rFonts w:ascii="Times New Roman" w:hAnsi="Times New Roman" w:cs="Times New Roman"/>
          <w:sz w:val="24"/>
          <w:szCs w:val="24"/>
        </w:rPr>
        <w:t xml:space="preserve">e </w:t>
      </w:r>
      <w:r w:rsidR="003D2014">
        <w:rPr>
          <w:rFonts w:ascii="Times New Roman" w:hAnsi="Times New Roman" w:cs="Times New Roman"/>
          <w:sz w:val="24"/>
          <w:szCs w:val="24"/>
        </w:rPr>
        <w:t>appalto</w:t>
      </w:r>
      <w:r w:rsidR="003D2014">
        <w:rPr>
          <w:rStyle w:val="Rimandonotaapidipagina"/>
          <w:rFonts w:ascii="Times New Roman" w:hAnsi="Times New Roman" w:cs="Times New Roman"/>
          <w:sz w:val="24"/>
          <w:szCs w:val="24"/>
        </w:rPr>
        <w:footnoteReference w:id="26"/>
      </w:r>
      <w:r w:rsidR="003D2014">
        <w:rPr>
          <w:rFonts w:ascii="Times New Roman" w:hAnsi="Times New Roman" w:cs="Times New Roman"/>
          <w:sz w:val="24"/>
          <w:szCs w:val="24"/>
        </w:rPr>
        <w:t>, sulla scorta dell’insegnamento europeo</w:t>
      </w:r>
      <w:r w:rsidR="003D2014">
        <w:rPr>
          <w:rStyle w:val="Rimandonotaapidipagina"/>
          <w:rFonts w:ascii="Times New Roman" w:hAnsi="Times New Roman" w:cs="Times New Roman"/>
          <w:sz w:val="24"/>
          <w:szCs w:val="24"/>
        </w:rPr>
        <w:footnoteReference w:id="27"/>
      </w:r>
      <w:r w:rsidR="003D2014">
        <w:rPr>
          <w:rFonts w:ascii="Times New Roman" w:hAnsi="Times New Roman" w:cs="Times New Roman"/>
          <w:sz w:val="24"/>
          <w:szCs w:val="24"/>
        </w:rPr>
        <w:t xml:space="preserve">: il </w:t>
      </w:r>
      <w:proofErr w:type="spellStart"/>
      <w:r w:rsidR="003D2014">
        <w:rPr>
          <w:rFonts w:ascii="Times New Roman" w:hAnsi="Times New Roman" w:cs="Times New Roman"/>
          <w:i/>
          <w:iCs/>
          <w:sz w:val="24"/>
          <w:szCs w:val="24"/>
        </w:rPr>
        <w:t>discrimen</w:t>
      </w:r>
      <w:proofErr w:type="spellEnd"/>
      <w:r w:rsidR="003D2014">
        <w:rPr>
          <w:rFonts w:ascii="Times New Roman" w:hAnsi="Times New Roman" w:cs="Times New Roman"/>
          <w:sz w:val="24"/>
          <w:szCs w:val="24"/>
        </w:rPr>
        <w:t xml:space="preserve"> fra le due </w:t>
      </w:r>
      <w:r w:rsidR="003D2014" w:rsidRPr="002341B1">
        <w:rPr>
          <w:rFonts w:ascii="Times New Roman" w:hAnsi="Times New Roman" w:cs="Times New Roman"/>
          <w:sz w:val="24"/>
          <w:szCs w:val="24"/>
        </w:rPr>
        <w:t>fattispecie negoziali</w:t>
      </w:r>
      <w:r w:rsidR="003D2014">
        <w:rPr>
          <w:rFonts w:ascii="Times New Roman" w:hAnsi="Times New Roman" w:cs="Times New Roman"/>
          <w:sz w:val="24"/>
          <w:szCs w:val="24"/>
        </w:rPr>
        <w:t xml:space="preserve"> è rappresentato dal</w:t>
      </w:r>
      <w:r w:rsidR="003D2014" w:rsidRPr="002341B1">
        <w:rPr>
          <w:rFonts w:ascii="Times New Roman" w:hAnsi="Times New Roman" w:cs="Times New Roman"/>
          <w:sz w:val="24"/>
          <w:szCs w:val="24"/>
        </w:rPr>
        <w:t xml:space="preserve">la sussistenza o meno di un </w:t>
      </w:r>
      <w:r w:rsidR="003D2014">
        <w:rPr>
          <w:rFonts w:ascii="Times New Roman" w:hAnsi="Times New Roman" w:cs="Times New Roman"/>
          <w:sz w:val="24"/>
          <w:szCs w:val="24"/>
        </w:rPr>
        <w:t>“</w:t>
      </w:r>
      <w:r w:rsidR="003D2014" w:rsidRPr="002341B1">
        <w:rPr>
          <w:rFonts w:ascii="Times New Roman" w:hAnsi="Times New Roman" w:cs="Times New Roman"/>
          <w:i/>
          <w:iCs/>
          <w:sz w:val="24"/>
          <w:szCs w:val="24"/>
        </w:rPr>
        <w:t>rischio operativo</w:t>
      </w:r>
      <w:r w:rsidR="003D2014">
        <w:rPr>
          <w:rFonts w:ascii="Times New Roman" w:hAnsi="Times New Roman" w:cs="Times New Roman"/>
          <w:sz w:val="24"/>
          <w:szCs w:val="24"/>
        </w:rPr>
        <w:t>”</w:t>
      </w:r>
      <w:r w:rsidR="003D2014" w:rsidRPr="002341B1">
        <w:rPr>
          <w:rFonts w:ascii="Times New Roman" w:hAnsi="Times New Roman" w:cs="Times New Roman"/>
          <w:sz w:val="24"/>
          <w:szCs w:val="24"/>
        </w:rPr>
        <w:t xml:space="preserve"> in capo all’operatore economico. </w:t>
      </w:r>
    </w:p>
    <w:p w14:paraId="6B8284DA" w14:textId="75149268"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Non rileva, invece, necessariamente la struttura del contratto, trilaterale o bilaterale, atteso che il codice fuga ogni dubbio circa la possibilità che anche le c.d. opere fredde, ossia </w:t>
      </w:r>
      <w:r w:rsidRPr="00773F2B">
        <w:rPr>
          <w:rFonts w:ascii="Times New Roman" w:hAnsi="Times New Roman" w:cs="Times New Roman"/>
          <w:sz w:val="24"/>
          <w:szCs w:val="24"/>
        </w:rPr>
        <w:t>quelle per le quali il privato che le realizza e gestisce fornisce</w:t>
      </w:r>
      <w:r>
        <w:rPr>
          <w:rFonts w:ascii="Times New Roman" w:hAnsi="Times New Roman" w:cs="Times New Roman"/>
          <w:sz w:val="24"/>
          <w:szCs w:val="24"/>
        </w:rPr>
        <w:t xml:space="preserve"> </w:t>
      </w:r>
      <w:r w:rsidRPr="00773F2B">
        <w:rPr>
          <w:rFonts w:ascii="Times New Roman" w:hAnsi="Times New Roman" w:cs="Times New Roman"/>
          <w:sz w:val="24"/>
          <w:szCs w:val="24"/>
        </w:rPr>
        <w:t xml:space="preserve">direttamente servizi alla </w:t>
      </w:r>
      <w:r>
        <w:rPr>
          <w:rFonts w:ascii="Times New Roman" w:hAnsi="Times New Roman" w:cs="Times New Roman"/>
          <w:sz w:val="24"/>
          <w:szCs w:val="24"/>
        </w:rPr>
        <w:t>p</w:t>
      </w:r>
      <w:r w:rsidRPr="00773F2B">
        <w:rPr>
          <w:rFonts w:ascii="Times New Roman" w:hAnsi="Times New Roman" w:cs="Times New Roman"/>
          <w:sz w:val="24"/>
          <w:szCs w:val="24"/>
        </w:rPr>
        <w:t xml:space="preserve">ubblica Amministrazione e trae la propria </w:t>
      </w:r>
      <w:r>
        <w:rPr>
          <w:rFonts w:ascii="Times New Roman" w:hAnsi="Times New Roman" w:cs="Times New Roman"/>
          <w:sz w:val="24"/>
          <w:szCs w:val="24"/>
        </w:rPr>
        <w:t>remunerazione solo</w:t>
      </w:r>
      <w:r w:rsidRPr="00773F2B">
        <w:rPr>
          <w:rFonts w:ascii="Times New Roman" w:hAnsi="Times New Roman" w:cs="Times New Roman"/>
          <w:sz w:val="24"/>
          <w:szCs w:val="24"/>
        </w:rPr>
        <w:t xml:space="preserve"> da pagamenti effettuati dalla</w:t>
      </w:r>
      <w:r>
        <w:rPr>
          <w:rFonts w:ascii="Times New Roman" w:hAnsi="Times New Roman" w:cs="Times New Roman"/>
          <w:sz w:val="24"/>
          <w:szCs w:val="24"/>
        </w:rPr>
        <w:t xml:space="preserve"> </w:t>
      </w:r>
      <w:r w:rsidRPr="00773F2B">
        <w:rPr>
          <w:rFonts w:ascii="Times New Roman" w:hAnsi="Times New Roman" w:cs="Times New Roman"/>
          <w:sz w:val="24"/>
          <w:szCs w:val="24"/>
        </w:rPr>
        <w:t xml:space="preserve">stessa (ospedali, carceri, scuole </w:t>
      </w:r>
      <w:r w:rsidRPr="00773F2B">
        <w:rPr>
          <w:rFonts w:ascii="Times New Roman" w:hAnsi="Times New Roman" w:cs="Times New Roman"/>
          <w:i/>
          <w:iCs/>
          <w:sz w:val="24"/>
          <w:szCs w:val="24"/>
        </w:rPr>
        <w:t>et similia</w:t>
      </w:r>
      <w:r w:rsidRPr="00773F2B">
        <w:rPr>
          <w:rFonts w:ascii="Times New Roman" w:hAnsi="Times New Roman" w:cs="Times New Roman"/>
          <w:sz w:val="24"/>
          <w:szCs w:val="24"/>
        </w:rPr>
        <w:t>)</w:t>
      </w:r>
      <w:r>
        <w:rPr>
          <w:rStyle w:val="Rimandonotaapidipagina"/>
          <w:rFonts w:ascii="Times New Roman" w:hAnsi="Times New Roman" w:cs="Times New Roman"/>
          <w:sz w:val="24"/>
          <w:szCs w:val="24"/>
        </w:rPr>
        <w:footnoteReference w:id="28"/>
      </w:r>
      <w:r>
        <w:rPr>
          <w:rFonts w:ascii="Times New Roman" w:hAnsi="Times New Roman" w:cs="Times New Roman"/>
          <w:sz w:val="24"/>
          <w:szCs w:val="24"/>
        </w:rPr>
        <w:t>, possano essere oggetto di un contratto di PPP.</w:t>
      </w:r>
    </w:p>
    <w:p w14:paraId="092F81BB" w14:textId="77777777"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Pr="002341B1">
        <w:rPr>
          <w:rFonts w:ascii="Times New Roman" w:hAnsi="Times New Roman" w:cs="Times New Roman"/>
          <w:sz w:val="24"/>
          <w:szCs w:val="24"/>
        </w:rPr>
        <w:t xml:space="preserve">el contratto di appalto, </w:t>
      </w:r>
      <w:r>
        <w:rPr>
          <w:rFonts w:ascii="Times New Roman" w:hAnsi="Times New Roman" w:cs="Times New Roman"/>
          <w:sz w:val="24"/>
          <w:szCs w:val="24"/>
        </w:rPr>
        <w:t xml:space="preserve">come noto, </w:t>
      </w:r>
      <w:r w:rsidRPr="002341B1">
        <w:rPr>
          <w:rFonts w:ascii="Times New Roman" w:hAnsi="Times New Roman" w:cs="Times New Roman"/>
          <w:sz w:val="24"/>
          <w:szCs w:val="24"/>
        </w:rPr>
        <w:t>il rischio per il privato è solo di costruzione, ossia il rischio imprenditoriale derivante dalla errata valutazione dei costi di costruzione rispetto al corrispettivo che si percepirà a seguito dell’esecuzione dell’opera.</w:t>
      </w:r>
    </w:p>
    <w:p w14:paraId="7E909103" w14:textId="77777777"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Il rischio operativo si ricollega, invece, ai sensi dell’art. 177, dettato in materia di concessioni, </w:t>
      </w:r>
      <w:r w:rsidRPr="00983640">
        <w:rPr>
          <w:rFonts w:ascii="Times New Roman" w:hAnsi="Times New Roman" w:cs="Times New Roman"/>
          <w:sz w:val="24"/>
          <w:szCs w:val="24"/>
        </w:rPr>
        <w:t xml:space="preserve">alla </w:t>
      </w:r>
      <w:r w:rsidRPr="008920C9">
        <w:rPr>
          <w:rFonts w:ascii="Times New Roman" w:hAnsi="Times New Roman" w:cs="Times New Roman"/>
          <w:sz w:val="24"/>
          <w:szCs w:val="24"/>
        </w:rPr>
        <w:t>realizzazione dei lavori o alla gestione dei servizi e comprende un rischio dal lato della domanda</w:t>
      </w:r>
      <w:r>
        <w:rPr>
          <w:rFonts w:ascii="Times New Roman" w:hAnsi="Times New Roman" w:cs="Times New Roman"/>
          <w:sz w:val="24"/>
          <w:szCs w:val="24"/>
        </w:rPr>
        <w:t>, da intendersi come “</w:t>
      </w:r>
      <w:r w:rsidRPr="008920C9">
        <w:rPr>
          <w:rFonts w:ascii="Times New Roman" w:hAnsi="Times New Roman" w:cs="Times New Roman"/>
          <w:i/>
          <w:iCs/>
          <w:sz w:val="24"/>
          <w:szCs w:val="24"/>
        </w:rPr>
        <w:t>domanda effettiva di lavori o servizi che sono oggetto del contratto</w:t>
      </w:r>
      <w:r>
        <w:rPr>
          <w:rFonts w:ascii="Times New Roman" w:hAnsi="Times New Roman" w:cs="Times New Roman"/>
          <w:sz w:val="24"/>
          <w:szCs w:val="24"/>
        </w:rPr>
        <w:t>”,</w:t>
      </w:r>
      <w:r w:rsidRPr="008920C9">
        <w:rPr>
          <w:rFonts w:ascii="Times New Roman" w:hAnsi="Times New Roman" w:cs="Times New Roman"/>
          <w:sz w:val="24"/>
          <w:szCs w:val="24"/>
        </w:rPr>
        <w:t xml:space="preserve"> o dal lato dell'offerta</w:t>
      </w:r>
      <w:r>
        <w:rPr>
          <w:rFonts w:ascii="Times New Roman" w:hAnsi="Times New Roman" w:cs="Times New Roman"/>
          <w:sz w:val="24"/>
          <w:szCs w:val="24"/>
        </w:rPr>
        <w:t>, ossia “</w:t>
      </w:r>
      <w:r w:rsidRPr="008920C9">
        <w:rPr>
          <w:rFonts w:ascii="Times New Roman" w:hAnsi="Times New Roman" w:cs="Times New Roman"/>
          <w:i/>
          <w:iCs/>
          <w:sz w:val="24"/>
          <w:szCs w:val="24"/>
        </w:rPr>
        <w:t>in particolare il rischio che la fornitura di servizi non corrisponda al livello qualitativo e quantitativo dedotto in contratto</w:t>
      </w:r>
      <w:r>
        <w:rPr>
          <w:rFonts w:ascii="Times New Roman" w:hAnsi="Times New Roman" w:cs="Times New Roman"/>
          <w:sz w:val="24"/>
          <w:szCs w:val="24"/>
        </w:rPr>
        <w:t>”, cui è da ricondurre anche il rischio di disponibilità</w:t>
      </w:r>
      <w:r>
        <w:rPr>
          <w:rStyle w:val="Rimandonotaapidipagina"/>
          <w:rFonts w:ascii="Times New Roman" w:hAnsi="Times New Roman" w:cs="Times New Roman"/>
          <w:sz w:val="24"/>
          <w:szCs w:val="24"/>
        </w:rPr>
        <w:footnoteReference w:id="29"/>
      </w:r>
      <w:r>
        <w:rPr>
          <w:rFonts w:ascii="Times New Roman" w:hAnsi="Times New Roman" w:cs="Times New Roman"/>
          <w:sz w:val="24"/>
          <w:szCs w:val="24"/>
        </w:rPr>
        <w:t xml:space="preserve">, o </w:t>
      </w:r>
      <w:r w:rsidRPr="008920C9">
        <w:rPr>
          <w:rFonts w:ascii="Times New Roman" w:hAnsi="Times New Roman" w:cs="Times New Roman"/>
          <w:sz w:val="24"/>
          <w:szCs w:val="24"/>
        </w:rPr>
        <w:t>da entrambi</w:t>
      </w:r>
      <w:r w:rsidRPr="008A6443">
        <w:rPr>
          <w:rFonts w:ascii="Times New Roman" w:hAnsi="Times New Roman" w:cs="Times New Roman"/>
          <w:sz w:val="24"/>
          <w:szCs w:val="24"/>
        </w:rPr>
        <w:t xml:space="preserve"> </w:t>
      </w:r>
      <w:r>
        <w:rPr>
          <w:rFonts w:ascii="Times New Roman" w:hAnsi="Times New Roman" w:cs="Times New Roman"/>
          <w:sz w:val="24"/>
          <w:szCs w:val="24"/>
        </w:rPr>
        <w:t>(comma 1)</w:t>
      </w:r>
      <w:r w:rsidRPr="00983640">
        <w:rPr>
          <w:rFonts w:ascii="Times New Roman" w:hAnsi="Times New Roman" w:cs="Times New Roman"/>
          <w:sz w:val="24"/>
          <w:szCs w:val="24"/>
        </w:rPr>
        <w:t>.</w:t>
      </w:r>
      <w:r>
        <w:rPr>
          <w:rFonts w:ascii="Times New Roman" w:hAnsi="Times New Roman" w:cs="Times New Roman"/>
          <w:sz w:val="24"/>
          <w:szCs w:val="24"/>
        </w:rPr>
        <w:t xml:space="preserve"> </w:t>
      </w:r>
    </w:p>
    <w:p w14:paraId="0B181522" w14:textId="77777777"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Affinché un contratto sia qualificabile come PPP il rischio rilevante è solo “</w:t>
      </w:r>
      <w:r w:rsidRPr="008A6443">
        <w:rPr>
          <w:rFonts w:ascii="Times New Roman" w:hAnsi="Times New Roman" w:cs="Times New Roman"/>
          <w:i/>
          <w:iCs/>
          <w:sz w:val="24"/>
          <w:szCs w:val="24"/>
        </w:rPr>
        <w:t>quello che deriva da fattori eccezionali non prevedibili e non imputabili alle parti</w:t>
      </w:r>
      <w:r>
        <w:rPr>
          <w:rFonts w:ascii="Times New Roman" w:hAnsi="Times New Roman" w:cs="Times New Roman"/>
          <w:sz w:val="24"/>
          <w:szCs w:val="24"/>
        </w:rPr>
        <w:t>”, mentre “</w:t>
      </w:r>
      <w:r w:rsidRPr="008A6443">
        <w:rPr>
          <w:rFonts w:ascii="Times New Roman" w:hAnsi="Times New Roman" w:cs="Times New Roman"/>
          <w:i/>
          <w:iCs/>
          <w:sz w:val="24"/>
          <w:szCs w:val="24"/>
        </w:rPr>
        <w:t>non rilevano rischi connessi a cattiva gestione, a inadempimenti contrattuali dell'operatore economico o a cause di forza maggiore</w:t>
      </w:r>
      <w:r>
        <w:rPr>
          <w:rFonts w:ascii="Times New Roman" w:hAnsi="Times New Roman" w:cs="Times New Roman"/>
          <w:sz w:val="24"/>
          <w:szCs w:val="24"/>
        </w:rPr>
        <w:t xml:space="preserve">” (così testualmente il comma 3 che riproduce pedissequamente il considerando n. 20 della direttiva). </w:t>
      </w:r>
    </w:p>
    <w:p w14:paraId="35EF6257" w14:textId="1CC67811"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Il legislatore, assai opportunamente, si discosta dalla scelta effettuata con il codice del 2016, là dove si dettava una tassonomia estremamente analitica dei rischi allocabili in capo alle parti dei contratti di partenariato (già in sede definitoria; cfr. art. 3, d.lgs. 50/2016), abbozzandone invece solo i tratti generali – conformemente alla direttiva n. 23 – e demandandone la specificazione ad atti amministrativi generali, come </w:t>
      </w:r>
      <w:r w:rsidRPr="0008137E">
        <w:rPr>
          <w:rFonts w:ascii="Times New Roman" w:hAnsi="Times New Roman" w:cs="Times New Roman"/>
          <w:sz w:val="24"/>
          <w:szCs w:val="24"/>
        </w:rPr>
        <w:t>bandi-tipo, capitolati-tipo</w:t>
      </w:r>
      <w:r>
        <w:rPr>
          <w:rFonts w:ascii="Times New Roman" w:hAnsi="Times New Roman" w:cs="Times New Roman"/>
          <w:sz w:val="24"/>
          <w:szCs w:val="24"/>
        </w:rPr>
        <w:t xml:space="preserve"> ovvero</w:t>
      </w:r>
      <w:r w:rsidRPr="0008137E">
        <w:rPr>
          <w:rFonts w:ascii="Times New Roman" w:hAnsi="Times New Roman" w:cs="Times New Roman"/>
          <w:sz w:val="24"/>
          <w:szCs w:val="24"/>
        </w:rPr>
        <w:t xml:space="preserve"> contratti-tipo</w:t>
      </w:r>
      <w:r>
        <w:rPr>
          <w:rFonts w:ascii="Times New Roman" w:hAnsi="Times New Roman" w:cs="Times New Roman"/>
          <w:sz w:val="24"/>
          <w:szCs w:val="24"/>
        </w:rPr>
        <w:t xml:space="preserve"> redatti dall’A.N.A.C. (art. 222; cfr., con particolare riferimento al PPP, l’art. 197 in tema di contratto di disponibilità), ovvero alla prassi amministrativa (cui oggi sarà da ricondurre, ad esempio, l’elaborazione della c.d. “</w:t>
      </w:r>
      <w:r>
        <w:rPr>
          <w:rFonts w:ascii="Times New Roman" w:hAnsi="Times New Roman" w:cs="Times New Roman"/>
          <w:i/>
          <w:iCs/>
          <w:sz w:val="24"/>
          <w:szCs w:val="24"/>
        </w:rPr>
        <w:t>matrice dei rischi</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30"/>
      </w:r>
      <w:r>
        <w:rPr>
          <w:rFonts w:ascii="Times New Roman" w:hAnsi="Times New Roman" w:cs="Times New Roman"/>
          <w:sz w:val="24"/>
          <w:szCs w:val="24"/>
        </w:rPr>
        <w:t>).</w:t>
      </w:r>
    </w:p>
    <w:p w14:paraId="3B9C64CB" w14:textId="77777777" w:rsidR="003D2014" w:rsidRDefault="003D2014" w:rsidP="0016383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 corretta allocazione dei rischi è indispensabile per qualificare il contratto come concessione (e, quindi, PPP) e questa passa necessariamente dalla attenta definizione del piano economico finanziario (P.E.F.), strumento indispensabile per verificare </w:t>
      </w:r>
      <w:r w:rsidRPr="00173574">
        <w:rPr>
          <w:rFonts w:ascii="Times New Roman" w:hAnsi="Times New Roman" w:cs="Times New Roman"/>
          <w:sz w:val="24"/>
          <w:szCs w:val="24"/>
        </w:rPr>
        <w:t>la concreta capacità del concorrente di eseguire correttamente la prestazione per l’intero arco temporale prescelto attraverso la responsabile prospettazione di un equilibrio economico</w:t>
      </w:r>
      <w:r>
        <w:rPr>
          <w:rFonts w:ascii="Times New Roman" w:hAnsi="Times New Roman" w:cs="Times New Roman"/>
          <w:sz w:val="24"/>
          <w:szCs w:val="24"/>
        </w:rPr>
        <w:t>-</w:t>
      </w:r>
      <w:r w:rsidRPr="00173574">
        <w:rPr>
          <w:rFonts w:ascii="Times New Roman" w:hAnsi="Times New Roman" w:cs="Times New Roman"/>
          <w:sz w:val="24"/>
          <w:szCs w:val="24"/>
        </w:rPr>
        <w:t>finanziario</w:t>
      </w:r>
      <w:r>
        <w:rPr>
          <w:rFonts w:ascii="Times New Roman" w:hAnsi="Times New Roman" w:cs="Times New Roman"/>
          <w:sz w:val="24"/>
          <w:szCs w:val="24"/>
        </w:rPr>
        <w:t xml:space="preserve"> del contratto stesso</w:t>
      </w:r>
      <w:r>
        <w:rPr>
          <w:rStyle w:val="Rimandonotaapidipagina"/>
          <w:rFonts w:ascii="Times New Roman" w:hAnsi="Times New Roman" w:cs="Times New Roman"/>
          <w:sz w:val="24"/>
          <w:szCs w:val="24"/>
        </w:rPr>
        <w:footnoteReference w:id="31"/>
      </w:r>
      <w:r>
        <w:rPr>
          <w:rFonts w:ascii="Times New Roman" w:hAnsi="Times New Roman" w:cs="Times New Roman"/>
          <w:sz w:val="24"/>
          <w:szCs w:val="24"/>
        </w:rPr>
        <w:t>, “</w:t>
      </w:r>
      <w:r w:rsidRPr="002043C4">
        <w:rPr>
          <w:rFonts w:ascii="Times New Roman" w:hAnsi="Times New Roman" w:cs="Times New Roman"/>
          <w:i/>
          <w:iCs/>
          <w:sz w:val="24"/>
          <w:szCs w:val="24"/>
        </w:rPr>
        <w:t>intendendosi per tale la contemporanea presenza delle condizioni di convenienza economica e sostenibilità finanziaria</w:t>
      </w:r>
      <w:r>
        <w:rPr>
          <w:rFonts w:ascii="Times New Roman" w:hAnsi="Times New Roman" w:cs="Times New Roman"/>
          <w:sz w:val="24"/>
          <w:szCs w:val="24"/>
        </w:rPr>
        <w:t>”</w:t>
      </w:r>
      <w:r w:rsidRPr="00F3578D">
        <w:rPr>
          <w:rFonts w:ascii="Times New Roman" w:hAnsi="Times New Roman" w:cs="Times New Roman"/>
          <w:sz w:val="24"/>
          <w:szCs w:val="24"/>
        </w:rPr>
        <w:t>. L</w:t>
      </w:r>
      <w:r>
        <w:rPr>
          <w:rFonts w:ascii="Times New Roman" w:hAnsi="Times New Roman" w:cs="Times New Roman"/>
          <w:sz w:val="24"/>
          <w:szCs w:val="24"/>
        </w:rPr>
        <w:t>’</w:t>
      </w:r>
      <w:r w:rsidRPr="00F3578D">
        <w:rPr>
          <w:rFonts w:ascii="Times New Roman" w:hAnsi="Times New Roman" w:cs="Times New Roman"/>
          <w:sz w:val="24"/>
          <w:szCs w:val="24"/>
        </w:rPr>
        <w:t>equilibrio</w:t>
      </w:r>
      <w:r>
        <w:rPr>
          <w:rFonts w:ascii="Times New Roman" w:hAnsi="Times New Roman" w:cs="Times New Roman"/>
          <w:sz w:val="24"/>
          <w:szCs w:val="24"/>
        </w:rPr>
        <w:t xml:space="preserve"> </w:t>
      </w:r>
      <w:r w:rsidRPr="00F3578D">
        <w:rPr>
          <w:rFonts w:ascii="Times New Roman" w:hAnsi="Times New Roman" w:cs="Times New Roman"/>
          <w:sz w:val="24"/>
          <w:szCs w:val="24"/>
        </w:rPr>
        <w:t>economico-finanziario sussiste</w:t>
      </w:r>
      <w:r>
        <w:rPr>
          <w:rFonts w:ascii="Times New Roman" w:hAnsi="Times New Roman" w:cs="Times New Roman"/>
          <w:sz w:val="24"/>
          <w:szCs w:val="24"/>
        </w:rPr>
        <w:t>, ai sensi dell’art. 177, comma 5,</w:t>
      </w:r>
      <w:r w:rsidRPr="00F3578D">
        <w:rPr>
          <w:rFonts w:ascii="Times New Roman" w:hAnsi="Times New Roman" w:cs="Times New Roman"/>
          <w:sz w:val="24"/>
          <w:szCs w:val="24"/>
        </w:rPr>
        <w:t xml:space="preserve"> </w:t>
      </w:r>
      <w:r>
        <w:rPr>
          <w:rFonts w:ascii="Times New Roman" w:hAnsi="Times New Roman" w:cs="Times New Roman"/>
          <w:sz w:val="24"/>
          <w:szCs w:val="24"/>
        </w:rPr>
        <w:t>“</w:t>
      </w:r>
      <w:r w:rsidRPr="002043C4">
        <w:rPr>
          <w:rFonts w:ascii="Times New Roman" w:hAnsi="Times New Roman" w:cs="Times New Roman"/>
          <w:i/>
          <w:iCs/>
          <w:sz w:val="24"/>
          <w:szCs w:val="24"/>
        </w:rPr>
        <w:t>quando i ricavi attesi del progetto sono in grado di coprire i costi operativi e i costi di investimento, di remunerare e rimborsare il capitale di debito e di remunerare il capitale di rischio</w:t>
      </w:r>
      <w:r>
        <w:rPr>
          <w:rFonts w:ascii="Times New Roman" w:hAnsi="Times New Roman" w:cs="Times New Roman"/>
          <w:sz w:val="24"/>
          <w:szCs w:val="24"/>
        </w:rPr>
        <w:t>”</w:t>
      </w:r>
      <w:r w:rsidRPr="00F3578D">
        <w:rPr>
          <w:rFonts w:ascii="Times New Roman" w:hAnsi="Times New Roman" w:cs="Times New Roman"/>
          <w:sz w:val="24"/>
          <w:szCs w:val="24"/>
        </w:rPr>
        <w:t>.</w:t>
      </w:r>
    </w:p>
    <w:p w14:paraId="79D39AA2" w14:textId="693830C6" w:rsidR="003D2014" w:rsidRPr="00922C33" w:rsidRDefault="003D2014" w:rsidP="00510024">
      <w:pPr>
        <w:spacing w:after="0" w:line="360" w:lineRule="auto"/>
        <w:jc w:val="both"/>
        <w:rPr>
          <w:rFonts w:ascii="Times New Roman" w:hAnsi="Times New Roman" w:cs="Times New Roman"/>
          <w:b/>
          <w:bCs/>
          <w:i/>
          <w:iCs/>
          <w:sz w:val="24"/>
          <w:szCs w:val="24"/>
        </w:rPr>
      </w:pPr>
      <w:r>
        <w:rPr>
          <w:rFonts w:ascii="Times New Roman" w:hAnsi="Times New Roman" w:cs="Times New Roman"/>
          <w:b/>
          <w:bCs/>
          <w:sz w:val="24"/>
          <w:szCs w:val="24"/>
        </w:rPr>
        <w:t>4</w:t>
      </w:r>
      <w:r w:rsidRPr="00E87BA2">
        <w:rPr>
          <w:rFonts w:ascii="Times New Roman" w:hAnsi="Times New Roman" w:cs="Times New Roman"/>
          <w:b/>
          <w:bCs/>
          <w:sz w:val="24"/>
          <w:szCs w:val="24"/>
        </w:rPr>
        <w:t xml:space="preserve">.- </w:t>
      </w:r>
      <w:r>
        <w:rPr>
          <w:rFonts w:ascii="Times New Roman" w:hAnsi="Times New Roman" w:cs="Times New Roman"/>
          <w:b/>
          <w:bCs/>
          <w:i/>
          <w:iCs/>
          <w:sz w:val="24"/>
          <w:szCs w:val="24"/>
        </w:rPr>
        <w:t>Il finanziamento</w:t>
      </w:r>
      <w:r w:rsidR="00A85599">
        <w:rPr>
          <w:rFonts w:ascii="Times New Roman" w:hAnsi="Times New Roman" w:cs="Times New Roman"/>
          <w:b/>
          <w:bCs/>
          <w:i/>
          <w:iCs/>
          <w:sz w:val="24"/>
          <w:szCs w:val="24"/>
        </w:rPr>
        <w:t xml:space="preserve"> e </w:t>
      </w:r>
      <w:r>
        <w:rPr>
          <w:rFonts w:ascii="Times New Roman" w:hAnsi="Times New Roman" w:cs="Times New Roman"/>
          <w:b/>
          <w:bCs/>
          <w:i/>
          <w:iCs/>
          <w:sz w:val="24"/>
          <w:szCs w:val="24"/>
        </w:rPr>
        <w:t>le ragioni di attrattività del PPP.</w:t>
      </w:r>
    </w:p>
    <w:p w14:paraId="45E01F5A" w14:textId="77777777"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Proprio la corretta distinzione fra PPP e appalto è indispensabile al fine di garantire – e questo è uno dei principali motivi di attrattività del primo – la possibilità per le pubbliche Amministrazioni di contabilizzare l’operazione fuori bilancio (</w:t>
      </w:r>
      <w:r w:rsidRPr="00074489">
        <w:rPr>
          <w:rFonts w:ascii="Times New Roman" w:hAnsi="Times New Roman" w:cs="Times New Roman"/>
          <w:i/>
          <w:iCs/>
          <w:sz w:val="24"/>
          <w:szCs w:val="24"/>
        </w:rPr>
        <w:t>off balance</w:t>
      </w:r>
      <w:r>
        <w:rPr>
          <w:rFonts w:ascii="Times New Roman" w:hAnsi="Times New Roman" w:cs="Times New Roman"/>
          <w:sz w:val="24"/>
          <w:szCs w:val="24"/>
        </w:rPr>
        <w:t>) e, quindi, di non creare debito pubblico, in conformità alla funzione precipua di tale modulo contrattuale, diretto a garantire, come sovra ricordato, il finanziamento di un’opera o di un servizio pubblico da parte del privato</w:t>
      </w:r>
      <w:r>
        <w:rPr>
          <w:rStyle w:val="Rimandonotaapidipagina"/>
          <w:rFonts w:ascii="Times New Roman" w:hAnsi="Times New Roman" w:cs="Times New Roman"/>
          <w:sz w:val="24"/>
          <w:szCs w:val="24"/>
        </w:rPr>
        <w:footnoteReference w:id="32"/>
      </w:r>
      <w:r>
        <w:rPr>
          <w:rFonts w:ascii="Times New Roman" w:hAnsi="Times New Roman" w:cs="Times New Roman"/>
          <w:sz w:val="24"/>
          <w:szCs w:val="24"/>
        </w:rPr>
        <w:t>.</w:t>
      </w:r>
    </w:p>
    <w:p w14:paraId="421FAC1E" w14:textId="206DF4FD"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tal fine, il nuovo codice, superando l’impostazione precedente, maggiormente attenta ad un profilo quantitativo, piuttosto che qualitativo, non pone alcun limite fisso al valore dell’eventuale contributo pubblico previsto quale parte del corrispettivo contrattuale e si limita a rinviare alla disciplina dettata dalle decisioni </w:t>
      </w:r>
      <w:r w:rsidRPr="005E1A3B">
        <w:rPr>
          <w:rFonts w:ascii="Times New Roman" w:hAnsi="Times New Roman" w:cs="Times New Roman"/>
          <w:i/>
          <w:iCs/>
          <w:sz w:val="24"/>
          <w:szCs w:val="24"/>
        </w:rPr>
        <w:t>Eurostat</w:t>
      </w:r>
      <w:r>
        <w:rPr>
          <w:rStyle w:val="Rimandonotaapidipagina"/>
          <w:rFonts w:ascii="Times New Roman" w:hAnsi="Times New Roman" w:cs="Times New Roman"/>
          <w:sz w:val="24"/>
          <w:szCs w:val="24"/>
        </w:rPr>
        <w:footnoteReference w:id="33"/>
      </w:r>
      <w:r>
        <w:rPr>
          <w:rFonts w:ascii="Times New Roman" w:hAnsi="Times New Roman" w:cs="Times New Roman"/>
          <w:sz w:val="24"/>
          <w:szCs w:val="24"/>
        </w:rPr>
        <w:t xml:space="preserve">, </w:t>
      </w:r>
      <w:r w:rsidRPr="00D33523">
        <w:rPr>
          <w:rFonts w:ascii="Times New Roman" w:hAnsi="Times New Roman" w:cs="Times New Roman"/>
          <w:sz w:val="24"/>
          <w:szCs w:val="24"/>
        </w:rPr>
        <w:t>valorizzando</w:t>
      </w:r>
      <w:r w:rsidR="008C3803">
        <w:rPr>
          <w:rFonts w:ascii="Times New Roman" w:hAnsi="Times New Roman" w:cs="Times New Roman"/>
          <w:sz w:val="24"/>
          <w:szCs w:val="24"/>
        </w:rPr>
        <w:t xml:space="preserve"> così</w:t>
      </w:r>
      <w:r w:rsidRPr="00D33523">
        <w:rPr>
          <w:rFonts w:ascii="Times New Roman" w:hAnsi="Times New Roman" w:cs="Times New Roman"/>
          <w:sz w:val="24"/>
          <w:szCs w:val="24"/>
        </w:rPr>
        <w:t xml:space="preserve"> anche le finalità sociali perseguite (c.d. </w:t>
      </w:r>
      <w:proofErr w:type="spellStart"/>
      <w:r w:rsidRPr="00D33523">
        <w:rPr>
          <w:rFonts w:ascii="Times New Roman" w:hAnsi="Times New Roman" w:cs="Times New Roman"/>
          <w:i/>
          <w:iCs/>
          <w:sz w:val="24"/>
          <w:szCs w:val="24"/>
        </w:rPr>
        <w:t>value</w:t>
      </w:r>
      <w:proofErr w:type="spellEnd"/>
      <w:r w:rsidRPr="00D33523">
        <w:rPr>
          <w:rFonts w:ascii="Times New Roman" w:hAnsi="Times New Roman" w:cs="Times New Roman"/>
          <w:i/>
          <w:iCs/>
          <w:sz w:val="24"/>
          <w:szCs w:val="24"/>
        </w:rPr>
        <w:t xml:space="preserve"> for society</w:t>
      </w:r>
      <w:r w:rsidRPr="00D33523">
        <w:rPr>
          <w:rFonts w:ascii="Times New Roman" w:hAnsi="Times New Roman" w:cs="Times New Roman"/>
          <w:sz w:val="24"/>
          <w:szCs w:val="24"/>
        </w:rPr>
        <w:t>), nonché le esigenze di tutela della piccola e media impresa.</w:t>
      </w:r>
    </w:p>
    <w:p w14:paraId="541ACE5E" w14:textId="364F9104"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Nel caso in cui i criteri ivi previsti siano violati dalle operazioni contrattuali poste concretamente in essere, occorre procedere alla riqualificazione del rapporto negoziale come fonte di indebitamento</w:t>
      </w:r>
      <w:r>
        <w:rPr>
          <w:rStyle w:val="Rimandonotaapidipagina"/>
          <w:rFonts w:ascii="Times New Roman" w:hAnsi="Times New Roman" w:cs="Times New Roman"/>
          <w:sz w:val="24"/>
          <w:szCs w:val="24"/>
        </w:rPr>
        <w:footnoteReference w:id="34"/>
      </w:r>
      <w:r>
        <w:rPr>
          <w:rFonts w:ascii="Times New Roman" w:hAnsi="Times New Roman" w:cs="Times New Roman"/>
          <w:sz w:val="24"/>
          <w:szCs w:val="24"/>
        </w:rPr>
        <w:t>, riqualificazione e non nullità del contratto, come in passato invece erroneamente sostenuto da una certa giurisprudenza</w:t>
      </w:r>
      <w:r>
        <w:rPr>
          <w:rStyle w:val="Rimandonotaapidipagina"/>
          <w:rFonts w:ascii="Times New Roman" w:hAnsi="Times New Roman" w:cs="Times New Roman"/>
          <w:sz w:val="24"/>
          <w:szCs w:val="24"/>
        </w:rPr>
        <w:footnoteReference w:id="35"/>
      </w:r>
      <w:r>
        <w:rPr>
          <w:rFonts w:ascii="Times New Roman" w:hAnsi="Times New Roman" w:cs="Times New Roman"/>
          <w:sz w:val="24"/>
          <w:szCs w:val="24"/>
        </w:rPr>
        <w:t xml:space="preserve"> e come, invece, oggi chiarito anche dall’art. 177, comma 6</w:t>
      </w:r>
      <w:r w:rsidRPr="00503086">
        <w:rPr>
          <w:rFonts w:ascii="Times New Roman" w:hAnsi="Times New Roman" w:cs="Times New Roman"/>
          <w:sz w:val="24"/>
          <w:szCs w:val="24"/>
        </w:rPr>
        <w:t>.</w:t>
      </w:r>
    </w:p>
    <w:p w14:paraId="236BD354" w14:textId="19088C09" w:rsidR="003D2014" w:rsidRPr="00074489"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Al riguardo, non pare superfluo sottolineare come, sulla base dei rilievi formulati dall’I.S.T.A.T., incaricato di compilare ed inviare ad </w:t>
      </w:r>
      <w:r w:rsidRPr="005E1A3B">
        <w:rPr>
          <w:rFonts w:ascii="Times New Roman" w:hAnsi="Times New Roman" w:cs="Times New Roman"/>
          <w:i/>
          <w:iCs/>
          <w:sz w:val="24"/>
          <w:szCs w:val="24"/>
        </w:rPr>
        <w:t>Eurostat</w:t>
      </w:r>
      <w:r>
        <w:rPr>
          <w:rFonts w:ascii="Times New Roman" w:hAnsi="Times New Roman" w:cs="Times New Roman"/>
          <w:sz w:val="24"/>
          <w:szCs w:val="24"/>
        </w:rPr>
        <w:t xml:space="preserve"> il “</w:t>
      </w:r>
      <w:r w:rsidRPr="00DF1549">
        <w:rPr>
          <w:rFonts w:ascii="Times New Roman" w:hAnsi="Times New Roman" w:cs="Times New Roman"/>
          <w:i/>
          <w:iCs/>
          <w:sz w:val="24"/>
          <w:szCs w:val="24"/>
        </w:rPr>
        <w:t>questionario sulle tabelle relative alla notifica della procedura per i disavanzi eccessivi</w:t>
      </w:r>
      <w:r>
        <w:rPr>
          <w:rFonts w:ascii="Times New Roman" w:hAnsi="Times New Roman" w:cs="Times New Roman"/>
          <w:sz w:val="24"/>
          <w:szCs w:val="24"/>
        </w:rPr>
        <w:t>”, la cui tabella 11 è appunto relativa ai PPP, nel 2022 ben l</w:t>
      </w:r>
      <w:r w:rsidRPr="00AF617E">
        <w:rPr>
          <w:rFonts w:ascii="Times New Roman" w:hAnsi="Times New Roman" w:cs="Times New Roman"/>
          <w:sz w:val="24"/>
          <w:szCs w:val="24"/>
        </w:rPr>
        <w:t xml:space="preserve">’87% dei contratti </w:t>
      </w:r>
      <w:r>
        <w:rPr>
          <w:rFonts w:ascii="Times New Roman" w:hAnsi="Times New Roman" w:cs="Times New Roman"/>
          <w:sz w:val="24"/>
          <w:szCs w:val="24"/>
        </w:rPr>
        <w:t xml:space="preserve">di </w:t>
      </w:r>
      <w:r w:rsidRPr="00AF617E">
        <w:rPr>
          <w:rFonts w:ascii="Times New Roman" w:hAnsi="Times New Roman" w:cs="Times New Roman"/>
          <w:sz w:val="24"/>
          <w:szCs w:val="24"/>
        </w:rPr>
        <w:t xml:space="preserve">PPP è stato </w:t>
      </w:r>
      <w:r>
        <w:rPr>
          <w:rFonts w:ascii="Times New Roman" w:hAnsi="Times New Roman" w:cs="Times New Roman"/>
          <w:sz w:val="24"/>
          <w:szCs w:val="24"/>
        </w:rPr>
        <w:t>ri</w:t>
      </w:r>
      <w:r w:rsidRPr="00AF617E">
        <w:rPr>
          <w:rFonts w:ascii="Times New Roman" w:hAnsi="Times New Roman" w:cs="Times New Roman"/>
          <w:sz w:val="24"/>
          <w:szCs w:val="24"/>
        </w:rPr>
        <w:t xml:space="preserve">classificato </w:t>
      </w:r>
      <w:r w:rsidRPr="009D7D5E">
        <w:rPr>
          <w:rFonts w:ascii="Times New Roman" w:hAnsi="Times New Roman" w:cs="Times New Roman"/>
          <w:i/>
          <w:iCs/>
          <w:sz w:val="24"/>
          <w:szCs w:val="24"/>
        </w:rPr>
        <w:t xml:space="preserve">on-balance </w:t>
      </w:r>
      <w:proofErr w:type="spellStart"/>
      <w:r w:rsidRPr="009D7D5E">
        <w:rPr>
          <w:rFonts w:ascii="Times New Roman" w:hAnsi="Times New Roman" w:cs="Times New Roman"/>
          <w:i/>
          <w:iCs/>
          <w:sz w:val="24"/>
          <w:szCs w:val="24"/>
        </w:rPr>
        <w:t>sheet</w:t>
      </w:r>
      <w:proofErr w:type="spellEnd"/>
      <w:r w:rsidRPr="00AF617E">
        <w:rPr>
          <w:rFonts w:ascii="Times New Roman" w:hAnsi="Times New Roman" w:cs="Times New Roman"/>
          <w:sz w:val="24"/>
          <w:szCs w:val="24"/>
        </w:rPr>
        <w:t>, in ragione del mancato trasferimento dei rischi al soggetto privato</w:t>
      </w:r>
      <w:r>
        <w:rPr>
          <w:rFonts w:ascii="Times New Roman" w:hAnsi="Times New Roman" w:cs="Times New Roman"/>
          <w:sz w:val="24"/>
          <w:szCs w:val="24"/>
        </w:rPr>
        <w:t xml:space="preserve">, e tale percentuale sale addirittura al 100% per i contratti </w:t>
      </w:r>
      <w:r w:rsidRPr="00AF617E">
        <w:rPr>
          <w:rFonts w:ascii="Times New Roman" w:hAnsi="Times New Roman" w:cs="Times New Roman"/>
          <w:sz w:val="24"/>
          <w:szCs w:val="24"/>
        </w:rPr>
        <w:t>di EPC.</w:t>
      </w:r>
    </w:p>
    <w:p w14:paraId="7A96F58F" w14:textId="77777777"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Tanto valga ad evidenziare, ancora una volta, la complessità per le pubbliche Amministrazioni di disegnare contratti quali quelli di specie.</w:t>
      </w:r>
    </w:p>
    <w:p w14:paraId="0C576A0F" w14:textId="31296323"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Proprio alla natura (anche) di strumento di finanziamento di questi contratti, si ricollega, poi, l’istituto della </w:t>
      </w:r>
      <w:r w:rsidRPr="00A57045">
        <w:rPr>
          <w:rFonts w:ascii="Times New Roman" w:hAnsi="Times New Roman" w:cs="Times New Roman"/>
          <w:sz w:val="24"/>
          <w:szCs w:val="24"/>
        </w:rPr>
        <w:t>finanza di progetto</w:t>
      </w:r>
      <w:r w:rsidR="007A6B6A">
        <w:rPr>
          <w:rStyle w:val="Rimandonotaapidipagina"/>
          <w:rFonts w:ascii="Times New Roman" w:hAnsi="Times New Roman" w:cs="Times New Roman"/>
          <w:sz w:val="24"/>
          <w:szCs w:val="24"/>
        </w:rPr>
        <w:footnoteReference w:id="36"/>
      </w:r>
      <w:r>
        <w:rPr>
          <w:rFonts w:ascii="Times New Roman" w:hAnsi="Times New Roman" w:cs="Times New Roman"/>
          <w:sz w:val="24"/>
          <w:szCs w:val="24"/>
        </w:rPr>
        <w:t>.</w:t>
      </w:r>
    </w:p>
    <w:p w14:paraId="108C85B6" w14:textId="63E6DCB8" w:rsidR="003D2014" w:rsidRDefault="008C3803"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w:t>
      </w:r>
      <w:r w:rsidR="003D2014">
        <w:rPr>
          <w:rFonts w:ascii="Times New Roman" w:hAnsi="Times New Roman" w:cs="Times New Roman"/>
          <w:sz w:val="24"/>
          <w:szCs w:val="24"/>
        </w:rPr>
        <w:t xml:space="preserve"> codice</w:t>
      </w:r>
      <w:r>
        <w:rPr>
          <w:rFonts w:ascii="Times New Roman" w:hAnsi="Times New Roman" w:cs="Times New Roman"/>
          <w:sz w:val="24"/>
          <w:szCs w:val="24"/>
        </w:rPr>
        <w:t>, in primo luogo,</w:t>
      </w:r>
      <w:r w:rsidR="003D2014">
        <w:rPr>
          <w:rFonts w:ascii="Times New Roman" w:hAnsi="Times New Roman" w:cs="Times New Roman"/>
          <w:sz w:val="24"/>
          <w:szCs w:val="24"/>
        </w:rPr>
        <w:t xml:space="preserve"> precisa definitivamente che </w:t>
      </w:r>
      <w:r>
        <w:rPr>
          <w:rFonts w:ascii="Times New Roman" w:hAnsi="Times New Roman" w:cs="Times New Roman"/>
          <w:sz w:val="24"/>
          <w:szCs w:val="24"/>
        </w:rPr>
        <w:t>questa</w:t>
      </w:r>
      <w:r w:rsidR="003D2014">
        <w:rPr>
          <w:rFonts w:ascii="Times New Roman" w:hAnsi="Times New Roman" w:cs="Times New Roman"/>
          <w:sz w:val="24"/>
          <w:szCs w:val="24"/>
        </w:rPr>
        <w:t xml:space="preserve"> non è un tipo di contratto di partenariato pubblico privato (come erroneamente veniva indicato dall’art. 180, comma 8 del vecchio codice), ma una particolare e articolata procedura bifasica – di scelta del progetto e di affidamento del contratto, e oggi di tutti i contratti di PPP (art. 198, comma 1) –, che si connota per la peculiarità di essere avviata (solo) su iniziativa degli operatori economici privati (essendo stata espunta la modalità ad iniziativa pubblica, ritenuta </w:t>
      </w:r>
      <w:proofErr w:type="spellStart"/>
      <w:r w:rsidR="003D2014">
        <w:rPr>
          <w:rFonts w:ascii="Times New Roman" w:hAnsi="Times New Roman" w:cs="Times New Roman"/>
          <w:sz w:val="24"/>
          <w:szCs w:val="24"/>
        </w:rPr>
        <w:t>condivisibilmente</w:t>
      </w:r>
      <w:proofErr w:type="spellEnd"/>
      <w:r w:rsidR="003D2014">
        <w:rPr>
          <w:rFonts w:ascii="Times New Roman" w:hAnsi="Times New Roman" w:cs="Times New Roman"/>
          <w:sz w:val="24"/>
          <w:szCs w:val="24"/>
        </w:rPr>
        <w:t xml:space="preserve"> del tutto superflua) e di operare </w:t>
      </w:r>
      <w:r w:rsidR="003D2014" w:rsidRPr="004D0E2E">
        <w:rPr>
          <w:rFonts w:ascii="Times New Roman" w:hAnsi="Times New Roman" w:cs="Times New Roman"/>
          <w:sz w:val="24"/>
          <w:szCs w:val="24"/>
        </w:rPr>
        <w:t xml:space="preserve">sia in relazione a progetti già presenti </w:t>
      </w:r>
      <w:r w:rsidR="003D2014">
        <w:rPr>
          <w:rFonts w:ascii="Times New Roman" w:hAnsi="Times New Roman" w:cs="Times New Roman"/>
          <w:sz w:val="24"/>
          <w:szCs w:val="24"/>
        </w:rPr>
        <w:t>nel (nuovo) programma triennale delle esigenze pubbliche (cfr. art. 175, comma 1)</w:t>
      </w:r>
      <w:r w:rsidR="003D2014" w:rsidRPr="004D0E2E">
        <w:rPr>
          <w:rFonts w:ascii="Times New Roman" w:hAnsi="Times New Roman" w:cs="Times New Roman"/>
          <w:sz w:val="24"/>
          <w:szCs w:val="24"/>
        </w:rPr>
        <w:t xml:space="preserve">, sia per iniziative </w:t>
      </w:r>
      <w:r w:rsidR="003D2014">
        <w:rPr>
          <w:rFonts w:ascii="Times New Roman" w:hAnsi="Times New Roman" w:cs="Times New Roman"/>
          <w:sz w:val="24"/>
          <w:szCs w:val="24"/>
        </w:rPr>
        <w:t xml:space="preserve">ivi </w:t>
      </w:r>
      <w:r w:rsidR="003D2014" w:rsidRPr="004D0E2E">
        <w:rPr>
          <w:rFonts w:ascii="Times New Roman" w:hAnsi="Times New Roman" w:cs="Times New Roman"/>
          <w:sz w:val="24"/>
          <w:szCs w:val="24"/>
        </w:rPr>
        <w:t xml:space="preserve">non </w:t>
      </w:r>
      <w:r w:rsidR="003D2014">
        <w:rPr>
          <w:rFonts w:ascii="Times New Roman" w:hAnsi="Times New Roman" w:cs="Times New Roman"/>
          <w:sz w:val="24"/>
          <w:szCs w:val="24"/>
        </w:rPr>
        <w:t>previste.</w:t>
      </w:r>
    </w:p>
    <w:p w14:paraId="79F25CCC" w14:textId="77777777"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Come chiarito dalla stessa relazione di accompagnamento allo schema definitivo del codice, pertanto, “</w:t>
      </w:r>
      <w:r w:rsidRPr="00F32943">
        <w:rPr>
          <w:rFonts w:ascii="Times New Roman" w:hAnsi="Times New Roman" w:cs="Times New Roman"/>
          <w:i/>
          <w:iCs/>
          <w:sz w:val="24"/>
          <w:szCs w:val="24"/>
        </w:rPr>
        <w:t>non si tratta di due tipi contrattuali diversi, come nella struttura dell’impianto codicistico del 2016. È il medesimo contratto di concessione che può essere finanziato, sia in ‘corporate financing’, sia in ‘project financing’</w:t>
      </w:r>
      <w:r>
        <w:rPr>
          <w:rFonts w:ascii="Times New Roman" w:hAnsi="Times New Roman" w:cs="Times New Roman"/>
          <w:sz w:val="24"/>
          <w:szCs w:val="24"/>
        </w:rPr>
        <w:t>” (p. 203).</w:t>
      </w:r>
    </w:p>
    <w:p w14:paraId="61DEFB76" w14:textId="77777777"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 riferimento alla prima fase, di </w:t>
      </w:r>
      <w:r w:rsidRPr="007B7101">
        <w:rPr>
          <w:rFonts w:ascii="Times New Roman" w:hAnsi="Times New Roman" w:cs="Times New Roman"/>
          <w:sz w:val="24"/>
          <w:szCs w:val="24"/>
        </w:rPr>
        <w:t>scelta del promotore di una procedura di finanza di progetto</w:t>
      </w:r>
      <w:r>
        <w:rPr>
          <w:rFonts w:ascii="Times New Roman" w:hAnsi="Times New Roman" w:cs="Times New Roman"/>
          <w:sz w:val="24"/>
          <w:szCs w:val="24"/>
        </w:rPr>
        <w:t>, è pacifico che non si tratti di “</w:t>
      </w:r>
      <w:r w:rsidRPr="00927AE4">
        <w:rPr>
          <w:rFonts w:ascii="Times New Roman" w:hAnsi="Times New Roman" w:cs="Times New Roman"/>
          <w:i/>
          <w:iCs/>
          <w:sz w:val="24"/>
          <w:szCs w:val="24"/>
        </w:rPr>
        <w:t>un modulo di confronto concorrenziale sottoposto al principio delle procedure di evidenza pubblica, quanto piuttosto</w:t>
      </w:r>
      <w:r>
        <w:rPr>
          <w:rFonts w:ascii="Times New Roman" w:hAnsi="Times New Roman" w:cs="Times New Roman"/>
          <w:i/>
          <w:iCs/>
          <w:sz w:val="24"/>
          <w:szCs w:val="24"/>
        </w:rPr>
        <w:t xml:space="preserve"> </w:t>
      </w:r>
      <w:r>
        <w:rPr>
          <w:rFonts w:ascii="Times New Roman" w:hAnsi="Times New Roman" w:cs="Times New Roman"/>
          <w:sz w:val="24"/>
          <w:szCs w:val="24"/>
        </w:rPr>
        <w:t>[di]</w:t>
      </w:r>
      <w:r w:rsidRPr="00927AE4">
        <w:rPr>
          <w:rFonts w:ascii="Times New Roman" w:hAnsi="Times New Roman" w:cs="Times New Roman"/>
          <w:i/>
          <w:iCs/>
          <w:sz w:val="24"/>
          <w:szCs w:val="24"/>
        </w:rPr>
        <w:t xml:space="preserve"> uno strumento tramite il quale l’amministrazione definisce di concerto con il privato un obiettivo di interesse pubblico da </w:t>
      </w:r>
      <w:r w:rsidRPr="00927AE4">
        <w:rPr>
          <w:rFonts w:ascii="Times New Roman" w:hAnsi="Times New Roman" w:cs="Times New Roman"/>
          <w:i/>
          <w:iCs/>
          <w:sz w:val="24"/>
          <w:szCs w:val="24"/>
        </w:rPr>
        <w:lastRenderedPageBreak/>
        <w:t>realizzare</w:t>
      </w:r>
      <w:r>
        <w:rPr>
          <w:rFonts w:ascii="Times New Roman" w:hAnsi="Times New Roman" w:cs="Times New Roman"/>
          <w:sz w:val="24"/>
          <w:szCs w:val="24"/>
        </w:rPr>
        <w:t>”</w:t>
      </w:r>
      <w:r w:rsidRPr="00DA31A4">
        <w:rPr>
          <w:rStyle w:val="Rimandonotaapidipagina"/>
          <w:rFonts w:ascii="Times New Roman" w:hAnsi="Times New Roman" w:cs="Times New Roman"/>
          <w:sz w:val="24"/>
          <w:szCs w:val="24"/>
        </w:rPr>
        <w:t xml:space="preserve"> </w:t>
      </w:r>
      <w:r>
        <w:rPr>
          <w:rStyle w:val="Rimandonotaapidipagina"/>
          <w:rFonts w:ascii="Times New Roman" w:hAnsi="Times New Roman" w:cs="Times New Roman"/>
          <w:sz w:val="24"/>
          <w:szCs w:val="24"/>
        </w:rPr>
        <w:footnoteReference w:id="37"/>
      </w:r>
      <w:r>
        <w:rPr>
          <w:rFonts w:ascii="Times New Roman" w:hAnsi="Times New Roman" w:cs="Times New Roman"/>
          <w:sz w:val="24"/>
          <w:szCs w:val="24"/>
        </w:rPr>
        <w:t xml:space="preserve">, tanto che l’Amministrazione può sempre decidere di non </w:t>
      </w:r>
      <w:r w:rsidRPr="007B7101">
        <w:rPr>
          <w:rFonts w:ascii="Times New Roman" w:hAnsi="Times New Roman" w:cs="Times New Roman"/>
          <w:sz w:val="24"/>
          <w:szCs w:val="24"/>
        </w:rPr>
        <w:t>dare corso alla procedura di gara per l’affidamento del</w:t>
      </w:r>
      <w:r>
        <w:rPr>
          <w:rFonts w:ascii="Times New Roman" w:hAnsi="Times New Roman" w:cs="Times New Roman"/>
          <w:sz w:val="24"/>
          <w:szCs w:val="24"/>
        </w:rPr>
        <w:t xml:space="preserve"> contratto</w:t>
      </w:r>
      <w:r>
        <w:rPr>
          <w:rStyle w:val="Rimandonotaapidipagina"/>
          <w:rFonts w:ascii="Times New Roman" w:hAnsi="Times New Roman" w:cs="Times New Roman"/>
          <w:sz w:val="24"/>
          <w:szCs w:val="24"/>
        </w:rPr>
        <w:footnoteReference w:id="38"/>
      </w:r>
      <w:r>
        <w:rPr>
          <w:rFonts w:ascii="Times New Roman" w:hAnsi="Times New Roman" w:cs="Times New Roman"/>
          <w:sz w:val="24"/>
          <w:szCs w:val="24"/>
        </w:rPr>
        <w:t>.</w:t>
      </w:r>
    </w:p>
    <w:p w14:paraId="4261D9B9" w14:textId="7FA9D9E4"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secondo luogo, occorre segnalare il criticabile arretramento compiuto dal legislatore rispetto al testo proposto dalla Commissione, con particolare riferimento alla soluzione da questa indicata </w:t>
      </w:r>
      <w:r w:rsidR="002D13D1">
        <w:rPr>
          <w:rFonts w:ascii="Times New Roman" w:hAnsi="Times New Roman" w:cs="Times New Roman"/>
          <w:sz w:val="24"/>
          <w:szCs w:val="24"/>
        </w:rPr>
        <w:t>con riferimento</w:t>
      </w:r>
      <w:r>
        <w:rPr>
          <w:rFonts w:ascii="Times New Roman" w:hAnsi="Times New Roman" w:cs="Times New Roman"/>
          <w:sz w:val="24"/>
          <w:szCs w:val="24"/>
        </w:rPr>
        <w:t xml:space="preserve"> ad uno dei principali problemi che affligge il modulo della finanza di progetto, costituito dalla previsione del diritto di prelazione a favore del promotore, spesso di ostacolo, nella pratica, alla partecipazione di altri operatori alla seconda fase della procedura.</w:t>
      </w:r>
    </w:p>
    <w:p w14:paraId="3EEA71B6" w14:textId="77777777"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Commissione, per ovviare a tale effetto, aveva inserito, quale alternativa al diritto di prelazione, la possibilità di riconoscere al promotore un punteggio premiale (c.d. sistema alla cilena), da riferirsi anche al valore innovativo del progetto stesso, nella consapevolezza che nessuna opzione è comunque priva di difetti, atteso che anche questa, pur incentivando la partecipazione e la qualità progettuale, comporterebbe inevitabilmente un generale aumento dei costi (cfr. pag. 231-232 della relazione)</w:t>
      </w:r>
      <w:r>
        <w:rPr>
          <w:rStyle w:val="Rimandonotaapidipagina"/>
          <w:rFonts w:ascii="Times New Roman" w:hAnsi="Times New Roman" w:cs="Times New Roman"/>
          <w:sz w:val="24"/>
          <w:szCs w:val="24"/>
        </w:rPr>
        <w:footnoteReference w:id="39"/>
      </w:r>
      <w:r>
        <w:rPr>
          <w:rFonts w:ascii="Times New Roman" w:hAnsi="Times New Roman" w:cs="Times New Roman"/>
          <w:sz w:val="24"/>
          <w:szCs w:val="24"/>
        </w:rPr>
        <w:t>.</w:t>
      </w:r>
    </w:p>
    <w:p w14:paraId="43193559" w14:textId="77777777"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Sarebbe stato certamente preferibile consentire alla stazione appaltante la ponderazione fra detti interessi in concreto, avuto riguardo alle peculiarità dell’opera oggetto del progetto, piuttosto che escludere </w:t>
      </w:r>
      <w:r>
        <w:rPr>
          <w:rFonts w:ascii="Times New Roman" w:hAnsi="Times New Roman" w:cs="Times New Roman"/>
          <w:i/>
          <w:iCs/>
          <w:sz w:val="24"/>
          <w:szCs w:val="24"/>
        </w:rPr>
        <w:t>ex lege</w:t>
      </w:r>
      <w:r>
        <w:rPr>
          <w:rFonts w:ascii="Times New Roman" w:hAnsi="Times New Roman" w:cs="Times New Roman"/>
          <w:sz w:val="24"/>
          <w:szCs w:val="24"/>
        </w:rPr>
        <w:t xml:space="preserve"> la stessa possibilità di ricorrere a tale modalità alternativa di valorizzazione della posizione del promotore.</w:t>
      </w:r>
    </w:p>
    <w:p w14:paraId="39207631" w14:textId="412B5EDF" w:rsidR="003D2014" w:rsidRPr="00FB2106" w:rsidRDefault="00582E4B" w:rsidP="00C66F35">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3D2014">
        <w:rPr>
          <w:rFonts w:ascii="Times New Roman" w:hAnsi="Times New Roman" w:cs="Times New Roman"/>
          <w:sz w:val="24"/>
          <w:szCs w:val="24"/>
        </w:rPr>
        <w:t>are, invece, condivisibile la scelta del legislatore di prevedere l’obbligo di costituzione di una società di scopo (e la nuova denominazione rispetto a quella di società di progetto ha il dichiarato fine di ricondurre la finanza di progetto al modello europeo</w:t>
      </w:r>
      <w:r w:rsidR="006E0CB0">
        <w:rPr>
          <w:rFonts w:ascii="Times New Roman" w:hAnsi="Times New Roman" w:cs="Times New Roman"/>
          <w:sz w:val="24"/>
          <w:szCs w:val="24"/>
        </w:rPr>
        <w:t xml:space="preserve"> dello</w:t>
      </w:r>
      <w:r w:rsidR="003D2014">
        <w:rPr>
          <w:rFonts w:ascii="Times New Roman" w:hAnsi="Times New Roman" w:cs="Times New Roman"/>
          <w:sz w:val="24"/>
          <w:szCs w:val="24"/>
        </w:rPr>
        <w:t xml:space="preserve"> </w:t>
      </w:r>
      <w:r w:rsidR="003D2014">
        <w:rPr>
          <w:rFonts w:ascii="Times New Roman" w:hAnsi="Times New Roman" w:cs="Times New Roman"/>
          <w:i/>
          <w:iCs/>
          <w:sz w:val="24"/>
          <w:szCs w:val="24"/>
        </w:rPr>
        <w:t xml:space="preserve">special </w:t>
      </w:r>
      <w:proofErr w:type="spellStart"/>
      <w:r w:rsidR="003D2014">
        <w:rPr>
          <w:rFonts w:ascii="Times New Roman" w:hAnsi="Times New Roman" w:cs="Times New Roman"/>
          <w:i/>
          <w:iCs/>
          <w:sz w:val="24"/>
          <w:szCs w:val="24"/>
        </w:rPr>
        <w:t>purpose</w:t>
      </w:r>
      <w:proofErr w:type="spellEnd"/>
      <w:r w:rsidR="003D2014">
        <w:rPr>
          <w:rFonts w:ascii="Times New Roman" w:hAnsi="Times New Roman" w:cs="Times New Roman"/>
          <w:i/>
          <w:iCs/>
          <w:sz w:val="24"/>
          <w:szCs w:val="24"/>
        </w:rPr>
        <w:t xml:space="preserve"> </w:t>
      </w:r>
      <w:proofErr w:type="spellStart"/>
      <w:r w:rsidR="003D2014">
        <w:rPr>
          <w:rFonts w:ascii="Times New Roman" w:hAnsi="Times New Roman" w:cs="Times New Roman"/>
          <w:i/>
          <w:iCs/>
          <w:sz w:val="24"/>
          <w:szCs w:val="24"/>
        </w:rPr>
        <w:t>vehicle</w:t>
      </w:r>
      <w:proofErr w:type="spellEnd"/>
      <w:r w:rsidR="003D2014">
        <w:rPr>
          <w:rFonts w:ascii="Times New Roman" w:hAnsi="Times New Roman" w:cs="Times New Roman"/>
          <w:sz w:val="24"/>
          <w:szCs w:val="24"/>
        </w:rPr>
        <w:t>) solo per gli affidamenti di lavori sovra soglia e non, invece, quale regola generale, come originariamente proposto dalla Commissione, così lasciando una maggiore libertà alle stazioni appaltanti e agli stessi operatori economici, cui, d’altra parte, oggi l’art. 198, comma 2 riconosce sempre il diritto di “</w:t>
      </w:r>
      <w:r w:rsidR="003D2014" w:rsidRPr="0021132D">
        <w:rPr>
          <w:rFonts w:ascii="Times New Roman" w:hAnsi="Times New Roman" w:cs="Times New Roman"/>
          <w:i/>
          <w:iCs/>
          <w:sz w:val="24"/>
          <w:szCs w:val="24"/>
        </w:rPr>
        <w:t>avvalersi, anche al di fuori della finanza di progetto, della facoltà di costituire una società di scopo</w:t>
      </w:r>
      <w:r w:rsidR="003D2014">
        <w:rPr>
          <w:rFonts w:ascii="Times New Roman" w:hAnsi="Times New Roman" w:cs="Times New Roman"/>
          <w:sz w:val="24"/>
          <w:szCs w:val="24"/>
        </w:rPr>
        <w:t>”.</w:t>
      </w:r>
    </w:p>
    <w:p w14:paraId="2D630DFE" w14:textId="641E7270" w:rsidR="003D2014" w:rsidRDefault="003D2014" w:rsidP="00510024">
      <w:pPr>
        <w:spacing w:after="0" w:line="36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5.- </w:t>
      </w:r>
      <w:r>
        <w:rPr>
          <w:rFonts w:ascii="Times New Roman" w:hAnsi="Times New Roman" w:cs="Times New Roman"/>
          <w:b/>
          <w:bCs/>
          <w:i/>
          <w:iCs/>
          <w:sz w:val="24"/>
          <w:szCs w:val="24"/>
        </w:rPr>
        <w:t>La fase esecutiva</w:t>
      </w:r>
      <w:r w:rsidR="00A85599">
        <w:rPr>
          <w:rFonts w:ascii="Times New Roman" w:hAnsi="Times New Roman" w:cs="Times New Roman"/>
          <w:b/>
          <w:bCs/>
          <w:i/>
          <w:iCs/>
          <w:sz w:val="24"/>
          <w:szCs w:val="24"/>
        </w:rPr>
        <w:t xml:space="preserve"> e l</w:t>
      </w:r>
      <w:r>
        <w:rPr>
          <w:rFonts w:ascii="Times New Roman" w:hAnsi="Times New Roman" w:cs="Times New Roman"/>
          <w:b/>
          <w:bCs/>
          <w:i/>
          <w:iCs/>
          <w:sz w:val="24"/>
          <w:szCs w:val="24"/>
        </w:rPr>
        <w:t>a lezione della pandemia.</w:t>
      </w:r>
    </w:p>
    <w:p w14:paraId="4C1C9B18" w14:textId="3A6E61F3" w:rsidR="003D2014" w:rsidRPr="004216CB"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questa breve panoramica, inevitabilmente incompleta, merita un cenno la disciplina dettata dal codice in materia di esecuzione dei contratti di partenariato</w:t>
      </w:r>
      <w:r w:rsidR="009F3E15">
        <w:rPr>
          <w:rStyle w:val="Rimandonotaapidipagina"/>
          <w:rFonts w:ascii="Times New Roman" w:hAnsi="Times New Roman" w:cs="Times New Roman"/>
          <w:sz w:val="24"/>
          <w:szCs w:val="24"/>
        </w:rPr>
        <w:footnoteReference w:id="40"/>
      </w:r>
      <w:r>
        <w:rPr>
          <w:rFonts w:ascii="Times New Roman" w:hAnsi="Times New Roman" w:cs="Times New Roman"/>
          <w:sz w:val="24"/>
          <w:szCs w:val="24"/>
        </w:rPr>
        <w:t xml:space="preserve">, di cui al titolo III della parte II del libro </w:t>
      </w:r>
      <w:r>
        <w:rPr>
          <w:rFonts w:ascii="Times New Roman" w:hAnsi="Times New Roman" w:cs="Times New Roman"/>
          <w:i/>
          <w:iCs/>
          <w:sz w:val="24"/>
          <w:szCs w:val="24"/>
        </w:rPr>
        <w:t>de quo</w:t>
      </w:r>
      <w:r>
        <w:rPr>
          <w:rFonts w:ascii="Times New Roman" w:hAnsi="Times New Roman" w:cs="Times New Roman"/>
          <w:sz w:val="24"/>
          <w:szCs w:val="24"/>
        </w:rPr>
        <w:t xml:space="preserve">, dedicata alle concessioni, ma applicabile a tutti i PPP </w:t>
      </w:r>
      <w:r>
        <w:rPr>
          <w:rFonts w:ascii="Times New Roman" w:hAnsi="Times New Roman" w:cs="Times New Roman"/>
          <w:i/>
          <w:iCs/>
          <w:sz w:val="24"/>
          <w:szCs w:val="24"/>
        </w:rPr>
        <w:t>ex</w:t>
      </w:r>
      <w:r>
        <w:rPr>
          <w:rFonts w:ascii="Times New Roman" w:hAnsi="Times New Roman" w:cs="Times New Roman"/>
          <w:sz w:val="24"/>
          <w:szCs w:val="24"/>
        </w:rPr>
        <w:t xml:space="preserve"> art. 174, comma 3.</w:t>
      </w:r>
    </w:p>
    <w:p w14:paraId="0076CF0D" w14:textId="61B25BE9"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Ciò per due principali motivi: da un lato, questi contratti – come ci ricorda anche l’art. 178 – costituiscono rapporti di durata, spesso molto </w:t>
      </w:r>
      <w:r w:rsidR="0072773F">
        <w:rPr>
          <w:rFonts w:ascii="Times New Roman" w:hAnsi="Times New Roman" w:cs="Times New Roman"/>
          <w:sz w:val="24"/>
          <w:szCs w:val="24"/>
        </w:rPr>
        <w:t>ampi</w:t>
      </w:r>
      <w:r>
        <w:rPr>
          <w:rFonts w:ascii="Times New Roman" w:hAnsi="Times New Roman" w:cs="Times New Roman"/>
          <w:sz w:val="24"/>
          <w:szCs w:val="24"/>
        </w:rPr>
        <w:t xml:space="preserve"> nel tempo, in quanto devono remunerare gli investimenti, effettuati e da effettuare, dall’aggiudicatario; dall’altro, per la particolare attenzione che </w:t>
      </w:r>
      <w:r w:rsidR="00582E4B">
        <w:rPr>
          <w:rFonts w:ascii="Times New Roman" w:hAnsi="Times New Roman" w:cs="Times New Roman"/>
          <w:sz w:val="24"/>
          <w:szCs w:val="24"/>
        </w:rPr>
        <w:t xml:space="preserve">negli ultimi anni, a causa del fenomeno pandemico e dalla guerra, è stata tributata, dalla dottrina e dalla giurisprudenza, </w:t>
      </w:r>
      <w:r>
        <w:rPr>
          <w:rFonts w:ascii="Times New Roman" w:hAnsi="Times New Roman" w:cs="Times New Roman"/>
          <w:sz w:val="24"/>
          <w:szCs w:val="24"/>
        </w:rPr>
        <w:t>proprio alla fase esecutiva dei contratti, anche pubblici.</w:t>
      </w:r>
    </w:p>
    <w:p w14:paraId="1E2C8D79" w14:textId="6734C60B"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primo luogo, </w:t>
      </w:r>
      <w:r w:rsidR="00582E4B">
        <w:rPr>
          <w:rFonts w:ascii="Times New Roman" w:hAnsi="Times New Roman" w:cs="Times New Roman"/>
          <w:sz w:val="24"/>
          <w:szCs w:val="24"/>
        </w:rPr>
        <w:t xml:space="preserve">occorre rilevare che, </w:t>
      </w:r>
      <w:r>
        <w:rPr>
          <w:rFonts w:ascii="Times New Roman" w:hAnsi="Times New Roman" w:cs="Times New Roman"/>
          <w:sz w:val="24"/>
          <w:szCs w:val="24"/>
        </w:rPr>
        <w:t xml:space="preserve">in ossequio al criterio di cui alla lett. </w:t>
      </w:r>
      <w:r>
        <w:rPr>
          <w:rFonts w:ascii="Times New Roman" w:hAnsi="Times New Roman" w:cs="Times New Roman"/>
          <w:i/>
          <w:iCs/>
          <w:sz w:val="24"/>
          <w:szCs w:val="24"/>
        </w:rPr>
        <w:t>ff)</w:t>
      </w:r>
      <w:r>
        <w:rPr>
          <w:rFonts w:ascii="Times New Roman" w:hAnsi="Times New Roman" w:cs="Times New Roman"/>
          <w:sz w:val="24"/>
          <w:szCs w:val="24"/>
        </w:rPr>
        <w:t xml:space="preserve"> della legge delega, </w:t>
      </w:r>
      <w:r w:rsidR="00582E4B">
        <w:rPr>
          <w:rFonts w:ascii="Times New Roman" w:hAnsi="Times New Roman" w:cs="Times New Roman"/>
          <w:sz w:val="24"/>
          <w:szCs w:val="24"/>
        </w:rPr>
        <w:t>il codice ha</w:t>
      </w:r>
      <w:r>
        <w:rPr>
          <w:rFonts w:ascii="Times New Roman" w:hAnsi="Times New Roman" w:cs="Times New Roman"/>
          <w:sz w:val="24"/>
          <w:szCs w:val="24"/>
        </w:rPr>
        <w:t xml:space="preserve"> sancito il divieto di proroga dei contratti di PPP, salvo nel caso di revisione degli stessi (art. 178, comma 5; su cui </w:t>
      </w:r>
      <w:r>
        <w:rPr>
          <w:rFonts w:ascii="Times New Roman" w:hAnsi="Times New Roman" w:cs="Times New Roman"/>
          <w:i/>
          <w:iCs/>
          <w:sz w:val="24"/>
          <w:szCs w:val="24"/>
        </w:rPr>
        <w:t>infra</w:t>
      </w:r>
      <w:r>
        <w:rPr>
          <w:rFonts w:ascii="Times New Roman" w:hAnsi="Times New Roman" w:cs="Times New Roman"/>
          <w:sz w:val="24"/>
          <w:szCs w:val="24"/>
        </w:rPr>
        <w:t>).</w:t>
      </w:r>
    </w:p>
    <w:p w14:paraId="2E3C2B5B" w14:textId="5C0A7960" w:rsidR="003D2014" w:rsidRDefault="00582E4B"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Non</w:t>
      </w:r>
      <w:r w:rsidR="003D2014">
        <w:rPr>
          <w:rFonts w:ascii="Times New Roman" w:hAnsi="Times New Roman" w:cs="Times New Roman"/>
          <w:sz w:val="24"/>
          <w:szCs w:val="24"/>
        </w:rPr>
        <w:t xml:space="preserve"> </w:t>
      </w:r>
      <w:r>
        <w:rPr>
          <w:rFonts w:ascii="Times New Roman" w:hAnsi="Times New Roman" w:cs="Times New Roman"/>
          <w:sz w:val="24"/>
          <w:szCs w:val="24"/>
        </w:rPr>
        <w:t>è</w:t>
      </w:r>
      <w:r w:rsidR="003D2014">
        <w:rPr>
          <w:rFonts w:ascii="Times New Roman" w:hAnsi="Times New Roman" w:cs="Times New Roman"/>
          <w:sz w:val="24"/>
          <w:szCs w:val="24"/>
        </w:rPr>
        <w:t xml:space="preserve"> stata</w:t>
      </w:r>
      <w:r>
        <w:rPr>
          <w:rFonts w:ascii="Times New Roman" w:hAnsi="Times New Roman" w:cs="Times New Roman"/>
          <w:sz w:val="24"/>
          <w:szCs w:val="24"/>
        </w:rPr>
        <w:t>,</w:t>
      </w:r>
      <w:r w:rsidR="003D2014">
        <w:rPr>
          <w:rFonts w:ascii="Times New Roman" w:hAnsi="Times New Roman" w:cs="Times New Roman"/>
          <w:sz w:val="24"/>
          <w:szCs w:val="24"/>
        </w:rPr>
        <w:t xml:space="preserve"> invece</w:t>
      </w:r>
      <w:r>
        <w:rPr>
          <w:rFonts w:ascii="Times New Roman" w:hAnsi="Times New Roman" w:cs="Times New Roman"/>
          <w:sz w:val="24"/>
          <w:szCs w:val="24"/>
        </w:rPr>
        <w:t>,</w:t>
      </w:r>
      <w:r w:rsidR="003D2014">
        <w:rPr>
          <w:rFonts w:ascii="Times New Roman" w:hAnsi="Times New Roman" w:cs="Times New Roman"/>
          <w:sz w:val="24"/>
          <w:szCs w:val="24"/>
        </w:rPr>
        <w:t xml:space="preserve"> prevista la proroga c.d. tecnica (ad eccezione per l’ipotesi, speciale, delle concessioni autostradali), diversamente da quanto disposto dall’art. 120, comma 11 per gli appalti.</w:t>
      </w:r>
    </w:p>
    <w:p w14:paraId="55581813" w14:textId="77777777"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Attese la auto-</w:t>
      </w:r>
      <w:proofErr w:type="spellStart"/>
      <w:r>
        <w:rPr>
          <w:rFonts w:ascii="Times New Roman" w:hAnsi="Times New Roman" w:cs="Times New Roman"/>
          <w:sz w:val="24"/>
          <w:szCs w:val="24"/>
        </w:rPr>
        <w:t>conclusività</w:t>
      </w:r>
      <w:proofErr w:type="spellEnd"/>
      <w:r>
        <w:rPr>
          <w:rFonts w:ascii="Times New Roman" w:hAnsi="Times New Roman" w:cs="Times New Roman"/>
          <w:sz w:val="24"/>
          <w:szCs w:val="24"/>
        </w:rPr>
        <w:t xml:space="preserve"> del libro IV del codice, l’assenza di rinvii interni e la natura eccezionale di tale tipo di proroga</w:t>
      </w:r>
      <w:r>
        <w:rPr>
          <w:rStyle w:val="Rimandonotaapidipagina"/>
          <w:rFonts w:ascii="Times New Roman" w:hAnsi="Times New Roman" w:cs="Times New Roman"/>
          <w:sz w:val="24"/>
          <w:szCs w:val="24"/>
        </w:rPr>
        <w:footnoteReference w:id="41"/>
      </w:r>
      <w:r>
        <w:rPr>
          <w:rFonts w:ascii="Times New Roman" w:hAnsi="Times New Roman" w:cs="Times New Roman"/>
          <w:sz w:val="24"/>
          <w:szCs w:val="24"/>
        </w:rPr>
        <w:t>, si dovrebbe, dunque, ritenere che oggi – diversamente dal passato – sia preclusa alle Amministrazioni la facoltà di disporre la proroga c.d. tecnica dei contratti finanche “</w:t>
      </w:r>
      <w:r w:rsidRPr="00B0734A">
        <w:rPr>
          <w:rFonts w:ascii="Times New Roman" w:hAnsi="Times New Roman" w:cs="Times New Roman"/>
          <w:i/>
          <w:iCs/>
          <w:sz w:val="24"/>
          <w:szCs w:val="24"/>
        </w:rPr>
        <w:t>nei casi eccezionali nei quali risultino oggettivi e insuperabili ritardi nella conclusione della procedura di affidamento del contratto</w:t>
      </w:r>
      <w:r>
        <w:rPr>
          <w:rFonts w:ascii="Times New Roman" w:hAnsi="Times New Roman" w:cs="Times New Roman"/>
          <w:sz w:val="24"/>
          <w:szCs w:val="24"/>
        </w:rPr>
        <w:t xml:space="preserve">”. </w:t>
      </w:r>
    </w:p>
    <w:p w14:paraId="2FA07ED3" w14:textId="77777777"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Tale soluzione, imposta dalla legge delega, si spiega proprio con la durata tendenzialmente lunga del contratto – che deve essere chiaramente predefinita </w:t>
      </w:r>
      <w:r>
        <w:rPr>
          <w:rFonts w:ascii="Times New Roman" w:hAnsi="Times New Roman" w:cs="Times New Roman"/>
          <w:i/>
          <w:iCs/>
          <w:sz w:val="24"/>
          <w:szCs w:val="24"/>
        </w:rPr>
        <w:t>ex</w:t>
      </w:r>
      <w:r>
        <w:rPr>
          <w:rFonts w:ascii="Times New Roman" w:hAnsi="Times New Roman" w:cs="Times New Roman"/>
          <w:sz w:val="24"/>
          <w:szCs w:val="24"/>
        </w:rPr>
        <w:t xml:space="preserve"> art. 178, comma 1 –, che dovrebbe consentire alle Amministrazioni di predisporre per tempo l’avvio di una nuova procedura ad evidenza pubblica per l’aggiudicazione del contratto per il periodo successivo alla scadenza. </w:t>
      </w:r>
    </w:p>
    <w:p w14:paraId="3B2E2A09" w14:textId="77777777" w:rsidR="003D2014" w:rsidRPr="004C0940"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prassi consentirà di verificare quanto tale proposito potrà essere in concreto soddisfatto, ma non si può che avanzare qualche dubbio sull’opportunità di una sì rigida preclusione.</w:t>
      </w:r>
    </w:p>
    <w:p w14:paraId="750F7CC0" w14:textId="0DACA60E"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secondo luogo, </w:t>
      </w:r>
      <w:r w:rsidR="00582E4B">
        <w:rPr>
          <w:rFonts w:ascii="Times New Roman" w:hAnsi="Times New Roman" w:cs="Times New Roman"/>
          <w:sz w:val="24"/>
          <w:szCs w:val="24"/>
        </w:rPr>
        <w:t>con il codice si è persa l’occasione di dare</w:t>
      </w:r>
      <w:r>
        <w:rPr>
          <w:rFonts w:ascii="Times New Roman" w:hAnsi="Times New Roman" w:cs="Times New Roman"/>
          <w:sz w:val="24"/>
          <w:szCs w:val="24"/>
        </w:rPr>
        <w:t xml:space="preserve"> un contenuto concreto alla disposizione di cui all’art. 175 del codice previgente, oggi tradotta, pur con qualche modifica – più terminologica, che di sostanza – nell’art. 189, disciplinante la modifica del contratto durante il periodo di efficacia.</w:t>
      </w:r>
    </w:p>
    <w:p w14:paraId="6E31B7A6" w14:textId="73E9E600" w:rsidR="003D2014" w:rsidRDefault="00582E4B"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3D2014">
        <w:rPr>
          <w:rFonts w:ascii="Times New Roman" w:hAnsi="Times New Roman" w:cs="Times New Roman"/>
          <w:sz w:val="24"/>
          <w:szCs w:val="24"/>
        </w:rPr>
        <w:t>a disposizione sconta</w:t>
      </w:r>
      <w:r>
        <w:rPr>
          <w:rFonts w:ascii="Times New Roman" w:hAnsi="Times New Roman" w:cs="Times New Roman"/>
          <w:sz w:val="24"/>
          <w:szCs w:val="24"/>
        </w:rPr>
        <w:t xml:space="preserve">, evidentemente, </w:t>
      </w:r>
      <w:r w:rsidR="003D2014">
        <w:rPr>
          <w:rFonts w:ascii="Times New Roman" w:hAnsi="Times New Roman" w:cs="Times New Roman"/>
          <w:sz w:val="24"/>
          <w:szCs w:val="24"/>
        </w:rPr>
        <w:t>una eccessiva “</w:t>
      </w:r>
      <w:r w:rsidR="003D2014">
        <w:rPr>
          <w:rFonts w:ascii="Times New Roman" w:hAnsi="Times New Roman" w:cs="Times New Roman"/>
          <w:i/>
          <w:iCs/>
          <w:sz w:val="24"/>
          <w:szCs w:val="24"/>
        </w:rPr>
        <w:t>fedeltà</w:t>
      </w:r>
      <w:r w:rsidR="003D2014">
        <w:rPr>
          <w:rFonts w:ascii="Times New Roman" w:hAnsi="Times New Roman" w:cs="Times New Roman"/>
          <w:sz w:val="24"/>
          <w:szCs w:val="24"/>
        </w:rPr>
        <w:t>” al contenuto della direttiva n. 23 (art. 43), frutto forse di una lettura anch</w:t>
      </w:r>
      <w:r w:rsidR="003D2014" w:rsidRPr="00A84572">
        <w:rPr>
          <w:rFonts w:ascii="Times New Roman" w:hAnsi="Times New Roman" w:cs="Times New Roman"/>
          <w:sz w:val="24"/>
          <w:szCs w:val="24"/>
        </w:rPr>
        <w:t xml:space="preserve">’essa eccessivamente rigida </w:t>
      </w:r>
      <w:r w:rsidR="003D2014">
        <w:rPr>
          <w:rFonts w:ascii="Times New Roman" w:hAnsi="Times New Roman" w:cs="Times New Roman"/>
          <w:sz w:val="24"/>
          <w:szCs w:val="24"/>
        </w:rPr>
        <w:t xml:space="preserve">del criterio di delega sovra richiamato. </w:t>
      </w:r>
      <w:r w:rsidR="003D2014">
        <w:rPr>
          <w:rFonts w:ascii="Times New Roman" w:hAnsi="Times New Roman" w:cs="Times New Roman"/>
          <w:sz w:val="24"/>
          <w:szCs w:val="24"/>
        </w:rPr>
        <w:lastRenderedPageBreak/>
        <w:t>La estrema genericità della terminologia adoperata nel diritto positivo europeo, come sovra rilevato, necessita di essere colmata attraverso il rinvio alle categorie tradizionali nazionali, senza che per questo ne sia tradita l’origine, così da cercare di quanto meno ostacolare quella eclissi del diritto (civile) o, comunque, quella crisi della fattispecie da più parti denunciate</w:t>
      </w:r>
      <w:r w:rsidR="003D2014">
        <w:rPr>
          <w:rStyle w:val="Rimandonotaapidipagina"/>
          <w:rFonts w:ascii="Times New Roman" w:hAnsi="Times New Roman" w:cs="Times New Roman"/>
          <w:sz w:val="24"/>
          <w:szCs w:val="24"/>
        </w:rPr>
        <w:footnoteReference w:id="42"/>
      </w:r>
      <w:r w:rsidR="003D2014">
        <w:rPr>
          <w:rFonts w:ascii="Times New Roman" w:hAnsi="Times New Roman" w:cs="Times New Roman"/>
          <w:sz w:val="24"/>
          <w:szCs w:val="24"/>
        </w:rPr>
        <w:t>.</w:t>
      </w:r>
    </w:p>
    <w:p w14:paraId="045F5CB6" w14:textId="77777777" w:rsidR="003D2014" w:rsidRPr="00D17B81"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Ciò vale, in particolar modo, per il concetto di “</w:t>
      </w:r>
      <w:r>
        <w:rPr>
          <w:rFonts w:ascii="Times New Roman" w:hAnsi="Times New Roman" w:cs="Times New Roman"/>
          <w:i/>
          <w:iCs/>
          <w:sz w:val="24"/>
          <w:szCs w:val="24"/>
        </w:rPr>
        <w:t>natura generale della concessione</w:t>
      </w:r>
      <w:r>
        <w:rPr>
          <w:rFonts w:ascii="Times New Roman" w:hAnsi="Times New Roman" w:cs="Times New Roman"/>
          <w:sz w:val="24"/>
          <w:szCs w:val="24"/>
        </w:rPr>
        <w:t xml:space="preserve">” che assume valenza di limite generale per le ipotesi di modifica disciplinate dal comma 2 dell’art. 189, oltre che per quelle di cui al comma 1, lett. </w:t>
      </w:r>
      <w:r>
        <w:rPr>
          <w:rFonts w:ascii="Times New Roman" w:hAnsi="Times New Roman" w:cs="Times New Roman"/>
          <w:i/>
          <w:iCs/>
          <w:sz w:val="24"/>
          <w:szCs w:val="24"/>
        </w:rPr>
        <w:t>a)</w:t>
      </w:r>
      <w:r>
        <w:rPr>
          <w:rFonts w:ascii="Times New Roman" w:hAnsi="Times New Roman" w:cs="Times New Roman"/>
          <w:sz w:val="24"/>
          <w:szCs w:val="24"/>
        </w:rPr>
        <w:t xml:space="preserve"> e </w:t>
      </w:r>
      <w:r>
        <w:rPr>
          <w:rFonts w:ascii="Times New Roman" w:hAnsi="Times New Roman" w:cs="Times New Roman"/>
          <w:i/>
          <w:iCs/>
          <w:sz w:val="24"/>
          <w:szCs w:val="24"/>
        </w:rPr>
        <w:t>c)</w:t>
      </w:r>
      <w:r>
        <w:rPr>
          <w:rFonts w:ascii="Times New Roman" w:hAnsi="Times New Roman" w:cs="Times New Roman"/>
          <w:sz w:val="24"/>
          <w:szCs w:val="24"/>
        </w:rPr>
        <w:t xml:space="preserve">. </w:t>
      </w:r>
    </w:p>
    <w:p w14:paraId="597459E7" w14:textId="77777777" w:rsidR="003D2014" w:rsidRDefault="003D2014" w:rsidP="00510024">
      <w:pPr>
        <w:spacing w:after="0" w:line="360" w:lineRule="auto"/>
        <w:jc w:val="both"/>
        <w:rPr>
          <w:rFonts w:ascii="Times New Roman" w:hAnsi="Times New Roman" w:cs="Times New Roman"/>
          <w:sz w:val="24"/>
          <w:szCs w:val="24"/>
        </w:rPr>
      </w:pPr>
      <w:r w:rsidRPr="005B1098">
        <w:rPr>
          <w:rFonts w:ascii="Times New Roman" w:hAnsi="Times New Roman" w:cs="Times New Roman"/>
          <w:sz w:val="24"/>
          <w:szCs w:val="24"/>
        </w:rPr>
        <w:t>Né nel codice, né nella presupposta direttiva n. 2014/23/UE si rinviene una definizione della “</w:t>
      </w:r>
      <w:r w:rsidRPr="008E0BF3">
        <w:rPr>
          <w:rFonts w:ascii="Times New Roman" w:hAnsi="Times New Roman" w:cs="Times New Roman"/>
          <w:i/>
          <w:iCs/>
          <w:sz w:val="24"/>
          <w:szCs w:val="24"/>
        </w:rPr>
        <w:t>natura general</w:t>
      </w:r>
      <w:r w:rsidRPr="005B1098">
        <w:rPr>
          <w:rFonts w:ascii="Times New Roman" w:hAnsi="Times New Roman" w:cs="Times New Roman"/>
          <w:sz w:val="24"/>
          <w:szCs w:val="24"/>
        </w:rPr>
        <w:t>e” del contratto, né la stessa risulta specificamente affrontata dalla giurisprudenza nazionale</w:t>
      </w:r>
      <w:r>
        <w:rPr>
          <w:rFonts w:ascii="Times New Roman" w:hAnsi="Times New Roman" w:cs="Times New Roman"/>
          <w:sz w:val="24"/>
          <w:szCs w:val="24"/>
        </w:rPr>
        <w:t xml:space="preserve"> </w:t>
      </w:r>
      <w:r w:rsidRPr="00A165F6">
        <w:rPr>
          <w:rFonts w:ascii="Times New Roman" w:hAnsi="Times New Roman" w:cs="Times New Roman"/>
          <w:sz w:val="24"/>
          <w:szCs w:val="24"/>
        </w:rPr>
        <w:t>– e ciò si spiega perché, come rilevato anche nella relazione di accompagnamento, tale previsione ha avuto nella prassi scarsissima applicazione.</w:t>
      </w:r>
    </w:p>
    <w:p w14:paraId="5FA9DE10" w14:textId="77777777"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Inoltre, di assai difficile definizione risulta il rapporto fra tale concetto e quello di “</w:t>
      </w:r>
      <w:r w:rsidRPr="0007144C">
        <w:rPr>
          <w:rFonts w:ascii="Times New Roman" w:hAnsi="Times New Roman" w:cs="Times New Roman"/>
          <w:i/>
          <w:iCs/>
          <w:sz w:val="24"/>
          <w:szCs w:val="24"/>
        </w:rPr>
        <w:t>modifica sostanziale</w:t>
      </w:r>
      <w:r>
        <w:rPr>
          <w:rFonts w:ascii="Times New Roman" w:hAnsi="Times New Roman" w:cs="Times New Roman"/>
          <w:sz w:val="24"/>
          <w:szCs w:val="24"/>
        </w:rPr>
        <w:t xml:space="preserve">” del contratto (rilevante ai sensi del comma 1, lett. </w:t>
      </w:r>
      <w:r>
        <w:rPr>
          <w:rFonts w:ascii="Times New Roman" w:hAnsi="Times New Roman" w:cs="Times New Roman"/>
          <w:i/>
          <w:iCs/>
          <w:sz w:val="24"/>
          <w:szCs w:val="24"/>
        </w:rPr>
        <w:t>e)</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specie oggi che il comma 4 dell’art. 189, quasi filosoficamente, afferma che una modifica sarebbe da ritenersi tale “</w:t>
      </w:r>
      <w:r>
        <w:rPr>
          <w:rFonts w:ascii="Times New Roman" w:hAnsi="Times New Roman" w:cs="Times New Roman"/>
          <w:i/>
          <w:iCs/>
          <w:sz w:val="24"/>
          <w:szCs w:val="24"/>
        </w:rPr>
        <w:t>se la natura della concessione muta nella sua essenza rispetto a quella inizialmente conclusa</w:t>
      </w:r>
      <w:r>
        <w:rPr>
          <w:rFonts w:ascii="Times New Roman" w:hAnsi="Times New Roman" w:cs="Times New Roman"/>
          <w:sz w:val="24"/>
          <w:szCs w:val="24"/>
        </w:rPr>
        <w:t xml:space="preserve">”. </w:t>
      </w:r>
    </w:p>
    <w:p w14:paraId="12B90247" w14:textId="77777777"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è vero che tale previsione è comunque preferibile a quella della direttiva, che tautologicamente dispone che la modifica è da considerarsi sostanziale se “</w:t>
      </w:r>
      <w:r w:rsidRPr="00BC0AEC">
        <w:rPr>
          <w:rFonts w:ascii="Times New Roman" w:hAnsi="Times New Roman" w:cs="Times New Roman"/>
          <w:i/>
          <w:iCs/>
          <w:sz w:val="24"/>
          <w:szCs w:val="24"/>
        </w:rPr>
        <w:t>muta sostanzialmente la natura della concessione rispetto a quella inizialmente conclusa</w:t>
      </w:r>
      <w:r>
        <w:rPr>
          <w:rFonts w:ascii="Times New Roman" w:hAnsi="Times New Roman" w:cs="Times New Roman"/>
          <w:sz w:val="24"/>
          <w:szCs w:val="24"/>
        </w:rPr>
        <w:t xml:space="preserve">”, forse avrebbe meritato di essere conservato, almeno </w:t>
      </w:r>
      <w:r>
        <w:rPr>
          <w:rFonts w:ascii="Times New Roman" w:hAnsi="Times New Roman" w:cs="Times New Roman"/>
          <w:i/>
          <w:iCs/>
          <w:sz w:val="24"/>
          <w:szCs w:val="24"/>
        </w:rPr>
        <w:t>in parte qua</w:t>
      </w:r>
      <w:r>
        <w:rPr>
          <w:rFonts w:ascii="Times New Roman" w:hAnsi="Times New Roman" w:cs="Times New Roman"/>
          <w:sz w:val="24"/>
          <w:szCs w:val="24"/>
        </w:rPr>
        <w:t>, lo sforzo qualificatorio effettuato dal precedente art. 175, comma 7, che definiva “</w:t>
      </w:r>
      <w:r>
        <w:rPr>
          <w:rFonts w:ascii="Times New Roman" w:hAnsi="Times New Roman" w:cs="Times New Roman"/>
          <w:i/>
          <w:iCs/>
          <w:sz w:val="24"/>
          <w:szCs w:val="24"/>
        </w:rPr>
        <w:t>sostanziale</w:t>
      </w:r>
      <w:r>
        <w:rPr>
          <w:rFonts w:ascii="Times New Roman" w:hAnsi="Times New Roman" w:cs="Times New Roman"/>
          <w:sz w:val="24"/>
          <w:szCs w:val="24"/>
        </w:rPr>
        <w:t>” la modifica che “</w:t>
      </w:r>
      <w:r>
        <w:rPr>
          <w:rFonts w:ascii="Times New Roman" w:hAnsi="Times New Roman" w:cs="Times New Roman"/>
          <w:i/>
          <w:iCs/>
          <w:sz w:val="24"/>
          <w:szCs w:val="24"/>
        </w:rPr>
        <w:t>altera considerevolmente gli elementi essenziali del contratto</w:t>
      </w:r>
      <w:r>
        <w:rPr>
          <w:rFonts w:ascii="Times New Roman" w:hAnsi="Times New Roman" w:cs="Times New Roman"/>
          <w:sz w:val="24"/>
          <w:szCs w:val="24"/>
        </w:rPr>
        <w:t>”, così richiamando categorie un po’ più note al nostro ordinamento.</w:t>
      </w:r>
    </w:p>
    <w:p w14:paraId="5E9917F0" w14:textId="64FDC407" w:rsidR="003D2014" w:rsidRDefault="00582E4B"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 maggior rigore dogmatico, </w:t>
      </w:r>
      <w:r w:rsidR="003D2014">
        <w:rPr>
          <w:rFonts w:ascii="Times New Roman" w:hAnsi="Times New Roman" w:cs="Times New Roman"/>
          <w:sz w:val="24"/>
          <w:szCs w:val="24"/>
        </w:rPr>
        <w:t>si potrebbe tentare</w:t>
      </w:r>
      <w:r>
        <w:rPr>
          <w:rFonts w:ascii="Times New Roman" w:hAnsi="Times New Roman" w:cs="Times New Roman"/>
          <w:sz w:val="24"/>
          <w:szCs w:val="24"/>
        </w:rPr>
        <w:t xml:space="preserve"> </w:t>
      </w:r>
      <w:r w:rsidR="003D2014">
        <w:rPr>
          <w:rFonts w:ascii="Times New Roman" w:hAnsi="Times New Roman" w:cs="Times New Roman"/>
          <w:sz w:val="24"/>
          <w:szCs w:val="24"/>
        </w:rPr>
        <w:t>di ricondurre la nozione di “</w:t>
      </w:r>
      <w:r w:rsidR="003D2014">
        <w:rPr>
          <w:rFonts w:ascii="Times New Roman" w:hAnsi="Times New Roman" w:cs="Times New Roman"/>
          <w:i/>
          <w:iCs/>
          <w:sz w:val="24"/>
          <w:szCs w:val="24"/>
        </w:rPr>
        <w:t>natura generale</w:t>
      </w:r>
      <w:r w:rsidR="003D2014">
        <w:rPr>
          <w:rFonts w:ascii="Times New Roman" w:hAnsi="Times New Roman" w:cs="Times New Roman"/>
          <w:sz w:val="24"/>
          <w:szCs w:val="24"/>
        </w:rPr>
        <w:t>” del contratto a quella, ben conosciuta, di causa, funzione del contratto;</w:t>
      </w:r>
      <w:r w:rsidR="003D2014" w:rsidRPr="005B1098">
        <w:rPr>
          <w:rFonts w:ascii="Times New Roman" w:hAnsi="Times New Roman" w:cs="Times New Roman"/>
          <w:sz w:val="24"/>
          <w:szCs w:val="24"/>
        </w:rPr>
        <w:t xml:space="preserve"> sicché si </w:t>
      </w:r>
      <w:r w:rsidR="003D2014">
        <w:rPr>
          <w:rFonts w:ascii="Times New Roman" w:hAnsi="Times New Roman" w:cs="Times New Roman"/>
          <w:sz w:val="24"/>
          <w:szCs w:val="24"/>
        </w:rPr>
        <w:t>avrebbe</w:t>
      </w:r>
      <w:r w:rsidR="003D2014" w:rsidRPr="005B1098">
        <w:rPr>
          <w:rFonts w:ascii="Times New Roman" w:hAnsi="Times New Roman" w:cs="Times New Roman"/>
          <w:sz w:val="24"/>
          <w:szCs w:val="24"/>
        </w:rPr>
        <w:t xml:space="preserve"> incisione sulla stessa allorché, ad esempio, le modifiche comportino un sostanziale svuotamento del rischio operativo sotteso alla originaria concessione, sì da trasformarla in un appalto, ovvero allorquando si inseriscano nell’oggetto del contratto una serie di prestazioni allo stesso totalmente estranee</w:t>
      </w:r>
      <w:r w:rsidR="003D2014">
        <w:rPr>
          <w:rStyle w:val="Rimandonotaapidipagina"/>
          <w:rFonts w:ascii="Times New Roman" w:hAnsi="Times New Roman" w:cs="Times New Roman"/>
          <w:sz w:val="24"/>
          <w:szCs w:val="24"/>
        </w:rPr>
        <w:footnoteReference w:id="43"/>
      </w:r>
      <w:r w:rsidR="003D2014">
        <w:rPr>
          <w:rFonts w:ascii="Times New Roman" w:hAnsi="Times New Roman" w:cs="Times New Roman"/>
          <w:sz w:val="24"/>
          <w:szCs w:val="24"/>
        </w:rPr>
        <w:t>.</w:t>
      </w:r>
    </w:p>
    <w:p w14:paraId="32382A3B" w14:textId="77777777"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Particolare ipotesi di modifica del contratto – senza che, però, di tale rapporto si curi il legislatore nazionale, in assenza di indicazioni da parte della direttiva – è la revisione, disciplinata oggi da una </w:t>
      </w:r>
      <w:r>
        <w:rPr>
          <w:rFonts w:ascii="Times New Roman" w:hAnsi="Times New Roman" w:cs="Times New Roman"/>
          <w:sz w:val="24"/>
          <w:szCs w:val="24"/>
        </w:rPr>
        <w:lastRenderedPageBreak/>
        <w:t>disposizione autonoma (art. 192), diversamente rispetto al codice precedente, che alla stessa riservava solo un limitatissimo spazio (artt. 165, comma 6 e 182, comma 3).</w:t>
      </w:r>
    </w:p>
    <w:p w14:paraId="2FB8DD52" w14:textId="77777777"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L’origine di tale scelta, innovativa, è chiaramente da rinvenirsi nelle ben note problematiche sorte con riferimento a tutti i contratti di durata e, quindi, anche per quelli pubblici, nel periodo pandemico, che hanno imposto una rinnovata riflessione circa la necessaria previsione in via generale di rimedi manutentivi del rapporto sinallagmatico a fronte di sopravvenienze non previste e non prevedibili al momento della stipulazione</w:t>
      </w:r>
      <w:r>
        <w:rPr>
          <w:rStyle w:val="Rimandonotaapidipagina"/>
          <w:rFonts w:ascii="Times New Roman" w:hAnsi="Times New Roman" w:cs="Times New Roman"/>
          <w:sz w:val="24"/>
          <w:szCs w:val="24"/>
        </w:rPr>
        <w:footnoteReference w:id="44"/>
      </w:r>
      <w:r>
        <w:rPr>
          <w:rFonts w:ascii="Times New Roman" w:hAnsi="Times New Roman" w:cs="Times New Roman"/>
          <w:sz w:val="24"/>
          <w:szCs w:val="24"/>
        </w:rPr>
        <w:t>.</w:t>
      </w:r>
    </w:p>
    <w:p w14:paraId="620F5BFE" w14:textId="23373A5B"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tale esigenza rispondono oggi, in via generale, la innovativa previsione del principio di “</w:t>
      </w:r>
      <w:r>
        <w:rPr>
          <w:rFonts w:ascii="Times New Roman" w:hAnsi="Times New Roman" w:cs="Times New Roman"/>
          <w:i/>
          <w:iCs/>
          <w:sz w:val="24"/>
          <w:szCs w:val="24"/>
        </w:rPr>
        <w:t>conservazione dell’equilibrio contrattuale</w:t>
      </w:r>
      <w:r>
        <w:rPr>
          <w:rFonts w:ascii="Times New Roman" w:hAnsi="Times New Roman" w:cs="Times New Roman"/>
          <w:sz w:val="24"/>
          <w:szCs w:val="24"/>
        </w:rPr>
        <w:t>”, cristallizzato all’art</w:t>
      </w:r>
      <w:r w:rsidRPr="008B0538">
        <w:rPr>
          <w:rFonts w:ascii="Times New Roman" w:hAnsi="Times New Roman" w:cs="Times New Roman"/>
          <w:sz w:val="24"/>
          <w:szCs w:val="24"/>
        </w:rPr>
        <w:t>. 9</w:t>
      </w:r>
      <w:r>
        <w:rPr>
          <w:rFonts w:ascii="Times New Roman" w:hAnsi="Times New Roman" w:cs="Times New Roman"/>
          <w:sz w:val="24"/>
          <w:szCs w:val="24"/>
        </w:rPr>
        <w:t xml:space="preserve"> del codice, nonché la disposizione di cui all’art. 60, che </w:t>
      </w:r>
      <w:r w:rsidR="00946EB9">
        <w:rPr>
          <w:rFonts w:ascii="Times New Roman" w:hAnsi="Times New Roman" w:cs="Times New Roman"/>
          <w:sz w:val="24"/>
          <w:szCs w:val="24"/>
        </w:rPr>
        <w:t>ripropone</w:t>
      </w:r>
      <w:r>
        <w:rPr>
          <w:rStyle w:val="Rimandonotaapidipagina"/>
          <w:rFonts w:ascii="Times New Roman" w:hAnsi="Times New Roman" w:cs="Times New Roman"/>
          <w:sz w:val="24"/>
          <w:szCs w:val="24"/>
        </w:rPr>
        <w:footnoteReference w:id="45"/>
      </w:r>
      <w:r>
        <w:rPr>
          <w:rFonts w:ascii="Times New Roman" w:hAnsi="Times New Roman" w:cs="Times New Roman"/>
          <w:i/>
          <w:iCs/>
          <w:sz w:val="24"/>
          <w:szCs w:val="24"/>
        </w:rPr>
        <w:t xml:space="preserve"> </w:t>
      </w:r>
      <w:r>
        <w:rPr>
          <w:rFonts w:ascii="Times New Roman" w:hAnsi="Times New Roman" w:cs="Times New Roman"/>
          <w:sz w:val="24"/>
          <w:szCs w:val="24"/>
        </w:rPr>
        <w:t xml:space="preserve">l’obbligo di inserimento di clausole di revisione prezzi in tutti i contratti pubblici, sulla falsariga delle clausole di </w:t>
      </w:r>
      <w:proofErr w:type="spellStart"/>
      <w:r>
        <w:rPr>
          <w:rFonts w:ascii="Times New Roman" w:hAnsi="Times New Roman" w:cs="Times New Roman"/>
          <w:i/>
          <w:iCs/>
          <w:sz w:val="24"/>
          <w:szCs w:val="24"/>
        </w:rPr>
        <w:t>hardship</w:t>
      </w:r>
      <w:proofErr w:type="spellEnd"/>
      <w:r>
        <w:rPr>
          <w:rFonts w:ascii="Times New Roman" w:hAnsi="Times New Roman" w:cs="Times New Roman"/>
          <w:sz w:val="24"/>
          <w:szCs w:val="24"/>
        </w:rPr>
        <w:t xml:space="preserve"> note al commercio internazionale, che si attivano automaticamente al ricorrere dei presupposti ivi previsti (e che, a quanto consta, dovrebbero ritenersi vincolanti sia </w:t>
      </w:r>
      <w:proofErr w:type="spellStart"/>
      <w:r>
        <w:rPr>
          <w:rFonts w:ascii="Times New Roman" w:hAnsi="Times New Roman" w:cs="Times New Roman"/>
          <w:sz w:val="24"/>
          <w:szCs w:val="24"/>
        </w:rPr>
        <w:t>nell’</w:t>
      </w:r>
      <w:r>
        <w:rPr>
          <w:rFonts w:ascii="Times New Roman" w:hAnsi="Times New Roman" w:cs="Times New Roman"/>
          <w:i/>
          <w:iCs/>
          <w:sz w:val="24"/>
          <w:szCs w:val="24"/>
        </w:rPr>
        <w:t>an</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che nel </w:t>
      </w:r>
      <w:r>
        <w:rPr>
          <w:rFonts w:ascii="Times New Roman" w:hAnsi="Times New Roman" w:cs="Times New Roman"/>
          <w:i/>
          <w:iCs/>
          <w:sz w:val="24"/>
          <w:szCs w:val="24"/>
        </w:rPr>
        <w:t>quantum</w:t>
      </w:r>
      <w:r>
        <w:rPr>
          <w:rFonts w:ascii="Times New Roman" w:hAnsi="Times New Roman" w:cs="Times New Roman"/>
          <w:sz w:val="24"/>
          <w:szCs w:val="24"/>
        </w:rPr>
        <w:t>).</w:t>
      </w:r>
    </w:p>
    <w:p w14:paraId="02490AE0" w14:textId="0AE47716"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medesima </w:t>
      </w:r>
      <w:r>
        <w:rPr>
          <w:rFonts w:ascii="Times New Roman" w:hAnsi="Times New Roman" w:cs="Times New Roman"/>
          <w:i/>
          <w:iCs/>
          <w:sz w:val="24"/>
          <w:szCs w:val="24"/>
        </w:rPr>
        <w:t>ratio</w:t>
      </w:r>
      <w:r>
        <w:rPr>
          <w:rFonts w:ascii="Times New Roman" w:hAnsi="Times New Roman" w:cs="Times New Roman"/>
          <w:sz w:val="24"/>
          <w:szCs w:val="24"/>
        </w:rPr>
        <w:t xml:space="preserve"> è, come si è detto, sottesa alla </w:t>
      </w:r>
      <w:r w:rsidR="00946EB9">
        <w:rPr>
          <w:rFonts w:ascii="Times New Roman" w:hAnsi="Times New Roman" w:cs="Times New Roman"/>
          <w:sz w:val="24"/>
          <w:szCs w:val="24"/>
        </w:rPr>
        <w:t>disposizione</w:t>
      </w:r>
      <w:r>
        <w:rPr>
          <w:rFonts w:ascii="Times New Roman" w:hAnsi="Times New Roman" w:cs="Times New Roman"/>
          <w:sz w:val="24"/>
          <w:szCs w:val="24"/>
        </w:rPr>
        <w:t>, speciale per i contratti di PPP, di cui all’art. 192, che sancisce il diritto dei concessionari – ma si deve ritenere che sia diritto proprio anche della stazione appaltante – di chiedere la revisione degli stessi in caso di “</w:t>
      </w:r>
      <w:r>
        <w:rPr>
          <w:rFonts w:ascii="Times New Roman" w:hAnsi="Times New Roman" w:cs="Times New Roman"/>
          <w:i/>
          <w:iCs/>
          <w:sz w:val="24"/>
          <w:szCs w:val="24"/>
        </w:rPr>
        <w:t>eventi sopravvenuti straordinari e imprevedibili, ivi compreso</w:t>
      </w:r>
      <w:r>
        <w:rPr>
          <w:rFonts w:ascii="Times New Roman" w:hAnsi="Times New Roman" w:cs="Times New Roman"/>
          <w:sz w:val="24"/>
          <w:szCs w:val="24"/>
        </w:rPr>
        <w:t xml:space="preserve"> </w:t>
      </w:r>
      <w:r w:rsidRPr="00564584">
        <w:rPr>
          <w:rFonts w:ascii="Times New Roman" w:hAnsi="Times New Roman" w:cs="Times New Roman"/>
          <w:i/>
          <w:iCs/>
          <w:sz w:val="24"/>
          <w:szCs w:val="24"/>
        </w:rPr>
        <w:t>il mutamento della normativa o della regolazione di riferimento, purché non imputabili al concessionario, che incidano in modo significativo sull'equilibrio economico-finanziario</w:t>
      </w:r>
      <w:r>
        <w:rPr>
          <w:rFonts w:ascii="Times New Roman" w:hAnsi="Times New Roman" w:cs="Times New Roman"/>
          <w:sz w:val="24"/>
          <w:szCs w:val="24"/>
        </w:rPr>
        <w:t>”.</w:t>
      </w:r>
    </w:p>
    <w:p w14:paraId="4732E08F" w14:textId="2A796AC7" w:rsidR="003D2014" w:rsidRPr="006F68F8" w:rsidRDefault="00582E4B"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Anche in questo caso non può che censurarsi</w:t>
      </w:r>
      <w:r w:rsidR="003D2014" w:rsidRPr="006F68F8">
        <w:rPr>
          <w:rFonts w:ascii="Times New Roman" w:hAnsi="Times New Roman" w:cs="Times New Roman"/>
          <w:sz w:val="24"/>
          <w:szCs w:val="24"/>
        </w:rPr>
        <w:t xml:space="preserve"> la scarsa definizione dei concetti di “</w:t>
      </w:r>
      <w:r w:rsidR="003D2014" w:rsidRPr="006F68F8">
        <w:rPr>
          <w:rFonts w:ascii="Times New Roman" w:hAnsi="Times New Roman" w:cs="Times New Roman"/>
          <w:i/>
          <w:iCs/>
          <w:sz w:val="24"/>
          <w:szCs w:val="24"/>
        </w:rPr>
        <w:t>natura generale</w:t>
      </w:r>
      <w:r w:rsidR="003D2014" w:rsidRPr="006F68F8">
        <w:rPr>
          <w:rFonts w:ascii="Times New Roman" w:hAnsi="Times New Roman" w:cs="Times New Roman"/>
          <w:sz w:val="24"/>
          <w:szCs w:val="24"/>
        </w:rPr>
        <w:t>” del contratto e di “</w:t>
      </w:r>
      <w:r w:rsidR="003D2014" w:rsidRPr="006F68F8">
        <w:rPr>
          <w:rFonts w:ascii="Times New Roman" w:hAnsi="Times New Roman" w:cs="Times New Roman"/>
          <w:i/>
          <w:iCs/>
          <w:sz w:val="24"/>
          <w:szCs w:val="24"/>
        </w:rPr>
        <w:t>modifica sostanziale</w:t>
      </w:r>
      <w:r w:rsidR="003D2014" w:rsidRPr="006F68F8">
        <w:rPr>
          <w:rFonts w:ascii="Times New Roman" w:hAnsi="Times New Roman" w:cs="Times New Roman"/>
          <w:sz w:val="24"/>
          <w:szCs w:val="24"/>
        </w:rPr>
        <w:t>”, ergendosi questi</w:t>
      </w:r>
      <w:r w:rsidR="003D2014">
        <w:rPr>
          <w:rFonts w:ascii="Times New Roman" w:hAnsi="Times New Roman" w:cs="Times New Roman"/>
          <w:sz w:val="24"/>
          <w:szCs w:val="24"/>
        </w:rPr>
        <w:t>,</w:t>
      </w:r>
      <w:r w:rsidR="003D2014" w:rsidRPr="006F68F8">
        <w:rPr>
          <w:rFonts w:ascii="Times New Roman" w:hAnsi="Times New Roman" w:cs="Times New Roman"/>
          <w:sz w:val="24"/>
          <w:szCs w:val="24"/>
        </w:rPr>
        <w:t xml:space="preserve"> anche per la revisione</w:t>
      </w:r>
      <w:r w:rsidR="003D2014">
        <w:rPr>
          <w:rFonts w:ascii="Times New Roman" w:hAnsi="Times New Roman" w:cs="Times New Roman"/>
          <w:sz w:val="24"/>
          <w:szCs w:val="24"/>
        </w:rPr>
        <w:t>,</w:t>
      </w:r>
      <w:r w:rsidR="003D2014" w:rsidRPr="006F68F8">
        <w:rPr>
          <w:rFonts w:ascii="Times New Roman" w:hAnsi="Times New Roman" w:cs="Times New Roman"/>
          <w:sz w:val="24"/>
          <w:szCs w:val="24"/>
        </w:rPr>
        <w:t xml:space="preserve"> a confin</w:t>
      </w:r>
      <w:r w:rsidR="003D2014">
        <w:rPr>
          <w:rFonts w:ascii="Times New Roman" w:hAnsi="Times New Roman" w:cs="Times New Roman"/>
          <w:sz w:val="24"/>
          <w:szCs w:val="24"/>
        </w:rPr>
        <w:t>i</w:t>
      </w:r>
      <w:r w:rsidR="003D2014" w:rsidRPr="006F68F8">
        <w:rPr>
          <w:rFonts w:ascii="Times New Roman" w:hAnsi="Times New Roman" w:cs="Times New Roman"/>
          <w:sz w:val="24"/>
          <w:szCs w:val="24"/>
        </w:rPr>
        <w:t xml:space="preserve"> di legittimità </w:t>
      </w:r>
      <w:r w:rsidR="003D2014">
        <w:rPr>
          <w:rFonts w:ascii="Times New Roman" w:hAnsi="Times New Roman" w:cs="Times New Roman"/>
          <w:sz w:val="24"/>
          <w:szCs w:val="24"/>
        </w:rPr>
        <w:t>(</w:t>
      </w:r>
      <w:r w:rsidR="003D2014" w:rsidRPr="006F68F8">
        <w:rPr>
          <w:rFonts w:ascii="Times New Roman" w:hAnsi="Times New Roman" w:cs="Times New Roman"/>
          <w:sz w:val="24"/>
          <w:szCs w:val="24"/>
        </w:rPr>
        <w:t>in questo caso, però, unic</w:t>
      </w:r>
      <w:r w:rsidR="003D2014">
        <w:rPr>
          <w:rFonts w:ascii="Times New Roman" w:hAnsi="Times New Roman" w:cs="Times New Roman"/>
          <w:sz w:val="24"/>
          <w:szCs w:val="24"/>
        </w:rPr>
        <w:t xml:space="preserve">i; cfr. </w:t>
      </w:r>
      <w:r w:rsidR="003D2014" w:rsidRPr="006F68F8">
        <w:rPr>
          <w:rFonts w:ascii="Times New Roman" w:hAnsi="Times New Roman" w:cs="Times New Roman"/>
          <w:sz w:val="24"/>
          <w:szCs w:val="24"/>
        </w:rPr>
        <w:t>art. 192, comma 2).</w:t>
      </w:r>
    </w:p>
    <w:p w14:paraId="05DD95BD" w14:textId="4AA127C7"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Meritoria è, invece, la ripulitura lessicale operata con l’art. 190, che ha opportunamente espunto</w:t>
      </w:r>
      <w:r w:rsidR="00F337A9">
        <w:rPr>
          <w:rFonts w:ascii="Times New Roman" w:hAnsi="Times New Roman" w:cs="Times New Roman"/>
          <w:sz w:val="24"/>
          <w:szCs w:val="24"/>
        </w:rPr>
        <w:t>,</w:t>
      </w:r>
      <w:r>
        <w:rPr>
          <w:rFonts w:ascii="Times New Roman" w:hAnsi="Times New Roman" w:cs="Times New Roman"/>
          <w:sz w:val="24"/>
          <w:szCs w:val="24"/>
        </w:rPr>
        <w:t xml:space="preserve"> anche con riguardo ai contratti di concessione (e, quin</w:t>
      </w:r>
      <w:r w:rsidRPr="00361BD2">
        <w:rPr>
          <w:rFonts w:ascii="Times New Roman" w:hAnsi="Times New Roman" w:cs="Times New Roman"/>
          <w:sz w:val="24"/>
          <w:szCs w:val="24"/>
        </w:rPr>
        <w:t>di, di PPP)</w:t>
      </w:r>
      <w:r w:rsidR="00F337A9">
        <w:rPr>
          <w:rFonts w:ascii="Times New Roman" w:hAnsi="Times New Roman" w:cs="Times New Roman"/>
          <w:sz w:val="24"/>
          <w:szCs w:val="24"/>
        </w:rPr>
        <w:t>,</w:t>
      </w:r>
      <w:r w:rsidRPr="00361BD2">
        <w:rPr>
          <w:rFonts w:ascii="Times New Roman" w:hAnsi="Times New Roman" w:cs="Times New Roman"/>
          <w:sz w:val="24"/>
          <w:szCs w:val="24"/>
        </w:rPr>
        <w:t xml:space="preserve"> il tralatizio riferimento alla revoca del contratto, ancora presente nell’art. 176 del vecchio codice. Conformemente a quanto già disposto per l’appalto, è stato, infatti, previsto, in luogo del potere autoritativo, </w:t>
      </w:r>
      <w:r>
        <w:rPr>
          <w:rFonts w:ascii="Times New Roman" w:hAnsi="Times New Roman" w:cs="Times New Roman"/>
          <w:sz w:val="24"/>
          <w:szCs w:val="24"/>
        </w:rPr>
        <w:t>pubblicistico, di revoca,</w:t>
      </w:r>
      <w:r w:rsidRPr="006F68F8">
        <w:rPr>
          <w:rFonts w:ascii="Times New Roman" w:hAnsi="Times New Roman" w:cs="Times New Roman"/>
          <w:sz w:val="24"/>
          <w:szCs w:val="24"/>
        </w:rPr>
        <w:t xml:space="preserve"> il </w:t>
      </w:r>
      <w:r w:rsidRPr="006F68F8">
        <w:rPr>
          <w:rFonts w:ascii="Times New Roman" w:hAnsi="Times New Roman" w:cs="Times New Roman"/>
          <w:sz w:val="24"/>
          <w:szCs w:val="24"/>
        </w:rPr>
        <w:lastRenderedPageBreak/>
        <w:t>diritto potestativo, di natura privatistica, di recesso, cui oggi è appunto dedicato l’art. 190, commi da 4 a 7.</w:t>
      </w:r>
    </w:p>
    <w:p w14:paraId="20C6183A" w14:textId="77777777"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Ciò consente di abbandonare, definitivamente, la lettura tradizionale pubblicistica della concessione – che ancora una parte della dottrina e della giurisprudenza propugnava, anche nella vigenza del codice del 2016 –, per abbracciarne una qualificazione come vero e proprio contratto, al pari di quello di appalto.</w:t>
      </w:r>
    </w:p>
    <w:p w14:paraId="6A9C351F" w14:textId="77777777" w:rsidR="003D2014" w:rsidRPr="004E3DF0"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 tratta, peraltro, di ripulitura lessicale che è, al contempo, anche contenutistica, in quanto, superando il testo dell’art. 44 della direttiva, che fa riferimento alla nozione, genericissima, di </w:t>
      </w:r>
      <w:proofErr w:type="spellStart"/>
      <w:r>
        <w:rPr>
          <w:rFonts w:ascii="Times New Roman" w:hAnsi="Times New Roman" w:cs="Times New Roman"/>
          <w:i/>
          <w:iCs/>
          <w:sz w:val="24"/>
          <w:szCs w:val="24"/>
        </w:rPr>
        <w:t>termination</w:t>
      </w:r>
      <w:proofErr w:type="spellEnd"/>
      <w:r>
        <w:rPr>
          <w:rFonts w:ascii="Times New Roman" w:hAnsi="Times New Roman" w:cs="Times New Roman"/>
          <w:i/>
          <w:iCs/>
          <w:sz w:val="24"/>
          <w:szCs w:val="24"/>
        </w:rPr>
        <w:t xml:space="preserve"> of </w:t>
      </w:r>
      <w:proofErr w:type="spellStart"/>
      <w:r>
        <w:rPr>
          <w:rFonts w:ascii="Times New Roman" w:hAnsi="Times New Roman" w:cs="Times New Roman"/>
          <w:i/>
          <w:iCs/>
          <w:sz w:val="24"/>
          <w:szCs w:val="24"/>
        </w:rPr>
        <w:t>concessions</w:t>
      </w:r>
      <w:proofErr w:type="spellEnd"/>
      <w:r>
        <w:rPr>
          <w:rFonts w:ascii="Times New Roman" w:hAnsi="Times New Roman" w:cs="Times New Roman"/>
          <w:sz w:val="24"/>
          <w:szCs w:val="24"/>
        </w:rPr>
        <w:t xml:space="preserve">, il legislatore ha appunto ricondotto le diverse ipotesi previste dalla stessa direttiva agli istituti, ben noti al nostro </w:t>
      </w:r>
      <w:proofErr w:type="gramStart"/>
      <w:r>
        <w:rPr>
          <w:rFonts w:ascii="Times New Roman" w:hAnsi="Times New Roman" w:cs="Times New Roman"/>
          <w:sz w:val="24"/>
          <w:szCs w:val="24"/>
        </w:rPr>
        <w:t>codice civile</w:t>
      </w:r>
      <w:proofErr w:type="gramEnd"/>
      <w:r>
        <w:rPr>
          <w:rFonts w:ascii="Times New Roman" w:hAnsi="Times New Roman" w:cs="Times New Roman"/>
          <w:sz w:val="24"/>
          <w:szCs w:val="24"/>
        </w:rPr>
        <w:t>, del recesso e della risoluzione.</w:t>
      </w:r>
    </w:p>
    <w:p w14:paraId="05AECE1E" w14:textId="3791846E"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Proprio dalla disciplina della risoluzione recata dal nuovo art. 190, peraltro, emerge</w:t>
      </w:r>
      <w:r w:rsidR="00626E74">
        <w:rPr>
          <w:rFonts w:ascii="Times New Roman" w:hAnsi="Times New Roman" w:cs="Times New Roman"/>
          <w:sz w:val="24"/>
          <w:szCs w:val="24"/>
        </w:rPr>
        <w:t>, ancora una volta,</w:t>
      </w:r>
      <w:r>
        <w:rPr>
          <w:rFonts w:ascii="Times New Roman" w:hAnsi="Times New Roman" w:cs="Times New Roman"/>
          <w:sz w:val="24"/>
          <w:szCs w:val="24"/>
        </w:rPr>
        <w:t xml:space="preserve"> il </w:t>
      </w:r>
      <w:r>
        <w:rPr>
          <w:rFonts w:ascii="Times New Roman" w:hAnsi="Times New Roman" w:cs="Times New Roman"/>
          <w:i/>
          <w:iCs/>
          <w:sz w:val="24"/>
          <w:szCs w:val="24"/>
        </w:rPr>
        <w:t>favor</w:t>
      </w:r>
      <w:r>
        <w:rPr>
          <w:rFonts w:ascii="Times New Roman" w:hAnsi="Times New Roman" w:cs="Times New Roman"/>
          <w:sz w:val="24"/>
          <w:szCs w:val="24"/>
        </w:rPr>
        <w:t xml:space="preserve"> che il legislatore tributa ai contratti di partenariato. Al fine, infatti, di favorirne la finanziabilità, si prevede una ipotesi di modifica del contratto di concessione </w:t>
      </w:r>
      <w:r>
        <w:rPr>
          <w:rFonts w:ascii="Times New Roman" w:hAnsi="Times New Roman" w:cs="Times New Roman"/>
          <w:i/>
          <w:iCs/>
          <w:sz w:val="24"/>
          <w:szCs w:val="24"/>
        </w:rPr>
        <w:t xml:space="preserve">a parte </w:t>
      </w:r>
      <w:proofErr w:type="spellStart"/>
      <w:r>
        <w:rPr>
          <w:rFonts w:ascii="Times New Roman" w:hAnsi="Times New Roman" w:cs="Times New Roman"/>
          <w:i/>
          <w:iCs/>
          <w:sz w:val="24"/>
          <w:szCs w:val="24"/>
        </w:rPr>
        <w:t>subiecti</w:t>
      </w:r>
      <w:proofErr w:type="spellEnd"/>
      <w:r>
        <w:rPr>
          <w:rFonts w:ascii="Times New Roman" w:hAnsi="Times New Roman" w:cs="Times New Roman"/>
          <w:sz w:val="24"/>
          <w:szCs w:val="24"/>
        </w:rPr>
        <w:t xml:space="preserve">, ulteriore rispetto a quelle di cui all’art. 189 sovra richiamate (e non contemplata nella direttiva), che consente il c.d. </w:t>
      </w:r>
      <w:r>
        <w:rPr>
          <w:rFonts w:ascii="Times New Roman" w:hAnsi="Times New Roman" w:cs="Times New Roman"/>
          <w:i/>
          <w:iCs/>
          <w:sz w:val="24"/>
          <w:szCs w:val="24"/>
        </w:rPr>
        <w:t>step in-</w:t>
      </w:r>
      <w:proofErr w:type="spellStart"/>
      <w:r>
        <w:rPr>
          <w:rFonts w:ascii="Times New Roman" w:hAnsi="Times New Roman" w:cs="Times New Roman"/>
          <w:i/>
          <w:iCs/>
          <w:sz w:val="24"/>
          <w:szCs w:val="24"/>
        </w:rPr>
        <w:t>right</w:t>
      </w:r>
      <w:proofErr w:type="spellEnd"/>
      <w:r>
        <w:rPr>
          <w:rFonts w:ascii="Times New Roman" w:hAnsi="Times New Roman" w:cs="Times New Roman"/>
          <w:sz w:val="24"/>
          <w:szCs w:val="24"/>
        </w:rPr>
        <w:t>, ossia il subentro di altro operatore economico, indicato dagli enti finanziatori, prima di addivenire alla risoluzione del contratto per inadempimento dell’originario aggiudicatario (cfr. art. 190, comma 3, che riproduce la previsione di cui all’art. 176, comma 8 del precedente codice, ma ampliando il termine nel quale l’ente finanziatore deve operare tale indicazione e specificando il procedimento con cui il subentro avviene).</w:t>
      </w:r>
    </w:p>
    <w:p w14:paraId="1E25FEF0" w14:textId="419191DF" w:rsidR="003D2014" w:rsidRDefault="003D2014" w:rsidP="00510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 disposizioni da ultimo richiamate si inscrivono, dunque, nell’alveo di quella impostazione che si è avuto modo di valutare positivamente e che il legislatore dovrebbe avere il coraggio di adottare più spesso. In tal</w:t>
      </w:r>
      <w:r w:rsidR="00582E4B">
        <w:rPr>
          <w:rFonts w:ascii="Times New Roman" w:hAnsi="Times New Roman" w:cs="Times New Roman"/>
          <w:sz w:val="24"/>
          <w:szCs w:val="24"/>
        </w:rPr>
        <w:t>e</w:t>
      </w:r>
      <w:r>
        <w:rPr>
          <w:rFonts w:ascii="Times New Roman" w:hAnsi="Times New Roman" w:cs="Times New Roman"/>
          <w:sz w:val="24"/>
          <w:szCs w:val="24"/>
        </w:rPr>
        <w:t xml:space="preserve"> </w:t>
      </w:r>
      <w:r w:rsidR="00582E4B">
        <w:rPr>
          <w:rFonts w:ascii="Times New Roman" w:hAnsi="Times New Roman" w:cs="Times New Roman"/>
          <w:sz w:val="24"/>
          <w:szCs w:val="24"/>
        </w:rPr>
        <w:t>direzione</w:t>
      </w:r>
      <w:r>
        <w:rPr>
          <w:rFonts w:ascii="Times New Roman" w:hAnsi="Times New Roman" w:cs="Times New Roman"/>
          <w:sz w:val="24"/>
          <w:szCs w:val="24"/>
        </w:rPr>
        <w:t xml:space="preserve">, di conseguenza, </w:t>
      </w:r>
      <w:r w:rsidR="00582E4B">
        <w:rPr>
          <w:rFonts w:ascii="Times New Roman" w:hAnsi="Times New Roman" w:cs="Times New Roman"/>
          <w:sz w:val="24"/>
          <w:szCs w:val="24"/>
        </w:rPr>
        <w:t xml:space="preserve">non </w:t>
      </w:r>
      <w:r w:rsidR="00F31FE2">
        <w:rPr>
          <w:rFonts w:ascii="Times New Roman" w:hAnsi="Times New Roman" w:cs="Times New Roman"/>
          <w:sz w:val="24"/>
          <w:szCs w:val="24"/>
        </w:rPr>
        <w:t>può</w:t>
      </w:r>
      <w:r w:rsidR="00582E4B">
        <w:rPr>
          <w:rFonts w:ascii="Times New Roman" w:hAnsi="Times New Roman" w:cs="Times New Roman"/>
          <w:sz w:val="24"/>
          <w:szCs w:val="24"/>
        </w:rPr>
        <w:t xml:space="preserve"> che essere </w:t>
      </w:r>
      <w:r>
        <w:rPr>
          <w:rFonts w:ascii="Times New Roman" w:hAnsi="Times New Roman" w:cs="Times New Roman"/>
          <w:sz w:val="24"/>
          <w:szCs w:val="24"/>
        </w:rPr>
        <w:t>l’auspicio.</w:t>
      </w:r>
    </w:p>
    <w:sectPr w:rsidR="003D2014" w:rsidSect="00591A0E">
      <w:footerReference w:type="default" r:id="rId8"/>
      <w:pgSz w:w="11906" w:h="16838"/>
      <w:pgMar w:top="1417" w:right="1134" w:bottom="993" w:left="1134" w:header="708"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71CC0" w14:textId="77777777" w:rsidR="000C506A" w:rsidRDefault="000C506A" w:rsidP="003D2014">
      <w:pPr>
        <w:spacing w:after="0" w:line="240" w:lineRule="auto"/>
      </w:pPr>
      <w:r>
        <w:separator/>
      </w:r>
    </w:p>
  </w:endnote>
  <w:endnote w:type="continuationSeparator" w:id="0">
    <w:p w14:paraId="6C9B867A" w14:textId="77777777" w:rsidR="000C506A" w:rsidRDefault="000C506A" w:rsidP="003D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332018224"/>
      <w:docPartObj>
        <w:docPartGallery w:val="Page Numbers (Bottom of Page)"/>
        <w:docPartUnique/>
      </w:docPartObj>
    </w:sdtPr>
    <w:sdtEndPr/>
    <w:sdtContent>
      <w:p w14:paraId="7502863C" w14:textId="77777777" w:rsidR="00341ADF" w:rsidRDefault="00341ADF">
        <w:pPr>
          <w:pStyle w:val="Pidipagina"/>
          <w:jc w:val="center"/>
          <w:rPr>
            <w:rFonts w:ascii="Times New Roman" w:hAnsi="Times New Roman" w:cs="Times New Roman"/>
            <w:sz w:val="20"/>
            <w:szCs w:val="20"/>
          </w:rPr>
        </w:pPr>
      </w:p>
      <w:p w14:paraId="7CE4AE9E" w14:textId="77777777" w:rsidR="00341ADF" w:rsidRPr="00591A0E" w:rsidRDefault="00CE0561">
        <w:pPr>
          <w:pStyle w:val="Pidipagina"/>
          <w:jc w:val="center"/>
          <w:rPr>
            <w:rFonts w:ascii="Times New Roman" w:hAnsi="Times New Roman" w:cs="Times New Roman"/>
            <w:sz w:val="20"/>
            <w:szCs w:val="20"/>
          </w:rPr>
        </w:pPr>
        <w:r w:rsidRPr="00591A0E">
          <w:rPr>
            <w:rFonts w:ascii="Times New Roman" w:hAnsi="Times New Roman" w:cs="Times New Roman"/>
            <w:sz w:val="20"/>
            <w:szCs w:val="20"/>
          </w:rPr>
          <w:fldChar w:fldCharType="begin"/>
        </w:r>
        <w:r w:rsidRPr="00591A0E">
          <w:rPr>
            <w:rFonts w:ascii="Times New Roman" w:hAnsi="Times New Roman" w:cs="Times New Roman"/>
            <w:sz w:val="20"/>
            <w:szCs w:val="20"/>
          </w:rPr>
          <w:instrText>PAGE   \* MERGEFORMAT</w:instrText>
        </w:r>
        <w:r w:rsidRPr="00591A0E">
          <w:rPr>
            <w:rFonts w:ascii="Times New Roman" w:hAnsi="Times New Roman" w:cs="Times New Roman"/>
            <w:sz w:val="20"/>
            <w:szCs w:val="20"/>
          </w:rPr>
          <w:fldChar w:fldCharType="separate"/>
        </w:r>
        <w:r w:rsidRPr="00591A0E">
          <w:rPr>
            <w:rFonts w:ascii="Times New Roman" w:hAnsi="Times New Roman" w:cs="Times New Roman"/>
            <w:sz w:val="20"/>
            <w:szCs w:val="20"/>
          </w:rPr>
          <w:t>2</w:t>
        </w:r>
        <w:r w:rsidRPr="00591A0E">
          <w:rPr>
            <w:rFonts w:ascii="Times New Roman" w:hAnsi="Times New Roman" w:cs="Times New Roman"/>
            <w:sz w:val="20"/>
            <w:szCs w:val="20"/>
          </w:rPr>
          <w:fldChar w:fldCharType="end"/>
        </w:r>
      </w:p>
    </w:sdtContent>
  </w:sdt>
  <w:p w14:paraId="6C0BE94B" w14:textId="77777777" w:rsidR="00341ADF" w:rsidRPr="00591A0E" w:rsidRDefault="00341ADF">
    <w:pPr>
      <w:pStyle w:val="Pidipagina"/>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E33A3" w14:textId="77777777" w:rsidR="000C506A" w:rsidRDefault="000C506A" w:rsidP="003D2014">
      <w:pPr>
        <w:spacing w:after="0" w:line="240" w:lineRule="auto"/>
      </w:pPr>
      <w:r>
        <w:separator/>
      </w:r>
    </w:p>
  </w:footnote>
  <w:footnote w:type="continuationSeparator" w:id="0">
    <w:p w14:paraId="3DDFA2A4" w14:textId="77777777" w:rsidR="000C506A" w:rsidRDefault="000C506A" w:rsidP="003D2014">
      <w:pPr>
        <w:spacing w:after="0" w:line="240" w:lineRule="auto"/>
      </w:pPr>
      <w:r>
        <w:continuationSeparator/>
      </w:r>
    </w:p>
  </w:footnote>
  <w:footnote w:id="1">
    <w:p w14:paraId="32B1ECD8" w14:textId="77777777"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Carbone L., “</w:t>
      </w:r>
      <w:r w:rsidRPr="006002CF">
        <w:rPr>
          <w:rFonts w:ascii="Times New Roman" w:hAnsi="Times New Roman" w:cs="Times New Roman"/>
          <w:i/>
          <w:iCs/>
        </w:rPr>
        <w:t>La scommessa del “codice dei contratti pubblici” e il suo futuro</w:t>
      </w:r>
      <w:r w:rsidRPr="006002CF">
        <w:rPr>
          <w:rFonts w:ascii="Times New Roman" w:hAnsi="Times New Roman" w:cs="Times New Roman"/>
        </w:rPr>
        <w:t>”, Relazione introduttiva al Convegno dell’Istituto Jemolo “</w:t>
      </w:r>
      <w:r w:rsidRPr="006002CF">
        <w:rPr>
          <w:rFonts w:ascii="Times New Roman" w:hAnsi="Times New Roman" w:cs="Times New Roman"/>
          <w:i/>
          <w:iCs/>
        </w:rPr>
        <w:t>Il nuovo codice degli appalti – La scommessa di un cambio di paradigma: dal codice guardiano al codice volano?</w:t>
      </w:r>
      <w:r w:rsidRPr="006002CF">
        <w:rPr>
          <w:rFonts w:ascii="Times New Roman" w:hAnsi="Times New Roman" w:cs="Times New Roman"/>
        </w:rPr>
        <w:t>”, Avvocatura dello Stato, 27 gennaio 2023.</w:t>
      </w:r>
    </w:p>
  </w:footnote>
  <w:footnote w:id="2">
    <w:p w14:paraId="6ED7E206" w14:textId="77777777"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Caringella F., “</w:t>
      </w:r>
      <w:r w:rsidRPr="006002CF">
        <w:rPr>
          <w:rFonts w:ascii="Times New Roman" w:hAnsi="Times New Roman" w:cs="Times New Roman"/>
          <w:i/>
          <w:iCs/>
        </w:rPr>
        <w:t>Il nuovo Codice dei contratti pubblici: riforma o rivoluzione?</w:t>
      </w:r>
      <w:r w:rsidRPr="006002CF">
        <w:rPr>
          <w:rFonts w:ascii="Times New Roman" w:hAnsi="Times New Roman" w:cs="Times New Roman"/>
        </w:rPr>
        <w:t>”, Relazione al convegno sul “</w:t>
      </w:r>
      <w:r w:rsidRPr="006002CF">
        <w:rPr>
          <w:rFonts w:ascii="Times New Roman" w:hAnsi="Times New Roman" w:cs="Times New Roman"/>
          <w:i/>
          <w:iCs/>
        </w:rPr>
        <w:t>nuovo codice dei contratti pubblici</w:t>
      </w:r>
      <w:r w:rsidRPr="006002CF">
        <w:rPr>
          <w:rFonts w:ascii="Times New Roman" w:hAnsi="Times New Roman" w:cs="Times New Roman"/>
        </w:rPr>
        <w:t>”, organizzato dall’AIGA, Cagliari, 9-10 giugno 2023.</w:t>
      </w:r>
    </w:p>
  </w:footnote>
  <w:footnote w:id="3">
    <w:p w14:paraId="47FE0B85" w14:textId="5ABF1F12" w:rsidR="00B557A9" w:rsidRPr="006002CF" w:rsidRDefault="00B557A9" w:rsidP="006002CF">
      <w:pPr>
        <w:spacing w:after="0"/>
        <w:jc w:val="both"/>
        <w:rPr>
          <w:rFonts w:ascii="Times New Roman" w:hAnsi="Times New Roman" w:cs="Times New Roman"/>
        </w:rPr>
      </w:pPr>
      <w:r w:rsidRPr="006002CF">
        <w:rPr>
          <w:rStyle w:val="Rimandonotaapidipagina"/>
          <w:rFonts w:ascii="Times New Roman" w:hAnsi="Times New Roman" w:cs="Times New Roman"/>
          <w:sz w:val="20"/>
          <w:szCs w:val="20"/>
        </w:rPr>
        <w:footnoteRef/>
      </w:r>
      <w:r w:rsidRPr="006002CF">
        <w:rPr>
          <w:rFonts w:ascii="Times New Roman" w:hAnsi="Times New Roman" w:cs="Times New Roman"/>
          <w:sz w:val="20"/>
          <w:szCs w:val="20"/>
        </w:rPr>
        <w:t xml:space="preserve"> Su tale </w:t>
      </w:r>
      <w:r w:rsidR="001424EB">
        <w:rPr>
          <w:rFonts w:ascii="Times New Roman" w:hAnsi="Times New Roman" w:cs="Times New Roman"/>
          <w:sz w:val="20"/>
          <w:szCs w:val="20"/>
        </w:rPr>
        <w:t>modello</w:t>
      </w:r>
      <w:r w:rsidRPr="006002CF">
        <w:rPr>
          <w:rFonts w:ascii="Times New Roman" w:hAnsi="Times New Roman" w:cs="Times New Roman"/>
          <w:sz w:val="20"/>
          <w:szCs w:val="20"/>
        </w:rPr>
        <w:t xml:space="preserve"> contrattuale la dottrina è piuttosto nutrita. Fra i contributi più interessanti, senza pretesa alcuna di esaustività, si segnalano:</w:t>
      </w:r>
      <w:r w:rsidR="00D72AEA" w:rsidRPr="006002CF">
        <w:rPr>
          <w:rFonts w:ascii="Times New Roman" w:hAnsi="Times New Roman" w:cs="Times New Roman"/>
          <w:sz w:val="20"/>
          <w:szCs w:val="20"/>
        </w:rPr>
        <w:t xml:space="preserve"> </w:t>
      </w:r>
      <w:proofErr w:type="spellStart"/>
      <w:r w:rsidR="00D72AEA" w:rsidRPr="006002CF">
        <w:rPr>
          <w:rFonts w:ascii="Times New Roman" w:hAnsi="Times New Roman" w:cs="Times New Roman"/>
          <w:sz w:val="20"/>
          <w:szCs w:val="20"/>
        </w:rPr>
        <w:t>Cartei</w:t>
      </w:r>
      <w:proofErr w:type="spellEnd"/>
      <w:r w:rsidR="00D72AEA" w:rsidRPr="006002CF">
        <w:rPr>
          <w:rFonts w:ascii="Times New Roman" w:hAnsi="Times New Roman" w:cs="Times New Roman"/>
          <w:sz w:val="20"/>
          <w:szCs w:val="20"/>
        </w:rPr>
        <w:t xml:space="preserve"> G.F.-Ricchi M.(a cura di), “</w:t>
      </w:r>
      <w:r w:rsidR="00D72AEA" w:rsidRPr="006002CF">
        <w:rPr>
          <w:rFonts w:ascii="Times New Roman" w:hAnsi="Times New Roman" w:cs="Times New Roman"/>
          <w:i/>
          <w:iCs/>
          <w:sz w:val="20"/>
          <w:szCs w:val="20"/>
        </w:rPr>
        <w:t>Finanza di progetto e partenariato pubblico-privato</w:t>
      </w:r>
      <w:r w:rsidR="00D72AEA" w:rsidRPr="006002CF">
        <w:rPr>
          <w:rFonts w:ascii="Times New Roman" w:hAnsi="Times New Roman" w:cs="Times New Roman"/>
          <w:sz w:val="20"/>
          <w:szCs w:val="20"/>
        </w:rPr>
        <w:t>”, Napoli, 2015; Chiti, M.P. (a cura di), “</w:t>
      </w:r>
      <w:r w:rsidR="00D72AEA" w:rsidRPr="006002CF">
        <w:rPr>
          <w:rFonts w:ascii="Times New Roman" w:hAnsi="Times New Roman" w:cs="Times New Roman"/>
          <w:i/>
          <w:iCs/>
          <w:sz w:val="20"/>
          <w:szCs w:val="20"/>
        </w:rPr>
        <w:t>Il partenariato pubblico-privato: concessioni, finanza di progetto, società miste, fondazioni</w:t>
      </w:r>
      <w:r w:rsidR="00D72AEA" w:rsidRPr="006002CF">
        <w:rPr>
          <w:rFonts w:ascii="Times New Roman" w:hAnsi="Times New Roman" w:cs="Times New Roman"/>
          <w:sz w:val="20"/>
          <w:szCs w:val="20"/>
        </w:rPr>
        <w:t>”, Napoli, 2009; Contessa C., “</w:t>
      </w:r>
      <w:r w:rsidR="00D72AEA" w:rsidRPr="006002CF">
        <w:rPr>
          <w:rFonts w:ascii="Times New Roman" w:hAnsi="Times New Roman" w:cs="Times New Roman"/>
          <w:i/>
          <w:iCs/>
          <w:sz w:val="20"/>
          <w:szCs w:val="20"/>
        </w:rPr>
        <w:t>PPPC: modello generale</w:t>
      </w:r>
      <w:r w:rsidR="00D72AEA" w:rsidRPr="006002CF">
        <w:rPr>
          <w:rFonts w:ascii="Times New Roman" w:hAnsi="Times New Roman" w:cs="Times New Roman"/>
          <w:sz w:val="20"/>
          <w:szCs w:val="20"/>
        </w:rPr>
        <w:t xml:space="preserve">”, in Sandulli M.A., De Nictolis R. (diretto da), </w:t>
      </w:r>
      <w:r w:rsidR="00D72AEA" w:rsidRPr="006002CF">
        <w:rPr>
          <w:rFonts w:ascii="Times New Roman" w:hAnsi="Times New Roman" w:cs="Times New Roman"/>
          <w:i/>
          <w:iCs/>
          <w:sz w:val="20"/>
          <w:szCs w:val="20"/>
        </w:rPr>
        <w:t>Trattato sui contratti pubblici</w:t>
      </w:r>
      <w:r w:rsidR="00D72AEA" w:rsidRPr="006002CF">
        <w:rPr>
          <w:rFonts w:ascii="Times New Roman" w:hAnsi="Times New Roman" w:cs="Times New Roman"/>
          <w:sz w:val="20"/>
          <w:szCs w:val="20"/>
        </w:rPr>
        <w:t>, Tomo V, 2019; Di Cristina F., “</w:t>
      </w:r>
      <w:r w:rsidR="00D72AEA" w:rsidRPr="006002CF">
        <w:rPr>
          <w:rFonts w:ascii="Times New Roman" w:hAnsi="Times New Roman" w:cs="Times New Roman"/>
          <w:i/>
          <w:iCs/>
          <w:sz w:val="20"/>
          <w:szCs w:val="20"/>
        </w:rPr>
        <w:t>Il Partenariato pubblico-privato quale «archetipo generale»</w:t>
      </w:r>
      <w:r w:rsidR="00D72AEA" w:rsidRPr="006002CF">
        <w:rPr>
          <w:rFonts w:ascii="Times New Roman" w:hAnsi="Times New Roman" w:cs="Times New Roman"/>
          <w:sz w:val="20"/>
          <w:szCs w:val="20"/>
        </w:rPr>
        <w:t xml:space="preserve">”, in </w:t>
      </w:r>
      <w:proofErr w:type="spellStart"/>
      <w:r w:rsidR="00D72AEA" w:rsidRPr="006002CF">
        <w:rPr>
          <w:rFonts w:ascii="Times New Roman" w:hAnsi="Times New Roman" w:cs="Times New Roman"/>
          <w:sz w:val="20"/>
          <w:szCs w:val="20"/>
        </w:rPr>
        <w:t>Giorn</w:t>
      </w:r>
      <w:proofErr w:type="spellEnd"/>
      <w:r w:rsidR="00D72AEA" w:rsidRPr="006002CF">
        <w:rPr>
          <w:rFonts w:ascii="Times New Roman" w:hAnsi="Times New Roman" w:cs="Times New Roman"/>
          <w:sz w:val="20"/>
          <w:szCs w:val="20"/>
        </w:rPr>
        <w:t xml:space="preserve">. dir. </w:t>
      </w:r>
      <w:proofErr w:type="spellStart"/>
      <w:r w:rsidR="00D72AEA" w:rsidRPr="006002CF">
        <w:rPr>
          <w:rFonts w:ascii="Times New Roman" w:hAnsi="Times New Roman" w:cs="Times New Roman"/>
          <w:sz w:val="20"/>
          <w:szCs w:val="20"/>
        </w:rPr>
        <w:t>amm</w:t>
      </w:r>
      <w:proofErr w:type="spellEnd"/>
      <w:r w:rsidR="00D72AEA" w:rsidRPr="006002CF">
        <w:rPr>
          <w:rFonts w:ascii="Times New Roman" w:hAnsi="Times New Roman" w:cs="Times New Roman"/>
          <w:sz w:val="20"/>
          <w:szCs w:val="20"/>
        </w:rPr>
        <w:t>., 4/2016, p. 482 ss.; Di Giovanni A., “</w:t>
      </w:r>
      <w:r w:rsidR="00D72AEA" w:rsidRPr="006002CF">
        <w:rPr>
          <w:rFonts w:ascii="Times New Roman" w:hAnsi="Times New Roman" w:cs="Times New Roman"/>
          <w:i/>
          <w:iCs/>
          <w:sz w:val="20"/>
          <w:szCs w:val="20"/>
        </w:rPr>
        <w:t>Il contratto di partenariato pubblico-privato tra sussidiarietà e solidarietà</w:t>
      </w:r>
      <w:r w:rsidR="00D72AEA" w:rsidRPr="006002CF">
        <w:rPr>
          <w:rFonts w:ascii="Times New Roman" w:hAnsi="Times New Roman" w:cs="Times New Roman"/>
          <w:sz w:val="20"/>
          <w:szCs w:val="20"/>
        </w:rPr>
        <w:t>”, Torino, 2012; Fantini S., “</w:t>
      </w:r>
      <w:r w:rsidR="00D72AEA" w:rsidRPr="006002CF">
        <w:rPr>
          <w:rFonts w:ascii="Times New Roman" w:hAnsi="Times New Roman" w:cs="Times New Roman"/>
          <w:i/>
          <w:iCs/>
          <w:sz w:val="20"/>
          <w:szCs w:val="20"/>
        </w:rPr>
        <w:t>Il partenariato pubblico-privato, con particolare riguardo al project financing ed al contratto di disponibilità</w:t>
      </w:r>
      <w:r w:rsidR="00D72AEA" w:rsidRPr="006002CF">
        <w:rPr>
          <w:rFonts w:ascii="Times New Roman" w:hAnsi="Times New Roman" w:cs="Times New Roman"/>
          <w:sz w:val="20"/>
          <w:szCs w:val="20"/>
        </w:rPr>
        <w:t>”, in www.giustizia-amministrativa.it, 2012; Licata G.F., “</w:t>
      </w:r>
      <w:r w:rsidR="00D72AEA" w:rsidRPr="006002CF">
        <w:rPr>
          <w:rFonts w:ascii="Times New Roman" w:hAnsi="Times New Roman" w:cs="Times New Roman"/>
          <w:i/>
          <w:iCs/>
          <w:sz w:val="20"/>
          <w:szCs w:val="20"/>
        </w:rPr>
        <w:t>Partenariati e innovazione</w:t>
      </w:r>
      <w:r w:rsidR="00D72AEA" w:rsidRPr="006002CF">
        <w:rPr>
          <w:rFonts w:ascii="Times New Roman" w:hAnsi="Times New Roman" w:cs="Times New Roman"/>
          <w:sz w:val="20"/>
          <w:szCs w:val="20"/>
        </w:rPr>
        <w:t>”, in www.giustamm.it, 1/2017; Nicolai M.- Tortorella W. (a cura di), “</w:t>
      </w:r>
      <w:r w:rsidR="00D72AEA" w:rsidRPr="006002CF">
        <w:rPr>
          <w:rFonts w:ascii="Times New Roman" w:hAnsi="Times New Roman" w:cs="Times New Roman"/>
          <w:i/>
          <w:iCs/>
          <w:sz w:val="20"/>
          <w:szCs w:val="20"/>
        </w:rPr>
        <w:t>Partenariato Pubblico-privato e Project Finance. Nuove regole giuridiche, finanziarie e contabili</w:t>
      </w:r>
      <w:r w:rsidR="00D72AEA" w:rsidRPr="006002CF">
        <w:rPr>
          <w:rFonts w:ascii="Times New Roman" w:hAnsi="Times New Roman" w:cs="Times New Roman"/>
          <w:sz w:val="20"/>
          <w:szCs w:val="20"/>
        </w:rPr>
        <w:t>”, Rimini, 2019; Ricchi M., “</w:t>
      </w:r>
      <w:r w:rsidR="00D72AEA" w:rsidRPr="006002CF">
        <w:rPr>
          <w:rFonts w:ascii="Times New Roman" w:hAnsi="Times New Roman" w:cs="Times New Roman"/>
          <w:i/>
          <w:iCs/>
          <w:sz w:val="20"/>
          <w:szCs w:val="20"/>
        </w:rPr>
        <w:t xml:space="preserve">L’Architettura dei Contratti di Concessione e di PPP nel Nuovo Codice dei Contratti Pubblici </w:t>
      </w:r>
      <w:proofErr w:type="spellStart"/>
      <w:r w:rsidR="00D72AEA" w:rsidRPr="006002CF">
        <w:rPr>
          <w:rFonts w:ascii="Times New Roman" w:hAnsi="Times New Roman" w:cs="Times New Roman"/>
          <w:i/>
          <w:iCs/>
          <w:sz w:val="20"/>
          <w:szCs w:val="20"/>
        </w:rPr>
        <w:t>D.Lgs.</w:t>
      </w:r>
      <w:proofErr w:type="spellEnd"/>
      <w:r w:rsidR="00D72AEA" w:rsidRPr="006002CF">
        <w:rPr>
          <w:rFonts w:ascii="Times New Roman" w:hAnsi="Times New Roman" w:cs="Times New Roman"/>
          <w:i/>
          <w:iCs/>
          <w:sz w:val="20"/>
          <w:szCs w:val="20"/>
        </w:rPr>
        <w:t xml:space="preserve"> 50/2016, Relazione tenuta il 15 marzo 2016, in occasione del Seminario SVIMEZ su La nuova legge sugli Appalti. Aperture al diritto della concorrenza e opportunità per il Mezzogiorno</w:t>
      </w:r>
      <w:r w:rsidR="00D72AEA" w:rsidRPr="006002CF">
        <w:rPr>
          <w:rFonts w:ascii="Times New Roman" w:hAnsi="Times New Roman" w:cs="Times New Roman"/>
          <w:sz w:val="20"/>
          <w:szCs w:val="20"/>
        </w:rPr>
        <w:t>”; Travi A., “</w:t>
      </w:r>
      <w:r w:rsidR="00D72AEA" w:rsidRPr="006002CF">
        <w:rPr>
          <w:rFonts w:ascii="Times New Roman" w:hAnsi="Times New Roman" w:cs="Times New Roman"/>
          <w:i/>
          <w:iCs/>
          <w:sz w:val="20"/>
          <w:szCs w:val="20"/>
        </w:rPr>
        <w:t>Il partenariato pubblico-privato: i confini incerti di una categoria</w:t>
      </w:r>
      <w:r w:rsidR="00D72AEA" w:rsidRPr="006002CF">
        <w:rPr>
          <w:rFonts w:ascii="Times New Roman" w:hAnsi="Times New Roman" w:cs="Times New Roman"/>
          <w:sz w:val="20"/>
          <w:szCs w:val="20"/>
        </w:rPr>
        <w:t>”, in Cafagno M.- Botto A.-Fidone G.- Bottino G. (a cura di), “</w:t>
      </w:r>
      <w:r w:rsidR="00D72AEA" w:rsidRPr="006002CF">
        <w:rPr>
          <w:rFonts w:ascii="Times New Roman" w:hAnsi="Times New Roman" w:cs="Times New Roman"/>
          <w:i/>
          <w:iCs/>
          <w:sz w:val="20"/>
          <w:szCs w:val="20"/>
        </w:rPr>
        <w:t>Negoziazioni Pubbliche – Scritti su concessioni e partenariati pubblico-privati”</w:t>
      </w:r>
      <w:r w:rsidR="00D72AEA" w:rsidRPr="006002CF">
        <w:rPr>
          <w:rFonts w:ascii="Times New Roman" w:hAnsi="Times New Roman" w:cs="Times New Roman"/>
          <w:sz w:val="20"/>
          <w:szCs w:val="20"/>
        </w:rPr>
        <w:t>, Milano, 2013; Viciconte G., “</w:t>
      </w:r>
      <w:r w:rsidR="00D72AEA" w:rsidRPr="006002CF">
        <w:rPr>
          <w:rFonts w:ascii="Times New Roman" w:hAnsi="Times New Roman" w:cs="Times New Roman"/>
          <w:i/>
          <w:iCs/>
          <w:sz w:val="20"/>
          <w:szCs w:val="20"/>
        </w:rPr>
        <w:t>I contratti di partenariato e la locazione finanziaria (artt. 179-182, 187)</w:t>
      </w:r>
      <w:r w:rsidR="00D72AEA" w:rsidRPr="006002CF">
        <w:rPr>
          <w:rFonts w:ascii="Times New Roman" w:hAnsi="Times New Roman" w:cs="Times New Roman"/>
          <w:sz w:val="20"/>
          <w:szCs w:val="20"/>
        </w:rPr>
        <w:t xml:space="preserve">”, in Clarich M. (a cura di), </w:t>
      </w:r>
      <w:r w:rsidR="00D72AEA" w:rsidRPr="006002CF">
        <w:rPr>
          <w:rFonts w:ascii="Times New Roman" w:hAnsi="Times New Roman" w:cs="Times New Roman"/>
          <w:i/>
          <w:iCs/>
          <w:sz w:val="20"/>
          <w:szCs w:val="20"/>
        </w:rPr>
        <w:t>Commentario al codice dei contratti pubblici</w:t>
      </w:r>
      <w:r w:rsidR="00D72AEA" w:rsidRPr="006002CF">
        <w:rPr>
          <w:rFonts w:ascii="Times New Roman" w:hAnsi="Times New Roman" w:cs="Times New Roman"/>
          <w:sz w:val="20"/>
          <w:szCs w:val="20"/>
        </w:rPr>
        <w:t>, 2019.</w:t>
      </w:r>
    </w:p>
  </w:footnote>
  <w:footnote w:id="4">
    <w:p w14:paraId="6B06EBED" w14:textId="77777777"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Piano Nazionale di Ripresa e Resilienza, p. 248 e 249. Sul punto, cfr. anche </w:t>
      </w:r>
      <w:proofErr w:type="spellStart"/>
      <w:r w:rsidRPr="006002CF">
        <w:rPr>
          <w:rFonts w:ascii="Times New Roman" w:hAnsi="Times New Roman" w:cs="Times New Roman"/>
        </w:rPr>
        <w:t>Addesso</w:t>
      </w:r>
      <w:proofErr w:type="spellEnd"/>
      <w:r w:rsidRPr="006002CF">
        <w:rPr>
          <w:rFonts w:ascii="Times New Roman" w:hAnsi="Times New Roman" w:cs="Times New Roman"/>
        </w:rPr>
        <w:t xml:space="preserve"> C., “</w:t>
      </w:r>
      <w:r w:rsidRPr="006002CF">
        <w:rPr>
          <w:rFonts w:ascii="Times New Roman" w:hAnsi="Times New Roman" w:cs="Times New Roman"/>
          <w:i/>
          <w:iCs/>
        </w:rPr>
        <w:t xml:space="preserve">Strumenti di attuazione del PNRR e di rafforzamento della capacità amministrativa: il partenariato pubblico-privato e </w:t>
      </w:r>
      <w:proofErr w:type="spellStart"/>
      <w:r w:rsidRPr="006002CF">
        <w:rPr>
          <w:rFonts w:ascii="Times New Roman" w:hAnsi="Times New Roman" w:cs="Times New Roman"/>
          <w:i/>
          <w:iCs/>
        </w:rPr>
        <w:t>l'in</w:t>
      </w:r>
      <w:proofErr w:type="spellEnd"/>
      <w:r w:rsidRPr="006002CF">
        <w:rPr>
          <w:rFonts w:ascii="Times New Roman" w:hAnsi="Times New Roman" w:cs="Times New Roman"/>
          <w:i/>
          <w:iCs/>
        </w:rPr>
        <w:t xml:space="preserve"> house</w:t>
      </w:r>
      <w:r w:rsidRPr="006002CF">
        <w:rPr>
          <w:rFonts w:ascii="Times New Roman" w:hAnsi="Times New Roman" w:cs="Times New Roman"/>
        </w:rPr>
        <w:t>”, Relazione in occasione del convegno “</w:t>
      </w:r>
      <w:proofErr w:type="gramStart"/>
      <w:r w:rsidRPr="006002CF">
        <w:rPr>
          <w:rFonts w:ascii="Times New Roman" w:hAnsi="Times New Roman" w:cs="Times New Roman"/>
          <w:i/>
          <w:iCs/>
        </w:rPr>
        <w:t>5°</w:t>
      </w:r>
      <w:proofErr w:type="gramEnd"/>
      <w:r w:rsidRPr="006002CF">
        <w:rPr>
          <w:rFonts w:ascii="Times New Roman" w:hAnsi="Times New Roman" w:cs="Times New Roman"/>
          <w:i/>
          <w:iCs/>
        </w:rPr>
        <w:t xml:space="preserve"> rassegna di diritto pubblico dell’economia</w:t>
      </w:r>
      <w:r w:rsidRPr="006002CF">
        <w:rPr>
          <w:rFonts w:ascii="Times New Roman" w:hAnsi="Times New Roman" w:cs="Times New Roman"/>
        </w:rPr>
        <w:t>”, Varese 17 e 18 giugno 2022.</w:t>
      </w:r>
    </w:p>
  </w:footnote>
  <w:footnote w:id="5">
    <w:p w14:paraId="0395C4BC" w14:textId="77777777"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Cfr., in termini, anche la relazione di accompagnamento al codice, p. 219</w:t>
      </w:r>
    </w:p>
  </w:footnote>
  <w:footnote w:id="6">
    <w:p w14:paraId="23A9077D" w14:textId="77777777"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Cfr. già Cons. St., Adunanza della Commissione speciale, 29 marzo 2017 n. 775, “</w:t>
      </w:r>
      <w:r w:rsidRPr="006002CF">
        <w:rPr>
          <w:rFonts w:ascii="Times New Roman" w:hAnsi="Times New Roman" w:cs="Times New Roman"/>
          <w:i/>
          <w:iCs/>
        </w:rPr>
        <w:t>Parere sullo schema di linee guida recanti “Monitoraggio delle amministrazioni aggiudicatrici sull’attività dell’operatore economico nei contratti di partenariato pubblico privato”</w:t>
      </w:r>
      <w:r w:rsidRPr="006002CF">
        <w:rPr>
          <w:rFonts w:ascii="Times New Roman" w:hAnsi="Times New Roman" w:cs="Times New Roman"/>
        </w:rPr>
        <w:t>”.</w:t>
      </w:r>
    </w:p>
  </w:footnote>
  <w:footnote w:id="7">
    <w:p w14:paraId="247FDB2E" w14:textId="62132A9A" w:rsidR="00EC53D2" w:rsidRPr="006002CF" w:rsidRDefault="00EC53D2"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Sul principio di sussidiarietà</w:t>
      </w:r>
      <w:r w:rsidR="007816B4" w:rsidRPr="006002CF">
        <w:rPr>
          <w:rFonts w:ascii="Times New Roman" w:hAnsi="Times New Roman" w:cs="Times New Roman"/>
        </w:rPr>
        <w:t xml:space="preserve"> orizzontale</w:t>
      </w:r>
      <w:r w:rsidRPr="006002CF">
        <w:rPr>
          <w:rFonts w:ascii="Times New Roman" w:hAnsi="Times New Roman" w:cs="Times New Roman"/>
        </w:rPr>
        <w:t>, senza alcuna pretesa di esaustività, si veda</w:t>
      </w:r>
      <w:r w:rsidR="00114A86" w:rsidRPr="006002CF">
        <w:rPr>
          <w:rFonts w:ascii="Times New Roman" w:hAnsi="Times New Roman" w:cs="Times New Roman"/>
        </w:rPr>
        <w:t>, in particolare:</w:t>
      </w:r>
      <w:r w:rsidRPr="006002CF">
        <w:rPr>
          <w:rFonts w:ascii="Times New Roman" w:hAnsi="Times New Roman" w:cs="Times New Roman"/>
        </w:rPr>
        <w:t xml:space="preserve"> </w:t>
      </w:r>
      <w:r w:rsidR="00114A86" w:rsidRPr="006002CF">
        <w:rPr>
          <w:rFonts w:ascii="Times New Roman" w:hAnsi="Times New Roman" w:cs="Times New Roman"/>
        </w:rPr>
        <w:t>Arena G.</w:t>
      </w:r>
      <w:r w:rsidRPr="006002CF">
        <w:rPr>
          <w:rFonts w:ascii="Times New Roman" w:hAnsi="Times New Roman" w:cs="Times New Roman"/>
        </w:rPr>
        <w:t xml:space="preserve">, </w:t>
      </w:r>
      <w:r w:rsidR="00114A86" w:rsidRPr="006002CF">
        <w:rPr>
          <w:rFonts w:ascii="Times New Roman" w:hAnsi="Times New Roman" w:cs="Times New Roman"/>
        </w:rPr>
        <w:t>“</w:t>
      </w:r>
      <w:r w:rsidRPr="006002CF">
        <w:rPr>
          <w:rFonts w:ascii="Times New Roman" w:hAnsi="Times New Roman" w:cs="Times New Roman"/>
          <w:i/>
          <w:iCs/>
        </w:rPr>
        <w:t xml:space="preserve">Il principio di sussidiarietà orizzontale nell’art. 118, </w:t>
      </w:r>
      <w:proofErr w:type="spellStart"/>
      <w:r w:rsidRPr="006002CF">
        <w:rPr>
          <w:rFonts w:ascii="Times New Roman" w:hAnsi="Times New Roman" w:cs="Times New Roman"/>
          <w:i/>
          <w:iCs/>
        </w:rPr>
        <w:t>u.c.</w:t>
      </w:r>
      <w:proofErr w:type="spellEnd"/>
      <w:r w:rsidRPr="006002CF">
        <w:rPr>
          <w:rFonts w:ascii="Times New Roman" w:hAnsi="Times New Roman" w:cs="Times New Roman"/>
          <w:i/>
          <w:iCs/>
        </w:rPr>
        <w:t xml:space="preserve"> della Costituzione</w:t>
      </w:r>
      <w:r w:rsidR="00114A86" w:rsidRPr="006002CF">
        <w:rPr>
          <w:rFonts w:ascii="Times New Roman" w:hAnsi="Times New Roman" w:cs="Times New Roman"/>
        </w:rPr>
        <w:t>”</w:t>
      </w:r>
      <w:r w:rsidRPr="006002CF">
        <w:rPr>
          <w:rFonts w:ascii="Times New Roman" w:hAnsi="Times New Roman" w:cs="Times New Roman"/>
        </w:rPr>
        <w:t xml:space="preserve">, in </w:t>
      </w:r>
      <w:r w:rsidR="00114A86" w:rsidRPr="006002CF">
        <w:rPr>
          <w:rFonts w:ascii="Times New Roman" w:hAnsi="Times New Roman" w:cs="Times New Roman"/>
        </w:rPr>
        <w:t>“</w:t>
      </w:r>
      <w:r w:rsidRPr="006002CF">
        <w:rPr>
          <w:rFonts w:ascii="Times New Roman" w:hAnsi="Times New Roman" w:cs="Times New Roman"/>
          <w:i/>
          <w:iCs/>
        </w:rPr>
        <w:t>Studi in onore di G. Berti</w:t>
      </w:r>
      <w:r w:rsidR="00114A86" w:rsidRPr="006002CF">
        <w:rPr>
          <w:rFonts w:ascii="Times New Roman" w:hAnsi="Times New Roman" w:cs="Times New Roman"/>
        </w:rPr>
        <w:t>”</w:t>
      </w:r>
      <w:r w:rsidRPr="006002CF">
        <w:rPr>
          <w:rFonts w:ascii="Times New Roman" w:hAnsi="Times New Roman" w:cs="Times New Roman"/>
        </w:rPr>
        <w:t xml:space="preserve">, vol. I, Napoli, 2005; </w:t>
      </w:r>
      <w:r w:rsidR="00114A86" w:rsidRPr="006002CF">
        <w:rPr>
          <w:rFonts w:ascii="Times New Roman" w:hAnsi="Times New Roman" w:cs="Times New Roman"/>
        </w:rPr>
        <w:t>Benvenuti F.</w:t>
      </w:r>
      <w:r w:rsidRPr="006002CF">
        <w:rPr>
          <w:rFonts w:ascii="Times New Roman" w:hAnsi="Times New Roman" w:cs="Times New Roman"/>
        </w:rPr>
        <w:t xml:space="preserve">, </w:t>
      </w:r>
      <w:r w:rsidR="00114A86" w:rsidRPr="006002CF">
        <w:rPr>
          <w:rFonts w:ascii="Times New Roman" w:hAnsi="Times New Roman" w:cs="Times New Roman"/>
        </w:rPr>
        <w:t>“</w:t>
      </w:r>
      <w:r w:rsidRPr="006002CF">
        <w:rPr>
          <w:rFonts w:ascii="Times New Roman" w:hAnsi="Times New Roman" w:cs="Times New Roman"/>
          <w:i/>
          <w:iCs/>
        </w:rPr>
        <w:t>Il nuovo cittadino</w:t>
      </w:r>
      <w:r w:rsidR="00114A86" w:rsidRPr="006002CF">
        <w:rPr>
          <w:rFonts w:ascii="Times New Roman" w:hAnsi="Times New Roman" w:cs="Times New Roman"/>
        </w:rPr>
        <w:t>”</w:t>
      </w:r>
      <w:r w:rsidRPr="006002CF">
        <w:rPr>
          <w:rFonts w:ascii="Times New Roman" w:hAnsi="Times New Roman" w:cs="Times New Roman"/>
        </w:rPr>
        <w:t xml:space="preserve">, Padova, 1994; </w:t>
      </w:r>
      <w:r w:rsidR="00114A86" w:rsidRPr="006002CF">
        <w:rPr>
          <w:rFonts w:ascii="Times New Roman" w:hAnsi="Times New Roman" w:cs="Times New Roman"/>
        </w:rPr>
        <w:t>Berti G.</w:t>
      </w:r>
      <w:r w:rsidRPr="006002CF">
        <w:rPr>
          <w:rFonts w:ascii="Times New Roman" w:hAnsi="Times New Roman" w:cs="Times New Roman"/>
        </w:rPr>
        <w:t xml:space="preserve">, </w:t>
      </w:r>
      <w:r w:rsidR="00114A86" w:rsidRPr="006002CF">
        <w:rPr>
          <w:rFonts w:ascii="Times New Roman" w:hAnsi="Times New Roman" w:cs="Times New Roman"/>
        </w:rPr>
        <w:t>“</w:t>
      </w:r>
      <w:r w:rsidRPr="006002CF">
        <w:rPr>
          <w:rFonts w:ascii="Times New Roman" w:hAnsi="Times New Roman" w:cs="Times New Roman"/>
          <w:i/>
          <w:iCs/>
        </w:rPr>
        <w:t>Sussidiarietà e organizzazione dinamica</w:t>
      </w:r>
      <w:r w:rsidR="00114A86" w:rsidRPr="006002CF">
        <w:rPr>
          <w:rFonts w:ascii="Times New Roman" w:hAnsi="Times New Roman" w:cs="Times New Roman"/>
        </w:rPr>
        <w:t>”</w:t>
      </w:r>
      <w:r w:rsidRPr="006002CF">
        <w:rPr>
          <w:rFonts w:ascii="Times New Roman" w:hAnsi="Times New Roman" w:cs="Times New Roman"/>
        </w:rPr>
        <w:t xml:space="preserve">, </w:t>
      </w:r>
      <w:r w:rsidR="00114A86" w:rsidRPr="006002CF">
        <w:rPr>
          <w:rFonts w:ascii="Times New Roman" w:hAnsi="Times New Roman" w:cs="Times New Roman"/>
        </w:rPr>
        <w:t>i</w:t>
      </w:r>
      <w:r w:rsidRPr="006002CF">
        <w:rPr>
          <w:rFonts w:ascii="Times New Roman" w:hAnsi="Times New Roman" w:cs="Times New Roman"/>
        </w:rPr>
        <w:t xml:space="preserve">n </w:t>
      </w:r>
      <w:r w:rsidR="00114A86" w:rsidRPr="006002CF">
        <w:rPr>
          <w:rFonts w:ascii="Times New Roman" w:hAnsi="Times New Roman" w:cs="Times New Roman"/>
        </w:rPr>
        <w:t>“</w:t>
      </w:r>
      <w:r w:rsidRPr="006002CF">
        <w:rPr>
          <w:rFonts w:ascii="Times New Roman" w:hAnsi="Times New Roman" w:cs="Times New Roman"/>
          <w:i/>
          <w:iCs/>
        </w:rPr>
        <w:t>Jus</w:t>
      </w:r>
      <w:r w:rsidR="00114A86" w:rsidRPr="006002CF">
        <w:rPr>
          <w:rFonts w:ascii="Times New Roman" w:hAnsi="Times New Roman" w:cs="Times New Roman"/>
        </w:rPr>
        <w:t>”</w:t>
      </w:r>
      <w:r w:rsidRPr="006002CF">
        <w:rPr>
          <w:rFonts w:ascii="Times New Roman" w:hAnsi="Times New Roman" w:cs="Times New Roman"/>
        </w:rPr>
        <w:t xml:space="preserve">, 2004, p. 171 ss.; </w:t>
      </w:r>
      <w:r w:rsidR="00114A86" w:rsidRPr="006002CF">
        <w:rPr>
          <w:rFonts w:ascii="Times New Roman" w:hAnsi="Times New Roman" w:cs="Times New Roman"/>
        </w:rPr>
        <w:t>Cassese S.</w:t>
      </w:r>
      <w:r w:rsidRPr="006002CF">
        <w:rPr>
          <w:rFonts w:ascii="Times New Roman" w:hAnsi="Times New Roman" w:cs="Times New Roman"/>
        </w:rPr>
        <w:t xml:space="preserve">, </w:t>
      </w:r>
      <w:r w:rsidR="00114A86" w:rsidRPr="006002CF">
        <w:rPr>
          <w:rFonts w:ascii="Times New Roman" w:hAnsi="Times New Roman" w:cs="Times New Roman"/>
        </w:rPr>
        <w:t>“</w:t>
      </w:r>
      <w:r w:rsidRPr="006002CF">
        <w:rPr>
          <w:rFonts w:ascii="Times New Roman" w:hAnsi="Times New Roman" w:cs="Times New Roman"/>
          <w:i/>
          <w:iCs/>
        </w:rPr>
        <w:t>L’aquila e le mosche. Principio di sussidiarietà e diritti amministrativi nell’area europea</w:t>
      </w:r>
      <w:r w:rsidR="00114A86" w:rsidRPr="006002CF">
        <w:rPr>
          <w:rFonts w:ascii="Times New Roman" w:hAnsi="Times New Roman" w:cs="Times New Roman"/>
        </w:rPr>
        <w:t>”</w:t>
      </w:r>
      <w:r w:rsidRPr="006002CF">
        <w:rPr>
          <w:rFonts w:ascii="Times New Roman" w:hAnsi="Times New Roman" w:cs="Times New Roman"/>
        </w:rPr>
        <w:t xml:space="preserve">, in Foro </w:t>
      </w:r>
      <w:proofErr w:type="spellStart"/>
      <w:r w:rsidRPr="006002CF">
        <w:rPr>
          <w:rFonts w:ascii="Times New Roman" w:hAnsi="Times New Roman" w:cs="Times New Roman"/>
        </w:rPr>
        <w:t>it</w:t>
      </w:r>
      <w:proofErr w:type="spellEnd"/>
      <w:r w:rsidRPr="006002CF">
        <w:rPr>
          <w:rFonts w:ascii="Times New Roman" w:hAnsi="Times New Roman" w:cs="Times New Roman"/>
        </w:rPr>
        <w:t xml:space="preserve">., 5/1995, c. 373 ss.; </w:t>
      </w:r>
      <w:r w:rsidR="00114A86" w:rsidRPr="006002CF">
        <w:rPr>
          <w:rFonts w:ascii="Times New Roman" w:hAnsi="Times New Roman" w:cs="Times New Roman"/>
        </w:rPr>
        <w:t>Cerulli Irelli V.</w:t>
      </w:r>
      <w:r w:rsidRPr="006002CF">
        <w:rPr>
          <w:rFonts w:ascii="Times New Roman" w:hAnsi="Times New Roman" w:cs="Times New Roman"/>
        </w:rPr>
        <w:t xml:space="preserve">, </w:t>
      </w:r>
      <w:r w:rsidR="00114A86" w:rsidRPr="006002CF">
        <w:rPr>
          <w:rFonts w:ascii="Times New Roman" w:hAnsi="Times New Roman" w:cs="Times New Roman"/>
        </w:rPr>
        <w:t>“</w:t>
      </w:r>
      <w:r w:rsidRPr="006002CF">
        <w:rPr>
          <w:rFonts w:ascii="Times New Roman" w:hAnsi="Times New Roman" w:cs="Times New Roman"/>
          <w:i/>
          <w:iCs/>
        </w:rPr>
        <w:t xml:space="preserve">Sussidiarietà (dir. </w:t>
      </w:r>
      <w:proofErr w:type="spellStart"/>
      <w:r w:rsidRPr="006002CF">
        <w:rPr>
          <w:rFonts w:ascii="Times New Roman" w:hAnsi="Times New Roman" w:cs="Times New Roman"/>
          <w:i/>
          <w:iCs/>
        </w:rPr>
        <w:t>amm</w:t>
      </w:r>
      <w:proofErr w:type="spellEnd"/>
      <w:r w:rsidRPr="006002CF">
        <w:rPr>
          <w:rFonts w:ascii="Times New Roman" w:hAnsi="Times New Roman" w:cs="Times New Roman"/>
          <w:i/>
          <w:iCs/>
        </w:rPr>
        <w:t>.)</w:t>
      </w:r>
      <w:r w:rsidR="00114A86" w:rsidRPr="006002CF">
        <w:rPr>
          <w:rFonts w:ascii="Times New Roman" w:hAnsi="Times New Roman" w:cs="Times New Roman"/>
        </w:rPr>
        <w:t>”</w:t>
      </w:r>
      <w:r w:rsidRPr="006002CF">
        <w:rPr>
          <w:rFonts w:ascii="Times New Roman" w:hAnsi="Times New Roman" w:cs="Times New Roman"/>
        </w:rPr>
        <w:t xml:space="preserve">, in Enc. giur., Agg. XII, Roma, 2004; </w:t>
      </w:r>
      <w:r w:rsidR="00114A86" w:rsidRPr="006002CF">
        <w:rPr>
          <w:rFonts w:ascii="Times New Roman" w:hAnsi="Times New Roman" w:cs="Times New Roman"/>
        </w:rPr>
        <w:t>Donati D.</w:t>
      </w:r>
      <w:r w:rsidRPr="006002CF">
        <w:rPr>
          <w:rFonts w:ascii="Times New Roman" w:hAnsi="Times New Roman" w:cs="Times New Roman"/>
        </w:rPr>
        <w:t xml:space="preserve">- </w:t>
      </w:r>
      <w:r w:rsidR="00114A86" w:rsidRPr="006002CF">
        <w:rPr>
          <w:rFonts w:ascii="Times New Roman" w:hAnsi="Times New Roman" w:cs="Times New Roman"/>
        </w:rPr>
        <w:t>Paci A.</w:t>
      </w:r>
      <w:r w:rsidRPr="006002CF">
        <w:rPr>
          <w:rFonts w:ascii="Times New Roman" w:hAnsi="Times New Roman" w:cs="Times New Roman"/>
        </w:rPr>
        <w:t xml:space="preserve"> (a cura di), </w:t>
      </w:r>
      <w:r w:rsidR="00114A86" w:rsidRPr="006002CF">
        <w:rPr>
          <w:rFonts w:ascii="Times New Roman" w:hAnsi="Times New Roman" w:cs="Times New Roman"/>
        </w:rPr>
        <w:t>“</w:t>
      </w:r>
      <w:r w:rsidRPr="006002CF">
        <w:rPr>
          <w:rFonts w:ascii="Times New Roman" w:hAnsi="Times New Roman" w:cs="Times New Roman"/>
          <w:i/>
          <w:iCs/>
        </w:rPr>
        <w:t>Sussidiarietà e concorrenza. Una nuova prospettiva per gestione dei beni comuni</w:t>
      </w:r>
      <w:r w:rsidR="00114A86" w:rsidRPr="006002CF">
        <w:rPr>
          <w:rFonts w:ascii="Times New Roman" w:hAnsi="Times New Roman" w:cs="Times New Roman"/>
        </w:rPr>
        <w:t>”</w:t>
      </w:r>
      <w:r w:rsidRPr="006002CF">
        <w:rPr>
          <w:rFonts w:ascii="Times New Roman" w:hAnsi="Times New Roman" w:cs="Times New Roman"/>
        </w:rPr>
        <w:t xml:space="preserve">, Bologna, 2010; </w:t>
      </w:r>
      <w:r w:rsidR="00114A86" w:rsidRPr="006002CF">
        <w:rPr>
          <w:rFonts w:ascii="Times New Roman" w:hAnsi="Times New Roman" w:cs="Times New Roman"/>
        </w:rPr>
        <w:t>Frosini T.E.</w:t>
      </w:r>
      <w:r w:rsidRPr="006002CF">
        <w:rPr>
          <w:rFonts w:ascii="Times New Roman" w:hAnsi="Times New Roman" w:cs="Times New Roman"/>
        </w:rPr>
        <w:t xml:space="preserve">, </w:t>
      </w:r>
      <w:r w:rsidR="00114A86" w:rsidRPr="006002CF">
        <w:rPr>
          <w:rFonts w:ascii="Times New Roman" w:hAnsi="Times New Roman" w:cs="Times New Roman"/>
        </w:rPr>
        <w:t>“</w:t>
      </w:r>
      <w:r w:rsidRPr="006002CF">
        <w:rPr>
          <w:rFonts w:ascii="Times New Roman" w:hAnsi="Times New Roman" w:cs="Times New Roman"/>
          <w:i/>
          <w:iCs/>
        </w:rPr>
        <w:t>Profili costituzionali della sussidiarietà in senso orizzontale</w:t>
      </w:r>
      <w:r w:rsidR="00114A86" w:rsidRPr="006002CF">
        <w:rPr>
          <w:rFonts w:ascii="Times New Roman" w:hAnsi="Times New Roman" w:cs="Times New Roman"/>
        </w:rPr>
        <w:t>”</w:t>
      </w:r>
      <w:r w:rsidRPr="006002CF">
        <w:rPr>
          <w:rFonts w:ascii="Times New Roman" w:hAnsi="Times New Roman" w:cs="Times New Roman"/>
        </w:rPr>
        <w:t xml:space="preserve">, in Riv. giur. Mezzogiorno, 1/2000; </w:t>
      </w:r>
      <w:r w:rsidR="00114A86" w:rsidRPr="006002CF">
        <w:rPr>
          <w:rFonts w:ascii="Times New Roman" w:hAnsi="Times New Roman" w:cs="Times New Roman"/>
        </w:rPr>
        <w:t>Massa Pinto I.</w:t>
      </w:r>
      <w:r w:rsidRPr="006002CF">
        <w:rPr>
          <w:rFonts w:ascii="Times New Roman" w:hAnsi="Times New Roman" w:cs="Times New Roman"/>
        </w:rPr>
        <w:t xml:space="preserve">, </w:t>
      </w:r>
      <w:r w:rsidR="00114A86" w:rsidRPr="006002CF">
        <w:rPr>
          <w:rFonts w:ascii="Times New Roman" w:hAnsi="Times New Roman" w:cs="Times New Roman"/>
        </w:rPr>
        <w:t>“</w:t>
      </w:r>
      <w:r w:rsidRPr="006002CF">
        <w:rPr>
          <w:rFonts w:ascii="Times New Roman" w:hAnsi="Times New Roman" w:cs="Times New Roman"/>
        </w:rPr>
        <w:t xml:space="preserve">Il </w:t>
      </w:r>
      <w:r w:rsidRPr="006002CF">
        <w:rPr>
          <w:rFonts w:ascii="Times New Roman" w:hAnsi="Times New Roman" w:cs="Times New Roman"/>
          <w:i/>
          <w:iCs/>
        </w:rPr>
        <w:t>principio di sussidiarietà. Profili storici e costituzionali</w:t>
      </w:r>
      <w:r w:rsidR="00114A86" w:rsidRPr="006002CF">
        <w:rPr>
          <w:rFonts w:ascii="Times New Roman" w:hAnsi="Times New Roman" w:cs="Times New Roman"/>
        </w:rPr>
        <w:t>”</w:t>
      </w:r>
      <w:r w:rsidRPr="006002CF">
        <w:rPr>
          <w:rFonts w:ascii="Times New Roman" w:hAnsi="Times New Roman" w:cs="Times New Roman"/>
        </w:rPr>
        <w:t xml:space="preserve">, Napoli, 2003; </w:t>
      </w:r>
      <w:r w:rsidR="00114A86" w:rsidRPr="006002CF">
        <w:rPr>
          <w:rFonts w:ascii="Times New Roman" w:hAnsi="Times New Roman" w:cs="Times New Roman"/>
        </w:rPr>
        <w:t>Pastori G.</w:t>
      </w:r>
      <w:r w:rsidRPr="006002CF">
        <w:rPr>
          <w:rFonts w:ascii="Times New Roman" w:hAnsi="Times New Roman" w:cs="Times New Roman"/>
        </w:rPr>
        <w:t xml:space="preserve">, </w:t>
      </w:r>
      <w:r w:rsidR="00114A86" w:rsidRPr="006002CF">
        <w:rPr>
          <w:rFonts w:ascii="Times New Roman" w:hAnsi="Times New Roman" w:cs="Times New Roman"/>
        </w:rPr>
        <w:t>“</w:t>
      </w:r>
      <w:r w:rsidRPr="006002CF">
        <w:rPr>
          <w:rFonts w:ascii="Times New Roman" w:hAnsi="Times New Roman" w:cs="Times New Roman"/>
          <w:i/>
          <w:iCs/>
        </w:rPr>
        <w:t>Amministrazione pubblica e sussidiarietà orizzontale</w:t>
      </w:r>
      <w:r w:rsidR="00114A86" w:rsidRPr="006002CF">
        <w:rPr>
          <w:rFonts w:ascii="Times New Roman" w:hAnsi="Times New Roman" w:cs="Times New Roman"/>
        </w:rPr>
        <w:t>”</w:t>
      </w:r>
      <w:r w:rsidRPr="006002CF">
        <w:rPr>
          <w:rFonts w:ascii="Times New Roman" w:hAnsi="Times New Roman" w:cs="Times New Roman"/>
        </w:rPr>
        <w:t xml:space="preserve">, in </w:t>
      </w:r>
      <w:r w:rsidR="00114A86" w:rsidRPr="006002CF">
        <w:rPr>
          <w:rFonts w:ascii="Times New Roman" w:hAnsi="Times New Roman" w:cs="Times New Roman"/>
        </w:rPr>
        <w:t>“</w:t>
      </w:r>
      <w:r w:rsidRPr="006002CF">
        <w:rPr>
          <w:rFonts w:ascii="Times New Roman" w:hAnsi="Times New Roman" w:cs="Times New Roman"/>
          <w:i/>
          <w:iCs/>
        </w:rPr>
        <w:t>Studi in onore di Giorgio Berti</w:t>
      </w:r>
      <w:r w:rsidR="00114A86" w:rsidRPr="006002CF">
        <w:rPr>
          <w:rFonts w:ascii="Times New Roman" w:hAnsi="Times New Roman" w:cs="Times New Roman"/>
        </w:rPr>
        <w:t>”</w:t>
      </w:r>
      <w:r w:rsidRPr="006002CF">
        <w:rPr>
          <w:rFonts w:ascii="Times New Roman" w:hAnsi="Times New Roman" w:cs="Times New Roman"/>
        </w:rPr>
        <w:t xml:space="preserve">, Milano, 2005, p. 1749 ss.; </w:t>
      </w:r>
      <w:r w:rsidR="00114A86" w:rsidRPr="006002CF">
        <w:rPr>
          <w:rFonts w:ascii="Times New Roman" w:hAnsi="Times New Roman" w:cs="Times New Roman"/>
        </w:rPr>
        <w:t>Rescigno G.U.</w:t>
      </w:r>
      <w:r w:rsidRPr="006002CF">
        <w:rPr>
          <w:rFonts w:ascii="Times New Roman" w:hAnsi="Times New Roman" w:cs="Times New Roman"/>
        </w:rPr>
        <w:t xml:space="preserve">, </w:t>
      </w:r>
      <w:r w:rsidR="00114A86" w:rsidRPr="006002CF">
        <w:rPr>
          <w:rFonts w:ascii="Times New Roman" w:hAnsi="Times New Roman" w:cs="Times New Roman"/>
        </w:rPr>
        <w:t>“</w:t>
      </w:r>
      <w:r w:rsidRPr="006002CF">
        <w:rPr>
          <w:rFonts w:ascii="Times New Roman" w:hAnsi="Times New Roman" w:cs="Times New Roman"/>
          <w:i/>
          <w:iCs/>
        </w:rPr>
        <w:t>Principio di sussidiarietà orizzontale e diritti sociali</w:t>
      </w:r>
      <w:r w:rsidR="00114A86" w:rsidRPr="006002CF">
        <w:rPr>
          <w:rFonts w:ascii="Times New Roman" w:hAnsi="Times New Roman" w:cs="Times New Roman"/>
        </w:rPr>
        <w:t>”</w:t>
      </w:r>
      <w:r w:rsidRPr="006002CF">
        <w:rPr>
          <w:rFonts w:ascii="Times New Roman" w:hAnsi="Times New Roman" w:cs="Times New Roman"/>
        </w:rPr>
        <w:t xml:space="preserve">, in Dir. </w:t>
      </w:r>
      <w:proofErr w:type="spellStart"/>
      <w:r w:rsidRPr="006002CF">
        <w:rPr>
          <w:rFonts w:ascii="Times New Roman" w:hAnsi="Times New Roman" w:cs="Times New Roman"/>
        </w:rPr>
        <w:t>pubbl</w:t>
      </w:r>
      <w:proofErr w:type="spellEnd"/>
      <w:r w:rsidRPr="006002CF">
        <w:rPr>
          <w:rFonts w:ascii="Times New Roman" w:hAnsi="Times New Roman" w:cs="Times New Roman"/>
        </w:rPr>
        <w:t xml:space="preserve">., 2002, p. 5 ss.; </w:t>
      </w:r>
      <w:proofErr w:type="spellStart"/>
      <w:r w:rsidR="00114A86" w:rsidRPr="006002CF">
        <w:rPr>
          <w:rFonts w:ascii="Times New Roman" w:hAnsi="Times New Roman" w:cs="Times New Roman"/>
        </w:rPr>
        <w:t>Sico</w:t>
      </w:r>
      <w:proofErr w:type="spellEnd"/>
      <w:r w:rsidR="00114A86" w:rsidRPr="006002CF">
        <w:rPr>
          <w:rFonts w:ascii="Times New Roman" w:hAnsi="Times New Roman" w:cs="Times New Roman"/>
        </w:rPr>
        <w:t xml:space="preserve"> L.</w:t>
      </w:r>
      <w:r w:rsidRPr="006002CF">
        <w:rPr>
          <w:rFonts w:ascii="Times New Roman" w:hAnsi="Times New Roman" w:cs="Times New Roman"/>
        </w:rPr>
        <w:t xml:space="preserve">, </w:t>
      </w:r>
      <w:r w:rsidR="00114A86" w:rsidRPr="006002CF">
        <w:rPr>
          <w:rFonts w:ascii="Times New Roman" w:hAnsi="Times New Roman" w:cs="Times New Roman"/>
        </w:rPr>
        <w:t>“</w:t>
      </w:r>
      <w:r w:rsidRPr="006002CF">
        <w:rPr>
          <w:rFonts w:ascii="Times New Roman" w:hAnsi="Times New Roman" w:cs="Times New Roman"/>
          <w:i/>
          <w:iCs/>
        </w:rPr>
        <w:t>Principio di sussidiarietà (diritto comunitario)</w:t>
      </w:r>
      <w:r w:rsidR="00114A86" w:rsidRPr="006002CF">
        <w:rPr>
          <w:rFonts w:ascii="Times New Roman" w:hAnsi="Times New Roman" w:cs="Times New Roman"/>
        </w:rPr>
        <w:t>”</w:t>
      </w:r>
      <w:r w:rsidRPr="006002CF">
        <w:rPr>
          <w:rFonts w:ascii="Times New Roman" w:hAnsi="Times New Roman" w:cs="Times New Roman"/>
        </w:rPr>
        <w:t>, in Enc dir., Agg. V, Milano, 2001, p. 1062 ss.</w:t>
      </w:r>
    </w:p>
  </w:footnote>
  <w:footnote w:id="8">
    <w:p w14:paraId="57DBF0FF" w14:textId="430FF0AC" w:rsidR="002F3BB7" w:rsidRPr="006002CF" w:rsidRDefault="002F3BB7"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w:t>
      </w:r>
      <w:r w:rsidR="00CB5D4C" w:rsidRPr="006002CF">
        <w:rPr>
          <w:rFonts w:ascii="Times New Roman" w:hAnsi="Times New Roman" w:cs="Times New Roman"/>
        </w:rPr>
        <w:t>Su cui, cfr. De Nictolis R., “</w:t>
      </w:r>
      <w:r w:rsidR="00CB5D4C" w:rsidRPr="006002CF">
        <w:rPr>
          <w:rFonts w:ascii="Times New Roman" w:hAnsi="Times New Roman" w:cs="Times New Roman"/>
          <w:i/>
          <w:iCs/>
        </w:rPr>
        <w:t>Il baratto amministrativo (o partenariato sociale)</w:t>
      </w:r>
      <w:r w:rsidR="00CB5D4C" w:rsidRPr="006002CF">
        <w:rPr>
          <w:rFonts w:ascii="Times New Roman" w:hAnsi="Times New Roman" w:cs="Times New Roman"/>
        </w:rPr>
        <w:t>”, in www.giustizia-amministrativa.it, 2018</w:t>
      </w:r>
      <w:r w:rsidR="00B0292F" w:rsidRPr="006002CF">
        <w:rPr>
          <w:rFonts w:ascii="Times New Roman" w:hAnsi="Times New Roman" w:cs="Times New Roman"/>
        </w:rPr>
        <w:t>; cfr. anche Berrettini A., “</w:t>
      </w:r>
      <w:r w:rsidR="00B0292F" w:rsidRPr="0088385C">
        <w:rPr>
          <w:rFonts w:ascii="Times New Roman" w:hAnsi="Times New Roman" w:cs="Times New Roman"/>
          <w:i/>
          <w:iCs/>
        </w:rPr>
        <w:t>La co-progettazione alla luce del Codice del terzo settore</w:t>
      </w:r>
      <w:r w:rsidR="00B0292F" w:rsidRPr="006002CF">
        <w:rPr>
          <w:rFonts w:ascii="Times New Roman" w:hAnsi="Times New Roman" w:cs="Times New Roman"/>
        </w:rPr>
        <w:t xml:space="preserve">”, in </w:t>
      </w:r>
      <w:r w:rsidR="00B0292F" w:rsidRPr="006002CF">
        <w:rPr>
          <w:rFonts w:ascii="Times New Roman" w:hAnsi="Times New Roman" w:cs="Times New Roman"/>
          <w:i/>
          <w:iCs/>
        </w:rPr>
        <w:t>Federalismi.it</w:t>
      </w:r>
      <w:r w:rsidR="00B0292F" w:rsidRPr="006002CF">
        <w:rPr>
          <w:rFonts w:ascii="Times New Roman" w:hAnsi="Times New Roman" w:cs="Times New Roman"/>
        </w:rPr>
        <w:t>, n. 27 del 19 ottobre 2022.</w:t>
      </w:r>
    </w:p>
  </w:footnote>
  <w:footnote w:id="9">
    <w:p w14:paraId="2690F9D0" w14:textId="690C0E05"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Il riferimento è ovviamente a Benvenuti F., “</w:t>
      </w:r>
      <w:r w:rsidRPr="006002CF">
        <w:rPr>
          <w:rFonts w:ascii="Times New Roman" w:hAnsi="Times New Roman" w:cs="Times New Roman"/>
          <w:i/>
          <w:iCs/>
        </w:rPr>
        <w:t>Il nuovo cittadino</w:t>
      </w:r>
      <w:r w:rsidRPr="006002CF">
        <w:rPr>
          <w:rFonts w:ascii="Times New Roman" w:hAnsi="Times New Roman" w:cs="Times New Roman"/>
        </w:rPr>
        <w:t xml:space="preserve">”, </w:t>
      </w:r>
      <w:r w:rsidR="007816B4" w:rsidRPr="006002CF">
        <w:rPr>
          <w:rFonts w:ascii="Times New Roman" w:hAnsi="Times New Roman" w:cs="Times New Roman"/>
        </w:rPr>
        <w:t>cit</w:t>
      </w:r>
      <w:r w:rsidRPr="006002CF">
        <w:rPr>
          <w:rFonts w:ascii="Times New Roman" w:hAnsi="Times New Roman" w:cs="Times New Roman"/>
        </w:rPr>
        <w:t>.</w:t>
      </w:r>
    </w:p>
  </w:footnote>
  <w:footnote w:id="10">
    <w:p w14:paraId="22CC6B45" w14:textId="4CCF5619"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w:t>
      </w:r>
      <w:r w:rsidRPr="006002CF">
        <w:rPr>
          <w:rFonts w:ascii="Times New Roman" w:hAnsi="Times New Roman" w:cs="Times New Roman"/>
          <w:u w:val="single"/>
        </w:rPr>
        <w:t>https://</w:t>
      </w:r>
      <w:hyperlink r:id="rId1" w:history="1">
        <w:r w:rsidRPr="006002CF">
          <w:rPr>
            <w:rStyle w:val="Collegamentoipertestuale"/>
            <w:rFonts w:ascii="Times New Roman" w:hAnsi="Times New Roman" w:cs="Times New Roman"/>
            <w:color w:val="auto"/>
          </w:rPr>
          <w:t>www.programmazioneeconomica.gov.it/</w:t>
        </w:r>
        <w:proofErr w:type="spellStart"/>
        <w:r w:rsidRPr="006002CF">
          <w:rPr>
            <w:rStyle w:val="Collegamentoipertestuale"/>
            <w:rFonts w:ascii="Times New Roman" w:hAnsi="Times New Roman" w:cs="Times New Roman"/>
            <w:color w:val="auto"/>
          </w:rPr>
          <w:t>homeppp</w:t>
        </w:r>
        <w:proofErr w:type="spellEnd"/>
        <w:r w:rsidRPr="006002CF">
          <w:rPr>
            <w:rStyle w:val="Collegamentoipertestuale"/>
            <w:rFonts w:ascii="Times New Roman" w:hAnsi="Times New Roman" w:cs="Times New Roman"/>
            <w:color w:val="auto"/>
          </w:rPr>
          <w:t>/</w:t>
        </w:r>
      </w:hyperlink>
      <w:r w:rsidRPr="006002CF">
        <w:rPr>
          <w:rFonts w:ascii="Times New Roman" w:hAnsi="Times New Roman" w:cs="Times New Roman"/>
        </w:rPr>
        <w:t xml:space="preserve">. </w:t>
      </w:r>
      <w:r w:rsidR="00A4209F" w:rsidRPr="006002CF">
        <w:rPr>
          <w:rFonts w:ascii="Times New Roman" w:hAnsi="Times New Roman" w:cs="Times New Roman"/>
        </w:rPr>
        <w:t>Allo stato non è ancora stata pubblicata la relazione per l’anno 2022 e non si rinvengono dati più aggiornati.</w:t>
      </w:r>
    </w:p>
  </w:footnote>
  <w:footnote w:id="11">
    <w:p w14:paraId="173BED37" w14:textId="77777777"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w:t>
      </w:r>
      <w:hyperlink r:id="rId2" w:history="1">
        <w:r w:rsidRPr="006002CF">
          <w:rPr>
            <w:rStyle w:val="Collegamentoipertestuale"/>
            <w:rFonts w:ascii="Times New Roman" w:hAnsi="Times New Roman" w:cs="Times New Roman"/>
            <w:color w:val="auto"/>
          </w:rPr>
          <w:t>https://www.anticorruzione.it/-/relazione-annuale-2023</w:t>
        </w:r>
      </w:hyperlink>
      <w:r w:rsidRPr="006002CF">
        <w:rPr>
          <w:rFonts w:ascii="Times New Roman" w:hAnsi="Times New Roman" w:cs="Times New Roman"/>
        </w:rPr>
        <w:t xml:space="preserve">. </w:t>
      </w:r>
    </w:p>
  </w:footnote>
  <w:footnote w:id="12">
    <w:p w14:paraId="710824D4" w14:textId="57461A9C"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w:t>
      </w:r>
      <w:hyperlink r:id="rId3" w:history="1">
        <w:r w:rsidRPr="006002CF">
          <w:rPr>
            <w:rStyle w:val="Collegamentoipertestuale"/>
            <w:rFonts w:ascii="Times New Roman" w:hAnsi="Times New Roman" w:cs="Times New Roman"/>
            <w:color w:val="auto"/>
          </w:rPr>
          <w:t>https://www.eca.europa.eu/it/publications?did=45153</w:t>
        </w:r>
      </w:hyperlink>
      <w:r w:rsidRPr="006002CF">
        <w:rPr>
          <w:rFonts w:ascii="Times New Roman" w:hAnsi="Times New Roman" w:cs="Times New Roman"/>
        </w:rPr>
        <w:t xml:space="preserve">. </w:t>
      </w:r>
      <w:r w:rsidR="006324C5" w:rsidRPr="006002CF">
        <w:rPr>
          <w:rFonts w:ascii="Times New Roman" w:hAnsi="Times New Roman" w:cs="Times New Roman"/>
        </w:rPr>
        <w:t>Insistevano sul punto</w:t>
      </w:r>
      <w:r w:rsidR="000C76BE" w:rsidRPr="006002CF">
        <w:rPr>
          <w:rFonts w:ascii="Times New Roman" w:hAnsi="Times New Roman" w:cs="Times New Roman"/>
        </w:rPr>
        <w:t xml:space="preserve"> anche</w:t>
      </w:r>
      <w:r w:rsidR="006324C5" w:rsidRPr="006002CF">
        <w:rPr>
          <w:rFonts w:ascii="Times New Roman" w:hAnsi="Times New Roman" w:cs="Times New Roman"/>
        </w:rPr>
        <w:t xml:space="preserve"> le</w:t>
      </w:r>
      <w:r w:rsidR="000C76BE" w:rsidRPr="006002CF">
        <w:rPr>
          <w:rFonts w:ascii="Times New Roman" w:hAnsi="Times New Roman" w:cs="Times New Roman"/>
        </w:rPr>
        <w:t xml:space="preserve"> Linee guida n. 9, recanti: </w:t>
      </w:r>
      <w:r w:rsidR="00486974" w:rsidRPr="006002CF">
        <w:rPr>
          <w:rFonts w:ascii="Times New Roman" w:hAnsi="Times New Roman" w:cs="Times New Roman"/>
        </w:rPr>
        <w:t>“</w:t>
      </w:r>
      <w:r w:rsidR="000C76BE" w:rsidRPr="006002CF">
        <w:rPr>
          <w:rFonts w:ascii="Times New Roman" w:hAnsi="Times New Roman" w:cs="Times New Roman"/>
          <w:i/>
          <w:iCs/>
        </w:rPr>
        <w:t>Monitoraggio delle amministrazioni aggiudicatrici sull’attività dell’operatore economico nei contratti di partenariato pubblico-privato</w:t>
      </w:r>
      <w:r w:rsidR="00486974" w:rsidRPr="006002CF">
        <w:rPr>
          <w:rFonts w:ascii="Times New Roman" w:hAnsi="Times New Roman" w:cs="Times New Roman"/>
        </w:rPr>
        <w:t>”</w:t>
      </w:r>
      <w:r w:rsidR="000C76BE" w:rsidRPr="006002CF">
        <w:rPr>
          <w:rFonts w:ascii="Times New Roman" w:hAnsi="Times New Roman" w:cs="Times New Roman"/>
        </w:rPr>
        <w:t>, approvate dal Consiglio dell’Autorità con delibera 28 marzo 2018, n. 318 e depositate presso la Segreteria del Consiglio in data 6 aprile 2018.</w:t>
      </w:r>
    </w:p>
  </w:footnote>
  <w:footnote w:id="13">
    <w:p w14:paraId="6079CEA7" w14:textId="77777777"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Ai sensi dell’art. 3, comma 5 dell’Allegato II.4, è richiesta “</w:t>
      </w:r>
      <w:r w:rsidRPr="006002CF">
        <w:rPr>
          <w:rFonts w:ascii="Times New Roman" w:hAnsi="Times New Roman" w:cs="Times New Roman"/>
          <w:i/>
          <w:iCs/>
        </w:rPr>
        <w:t>almeno una qualificazione di livello L2</w:t>
      </w:r>
      <w:r w:rsidRPr="006002CF">
        <w:rPr>
          <w:rFonts w:ascii="Times New Roman" w:hAnsi="Times New Roman" w:cs="Times New Roman"/>
        </w:rPr>
        <w:t>” e deve essere garantita “</w:t>
      </w:r>
      <w:r w:rsidRPr="006002CF">
        <w:rPr>
          <w:rFonts w:ascii="Times New Roman" w:hAnsi="Times New Roman" w:cs="Times New Roman"/>
          <w:i/>
          <w:iCs/>
        </w:rPr>
        <w:t>la presenza di almeno un soggetto con esperienza di tre anni nella gestione di piani economici e finanziarie dei rischi</w:t>
      </w:r>
      <w:r w:rsidRPr="006002CF">
        <w:rPr>
          <w:rFonts w:ascii="Times New Roman" w:hAnsi="Times New Roman" w:cs="Times New Roman"/>
        </w:rPr>
        <w:t>”.</w:t>
      </w:r>
    </w:p>
  </w:footnote>
  <w:footnote w:id="14">
    <w:p w14:paraId="704129C0" w14:textId="3ACA6649" w:rsidR="00E27B13" w:rsidRPr="006002CF" w:rsidRDefault="00E27B13"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Cfr. art. 1, comma 589, l. 28 dicembre 2015, n. 208, recante la Legge di stabilità per il 2016.</w:t>
      </w:r>
    </w:p>
  </w:footnote>
  <w:footnote w:id="15">
    <w:p w14:paraId="3BF9BD67" w14:textId="77777777"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Si segnala la diversità di formulazione del primo alinea del comma 3 dell’art. 175 rispetto a quella del terzo alinea, nel quale si fa espresso riferimento all’applicazione della formula del “</w:t>
      </w:r>
      <w:r w:rsidRPr="006002CF">
        <w:rPr>
          <w:rFonts w:ascii="Times New Roman" w:hAnsi="Times New Roman" w:cs="Times New Roman"/>
          <w:i/>
          <w:iCs/>
        </w:rPr>
        <w:t>silenzio assenso</w:t>
      </w:r>
      <w:r w:rsidRPr="006002CF">
        <w:rPr>
          <w:rFonts w:ascii="Times New Roman" w:hAnsi="Times New Roman" w:cs="Times New Roman"/>
        </w:rPr>
        <w:t xml:space="preserve">” di cui all’art. 16, comma 2 </w:t>
      </w:r>
      <w:proofErr w:type="spellStart"/>
      <w:r w:rsidRPr="006002CF">
        <w:rPr>
          <w:rFonts w:ascii="Times New Roman" w:hAnsi="Times New Roman" w:cs="Times New Roman"/>
        </w:rPr>
        <w:t>l.p.a</w:t>
      </w:r>
      <w:proofErr w:type="spellEnd"/>
      <w:r w:rsidRPr="006002CF">
        <w:rPr>
          <w:rFonts w:ascii="Times New Roman" w:hAnsi="Times New Roman" w:cs="Times New Roman"/>
        </w:rPr>
        <w:t>., in caso di mancato riscontro alla richiesta di parere da parte del D.I.P.E. e della R.G.S. In verità, trattandosi quest’ultima di previsione generale, l’eventuale esclusione della sua applicazione per l’ipotesi di cui al primo alinea – pur in astratto ragionevole – non può essere argomentata sulla base del mero dato testuale e, conseguentemente, deve ritenersi che anche in questo caso possa formarsi il silenzio assenso.</w:t>
      </w:r>
    </w:p>
  </w:footnote>
  <w:footnote w:id="16">
    <w:p w14:paraId="76E3DEFF" w14:textId="77777777"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Organismo tecnico di consulenza e supporto alle attività del C.I.P.E.S.S., coordinato dal D.I.P.E. e composto da rappresentanti delle seguenti amministrazioni: Ministero dell’economia e delle finanze; Ministero delle infrastrutture e dei trasporti; Ministero dell’ambiente e della sicurezza energetica; Ministero delle imprese e del made in </w:t>
      </w:r>
      <w:proofErr w:type="spellStart"/>
      <w:r w:rsidRPr="006002CF">
        <w:rPr>
          <w:rFonts w:ascii="Times New Roman" w:hAnsi="Times New Roman" w:cs="Times New Roman"/>
        </w:rPr>
        <w:t>Italy</w:t>
      </w:r>
      <w:proofErr w:type="spellEnd"/>
      <w:r w:rsidRPr="006002CF">
        <w:rPr>
          <w:rFonts w:ascii="Times New Roman" w:hAnsi="Times New Roman" w:cs="Times New Roman"/>
        </w:rPr>
        <w:t>; Ministro delegato per gli affari europei, il sud, le politiche di coesione e il PNRR; Ministro delegato per gli affari regionali e le autonomie; Ministro delegato per la pubblica amministrazione; Conferenza permanente per i rapporti tra lo Stato, le Regioni e le Province autonome di Trento e Bolzano.</w:t>
      </w:r>
    </w:p>
  </w:footnote>
  <w:footnote w:id="17">
    <w:p w14:paraId="1EEEE0E3" w14:textId="019157A5"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Cfr., sul punto, anche il parere reso dal Consiglio di Stato, sez. I, 28 aprile 2020, n. 823, ai sensi dell’art. 17, comma 25, lett. </w:t>
      </w:r>
      <w:r w:rsidRPr="006002CF">
        <w:rPr>
          <w:rFonts w:ascii="Times New Roman" w:hAnsi="Times New Roman" w:cs="Times New Roman"/>
          <w:i/>
          <w:iCs/>
        </w:rPr>
        <w:t>c)</w:t>
      </w:r>
      <w:r w:rsidRPr="006002CF">
        <w:rPr>
          <w:rFonts w:ascii="Times New Roman" w:hAnsi="Times New Roman" w:cs="Times New Roman"/>
        </w:rPr>
        <w:t>, l. 15 maggio 1997,</w:t>
      </w:r>
    </w:p>
  </w:footnote>
  <w:footnote w:id="18">
    <w:p w14:paraId="6E771F4E" w14:textId="391CB65B" w:rsidR="007B0E29" w:rsidRPr="006002CF" w:rsidRDefault="007B0E29" w:rsidP="006002CF">
      <w:pPr>
        <w:spacing w:after="0" w:line="240" w:lineRule="auto"/>
        <w:jc w:val="both"/>
        <w:rPr>
          <w:rFonts w:ascii="Times New Roman" w:hAnsi="Times New Roman" w:cs="Times New Roman"/>
          <w:sz w:val="20"/>
          <w:szCs w:val="20"/>
        </w:rPr>
      </w:pPr>
      <w:r w:rsidRPr="006002CF">
        <w:rPr>
          <w:rStyle w:val="Rimandonotaapidipagina"/>
          <w:rFonts w:ascii="Times New Roman" w:hAnsi="Times New Roman" w:cs="Times New Roman"/>
          <w:sz w:val="20"/>
          <w:szCs w:val="20"/>
        </w:rPr>
        <w:footnoteRef/>
      </w:r>
      <w:r w:rsidRPr="006002CF">
        <w:rPr>
          <w:rFonts w:ascii="Times New Roman" w:hAnsi="Times New Roman" w:cs="Times New Roman"/>
          <w:sz w:val="20"/>
          <w:szCs w:val="20"/>
        </w:rPr>
        <w:t xml:space="preserve"> La bibliografia sul contratto di concessione è estremamente ampia. Sia sufficiente, ai fini del presente scritto, il rinvio a Greco G., “</w:t>
      </w:r>
      <w:r w:rsidRPr="006002CF">
        <w:rPr>
          <w:rFonts w:ascii="Times New Roman" w:hAnsi="Times New Roman" w:cs="Times New Roman"/>
          <w:i/>
          <w:iCs/>
          <w:sz w:val="20"/>
          <w:szCs w:val="20"/>
        </w:rPr>
        <w:t>Concessioni di lavori e servizi. Profili generali</w:t>
      </w:r>
      <w:r w:rsidRPr="006002CF">
        <w:rPr>
          <w:rFonts w:ascii="Times New Roman" w:hAnsi="Times New Roman" w:cs="Times New Roman"/>
          <w:sz w:val="20"/>
          <w:szCs w:val="20"/>
        </w:rPr>
        <w:t xml:space="preserve">” in Sandulli M.A., De Nictolis R. (diretto da), </w:t>
      </w:r>
      <w:r w:rsidRPr="006002CF">
        <w:rPr>
          <w:rFonts w:ascii="Times New Roman" w:hAnsi="Times New Roman" w:cs="Times New Roman"/>
          <w:i/>
          <w:iCs/>
          <w:sz w:val="20"/>
          <w:szCs w:val="20"/>
        </w:rPr>
        <w:t>Trattato sui contratti pubblici</w:t>
      </w:r>
      <w:r w:rsidRPr="006002CF">
        <w:rPr>
          <w:rFonts w:ascii="Times New Roman" w:hAnsi="Times New Roman" w:cs="Times New Roman"/>
          <w:sz w:val="20"/>
          <w:szCs w:val="20"/>
        </w:rPr>
        <w:t>, Tomo V, 2019</w:t>
      </w:r>
      <w:r w:rsidR="005221DE" w:rsidRPr="006002CF">
        <w:rPr>
          <w:rFonts w:ascii="Times New Roman" w:hAnsi="Times New Roman" w:cs="Times New Roman"/>
          <w:sz w:val="20"/>
          <w:szCs w:val="20"/>
        </w:rPr>
        <w:t xml:space="preserve"> e a Botto A., </w:t>
      </w:r>
      <w:proofErr w:type="spellStart"/>
      <w:r w:rsidR="005221DE" w:rsidRPr="006002CF">
        <w:rPr>
          <w:rFonts w:ascii="Times New Roman" w:hAnsi="Times New Roman" w:cs="Times New Roman"/>
          <w:sz w:val="20"/>
          <w:szCs w:val="20"/>
        </w:rPr>
        <w:t>Castrovinci</w:t>
      </w:r>
      <w:proofErr w:type="spellEnd"/>
      <w:r w:rsidR="005221DE" w:rsidRPr="006002CF">
        <w:rPr>
          <w:rFonts w:ascii="Times New Roman" w:hAnsi="Times New Roman" w:cs="Times New Roman"/>
          <w:sz w:val="20"/>
          <w:szCs w:val="20"/>
        </w:rPr>
        <w:t xml:space="preserve"> Zenna S., “</w:t>
      </w:r>
      <w:r w:rsidR="005221DE" w:rsidRPr="006002CF">
        <w:rPr>
          <w:rFonts w:ascii="Times New Roman" w:hAnsi="Times New Roman" w:cs="Times New Roman"/>
          <w:i/>
          <w:iCs/>
          <w:sz w:val="20"/>
          <w:szCs w:val="20"/>
        </w:rPr>
        <w:t>I principi e le procedure (artt. 164-173)</w:t>
      </w:r>
      <w:r w:rsidR="005221DE" w:rsidRPr="006002CF">
        <w:rPr>
          <w:rFonts w:ascii="Times New Roman" w:hAnsi="Times New Roman" w:cs="Times New Roman"/>
          <w:sz w:val="20"/>
          <w:szCs w:val="20"/>
        </w:rPr>
        <w:t xml:space="preserve">”, in Clarich M. (a cura di), </w:t>
      </w:r>
      <w:r w:rsidR="005221DE" w:rsidRPr="006002CF">
        <w:rPr>
          <w:rFonts w:ascii="Times New Roman" w:hAnsi="Times New Roman" w:cs="Times New Roman"/>
          <w:i/>
          <w:iCs/>
          <w:sz w:val="20"/>
          <w:szCs w:val="20"/>
        </w:rPr>
        <w:t>Commentario al codice dei contratti pubblici</w:t>
      </w:r>
      <w:r w:rsidR="005221DE" w:rsidRPr="006002CF">
        <w:rPr>
          <w:rFonts w:ascii="Times New Roman" w:hAnsi="Times New Roman" w:cs="Times New Roman"/>
          <w:sz w:val="20"/>
          <w:szCs w:val="20"/>
        </w:rPr>
        <w:t>, cit.</w:t>
      </w:r>
    </w:p>
  </w:footnote>
  <w:footnote w:id="19">
    <w:p w14:paraId="1DA4D8D6" w14:textId="1D8C810D" w:rsidR="00497FAF" w:rsidRPr="006002CF" w:rsidRDefault="00497FAF" w:rsidP="006002CF">
      <w:pPr>
        <w:spacing w:after="0" w:line="240" w:lineRule="auto"/>
        <w:jc w:val="both"/>
        <w:rPr>
          <w:rFonts w:ascii="Times New Roman" w:hAnsi="Times New Roman" w:cs="Times New Roman"/>
          <w:sz w:val="20"/>
          <w:szCs w:val="20"/>
        </w:rPr>
      </w:pPr>
      <w:r w:rsidRPr="006002CF">
        <w:rPr>
          <w:rStyle w:val="Rimandonotaapidipagina"/>
          <w:rFonts w:ascii="Times New Roman" w:hAnsi="Times New Roman" w:cs="Times New Roman"/>
          <w:sz w:val="20"/>
          <w:szCs w:val="20"/>
        </w:rPr>
        <w:footnoteRef/>
      </w:r>
      <w:r w:rsidRPr="006002CF">
        <w:rPr>
          <w:rFonts w:ascii="Times New Roman" w:hAnsi="Times New Roman" w:cs="Times New Roman"/>
          <w:sz w:val="20"/>
          <w:szCs w:val="20"/>
        </w:rPr>
        <w:t xml:space="preserve"> Su cui </w:t>
      </w:r>
      <w:r w:rsidR="004524D0" w:rsidRPr="006002CF">
        <w:rPr>
          <w:rFonts w:ascii="Times New Roman" w:hAnsi="Times New Roman" w:cs="Times New Roman"/>
          <w:sz w:val="20"/>
          <w:szCs w:val="20"/>
        </w:rPr>
        <w:t>si vedano, in particolare,</w:t>
      </w:r>
      <w:r w:rsidR="009634B3" w:rsidRPr="006002CF">
        <w:rPr>
          <w:rFonts w:ascii="Times New Roman" w:hAnsi="Times New Roman" w:cs="Times New Roman"/>
          <w:sz w:val="20"/>
          <w:szCs w:val="20"/>
        </w:rPr>
        <w:t xml:space="preserve"> </w:t>
      </w:r>
      <w:proofErr w:type="spellStart"/>
      <w:r w:rsidR="009634B3" w:rsidRPr="006002CF">
        <w:rPr>
          <w:rFonts w:ascii="Times New Roman" w:hAnsi="Times New Roman" w:cs="Times New Roman"/>
          <w:sz w:val="20"/>
          <w:szCs w:val="20"/>
        </w:rPr>
        <w:t>Cintioli</w:t>
      </w:r>
      <w:proofErr w:type="spellEnd"/>
      <w:r w:rsidR="009634B3" w:rsidRPr="006002CF">
        <w:rPr>
          <w:rFonts w:ascii="Times New Roman" w:hAnsi="Times New Roman" w:cs="Times New Roman"/>
          <w:sz w:val="20"/>
          <w:szCs w:val="20"/>
        </w:rPr>
        <w:t xml:space="preserve"> F., “</w:t>
      </w:r>
      <w:r w:rsidR="009634B3" w:rsidRPr="006002CF">
        <w:rPr>
          <w:rFonts w:ascii="Times New Roman" w:hAnsi="Times New Roman" w:cs="Times New Roman"/>
          <w:i/>
          <w:iCs/>
          <w:sz w:val="20"/>
          <w:szCs w:val="20"/>
        </w:rPr>
        <w:t>PPPC tipizzati. Locazione finanziaria</w:t>
      </w:r>
      <w:r w:rsidR="009634B3" w:rsidRPr="006002CF">
        <w:rPr>
          <w:rFonts w:ascii="Times New Roman" w:hAnsi="Times New Roman" w:cs="Times New Roman"/>
          <w:sz w:val="20"/>
          <w:szCs w:val="20"/>
        </w:rPr>
        <w:t>”</w:t>
      </w:r>
      <w:r w:rsidR="00EF71BA" w:rsidRPr="006002CF">
        <w:rPr>
          <w:rFonts w:ascii="Times New Roman" w:hAnsi="Times New Roman" w:cs="Times New Roman"/>
          <w:sz w:val="20"/>
          <w:szCs w:val="20"/>
        </w:rPr>
        <w:t xml:space="preserve">, in Sandulli M.A., De Nictolis R. (diretto da), </w:t>
      </w:r>
      <w:r w:rsidR="00EF71BA" w:rsidRPr="006002CF">
        <w:rPr>
          <w:rFonts w:ascii="Times New Roman" w:hAnsi="Times New Roman" w:cs="Times New Roman"/>
          <w:i/>
          <w:iCs/>
          <w:sz w:val="20"/>
          <w:szCs w:val="20"/>
        </w:rPr>
        <w:t>Trattato sui contratti pubblici</w:t>
      </w:r>
      <w:r w:rsidR="00EF71BA" w:rsidRPr="006002CF">
        <w:rPr>
          <w:rFonts w:ascii="Times New Roman" w:hAnsi="Times New Roman" w:cs="Times New Roman"/>
          <w:sz w:val="20"/>
          <w:szCs w:val="20"/>
        </w:rPr>
        <w:t xml:space="preserve">, Tomo V, cit.; </w:t>
      </w:r>
      <w:r w:rsidR="009634B3" w:rsidRPr="006002CF">
        <w:rPr>
          <w:rFonts w:ascii="Times New Roman" w:hAnsi="Times New Roman" w:cs="Times New Roman"/>
          <w:sz w:val="20"/>
          <w:szCs w:val="20"/>
        </w:rPr>
        <w:t>Viciconte G., “</w:t>
      </w:r>
      <w:r w:rsidR="009634B3" w:rsidRPr="006002CF">
        <w:rPr>
          <w:rFonts w:ascii="Times New Roman" w:hAnsi="Times New Roman" w:cs="Times New Roman"/>
          <w:i/>
          <w:iCs/>
          <w:sz w:val="20"/>
          <w:szCs w:val="20"/>
        </w:rPr>
        <w:t>I contratti di partenariato e la locazione finanziaria (artt. 179-182, 187)</w:t>
      </w:r>
      <w:r w:rsidR="009634B3" w:rsidRPr="006002CF">
        <w:rPr>
          <w:rFonts w:ascii="Times New Roman" w:hAnsi="Times New Roman" w:cs="Times New Roman"/>
          <w:sz w:val="20"/>
          <w:szCs w:val="20"/>
        </w:rPr>
        <w:t xml:space="preserve">”, in Clarich M. (a cura di), </w:t>
      </w:r>
      <w:r w:rsidR="009634B3" w:rsidRPr="006002CF">
        <w:rPr>
          <w:rFonts w:ascii="Times New Roman" w:hAnsi="Times New Roman" w:cs="Times New Roman"/>
          <w:i/>
          <w:iCs/>
          <w:sz w:val="20"/>
          <w:szCs w:val="20"/>
        </w:rPr>
        <w:t>Commentario al codice dei contratti pubblici</w:t>
      </w:r>
      <w:r w:rsidR="009634B3" w:rsidRPr="006002CF">
        <w:rPr>
          <w:rFonts w:ascii="Times New Roman" w:hAnsi="Times New Roman" w:cs="Times New Roman"/>
          <w:sz w:val="20"/>
          <w:szCs w:val="20"/>
        </w:rPr>
        <w:t xml:space="preserve">, </w:t>
      </w:r>
      <w:r w:rsidR="00EF71BA" w:rsidRPr="006002CF">
        <w:rPr>
          <w:rFonts w:ascii="Times New Roman" w:hAnsi="Times New Roman" w:cs="Times New Roman"/>
          <w:sz w:val="20"/>
          <w:szCs w:val="20"/>
        </w:rPr>
        <w:t>cit.</w:t>
      </w:r>
    </w:p>
  </w:footnote>
  <w:footnote w:id="20">
    <w:p w14:paraId="5A3AD015" w14:textId="7D130DBE" w:rsidR="00497FAF" w:rsidRPr="006002CF" w:rsidRDefault="00497FAF" w:rsidP="006002CF">
      <w:pPr>
        <w:spacing w:after="0" w:line="240" w:lineRule="auto"/>
        <w:jc w:val="both"/>
        <w:rPr>
          <w:rFonts w:ascii="Times New Roman" w:hAnsi="Times New Roman" w:cs="Times New Roman"/>
          <w:sz w:val="20"/>
          <w:szCs w:val="20"/>
        </w:rPr>
      </w:pPr>
      <w:r w:rsidRPr="006002CF">
        <w:rPr>
          <w:rStyle w:val="Rimandonotaapidipagina"/>
          <w:rFonts w:ascii="Times New Roman" w:hAnsi="Times New Roman" w:cs="Times New Roman"/>
          <w:sz w:val="20"/>
          <w:szCs w:val="20"/>
        </w:rPr>
        <w:footnoteRef/>
      </w:r>
      <w:r w:rsidRPr="006002CF">
        <w:rPr>
          <w:rFonts w:ascii="Times New Roman" w:hAnsi="Times New Roman" w:cs="Times New Roman"/>
          <w:sz w:val="20"/>
          <w:szCs w:val="20"/>
        </w:rPr>
        <w:t xml:space="preserve"> Per tale modulo contrattuale valga il rinvio a Giovannini</w:t>
      </w:r>
      <w:r w:rsidR="00EF71BA" w:rsidRPr="006002CF">
        <w:rPr>
          <w:rFonts w:ascii="Times New Roman" w:hAnsi="Times New Roman" w:cs="Times New Roman"/>
          <w:sz w:val="20"/>
          <w:szCs w:val="20"/>
        </w:rPr>
        <w:t xml:space="preserve"> A., “</w:t>
      </w:r>
      <w:r w:rsidR="00EF71BA" w:rsidRPr="006002CF">
        <w:rPr>
          <w:rFonts w:ascii="Times New Roman" w:hAnsi="Times New Roman" w:cs="Times New Roman"/>
          <w:i/>
          <w:iCs/>
          <w:sz w:val="20"/>
          <w:szCs w:val="20"/>
        </w:rPr>
        <w:t>Il contratto di disponibilità, la sussidiarietà, il baratto amministrativo e la cessione di immobili (artt. 188-191)</w:t>
      </w:r>
      <w:r w:rsidR="00EF71BA" w:rsidRPr="006002CF">
        <w:rPr>
          <w:rFonts w:ascii="Times New Roman" w:hAnsi="Times New Roman" w:cs="Times New Roman"/>
          <w:sz w:val="20"/>
          <w:szCs w:val="20"/>
        </w:rPr>
        <w:t xml:space="preserve">”, in Clarich M. (a cura di), </w:t>
      </w:r>
      <w:r w:rsidR="00EF71BA" w:rsidRPr="006002CF">
        <w:rPr>
          <w:rFonts w:ascii="Times New Roman" w:hAnsi="Times New Roman" w:cs="Times New Roman"/>
          <w:i/>
          <w:iCs/>
          <w:sz w:val="20"/>
          <w:szCs w:val="20"/>
        </w:rPr>
        <w:t>Commentario al codice dei contratti pubblici</w:t>
      </w:r>
      <w:r w:rsidR="00EF71BA" w:rsidRPr="006002CF">
        <w:rPr>
          <w:rFonts w:ascii="Times New Roman" w:hAnsi="Times New Roman" w:cs="Times New Roman"/>
          <w:sz w:val="20"/>
          <w:szCs w:val="20"/>
        </w:rPr>
        <w:t xml:space="preserve">, cit.; </w:t>
      </w:r>
      <w:r w:rsidR="009634B3" w:rsidRPr="006002CF">
        <w:rPr>
          <w:rFonts w:ascii="Times New Roman" w:hAnsi="Times New Roman" w:cs="Times New Roman"/>
          <w:sz w:val="20"/>
          <w:szCs w:val="20"/>
        </w:rPr>
        <w:t>Contessa C., “</w:t>
      </w:r>
      <w:r w:rsidR="009634B3" w:rsidRPr="006002CF">
        <w:rPr>
          <w:rFonts w:ascii="Times New Roman" w:hAnsi="Times New Roman" w:cs="Times New Roman"/>
          <w:i/>
          <w:iCs/>
          <w:sz w:val="20"/>
          <w:szCs w:val="20"/>
        </w:rPr>
        <w:t>Gli altri PPPC tipizzati</w:t>
      </w:r>
      <w:r w:rsidR="009634B3" w:rsidRPr="006002CF">
        <w:rPr>
          <w:rFonts w:ascii="Times New Roman" w:hAnsi="Times New Roman" w:cs="Times New Roman"/>
          <w:sz w:val="20"/>
          <w:szCs w:val="20"/>
        </w:rPr>
        <w:t>”</w:t>
      </w:r>
      <w:r w:rsidR="00EF71BA" w:rsidRPr="006002CF">
        <w:rPr>
          <w:rFonts w:ascii="Times New Roman" w:hAnsi="Times New Roman" w:cs="Times New Roman"/>
          <w:sz w:val="20"/>
          <w:szCs w:val="20"/>
        </w:rPr>
        <w:t xml:space="preserve">, in Sandulli M.A., De Nictolis R. (diretto da), </w:t>
      </w:r>
      <w:r w:rsidR="00EF71BA" w:rsidRPr="006002CF">
        <w:rPr>
          <w:rFonts w:ascii="Times New Roman" w:hAnsi="Times New Roman" w:cs="Times New Roman"/>
          <w:i/>
          <w:iCs/>
          <w:sz w:val="20"/>
          <w:szCs w:val="20"/>
        </w:rPr>
        <w:t>Trattato sui contratti pubblici</w:t>
      </w:r>
      <w:r w:rsidR="00EF71BA" w:rsidRPr="006002CF">
        <w:rPr>
          <w:rFonts w:ascii="Times New Roman" w:hAnsi="Times New Roman" w:cs="Times New Roman"/>
          <w:sz w:val="20"/>
          <w:szCs w:val="20"/>
        </w:rPr>
        <w:t>, Tomo V, cit.</w:t>
      </w:r>
    </w:p>
  </w:footnote>
  <w:footnote w:id="21">
    <w:p w14:paraId="4D362EDE" w14:textId="77777777"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Cfr., Cons. St. sez. V, 21 febbraio 2020, n. 1327.</w:t>
      </w:r>
    </w:p>
  </w:footnote>
  <w:footnote w:id="22">
    <w:p w14:paraId="32B0E2A6" w14:textId="63F4AFC6"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w:t>
      </w:r>
      <w:r w:rsidR="00E3360C" w:rsidRPr="006002CF">
        <w:rPr>
          <w:rFonts w:ascii="Times New Roman" w:hAnsi="Times New Roman" w:cs="Times New Roman"/>
        </w:rPr>
        <w:t xml:space="preserve">In tal senso, cfr. </w:t>
      </w:r>
      <w:r w:rsidRPr="006002CF">
        <w:rPr>
          <w:rFonts w:ascii="Times New Roman" w:hAnsi="Times New Roman" w:cs="Times New Roman"/>
        </w:rPr>
        <w:t>Viciconte G., “</w:t>
      </w:r>
      <w:r w:rsidRPr="006002CF">
        <w:rPr>
          <w:rFonts w:ascii="Times New Roman" w:hAnsi="Times New Roman" w:cs="Times New Roman"/>
          <w:i/>
          <w:iCs/>
        </w:rPr>
        <w:t>I contratti di partenariato e la locazione finanziaria (artt. 179-182, 187)</w:t>
      </w:r>
      <w:r w:rsidRPr="006002CF">
        <w:rPr>
          <w:rFonts w:ascii="Times New Roman" w:hAnsi="Times New Roman" w:cs="Times New Roman"/>
        </w:rPr>
        <w:t xml:space="preserve">”, in Clarich M. (a cura di), </w:t>
      </w:r>
      <w:r w:rsidRPr="006002CF">
        <w:rPr>
          <w:rFonts w:ascii="Times New Roman" w:hAnsi="Times New Roman" w:cs="Times New Roman"/>
          <w:i/>
          <w:iCs/>
        </w:rPr>
        <w:t>Commentario al codice dei contratti pubblici</w:t>
      </w:r>
      <w:r w:rsidRPr="006002CF">
        <w:rPr>
          <w:rFonts w:ascii="Times New Roman" w:hAnsi="Times New Roman" w:cs="Times New Roman"/>
        </w:rPr>
        <w:t xml:space="preserve">, </w:t>
      </w:r>
      <w:r w:rsidR="007A6B6A" w:rsidRPr="006002CF">
        <w:rPr>
          <w:rFonts w:ascii="Times New Roman" w:hAnsi="Times New Roman" w:cs="Times New Roman"/>
        </w:rPr>
        <w:t>cit</w:t>
      </w:r>
      <w:r w:rsidRPr="006002CF">
        <w:rPr>
          <w:rFonts w:ascii="Times New Roman" w:hAnsi="Times New Roman" w:cs="Times New Roman"/>
        </w:rPr>
        <w:t>.</w:t>
      </w:r>
      <w:r w:rsidR="00A2127D">
        <w:rPr>
          <w:rFonts w:ascii="Times New Roman" w:hAnsi="Times New Roman" w:cs="Times New Roman"/>
        </w:rPr>
        <w:t>, 1183.</w:t>
      </w:r>
    </w:p>
  </w:footnote>
  <w:footnote w:id="23">
    <w:p w14:paraId="46F3D8A4" w14:textId="3769196E"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w:t>
      </w:r>
      <w:r w:rsidR="00C71275" w:rsidRPr="006002CF">
        <w:rPr>
          <w:rFonts w:ascii="Times New Roman" w:hAnsi="Times New Roman" w:cs="Times New Roman"/>
        </w:rPr>
        <w:t>Se non</w:t>
      </w:r>
      <w:r w:rsidRPr="006002CF">
        <w:rPr>
          <w:rFonts w:ascii="Times New Roman" w:hAnsi="Times New Roman" w:cs="Times New Roman"/>
        </w:rPr>
        <w:t xml:space="preserve"> a fini contabili; cfr. Regolamento (UE) n. 549/2013 del Parlamento europeo e del Consiglio, del 21 maggio 2013, relativo al Sistema europeo dei conti nazionali e regionali nell'Unione europea Testo rilevante ai fini del SEE.</w:t>
      </w:r>
    </w:p>
  </w:footnote>
  <w:footnote w:id="24">
    <w:p w14:paraId="13CAD95B" w14:textId="77777777"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w:t>
      </w:r>
      <w:r w:rsidRPr="006002CF">
        <w:rPr>
          <w:rFonts w:ascii="Times New Roman" w:hAnsi="Times New Roman" w:cs="Times New Roman"/>
          <w:i/>
          <w:iCs/>
        </w:rPr>
        <w:t>Libro Verde relativo ai partenariati pubblico-privati ed al diritto comunitario degli appalti pubblici e delle concessioni</w:t>
      </w:r>
      <w:r w:rsidRPr="006002CF">
        <w:rPr>
          <w:rFonts w:ascii="Times New Roman" w:hAnsi="Times New Roman" w:cs="Times New Roman"/>
        </w:rPr>
        <w:t>”, COM (2004).</w:t>
      </w:r>
    </w:p>
  </w:footnote>
  <w:footnote w:id="25">
    <w:p w14:paraId="6801405D" w14:textId="77777777"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Nella consapevolezza che “</w:t>
      </w:r>
      <w:r w:rsidRPr="006002CF">
        <w:rPr>
          <w:rFonts w:ascii="Times New Roman" w:hAnsi="Times New Roman" w:cs="Times New Roman"/>
          <w:i/>
          <w:iCs/>
        </w:rPr>
        <w:t>la nozione di partenariato ha una duplice dimensione, negoziale ed economica, in quanto costituisce un fenomeno economico-finanziario che trova disciplina giuridica nel relativo contratto</w:t>
      </w:r>
      <w:r w:rsidRPr="006002CF">
        <w:rPr>
          <w:rFonts w:ascii="Times New Roman" w:hAnsi="Times New Roman" w:cs="Times New Roman"/>
        </w:rPr>
        <w:t>” (Cons. St., parere della Commissione speciale, n. 855 del 21 marzo 2016).</w:t>
      </w:r>
    </w:p>
  </w:footnote>
  <w:footnote w:id="26">
    <w:p w14:paraId="130F147E" w14:textId="77777777"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Questo lo specifica anche il codice, là dove, all’art. 175, comma 2, ultimo alinea, impone all’Amministrazione di valutare la opportunità di ricorrere a tale modulo anziché a quello dell’appalto.</w:t>
      </w:r>
    </w:p>
  </w:footnote>
  <w:footnote w:id="27">
    <w:p w14:paraId="4491DE0B" w14:textId="6B4B3B05"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Corte di Giustizia</w:t>
      </w:r>
      <w:r w:rsidR="00632571" w:rsidRPr="006002CF">
        <w:rPr>
          <w:rFonts w:ascii="Times New Roman" w:hAnsi="Times New Roman" w:cs="Times New Roman"/>
        </w:rPr>
        <w:t xml:space="preserve"> U.E.</w:t>
      </w:r>
      <w:r w:rsidRPr="006002CF">
        <w:rPr>
          <w:rFonts w:ascii="Times New Roman" w:hAnsi="Times New Roman" w:cs="Times New Roman"/>
        </w:rPr>
        <w:t xml:space="preserve">, 15 ottobre 2009, sentenza C-196/08, </w:t>
      </w:r>
      <w:proofErr w:type="spellStart"/>
      <w:r w:rsidRPr="006002CF">
        <w:rPr>
          <w:rFonts w:ascii="Times New Roman" w:hAnsi="Times New Roman" w:cs="Times New Roman"/>
          <w:i/>
          <w:iCs/>
        </w:rPr>
        <w:t>Acoset</w:t>
      </w:r>
      <w:proofErr w:type="spellEnd"/>
      <w:r w:rsidRPr="006002CF">
        <w:rPr>
          <w:rFonts w:ascii="Times New Roman" w:hAnsi="Times New Roman" w:cs="Times New Roman"/>
          <w:i/>
          <w:iCs/>
        </w:rPr>
        <w:t xml:space="preserve"> S.p.A.</w:t>
      </w:r>
      <w:r w:rsidRPr="006002CF">
        <w:rPr>
          <w:rFonts w:ascii="Times New Roman" w:hAnsi="Times New Roman" w:cs="Times New Roman"/>
        </w:rPr>
        <w:t>, § 39; cfr., da ultimo, Corte di Giustizia</w:t>
      </w:r>
      <w:r w:rsidR="00632571" w:rsidRPr="006002CF">
        <w:rPr>
          <w:rFonts w:ascii="Times New Roman" w:hAnsi="Times New Roman" w:cs="Times New Roman"/>
        </w:rPr>
        <w:t xml:space="preserve"> U.E.</w:t>
      </w:r>
      <w:r w:rsidRPr="006002CF">
        <w:rPr>
          <w:rFonts w:ascii="Times New Roman" w:hAnsi="Times New Roman" w:cs="Times New Roman"/>
        </w:rPr>
        <w:t xml:space="preserve">, sez. VIII, 10 novembre 2022, sentenza C-486/2021, </w:t>
      </w:r>
      <w:proofErr w:type="spellStart"/>
      <w:r w:rsidRPr="006002CF">
        <w:rPr>
          <w:rFonts w:ascii="Times New Roman" w:hAnsi="Times New Roman" w:cs="Times New Roman"/>
          <w:i/>
          <w:iCs/>
        </w:rPr>
        <w:t>Sharengo</w:t>
      </w:r>
      <w:proofErr w:type="spellEnd"/>
      <w:r w:rsidRPr="006002CF">
        <w:rPr>
          <w:rFonts w:ascii="Times New Roman" w:hAnsi="Times New Roman" w:cs="Times New Roman"/>
        </w:rPr>
        <w:t>, che afferma che la concessione di servizi si distingue da un appalto pubblico per l’attribuzione al concessionario del diritto, eventualmente accompagnato da un prezzo, di gestire i servizi oggetto della concessione: “</w:t>
      </w:r>
      <w:r w:rsidRPr="006002CF">
        <w:rPr>
          <w:rFonts w:ascii="Times New Roman" w:hAnsi="Times New Roman" w:cs="Times New Roman"/>
          <w:i/>
          <w:iCs/>
        </w:rPr>
        <w:t>costituisce una «concessione di servizi» l’operazione mediante la quale un’amministrazione aggiudicatrice intende affidare la creazione e la gestione di un servizio di noleggio e condivisione di veicoli elettrici a un operatore economico il cui contributo finanziario sia prevalentemente destinato all’acquisto di tali veicoli, e nella quale gli introiti di detto operatore economico proverranno principalmente dalle tariffe pagate dagli utenti del servizio in parola, dal momento che caratteristiche del genere sono tali da dimostrare che il rischio legato alla gestione dei servizi oggetto della concessione è stato trasferito a detto operatore economico</w:t>
      </w:r>
      <w:r w:rsidRPr="006002CF">
        <w:rPr>
          <w:rFonts w:ascii="Times New Roman" w:hAnsi="Times New Roman" w:cs="Times New Roman"/>
        </w:rPr>
        <w:t>”.</w:t>
      </w:r>
    </w:p>
  </w:footnote>
  <w:footnote w:id="28">
    <w:p w14:paraId="2B0035A6" w14:textId="77777777"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Cfr. relazione di accompagnamento, p. 211.</w:t>
      </w:r>
    </w:p>
  </w:footnote>
  <w:footnote w:id="29">
    <w:p w14:paraId="4216D920" w14:textId="77777777"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Cfr. già Cons. St., Comm. spec., n. 855/2016.</w:t>
      </w:r>
    </w:p>
  </w:footnote>
  <w:footnote w:id="30">
    <w:p w14:paraId="019486D5" w14:textId="42DD9483" w:rsidR="003D2014" w:rsidRPr="006002CF" w:rsidRDefault="003D2014" w:rsidP="006002CF">
      <w:pPr>
        <w:pStyle w:val="Testonotaapidipagina"/>
        <w:jc w:val="both"/>
        <w:rPr>
          <w:rFonts w:ascii="Times New Roman" w:hAnsi="Times New Roman" w:cs="Times New Roman"/>
          <w:color w:val="FF0000"/>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w:t>
      </w:r>
      <w:r w:rsidR="000F661A" w:rsidRPr="006002CF">
        <w:rPr>
          <w:rFonts w:ascii="Times New Roman" w:hAnsi="Times New Roman" w:cs="Times New Roman"/>
        </w:rPr>
        <w:t xml:space="preserve">Cfr. </w:t>
      </w:r>
      <w:r w:rsidRPr="006002CF">
        <w:rPr>
          <w:rFonts w:ascii="Times New Roman" w:hAnsi="Times New Roman" w:cs="Times New Roman"/>
        </w:rPr>
        <w:t xml:space="preserve">Linee guida A.N.A.C. n. 9, </w:t>
      </w:r>
      <w:r w:rsidR="00486974" w:rsidRPr="006002CF">
        <w:rPr>
          <w:rFonts w:ascii="Times New Roman" w:hAnsi="Times New Roman" w:cs="Times New Roman"/>
        </w:rPr>
        <w:t>cit</w:t>
      </w:r>
      <w:r w:rsidRPr="006002CF">
        <w:rPr>
          <w:rFonts w:ascii="Times New Roman" w:hAnsi="Times New Roman" w:cs="Times New Roman"/>
        </w:rPr>
        <w:t>.</w:t>
      </w:r>
    </w:p>
  </w:footnote>
  <w:footnote w:id="31">
    <w:p w14:paraId="3A054390" w14:textId="77777777"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Cfr., fra le più recenti, Cons. St., sez. IV, 23 febbraio 2023, n. 1867; </w:t>
      </w:r>
      <w:r w:rsidRPr="006002CF">
        <w:rPr>
          <w:rFonts w:ascii="Times New Roman" w:hAnsi="Times New Roman" w:cs="Times New Roman"/>
          <w:i/>
          <w:iCs/>
        </w:rPr>
        <w:t>Id.</w:t>
      </w:r>
      <w:r w:rsidRPr="006002CF">
        <w:rPr>
          <w:rFonts w:ascii="Times New Roman" w:hAnsi="Times New Roman" w:cs="Times New Roman"/>
        </w:rPr>
        <w:t>, sez. V, 30 gennaio 2023, n. 1042.</w:t>
      </w:r>
    </w:p>
  </w:footnote>
  <w:footnote w:id="32">
    <w:p w14:paraId="76FDCF44" w14:textId="77777777"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Cfr., Cons. St., sez. V, 13 aprile 2022, n. 2809.</w:t>
      </w:r>
    </w:p>
  </w:footnote>
  <w:footnote w:id="33">
    <w:p w14:paraId="020554D9" w14:textId="04FC8046" w:rsidR="003D2014" w:rsidRPr="006002CF" w:rsidRDefault="003D2014" w:rsidP="006002CF">
      <w:pPr>
        <w:spacing w:after="0" w:line="240" w:lineRule="auto"/>
        <w:jc w:val="both"/>
        <w:rPr>
          <w:rFonts w:ascii="Times New Roman" w:hAnsi="Times New Roman" w:cs="Times New Roman"/>
          <w:sz w:val="20"/>
          <w:szCs w:val="20"/>
        </w:rPr>
      </w:pPr>
      <w:r w:rsidRPr="006002CF">
        <w:rPr>
          <w:rStyle w:val="Rimandonotaapidipagina"/>
          <w:rFonts w:ascii="Times New Roman" w:hAnsi="Times New Roman" w:cs="Times New Roman"/>
          <w:sz w:val="20"/>
          <w:szCs w:val="20"/>
        </w:rPr>
        <w:footnoteRef/>
      </w:r>
      <w:r w:rsidRPr="006002CF">
        <w:rPr>
          <w:rFonts w:ascii="Times New Roman" w:hAnsi="Times New Roman" w:cs="Times New Roman"/>
          <w:sz w:val="20"/>
          <w:szCs w:val="20"/>
        </w:rPr>
        <w:t xml:space="preserve"> L’art. 177, comma 7, diversamente dal precedente art. 180, comma 6 (che disponeva che il contributo pubblico non potesse superare il “</w:t>
      </w:r>
      <w:r w:rsidRPr="006002CF">
        <w:rPr>
          <w:rFonts w:ascii="Times New Roman" w:hAnsi="Times New Roman" w:cs="Times New Roman"/>
          <w:i/>
          <w:iCs/>
          <w:sz w:val="20"/>
          <w:szCs w:val="20"/>
        </w:rPr>
        <w:t>quarantanove per cento del costo dell'investimento complessivo</w:t>
      </w:r>
      <w:r w:rsidRPr="006002CF">
        <w:rPr>
          <w:rFonts w:ascii="Times New Roman" w:hAnsi="Times New Roman" w:cs="Times New Roman"/>
          <w:sz w:val="20"/>
          <w:szCs w:val="20"/>
        </w:rPr>
        <w:t xml:space="preserve">”), infatti, rinvia </w:t>
      </w:r>
      <w:r w:rsidR="00A17AB6" w:rsidRPr="006002CF">
        <w:rPr>
          <w:rFonts w:ascii="Times New Roman" w:hAnsi="Times New Roman" w:cs="Times New Roman"/>
          <w:i/>
          <w:iCs/>
          <w:sz w:val="20"/>
          <w:szCs w:val="20"/>
        </w:rPr>
        <w:t>tout court</w:t>
      </w:r>
      <w:r w:rsidRPr="006002CF">
        <w:rPr>
          <w:rFonts w:ascii="Times New Roman" w:hAnsi="Times New Roman" w:cs="Times New Roman"/>
          <w:i/>
          <w:iCs/>
          <w:sz w:val="20"/>
          <w:szCs w:val="20"/>
        </w:rPr>
        <w:t xml:space="preserve"> </w:t>
      </w:r>
      <w:r w:rsidRPr="006002CF">
        <w:rPr>
          <w:rFonts w:ascii="Times New Roman" w:hAnsi="Times New Roman" w:cs="Times New Roman"/>
          <w:sz w:val="20"/>
          <w:szCs w:val="20"/>
        </w:rPr>
        <w:t xml:space="preserve">ai contenuti delle decisioni </w:t>
      </w:r>
      <w:r w:rsidRPr="006002CF">
        <w:rPr>
          <w:rFonts w:ascii="Times New Roman" w:hAnsi="Times New Roman" w:cs="Times New Roman"/>
          <w:i/>
          <w:iCs/>
          <w:sz w:val="20"/>
          <w:szCs w:val="20"/>
        </w:rPr>
        <w:t>Eurostat</w:t>
      </w:r>
      <w:r w:rsidRPr="006002CF">
        <w:rPr>
          <w:rFonts w:ascii="Times New Roman" w:hAnsi="Times New Roman" w:cs="Times New Roman"/>
          <w:sz w:val="20"/>
          <w:szCs w:val="20"/>
        </w:rPr>
        <w:t>, prevedendo solo che “</w:t>
      </w:r>
      <w:r w:rsidRPr="006002CF">
        <w:rPr>
          <w:rFonts w:ascii="Times New Roman" w:hAnsi="Times New Roman" w:cs="Times New Roman"/>
          <w:i/>
          <w:iCs/>
          <w:sz w:val="20"/>
          <w:szCs w:val="20"/>
        </w:rPr>
        <w:t>in ogni caso, l'eventuale riconoscimento di un contributo pubblico, in misura superiore alla percentuale indicata nelle decisioni Eurostat e calcolato secondo le modalità ivi previste, non ne consente la contabilizzazione fuori bilancio</w:t>
      </w:r>
      <w:r w:rsidRPr="006002CF">
        <w:rPr>
          <w:rFonts w:ascii="Times New Roman" w:hAnsi="Times New Roman" w:cs="Times New Roman"/>
          <w:sz w:val="20"/>
          <w:szCs w:val="20"/>
        </w:rPr>
        <w:t xml:space="preserve">”. Su questo, cfr. anche la circolare della Presidenza del </w:t>
      </w:r>
      <w:proofErr w:type="gramStart"/>
      <w:r w:rsidRPr="006002CF">
        <w:rPr>
          <w:rFonts w:ascii="Times New Roman" w:hAnsi="Times New Roman" w:cs="Times New Roman"/>
          <w:sz w:val="20"/>
          <w:szCs w:val="20"/>
        </w:rPr>
        <w:t>Consiglio dei Ministri</w:t>
      </w:r>
      <w:proofErr w:type="gramEnd"/>
      <w:r w:rsidRPr="006002CF">
        <w:rPr>
          <w:rFonts w:ascii="Times New Roman" w:hAnsi="Times New Roman" w:cs="Times New Roman"/>
          <w:sz w:val="20"/>
          <w:szCs w:val="20"/>
        </w:rPr>
        <w:t xml:space="preserve"> del 10 luglio 2019, con la quale si definiscono i criteri per la comunicazione di informazioni relative al partenariato pubblico privato ai sensi dell'art. 44, comma 1</w:t>
      </w:r>
      <w:r w:rsidR="00A17AB6" w:rsidRPr="006002CF">
        <w:rPr>
          <w:rFonts w:ascii="Times New Roman" w:hAnsi="Times New Roman" w:cs="Times New Roman"/>
          <w:sz w:val="20"/>
          <w:szCs w:val="20"/>
        </w:rPr>
        <w:t xml:space="preserve"> </w:t>
      </w:r>
      <w:r w:rsidRPr="006002CF">
        <w:rPr>
          <w:rFonts w:ascii="Times New Roman" w:hAnsi="Times New Roman" w:cs="Times New Roman"/>
          <w:i/>
          <w:iCs/>
          <w:sz w:val="20"/>
          <w:szCs w:val="20"/>
        </w:rPr>
        <w:t>bis</w:t>
      </w:r>
      <w:r w:rsidRPr="006002CF">
        <w:rPr>
          <w:rFonts w:ascii="Times New Roman" w:hAnsi="Times New Roman" w:cs="Times New Roman"/>
          <w:sz w:val="20"/>
          <w:szCs w:val="20"/>
        </w:rPr>
        <w:t xml:space="preserve"> del decreto-legge 31 dicembre 2007, n. 248.</w:t>
      </w:r>
    </w:p>
  </w:footnote>
  <w:footnote w:id="34">
    <w:p w14:paraId="2194C71A" w14:textId="77777777"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Corte dei conti, delibera n. 15/SEZAUT/2017/QMIG del 13-23 giugno 2017.</w:t>
      </w:r>
    </w:p>
  </w:footnote>
  <w:footnote w:id="35">
    <w:p w14:paraId="63A6E1C0" w14:textId="77777777"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T.A.R. Sardegna, sez. I, 10 marzo 2011, n. 213, secondo cui un contratto di concessione </w:t>
      </w:r>
      <w:proofErr w:type="gramStart"/>
      <w:r w:rsidRPr="006002CF">
        <w:rPr>
          <w:rFonts w:ascii="Times New Roman" w:hAnsi="Times New Roman" w:cs="Times New Roman"/>
        </w:rPr>
        <w:t>posto in essere</w:t>
      </w:r>
      <w:proofErr w:type="gramEnd"/>
      <w:r w:rsidRPr="006002CF">
        <w:rPr>
          <w:rFonts w:ascii="Times New Roman" w:hAnsi="Times New Roman" w:cs="Times New Roman"/>
        </w:rPr>
        <w:t xml:space="preserve"> senza una efficace allocazione dei rischi in violazione dei principi comunitari sarebbe nullo per illiceità della causa ai sensi dell’art. 1344 c.c. (contratto in frode alla legge), in quanto utilizzato allo scopo di conseguire un risultato precluso dall’ordinamento.</w:t>
      </w:r>
    </w:p>
  </w:footnote>
  <w:footnote w:id="36">
    <w:p w14:paraId="1BCD0272" w14:textId="14690197" w:rsidR="007A6B6A" w:rsidRPr="006002CF" w:rsidRDefault="007A6B6A"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Su cui cfr. Malinconico C., “</w:t>
      </w:r>
      <w:r w:rsidRPr="006002CF">
        <w:rPr>
          <w:rFonts w:ascii="Times New Roman" w:hAnsi="Times New Roman" w:cs="Times New Roman"/>
          <w:i/>
          <w:iCs/>
        </w:rPr>
        <w:t>Finanza di progetto</w:t>
      </w:r>
      <w:r w:rsidRPr="006002CF">
        <w:rPr>
          <w:rFonts w:ascii="Times New Roman" w:hAnsi="Times New Roman" w:cs="Times New Roman"/>
        </w:rPr>
        <w:t xml:space="preserve">”, in Sandulli M.A., De Nictolis R. (diretto da), </w:t>
      </w:r>
      <w:r w:rsidRPr="006002CF">
        <w:rPr>
          <w:rFonts w:ascii="Times New Roman" w:hAnsi="Times New Roman" w:cs="Times New Roman"/>
          <w:i/>
          <w:iCs/>
        </w:rPr>
        <w:t>Trattato sui contratti pubblici</w:t>
      </w:r>
      <w:r w:rsidRPr="006002CF">
        <w:rPr>
          <w:rFonts w:ascii="Times New Roman" w:hAnsi="Times New Roman" w:cs="Times New Roman"/>
        </w:rPr>
        <w:t xml:space="preserve">, Tomo V, cit.; nonché </w:t>
      </w:r>
      <w:proofErr w:type="spellStart"/>
      <w:r w:rsidRPr="006002CF">
        <w:rPr>
          <w:rFonts w:ascii="Times New Roman" w:hAnsi="Times New Roman" w:cs="Times New Roman"/>
        </w:rPr>
        <w:t>Raganelli</w:t>
      </w:r>
      <w:proofErr w:type="spellEnd"/>
      <w:r w:rsidRPr="006002CF">
        <w:rPr>
          <w:rFonts w:ascii="Times New Roman" w:hAnsi="Times New Roman" w:cs="Times New Roman"/>
        </w:rPr>
        <w:t xml:space="preserve"> B., “</w:t>
      </w:r>
      <w:r w:rsidRPr="006002CF">
        <w:rPr>
          <w:rFonts w:ascii="Times New Roman" w:hAnsi="Times New Roman" w:cs="Times New Roman"/>
          <w:i/>
          <w:iCs/>
        </w:rPr>
        <w:t>La finanza di progetto</w:t>
      </w:r>
      <w:r w:rsidRPr="006002CF">
        <w:rPr>
          <w:rFonts w:ascii="Times New Roman" w:hAnsi="Times New Roman" w:cs="Times New Roman"/>
        </w:rPr>
        <w:t xml:space="preserve">”, in Clarich M. (a cura di), </w:t>
      </w:r>
      <w:r w:rsidRPr="006002CF">
        <w:rPr>
          <w:rFonts w:ascii="Times New Roman" w:hAnsi="Times New Roman" w:cs="Times New Roman"/>
          <w:i/>
          <w:iCs/>
        </w:rPr>
        <w:t>Commentario al codice dei contratti pubblici</w:t>
      </w:r>
      <w:r w:rsidRPr="006002CF">
        <w:rPr>
          <w:rFonts w:ascii="Times New Roman" w:hAnsi="Times New Roman" w:cs="Times New Roman"/>
        </w:rPr>
        <w:t>, cit</w:t>
      </w:r>
      <w:r w:rsidR="00541445" w:rsidRPr="006002CF">
        <w:rPr>
          <w:rFonts w:ascii="Times New Roman" w:hAnsi="Times New Roman" w:cs="Times New Roman"/>
        </w:rPr>
        <w:t>.</w:t>
      </w:r>
    </w:p>
  </w:footnote>
  <w:footnote w:id="37">
    <w:p w14:paraId="142F612A" w14:textId="77777777"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Cfr., da ultimo, Cons. St., sez. V, </w:t>
      </w:r>
      <w:proofErr w:type="spellStart"/>
      <w:r w:rsidRPr="006002CF">
        <w:rPr>
          <w:rFonts w:ascii="Times New Roman" w:hAnsi="Times New Roman" w:cs="Times New Roman"/>
        </w:rPr>
        <w:t>ord</w:t>
      </w:r>
      <w:proofErr w:type="spellEnd"/>
      <w:r w:rsidRPr="006002CF">
        <w:rPr>
          <w:rFonts w:ascii="Times New Roman" w:hAnsi="Times New Roman" w:cs="Times New Roman"/>
        </w:rPr>
        <w:t>. 7 giugno 2023, n. 5615, con cui è stata rimessa alla Corte di giustizia UE la seguente questione pregiudiziale ai sensi dell’art. 267 TFUE: “</w:t>
      </w:r>
      <w:r w:rsidRPr="006002CF">
        <w:rPr>
          <w:rFonts w:ascii="Times New Roman" w:hAnsi="Times New Roman" w:cs="Times New Roman"/>
          <w:i/>
          <w:iCs/>
        </w:rPr>
        <w:t xml:space="preserve">se l’art. 183, comma 15, del d.lgs. n. 50 del 2016 è contrario al diritto UE e in particolare ai principi di pubblicità, imparzialità e non discriminazione contenuti sia nel Trattato che nei principi UE, propri di tutte le procedure comparative, laddove interpretato così da consentire trattamenti discriminatori in una procedura di attribuzione del diritto di prelazione, senza </w:t>
      </w:r>
      <w:proofErr w:type="spellStart"/>
      <w:r w:rsidRPr="006002CF">
        <w:rPr>
          <w:rFonts w:ascii="Times New Roman" w:hAnsi="Times New Roman" w:cs="Times New Roman"/>
          <w:i/>
          <w:iCs/>
        </w:rPr>
        <w:t>predefinizione</w:t>
      </w:r>
      <w:proofErr w:type="spellEnd"/>
      <w:r w:rsidRPr="006002CF">
        <w:rPr>
          <w:rFonts w:ascii="Times New Roman" w:hAnsi="Times New Roman" w:cs="Times New Roman"/>
          <w:i/>
          <w:iCs/>
        </w:rPr>
        <w:t xml:space="preserve"> dei criteri e comunque senza comunicazione dei medesimi a tutti i concorrenti ma solo ad alcuni di essi, quanto meno al decorso dei tre mesi di urgenza previsti da tale articolo</w:t>
      </w:r>
      <w:r w:rsidRPr="006002CF">
        <w:rPr>
          <w:rFonts w:ascii="Times New Roman" w:hAnsi="Times New Roman" w:cs="Times New Roman"/>
        </w:rPr>
        <w:t>”. Detta problematica è oggi venuta meno, in quanto il termine di novanta giorni previsto dall’art.193, comma 2 – che, in verità, nel progetto originario era stato sostituito dall’avverbio “</w:t>
      </w:r>
      <w:r w:rsidRPr="006002CF">
        <w:rPr>
          <w:rFonts w:ascii="Times New Roman" w:hAnsi="Times New Roman" w:cs="Times New Roman"/>
          <w:i/>
          <w:iCs/>
        </w:rPr>
        <w:t>tempestivamente</w:t>
      </w:r>
      <w:r w:rsidRPr="006002CF">
        <w:rPr>
          <w:rFonts w:ascii="Times New Roman" w:hAnsi="Times New Roman" w:cs="Times New Roman"/>
        </w:rPr>
        <w:t>” – non è più indicato come perentorio.</w:t>
      </w:r>
    </w:p>
  </w:footnote>
  <w:footnote w:id="38">
    <w:p w14:paraId="78AF36A3" w14:textId="77777777"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Cfr., </w:t>
      </w:r>
      <w:r w:rsidRPr="006002CF">
        <w:rPr>
          <w:rFonts w:ascii="Times New Roman" w:hAnsi="Times New Roman" w:cs="Times New Roman"/>
          <w:i/>
          <w:iCs/>
        </w:rPr>
        <w:t xml:space="preserve">ex </w:t>
      </w:r>
      <w:proofErr w:type="spellStart"/>
      <w:r w:rsidRPr="006002CF">
        <w:rPr>
          <w:rFonts w:ascii="Times New Roman" w:hAnsi="Times New Roman" w:cs="Times New Roman"/>
          <w:i/>
          <w:iCs/>
        </w:rPr>
        <w:t>multis</w:t>
      </w:r>
      <w:proofErr w:type="spellEnd"/>
      <w:r w:rsidRPr="006002CF">
        <w:rPr>
          <w:rFonts w:ascii="Times New Roman" w:hAnsi="Times New Roman" w:cs="Times New Roman"/>
        </w:rPr>
        <w:t>, Cons. St., Sez. III, 19 settembre 2022, n. 8072; si veda anche T.A.R. Calabria, Catanzaro, 14 luglio 2022, n. 1312.</w:t>
      </w:r>
    </w:p>
  </w:footnote>
  <w:footnote w:id="39">
    <w:p w14:paraId="74CFF5C3" w14:textId="77777777"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Cfr. anche il comunicato del Presidente dell’A.N.A.C. del 12 gennaio 2022, sull’indagine conoscitiva svolta sulle procedure di </w:t>
      </w:r>
      <w:r w:rsidRPr="006002CF">
        <w:rPr>
          <w:rFonts w:ascii="Times New Roman" w:hAnsi="Times New Roman" w:cs="Times New Roman"/>
          <w:i/>
          <w:iCs/>
        </w:rPr>
        <w:t>project financing</w:t>
      </w:r>
      <w:r w:rsidRPr="006002CF">
        <w:rPr>
          <w:rFonts w:ascii="Times New Roman" w:hAnsi="Times New Roman" w:cs="Times New Roman"/>
        </w:rPr>
        <w:t xml:space="preserve"> nei servizi.</w:t>
      </w:r>
    </w:p>
  </w:footnote>
  <w:footnote w:id="40">
    <w:p w14:paraId="37B080E4" w14:textId="7F893069" w:rsidR="009F3E15" w:rsidRPr="0088385C" w:rsidRDefault="009F3E15" w:rsidP="0088385C">
      <w:pPr>
        <w:spacing w:after="0" w:line="240" w:lineRule="auto"/>
        <w:jc w:val="both"/>
        <w:rPr>
          <w:rFonts w:ascii="Times New Roman" w:hAnsi="Times New Roman" w:cs="Times New Roman"/>
          <w:sz w:val="20"/>
          <w:szCs w:val="20"/>
        </w:rPr>
      </w:pPr>
      <w:r w:rsidRPr="006002CF">
        <w:rPr>
          <w:rStyle w:val="Rimandonotaapidipagina"/>
          <w:rFonts w:ascii="Times New Roman" w:hAnsi="Times New Roman" w:cs="Times New Roman"/>
          <w:sz w:val="20"/>
          <w:szCs w:val="20"/>
        </w:rPr>
        <w:footnoteRef/>
      </w:r>
      <w:r w:rsidRPr="006002CF">
        <w:rPr>
          <w:rFonts w:ascii="Times New Roman" w:hAnsi="Times New Roman" w:cs="Times New Roman"/>
          <w:sz w:val="20"/>
          <w:szCs w:val="20"/>
        </w:rPr>
        <w:t xml:space="preserve"> Sull’esecuzione dei contratti di concessione (e, quindi, dei contratti di PPP), con riferimento al previgente codice, cfr., per tutti, </w:t>
      </w:r>
      <w:r w:rsidR="00047EB3" w:rsidRPr="006002CF">
        <w:rPr>
          <w:rFonts w:ascii="Times New Roman" w:hAnsi="Times New Roman" w:cs="Times New Roman"/>
          <w:sz w:val="20"/>
          <w:szCs w:val="20"/>
        </w:rPr>
        <w:t xml:space="preserve">Urbano </w:t>
      </w:r>
      <w:r w:rsidR="002F55B9" w:rsidRPr="006002CF">
        <w:rPr>
          <w:rFonts w:ascii="Times New Roman" w:hAnsi="Times New Roman" w:cs="Times New Roman"/>
          <w:sz w:val="20"/>
          <w:szCs w:val="20"/>
        </w:rPr>
        <w:t>G., “</w:t>
      </w:r>
      <w:r w:rsidR="002F55B9" w:rsidRPr="006002CF">
        <w:rPr>
          <w:rFonts w:ascii="Times New Roman" w:hAnsi="Times New Roman" w:cs="Times New Roman"/>
          <w:i/>
          <w:iCs/>
          <w:sz w:val="20"/>
          <w:szCs w:val="20"/>
        </w:rPr>
        <w:t>L’esecuzione delle concessioni (artt. 174-178)</w:t>
      </w:r>
      <w:r w:rsidR="002F55B9" w:rsidRPr="006002CF">
        <w:rPr>
          <w:rFonts w:ascii="Times New Roman" w:hAnsi="Times New Roman" w:cs="Times New Roman"/>
          <w:sz w:val="20"/>
          <w:szCs w:val="20"/>
        </w:rPr>
        <w:t xml:space="preserve">”, </w:t>
      </w:r>
      <w:r w:rsidR="000F32F6" w:rsidRPr="006002CF">
        <w:rPr>
          <w:rFonts w:ascii="Times New Roman" w:hAnsi="Times New Roman" w:cs="Times New Roman"/>
          <w:sz w:val="20"/>
          <w:szCs w:val="20"/>
        </w:rPr>
        <w:t xml:space="preserve">in Clarich M. (a cura di), </w:t>
      </w:r>
      <w:r w:rsidR="000F32F6" w:rsidRPr="006002CF">
        <w:rPr>
          <w:rFonts w:ascii="Times New Roman" w:hAnsi="Times New Roman" w:cs="Times New Roman"/>
          <w:i/>
          <w:iCs/>
          <w:sz w:val="20"/>
          <w:szCs w:val="20"/>
        </w:rPr>
        <w:t>Commentario al codice dei contratti pubblici</w:t>
      </w:r>
      <w:r w:rsidR="000F32F6" w:rsidRPr="006002CF">
        <w:rPr>
          <w:rFonts w:ascii="Times New Roman" w:hAnsi="Times New Roman" w:cs="Times New Roman"/>
          <w:sz w:val="20"/>
          <w:szCs w:val="20"/>
        </w:rPr>
        <w:t>, 2019</w:t>
      </w:r>
      <w:r w:rsidR="00B256F7" w:rsidRPr="006002CF">
        <w:rPr>
          <w:rFonts w:ascii="Times New Roman" w:hAnsi="Times New Roman" w:cs="Times New Roman"/>
          <w:sz w:val="20"/>
          <w:szCs w:val="20"/>
        </w:rPr>
        <w:t>, oltre che Sciaudone F., “</w:t>
      </w:r>
      <w:r w:rsidR="00B256F7" w:rsidRPr="006002CF">
        <w:rPr>
          <w:rFonts w:ascii="Times New Roman" w:hAnsi="Times New Roman" w:cs="Times New Roman"/>
          <w:i/>
          <w:iCs/>
          <w:sz w:val="20"/>
          <w:szCs w:val="20"/>
        </w:rPr>
        <w:t>Esecuzione. Modifica dei contratti durante il periodo di efficacia</w:t>
      </w:r>
      <w:r w:rsidR="00B256F7" w:rsidRPr="006002CF">
        <w:rPr>
          <w:rFonts w:ascii="Times New Roman" w:hAnsi="Times New Roman" w:cs="Times New Roman"/>
          <w:sz w:val="20"/>
          <w:szCs w:val="20"/>
        </w:rPr>
        <w:t xml:space="preserve">”, in Sandulli M.A., De Nictolis R. (diretto da), </w:t>
      </w:r>
      <w:r w:rsidR="00B256F7" w:rsidRPr="006002CF">
        <w:rPr>
          <w:rFonts w:ascii="Times New Roman" w:hAnsi="Times New Roman" w:cs="Times New Roman"/>
          <w:i/>
          <w:iCs/>
          <w:sz w:val="20"/>
          <w:szCs w:val="20"/>
        </w:rPr>
        <w:t>Trattato sui contratti pubblici</w:t>
      </w:r>
      <w:r w:rsidR="00B256F7" w:rsidRPr="006002CF">
        <w:rPr>
          <w:rFonts w:ascii="Times New Roman" w:hAnsi="Times New Roman" w:cs="Times New Roman"/>
          <w:sz w:val="20"/>
          <w:szCs w:val="20"/>
        </w:rPr>
        <w:t>, Tomo V, cit.</w:t>
      </w:r>
      <w:r w:rsidR="004B2F26" w:rsidRPr="006002CF">
        <w:rPr>
          <w:rFonts w:ascii="Times New Roman" w:hAnsi="Times New Roman" w:cs="Times New Roman"/>
          <w:sz w:val="20"/>
          <w:szCs w:val="20"/>
        </w:rPr>
        <w:t xml:space="preserve"> In generale, cfr. anche </w:t>
      </w:r>
      <w:proofErr w:type="spellStart"/>
      <w:r w:rsidR="004B2F26" w:rsidRPr="006002CF">
        <w:rPr>
          <w:rFonts w:ascii="Times New Roman" w:hAnsi="Times New Roman" w:cs="Times New Roman"/>
          <w:sz w:val="20"/>
          <w:szCs w:val="20"/>
        </w:rPr>
        <w:t>Zoppolato</w:t>
      </w:r>
      <w:proofErr w:type="spellEnd"/>
      <w:r w:rsidR="004B2F26" w:rsidRPr="006002CF">
        <w:rPr>
          <w:rFonts w:ascii="Times New Roman" w:hAnsi="Times New Roman" w:cs="Times New Roman"/>
          <w:sz w:val="20"/>
          <w:szCs w:val="20"/>
        </w:rPr>
        <w:t xml:space="preserve"> M., </w:t>
      </w:r>
      <w:proofErr w:type="spellStart"/>
      <w:r w:rsidR="004B2F26" w:rsidRPr="006002CF">
        <w:rPr>
          <w:rFonts w:ascii="Times New Roman" w:hAnsi="Times New Roman" w:cs="Times New Roman"/>
          <w:sz w:val="20"/>
          <w:szCs w:val="20"/>
        </w:rPr>
        <w:t>Comparoni</w:t>
      </w:r>
      <w:proofErr w:type="spellEnd"/>
      <w:r w:rsidR="004B2F26" w:rsidRPr="006002CF">
        <w:rPr>
          <w:rFonts w:ascii="Times New Roman" w:hAnsi="Times New Roman" w:cs="Times New Roman"/>
          <w:sz w:val="20"/>
          <w:szCs w:val="20"/>
        </w:rPr>
        <w:t xml:space="preserve"> A., “</w:t>
      </w:r>
      <w:r w:rsidR="004B2F26" w:rsidRPr="006002CF">
        <w:rPr>
          <w:rFonts w:ascii="Times New Roman" w:hAnsi="Times New Roman" w:cs="Times New Roman"/>
          <w:i/>
          <w:iCs/>
          <w:sz w:val="20"/>
          <w:szCs w:val="20"/>
        </w:rPr>
        <w:t>Revisione dei prezzi trattato sui contratti pubblici</w:t>
      </w:r>
      <w:r w:rsidR="004B2F26" w:rsidRPr="006002CF">
        <w:rPr>
          <w:rFonts w:ascii="Times New Roman" w:hAnsi="Times New Roman" w:cs="Times New Roman"/>
          <w:sz w:val="20"/>
          <w:szCs w:val="20"/>
        </w:rPr>
        <w:t xml:space="preserve">”, in Sandulli M.A., De Nictolis R. (diretto da), </w:t>
      </w:r>
      <w:r w:rsidR="004B2F26" w:rsidRPr="006002CF">
        <w:rPr>
          <w:rFonts w:ascii="Times New Roman" w:hAnsi="Times New Roman" w:cs="Times New Roman"/>
          <w:i/>
          <w:iCs/>
          <w:sz w:val="20"/>
          <w:szCs w:val="20"/>
        </w:rPr>
        <w:t>Trattato sui contratti pubblici</w:t>
      </w:r>
      <w:r w:rsidR="004B2F26" w:rsidRPr="006002CF">
        <w:rPr>
          <w:rFonts w:ascii="Times New Roman" w:hAnsi="Times New Roman" w:cs="Times New Roman"/>
          <w:sz w:val="20"/>
          <w:szCs w:val="20"/>
        </w:rPr>
        <w:t>, Tomo IV, 2019.</w:t>
      </w:r>
    </w:p>
  </w:footnote>
  <w:footnote w:id="41">
    <w:p w14:paraId="69141F11" w14:textId="77777777"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Cfr., fra le tante, Cons. St., sez. V, 23 settembre 2019, n. 6326.</w:t>
      </w:r>
    </w:p>
  </w:footnote>
  <w:footnote w:id="42">
    <w:p w14:paraId="43F8B84D" w14:textId="77777777"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Il riferimento è, ovviamente, a Castronovo C., </w:t>
      </w:r>
      <w:r w:rsidRPr="006002CF">
        <w:rPr>
          <w:rFonts w:ascii="Times New Roman" w:hAnsi="Times New Roman" w:cs="Times New Roman"/>
          <w:i/>
          <w:iCs/>
        </w:rPr>
        <w:t>Eclissi del diritto civile</w:t>
      </w:r>
      <w:r w:rsidRPr="006002CF">
        <w:rPr>
          <w:rFonts w:ascii="Times New Roman" w:hAnsi="Times New Roman" w:cs="Times New Roman"/>
        </w:rPr>
        <w:t xml:space="preserve">, 2015 e a Irti N., </w:t>
      </w:r>
      <w:r w:rsidRPr="006002CF">
        <w:rPr>
          <w:rFonts w:ascii="Times New Roman" w:hAnsi="Times New Roman" w:cs="Times New Roman"/>
          <w:i/>
          <w:iCs/>
        </w:rPr>
        <w:t>Crisi della fattispecie</w:t>
      </w:r>
      <w:r w:rsidRPr="006002CF">
        <w:rPr>
          <w:rFonts w:ascii="Times New Roman" w:hAnsi="Times New Roman" w:cs="Times New Roman"/>
        </w:rPr>
        <w:t>, in Riv. Dir. Proc., 2014, 1, 36 ss.</w:t>
      </w:r>
    </w:p>
  </w:footnote>
  <w:footnote w:id="43">
    <w:p w14:paraId="37C335BE" w14:textId="77777777"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Cfr., delibera A.N.A.C. n. 758 del 30 settembre 2020: “</w:t>
      </w:r>
      <w:r w:rsidRPr="006002CF">
        <w:rPr>
          <w:rFonts w:ascii="Times New Roman" w:hAnsi="Times New Roman" w:cs="Times New Roman"/>
          <w:i/>
          <w:iCs/>
        </w:rPr>
        <w:t>la natura generale di una concessione di lavori avente ad oggetto la realizzazione di una specifica opera (palasport), deve ritenersi mutata ove, durante l’efficacia della concessione si intendano realizzare opere supplementari di diverso oggetto (come parcheggi e percorsi ciclopedonali), serventi anche ulteriori impianti rispetto a quelli originari (una più ampia area sportiva) e funzionali ad una differente esigenza pubblica (il miglioramento della viabilità locale)</w:t>
      </w:r>
      <w:r w:rsidRPr="006002CF">
        <w:rPr>
          <w:rFonts w:ascii="Times New Roman" w:hAnsi="Times New Roman" w:cs="Times New Roman"/>
        </w:rPr>
        <w:t>”.</w:t>
      </w:r>
    </w:p>
  </w:footnote>
  <w:footnote w:id="44">
    <w:p w14:paraId="56F196B5" w14:textId="77777777"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Sul punto, si rammenta che già, nelle Linee guida A.N.A.C. n. 9 del 28 marzo 2018, rubricate “</w:t>
      </w:r>
      <w:r w:rsidRPr="006002CF">
        <w:rPr>
          <w:rFonts w:ascii="Times New Roman" w:hAnsi="Times New Roman" w:cs="Times New Roman"/>
          <w:i/>
          <w:iCs/>
        </w:rPr>
        <w:t>Monitoraggio delle amministrazioni aggiudicatrici sull’attività dell’operatore economico nei contratti di partenariato pubblico privato</w:t>
      </w:r>
      <w:r w:rsidRPr="006002CF">
        <w:rPr>
          <w:rFonts w:ascii="Times New Roman" w:hAnsi="Times New Roman" w:cs="Times New Roman"/>
        </w:rPr>
        <w:t xml:space="preserve">”, le epidemie ed i contagi erano espressamente indicati come eventi di forza maggiore suscettibili di determinare la revisione del P.E.F. (§3.3). Nel periodo pandemico, spicca una previsione, pur eccezionale, quale quella di cui all’art. 28 </w:t>
      </w:r>
      <w:r w:rsidRPr="006002CF">
        <w:rPr>
          <w:rFonts w:ascii="Times New Roman" w:hAnsi="Times New Roman" w:cs="Times New Roman"/>
          <w:i/>
          <w:iCs/>
        </w:rPr>
        <w:t>bis</w:t>
      </w:r>
      <w:r w:rsidRPr="006002CF">
        <w:rPr>
          <w:rFonts w:ascii="Times New Roman" w:hAnsi="Times New Roman" w:cs="Times New Roman"/>
        </w:rPr>
        <w:t xml:space="preserve"> del </w:t>
      </w:r>
      <w:proofErr w:type="spellStart"/>
      <w:r w:rsidRPr="006002CF">
        <w:rPr>
          <w:rFonts w:ascii="Times New Roman" w:hAnsi="Times New Roman" w:cs="Times New Roman"/>
        </w:rPr>
        <w:t>d.l.</w:t>
      </w:r>
      <w:proofErr w:type="spellEnd"/>
      <w:r w:rsidRPr="006002CF">
        <w:rPr>
          <w:rFonts w:ascii="Times New Roman" w:hAnsi="Times New Roman" w:cs="Times New Roman"/>
        </w:rPr>
        <w:t xml:space="preserve"> 34/2020, convertito con l. 77/2020, che impone l’avvio “</w:t>
      </w:r>
      <w:r w:rsidRPr="006002CF">
        <w:rPr>
          <w:rFonts w:ascii="Times New Roman" w:hAnsi="Times New Roman" w:cs="Times New Roman"/>
          <w:i/>
          <w:iCs/>
        </w:rPr>
        <w:t>automatico</w:t>
      </w:r>
      <w:r w:rsidRPr="006002CF">
        <w:rPr>
          <w:rFonts w:ascii="Times New Roman" w:hAnsi="Times New Roman" w:cs="Times New Roman"/>
        </w:rPr>
        <w:t>” della procedura di revisione per le concessioni per la somministrazione di alimenti e bevande tramite distributori automatici collocati presso gli istituti scolastici e università e gli uffici pubblici rimasti chiusi durante l’emergenza al superamento di una determinata soglia di riduzione del fatturato. In generale, non si può non richiamare la relazione tematica n. 56 dell’8 luglio 2020, redatta dall’Ufficio del massimario della Corte di Cassazione e specificamente dedicata alle “</w:t>
      </w:r>
      <w:r w:rsidRPr="006002CF">
        <w:rPr>
          <w:rFonts w:ascii="Times New Roman" w:hAnsi="Times New Roman" w:cs="Times New Roman"/>
          <w:i/>
          <w:iCs/>
        </w:rPr>
        <w:t>Novità normative sostanziali del diritto “emergenziale” anti-Covid 19 in ambito contrattuale e concorsuale</w:t>
      </w:r>
      <w:r w:rsidRPr="006002CF">
        <w:rPr>
          <w:rFonts w:ascii="Times New Roman" w:hAnsi="Times New Roman" w:cs="Times New Roman"/>
        </w:rPr>
        <w:t>”, che, pur non occupandosi di contratti pubblici, detta principi di valenza generale.</w:t>
      </w:r>
    </w:p>
  </w:footnote>
  <w:footnote w:id="45">
    <w:p w14:paraId="0D2F920C" w14:textId="77777777" w:rsidR="003D2014" w:rsidRPr="006002CF" w:rsidRDefault="003D2014" w:rsidP="006002CF">
      <w:pPr>
        <w:pStyle w:val="Testonotaapidipagina"/>
        <w:jc w:val="both"/>
        <w:rPr>
          <w:rFonts w:ascii="Times New Roman" w:hAnsi="Times New Roman" w:cs="Times New Roman"/>
        </w:rPr>
      </w:pPr>
      <w:r w:rsidRPr="006002CF">
        <w:rPr>
          <w:rStyle w:val="Rimandonotaapidipagina"/>
          <w:rFonts w:ascii="Times New Roman" w:hAnsi="Times New Roman" w:cs="Times New Roman"/>
        </w:rPr>
        <w:footnoteRef/>
      </w:r>
      <w:r w:rsidRPr="006002CF">
        <w:rPr>
          <w:rFonts w:ascii="Times New Roman" w:hAnsi="Times New Roman" w:cs="Times New Roman"/>
        </w:rPr>
        <w:t xml:space="preserve"> Cfr., in origine, art. 6, comma 4, l. 537/1993; poi, art. 115 d.lgs. 163/2006; più di recente, art. 29, comma 1, lett. </w:t>
      </w:r>
      <w:r w:rsidRPr="006002CF">
        <w:rPr>
          <w:rFonts w:ascii="Times New Roman" w:hAnsi="Times New Roman" w:cs="Times New Roman"/>
          <w:i/>
          <w:iCs/>
        </w:rPr>
        <w:t>a)</w:t>
      </w:r>
      <w:r w:rsidRPr="006002CF">
        <w:rPr>
          <w:rFonts w:ascii="Times New Roman" w:hAnsi="Times New Roman" w:cs="Times New Roman"/>
        </w:rPr>
        <w:t xml:space="preserve">, </w:t>
      </w:r>
      <w:proofErr w:type="spellStart"/>
      <w:r w:rsidRPr="006002CF">
        <w:rPr>
          <w:rFonts w:ascii="Times New Roman" w:hAnsi="Times New Roman" w:cs="Times New Roman"/>
        </w:rPr>
        <w:t>d.l.</w:t>
      </w:r>
      <w:proofErr w:type="spellEnd"/>
      <w:r w:rsidRPr="006002CF">
        <w:rPr>
          <w:rFonts w:ascii="Times New Roman" w:hAnsi="Times New Roman" w:cs="Times New Roman"/>
        </w:rPr>
        <w:t xml:space="preserve"> 4/2022, convertito in l. 25/2022. Sul punto, si veda, da ultimo, Cons. St., sez. V, 6 settembre 2022, n. 7756.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946A22"/>
    <w:multiLevelType w:val="hybridMultilevel"/>
    <w:tmpl w:val="AD784A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B716E7E"/>
    <w:multiLevelType w:val="hybridMultilevel"/>
    <w:tmpl w:val="F3D27F76"/>
    <w:lvl w:ilvl="0" w:tplc="0B6A58A4">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6994147">
    <w:abstractNumId w:val="1"/>
  </w:num>
  <w:num w:numId="2" w16cid:durableId="1364286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14"/>
    <w:rsid w:val="00047EB3"/>
    <w:rsid w:val="00072821"/>
    <w:rsid w:val="000B6025"/>
    <w:rsid w:val="000C506A"/>
    <w:rsid w:val="000C76BE"/>
    <w:rsid w:val="000F32F6"/>
    <w:rsid w:val="000F33AE"/>
    <w:rsid w:val="000F661A"/>
    <w:rsid w:val="001128D1"/>
    <w:rsid w:val="00114A86"/>
    <w:rsid w:val="001424EB"/>
    <w:rsid w:val="00163835"/>
    <w:rsid w:val="00194922"/>
    <w:rsid w:val="001C4FCC"/>
    <w:rsid w:val="001F5819"/>
    <w:rsid w:val="00231D17"/>
    <w:rsid w:val="002872EA"/>
    <w:rsid w:val="002D13D1"/>
    <w:rsid w:val="002F3BB7"/>
    <w:rsid w:val="002F55B9"/>
    <w:rsid w:val="00333800"/>
    <w:rsid w:val="00341ADF"/>
    <w:rsid w:val="003A748E"/>
    <w:rsid w:val="003B2C2B"/>
    <w:rsid w:val="003C1315"/>
    <w:rsid w:val="003D2014"/>
    <w:rsid w:val="003E48E4"/>
    <w:rsid w:val="003E6AB7"/>
    <w:rsid w:val="00414817"/>
    <w:rsid w:val="004524D0"/>
    <w:rsid w:val="00486974"/>
    <w:rsid w:val="00497FAF"/>
    <w:rsid w:val="004B2F26"/>
    <w:rsid w:val="00510024"/>
    <w:rsid w:val="005221DE"/>
    <w:rsid w:val="00527C80"/>
    <w:rsid w:val="00541445"/>
    <w:rsid w:val="00582E4B"/>
    <w:rsid w:val="005A7A53"/>
    <w:rsid w:val="006002CF"/>
    <w:rsid w:val="00626E74"/>
    <w:rsid w:val="006324C5"/>
    <w:rsid w:val="00632571"/>
    <w:rsid w:val="00657481"/>
    <w:rsid w:val="006A67B3"/>
    <w:rsid w:val="006E0CB0"/>
    <w:rsid w:val="007260F7"/>
    <w:rsid w:val="0072773F"/>
    <w:rsid w:val="007816B4"/>
    <w:rsid w:val="007A6B6A"/>
    <w:rsid w:val="007B0E29"/>
    <w:rsid w:val="00812282"/>
    <w:rsid w:val="0088385C"/>
    <w:rsid w:val="008C3803"/>
    <w:rsid w:val="00921EEA"/>
    <w:rsid w:val="00946EB9"/>
    <w:rsid w:val="009634B3"/>
    <w:rsid w:val="009F3E15"/>
    <w:rsid w:val="009F65BD"/>
    <w:rsid w:val="00A17AB6"/>
    <w:rsid w:val="00A2127D"/>
    <w:rsid w:val="00A419D1"/>
    <w:rsid w:val="00A4209F"/>
    <w:rsid w:val="00A82052"/>
    <w:rsid w:val="00A85599"/>
    <w:rsid w:val="00AA4341"/>
    <w:rsid w:val="00AD595E"/>
    <w:rsid w:val="00B0292F"/>
    <w:rsid w:val="00B256F7"/>
    <w:rsid w:val="00B557A9"/>
    <w:rsid w:val="00BB751D"/>
    <w:rsid w:val="00BC5C44"/>
    <w:rsid w:val="00BC6466"/>
    <w:rsid w:val="00C356D4"/>
    <w:rsid w:val="00C66F35"/>
    <w:rsid w:val="00C71275"/>
    <w:rsid w:val="00CB5D4C"/>
    <w:rsid w:val="00CC3BAB"/>
    <w:rsid w:val="00CD41B3"/>
    <w:rsid w:val="00CE0561"/>
    <w:rsid w:val="00D24CDB"/>
    <w:rsid w:val="00D64901"/>
    <w:rsid w:val="00D72AEA"/>
    <w:rsid w:val="00D7599E"/>
    <w:rsid w:val="00DC0592"/>
    <w:rsid w:val="00E00E6C"/>
    <w:rsid w:val="00E21772"/>
    <w:rsid w:val="00E27B13"/>
    <w:rsid w:val="00E3360C"/>
    <w:rsid w:val="00E42BBE"/>
    <w:rsid w:val="00E64B56"/>
    <w:rsid w:val="00EC53D2"/>
    <w:rsid w:val="00EE782B"/>
    <w:rsid w:val="00EF71BA"/>
    <w:rsid w:val="00F31FE2"/>
    <w:rsid w:val="00F337A9"/>
    <w:rsid w:val="00F3603A"/>
    <w:rsid w:val="00FB32AD"/>
    <w:rsid w:val="00FC02C9"/>
    <w:rsid w:val="00FD63E2"/>
    <w:rsid w:val="00FE32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E957"/>
  <w15:chartTrackingRefBased/>
  <w15:docId w15:val="{EAB7B3BE-06EC-4665-BEBE-B8DB4DBD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2014"/>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3D201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D2014"/>
    <w:rPr>
      <w:sz w:val="20"/>
      <w:szCs w:val="20"/>
    </w:rPr>
  </w:style>
  <w:style w:type="character" w:styleId="Rimandonotaapidipagina">
    <w:name w:val="footnote reference"/>
    <w:basedOn w:val="Carpredefinitoparagrafo"/>
    <w:uiPriority w:val="99"/>
    <w:semiHidden/>
    <w:unhideWhenUsed/>
    <w:rsid w:val="003D2014"/>
    <w:rPr>
      <w:vertAlign w:val="superscript"/>
    </w:rPr>
  </w:style>
  <w:style w:type="paragraph" w:styleId="Intestazione">
    <w:name w:val="header"/>
    <w:basedOn w:val="Normale"/>
    <w:link w:val="IntestazioneCarattere"/>
    <w:uiPriority w:val="99"/>
    <w:unhideWhenUsed/>
    <w:rsid w:val="003D201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2014"/>
  </w:style>
  <w:style w:type="paragraph" w:styleId="Pidipagina">
    <w:name w:val="footer"/>
    <w:basedOn w:val="Normale"/>
    <w:link w:val="PidipaginaCarattere"/>
    <w:uiPriority w:val="99"/>
    <w:unhideWhenUsed/>
    <w:rsid w:val="003D201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2014"/>
  </w:style>
  <w:style w:type="paragraph" w:styleId="Paragrafoelenco">
    <w:name w:val="List Paragraph"/>
    <w:basedOn w:val="Normale"/>
    <w:uiPriority w:val="34"/>
    <w:qFormat/>
    <w:rsid w:val="003D2014"/>
    <w:pPr>
      <w:ind w:left="720"/>
      <w:contextualSpacing/>
    </w:pPr>
  </w:style>
  <w:style w:type="character" w:styleId="Collegamentoipertestuale">
    <w:name w:val="Hyperlink"/>
    <w:basedOn w:val="Carpredefinitoparagrafo"/>
    <w:uiPriority w:val="99"/>
    <w:unhideWhenUsed/>
    <w:rsid w:val="003D2014"/>
    <w:rPr>
      <w:color w:val="0563C1" w:themeColor="hyperlink"/>
      <w:u w:val="single"/>
    </w:rPr>
  </w:style>
  <w:style w:type="character" w:styleId="Menzionenonrisolta">
    <w:name w:val="Unresolved Mention"/>
    <w:basedOn w:val="Carpredefinitoparagrafo"/>
    <w:uiPriority w:val="99"/>
    <w:semiHidden/>
    <w:unhideWhenUsed/>
    <w:rsid w:val="003D2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ca.europa.eu/it/publications?did=45153" TargetMode="External"/><Relationship Id="rId2" Type="http://schemas.openxmlformats.org/officeDocument/2006/relationships/hyperlink" Target="https://www.anticorruzione.it/-/relazione-annuale-2023" TargetMode="External"/><Relationship Id="rId1" Type="http://schemas.openxmlformats.org/officeDocument/2006/relationships/hyperlink" Target="http://www.programmazioneeconomica.gov.it/homepp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30F00-A22F-4890-A48E-6EED47B90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16</Pages>
  <Words>5660</Words>
  <Characters>32262</Characters>
  <Application>Microsoft Office Word</Application>
  <DocSecurity>0</DocSecurity>
  <Lines>268</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Giovannini Alberto</dc:creator>
  <cp:keywords/>
  <dc:description/>
  <cp:lastModifiedBy>Giovannini Alberto</cp:lastModifiedBy>
  <cp:revision>90</cp:revision>
  <dcterms:created xsi:type="dcterms:W3CDTF">2023-08-22T16:41:00Z</dcterms:created>
  <dcterms:modified xsi:type="dcterms:W3CDTF">2023-11-18T15:45:00Z</dcterms:modified>
</cp:coreProperties>
</file>