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53C39" w14:textId="67EE81DA" w:rsidR="00BE4380" w:rsidRPr="003C549C" w:rsidRDefault="00BE4380" w:rsidP="00BE4380">
      <w:pPr>
        <w:pStyle w:val="Titolodelcapitolo"/>
      </w:pPr>
      <w:bookmarkStart w:id="0" w:name="_Hlk123567866"/>
      <w:r w:rsidRPr="000317AD">
        <w:t xml:space="preserve">LE ALTERNATIVE ALL’EVIDENZA PUBBLICA: </w:t>
      </w:r>
      <w:r w:rsidR="00A34CE0">
        <w:br/>
      </w:r>
      <w:r w:rsidRPr="000317AD">
        <w:t>LE PROROGHE DELLE CONCESSIONI</w:t>
      </w:r>
      <w:bookmarkEnd w:id="0"/>
    </w:p>
    <w:p w14:paraId="42F44407" w14:textId="77777777" w:rsidR="00BE4380" w:rsidRPr="000317AD" w:rsidRDefault="00BE4380" w:rsidP="00BE4380">
      <w:pPr>
        <w:pStyle w:val="Autore"/>
      </w:pPr>
      <w:r w:rsidRPr="000317AD">
        <w:rPr>
          <w:i w:val="0"/>
          <w:iCs/>
        </w:rPr>
        <w:t>di</w:t>
      </w:r>
      <w:r w:rsidRPr="000317AD">
        <w:t xml:space="preserve"> Claudio Guccione</w:t>
      </w:r>
      <w:r w:rsidRPr="001871C4">
        <w:rPr>
          <w:i w:val="0"/>
          <w:iCs/>
        </w:rPr>
        <w:t> </w:t>
      </w:r>
      <w:r w:rsidRPr="001871C4">
        <w:rPr>
          <w:rStyle w:val="Rimandonotaapidipagina"/>
          <w:i w:val="0"/>
          <w:iCs/>
          <w:vertAlign w:val="baseline"/>
        </w:rPr>
        <w:footnoteReference w:customMarkFollows="1" w:id="2"/>
        <w:t>*</w:t>
      </w:r>
    </w:p>
    <w:p w14:paraId="2FE29AE8" w14:textId="77777777" w:rsidR="00BE4380" w:rsidRPr="000317AD" w:rsidRDefault="00BE4380" w:rsidP="00BE4380">
      <w:pPr>
        <w:pStyle w:val="Paragrafo"/>
      </w:pPr>
      <w:bookmarkStart w:id="1" w:name="_Toc117001023"/>
      <w:r w:rsidRPr="000317AD">
        <w:rPr>
          <w:i w:val="0"/>
          <w:iCs/>
        </w:rPr>
        <w:t>1.</w:t>
      </w:r>
      <w:r w:rsidRPr="000317AD">
        <w:t xml:space="preserve"> La normativa generale sulla proroga delle concessioni: dalla Legge Merloni al Codice vigente</w:t>
      </w:r>
      <w:bookmarkEnd w:id="1"/>
    </w:p>
    <w:p w14:paraId="235D925F" w14:textId="77777777" w:rsidR="00BE4380" w:rsidRPr="00624250" w:rsidRDefault="00BE4380" w:rsidP="00624250">
      <w:pPr>
        <w:pStyle w:val="Capoverso"/>
        <w:spacing w:line="249" w:lineRule="exact"/>
      </w:pPr>
      <w:r w:rsidRPr="00624250">
        <w:t>L’istituto della proroga della concessione è una estrinsecazione della discrezionalità della Pubblica Amministrazione nel contesto del procedimento di revisione/riequilibrio del piano economico-finanziario, allegato alla convenzione di concessione, che si rende necessario per l’appunto a causa del suo squilibrio per fatti non riconducibili al concessionario. La P.A. può scegliere la modalità di revisione, essenzialmente tra tre: incremento di contributi pubblici, incremento delle tariffe a carico degli utenti, proroga della concessione. Naturalmente è pos</w:t>
      </w:r>
      <w:r w:rsidRPr="00624250">
        <w:softHyphen/>
        <w:t>sibile anche utilizzare congiuntamente le dette modalità.</w:t>
      </w:r>
    </w:p>
    <w:p w14:paraId="57C5030D" w14:textId="77777777" w:rsidR="00BE4380" w:rsidRPr="00624250" w:rsidRDefault="00BE4380" w:rsidP="00624250">
      <w:pPr>
        <w:pStyle w:val="Capoverso"/>
        <w:spacing w:line="249" w:lineRule="exact"/>
      </w:pPr>
      <w:r w:rsidRPr="00624250">
        <w:t>Prima di addentrarmi nelle concessioni autostradali procederò con la disamina della normativa generale sulla revisione delle concessioni.</w:t>
      </w:r>
    </w:p>
    <w:p w14:paraId="3C1300EF" w14:textId="77777777" w:rsidR="00BE4380" w:rsidRPr="000317AD" w:rsidRDefault="00BE4380" w:rsidP="00624250">
      <w:pPr>
        <w:pStyle w:val="Capoverso"/>
        <w:widowControl w:val="0"/>
        <w:spacing w:line="249" w:lineRule="exact"/>
      </w:pPr>
      <w:r w:rsidRPr="00624250">
        <w:t>La legge quadro in materia di lavori pubblici 11 febbraio 1994, n. 109, cosiddetta Merloni, a seguito della novella ad opera della legge 18 novembre 1998, n. 415</w:t>
      </w:r>
      <w:r w:rsidRPr="00624250">
        <w:rPr>
          <w:rFonts w:cs="Calibri"/>
          <w:vertAlign w:val="superscript"/>
        </w:rPr>
        <w:t> </w:t>
      </w:r>
      <w:r w:rsidRPr="00624250">
        <w:rPr>
          <w:rFonts w:cs="Calibri"/>
          <w:vertAlign w:val="superscript"/>
        </w:rPr>
        <w:footnoteReference w:id="3"/>
      </w:r>
      <w:r w:rsidRPr="00624250">
        <w:t xml:space="preserve">, all’art 19, comma 2 </w:t>
      </w:r>
      <w:r w:rsidRPr="00624250">
        <w:rPr>
          <w:i/>
          <w:iCs/>
        </w:rPr>
        <w:t>bis</w:t>
      </w:r>
      <w:r w:rsidRPr="00624250">
        <w:rPr>
          <w:rFonts w:cs="Calibri"/>
          <w:vertAlign w:val="superscript"/>
        </w:rPr>
        <w:t> </w:t>
      </w:r>
      <w:r w:rsidRPr="00624250">
        <w:rPr>
          <w:rFonts w:cs="Calibri"/>
          <w:vertAlign w:val="superscript"/>
        </w:rPr>
        <w:footnoteReference w:id="4"/>
      </w:r>
      <w:r w:rsidRPr="00624250">
        <w:t>, prevedeva che “</w:t>
      </w:r>
      <w:r w:rsidRPr="00624250">
        <w:rPr>
          <w:i/>
          <w:iCs/>
        </w:rPr>
        <w:t>I presupposti e le condizioni di</w:t>
      </w:r>
      <w:r w:rsidRPr="00624250">
        <w:t xml:space="preserve"> </w:t>
      </w:r>
      <w:r w:rsidRPr="00624250">
        <w:rPr>
          <w:i/>
          <w:iCs/>
        </w:rPr>
        <w:t>base che determinano l’</w:t>
      </w:r>
      <w:r w:rsidRPr="000317AD">
        <w:rPr>
          <w:i/>
          <w:iCs/>
        </w:rPr>
        <w:t>equilibrio economico-finanziario degli investimenti e della connessa gestione, da richiamare nelle premesse del contratto, ne costituiscono parte integrante. Le variazioni apportate dall’amministrazione aggiudicatrice a detti presupposti o condizioni di base, nonché norme legislative e regolamentari che stabiliscano nuovi meccanismi tariffari o nuove condizioni per l’esercizio delle attività previste nella concessione, qualora determinino una modifica dell’equili</w:t>
      </w:r>
      <w:r w:rsidRPr="000317AD">
        <w:rPr>
          <w:i/>
          <w:iCs/>
        </w:rPr>
        <w:softHyphen/>
        <w:t xml:space="preserve">brio del piano, comportano la sua necessaria revisione da attuare mediante rideterminazione delle nuove condizioni di equilibrio, anche tramite la proroga del termine di scadenza delle concessioni, ed in mancanza della </w:t>
      </w:r>
      <w:r w:rsidRPr="000317AD">
        <w:rPr>
          <w:i/>
          <w:iCs/>
        </w:rPr>
        <w:lastRenderedPageBreak/>
        <w:t>predetta revisione il concessionario può recedere dalla concessione</w:t>
      </w:r>
      <w:r w:rsidRPr="009232E6">
        <w:t xml:space="preserve">”. </w:t>
      </w:r>
      <w:r w:rsidRPr="000317AD">
        <w:t xml:space="preserve">Dunque, in sintesi, due erano le ipotesi tassative che dovevano ricorrere per la revisione: esercizio dello </w:t>
      </w:r>
      <w:proofErr w:type="spellStart"/>
      <w:r w:rsidRPr="000317AD">
        <w:rPr>
          <w:i/>
          <w:iCs/>
        </w:rPr>
        <w:t>ius</w:t>
      </w:r>
      <w:proofErr w:type="spellEnd"/>
      <w:r w:rsidRPr="000317AD">
        <w:rPr>
          <w:i/>
          <w:iCs/>
        </w:rPr>
        <w:t xml:space="preserve"> </w:t>
      </w:r>
      <w:proofErr w:type="spellStart"/>
      <w:r w:rsidRPr="000317AD">
        <w:rPr>
          <w:i/>
          <w:iCs/>
        </w:rPr>
        <w:t>variandi</w:t>
      </w:r>
      <w:proofErr w:type="spellEnd"/>
      <w:r w:rsidRPr="000317AD">
        <w:t xml:space="preserve"> della P.A. oppure lo </w:t>
      </w:r>
      <w:proofErr w:type="spellStart"/>
      <w:r w:rsidRPr="000317AD">
        <w:rPr>
          <w:i/>
          <w:iCs/>
        </w:rPr>
        <w:t>ius</w:t>
      </w:r>
      <w:proofErr w:type="spellEnd"/>
      <w:r w:rsidRPr="000317AD">
        <w:rPr>
          <w:i/>
          <w:iCs/>
        </w:rPr>
        <w:t xml:space="preserve"> </w:t>
      </w:r>
      <w:proofErr w:type="spellStart"/>
      <w:r w:rsidRPr="000317AD">
        <w:rPr>
          <w:i/>
          <w:iCs/>
        </w:rPr>
        <w:t>superveniens</w:t>
      </w:r>
      <w:proofErr w:type="spellEnd"/>
      <w:r w:rsidRPr="000317AD">
        <w:rPr>
          <w:i/>
          <w:iCs/>
        </w:rPr>
        <w:t xml:space="preserve"> </w:t>
      </w:r>
      <w:r w:rsidRPr="000317AD">
        <w:t>innovativo.</w:t>
      </w:r>
    </w:p>
    <w:p w14:paraId="4017AA4A" w14:textId="77777777" w:rsidR="00BE4380" w:rsidRPr="000317AD" w:rsidRDefault="00BE4380" w:rsidP="00BE4380">
      <w:pPr>
        <w:pStyle w:val="Capoverso"/>
      </w:pPr>
      <w:r w:rsidRPr="000317AD">
        <w:t xml:space="preserve">Il </w:t>
      </w:r>
      <w:r>
        <w:t>d.lgs.</w:t>
      </w:r>
      <w:r w:rsidRPr="000317AD">
        <w:t xml:space="preserve"> 12 aprile 2006, n. 163, cosiddetto Codice De Lise, conteneva all’art. 143, comma 8, una previsione sostanzialmente analoga, salvo aver contemplato, per potersi procedere alla revisione del piano economico-finan</w:t>
      </w:r>
      <w:r w:rsidRPr="000317AD">
        <w:softHyphen/>
        <w:t>ziario, la preventiva verifica del CIPE sentito il Nucleo di consulenza per l’attua</w:t>
      </w:r>
      <w:r w:rsidRPr="000317AD">
        <w:softHyphen/>
        <w:t>zione delle linee guida per la regolazione dei servizi di pubblica utilità (NARS).</w:t>
      </w:r>
    </w:p>
    <w:p w14:paraId="66ECAE13" w14:textId="77777777" w:rsidR="00BE4380" w:rsidRPr="000317AD" w:rsidRDefault="00BE4380" w:rsidP="00BE4380">
      <w:pPr>
        <w:pStyle w:val="Capoverso"/>
      </w:pPr>
      <w:r w:rsidRPr="000317AD">
        <w:t>L’attuale Codice dei Contratti Pubblici (</w:t>
      </w:r>
      <w:r>
        <w:t>d.lgs.</w:t>
      </w:r>
      <w:r w:rsidRPr="000317AD">
        <w:t xml:space="preserve"> n.</w:t>
      </w:r>
      <w:r>
        <w:t xml:space="preserve"> </w:t>
      </w:r>
      <w:r w:rsidRPr="000317AD">
        <w:t>50/2016), nell’ambito della parte terza dedicata alle concessioni e nella parte quarta dedicata ai contratti di PPP, disciplina la revisione del piano economico-finanziario introducendo importanti novità.</w:t>
      </w:r>
    </w:p>
    <w:p w14:paraId="20DEFCE6" w14:textId="77777777" w:rsidR="00BE4380" w:rsidRPr="000317AD" w:rsidRDefault="00BE4380" w:rsidP="00BE4380">
      <w:pPr>
        <w:pStyle w:val="Capoverso"/>
      </w:pPr>
      <w:r w:rsidRPr="000317AD">
        <w:rPr>
          <w:i/>
          <w:iCs/>
        </w:rPr>
        <w:t>In primis</w:t>
      </w:r>
      <w:r w:rsidRPr="000317AD">
        <w:t>, all’art. 165, comma 6</w:t>
      </w:r>
      <w:r w:rsidRPr="000317AD">
        <w:rPr>
          <w:rFonts w:cs="Calibri"/>
          <w:vertAlign w:val="superscript"/>
        </w:rPr>
        <w:t> </w:t>
      </w:r>
      <w:r w:rsidRPr="000317AD">
        <w:rPr>
          <w:rFonts w:cs="Calibri"/>
          <w:vertAlign w:val="superscript"/>
        </w:rPr>
        <w:footnoteReference w:id="5"/>
      </w:r>
      <w:r w:rsidRPr="000317AD">
        <w:t>, ed all’art. 182, comma 3</w:t>
      </w:r>
      <w:r w:rsidRPr="000317AD">
        <w:rPr>
          <w:rFonts w:cs="Calibri"/>
          <w:vertAlign w:val="superscript"/>
        </w:rPr>
        <w:t> </w:t>
      </w:r>
      <w:r w:rsidRPr="000317AD">
        <w:rPr>
          <w:rFonts w:cs="Calibri"/>
          <w:vertAlign w:val="superscript"/>
        </w:rPr>
        <w:footnoteReference w:id="6"/>
      </w:r>
      <w:r w:rsidRPr="000317AD">
        <w:t xml:space="preserve">, non compaiono più le due suddette ipotesi tassative di revisione del PEF ma questa può derivare, più in generale, dal </w:t>
      </w:r>
      <w:r w:rsidRPr="00F3627B">
        <w:t>“</w:t>
      </w:r>
      <w:r w:rsidRPr="000317AD">
        <w:rPr>
          <w:i/>
          <w:iCs/>
        </w:rPr>
        <w:t>verificarsi di fatti</w:t>
      </w:r>
      <w:r w:rsidRPr="000317AD">
        <w:t xml:space="preserve"> </w:t>
      </w:r>
      <w:r w:rsidRPr="000317AD">
        <w:rPr>
          <w:i/>
          <w:iCs/>
        </w:rPr>
        <w:t>non riconducibili al concessionario che incidono sull’equilibrio del piano finanziario</w:t>
      </w:r>
      <w:r w:rsidRPr="00F3627B">
        <w:t>”.</w:t>
      </w:r>
      <w:r w:rsidRPr="000317AD">
        <w:t xml:space="preserve"> È dunque evidente che il Legislatore abbia voluto ampliare le possibilità di revisione.</w:t>
      </w:r>
    </w:p>
    <w:p w14:paraId="2598CFE9" w14:textId="77777777" w:rsidR="00BE4380" w:rsidRPr="000317AD" w:rsidRDefault="00BE4380" w:rsidP="00BE4380">
      <w:pPr>
        <w:pStyle w:val="Capoverso"/>
      </w:pPr>
      <w:r w:rsidRPr="000317AD">
        <w:t>Diversa, inoltre, la previsione sulle conseguenze della mancata revisione, poiché mentre l’art</w:t>
      </w:r>
      <w:r>
        <w:t>.</w:t>
      </w:r>
      <w:r w:rsidRPr="000317AD">
        <w:t xml:space="preserve"> 143, comma 8 del vecchio codice prevedeva la possibilità di recedere dal contratto, ora secondo le disposizioni del </w:t>
      </w:r>
      <w:r>
        <w:t>d.lgs.</w:t>
      </w:r>
      <w:r w:rsidRPr="000317AD">
        <w:t xml:space="preserve"> n.</w:t>
      </w:r>
      <w:r>
        <w:t xml:space="preserve"> </w:t>
      </w:r>
      <w:r w:rsidRPr="000317AD">
        <w:t xml:space="preserve">50/2016 </w:t>
      </w:r>
      <w:r w:rsidRPr="00070789">
        <w:t>“</w:t>
      </w:r>
      <w:r w:rsidRPr="000317AD">
        <w:rPr>
          <w:i/>
          <w:iCs/>
        </w:rPr>
        <w:t>In caso di mancato accordo sul riequilibrio del piano economico-finanziario, le parti possono recedere dal contratto</w:t>
      </w:r>
      <w:r w:rsidRPr="00070789">
        <w:t xml:space="preserve">”. </w:t>
      </w:r>
      <w:r w:rsidRPr="000317AD">
        <w:t>Il recesso è dunque divenuto rimedio espressamente riferibile non al solo concessionario ma anche all’amministrazione aggiudicatrice in caso di mancato accordo sul riequilibrio.</w:t>
      </w:r>
    </w:p>
    <w:p w14:paraId="726CD4A4" w14:textId="77777777" w:rsidR="00BE4380" w:rsidRPr="000317AD" w:rsidRDefault="00BE4380" w:rsidP="00BE4380">
      <w:pPr>
        <w:pStyle w:val="Capoverso"/>
      </w:pPr>
      <w:r w:rsidRPr="000317AD">
        <w:t>In ordine alla disciplina degli indennizzi spettanti al concessionario il riferimento è all’art. 176, comma 4, lett</w:t>
      </w:r>
      <w:r>
        <w:t>.</w:t>
      </w:r>
      <w:r w:rsidRPr="000317AD">
        <w:t xml:space="preserve"> a), secondo cui al concessionario devono essere riconosciuti </w:t>
      </w:r>
      <w:r w:rsidRPr="00070789">
        <w:t>“</w:t>
      </w:r>
      <w:r w:rsidRPr="000317AD">
        <w:rPr>
          <w:i/>
          <w:iCs/>
        </w:rPr>
        <w:t>il valore delle opere realizzate più gli oneri accessori, al netto degli ammortamenti, ovvero, nel caso in cui l’opera non abbia ancora superato la fase di collaudo, i costi effettivamente sostenuti dal concessionario</w:t>
      </w:r>
      <w:r w:rsidRPr="00070789">
        <w:t xml:space="preserve">” </w:t>
      </w:r>
      <w:r w:rsidRPr="000317AD">
        <w:t>e lett</w:t>
      </w:r>
      <w:r>
        <w:t>.</w:t>
      </w:r>
      <w:r w:rsidRPr="000317AD">
        <w:t xml:space="preserve"> b) che riguarda </w:t>
      </w:r>
      <w:r w:rsidRPr="00070789">
        <w:t>“</w:t>
      </w:r>
      <w:r w:rsidRPr="000317AD">
        <w:rPr>
          <w:i/>
          <w:iCs/>
        </w:rPr>
        <w:t>le penali e gli altri costi sostenuti o da sostenere in conseguenza della</w:t>
      </w:r>
      <w:r w:rsidRPr="000317AD">
        <w:t xml:space="preserve"> </w:t>
      </w:r>
      <w:r w:rsidRPr="000317AD">
        <w:rPr>
          <w:i/>
          <w:iCs/>
        </w:rPr>
        <w:t>risoluzione</w:t>
      </w:r>
      <w:r w:rsidRPr="00070789">
        <w:t xml:space="preserve">”, </w:t>
      </w:r>
      <w:r w:rsidRPr="000317AD">
        <w:t>ma nel contesto di quest’ultima voce l’art.</w:t>
      </w:r>
      <w:r>
        <w:t xml:space="preserve"> </w:t>
      </w:r>
      <w:r w:rsidRPr="000317AD">
        <w:t>165, comma 6 chiarisce che sono esclusi gli oneri derivanti dallo scioglimento anticipato dei contratti di copertura del rischio di fluttuazione del tasso di interesse .</w:t>
      </w:r>
    </w:p>
    <w:p w14:paraId="54267DDB" w14:textId="77777777" w:rsidR="00BE4380" w:rsidRPr="000317AD" w:rsidRDefault="00BE4380" w:rsidP="00BE4380">
      <w:pPr>
        <w:pStyle w:val="Capoverso"/>
      </w:pPr>
      <w:r w:rsidRPr="000317AD">
        <w:t xml:space="preserve">In definitiva, rispetto all’intera disciplina degli indennizzi di cui al citato comma 4, sono esclusi dalle voci spettanti al concessionario in caso di mancato </w:t>
      </w:r>
      <w:r w:rsidRPr="000317AD">
        <w:lastRenderedPageBreak/>
        <w:t>accordo sul riequilibrio del PEF (i)</w:t>
      </w:r>
      <w:r>
        <w:t xml:space="preserve"> </w:t>
      </w:r>
      <w:r w:rsidRPr="000317AD">
        <w:t>gli oneri derivanti dallo scioglimento anticipato dei contratti di copertura del rischio di fluttuazione del tasso d’interesse e (ii)</w:t>
      </w:r>
      <w:r>
        <w:t xml:space="preserve"> </w:t>
      </w:r>
      <w:r w:rsidRPr="000317AD">
        <w:t>l’indennizzo di cui alla lett</w:t>
      </w:r>
      <w:r>
        <w:t>.</w:t>
      </w:r>
      <w:r w:rsidRPr="000317AD">
        <w:t xml:space="preserve"> c), ovverosia quello previsto a titolo di risarcimento del mancato guadagno pari al 10% del valore delle opere ancora da eseguire ovvero, nel caso in cui l’opera abbia superato la fase di collaudo, del valore attuale dei ricavi risultanti dal piano economico-finanziario allegato alla concessione per gli anni residui di gestione.</w:t>
      </w:r>
    </w:p>
    <w:p w14:paraId="63B71226" w14:textId="77777777" w:rsidR="00BE4380" w:rsidRPr="000317AD" w:rsidRDefault="00BE4380" w:rsidP="00BE4380">
      <w:pPr>
        <w:pStyle w:val="Capoverso"/>
      </w:pPr>
      <w:r w:rsidRPr="000317AD">
        <w:t>La disposizione appare meritevole di chiarimenti poiché, a mio avviso, la suddetta disciplina degli indennizzi sottintende la buona fede dell’ammini</w:t>
      </w:r>
      <w:r w:rsidRPr="000317AD">
        <w:softHyphen/>
        <w:t>strazione; invece, in presenza di inadempimento del concedente, dovrebbe applicarsi l’intera disciplina degli indennizzi prevista nell’ipotesi di risoluzione per inadempimento del concedente di cui all’art. 176, comma 4, del Codice: quindi comprensiva sia degli oneri derivanti dallo scioglimento anticipato dei contratti di copertura del rischio di fluttuazione del tasso d’interesse, sia del mancato guadagno di cui alla lett</w:t>
      </w:r>
      <w:r>
        <w:t>.</w:t>
      </w:r>
      <w:r w:rsidRPr="000317AD">
        <w:t xml:space="preserve"> c).</w:t>
      </w:r>
    </w:p>
    <w:p w14:paraId="0140229C" w14:textId="77777777" w:rsidR="00BE4380" w:rsidRPr="000317AD" w:rsidRDefault="00BE4380" w:rsidP="00BE4380">
      <w:pPr>
        <w:pStyle w:val="Capoverso"/>
      </w:pPr>
      <w:r w:rsidRPr="000317AD">
        <w:t>Lo stesso dicasi se, in luogo di mancato accordo in buona fede vi fosse in realtà un mutamento o il venir meno dell’interesse pubblico: la disciplina di riferimento dovrebbe divenire quella della revoca di cui all’art. 176, comma 4, dunque la medesima prevista per la risoluzione per inadempimento del concedente.</w:t>
      </w:r>
    </w:p>
    <w:p w14:paraId="147C763E" w14:textId="661C5293" w:rsidR="00BE4380" w:rsidRPr="000317AD" w:rsidRDefault="00BE4380" w:rsidP="00624250">
      <w:pPr>
        <w:pStyle w:val="Capoverso"/>
      </w:pPr>
      <w:r w:rsidRPr="000317AD">
        <w:t>Altra novità rispetto alla disciplina del vecchio codice consiste nell’espres</w:t>
      </w:r>
      <w:r w:rsidRPr="000317AD">
        <w:softHyphen/>
        <w:t xml:space="preserve">sione utilizzata in ordine alla revisione: in precedenza si diceva che le modifiche </w:t>
      </w:r>
      <w:r w:rsidRPr="00624250">
        <w:rPr>
          <w:spacing w:val="-1"/>
        </w:rPr>
        <w:t>delle condizioni di base che incidono sull’equilibrio economico-finanziario</w:t>
      </w:r>
      <w:r w:rsidRPr="000317AD">
        <w:t xml:space="preserve"> </w:t>
      </w:r>
      <w:r w:rsidRPr="00070789">
        <w:t>“</w:t>
      </w:r>
      <w:r w:rsidRPr="000317AD">
        <w:rPr>
          <w:i/>
          <w:iCs/>
        </w:rPr>
        <w:t>com</w:t>
      </w:r>
      <w:r w:rsidR="00624250">
        <w:rPr>
          <w:i/>
          <w:iCs/>
        </w:rPr>
        <w:softHyphen/>
      </w:r>
      <w:r w:rsidRPr="000317AD">
        <w:rPr>
          <w:i/>
          <w:iCs/>
        </w:rPr>
        <w:t>portano la sua necessaria revisione</w:t>
      </w:r>
      <w:r w:rsidRPr="00070789">
        <w:t xml:space="preserve">”, </w:t>
      </w:r>
      <w:r w:rsidRPr="000317AD">
        <w:t xml:space="preserve">ora invece il Codice prevede che il verificarsi di fatti non riconducibili al concessionario che incidono sull’equilibrio economico-finanziario </w:t>
      </w:r>
      <w:r w:rsidRPr="00070789">
        <w:t>“</w:t>
      </w:r>
      <w:r w:rsidRPr="000317AD">
        <w:rPr>
          <w:i/>
          <w:iCs/>
        </w:rPr>
        <w:t>può comportare la sua revisione</w:t>
      </w:r>
      <w:r w:rsidRPr="00070789">
        <w:t>”.</w:t>
      </w:r>
    </w:p>
    <w:p w14:paraId="05D0EB84" w14:textId="77777777" w:rsidR="00BE4380" w:rsidRPr="000317AD" w:rsidRDefault="00BE4380" w:rsidP="00BE4380">
      <w:pPr>
        <w:pStyle w:val="Capoverso"/>
      </w:pPr>
      <w:r w:rsidRPr="000317AD">
        <w:t>Occorre dunque interrogarsi se la nuova espressione abbia degradato quello che nel vecchio codice appariva come un vero e proprio diritto del concessionario alla revisione in presenza dei presupposti previsti dalla norma.</w:t>
      </w:r>
    </w:p>
    <w:p w14:paraId="3AE7CE67" w14:textId="690D82C0" w:rsidR="00BE4380" w:rsidRPr="000317AD" w:rsidRDefault="00BE4380" w:rsidP="00BE4380">
      <w:pPr>
        <w:pStyle w:val="Capoverso"/>
      </w:pPr>
      <w:r w:rsidRPr="000317AD">
        <w:t>Al riguardo, l’ANAC si è espressa in più occasioni, in particolare nelle Linee Guida n. 9/2018</w:t>
      </w:r>
      <w:r w:rsidRPr="000317AD">
        <w:rPr>
          <w:rFonts w:cs="Calibri"/>
          <w:vertAlign w:val="superscript"/>
        </w:rPr>
        <w:t> </w:t>
      </w:r>
      <w:r w:rsidRPr="000317AD">
        <w:rPr>
          <w:rFonts w:cs="Calibri"/>
          <w:vertAlign w:val="superscript"/>
        </w:rPr>
        <w:footnoteReference w:id="7"/>
      </w:r>
      <w:r w:rsidRPr="000317AD">
        <w:t xml:space="preserve">, ove ha espressamente chiarito che gli eventi non imputabili all’operatore economico, che generano un’alterazione dell’equilibrio economico e finanziario cristallizzato nel PEF, </w:t>
      </w:r>
      <w:r w:rsidRPr="00F4288F">
        <w:t>“</w:t>
      </w:r>
      <w:r w:rsidRPr="000317AD">
        <w:rPr>
          <w:i/>
          <w:iCs/>
        </w:rPr>
        <w:t>danno diritto a una</w:t>
      </w:r>
      <w:r w:rsidRPr="000317AD">
        <w:t xml:space="preserve"> </w:t>
      </w:r>
      <w:r w:rsidRPr="000317AD">
        <w:rPr>
          <w:i/>
          <w:iCs/>
        </w:rPr>
        <w:t>revisione del PEF</w:t>
      </w:r>
      <w:r w:rsidRPr="00F4288F">
        <w:t>”</w:t>
      </w:r>
      <w:r w:rsidRPr="000317AD">
        <w:t>, nonché nel relativo Documento di Consultazione, precisando che gli scostamenti</w:t>
      </w:r>
      <w:r w:rsidRPr="000317AD">
        <w:rPr>
          <w:i/>
          <w:iCs/>
        </w:rPr>
        <w:t xml:space="preserve"> </w:t>
      </w:r>
      <w:r w:rsidRPr="000317AD">
        <w:t>dei valori indicati dell’equilibrio economico e finanziario</w:t>
      </w:r>
      <w:r w:rsidRPr="000317AD">
        <w:rPr>
          <w:i/>
          <w:iCs/>
        </w:rPr>
        <w:t xml:space="preserve"> </w:t>
      </w:r>
      <w:r w:rsidRPr="00F4288F">
        <w:t>“</w:t>
      </w:r>
      <w:r w:rsidRPr="000317AD">
        <w:rPr>
          <w:i/>
          <w:iCs/>
        </w:rPr>
        <w:t xml:space="preserve">impongono </w:t>
      </w:r>
      <w:r w:rsidRPr="000317AD">
        <w:rPr>
          <w:i/>
          <w:iCs/>
        </w:rPr>
        <w:lastRenderedPageBreak/>
        <w:t>all’am</w:t>
      </w:r>
      <w:r w:rsidR="00624250">
        <w:rPr>
          <w:i/>
          <w:iCs/>
        </w:rPr>
        <w:softHyphen/>
      </w:r>
      <w:r w:rsidRPr="000317AD">
        <w:rPr>
          <w:i/>
          <w:iCs/>
        </w:rPr>
        <w:t>mi</w:t>
      </w:r>
      <w:r w:rsidRPr="000317AD">
        <w:rPr>
          <w:i/>
          <w:iCs/>
        </w:rPr>
        <w:softHyphen/>
      </w:r>
      <w:r w:rsidR="00624250">
        <w:rPr>
          <w:i/>
          <w:iCs/>
        </w:rPr>
        <w:softHyphen/>
      </w:r>
      <w:r w:rsidRPr="000317AD">
        <w:rPr>
          <w:i/>
          <w:iCs/>
        </w:rPr>
        <w:t>nistrazione di procedere alla sua revisione con onere a proprio carico al fine di ristabilirne l’equilibrio</w:t>
      </w:r>
      <w:r w:rsidRPr="00F4288F">
        <w:t xml:space="preserve">”, </w:t>
      </w:r>
      <w:r w:rsidRPr="000317AD">
        <w:t>ove siano</w:t>
      </w:r>
      <w:r w:rsidRPr="000317AD">
        <w:rPr>
          <w:i/>
          <w:iCs/>
        </w:rPr>
        <w:t xml:space="preserve"> </w:t>
      </w:r>
      <w:r w:rsidRPr="000317AD">
        <w:t>determinati da fatti o atti non imputabili alla responsabilità dell’operatore economico</w:t>
      </w:r>
      <w:r w:rsidRPr="000317AD">
        <w:rPr>
          <w:rFonts w:cs="Calibri"/>
          <w:vertAlign w:val="superscript"/>
        </w:rPr>
        <w:t> </w:t>
      </w:r>
      <w:r w:rsidRPr="000317AD">
        <w:rPr>
          <w:rFonts w:cs="Calibri"/>
          <w:vertAlign w:val="superscript"/>
        </w:rPr>
        <w:footnoteReference w:id="8"/>
      </w:r>
      <w:r w:rsidRPr="000317AD">
        <w:t>.</w:t>
      </w:r>
    </w:p>
    <w:p w14:paraId="69E62463" w14:textId="77777777" w:rsidR="00BE4380" w:rsidRPr="000317AD" w:rsidRDefault="00BE4380" w:rsidP="00624250">
      <w:pPr>
        <w:pStyle w:val="Capoverso"/>
        <w:widowControl w:val="0"/>
      </w:pPr>
      <w:r w:rsidRPr="000317AD">
        <w:t xml:space="preserve">Inoltre, negli stessi termini vi è stata anche l’interpretazione del Ministero dell’Economia e delle Finanze che, nel definire la procedura di revisione, ha precisato che </w:t>
      </w:r>
      <w:r w:rsidRPr="00F4288F">
        <w:t>“</w:t>
      </w:r>
      <w:r w:rsidRPr="000317AD">
        <w:rPr>
          <w:i/>
          <w:iCs/>
        </w:rPr>
        <w:t>Al verificarsi di uno degli eventi di cui al comma 1, il Concessionario, al fine di avviare la procedura di revisione del Piano Economico Finanziario, ne dà comunicazione scritta al Concedente, indicando con esattezza i presupposti che hanno determinato l’Alterazione dell’Equilibrio Economico (…). Alla ricezione della predetta comunicazione, le Parti avviano senza indugio la revisione del Piano Economico Finanziario</w:t>
      </w:r>
      <w:r w:rsidRPr="00F4288F">
        <w:t>”</w:t>
      </w:r>
      <w:r w:rsidRPr="000317AD">
        <w:rPr>
          <w:rFonts w:cs="Calibri"/>
          <w:vertAlign w:val="superscript"/>
        </w:rPr>
        <w:t> </w:t>
      </w:r>
      <w:r w:rsidRPr="000317AD">
        <w:rPr>
          <w:rFonts w:cs="Calibri"/>
          <w:vertAlign w:val="superscript"/>
        </w:rPr>
        <w:footnoteReference w:id="9"/>
      </w:r>
      <w:r w:rsidRPr="000317AD">
        <w:t>.</w:t>
      </w:r>
    </w:p>
    <w:p w14:paraId="3D0EDFC1" w14:textId="465DF3E4" w:rsidR="00BE4380" w:rsidRPr="00624250" w:rsidRDefault="00BE4380" w:rsidP="00BE4380">
      <w:pPr>
        <w:pStyle w:val="Capoverso"/>
        <w:rPr>
          <w:spacing w:val="-2"/>
        </w:rPr>
      </w:pPr>
      <w:r w:rsidRPr="00624250">
        <w:rPr>
          <w:spacing w:val="-2"/>
        </w:rPr>
        <w:t>In giurisprudenza, anche successiva all’entrata in vigore del nuovo Codice dei contratti pubblici, si è affermato che, in virtù della norma sopra richiamata, che disciplina la necessaria revisione del PEF al ricorrere di determinate circostanze ed in particolare, per quello che qui interessa, al verificarsi di eventi incidenti sul</w:t>
      </w:r>
      <w:r w:rsidR="00624250">
        <w:rPr>
          <w:spacing w:val="-2"/>
        </w:rPr>
        <w:softHyphen/>
      </w:r>
      <w:r w:rsidRPr="00624250">
        <w:rPr>
          <w:spacing w:val="-2"/>
        </w:rPr>
        <w:t>l’equilibrio economico e finanziario non imputabili al concessionario, si configura un vero e proprio obbligo per l’Amministrazione concedente di operare siffatta revisione. In particolare, si è precisato che “</w:t>
      </w:r>
      <w:r w:rsidRPr="00624250">
        <w:rPr>
          <w:i/>
          <w:iCs/>
          <w:spacing w:val="-2"/>
        </w:rPr>
        <w:t>l’obbligo di revisione è una obbligazione a</w:t>
      </w:r>
      <w:r w:rsidRPr="00624250">
        <w:rPr>
          <w:spacing w:val="-2"/>
        </w:rPr>
        <w:t xml:space="preserve"> </w:t>
      </w:r>
      <w:r w:rsidRPr="00624250">
        <w:rPr>
          <w:i/>
          <w:iCs/>
          <w:spacing w:val="-2"/>
        </w:rPr>
        <w:t>contrattare la rinegoziazione (ossia a porre in essere attività precontrattuale a tal fine)</w:t>
      </w:r>
      <w:r w:rsidRPr="00624250">
        <w:rPr>
          <w:spacing w:val="-2"/>
        </w:rPr>
        <w:t>”</w:t>
      </w:r>
      <w:r w:rsidRPr="00624250">
        <w:rPr>
          <w:rFonts w:cs="Calibri"/>
          <w:spacing w:val="-2"/>
          <w:vertAlign w:val="superscript"/>
        </w:rPr>
        <w:t> </w:t>
      </w:r>
      <w:r w:rsidRPr="00624250">
        <w:rPr>
          <w:rFonts w:cs="Calibri"/>
          <w:spacing w:val="-2"/>
          <w:vertAlign w:val="superscript"/>
        </w:rPr>
        <w:footnoteReference w:id="10"/>
      </w:r>
      <w:r w:rsidRPr="00624250">
        <w:rPr>
          <w:spacing w:val="-2"/>
        </w:rPr>
        <w:t>, ovvero che al ricorrere delle circostanze previste nella convenzione per il riequilibrio sussiste “</w:t>
      </w:r>
      <w:r w:rsidRPr="00624250">
        <w:rPr>
          <w:i/>
          <w:iCs/>
          <w:spacing w:val="-2"/>
        </w:rPr>
        <w:t>la necessità</w:t>
      </w:r>
      <w:r w:rsidRPr="00624250">
        <w:rPr>
          <w:spacing w:val="-2"/>
        </w:rPr>
        <w:t xml:space="preserve"> </w:t>
      </w:r>
      <w:r w:rsidRPr="00624250">
        <w:rPr>
          <w:i/>
          <w:iCs/>
          <w:spacing w:val="-2"/>
        </w:rPr>
        <w:t>di procedere al riesame congiunto del PEF</w:t>
      </w:r>
      <w:r w:rsidRPr="00624250">
        <w:rPr>
          <w:spacing w:val="-2"/>
        </w:rPr>
        <w:t>”</w:t>
      </w:r>
      <w:r w:rsidRPr="00624250">
        <w:rPr>
          <w:rFonts w:cs="Calibri"/>
          <w:spacing w:val="-2"/>
          <w:vertAlign w:val="superscript"/>
        </w:rPr>
        <w:t> </w:t>
      </w:r>
      <w:r w:rsidRPr="00624250">
        <w:rPr>
          <w:rFonts w:cs="Calibri"/>
          <w:spacing w:val="-2"/>
          <w:vertAlign w:val="superscript"/>
        </w:rPr>
        <w:footnoteReference w:id="11"/>
      </w:r>
      <w:r w:rsidRPr="00624250">
        <w:rPr>
          <w:spacing w:val="-2"/>
        </w:rPr>
        <w:t>.</w:t>
      </w:r>
    </w:p>
    <w:p w14:paraId="7EAAB744" w14:textId="77777777" w:rsidR="00BE4380" w:rsidRPr="000317AD" w:rsidRDefault="00BE4380" w:rsidP="00BE4380">
      <w:pPr>
        <w:pStyle w:val="Capoverso"/>
      </w:pPr>
      <w:r w:rsidRPr="000317AD">
        <w:t>D’altra parte, sia la disposizione di cui al d.lgs. n. 163/2006 che quella contenuta nel nuovo Codice dei contratti pubblici attribuiscono al concessionario, in caso di mancata revisione del PEF, il diritto potestativo di recedere del contratto; ed è proprio l’attribuzione del diritto di recesso, come strumento alternativo a fronte dell’inadempimento del concedente, che sembra dimostrare che il concessionario è titolare di un vero e proprio diritto al riequilibrio.</w:t>
      </w:r>
    </w:p>
    <w:p w14:paraId="7645A8D5" w14:textId="77777777" w:rsidR="00BE4380" w:rsidRPr="000317AD" w:rsidRDefault="00BE4380" w:rsidP="00624250">
      <w:pPr>
        <w:pStyle w:val="Capoverso"/>
        <w:widowControl w:val="0"/>
        <w:rPr>
          <w:i/>
        </w:rPr>
      </w:pPr>
      <w:r w:rsidRPr="000317AD">
        <w:t xml:space="preserve">In altri termini, come sostenuto in dottrina, riconoscendo al concessionario il diritto di recedere, la norma non sembra configurare la revisione della concessione come una mera facoltà, nel senso che il tentativo del ripristino </w:t>
      </w:r>
      <w:r w:rsidRPr="000317AD">
        <w:lastRenderedPageBreak/>
        <w:t>dell’equili</w:t>
      </w:r>
      <w:r w:rsidRPr="000317AD">
        <w:softHyphen/>
        <w:t>brio deve necessariamente [essere] esperito prima di ogni altro rimedio</w:t>
      </w:r>
      <w:r w:rsidRPr="000317AD">
        <w:rPr>
          <w:rFonts w:cs="Calibri"/>
          <w:vertAlign w:val="superscript"/>
        </w:rPr>
        <w:t> </w:t>
      </w:r>
      <w:r w:rsidRPr="000317AD">
        <w:rPr>
          <w:rFonts w:cs="Calibri"/>
          <w:vertAlign w:val="superscript"/>
        </w:rPr>
        <w:footnoteReference w:id="12"/>
      </w:r>
      <w:r w:rsidRPr="000317AD">
        <w:t>. Ed ancora, si è sottolineato che l’obbligo di rinegoziazione si pone come un obbligo accessorio ed automatico della conclusione dei contratti di durata</w:t>
      </w:r>
      <w:r w:rsidRPr="000317AD">
        <w:rPr>
          <w:rFonts w:cs="Calibri"/>
          <w:vertAlign w:val="superscript"/>
        </w:rPr>
        <w:t> </w:t>
      </w:r>
      <w:r w:rsidRPr="000317AD">
        <w:rPr>
          <w:rFonts w:cs="Calibri"/>
          <w:vertAlign w:val="superscript"/>
        </w:rPr>
        <w:footnoteReference w:id="13"/>
      </w:r>
      <w:r w:rsidRPr="000317AD">
        <w:t>, imponendo alle parti di un contratto squilibrato obblighi di rinegoziazione anche atipici</w:t>
      </w:r>
      <w:r w:rsidRPr="000317AD">
        <w:rPr>
          <w:rFonts w:cs="Calibri"/>
          <w:vertAlign w:val="superscript"/>
        </w:rPr>
        <w:t> </w:t>
      </w:r>
      <w:r w:rsidRPr="000317AD">
        <w:rPr>
          <w:rFonts w:cs="Calibri"/>
          <w:vertAlign w:val="superscript"/>
        </w:rPr>
        <w:footnoteReference w:id="14"/>
      </w:r>
      <w:r w:rsidRPr="000317AD">
        <w:t>.</w:t>
      </w:r>
    </w:p>
    <w:p w14:paraId="696ADA67" w14:textId="77777777" w:rsidR="00BE4380" w:rsidRPr="000317AD" w:rsidRDefault="00BE4380" w:rsidP="00276592">
      <w:pPr>
        <w:pStyle w:val="Capoverso"/>
        <w:spacing w:line="248" w:lineRule="exact"/>
      </w:pPr>
      <w:r w:rsidRPr="000317AD">
        <w:t xml:space="preserve">A ben vedere, le disposizioni di cui trattasi sembrano, </w:t>
      </w:r>
      <w:proofErr w:type="spellStart"/>
      <w:r w:rsidRPr="000317AD">
        <w:rPr>
          <w:i/>
          <w:iCs/>
        </w:rPr>
        <w:t>mutatis</w:t>
      </w:r>
      <w:proofErr w:type="spellEnd"/>
      <w:r w:rsidRPr="000317AD">
        <w:rPr>
          <w:i/>
          <w:iCs/>
        </w:rPr>
        <w:t xml:space="preserve"> </w:t>
      </w:r>
      <w:proofErr w:type="spellStart"/>
      <w:r w:rsidRPr="000317AD">
        <w:rPr>
          <w:i/>
          <w:iCs/>
        </w:rPr>
        <w:t>mutandis</w:t>
      </w:r>
      <w:proofErr w:type="spellEnd"/>
      <w:r w:rsidRPr="000317AD">
        <w:t>, il precipitato in materia di concessione di lavori pubblici dell’istituto della risoluzione per eccessiva onerosità sopravvenuta previsto dall’art. 1467 c.c., secondo cui, da una parte, nei contratti a esecuzione continuata o periodica ovvero a esecuzione differita, se la prestazione di una delle parti è divenuta eccessivamente onerosa per il verificarsi di avvenimenti straordinari e imprevedibili, la parte che deve tale prestazione può domandare la risoluzione del contratto e, dall’altra, è previsto che la parte contro la quale è domandata la risoluzione può evitarla offrendo di modificare equamente le condizioni del contratto. Tale disposizione risponde ai principi generali di solidarietà sociale di cui all’art. 2 Cost. e di buona fede nell’esecuzione dei contratti di durata</w:t>
      </w:r>
      <w:r w:rsidRPr="000317AD">
        <w:rPr>
          <w:rFonts w:cs="Calibri"/>
          <w:vertAlign w:val="superscript"/>
        </w:rPr>
        <w:t> </w:t>
      </w:r>
      <w:r w:rsidRPr="000317AD">
        <w:rPr>
          <w:rFonts w:cs="Calibri"/>
          <w:vertAlign w:val="superscript"/>
        </w:rPr>
        <w:footnoteReference w:id="15"/>
      </w:r>
      <w:r w:rsidRPr="000317AD">
        <w:t>.</w:t>
      </w:r>
    </w:p>
    <w:p w14:paraId="43499854" w14:textId="77777777" w:rsidR="00BE4380" w:rsidRPr="000317AD" w:rsidRDefault="00BE4380" w:rsidP="00276592">
      <w:pPr>
        <w:pStyle w:val="Capoverso"/>
        <w:spacing w:line="248" w:lineRule="exact"/>
      </w:pPr>
      <w:r w:rsidRPr="000317AD">
        <w:t>Va, dunque, interpretata in tale complessiva ottica la previsione del diritto di recesso in favore del concessionario nell’ipotesi in cui a fronte di una sopravvenuta alterazione dell’equilibrio economico e finanziario della concessione per fatti non imputabili al concessionario, non si addivenga alla revisione del PEF e, per l’effetto, al riequilibrio della concessione.</w:t>
      </w:r>
    </w:p>
    <w:p w14:paraId="7965B277" w14:textId="77777777" w:rsidR="00BE4380" w:rsidRPr="000317AD" w:rsidRDefault="00BE4380" w:rsidP="00276592">
      <w:pPr>
        <w:pStyle w:val="Capoverso"/>
        <w:spacing w:line="248" w:lineRule="exact"/>
      </w:pPr>
      <w:r w:rsidRPr="000317AD">
        <w:t>Ebbene, risulta indubbia la sussistenza in capo al concessionario, al verificarsi di variazioni rispetto alle condizioni e ai presupposti base del PEF stabiliti nella convenzione, causate da eventi o circostanze non imputabili allo stesso, del diritto di ottenere la revisione del PEF (e, nell’ipotesi di mancata revisione, del diritto dello stesso al recesso dalla concessione).</w:t>
      </w:r>
    </w:p>
    <w:p w14:paraId="4D7C8B45" w14:textId="77777777" w:rsidR="00BE4380" w:rsidRPr="000317AD" w:rsidRDefault="00BE4380" w:rsidP="00276592">
      <w:pPr>
        <w:pStyle w:val="Paragrafo"/>
        <w:spacing w:before="474"/>
        <w:ind w:left="283" w:hanging="283"/>
      </w:pPr>
      <w:bookmarkStart w:id="2" w:name="_Toc117001024"/>
      <w:r w:rsidRPr="000317AD">
        <w:rPr>
          <w:i w:val="0"/>
          <w:iCs/>
        </w:rPr>
        <w:lastRenderedPageBreak/>
        <w:t>2.</w:t>
      </w:r>
      <w:r w:rsidRPr="000317AD">
        <w:t xml:space="preserve"> La normativa speciale sulle proroghe delle concessioni autostradali: la stagione degli anni ’90</w:t>
      </w:r>
      <w:bookmarkEnd w:id="2"/>
    </w:p>
    <w:p w14:paraId="3DF7C2A3" w14:textId="77777777" w:rsidR="00BE4380" w:rsidRPr="000317AD" w:rsidRDefault="00BE4380" w:rsidP="00624250">
      <w:pPr>
        <w:pStyle w:val="Capoverso"/>
        <w:widowControl w:val="0"/>
      </w:pPr>
      <w:r w:rsidRPr="000317AD">
        <w:t>Illustrato il quadro dell’evoluzione della normativa generale in materia di revisione delle concessioni che, come si è detto, può anche tradursi in una proroga della durata del rapporto concessorio, si procede ora ad esaminare la stagione delle proroghe degli anni ’90 in ambito autostradale</w:t>
      </w:r>
      <w:r w:rsidRPr="000317AD">
        <w:rPr>
          <w:rFonts w:cs="Calibri"/>
          <w:vertAlign w:val="superscript"/>
        </w:rPr>
        <w:t> </w:t>
      </w:r>
      <w:r w:rsidRPr="000317AD">
        <w:rPr>
          <w:rFonts w:cs="Calibri"/>
          <w:vertAlign w:val="superscript"/>
        </w:rPr>
        <w:footnoteReference w:id="16"/>
      </w:r>
      <w:r w:rsidRPr="000317AD">
        <w:t>.</w:t>
      </w:r>
    </w:p>
    <w:p w14:paraId="64F2C89F" w14:textId="77777777" w:rsidR="00BE4380" w:rsidRPr="000317AD" w:rsidRDefault="00BE4380" w:rsidP="00BE4380">
      <w:pPr>
        <w:pStyle w:val="Capoverso"/>
      </w:pPr>
      <w:r w:rsidRPr="000317AD">
        <w:t>L’input normativo alla revisione delle convenzioni autostradali è certamente ascrivibile alle previsioni dell’art. 11</w:t>
      </w:r>
      <w:r>
        <w:t>,</w:t>
      </w:r>
      <w:r w:rsidRPr="000317AD">
        <w:t xml:space="preserve"> legge 23 dicembre 1992, n. 498, il cui comma 1 prevede che il CIPE, su proposta del Ministro dei lavori pubblici, di concerto con il Ministero del tesoro e con il Ministero del bilancio e della programmazione economica emana direttive </w:t>
      </w:r>
      <w:r w:rsidRPr="000317AD">
        <w:rPr>
          <w:i/>
          <w:iCs/>
        </w:rPr>
        <w:t>in primis</w:t>
      </w:r>
      <w:r w:rsidRPr="000317AD">
        <w:t xml:space="preserve"> per la revisione delle convenzioni e degli atti aggiuntivi che disciplinano le concessioni autostradali</w:t>
      </w:r>
      <w:r w:rsidRPr="000317AD">
        <w:rPr>
          <w:rFonts w:cs="Calibri"/>
          <w:vertAlign w:val="superscript"/>
        </w:rPr>
        <w:t> </w:t>
      </w:r>
      <w:r w:rsidRPr="000317AD">
        <w:rPr>
          <w:rFonts w:cs="Calibri"/>
          <w:vertAlign w:val="superscript"/>
        </w:rPr>
        <w:footnoteReference w:id="17"/>
      </w:r>
      <w:r w:rsidRPr="000317AD">
        <w:t>.</w:t>
      </w:r>
    </w:p>
    <w:p w14:paraId="51075AB2" w14:textId="77777777" w:rsidR="00BE4380" w:rsidRPr="000317AD" w:rsidRDefault="00BE4380" w:rsidP="00BE4380">
      <w:pPr>
        <w:pStyle w:val="Capoverso"/>
      </w:pPr>
      <w:r w:rsidRPr="000317AD">
        <w:t xml:space="preserve">Detto input è stato recepito dal Cipe, che con Delibera del 21 settembre 1993 ha previsto al punto 8 che “In sede di definizione dei nuovi strumenti convenzionali verranno, altresì, verificati gli eventuali squilibri economico-finanziari derivanti dai mancati adeguamenti tariffari e </w:t>
      </w:r>
      <w:proofErr w:type="spellStart"/>
      <w:r w:rsidRPr="000317AD">
        <w:t>transattivamente</w:t>
      </w:r>
      <w:proofErr w:type="spellEnd"/>
      <w:r w:rsidRPr="000317AD">
        <w:t xml:space="preserve"> risolto l’esistente contenzioso insorto, anche in materia di canoni devoluti”.</w:t>
      </w:r>
    </w:p>
    <w:p w14:paraId="222F3DD3" w14:textId="77777777" w:rsidR="00BE4380" w:rsidRPr="000317AD" w:rsidRDefault="00BE4380" w:rsidP="00BE4380">
      <w:pPr>
        <w:pStyle w:val="Capoverso"/>
      </w:pPr>
      <w:r w:rsidRPr="000317AD">
        <w:t>La riforma complessiva del settore autostradale è stata poi attuata con l’art. 10</w:t>
      </w:r>
      <w:r>
        <w:t>,</w:t>
      </w:r>
      <w:r w:rsidRPr="000317AD">
        <w:t xml:space="preserve"> legge 24 dicembre 1993, n. 537, che al fine di consentire la privatizzazione di Autostrade S.p.A. e ampliarne lo scopo sociale (la costruzione e l’eser</w:t>
      </w:r>
      <w:r w:rsidRPr="000317AD">
        <w:softHyphen/>
        <w:t>cizio delle infrastrutture autostradali da scopo esclusivo è divenuto scopo principale), oltre ad abrogare le norme che imponevano all’IRI di detenere la maggioranza delle azioni di Autostrade spa, ha eliminato il tetto alla distribuzione dei dividendi e la garanzia dello Stato sui mutui contratti dalle concessionarie, nonché definito come privata la natura delle attività poste in essere dalle società concessionarie.</w:t>
      </w:r>
    </w:p>
    <w:p w14:paraId="0963955B" w14:textId="77777777" w:rsidR="00BE4380" w:rsidRPr="000317AD" w:rsidRDefault="00BE4380" w:rsidP="00BE4380">
      <w:pPr>
        <w:pStyle w:val="Capoverso"/>
      </w:pPr>
      <w:r w:rsidRPr="000317AD">
        <w:t>Alla previsione appena illustrata ha fatto seguito l’art. 19</w:t>
      </w:r>
      <w:r>
        <w:t>,</w:t>
      </w:r>
      <w:r w:rsidRPr="000317AD">
        <w:t xml:space="preserve"> legge 30 aprile 1999, n. 136, che ha previsto per le società concessionarie diverse da Autostrade S.p.A. la possibilità di svolgere attività diverse da quella principale (di </w:t>
      </w:r>
      <w:r w:rsidRPr="000317AD">
        <w:lastRenderedPageBreak/>
        <w:t>costruzione e gestione dell’autostrada), nonché da quelle analoghe o strumentali del servizio autostradale attraverso l’assunzione diretta o indiretta di partecipazioni di collegamento o di controllo in altre società, conseguentemente determinando un ampliamento dell’oggetto sociale.</w:t>
      </w:r>
    </w:p>
    <w:p w14:paraId="4C658565" w14:textId="77777777" w:rsidR="00BE4380" w:rsidRPr="000317AD" w:rsidRDefault="00BE4380" w:rsidP="00BE4380">
      <w:pPr>
        <w:pStyle w:val="Capoverso"/>
      </w:pPr>
      <w:r w:rsidRPr="000317AD">
        <w:t xml:space="preserve">Mentre, da una parte, si pervenne per Autostrade spa alla proroga della concessione per effetto della privatizzazione, per le altre concessionarie autostradali l’approdo delle norme sopra illustrate per quanto concerne le proroghe della durata delle concessioni si ebbe nella direttiva interministeriale del 20 ottobre 1998, n. 283, cosiddetta Costa-Ciampi, per l’appunto contenente la disciplina delle proroghe per risolvere </w:t>
      </w:r>
      <w:proofErr w:type="spellStart"/>
      <w:r w:rsidRPr="000317AD">
        <w:t>transattivamente</w:t>
      </w:r>
      <w:proofErr w:type="spellEnd"/>
      <w:r w:rsidRPr="000317AD">
        <w:t xml:space="preserve"> i contenziosi insorti, </w:t>
      </w:r>
      <w:r w:rsidRPr="000317AD">
        <w:rPr>
          <w:i/>
          <w:iCs/>
        </w:rPr>
        <w:t>in primis</w:t>
      </w:r>
      <w:r w:rsidRPr="000317AD">
        <w:t xml:space="preserve"> in materia di mancati adeguamenti delle tariffe di pedaggio, la cui durata era commisurata, mediante l’applicazione di una formula matematica, all’entità dei contenziosi formalizzati al 30 giugno 1998 contro l’allora concedente Anas.</w:t>
      </w:r>
    </w:p>
    <w:p w14:paraId="6DBB5C83" w14:textId="77777777" w:rsidR="00BE4380" w:rsidRPr="00BE1265" w:rsidRDefault="00BE4380" w:rsidP="00BE4380">
      <w:pPr>
        <w:pStyle w:val="Paragrafo"/>
      </w:pPr>
      <w:bookmarkStart w:id="3" w:name="_Toc117001025"/>
      <w:r w:rsidRPr="000317AD">
        <w:rPr>
          <w:i w:val="0"/>
        </w:rPr>
        <w:t>3.</w:t>
      </w:r>
      <w:r w:rsidRPr="000317AD">
        <w:t xml:space="preserve"> Casi specifici di revisione delle concessioni</w:t>
      </w:r>
      <w:bookmarkEnd w:id="3"/>
      <w:r w:rsidRPr="000317AD">
        <w:t xml:space="preserve"> autostradali</w:t>
      </w:r>
    </w:p>
    <w:p w14:paraId="47D91236" w14:textId="77777777" w:rsidR="00BE4380" w:rsidRPr="000317AD" w:rsidRDefault="00BE4380" w:rsidP="00BE4380">
      <w:pPr>
        <w:pStyle w:val="Sottoparagrafo"/>
        <w:spacing w:before="0"/>
        <w:ind w:left="284" w:hanging="284"/>
      </w:pPr>
      <w:bookmarkStart w:id="4" w:name="_Toc117001026"/>
      <w:r w:rsidRPr="000317AD">
        <w:rPr>
          <w:i w:val="0"/>
        </w:rPr>
        <w:t>3.1.</w:t>
      </w:r>
      <w:r w:rsidRPr="000317AD">
        <w:t xml:space="preserve"> Talune procedure di infrazione UE</w:t>
      </w:r>
      <w:bookmarkEnd w:id="4"/>
    </w:p>
    <w:p w14:paraId="6D9C8EEF" w14:textId="77777777" w:rsidR="00BE4380" w:rsidRPr="000317AD" w:rsidRDefault="00BE4380" w:rsidP="00BE4380">
      <w:pPr>
        <w:pStyle w:val="Capoverso"/>
      </w:pPr>
      <w:r w:rsidRPr="000317AD">
        <w:t xml:space="preserve">Dopo aver sinteticamente esaminato l’applicazione dell’istituto della proroga delle concessioni in ambito autostradale principalmente per risolvere </w:t>
      </w:r>
      <w:proofErr w:type="spellStart"/>
      <w:r w:rsidRPr="000317AD">
        <w:t>transattivamente</w:t>
      </w:r>
      <w:proofErr w:type="spellEnd"/>
      <w:r w:rsidRPr="000317AD">
        <w:t xml:space="preserve"> i contenziosi insorti, procederò di seguito alla disamina di alcuni casi di archiviazione di procedure di infrazione anteriori all’emanazione della Direttiva concessioni 2014/23 ed altri casi di proposte di revisione delle concessioni del Governo italiano successive all’entrata in vigore della medesima Direttiva, in cui la Commissione europea ha avallato, tra le varie modalità di revisione dei piani economico-finanziari, la soluzione consistente in una proroga delle concessioni al fine di preservare le originarie condizioni di equilibrio.</w:t>
      </w:r>
    </w:p>
    <w:p w14:paraId="2A24678D" w14:textId="77777777" w:rsidR="00BE4380" w:rsidRPr="000317AD" w:rsidRDefault="00BE4380" w:rsidP="00BE4380">
      <w:pPr>
        <w:pStyle w:val="Sottosottoparagrafo"/>
      </w:pPr>
      <w:bookmarkStart w:id="5" w:name="_Toc117001027"/>
      <w:r w:rsidRPr="000317AD">
        <w:rPr>
          <w:i w:val="0"/>
          <w:iCs/>
        </w:rPr>
        <w:t>3.1.1.</w:t>
      </w:r>
      <w:r w:rsidRPr="000317AD">
        <w:t xml:space="preserve"> Procedure di infrazione antecedenti all’entrata in vigore della Direttiva n. 2014/23/UE</w:t>
      </w:r>
      <w:bookmarkEnd w:id="5"/>
    </w:p>
    <w:p w14:paraId="51A56875" w14:textId="77777777" w:rsidR="00BE4380" w:rsidRPr="000317AD" w:rsidRDefault="00BE4380" w:rsidP="00BE4380">
      <w:pPr>
        <w:pStyle w:val="Capoverso"/>
      </w:pPr>
      <w:r w:rsidRPr="000317AD">
        <w:t>Innanzitutto, rammento la posizione della Commissione Europea nell’ambito del progetto di riforma di fine anni ’90 del governo francese e che vedeva quali destinatari le società concessionarie SEMCA (</w:t>
      </w:r>
      <w:proofErr w:type="spellStart"/>
      <w:r w:rsidRPr="000317AD">
        <w:rPr>
          <w:i/>
          <w:iCs/>
        </w:rPr>
        <w:t>sociétés</w:t>
      </w:r>
      <w:proofErr w:type="spellEnd"/>
      <w:r w:rsidRPr="000317AD">
        <w:rPr>
          <w:i/>
          <w:iCs/>
        </w:rPr>
        <w:t xml:space="preserve"> d’</w:t>
      </w:r>
      <w:proofErr w:type="spellStart"/>
      <w:r w:rsidRPr="000317AD">
        <w:rPr>
          <w:i/>
          <w:iCs/>
        </w:rPr>
        <w:t>économie</w:t>
      </w:r>
      <w:proofErr w:type="spellEnd"/>
      <w:r w:rsidRPr="000317AD">
        <w:rPr>
          <w:i/>
          <w:iCs/>
        </w:rPr>
        <w:t xml:space="preserve"> </w:t>
      </w:r>
      <w:proofErr w:type="spellStart"/>
      <w:r w:rsidRPr="000317AD">
        <w:rPr>
          <w:i/>
          <w:iCs/>
        </w:rPr>
        <w:t>mixte</w:t>
      </w:r>
      <w:proofErr w:type="spellEnd"/>
      <w:r w:rsidRPr="000317AD">
        <w:rPr>
          <w:i/>
          <w:iCs/>
        </w:rPr>
        <w:t xml:space="preserve"> </w:t>
      </w:r>
      <w:proofErr w:type="spellStart"/>
      <w:r w:rsidRPr="000317AD">
        <w:rPr>
          <w:i/>
          <w:iCs/>
        </w:rPr>
        <w:t>concessionnaires</w:t>
      </w:r>
      <w:proofErr w:type="spellEnd"/>
      <w:r w:rsidRPr="000317AD">
        <w:rPr>
          <w:i/>
          <w:iCs/>
        </w:rPr>
        <w:t xml:space="preserve"> d’</w:t>
      </w:r>
      <w:proofErr w:type="spellStart"/>
      <w:r w:rsidRPr="000317AD">
        <w:rPr>
          <w:i/>
          <w:iCs/>
        </w:rPr>
        <w:t>autoroutes</w:t>
      </w:r>
      <w:proofErr w:type="spellEnd"/>
      <w:r w:rsidRPr="000317AD">
        <w:t>).</w:t>
      </w:r>
    </w:p>
    <w:p w14:paraId="51A54158" w14:textId="77777777" w:rsidR="00BE4380" w:rsidRPr="000317AD" w:rsidRDefault="00BE4380" w:rsidP="00BE4380">
      <w:pPr>
        <w:pStyle w:val="Capoverso"/>
      </w:pPr>
      <w:r w:rsidRPr="000317AD">
        <w:t xml:space="preserve">In particolare, l’iniziativa delle autorità francesi – volta essenzialmente a favorire l’ingresso di nuovi operatori nel mercato dell’affidamento di nuove concessioni – si sostanziava </w:t>
      </w:r>
      <w:r w:rsidRPr="00F4288F">
        <w:t>(</w:t>
      </w:r>
      <w:r w:rsidRPr="000317AD">
        <w:rPr>
          <w:i/>
          <w:iCs/>
        </w:rPr>
        <w:t>i</w:t>
      </w:r>
      <w:r w:rsidRPr="00F4288F">
        <w:t xml:space="preserve">) </w:t>
      </w:r>
      <w:r w:rsidRPr="000317AD">
        <w:t xml:space="preserve">nella soppressione della garanzia dello Stato (fino a quel momento assicurata alle suddette concessionarie) al fine di far assumere alle medesime l’integrità dei rischi della concessione; </w:t>
      </w:r>
      <w:r w:rsidRPr="00F4288F">
        <w:t>(</w:t>
      </w:r>
      <w:r w:rsidRPr="000317AD">
        <w:rPr>
          <w:i/>
          <w:iCs/>
        </w:rPr>
        <w:t>ii</w:t>
      </w:r>
      <w:r w:rsidRPr="00F4288F">
        <w:t xml:space="preserve">) </w:t>
      </w:r>
      <w:r w:rsidRPr="000317AD">
        <w:t xml:space="preserve">nell’allineamento delle pratiche contabili adottate dalle concessionarie al diritto comune; </w:t>
      </w:r>
      <w:r w:rsidRPr="00F4288F">
        <w:lastRenderedPageBreak/>
        <w:t>(</w:t>
      </w:r>
      <w:r w:rsidRPr="000317AD">
        <w:rPr>
          <w:i/>
          <w:iCs/>
        </w:rPr>
        <w:t>iii</w:t>
      </w:r>
      <w:r w:rsidRPr="00F4288F">
        <w:t xml:space="preserve">) </w:t>
      </w:r>
      <w:r w:rsidRPr="000317AD">
        <w:t>nonché nella proroga delle concessioni, quale condizione indispensabile per perseguire i due precedenti obiettivi.</w:t>
      </w:r>
    </w:p>
    <w:p w14:paraId="4BC8BBF0" w14:textId="77777777" w:rsidR="00BE4380" w:rsidRPr="008242F0" w:rsidRDefault="00BE4380" w:rsidP="00886AE6">
      <w:pPr>
        <w:pStyle w:val="Capoverso"/>
        <w:rPr>
          <w:spacing w:val="2"/>
        </w:rPr>
      </w:pPr>
      <w:r w:rsidRPr="008242F0">
        <w:rPr>
          <w:spacing w:val="2"/>
        </w:rPr>
        <w:t>La Commissione europea, chiamata a valutare il suddetto progetto di riforma, con la decisione del 24 ottobre 2000</w:t>
      </w:r>
      <w:r w:rsidRPr="008242F0">
        <w:rPr>
          <w:rFonts w:cs="Calibri"/>
          <w:spacing w:val="2"/>
          <w:vertAlign w:val="superscript"/>
        </w:rPr>
        <w:t> </w:t>
      </w:r>
      <w:r w:rsidRPr="008242F0">
        <w:rPr>
          <w:rFonts w:cs="Calibri"/>
          <w:spacing w:val="2"/>
          <w:vertAlign w:val="superscript"/>
        </w:rPr>
        <w:footnoteReference w:id="18"/>
      </w:r>
      <w:r w:rsidRPr="008242F0">
        <w:rPr>
          <w:spacing w:val="2"/>
        </w:rPr>
        <w:t>, innanzitutto ha valutato l’allunga</w:t>
      </w:r>
      <w:r w:rsidRPr="008242F0">
        <w:rPr>
          <w:spacing w:val="2"/>
        </w:rPr>
        <w:softHyphen/>
        <w:t>mento della durata delle concessioni alle SEMCA quale “vantaggio finanziario” qualificabile come aiuto di Stato</w:t>
      </w:r>
      <w:r w:rsidRPr="008242F0">
        <w:rPr>
          <w:rFonts w:cs="Calibri"/>
          <w:spacing w:val="2"/>
          <w:vertAlign w:val="superscript"/>
        </w:rPr>
        <w:t> </w:t>
      </w:r>
      <w:r w:rsidRPr="008242F0">
        <w:rPr>
          <w:rFonts w:cs="Calibri"/>
          <w:spacing w:val="2"/>
          <w:vertAlign w:val="superscript"/>
        </w:rPr>
        <w:footnoteReference w:id="19"/>
      </w:r>
      <w:r w:rsidRPr="008242F0">
        <w:rPr>
          <w:spacing w:val="2"/>
        </w:rPr>
        <w:t xml:space="preserve"> ai sensi dell’art. 87, par. 1, TCE</w:t>
      </w:r>
      <w:r w:rsidRPr="008242F0">
        <w:rPr>
          <w:rFonts w:cs="Calibri"/>
          <w:spacing w:val="2"/>
          <w:vertAlign w:val="superscript"/>
        </w:rPr>
        <w:t> </w:t>
      </w:r>
      <w:r w:rsidRPr="008242F0">
        <w:rPr>
          <w:rFonts w:cs="Calibri"/>
          <w:spacing w:val="2"/>
          <w:vertAlign w:val="superscript"/>
        </w:rPr>
        <w:footnoteReference w:id="20"/>
      </w:r>
      <w:r w:rsidRPr="008242F0">
        <w:rPr>
          <w:spacing w:val="2"/>
        </w:rPr>
        <w:t xml:space="preserve"> (art. 107, par. 1, TFUE): il vantaggio finanziario discenderebbe dal fatto che le società concessionarie potevano beneficiare dei pedaggi durante il periodo di estensione della durata della concessione; estensione conseguita senza evidenza pubblica</w:t>
      </w:r>
      <w:r w:rsidRPr="008242F0">
        <w:rPr>
          <w:rFonts w:cs="Calibri"/>
          <w:spacing w:val="2"/>
          <w:vertAlign w:val="superscript"/>
        </w:rPr>
        <w:t> </w:t>
      </w:r>
      <w:r w:rsidRPr="008242F0">
        <w:rPr>
          <w:rFonts w:cs="Calibri"/>
          <w:spacing w:val="2"/>
          <w:vertAlign w:val="superscript"/>
        </w:rPr>
        <w:footnoteReference w:id="21"/>
      </w:r>
      <w:r w:rsidRPr="008242F0">
        <w:rPr>
          <w:spacing w:val="2"/>
        </w:rPr>
        <w:t>.</w:t>
      </w:r>
    </w:p>
    <w:p w14:paraId="6EDEC066" w14:textId="77777777" w:rsidR="00BE4380" w:rsidRPr="008242F0" w:rsidRDefault="00BE4380" w:rsidP="00BE4380">
      <w:pPr>
        <w:pStyle w:val="Capoverso"/>
        <w:rPr>
          <w:spacing w:val="2"/>
        </w:rPr>
      </w:pPr>
      <w:r w:rsidRPr="008242F0">
        <w:rPr>
          <w:spacing w:val="2"/>
        </w:rPr>
        <w:t>Poi, la Commissione, passando ad esaminare il progetto di riforma sotto il profilo della sua compatibilità con l’art. 86, par. 2, del TCE</w:t>
      </w:r>
      <w:r w:rsidRPr="008242F0">
        <w:rPr>
          <w:rFonts w:cs="Calibri"/>
          <w:spacing w:val="2"/>
          <w:vertAlign w:val="superscript"/>
        </w:rPr>
        <w:t> </w:t>
      </w:r>
      <w:r w:rsidRPr="008242F0">
        <w:rPr>
          <w:rFonts w:cs="Calibri"/>
          <w:spacing w:val="2"/>
          <w:vertAlign w:val="superscript"/>
        </w:rPr>
        <w:footnoteReference w:id="22"/>
      </w:r>
      <w:r w:rsidRPr="008242F0">
        <w:rPr>
          <w:spacing w:val="2"/>
        </w:rPr>
        <w:t xml:space="preserve"> (art. 106, par. 2, TFUE), ha ritenuto che la proroga della scadenza delle concessioni francesi fosse rispondente ai principi di proporzionalità e neutralità; in particolare in ragione della circostanza che il suddetto allungamento, da una parte, fosse indispensabile per compensare la soppressione del meccanismo contabile </w:t>
      </w:r>
      <w:r w:rsidRPr="008242F0">
        <w:rPr>
          <w:spacing w:val="2"/>
        </w:rPr>
        <w:lastRenderedPageBreak/>
        <w:t>differito e la perdita della garanzia dello Stato e, dall’altra, avesse come naturale conseguenza una maggiore concorrenza nel mercato delle concessioni autostradali e l’ugua</w:t>
      </w:r>
      <w:r w:rsidRPr="008242F0">
        <w:rPr>
          <w:spacing w:val="2"/>
        </w:rPr>
        <w:softHyphen/>
        <w:t>glianza di trattamento tra tutti gli operatori economici pubblici e privati.</w:t>
      </w:r>
    </w:p>
    <w:p w14:paraId="7287FD91" w14:textId="77777777" w:rsidR="00BE4380" w:rsidRPr="008242F0" w:rsidRDefault="00BE4380" w:rsidP="00BE4380">
      <w:pPr>
        <w:pStyle w:val="Capoverso"/>
        <w:rPr>
          <w:spacing w:val="2"/>
        </w:rPr>
      </w:pPr>
      <w:r w:rsidRPr="008242F0">
        <w:rPr>
          <w:spacing w:val="2"/>
        </w:rPr>
        <w:t>Secondo la Commissione europea se la misura adottata dallo Stato membro comporta dal punto di vista degli effetti un allargamento della concorrenza, o comunque laddove gli effetti distorsivi della concorrenza rimangano molto limitati, allora la medesima misura deve ritenersi conforme alla normativa comunitaria.</w:t>
      </w:r>
    </w:p>
    <w:p w14:paraId="66178EE5" w14:textId="77777777" w:rsidR="00BE4380" w:rsidRPr="000317AD" w:rsidRDefault="00BE4380" w:rsidP="00BE4380">
      <w:pPr>
        <w:pStyle w:val="Capoverso"/>
      </w:pPr>
      <w:r w:rsidRPr="000317AD">
        <w:t>Sul solco della appena richiamata Decisione, la Commissione europea si è espressa in senso favorevole anche con riferimento al prolungamento della concessione del Tunnel del Fréjus, gestito in concessione – unitamente all’auto</w:t>
      </w:r>
      <w:r w:rsidRPr="000317AD">
        <w:softHyphen/>
        <w:t>strada A43 (</w:t>
      </w:r>
      <w:r w:rsidRPr="000317AD">
        <w:rPr>
          <w:i/>
          <w:iCs/>
        </w:rPr>
        <w:t xml:space="preserve">Autoroute de la </w:t>
      </w:r>
      <w:proofErr w:type="spellStart"/>
      <w:r w:rsidRPr="000317AD">
        <w:rPr>
          <w:i/>
          <w:iCs/>
        </w:rPr>
        <w:t>Marienne</w:t>
      </w:r>
      <w:proofErr w:type="spellEnd"/>
      <w:r w:rsidRPr="000317AD">
        <w:t>) – dalla società francese a capitale misto pubblico-privato SFTRF (</w:t>
      </w:r>
      <w:proofErr w:type="spellStart"/>
      <w:r w:rsidRPr="000317AD">
        <w:rPr>
          <w:i/>
          <w:iCs/>
        </w:rPr>
        <w:t>Société</w:t>
      </w:r>
      <w:proofErr w:type="spellEnd"/>
      <w:r w:rsidRPr="000317AD">
        <w:rPr>
          <w:i/>
          <w:iCs/>
        </w:rPr>
        <w:t xml:space="preserve"> </w:t>
      </w:r>
      <w:proofErr w:type="spellStart"/>
      <w:r w:rsidRPr="000317AD">
        <w:rPr>
          <w:i/>
          <w:iCs/>
        </w:rPr>
        <w:t>Française</w:t>
      </w:r>
      <w:proofErr w:type="spellEnd"/>
      <w:r w:rsidRPr="000317AD">
        <w:rPr>
          <w:i/>
          <w:iCs/>
        </w:rPr>
        <w:t xml:space="preserve"> </w:t>
      </w:r>
      <w:proofErr w:type="spellStart"/>
      <w:r w:rsidRPr="000317AD">
        <w:rPr>
          <w:i/>
          <w:iCs/>
        </w:rPr>
        <w:t>du</w:t>
      </w:r>
      <w:proofErr w:type="spellEnd"/>
      <w:r w:rsidRPr="000317AD">
        <w:rPr>
          <w:i/>
          <w:iCs/>
        </w:rPr>
        <w:t xml:space="preserve"> Tunnel </w:t>
      </w:r>
      <w:proofErr w:type="spellStart"/>
      <w:r w:rsidRPr="000317AD">
        <w:rPr>
          <w:i/>
          <w:iCs/>
        </w:rPr>
        <w:t>Routier</w:t>
      </w:r>
      <w:proofErr w:type="spellEnd"/>
      <w:r w:rsidRPr="000317AD">
        <w:rPr>
          <w:i/>
          <w:iCs/>
        </w:rPr>
        <w:t xml:space="preserve"> </w:t>
      </w:r>
      <w:proofErr w:type="spellStart"/>
      <w:r w:rsidRPr="000317AD">
        <w:rPr>
          <w:i/>
          <w:iCs/>
        </w:rPr>
        <w:t>du</w:t>
      </w:r>
      <w:proofErr w:type="spellEnd"/>
      <w:r w:rsidRPr="000317AD">
        <w:rPr>
          <w:i/>
          <w:iCs/>
        </w:rPr>
        <w:t xml:space="preserve"> Fréjus</w:t>
      </w:r>
      <w:r w:rsidRPr="000317AD">
        <w:t>).</w:t>
      </w:r>
    </w:p>
    <w:p w14:paraId="30D1E4B3" w14:textId="77777777" w:rsidR="00BE4380" w:rsidRPr="000317AD" w:rsidRDefault="00BE4380" w:rsidP="008242F0">
      <w:pPr>
        <w:pStyle w:val="Capoverso"/>
        <w:widowControl w:val="0"/>
      </w:pPr>
      <w:r w:rsidRPr="000317AD">
        <w:t>Nonostante alcuni aumenti di capitale ed alcune situazioni di vantaggio successivamente creatisi (</w:t>
      </w:r>
      <w:r w:rsidRPr="000317AD">
        <w:rPr>
          <w:i/>
          <w:iCs/>
        </w:rPr>
        <w:t>i.e.</w:t>
      </w:r>
      <w:r w:rsidRPr="000317AD">
        <w:t xml:space="preserve"> la ridistribuzione del traffico conseguente alla chiusura del Tunnel del Monte Bianco dopo l’incidente del 1999) la Società si era venuta a trovare nell’impossibilità di perseguire l’equilibrio della concessione, in quanto nel frattempo erano venuti meno altri vantaggi di cui aveva fruito fino a quel momento e, in particolare, l’impegno dello Stato di farsi carico del passivo della società.</w:t>
      </w:r>
    </w:p>
    <w:p w14:paraId="7F3F6404" w14:textId="77777777" w:rsidR="00BE4380" w:rsidRPr="008242F0" w:rsidRDefault="00BE4380" w:rsidP="00BE4380">
      <w:pPr>
        <w:pStyle w:val="Capoverso"/>
        <w:rPr>
          <w:spacing w:val="-3"/>
        </w:rPr>
      </w:pPr>
      <w:r w:rsidRPr="008242F0">
        <w:rPr>
          <w:spacing w:val="-3"/>
        </w:rPr>
        <w:t xml:space="preserve">Il governo francese intendeva procedere ad una proroga di circa 32 anni (la scadenza della concessione sarebbe stata estesa dal 2018 al 2050), al fine di permettere alla concessionaria di continuare a svolgere il servizio (da intendersi quale </w:t>
      </w:r>
      <w:bookmarkStart w:id="6" w:name="_Hlk115251505"/>
      <w:r w:rsidRPr="008242F0">
        <w:rPr>
          <w:spacing w:val="-3"/>
        </w:rPr>
        <w:t>servizio di interesse economico generale</w:t>
      </w:r>
      <w:bookmarkEnd w:id="6"/>
      <w:r w:rsidRPr="008242F0">
        <w:rPr>
          <w:spacing w:val="-3"/>
        </w:rPr>
        <w:t>), senza ottenere alcun vantaggio ingiustificato e, pertanto, contrario alle disposizioni del Trattato in materia di aiuti di Stato.</w:t>
      </w:r>
    </w:p>
    <w:p w14:paraId="3DECE81C" w14:textId="77777777" w:rsidR="00BE4380" w:rsidRPr="000317AD" w:rsidRDefault="00BE4380" w:rsidP="00BE4380">
      <w:pPr>
        <w:pStyle w:val="Capoverso"/>
      </w:pPr>
      <w:r w:rsidRPr="000317AD">
        <w:t>Tale proroga della concessione è stata valutata in senso positivo dalla Commissione europea con la decisione del 20 giugno 2001</w:t>
      </w:r>
      <w:r w:rsidRPr="000317AD">
        <w:rPr>
          <w:rFonts w:cs="Calibri"/>
          <w:vertAlign w:val="superscript"/>
        </w:rPr>
        <w:t> </w:t>
      </w:r>
      <w:r w:rsidRPr="000317AD">
        <w:rPr>
          <w:rFonts w:cs="Calibri"/>
          <w:vertAlign w:val="superscript"/>
        </w:rPr>
        <w:footnoteReference w:id="23"/>
      </w:r>
      <w:r w:rsidRPr="000317AD">
        <w:t>, la quale ha escluso la riconducibilità della fattispecie esaminata al campo di applicazione dell’art</w:t>
      </w:r>
      <w:r>
        <w:t>.</w:t>
      </w:r>
      <w:r w:rsidRPr="000317AD">
        <w:t xml:space="preserve"> 87, par. 2 e 3, del TCE</w:t>
      </w:r>
      <w:r w:rsidRPr="000317AD">
        <w:rPr>
          <w:rFonts w:cs="Calibri"/>
          <w:vertAlign w:val="superscript"/>
        </w:rPr>
        <w:t> </w:t>
      </w:r>
      <w:r w:rsidRPr="000317AD">
        <w:rPr>
          <w:rFonts w:cs="Calibri"/>
          <w:vertAlign w:val="superscript"/>
        </w:rPr>
        <w:footnoteReference w:id="24"/>
      </w:r>
      <w:r w:rsidRPr="000317AD">
        <w:t xml:space="preserve"> (art. 107 del TFUE); mentre ha ritenuto applicabile </w:t>
      </w:r>
      <w:r w:rsidRPr="000317AD">
        <w:lastRenderedPageBreak/>
        <w:t>l’art</w:t>
      </w:r>
      <w:r>
        <w:t>.</w:t>
      </w:r>
      <w:r w:rsidRPr="000317AD">
        <w:t xml:space="preserve"> 86, par. 2, del Trattato (art. 106 del TFUE) che, come è noto, prevede un regime derogatorio in ordine alla disciplina degli aiuti di Stato per le imprese incaricate di una missione di interesse economico generale.</w:t>
      </w:r>
    </w:p>
    <w:p w14:paraId="44916159" w14:textId="77777777" w:rsidR="00BE4380" w:rsidRPr="000317AD" w:rsidRDefault="00BE4380" w:rsidP="00BE4380">
      <w:pPr>
        <w:pStyle w:val="Capoverso"/>
      </w:pPr>
      <w:r w:rsidRPr="000317AD">
        <w:t>Si era rilevato, in particolare, che la proroga in questione dovesse essere intesa quale una misura di controbilanciamento della cessazione dello speciale regime di cui usufruiva la SFTRF; regime che, come si è detto, prevedeva il trasferimento di eventuali passivi della società allo Stato francese.</w:t>
      </w:r>
    </w:p>
    <w:p w14:paraId="185071BF" w14:textId="77777777" w:rsidR="00BE4380" w:rsidRPr="000317AD" w:rsidRDefault="00BE4380" w:rsidP="00BE4380">
      <w:pPr>
        <w:pStyle w:val="Capoverso"/>
      </w:pPr>
      <w:r w:rsidRPr="000317AD">
        <w:t>La Commissione, dunque, anche in questo caso è pervenuta alla conclusione che l’allungamento della durata della concessione della SFTRF era tale da fornire tutte le assicurazioni necessarie per la prosecuzione della gestione e, quindi, di un servizio di interesse economico generale</w:t>
      </w:r>
      <w:r w:rsidRPr="000317AD">
        <w:rPr>
          <w:rFonts w:cs="Calibri"/>
          <w:vertAlign w:val="superscript"/>
        </w:rPr>
        <w:t> </w:t>
      </w:r>
      <w:r w:rsidRPr="000317AD">
        <w:rPr>
          <w:rFonts w:cs="Calibri"/>
          <w:vertAlign w:val="superscript"/>
        </w:rPr>
        <w:footnoteReference w:id="25"/>
      </w:r>
      <w:r w:rsidRPr="000317AD">
        <w:t>.</w:t>
      </w:r>
    </w:p>
    <w:p w14:paraId="61285AC4" w14:textId="77777777" w:rsidR="00BE4380" w:rsidRPr="000317AD" w:rsidRDefault="00BE4380" w:rsidP="00BE4380">
      <w:pPr>
        <w:pStyle w:val="Capoverso"/>
      </w:pPr>
      <w:r w:rsidRPr="000317AD">
        <w:t>Ancora, tra le procedure di infrazione anteriori all’emanazione della Direttiva Concessioni in cui si è proceduto all’avallo di una proroga della durata di una concessione autostradale, rammento il caso dal Traforo del Monte Bianco</w:t>
      </w:r>
      <w:r w:rsidRPr="000317AD">
        <w:rPr>
          <w:rFonts w:cs="Calibri"/>
          <w:vertAlign w:val="superscript"/>
        </w:rPr>
        <w:t> </w:t>
      </w:r>
      <w:r w:rsidRPr="000317AD">
        <w:rPr>
          <w:rFonts w:cs="Calibri"/>
          <w:vertAlign w:val="superscript"/>
        </w:rPr>
        <w:footnoteReference w:id="26"/>
      </w:r>
      <w:r w:rsidRPr="000317AD">
        <w:t xml:space="preserve"> e del Tunnel Maurice </w:t>
      </w:r>
      <w:proofErr w:type="spellStart"/>
      <w:r w:rsidRPr="000317AD">
        <w:t>Lemaire</w:t>
      </w:r>
      <w:proofErr w:type="spellEnd"/>
      <w:r w:rsidRPr="000317AD">
        <w:t>.</w:t>
      </w:r>
    </w:p>
    <w:p w14:paraId="642EFBC0" w14:textId="77777777" w:rsidR="00BE4380" w:rsidRPr="000317AD" w:rsidRDefault="00BE4380" w:rsidP="00BE4380">
      <w:pPr>
        <w:pStyle w:val="Capoverso"/>
      </w:pPr>
      <w:r w:rsidRPr="000317AD">
        <w:t>L’incidente avvenuto all’interno del Traforo del Monte Bianco il 24 marzo 1999, aveva comportato la necessità di realizzare nuove strutture ed impianti (sia per la parte francese che per la parte italiana) soprattutto al fine di rafforzare la sicurezza all’interno delle gallerie</w:t>
      </w:r>
      <w:r w:rsidRPr="000317AD">
        <w:rPr>
          <w:rFonts w:cs="Calibri"/>
          <w:vertAlign w:val="superscript"/>
        </w:rPr>
        <w:t> </w:t>
      </w:r>
      <w:r w:rsidRPr="000317AD">
        <w:rPr>
          <w:rFonts w:cs="Calibri"/>
          <w:vertAlign w:val="superscript"/>
        </w:rPr>
        <w:footnoteReference w:id="27"/>
      </w:r>
      <w:r w:rsidRPr="000317AD">
        <w:t>.</w:t>
      </w:r>
    </w:p>
    <w:p w14:paraId="797CD9D3" w14:textId="77777777" w:rsidR="00BE4380" w:rsidRPr="000317AD" w:rsidRDefault="00BE4380" w:rsidP="00BE4380">
      <w:pPr>
        <w:pStyle w:val="Capoverso"/>
      </w:pPr>
      <w:r w:rsidRPr="000317AD">
        <w:t>I costi aggiuntivi e gli oneri straordinari derivanti da queste nuove imprevedibili circostanze di fatto avevano avuto, inevitabilmente, delle ripercussioni sull’equilibrio economico-finanziario della concessione al punto di minacciarne la prosecuzione.</w:t>
      </w:r>
    </w:p>
    <w:p w14:paraId="45BD7521" w14:textId="77777777" w:rsidR="00BE4380" w:rsidRPr="000317AD" w:rsidRDefault="00BE4380" w:rsidP="00BE4380">
      <w:pPr>
        <w:pStyle w:val="Capoverso"/>
      </w:pPr>
      <w:r w:rsidRPr="000317AD">
        <w:lastRenderedPageBreak/>
        <w:t>La proroga delle concessioni del Traforo del Monte Bianco è stata individuata dalle autorità francesi e quelle italiane quale soluzione migliore per ristabilire l’equilibrio economico-finanziario.</w:t>
      </w:r>
    </w:p>
    <w:p w14:paraId="10434809" w14:textId="77777777" w:rsidR="00BE4380" w:rsidRPr="000317AD" w:rsidRDefault="00BE4380" w:rsidP="00BE4380">
      <w:pPr>
        <w:pStyle w:val="Capoverso"/>
      </w:pPr>
      <w:r w:rsidRPr="000317AD">
        <w:t>Le autorità francesi proponevano di prolungare la durata delle concessioni della società ATMB di 15 anni, ossia fino al 2050, e di aumentare le tariffe. Del pari, per compensare gli oneri straordinari, le autorità italiane prevedevano l’aumento delle tariffe e la proroga del periodo di concessione di 15 anni, e, quindi, fino al 2050.</w:t>
      </w:r>
    </w:p>
    <w:p w14:paraId="002F3AF8" w14:textId="77777777" w:rsidR="00BE4380" w:rsidRPr="000317AD" w:rsidRDefault="00BE4380" w:rsidP="00BE4380">
      <w:pPr>
        <w:pStyle w:val="Capoverso"/>
      </w:pPr>
      <w:r w:rsidRPr="000317AD">
        <w:t xml:space="preserve">Dei suddetti eventi aveva risentito anche la società concessionaria del Tunnel Maurice </w:t>
      </w:r>
      <w:proofErr w:type="spellStart"/>
      <w:r w:rsidRPr="000317AD">
        <w:t>Lemarie</w:t>
      </w:r>
      <w:proofErr w:type="spellEnd"/>
      <w:r w:rsidRPr="000317AD">
        <w:t xml:space="preserve">, ossia SAPRR (oggi </w:t>
      </w:r>
      <w:proofErr w:type="spellStart"/>
      <w:r w:rsidRPr="000317AD">
        <w:rPr>
          <w:i/>
          <w:iCs/>
        </w:rPr>
        <w:t>Autoroutes</w:t>
      </w:r>
      <w:proofErr w:type="spellEnd"/>
      <w:r w:rsidRPr="000317AD">
        <w:rPr>
          <w:i/>
          <w:iCs/>
        </w:rPr>
        <w:t xml:space="preserve"> Paris-</w:t>
      </w:r>
      <w:proofErr w:type="spellStart"/>
      <w:r w:rsidRPr="000317AD">
        <w:rPr>
          <w:i/>
          <w:iCs/>
        </w:rPr>
        <w:t>Rhin</w:t>
      </w:r>
      <w:proofErr w:type="spellEnd"/>
      <w:r w:rsidRPr="000317AD">
        <w:rPr>
          <w:i/>
          <w:iCs/>
        </w:rPr>
        <w:t>-</w:t>
      </w:r>
      <w:proofErr w:type="spellStart"/>
      <w:r w:rsidRPr="000317AD">
        <w:rPr>
          <w:i/>
          <w:iCs/>
        </w:rPr>
        <w:t>Rhône</w:t>
      </w:r>
      <w:proofErr w:type="spellEnd"/>
      <w:r w:rsidRPr="000317AD">
        <w:t xml:space="preserve"> – APRR), la quale aveva dovuto procedere alla realizzazione di nuove strutture e impianti per incrementare la sicurezza delle aree, sopportandone dunque i relativi oneri (aggiuntivi).</w:t>
      </w:r>
    </w:p>
    <w:p w14:paraId="2EF5EA53" w14:textId="77777777" w:rsidR="00BE4380" w:rsidRPr="00886AE6" w:rsidRDefault="00BE4380" w:rsidP="00BE4380">
      <w:pPr>
        <w:pStyle w:val="Capoverso"/>
        <w:rPr>
          <w:spacing w:val="-3"/>
        </w:rPr>
      </w:pPr>
      <w:r w:rsidRPr="00886AE6">
        <w:rPr>
          <w:spacing w:val="-3"/>
        </w:rPr>
        <w:t>Pertanto, come nel caso di ATMB (Traforo Monte Bianco tratta francese), le autorità francesi ritenevano necessarie tre misure, quali una politica tariffaria comportante un aumento dei pedaggi, una sovvenzione pubblica di 35 milioni di euro nonché l’allungamento della durata della concessione di 46 anni (sino al 2068).</w:t>
      </w:r>
    </w:p>
    <w:p w14:paraId="2B2B4EC4" w14:textId="77777777" w:rsidR="00BE4380" w:rsidRPr="00F24919" w:rsidRDefault="00BE4380" w:rsidP="00F24919">
      <w:pPr>
        <w:pStyle w:val="Capoverso"/>
        <w:widowControl w:val="0"/>
        <w:rPr>
          <w:spacing w:val="4"/>
        </w:rPr>
      </w:pPr>
      <w:bookmarkStart w:id="7" w:name="_Hlk115191774"/>
      <w:r w:rsidRPr="00F24919">
        <w:rPr>
          <w:spacing w:val="4"/>
        </w:rPr>
        <w:t>Sulle proroghe disposte dall’autorità francese, la Commissione Europea si è espressa con la decisione del febbraio 2006</w:t>
      </w:r>
      <w:r w:rsidRPr="00F24919">
        <w:rPr>
          <w:rFonts w:cs="Calibri"/>
          <w:spacing w:val="4"/>
          <w:vertAlign w:val="superscript"/>
        </w:rPr>
        <w:t> </w:t>
      </w:r>
      <w:r w:rsidRPr="00F24919">
        <w:rPr>
          <w:rFonts w:cs="Calibri"/>
          <w:spacing w:val="4"/>
          <w:vertAlign w:val="superscript"/>
        </w:rPr>
        <w:footnoteReference w:id="28"/>
      </w:r>
      <w:r w:rsidRPr="00F24919">
        <w:rPr>
          <w:spacing w:val="4"/>
        </w:rPr>
        <w:t>, svolgendo le medesime considerazioni di cui alle proroghe appena illustrate</w:t>
      </w:r>
      <w:r w:rsidRPr="00F24919">
        <w:rPr>
          <w:rFonts w:cs="Calibri"/>
          <w:spacing w:val="4"/>
          <w:vertAlign w:val="superscript"/>
        </w:rPr>
        <w:t> </w:t>
      </w:r>
      <w:r w:rsidRPr="00F24919">
        <w:rPr>
          <w:rFonts w:cs="Calibri"/>
          <w:spacing w:val="4"/>
          <w:vertAlign w:val="superscript"/>
        </w:rPr>
        <w:footnoteReference w:id="29"/>
      </w:r>
      <w:r w:rsidRPr="00F24919">
        <w:rPr>
          <w:spacing w:val="4"/>
        </w:rPr>
        <w:t>.</w:t>
      </w:r>
    </w:p>
    <w:p w14:paraId="37798A8C" w14:textId="77777777" w:rsidR="00BE4380" w:rsidRPr="000317AD" w:rsidRDefault="00BE4380" w:rsidP="00BE4380">
      <w:pPr>
        <w:pStyle w:val="Capoverso"/>
      </w:pPr>
      <w:r w:rsidRPr="000317AD">
        <w:lastRenderedPageBreak/>
        <w:t>La Commissione, ritenendo le concessioni in parola modalità di gestione di un servizio pubblico di interesse generale, rilevava come la durata inizialmente individuata fosse stata calcolata per permettere l’ammortamento degli investimenti in condizioni normali di servizio.</w:t>
      </w:r>
    </w:p>
    <w:p w14:paraId="4CC4F26D" w14:textId="77777777" w:rsidR="00BE4380" w:rsidRPr="000317AD" w:rsidRDefault="00BE4380" w:rsidP="00BE4380">
      <w:pPr>
        <w:pStyle w:val="Capoverso"/>
      </w:pPr>
      <w:r w:rsidRPr="000317AD">
        <w:t>La durata delle concessioni determinata al momento della stipula della convenzione non tiene conto di eventi imprevisti e fatti nuovi – come l’incidente del 1999 – che comportano l’impossibilità per le concessionarie autostradali di proseguire nelle prestazioni loro affidate.</w:t>
      </w:r>
    </w:p>
    <w:p w14:paraId="3A952A12" w14:textId="77777777" w:rsidR="00BE4380" w:rsidRPr="000317AD" w:rsidRDefault="00BE4380" w:rsidP="00BE4380">
      <w:pPr>
        <w:pStyle w:val="Capoverso"/>
      </w:pPr>
      <w:r w:rsidRPr="000317AD">
        <w:t>Di conseguenza, al verificarsi di fatti imprevisti e imprevedibili che determinino un aumento dei costi o una diminuzione dei ricavi risulta indispensabile l’introdu</w:t>
      </w:r>
      <w:r w:rsidRPr="000317AD">
        <w:softHyphen/>
        <w:t>zione di misure correttive da parte delle autorità competenti, che consentano di controbilanciare le nuove obbligazioni gravanti sulle società concessionarie.</w:t>
      </w:r>
    </w:p>
    <w:p w14:paraId="077BD2A7" w14:textId="77777777" w:rsidR="00BE4380" w:rsidRPr="00F24919" w:rsidRDefault="00BE4380" w:rsidP="00BE4380">
      <w:pPr>
        <w:pStyle w:val="Capoverso"/>
        <w:rPr>
          <w:spacing w:val="2"/>
        </w:rPr>
      </w:pPr>
      <w:r w:rsidRPr="00F24919">
        <w:rPr>
          <w:spacing w:val="2"/>
        </w:rPr>
        <w:t>La proroga delle concessioni, dunque, deve ritenersi quale misura correttiva non solo necessaria ma anche proporzionale rispetto all’esigenza di garantire che le concessionarie perseguano la missione di interesse generale a loro affidata.</w:t>
      </w:r>
    </w:p>
    <w:p w14:paraId="344D098A" w14:textId="77777777" w:rsidR="00BE4380" w:rsidRPr="000317AD" w:rsidRDefault="00BE4380" w:rsidP="00BE4380">
      <w:pPr>
        <w:pStyle w:val="Capoverso"/>
      </w:pPr>
      <w:r w:rsidRPr="000317AD">
        <w:t>Sul solco della decisione relativa alle proroghe francesi, la Commissione ha svolto considerazioni del tutto analoghe relativamente alle misure introdotte per SITMB (Traforo Monte Bianco tratta italiana) dal Governo italiano con la decisione del 16 maggio 2006 n. C(2006)1849</w:t>
      </w:r>
      <w:r w:rsidRPr="000317AD">
        <w:rPr>
          <w:rFonts w:cs="Calibri"/>
          <w:vertAlign w:val="superscript"/>
        </w:rPr>
        <w:t> </w:t>
      </w:r>
      <w:r w:rsidRPr="000317AD">
        <w:rPr>
          <w:rFonts w:cs="Calibri"/>
          <w:vertAlign w:val="superscript"/>
        </w:rPr>
        <w:footnoteReference w:id="30"/>
      </w:r>
      <w:r w:rsidRPr="000317AD">
        <w:t>.</w:t>
      </w:r>
    </w:p>
    <w:p w14:paraId="0A73C7CE" w14:textId="77777777" w:rsidR="00BE4380" w:rsidRPr="000317AD" w:rsidRDefault="00BE4380" w:rsidP="00BE4380">
      <w:pPr>
        <w:pStyle w:val="Sottosottoparagrafo"/>
      </w:pPr>
      <w:bookmarkStart w:id="8" w:name="_Toc117001028"/>
      <w:r w:rsidRPr="000317AD">
        <w:rPr>
          <w:i w:val="0"/>
          <w:iCs/>
        </w:rPr>
        <w:t>3.1.2.</w:t>
      </w:r>
      <w:r w:rsidRPr="000317AD">
        <w:t xml:space="preserve"> Casi successivi all’entrata in vigore della Direttiva n. 2014/23/UE</w:t>
      </w:r>
      <w:bookmarkEnd w:id="8"/>
    </w:p>
    <w:p w14:paraId="16C4E70E" w14:textId="77777777" w:rsidR="00BE4380" w:rsidRPr="000317AD" w:rsidRDefault="00BE4380" w:rsidP="008242F0">
      <w:pPr>
        <w:pStyle w:val="Capoverso"/>
        <w:spacing w:line="256" w:lineRule="exact"/>
      </w:pPr>
      <w:r w:rsidRPr="000317AD">
        <w:t>Passando, ora, a taluni casi successivi all’entrata in vigore della Direttiva Concessioni, illustro il caso che ha riguardato le concessionarie italiane Autostrade per l’Italia S.p.A. (ASPI) e Satap spa.</w:t>
      </w:r>
    </w:p>
    <w:p w14:paraId="1AE0C6ED" w14:textId="77777777" w:rsidR="00BE4380" w:rsidRPr="000317AD" w:rsidRDefault="00BE4380" w:rsidP="008242F0">
      <w:pPr>
        <w:pStyle w:val="Capoverso"/>
        <w:spacing w:line="256" w:lineRule="exact"/>
      </w:pPr>
      <w:r w:rsidRPr="000317AD">
        <w:t xml:space="preserve">In seguito all’emanazione della Direttiva, infatti, le suddette concessionarie sono state le prime in Italia per le quali si è proceduto a verificare il rispetto dei presupposti previsti dall’art. 43 </w:t>
      </w:r>
      <w:r w:rsidRPr="00BA6C00">
        <w:t>“</w:t>
      </w:r>
      <w:r w:rsidRPr="000317AD">
        <w:rPr>
          <w:i/>
          <w:iCs/>
        </w:rPr>
        <w:t>Modifica</w:t>
      </w:r>
      <w:r w:rsidRPr="000317AD">
        <w:t xml:space="preserve"> </w:t>
      </w:r>
      <w:r w:rsidRPr="000317AD">
        <w:rPr>
          <w:i/>
          <w:iCs/>
        </w:rPr>
        <w:t>dei contratti durante il periodo di validità</w:t>
      </w:r>
      <w:r w:rsidRPr="00BA6C00">
        <w:t>”</w:t>
      </w:r>
      <w:r w:rsidRPr="000317AD">
        <w:t xml:space="preserve"> della Direttiva 2014/23/UE sulle Concessioni</w:t>
      </w:r>
      <w:r w:rsidRPr="000317AD">
        <w:rPr>
          <w:rFonts w:cs="Calibri"/>
          <w:vertAlign w:val="superscript"/>
        </w:rPr>
        <w:t> </w:t>
      </w:r>
      <w:r w:rsidRPr="000317AD">
        <w:rPr>
          <w:rFonts w:cs="Calibri"/>
          <w:vertAlign w:val="superscript"/>
        </w:rPr>
        <w:footnoteReference w:id="31"/>
      </w:r>
      <w:r w:rsidRPr="000317AD">
        <w:t xml:space="preserve">, che in primo luogo </w:t>
      </w:r>
      <w:r w:rsidRPr="000317AD">
        <w:lastRenderedPageBreak/>
        <w:t xml:space="preserve">prevede quale condizione per l’affidamento di lavori supplementari resisi necessari e non inclusi nella concessione iniziale, che l’eventuale aumento di valore non deve eccedere il 50% del valore della concessione iniziale. La norma in questione è stata poi recepita dal </w:t>
      </w:r>
      <w:r>
        <w:t>d.lgs.</w:t>
      </w:r>
      <w:r w:rsidRPr="000317AD">
        <w:t xml:space="preserve"> n. 50/2016 all’art</w:t>
      </w:r>
      <w:r>
        <w:t>.</w:t>
      </w:r>
      <w:r w:rsidRPr="000317AD">
        <w:t xml:space="preserve"> 175.</w:t>
      </w:r>
    </w:p>
    <w:p w14:paraId="3C3C2679" w14:textId="77777777" w:rsidR="00BE4380" w:rsidRPr="000317AD" w:rsidRDefault="00BE4380" w:rsidP="008242F0">
      <w:pPr>
        <w:pStyle w:val="Capoverso"/>
        <w:spacing w:line="256" w:lineRule="exact"/>
      </w:pPr>
      <w:r w:rsidRPr="000317AD">
        <w:t>Entrambe le concessionarie richiedevano, mediante il Governo italiano, una proroga delle concessioni a fronte della loro proposta di realizzazione di nuovi investimenti – dunque non imposti da prescrizioni normative – consistenti, in estrema sintesi:</w:t>
      </w:r>
    </w:p>
    <w:p w14:paraId="6A9CC885" w14:textId="77777777" w:rsidR="00BE4380" w:rsidRPr="000317AD" w:rsidRDefault="00BE4380" w:rsidP="008242F0">
      <w:pPr>
        <w:pStyle w:val="Capoversorigabianca"/>
        <w:widowControl w:val="0"/>
      </w:pPr>
      <w:r w:rsidRPr="000317AD">
        <w:t>a)</w:t>
      </w:r>
      <w:r>
        <w:t xml:space="preserve"> </w:t>
      </w:r>
      <w:r w:rsidRPr="000317AD">
        <w:t>per Satap: in un ampliamento ed aumento delle corsie, riduzione dell’im</w:t>
      </w:r>
      <w:r w:rsidRPr="000317AD">
        <w:softHyphen/>
        <w:t>patto ambientale e della sicurezza, miglioramento del sistema di esazione dei pedaggi e di informazione agli utenti;</w:t>
      </w:r>
    </w:p>
    <w:p w14:paraId="1BC58AFB" w14:textId="77777777" w:rsidR="00BE4380" w:rsidRPr="000317AD" w:rsidRDefault="00BE4380" w:rsidP="00BE4380">
      <w:pPr>
        <w:pStyle w:val="Capoverso"/>
      </w:pPr>
      <w:r w:rsidRPr="000317AD">
        <w:t>b)</w:t>
      </w:r>
      <w:r>
        <w:t xml:space="preserve"> </w:t>
      </w:r>
      <w:r w:rsidRPr="000317AD">
        <w:t>per ASPI: in un aumento delle corsie, realizzazione di nuove connessioni e miglioramento delle esistenti, ampliamento e ricostruzione di viadotti e sottopassi, piano di risanamento acustico e prolungamento di una galleria.</w:t>
      </w:r>
    </w:p>
    <w:p w14:paraId="047191E9" w14:textId="77777777" w:rsidR="00BE4380" w:rsidRPr="000317AD" w:rsidRDefault="00BE4380" w:rsidP="00F24919">
      <w:pPr>
        <w:pStyle w:val="Capoversorigabianca"/>
        <w:widowControl w:val="0"/>
      </w:pPr>
      <w:r w:rsidRPr="000317AD">
        <w:t>La Commissione europea, in seguito all’accordo raggiunto con il Governo italiano, con la decisione C (2018) 2435 del 27 aprile 2018</w:t>
      </w:r>
      <w:r w:rsidRPr="000317AD">
        <w:rPr>
          <w:rFonts w:cs="Calibri"/>
          <w:vertAlign w:val="superscript"/>
        </w:rPr>
        <w:t> </w:t>
      </w:r>
      <w:r w:rsidRPr="000317AD">
        <w:rPr>
          <w:rFonts w:cs="Calibri"/>
          <w:vertAlign w:val="superscript"/>
        </w:rPr>
        <w:footnoteReference w:id="32"/>
      </w:r>
      <w:r w:rsidRPr="000317AD">
        <w:t xml:space="preserve"> ha riconosciuto la legittimità di una estensione richiesta dallo Stato italiano per le suddette concessioni.</w:t>
      </w:r>
    </w:p>
    <w:p w14:paraId="13F73924" w14:textId="77777777" w:rsidR="00BE4380" w:rsidRPr="000317AD" w:rsidRDefault="00BE4380" w:rsidP="00BE4380">
      <w:pPr>
        <w:pStyle w:val="Capoverso"/>
      </w:pPr>
      <w:r w:rsidRPr="000317AD">
        <w:t>In entrambi tali casi la Commissione Europea ha avallato l’applicazione dell’art. 43 della Direttiva Concessioni, ma non integralmente: con riguardo alle modalità di calcolo dell’incremento del valore della concessione, i concessionari hanno proceduto a determinare l’aumento di valore confrontando gli investimenti incrementali ai ricavi previsti nella concessione originaria.</w:t>
      </w:r>
    </w:p>
    <w:p w14:paraId="0E57D4FA" w14:textId="49DC64F4" w:rsidR="00BE4380" w:rsidRPr="000317AD" w:rsidRDefault="00BE4380" w:rsidP="00BE4380">
      <w:pPr>
        <w:pStyle w:val="Capoverso"/>
      </w:pPr>
      <w:r w:rsidRPr="000317AD">
        <w:lastRenderedPageBreak/>
        <w:t>In ogni caso, nella decisione si legge che detta proroga deve ritenersi compatibile con la disciplina europea in materia di aiuti di Stato, escludendosi l’assen</w:t>
      </w:r>
      <w:r w:rsidR="00420988">
        <w:softHyphen/>
      </w:r>
      <w:r w:rsidRPr="000317AD">
        <w:t>za di extra-profitti derivanti in capo alle società interessate a seguito di tale operazione</w:t>
      </w:r>
      <w:r w:rsidRPr="000317AD">
        <w:rPr>
          <w:rFonts w:cs="Calibri"/>
          <w:vertAlign w:val="superscript"/>
        </w:rPr>
        <w:t> </w:t>
      </w:r>
      <w:r w:rsidRPr="000317AD">
        <w:rPr>
          <w:rFonts w:cs="Calibri"/>
          <w:vertAlign w:val="superscript"/>
        </w:rPr>
        <w:footnoteReference w:id="33"/>
      </w:r>
      <w:r w:rsidRPr="000317AD">
        <w:t>.</w:t>
      </w:r>
    </w:p>
    <w:p w14:paraId="5A922574" w14:textId="77777777" w:rsidR="00BE4380" w:rsidRPr="000317AD" w:rsidRDefault="00BE4380" w:rsidP="00BE4380">
      <w:pPr>
        <w:pStyle w:val="Capoverso"/>
      </w:pPr>
      <w:r w:rsidRPr="000317AD">
        <w:t xml:space="preserve">La Commissione ha imposto, peraltro, due condizioni per rendere conformi dette proroghe con la normativa </w:t>
      </w:r>
      <w:proofErr w:type="spellStart"/>
      <w:r w:rsidRPr="000317AD">
        <w:t>eurounitaria</w:t>
      </w:r>
      <w:proofErr w:type="spellEnd"/>
      <w:r w:rsidRPr="000317AD">
        <w:t>:</w:t>
      </w:r>
    </w:p>
    <w:p w14:paraId="33B3BA8B" w14:textId="77777777" w:rsidR="00BE4380" w:rsidRPr="000317AD" w:rsidRDefault="00BE4380" w:rsidP="00BE4380">
      <w:pPr>
        <w:pStyle w:val="Capoversorigabianca"/>
      </w:pPr>
      <w:r w:rsidRPr="000317AD">
        <w:t>– l’80% dei lavori da realizzare devono essere affidati a imprese di costruzione “terze”, con gare europee (principio ritenuto irrinunciabile e generale per le società titolari di concessioni non affidate con gara);</w:t>
      </w:r>
    </w:p>
    <w:p w14:paraId="11083373" w14:textId="77777777" w:rsidR="00BE4380" w:rsidRPr="000317AD" w:rsidRDefault="00BE4380" w:rsidP="00BE4380">
      <w:pPr>
        <w:pStyle w:val="Capoverso"/>
      </w:pPr>
      <w:r w:rsidRPr="000317AD">
        <w:t>– il rispetto di un massimale sui potenziali aumenti dei pedaggi che non superi il tasso di inflazione maggiorato dello 0,5% con l’obiettivo di renderlo sostenibile per gli utilizzatori delle autostrade.</w:t>
      </w:r>
      <w:bookmarkEnd w:id="7"/>
    </w:p>
    <w:p w14:paraId="02AA8B2A" w14:textId="77777777" w:rsidR="00BE4380" w:rsidRPr="000317AD" w:rsidRDefault="00BE4380" w:rsidP="00BE4380">
      <w:pPr>
        <w:pStyle w:val="Paragrafo"/>
      </w:pPr>
      <w:bookmarkStart w:id="9" w:name="_Toc117001029"/>
      <w:r w:rsidRPr="000317AD">
        <w:rPr>
          <w:i w:val="0"/>
          <w:iCs/>
        </w:rPr>
        <w:t>4.</w:t>
      </w:r>
      <w:r w:rsidRPr="000317AD">
        <w:t xml:space="preserve"> Riflessioni sulla pandemia come ipotesi di forza maggiore</w:t>
      </w:r>
      <w:bookmarkEnd w:id="9"/>
    </w:p>
    <w:p w14:paraId="63A96934" w14:textId="77777777" w:rsidR="00BE4380" w:rsidRPr="000317AD" w:rsidRDefault="00BE4380" w:rsidP="00BE4380">
      <w:pPr>
        <w:pStyle w:val="Capoverso"/>
      </w:pPr>
      <w:r w:rsidRPr="000317AD">
        <w:t>La variegata panoramica sin qui illustrata relativa alle revisioni delle concessioni, in ragione, come si è visto, di privatizzazioni, accordi transattivi, oneri suppletivi imposti da norme sopravvenute e proposte di nuovi investimenti comprensive del contenimento degli adeguamenti dei pedaggi, si completa con la pandemia da Covid 19, evento di forza maggiore che ha alterato le condizioni originarie stabilite dalle parti incidendo sul sinallagma, indirizzando dunque necessariamente i contraenti verso una revisione/riequilibrio dei contratti, anche a mezzo di proroga della loro durata</w:t>
      </w:r>
      <w:r w:rsidRPr="000317AD">
        <w:rPr>
          <w:rFonts w:cs="Calibri"/>
          <w:vertAlign w:val="superscript"/>
        </w:rPr>
        <w:t> </w:t>
      </w:r>
      <w:r w:rsidRPr="000317AD">
        <w:rPr>
          <w:rFonts w:cs="Calibri"/>
          <w:vertAlign w:val="superscript"/>
        </w:rPr>
        <w:footnoteReference w:id="34"/>
      </w:r>
      <w:r w:rsidRPr="000317AD">
        <w:t>.</w:t>
      </w:r>
    </w:p>
    <w:p w14:paraId="7535CA67" w14:textId="77777777" w:rsidR="00BE4380" w:rsidRPr="000317AD" w:rsidRDefault="00BE4380" w:rsidP="00BE4380">
      <w:pPr>
        <w:pStyle w:val="Capoverso"/>
      </w:pPr>
      <w:r w:rsidRPr="000317AD">
        <w:t xml:space="preserve">A tal proposito si evidenzia che, non è solo l’evento pandemico in sé, certamente eccezionale, imprevedibile e non imputabile alle parti a comportare un’alterazione del sinallagma ma anche le prescrizioni, normative e non, emanate per gestire la pandemia che, prevedendo misure come il </w:t>
      </w:r>
      <w:r w:rsidRPr="000317AD">
        <w:rPr>
          <w:i/>
          <w:iCs/>
        </w:rPr>
        <w:t>lockdown</w:t>
      </w:r>
      <w:r w:rsidRPr="000317AD">
        <w:t>, inevitabilmente incidono sui contratti in ragione della preclusione per gli utenti all’utilizzo di infrastrutture e servizi o in relazione ai maggiori oneri gestionali richiesti per preservare la salute pubblica.</w:t>
      </w:r>
    </w:p>
    <w:p w14:paraId="2BA2D272" w14:textId="77777777" w:rsidR="00BE4380" w:rsidRPr="000317AD" w:rsidRDefault="00BE4380" w:rsidP="00BE4380">
      <w:pPr>
        <w:pStyle w:val="Capoverso"/>
      </w:pPr>
      <w:r w:rsidRPr="000317AD">
        <w:t xml:space="preserve">Ed allora, diversamente dall’ambito dei rapporti tra privati, maggiormente permeato da strumenti inadeguati alla soluzione degli eventi eccezionali imprevedibili, come la risoluzione per eccessiva onerosità sopravvenuta </w:t>
      </w:r>
      <w:r w:rsidRPr="00BA6C00">
        <w:rPr>
          <w:i/>
          <w:iCs/>
        </w:rPr>
        <w:t>ex</w:t>
      </w:r>
      <w:r w:rsidRPr="000317AD">
        <w:t xml:space="preserve"> art</w:t>
      </w:r>
      <w:r>
        <w:t>.</w:t>
      </w:r>
      <w:r w:rsidRPr="000317AD">
        <w:t xml:space="preserve"> </w:t>
      </w:r>
      <w:r w:rsidRPr="000317AD">
        <w:lastRenderedPageBreak/>
        <w:t>1467 cod. civ.</w:t>
      </w:r>
      <w:r w:rsidRPr="000317AD">
        <w:rPr>
          <w:rFonts w:cs="Calibri"/>
          <w:vertAlign w:val="superscript"/>
        </w:rPr>
        <w:t> </w:t>
      </w:r>
      <w:r w:rsidRPr="000317AD">
        <w:rPr>
          <w:rFonts w:cs="Calibri"/>
          <w:vertAlign w:val="superscript"/>
        </w:rPr>
        <w:footnoteReference w:id="35"/>
      </w:r>
      <w:r w:rsidRPr="000317AD">
        <w:t>, tanto da aver sollecitato la giurisprudenza civile</w:t>
      </w:r>
      <w:r w:rsidRPr="000317AD">
        <w:rPr>
          <w:rFonts w:cs="Calibri"/>
          <w:vertAlign w:val="superscript"/>
        </w:rPr>
        <w:t> </w:t>
      </w:r>
      <w:r w:rsidRPr="000317AD">
        <w:rPr>
          <w:rFonts w:cs="Calibri"/>
          <w:vertAlign w:val="superscript"/>
        </w:rPr>
        <w:footnoteReference w:id="36"/>
      </w:r>
      <w:r w:rsidRPr="000317AD">
        <w:t xml:space="preserve"> ad approfondire, all’insegna del principio di conservazione dell’equilibrio del contratto, la rinegoziazione da attuarsi secondo buona fede</w:t>
      </w:r>
      <w:r w:rsidRPr="000317AD">
        <w:rPr>
          <w:rFonts w:cs="Calibri"/>
          <w:vertAlign w:val="superscript"/>
        </w:rPr>
        <w:t> </w:t>
      </w:r>
      <w:r w:rsidRPr="000317AD">
        <w:rPr>
          <w:rFonts w:cs="Calibri"/>
          <w:vertAlign w:val="superscript"/>
        </w:rPr>
        <w:footnoteReference w:id="37"/>
      </w:r>
      <w:r w:rsidRPr="000317AD">
        <w:t>, il Codice dei contratti pubblici, come si è illustrato nel primo paragrafo, è invece “geneticamente” improntato alla conservazione del contratto che difatti merita di essere riequilibrato in relazione all’accadimento di tutti i fatti non imputabili al concessionario che incidano sull’equilibrio del piano economico-finanziario.</w:t>
      </w:r>
    </w:p>
    <w:p w14:paraId="2070312A" w14:textId="77777777" w:rsidR="00BE4380" w:rsidRPr="000317AD" w:rsidRDefault="00BE4380" w:rsidP="00BE4380">
      <w:pPr>
        <w:pStyle w:val="Capoverso"/>
      </w:pPr>
      <w:r w:rsidRPr="000317AD">
        <w:t>Particolarmente efficace la relazione tematica n. 56</w:t>
      </w:r>
      <w:r>
        <w:t>/</w:t>
      </w:r>
      <w:r w:rsidRPr="000317AD">
        <w:t xml:space="preserve">2020 della Corte di Cassazione sul diritto ”emergenziale” anti-Covid19 nel sottolineare che </w:t>
      </w:r>
      <w:r w:rsidRPr="00BA6C00">
        <w:t>“</w:t>
      </w:r>
      <w:r w:rsidRPr="000317AD">
        <w:rPr>
          <w:i/>
          <w:iCs/>
        </w:rPr>
        <w:t>Il venir meno dei flussi di cassa è un contagio diffuso, rispetto al quale la terapia non è la cesura del vincolo negoziale, ma la sospensione, postergazione, riduzione delle obbligazioni che vi sono annesse</w:t>
      </w:r>
      <w:r w:rsidRPr="00BA6C00">
        <w:t xml:space="preserve">” </w:t>
      </w:r>
      <w:r w:rsidRPr="000317AD">
        <w:t xml:space="preserve">ed ancora che </w:t>
      </w:r>
      <w:r w:rsidRPr="00BA6C00">
        <w:t>“</w:t>
      </w:r>
      <w:r w:rsidRPr="000317AD">
        <w:rPr>
          <w:i/>
          <w:iCs/>
        </w:rPr>
        <w:t>Qualora il sinallagma contrattuale sia stravolto dalla pandemia e la parte avvantaggiata disattenda gli obblighi di protezione nei confronti dell’altra, limitare la tutela di quest’ultima alla risoluzione e al risarcimento del danno significherebbe demolire il rapporto contrattuale, incanalandolo in</w:t>
      </w:r>
      <w:r w:rsidRPr="000317AD">
        <w:t xml:space="preserve"> </w:t>
      </w:r>
      <w:r w:rsidRPr="000317AD">
        <w:rPr>
          <w:i/>
          <w:iCs/>
        </w:rPr>
        <w:t>quell’imbuto esiziale che la clausola di buona fede e la rinegoziazione dovrebbero valere a scongiurare</w:t>
      </w:r>
      <w:r w:rsidRPr="00BA6C00">
        <w:t>”</w:t>
      </w:r>
      <w:r w:rsidRPr="000317AD">
        <w:rPr>
          <w:rFonts w:cs="Calibri"/>
          <w:vertAlign w:val="superscript"/>
        </w:rPr>
        <w:t> </w:t>
      </w:r>
      <w:r w:rsidRPr="000317AD">
        <w:rPr>
          <w:rFonts w:cs="Calibri"/>
          <w:vertAlign w:val="superscript"/>
        </w:rPr>
        <w:footnoteReference w:id="38"/>
      </w:r>
      <w:r w:rsidRPr="000317AD">
        <w:t>.</w:t>
      </w:r>
    </w:p>
    <w:p w14:paraId="0B1AD242" w14:textId="77777777" w:rsidR="00BE4380" w:rsidRPr="000317AD" w:rsidRDefault="00BE4380" w:rsidP="00BE4380">
      <w:pPr>
        <w:pStyle w:val="Paragrafo"/>
      </w:pPr>
      <w:bookmarkStart w:id="10" w:name="_Toc117001030"/>
      <w:r w:rsidRPr="000317AD">
        <w:rPr>
          <w:i w:val="0"/>
          <w:iCs/>
        </w:rPr>
        <w:t>5.</w:t>
      </w:r>
      <w:r w:rsidRPr="000317AD">
        <w:t xml:space="preserve"> L’attuale disciplina sulla revisione delle concessioni autostradali tra convenzioni e normativa</w:t>
      </w:r>
      <w:bookmarkEnd w:id="10"/>
    </w:p>
    <w:p w14:paraId="1F00D1B8" w14:textId="77777777" w:rsidR="00BE4380" w:rsidRPr="000317AD" w:rsidRDefault="00BE4380" w:rsidP="00420988">
      <w:pPr>
        <w:pStyle w:val="Capoverso"/>
        <w:spacing w:line="257" w:lineRule="exact"/>
      </w:pPr>
      <w:r w:rsidRPr="000317AD">
        <w:t>Tornando in particolare alle concessioni autostradali, quanto ai contratti scaduti, il vigente Codice dei Contratti Pubblici (art. 178, comma 1) prevede, da una parte, che il concedente che non abbia ancora provveduto proceda alla predisposizione del bando di gara, dall’altra chiarisce che è vietata la proroga delle concessioni autostradali.</w:t>
      </w:r>
    </w:p>
    <w:p w14:paraId="7D7A4BF8" w14:textId="77777777" w:rsidR="00BE4380" w:rsidRPr="000317AD" w:rsidRDefault="00BE4380" w:rsidP="00420988">
      <w:pPr>
        <w:pStyle w:val="Capoverso"/>
        <w:spacing w:line="257" w:lineRule="exact"/>
      </w:pPr>
      <w:r w:rsidRPr="000317AD">
        <w:t>Vediamo, invece, quale sia la disciplina per il riequilibrio delle concessioni autostradali in essere, in particolare con riferimento alla possibilità di utilizzare la proroga quale rimedio alla lesione dell’equilibrio.</w:t>
      </w:r>
    </w:p>
    <w:p w14:paraId="57C157E9" w14:textId="77777777" w:rsidR="00BE4380" w:rsidRPr="00E7063B" w:rsidRDefault="00BE4380" w:rsidP="00E7063B">
      <w:pPr>
        <w:pStyle w:val="Capoverso"/>
        <w:spacing w:line="257" w:lineRule="exact"/>
        <w:rPr>
          <w:spacing w:val="5"/>
        </w:rPr>
      </w:pPr>
      <w:r w:rsidRPr="00E7063B">
        <w:rPr>
          <w:spacing w:val="5"/>
        </w:rPr>
        <w:lastRenderedPageBreak/>
        <w:t xml:space="preserve">A tal proposito, la convenzione unica di concessione autostradale, siglata in un testo pressoché conforme con la grande maggioranza delle concessionarie ai sensi dell’art. 2, commi 82 e ss., </w:t>
      </w:r>
      <w:proofErr w:type="spellStart"/>
      <w:r w:rsidRPr="00E7063B">
        <w:rPr>
          <w:spacing w:val="5"/>
        </w:rPr>
        <w:t>d.l.</w:t>
      </w:r>
      <w:proofErr w:type="spellEnd"/>
      <w:r w:rsidRPr="00E7063B">
        <w:rPr>
          <w:spacing w:val="5"/>
        </w:rPr>
        <w:t xml:space="preserve"> n. 262/2006 convertito dalla legge n. 286/2006, disciplina il riequilibrio nell’articolo dedicato al piano economico-finanziario ed al suo aggiornamento. Nello specifico, si prevede che:</w:t>
      </w:r>
    </w:p>
    <w:p w14:paraId="2F56785C" w14:textId="77777777" w:rsidR="00BE4380" w:rsidRPr="00420988" w:rsidRDefault="00BE4380" w:rsidP="00420988">
      <w:pPr>
        <w:pStyle w:val="Capoversorigabianca"/>
        <w:spacing w:line="257" w:lineRule="exact"/>
        <w:rPr>
          <w:spacing w:val="3"/>
        </w:rPr>
      </w:pPr>
      <w:r w:rsidRPr="00420988">
        <w:rPr>
          <w:spacing w:val="3"/>
        </w:rPr>
        <w:t>– è facoltà del Concessionario ripresentare il piano finanziario e richiedere una revisione delle condizioni della convenzione in presenza di forza maggiore, nonché, di un nuovo piano di investimenti che rivesta carattere straordinario;</w:t>
      </w:r>
    </w:p>
    <w:p w14:paraId="23543EC9" w14:textId="77777777" w:rsidR="00BE4380" w:rsidRPr="000317AD" w:rsidRDefault="00BE4380" w:rsidP="00420988">
      <w:pPr>
        <w:pStyle w:val="Capoverso"/>
        <w:spacing w:line="257" w:lineRule="exact"/>
      </w:pPr>
      <w:r w:rsidRPr="000317AD">
        <w:t xml:space="preserve">– </w:t>
      </w:r>
      <w:r>
        <w:t>è</w:t>
      </w:r>
      <w:r w:rsidRPr="000317AD">
        <w:t xml:space="preserve"> facoltà del Concedente richiedere al Concessionario, per cause di forza maggiore, di presentare, entro un termine dato, un nuovo piano finanziario ed una revisione delle condizioni della convenzione;</w:t>
      </w:r>
    </w:p>
    <w:p w14:paraId="71F964EE" w14:textId="77777777" w:rsidR="00BE4380" w:rsidRPr="000317AD" w:rsidRDefault="00BE4380" w:rsidP="00420988">
      <w:pPr>
        <w:pStyle w:val="Capoverso"/>
        <w:spacing w:line="257" w:lineRule="exact"/>
      </w:pPr>
      <w:r w:rsidRPr="000317AD">
        <w:t xml:space="preserve">– </w:t>
      </w:r>
      <w:r>
        <w:t>i</w:t>
      </w:r>
      <w:r w:rsidRPr="000317AD">
        <w:t>l piano economico-finanziario verrà sottoposto a revisione in presenza di un nuovo programma di investimenti ovvero in presenza di eventi straordinari che determinano un’alterazione dell’equilibrio economico-finanziario.</w:t>
      </w:r>
    </w:p>
    <w:p w14:paraId="07A1FC58" w14:textId="6786263D" w:rsidR="00BE4380" w:rsidRPr="000317AD" w:rsidRDefault="00BE4380" w:rsidP="00420988">
      <w:pPr>
        <w:pStyle w:val="Capoversorigabianca"/>
        <w:spacing w:line="257" w:lineRule="exact"/>
      </w:pPr>
      <w:r w:rsidRPr="000317AD">
        <w:t>In ambito autostradale, dunque, la convenzione unica si limita a prevedere in generale il riequilibrio della concessione per causa di forza maggiore, dovendo</w:t>
      </w:r>
      <w:r w:rsidR="00D313B1">
        <w:t>ci</w:t>
      </w:r>
      <w:r w:rsidRPr="000317AD">
        <w:t>si quindi riferire poi alla normativa per ogni eventuale ulteriore specificazione. Tale espressione generale sembra, tuttavia, doversi più ampiamente intendere come riferibile a tutte le eventuali circostanze destabilizzanti non imputabili alla responsabilità del concessionario né dal medesimo controllabili.</w:t>
      </w:r>
    </w:p>
    <w:p w14:paraId="6C5A7570" w14:textId="77777777" w:rsidR="00BE4380" w:rsidRPr="000317AD" w:rsidRDefault="00BE4380" w:rsidP="00420988">
      <w:pPr>
        <w:pStyle w:val="Capoverso"/>
        <w:spacing w:line="257" w:lineRule="exact"/>
      </w:pPr>
      <w:r w:rsidRPr="000317AD">
        <w:t>Dalla più moderna prassi contrattuale in tema di concessioni e PPP, infatti, emerge una più dettagliata ed approfondita disciplina delle ipotesi di riequilibrio, sia con riguardo al procedimento da adottare che in relazione all’indivi</w:t>
      </w:r>
      <w:r w:rsidRPr="000317AD">
        <w:softHyphen/>
        <w:t>duazione dei presupposti, anche in conformità alle prescrizioni Eurostat. In particolare, le cause di riequilibrio vengono tradizionalmente distinte in eventi destabilizzanti ed eventi favorevoli, fatti del concedente e forza maggiore. In alternativa, potrebbero essere complessivamente raggruppati nella categoria degli eventi di disequilibrio, con individuazione dettagliata e tassativa delle circostanze che vi rientrano</w:t>
      </w:r>
      <w:r w:rsidRPr="000317AD">
        <w:rPr>
          <w:rFonts w:cs="Calibri"/>
          <w:vertAlign w:val="superscript"/>
        </w:rPr>
        <w:t> </w:t>
      </w:r>
      <w:r w:rsidRPr="000317AD">
        <w:rPr>
          <w:rFonts w:cs="Calibri"/>
          <w:vertAlign w:val="superscript"/>
        </w:rPr>
        <w:footnoteReference w:id="39"/>
      </w:r>
      <w:r w:rsidRPr="000317AD">
        <w:t>.</w:t>
      </w:r>
    </w:p>
    <w:p w14:paraId="65582FBD" w14:textId="77777777" w:rsidR="00BE4380" w:rsidRPr="008242F0" w:rsidRDefault="00BE4380" w:rsidP="008242F0">
      <w:pPr>
        <w:pStyle w:val="Capoverso"/>
        <w:spacing w:line="256" w:lineRule="exact"/>
      </w:pPr>
      <w:r w:rsidRPr="008242F0">
        <w:t xml:space="preserve">D’altra parte, anche la normativa </w:t>
      </w:r>
      <w:r w:rsidRPr="008242F0">
        <w:rPr>
          <w:i/>
          <w:iCs/>
        </w:rPr>
        <w:t>ratione temporis</w:t>
      </w:r>
      <w:r w:rsidRPr="008242F0">
        <w:t xml:space="preserve"> applicabile era piuttosto ampia e generica. Il previgente art. 143, comma 8, d.lgs. n. 163/2006, infatti, prevedeva la necessaria revisione del piano economico finanziario in caso di </w:t>
      </w:r>
      <w:r w:rsidRPr="008242F0">
        <w:lastRenderedPageBreak/>
        <w:t>variazioni apportate dalla stazione appaltante a detti presupposti o condizioni di base, nonché le norme legislative e regolamentari che stabiliscano nuovi meccanismi tariffari o che comunque incidono sull’equilibrio del piano economico finanziario. La medesima previsione normativa, inoltre, prevedeva espressamente che tale revisione dovesse essere attuata mediante rideterminazione delle nuove condizioni di equilibrio, anche tramite la proroga del termine di scadenza delle concessioni.</w:t>
      </w:r>
    </w:p>
    <w:p w14:paraId="032C4ECA" w14:textId="77777777" w:rsidR="00BE4380" w:rsidRPr="008242F0" w:rsidRDefault="00BE4380" w:rsidP="008242F0">
      <w:pPr>
        <w:pStyle w:val="Capoverso"/>
        <w:spacing w:line="256" w:lineRule="exact"/>
        <w:rPr>
          <w:spacing w:val="2"/>
        </w:rPr>
      </w:pPr>
      <w:r w:rsidRPr="008242F0">
        <w:rPr>
          <w:spacing w:val="2"/>
        </w:rPr>
        <w:t>La normativa ora vigente, invece, anche in relazione alla emanazione di una innovativa direttiva specifica in materia di concessioni (direttiva UE/2014/23), disciplina molto più dettagliatamente le ipotesi di modifica e variazioni delle concessioni.</w:t>
      </w:r>
    </w:p>
    <w:p w14:paraId="3F104A12" w14:textId="4E07ED01" w:rsidR="00BE4380" w:rsidRPr="000317AD" w:rsidRDefault="00BE4380" w:rsidP="00984881">
      <w:pPr>
        <w:pStyle w:val="Capoverso"/>
      </w:pPr>
      <w:r w:rsidRPr="000317AD">
        <w:t>In primo luogo, infatti, l’esigenza di riequilibrio potrebbe sorgere a seguito di una modifica del contratto</w:t>
      </w:r>
      <w:r w:rsidRPr="000317AD">
        <w:rPr>
          <w:rFonts w:cs="Calibri"/>
          <w:vertAlign w:val="superscript"/>
        </w:rPr>
        <w:t> </w:t>
      </w:r>
      <w:r w:rsidRPr="000317AD">
        <w:rPr>
          <w:rFonts w:cs="Calibri"/>
          <w:vertAlign w:val="superscript"/>
        </w:rPr>
        <w:footnoteReference w:id="40"/>
      </w:r>
      <w:r w:rsidRPr="000317AD">
        <w:t xml:space="preserve"> nell’alveo delle ipotesi consentite dall’art. 175 del Codice vigente</w:t>
      </w:r>
      <w:r w:rsidRPr="000317AD">
        <w:rPr>
          <w:rFonts w:cs="Calibri"/>
          <w:vertAlign w:val="superscript"/>
        </w:rPr>
        <w:t> </w:t>
      </w:r>
      <w:r w:rsidRPr="000317AD">
        <w:rPr>
          <w:rFonts w:cs="Calibri"/>
          <w:vertAlign w:val="superscript"/>
        </w:rPr>
        <w:footnoteReference w:id="41"/>
      </w:r>
      <w:r w:rsidRPr="000317AD">
        <w:t>.</w:t>
      </w:r>
      <w:r w:rsidR="00984881">
        <w:t xml:space="preserve"> </w:t>
      </w:r>
      <w:r w:rsidRPr="000317AD">
        <w:t>E</w:t>
      </w:r>
      <w:r w:rsidR="00984881">
        <w:t>ccettuata</w:t>
      </w:r>
      <w:r w:rsidRPr="000317AD">
        <w:t xml:space="preserve"> l’ipotesi di cui al comma 1, lett</w:t>
      </w:r>
      <w:r>
        <w:t>.</w:t>
      </w:r>
      <w:r w:rsidRPr="000317AD">
        <w:t xml:space="preserve"> a), in quanto la disposizione, riguardante le modifiche previste nei documenti di gara iniziali in clausole chiare, precise e inequivocabili dispone espressamente che le medesime clausole non possono prevedere la proroga della durata della concessione, passiamo ora in rassegna le altre ipotesi.</w:t>
      </w:r>
    </w:p>
    <w:p w14:paraId="6EF67977" w14:textId="56FCF8C5" w:rsidR="00BE4380" w:rsidRPr="000317AD" w:rsidRDefault="00BE4380" w:rsidP="008242F0">
      <w:pPr>
        <w:pStyle w:val="Capoverso"/>
        <w:widowControl w:val="0"/>
      </w:pPr>
      <w:r w:rsidRPr="000317AD">
        <w:t>La successiva lett</w:t>
      </w:r>
      <w:r>
        <w:t>.</w:t>
      </w:r>
      <w:r w:rsidRPr="000317AD">
        <w:t xml:space="preserve"> b) riguarda i lavori o servizi supplementari da parte del concessionario originario che si sono resi necessari e non erano inclusi nella concessione iniziale, ove un cambiamento di concessionario risulti impraticabile per motivi economici o tecnici</w:t>
      </w:r>
      <w:r w:rsidRPr="000317AD">
        <w:rPr>
          <w:rFonts w:cs="Calibri"/>
          <w:vertAlign w:val="superscript"/>
        </w:rPr>
        <w:t> </w:t>
      </w:r>
      <w:r w:rsidRPr="000317AD">
        <w:rPr>
          <w:rFonts w:cs="Calibri"/>
          <w:vertAlign w:val="superscript"/>
        </w:rPr>
        <w:footnoteReference w:id="42"/>
      </w:r>
      <w:r w:rsidRPr="000317AD">
        <w:t xml:space="preserve"> quali il rispetto dei requisiti di intercambiabilità o interoperatività tra apparecchiature, servizi o impianti esistenti forniti nel</w:t>
      </w:r>
      <w:r w:rsidR="008242F0">
        <w:softHyphen/>
      </w:r>
      <w:r w:rsidRPr="000317AD">
        <w:t>l’ambito della concessione iniziale e comporti per la stazione appaltante un notevole ritardo o un significativo aggravi o dei costi</w:t>
      </w:r>
      <w:r w:rsidRPr="000317AD">
        <w:rPr>
          <w:rFonts w:cs="Calibri"/>
          <w:vertAlign w:val="superscript"/>
        </w:rPr>
        <w:t> </w:t>
      </w:r>
      <w:r w:rsidRPr="000317AD">
        <w:rPr>
          <w:rFonts w:cs="Calibri"/>
          <w:vertAlign w:val="superscript"/>
        </w:rPr>
        <w:footnoteReference w:id="43"/>
      </w:r>
      <w:r>
        <w:t>.</w:t>
      </w:r>
    </w:p>
    <w:p w14:paraId="009EBDC6" w14:textId="77777777" w:rsidR="00BE4380" w:rsidRPr="000317AD" w:rsidRDefault="00BE4380" w:rsidP="00BE4380">
      <w:pPr>
        <w:pStyle w:val="Capoverso"/>
      </w:pPr>
      <w:r w:rsidRPr="000317AD">
        <w:lastRenderedPageBreak/>
        <w:t>L’ipotesi di cui alla lett</w:t>
      </w:r>
      <w:r>
        <w:t>.</w:t>
      </w:r>
      <w:r w:rsidRPr="000317AD">
        <w:t xml:space="preserve"> c) prevede la ricorrenza contestuale delle seguenti condizioni:</w:t>
      </w:r>
    </w:p>
    <w:p w14:paraId="64E30C00" w14:textId="77777777" w:rsidR="00BE4380" w:rsidRPr="000317AD" w:rsidRDefault="00BE4380" w:rsidP="00E7063B">
      <w:pPr>
        <w:pStyle w:val="Capoversorigabianca"/>
        <w:spacing w:before="182"/>
      </w:pPr>
      <w:r w:rsidRPr="00E7063B">
        <w:t>1. la necessità di modifica deve derivare da circostanze che una stazione ap</w:t>
      </w:r>
      <w:r w:rsidRPr="000317AD">
        <w:t>paltante non ha potuto prevedere utilizzando l’ordinaria diligenza;</w:t>
      </w:r>
    </w:p>
    <w:p w14:paraId="7550493E" w14:textId="77777777" w:rsidR="00BE4380" w:rsidRPr="000317AD" w:rsidRDefault="00BE4380" w:rsidP="00BE4380">
      <w:pPr>
        <w:pStyle w:val="Capoverso"/>
      </w:pPr>
      <w:r w:rsidRPr="000317AD">
        <w:t>2</w:t>
      </w:r>
      <w:r>
        <w:t>.</w:t>
      </w:r>
      <w:r w:rsidRPr="000317AD">
        <w:t xml:space="preserve"> la modifica non deve alterare la natura generale della concessione</w:t>
      </w:r>
      <w:r w:rsidRPr="000317AD">
        <w:rPr>
          <w:rFonts w:cs="Calibri"/>
          <w:vertAlign w:val="superscript"/>
        </w:rPr>
        <w:t> </w:t>
      </w:r>
      <w:r w:rsidRPr="000317AD">
        <w:rPr>
          <w:rFonts w:cs="Calibri"/>
          <w:vertAlign w:val="superscript"/>
        </w:rPr>
        <w:footnoteReference w:id="44"/>
      </w:r>
      <w:r w:rsidRPr="000317AD">
        <w:t>;</w:t>
      </w:r>
    </w:p>
    <w:p w14:paraId="2416D4BF" w14:textId="77777777" w:rsidR="00BE4380" w:rsidRPr="000317AD" w:rsidRDefault="00BE4380" w:rsidP="00E7063B">
      <w:pPr>
        <w:pStyle w:val="Capoversorigabianca"/>
        <w:spacing w:before="182"/>
      </w:pPr>
      <w:r w:rsidRPr="000317AD">
        <w:t>L’ipotesi di cui alla lettera d) riguarda il caso in cui un nuovo concessionario sostituisce</w:t>
      </w:r>
      <w:r w:rsidRPr="000317AD">
        <w:rPr>
          <w:rFonts w:cs="Calibri"/>
          <w:vertAlign w:val="superscript"/>
        </w:rPr>
        <w:t> </w:t>
      </w:r>
      <w:r w:rsidRPr="000317AD">
        <w:rPr>
          <w:rFonts w:cs="Calibri"/>
          <w:vertAlign w:val="superscript"/>
        </w:rPr>
        <w:footnoteReference w:id="45"/>
      </w:r>
      <w:r w:rsidRPr="000317AD">
        <w:t xml:space="preserve"> quello a cui la stazione appaltante aveva inizialmente aggiudicato la concessione a causa di una delle seguenti circostanze:</w:t>
      </w:r>
    </w:p>
    <w:p w14:paraId="1AEC7BBB" w14:textId="77777777" w:rsidR="00BE4380" w:rsidRPr="000317AD" w:rsidRDefault="00BE4380" w:rsidP="00BE4380">
      <w:pPr>
        <w:pStyle w:val="Capoversorigabianca"/>
      </w:pPr>
      <w:r w:rsidRPr="000317AD">
        <w:t>1</w:t>
      </w:r>
      <w:r>
        <w:t>.</w:t>
      </w:r>
      <w:r w:rsidRPr="000317AD">
        <w:t xml:space="preserve"> una clausola di revisione in conformità della lett</w:t>
      </w:r>
      <w:r>
        <w:t>.</w:t>
      </w:r>
      <w:r w:rsidRPr="000317AD">
        <w:t xml:space="preserve"> a);</w:t>
      </w:r>
    </w:p>
    <w:p w14:paraId="7D536E53" w14:textId="1F1253FD" w:rsidR="00BE4380" w:rsidRPr="008242F0" w:rsidRDefault="00BE4380" w:rsidP="00934CF6">
      <w:pPr>
        <w:pStyle w:val="Capoverso"/>
        <w:rPr>
          <w:spacing w:val="3"/>
        </w:rPr>
      </w:pPr>
      <w:r w:rsidRPr="008242F0">
        <w:rPr>
          <w:spacing w:val="3"/>
        </w:rPr>
        <w:t>2. al concessionario iniziale succeda, in via universale o particolare, a seguito di ristrutturazioni societarie, comprese rilevazioni, fusioni, acquisizione o insolvenza, un altro operatore economico che soddisfi i criteri di selezione qualitativa stabiliti inizialmente, purché ciò non implichi altre modifiche sostanziali al contratto e non sia finalizzato ad eludere l’applicazione del presente codice, fatta salva l’autorizzazione del concedente, ove richiesta sulla base della regolamentazione di settore;</w:t>
      </w:r>
    </w:p>
    <w:p w14:paraId="04BC6B9B" w14:textId="77777777" w:rsidR="00BE4380" w:rsidRPr="000317AD" w:rsidRDefault="00BE4380" w:rsidP="00BE4380">
      <w:pPr>
        <w:pStyle w:val="Capoverso"/>
      </w:pPr>
      <w:r w:rsidRPr="000317AD">
        <w:t>3</w:t>
      </w:r>
      <w:r>
        <w:t>.</w:t>
      </w:r>
      <w:r w:rsidRPr="000317AD">
        <w:t xml:space="preserve"> nel caso in cui la stazione appaltante si assuma gli obblighi del concessionario principale nei confronti dei suoi subappaltatori;</w:t>
      </w:r>
    </w:p>
    <w:p w14:paraId="4B78B9C1" w14:textId="77777777" w:rsidR="00BE4380" w:rsidRPr="000317AD" w:rsidRDefault="00BE4380" w:rsidP="00BE4380">
      <w:pPr>
        <w:pStyle w:val="Capoversorigabianca"/>
      </w:pPr>
      <w:r w:rsidRPr="000317AD">
        <w:t>Ed infine l’ipotesi di cui alla lett</w:t>
      </w:r>
      <w:r>
        <w:t>.</w:t>
      </w:r>
      <w:r w:rsidRPr="000317AD">
        <w:t xml:space="preserve"> e) riguarda le modifiche, a prescindere dal loro valore, se non sono sostanziali</w:t>
      </w:r>
      <w:r w:rsidRPr="000317AD">
        <w:rPr>
          <w:rFonts w:cs="Calibri"/>
          <w:vertAlign w:val="superscript"/>
        </w:rPr>
        <w:t> </w:t>
      </w:r>
      <w:r w:rsidRPr="000317AD">
        <w:rPr>
          <w:rFonts w:cs="Calibri"/>
          <w:vertAlign w:val="superscript"/>
        </w:rPr>
        <w:footnoteReference w:id="46"/>
      </w:r>
      <w:r w:rsidRPr="000317AD">
        <w:t xml:space="preserve"> ai sensi del comma 7</w:t>
      </w:r>
      <w:r w:rsidRPr="000317AD">
        <w:rPr>
          <w:rFonts w:cs="Calibri"/>
          <w:vertAlign w:val="superscript"/>
        </w:rPr>
        <w:t> </w:t>
      </w:r>
      <w:r w:rsidRPr="000317AD">
        <w:rPr>
          <w:rFonts w:cs="Calibri"/>
          <w:vertAlign w:val="superscript"/>
        </w:rPr>
        <w:footnoteReference w:id="47"/>
      </w:r>
      <w:r w:rsidRPr="000317AD">
        <w:t>.</w:t>
      </w:r>
    </w:p>
    <w:p w14:paraId="717AED8A" w14:textId="77777777" w:rsidR="00BE4380" w:rsidRPr="000317AD" w:rsidRDefault="00BE4380" w:rsidP="00BE4380">
      <w:pPr>
        <w:pStyle w:val="Capoverso"/>
      </w:pPr>
      <w:r w:rsidRPr="000317AD">
        <w:lastRenderedPageBreak/>
        <w:t>Il comma 2 precisa poi che nelle ipotesi di cui al comma 1, lett</w:t>
      </w:r>
      <w:r>
        <w:t>.</w:t>
      </w:r>
      <w:r w:rsidRPr="000317AD">
        <w:t xml:space="preserve"> a), b) e c), per le concessioni aggiudicate dalle amministrazioni aggiudicatrici allo scopo di svolgere un’attività diversa da quelle di cui all’allegato II l’eventuale aumento di valore, anche in presenza di modifiche successive, non può eccedere complessivamente il 50 per cento del valore della concessione iniziale, inteso come valore quale risultante a seguito dell’aggiudicazione delle opere o dei servizi o delle forniture oggetto di concessione. Le modifiche successive non sono intese ad aggirare il presente codice</w:t>
      </w:r>
      <w:r w:rsidRPr="000317AD">
        <w:rPr>
          <w:rFonts w:cs="Calibri"/>
          <w:vertAlign w:val="superscript"/>
        </w:rPr>
        <w:t> </w:t>
      </w:r>
      <w:r w:rsidRPr="000317AD">
        <w:rPr>
          <w:rFonts w:cs="Calibri"/>
          <w:vertAlign w:val="superscript"/>
        </w:rPr>
        <w:footnoteReference w:id="48"/>
      </w:r>
      <w:r w:rsidRPr="000317AD">
        <w:t>.</w:t>
      </w:r>
    </w:p>
    <w:p w14:paraId="13F7AB77" w14:textId="4C82A9E9" w:rsidR="00BE4380" w:rsidRPr="000317AD" w:rsidRDefault="00BE4380" w:rsidP="00BE4380">
      <w:pPr>
        <w:pStyle w:val="Capoverso"/>
      </w:pPr>
      <w:r w:rsidRPr="000317AD">
        <w:t>Un secondo ambito di possibile revisione dei contratti di concessione, qualora non ricorrano le ipotesi di modifica del contratto di cui all’art. 175, è disciplinato all’art</w:t>
      </w:r>
      <w:r>
        <w:t>.</w:t>
      </w:r>
      <w:r w:rsidRPr="000317AD">
        <w:t xml:space="preserve"> 165, comma 6 per le concessioni ed all’art</w:t>
      </w:r>
      <w:r>
        <w:t>.</w:t>
      </w:r>
      <w:r w:rsidRPr="000317AD">
        <w:t xml:space="preserve"> 182, comma 3 per i contratti di PPP che, come si è visto, prevedono tale revisione in relazione al verificarsi di fatti non riconducibili al concessionario che incidono sull’equilibrio economico – finanziario, riequilibrio che, diversamente dalla disciplina dell’art. 175 appena illustrata, non incontra limiti quantitativi. Tale ipotesi, sostitutiva del dettato del previgente art. 143, comma 8, d.lgs. </w:t>
      </w:r>
      <w:r w:rsidR="008242F0">
        <w:t xml:space="preserve">n. </w:t>
      </w:r>
      <w:r w:rsidRPr="000317AD">
        <w:t>163/2006, come si è visto è più ampia rispetto alla previgente normativa rispetto ai presupposti del riequilibrio, pur non citando più espressamente la facoltà di proroga quale rimedio allo squilibrio. Inoltre, la vigente normativa, rispetto al passato, si preoccupa di prescrivere esplicitamente l’esigenza di garantire, in fase di revisione, la permanenza dei rischi trasferiti in capo all’operatore economico e delle condizioni di equilibrio economico finanziario relative al contratto.</w:t>
      </w:r>
    </w:p>
    <w:p w14:paraId="1F79B01A" w14:textId="211C2EA2" w:rsidR="00BE4380" w:rsidRPr="000317AD" w:rsidRDefault="00BE4380" w:rsidP="00BE4380">
      <w:pPr>
        <w:pStyle w:val="Capoverso"/>
      </w:pPr>
      <w:r w:rsidRPr="000317AD">
        <w:t xml:space="preserve">Fuor di dubbio, comunque, pur in assenza di un’espressa previsione normativa, che in tutte le ipotesi in cui sia necessario porre rimedio all’alterazione dell’equilibrio economico-finanziario della concessione, è possibile per la stazione appaltante optare per la proroga del contratto quale strumento di riequilibrio, da solo o congiuntamente con altri rimedi quali un aumento delle tariffe a carico degli utenti o </w:t>
      </w:r>
      <w:r w:rsidR="008D32F3">
        <w:t>l’incremento del</w:t>
      </w:r>
      <w:r w:rsidRPr="000317AD">
        <w:t xml:space="preserve"> contributo pubblico.</w:t>
      </w:r>
    </w:p>
    <w:p w14:paraId="1A658DF2" w14:textId="77777777" w:rsidR="00BE4380" w:rsidRPr="000317AD" w:rsidRDefault="00BE4380" w:rsidP="00BE4380">
      <w:pPr>
        <w:pStyle w:val="Paragrafo"/>
      </w:pPr>
      <w:r w:rsidRPr="000317AD">
        <w:rPr>
          <w:i w:val="0"/>
          <w:iCs/>
        </w:rPr>
        <w:lastRenderedPageBreak/>
        <w:t xml:space="preserve">6. </w:t>
      </w:r>
      <w:r w:rsidRPr="000317AD">
        <w:t>Riflessioni conclusive</w:t>
      </w:r>
    </w:p>
    <w:p w14:paraId="45032EBE" w14:textId="77777777" w:rsidR="00BE4380" w:rsidRPr="000317AD" w:rsidRDefault="00BE4380" w:rsidP="00BE4380">
      <w:pPr>
        <w:pStyle w:val="Capoverso"/>
      </w:pPr>
      <w:r w:rsidRPr="000317AD">
        <w:t xml:space="preserve">L’avvento della nuova disciplina </w:t>
      </w:r>
      <w:proofErr w:type="spellStart"/>
      <w:r w:rsidRPr="000317AD">
        <w:t>eurounitaria</w:t>
      </w:r>
      <w:proofErr w:type="spellEnd"/>
      <w:r w:rsidRPr="000317AD">
        <w:t xml:space="preserve"> sulle concessioni, recepita dal nostro Codice dei Contratti Pubblici, in una con l’evoluzione registrata in materia anche mediante le pronunce dell’Anac e della giurisprudenza, ha reso particolarmente evidente l’eccessiva genericità e sintesi della disciplina delle revisioni delle concessioni autostradali, anche mediante proroga, contenuta nelle singole convenzioni risalenti al 2007.</w:t>
      </w:r>
    </w:p>
    <w:p w14:paraId="262500D9" w14:textId="77777777" w:rsidR="00BE4380" w:rsidRPr="000317AD" w:rsidRDefault="00BE4380" w:rsidP="00BE4380">
      <w:pPr>
        <w:pStyle w:val="Capoverso"/>
      </w:pPr>
      <w:r w:rsidRPr="000317AD">
        <w:t>Gli operatori del settore, quindi, sono spesso indotti a cercare ausilio interpretativo nella sopravvenuta normativa in materia di concessioni (parte terza del Codice vigente) che specifica adeguatamente sia i casi legittimanti modifiche al contratto che le ipotesi di riequilibrio, ciò che suggerisce di avviare una riflessione in ordine alla opportunità di rivisitazione delle convenzioni autostradali.</w:t>
      </w:r>
    </w:p>
    <w:p w14:paraId="749E45CB" w14:textId="77777777" w:rsidR="00BE4380" w:rsidRPr="000317AD" w:rsidRDefault="00BE4380" w:rsidP="00BE4380">
      <w:pPr>
        <w:pStyle w:val="Capoverso"/>
      </w:pPr>
      <w:r w:rsidRPr="000317AD">
        <w:t>D’altra parte,</w:t>
      </w:r>
      <w:r w:rsidRPr="000317AD">
        <w:rPr>
          <w:b/>
          <w:bCs/>
        </w:rPr>
        <w:t xml:space="preserve"> </w:t>
      </w:r>
      <w:r w:rsidRPr="000317AD">
        <w:t>un maggior dettaglio delle clausole convenzionali in materia di revisione consentirebbe di semplificare la gestione degli eventuali eventi patologici che possono portare al riequilibrio ed il relativo procedimento, in tal modo plausibilmente riducendo il possibile contenzioso tra i concessionari ed il concedente.</w:t>
      </w:r>
    </w:p>
    <w:p w14:paraId="03F85A4F" w14:textId="07D68DBA" w:rsidR="00E73A0D" w:rsidRDefault="00E73A0D" w:rsidP="00E73A0D">
      <w:pPr>
        <w:pStyle w:val="Titolodelcapitolo"/>
        <w:ind w:left="4254"/>
        <w:rPr>
          <w:caps w:val="0"/>
          <w:sz w:val="22"/>
          <w:szCs w:val="24"/>
        </w:rPr>
      </w:pPr>
      <w:r>
        <w:rPr>
          <w:caps w:val="0"/>
          <w:sz w:val="22"/>
          <w:szCs w:val="24"/>
        </w:rPr>
        <w:t xml:space="preserve">      </w:t>
      </w:r>
      <w:r w:rsidRPr="00E73A0D">
        <w:rPr>
          <w:caps w:val="0"/>
          <w:sz w:val="22"/>
          <w:szCs w:val="24"/>
        </w:rPr>
        <w:t xml:space="preserve">Avv. Prof. Claudio </w:t>
      </w:r>
      <w:proofErr w:type="spellStart"/>
      <w:r w:rsidRPr="00E73A0D">
        <w:rPr>
          <w:caps w:val="0"/>
          <w:sz w:val="22"/>
          <w:szCs w:val="24"/>
        </w:rPr>
        <w:t>Guccione</w:t>
      </w:r>
      <w:proofErr w:type="spellEnd"/>
    </w:p>
    <w:p w14:paraId="4D07CE71" w14:textId="33A451C7" w:rsidR="00E73A0D" w:rsidRPr="00E73A0D" w:rsidRDefault="00E73A0D" w:rsidP="00E73A0D">
      <w:pPr>
        <w:pStyle w:val="Titolodelcapitolo"/>
        <w:spacing w:before="0"/>
        <w:ind w:left="4253"/>
        <w:rPr>
          <w:caps w:val="0"/>
          <w:sz w:val="22"/>
          <w:szCs w:val="24"/>
        </w:rPr>
      </w:pPr>
      <w:r>
        <w:rPr>
          <w:caps w:val="0"/>
          <w:sz w:val="22"/>
          <w:szCs w:val="24"/>
        </w:rPr>
        <w:t xml:space="preserve">   </w:t>
      </w:r>
      <w:bookmarkStart w:id="12" w:name="_GoBack"/>
      <w:bookmarkEnd w:id="12"/>
      <w:r>
        <w:rPr>
          <w:caps w:val="0"/>
          <w:sz w:val="22"/>
          <w:szCs w:val="24"/>
        </w:rPr>
        <w:t>pubblicato 9 giugno 2023</w:t>
      </w:r>
    </w:p>
    <w:p w14:paraId="28F44B7C" w14:textId="77777777" w:rsidR="00E73A0D" w:rsidRPr="00E73A0D" w:rsidRDefault="00E73A0D" w:rsidP="00BD7DD3">
      <w:pPr>
        <w:pStyle w:val="Titolodelcapitolo"/>
        <w:rPr>
          <w:caps w:val="0"/>
          <w:sz w:val="22"/>
          <w:szCs w:val="24"/>
        </w:rPr>
      </w:pPr>
    </w:p>
    <w:p w14:paraId="47DA92BB" w14:textId="77777777" w:rsidR="00E73A0D" w:rsidRDefault="00E73A0D" w:rsidP="00BD7DD3">
      <w:pPr>
        <w:pStyle w:val="Titolodelcapitolo"/>
      </w:pPr>
    </w:p>
    <w:p w14:paraId="2CE47541" w14:textId="73B6D371" w:rsidR="00DF16BE" w:rsidRPr="000317AD" w:rsidRDefault="00BE4380" w:rsidP="00BD7DD3">
      <w:pPr>
        <w:pStyle w:val="Titolodelcapitolo"/>
      </w:pPr>
      <w:r w:rsidRPr="007F015C">
        <w:br w:type="page"/>
      </w:r>
      <w:r w:rsidR="00062E48">
        <w:rPr>
          <w:noProof/>
          <w:lang w:eastAsia="it-IT"/>
        </w:rPr>
        <w:lastRenderedPageBreak/>
        <mc:AlternateContent>
          <mc:Choice Requires="wps">
            <w:drawing>
              <wp:anchor distT="0" distB="0" distL="114300" distR="114300" simplePos="0" relativeHeight="251658240" behindDoc="0" locked="0" layoutInCell="1" allowOverlap="1" wp14:anchorId="09CC3ADA" wp14:editId="453E6A80">
                <wp:simplePos x="0" y="0"/>
                <wp:positionH relativeFrom="column">
                  <wp:posOffset>-97155</wp:posOffset>
                </wp:positionH>
                <wp:positionV relativeFrom="paragraph">
                  <wp:posOffset>-473075</wp:posOffset>
                </wp:positionV>
                <wp:extent cx="4794250" cy="387350"/>
                <wp:effectExtent l="11430" t="11430" r="13970" b="10795"/>
                <wp:wrapNone/>
                <wp:docPr id="11880456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4250" cy="38735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5AA7A4" id="Rectangle 2" o:spid="_x0000_s1026" style="position:absolute;margin-left:-7.65pt;margin-top:-37.25pt;width:377.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" fillcolor="white [3212]" strokecolor="white [3212]"/>
            </w:pict>
          </mc:Fallback>
        </mc:AlternateContent>
      </w:r>
      <w:r w:rsidR="00DF16BE" w:rsidRPr="000317AD">
        <w:t>Intervento</w:t>
      </w:r>
    </w:p>
    <w:p w14:paraId="537304E5" w14:textId="77777777" w:rsidR="00DF16BE" w:rsidRPr="00DB3C3F" w:rsidRDefault="00DF16BE" w:rsidP="00BD7DD3">
      <w:pPr>
        <w:pStyle w:val="Autore"/>
        <w:rPr>
          <w:rStyle w:val="Rimandonotaapidipagina"/>
        </w:rPr>
      </w:pPr>
      <w:r w:rsidRPr="000317AD">
        <w:rPr>
          <w:i w:val="0"/>
        </w:rPr>
        <w:t>di</w:t>
      </w:r>
      <w:r w:rsidRPr="000317AD">
        <w:t xml:space="preserve"> Sergio Santoro</w:t>
      </w:r>
    </w:p>
    <w:p w14:paraId="7E8FAD90" w14:textId="77777777" w:rsidR="00DF16BE" w:rsidRPr="000317AD" w:rsidRDefault="00DF16BE" w:rsidP="00BD7DD3">
      <w:pPr>
        <w:pStyle w:val="Capoverso"/>
      </w:pPr>
      <w:r w:rsidRPr="000317AD">
        <w:t xml:space="preserve">Caro Claudio grazie per la tua bellissima esposizione. </w:t>
      </w:r>
    </w:p>
    <w:p w14:paraId="69026E7D" w14:textId="77777777" w:rsidR="00DF16BE" w:rsidRPr="000317AD" w:rsidRDefault="00DF16BE" w:rsidP="00BD7DD3">
      <w:pPr>
        <w:pStyle w:val="Capoverso"/>
      </w:pPr>
      <w:r w:rsidRPr="000317AD">
        <w:t xml:space="preserve">Faccio soltanto una nota a margine, poi il Presidente Severini, quando farà le conclusioni, ne parlerà più approfonditamente. </w:t>
      </w:r>
    </w:p>
    <w:p w14:paraId="1D5590F2" w14:textId="77777777" w:rsidR="00DF16BE" w:rsidRPr="000317AD" w:rsidRDefault="00DF16BE" w:rsidP="00BD7DD3">
      <w:pPr>
        <w:pStyle w:val="Capoverso"/>
      </w:pPr>
      <w:r w:rsidRPr="000317AD">
        <w:t xml:space="preserve">Qui esiste un’ulteriore categoria di proroghe di cui non abbiamo parlato: le proroghe surrettizie, ossia quelle che sono obbligate dalla onerosità del subentro o da altre cause che alterano il quadro economico iniziale delle concessioni. </w:t>
      </w:r>
    </w:p>
    <w:p w14:paraId="5D18D045" w14:textId="7DF48DDC" w:rsidR="00C33520" w:rsidRPr="00897B49" w:rsidRDefault="00C33520" w:rsidP="00DF16BE">
      <w:pPr>
        <w:pStyle w:val="Capoverso"/>
      </w:pPr>
    </w:p>
    <w:sectPr w:rsidR="00C33520" w:rsidRPr="00897B49" w:rsidSect="00624250">
      <w:headerReference w:type="even" r:id="rId7"/>
      <w:headerReference w:type="default" r:id="rId8"/>
      <w:pgSz w:w="9639" w:h="13608" w:code="153"/>
      <w:pgMar w:top="1588" w:right="1191" w:bottom="1134" w:left="1191" w:header="1021" w:footer="0" w:gutter="0"/>
      <w:pgNumType w:start="20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9E74F" w14:textId="77777777" w:rsidR="002C20CA" w:rsidRDefault="002C20CA" w:rsidP="0094572A">
      <w:pPr>
        <w:spacing w:after="0" w:line="240" w:lineRule="auto"/>
      </w:pPr>
      <w:r>
        <w:separator/>
      </w:r>
    </w:p>
  </w:endnote>
  <w:endnote w:type="continuationSeparator" w:id="0">
    <w:p w14:paraId="4ACE4603" w14:textId="77777777" w:rsidR="002C20CA" w:rsidRDefault="002C20CA" w:rsidP="00945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oncini Garamond Std">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1134"/>
      </w:tblGrid>
      <w:tr w:rsidR="002C20CA" w14:paraId="4FDB9456" w14:textId="77777777" w:rsidTr="00A83791">
        <w:tc>
          <w:tcPr>
            <w:tcW w:w="1134" w:type="dxa"/>
          </w:tcPr>
          <w:p w14:paraId="1CCBC1EE" w14:textId="77777777" w:rsidR="002C20CA" w:rsidRPr="00573D96" w:rsidRDefault="002C20CA" w:rsidP="00E100D9">
            <w:pPr>
              <w:spacing w:after="0" w:line="160" w:lineRule="exact"/>
              <w:rPr>
                <w:sz w:val="16"/>
              </w:rPr>
            </w:pPr>
          </w:p>
        </w:tc>
      </w:tr>
    </w:tbl>
    <w:p w14:paraId="35D68F05" w14:textId="77777777" w:rsidR="002C20CA" w:rsidRDefault="002C20CA" w:rsidP="00E100D9">
      <w:pPr>
        <w:spacing w:after="0" w:line="100" w:lineRule="exact"/>
        <w:rPr>
          <w:sz w:val="10"/>
        </w:rPr>
      </w:pPr>
    </w:p>
  </w:footnote>
  <w:footnote w:type="continuationSeparator" w:id="0">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1134"/>
      </w:tblGrid>
      <w:tr w:rsidR="002C20CA" w14:paraId="3DF76EBA" w14:textId="77777777" w:rsidTr="00A83791">
        <w:tc>
          <w:tcPr>
            <w:tcW w:w="1134" w:type="dxa"/>
          </w:tcPr>
          <w:p w14:paraId="4F605706" w14:textId="77777777" w:rsidR="002C20CA" w:rsidRPr="00573D96" w:rsidRDefault="002C20CA" w:rsidP="00E100D9">
            <w:pPr>
              <w:spacing w:after="0" w:line="160" w:lineRule="exact"/>
              <w:rPr>
                <w:sz w:val="16"/>
              </w:rPr>
            </w:pPr>
          </w:p>
        </w:tc>
      </w:tr>
    </w:tbl>
    <w:p w14:paraId="585FB57A" w14:textId="77777777" w:rsidR="002C20CA" w:rsidRDefault="002C20CA" w:rsidP="00E100D9">
      <w:pPr>
        <w:spacing w:after="0" w:line="100" w:lineRule="exact"/>
        <w:rPr>
          <w:sz w:val="10"/>
        </w:rPr>
      </w:pPr>
    </w:p>
  </w:footnote>
  <w:footnote w:type="continuationNotice" w:id="1">
    <w:p w14:paraId="2E144C76" w14:textId="77777777" w:rsidR="002C20CA" w:rsidRPr="00E100D9" w:rsidRDefault="002C20CA">
      <w:pPr>
        <w:spacing w:after="0" w:line="240" w:lineRule="auto"/>
        <w:rPr>
          <w:rFonts w:ascii="Simoncini Garamond Std" w:hAnsi="Simoncini Garamond Std"/>
          <w:sz w:val="2"/>
          <w:szCs w:val="2"/>
        </w:rPr>
      </w:pPr>
    </w:p>
  </w:footnote>
  <w:footnote w:id="2">
    <w:p w14:paraId="4D148A5F" w14:textId="1DA021C6" w:rsidR="00BE4380" w:rsidRPr="00062E48" w:rsidRDefault="00BE4380" w:rsidP="00BE4380">
      <w:pPr>
        <w:pStyle w:val="Testonotaapidipagina"/>
      </w:pPr>
      <w:r w:rsidRPr="00062E48">
        <w:rPr>
          <w:rStyle w:val="Rimandonotaapidipagina"/>
          <w:vertAlign w:val="baseline"/>
        </w:rPr>
        <w:t>*</w:t>
      </w:r>
      <w:r w:rsidRPr="00062E48">
        <w:t xml:space="preserve"> </w:t>
      </w:r>
      <w:r w:rsidR="003D7B5A">
        <w:t xml:space="preserve">Il presente scritto </w:t>
      </w:r>
      <w:r w:rsidR="006A53E7">
        <w:t>deriva dalla relazione dell’</w:t>
      </w:r>
      <w:r w:rsidR="004A7688">
        <w:t>A</w:t>
      </w:r>
      <w:r w:rsidR="006A53E7">
        <w:t>utore al Convegno “L</w:t>
      </w:r>
      <w:r w:rsidR="00410FAE">
        <w:t>e autostrade – la linea diritta e le linee del diritto” svoltosi a Camogli il 20 e 21 maggio 2022</w:t>
      </w:r>
      <w:r w:rsidR="004A7688">
        <w:t>, i cui atti sono pubblicati nel volume, a cura di Daniele Granara, edito da Giappichelli</w:t>
      </w:r>
      <w:r w:rsidR="00265701">
        <w:t>. L’editore ha autorizzato la pubblicazione dello scritto su Questa Rivista.</w:t>
      </w:r>
    </w:p>
  </w:footnote>
  <w:footnote w:id="3">
    <w:p w14:paraId="280D3176" w14:textId="77777777" w:rsidR="00BE4380" w:rsidRPr="00C429B7"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Legge 18 novembre 1998, n. 415, recante </w:t>
      </w:r>
      <w:r w:rsidRPr="00C429B7">
        <w:rPr>
          <w:rFonts w:cs="Calibri"/>
          <w:szCs w:val="18"/>
        </w:rPr>
        <w:t>“</w:t>
      </w:r>
      <w:r w:rsidRPr="00164594">
        <w:rPr>
          <w:rFonts w:cs="Calibri"/>
          <w:i/>
          <w:iCs/>
          <w:szCs w:val="18"/>
        </w:rPr>
        <w:t>Modifiche alla legge 11 febbraio 1994</w:t>
      </w:r>
      <w:r w:rsidRPr="00685E1A">
        <w:rPr>
          <w:rFonts w:cs="Calibri"/>
          <w:szCs w:val="18"/>
        </w:rPr>
        <w:t>,</w:t>
      </w:r>
      <w:r w:rsidRPr="00164594">
        <w:rPr>
          <w:rFonts w:cs="Calibri"/>
          <w:i/>
          <w:iCs/>
          <w:szCs w:val="18"/>
        </w:rPr>
        <w:t xml:space="preserve"> n. 109</w:t>
      </w:r>
      <w:r w:rsidRPr="00685E1A">
        <w:rPr>
          <w:rFonts w:cs="Calibri"/>
          <w:szCs w:val="18"/>
        </w:rPr>
        <w:t>,</w:t>
      </w:r>
      <w:r w:rsidRPr="00164594">
        <w:rPr>
          <w:rFonts w:cs="Calibri"/>
          <w:i/>
          <w:iCs/>
          <w:szCs w:val="18"/>
        </w:rPr>
        <w:t xml:space="preserve"> e ulteriori disposizioni in materia di lavori pubblici</w:t>
      </w:r>
      <w:r w:rsidRPr="00C429B7">
        <w:rPr>
          <w:rFonts w:cs="Calibri"/>
          <w:szCs w:val="18"/>
        </w:rPr>
        <w:t>”.</w:t>
      </w:r>
    </w:p>
  </w:footnote>
  <w:footnote w:id="4">
    <w:p w14:paraId="1D2F3245"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Comma inserito dall’art. 3, comma 7, legge 18 novembre 1998, n. 415, come modificato dall’art. 7, comma 1, lett. l), n</w:t>
      </w:r>
      <w:r>
        <w:rPr>
          <w:rFonts w:cs="Calibri"/>
          <w:szCs w:val="18"/>
        </w:rPr>
        <w:t>.</w:t>
      </w:r>
      <w:r w:rsidRPr="00164594">
        <w:rPr>
          <w:rFonts w:cs="Calibri"/>
          <w:szCs w:val="18"/>
        </w:rPr>
        <w:t xml:space="preserve"> 4), </w:t>
      </w:r>
      <w:r>
        <w:rPr>
          <w:rFonts w:cs="Calibri"/>
          <w:szCs w:val="18"/>
        </w:rPr>
        <w:t>legge</w:t>
      </w:r>
      <w:r w:rsidRPr="00164594">
        <w:rPr>
          <w:rFonts w:cs="Calibri"/>
          <w:szCs w:val="18"/>
        </w:rPr>
        <w:t xml:space="preserve"> 1° agosto 2002, n. 166.</w:t>
      </w:r>
    </w:p>
  </w:footnote>
  <w:footnote w:id="5">
    <w:p w14:paraId="36A82F99"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Tra i commenti in dottrina si segnalano: C. </w:t>
      </w:r>
      <w:proofErr w:type="spellStart"/>
      <w:r w:rsidRPr="00164594">
        <w:rPr>
          <w:rFonts w:cs="Calibri"/>
          <w:szCs w:val="18"/>
        </w:rPr>
        <w:t>Vitocolonna</w:t>
      </w:r>
      <w:proofErr w:type="spellEnd"/>
      <w:r w:rsidRPr="00164594">
        <w:rPr>
          <w:rFonts w:cs="Calibri"/>
          <w:szCs w:val="18"/>
        </w:rPr>
        <w:t xml:space="preserve">, </w:t>
      </w:r>
      <w:r w:rsidRPr="00164594">
        <w:rPr>
          <w:rFonts w:cs="Calibri"/>
          <w:i/>
          <w:iCs/>
          <w:szCs w:val="18"/>
        </w:rPr>
        <w:t>Commento all’art. 165</w:t>
      </w:r>
      <w:r w:rsidRPr="00164594">
        <w:rPr>
          <w:rFonts w:cs="Calibri"/>
          <w:szCs w:val="18"/>
        </w:rPr>
        <w:t>, in R. Garofoli</w:t>
      </w:r>
      <w:r>
        <w:rPr>
          <w:rFonts w:cs="Calibri"/>
          <w:szCs w:val="18"/>
        </w:rPr>
        <w:t>-</w:t>
      </w:r>
      <w:r w:rsidRPr="00164594">
        <w:rPr>
          <w:rFonts w:cs="Calibri"/>
          <w:szCs w:val="18"/>
        </w:rPr>
        <w:t xml:space="preserve">G. Ferrari (a cura di), </w:t>
      </w:r>
      <w:r w:rsidRPr="00164594">
        <w:rPr>
          <w:rFonts w:cs="Calibri"/>
          <w:i/>
          <w:iCs/>
          <w:szCs w:val="18"/>
        </w:rPr>
        <w:t>Codice dei contratti pubblici</w:t>
      </w:r>
      <w:r w:rsidRPr="00164594">
        <w:rPr>
          <w:rFonts w:cs="Calibri"/>
          <w:szCs w:val="18"/>
        </w:rPr>
        <w:t xml:space="preserve">, </w:t>
      </w:r>
      <w:proofErr w:type="spellStart"/>
      <w:r w:rsidRPr="00164594">
        <w:rPr>
          <w:rFonts w:cs="Calibri"/>
          <w:szCs w:val="18"/>
        </w:rPr>
        <w:t>NelDiritto</w:t>
      </w:r>
      <w:proofErr w:type="spellEnd"/>
      <w:r w:rsidRPr="00164594">
        <w:rPr>
          <w:rFonts w:cs="Calibri"/>
          <w:szCs w:val="18"/>
        </w:rPr>
        <w:t xml:space="preserve"> Editore, Roma, 2017; M. Colombera, </w:t>
      </w:r>
      <w:r w:rsidRPr="00164594">
        <w:rPr>
          <w:rFonts w:cs="Calibri"/>
          <w:i/>
          <w:iCs/>
          <w:szCs w:val="18"/>
        </w:rPr>
        <w:t>Commento all’art. 165</w:t>
      </w:r>
      <w:r w:rsidRPr="00164594">
        <w:rPr>
          <w:rFonts w:cs="Calibri"/>
          <w:szCs w:val="18"/>
        </w:rPr>
        <w:t xml:space="preserve">, in L.R. Perfetti (a cura di), </w:t>
      </w:r>
      <w:r w:rsidRPr="00164594">
        <w:rPr>
          <w:rFonts w:cs="Calibri"/>
          <w:i/>
          <w:iCs/>
          <w:szCs w:val="18"/>
        </w:rPr>
        <w:t>Codice dei contratti pubblici commentato</w:t>
      </w:r>
      <w:r w:rsidRPr="00164594">
        <w:rPr>
          <w:rFonts w:cs="Calibri"/>
          <w:szCs w:val="18"/>
        </w:rPr>
        <w:t>, Ipsoa, Milano, 2017.</w:t>
      </w:r>
    </w:p>
  </w:footnote>
  <w:footnote w:id="6">
    <w:p w14:paraId="6D36D2B3"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Vedasi le Linee Guida NARS n. 1/2022 recanti </w:t>
      </w:r>
      <w:r w:rsidRPr="00C429B7">
        <w:rPr>
          <w:rFonts w:cs="Calibri"/>
          <w:szCs w:val="18"/>
        </w:rPr>
        <w:t>“</w:t>
      </w:r>
      <w:r w:rsidRPr="00164594">
        <w:rPr>
          <w:rFonts w:cs="Calibri"/>
          <w:i/>
          <w:iCs/>
          <w:szCs w:val="18"/>
        </w:rPr>
        <w:t xml:space="preserve">Linee Guida – Valutazione delle revisioni del PEF ex art. 165 comma 6 e 182 comma 3 del d.lgs. n. 50/2016 e </w:t>
      </w:r>
      <w:proofErr w:type="spellStart"/>
      <w:r w:rsidRPr="00164594">
        <w:rPr>
          <w:rFonts w:cs="Calibri"/>
          <w:i/>
          <w:iCs/>
          <w:szCs w:val="18"/>
        </w:rPr>
        <w:t>s.m.i.</w:t>
      </w:r>
      <w:proofErr w:type="spellEnd"/>
      <w:r w:rsidRPr="00093D0B">
        <w:rPr>
          <w:rFonts w:cs="Calibri"/>
          <w:szCs w:val="18"/>
        </w:rPr>
        <w:t>”.</w:t>
      </w:r>
    </w:p>
  </w:footnote>
  <w:footnote w:id="7">
    <w:p w14:paraId="6B3E2039" w14:textId="77777777" w:rsidR="00BE4380" w:rsidRPr="00624250" w:rsidRDefault="00BE4380" w:rsidP="00624250">
      <w:pPr>
        <w:pStyle w:val="Testonotaapidipagina"/>
        <w:rPr>
          <w:rFonts w:cs="Calibri"/>
          <w:spacing w:val="-1"/>
          <w:szCs w:val="18"/>
        </w:rPr>
      </w:pPr>
      <w:r w:rsidRPr="00624250">
        <w:rPr>
          <w:rFonts w:cs="Calibri"/>
          <w:spacing w:val="-1"/>
          <w:szCs w:val="18"/>
          <w:vertAlign w:val="superscript"/>
        </w:rPr>
        <w:footnoteRef/>
      </w:r>
      <w:r w:rsidRPr="00624250">
        <w:rPr>
          <w:rFonts w:cs="Calibri"/>
          <w:spacing w:val="-1"/>
          <w:szCs w:val="18"/>
          <w:vertAlign w:val="superscript"/>
        </w:rPr>
        <w:t> </w:t>
      </w:r>
      <w:r w:rsidRPr="00624250">
        <w:rPr>
          <w:rFonts w:cs="Calibri"/>
          <w:spacing w:val="-1"/>
          <w:szCs w:val="18"/>
        </w:rPr>
        <w:t>Linee Guida n. 9 – Monitoraggio delle amministrazioni aggiudicatrici sull’attività dell’opera</w:t>
      </w:r>
      <w:r w:rsidRPr="00624250">
        <w:rPr>
          <w:rFonts w:cs="Calibri"/>
          <w:spacing w:val="-1"/>
          <w:szCs w:val="18"/>
        </w:rPr>
        <w:softHyphen/>
        <w:t xml:space="preserve">tore economico nei contratti di partenariato pubblico privato, approvate dal Consiglio dell’Autorità con Delibera del 28 marzo 2018, n. 318, aggiornate da ultimo con Delibera del 27 luglio 2022 (testo provvisorio). Cfr. il parere del Consiglio di Stato, commissione speciale, 29 marzo 207, n. 775 sullo schema delle linee guida. In dottrina vedasi il commento di. I. Allegro-C. Guccione-L. Martiniello, </w:t>
      </w:r>
      <w:r w:rsidRPr="00624250">
        <w:rPr>
          <w:rFonts w:cs="Calibri"/>
          <w:i/>
          <w:iCs/>
          <w:spacing w:val="-1"/>
          <w:szCs w:val="18"/>
        </w:rPr>
        <w:t xml:space="preserve">Linee guida </w:t>
      </w:r>
      <w:proofErr w:type="spellStart"/>
      <w:r w:rsidRPr="00624250">
        <w:rPr>
          <w:rFonts w:cs="Calibri"/>
          <w:i/>
          <w:iCs/>
          <w:spacing w:val="-1"/>
          <w:szCs w:val="18"/>
        </w:rPr>
        <w:t>Ppp</w:t>
      </w:r>
      <w:proofErr w:type="spellEnd"/>
      <w:r w:rsidRPr="00624250">
        <w:rPr>
          <w:rFonts w:cs="Calibri"/>
          <w:spacing w:val="-1"/>
          <w:szCs w:val="18"/>
        </w:rPr>
        <w:t>,</w:t>
      </w:r>
      <w:r w:rsidRPr="00624250">
        <w:rPr>
          <w:rFonts w:cs="Calibri"/>
          <w:i/>
          <w:iCs/>
          <w:spacing w:val="-1"/>
          <w:szCs w:val="18"/>
        </w:rPr>
        <w:t xml:space="preserve"> con il Van pari a zero l’ANAC rischia di uccidere il partenariato pubblico-privato</w:t>
      </w:r>
      <w:r w:rsidRPr="00624250">
        <w:rPr>
          <w:rFonts w:cs="Calibri"/>
          <w:spacing w:val="-1"/>
          <w:szCs w:val="18"/>
        </w:rPr>
        <w:t xml:space="preserve">, in </w:t>
      </w:r>
      <w:r w:rsidRPr="00624250">
        <w:rPr>
          <w:rFonts w:cs="Calibri"/>
          <w:i/>
          <w:iCs/>
          <w:spacing w:val="-1"/>
          <w:szCs w:val="18"/>
        </w:rPr>
        <w:t>Edilizia e Territorio</w:t>
      </w:r>
      <w:r w:rsidRPr="00624250">
        <w:rPr>
          <w:rFonts w:cs="Calibri"/>
          <w:spacing w:val="-1"/>
          <w:szCs w:val="18"/>
        </w:rPr>
        <w:t xml:space="preserve">, 2018; G.F. </w:t>
      </w:r>
      <w:proofErr w:type="spellStart"/>
      <w:r w:rsidRPr="00624250">
        <w:rPr>
          <w:rFonts w:cs="Calibri"/>
          <w:spacing w:val="-1"/>
          <w:szCs w:val="18"/>
        </w:rPr>
        <w:t>Cartei</w:t>
      </w:r>
      <w:proofErr w:type="spellEnd"/>
      <w:r w:rsidRPr="00624250">
        <w:rPr>
          <w:rFonts w:cs="Calibri"/>
          <w:spacing w:val="-1"/>
          <w:szCs w:val="18"/>
        </w:rPr>
        <w:t xml:space="preserve">, </w:t>
      </w:r>
      <w:r w:rsidRPr="00624250">
        <w:rPr>
          <w:rFonts w:cs="Calibri"/>
          <w:i/>
          <w:iCs/>
          <w:spacing w:val="-1"/>
          <w:szCs w:val="18"/>
        </w:rPr>
        <w:t>Rischio e disciplina negoziale nei contratti di concessione e di partenariato pubblico-privato</w:t>
      </w:r>
      <w:r w:rsidRPr="00624250">
        <w:rPr>
          <w:rFonts w:cs="Calibri"/>
          <w:spacing w:val="-1"/>
          <w:szCs w:val="18"/>
        </w:rPr>
        <w:t xml:space="preserve">, in </w:t>
      </w:r>
      <w:r w:rsidRPr="00624250">
        <w:rPr>
          <w:rFonts w:cs="Calibri"/>
          <w:i/>
          <w:iCs/>
          <w:spacing w:val="-1"/>
          <w:szCs w:val="18"/>
        </w:rPr>
        <w:t xml:space="preserve">Riv. trim. dir. </w:t>
      </w:r>
      <w:proofErr w:type="spellStart"/>
      <w:r w:rsidRPr="00624250">
        <w:rPr>
          <w:rFonts w:cs="Calibri"/>
          <w:i/>
          <w:iCs/>
          <w:spacing w:val="-1"/>
          <w:szCs w:val="18"/>
        </w:rPr>
        <w:t>pubbl</w:t>
      </w:r>
      <w:proofErr w:type="spellEnd"/>
      <w:r w:rsidRPr="00624250">
        <w:rPr>
          <w:rFonts w:cs="Calibri"/>
          <w:i/>
          <w:iCs/>
          <w:spacing w:val="-1"/>
          <w:szCs w:val="18"/>
        </w:rPr>
        <w:t>.</w:t>
      </w:r>
      <w:r w:rsidRPr="00624250">
        <w:rPr>
          <w:rFonts w:cs="Calibri"/>
          <w:spacing w:val="-1"/>
          <w:szCs w:val="18"/>
        </w:rPr>
        <w:t>, 2/2018, 599 ss.</w:t>
      </w:r>
    </w:p>
  </w:footnote>
  <w:footnote w:id="8">
    <w:p w14:paraId="49672D02"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Cfr. par. 4.3 del Documento di Consultazione relativo alle Linee Guida n.</w:t>
      </w:r>
      <w:r>
        <w:rPr>
          <w:rFonts w:cs="Calibri"/>
          <w:szCs w:val="18"/>
        </w:rPr>
        <w:t xml:space="preserve"> </w:t>
      </w:r>
      <w:r w:rsidRPr="00164594">
        <w:rPr>
          <w:rFonts w:cs="Calibri"/>
          <w:szCs w:val="18"/>
        </w:rPr>
        <w:t>9/2018.</w:t>
      </w:r>
    </w:p>
  </w:footnote>
  <w:footnote w:id="9">
    <w:p w14:paraId="16367AC6"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Cfr. “Guida per la Redazione di un Contratto di Concessione per la progettazione, costruzione e gestione di opere pubbliche in partenariato pubblico privato” del 21 settembre 2018.</w:t>
      </w:r>
    </w:p>
  </w:footnote>
  <w:footnote w:id="10">
    <w:p w14:paraId="4310B7A0"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Cfr. Tribunale di Lanciano, 21 agosto 2018, n. 299.</w:t>
      </w:r>
    </w:p>
  </w:footnote>
  <w:footnote w:id="11">
    <w:p w14:paraId="736149B7"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Cfr. T.A.R. Lombardia (Milano), sez. III, 16 dicembre 2011, n. 3200. Al riguardo, in dottrina si è chiarito che il contratto di concessione deve individuare i presupposti e le condizioni di base che determinano l’equilibrio economico e finanziario le cui variazioni, qualora non imputabili al concessionario, danno sempre titolo allo stesso di pretendere la revisione del relativo piano (cfr. F. </w:t>
      </w:r>
      <w:proofErr w:type="spellStart"/>
      <w:r w:rsidRPr="00164594">
        <w:rPr>
          <w:rFonts w:cs="Calibri"/>
          <w:szCs w:val="18"/>
        </w:rPr>
        <w:t>Mastragostino</w:t>
      </w:r>
      <w:proofErr w:type="spellEnd"/>
      <w:r w:rsidRPr="00164594">
        <w:rPr>
          <w:rFonts w:cs="Calibri"/>
          <w:szCs w:val="18"/>
        </w:rPr>
        <w:t xml:space="preserve">, </w:t>
      </w:r>
      <w:r w:rsidRPr="00164594">
        <w:rPr>
          <w:rFonts w:cs="Calibri"/>
          <w:i/>
          <w:iCs/>
          <w:szCs w:val="18"/>
        </w:rPr>
        <w:t>Diritto dei Contratti Pubblici</w:t>
      </w:r>
      <w:r w:rsidRPr="00164594">
        <w:rPr>
          <w:rFonts w:cs="Calibri"/>
          <w:szCs w:val="18"/>
        </w:rPr>
        <w:t xml:space="preserve">, </w:t>
      </w:r>
      <w:proofErr w:type="spellStart"/>
      <w:r w:rsidRPr="00164594">
        <w:rPr>
          <w:rFonts w:cs="Calibri"/>
          <w:szCs w:val="18"/>
        </w:rPr>
        <w:t>Giappichelli</w:t>
      </w:r>
      <w:proofErr w:type="spellEnd"/>
      <w:r w:rsidRPr="00164594">
        <w:rPr>
          <w:rFonts w:cs="Calibri"/>
          <w:szCs w:val="18"/>
        </w:rPr>
        <w:t xml:space="preserve">, 263; </w:t>
      </w:r>
      <w:proofErr w:type="spellStart"/>
      <w:r w:rsidRPr="00164594">
        <w:rPr>
          <w:rFonts w:cs="Calibri"/>
          <w:szCs w:val="18"/>
        </w:rPr>
        <w:t>vd</w:t>
      </w:r>
      <w:proofErr w:type="spellEnd"/>
      <w:r w:rsidRPr="00164594">
        <w:rPr>
          <w:rFonts w:cs="Calibri"/>
          <w:szCs w:val="18"/>
        </w:rPr>
        <w:t xml:space="preserve">. anche, G.F. </w:t>
      </w:r>
      <w:proofErr w:type="spellStart"/>
      <w:r w:rsidRPr="00164594">
        <w:rPr>
          <w:rFonts w:cs="Calibri"/>
          <w:szCs w:val="18"/>
        </w:rPr>
        <w:t>Cartei</w:t>
      </w:r>
      <w:proofErr w:type="spellEnd"/>
      <w:r w:rsidRPr="00164594">
        <w:rPr>
          <w:rFonts w:cs="Calibri"/>
          <w:szCs w:val="18"/>
        </w:rPr>
        <w:t xml:space="preserve">, </w:t>
      </w:r>
      <w:r w:rsidRPr="00164594">
        <w:rPr>
          <w:rFonts w:cs="Calibri"/>
          <w:i/>
          <w:iCs/>
          <w:szCs w:val="18"/>
        </w:rPr>
        <w:t>Il principio di equilibrio economico – finanziario e la disciplina del contratto di concessione</w:t>
      </w:r>
      <w:r w:rsidRPr="00164594">
        <w:rPr>
          <w:rFonts w:cs="Calibri"/>
          <w:szCs w:val="18"/>
        </w:rPr>
        <w:t xml:space="preserve">, in </w:t>
      </w:r>
      <w:r w:rsidRPr="00164594">
        <w:rPr>
          <w:rFonts w:cs="Calibri"/>
          <w:i/>
          <w:iCs/>
          <w:szCs w:val="18"/>
        </w:rPr>
        <w:t>Urbanistica e Appalti</w:t>
      </w:r>
      <w:r w:rsidRPr="00164594">
        <w:rPr>
          <w:rFonts w:cs="Calibri"/>
          <w:szCs w:val="18"/>
        </w:rPr>
        <w:t>, n. 2/2012, p. 136).</w:t>
      </w:r>
    </w:p>
  </w:footnote>
  <w:footnote w:id="12">
    <w:p w14:paraId="7655F474"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Cfr. A. Falzea</w:t>
      </w:r>
      <w:r>
        <w:rPr>
          <w:rFonts w:cs="Calibri"/>
          <w:szCs w:val="18"/>
        </w:rPr>
        <w:t>-</w:t>
      </w:r>
      <w:r w:rsidRPr="00164594">
        <w:rPr>
          <w:rFonts w:cs="Calibri"/>
          <w:szCs w:val="18"/>
        </w:rPr>
        <w:t>P. Grossi</w:t>
      </w:r>
      <w:r>
        <w:rPr>
          <w:rFonts w:cs="Calibri"/>
          <w:szCs w:val="18"/>
        </w:rPr>
        <w:t>-</w:t>
      </w:r>
      <w:r w:rsidRPr="00164594">
        <w:rPr>
          <w:rFonts w:cs="Calibri"/>
          <w:szCs w:val="18"/>
        </w:rPr>
        <w:t>E. Cheli</w:t>
      </w:r>
      <w:r>
        <w:rPr>
          <w:rFonts w:cs="Calibri"/>
          <w:szCs w:val="18"/>
        </w:rPr>
        <w:t>-</w:t>
      </w:r>
      <w:r w:rsidRPr="00164594">
        <w:rPr>
          <w:rFonts w:cs="Calibri"/>
          <w:szCs w:val="18"/>
        </w:rPr>
        <w:t xml:space="preserve">R. Costi (a cura di), </w:t>
      </w:r>
      <w:r w:rsidRPr="00164594">
        <w:rPr>
          <w:rFonts w:cs="Calibri"/>
          <w:i/>
          <w:iCs/>
          <w:szCs w:val="18"/>
        </w:rPr>
        <w:t>Enciclopedia del Diritto</w:t>
      </w:r>
      <w:r w:rsidRPr="00164594">
        <w:rPr>
          <w:rFonts w:cs="Calibri"/>
          <w:szCs w:val="18"/>
        </w:rPr>
        <w:t>, Giuffrè, Milano, 2008.</w:t>
      </w:r>
    </w:p>
  </w:footnote>
  <w:footnote w:id="13">
    <w:p w14:paraId="5A8FF376" w14:textId="77777777" w:rsidR="00BE4380" w:rsidRPr="00164594" w:rsidRDefault="00BE4380" w:rsidP="00624250">
      <w:pPr>
        <w:pStyle w:val="Testonotaapidipagina"/>
        <w:widowControl w:val="0"/>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Cfr. S. </w:t>
      </w:r>
      <w:proofErr w:type="spellStart"/>
      <w:r w:rsidRPr="00164594">
        <w:rPr>
          <w:rFonts w:cs="Calibri"/>
          <w:szCs w:val="18"/>
        </w:rPr>
        <w:t>Castenasi</w:t>
      </w:r>
      <w:proofErr w:type="spellEnd"/>
      <w:r w:rsidRPr="00164594">
        <w:rPr>
          <w:rFonts w:cs="Calibri"/>
          <w:szCs w:val="18"/>
        </w:rPr>
        <w:t xml:space="preserve">, </w:t>
      </w:r>
      <w:r w:rsidRPr="00164594">
        <w:rPr>
          <w:rFonts w:cs="Calibri"/>
          <w:i/>
          <w:iCs/>
          <w:szCs w:val="18"/>
        </w:rPr>
        <w:t>La finanza di progetto tra interesse pubblico e interessi privati</w:t>
      </w:r>
      <w:r w:rsidRPr="00164594">
        <w:rPr>
          <w:rFonts w:cs="Calibri"/>
          <w:szCs w:val="18"/>
        </w:rPr>
        <w:t>, Firenze University Press, 2008.</w:t>
      </w:r>
    </w:p>
  </w:footnote>
  <w:footnote w:id="14">
    <w:p w14:paraId="5F7BD04E" w14:textId="77777777" w:rsidR="00BE4380" w:rsidRPr="00164594" w:rsidRDefault="00BE4380" w:rsidP="00276592">
      <w:pPr>
        <w:pStyle w:val="Testonotaapidipagina"/>
        <w:spacing w:line="203"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Cfr. C. </w:t>
      </w:r>
      <w:proofErr w:type="spellStart"/>
      <w:r w:rsidRPr="00164594">
        <w:rPr>
          <w:rFonts w:cs="Calibri"/>
          <w:szCs w:val="18"/>
        </w:rPr>
        <w:t>Serraiotto</w:t>
      </w:r>
      <w:proofErr w:type="spellEnd"/>
      <w:r w:rsidRPr="00164594">
        <w:rPr>
          <w:rFonts w:cs="Calibri"/>
          <w:szCs w:val="18"/>
        </w:rPr>
        <w:t xml:space="preserve">, </w:t>
      </w:r>
      <w:r w:rsidRPr="00164594">
        <w:rPr>
          <w:rFonts w:cs="Calibri"/>
          <w:i/>
          <w:iCs/>
          <w:szCs w:val="18"/>
        </w:rPr>
        <w:t>L’obbligo di rinegoziare il contratto divenuto squilibrato: l’influenza della buona fede</w:t>
      </w:r>
      <w:r w:rsidRPr="00685E1A">
        <w:rPr>
          <w:rFonts w:cs="Calibri"/>
          <w:szCs w:val="18"/>
        </w:rPr>
        <w:t>,</w:t>
      </w:r>
      <w:r w:rsidRPr="00164594">
        <w:rPr>
          <w:rFonts w:cs="Calibri"/>
          <w:i/>
          <w:iCs/>
          <w:szCs w:val="18"/>
        </w:rPr>
        <w:t xml:space="preserve"> dell’art. 2 Cost. Italiana e del Diritto dell’Unione Europea</w:t>
      </w:r>
      <w:r w:rsidRPr="00685E1A">
        <w:rPr>
          <w:rFonts w:cs="Calibri"/>
          <w:szCs w:val="18"/>
        </w:rPr>
        <w:t>,</w:t>
      </w:r>
      <w:r w:rsidRPr="00164594">
        <w:rPr>
          <w:rFonts w:cs="Calibri"/>
          <w:i/>
          <w:iCs/>
          <w:szCs w:val="18"/>
        </w:rPr>
        <w:t xml:space="preserve"> analisi e recenti ipotesi applicative</w:t>
      </w:r>
      <w:r w:rsidRPr="00164594">
        <w:rPr>
          <w:rFonts w:cs="Calibri"/>
          <w:szCs w:val="18"/>
        </w:rPr>
        <w:t xml:space="preserve">, </w:t>
      </w:r>
      <w:proofErr w:type="spellStart"/>
      <w:r w:rsidRPr="00164594">
        <w:rPr>
          <w:rFonts w:cs="Calibri"/>
          <w:szCs w:val="18"/>
        </w:rPr>
        <w:t>Lex</w:t>
      </w:r>
      <w:proofErr w:type="spellEnd"/>
      <w:r w:rsidRPr="00164594">
        <w:rPr>
          <w:rFonts w:cs="Calibri"/>
          <w:szCs w:val="18"/>
        </w:rPr>
        <w:t xml:space="preserve"> Social, Vol. 7, n. 1, 2017.</w:t>
      </w:r>
    </w:p>
  </w:footnote>
  <w:footnote w:id="15">
    <w:p w14:paraId="2BF32365" w14:textId="77777777" w:rsidR="00BE4380" w:rsidRPr="00164594" w:rsidRDefault="00BE4380" w:rsidP="00276592">
      <w:pPr>
        <w:pStyle w:val="Testonotaapidipagina"/>
        <w:spacing w:line="203"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Al riguardo, la Suprema Corte di Cassazione nella Relazione tematica dell’8 luglio 2020, n. 56 ha puntualizzato che </w:t>
      </w:r>
      <w:r w:rsidRPr="00C77B4C">
        <w:rPr>
          <w:rFonts w:cs="Calibri"/>
          <w:szCs w:val="18"/>
        </w:rPr>
        <w:t>“</w:t>
      </w:r>
      <w:r w:rsidRPr="00164594">
        <w:rPr>
          <w:rFonts w:cs="Calibri"/>
          <w:i/>
          <w:iCs/>
          <w:szCs w:val="18"/>
        </w:rPr>
        <w:t>Qualora il sinallagma contrattuale sia stravolto dalla pandemia e la parte avvantaggiata disattenda gli obblighi di protezione nei confronti dell’altra</w:t>
      </w:r>
      <w:r w:rsidRPr="00685E1A">
        <w:rPr>
          <w:rFonts w:cs="Calibri"/>
          <w:szCs w:val="18"/>
        </w:rPr>
        <w:t>,</w:t>
      </w:r>
      <w:r w:rsidRPr="00164594">
        <w:rPr>
          <w:rFonts w:cs="Calibri"/>
          <w:i/>
          <w:iCs/>
          <w:szCs w:val="18"/>
        </w:rPr>
        <w:t xml:space="preserve"> limitare la tutela di quest’ultima alla risoluzione e al risarcimento del danno significherebbe demolire il rapporto contrattuale</w:t>
      </w:r>
      <w:r w:rsidRPr="00685E1A">
        <w:rPr>
          <w:rFonts w:cs="Calibri"/>
          <w:szCs w:val="18"/>
        </w:rPr>
        <w:t>,</w:t>
      </w:r>
      <w:r w:rsidRPr="00164594">
        <w:rPr>
          <w:rFonts w:cs="Calibri"/>
          <w:i/>
          <w:iCs/>
          <w:szCs w:val="18"/>
        </w:rPr>
        <w:t xml:space="preserve"> incanalandolo in quell’imbuto esiziale che la clausola di buona fede e la rinegoziazione dovrebbero valere a scongiurare</w:t>
      </w:r>
      <w:r w:rsidRPr="00C77B4C">
        <w:rPr>
          <w:rFonts w:cs="Calibri"/>
          <w:szCs w:val="18"/>
        </w:rPr>
        <w:t xml:space="preserve">”. </w:t>
      </w:r>
      <w:r w:rsidRPr="00164594">
        <w:rPr>
          <w:rFonts w:cs="Calibri"/>
          <w:szCs w:val="18"/>
        </w:rPr>
        <w:t xml:space="preserve">Sul punto, </w:t>
      </w:r>
      <w:proofErr w:type="spellStart"/>
      <w:r w:rsidRPr="00164594">
        <w:rPr>
          <w:rFonts w:cs="Calibri"/>
          <w:szCs w:val="18"/>
        </w:rPr>
        <w:t>vd</w:t>
      </w:r>
      <w:proofErr w:type="spellEnd"/>
      <w:r w:rsidRPr="00164594">
        <w:rPr>
          <w:rFonts w:cs="Calibri"/>
          <w:szCs w:val="18"/>
        </w:rPr>
        <w:t xml:space="preserve">. F. Galgano, </w:t>
      </w:r>
      <w:r w:rsidRPr="00164594">
        <w:rPr>
          <w:rFonts w:cs="Calibri"/>
          <w:i/>
          <w:iCs/>
          <w:szCs w:val="18"/>
        </w:rPr>
        <w:t>Libertà contrattuale e giustizia del contratto</w:t>
      </w:r>
      <w:r w:rsidRPr="00164594">
        <w:rPr>
          <w:rFonts w:cs="Calibri"/>
          <w:szCs w:val="18"/>
        </w:rPr>
        <w:t xml:space="preserve">, in </w:t>
      </w:r>
      <w:r w:rsidRPr="00164594">
        <w:rPr>
          <w:rFonts w:cs="Calibri"/>
          <w:i/>
          <w:iCs/>
          <w:szCs w:val="18"/>
        </w:rPr>
        <w:t xml:space="preserve">Contr. e </w:t>
      </w:r>
      <w:proofErr w:type="spellStart"/>
      <w:proofErr w:type="gramStart"/>
      <w:r w:rsidRPr="00164594">
        <w:rPr>
          <w:rFonts w:cs="Calibri"/>
          <w:i/>
          <w:iCs/>
          <w:szCs w:val="18"/>
        </w:rPr>
        <w:t>impr</w:t>
      </w:r>
      <w:proofErr w:type="spellEnd"/>
      <w:r w:rsidRPr="00164594">
        <w:rPr>
          <w:rFonts w:cs="Calibri"/>
          <w:i/>
          <w:iCs/>
          <w:szCs w:val="18"/>
        </w:rPr>
        <w:t>./</w:t>
      </w:r>
      <w:proofErr w:type="gramEnd"/>
      <w:r w:rsidRPr="00164594">
        <w:rPr>
          <w:rFonts w:cs="Calibri"/>
          <w:i/>
          <w:iCs/>
          <w:szCs w:val="18"/>
        </w:rPr>
        <w:t>Europa</w:t>
      </w:r>
      <w:r w:rsidRPr="00164594">
        <w:rPr>
          <w:rFonts w:cs="Calibri"/>
          <w:szCs w:val="18"/>
        </w:rPr>
        <w:t xml:space="preserve">, 2005, 509 ss.; V. Roppo, </w:t>
      </w:r>
      <w:r w:rsidRPr="00164594">
        <w:rPr>
          <w:rFonts w:cs="Calibri"/>
          <w:i/>
          <w:iCs/>
          <w:szCs w:val="18"/>
        </w:rPr>
        <w:t>Giustizia contrattuale e libertà economiche: verso una revisione della teoria del contratto?</w:t>
      </w:r>
      <w:r w:rsidRPr="00685E1A">
        <w:rPr>
          <w:rFonts w:cs="Calibri"/>
          <w:szCs w:val="18"/>
        </w:rPr>
        <w:t>,</w:t>
      </w:r>
      <w:r w:rsidRPr="00164594">
        <w:rPr>
          <w:rFonts w:cs="Calibri"/>
          <w:szCs w:val="18"/>
        </w:rPr>
        <w:t xml:space="preserve"> in </w:t>
      </w:r>
      <w:r w:rsidRPr="00164594">
        <w:rPr>
          <w:rFonts w:cs="Calibri"/>
          <w:i/>
          <w:iCs/>
          <w:szCs w:val="18"/>
        </w:rPr>
        <w:t>Politica dir.</w:t>
      </w:r>
      <w:r w:rsidRPr="00164594">
        <w:rPr>
          <w:rFonts w:cs="Calibri"/>
          <w:szCs w:val="18"/>
        </w:rPr>
        <w:t>, 2007, 451 ss.</w:t>
      </w:r>
    </w:p>
  </w:footnote>
  <w:footnote w:id="16">
    <w:p w14:paraId="29A1921D" w14:textId="77777777" w:rsidR="00BE4380" w:rsidRPr="00164594" w:rsidRDefault="00BE4380" w:rsidP="00276592">
      <w:pPr>
        <w:pStyle w:val="Testonotaapidipagina"/>
        <w:widowControl w:val="0"/>
        <w:spacing w:line="203"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Per un quadro completo della normativa in materia di concessioni autostradali sia consentito rinviare a C. Guccione</w:t>
      </w:r>
      <w:r w:rsidRPr="00685E1A">
        <w:rPr>
          <w:rFonts w:cs="Calibri"/>
          <w:szCs w:val="18"/>
        </w:rPr>
        <w:t>,</w:t>
      </w:r>
      <w:r w:rsidRPr="00164594">
        <w:rPr>
          <w:rFonts w:cs="Calibri"/>
          <w:i/>
          <w:iCs/>
          <w:szCs w:val="18"/>
        </w:rPr>
        <w:t xml:space="preserve"> Il Codice delle Autostrade</w:t>
      </w:r>
      <w:r w:rsidRPr="00164594">
        <w:rPr>
          <w:rFonts w:cs="Calibri"/>
          <w:szCs w:val="18"/>
        </w:rPr>
        <w:t>, La Fiaccolo, Milano, 2015.</w:t>
      </w:r>
    </w:p>
  </w:footnote>
  <w:footnote w:id="17">
    <w:p w14:paraId="366F33C2" w14:textId="77777777" w:rsidR="00BE4380" w:rsidRPr="00164594" w:rsidRDefault="00BE4380" w:rsidP="00BE4380">
      <w:pPr>
        <w:pStyle w:val="Testonotaapidipagina"/>
        <w:spacing w:line="210"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Art. 11, comma 1, legge 23 dicembre 1992, n. 498: </w:t>
      </w:r>
      <w:r w:rsidRPr="001E210E">
        <w:rPr>
          <w:rFonts w:cs="Calibri"/>
          <w:szCs w:val="18"/>
        </w:rPr>
        <w:t>“</w:t>
      </w:r>
      <w:r w:rsidRPr="00164594">
        <w:rPr>
          <w:rFonts w:cs="Calibri"/>
          <w:i/>
          <w:iCs/>
          <w:szCs w:val="18"/>
        </w:rPr>
        <w:t>1. Il Comitato interministeriale per la programmazione economica (CIPE)</w:t>
      </w:r>
      <w:r w:rsidRPr="00685E1A">
        <w:rPr>
          <w:rFonts w:cs="Calibri"/>
          <w:szCs w:val="18"/>
        </w:rPr>
        <w:t>,</w:t>
      </w:r>
      <w:r w:rsidRPr="00164594">
        <w:rPr>
          <w:rFonts w:cs="Calibri"/>
          <w:i/>
          <w:iCs/>
          <w:szCs w:val="18"/>
        </w:rPr>
        <w:t xml:space="preserve"> su proposta del Ministro dei lavori pubblici</w:t>
      </w:r>
      <w:r w:rsidRPr="00685E1A">
        <w:rPr>
          <w:rFonts w:cs="Calibri"/>
          <w:szCs w:val="18"/>
        </w:rPr>
        <w:t>,</w:t>
      </w:r>
      <w:r w:rsidRPr="00164594">
        <w:rPr>
          <w:rFonts w:cs="Calibri"/>
          <w:i/>
          <w:iCs/>
          <w:szCs w:val="18"/>
        </w:rPr>
        <w:t xml:space="preserve"> di concerto con il Ministro del tesoro e con il Ministro del bilancio e della programmazione economica</w:t>
      </w:r>
      <w:r w:rsidRPr="00685E1A">
        <w:rPr>
          <w:rFonts w:cs="Calibri"/>
          <w:szCs w:val="18"/>
        </w:rPr>
        <w:t>,</w:t>
      </w:r>
      <w:r w:rsidRPr="00164594">
        <w:rPr>
          <w:rFonts w:cs="Calibri"/>
          <w:i/>
          <w:iCs/>
          <w:szCs w:val="18"/>
        </w:rPr>
        <w:t xml:space="preserve"> emana direttive per la concessione della garanzia dello Stato di cui all’articolo 3 della legge 24 luglio 1961</w:t>
      </w:r>
      <w:r w:rsidRPr="00685E1A">
        <w:rPr>
          <w:rFonts w:cs="Calibri"/>
          <w:szCs w:val="18"/>
        </w:rPr>
        <w:t>,</w:t>
      </w:r>
      <w:r w:rsidRPr="00164594">
        <w:rPr>
          <w:rFonts w:cs="Calibri"/>
          <w:i/>
          <w:iCs/>
          <w:szCs w:val="18"/>
        </w:rPr>
        <w:t xml:space="preserve"> n. 729</w:t>
      </w:r>
      <w:r w:rsidRPr="00685E1A">
        <w:rPr>
          <w:rFonts w:cs="Calibri"/>
          <w:szCs w:val="18"/>
        </w:rPr>
        <w:t>,</w:t>
      </w:r>
      <w:r w:rsidRPr="00164594">
        <w:rPr>
          <w:rFonts w:cs="Calibri"/>
          <w:i/>
          <w:iCs/>
          <w:szCs w:val="18"/>
        </w:rPr>
        <w:t xml:space="preserve"> come da ultimo sostituito dall’articolo 9 della legge 28 aprile 1971</w:t>
      </w:r>
      <w:r w:rsidRPr="00685E1A">
        <w:rPr>
          <w:rFonts w:cs="Calibri"/>
          <w:szCs w:val="18"/>
        </w:rPr>
        <w:t>,</w:t>
      </w:r>
      <w:r w:rsidRPr="00164594">
        <w:rPr>
          <w:rFonts w:cs="Calibri"/>
          <w:i/>
          <w:iCs/>
          <w:szCs w:val="18"/>
        </w:rPr>
        <w:t xml:space="preserve"> n. 287</w:t>
      </w:r>
      <w:r w:rsidRPr="00685E1A">
        <w:rPr>
          <w:rFonts w:cs="Calibri"/>
          <w:szCs w:val="18"/>
        </w:rPr>
        <w:t>,</w:t>
      </w:r>
      <w:r w:rsidRPr="00164594">
        <w:rPr>
          <w:rFonts w:cs="Calibri"/>
          <w:i/>
          <w:iCs/>
          <w:szCs w:val="18"/>
        </w:rPr>
        <w:t xml:space="preserve"> per la revisione delle convenzioni e degli atti aggiuntivi che disciplinano le concessioni autostradali</w:t>
      </w:r>
      <w:r w:rsidRPr="00685E1A">
        <w:rPr>
          <w:rFonts w:cs="Calibri"/>
          <w:szCs w:val="18"/>
        </w:rPr>
        <w:t>,</w:t>
      </w:r>
      <w:r w:rsidRPr="00164594">
        <w:rPr>
          <w:rFonts w:cs="Calibri"/>
          <w:i/>
          <w:iCs/>
          <w:szCs w:val="18"/>
        </w:rPr>
        <w:t xml:space="preserve"> nonché per la revisione</w:t>
      </w:r>
      <w:r w:rsidRPr="00685E1A">
        <w:rPr>
          <w:rFonts w:cs="Calibri"/>
          <w:szCs w:val="18"/>
        </w:rPr>
        <w:t>,</w:t>
      </w:r>
      <w:r w:rsidRPr="00164594">
        <w:rPr>
          <w:rFonts w:cs="Calibri"/>
          <w:i/>
          <w:iCs/>
          <w:szCs w:val="18"/>
        </w:rPr>
        <w:t xml:space="preserve"> a partire dall’anno 1994</w:t>
      </w:r>
      <w:r w:rsidRPr="00685E1A">
        <w:rPr>
          <w:rFonts w:cs="Calibri"/>
          <w:szCs w:val="18"/>
        </w:rPr>
        <w:t>,</w:t>
      </w:r>
      <w:r w:rsidRPr="00164594">
        <w:rPr>
          <w:rFonts w:cs="Calibri"/>
          <w:i/>
          <w:iCs/>
          <w:szCs w:val="18"/>
        </w:rPr>
        <w:t xml:space="preserve"> delle tariffe autostradali</w:t>
      </w:r>
      <w:r w:rsidRPr="00685E1A">
        <w:rPr>
          <w:rFonts w:cs="Calibri"/>
          <w:szCs w:val="18"/>
        </w:rPr>
        <w:t>,</w:t>
      </w:r>
      <w:r w:rsidRPr="00164594">
        <w:rPr>
          <w:rFonts w:cs="Calibri"/>
          <w:i/>
          <w:iCs/>
          <w:szCs w:val="18"/>
        </w:rPr>
        <w:t xml:space="preserve"> tenuto conto dei piani finanziari</w:t>
      </w:r>
      <w:r w:rsidRPr="00685E1A">
        <w:rPr>
          <w:rFonts w:cs="Calibri"/>
          <w:szCs w:val="18"/>
        </w:rPr>
        <w:t>,</w:t>
      </w:r>
      <w:r w:rsidRPr="00164594">
        <w:rPr>
          <w:rFonts w:cs="Calibri"/>
          <w:i/>
          <w:iCs/>
          <w:szCs w:val="18"/>
        </w:rPr>
        <w:t xml:space="preserve"> delle variazioni del costo della vita</w:t>
      </w:r>
      <w:r w:rsidRPr="00685E1A">
        <w:rPr>
          <w:rFonts w:cs="Calibri"/>
          <w:szCs w:val="18"/>
        </w:rPr>
        <w:t>,</w:t>
      </w:r>
      <w:r w:rsidRPr="00164594">
        <w:rPr>
          <w:rFonts w:cs="Calibri"/>
          <w:i/>
          <w:iCs/>
          <w:szCs w:val="18"/>
        </w:rPr>
        <w:t xml:space="preserve"> dei volumi del traffico e dei dati scaturenti dagli indicatori di produttività</w:t>
      </w:r>
      <w:r w:rsidRPr="001E210E">
        <w:rPr>
          <w:rFonts w:cs="Calibri"/>
          <w:szCs w:val="18"/>
        </w:rPr>
        <w:t>”.</w:t>
      </w:r>
    </w:p>
  </w:footnote>
  <w:footnote w:id="18">
    <w:p w14:paraId="63216F6B"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Decisione della Commissione europea n. 321/2001 del 20 giugno 2001 – </w:t>
      </w:r>
      <w:proofErr w:type="spellStart"/>
      <w:r w:rsidRPr="00164594">
        <w:rPr>
          <w:rFonts w:cs="Calibri"/>
          <w:i/>
          <w:iCs/>
          <w:szCs w:val="18"/>
        </w:rPr>
        <w:t>Allongement</w:t>
      </w:r>
      <w:proofErr w:type="spellEnd"/>
      <w:r w:rsidRPr="00164594">
        <w:rPr>
          <w:rFonts w:cs="Calibri"/>
          <w:i/>
          <w:iCs/>
          <w:szCs w:val="18"/>
        </w:rPr>
        <w:t xml:space="preserve"> de la </w:t>
      </w:r>
      <w:proofErr w:type="spellStart"/>
      <w:r w:rsidRPr="00164594">
        <w:rPr>
          <w:rFonts w:cs="Calibri"/>
          <w:i/>
          <w:iCs/>
          <w:szCs w:val="18"/>
        </w:rPr>
        <w:t>durée</w:t>
      </w:r>
      <w:proofErr w:type="spellEnd"/>
      <w:r w:rsidRPr="00164594">
        <w:rPr>
          <w:rFonts w:cs="Calibri"/>
          <w:i/>
          <w:iCs/>
          <w:szCs w:val="18"/>
        </w:rPr>
        <w:t xml:space="preserve"> de la </w:t>
      </w:r>
      <w:proofErr w:type="spellStart"/>
      <w:r w:rsidRPr="00164594">
        <w:rPr>
          <w:rFonts w:cs="Calibri"/>
          <w:i/>
          <w:iCs/>
          <w:szCs w:val="18"/>
        </w:rPr>
        <w:t>concession</w:t>
      </w:r>
      <w:proofErr w:type="spellEnd"/>
      <w:r w:rsidRPr="00164594">
        <w:rPr>
          <w:rFonts w:cs="Calibri"/>
          <w:i/>
          <w:iCs/>
          <w:szCs w:val="18"/>
        </w:rPr>
        <w:t xml:space="preserve"> </w:t>
      </w:r>
      <w:proofErr w:type="spellStart"/>
      <w:r w:rsidRPr="00164594">
        <w:rPr>
          <w:rFonts w:cs="Calibri"/>
          <w:i/>
          <w:iCs/>
          <w:szCs w:val="18"/>
        </w:rPr>
        <w:t>autoroutière</w:t>
      </w:r>
      <w:proofErr w:type="spellEnd"/>
      <w:r w:rsidRPr="00164594">
        <w:rPr>
          <w:rFonts w:cs="Calibri"/>
          <w:i/>
          <w:iCs/>
          <w:szCs w:val="18"/>
        </w:rPr>
        <w:t xml:space="preserve"> </w:t>
      </w:r>
      <w:proofErr w:type="spellStart"/>
      <w:r w:rsidRPr="00164594">
        <w:rPr>
          <w:rFonts w:cs="Calibri"/>
          <w:i/>
          <w:iCs/>
          <w:szCs w:val="18"/>
        </w:rPr>
        <w:t>accordée</w:t>
      </w:r>
      <w:proofErr w:type="spellEnd"/>
      <w:r w:rsidRPr="00164594">
        <w:rPr>
          <w:rFonts w:cs="Calibri"/>
          <w:i/>
          <w:iCs/>
          <w:szCs w:val="18"/>
        </w:rPr>
        <w:t xml:space="preserve"> à la </w:t>
      </w:r>
      <w:proofErr w:type="spellStart"/>
      <w:r w:rsidRPr="00164594">
        <w:rPr>
          <w:rFonts w:cs="Calibri"/>
          <w:i/>
          <w:iCs/>
          <w:szCs w:val="18"/>
        </w:rPr>
        <w:t>Société</w:t>
      </w:r>
      <w:proofErr w:type="spellEnd"/>
      <w:r w:rsidRPr="00164594">
        <w:rPr>
          <w:rFonts w:cs="Calibri"/>
          <w:i/>
          <w:iCs/>
          <w:szCs w:val="18"/>
        </w:rPr>
        <w:t xml:space="preserve"> </w:t>
      </w:r>
      <w:proofErr w:type="spellStart"/>
      <w:r w:rsidRPr="00164594">
        <w:rPr>
          <w:rFonts w:cs="Calibri"/>
          <w:i/>
          <w:iCs/>
          <w:szCs w:val="18"/>
        </w:rPr>
        <w:t>Française</w:t>
      </w:r>
      <w:proofErr w:type="spellEnd"/>
      <w:r w:rsidRPr="00164594">
        <w:rPr>
          <w:rFonts w:cs="Calibri"/>
          <w:i/>
          <w:iCs/>
          <w:szCs w:val="18"/>
        </w:rPr>
        <w:t xml:space="preserve"> </w:t>
      </w:r>
      <w:proofErr w:type="spellStart"/>
      <w:r w:rsidRPr="00164594">
        <w:rPr>
          <w:rFonts w:cs="Calibri"/>
          <w:i/>
          <w:iCs/>
          <w:szCs w:val="18"/>
        </w:rPr>
        <w:t>du</w:t>
      </w:r>
      <w:proofErr w:type="spellEnd"/>
      <w:r w:rsidRPr="00164594">
        <w:rPr>
          <w:rFonts w:cs="Calibri"/>
          <w:i/>
          <w:iCs/>
          <w:szCs w:val="18"/>
        </w:rPr>
        <w:t xml:space="preserve"> Tunnel </w:t>
      </w:r>
      <w:proofErr w:type="spellStart"/>
      <w:r w:rsidRPr="00164594">
        <w:rPr>
          <w:rFonts w:cs="Calibri"/>
          <w:i/>
          <w:iCs/>
          <w:szCs w:val="18"/>
        </w:rPr>
        <w:t>Routier</w:t>
      </w:r>
      <w:proofErr w:type="spellEnd"/>
      <w:r w:rsidRPr="00164594">
        <w:rPr>
          <w:rFonts w:cs="Calibri"/>
          <w:i/>
          <w:iCs/>
          <w:szCs w:val="18"/>
        </w:rPr>
        <w:t xml:space="preserve"> </w:t>
      </w:r>
      <w:proofErr w:type="spellStart"/>
      <w:r w:rsidRPr="00164594">
        <w:rPr>
          <w:rFonts w:cs="Calibri"/>
          <w:i/>
          <w:iCs/>
          <w:szCs w:val="18"/>
        </w:rPr>
        <w:t>du</w:t>
      </w:r>
      <w:proofErr w:type="spellEnd"/>
      <w:r w:rsidRPr="00164594">
        <w:rPr>
          <w:rFonts w:cs="Calibri"/>
          <w:i/>
          <w:iCs/>
          <w:szCs w:val="18"/>
        </w:rPr>
        <w:t xml:space="preserve"> Fréjus</w:t>
      </w:r>
      <w:r w:rsidRPr="00164594">
        <w:rPr>
          <w:rFonts w:cs="Calibri"/>
          <w:szCs w:val="18"/>
        </w:rPr>
        <w:t xml:space="preserve"> (SFTRF) – SG (2001) D/ 289298.</w:t>
      </w:r>
    </w:p>
  </w:footnote>
  <w:footnote w:id="19">
    <w:p w14:paraId="14BC42D3" w14:textId="77777777" w:rsidR="00BE4380" w:rsidRPr="00276592" w:rsidRDefault="00BE4380" w:rsidP="00276592">
      <w:pPr>
        <w:pStyle w:val="Testonotaapidipagina"/>
        <w:spacing w:line="204" w:lineRule="exact"/>
        <w:ind w:firstLine="283"/>
        <w:rPr>
          <w:rFonts w:cs="Calibri"/>
          <w:spacing w:val="-3"/>
          <w:szCs w:val="18"/>
        </w:rPr>
      </w:pPr>
      <w:r w:rsidRPr="00276592">
        <w:rPr>
          <w:rFonts w:cs="Calibri"/>
          <w:spacing w:val="-3"/>
          <w:szCs w:val="18"/>
          <w:vertAlign w:val="superscript"/>
        </w:rPr>
        <w:footnoteRef/>
      </w:r>
      <w:r w:rsidRPr="00276592">
        <w:rPr>
          <w:rFonts w:cs="Calibri"/>
          <w:spacing w:val="-3"/>
          <w:szCs w:val="18"/>
          <w:vertAlign w:val="superscript"/>
        </w:rPr>
        <w:t> </w:t>
      </w:r>
      <w:r w:rsidRPr="00276592">
        <w:rPr>
          <w:rFonts w:cs="Calibri"/>
          <w:spacing w:val="-3"/>
          <w:szCs w:val="18"/>
        </w:rPr>
        <w:t>Sul concetto di aiuto di stato: V.M. Martinelli,</w:t>
      </w:r>
      <w:r w:rsidRPr="00276592">
        <w:rPr>
          <w:rFonts w:cs="Calibri"/>
          <w:i/>
          <w:iCs/>
          <w:spacing w:val="-3"/>
          <w:szCs w:val="18"/>
        </w:rPr>
        <w:t xml:space="preserve"> Compensazioni finanziarie di obblighi di servizio pubblico e aiuti di Stato</w:t>
      </w:r>
      <w:r w:rsidRPr="00276592">
        <w:rPr>
          <w:rFonts w:cs="Calibri"/>
          <w:spacing w:val="-3"/>
          <w:szCs w:val="18"/>
        </w:rPr>
        <w:t xml:space="preserve">, in </w:t>
      </w:r>
      <w:r w:rsidRPr="00276592">
        <w:rPr>
          <w:rFonts w:cs="Calibri"/>
          <w:i/>
          <w:iCs/>
          <w:spacing w:val="-3"/>
          <w:szCs w:val="18"/>
        </w:rPr>
        <w:t xml:space="preserve">Riv. dir. </w:t>
      </w:r>
      <w:proofErr w:type="spellStart"/>
      <w:r w:rsidRPr="00276592">
        <w:rPr>
          <w:rFonts w:cs="Calibri"/>
          <w:i/>
          <w:iCs/>
          <w:spacing w:val="-3"/>
          <w:szCs w:val="18"/>
        </w:rPr>
        <w:t>pubbl</w:t>
      </w:r>
      <w:proofErr w:type="spellEnd"/>
      <w:r w:rsidRPr="00276592">
        <w:rPr>
          <w:rFonts w:cs="Calibri"/>
          <w:i/>
          <w:iCs/>
          <w:spacing w:val="-3"/>
          <w:szCs w:val="18"/>
        </w:rPr>
        <w:t xml:space="preserve">. </w:t>
      </w:r>
      <w:proofErr w:type="spellStart"/>
      <w:r w:rsidRPr="00276592">
        <w:rPr>
          <w:rFonts w:cs="Calibri"/>
          <w:i/>
          <w:iCs/>
          <w:spacing w:val="-3"/>
          <w:szCs w:val="18"/>
        </w:rPr>
        <w:t>com</w:t>
      </w:r>
      <w:proofErr w:type="spellEnd"/>
      <w:r w:rsidRPr="00276592">
        <w:rPr>
          <w:rFonts w:cs="Calibri"/>
          <w:i/>
          <w:iCs/>
          <w:spacing w:val="-3"/>
          <w:szCs w:val="18"/>
        </w:rPr>
        <w:t>.</w:t>
      </w:r>
      <w:r w:rsidRPr="00276592">
        <w:rPr>
          <w:rFonts w:cs="Calibri"/>
          <w:spacing w:val="-3"/>
          <w:szCs w:val="18"/>
        </w:rPr>
        <w:t xml:space="preserve">, 2007, 113-173; B. </w:t>
      </w:r>
      <w:proofErr w:type="spellStart"/>
      <w:r w:rsidRPr="00276592">
        <w:rPr>
          <w:rFonts w:cs="Calibri"/>
          <w:spacing w:val="-3"/>
          <w:szCs w:val="18"/>
        </w:rPr>
        <w:t>Alterskjoer</w:t>
      </w:r>
      <w:proofErr w:type="spellEnd"/>
      <w:r w:rsidRPr="00276592">
        <w:rPr>
          <w:rFonts w:cs="Calibri"/>
          <w:spacing w:val="-3"/>
          <w:szCs w:val="18"/>
        </w:rPr>
        <w:t xml:space="preserve">, </w:t>
      </w:r>
      <w:proofErr w:type="spellStart"/>
      <w:r w:rsidRPr="00276592">
        <w:rPr>
          <w:rFonts w:cs="Calibri"/>
          <w:i/>
          <w:iCs/>
          <w:spacing w:val="-3"/>
          <w:szCs w:val="18"/>
        </w:rPr>
        <w:t>Interpretation</w:t>
      </w:r>
      <w:proofErr w:type="spellEnd"/>
      <w:r w:rsidRPr="00276592">
        <w:rPr>
          <w:rFonts w:cs="Calibri"/>
          <w:i/>
          <w:iCs/>
          <w:spacing w:val="-3"/>
          <w:szCs w:val="18"/>
        </w:rPr>
        <w:t xml:space="preserve"> of the </w:t>
      </w:r>
      <w:proofErr w:type="spellStart"/>
      <w:r w:rsidRPr="00276592">
        <w:rPr>
          <w:rFonts w:cs="Calibri"/>
          <w:i/>
          <w:iCs/>
          <w:spacing w:val="-3"/>
          <w:szCs w:val="18"/>
        </w:rPr>
        <w:t>Altmark</w:t>
      </w:r>
      <w:proofErr w:type="spellEnd"/>
      <w:r w:rsidRPr="00276592">
        <w:rPr>
          <w:rFonts w:cs="Calibri"/>
          <w:i/>
          <w:iCs/>
          <w:spacing w:val="-3"/>
          <w:szCs w:val="18"/>
        </w:rPr>
        <w:t xml:space="preserve"> </w:t>
      </w:r>
      <w:proofErr w:type="spellStart"/>
      <w:r w:rsidRPr="00276592">
        <w:rPr>
          <w:rFonts w:cs="Calibri"/>
          <w:i/>
          <w:iCs/>
          <w:spacing w:val="-3"/>
          <w:szCs w:val="18"/>
        </w:rPr>
        <w:t>Conditions</w:t>
      </w:r>
      <w:proofErr w:type="spellEnd"/>
      <w:r w:rsidRPr="00276592">
        <w:rPr>
          <w:rFonts w:cs="Calibri"/>
          <w:i/>
          <w:iCs/>
          <w:spacing w:val="-3"/>
          <w:szCs w:val="18"/>
        </w:rPr>
        <w:t>: Case C-451/03</w:t>
      </w:r>
      <w:r w:rsidRPr="00276592">
        <w:rPr>
          <w:rFonts w:cs="Calibri"/>
          <w:spacing w:val="-3"/>
          <w:szCs w:val="18"/>
        </w:rPr>
        <w:t>,</w:t>
      </w:r>
      <w:r w:rsidRPr="00276592">
        <w:rPr>
          <w:rFonts w:cs="Calibri"/>
          <w:i/>
          <w:iCs/>
          <w:spacing w:val="-3"/>
          <w:szCs w:val="18"/>
        </w:rPr>
        <w:t xml:space="preserve"> Servizi Ausiliari Dottori Commercialisti</w:t>
      </w:r>
      <w:r w:rsidRPr="00276592">
        <w:rPr>
          <w:rFonts w:cs="Calibri"/>
          <w:spacing w:val="-3"/>
          <w:szCs w:val="18"/>
        </w:rPr>
        <w:t xml:space="preserve">, in </w:t>
      </w:r>
      <w:proofErr w:type="spellStart"/>
      <w:r w:rsidRPr="00276592">
        <w:rPr>
          <w:rFonts w:cs="Calibri"/>
          <w:i/>
          <w:iCs/>
          <w:spacing w:val="-3"/>
          <w:szCs w:val="18"/>
        </w:rPr>
        <w:t>EStAL</w:t>
      </w:r>
      <w:proofErr w:type="spellEnd"/>
      <w:r w:rsidRPr="00276592">
        <w:rPr>
          <w:rFonts w:cs="Calibri"/>
          <w:spacing w:val="-3"/>
          <w:szCs w:val="18"/>
        </w:rPr>
        <w:t xml:space="preserve">, 1-2007, 73-78; A. Biondi-L. </w:t>
      </w:r>
      <w:r w:rsidRPr="00062E48">
        <w:rPr>
          <w:rFonts w:cs="Calibri"/>
          <w:spacing w:val="-3"/>
          <w:szCs w:val="18"/>
          <w:lang w:val="en-US"/>
        </w:rPr>
        <w:t xml:space="preserve">Rubini, </w:t>
      </w:r>
      <w:r w:rsidRPr="00062E48">
        <w:rPr>
          <w:rFonts w:cs="Calibri"/>
          <w:i/>
          <w:iCs/>
          <w:spacing w:val="-3"/>
          <w:szCs w:val="18"/>
          <w:lang w:val="en-US"/>
        </w:rPr>
        <w:t>Aims</w:t>
      </w:r>
      <w:r w:rsidRPr="00062E48">
        <w:rPr>
          <w:rFonts w:cs="Calibri"/>
          <w:spacing w:val="-3"/>
          <w:szCs w:val="18"/>
          <w:lang w:val="en-US"/>
        </w:rPr>
        <w:t>,</w:t>
      </w:r>
      <w:r w:rsidRPr="00062E48">
        <w:rPr>
          <w:rFonts w:cs="Calibri"/>
          <w:i/>
          <w:iCs/>
          <w:spacing w:val="-3"/>
          <w:szCs w:val="18"/>
          <w:lang w:val="en-US"/>
        </w:rPr>
        <w:t xml:space="preserve"> effects and justifications: EC State aid law and its impact on national social policies</w:t>
      </w:r>
      <w:r w:rsidRPr="00062E48">
        <w:rPr>
          <w:rFonts w:cs="Calibri"/>
          <w:spacing w:val="-3"/>
          <w:szCs w:val="18"/>
          <w:lang w:val="en-US"/>
        </w:rPr>
        <w:t>,</w:t>
      </w:r>
      <w:r w:rsidRPr="00062E48">
        <w:rPr>
          <w:rFonts w:cs="Calibri"/>
          <w:i/>
          <w:iCs/>
          <w:spacing w:val="-3"/>
          <w:szCs w:val="18"/>
          <w:lang w:val="en-US"/>
        </w:rPr>
        <w:t xml:space="preserve"> in Social welfare and EU law</w:t>
      </w:r>
      <w:r w:rsidRPr="00062E48">
        <w:rPr>
          <w:rFonts w:cs="Calibri"/>
          <w:spacing w:val="-3"/>
          <w:szCs w:val="18"/>
          <w:lang w:val="en-US"/>
        </w:rPr>
        <w:t xml:space="preserve"> (a </w:t>
      </w:r>
      <w:proofErr w:type="spellStart"/>
      <w:r w:rsidRPr="00062E48">
        <w:rPr>
          <w:rFonts w:cs="Calibri"/>
          <w:spacing w:val="-3"/>
          <w:szCs w:val="18"/>
          <w:lang w:val="en-US"/>
        </w:rPr>
        <w:t>cura</w:t>
      </w:r>
      <w:proofErr w:type="spellEnd"/>
      <w:r w:rsidRPr="00062E48">
        <w:rPr>
          <w:rFonts w:cs="Calibri"/>
          <w:spacing w:val="-3"/>
          <w:szCs w:val="18"/>
          <w:lang w:val="en-US"/>
        </w:rPr>
        <w:t xml:space="preserve"> di M. Dougan, E. </w:t>
      </w:r>
      <w:proofErr w:type="spellStart"/>
      <w:r w:rsidRPr="00062E48">
        <w:rPr>
          <w:rFonts w:cs="Calibri"/>
          <w:spacing w:val="-3"/>
          <w:szCs w:val="18"/>
          <w:lang w:val="en-US"/>
        </w:rPr>
        <w:t>Spaventa</w:t>
      </w:r>
      <w:proofErr w:type="spellEnd"/>
      <w:r w:rsidRPr="00062E48">
        <w:rPr>
          <w:rFonts w:cs="Calibri"/>
          <w:spacing w:val="-3"/>
          <w:szCs w:val="18"/>
          <w:lang w:val="en-US"/>
        </w:rPr>
        <w:t xml:space="preserve">), Oxford, 2004, 79-104; A. </w:t>
      </w:r>
      <w:proofErr w:type="spellStart"/>
      <w:r w:rsidRPr="00062E48">
        <w:rPr>
          <w:rFonts w:cs="Calibri"/>
          <w:spacing w:val="-3"/>
          <w:szCs w:val="18"/>
          <w:lang w:val="en-US"/>
        </w:rPr>
        <w:t>Fratini</w:t>
      </w:r>
      <w:proofErr w:type="spellEnd"/>
      <w:r w:rsidRPr="00062E48">
        <w:rPr>
          <w:rFonts w:cs="Calibri"/>
          <w:spacing w:val="-3"/>
          <w:szCs w:val="18"/>
          <w:lang w:val="en-US"/>
        </w:rPr>
        <w:t xml:space="preserve">-F. </w:t>
      </w:r>
      <w:proofErr w:type="spellStart"/>
      <w:r w:rsidRPr="00276592">
        <w:rPr>
          <w:rFonts w:cs="Calibri"/>
          <w:spacing w:val="-3"/>
          <w:szCs w:val="18"/>
        </w:rPr>
        <w:t>Filpo</w:t>
      </w:r>
      <w:proofErr w:type="spellEnd"/>
      <w:r w:rsidRPr="00276592">
        <w:rPr>
          <w:rFonts w:cs="Calibri"/>
          <w:spacing w:val="-3"/>
          <w:szCs w:val="18"/>
        </w:rPr>
        <w:t xml:space="preserve">, </w:t>
      </w:r>
      <w:r w:rsidRPr="00276592">
        <w:rPr>
          <w:rFonts w:cs="Calibri"/>
          <w:i/>
          <w:iCs/>
          <w:spacing w:val="-3"/>
          <w:szCs w:val="18"/>
        </w:rPr>
        <w:t xml:space="preserve">I nuovi sviluppi giurisprudenziali sul concetto di aiuto di Stato: dalla formula Altmark al paradosso del monopolista-concorrente di </w:t>
      </w:r>
      <w:proofErr w:type="spellStart"/>
      <w:r w:rsidRPr="00276592">
        <w:rPr>
          <w:rFonts w:cs="Calibri"/>
          <w:i/>
          <w:iCs/>
          <w:spacing w:val="-3"/>
          <w:szCs w:val="18"/>
        </w:rPr>
        <w:t>Chronopost</w:t>
      </w:r>
      <w:proofErr w:type="spellEnd"/>
      <w:r w:rsidRPr="00276592">
        <w:rPr>
          <w:rFonts w:cs="Calibri"/>
          <w:spacing w:val="-3"/>
          <w:szCs w:val="18"/>
        </w:rPr>
        <w:t xml:space="preserve">, in </w:t>
      </w:r>
      <w:r w:rsidRPr="00276592">
        <w:rPr>
          <w:rFonts w:cs="Calibri"/>
          <w:i/>
          <w:iCs/>
          <w:spacing w:val="-3"/>
          <w:szCs w:val="18"/>
        </w:rPr>
        <w:t>Contratto e impresa/Europa</w:t>
      </w:r>
      <w:r w:rsidRPr="00276592">
        <w:rPr>
          <w:rFonts w:cs="Calibri"/>
          <w:spacing w:val="-3"/>
          <w:szCs w:val="18"/>
        </w:rPr>
        <w:t>, 2003, 1183-1219.</w:t>
      </w:r>
    </w:p>
  </w:footnote>
  <w:footnote w:id="20">
    <w:p w14:paraId="155C6229" w14:textId="77777777" w:rsidR="00BE4380" w:rsidRPr="00164594" w:rsidRDefault="00BE4380" w:rsidP="00276592">
      <w:pPr>
        <w:pStyle w:val="Testonotaapidipagina"/>
        <w:widowControl w:val="0"/>
        <w:spacing w:line="204"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Art. 87, par. 1, del Trattato: </w:t>
      </w:r>
      <w:r w:rsidRPr="00B9083A">
        <w:rPr>
          <w:rFonts w:cs="Calibri"/>
          <w:szCs w:val="18"/>
        </w:rPr>
        <w:t>“</w:t>
      </w:r>
      <w:r w:rsidRPr="00164594">
        <w:rPr>
          <w:rFonts w:cs="Calibri"/>
          <w:i/>
          <w:iCs/>
          <w:szCs w:val="18"/>
        </w:rPr>
        <w:t>1. Salvo deroghe contemplate dal presente trattato</w:t>
      </w:r>
      <w:r w:rsidRPr="00685E1A">
        <w:rPr>
          <w:rFonts w:cs="Calibri"/>
          <w:szCs w:val="18"/>
        </w:rPr>
        <w:t>,</w:t>
      </w:r>
      <w:r w:rsidRPr="00164594">
        <w:rPr>
          <w:rFonts w:cs="Calibri"/>
          <w:i/>
          <w:iCs/>
          <w:szCs w:val="18"/>
        </w:rPr>
        <w:t xml:space="preserve"> sono incompatibili con il mercato comune</w:t>
      </w:r>
      <w:r w:rsidRPr="00685E1A">
        <w:rPr>
          <w:rFonts w:cs="Calibri"/>
          <w:szCs w:val="18"/>
        </w:rPr>
        <w:t>,</w:t>
      </w:r>
      <w:r w:rsidRPr="00164594">
        <w:rPr>
          <w:rFonts w:cs="Calibri"/>
          <w:i/>
          <w:iCs/>
          <w:szCs w:val="18"/>
        </w:rPr>
        <w:t xml:space="preserve"> nella misura in cui incidano sugli scambi tra Stati membri</w:t>
      </w:r>
      <w:r w:rsidRPr="00685E1A">
        <w:rPr>
          <w:rFonts w:cs="Calibri"/>
          <w:szCs w:val="18"/>
        </w:rPr>
        <w:t>,</w:t>
      </w:r>
      <w:r w:rsidRPr="00164594">
        <w:rPr>
          <w:rFonts w:cs="Calibri"/>
          <w:i/>
          <w:iCs/>
          <w:szCs w:val="18"/>
        </w:rPr>
        <w:t xml:space="preserve"> gli aiuti concessi dagli Stati</w:t>
      </w:r>
      <w:r w:rsidRPr="00685E1A">
        <w:rPr>
          <w:rFonts w:cs="Calibri"/>
          <w:szCs w:val="18"/>
        </w:rPr>
        <w:t>,</w:t>
      </w:r>
      <w:r w:rsidRPr="00164594">
        <w:rPr>
          <w:rFonts w:cs="Calibri"/>
          <w:i/>
          <w:iCs/>
          <w:szCs w:val="18"/>
        </w:rPr>
        <w:t xml:space="preserve"> ovvero mediante risorse statali</w:t>
      </w:r>
      <w:r w:rsidRPr="00685E1A">
        <w:rPr>
          <w:rFonts w:cs="Calibri"/>
          <w:szCs w:val="18"/>
        </w:rPr>
        <w:t>,</w:t>
      </w:r>
      <w:r w:rsidRPr="00164594">
        <w:rPr>
          <w:rFonts w:cs="Calibri"/>
          <w:i/>
          <w:iCs/>
          <w:szCs w:val="18"/>
        </w:rPr>
        <w:t xml:space="preserve"> sotto qualsiasi forma che</w:t>
      </w:r>
      <w:r w:rsidRPr="00685E1A">
        <w:rPr>
          <w:rFonts w:cs="Calibri"/>
          <w:szCs w:val="18"/>
        </w:rPr>
        <w:t>,</w:t>
      </w:r>
      <w:r w:rsidRPr="00164594">
        <w:rPr>
          <w:rFonts w:cs="Calibri"/>
          <w:i/>
          <w:iCs/>
          <w:szCs w:val="18"/>
        </w:rPr>
        <w:t xml:space="preserve"> favorendo talune imprese o talune produzioni</w:t>
      </w:r>
      <w:r w:rsidRPr="00685E1A">
        <w:rPr>
          <w:rFonts w:cs="Calibri"/>
          <w:szCs w:val="18"/>
        </w:rPr>
        <w:t>,</w:t>
      </w:r>
      <w:r w:rsidRPr="00164594">
        <w:rPr>
          <w:rFonts w:cs="Calibri"/>
          <w:i/>
          <w:iCs/>
          <w:szCs w:val="18"/>
        </w:rPr>
        <w:t xml:space="preserve"> falsino o minaccino di falsare la concorrenza</w:t>
      </w:r>
      <w:r w:rsidRPr="00B9083A">
        <w:rPr>
          <w:rFonts w:cs="Calibri"/>
          <w:szCs w:val="18"/>
        </w:rPr>
        <w:t>”.</w:t>
      </w:r>
    </w:p>
  </w:footnote>
  <w:footnote w:id="21">
    <w:p w14:paraId="142E79A4" w14:textId="77777777" w:rsidR="00BE4380" w:rsidRPr="00164594" w:rsidRDefault="00BE4380" w:rsidP="00BE4380">
      <w:pPr>
        <w:pStyle w:val="Testonotaapidipagina"/>
        <w:spacing w:line="204"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Sentenza della Corte di giustizia del 24 luglio 2003, causa C-280/00, Altmark Trans GmbH, in Raccolta, 2003, p. I-07747. In termini analoghi, la sentenza della Corte di giustizia del 27 novembre 2003, procedimenti riuniti da C-34/01 a C-38/01, </w:t>
      </w:r>
      <w:proofErr w:type="spellStart"/>
      <w:r w:rsidRPr="00164594">
        <w:rPr>
          <w:rFonts w:cs="Calibri"/>
          <w:szCs w:val="18"/>
        </w:rPr>
        <w:t>Enirisorse</w:t>
      </w:r>
      <w:proofErr w:type="spellEnd"/>
      <w:r w:rsidRPr="00164594">
        <w:rPr>
          <w:rFonts w:cs="Calibri"/>
          <w:szCs w:val="18"/>
        </w:rPr>
        <w:t xml:space="preserve">, in Raccolta, 2003, p. I-14243, al punto 31 afferma che </w:t>
      </w:r>
      <w:r w:rsidRPr="00B9083A">
        <w:rPr>
          <w:rFonts w:cs="Calibri"/>
          <w:szCs w:val="18"/>
        </w:rPr>
        <w:t>“</w:t>
      </w:r>
      <w:r w:rsidRPr="00164594">
        <w:rPr>
          <w:rFonts w:cs="Calibri"/>
          <w:i/>
          <w:iCs/>
          <w:szCs w:val="18"/>
        </w:rPr>
        <w:t>nei limiti in cui un intervento statale deve essere considerato una compensazione diretta a rappresentare la contropartita delle prestazioni effettuate dalle imprese beneficiarie per assolvere determinati obblighi di servizio pubblico</w:t>
      </w:r>
      <w:r w:rsidRPr="00685E1A">
        <w:rPr>
          <w:rFonts w:cs="Calibri"/>
          <w:szCs w:val="18"/>
        </w:rPr>
        <w:t>,</w:t>
      </w:r>
      <w:r w:rsidRPr="00164594">
        <w:rPr>
          <w:rFonts w:cs="Calibri"/>
          <w:i/>
          <w:iCs/>
          <w:szCs w:val="18"/>
        </w:rPr>
        <w:t xml:space="preserve"> cosicché tali imprese non traggono</w:t>
      </w:r>
      <w:r w:rsidRPr="00685E1A">
        <w:rPr>
          <w:rFonts w:cs="Calibri"/>
          <w:szCs w:val="18"/>
        </w:rPr>
        <w:t>,</w:t>
      </w:r>
      <w:r w:rsidRPr="00164594">
        <w:rPr>
          <w:rFonts w:cs="Calibri"/>
          <w:i/>
          <w:iCs/>
          <w:szCs w:val="18"/>
        </w:rPr>
        <w:t xml:space="preserve"> in realtà</w:t>
      </w:r>
      <w:r w:rsidRPr="00685E1A">
        <w:rPr>
          <w:rFonts w:cs="Calibri"/>
          <w:szCs w:val="18"/>
        </w:rPr>
        <w:t>,</w:t>
      </w:r>
      <w:r w:rsidRPr="00164594">
        <w:rPr>
          <w:rFonts w:cs="Calibri"/>
          <w:i/>
          <w:iCs/>
          <w:szCs w:val="18"/>
        </w:rPr>
        <w:t xml:space="preserve"> un vantaggio finanziario e il suddetto intervento non ha quindi l’effetto di collocare tali imprese in una posizione concorrenziale più favorevole rispetto a quelle che fanno loro concorrenza</w:t>
      </w:r>
      <w:r w:rsidRPr="00685E1A">
        <w:rPr>
          <w:rFonts w:cs="Calibri"/>
          <w:szCs w:val="18"/>
        </w:rPr>
        <w:t>,</w:t>
      </w:r>
      <w:r w:rsidRPr="00164594">
        <w:rPr>
          <w:rFonts w:cs="Calibri"/>
          <w:i/>
          <w:iCs/>
          <w:szCs w:val="18"/>
        </w:rPr>
        <w:t xml:space="preserve"> tale intervento non ricade nell’ambito di applicazione dell’art. 92</w:t>
      </w:r>
      <w:r w:rsidRPr="00685E1A">
        <w:rPr>
          <w:rFonts w:cs="Calibri"/>
          <w:szCs w:val="18"/>
        </w:rPr>
        <w:t>,</w:t>
      </w:r>
      <w:r w:rsidRPr="00164594">
        <w:rPr>
          <w:rFonts w:cs="Calibri"/>
          <w:i/>
          <w:iCs/>
          <w:szCs w:val="18"/>
        </w:rPr>
        <w:t xml:space="preserve"> n. 1</w:t>
      </w:r>
      <w:r w:rsidRPr="00685E1A">
        <w:rPr>
          <w:rFonts w:cs="Calibri"/>
          <w:szCs w:val="18"/>
        </w:rPr>
        <w:t>,</w:t>
      </w:r>
      <w:r w:rsidRPr="00164594">
        <w:rPr>
          <w:rFonts w:cs="Calibri"/>
          <w:i/>
          <w:iCs/>
          <w:szCs w:val="18"/>
        </w:rPr>
        <w:t xml:space="preserve"> del Trattato [art. 107</w:t>
      </w:r>
      <w:r w:rsidRPr="00685E1A">
        <w:rPr>
          <w:rFonts w:cs="Calibri"/>
          <w:szCs w:val="18"/>
        </w:rPr>
        <w:t>,</w:t>
      </w:r>
      <w:r w:rsidRPr="00164594">
        <w:rPr>
          <w:rFonts w:cs="Calibri"/>
          <w:i/>
          <w:iCs/>
          <w:szCs w:val="18"/>
        </w:rPr>
        <w:t xml:space="preserve"> n. 1</w:t>
      </w:r>
      <w:r w:rsidRPr="00685E1A">
        <w:rPr>
          <w:rFonts w:cs="Calibri"/>
          <w:szCs w:val="18"/>
        </w:rPr>
        <w:t>,</w:t>
      </w:r>
      <w:r w:rsidRPr="00164594">
        <w:rPr>
          <w:rFonts w:cs="Calibri"/>
          <w:i/>
          <w:iCs/>
          <w:szCs w:val="18"/>
        </w:rPr>
        <w:t xml:space="preserve"> TFUE]</w:t>
      </w:r>
      <w:r w:rsidRPr="00B9083A">
        <w:rPr>
          <w:rFonts w:cs="Calibri"/>
          <w:szCs w:val="18"/>
        </w:rPr>
        <w:t>”</w:t>
      </w:r>
      <w:r w:rsidRPr="00164594">
        <w:rPr>
          <w:rFonts w:cs="Calibri"/>
          <w:szCs w:val="18"/>
        </w:rPr>
        <w:t>, richiamando a tal fine le condizioni di cui alla sentenza Altmark.</w:t>
      </w:r>
    </w:p>
  </w:footnote>
  <w:footnote w:id="22">
    <w:p w14:paraId="55FD4BA3" w14:textId="77777777" w:rsidR="00BE4380" w:rsidRPr="00164594" w:rsidRDefault="00BE4380" w:rsidP="00BE4380">
      <w:pPr>
        <w:pStyle w:val="Testonotaapidipagina"/>
        <w:spacing w:line="204"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Art. 86, par. 2, del Trattato: </w:t>
      </w:r>
      <w:r w:rsidRPr="00B9083A">
        <w:rPr>
          <w:rFonts w:cs="Calibri"/>
          <w:szCs w:val="18"/>
        </w:rPr>
        <w:t>“</w:t>
      </w:r>
      <w:r w:rsidRPr="00164594">
        <w:rPr>
          <w:rFonts w:cs="Calibri"/>
          <w:i/>
          <w:iCs/>
          <w:szCs w:val="18"/>
        </w:rPr>
        <w:t>2. Le imprese incaricate della gestione di servizi di interesse economico generale o aventi carattere di monopolio fiscale sono sottoposte alle norme dei trattati</w:t>
      </w:r>
      <w:r w:rsidRPr="00685E1A">
        <w:rPr>
          <w:rFonts w:cs="Calibri"/>
          <w:szCs w:val="18"/>
        </w:rPr>
        <w:t>,</w:t>
      </w:r>
      <w:r w:rsidRPr="00164594">
        <w:rPr>
          <w:rFonts w:cs="Calibri"/>
          <w:i/>
          <w:iCs/>
          <w:szCs w:val="18"/>
        </w:rPr>
        <w:t xml:space="preserve"> e in particolare alle regole di concorrenza</w:t>
      </w:r>
      <w:r w:rsidRPr="00685E1A">
        <w:rPr>
          <w:rFonts w:cs="Calibri"/>
          <w:szCs w:val="18"/>
        </w:rPr>
        <w:t>,</w:t>
      </w:r>
      <w:r w:rsidRPr="00164594">
        <w:rPr>
          <w:rFonts w:cs="Calibri"/>
          <w:i/>
          <w:iCs/>
          <w:szCs w:val="18"/>
        </w:rPr>
        <w:t xml:space="preserve"> nei limiti in cui l’applicazione di tali norme non osti all’adempimento</w:t>
      </w:r>
      <w:r w:rsidRPr="00685E1A">
        <w:rPr>
          <w:rFonts w:cs="Calibri"/>
          <w:szCs w:val="18"/>
        </w:rPr>
        <w:t>,</w:t>
      </w:r>
      <w:r w:rsidRPr="00164594">
        <w:rPr>
          <w:rFonts w:cs="Calibri"/>
          <w:i/>
          <w:iCs/>
          <w:szCs w:val="18"/>
        </w:rPr>
        <w:t xml:space="preserve"> in linea di diritto e di fatto</w:t>
      </w:r>
      <w:r w:rsidRPr="00685E1A">
        <w:rPr>
          <w:rFonts w:cs="Calibri"/>
          <w:szCs w:val="18"/>
        </w:rPr>
        <w:t>,</w:t>
      </w:r>
      <w:r w:rsidRPr="00164594">
        <w:rPr>
          <w:rFonts w:cs="Calibri"/>
          <w:i/>
          <w:iCs/>
          <w:szCs w:val="18"/>
        </w:rPr>
        <w:t xml:space="preserve"> della specifica missione loro affidata. Lo sviluppo degli scambi non deve essere compromesso in misura contraria agli interessi dell’Unione</w:t>
      </w:r>
      <w:r w:rsidRPr="00B9083A">
        <w:rPr>
          <w:rFonts w:cs="Calibri"/>
          <w:szCs w:val="18"/>
        </w:rPr>
        <w:t>”.</w:t>
      </w:r>
    </w:p>
  </w:footnote>
  <w:footnote w:id="23">
    <w:p w14:paraId="714B9BDB"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Decisione Comm. n. 321/2001 del 20/06/2001 – </w:t>
      </w:r>
      <w:proofErr w:type="spellStart"/>
      <w:r w:rsidRPr="00164594">
        <w:rPr>
          <w:rFonts w:cs="Calibri"/>
          <w:i/>
          <w:iCs/>
          <w:szCs w:val="18"/>
        </w:rPr>
        <w:t>Allongement</w:t>
      </w:r>
      <w:proofErr w:type="spellEnd"/>
      <w:r w:rsidRPr="00164594">
        <w:rPr>
          <w:rFonts w:cs="Calibri"/>
          <w:i/>
          <w:iCs/>
          <w:szCs w:val="18"/>
        </w:rPr>
        <w:t xml:space="preserve"> de la </w:t>
      </w:r>
      <w:proofErr w:type="spellStart"/>
      <w:r w:rsidRPr="00164594">
        <w:rPr>
          <w:rFonts w:cs="Calibri"/>
          <w:i/>
          <w:iCs/>
          <w:szCs w:val="18"/>
        </w:rPr>
        <w:t>durée</w:t>
      </w:r>
      <w:proofErr w:type="spellEnd"/>
      <w:r w:rsidRPr="00164594">
        <w:rPr>
          <w:rFonts w:cs="Calibri"/>
          <w:i/>
          <w:iCs/>
          <w:szCs w:val="18"/>
        </w:rPr>
        <w:t xml:space="preserve"> de la </w:t>
      </w:r>
      <w:proofErr w:type="spellStart"/>
      <w:r w:rsidRPr="00164594">
        <w:rPr>
          <w:rFonts w:cs="Calibri"/>
          <w:i/>
          <w:iCs/>
          <w:szCs w:val="18"/>
        </w:rPr>
        <w:t>concession</w:t>
      </w:r>
      <w:proofErr w:type="spellEnd"/>
      <w:r w:rsidRPr="00164594">
        <w:rPr>
          <w:rFonts w:cs="Calibri"/>
          <w:i/>
          <w:iCs/>
          <w:szCs w:val="18"/>
        </w:rPr>
        <w:t xml:space="preserve"> </w:t>
      </w:r>
      <w:proofErr w:type="spellStart"/>
      <w:r w:rsidRPr="00164594">
        <w:rPr>
          <w:rFonts w:cs="Calibri"/>
          <w:i/>
          <w:iCs/>
          <w:szCs w:val="18"/>
        </w:rPr>
        <w:t>autoroutière</w:t>
      </w:r>
      <w:proofErr w:type="spellEnd"/>
      <w:r w:rsidRPr="00164594">
        <w:rPr>
          <w:rFonts w:cs="Calibri"/>
          <w:i/>
          <w:iCs/>
          <w:szCs w:val="18"/>
        </w:rPr>
        <w:t xml:space="preserve"> </w:t>
      </w:r>
      <w:proofErr w:type="spellStart"/>
      <w:r w:rsidRPr="00164594">
        <w:rPr>
          <w:rFonts w:cs="Calibri"/>
          <w:i/>
          <w:iCs/>
          <w:szCs w:val="18"/>
        </w:rPr>
        <w:t>accordée</w:t>
      </w:r>
      <w:proofErr w:type="spellEnd"/>
      <w:r w:rsidRPr="00164594">
        <w:rPr>
          <w:rFonts w:cs="Calibri"/>
          <w:i/>
          <w:iCs/>
          <w:szCs w:val="18"/>
        </w:rPr>
        <w:t xml:space="preserve"> à la </w:t>
      </w:r>
      <w:proofErr w:type="spellStart"/>
      <w:r w:rsidRPr="00164594">
        <w:rPr>
          <w:rFonts w:cs="Calibri"/>
          <w:i/>
          <w:iCs/>
          <w:szCs w:val="18"/>
        </w:rPr>
        <w:t>Société</w:t>
      </w:r>
      <w:proofErr w:type="spellEnd"/>
      <w:r w:rsidRPr="00164594">
        <w:rPr>
          <w:rFonts w:cs="Calibri"/>
          <w:i/>
          <w:iCs/>
          <w:szCs w:val="18"/>
        </w:rPr>
        <w:t xml:space="preserve"> </w:t>
      </w:r>
      <w:proofErr w:type="spellStart"/>
      <w:r w:rsidRPr="00164594">
        <w:rPr>
          <w:rFonts w:cs="Calibri"/>
          <w:i/>
          <w:iCs/>
          <w:szCs w:val="18"/>
        </w:rPr>
        <w:t>Française</w:t>
      </w:r>
      <w:proofErr w:type="spellEnd"/>
      <w:r w:rsidRPr="00164594">
        <w:rPr>
          <w:rFonts w:cs="Calibri"/>
          <w:i/>
          <w:iCs/>
          <w:szCs w:val="18"/>
        </w:rPr>
        <w:t xml:space="preserve"> </w:t>
      </w:r>
      <w:proofErr w:type="spellStart"/>
      <w:r w:rsidRPr="00164594">
        <w:rPr>
          <w:rFonts w:cs="Calibri"/>
          <w:i/>
          <w:iCs/>
          <w:szCs w:val="18"/>
        </w:rPr>
        <w:t>du</w:t>
      </w:r>
      <w:proofErr w:type="spellEnd"/>
      <w:r w:rsidRPr="00164594">
        <w:rPr>
          <w:rFonts w:cs="Calibri"/>
          <w:i/>
          <w:iCs/>
          <w:szCs w:val="18"/>
        </w:rPr>
        <w:t xml:space="preserve"> Tunnel </w:t>
      </w:r>
      <w:proofErr w:type="spellStart"/>
      <w:r w:rsidRPr="00164594">
        <w:rPr>
          <w:rFonts w:cs="Calibri"/>
          <w:i/>
          <w:iCs/>
          <w:szCs w:val="18"/>
        </w:rPr>
        <w:t>Routier</w:t>
      </w:r>
      <w:proofErr w:type="spellEnd"/>
      <w:r w:rsidRPr="00164594">
        <w:rPr>
          <w:rFonts w:cs="Calibri"/>
          <w:i/>
          <w:iCs/>
          <w:szCs w:val="18"/>
        </w:rPr>
        <w:t xml:space="preserve"> </w:t>
      </w:r>
      <w:proofErr w:type="spellStart"/>
      <w:r w:rsidRPr="00164594">
        <w:rPr>
          <w:rFonts w:cs="Calibri"/>
          <w:i/>
          <w:iCs/>
          <w:szCs w:val="18"/>
        </w:rPr>
        <w:t>du</w:t>
      </w:r>
      <w:proofErr w:type="spellEnd"/>
      <w:r w:rsidRPr="00164594">
        <w:rPr>
          <w:rFonts w:cs="Calibri"/>
          <w:i/>
          <w:iCs/>
          <w:szCs w:val="18"/>
        </w:rPr>
        <w:t xml:space="preserve"> Fréjus</w:t>
      </w:r>
      <w:r w:rsidRPr="00164594">
        <w:rPr>
          <w:rFonts w:cs="Calibri"/>
          <w:szCs w:val="18"/>
        </w:rPr>
        <w:t xml:space="preserve"> (SFTRF), SG (2001) D/289298.</w:t>
      </w:r>
    </w:p>
  </w:footnote>
  <w:footnote w:id="24">
    <w:p w14:paraId="7CA7131F" w14:textId="77777777" w:rsidR="00BE4380" w:rsidRPr="00164594" w:rsidRDefault="00BE4380" w:rsidP="00BE4380">
      <w:pPr>
        <w:pStyle w:val="Testonotaapidipagina"/>
        <w:rPr>
          <w:rFonts w:cs="Calibri"/>
          <w:i/>
          <w:iCs/>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L’art. 87, par. 2 e 3, del Trattato dispone quanto segue: </w:t>
      </w:r>
      <w:r w:rsidRPr="00B9083A">
        <w:rPr>
          <w:rFonts w:cs="Calibri"/>
          <w:szCs w:val="18"/>
        </w:rPr>
        <w:t>“</w:t>
      </w:r>
      <w:r w:rsidRPr="00164594">
        <w:rPr>
          <w:rFonts w:cs="Calibri"/>
          <w:i/>
          <w:iCs/>
          <w:szCs w:val="18"/>
        </w:rPr>
        <w:t>2. Sono compatibili con il mercato comune: a) gli aiuti a carattere sociale concessi ai singoli consumatori</w:t>
      </w:r>
      <w:r w:rsidRPr="00685E1A">
        <w:rPr>
          <w:rFonts w:cs="Calibri"/>
          <w:szCs w:val="18"/>
        </w:rPr>
        <w:t>,</w:t>
      </w:r>
      <w:r w:rsidRPr="00164594">
        <w:rPr>
          <w:rFonts w:cs="Calibri"/>
          <w:i/>
          <w:iCs/>
          <w:szCs w:val="18"/>
        </w:rPr>
        <w:t xml:space="preserve"> a condizione che siano accordati senza discriminazioni determinate dall’origine dei prodotti</w:t>
      </w:r>
      <w:r w:rsidRPr="00685E1A">
        <w:rPr>
          <w:rFonts w:cs="Calibri"/>
          <w:szCs w:val="18"/>
        </w:rPr>
        <w:t>,</w:t>
      </w:r>
      <w:r w:rsidRPr="00164594">
        <w:rPr>
          <w:rFonts w:cs="Calibri"/>
          <w:i/>
          <w:iCs/>
          <w:szCs w:val="18"/>
        </w:rPr>
        <w:t xml:space="preserve"> b) gli aiuti destinati a ovviare ai danni arrecati dalle calamità naturali oppure da altri eventi eccezionali</w:t>
      </w:r>
      <w:r w:rsidRPr="00685E1A">
        <w:rPr>
          <w:rFonts w:cs="Calibri"/>
          <w:szCs w:val="18"/>
        </w:rPr>
        <w:t>,</w:t>
      </w:r>
      <w:r w:rsidRPr="00164594">
        <w:rPr>
          <w:rFonts w:cs="Calibri"/>
          <w:i/>
          <w:iCs/>
          <w:szCs w:val="18"/>
        </w:rPr>
        <w:t xml:space="preserve"> c) gli aiuti concessi all’economia di determinate regioni della Repubblica federale di Germania che risentono della divisione della Germania</w:t>
      </w:r>
      <w:r w:rsidRPr="00685E1A">
        <w:rPr>
          <w:rFonts w:cs="Calibri"/>
          <w:szCs w:val="18"/>
        </w:rPr>
        <w:t>,</w:t>
      </w:r>
      <w:r w:rsidRPr="00164594">
        <w:rPr>
          <w:rFonts w:cs="Calibri"/>
          <w:i/>
          <w:iCs/>
          <w:szCs w:val="18"/>
        </w:rPr>
        <w:t xml:space="preserve"> nella misura in cui sono necessari a compensare gli svantaggi economici provocati da tale divisione.</w:t>
      </w:r>
    </w:p>
    <w:p w14:paraId="30958220" w14:textId="77777777" w:rsidR="00BE4380" w:rsidRPr="00B9083A" w:rsidRDefault="00BE4380" w:rsidP="00BE4380">
      <w:pPr>
        <w:pStyle w:val="Testonotaapidipagina"/>
        <w:spacing w:before="0"/>
        <w:rPr>
          <w:rFonts w:cs="Calibri"/>
          <w:szCs w:val="18"/>
        </w:rPr>
      </w:pPr>
      <w:r w:rsidRPr="00164594">
        <w:rPr>
          <w:rFonts w:cs="Calibri"/>
          <w:i/>
          <w:iCs/>
          <w:szCs w:val="18"/>
        </w:rPr>
        <w:t>3. Possono considerarsi compatibili con il mercato comune: a) gli aiuti destinati a favorire lo sviluppo economico delle regioni ove il tenore di vita sia anormalmente basso</w:t>
      </w:r>
      <w:r w:rsidRPr="00685E1A">
        <w:rPr>
          <w:rFonts w:cs="Calibri"/>
          <w:szCs w:val="18"/>
        </w:rPr>
        <w:t>,</w:t>
      </w:r>
      <w:r w:rsidRPr="00164594">
        <w:rPr>
          <w:rFonts w:cs="Calibri"/>
          <w:i/>
          <w:iCs/>
          <w:szCs w:val="18"/>
        </w:rPr>
        <w:t xml:space="preserve"> oppure si abbia una grave forma di sottoccupazione</w:t>
      </w:r>
      <w:r w:rsidRPr="00685E1A">
        <w:rPr>
          <w:rFonts w:cs="Calibri"/>
          <w:szCs w:val="18"/>
        </w:rPr>
        <w:t>,</w:t>
      </w:r>
      <w:r w:rsidRPr="00164594">
        <w:rPr>
          <w:rFonts w:cs="Calibri"/>
          <w:i/>
          <w:iCs/>
          <w:szCs w:val="18"/>
        </w:rPr>
        <w:t xml:space="preserve"> b) gli aiuti destinati a promuovere la realizzazione di un importante progetto di comune interesse europeo oppure a porre rimedio a un grave turbamento dell’economia di uno Stato membro</w:t>
      </w:r>
      <w:r w:rsidRPr="00685E1A">
        <w:rPr>
          <w:rFonts w:cs="Calibri"/>
          <w:szCs w:val="18"/>
        </w:rPr>
        <w:t>,</w:t>
      </w:r>
      <w:r w:rsidRPr="00164594">
        <w:rPr>
          <w:rFonts w:cs="Calibri"/>
          <w:i/>
          <w:iCs/>
          <w:szCs w:val="18"/>
        </w:rPr>
        <w:t xml:space="preserve"> c) gli aiuti destinati ad agevolare lo sviluppo di talune attività o di talune regioni economiche</w:t>
      </w:r>
      <w:r w:rsidRPr="00685E1A">
        <w:rPr>
          <w:rFonts w:cs="Calibri"/>
          <w:szCs w:val="18"/>
        </w:rPr>
        <w:t>,</w:t>
      </w:r>
      <w:r w:rsidRPr="00164594">
        <w:rPr>
          <w:rFonts w:cs="Calibri"/>
          <w:i/>
          <w:iCs/>
          <w:szCs w:val="18"/>
        </w:rPr>
        <w:t xml:space="preserve"> sempre che non alterino le condizioni degli scambi in misura contraria al comune interesse</w:t>
      </w:r>
      <w:r w:rsidRPr="00685E1A">
        <w:rPr>
          <w:rFonts w:cs="Calibri"/>
          <w:szCs w:val="18"/>
        </w:rPr>
        <w:t>,</w:t>
      </w:r>
      <w:r w:rsidRPr="00164594">
        <w:rPr>
          <w:rFonts w:cs="Calibri"/>
          <w:i/>
          <w:iCs/>
          <w:szCs w:val="18"/>
        </w:rPr>
        <w:t xml:space="preserve"> d) gli aiuti destinati a promuovere la cultura e la conservazione del patrimonio</w:t>
      </w:r>
      <w:r w:rsidRPr="00685E1A">
        <w:rPr>
          <w:rFonts w:cs="Calibri"/>
          <w:szCs w:val="18"/>
        </w:rPr>
        <w:t>,</w:t>
      </w:r>
      <w:r w:rsidRPr="00164594">
        <w:rPr>
          <w:rFonts w:cs="Calibri"/>
          <w:i/>
          <w:iCs/>
          <w:szCs w:val="18"/>
        </w:rPr>
        <w:t xml:space="preserve"> quando non alterino le condizioni degli scambi e della concorrenza nella Comunità in misura contraria all’interesse comune</w:t>
      </w:r>
      <w:r w:rsidRPr="00685E1A">
        <w:rPr>
          <w:rFonts w:cs="Calibri"/>
          <w:szCs w:val="18"/>
        </w:rPr>
        <w:t>,</w:t>
      </w:r>
      <w:r w:rsidRPr="00164594">
        <w:rPr>
          <w:rFonts w:cs="Calibri"/>
          <w:i/>
          <w:iCs/>
          <w:szCs w:val="18"/>
        </w:rPr>
        <w:t xml:space="preserve"> e) le altre categorie di aiuti</w:t>
      </w:r>
      <w:r w:rsidRPr="00685E1A">
        <w:rPr>
          <w:rFonts w:cs="Calibri"/>
          <w:szCs w:val="18"/>
        </w:rPr>
        <w:t>,</w:t>
      </w:r>
      <w:r w:rsidRPr="00164594">
        <w:rPr>
          <w:rFonts w:cs="Calibri"/>
          <w:i/>
          <w:iCs/>
          <w:szCs w:val="18"/>
        </w:rPr>
        <w:t xml:space="preserve"> determinate con decisione del Consiglio</w:t>
      </w:r>
      <w:r w:rsidRPr="00685E1A">
        <w:rPr>
          <w:rFonts w:cs="Calibri"/>
          <w:szCs w:val="18"/>
        </w:rPr>
        <w:t>,</w:t>
      </w:r>
      <w:r w:rsidRPr="00164594">
        <w:rPr>
          <w:rFonts w:cs="Calibri"/>
          <w:i/>
          <w:iCs/>
          <w:szCs w:val="18"/>
        </w:rPr>
        <w:t xml:space="preserve"> che delibera a maggioranza qualificata su proposta della Commissione</w:t>
      </w:r>
      <w:r w:rsidRPr="00B9083A">
        <w:rPr>
          <w:rFonts w:cs="Calibri"/>
          <w:szCs w:val="18"/>
        </w:rPr>
        <w:t>”.</w:t>
      </w:r>
    </w:p>
  </w:footnote>
  <w:footnote w:id="25">
    <w:p w14:paraId="72ADD4D2"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Sono da considerare sevizi di interesse economico generale </w:t>
      </w:r>
      <w:r w:rsidRPr="00B45743">
        <w:rPr>
          <w:rFonts w:cs="Calibri"/>
          <w:szCs w:val="18"/>
        </w:rPr>
        <w:t>“</w:t>
      </w:r>
      <w:r w:rsidRPr="00164594">
        <w:rPr>
          <w:rFonts w:cs="Calibri"/>
          <w:i/>
          <w:iCs/>
          <w:szCs w:val="18"/>
        </w:rPr>
        <w:t>quelli che i pubblici poteri intendono promuovere in vista di condizioni di offerta informate ai principi di continuità</w:t>
      </w:r>
      <w:r w:rsidRPr="00685E1A">
        <w:rPr>
          <w:rFonts w:cs="Calibri"/>
          <w:szCs w:val="18"/>
        </w:rPr>
        <w:t>,</w:t>
      </w:r>
      <w:r w:rsidRPr="00164594">
        <w:rPr>
          <w:rFonts w:cs="Calibri"/>
          <w:i/>
          <w:iCs/>
          <w:szCs w:val="18"/>
        </w:rPr>
        <w:t xml:space="preserve"> uguaglianza di trattamento</w:t>
      </w:r>
      <w:r w:rsidRPr="00685E1A">
        <w:rPr>
          <w:rFonts w:cs="Calibri"/>
          <w:szCs w:val="18"/>
        </w:rPr>
        <w:t>,</w:t>
      </w:r>
      <w:r w:rsidRPr="00164594">
        <w:rPr>
          <w:rFonts w:cs="Calibri"/>
          <w:i/>
          <w:iCs/>
          <w:szCs w:val="18"/>
        </w:rPr>
        <w:t xml:space="preserve"> adattamento ai bisogni</w:t>
      </w:r>
      <w:r w:rsidRPr="00685E1A">
        <w:rPr>
          <w:rFonts w:cs="Calibri"/>
          <w:szCs w:val="18"/>
        </w:rPr>
        <w:t>,</w:t>
      </w:r>
      <w:r w:rsidRPr="00164594">
        <w:rPr>
          <w:rFonts w:cs="Calibri"/>
          <w:i/>
          <w:iCs/>
          <w:szCs w:val="18"/>
        </w:rPr>
        <w:t xml:space="preserve"> secondo criteri di ragionevolezza e proporzionalità</w:t>
      </w:r>
      <w:r w:rsidRPr="00685E1A">
        <w:rPr>
          <w:rFonts w:cs="Calibri"/>
          <w:szCs w:val="18"/>
        </w:rPr>
        <w:t>,</w:t>
      </w:r>
      <w:r w:rsidRPr="00164594">
        <w:rPr>
          <w:rFonts w:cs="Calibri"/>
          <w:i/>
          <w:iCs/>
          <w:szCs w:val="18"/>
        </w:rPr>
        <w:t xml:space="preserve"> rimesse alle valutazioni degli Stati membri</w:t>
      </w:r>
      <w:r w:rsidRPr="00685E1A">
        <w:rPr>
          <w:rFonts w:cs="Calibri"/>
          <w:szCs w:val="18"/>
        </w:rPr>
        <w:t>,</w:t>
      </w:r>
      <w:r w:rsidRPr="00164594">
        <w:rPr>
          <w:rFonts w:cs="Calibri"/>
          <w:i/>
          <w:iCs/>
          <w:szCs w:val="18"/>
        </w:rPr>
        <w:t xml:space="preserve"> ma sempre sotto la vigilanza della Corte di giustizia</w:t>
      </w:r>
      <w:r w:rsidRPr="00B45743">
        <w:rPr>
          <w:rFonts w:cs="Calibri"/>
          <w:szCs w:val="18"/>
        </w:rPr>
        <w:t>”.</w:t>
      </w:r>
      <w:r w:rsidRPr="00164594">
        <w:rPr>
          <w:rFonts w:cs="Calibri"/>
          <w:szCs w:val="18"/>
        </w:rPr>
        <w:t xml:space="preserve"> In questi termini, R. Villata, </w:t>
      </w:r>
      <w:r w:rsidRPr="00B45743">
        <w:rPr>
          <w:rFonts w:cs="Calibri"/>
          <w:i/>
          <w:iCs/>
          <w:szCs w:val="18"/>
        </w:rPr>
        <w:t>Pubblici servizi. Discussioni e problemi</w:t>
      </w:r>
      <w:r w:rsidRPr="00164594">
        <w:rPr>
          <w:rFonts w:cs="Calibri"/>
          <w:szCs w:val="18"/>
        </w:rPr>
        <w:t>, Milano, 2006, 33.</w:t>
      </w:r>
    </w:p>
  </w:footnote>
  <w:footnote w:id="26">
    <w:p w14:paraId="11CA7C45" w14:textId="77777777" w:rsidR="00BE4380" w:rsidRPr="008242F0" w:rsidRDefault="00BE4380" w:rsidP="00BE4380">
      <w:pPr>
        <w:pStyle w:val="Testonotaapidipagina"/>
        <w:rPr>
          <w:rFonts w:cs="Calibri"/>
          <w:spacing w:val="3"/>
          <w:szCs w:val="18"/>
        </w:rPr>
      </w:pPr>
      <w:r w:rsidRPr="008242F0">
        <w:rPr>
          <w:rFonts w:cs="Calibri"/>
          <w:spacing w:val="3"/>
          <w:szCs w:val="18"/>
          <w:vertAlign w:val="superscript"/>
        </w:rPr>
        <w:footnoteRef/>
      </w:r>
      <w:r w:rsidRPr="008242F0">
        <w:rPr>
          <w:rFonts w:cs="Calibri"/>
          <w:spacing w:val="3"/>
          <w:szCs w:val="18"/>
          <w:vertAlign w:val="superscript"/>
        </w:rPr>
        <w:t> </w:t>
      </w:r>
      <w:r w:rsidRPr="008242F0">
        <w:rPr>
          <w:rFonts w:cs="Calibri"/>
          <w:spacing w:val="3"/>
          <w:szCs w:val="18"/>
        </w:rPr>
        <w:t>La gestione del Traforo del Monte Bianco, come è noto, è affidata ad organismo di diritto comunitario denominato Traforo del Monte Bianco – GEIE (TMB-GEIE), costituito in modo paritario, per la parte francese dalla società francese ATMB (</w:t>
      </w:r>
      <w:proofErr w:type="spellStart"/>
      <w:r w:rsidRPr="008242F0">
        <w:rPr>
          <w:rFonts w:cs="Calibri"/>
          <w:spacing w:val="3"/>
          <w:szCs w:val="18"/>
        </w:rPr>
        <w:t>Autoroutes</w:t>
      </w:r>
      <w:proofErr w:type="spellEnd"/>
      <w:r w:rsidRPr="008242F0">
        <w:rPr>
          <w:rFonts w:cs="Calibri"/>
          <w:spacing w:val="3"/>
          <w:szCs w:val="18"/>
        </w:rPr>
        <w:t xml:space="preserve"> et Tunnel </w:t>
      </w:r>
      <w:proofErr w:type="spellStart"/>
      <w:r w:rsidRPr="008242F0">
        <w:rPr>
          <w:rFonts w:cs="Calibri"/>
          <w:spacing w:val="3"/>
          <w:szCs w:val="18"/>
        </w:rPr>
        <w:t>du</w:t>
      </w:r>
      <w:proofErr w:type="spellEnd"/>
      <w:r w:rsidRPr="008242F0">
        <w:rPr>
          <w:rFonts w:cs="Calibri"/>
          <w:spacing w:val="3"/>
          <w:szCs w:val="18"/>
        </w:rPr>
        <w:t xml:space="preserve"> Mont Blanc s.a.) e, per la parte italiana, dalla società italiana SITMB (Società Italiana per il Traforo del Monte Bianco s.p.a.) in forza di una convenzione internazionale conclusa il 14 marzo 1953.</w:t>
      </w:r>
    </w:p>
  </w:footnote>
  <w:footnote w:id="27">
    <w:p w14:paraId="200E1FD6"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Sul punto, Direttiva 2004/54/CE del Parlamento europeo e del Consiglio, del 29 aprile 2004, relativa ai requisiti minimi di sicurezza per le gallerie della Rete stradale transeuropea, GUUE L 201 del 7</w:t>
      </w:r>
      <w:r>
        <w:rPr>
          <w:rFonts w:cs="Calibri"/>
          <w:szCs w:val="18"/>
        </w:rPr>
        <w:t xml:space="preserve"> giugno </w:t>
      </w:r>
      <w:r w:rsidRPr="00164594">
        <w:rPr>
          <w:rFonts w:cs="Calibri"/>
          <w:szCs w:val="18"/>
        </w:rPr>
        <w:t>2004, p. 56.</w:t>
      </w:r>
    </w:p>
  </w:footnote>
  <w:footnote w:id="28">
    <w:p w14:paraId="58E81421" w14:textId="77777777" w:rsidR="00BE4380" w:rsidRPr="00164594" w:rsidRDefault="00BE4380" w:rsidP="00886AE6">
      <w:pPr>
        <w:pStyle w:val="Testonotaapidipagina"/>
        <w:widowControl w:val="0"/>
        <w:spacing w:line="204"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Decisione della Commissione europea n. 420/2005 del 22 febbraio 2006 – </w:t>
      </w:r>
      <w:proofErr w:type="spellStart"/>
      <w:r w:rsidRPr="00164594">
        <w:rPr>
          <w:rFonts w:cs="Calibri"/>
          <w:i/>
          <w:iCs/>
          <w:szCs w:val="18"/>
        </w:rPr>
        <w:t>Allongement</w:t>
      </w:r>
      <w:proofErr w:type="spellEnd"/>
      <w:r w:rsidRPr="00164594">
        <w:rPr>
          <w:rFonts w:cs="Calibri"/>
          <w:i/>
          <w:iCs/>
          <w:szCs w:val="18"/>
        </w:rPr>
        <w:t xml:space="preserve"> de la </w:t>
      </w:r>
      <w:proofErr w:type="spellStart"/>
      <w:r w:rsidRPr="00164594">
        <w:rPr>
          <w:rFonts w:cs="Calibri"/>
          <w:i/>
          <w:iCs/>
          <w:szCs w:val="18"/>
        </w:rPr>
        <w:t>durée</w:t>
      </w:r>
      <w:proofErr w:type="spellEnd"/>
      <w:r w:rsidRPr="00164594">
        <w:rPr>
          <w:rFonts w:cs="Calibri"/>
          <w:i/>
          <w:iCs/>
          <w:szCs w:val="18"/>
        </w:rPr>
        <w:t xml:space="preserve"> </w:t>
      </w:r>
      <w:proofErr w:type="spellStart"/>
      <w:r w:rsidRPr="00164594">
        <w:rPr>
          <w:rFonts w:cs="Calibri"/>
          <w:i/>
          <w:iCs/>
          <w:szCs w:val="18"/>
        </w:rPr>
        <w:t>des</w:t>
      </w:r>
      <w:proofErr w:type="spellEnd"/>
      <w:r w:rsidRPr="00164594">
        <w:rPr>
          <w:rFonts w:cs="Calibri"/>
          <w:i/>
          <w:iCs/>
          <w:szCs w:val="18"/>
        </w:rPr>
        <w:t xml:space="preserve"> </w:t>
      </w:r>
      <w:proofErr w:type="spellStart"/>
      <w:r w:rsidRPr="00164594">
        <w:rPr>
          <w:rFonts w:cs="Calibri"/>
          <w:i/>
          <w:iCs/>
          <w:szCs w:val="18"/>
        </w:rPr>
        <w:t>concessions</w:t>
      </w:r>
      <w:proofErr w:type="spellEnd"/>
      <w:r w:rsidRPr="00164594">
        <w:rPr>
          <w:rFonts w:cs="Calibri"/>
          <w:i/>
          <w:iCs/>
          <w:szCs w:val="18"/>
        </w:rPr>
        <w:t xml:space="preserve"> </w:t>
      </w:r>
      <w:proofErr w:type="spellStart"/>
      <w:r w:rsidRPr="00164594">
        <w:rPr>
          <w:rFonts w:cs="Calibri"/>
          <w:i/>
          <w:iCs/>
          <w:szCs w:val="18"/>
        </w:rPr>
        <w:t>des</w:t>
      </w:r>
      <w:proofErr w:type="spellEnd"/>
      <w:r w:rsidRPr="00164594">
        <w:rPr>
          <w:rFonts w:cs="Calibri"/>
          <w:i/>
          <w:iCs/>
          <w:szCs w:val="18"/>
        </w:rPr>
        <w:t xml:space="preserve"> </w:t>
      </w:r>
      <w:proofErr w:type="spellStart"/>
      <w:r w:rsidRPr="00164594">
        <w:rPr>
          <w:rFonts w:cs="Calibri"/>
          <w:i/>
          <w:iCs/>
          <w:szCs w:val="18"/>
        </w:rPr>
        <w:t>sociétés</w:t>
      </w:r>
      <w:proofErr w:type="spellEnd"/>
      <w:r w:rsidRPr="00164594">
        <w:rPr>
          <w:rFonts w:cs="Calibri"/>
          <w:i/>
          <w:iCs/>
          <w:szCs w:val="18"/>
        </w:rPr>
        <w:t xml:space="preserve"> d’</w:t>
      </w:r>
      <w:proofErr w:type="spellStart"/>
      <w:r w:rsidRPr="00164594">
        <w:rPr>
          <w:rFonts w:cs="Calibri"/>
          <w:i/>
          <w:iCs/>
          <w:szCs w:val="18"/>
        </w:rPr>
        <w:t>autoroutes</w:t>
      </w:r>
      <w:proofErr w:type="spellEnd"/>
      <w:r w:rsidRPr="00164594">
        <w:rPr>
          <w:rFonts w:cs="Calibri"/>
          <w:i/>
          <w:iCs/>
          <w:szCs w:val="18"/>
        </w:rPr>
        <w:t xml:space="preserve"> </w:t>
      </w:r>
      <w:proofErr w:type="spellStart"/>
      <w:r w:rsidRPr="00164594">
        <w:rPr>
          <w:rFonts w:cs="Calibri"/>
          <w:i/>
          <w:iCs/>
          <w:szCs w:val="18"/>
        </w:rPr>
        <w:t>du</w:t>
      </w:r>
      <w:proofErr w:type="spellEnd"/>
      <w:r w:rsidRPr="00164594">
        <w:rPr>
          <w:rFonts w:cs="Calibri"/>
          <w:i/>
          <w:iCs/>
          <w:szCs w:val="18"/>
        </w:rPr>
        <w:t xml:space="preserve"> Tunnel </w:t>
      </w:r>
      <w:proofErr w:type="spellStart"/>
      <w:r w:rsidRPr="00164594">
        <w:rPr>
          <w:rFonts w:cs="Calibri"/>
          <w:i/>
          <w:iCs/>
          <w:szCs w:val="18"/>
        </w:rPr>
        <w:t>du</w:t>
      </w:r>
      <w:proofErr w:type="spellEnd"/>
      <w:r w:rsidRPr="00164594">
        <w:rPr>
          <w:rFonts w:cs="Calibri"/>
          <w:i/>
          <w:iCs/>
          <w:szCs w:val="18"/>
        </w:rPr>
        <w:t xml:space="preserve"> Mont-</w:t>
      </w:r>
      <w:proofErr w:type="spellStart"/>
      <w:r w:rsidRPr="00164594">
        <w:rPr>
          <w:rFonts w:cs="Calibri"/>
          <w:i/>
          <w:iCs/>
          <w:szCs w:val="18"/>
        </w:rPr>
        <w:t>Blanc</w:t>
      </w:r>
      <w:proofErr w:type="spellEnd"/>
      <w:r w:rsidRPr="00164594">
        <w:rPr>
          <w:rFonts w:cs="Calibri"/>
          <w:i/>
          <w:iCs/>
          <w:szCs w:val="18"/>
        </w:rPr>
        <w:t xml:space="preserve"> (ATMB) et </w:t>
      </w:r>
      <w:proofErr w:type="spellStart"/>
      <w:r w:rsidRPr="00164594">
        <w:rPr>
          <w:rFonts w:cs="Calibri"/>
          <w:i/>
          <w:iCs/>
          <w:szCs w:val="18"/>
        </w:rPr>
        <w:t>du</w:t>
      </w:r>
      <w:proofErr w:type="spellEnd"/>
      <w:r w:rsidRPr="00164594">
        <w:rPr>
          <w:rFonts w:cs="Calibri"/>
          <w:i/>
          <w:iCs/>
          <w:szCs w:val="18"/>
        </w:rPr>
        <w:t xml:space="preserve"> Tunnel Maurice </w:t>
      </w:r>
      <w:proofErr w:type="spellStart"/>
      <w:r w:rsidRPr="00164594">
        <w:rPr>
          <w:rFonts w:cs="Calibri"/>
          <w:i/>
          <w:iCs/>
          <w:szCs w:val="18"/>
        </w:rPr>
        <w:t>Lemaire</w:t>
      </w:r>
      <w:proofErr w:type="spellEnd"/>
      <w:r w:rsidRPr="00164594">
        <w:rPr>
          <w:rFonts w:cs="Calibri"/>
          <w:i/>
          <w:iCs/>
          <w:szCs w:val="18"/>
        </w:rPr>
        <w:t xml:space="preserve"> (TML/APRR)</w:t>
      </w:r>
      <w:r w:rsidRPr="00164594">
        <w:rPr>
          <w:rFonts w:cs="Calibri"/>
          <w:szCs w:val="18"/>
        </w:rPr>
        <w:t xml:space="preserve"> – </w:t>
      </w:r>
      <w:proofErr w:type="gramStart"/>
      <w:r w:rsidRPr="00164594">
        <w:rPr>
          <w:rFonts w:cs="Calibri"/>
          <w:szCs w:val="18"/>
        </w:rPr>
        <w:t>C(</w:t>
      </w:r>
      <w:proofErr w:type="gramEnd"/>
      <w:r w:rsidRPr="00164594">
        <w:rPr>
          <w:rFonts w:cs="Calibri"/>
          <w:szCs w:val="18"/>
        </w:rPr>
        <w:t xml:space="preserve">2006)458 </w:t>
      </w:r>
      <w:proofErr w:type="spellStart"/>
      <w:r w:rsidRPr="00164594">
        <w:rPr>
          <w:rFonts w:cs="Calibri"/>
          <w:szCs w:val="18"/>
        </w:rPr>
        <w:t>final</w:t>
      </w:r>
      <w:proofErr w:type="spellEnd"/>
      <w:r w:rsidRPr="00164594">
        <w:rPr>
          <w:rFonts w:cs="Calibri"/>
          <w:szCs w:val="18"/>
        </w:rPr>
        <w:t>.</w:t>
      </w:r>
    </w:p>
  </w:footnote>
  <w:footnote w:id="29">
    <w:p w14:paraId="5A592974" w14:textId="77777777" w:rsidR="00BE4380" w:rsidRPr="00164594" w:rsidRDefault="00BE4380" w:rsidP="00BE4380">
      <w:pPr>
        <w:pStyle w:val="Testonotaapidipagina"/>
        <w:spacing w:line="204"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Sul punto, si osservi che la Commissione europea ha rilevato che: (i) la proroga in questione comportava l’attribuzione alle due concessionarie ATMB e APRR, da parte del governo francese, di </w:t>
      </w:r>
      <w:r w:rsidRPr="00DA390C">
        <w:rPr>
          <w:rFonts w:cs="Calibri"/>
          <w:szCs w:val="18"/>
        </w:rPr>
        <w:t>“</w:t>
      </w:r>
      <w:r w:rsidRPr="00164594">
        <w:rPr>
          <w:rFonts w:cs="Calibri"/>
          <w:i/>
          <w:iCs/>
          <w:szCs w:val="18"/>
        </w:rPr>
        <w:t>un diritto esclusivo di riscossione di pedaggi nei nuovi periodi oggetto della concessione</w:t>
      </w:r>
      <w:r w:rsidRPr="00DA390C">
        <w:rPr>
          <w:rFonts w:cs="Calibri"/>
          <w:szCs w:val="18"/>
        </w:rPr>
        <w:t>”;</w:t>
      </w:r>
      <w:r w:rsidRPr="00164594">
        <w:rPr>
          <w:rFonts w:cs="Calibri"/>
          <w:szCs w:val="18"/>
        </w:rPr>
        <w:t xml:space="preserve"> diritto da valutarsi alla stregua di una </w:t>
      </w:r>
      <w:r w:rsidRPr="00DA390C">
        <w:rPr>
          <w:rFonts w:cs="Calibri"/>
          <w:szCs w:val="18"/>
        </w:rPr>
        <w:t>“</w:t>
      </w:r>
      <w:r w:rsidRPr="00164594">
        <w:rPr>
          <w:rFonts w:cs="Calibri"/>
          <w:i/>
          <w:iCs/>
          <w:szCs w:val="18"/>
        </w:rPr>
        <w:t>rinuncia</w:t>
      </w:r>
      <w:r w:rsidRPr="00685E1A">
        <w:rPr>
          <w:rFonts w:cs="Calibri"/>
          <w:szCs w:val="18"/>
        </w:rPr>
        <w:t>,</w:t>
      </w:r>
      <w:r w:rsidRPr="00164594">
        <w:rPr>
          <w:rFonts w:cs="Calibri"/>
          <w:i/>
          <w:iCs/>
          <w:szCs w:val="18"/>
        </w:rPr>
        <w:t xml:space="preserve"> da parte dello Stato</w:t>
      </w:r>
      <w:r w:rsidRPr="00685E1A">
        <w:rPr>
          <w:rFonts w:cs="Calibri"/>
          <w:szCs w:val="18"/>
        </w:rPr>
        <w:t>,</w:t>
      </w:r>
      <w:r w:rsidRPr="00164594">
        <w:rPr>
          <w:rFonts w:cs="Calibri"/>
          <w:i/>
          <w:iCs/>
          <w:szCs w:val="18"/>
        </w:rPr>
        <w:t xml:space="preserve"> alla riscossione dei pedaggi per la durata della proroga</w:t>
      </w:r>
      <w:r w:rsidRPr="00685E1A">
        <w:rPr>
          <w:rFonts w:cs="Calibri"/>
          <w:szCs w:val="18"/>
        </w:rPr>
        <w:t>,</w:t>
      </w:r>
      <w:r w:rsidRPr="00164594">
        <w:rPr>
          <w:rFonts w:cs="Calibri"/>
          <w:i/>
          <w:iCs/>
          <w:szCs w:val="18"/>
        </w:rPr>
        <w:t xml:space="preserve"> pedaggi che lo Stato</w:t>
      </w:r>
      <w:r w:rsidRPr="00685E1A">
        <w:rPr>
          <w:rFonts w:cs="Calibri"/>
          <w:szCs w:val="18"/>
        </w:rPr>
        <w:t>,</w:t>
      </w:r>
      <w:r w:rsidRPr="00164594">
        <w:rPr>
          <w:rFonts w:cs="Calibri"/>
          <w:i/>
          <w:iCs/>
          <w:szCs w:val="18"/>
        </w:rPr>
        <w:t xml:space="preserve"> in qualità di governo centrale o attraverso gli enti locali</w:t>
      </w:r>
      <w:r w:rsidRPr="00685E1A">
        <w:rPr>
          <w:rFonts w:cs="Calibri"/>
          <w:szCs w:val="18"/>
        </w:rPr>
        <w:t>,</w:t>
      </w:r>
      <w:r w:rsidRPr="00164594">
        <w:rPr>
          <w:rFonts w:cs="Calibri"/>
          <w:i/>
          <w:iCs/>
          <w:szCs w:val="18"/>
        </w:rPr>
        <w:t xml:space="preserve"> avrebbe percepito se avesse scelto di riprendere la gestione delle infrastrutture in questione alla data di scadenza iniziale della concessione</w:t>
      </w:r>
      <w:r w:rsidRPr="00DA390C">
        <w:rPr>
          <w:rFonts w:cs="Calibri"/>
          <w:szCs w:val="18"/>
        </w:rPr>
        <w:t>”</w:t>
      </w:r>
      <w:r w:rsidRPr="00164594">
        <w:rPr>
          <w:rFonts w:cs="Calibri"/>
          <w:szCs w:val="18"/>
        </w:rPr>
        <w:t>; (ii) il suddetto diritto esclusivo determinava, in sostanza, un trasferimento in favore delle due concessionarie di risorse di cui lo Stato disponeva o avrebbe potuto disporre; (iii) il suddetto trasferimento era suscettibile di incidere sugli scambi fra Stati membri in cui la posizione delle società concessionarie sarebbe risultata rafforzata rispetto ad altre società concorrenti, visto che la loro presenza sul mercato sarebbe stata assicurata fino alla fine del periodo di validità della concessione e che i loro diritti esclusivi sarebbero stati garantiti fino alla stessa scadenza.</w:t>
      </w:r>
    </w:p>
    <w:p w14:paraId="29981D76" w14:textId="77777777" w:rsidR="00BE4380" w:rsidRPr="00164594" w:rsidRDefault="00BE4380" w:rsidP="00BE4380">
      <w:pPr>
        <w:pStyle w:val="Testonotaapidipagina"/>
        <w:spacing w:before="0" w:line="204" w:lineRule="exact"/>
        <w:rPr>
          <w:rFonts w:cs="Calibri"/>
          <w:szCs w:val="18"/>
        </w:rPr>
      </w:pPr>
      <w:r w:rsidRPr="00164594">
        <w:rPr>
          <w:rFonts w:cs="Calibri"/>
          <w:szCs w:val="18"/>
        </w:rPr>
        <w:t>Pertanto, la Commissione, considerato che non vi erano elementi per poter escludere la sussistenza di un aiuto di Stato e ritenendo non applicabile l’art. 87, par. 2 e 3, TCE (art. 107 del TFUE) ha, invece, affermato l’applicabilità dell’art. 86, par. 2, TCE (art. 106 del TFUE), secondo cui le imprese incaricate della gestione di servizi di interesse economico generale o aventi carattere di monopolio fiscale sono sottoposte alle norme in materia di concorrenza, nei limiti in cui l’applicazione di tali norme non osti all’adempimento, in linea di diritto e di fatto, della specifica missione loro affidata.</w:t>
      </w:r>
    </w:p>
  </w:footnote>
  <w:footnote w:id="30">
    <w:p w14:paraId="4BAEF4EF" w14:textId="77777777" w:rsidR="00BE4380" w:rsidRPr="00164594" w:rsidRDefault="00BE4380" w:rsidP="00BE4380">
      <w:pPr>
        <w:pStyle w:val="Testonotaapidipagina"/>
        <w:spacing w:line="210"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Aiuto di Stato N 562/2005 – Italia </w:t>
      </w:r>
      <w:r w:rsidRPr="00164594">
        <w:rPr>
          <w:rFonts w:cs="Calibri"/>
          <w:i/>
          <w:iCs/>
          <w:szCs w:val="18"/>
        </w:rPr>
        <w:t>“Prolungamento della concessione della Società Italiana del Traforo del Monte Bianco (SITMB)”</w:t>
      </w:r>
      <w:r w:rsidRPr="00164594">
        <w:rPr>
          <w:rFonts w:cs="Calibri"/>
          <w:szCs w:val="18"/>
        </w:rPr>
        <w:t xml:space="preserve">, </w:t>
      </w:r>
      <w:proofErr w:type="gramStart"/>
      <w:r w:rsidRPr="00164594">
        <w:rPr>
          <w:rFonts w:cs="Calibri"/>
          <w:szCs w:val="18"/>
        </w:rPr>
        <w:t>C(</w:t>
      </w:r>
      <w:proofErr w:type="gramEnd"/>
      <w:r w:rsidRPr="00164594">
        <w:rPr>
          <w:rFonts w:cs="Calibri"/>
          <w:szCs w:val="18"/>
        </w:rPr>
        <w:t xml:space="preserve">2006) 1849 </w:t>
      </w:r>
      <w:proofErr w:type="spellStart"/>
      <w:r w:rsidRPr="00164594">
        <w:rPr>
          <w:rFonts w:cs="Calibri"/>
          <w:szCs w:val="18"/>
        </w:rPr>
        <w:t>def</w:t>
      </w:r>
      <w:proofErr w:type="spellEnd"/>
      <w:r w:rsidRPr="00164594">
        <w:rPr>
          <w:rFonts w:cs="Calibri"/>
          <w:szCs w:val="18"/>
        </w:rPr>
        <w:t>., del 16 maggio 2006.</w:t>
      </w:r>
    </w:p>
  </w:footnote>
  <w:footnote w:id="31">
    <w:p w14:paraId="11F75017" w14:textId="77777777" w:rsidR="00BE4380" w:rsidRPr="00164594" w:rsidRDefault="00BE4380" w:rsidP="008242F0">
      <w:pPr>
        <w:pStyle w:val="Testonotaapidipagina"/>
        <w:spacing w:line="214" w:lineRule="exact"/>
        <w:rPr>
          <w:rFonts w:cs="Calibri"/>
          <w:i/>
          <w:iCs/>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L’art. 43, comma 1, lett. a) e b) dispone quanto segue: </w:t>
      </w:r>
      <w:r w:rsidRPr="00FC324A">
        <w:rPr>
          <w:rFonts w:cs="Calibri"/>
          <w:szCs w:val="18"/>
        </w:rPr>
        <w:t>“</w:t>
      </w:r>
      <w:r w:rsidRPr="00164594">
        <w:rPr>
          <w:rFonts w:cs="Calibri"/>
          <w:i/>
          <w:iCs/>
          <w:szCs w:val="18"/>
        </w:rPr>
        <w:t>le concessioni possono essere modificate senza una nuova procedura di aggiudicazione della concessione a norma della presente direttiva nei casi seguenti:</w:t>
      </w:r>
    </w:p>
    <w:p w14:paraId="57C83EF9" w14:textId="77777777" w:rsidR="00BE4380" w:rsidRPr="00164594" w:rsidRDefault="00BE4380" w:rsidP="008242F0">
      <w:pPr>
        <w:pStyle w:val="Testonotaapidipagina"/>
        <w:spacing w:before="0" w:line="214" w:lineRule="exact"/>
        <w:rPr>
          <w:rFonts w:cs="Calibri"/>
          <w:i/>
          <w:iCs/>
          <w:szCs w:val="18"/>
        </w:rPr>
      </w:pPr>
      <w:r w:rsidRPr="00164594">
        <w:rPr>
          <w:rFonts w:cs="Calibri"/>
          <w:i/>
          <w:iCs/>
          <w:szCs w:val="18"/>
        </w:rPr>
        <w:t>a) se le modifiche</w:t>
      </w:r>
      <w:r w:rsidRPr="00685E1A">
        <w:rPr>
          <w:rFonts w:cs="Calibri"/>
          <w:szCs w:val="18"/>
        </w:rPr>
        <w:t>,</w:t>
      </w:r>
      <w:r w:rsidRPr="00164594">
        <w:rPr>
          <w:rFonts w:cs="Calibri"/>
          <w:i/>
          <w:iCs/>
          <w:szCs w:val="18"/>
        </w:rPr>
        <w:t xml:space="preserve"> a prescindere dal loro valore monetario</w:t>
      </w:r>
      <w:r w:rsidRPr="00685E1A">
        <w:rPr>
          <w:rFonts w:cs="Calibri"/>
          <w:szCs w:val="18"/>
        </w:rPr>
        <w:t>,</w:t>
      </w:r>
      <w:r w:rsidRPr="00164594">
        <w:rPr>
          <w:rFonts w:cs="Calibri"/>
          <w:i/>
          <w:iCs/>
          <w:szCs w:val="18"/>
        </w:rPr>
        <w:t xml:space="preserve"> sono state previste nei documenti di gara iniziali in clausole chiare</w:t>
      </w:r>
      <w:r w:rsidRPr="00685E1A">
        <w:rPr>
          <w:rFonts w:cs="Calibri"/>
          <w:szCs w:val="18"/>
        </w:rPr>
        <w:t>,</w:t>
      </w:r>
      <w:r w:rsidRPr="00164594">
        <w:rPr>
          <w:rFonts w:cs="Calibri"/>
          <w:i/>
          <w:iCs/>
          <w:szCs w:val="18"/>
        </w:rPr>
        <w:t xml:space="preserve"> precise e inequivocabili</w:t>
      </w:r>
      <w:r w:rsidRPr="00685E1A">
        <w:rPr>
          <w:rFonts w:cs="Calibri"/>
          <w:szCs w:val="18"/>
        </w:rPr>
        <w:t>,</w:t>
      </w:r>
      <w:r w:rsidRPr="00164594">
        <w:rPr>
          <w:rFonts w:cs="Calibri"/>
          <w:i/>
          <w:iCs/>
          <w:szCs w:val="18"/>
        </w:rPr>
        <w:t xml:space="preserve"> che possono comprendere clausole di revisione dei prezzi</w:t>
      </w:r>
      <w:r w:rsidRPr="00685E1A">
        <w:rPr>
          <w:rFonts w:cs="Calibri"/>
          <w:szCs w:val="18"/>
        </w:rPr>
        <w:t>,</w:t>
      </w:r>
      <w:r w:rsidRPr="00164594">
        <w:rPr>
          <w:rFonts w:cs="Calibri"/>
          <w:i/>
          <w:iCs/>
          <w:szCs w:val="18"/>
        </w:rPr>
        <w:t xml:space="preserve"> o opzioni. Tali clausole fissano la portata e la natura di eventuali modifiche o opzioni</w:t>
      </w:r>
      <w:r w:rsidRPr="00685E1A">
        <w:rPr>
          <w:rFonts w:cs="Calibri"/>
          <w:szCs w:val="18"/>
        </w:rPr>
        <w:t>,</w:t>
      </w:r>
      <w:r w:rsidRPr="00164594">
        <w:rPr>
          <w:rFonts w:cs="Calibri"/>
          <w:i/>
          <w:iCs/>
          <w:szCs w:val="18"/>
        </w:rPr>
        <w:t xml:space="preserve"> nonché le condizioni alle quali possono essere impiegate. Esse non apportano modifiche o opzioni che altererebbero la natura generale della concessione;</w:t>
      </w:r>
    </w:p>
    <w:p w14:paraId="3824AE46" w14:textId="77777777" w:rsidR="00BE4380" w:rsidRPr="00164594" w:rsidRDefault="00BE4380" w:rsidP="008242F0">
      <w:pPr>
        <w:pStyle w:val="Testonotaapidipagina"/>
        <w:spacing w:before="0" w:line="214" w:lineRule="exact"/>
        <w:rPr>
          <w:rFonts w:cs="Calibri"/>
          <w:i/>
          <w:iCs/>
          <w:szCs w:val="18"/>
        </w:rPr>
      </w:pPr>
      <w:r w:rsidRPr="00164594">
        <w:rPr>
          <w:rFonts w:cs="Calibri"/>
          <w:i/>
          <w:iCs/>
          <w:szCs w:val="18"/>
        </w:rPr>
        <w:t>b) per lavori o servizi supplementari da parte del concessionario originario che si sono resi necessari e non erano inclusi nella concessione iniziale</w:t>
      </w:r>
      <w:r w:rsidRPr="00685E1A">
        <w:rPr>
          <w:rFonts w:cs="Calibri"/>
          <w:szCs w:val="18"/>
        </w:rPr>
        <w:t>,</w:t>
      </w:r>
      <w:r w:rsidRPr="00164594">
        <w:rPr>
          <w:rFonts w:cs="Calibri"/>
          <w:i/>
          <w:iCs/>
          <w:szCs w:val="18"/>
        </w:rPr>
        <w:t xml:space="preserve"> ove un cambiamento di concessionario:</w:t>
      </w:r>
    </w:p>
    <w:p w14:paraId="723E88C5" w14:textId="77777777" w:rsidR="00BE4380" w:rsidRPr="00164594" w:rsidRDefault="00BE4380" w:rsidP="008242F0">
      <w:pPr>
        <w:pStyle w:val="Testonotaapidipagina"/>
        <w:spacing w:before="0" w:line="214" w:lineRule="exact"/>
        <w:rPr>
          <w:rFonts w:cs="Calibri"/>
          <w:i/>
          <w:iCs/>
          <w:szCs w:val="18"/>
        </w:rPr>
      </w:pPr>
      <w:r w:rsidRPr="00164594">
        <w:rPr>
          <w:rFonts w:cs="Calibri"/>
          <w:i/>
          <w:iCs/>
          <w:szCs w:val="18"/>
        </w:rPr>
        <w:t>i) risulti impraticabile per motivi economici o tecnici quali il rispetto dei requisiti di intercambiabilità o interoperatività tra apparecchiature</w:t>
      </w:r>
      <w:r w:rsidRPr="00685E1A">
        <w:rPr>
          <w:rFonts w:cs="Calibri"/>
          <w:szCs w:val="18"/>
        </w:rPr>
        <w:t>,</w:t>
      </w:r>
      <w:r w:rsidRPr="00164594">
        <w:rPr>
          <w:rFonts w:cs="Calibri"/>
          <w:i/>
          <w:iCs/>
          <w:szCs w:val="18"/>
        </w:rPr>
        <w:t xml:space="preserve"> servizi o impianti esistenti forniti nell’ambito della concessione iniziale; e</w:t>
      </w:r>
    </w:p>
    <w:p w14:paraId="6411E97F" w14:textId="77777777" w:rsidR="00BE4380" w:rsidRPr="00164594" w:rsidRDefault="00BE4380" w:rsidP="008242F0">
      <w:pPr>
        <w:pStyle w:val="Testonotaapidipagina"/>
        <w:spacing w:before="0" w:line="214" w:lineRule="exact"/>
        <w:rPr>
          <w:rFonts w:cs="Calibri"/>
          <w:i/>
          <w:iCs/>
          <w:szCs w:val="18"/>
        </w:rPr>
      </w:pPr>
      <w:r w:rsidRPr="00164594">
        <w:rPr>
          <w:rFonts w:cs="Calibri"/>
          <w:i/>
          <w:iCs/>
          <w:szCs w:val="18"/>
        </w:rPr>
        <w:t>ii) comporti per l’amministrazione aggiudicatrice o all’ente aggiudicatore notevoli disguidi o una consistente duplicazione dei costi.</w:t>
      </w:r>
    </w:p>
    <w:p w14:paraId="1E3797C3" w14:textId="77777777" w:rsidR="00BE4380" w:rsidRPr="008242F0" w:rsidRDefault="00BE4380" w:rsidP="008242F0">
      <w:pPr>
        <w:pStyle w:val="Testonotaapidipagina"/>
        <w:spacing w:before="0" w:line="214" w:lineRule="exact"/>
        <w:rPr>
          <w:rFonts w:cs="Calibri"/>
          <w:i/>
          <w:iCs/>
          <w:spacing w:val="3"/>
          <w:szCs w:val="18"/>
        </w:rPr>
      </w:pPr>
      <w:r w:rsidRPr="008242F0">
        <w:rPr>
          <w:rFonts w:cs="Calibri"/>
          <w:i/>
          <w:iCs/>
          <w:spacing w:val="3"/>
          <w:szCs w:val="18"/>
        </w:rPr>
        <w:t>Tuttavia</w:t>
      </w:r>
      <w:r w:rsidRPr="008242F0">
        <w:rPr>
          <w:rFonts w:cs="Calibri"/>
          <w:spacing w:val="3"/>
          <w:szCs w:val="18"/>
        </w:rPr>
        <w:t>,</w:t>
      </w:r>
      <w:r w:rsidRPr="008242F0">
        <w:rPr>
          <w:rFonts w:cs="Calibri"/>
          <w:i/>
          <w:iCs/>
          <w:spacing w:val="3"/>
          <w:szCs w:val="18"/>
        </w:rPr>
        <w:t xml:space="preserve"> nel caso di concessioni aggiudicate dall’amministrazione aggiudicatrice allo scopo di svolgere un’attività diversa da quelle di cui all’allegato II</w:t>
      </w:r>
      <w:r w:rsidRPr="008242F0">
        <w:rPr>
          <w:rFonts w:cs="Calibri"/>
          <w:spacing w:val="3"/>
          <w:szCs w:val="18"/>
        </w:rPr>
        <w:t>,</w:t>
      </w:r>
      <w:r w:rsidRPr="008242F0">
        <w:rPr>
          <w:rFonts w:cs="Calibri"/>
          <w:i/>
          <w:iCs/>
          <w:spacing w:val="3"/>
          <w:szCs w:val="18"/>
        </w:rPr>
        <w:t xml:space="preserve"> l’eventuale aumento di valore non deve eccedere il 50% del valore della concessione iniziale. In caso di più modifiche successive</w:t>
      </w:r>
      <w:r w:rsidRPr="008242F0">
        <w:rPr>
          <w:rFonts w:cs="Calibri"/>
          <w:spacing w:val="3"/>
          <w:szCs w:val="18"/>
        </w:rPr>
        <w:t>,</w:t>
      </w:r>
      <w:r w:rsidRPr="008242F0">
        <w:rPr>
          <w:rFonts w:cs="Calibri"/>
          <w:i/>
          <w:iCs/>
          <w:spacing w:val="3"/>
          <w:szCs w:val="18"/>
        </w:rPr>
        <w:t xml:space="preserve"> tale limitazione si applica al valore di ciascuna modifica. Tali modifiche successive non sono intese ad aggirare la presente direttiva</w:t>
      </w:r>
      <w:r w:rsidRPr="008242F0">
        <w:rPr>
          <w:rFonts w:cs="Calibri"/>
          <w:spacing w:val="3"/>
          <w:szCs w:val="18"/>
        </w:rPr>
        <w:t>”.</w:t>
      </w:r>
    </w:p>
  </w:footnote>
  <w:footnote w:id="32">
    <w:p w14:paraId="55C5D986"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Decisione della Commissione Europea </w:t>
      </w:r>
      <w:proofErr w:type="gramStart"/>
      <w:r w:rsidRPr="00164594">
        <w:rPr>
          <w:rFonts w:cs="Calibri"/>
          <w:szCs w:val="18"/>
        </w:rPr>
        <w:t>C(</w:t>
      </w:r>
      <w:proofErr w:type="gramEnd"/>
      <w:r w:rsidRPr="00164594">
        <w:rPr>
          <w:rFonts w:cs="Calibri"/>
          <w:szCs w:val="18"/>
        </w:rPr>
        <w:t xml:space="preserve">2018) 2435 </w:t>
      </w:r>
      <w:proofErr w:type="spellStart"/>
      <w:r w:rsidRPr="00164594">
        <w:rPr>
          <w:rFonts w:cs="Calibri"/>
          <w:szCs w:val="18"/>
        </w:rPr>
        <w:t>final</w:t>
      </w:r>
      <w:proofErr w:type="spellEnd"/>
      <w:r w:rsidRPr="00164594">
        <w:rPr>
          <w:rFonts w:cs="Calibri"/>
          <w:szCs w:val="18"/>
        </w:rPr>
        <w:t xml:space="preserve"> del 27 aprile 2018, </w:t>
      </w:r>
      <w:r w:rsidRPr="00FC324A">
        <w:rPr>
          <w:rFonts w:cs="Calibri"/>
          <w:szCs w:val="18"/>
        </w:rPr>
        <w:t>“</w:t>
      </w:r>
      <w:r w:rsidRPr="00164594">
        <w:rPr>
          <w:rFonts w:cs="Calibri"/>
          <w:i/>
          <w:iCs/>
          <w:szCs w:val="18"/>
        </w:rPr>
        <w:t xml:space="preserve">State </w:t>
      </w:r>
      <w:proofErr w:type="spellStart"/>
      <w:r w:rsidRPr="00164594">
        <w:rPr>
          <w:rFonts w:cs="Calibri"/>
          <w:i/>
          <w:iCs/>
          <w:szCs w:val="18"/>
        </w:rPr>
        <w:t>Aid</w:t>
      </w:r>
      <w:proofErr w:type="spellEnd"/>
      <w:r w:rsidRPr="00164594">
        <w:rPr>
          <w:rFonts w:cs="Calibri"/>
          <w:i/>
          <w:iCs/>
          <w:szCs w:val="18"/>
        </w:rPr>
        <w:t xml:space="preserve"> SA.49335 (2017/N) and SA.49336 (2017/N) – </w:t>
      </w:r>
      <w:proofErr w:type="spellStart"/>
      <w:r w:rsidRPr="00164594">
        <w:rPr>
          <w:rFonts w:cs="Calibri"/>
          <w:i/>
          <w:iCs/>
          <w:szCs w:val="18"/>
        </w:rPr>
        <w:t>Italy</w:t>
      </w:r>
      <w:proofErr w:type="spellEnd"/>
      <w:r w:rsidRPr="00164594">
        <w:rPr>
          <w:rFonts w:cs="Calibri"/>
          <w:i/>
          <w:iCs/>
          <w:szCs w:val="18"/>
        </w:rPr>
        <w:t xml:space="preserve"> </w:t>
      </w:r>
      <w:proofErr w:type="spellStart"/>
      <w:r w:rsidRPr="00164594">
        <w:rPr>
          <w:rFonts w:cs="Calibri"/>
          <w:i/>
          <w:iCs/>
          <w:szCs w:val="18"/>
        </w:rPr>
        <w:t>Italian</w:t>
      </w:r>
      <w:proofErr w:type="spellEnd"/>
      <w:r w:rsidRPr="00164594">
        <w:rPr>
          <w:rFonts w:cs="Calibri"/>
          <w:i/>
          <w:iCs/>
          <w:szCs w:val="18"/>
        </w:rPr>
        <w:t xml:space="preserve"> </w:t>
      </w:r>
      <w:proofErr w:type="spellStart"/>
      <w:r w:rsidRPr="00164594">
        <w:rPr>
          <w:rFonts w:cs="Calibri"/>
          <w:i/>
          <w:iCs/>
          <w:szCs w:val="18"/>
        </w:rPr>
        <w:t>Motorways</w:t>
      </w:r>
      <w:proofErr w:type="spellEnd"/>
      <w:r w:rsidRPr="00164594">
        <w:rPr>
          <w:rFonts w:cs="Calibri"/>
          <w:i/>
          <w:iCs/>
          <w:szCs w:val="18"/>
        </w:rPr>
        <w:t xml:space="preserve"> </w:t>
      </w:r>
      <w:proofErr w:type="spellStart"/>
      <w:r w:rsidRPr="00164594">
        <w:rPr>
          <w:rFonts w:cs="Calibri"/>
          <w:i/>
          <w:iCs/>
          <w:szCs w:val="18"/>
        </w:rPr>
        <w:t>investment</w:t>
      </w:r>
      <w:proofErr w:type="spellEnd"/>
      <w:r w:rsidRPr="00164594">
        <w:rPr>
          <w:rFonts w:cs="Calibri"/>
          <w:i/>
          <w:iCs/>
          <w:szCs w:val="18"/>
        </w:rPr>
        <w:t xml:space="preserve"> plan</w:t>
      </w:r>
      <w:r w:rsidRPr="00FC324A">
        <w:rPr>
          <w:rFonts w:cs="Calibri"/>
          <w:szCs w:val="18"/>
        </w:rPr>
        <w:t>”.</w:t>
      </w:r>
    </w:p>
  </w:footnote>
  <w:footnote w:id="33">
    <w:p w14:paraId="2236C0AC"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Sono state concordate le proroghe quadriennali richieste dallo Stato italiano, sicché la durata delle concessioni è stata estesa sino al 2042 per le autostrade gestite da ASPI e sino al 2030 per quelle gestite da SATAP/SIAS.</w:t>
      </w:r>
    </w:p>
  </w:footnote>
  <w:footnote w:id="34">
    <w:p w14:paraId="298A5BE8" w14:textId="62875E4F" w:rsidR="00BE4380" w:rsidRPr="00164594" w:rsidRDefault="00BE4380" w:rsidP="00BE4380">
      <w:pPr>
        <w:pStyle w:val="Testonotaapidipagina"/>
        <w:spacing w:line="204"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Sugli effetti della pandemia da Covid-19, </w:t>
      </w:r>
      <w:proofErr w:type="spellStart"/>
      <w:r w:rsidRPr="00164594">
        <w:rPr>
          <w:rFonts w:cs="Calibri"/>
          <w:szCs w:val="18"/>
        </w:rPr>
        <w:t>vd</w:t>
      </w:r>
      <w:proofErr w:type="spellEnd"/>
      <w:r w:rsidRPr="00164594">
        <w:rPr>
          <w:rFonts w:cs="Calibri"/>
          <w:szCs w:val="18"/>
        </w:rPr>
        <w:t xml:space="preserve">. F. Cintioli, </w:t>
      </w:r>
      <w:r w:rsidRPr="00FC324A">
        <w:rPr>
          <w:rFonts w:cs="Calibri"/>
          <w:i/>
          <w:iCs/>
          <w:szCs w:val="18"/>
        </w:rPr>
        <w:t>Le conseguenze della pandemia da Covid-19 sulle concessioni di servizi e sull’equilibrio economico finanziario</w:t>
      </w:r>
      <w:r w:rsidRPr="00164594">
        <w:rPr>
          <w:rFonts w:cs="Calibri"/>
          <w:szCs w:val="18"/>
        </w:rPr>
        <w:t xml:space="preserve">, in </w:t>
      </w:r>
      <w:r w:rsidRPr="00FC324A">
        <w:rPr>
          <w:rFonts w:cs="Calibri"/>
          <w:i/>
          <w:iCs/>
          <w:szCs w:val="18"/>
        </w:rPr>
        <w:t>Il diritto dell’eco</w:t>
      </w:r>
      <w:r w:rsidR="008242F0">
        <w:rPr>
          <w:rFonts w:cs="Calibri"/>
          <w:i/>
          <w:iCs/>
          <w:szCs w:val="18"/>
        </w:rPr>
        <w:softHyphen/>
      </w:r>
      <w:r w:rsidRPr="00FC324A">
        <w:rPr>
          <w:rFonts w:cs="Calibri"/>
          <w:i/>
          <w:iCs/>
          <w:szCs w:val="18"/>
        </w:rPr>
        <w:t>nomia</w:t>
      </w:r>
      <w:r w:rsidRPr="00164594">
        <w:rPr>
          <w:rFonts w:cs="Calibri"/>
          <w:szCs w:val="18"/>
        </w:rPr>
        <w:t xml:space="preserve">, 3/2020, 13-34; V. Pandolfini, </w:t>
      </w:r>
      <w:r w:rsidRPr="00164594">
        <w:rPr>
          <w:rFonts w:cs="Calibri"/>
          <w:i/>
          <w:iCs/>
          <w:szCs w:val="18"/>
        </w:rPr>
        <w:t xml:space="preserve">Epidemia covid-19 e contratti di locazione commerciale: quali rimedi per i </w:t>
      </w:r>
      <w:proofErr w:type="gramStart"/>
      <w:r w:rsidRPr="00164594">
        <w:rPr>
          <w:rFonts w:cs="Calibri"/>
          <w:i/>
          <w:iCs/>
          <w:szCs w:val="18"/>
        </w:rPr>
        <w:t>conduttori?</w:t>
      </w:r>
      <w:r w:rsidRPr="00164594">
        <w:rPr>
          <w:rFonts w:cs="Calibri"/>
          <w:szCs w:val="18"/>
        </w:rPr>
        <w:t>,</w:t>
      </w:r>
      <w:proofErr w:type="gramEnd"/>
      <w:r w:rsidRPr="00164594">
        <w:rPr>
          <w:rFonts w:cs="Calibri"/>
          <w:szCs w:val="18"/>
        </w:rPr>
        <w:t xml:space="preserve"> in </w:t>
      </w:r>
      <w:r w:rsidRPr="00164594">
        <w:rPr>
          <w:rFonts w:cs="Calibri"/>
          <w:i/>
          <w:iCs/>
          <w:szCs w:val="18"/>
        </w:rPr>
        <w:t>Contratti</w:t>
      </w:r>
      <w:r w:rsidRPr="00164594">
        <w:rPr>
          <w:rFonts w:cs="Calibri"/>
          <w:szCs w:val="18"/>
        </w:rPr>
        <w:t>, 3/2020, 308.</w:t>
      </w:r>
    </w:p>
  </w:footnote>
  <w:footnote w:id="35">
    <w:p w14:paraId="3BF48974" w14:textId="77777777" w:rsidR="00BE4380" w:rsidRPr="00164594" w:rsidRDefault="00BE4380" w:rsidP="00BE4380">
      <w:pPr>
        <w:pStyle w:val="Testonotaapidipagina"/>
        <w:spacing w:line="204"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Sul concetto di eccessiva onerosità sopravvenuta, </w:t>
      </w:r>
      <w:proofErr w:type="spellStart"/>
      <w:r w:rsidRPr="00164594">
        <w:rPr>
          <w:rFonts w:cs="Calibri"/>
          <w:szCs w:val="18"/>
        </w:rPr>
        <w:t>vd</w:t>
      </w:r>
      <w:proofErr w:type="spellEnd"/>
      <w:r w:rsidRPr="00164594">
        <w:rPr>
          <w:rFonts w:cs="Calibri"/>
          <w:szCs w:val="18"/>
        </w:rPr>
        <w:t xml:space="preserve">. O. </w:t>
      </w:r>
      <w:proofErr w:type="spellStart"/>
      <w:r w:rsidRPr="00164594">
        <w:rPr>
          <w:rFonts w:cs="Calibri"/>
          <w:szCs w:val="18"/>
        </w:rPr>
        <w:t>Cagnasso</w:t>
      </w:r>
      <w:proofErr w:type="spellEnd"/>
      <w:r w:rsidRPr="00164594">
        <w:rPr>
          <w:rFonts w:cs="Calibri"/>
          <w:szCs w:val="18"/>
        </w:rPr>
        <w:t xml:space="preserve">, </w:t>
      </w:r>
      <w:r w:rsidRPr="00FC324A">
        <w:rPr>
          <w:rFonts w:cs="Calibri"/>
          <w:szCs w:val="18"/>
        </w:rPr>
        <w:t xml:space="preserve">voce </w:t>
      </w:r>
      <w:r w:rsidRPr="00164594">
        <w:rPr>
          <w:rFonts w:cs="Calibri"/>
          <w:i/>
          <w:iCs/>
          <w:szCs w:val="18"/>
        </w:rPr>
        <w:t>Impossibilità sopravvenuta della prestazione: I) Diritto civile</w:t>
      </w:r>
      <w:r w:rsidRPr="00164594">
        <w:rPr>
          <w:rFonts w:cs="Calibri"/>
          <w:szCs w:val="18"/>
        </w:rPr>
        <w:t xml:space="preserve">, in </w:t>
      </w:r>
      <w:r w:rsidRPr="00164594">
        <w:rPr>
          <w:rFonts w:cs="Calibri"/>
          <w:i/>
          <w:iCs/>
          <w:szCs w:val="18"/>
        </w:rPr>
        <w:t>Enc. giur.</w:t>
      </w:r>
      <w:r w:rsidRPr="00164594">
        <w:rPr>
          <w:rFonts w:cs="Calibri"/>
          <w:szCs w:val="18"/>
        </w:rPr>
        <w:t xml:space="preserve">, XVI, Roma, 1991, 4; A. De Mauro, in Commentario P. Schlesinger (a cura di), </w:t>
      </w:r>
      <w:r w:rsidRPr="00164594">
        <w:rPr>
          <w:rFonts w:cs="Calibri"/>
          <w:i/>
          <w:iCs/>
          <w:szCs w:val="18"/>
        </w:rPr>
        <w:t>Impossibilità definitiva e impossibilità temporanea</w:t>
      </w:r>
      <w:r w:rsidRPr="00685E1A">
        <w:rPr>
          <w:rFonts w:cs="Calibri"/>
          <w:szCs w:val="18"/>
        </w:rPr>
        <w:t>,</w:t>
      </w:r>
      <w:r w:rsidRPr="00164594">
        <w:rPr>
          <w:rFonts w:cs="Calibri"/>
          <w:i/>
          <w:iCs/>
          <w:szCs w:val="18"/>
        </w:rPr>
        <w:t xml:space="preserve"> sub art. 1256</w:t>
      </w:r>
      <w:r w:rsidRPr="00164594">
        <w:rPr>
          <w:rFonts w:cs="Calibri"/>
          <w:szCs w:val="18"/>
        </w:rPr>
        <w:t>, Milano, 2011, 85 ss.</w:t>
      </w:r>
    </w:p>
  </w:footnote>
  <w:footnote w:id="36">
    <w:p w14:paraId="2F4A0D7E" w14:textId="77777777" w:rsidR="00BE4380" w:rsidRPr="00164594" w:rsidRDefault="00BE4380" w:rsidP="00BE4380">
      <w:pPr>
        <w:pStyle w:val="Testonotaapidipagina"/>
        <w:spacing w:line="204"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Al riguardo, Cass. civ., sez. I, 19 luglio 2018, n. 19269; Id., 21 maggio 2018, n. 12453; Id., 3 novembre 1994, n. 9060; Id., sez. II, 8 agosto 2003, n. 11947; Id., 11 gennaio 1992, n. 247.</w:t>
      </w:r>
    </w:p>
  </w:footnote>
  <w:footnote w:id="37">
    <w:p w14:paraId="46F47942" w14:textId="77777777" w:rsidR="00BE4380" w:rsidRPr="00164594" w:rsidRDefault="00BE4380" w:rsidP="00BE4380">
      <w:pPr>
        <w:pStyle w:val="Testonotaapidipagina"/>
        <w:spacing w:line="204" w:lineRule="exact"/>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Sul punto, G. </w:t>
      </w:r>
      <w:proofErr w:type="spellStart"/>
      <w:r w:rsidRPr="00164594">
        <w:rPr>
          <w:rFonts w:cs="Calibri"/>
          <w:szCs w:val="18"/>
        </w:rPr>
        <w:t>Sicchiero</w:t>
      </w:r>
      <w:proofErr w:type="spellEnd"/>
      <w:r w:rsidRPr="00164594">
        <w:rPr>
          <w:rFonts w:cs="Calibri"/>
          <w:szCs w:val="18"/>
        </w:rPr>
        <w:t xml:space="preserve">, </w:t>
      </w:r>
      <w:r w:rsidRPr="00164594">
        <w:rPr>
          <w:rFonts w:cs="Calibri"/>
          <w:i/>
          <w:iCs/>
          <w:szCs w:val="18"/>
        </w:rPr>
        <w:t>La rinegoziazione</w:t>
      </w:r>
      <w:r w:rsidRPr="00164594">
        <w:rPr>
          <w:rFonts w:cs="Calibri"/>
          <w:szCs w:val="18"/>
        </w:rPr>
        <w:t xml:space="preserve">, in </w:t>
      </w:r>
      <w:r w:rsidRPr="00164594">
        <w:rPr>
          <w:rFonts w:cs="Calibri"/>
          <w:i/>
          <w:iCs/>
          <w:szCs w:val="18"/>
        </w:rPr>
        <w:t>Contratto e impresa</w:t>
      </w:r>
      <w:r w:rsidRPr="00164594">
        <w:rPr>
          <w:rFonts w:cs="Calibri"/>
          <w:szCs w:val="18"/>
        </w:rPr>
        <w:t xml:space="preserve">, 2002, 777 ss.; G. Marasco, </w:t>
      </w:r>
      <w:r w:rsidRPr="00FC324A">
        <w:rPr>
          <w:rFonts w:cs="Calibri"/>
          <w:i/>
          <w:iCs/>
          <w:szCs w:val="18"/>
        </w:rPr>
        <w:t>La rinegoziazione e l’intervento del giudice nella gestione del contratto</w:t>
      </w:r>
      <w:r w:rsidRPr="00164594">
        <w:rPr>
          <w:rFonts w:cs="Calibri"/>
          <w:szCs w:val="18"/>
        </w:rPr>
        <w:t xml:space="preserve">, in </w:t>
      </w:r>
      <w:r w:rsidRPr="00FC324A">
        <w:rPr>
          <w:rFonts w:cs="Calibri"/>
          <w:i/>
          <w:iCs/>
          <w:szCs w:val="18"/>
        </w:rPr>
        <w:t>Contratto e Impresa</w:t>
      </w:r>
      <w:r w:rsidRPr="00164594">
        <w:rPr>
          <w:rFonts w:cs="Calibri"/>
          <w:szCs w:val="18"/>
        </w:rPr>
        <w:t xml:space="preserve">, 2005, 2, 539. Inoltre, </w:t>
      </w:r>
      <w:proofErr w:type="spellStart"/>
      <w:r w:rsidRPr="00164594">
        <w:rPr>
          <w:rFonts w:cs="Calibri"/>
          <w:szCs w:val="18"/>
        </w:rPr>
        <w:t>vd</w:t>
      </w:r>
      <w:proofErr w:type="spellEnd"/>
      <w:r w:rsidRPr="00164594">
        <w:rPr>
          <w:rFonts w:cs="Calibri"/>
          <w:szCs w:val="18"/>
        </w:rPr>
        <w:t>. Cass. civ., sez. I, 20 aprile 1994, n. 3775; Id., sez. II, 11 novembre 1986, n. 6584; Id., sez. I, 24 settembre 1999, n. 10511.</w:t>
      </w:r>
    </w:p>
  </w:footnote>
  <w:footnote w:id="38">
    <w:p w14:paraId="2BDCB4B1" w14:textId="77777777" w:rsidR="00BE4380" w:rsidRPr="00164594" w:rsidRDefault="00BE4380" w:rsidP="00BE4380">
      <w:pPr>
        <w:pStyle w:val="Testonotaapidipagina"/>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Cfr. Corte di Cassazione Relazione tematica 8 luglio 2020, n. 56.</w:t>
      </w:r>
    </w:p>
  </w:footnote>
  <w:footnote w:id="39">
    <w:p w14:paraId="4D0CAA5D" w14:textId="5AF5B3D6" w:rsidR="00BE4380" w:rsidRPr="00E7063B" w:rsidRDefault="00BE4380" w:rsidP="008242F0">
      <w:pPr>
        <w:pStyle w:val="Testonotaapidipagina"/>
        <w:spacing w:line="205" w:lineRule="exact"/>
        <w:rPr>
          <w:szCs w:val="18"/>
        </w:rPr>
      </w:pPr>
      <w:r w:rsidRPr="00E7063B">
        <w:rPr>
          <w:szCs w:val="18"/>
          <w:vertAlign w:val="superscript"/>
        </w:rPr>
        <w:footnoteRef/>
      </w:r>
      <w:r w:rsidRPr="00E7063B">
        <w:rPr>
          <w:szCs w:val="18"/>
          <w:vertAlign w:val="superscript"/>
        </w:rPr>
        <w:t> </w:t>
      </w:r>
      <w:r w:rsidRPr="00E7063B">
        <w:rPr>
          <w:szCs w:val="18"/>
        </w:rPr>
        <w:t xml:space="preserve">Si veda, ad esempio, </w:t>
      </w:r>
      <w:r w:rsidRPr="00E7063B">
        <w:rPr>
          <w:i/>
          <w:iCs/>
          <w:szCs w:val="18"/>
        </w:rPr>
        <w:t>Partenariato pubblico-privato: una proposta per il rilancio guida alle pubbliche amministrazioni per la redazione di un contratto di concessione per la progettazione</w:t>
      </w:r>
      <w:r w:rsidRPr="00E7063B">
        <w:rPr>
          <w:szCs w:val="18"/>
        </w:rPr>
        <w:t>,</w:t>
      </w:r>
      <w:r w:rsidRPr="00E7063B">
        <w:rPr>
          <w:i/>
          <w:iCs/>
          <w:szCs w:val="18"/>
        </w:rPr>
        <w:t xml:space="preserve"> costruzione e gestione di opere pubbliche in partenariato pubblico privato</w:t>
      </w:r>
      <w:r w:rsidRPr="00E7063B">
        <w:rPr>
          <w:szCs w:val="18"/>
        </w:rPr>
        <w:t>, approvato con Delibera dell</w:t>
      </w:r>
      <w:r w:rsidR="008242F0">
        <w:rPr>
          <w:szCs w:val="18"/>
        </w:rPr>
        <w:softHyphen/>
      </w:r>
      <w:r w:rsidRPr="00E7063B">
        <w:rPr>
          <w:szCs w:val="18"/>
        </w:rPr>
        <w:t>’Autorità azionale Anticorruzione n. 1116 del 22 dicembre 2020 e con Determina del Ragioniere Generale dello Stato n. 1 del 5 gennaio 2021.</w:t>
      </w:r>
    </w:p>
  </w:footnote>
  <w:footnote w:id="40">
    <w:p w14:paraId="79F0973C" w14:textId="77777777" w:rsidR="00BE4380" w:rsidRPr="00E7063B" w:rsidRDefault="00BE4380" w:rsidP="008242F0">
      <w:pPr>
        <w:pStyle w:val="Testonotaapidipagina"/>
        <w:spacing w:line="205" w:lineRule="exact"/>
        <w:rPr>
          <w:rFonts w:cs="Calibri"/>
          <w:szCs w:val="18"/>
        </w:rPr>
      </w:pPr>
      <w:r w:rsidRPr="00E7063B">
        <w:rPr>
          <w:rFonts w:cs="Calibri"/>
          <w:szCs w:val="18"/>
          <w:vertAlign w:val="superscript"/>
        </w:rPr>
        <w:footnoteRef/>
      </w:r>
      <w:r w:rsidRPr="00E7063B">
        <w:rPr>
          <w:rFonts w:cs="Calibri"/>
          <w:szCs w:val="18"/>
          <w:vertAlign w:val="superscript"/>
        </w:rPr>
        <w:t> </w:t>
      </w:r>
      <w:r w:rsidRPr="00E7063B">
        <w:rPr>
          <w:rFonts w:cs="Calibri"/>
          <w:szCs w:val="18"/>
        </w:rPr>
        <w:t xml:space="preserve">Sulle varianti nel partenariato pubblico privato, </w:t>
      </w:r>
      <w:proofErr w:type="spellStart"/>
      <w:r w:rsidRPr="00E7063B">
        <w:rPr>
          <w:rFonts w:cs="Calibri"/>
          <w:szCs w:val="18"/>
        </w:rPr>
        <w:t>vd</w:t>
      </w:r>
      <w:proofErr w:type="spellEnd"/>
      <w:r w:rsidRPr="00E7063B">
        <w:rPr>
          <w:rFonts w:cs="Calibri"/>
          <w:szCs w:val="18"/>
        </w:rPr>
        <w:t xml:space="preserve">. L. Miconi, </w:t>
      </w:r>
      <w:r w:rsidRPr="00E7063B">
        <w:rPr>
          <w:rFonts w:cs="Calibri"/>
          <w:i/>
          <w:iCs/>
          <w:szCs w:val="18"/>
        </w:rPr>
        <w:t>Le modifiche del contratto e le varianti in corso d’opera nel d.lgs. 50/2016 tra vecchie e nuove criticità</w:t>
      </w:r>
      <w:r w:rsidRPr="00E7063B">
        <w:rPr>
          <w:rFonts w:cs="Calibri"/>
          <w:szCs w:val="18"/>
        </w:rPr>
        <w:t xml:space="preserve">, in </w:t>
      </w:r>
      <w:r w:rsidRPr="00E7063B">
        <w:rPr>
          <w:rFonts w:cs="Calibri"/>
          <w:i/>
          <w:iCs/>
          <w:szCs w:val="18"/>
        </w:rPr>
        <w:t>GiustAmm.it</w:t>
      </w:r>
      <w:r w:rsidRPr="00E7063B">
        <w:rPr>
          <w:rFonts w:cs="Calibri"/>
          <w:szCs w:val="18"/>
        </w:rPr>
        <w:t xml:space="preserve">, 3/2017, 28-29; S. </w:t>
      </w:r>
      <w:proofErr w:type="spellStart"/>
      <w:r w:rsidRPr="00E7063B">
        <w:rPr>
          <w:rFonts w:cs="Calibri"/>
          <w:szCs w:val="18"/>
        </w:rPr>
        <w:t>Toschei</w:t>
      </w:r>
      <w:proofErr w:type="spellEnd"/>
      <w:r w:rsidRPr="00E7063B">
        <w:rPr>
          <w:rFonts w:cs="Calibri"/>
          <w:szCs w:val="18"/>
        </w:rPr>
        <w:t xml:space="preserve">, </w:t>
      </w:r>
      <w:r w:rsidRPr="00E7063B">
        <w:rPr>
          <w:rFonts w:cs="Calibri"/>
          <w:i/>
          <w:iCs/>
          <w:szCs w:val="18"/>
        </w:rPr>
        <w:t>Così cade il “tabù” della modificabilità del contratto di PPP</w:t>
      </w:r>
      <w:r w:rsidRPr="00E7063B">
        <w:rPr>
          <w:rFonts w:cs="Calibri"/>
          <w:szCs w:val="18"/>
        </w:rPr>
        <w:t xml:space="preserve">, in </w:t>
      </w:r>
      <w:r w:rsidRPr="00E7063B">
        <w:rPr>
          <w:rFonts w:cs="Calibri"/>
          <w:i/>
          <w:iCs/>
          <w:szCs w:val="18"/>
        </w:rPr>
        <w:t>Guida dir.</w:t>
      </w:r>
      <w:r w:rsidRPr="00E7063B">
        <w:rPr>
          <w:rFonts w:cs="Calibri"/>
          <w:szCs w:val="18"/>
        </w:rPr>
        <w:t xml:space="preserve">, 28/2016, XXII; </w:t>
      </w:r>
      <w:bookmarkStart w:id="11" w:name="_Hlk116580146"/>
      <w:r w:rsidRPr="00E7063B">
        <w:rPr>
          <w:rFonts w:cs="Calibri"/>
          <w:szCs w:val="18"/>
        </w:rPr>
        <w:t xml:space="preserve">E. Esposito, </w:t>
      </w:r>
      <w:r w:rsidRPr="00E7063B">
        <w:rPr>
          <w:rFonts w:cs="Calibri"/>
          <w:i/>
          <w:iCs/>
          <w:szCs w:val="18"/>
        </w:rPr>
        <w:t>Commento all’art. 175 del Codice dei contratti pubblici</w:t>
      </w:r>
      <w:r w:rsidRPr="00E7063B">
        <w:rPr>
          <w:rFonts w:cs="Calibri"/>
          <w:szCs w:val="18"/>
        </w:rPr>
        <w:t>, in L.R. Perfetti (a cura di),</w:t>
      </w:r>
      <w:r w:rsidRPr="00E7063B">
        <w:rPr>
          <w:rFonts w:cs="Calibri"/>
          <w:i/>
          <w:iCs/>
          <w:szCs w:val="18"/>
        </w:rPr>
        <w:t xml:space="preserve"> Codice dei contratti pubblici commentato</w:t>
      </w:r>
      <w:r w:rsidRPr="00E7063B">
        <w:rPr>
          <w:rFonts w:cs="Calibri"/>
          <w:szCs w:val="18"/>
        </w:rPr>
        <w:t>, Ipsoa, Milano, 2017, 1418</w:t>
      </w:r>
      <w:bookmarkEnd w:id="11"/>
      <w:r w:rsidRPr="00E7063B">
        <w:rPr>
          <w:rFonts w:cs="Calibri"/>
          <w:szCs w:val="18"/>
        </w:rPr>
        <w:t>.</w:t>
      </w:r>
    </w:p>
  </w:footnote>
  <w:footnote w:id="41">
    <w:p w14:paraId="1DE6D6C1" w14:textId="77777777" w:rsidR="00BE4380" w:rsidRPr="00E7063B" w:rsidRDefault="00BE4380" w:rsidP="008242F0">
      <w:pPr>
        <w:pStyle w:val="Testonotaapidipagina"/>
        <w:spacing w:line="205" w:lineRule="exact"/>
        <w:rPr>
          <w:rFonts w:cs="Calibri"/>
          <w:szCs w:val="18"/>
        </w:rPr>
      </w:pPr>
      <w:r w:rsidRPr="00E7063B">
        <w:rPr>
          <w:rFonts w:cs="Calibri"/>
          <w:szCs w:val="18"/>
          <w:vertAlign w:val="superscript"/>
        </w:rPr>
        <w:footnoteRef/>
      </w:r>
      <w:r w:rsidRPr="00E7063B">
        <w:rPr>
          <w:rFonts w:cs="Calibri"/>
          <w:szCs w:val="18"/>
          <w:vertAlign w:val="superscript"/>
        </w:rPr>
        <w:t> </w:t>
      </w:r>
      <w:r w:rsidRPr="00E7063B">
        <w:rPr>
          <w:rFonts w:cs="Calibri"/>
          <w:szCs w:val="18"/>
        </w:rPr>
        <w:t xml:space="preserve">Sull’art. 175, d.lgs. n. 50/2016, </w:t>
      </w:r>
      <w:proofErr w:type="spellStart"/>
      <w:r w:rsidRPr="00E7063B">
        <w:rPr>
          <w:rFonts w:cs="Calibri"/>
          <w:szCs w:val="18"/>
        </w:rPr>
        <w:t>vd</w:t>
      </w:r>
      <w:proofErr w:type="spellEnd"/>
      <w:r w:rsidRPr="00E7063B">
        <w:rPr>
          <w:rFonts w:cs="Calibri"/>
          <w:szCs w:val="18"/>
        </w:rPr>
        <w:t xml:space="preserve">. R. De Nictolis, </w:t>
      </w:r>
      <w:r w:rsidRPr="00E7063B">
        <w:rPr>
          <w:rFonts w:cs="Calibri"/>
          <w:i/>
          <w:iCs/>
          <w:szCs w:val="18"/>
        </w:rPr>
        <w:t>Il nuovo Codice dei contratti pubblici</w:t>
      </w:r>
      <w:r w:rsidRPr="00E7063B">
        <w:rPr>
          <w:rFonts w:cs="Calibri"/>
          <w:szCs w:val="18"/>
        </w:rPr>
        <w:t xml:space="preserve">, in </w:t>
      </w:r>
      <w:r w:rsidRPr="00E7063B">
        <w:rPr>
          <w:rFonts w:cs="Calibri"/>
          <w:i/>
          <w:iCs/>
          <w:szCs w:val="18"/>
        </w:rPr>
        <w:t>Urbanistica e appalti</w:t>
      </w:r>
      <w:r w:rsidRPr="00E7063B">
        <w:rPr>
          <w:rFonts w:cs="Calibri"/>
          <w:szCs w:val="18"/>
        </w:rPr>
        <w:t xml:space="preserve">, 5/2016, 503 ss.; C. De Rosa-E. Guarnaccia-B. Locoratolo, </w:t>
      </w:r>
      <w:r w:rsidRPr="00E7063B">
        <w:rPr>
          <w:rFonts w:cs="Calibri"/>
          <w:i/>
          <w:iCs/>
          <w:szCs w:val="18"/>
        </w:rPr>
        <w:t>Guida al nuovo Codice dei contratti pubblici</w:t>
      </w:r>
      <w:r w:rsidRPr="00E7063B">
        <w:rPr>
          <w:rFonts w:cs="Calibri"/>
          <w:szCs w:val="18"/>
        </w:rPr>
        <w:t xml:space="preserve">, Edizioni Giuridiche Simone, Napoli, 2016; C. Contessa, </w:t>
      </w:r>
      <w:r w:rsidRPr="00E7063B">
        <w:rPr>
          <w:rFonts w:cs="Calibri"/>
          <w:i/>
          <w:iCs/>
          <w:szCs w:val="18"/>
        </w:rPr>
        <w:t>Le nuove regole dell’affidamento delle concessioni</w:t>
      </w:r>
      <w:r w:rsidRPr="00E7063B">
        <w:rPr>
          <w:rFonts w:cs="Calibri"/>
          <w:szCs w:val="18"/>
        </w:rPr>
        <w:t xml:space="preserve">, in </w:t>
      </w:r>
      <w:r w:rsidRPr="00E7063B">
        <w:rPr>
          <w:rFonts w:cs="Calibri"/>
          <w:i/>
          <w:iCs/>
          <w:szCs w:val="18"/>
        </w:rPr>
        <w:t>Urbanistica e Appalti</w:t>
      </w:r>
      <w:r w:rsidRPr="00E7063B">
        <w:rPr>
          <w:rFonts w:cs="Calibri"/>
          <w:szCs w:val="18"/>
        </w:rPr>
        <w:t>, 9-9/2016, 933.</w:t>
      </w:r>
    </w:p>
  </w:footnote>
  <w:footnote w:id="42">
    <w:p w14:paraId="3BC96AA1" w14:textId="77777777" w:rsidR="00BE4380" w:rsidRPr="00E7063B" w:rsidRDefault="00BE4380" w:rsidP="00E7063B">
      <w:pPr>
        <w:pStyle w:val="Testonotaapidipagina"/>
        <w:widowControl w:val="0"/>
        <w:spacing w:line="200" w:lineRule="exact"/>
        <w:rPr>
          <w:rFonts w:cs="Calibri"/>
          <w:szCs w:val="18"/>
        </w:rPr>
      </w:pPr>
      <w:r w:rsidRPr="00E7063B">
        <w:rPr>
          <w:rFonts w:cs="Calibri"/>
          <w:szCs w:val="18"/>
          <w:vertAlign w:val="superscript"/>
        </w:rPr>
        <w:footnoteRef/>
      </w:r>
      <w:r w:rsidRPr="00E7063B">
        <w:rPr>
          <w:rFonts w:cs="Calibri"/>
          <w:szCs w:val="18"/>
          <w:vertAlign w:val="superscript"/>
        </w:rPr>
        <w:t> </w:t>
      </w:r>
      <w:r w:rsidRPr="00E7063B">
        <w:rPr>
          <w:rFonts w:cs="Calibri"/>
          <w:szCs w:val="18"/>
        </w:rPr>
        <w:t xml:space="preserve">E. Esposito, </w:t>
      </w:r>
      <w:r w:rsidRPr="00E7063B">
        <w:rPr>
          <w:rFonts w:cs="Calibri"/>
          <w:i/>
          <w:iCs/>
          <w:szCs w:val="18"/>
        </w:rPr>
        <w:t>op. cit.</w:t>
      </w:r>
      <w:r w:rsidRPr="00E7063B">
        <w:rPr>
          <w:rFonts w:cs="Calibri"/>
          <w:szCs w:val="18"/>
        </w:rPr>
        <w:t>, 1419, precisa che “</w:t>
      </w:r>
      <w:r w:rsidRPr="00E7063B">
        <w:rPr>
          <w:rFonts w:cs="Calibri"/>
          <w:i/>
          <w:iCs/>
          <w:szCs w:val="18"/>
        </w:rPr>
        <w:t>l’impraticabilità per motivi tecnici può essere ravvisata nella necessità di mantenere la funzionalità di macchine o componenti tecnologiche già installate dall’appaltatore originario che potrebbero non essere compatibili con quelle fornite dal nuovo esecutore. Più complesso è individuare il concetto di impraticabilità per motivi economici</w:t>
      </w:r>
      <w:r w:rsidRPr="00E7063B">
        <w:rPr>
          <w:rFonts w:cs="Calibri"/>
          <w:szCs w:val="18"/>
        </w:rPr>
        <w:t>,</w:t>
      </w:r>
      <w:r w:rsidRPr="00E7063B">
        <w:rPr>
          <w:rFonts w:cs="Calibri"/>
          <w:i/>
          <w:iCs/>
          <w:szCs w:val="18"/>
        </w:rPr>
        <w:t xml:space="preserve"> in quanto in tale concetto potrebbero rientrare sia l’ipotesi della totale assenza di fondi sia l’ipotesi della mera non convenienza economica della sostituzione del concessionario</w:t>
      </w:r>
      <w:r w:rsidRPr="00E7063B">
        <w:rPr>
          <w:rFonts w:cs="Calibri"/>
          <w:szCs w:val="18"/>
        </w:rPr>
        <w:t>”.</w:t>
      </w:r>
    </w:p>
  </w:footnote>
  <w:footnote w:id="43">
    <w:p w14:paraId="390C6506" w14:textId="77777777" w:rsidR="00BE4380" w:rsidRPr="00E7063B" w:rsidRDefault="00BE4380" w:rsidP="00E7063B">
      <w:pPr>
        <w:pStyle w:val="Testonotaapidipagina"/>
        <w:spacing w:line="202" w:lineRule="exact"/>
        <w:rPr>
          <w:rFonts w:cs="Calibri"/>
          <w:szCs w:val="18"/>
        </w:rPr>
      </w:pPr>
      <w:r w:rsidRPr="00E7063B">
        <w:rPr>
          <w:rFonts w:cs="Calibri"/>
          <w:szCs w:val="18"/>
          <w:vertAlign w:val="superscript"/>
        </w:rPr>
        <w:footnoteRef/>
      </w:r>
      <w:r w:rsidRPr="00E7063B">
        <w:rPr>
          <w:rFonts w:cs="Calibri"/>
          <w:szCs w:val="18"/>
          <w:vertAlign w:val="superscript"/>
        </w:rPr>
        <w:t> </w:t>
      </w:r>
      <w:r w:rsidRPr="00E7063B">
        <w:rPr>
          <w:rFonts w:cs="Calibri"/>
          <w:szCs w:val="18"/>
        </w:rPr>
        <w:t>Secondo la giurisprudenza, seppur riferita al vecchio Codice c.d. Delise, le condizioni di cui all’art. 175, comma 1, lett. b), del Codice devono essere interpretate in senso restrittivo. In particolare, sul punto, T.A.R. Calabria, Reggio Calabria, 29 dicembre 2015, n. 1287; Cons. Stato, sez. III, 25 novembre 2014, n. 5827; TAR Veneto, Venezia, sez. I, 28 aprile 2014, n. 538.</w:t>
      </w:r>
    </w:p>
  </w:footnote>
  <w:footnote w:id="44">
    <w:p w14:paraId="2B8C7C69" w14:textId="77777777" w:rsidR="00BE4380" w:rsidRPr="00E7063B" w:rsidRDefault="00BE4380" w:rsidP="00E7063B">
      <w:pPr>
        <w:pStyle w:val="Testonotaapidipagina"/>
        <w:spacing w:line="202" w:lineRule="exact"/>
        <w:rPr>
          <w:rFonts w:cs="Calibri"/>
          <w:szCs w:val="18"/>
        </w:rPr>
      </w:pPr>
      <w:r w:rsidRPr="00E7063B">
        <w:rPr>
          <w:rFonts w:cs="Calibri"/>
          <w:szCs w:val="18"/>
          <w:vertAlign w:val="superscript"/>
        </w:rPr>
        <w:footnoteRef/>
      </w:r>
      <w:r w:rsidRPr="00E7063B">
        <w:rPr>
          <w:rFonts w:cs="Calibri"/>
          <w:szCs w:val="18"/>
          <w:vertAlign w:val="superscript"/>
        </w:rPr>
        <w:t> </w:t>
      </w:r>
      <w:r w:rsidRPr="00E7063B">
        <w:rPr>
          <w:rFonts w:cs="Calibri"/>
          <w:szCs w:val="18"/>
        </w:rPr>
        <w:t xml:space="preserve">Sul punto, E. Esposito, </w:t>
      </w:r>
      <w:r w:rsidRPr="00E7063B">
        <w:rPr>
          <w:rFonts w:cs="Calibri"/>
          <w:i/>
          <w:iCs/>
          <w:szCs w:val="18"/>
        </w:rPr>
        <w:t>Commento all’art. 175 del Codice dei contratti pubblici</w:t>
      </w:r>
      <w:r w:rsidRPr="00E7063B">
        <w:rPr>
          <w:rFonts w:cs="Calibri"/>
          <w:szCs w:val="18"/>
        </w:rPr>
        <w:t xml:space="preserve">, in L.R. Perfetti (a cura di), </w:t>
      </w:r>
      <w:r w:rsidRPr="00E7063B">
        <w:rPr>
          <w:rFonts w:cs="Calibri"/>
          <w:i/>
          <w:iCs/>
          <w:szCs w:val="18"/>
        </w:rPr>
        <w:t>Codice dei contratti pubblici commentato</w:t>
      </w:r>
      <w:r w:rsidRPr="00E7063B">
        <w:rPr>
          <w:rFonts w:cs="Calibri"/>
          <w:szCs w:val="18"/>
        </w:rPr>
        <w:t>, Ipsoa, Milano, 2017, 1421, specifica che “</w:t>
      </w:r>
      <w:r w:rsidRPr="00E7063B">
        <w:rPr>
          <w:rFonts w:cs="Calibri"/>
          <w:i/>
          <w:iCs/>
          <w:szCs w:val="18"/>
        </w:rPr>
        <w:t>secondo i principi espressi dalla Corte di giustizia</w:t>
      </w:r>
      <w:r w:rsidRPr="00E7063B">
        <w:rPr>
          <w:rFonts w:cs="Calibri"/>
          <w:szCs w:val="18"/>
        </w:rPr>
        <w:t>,</w:t>
      </w:r>
      <w:r w:rsidRPr="00E7063B">
        <w:rPr>
          <w:rFonts w:cs="Calibri"/>
          <w:i/>
          <w:iCs/>
          <w:szCs w:val="18"/>
        </w:rPr>
        <w:t xml:space="preserve"> si ha un’alterazione della natura generale del contratto quando</w:t>
      </w:r>
      <w:r w:rsidRPr="00E7063B">
        <w:rPr>
          <w:rFonts w:cs="Calibri"/>
          <w:szCs w:val="18"/>
        </w:rPr>
        <w:t>,</w:t>
      </w:r>
      <w:r w:rsidRPr="00E7063B">
        <w:rPr>
          <w:rFonts w:cs="Calibri"/>
          <w:i/>
          <w:iCs/>
          <w:szCs w:val="18"/>
        </w:rPr>
        <w:t xml:space="preserve"> ad esempio</w:t>
      </w:r>
      <w:r w:rsidRPr="00E7063B">
        <w:rPr>
          <w:rFonts w:cs="Calibri"/>
          <w:szCs w:val="18"/>
        </w:rPr>
        <w:t>,</w:t>
      </w:r>
      <w:r w:rsidRPr="00E7063B">
        <w:rPr>
          <w:rFonts w:cs="Calibri"/>
          <w:i/>
          <w:iCs/>
          <w:szCs w:val="18"/>
        </w:rPr>
        <w:t xml:space="preserve"> i lavori o i servizi oggetto della concessione sono sostituiti con qualcosa di diverso oppure si produce un cambiamento sostanziale del tipo di concessione</w:t>
      </w:r>
      <w:r w:rsidRPr="00E7063B">
        <w:rPr>
          <w:rFonts w:cs="Calibri"/>
          <w:szCs w:val="18"/>
        </w:rPr>
        <w:t>”.</w:t>
      </w:r>
    </w:p>
  </w:footnote>
  <w:footnote w:id="45">
    <w:p w14:paraId="478D8AD5" w14:textId="77777777" w:rsidR="00BE4380" w:rsidRPr="00E7063B" w:rsidRDefault="00BE4380" w:rsidP="00E7063B">
      <w:pPr>
        <w:pStyle w:val="Testonotaapidipagina"/>
        <w:spacing w:line="202" w:lineRule="exact"/>
        <w:rPr>
          <w:rFonts w:cs="Calibri"/>
          <w:szCs w:val="18"/>
        </w:rPr>
      </w:pPr>
      <w:r w:rsidRPr="00E7063B">
        <w:rPr>
          <w:rFonts w:cs="Calibri"/>
          <w:szCs w:val="18"/>
          <w:vertAlign w:val="superscript"/>
        </w:rPr>
        <w:footnoteRef/>
      </w:r>
      <w:r w:rsidRPr="00E7063B">
        <w:rPr>
          <w:rFonts w:cs="Calibri"/>
          <w:szCs w:val="18"/>
          <w:vertAlign w:val="superscript"/>
        </w:rPr>
        <w:t> </w:t>
      </w:r>
      <w:r w:rsidRPr="00E7063B">
        <w:rPr>
          <w:rFonts w:cs="Calibri"/>
          <w:szCs w:val="18"/>
        </w:rPr>
        <w:t xml:space="preserve">Sulla sostituzione del concessionario, </w:t>
      </w:r>
      <w:proofErr w:type="spellStart"/>
      <w:r w:rsidRPr="00E7063B">
        <w:rPr>
          <w:rFonts w:cs="Calibri"/>
          <w:szCs w:val="18"/>
        </w:rPr>
        <w:t>vd</w:t>
      </w:r>
      <w:proofErr w:type="spellEnd"/>
      <w:r w:rsidRPr="00E7063B">
        <w:rPr>
          <w:rFonts w:cs="Calibri"/>
          <w:szCs w:val="18"/>
        </w:rPr>
        <w:t xml:space="preserve">. E. Esposito, </w:t>
      </w:r>
      <w:r w:rsidRPr="00E7063B">
        <w:rPr>
          <w:rFonts w:cs="Calibri"/>
          <w:i/>
          <w:iCs/>
          <w:szCs w:val="18"/>
        </w:rPr>
        <w:t>op. cit.</w:t>
      </w:r>
      <w:r w:rsidRPr="00E7063B">
        <w:rPr>
          <w:rFonts w:cs="Calibri"/>
          <w:szCs w:val="18"/>
        </w:rPr>
        <w:t>, 421 ss.</w:t>
      </w:r>
    </w:p>
  </w:footnote>
  <w:footnote w:id="46">
    <w:p w14:paraId="1C13DA2F" w14:textId="77777777" w:rsidR="00BE4380" w:rsidRPr="00164594" w:rsidRDefault="00BE4380" w:rsidP="00E7063B">
      <w:pPr>
        <w:pStyle w:val="Testonotaapidipagina"/>
        <w:spacing w:line="202" w:lineRule="exact"/>
        <w:rPr>
          <w:rFonts w:cs="Calibri"/>
          <w:szCs w:val="18"/>
        </w:rPr>
      </w:pPr>
      <w:r w:rsidRPr="00E7063B">
        <w:rPr>
          <w:rFonts w:cs="Calibri"/>
          <w:szCs w:val="18"/>
          <w:vertAlign w:val="superscript"/>
        </w:rPr>
        <w:footnoteRef/>
      </w:r>
      <w:r w:rsidRPr="00E7063B">
        <w:rPr>
          <w:rFonts w:cs="Calibri"/>
          <w:szCs w:val="18"/>
          <w:vertAlign w:val="superscript"/>
        </w:rPr>
        <w:t> </w:t>
      </w:r>
      <w:r w:rsidRPr="00E7063B">
        <w:rPr>
          <w:rFonts w:cs="Calibri"/>
          <w:szCs w:val="18"/>
        </w:rPr>
        <w:t xml:space="preserve">Sul punto, </w:t>
      </w:r>
      <w:proofErr w:type="spellStart"/>
      <w:r w:rsidRPr="00E7063B">
        <w:rPr>
          <w:rFonts w:cs="Calibri"/>
          <w:szCs w:val="18"/>
        </w:rPr>
        <w:t>vd</w:t>
      </w:r>
      <w:proofErr w:type="spellEnd"/>
      <w:r w:rsidRPr="00E7063B">
        <w:rPr>
          <w:rFonts w:cs="Calibri"/>
          <w:szCs w:val="18"/>
        </w:rPr>
        <w:t>. C</w:t>
      </w:r>
      <w:r w:rsidRPr="00164594">
        <w:rPr>
          <w:rFonts w:cs="Calibri"/>
          <w:szCs w:val="18"/>
        </w:rPr>
        <w:t xml:space="preserve">orte di Giustizia UE, Grande Sez., 13 aprile 2010, n. 91 secondo cui sono modifiche sostanziali quelle </w:t>
      </w:r>
      <w:r w:rsidRPr="000B1593">
        <w:rPr>
          <w:rFonts w:cs="Calibri"/>
          <w:szCs w:val="18"/>
        </w:rPr>
        <w:t>“</w:t>
      </w:r>
      <w:r w:rsidRPr="00164594">
        <w:rPr>
          <w:rFonts w:cs="Calibri"/>
          <w:i/>
          <w:iCs/>
          <w:szCs w:val="18"/>
        </w:rPr>
        <w:t>apportate alle disposizioni essenziali di un contratto di appalto devono ritenersi equivalenti ad una nuova aggiudicazione quando presentino caratteristiche sostanzialmente diverse rispetto a quelle del contratto iniziale e siano</w:t>
      </w:r>
      <w:r w:rsidRPr="00685E1A">
        <w:rPr>
          <w:rFonts w:cs="Calibri"/>
          <w:szCs w:val="18"/>
        </w:rPr>
        <w:t>,</w:t>
      </w:r>
      <w:r w:rsidRPr="00164594">
        <w:rPr>
          <w:rFonts w:cs="Calibri"/>
          <w:i/>
          <w:iCs/>
          <w:szCs w:val="18"/>
        </w:rPr>
        <w:t xml:space="preserve"> di conseguenza</w:t>
      </w:r>
      <w:r w:rsidRPr="00685E1A">
        <w:rPr>
          <w:rFonts w:cs="Calibri"/>
          <w:szCs w:val="18"/>
        </w:rPr>
        <w:t>,</w:t>
      </w:r>
      <w:r w:rsidRPr="00164594">
        <w:rPr>
          <w:rFonts w:cs="Calibri"/>
          <w:i/>
          <w:iCs/>
          <w:szCs w:val="18"/>
        </w:rPr>
        <w:t xml:space="preserve"> atte a dimostrare la volontà delle parti di rinegoziare i termini essenziali di tale appalto</w:t>
      </w:r>
      <w:r w:rsidRPr="000B1593">
        <w:rPr>
          <w:rFonts w:cs="Calibri"/>
          <w:szCs w:val="18"/>
        </w:rPr>
        <w:t>”.</w:t>
      </w:r>
    </w:p>
  </w:footnote>
  <w:footnote w:id="47">
    <w:p w14:paraId="40A5F785" w14:textId="77777777" w:rsidR="00BE4380" w:rsidRPr="00164594" w:rsidRDefault="00BE4380" w:rsidP="00E7063B">
      <w:pPr>
        <w:pStyle w:val="Testonotaapidipagina"/>
        <w:widowControl w:val="0"/>
        <w:rPr>
          <w:rFonts w:cs="Calibri"/>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Ai sensi dell’art. 175, comma 7, d.lgs. n. 50/2016: </w:t>
      </w:r>
      <w:r w:rsidRPr="000B1593">
        <w:rPr>
          <w:rFonts w:cs="Calibri"/>
          <w:szCs w:val="18"/>
        </w:rPr>
        <w:t>“</w:t>
      </w:r>
      <w:r w:rsidRPr="00164594">
        <w:rPr>
          <w:rFonts w:cs="Calibri"/>
          <w:i/>
          <w:iCs/>
          <w:szCs w:val="18"/>
        </w:rPr>
        <w:t>7. La modifica di una concessione durante il periodo della sua efficacia è considerata sostanziale</w:t>
      </w:r>
      <w:r w:rsidRPr="00685E1A">
        <w:rPr>
          <w:rFonts w:cs="Calibri"/>
          <w:szCs w:val="18"/>
        </w:rPr>
        <w:t>,</w:t>
      </w:r>
      <w:r w:rsidRPr="00164594">
        <w:rPr>
          <w:rFonts w:cs="Calibri"/>
          <w:i/>
          <w:iCs/>
          <w:szCs w:val="18"/>
        </w:rPr>
        <w:t xml:space="preserve"> quando altera considerevolmente gli elementi essenziali del contratto originariamente pattuito. In ogni caso</w:t>
      </w:r>
      <w:r w:rsidRPr="00685E1A">
        <w:rPr>
          <w:rFonts w:cs="Calibri"/>
          <w:szCs w:val="18"/>
        </w:rPr>
        <w:t>,</w:t>
      </w:r>
      <w:r w:rsidRPr="00164594">
        <w:rPr>
          <w:rFonts w:cs="Calibri"/>
          <w:i/>
          <w:iCs/>
          <w:szCs w:val="18"/>
        </w:rPr>
        <w:t xml:space="preserve"> fatti salvi i commi 1 e 4</w:t>
      </w:r>
      <w:r w:rsidRPr="00685E1A">
        <w:rPr>
          <w:rFonts w:cs="Calibri"/>
          <w:szCs w:val="18"/>
        </w:rPr>
        <w:t>,</w:t>
      </w:r>
      <w:r w:rsidRPr="00164594">
        <w:rPr>
          <w:rFonts w:cs="Calibri"/>
          <w:i/>
          <w:iCs/>
          <w:szCs w:val="18"/>
        </w:rPr>
        <w:t xml:space="preserve"> una modifica è considerata sostanziale se almeno una delle seguenti condizioni è soddisfatta: a) la modifica introduce condizioni che</w:t>
      </w:r>
      <w:r w:rsidRPr="00685E1A">
        <w:rPr>
          <w:rFonts w:cs="Calibri"/>
          <w:szCs w:val="18"/>
        </w:rPr>
        <w:t>,</w:t>
      </w:r>
      <w:r w:rsidRPr="00164594">
        <w:rPr>
          <w:rFonts w:cs="Calibri"/>
          <w:i/>
          <w:iCs/>
          <w:szCs w:val="18"/>
        </w:rPr>
        <w:t xml:space="preserve"> ove originariamente previste</w:t>
      </w:r>
      <w:r w:rsidRPr="00685E1A">
        <w:rPr>
          <w:rFonts w:cs="Calibri"/>
          <w:szCs w:val="18"/>
        </w:rPr>
        <w:t>,</w:t>
      </w:r>
      <w:r w:rsidRPr="00164594">
        <w:rPr>
          <w:rFonts w:cs="Calibri"/>
          <w:i/>
          <w:iCs/>
          <w:szCs w:val="18"/>
        </w:rPr>
        <w:t xml:space="preserve"> avrebbero consentito l’ammissione di candidati (o di offerenti – n.d.r.) diversi da quelli inizialmente selezionati o l’accettazione di un’offerta diversa da quella accettata</w:t>
      </w:r>
      <w:r w:rsidRPr="00685E1A">
        <w:rPr>
          <w:rFonts w:cs="Calibri"/>
          <w:szCs w:val="18"/>
        </w:rPr>
        <w:t>,</w:t>
      </w:r>
      <w:r w:rsidRPr="00164594">
        <w:rPr>
          <w:rFonts w:cs="Calibri"/>
          <w:i/>
          <w:iCs/>
          <w:szCs w:val="18"/>
        </w:rPr>
        <w:t xml:space="preserve"> oppure avrebbero consentito una maggiore partecipazione alla procedura di aggiudicazione; b) la modifica altera l’equilibrio economico della concessione a favore del concessionario in modo non previsto dalla concessione iniziale; c) la modifica estende notevolmente l’ambito di applicazione della concessione; d) se un nuovo concessionario sostituisce quello cui la stazione appaltante aveva inizialmente aggiudicato la concessione in casi diversi da quelli previsti al comma 1</w:t>
      </w:r>
      <w:r w:rsidRPr="00685E1A">
        <w:rPr>
          <w:rFonts w:cs="Calibri"/>
          <w:szCs w:val="18"/>
        </w:rPr>
        <w:t>,</w:t>
      </w:r>
      <w:r w:rsidRPr="00164594">
        <w:rPr>
          <w:rFonts w:cs="Calibri"/>
          <w:i/>
          <w:iCs/>
          <w:szCs w:val="18"/>
        </w:rPr>
        <w:t xml:space="preserve"> lettera d)</w:t>
      </w:r>
      <w:r w:rsidRPr="000B1593">
        <w:rPr>
          <w:rFonts w:cs="Calibri"/>
          <w:szCs w:val="18"/>
        </w:rPr>
        <w:t xml:space="preserve">”. </w:t>
      </w:r>
      <w:r w:rsidRPr="00164594">
        <w:rPr>
          <w:rFonts w:cs="Calibri"/>
          <w:szCs w:val="18"/>
        </w:rPr>
        <w:t xml:space="preserve">Sul punto, F. Garella, </w:t>
      </w:r>
      <w:r w:rsidRPr="00164594">
        <w:rPr>
          <w:rFonts w:cs="Calibri"/>
          <w:i/>
          <w:iCs/>
          <w:szCs w:val="18"/>
        </w:rPr>
        <w:t>Contratti di concessione</w:t>
      </w:r>
      <w:r w:rsidRPr="00164594">
        <w:rPr>
          <w:rFonts w:cs="Calibri"/>
          <w:szCs w:val="18"/>
        </w:rPr>
        <w:t>, in F. Garella</w:t>
      </w:r>
      <w:r>
        <w:rPr>
          <w:rFonts w:cs="Calibri"/>
          <w:szCs w:val="18"/>
        </w:rPr>
        <w:t>-</w:t>
      </w:r>
      <w:r w:rsidRPr="00164594">
        <w:rPr>
          <w:rFonts w:cs="Calibri"/>
          <w:szCs w:val="18"/>
        </w:rPr>
        <w:t xml:space="preserve">M. Mariani (a cura di), </w:t>
      </w:r>
      <w:r w:rsidRPr="00164594">
        <w:rPr>
          <w:rFonts w:cs="Calibri"/>
          <w:i/>
          <w:iCs/>
          <w:szCs w:val="18"/>
        </w:rPr>
        <w:t>Il Codice dei contratti pubblici</w:t>
      </w:r>
      <w:r w:rsidRPr="00164594">
        <w:rPr>
          <w:rFonts w:cs="Calibri"/>
          <w:szCs w:val="18"/>
        </w:rPr>
        <w:t>, Torino, Giappichelli, 2016, p. 392.</w:t>
      </w:r>
    </w:p>
  </w:footnote>
  <w:footnote w:id="48">
    <w:p w14:paraId="3A1576DE" w14:textId="77777777" w:rsidR="00BE4380" w:rsidRPr="00164594" w:rsidRDefault="00BE4380" w:rsidP="00BE4380">
      <w:pPr>
        <w:pStyle w:val="Testonotaapidipagina"/>
        <w:rPr>
          <w:szCs w:val="18"/>
        </w:rPr>
      </w:pPr>
      <w:r w:rsidRPr="00164594">
        <w:rPr>
          <w:rFonts w:cs="Calibri"/>
          <w:szCs w:val="18"/>
          <w:vertAlign w:val="superscript"/>
        </w:rPr>
        <w:footnoteRef/>
      </w:r>
      <w:r w:rsidRPr="00164594">
        <w:rPr>
          <w:rFonts w:cs="Calibri"/>
          <w:szCs w:val="18"/>
          <w:vertAlign w:val="superscript"/>
        </w:rPr>
        <w:t> </w:t>
      </w:r>
      <w:r w:rsidRPr="00164594">
        <w:rPr>
          <w:rFonts w:cs="Calibri"/>
          <w:szCs w:val="18"/>
        </w:rPr>
        <w:t xml:space="preserve">Sul punto, Delibera ANAC 12 aprile 2017, n. 388, secondo cui </w:t>
      </w:r>
      <w:r w:rsidRPr="00E3785B">
        <w:rPr>
          <w:rFonts w:cs="Calibri"/>
          <w:szCs w:val="18"/>
        </w:rPr>
        <w:t>“</w:t>
      </w:r>
      <w:r w:rsidRPr="00164594">
        <w:rPr>
          <w:rFonts w:cs="Calibri"/>
          <w:i/>
          <w:iCs/>
          <w:szCs w:val="18"/>
        </w:rPr>
        <w:t>Con riferimento all’importo del 50% del valore del contratto</w:t>
      </w:r>
      <w:r w:rsidRPr="00685E1A">
        <w:rPr>
          <w:rFonts w:cs="Calibri"/>
          <w:szCs w:val="18"/>
        </w:rPr>
        <w:t>,</w:t>
      </w:r>
      <w:r w:rsidRPr="00164594">
        <w:rPr>
          <w:rFonts w:cs="Calibri"/>
          <w:i/>
          <w:iCs/>
          <w:szCs w:val="18"/>
        </w:rPr>
        <w:t xml:space="preserve"> che in passato rappresentava un limite massimo entro il quale si potevano affidare al contraente originario lavori e servizi complementari</w:t>
      </w:r>
      <w:r w:rsidRPr="00685E1A">
        <w:rPr>
          <w:rFonts w:cs="Calibri"/>
          <w:szCs w:val="18"/>
        </w:rPr>
        <w:t>,</w:t>
      </w:r>
      <w:r w:rsidRPr="00164594">
        <w:rPr>
          <w:rFonts w:cs="Calibri"/>
          <w:i/>
          <w:iCs/>
          <w:szCs w:val="18"/>
        </w:rPr>
        <w:t xml:space="preserve"> nelle disposizioni dell’art. 106 e 175 tale vincolo non appare confermato</w:t>
      </w:r>
      <w:r w:rsidRPr="00685E1A">
        <w:rPr>
          <w:rFonts w:cs="Calibri"/>
          <w:szCs w:val="18"/>
        </w:rPr>
        <w:t>,</w:t>
      </w:r>
      <w:r w:rsidRPr="00164594">
        <w:rPr>
          <w:rFonts w:cs="Calibri"/>
          <w:i/>
          <w:iCs/>
          <w:szCs w:val="18"/>
        </w:rPr>
        <w:t xml:space="preserve"> posto che ai sensi del comma 7 dell’art. 106</w:t>
      </w:r>
      <w:r w:rsidRPr="00685E1A">
        <w:rPr>
          <w:rFonts w:cs="Calibri"/>
          <w:szCs w:val="18"/>
        </w:rPr>
        <w:t>,</w:t>
      </w:r>
      <w:r w:rsidRPr="00164594">
        <w:rPr>
          <w:rFonts w:cs="Calibri"/>
          <w:i/>
          <w:iCs/>
          <w:szCs w:val="18"/>
        </w:rPr>
        <w:t xml:space="preserve"> in caso di più modifiche successive</w:t>
      </w:r>
      <w:r w:rsidRPr="00685E1A">
        <w:rPr>
          <w:rFonts w:cs="Calibri"/>
          <w:szCs w:val="18"/>
        </w:rPr>
        <w:t>,</w:t>
      </w:r>
      <w:r w:rsidRPr="00164594">
        <w:rPr>
          <w:rFonts w:cs="Calibri"/>
          <w:i/>
          <w:iCs/>
          <w:szCs w:val="18"/>
        </w:rPr>
        <w:t xml:space="preserve"> detto limite è calcolato con riferimento al valore di ciascuna modifica</w:t>
      </w:r>
      <w:r w:rsidRPr="00E3785B">
        <w:rPr>
          <w:rFonts w:cs="Calibri"/>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E6C95" w14:textId="02D9A952" w:rsidR="004C27BA" w:rsidRPr="00175302" w:rsidRDefault="004C27BA" w:rsidP="0072504B">
    <w:pPr>
      <w:tabs>
        <w:tab w:val="center" w:pos="3629"/>
        <w:tab w:val="right" w:pos="7258"/>
      </w:tabs>
      <w:spacing w:after="0" w:line="240" w:lineRule="exact"/>
      <w:jc w:val="both"/>
      <w:rPr>
        <w:rFonts w:ascii="Simoncini Garamond Std" w:hAnsi="Simoncini Garamond Std"/>
        <w:sz w:val="21"/>
        <w:szCs w:val="21"/>
      </w:rPr>
    </w:pPr>
    <w:r w:rsidRPr="00EA7219">
      <w:rPr>
        <w:rFonts w:ascii="Simoncini Garamond Std" w:hAnsi="Simoncini Garamond Std"/>
        <w:sz w:val="20"/>
        <w:szCs w:val="20"/>
      </w:rPr>
      <w:fldChar w:fldCharType="begin"/>
    </w:r>
    <w:r w:rsidRPr="00EA7219">
      <w:rPr>
        <w:rFonts w:ascii="Simoncini Garamond Std" w:hAnsi="Simoncini Garamond Std"/>
        <w:sz w:val="20"/>
        <w:szCs w:val="20"/>
      </w:rPr>
      <w:instrText>PAGE   \* MERGEFORMAT</w:instrText>
    </w:r>
    <w:r w:rsidRPr="00EA7219">
      <w:rPr>
        <w:rFonts w:ascii="Simoncini Garamond Std" w:hAnsi="Simoncini Garamond Std"/>
        <w:sz w:val="20"/>
        <w:szCs w:val="20"/>
      </w:rPr>
      <w:fldChar w:fldCharType="separate"/>
    </w:r>
    <w:r w:rsidR="00E73A0D">
      <w:rPr>
        <w:rFonts w:ascii="Simoncini Garamond Std" w:hAnsi="Simoncini Garamond Std"/>
        <w:noProof/>
        <w:sz w:val="20"/>
        <w:szCs w:val="20"/>
      </w:rPr>
      <w:t>220</w:t>
    </w:r>
    <w:r w:rsidRPr="00EA7219">
      <w:rPr>
        <w:rFonts w:ascii="Simoncini Garamond Std" w:hAnsi="Simoncini Garamond Std"/>
        <w:sz w:val="20"/>
        <w:szCs w:val="20"/>
      </w:rPr>
      <w:fldChar w:fldCharType="end"/>
    </w:r>
    <w:r>
      <w:rPr>
        <w:rFonts w:ascii="Simoncini Garamond Std" w:hAnsi="Simoncini Garamond Std"/>
        <w:sz w:val="21"/>
        <w:szCs w:val="21"/>
      </w:rPr>
      <w:tab/>
    </w:r>
    <w:r w:rsidR="0036041F" w:rsidRPr="0036041F">
      <w:rPr>
        <w:rFonts w:ascii="Simoncini Garamond Std" w:hAnsi="Simoncini Garamond Std"/>
        <w:i/>
        <w:sz w:val="18"/>
        <w:szCs w:val="18"/>
      </w:rPr>
      <w:t>Claudio Guccione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ECAC7" w14:textId="30DEDFCC" w:rsidR="004C27BA" w:rsidRPr="00EA7219" w:rsidRDefault="004C27BA" w:rsidP="0072504B">
    <w:pPr>
      <w:tabs>
        <w:tab w:val="center" w:pos="3629"/>
        <w:tab w:val="right" w:pos="7258"/>
      </w:tabs>
      <w:spacing w:after="0" w:line="240" w:lineRule="exact"/>
      <w:jc w:val="center"/>
      <w:rPr>
        <w:rFonts w:ascii="Simoncini Garamond Std" w:hAnsi="Simoncini Garamond Std"/>
        <w:sz w:val="20"/>
        <w:szCs w:val="20"/>
      </w:rPr>
    </w:pPr>
    <w:r w:rsidRPr="00E27DED">
      <w:rPr>
        <w:rFonts w:ascii="Simoncini Garamond Std" w:hAnsi="Simoncini Garamond Std"/>
        <w:i/>
        <w:sz w:val="21"/>
        <w:szCs w:val="21"/>
      </w:rPr>
      <w:tab/>
    </w:r>
    <w:r w:rsidR="0036041F" w:rsidRPr="0036041F">
      <w:rPr>
        <w:rFonts w:ascii="Simoncini Garamond Std" w:hAnsi="Simoncini Garamond Std"/>
        <w:i/>
        <w:sz w:val="18"/>
        <w:szCs w:val="18"/>
      </w:rPr>
      <w:t>Le alternative all’evidenza pubblica:</w:t>
    </w:r>
    <w:r w:rsidR="0036041F" w:rsidRPr="0036041F">
      <w:t xml:space="preserve"> </w:t>
    </w:r>
    <w:r w:rsidR="0036041F" w:rsidRPr="0036041F">
      <w:rPr>
        <w:rFonts w:ascii="Simoncini Garamond Std" w:hAnsi="Simoncini Garamond Std"/>
        <w:i/>
        <w:sz w:val="18"/>
        <w:szCs w:val="18"/>
      </w:rPr>
      <w:t>le proroghe delle concessioni</w:t>
    </w:r>
    <w:r w:rsidR="0036041F" w:rsidRPr="00E27DED">
      <w:rPr>
        <w:rFonts w:ascii="Simoncini Garamond Std" w:hAnsi="Simoncini Garamond Std"/>
        <w:i/>
        <w:sz w:val="21"/>
        <w:szCs w:val="21"/>
      </w:rPr>
      <w:tab/>
    </w:r>
    <w:r w:rsidRPr="00EA7219">
      <w:rPr>
        <w:rFonts w:ascii="Simoncini Garamond Std" w:hAnsi="Simoncini Garamond Std"/>
        <w:sz w:val="20"/>
        <w:szCs w:val="20"/>
      </w:rPr>
      <w:fldChar w:fldCharType="begin"/>
    </w:r>
    <w:r w:rsidRPr="00EA7219">
      <w:rPr>
        <w:rFonts w:ascii="Simoncini Garamond Std" w:hAnsi="Simoncini Garamond Std"/>
        <w:sz w:val="20"/>
        <w:szCs w:val="20"/>
      </w:rPr>
      <w:instrText>PAGE   \* MERGEFORMAT</w:instrText>
    </w:r>
    <w:r w:rsidRPr="00EA7219">
      <w:rPr>
        <w:rFonts w:ascii="Simoncini Garamond Std" w:hAnsi="Simoncini Garamond Std"/>
        <w:sz w:val="20"/>
        <w:szCs w:val="20"/>
      </w:rPr>
      <w:fldChar w:fldCharType="separate"/>
    </w:r>
    <w:r w:rsidR="00E73A0D">
      <w:rPr>
        <w:rFonts w:ascii="Simoncini Garamond Std" w:hAnsi="Simoncini Garamond Std"/>
        <w:noProof/>
        <w:sz w:val="20"/>
        <w:szCs w:val="20"/>
      </w:rPr>
      <w:t>221</w:t>
    </w:r>
    <w:r w:rsidRPr="00EA7219">
      <w:rPr>
        <w:rFonts w:ascii="Simoncini Garamond Std" w:hAnsi="Simoncini Garamond Std"/>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mirrorMargins/>
  <w:activeWritingStyle w:appName="MSWord" w:lang="it-IT" w:vendorID="64" w:dllVersion="6" w:nlCheck="1" w:checkStyle="0"/>
  <w:activeWritingStyle w:appName="MSWord" w:lang="it-IT"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131078" w:nlCheck="1" w:checkStyle="0"/>
  <w:proofState w:spelling="clean" w:grammar="clean"/>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stylePaneSortMethod w:val="0000"/>
  <w:defaultTabStop w:val="709"/>
  <w:autoHyphenation/>
  <w:hyphenationZone w:val="283"/>
  <w:evenAndOddHeaders/>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72A"/>
    <w:rsid w:val="000006B2"/>
    <w:rsid w:val="00004384"/>
    <w:rsid w:val="000076D0"/>
    <w:rsid w:val="00007F12"/>
    <w:rsid w:val="00012978"/>
    <w:rsid w:val="00015122"/>
    <w:rsid w:val="000212FA"/>
    <w:rsid w:val="000247C0"/>
    <w:rsid w:val="000257C7"/>
    <w:rsid w:val="000276C0"/>
    <w:rsid w:val="000312B1"/>
    <w:rsid w:val="000317AD"/>
    <w:rsid w:val="00034814"/>
    <w:rsid w:val="00047FC7"/>
    <w:rsid w:val="0005361E"/>
    <w:rsid w:val="000556FC"/>
    <w:rsid w:val="000605BA"/>
    <w:rsid w:val="00062E48"/>
    <w:rsid w:val="00070789"/>
    <w:rsid w:val="00074A6C"/>
    <w:rsid w:val="000919D8"/>
    <w:rsid w:val="00093D0B"/>
    <w:rsid w:val="000A3D2F"/>
    <w:rsid w:val="000B1593"/>
    <w:rsid w:val="000B474B"/>
    <w:rsid w:val="000B666A"/>
    <w:rsid w:val="000C2E8B"/>
    <w:rsid w:val="000D31F2"/>
    <w:rsid w:val="000D53ED"/>
    <w:rsid w:val="000E0FEB"/>
    <w:rsid w:val="000E7C61"/>
    <w:rsid w:val="000F0585"/>
    <w:rsid w:val="000F2AB7"/>
    <w:rsid w:val="000F588A"/>
    <w:rsid w:val="00102777"/>
    <w:rsid w:val="00114DB5"/>
    <w:rsid w:val="00116AEA"/>
    <w:rsid w:val="00117DD6"/>
    <w:rsid w:val="00121B62"/>
    <w:rsid w:val="001238CF"/>
    <w:rsid w:val="00124F6D"/>
    <w:rsid w:val="0013155E"/>
    <w:rsid w:val="001411E5"/>
    <w:rsid w:val="00141E02"/>
    <w:rsid w:val="0015083C"/>
    <w:rsid w:val="00151891"/>
    <w:rsid w:val="00153172"/>
    <w:rsid w:val="001631AC"/>
    <w:rsid w:val="00164594"/>
    <w:rsid w:val="00166C58"/>
    <w:rsid w:val="001679F2"/>
    <w:rsid w:val="00171C72"/>
    <w:rsid w:val="00175302"/>
    <w:rsid w:val="0018364D"/>
    <w:rsid w:val="001839D8"/>
    <w:rsid w:val="001871C4"/>
    <w:rsid w:val="00197D19"/>
    <w:rsid w:val="001A15DA"/>
    <w:rsid w:val="001A68C8"/>
    <w:rsid w:val="001B1BC3"/>
    <w:rsid w:val="001B3498"/>
    <w:rsid w:val="001C3715"/>
    <w:rsid w:val="001C3C37"/>
    <w:rsid w:val="001C3F79"/>
    <w:rsid w:val="001C4A27"/>
    <w:rsid w:val="001C7777"/>
    <w:rsid w:val="001D3BCA"/>
    <w:rsid w:val="001D7AB0"/>
    <w:rsid w:val="001E0F78"/>
    <w:rsid w:val="001E17EC"/>
    <w:rsid w:val="001E210E"/>
    <w:rsid w:val="001E5866"/>
    <w:rsid w:val="001F4D6D"/>
    <w:rsid w:val="001F52D6"/>
    <w:rsid w:val="00200E29"/>
    <w:rsid w:val="002019C7"/>
    <w:rsid w:val="00206812"/>
    <w:rsid w:val="00220675"/>
    <w:rsid w:val="00220B35"/>
    <w:rsid w:val="00224EF1"/>
    <w:rsid w:val="002326D2"/>
    <w:rsid w:val="002348D8"/>
    <w:rsid w:val="00235219"/>
    <w:rsid w:val="0023798B"/>
    <w:rsid w:val="00246860"/>
    <w:rsid w:val="00250D9D"/>
    <w:rsid w:val="002539B5"/>
    <w:rsid w:val="002607EF"/>
    <w:rsid w:val="00260908"/>
    <w:rsid w:val="00260970"/>
    <w:rsid w:val="00261823"/>
    <w:rsid w:val="00262683"/>
    <w:rsid w:val="00265701"/>
    <w:rsid w:val="00276592"/>
    <w:rsid w:val="002767EA"/>
    <w:rsid w:val="002800CC"/>
    <w:rsid w:val="0028150D"/>
    <w:rsid w:val="00282D4C"/>
    <w:rsid w:val="00293D7C"/>
    <w:rsid w:val="002A1745"/>
    <w:rsid w:val="002A301B"/>
    <w:rsid w:val="002A31C9"/>
    <w:rsid w:val="002A4299"/>
    <w:rsid w:val="002A72D0"/>
    <w:rsid w:val="002C20CA"/>
    <w:rsid w:val="002C2F4F"/>
    <w:rsid w:val="002C6245"/>
    <w:rsid w:val="002F05F5"/>
    <w:rsid w:val="002F6FF2"/>
    <w:rsid w:val="00321542"/>
    <w:rsid w:val="003264F4"/>
    <w:rsid w:val="00330AFD"/>
    <w:rsid w:val="00333F99"/>
    <w:rsid w:val="0034136F"/>
    <w:rsid w:val="003415EA"/>
    <w:rsid w:val="00350891"/>
    <w:rsid w:val="00350EE0"/>
    <w:rsid w:val="003526FA"/>
    <w:rsid w:val="00354CED"/>
    <w:rsid w:val="0036041F"/>
    <w:rsid w:val="0036234D"/>
    <w:rsid w:val="003677AE"/>
    <w:rsid w:val="003754C4"/>
    <w:rsid w:val="00381314"/>
    <w:rsid w:val="00381C1E"/>
    <w:rsid w:val="00384FE9"/>
    <w:rsid w:val="00387BB9"/>
    <w:rsid w:val="00390180"/>
    <w:rsid w:val="00393C3F"/>
    <w:rsid w:val="003A3DFF"/>
    <w:rsid w:val="003A6D61"/>
    <w:rsid w:val="003B3544"/>
    <w:rsid w:val="003B3B94"/>
    <w:rsid w:val="003C549C"/>
    <w:rsid w:val="003D5528"/>
    <w:rsid w:val="003D7B5A"/>
    <w:rsid w:val="003E280C"/>
    <w:rsid w:val="003E606F"/>
    <w:rsid w:val="003F4A2F"/>
    <w:rsid w:val="004025CA"/>
    <w:rsid w:val="004036F7"/>
    <w:rsid w:val="00405CF7"/>
    <w:rsid w:val="00407B69"/>
    <w:rsid w:val="00410FAE"/>
    <w:rsid w:val="00413D16"/>
    <w:rsid w:val="00414A22"/>
    <w:rsid w:val="00414EF5"/>
    <w:rsid w:val="00420988"/>
    <w:rsid w:val="0042291B"/>
    <w:rsid w:val="004278CF"/>
    <w:rsid w:val="004309FF"/>
    <w:rsid w:val="00430D61"/>
    <w:rsid w:val="0043582B"/>
    <w:rsid w:val="00436A1D"/>
    <w:rsid w:val="00437DFC"/>
    <w:rsid w:val="00450AD5"/>
    <w:rsid w:val="004541E7"/>
    <w:rsid w:val="00454550"/>
    <w:rsid w:val="00454830"/>
    <w:rsid w:val="00461AFF"/>
    <w:rsid w:val="00463B01"/>
    <w:rsid w:val="00464F7D"/>
    <w:rsid w:val="004668E4"/>
    <w:rsid w:val="00474B55"/>
    <w:rsid w:val="004775F1"/>
    <w:rsid w:val="00482A96"/>
    <w:rsid w:val="004837B3"/>
    <w:rsid w:val="004876FF"/>
    <w:rsid w:val="004A3CF9"/>
    <w:rsid w:val="004A7688"/>
    <w:rsid w:val="004A79C0"/>
    <w:rsid w:val="004A79E1"/>
    <w:rsid w:val="004B419C"/>
    <w:rsid w:val="004B5B7D"/>
    <w:rsid w:val="004C27BA"/>
    <w:rsid w:val="004C5043"/>
    <w:rsid w:val="004C64A9"/>
    <w:rsid w:val="004D3496"/>
    <w:rsid w:val="004E596A"/>
    <w:rsid w:val="004F5CD2"/>
    <w:rsid w:val="004F66FC"/>
    <w:rsid w:val="004F7553"/>
    <w:rsid w:val="0051091C"/>
    <w:rsid w:val="00510CF1"/>
    <w:rsid w:val="00520BAF"/>
    <w:rsid w:val="00530DC6"/>
    <w:rsid w:val="00536EA3"/>
    <w:rsid w:val="00545F05"/>
    <w:rsid w:val="005474AC"/>
    <w:rsid w:val="0055279B"/>
    <w:rsid w:val="00553267"/>
    <w:rsid w:val="005537F3"/>
    <w:rsid w:val="0056463E"/>
    <w:rsid w:val="00564A08"/>
    <w:rsid w:val="00571CA9"/>
    <w:rsid w:val="00575C2D"/>
    <w:rsid w:val="00576F34"/>
    <w:rsid w:val="005778C3"/>
    <w:rsid w:val="00581D67"/>
    <w:rsid w:val="00583214"/>
    <w:rsid w:val="00583870"/>
    <w:rsid w:val="00584538"/>
    <w:rsid w:val="00592B4C"/>
    <w:rsid w:val="00594FE3"/>
    <w:rsid w:val="005A26BA"/>
    <w:rsid w:val="005A55FF"/>
    <w:rsid w:val="005A67E4"/>
    <w:rsid w:val="005A6B40"/>
    <w:rsid w:val="005A724D"/>
    <w:rsid w:val="005B6133"/>
    <w:rsid w:val="005B76B0"/>
    <w:rsid w:val="005C05F3"/>
    <w:rsid w:val="005C32C2"/>
    <w:rsid w:val="005C4E74"/>
    <w:rsid w:val="005C7C73"/>
    <w:rsid w:val="005D18BC"/>
    <w:rsid w:val="005E2F14"/>
    <w:rsid w:val="005E7798"/>
    <w:rsid w:val="005F3427"/>
    <w:rsid w:val="005F7865"/>
    <w:rsid w:val="00600BAB"/>
    <w:rsid w:val="006012DA"/>
    <w:rsid w:val="00604C22"/>
    <w:rsid w:val="00607D15"/>
    <w:rsid w:val="00613B93"/>
    <w:rsid w:val="00615E52"/>
    <w:rsid w:val="0062406B"/>
    <w:rsid w:val="00624250"/>
    <w:rsid w:val="00624B61"/>
    <w:rsid w:val="0062524E"/>
    <w:rsid w:val="006277BF"/>
    <w:rsid w:val="00640200"/>
    <w:rsid w:val="006419FA"/>
    <w:rsid w:val="006436EA"/>
    <w:rsid w:val="00645AD1"/>
    <w:rsid w:val="006526E0"/>
    <w:rsid w:val="00665272"/>
    <w:rsid w:val="00666882"/>
    <w:rsid w:val="006769A2"/>
    <w:rsid w:val="00683D2B"/>
    <w:rsid w:val="00684B2D"/>
    <w:rsid w:val="00685E1A"/>
    <w:rsid w:val="00686B8E"/>
    <w:rsid w:val="00686B91"/>
    <w:rsid w:val="006A2888"/>
    <w:rsid w:val="006A53E7"/>
    <w:rsid w:val="006A7208"/>
    <w:rsid w:val="006B6781"/>
    <w:rsid w:val="006B6FB8"/>
    <w:rsid w:val="006B7C92"/>
    <w:rsid w:val="006C0B8B"/>
    <w:rsid w:val="006C0DF7"/>
    <w:rsid w:val="006D23D1"/>
    <w:rsid w:val="006E01D6"/>
    <w:rsid w:val="006E1916"/>
    <w:rsid w:val="006F13F9"/>
    <w:rsid w:val="006F4F7A"/>
    <w:rsid w:val="006F5A7A"/>
    <w:rsid w:val="0070065C"/>
    <w:rsid w:val="00700D99"/>
    <w:rsid w:val="0070746C"/>
    <w:rsid w:val="00710190"/>
    <w:rsid w:val="007118FD"/>
    <w:rsid w:val="007128D2"/>
    <w:rsid w:val="007145BD"/>
    <w:rsid w:val="0072288D"/>
    <w:rsid w:val="00724572"/>
    <w:rsid w:val="0072504B"/>
    <w:rsid w:val="0072526C"/>
    <w:rsid w:val="00726930"/>
    <w:rsid w:val="00730512"/>
    <w:rsid w:val="00731CB5"/>
    <w:rsid w:val="007333D6"/>
    <w:rsid w:val="007345DF"/>
    <w:rsid w:val="00734FCB"/>
    <w:rsid w:val="00735819"/>
    <w:rsid w:val="0073685B"/>
    <w:rsid w:val="00736ED4"/>
    <w:rsid w:val="0074292C"/>
    <w:rsid w:val="007561A0"/>
    <w:rsid w:val="00757B3F"/>
    <w:rsid w:val="00771321"/>
    <w:rsid w:val="00773912"/>
    <w:rsid w:val="00773A93"/>
    <w:rsid w:val="00783ABD"/>
    <w:rsid w:val="0079042F"/>
    <w:rsid w:val="00794ADF"/>
    <w:rsid w:val="0079610B"/>
    <w:rsid w:val="007965E6"/>
    <w:rsid w:val="007A0232"/>
    <w:rsid w:val="007A138E"/>
    <w:rsid w:val="007A1627"/>
    <w:rsid w:val="007A3865"/>
    <w:rsid w:val="007B47FA"/>
    <w:rsid w:val="007C035B"/>
    <w:rsid w:val="007C77CD"/>
    <w:rsid w:val="007D11BD"/>
    <w:rsid w:val="007D2CDA"/>
    <w:rsid w:val="007D367F"/>
    <w:rsid w:val="007D5D5E"/>
    <w:rsid w:val="007E0857"/>
    <w:rsid w:val="007E14EB"/>
    <w:rsid w:val="007E18E1"/>
    <w:rsid w:val="007E7169"/>
    <w:rsid w:val="007F015C"/>
    <w:rsid w:val="007F0300"/>
    <w:rsid w:val="007F10E6"/>
    <w:rsid w:val="007F1507"/>
    <w:rsid w:val="007F2AC9"/>
    <w:rsid w:val="008007EA"/>
    <w:rsid w:val="00802FEC"/>
    <w:rsid w:val="008167F1"/>
    <w:rsid w:val="00817716"/>
    <w:rsid w:val="008242F0"/>
    <w:rsid w:val="0083046B"/>
    <w:rsid w:val="008365FD"/>
    <w:rsid w:val="0084302C"/>
    <w:rsid w:val="00845125"/>
    <w:rsid w:val="00847552"/>
    <w:rsid w:val="008529D8"/>
    <w:rsid w:val="0085675B"/>
    <w:rsid w:val="008633D4"/>
    <w:rsid w:val="008665FF"/>
    <w:rsid w:val="008755F1"/>
    <w:rsid w:val="00877393"/>
    <w:rsid w:val="00886AE6"/>
    <w:rsid w:val="00887808"/>
    <w:rsid w:val="0089645B"/>
    <w:rsid w:val="00897B49"/>
    <w:rsid w:val="008A5B87"/>
    <w:rsid w:val="008B03F4"/>
    <w:rsid w:val="008B4700"/>
    <w:rsid w:val="008B770B"/>
    <w:rsid w:val="008C0000"/>
    <w:rsid w:val="008C106A"/>
    <w:rsid w:val="008C24EF"/>
    <w:rsid w:val="008C571E"/>
    <w:rsid w:val="008C7FF7"/>
    <w:rsid w:val="008D32F3"/>
    <w:rsid w:val="008E2A85"/>
    <w:rsid w:val="008E4551"/>
    <w:rsid w:val="008F1D97"/>
    <w:rsid w:val="00905ED5"/>
    <w:rsid w:val="0091791E"/>
    <w:rsid w:val="009217CA"/>
    <w:rsid w:val="009232E6"/>
    <w:rsid w:val="00926812"/>
    <w:rsid w:val="009323FB"/>
    <w:rsid w:val="0093442F"/>
    <w:rsid w:val="00934CF6"/>
    <w:rsid w:val="00940283"/>
    <w:rsid w:val="00941A5F"/>
    <w:rsid w:val="0094572A"/>
    <w:rsid w:val="00947637"/>
    <w:rsid w:val="009533DF"/>
    <w:rsid w:val="0095749A"/>
    <w:rsid w:val="00967164"/>
    <w:rsid w:val="009756BB"/>
    <w:rsid w:val="00984881"/>
    <w:rsid w:val="00987BBA"/>
    <w:rsid w:val="00996F50"/>
    <w:rsid w:val="009A79C5"/>
    <w:rsid w:val="009B1992"/>
    <w:rsid w:val="009B1F52"/>
    <w:rsid w:val="009C4379"/>
    <w:rsid w:val="009C49CC"/>
    <w:rsid w:val="009D14C5"/>
    <w:rsid w:val="009E14D1"/>
    <w:rsid w:val="009E2B97"/>
    <w:rsid w:val="009F1E02"/>
    <w:rsid w:val="009F6766"/>
    <w:rsid w:val="00A006D8"/>
    <w:rsid w:val="00A02091"/>
    <w:rsid w:val="00A133A1"/>
    <w:rsid w:val="00A23F77"/>
    <w:rsid w:val="00A30BDD"/>
    <w:rsid w:val="00A30EE9"/>
    <w:rsid w:val="00A34CE0"/>
    <w:rsid w:val="00A403BB"/>
    <w:rsid w:val="00A526D3"/>
    <w:rsid w:val="00A574C8"/>
    <w:rsid w:val="00A624FF"/>
    <w:rsid w:val="00A63B5E"/>
    <w:rsid w:val="00A65934"/>
    <w:rsid w:val="00A67A83"/>
    <w:rsid w:val="00A71746"/>
    <w:rsid w:val="00A83791"/>
    <w:rsid w:val="00A9075B"/>
    <w:rsid w:val="00AB2F45"/>
    <w:rsid w:val="00AB7A12"/>
    <w:rsid w:val="00AC41EC"/>
    <w:rsid w:val="00AD1506"/>
    <w:rsid w:val="00AD474F"/>
    <w:rsid w:val="00AD712C"/>
    <w:rsid w:val="00AE36F7"/>
    <w:rsid w:val="00AE40D7"/>
    <w:rsid w:val="00AE6692"/>
    <w:rsid w:val="00AF00FD"/>
    <w:rsid w:val="00AF09A1"/>
    <w:rsid w:val="00AF5082"/>
    <w:rsid w:val="00B00EDC"/>
    <w:rsid w:val="00B02D17"/>
    <w:rsid w:val="00B04CFD"/>
    <w:rsid w:val="00B06F98"/>
    <w:rsid w:val="00B1156F"/>
    <w:rsid w:val="00B226AC"/>
    <w:rsid w:val="00B255DB"/>
    <w:rsid w:val="00B274E6"/>
    <w:rsid w:val="00B377E8"/>
    <w:rsid w:val="00B41212"/>
    <w:rsid w:val="00B427DA"/>
    <w:rsid w:val="00B4528D"/>
    <w:rsid w:val="00B45743"/>
    <w:rsid w:val="00B51C97"/>
    <w:rsid w:val="00B60870"/>
    <w:rsid w:val="00B63520"/>
    <w:rsid w:val="00B67D92"/>
    <w:rsid w:val="00B70652"/>
    <w:rsid w:val="00B7228B"/>
    <w:rsid w:val="00B801B4"/>
    <w:rsid w:val="00B83402"/>
    <w:rsid w:val="00B8795E"/>
    <w:rsid w:val="00B9083A"/>
    <w:rsid w:val="00B90B62"/>
    <w:rsid w:val="00BA6C00"/>
    <w:rsid w:val="00BB3CC3"/>
    <w:rsid w:val="00BB4BBC"/>
    <w:rsid w:val="00BB546F"/>
    <w:rsid w:val="00BB5E6B"/>
    <w:rsid w:val="00BB7F81"/>
    <w:rsid w:val="00BC3B54"/>
    <w:rsid w:val="00BD6927"/>
    <w:rsid w:val="00BE1265"/>
    <w:rsid w:val="00BE327E"/>
    <w:rsid w:val="00BE3AAD"/>
    <w:rsid w:val="00BE4380"/>
    <w:rsid w:val="00BE5E11"/>
    <w:rsid w:val="00BF0BA2"/>
    <w:rsid w:val="00BF4026"/>
    <w:rsid w:val="00C07D5D"/>
    <w:rsid w:val="00C176D2"/>
    <w:rsid w:val="00C32F40"/>
    <w:rsid w:val="00C33520"/>
    <w:rsid w:val="00C34B14"/>
    <w:rsid w:val="00C429B7"/>
    <w:rsid w:val="00C43F51"/>
    <w:rsid w:val="00C47518"/>
    <w:rsid w:val="00C520F8"/>
    <w:rsid w:val="00C578FA"/>
    <w:rsid w:val="00C632F8"/>
    <w:rsid w:val="00C64554"/>
    <w:rsid w:val="00C7671C"/>
    <w:rsid w:val="00C77B4C"/>
    <w:rsid w:val="00C8118E"/>
    <w:rsid w:val="00C91C14"/>
    <w:rsid w:val="00C93E46"/>
    <w:rsid w:val="00C94B0E"/>
    <w:rsid w:val="00C97142"/>
    <w:rsid w:val="00C975C5"/>
    <w:rsid w:val="00CA115A"/>
    <w:rsid w:val="00CA5616"/>
    <w:rsid w:val="00CC0414"/>
    <w:rsid w:val="00CC05A1"/>
    <w:rsid w:val="00CC24AA"/>
    <w:rsid w:val="00CD33A9"/>
    <w:rsid w:val="00CD384C"/>
    <w:rsid w:val="00CD42F4"/>
    <w:rsid w:val="00CD68C4"/>
    <w:rsid w:val="00CE03FF"/>
    <w:rsid w:val="00CE1E28"/>
    <w:rsid w:val="00CE4858"/>
    <w:rsid w:val="00CF083B"/>
    <w:rsid w:val="00CF0B37"/>
    <w:rsid w:val="00CF13FA"/>
    <w:rsid w:val="00CF6D5D"/>
    <w:rsid w:val="00D032C1"/>
    <w:rsid w:val="00D07E70"/>
    <w:rsid w:val="00D1178F"/>
    <w:rsid w:val="00D141FC"/>
    <w:rsid w:val="00D14E2E"/>
    <w:rsid w:val="00D15627"/>
    <w:rsid w:val="00D17DA0"/>
    <w:rsid w:val="00D313B1"/>
    <w:rsid w:val="00D31F98"/>
    <w:rsid w:val="00D344A4"/>
    <w:rsid w:val="00D35C87"/>
    <w:rsid w:val="00D4044A"/>
    <w:rsid w:val="00D45EA6"/>
    <w:rsid w:val="00D52D09"/>
    <w:rsid w:val="00D53112"/>
    <w:rsid w:val="00D54A0F"/>
    <w:rsid w:val="00D80AD1"/>
    <w:rsid w:val="00D861AB"/>
    <w:rsid w:val="00D92C7A"/>
    <w:rsid w:val="00D94D08"/>
    <w:rsid w:val="00D94DE8"/>
    <w:rsid w:val="00DA390C"/>
    <w:rsid w:val="00DA7529"/>
    <w:rsid w:val="00DB15DC"/>
    <w:rsid w:val="00DB3C3F"/>
    <w:rsid w:val="00DB71FE"/>
    <w:rsid w:val="00DC30B2"/>
    <w:rsid w:val="00DE23C2"/>
    <w:rsid w:val="00DE6879"/>
    <w:rsid w:val="00DF16BE"/>
    <w:rsid w:val="00DF28D6"/>
    <w:rsid w:val="00DF4277"/>
    <w:rsid w:val="00E021CF"/>
    <w:rsid w:val="00E02627"/>
    <w:rsid w:val="00E100D9"/>
    <w:rsid w:val="00E104DA"/>
    <w:rsid w:val="00E140AE"/>
    <w:rsid w:val="00E208FD"/>
    <w:rsid w:val="00E27DED"/>
    <w:rsid w:val="00E37675"/>
    <w:rsid w:val="00E3785B"/>
    <w:rsid w:val="00E3791A"/>
    <w:rsid w:val="00E4162C"/>
    <w:rsid w:val="00E47D33"/>
    <w:rsid w:val="00E50ADB"/>
    <w:rsid w:val="00E53B0A"/>
    <w:rsid w:val="00E5751B"/>
    <w:rsid w:val="00E60677"/>
    <w:rsid w:val="00E7063B"/>
    <w:rsid w:val="00E70FDC"/>
    <w:rsid w:val="00E71399"/>
    <w:rsid w:val="00E7246F"/>
    <w:rsid w:val="00E73A0D"/>
    <w:rsid w:val="00E74034"/>
    <w:rsid w:val="00E75653"/>
    <w:rsid w:val="00E76585"/>
    <w:rsid w:val="00E80F08"/>
    <w:rsid w:val="00E81F3D"/>
    <w:rsid w:val="00E82ABD"/>
    <w:rsid w:val="00EA03E8"/>
    <w:rsid w:val="00EA7219"/>
    <w:rsid w:val="00EB2A92"/>
    <w:rsid w:val="00EB3025"/>
    <w:rsid w:val="00EB5296"/>
    <w:rsid w:val="00EC4B45"/>
    <w:rsid w:val="00EE009C"/>
    <w:rsid w:val="00EE3A98"/>
    <w:rsid w:val="00F1263A"/>
    <w:rsid w:val="00F12E7C"/>
    <w:rsid w:val="00F171AC"/>
    <w:rsid w:val="00F24919"/>
    <w:rsid w:val="00F2738B"/>
    <w:rsid w:val="00F3620B"/>
    <w:rsid w:val="00F3627B"/>
    <w:rsid w:val="00F4288F"/>
    <w:rsid w:val="00F624B7"/>
    <w:rsid w:val="00F72B54"/>
    <w:rsid w:val="00F772FE"/>
    <w:rsid w:val="00F774ED"/>
    <w:rsid w:val="00F77BD5"/>
    <w:rsid w:val="00F8431A"/>
    <w:rsid w:val="00F85762"/>
    <w:rsid w:val="00FB2778"/>
    <w:rsid w:val="00FB5AB8"/>
    <w:rsid w:val="00FB6394"/>
    <w:rsid w:val="00FC324A"/>
    <w:rsid w:val="00FC53FD"/>
    <w:rsid w:val="00FD3F57"/>
    <w:rsid w:val="00FE0624"/>
    <w:rsid w:val="00FE092E"/>
    <w:rsid w:val="00FE1F0B"/>
    <w:rsid w:val="00FE4691"/>
    <w:rsid w:val="00FE49B6"/>
    <w:rsid w:val="00FE74EE"/>
    <w:rsid w:val="00FE7E9D"/>
    <w:rsid w:val="00FF7A2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9E775"/>
  <w15:chartTrackingRefBased/>
  <w15:docId w15:val="{70C6F208-2587-4436-B16F-F8D39BEF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lsdException w:name="Book Title" w:semiHidden="1"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emiHidden/>
    <w:qFormat/>
    <w:rsid w:val="00E74034"/>
    <w:pPr>
      <w:spacing w:after="200" w:line="276" w:lineRule="auto"/>
    </w:pPr>
    <w:rPr>
      <w:sz w:val="22"/>
      <w:szCs w:val="22"/>
      <w:lang w:eastAsia="en-US"/>
    </w:rPr>
  </w:style>
  <w:style w:type="paragraph" w:styleId="Titolo1">
    <w:name w:val="heading 1"/>
    <w:basedOn w:val="Normale"/>
    <w:link w:val="Titolo1Carattere"/>
    <w:uiPriority w:val="9"/>
    <w:semiHidden/>
    <w:qFormat/>
    <w:rsid w:val="00CA5616"/>
    <w:pPr>
      <w:spacing w:before="100" w:beforeAutospacing="1" w:after="100" w:afterAutospacing="1" w:line="240" w:lineRule="auto"/>
      <w:outlineLvl w:val="0"/>
    </w:pPr>
    <w:rPr>
      <w:rFonts w:ascii="Times New Roman" w:eastAsia="Times New Roman" w:hAnsi="Times New Roman"/>
      <w:b/>
      <w:bCs/>
      <w:kern w:val="36"/>
      <w:sz w:val="48"/>
      <w:szCs w:val="48"/>
      <w:lang w:eastAsia="it-IT"/>
    </w:rPr>
  </w:style>
  <w:style w:type="paragraph" w:styleId="Titolo2">
    <w:name w:val="heading 2"/>
    <w:basedOn w:val="Normale"/>
    <w:next w:val="Normale"/>
    <w:link w:val="Titolo2Carattere"/>
    <w:semiHidden/>
    <w:qFormat/>
    <w:rsid w:val="00CA5616"/>
    <w:pPr>
      <w:keepNext/>
      <w:keepLines/>
      <w:spacing w:before="40" w:after="0"/>
      <w:outlineLvl w:val="1"/>
    </w:pPr>
    <w:rPr>
      <w:rFonts w:ascii="Cambria" w:eastAsia="Times New Roman" w:hAnsi="Cambria"/>
      <w:color w:val="365F91"/>
      <w:sz w:val="26"/>
      <w:szCs w:val="26"/>
    </w:rPr>
  </w:style>
  <w:style w:type="paragraph" w:styleId="Titolo3">
    <w:name w:val="heading 3"/>
    <w:basedOn w:val="Normale"/>
    <w:link w:val="Titolo3Carattere"/>
    <w:semiHidden/>
    <w:qFormat/>
    <w:rsid w:val="00CA5616"/>
    <w:pPr>
      <w:spacing w:before="100" w:beforeAutospacing="1" w:after="100" w:afterAutospacing="1" w:line="240" w:lineRule="auto"/>
      <w:outlineLvl w:val="2"/>
    </w:pPr>
    <w:rPr>
      <w:rFonts w:ascii="Times New Roman" w:eastAsia="Times New Roman" w:hAnsi="Times New Roman"/>
      <w:b/>
      <w:bCs/>
      <w:sz w:val="27"/>
      <w:szCs w:val="27"/>
      <w:lang w:eastAsia="it-IT"/>
    </w:rPr>
  </w:style>
  <w:style w:type="paragraph" w:styleId="Titolo4">
    <w:name w:val="heading 4"/>
    <w:basedOn w:val="Normale"/>
    <w:next w:val="Normale"/>
    <w:link w:val="Titolo4Carattere"/>
    <w:semiHidden/>
    <w:qFormat/>
    <w:rsid w:val="00C33520"/>
    <w:pPr>
      <w:widowControl w:val="0"/>
      <w:spacing w:before="240" w:after="240" w:line="240" w:lineRule="auto"/>
      <w:ind w:left="862" w:hanging="862"/>
      <w:jc w:val="both"/>
      <w:outlineLvl w:val="3"/>
    </w:pPr>
    <w:rPr>
      <w:rFonts w:ascii="Garamond" w:eastAsia="MS Mincho" w:hAnsi="Garamond"/>
      <w:sz w:val="26"/>
      <w:szCs w:val="20"/>
      <w:lang w:eastAsia="ja-JP"/>
    </w:rPr>
  </w:style>
  <w:style w:type="paragraph" w:styleId="Titolo5">
    <w:name w:val="heading 5"/>
    <w:basedOn w:val="Normale"/>
    <w:next w:val="Normale"/>
    <w:link w:val="Titolo5Carattere"/>
    <w:semiHidden/>
    <w:qFormat/>
    <w:rsid w:val="00C33520"/>
    <w:pPr>
      <w:widowControl w:val="0"/>
      <w:spacing w:before="240" w:after="240" w:line="240" w:lineRule="auto"/>
      <w:ind w:left="1009" w:hanging="1009"/>
      <w:jc w:val="both"/>
      <w:outlineLvl w:val="4"/>
    </w:pPr>
    <w:rPr>
      <w:rFonts w:ascii="Garamond" w:eastAsia="MS Mincho" w:hAnsi="Garamond"/>
      <w:sz w:val="26"/>
      <w:szCs w:val="20"/>
      <w:lang w:eastAsia="ja-JP"/>
    </w:rPr>
  </w:style>
  <w:style w:type="paragraph" w:styleId="Titolo6">
    <w:name w:val="heading 6"/>
    <w:basedOn w:val="Normale"/>
    <w:next w:val="Normale"/>
    <w:link w:val="Titolo6Carattere"/>
    <w:uiPriority w:val="9"/>
    <w:semiHidden/>
    <w:unhideWhenUsed/>
    <w:qFormat/>
    <w:rsid w:val="00C33520"/>
    <w:pPr>
      <w:keepNext/>
      <w:keepLines/>
      <w:widowControl w:val="0"/>
      <w:spacing w:before="240" w:after="240" w:line="240" w:lineRule="auto"/>
      <w:ind w:left="1151" w:hanging="1151"/>
      <w:jc w:val="both"/>
      <w:outlineLvl w:val="5"/>
    </w:pPr>
    <w:rPr>
      <w:rFonts w:eastAsia="MS Gothic"/>
      <w:i/>
      <w:iCs/>
      <w:color w:val="243F60"/>
      <w:sz w:val="26"/>
      <w:szCs w:val="20"/>
      <w:lang w:eastAsia="ja-JP"/>
    </w:rPr>
  </w:style>
  <w:style w:type="paragraph" w:styleId="Titolo7">
    <w:name w:val="heading 7"/>
    <w:basedOn w:val="Normale"/>
    <w:next w:val="Normale"/>
    <w:link w:val="Titolo7Carattere"/>
    <w:uiPriority w:val="9"/>
    <w:semiHidden/>
    <w:unhideWhenUsed/>
    <w:qFormat/>
    <w:rsid w:val="00C33520"/>
    <w:pPr>
      <w:keepNext/>
      <w:keepLines/>
      <w:widowControl w:val="0"/>
      <w:spacing w:before="200" w:after="120" w:line="240" w:lineRule="auto"/>
      <w:ind w:left="1296" w:hanging="1296"/>
      <w:jc w:val="both"/>
      <w:outlineLvl w:val="6"/>
    </w:pPr>
    <w:rPr>
      <w:rFonts w:eastAsia="MS Gothic"/>
      <w:i/>
      <w:iCs/>
      <w:color w:val="404040"/>
      <w:sz w:val="26"/>
      <w:szCs w:val="20"/>
      <w:lang w:eastAsia="ja-JP"/>
    </w:rPr>
  </w:style>
  <w:style w:type="paragraph" w:styleId="Titolo8">
    <w:name w:val="heading 8"/>
    <w:basedOn w:val="Normale"/>
    <w:next w:val="Normale"/>
    <w:link w:val="Titolo8Carattere"/>
    <w:uiPriority w:val="9"/>
    <w:semiHidden/>
    <w:unhideWhenUsed/>
    <w:qFormat/>
    <w:rsid w:val="00C33520"/>
    <w:pPr>
      <w:keepNext/>
      <w:keepLines/>
      <w:widowControl w:val="0"/>
      <w:spacing w:before="200" w:after="120" w:line="240" w:lineRule="auto"/>
      <w:ind w:left="1440" w:hanging="1440"/>
      <w:jc w:val="both"/>
      <w:outlineLvl w:val="7"/>
    </w:pPr>
    <w:rPr>
      <w:rFonts w:eastAsia="MS Gothic"/>
      <w:color w:val="404040"/>
      <w:sz w:val="20"/>
      <w:szCs w:val="20"/>
      <w:lang w:eastAsia="ja-JP"/>
    </w:rPr>
  </w:style>
  <w:style w:type="paragraph" w:styleId="Titolo9">
    <w:name w:val="heading 9"/>
    <w:basedOn w:val="Normale"/>
    <w:next w:val="Normale"/>
    <w:link w:val="Titolo9Carattere"/>
    <w:uiPriority w:val="9"/>
    <w:semiHidden/>
    <w:unhideWhenUsed/>
    <w:qFormat/>
    <w:rsid w:val="00C33520"/>
    <w:pPr>
      <w:keepNext/>
      <w:keepLines/>
      <w:widowControl w:val="0"/>
      <w:spacing w:before="200" w:after="120" w:line="240" w:lineRule="auto"/>
      <w:ind w:left="1584" w:hanging="1584"/>
      <w:jc w:val="both"/>
      <w:outlineLvl w:val="8"/>
    </w:pPr>
    <w:rPr>
      <w:rFonts w:eastAsia="MS Gothic"/>
      <w:i/>
      <w:iCs/>
      <w:color w:val="404040"/>
      <w:sz w:val="20"/>
      <w:szCs w:val="20"/>
      <w:lang w:eastAsia="ja-JP"/>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semiHidden/>
    <w:rsid w:val="00584538"/>
    <w:rPr>
      <w:rFonts w:ascii="Times New Roman" w:eastAsia="Times New Roman" w:hAnsi="Times New Roman"/>
      <w:b/>
      <w:bCs/>
      <w:kern w:val="36"/>
      <w:sz w:val="48"/>
      <w:szCs w:val="48"/>
    </w:rPr>
  </w:style>
  <w:style w:type="character" w:customStyle="1" w:styleId="Titolo2Carattere">
    <w:name w:val="Titolo 2 Carattere"/>
    <w:link w:val="Titolo2"/>
    <w:semiHidden/>
    <w:rsid w:val="00584538"/>
    <w:rPr>
      <w:rFonts w:ascii="Cambria" w:eastAsia="Times New Roman" w:hAnsi="Cambria"/>
      <w:color w:val="365F91"/>
      <w:sz w:val="26"/>
      <w:szCs w:val="26"/>
      <w:lang w:eastAsia="en-US"/>
    </w:rPr>
  </w:style>
  <w:style w:type="character" w:customStyle="1" w:styleId="Titolo3Carattere">
    <w:name w:val="Titolo 3 Carattere"/>
    <w:link w:val="Titolo3"/>
    <w:semiHidden/>
    <w:rsid w:val="00584538"/>
    <w:rPr>
      <w:rFonts w:ascii="Times New Roman" w:eastAsia="Times New Roman" w:hAnsi="Times New Roman"/>
      <w:b/>
      <w:bCs/>
      <w:sz w:val="27"/>
      <w:szCs w:val="27"/>
    </w:rPr>
  </w:style>
  <w:style w:type="paragraph" w:customStyle="1" w:styleId="Capoverso">
    <w:name w:val="Capoverso"/>
    <w:link w:val="CapoversoCarattere"/>
    <w:qFormat/>
    <w:rsid w:val="000F2AB7"/>
    <w:pPr>
      <w:spacing w:line="252" w:lineRule="exact"/>
      <w:ind w:firstLine="284"/>
      <w:jc w:val="both"/>
    </w:pPr>
    <w:rPr>
      <w:rFonts w:ascii="Simoncini Garamond Std" w:hAnsi="Simoncini Garamond Std"/>
      <w:sz w:val="22"/>
      <w:szCs w:val="24"/>
      <w:lang w:eastAsia="en-US"/>
    </w:rPr>
  </w:style>
  <w:style w:type="character" w:customStyle="1" w:styleId="CapoversoCarattere">
    <w:name w:val="Capoverso Carattere"/>
    <w:link w:val="Capoverso"/>
    <w:rsid w:val="000F2AB7"/>
    <w:rPr>
      <w:rFonts w:ascii="Simoncini Garamond Std" w:hAnsi="Simoncini Garamond Std"/>
      <w:sz w:val="22"/>
      <w:szCs w:val="24"/>
      <w:lang w:eastAsia="en-US"/>
    </w:rPr>
  </w:style>
  <w:style w:type="paragraph" w:customStyle="1" w:styleId="Autore">
    <w:name w:val="Autore"/>
    <w:qFormat/>
    <w:rsid w:val="00E76585"/>
    <w:pPr>
      <w:widowControl w:val="0"/>
      <w:spacing w:before="120" w:after="504" w:line="280" w:lineRule="exact"/>
      <w:jc w:val="center"/>
    </w:pPr>
    <w:rPr>
      <w:rFonts w:ascii="Simoncini Garamond Std" w:hAnsi="Simoncini Garamond Std"/>
      <w:i/>
      <w:sz w:val="24"/>
      <w:szCs w:val="24"/>
      <w:lang w:eastAsia="en-US"/>
    </w:rPr>
  </w:style>
  <w:style w:type="paragraph" w:customStyle="1" w:styleId="Titolodellasezione">
    <w:name w:val="Titolo della sezione"/>
    <w:basedOn w:val="Normale"/>
    <w:link w:val="TitolodellasezioneCarattere"/>
    <w:qFormat/>
    <w:rsid w:val="005A6B40"/>
    <w:pPr>
      <w:widowControl w:val="0"/>
      <w:spacing w:before="1764" w:after="0" w:line="360" w:lineRule="exact"/>
      <w:jc w:val="center"/>
    </w:pPr>
    <w:rPr>
      <w:rFonts w:ascii="Simoncini Garamond Std" w:hAnsi="Simoncini Garamond Std"/>
      <w:caps/>
      <w:sz w:val="32"/>
      <w:szCs w:val="30"/>
    </w:rPr>
  </w:style>
  <w:style w:type="character" w:customStyle="1" w:styleId="TitolodellasezioneCarattere">
    <w:name w:val="Titolo della sezione Carattere"/>
    <w:link w:val="Titolodellasezione"/>
    <w:rsid w:val="005A6B40"/>
    <w:rPr>
      <w:rFonts w:ascii="Simoncini Garamond Std" w:hAnsi="Simoncini Garamond Std"/>
      <w:caps/>
      <w:sz w:val="32"/>
      <w:szCs w:val="30"/>
      <w:lang w:eastAsia="en-US"/>
    </w:rPr>
  </w:style>
  <w:style w:type="paragraph" w:styleId="Testonotaapidipagina">
    <w:name w:val="footnote text"/>
    <w:basedOn w:val="Normale"/>
    <w:link w:val="TestonotaapidipaginaCarattere"/>
    <w:uiPriority w:val="99"/>
    <w:unhideWhenUsed/>
    <w:rsid w:val="00FB6394"/>
    <w:pPr>
      <w:spacing w:before="60" w:after="0" w:line="206" w:lineRule="exact"/>
      <w:ind w:firstLine="284"/>
      <w:jc w:val="both"/>
    </w:pPr>
    <w:rPr>
      <w:rFonts w:ascii="Simoncini Garamond Std" w:hAnsi="Simoncini Garamond Std"/>
      <w:sz w:val="18"/>
      <w:szCs w:val="20"/>
    </w:rPr>
  </w:style>
  <w:style w:type="character" w:customStyle="1" w:styleId="TestonotaapidipaginaCarattere">
    <w:name w:val="Testo nota a piè di pagina Carattere"/>
    <w:link w:val="Testonotaapidipagina"/>
    <w:uiPriority w:val="99"/>
    <w:rsid w:val="00FB6394"/>
    <w:rPr>
      <w:rFonts w:ascii="Simoncini Garamond Std" w:hAnsi="Simoncini Garamond Std"/>
      <w:sz w:val="18"/>
      <w:lang w:eastAsia="en-US"/>
    </w:rPr>
  </w:style>
  <w:style w:type="paragraph" w:customStyle="1" w:styleId="Paragrafo">
    <w:name w:val="Paragrafo"/>
    <w:basedOn w:val="Normale"/>
    <w:qFormat/>
    <w:rsid w:val="000F2AB7"/>
    <w:pPr>
      <w:keepNext/>
      <w:spacing w:before="504" w:after="252" w:line="280" w:lineRule="exact"/>
      <w:ind w:left="284" w:hanging="284"/>
      <w:jc w:val="both"/>
    </w:pPr>
    <w:rPr>
      <w:rFonts w:ascii="Simoncini Garamond Std" w:hAnsi="Simoncini Garamond Std"/>
      <w:i/>
      <w:sz w:val="24"/>
      <w:szCs w:val="26"/>
    </w:rPr>
  </w:style>
  <w:style w:type="character" w:styleId="Collegamentoipertestuale">
    <w:name w:val="Hyperlink"/>
    <w:uiPriority w:val="99"/>
    <w:unhideWhenUsed/>
    <w:rsid w:val="005E2F14"/>
    <w:rPr>
      <w:color w:val="0000FF"/>
      <w:u w:val="single"/>
    </w:rPr>
  </w:style>
  <w:style w:type="character" w:styleId="Enfasigrassetto">
    <w:name w:val="Strong"/>
    <w:uiPriority w:val="22"/>
    <w:semiHidden/>
    <w:qFormat/>
    <w:rsid w:val="00877393"/>
    <w:rPr>
      <w:b/>
      <w:bCs/>
    </w:rPr>
  </w:style>
  <w:style w:type="paragraph" w:customStyle="1" w:styleId="Titolodelcapitolo">
    <w:name w:val="Titolo del capitolo"/>
    <w:basedOn w:val="Normale"/>
    <w:link w:val="TitolodelcapitoloCarattere"/>
    <w:qFormat/>
    <w:rsid w:val="00EA7219"/>
    <w:pPr>
      <w:widowControl w:val="0"/>
      <w:spacing w:before="756" w:after="0" w:line="340" w:lineRule="exact"/>
      <w:jc w:val="center"/>
    </w:pPr>
    <w:rPr>
      <w:rFonts w:ascii="Simoncini Garamond Std" w:hAnsi="Simoncini Garamond Std"/>
      <w:caps/>
      <w:sz w:val="28"/>
      <w:szCs w:val="28"/>
    </w:rPr>
  </w:style>
  <w:style w:type="character" w:styleId="Rimandonotaapidipagina">
    <w:name w:val="footnote reference"/>
    <w:uiPriority w:val="99"/>
    <w:unhideWhenUsed/>
    <w:rsid w:val="00A02091"/>
    <w:rPr>
      <w:vertAlign w:val="superscript"/>
    </w:rPr>
  </w:style>
  <w:style w:type="character" w:styleId="CitazioneHTML">
    <w:name w:val="HTML Cite"/>
    <w:uiPriority w:val="99"/>
    <w:semiHidden/>
    <w:unhideWhenUsed/>
    <w:rsid w:val="00CA5616"/>
    <w:rPr>
      <w:i/>
      <w:iCs/>
    </w:rPr>
  </w:style>
  <w:style w:type="paragraph" w:customStyle="1" w:styleId="Suddivisionetitolata">
    <w:name w:val="Suddivisione titolata"/>
    <w:basedOn w:val="Capoverso"/>
    <w:qFormat/>
    <w:rsid w:val="00684B2D"/>
    <w:pPr>
      <w:spacing w:before="284" w:after="120"/>
      <w:ind w:left="284" w:hanging="284"/>
    </w:pPr>
    <w:rPr>
      <w:i/>
    </w:rPr>
  </w:style>
  <w:style w:type="paragraph" w:styleId="Titolo">
    <w:name w:val="Title"/>
    <w:basedOn w:val="Normale"/>
    <w:next w:val="Normale"/>
    <w:link w:val="TitoloCarattere"/>
    <w:uiPriority w:val="10"/>
    <w:semiHidden/>
    <w:rsid w:val="00224EF1"/>
    <w:pPr>
      <w:spacing w:before="240" w:after="60"/>
      <w:jc w:val="center"/>
      <w:outlineLvl w:val="0"/>
    </w:pPr>
    <w:rPr>
      <w:rFonts w:ascii="Cambria" w:eastAsia="Times New Roman" w:hAnsi="Cambria"/>
      <w:b/>
      <w:bCs/>
      <w:kern w:val="28"/>
      <w:sz w:val="32"/>
      <w:szCs w:val="32"/>
    </w:rPr>
  </w:style>
  <w:style w:type="character" w:customStyle="1" w:styleId="TitoloCarattere">
    <w:name w:val="Titolo Carattere"/>
    <w:link w:val="Titolo"/>
    <w:uiPriority w:val="10"/>
    <w:semiHidden/>
    <w:rsid w:val="00224EF1"/>
    <w:rPr>
      <w:rFonts w:ascii="Cambria" w:eastAsia="Times New Roman" w:hAnsi="Cambria" w:cs="Times New Roman"/>
      <w:b/>
      <w:bCs/>
      <w:kern w:val="28"/>
      <w:sz w:val="32"/>
      <w:szCs w:val="32"/>
      <w:lang w:eastAsia="en-US"/>
    </w:rPr>
  </w:style>
  <w:style w:type="character" w:customStyle="1" w:styleId="TitolodelcapitoloCarattere">
    <w:name w:val="Titolo del capitolo Carattere"/>
    <w:link w:val="Titolodelcapitolo"/>
    <w:rsid w:val="006E01D6"/>
    <w:rPr>
      <w:rFonts w:ascii="Simoncini Garamond Std" w:hAnsi="Simoncini Garamond Std"/>
      <w:caps/>
      <w:sz w:val="28"/>
      <w:szCs w:val="28"/>
      <w:lang w:eastAsia="en-US"/>
    </w:rPr>
  </w:style>
  <w:style w:type="paragraph" w:customStyle="1" w:styleId="Qualifica">
    <w:name w:val="Qualifica"/>
    <w:qFormat/>
    <w:rsid w:val="005D18BC"/>
    <w:pPr>
      <w:spacing w:before="120" w:after="444" w:line="240" w:lineRule="exact"/>
      <w:jc w:val="center"/>
    </w:pPr>
    <w:rPr>
      <w:rFonts w:ascii="Simoncini Garamond Std" w:hAnsi="Simoncini Garamond Std"/>
      <w:lang w:eastAsia="en-US"/>
    </w:rPr>
  </w:style>
  <w:style w:type="character" w:customStyle="1" w:styleId="UnresolvedMention">
    <w:name w:val="Unresolved Mention"/>
    <w:uiPriority w:val="99"/>
    <w:semiHidden/>
    <w:unhideWhenUsed/>
    <w:rsid w:val="00C33520"/>
    <w:rPr>
      <w:color w:val="605E5C"/>
      <w:shd w:val="clear" w:color="auto" w:fill="E1DFDD"/>
    </w:rPr>
  </w:style>
  <w:style w:type="table" w:customStyle="1" w:styleId="TableNormal">
    <w:name w:val="Table Normal"/>
    <w:uiPriority w:val="2"/>
    <w:semiHidden/>
    <w:unhideWhenUsed/>
    <w:qFormat/>
    <w:rsid w:val="00C33520"/>
    <w:pPr>
      <w:widowControl w:val="0"/>
      <w:autoSpaceDE w:val="0"/>
      <w:autoSpaceDN w:val="0"/>
    </w:pPr>
    <w:rPr>
      <w:rFonts w:cs="Arial"/>
      <w:sz w:val="22"/>
      <w:szCs w:val="22"/>
      <w:lang w:val="en-US" w:eastAsia="en-US"/>
    </w:rPr>
    <w:tblPr>
      <w:tblInd w:w="0" w:type="dxa"/>
      <w:tblCellMar>
        <w:top w:w="0" w:type="dxa"/>
        <w:left w:w="0" w:type="dxa"/>
        <w:bottom w:w="0" w:type="dxa"/>
        <w:right w:w="0" w:type="dxa"/>
      </w:tblCellMar>
    </w:tblPr>
  </w:style>
  <w:style w:type="paragraph" w:styleId="Revisione">
    <w:name w:val="Revision"/>
    <w:hidden/>
    <w:uiPriority w:val="99"/>
    <w:semiHidden/>
    <w:rsid w:val="00C33520"/>
    <w:rPr>
      <w:rFonts w:cs="Arial"/>
      <w:sz w:val="24"/>
      <w:szCs w:val="24"/>
      <w:lang w:eastAsia="en-US"/>
    </w:rPr>
  </w:style>
  <w:style w:type="character" w:customStyle="1" w:styleId="Titolo4Carattere">
    <w:name w:val="Titolo 4 Carattere"/>
    <w:link w:val="Titolo4"/>
    <w:semiHidden/>
    <w:rsid w:val="00584538"/>
    <w:rPr>
      <w:rFonts w:ascii="Garamond" w:eastAsia="MS Mincho" w:hAnsi="Garamond"/>
      <w:sz w:val="26"/>
      <w:lang w:eastAsia="ja-JP"/>
    </w:rPr>
  </w:style>
  <w:style w:type="character" w:customStyle="1" w:styleId="Titolo5Carattere">
    <w:name w:val="Titolo 5 Carattere"/>
    <w:link w:val="Titolo5"/>
    <w:semiHidden/>
    <w:rsid w:val="00584538"/>
    <w:rPr>
      <w:rFonts w:ascii="Garamond" w:eastAsia="MS Mincho" w:hAnsi="Garamond"/>
      <w:sz w:val="26"/>
      <w:lang w:eastAsia="ja-JP"/>
    </w:rPr>
  </w:style>
  <w:style w:type="character" w:customStyle="1" w:styleId="Titolo6Carattere">
    <w:name w:val="Titolo 6 Carattere"/>
    <w:link w:val="Titolo6"/>
    <w:uiPriority w:val="9"/>
    <w:semiHidden/>
    <w:rsid w:val="00C33520"/>
    <w:rPr>
      <w:rFonts w:eastAsia="MS Gothic"/>
      <w:i/>
      <w:iCs/>
      <w:color w:val="243F60"/>
      <w:sz w:val="26"/>
      <w:lang w:eastAsia="ja-JP"/>
    </w:rPr>
  </w:style>
  <w:style w:type="character" w:customStyle="1" w:styleId="Titolo7Carattere">
    <w:name w:val="Titolo 7 Carattere"/>
    <w:link w:val="Titolo7"/>
    <w:uiPriority w:val="9"/>
    <w:semiHidden/>
    <w:rsid w:val="00C33520"/>
    <w:rPr>
      <w:rFonts w:eastAsia="MS Gothic"/>
      <w:i/>
      <w:iCs/>
      <w:color w:val="404040"/>
      <w:sz w:val="26"/>
      <w:lang w:eastAsia="ja-JP"/>
    </w:rPr>
  </w:style>
  <w:style w:type="character" w:customStyle="1" w:styleId="Titolo8Carattere">
    <w:name w:val="Titolo 8 Carattere"/>
    <w:link w:val="Titolo8"/>
    <w:uiPriority w:val="9"/>
    <w:semiHidden/>
    <w:rsid w:val="00C33520"/>
    <w:rPr>
      <w:rFonts w:eastAsia="MS Gothic"/>
      <w:color w:val="404040"/>
      <w:lang w:eastAsia="ja-JP"/>
    </w:rPr>
  </w:style>
  <w:style w:type="character" w:customStyle="1" w:styleId="Titolo9Carattere">
    <w:name w:val="Titolo 9 Carattere"/>
    <w:link w:val="Titolo9"/>
    <w:uiPriority w:val="9"/>
    <w:semiHidden/>
    <w:rsid w:val="00C33520"/>
    <w:rPr>
      <w:rFonts w:eastAsia="MS Gothic"/>
      <w:i/>
      <w:iCs/>
      <w:color w:val="404040"/>
      <w:lang w:eastAsia="ja-JP"/>
    </w:rPr>
  </w:style>
  <w:style w:type="paragraph" w:customStyle="1" w:styleId="Capoversorigabianca">
    <w:name w:val="Capoverso riga bianca"/>
    <w:basedOn w:val="Capoverso"/>
    <w:qFormat/>
    <w:rsid w:val="008A5B87"/>
    <w:pPr>
      <w:spacing w:before="252"/>
    </w:pPr>
  </w:style>
  <w:style w:type="paragraph" w:styleId="Bibliografia">
    <w:name w:val="Bibliography"/>
    <w:next w:val="Normale"/>
    <w:uiPriority w:val="37"/>
    <w:rsid w:val="006B6781"/>
    <w:pPr>
      <w:spacing w:line="240" w:lineRule="exact"/>
      <w:ind w:left="284" w:hanging="284"/>
      <w:jc w:val="both"/>
    </w:pPr>
    <w:rPr>
      <w:rFonts w:ascii="Simoncini Garamond Std" w:hAnsi="Simoncini Garamond Std"/>
      <w:szCs w:val="22"/>
      <w:lang w:eastAsia="en-US"/>
    </w:rPr>
  </w:style>
  <w:style w:type="paragraph" w:customStyle="1" w:styleId="Sottoparagrafo">
    <w:name w:val="Sottoparagrafo"/>
    <w:qFormat/>
    <w:rsid w:val="0079042F"/>
    <w:pPr>
      <w:keepNext/>
      <w:spacing w:before="252" w:after="126"/>
      <w:jc w:val="both"/>
    </w:pPr>
    <w:rPr>
      <w:rFonts w:ascii="Simoncini Garamond Std" w:hAnsi="Simoncini Garamond Std"/>
      <w:i/>
      <w:sz w:val="23"/>
      <w:szCs w:val="26"/>
      <w:lang w:eastAsia="en-US"/>
    </w:rPr>
  </w:style>
  <w:style w:type="paragraph" w:customStyle="1" w:styleId="Sottosottoparagrafo">
    <w:name w:val="Sottosottoparagrafo"/>
    <w:qFormat/>
    <w:rsid w:val="002539B5"/>
    <w:pPr>
      <w:keepNext/>
      <w:spacing w:before="252" w:after="126" w:line="240" w:lineRule="exact"/>
      <w:ind w:left="284" w:hanging="284"/>
      <w:jc w:val="both"/>
    </w:pPr>
    <w:rPr>
      <w:rFonts w:ascii="Simoncini Garamond Std" w:hAnsi="Simoncini Garamond Std"/>
      <w:i/>
      <w:sz w:val="22"/>
      <w:szCs w:val="26"/>
      <w:lang w:eastAsia="en-US"/>
    </w:rPr>
  </w:style>
  <w:style w:type="paragraph" w:styleId="Pidipagina">
    <w:name w:val="footer"/>
    <w:basedOn w:val="Normale"/>
    <w:link w:val="PidipaginaCarattere"/>
    <w:uiPriority w:val="99"/>
    <w:unhideWhenUsed/>
    <w:rsid w:val="0036041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041F"/>
    <w:rPr>
      <w:sz w:val="22"/>
      <w:szCs w:val="22"/>
      <w:lang w:eastAsia="en-US"/>
    </w:rPr>
  </w:style>
  <w:style w:type="paragraph" w:styleId="Intestazione">
    <w:name w:val="header"/>
    <w:basedOn w:val="Normale"/>
    <w:link w:val="IntestazioneCarattere"/>
    <w:uiPriority w:val="99"/>
    <w:unhideWhenUsed/>
    <w:rsid w:val="0036041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041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7D21D-E08D-49A3-859B-F95B48FA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5935</Words>
  <Characters>33832</Characters>
  <Application>Microsoft Office Word</Application>
  <DocSecurity>0</DocSecurity>
  <Lines>281</Lines>
  <Paragraphs>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MAUCIONE Giuseppe</cp:lastModifiedBy>
  <cp:revision>2</cp:revision>
  <cp:lastPrinted>2023-01-05T19:29:00Z</cp:lastPrinted>
  <dcterms:created xsi:type="dcterms:W3CDTF">2023-06-09T06:27:00Z</dcterms:created>
  <dcterms:modified xsi:type="dcterms:W3CDTF">2023-06-09T06:27:00Z</dcterms:modified>
</cp:coreProperties>
</file>