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312" w:rsidRDefault="00D91312" w:rsidP="00D91312">
      <w:pPr>
        <w:pStyle w:val="paragraph"/>
        <w:spacing w:before="0" w:beforeAutospacing="0" w:after="0" w:afterAutospacing="0"/>
        <w:ind w:left="4110"/>
        <w:jc w:val="both"/>
        <w:textAlignment w:val="baseline"/>
        <w:rPr>
          <w:rFonts w:ascii="Segoe UI" w:hAnsi="Segoe UI" w:cs="Segoe UI"/>
          <w:sz w:val="18"/>
          <w:szCs w:val="18"/>
        </w:rPr>
      </w:pPr>
      <w:r>
        <w:rPr>
          <w:rFonts w:asciiTheme="minorHAnsi" w:eastAsiaTheme="minorHAnsi" w:hAnsiTheme="minorHAnsi" w:cstheme="minorBidi"/>
          <w:b/>
          <w:noProof/>
          <w:sz w:val="22"/>
          <w:szCs w:val="22"/>
        </w:rPr>
        <w:drawing>
          <wp:inline distT="0" distB="0" distL="0" distR="0">
            <wp:extent cx="914400" cy="1019810"/>
            <wp:effectExtent l="0" t="0" r="0" b="8890"/>
            <wp:docPr id="2" name="Immagine 2" descr="C:\Users\n.durante\AppData\Local\Microsoft\Windows\INetCache\Content.MSO\FE404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durante\AppData\Local\Microsoft\Windows\INetCache\Content.MSO\FE40425.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019810"/>
                    </a:xfrm>
                    <a:prstGeom prst="rect">
                      <a:avLst/>
                    </a:prstGeom>
                    <a:noFill/>
                    <a:ln>
                      <a:noFill/>
                    </a:ln>
                  </pic:spPr>
                </pic:pic>
              </a:graphicData>
            </a:graphic>
          </wp:inline>
        </w:drawing>
      </w:r>
      <w:r>
        <w:rPr>
          <w:rStyle w:val="eop"/>
          <w:color w:val="000000"/>
          <w:sz w:val="22"/>
          <w:szCs w:val="22"/>
        </w:rPr>
        <w:t> </w:t>
      </w:r>
    </w:p>
    <w:p w:rsidR="00D91312" w:rsidRDefault="00D91312" w:rsidP="00D91312">
      <w:pPr>
        <w:pStyle w:val="paragraph"/>
        <w:spacing w:before="0" w:beforeAutospacing="0" w:after="0" w:afterAutospacing="0"/>
        <w:jc w:val="center"/>
        <w:textAlignment w:val="baseline"/>
        <w:rPr>
          <w:rFonts w:ascii="Segoe UI" w:hAnsi="Segoe UI" w:cs="Segoe UI"/>
          <w:sz w:val="18"/>
          <w:szCs w:val="18"/>
        </w:rPr>
      </w:pPr>
      <w:r>
        <w:rPr>
          <w:rStyle w:val="normaltextrun"/>
          <w:rFonts w:ascii="Kunstler Script" w:hAnsi="Kunstler Script" w:cs="Segoe UI"/>
          <w:sz w:val="80"/>
          <w:szCs w:val="80"/>
        </w:rPr>
        <w:t>Ufficio studi e formazione </w:t>
      </w:r>
      <w:r>
        <w:rPr>
          <w:rStyle w:val="eop"/>
          <w:rFonts w:ascii="Kunstler Script" w:hAnsi="Kunstler Script" w:cs="Segoe UI"/>
          <w:sz w:val="80"/>
          <w:szCs w:val="80"/>
        </w:rPr>
        <w:t> </w:t>
      </w:r>
    </w:p>
    <w:p w:rsidR="00D91312" w:rsidRDefault="00D91312" w:rsidP="00D91312">
      <w:pPr>
        <w:pStyle w:val="paragraph"/>
        <w:spacing w:before="0" w:beforeAutospacing="0" w:after="0" w:afterAutospacing="0"/>
        <w:jc w:val="center"/>
        <w:textAlignment w:val="baseline"/>
        <w:rPr>
          <w:rFonts w:ascii="Segoe UI" w:hAnsi="Segoe UI" w:cs="Segoe UI"/>
          <w:sz w:val="18"/>
          <w:szCs w:val="18"/>
        </w:rPr>
      </w:pPr>
      <w:r>
        <w:rPr>
          <w:rStyle w:val="normaltextrun"/>
          <w:rFonts w:ascii="Kunstler Script" w:hAnsi="Kunstler Script" w:cs="Segoe UI"/>
          <w:i/>
          <w:iCs/>
          <w:sz w:val="80"/>
          <w:szCs w:val="80"/>
        </w:rPr>
        <w:t>della Giustizia amministrativa</w:t>
      </w:r>
      <w:r>
        <w:rPr>
          <w:rStyle w:val="eop"/>
          <w:rFonts w:ascii="Kunstler Script" w:hAnsi="Kunstler Script" w:cs="Segoe UI"/>
          <w:sz w:val="80"/>
          <w:szCs w:val="80"/>
        </w:rPr>
        <w:t> </w:t>
      </w:r>
    </w:p>
    <w:p w:rsidR="00D91312" w:rsidRDefault="00D91312" w:rsidP="00D91312">
      <w:pPr>
        <w:pStyle w:val="paragraph"/>
        <w:shd w:val="clear" w:color="auto" w:fill="FFFFFF"/>
        <w:spacing w:before="0" w:beforeAutospacing="0" w:after="0" w:afterAutospacing="0"/>
        <w:ind w:left="3660" w:right="2775" w:hanging="525"/>
        <w:jc w:val="center"/>
        <w:textAlignment w:val="baseline"/>
        <w:rPr>
          <w:rFonts w:ascii="Segoe UI" w:hAnsi="Segoe UI" w:cs="Segoe UI"/>
          <w:sz w:val="18"/>
          <w:szCs w:val="18"/>
        </w:rPr>
      </w:pPr>
      <w:r>
        <w:rPr>
          <w:rStyle w:val="eop"/>
          <w:color w:val="002060"/>
        </w:rPr>
        <w:t> </w:t>
      </w:r>
    </w:p>
    <w:p w:rsidR="00D91312" w:rsidRDefault="00D91312" w:rsidP="00D91312">
      <w:pPr>
        <w:pStyle w:val="paragraph"/>
        <w:shd w:val="clear" w:color="auto" w:fill="FFFFFF"/>
        <w:spacing w:before="0" w:beforeAutospacing="0" w:after="0" w:afterAutospacing="0"/>
        <w:ind w:left="3660" w:right="2775" w:hanging="525"/>
        <w:jc w:val="center"/>
        <w:textAlignment w:val="baseline"/>
        <w:rPr>
          <w:rFonts w:ascii="Segoe UI" w:hAnsi="Segoe UI" w:cs="Segoe UI"/>
          <w:sz w:val="18"/>
          <w:szCs w:val="18"/>
        </w:rPr>
      </w:pPr>
      <w:r>
        <w:rPr>
          <w:rStyle w:val="eop"/>
          <w:color w:val="002060"/>
        </w:rPr>
        <w:t> </w:t>
      </w:r>
    </w:p>
    <w:p w:rsidR="00D91312" w:rsidRDefault="00D91312" w:rsidP="00D91312">
      <w:pPr>
        <w:pStyle w:val="paragraph"/>
        <w:shd w:val="clear" w:color="auto" w:fill="FFFFFF"/>
        <w:spacing w:before="0" w:beforeAutospacing="0" w:after="0" w:afterAutospacing="0"/>
        <w:ind w:left="3660" w:right="2775" w:hanging="525"/>
        <w:jc w:val="center"/>
        <w:textAlignment w:val="baseline"/>
        <w:rPr>
          <w:rFonts w:ascii="Segoe UI" w:hAnsi="Segoe UI" w:cs="Segoe UI"/>
          <w:sz w:val="18"/>
          <w:szCs w:val="18"/>
        </w:rPr>
      </w:pPr>
      <w:r>
        <w:rPr>
          <w:rFonts w:asciiTheme="minorHAnsi" w:eastAsiaTheme="minorHAnsi" w:hAnsiTheme="minorHAnsi" w:cstheme="minorBidi"/>
          <w:b/>
          <w:noProof/>
          <w:sz w:val="22"/>
          <w:szCs w:val="22"/>
        </w:rPr>
        <w:drawing>
          <wp:inline distT="0" distB="0" distL="0" distR="0">
            <wp:extent cx="1213485" cy="692785"/>
            <wp:effectExtent l="0" t="0" r="5715" b="0"/>
            <wp:docPr id="1" name="Immagine 1" descr="C:\Users\n.durante\AppData\Local\Microsoft\Windows\INetCache\Content.MSO\AA356E7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durante\AppData\Local\Microsoft\Windows\INetCache\Content.MSO\AA356E7B.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3485" cy="692785"/>
                    </a:xfrm>
                    <a:prstGeom prst="rect">
                      <a:avLst/>
                    </a:prstGeom>
                    <a:noFill/>
                    <a:ln>
                      <a:noFill/>
                    </a:ln>
                  </pic:spPr>
                </pic:pic>
              </a:graphicData>
            </a:graphic>
          </wp:inline>
        </w:drawing>
      </w:r>
      <w:r>
        <w:rPr>
          <w:rStyle w:val="normaltextrun"/>
          <w:b/>
          <w:bCs/>
          <w:color w:val="002060"/>
        </w:rPr>
        <w:t> </w:t>
      </w:r>
      <w:r>
        <w:rPr>
          <w:rStyle w:val="eop"/>
          <w:color w:val="002060"/>
        </w:rPr>
        <w:t> </w:t>
      </w:r>
    </w:p>
    <w:p w:rsidR="00D91312" w:rsidRDefault="00D91312" w:rsidP="00D91312">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Palatino Linotype" w:hAnsi="Palatino Linotype" w:cs="Segoe UI"/>
          <w:color w:val="000000"/>
          <w:sz w:val="28"/>
          <w:szCs w:val="28"/>
        </w:rPr>
        <w:t> </w:t>
      </w:r>
    </w:p>
    <w:p w:rsidR="00D91312" w:rsidRDefault="00D91312" w:rsidP="00D91312">
      <w:pPr>
        <w:pStyle w:val="paragraph"/>
        <w:spacing w:before="0" w:beforeAutospacing="0" w:after="0" w:afterAutospacing="0"/>
        <w:jc w:val="center"/>
        <w:textAlignment w:val="baseline"/>
        <w:rPr>
          <w:rFonts w:ascii="Segoe UI" w:hAnsi="Segoe UI" w:cs="Segoe UI"/>
          <w:sz w:val="18"/>
          <w:szCs w:val="18"/>
        </w:rPr>
      </w:pPr>
      <w:r>
        <w:rPr>
          <w:rStyle w:val="normaltextrun"/>
          <w:rFonts w:ascii="Kunstler Script" w:hAnsi="Kunstler Script" w:cs="Segoe UI"/>
          <w:sz w:val="80"/>
          <w:szCs w:val="80"/>
        </w:rPr>
        <w:t>Il coordinatore </w:t>
      </w:r>
      <w:r>
        <w:rPr>
          <w:rStyle w:val="eop"/>
          <w:rFonts w:ascii="Kunstler Script" w:hAnsi="Kunstler Script" w:cs="Segoe UI"/>
          <w:sz w:val="80"/>
          <w:szCs w:val="80"/>
        </w:rPr>
        <w:t> </w:t>
      </w:r>
    </w:p>
    <w:p w:rsidR="00D91312" w:rsidRDefault="00D91312" w:rsidP="00FE6347">
      <w:pPr>
        <w:jc w:val="both"/>
        <w:rPr>
          <w:b/>
        </w:rPr>
      </w:pPr>
    </w:p>
    <w:p w:rsidR="00FE6347" w:rsidRPr="00D91312" w:rsidRDefault="00FE6347" w:rsidP="00FE6347">
      <w:pPr>
        <w:jc w:val="both"/>
        <w:rPr>
          <w:rFonts w:ascii="Bookman Old Style" w:hAnsi="Bookman Old Style"/>
          <w:b/>
        </w:rPr>
      </w:pPr>
      <w:r w:rsidRPr="00D91312">
        <w:rPr>
          <w:rFonts w:ascii="Bookman Old Style" w:hAnsi="Bookman Old Style"/>
          <w:b/>
        </w:rPr>
        <w:t>Premessa.</w:t>
      </w:r>
    </w:p>
    <w:p w:rsidR="00B56331" w:rsidRDefault="00FE6347" w:rsidP="00B56331">
      <w:pPr>
        <w:jc w:val="both"/>
        <w:rPr>
          <w:rFonts w:ascii="Bookman Old Style" w:hAnsi="Bookman Old Style"/>
        </w:rPr>
      </w:pPr>
      <w:r w:rsidRPr="00D91312">
        <w:rPr>
          <w:rFonts w:ascii="Bookman Old Style" w:hAnsi="Bookman Old Style"/>
        </w:rPr>
        <w:t>E</w:t>
      </w:r>
      <w:r w:rsidR="008655D6" w:rsidRPr="00D91312">
        <w:rPr>
          <w:rFonts w:ascii="Bookman Old Style" w:hAnsi="Bookman Old Style"/>
        </w:rPr>
        <w:t>’</w:t>
      </w:r>
      <w:r w:rsidRPr="00D91312">
        <w:rPr>
          <w:rFonts w:ascii="Bookman Old Style" w:hAnsi="Bookman Old Style"/>
        </w:rPr>
        <w:t xml:space="preserve"> stat</w:t>
      </w:r>
      <w:r w:rsidR="00DB1B8E" w:rsidRPr="00D91312">
        <w:rPr>
          <w:rFonts w:ascii="Bookman Old Style" w:hAnsi="Bookman Old Style"/>
        </w:rPr>
        <w:t>o richiesto a questo Ufficio uno studio sull</w:t>
      </w:r>
      <w:r w:rsidR="008655D6" w:rsidRPr="00D91312">
        <w:rPr>
          <w:rFonts w:ascii="Bookman Old Style" w:hAnsi="Bookman Old Style"/>
        </w:rPr>
        <w:t>’</w:t>
      </w:r>
      <w:r w:rsidR="00DB1B8E" w:rsidRPr="00D91312">
        <w:rPr>
          <w:rFonts w:ascii="Bookman Old Style" w:hAnsi="Bookman Old Style"/>
        </w:rPr>
        <w:t>esistenza, o meno, di un termine</w:t>
      </w:r>
      <w:r w:rsidR="006B0286" w:rsidRPr="00D91312">
        <w:rPr>
          <w:rFonts w:ascii="Bookman Old Style" w:hAnsi="Bookman Old Style"/>
        </w:rPr>
        <w:t>, e sulla sua natura, per la contestazione degli addebiti nei procedimenti sanzionatori dell</w:t>
      </w:r>
      <w:r w:rsidR="008655D6" w:rsidRPr="00D91312">
        <w:rPr>
          <w:rFonts w:ascii="Bookman Old Style" w:hAnsi="Bookman Old Style"/>
        </w:rPr>
        <w:t>’</w:t>
      </w:r>
      <w:r w:rsidR="006B0286" w:rsidRPr="00D91312">
        <w:rPr>
          <w:rFonts w:ascii="Bookman Old Style" w:hAnsi="Bookman Old Style"/>
        </w:rPr>
        <w:t xml:space="preserve">AGCM </w:t>
      </w:r>
      <w:r w:rsidR="00B56331" w:rsidRPr="00D91312">
        <w:rPr>
          <w:rFonts w:ascii="Bookman Old Style" w:hAnsi="Bookman Old Style"/>
        </w:rPr>
        <w:t xml:space="preserve">che chiarisca anche se </w:t>
      </w:r>
      <w:r w:rsidR="00955E64" w:rsidRPr="00D91312">
        <w:rPr>
          <w:rFonts w:ascii="Bookman Old Style" w:hAnsi="Bookman Old Style"/>
        </w:rPr>
        <w:t>altre autorità amministrative indipendenti hanno termini entro i quali notificare la violazione al trasgressore</w:t>
      </w:r>
      <w:r w:rsidR="00B56331" w:rsidRPr="00D91312">
        <w:rPr>
          <w:rFonts w:ascii="Bookman Old Style" w:hAnsi="Bookman Old Style"/>
        </w:rPr>
        <w:t xml:space="preserve">, </w:t>
      </w:r>
      <w:r w:rsidR="00955E64" w:rsidRPr="00D91312">
        <w:rPr>
          <w:rFonts w:ascii="Bookman Old Style" w:hAnsi="Bookman Old Style"/>
        </w:rPr>
        <w:t>se un meccanismo che prevede un termine massimo per la notifica della violazione presenti profili di contrarietà</w:t>
      </w:r>
      <w:r w:rsidR="00B56331" w:rsidRPr="00D91312">
        <w:rPr>
          <w:rFonts w:ascii="Bookman Old Style" w:hAnsi="Bookman Old Style"/>
        </w:rPr>
        <w:t xml:space="preserve"> al diritto dell</w:t>
      </w:r>
      <w:r w:rsidR="008655D6" w:rsidRPr="00D91312">
        <w:rPr>
          <w:rFonts w:ascii="Bookman Old Style" w:hAnsi="Bookman Old Style"/>
        </w:rPr>
        <w:t>’</w:t>
      </w:r>
      <w:r w:rsidR="00B56331" w:rsidRPr="00D91312">
        <w:rPr>
          <w:rFonts w:ascii="Bookman Old Style" w:hAnsi="Bookman Old Style"/>
        </w:rPr>
        <w:t>Unione europea, se vi siano specifiche pronunce della Corte UE o della Corte EDU sul tema del termine massimo per l</w:t>
      </w:r>
      <w:r w:rsidR="008655D6" w:rsidRPr="00D91312">
        <w:rPr>
          <w:rFonts w:ascii="Bookman Old Style" w:hAnsi="Bookman Old Style"/>
        </w:rPr>
        <w:t>’</w:t>
      </w:r>
      <w:r w:rsidR="00B56331" w:rsidRPr="00D91312">
        <w:rPr>
          <w:rFonts w:ascii="Bookman Old Style" w:hAnsi="Bookman Old Style"/>
        </w:rPr>
        <w:t>avvio dell</w:t>
      </w:r>
      <w:r w:rsidR="008655D6" w:rsidRPr="00D91312">
        <w:rPr>
          <w:rFonts w:ascii="Bookman Old Style" w:hAnsi="Bookman Old Style"/>
        </w:rPr>
        <w:t>’</w:t>
      </w:r>
      <w:r w:rsidR="00B56331" w:rsidRPr="00D91312">
        <w:rPr>
          <w:rFonts w:ascii="Bookman Old Style" w:hAnsi="Bookman Old Style"/>
        </w:rPr>
        <w:t xml:space="preserve">azione sanzionatoria </w:t>
      </w:r>
      <w:r w:rsidR="00B56331" w:rsidRPr="00D91312">
        <w:rPr>
          <w:rFonts w:ascii="Bookman Old Style" w:hAnsi="Bookman Old Style"/>
          <w:i/>
        </w:rPr>
        <w:t>antitrust</w:t>
      </w:r>
      <w:r w:rsidR="00B56331" w:rsidRPr="00D91312">
        <w:rPr>
          <w:rFonts w:ascii="Bookman Old Style" w:hAnsi="Bookman Old Style"/>
        </w:rPr>
        <w:t xml:space="preserve"> anche con riferimento ad altri ordinamenti e quali siano le discipline vigenti in tema di avvio dell</w:t>
      </w:r>
      <w:r w:rsidR="008655D6" w:rsidRPr="00D91312">
        <w:rPr>
          <w:rFonts w:ascii="Bookman Old Style" w:hAnsi="Bookman Old Style"/>
        </w:rPr>
        <w:t>’</w:t>
      </w:r>
      <w:r w:rsidR="00B56331" w:rsidRPr="00D91312">
        <w:rPr>
          <w:rFonts w:ascii="Bookman Old Style" w:hAnsi="Bookman Old Style"/>
        </w:rPr>
        <w:t xml:space="preserve">azione sanzionatoria </w:t>
      </w:r>
      <w:r w:rsidR="00B56331" w:rsidRPr="00D91312">
        <w:rPr>
          <w:rFonts w:ascii="Bookman Old Style" w:hAnsi="Bookman Old Style"/>
          <w:i/>
        </w:rPr>
        <w:t>antitrust</w:t>
      </w:r>
      <w:r w:rsidR="00B56331" w:rsidRPr="00D91312">
        <w:rPr>
          <w:rFonts w:ascii="Bookman Old Style" w:hAnsi="Bookman Old Style"/>
        </w:rPr>
        <w:t xml:space="preserve"> per autorità omologhe di altri paesi UE, specie con riguardo alle esperienze di Francia, Germania e Spagna, oltre a indicare </w:t>
      </w:r>
      <w:r w:rsidR="00897B70" w:rsidRPr="00D91312">
        <w:rPr>
          <w:rFonts w:ascii="Bookman Old Style" w:hAnsi="Bookman Old Style"/>
        </w:rPr>
        <w:t xml:space="preserve">le eventuali </w:t>
      </w:r>
      <w:r w:rsidR="00B56331" w:rsidRPr="00D91312">
        <w:rPr>
          <w:rFonts w:ascii="Bookman Old Style" w:hAnsi="Bookman Old Style"/>
        </w:rPr>
        <w:t>opinioni dottrinali fino ad ora intervenute sull</w:t>
      </w:r>
      <w:r w:rsidR="008655D6" w:rsidRPr="00D91312">
        <w:rPr>
          <w:rFonts w:ascii="Bookman Old Style" w:hAnsi="Bookman Old Style"/>
        </w:rPr>
        <w:t>’</w:t>
      </w:r>
      <w:r w:rsidR="00B56331" w:rsidRPr="00D91312">
        <w:rPr>
          <w:rFonts w:ascii="Bookman Old Style" w:hAnsi="Bookman Old Style"/>
        </w:rPr>
        <w:t>argomento.</w:t>
      </w:r>
    </w:p>
    <w:p w:rsidR="00D91312" w:rsidRPr="00D91312" w:rsidRDefault="00D91312" w:rsidP="00D91312">
      <w:pPr>
        <w:jc w:val="both"/>
        <w:rPr>
          <w:rFonts w:ascii="Bookman Old Style" w:hAnsi="Bookman Old Style"/>
        </w:rPr>
      </w:pPr>
      <w:r>
        <w:rPr>
          <w:rFonts w:ascii="Bookman Old Style" w:hAnsi="Bookman Old Style"/>
        </w:rPr>
        <w:t>Il presente</w:t>
      </w:r>
      <w:bookmarkStart w:id="0" w:name="_GoBack"/>
      <w:bookmarkEnd w:id="0"/>
      <w:r>
        <w:rPr>
          <w:rFonts w:ascii="Bookman Old Style" w:hAnsi="Bookman Old Style"/>
        </w:rPr>
        <w:t xml:space="preserve"> s</w:t>
      </w:r>
      <w:r>
        <w:rPr>
          <w:rFonts w:ascii="Bookman Old Style" w:hAnsi="Bookman Old Style"/>
        </w:rPr>
        <w:t xml:space="preserve">tudio </w:t>
      </w:r>
      <w:r>
        <w:rPr>
          <w:rFonts w:ascii="Bookman Old Style" w:hAnsi="Bookman Old Style"/>
        </w:rPr>
        <w:t xml:space="preserve">è stato </w:t>
      </w:r>
      <w:r>
        <w:rPr>
          <w:rFonts w:ascii="Bookman Old Style" w:hAnsi="Bookman Old Style"/>
        </w:rPr>
        <w:t xml:space="preserve">redatto dal Cons. Stato Francesco </w:t>
      </w:r>
      <w:proofErr w:type="spellStart"/>
      <w:r>
        <w:rPr>
          <w:rFonts w:ascii="Bookman Old Style" w:hAnsi="Bookman Old Style"/>
        </w:rPr>
        <w:t>Guarracino</w:t>
      </w:r>
      <w:proofErr w:type="spellEnd"/>
      <w:r>
        <w:rPr>
          <w:rFonts w:ascii="Bookman Old Style" w:hAnsi="Bookman Old Style"/>
        </w:rPr>
        <w:t>.</w:t>
      </w:r>
    </w:p>
    <w:p w:rsidR="00DC1C5B" w:rsidRPr="00D91312" w:rsidRDefault="00DC1C5B" w:rsidP="008D144B">
      <w:pPr>
        <w:jc w:val="both"/>
        <w:rPr>
          <w:rFonts w:ascii="Bookman Old Style" w:hAnsi="Bookman Old Style"/>
        </w:rPr>
      </w:pPr>
    </w:p>
    <w:p w:rsidR="004E6286" w:rsidRPr="00D91312" w:rsidRDefault="00541BCD" w:rsidP="008D144B">
      <w:pPr>
        <w:jc w:val="both"/>
        <w:rPr>
          <w:rFonts w:ascii="Bookman Old Style" w:hAnsi="Bookman Old Style"/>
          <w:b/>
        </w:rPr>
      </w:pPr>
      <w:r w:rsidRPr="00D91312">
        <w:rPr>
          <w:rFonts w:ascii="Bookman Old Style" w:hAnsi="Bookman Old Style"/>
          <w:b/>
        </w:rPr>
        <w:t>I</w:t>
      </w:r>
      <w:r w:rsidR="006728A6" w:rsidRPr="00D91312">
        <w:rPr>
          <w:rFonts w:ascii="Bookman Old Style" w:hAnsi="Bookman Old Style"/>
          <w:b/>
        </w:rPr>
        <w:t>l termine di decadenza per la contestazione dell</w:t>
      </w:r>
      <w:r w:rsidR="008655D6" w:rsidRPr="00D91312">
        <w:rPr>
          <w:rFonts w:ascii="Bookman Old Style" w:hAnsi="Bookman Old Style"/>
          <w:b/>
        </w:rPr>
        <w:t>’</w:t>
      </w:r>
      <w:r w:rsidR="006728A6" w:rsidRPr="00D91312">
        <w:rPr>
          <w:rFonts w:ascii="Bookman Old Style" w:hAnsi="Bookman Old Style"/>
          <w:b/>
        </w:rPr>
        <w:t xml:space="preserve">infrazione nella </w:t>
      </w:r>
      <w:r w:rsidRPr="00D91312">
        <w:rPr>
          <w:rFonts w:ascii="Bookman Old Style" w:hAnsi="Bookman Old Style"/>
          <w:b/>
        </w:rPr>
        <w:t xml:space="preserve">disciplina generale della </w:t>
      </w:r>
      <w:r w:rsidR="006728A6" w:rsidRPr="00D91312">
        <w:rPr>
          <w:rFonts w:ascii="Bookman Old Style" w:hAnsi="Bookman Old Style"/>
          <w:b/>
        </w:rPr>
        <w:t>l. 689/81.</w:t>
      </w:r>
    </w:p>
    <w:p w:rsidR="002938D9" w:rsidRPr="00D91312" w:rsidRDefault="008D144B" w:rsidP="008D144B">
      <w:pPr>
        <w:jc w:val="both"/>
        <w:rPr>
          <w:rFonts w:ascii="Bookman Old Style" w:hAnsi="Bookman Old Style"/>
        </w:rPr>
      </w:pPr>
      <w:r w:rsidRPr="00D91312">
        <w:rPr>
          <w:rFonts w:ascii="Bookman Old Style" w:hAnsi="Bookman Old Style"/>
        </w:rPr>
        <w:t xml:space="preserve">Un </w:t>
      </w:r>
      <w:r w:rsidR="00210F28" w:rsidRPr="00D91312">
        <w:rPr>
          <w:rFonts w:ascii="Bookman Old Style" w:hAnsi="Bookman Old Style"/>
        </w:rPr>
        <w:t xml:space="preserve">esercizio </w:t>
      </w:r>
      <w:r w:rsidRPr="00D91312">
        <w:rPr>
          <w:rFonts w:ascii="Bookman Old Style" w:hAnsi="Bookman Old Style"/>
        </w:rPr>
        <w:t xml:space="preserve">di </w:t>
      </w:r>
      <w:r w:rsidR="00210F28" w:rsidRPr="00D91312">
        <w:rPr>
          <w:rFonts w:ascii="Bookman Old Style" w:hAnsi="Bookman Old Style"/>
        </w:rPr>
        <w:t xml:space="preserve">potestà sanzionatoria </w:t>
      </w:r>
      <w:r w:rsidRPr="00D91312">
        <w:rPr>
          <w:rFonts w:ascii="Bookman Old Style" w:hAnsi="Bookman Old Style"/>
        </w:rPr>
        <w:t xml:space="preserve">che non sia puramente arbitrario </w:t>
      </w:r>
      <w:r w:rsidR="00210F28" w:rsidRPr="00D91312">
        <w:rPr>
          <w:rFonts w:ascii="Bookman Old Style" w:hAnsi="Bookman Old Style"/>
        </w:rPr>
        <w:t xml:space="preserve">presuppone anzitutto logicamente </w:t>
      </w:r>
      <w:r w:rsidRPr="00D91312">
        <w:rPr>
          <w:rFonts w:ascii="Bookman Old Style" w:hAnsi="Bookman Old Style"/>
        </w:rPr>
        <w:t xml:space="preserve">un momento di acquisizione </w:t>
      </w:r>
      <w:r w:rsidR="00975C8E" w:rsidRPr="00D91312">
        <w:rPr>
          <w:rFonts w:ascii="Bookman Old Style" w:hAnsi="Bookman Old Style"/>
        </w:rPr>
        <w:t xml:space="preserve">dei fatti storici, </w:t>
      </w:r>
      <w:r w:rsidR="00BD690F" w:rsidRPr="00D91312">
        <w:rPr>
          <w:rFonts w:ascii="Bookman Old Style" w:hAnsi="Bookman Old Style"/>
        </w:rPr>
        <w:t xml:space="preserve">attraverso il compimento di attività materiali più o meno complesse o di altre più propriamente intellettuali </w:t>
      </w:r>
      <w:r w:rsidR="00F522A2" w:rsidRPr="00D91312">
        <w:rPr>
          <w:rFonts w:ascii="Bookman Old Style" w:hAnsi="Bookman Old Style"/>
        </w:rPr>
        <w:t xml:space="preserve">come le valutazioni tecniche, </w:t>
      </w:r>
      <w:r w:rsidR="00906514" w:rsidRPr="00D91312">
        <w:rPr>
          <w:rFonts w:ascii="Bookman Old Style" w:hAnsi="Bookman Old Style"/>
        </w:rPr>
        <w:t xml:space="preserve">con funzione ricognitiva </w:t>
      </w:r>
      <w:r w:rsidR="00B75DA0" w:rsidRPr="00D91312">
        <w:rPr>
          <w:rFonts w:ascii="Bookman Old Style" w:hAnsi="Bookman Old Style"/>
        </w:rPr>
        <w:t>della ricorrenza di determinati presupposti nel mondo reale</w:t>
      </w:r>
      <w:r w:rsidR="00975C8E" w:rsidRPr="00D91312">
        <w:rPr>
          <w:rFonts w:ascii="Bookman Old Style" w:hAnsi="Bookman Old Style"/>
        </w:rPr>
        <w:t>,</w:t>
      </w:r>
      <w:r w:rsidR="00B75DA0" w:rsidRPr="00D91312">
        <w:rPr>
          <w:rFonts w:ascii="Bookman Old Style" w:hAnsi="Bookman Old Style"/>
        </w:rPr>
        <w:t xml:space="preserve"> e un momento </w:t>
      </w:r>
      <w:r w:rsidR="003E2F90" w:rsidRPr="00D91312">
        <w:rPr>
          <w:rFonts w:ascii="Bookman Old Style" w:hAnsi="Bookman Old Style"/>
        </w:rPr>
        <w:t>di</w:t>
      </w:r>
      <w:r w:rsidR="00CD3973" w:rsidRPr="00D91312">
        <w:rPr>
          <w:rFonts w:ascii="Bookman Old Style" w:hAnsi="Bookman Old Style"/>
        </w:rPr>
        <w:t xml:space="preserve"> apprezzamento di quelle risultanze</w:t>
      </w:r>
      <w:r w:rsidR="00975C8E" w:rsidRPr="00D91312">
        <w:rPr>
          <w:rFonts w:ascii="Bookman Old Style" w:hAnsi="Bookman Old Style"/>
        </w:rPr>
        <w:t xml:space="preserve">, </w:t>
      </w:r>
      <w:r w:rsidR="00F73195" w:rsidRPr="00D91312">
        <w:rPr>
          <w:rFonts w:ascii="Bookman Old Style" w:hAnsi="Bookman Old Style"/>
        </w:rPr>
        <w:t xml:space="preserve">il quale, </w:t>
      </w:r>
      <w:r w:rsidR="006636B1" w:rsidRPr="00D91312">
        <w:rPr>
          <w:rFonts w:ascii="Bookman Old Style" w:hAnsi="Bookman Old Style"/>
        </w:rPr>
        <w:t xml:space="preserve">distinto </w:t>
      </w:r>
      <w:r w:rsidR="00112CBD" w:rsidRPr="00D91312">
        <w:rPr>
          <w:rFonts w:ascii="Bookman Old Style" w:hAnsi="Bookman Old Style"/>
        </w:rPr>
        <w:t xml:space="preserve">solo </w:t>
      </w:r>
      <w:r w:rsidR="00CD3973" w:rsidRPr="00D91312">
        <w:rPr>
          <w:rFonts w:ascii="Bookman Old Style" w:hAnsi="Bookman Old Style"/>
        </w:rPr>
        <w:t>da</w:t>
      </w:r>
      <w:r w:rsidR="00112CBD" w:rsidRPr="00D91312">
        <w:rPr>
          <w:rFonts w:ascii="Bookman Old Style" w:hAnsi="Bookman Old Style"/>
        </w:rPr>
        <w:t xml:space="preserve">l </w:t>
      </w:r>
      <w:r w:rsidR="00CD3973" w:rsidRPr="00D91312">
        <w:rPr>
          <w:rFonts w:ascii="Bookman Old Style" w:hAnsi="Bookman Old Style"/>
        </w:rPr>
        <w:t>punto di vista concettuale</w:t>
      </w:r>
      <w:r w:rsidR="00975C8E" w:rsidRPr="00D91312">
        <w:rPr>
          <w:rFonts w:ascii="Bookman Old Style" w:hAnsi="Bookman Old Style"/>
        </w:rPr>
        <w:t xml:space="preserve"> </w:t>
      </w:r>
      <w:r w:rsidR="00F73195" w:rsidRPr="00D91312">
        <w:rPr>
          <w:rFonts w:ascii="Bookman Old Style" w:hAnsi="Bookman Old Style"/>
        </w:rPr>
        <w:t xml:space="preserve">nei casi in cui alla sussunzione del fatto nella fattispecie astratta è sufficiente la constatazione del fatto </w:t>
      </w:r>
      <w:r w:rsidR="00F73195" w:rsidRPr="00D91312">
        <w:rPr>
          <w:rFonts w:ascii="Bookman Old Style" w:hAnsi="Bookman Old Style"/>
        </w:rPr>
        <w:lastRenderedPageBreak/>
        <w:t xml:space="preserve">medesimo, </w:t>
      </w:r>
      <w:r w:rsidR="00341120" w:rsidRPr="00D91312">
        <w:rPr>
          <w:rFonts w:ascii="Bookman Old Style" w:hAnsi="Bookman Old Style"/>
        </w:rPr>
        <w:t xml:space="preserve">presenta </w:t>
      </w:r>
      <w:r w:rsidR="00112CBD" w:rsidRPr="00D91312">
        <w:rPr>
          <w:rFonts w:ascii="Bookman Old Style" w:hAnsi="Bookman Old Style"/>
        </w:rPr>
        <w:t xml:space="preserve">una rilevanza non meno determinante </w:t>
      </w:r>
      <w:r w:rsidR="002938D9" w:rsidRPr="00D91312">
        <w:rPr>
          <w:rFonts w:ascii="Bookman Old Style" w:hAnsi="Bookman Old Style"/>
        </w:rPr>
        <w:t>allorché l</w:t>
      </w:r>
      <w:r w:rsidR="008655D6" w:rsidRPr="00D91312">
        <w:rPr>
          <w:rFonts w:ascii="Bookman Old Style" w:hAnsi="Bookman Old Style"/>
        </w:rPr>
        <w:t>’</w:t>
      </w:r>
      <w:r w:rsidR="00341120" w:rsidRPr="00D91312">
        <w:rPr>
          <w:rFonts w:ascii="Bookman Old Style" w:hAnsi="Bookman Old Style"/>
        </w:rPr>
        <w:t>irrogazione della sanzione e la sua graduazione non possano prescindere da un giudizio critico</w:t>
      </w:r>
      <w:r w:rsidR="002938D9" w:rsidRPr="00D91312">
        <w:rPr>
          <w:rFonts w:ascii="Bookman Old Style" w:hAnsi="Bookman Old Style"/>
        </w:rPr>
        <w:t xml:space="preserve"> su </w:t>
      </w:r>
      <w:r w:rsidR="00341120" w:rsidRPr="00D91312">
        <w:rPr>
          <w:rFonts w:ascii="Bookman Old Style" w:hAnsi="Bookman Old Style"/>
        </w:rPr>
        <w:t>que</w:t>
      </w:r>
      <w:r w:rsidR="002938D9" w:rsidRPr="00D91312">
        <w:rPr>
          <w:rFonts w:ascii="Bookman Old Style" w:hAnsi="Bookman Old Style"/>
        </w:rPr>
        <w:t xml:space="preserve">i </w:t>
      </w:r>
      <w:r w:rsidR="00341120" w:rsidRPr="00D91312">
        <w:rPr>
          <w:rFonts w:ascii="Bookman Old Style" w:hAnsi="Bookman Old Style"/>
        </w:rPr>
        <w:t>fatti</w:t>
      </w:r>
      <w:r w:rsidR="002938D9" w:rsidRPr="00D91312">
        <w:rPr>
          <w:rFonts w:ascii="Bookman Old Style" w:hAnsi="Bookman Old Style"/>
        </w:rPr>
        <w:t>.</w:t>
      </w:r>
    </w:p>
    <w:p w:rsidR="002938D9" w:rsidRPr="00D91312" w:rsidRDefault="002938D9" w:rsidP="008D144B">
      <w:pPr>
        <w:jc w:val="both"/>
        <w:rPr>
          <w:rFonts w:ascii="Bookman Old Style" w:hAnsi="Bookman Old Style"/>
        </w:rPr>
      </w:pPr>
      <w:r w:rsidRPr="00D91312">
        <w:rPr>
          <w:rFonts w:ascii="Bookman Old Style" w:hAnsi="Bookman Old Style"/>
        </w:rPr>
        <w:t>Da</w:t>
      </w:r>
      <w:r w:rsidR="00227BAB" w:rsidRPr="00D91312">
        <w:rPr>
          <w:rFonts w:ascii="Bookman Old Style" w:hAnsi="Bookman Old Style"/>
        </w:rPr>
        <w:t xml:space="preserve">l </w:t>
      </w:r>
      <w:r w:rsidRPr="00D91312">
        <w:rPr>
          <w:rFonts w:ascii="Bookman Old Style" w:hAnsi="Bookman Old Style"/>
        </w:rPr>
        <w:t xml:space="preserve">punto di vista valoriale, </w:t>
      </w:r>
      <w:r w:rsidR="00227BAB" w:rsidRPr="00D91312">
        <w:rPr>
          <w:rFonts w:ascii="Bookman Old Style" w:hAnsi="Bookman Old Style"/>
        </w:rPr>
        <w:t>gli ordinamenti democratici non ammettono che</w:t>
      </w:r>
      <w:r w:rsidR="00924865" w:rsidRPr="00D91312">
        <w:rPr>
          <w:rFonts w:ascii="Bookman Old Style" w:hAnsi="Bookman Old Style"/>
        </w:rPr>
        <w:t xml:space="preserve"> quelle attività, se prodromiche alla decisione d</w:t>
      </w:r>
      <w:r w:rsidR="008655D6" w:rsidRPr="00D91312">
        <w:rPr>
          <w:rFonts w:ascii="Bookman Old Style" w:hAnsi="Bookman Old Style"/>
        </w:rPr>
        <w:t>’</w:t>
      </w:r>
      <w:r w:rsidR="00924865" w:rsidRPr="00D91312">
        <w:rPr>
          <w:rFonts w:ascii="Bookman Old Style" w:hAnsi="Bookman Old Style"/>
        </w:rPr>
        <w:t xml:space="preserve">irrogare </w:t>
      </w:r>
      <w:r w:rsidR="00BE76E3" w:rsidRPr="00D91312">
        <w:rPr>
          <w:rFonts w:ascii="Bookman Old Style" w:hAnsi="Bookman Old Style"/>
        </w:rPr>
        <w:t xml:space="preserve">(o meno) </w:t>
      </w:r>
      <w:r w:rsidR="00924865" w:rsidRPr="00D91312">
        <w:rPr>
          <w:rFonts w:ascii="Bookman Old Style" w:hAnsi="Bookman Old Style"/>
        </w:rPr>
        <w:t xml:space="preserve">sanzioni </w:t>
      </w:r>
      <w:r w:rsidR="00227BAB" w:rsidRPr="00D91312">
        <w:rPr>
          <w:rFonts w:ascii="Bookman Old Style" w:hAnsi="Bookman Old Style"/>
        </w:rPr>
        <w:t>significativa</w:t>
      </w:r>
      <w:r w:rsidR="00BE76E3" w:rsidRPr="00D91312">
        <w:rPr>
          <w:rFonts w:ascii="Bookman Old Style" w:hAnsi="Bookman Old Style"/>
        </w:rPr>
        <w:t>mente</w:t>
      </w:r>
      <w:r w:rsidR="00227BAB" w:rsidRPr="00D91312">
        <w:rPr>
          <w:rFonts w:ascii="Bookman Old Style" w:hAnsi="Bookman Old Style"/>
        </w:rPr>
        <w:t xml:space="preserve"> afflittiv</w:t>
      </w:r>
      <w:r w:rsidR="00BE76E3" w:rsidRPr="00D91312">
        <w:rPr>
          <w:rFonts w:ascii="Bookman Old Style" w:hAnsi="Bookman Old Style"/>
        </w:rPr>
        <w:t>e</w:t>
      </w:r>
      <w:r w:rsidR="00227BAB" w:rsidRPr="00D91312">
        <w:rPr>
          <w:rFonts w:ascii="Bookman Old Style" w:hAnsi="Bookman Old Style"/>
        </w:rPr>
        <w:t xml:space="preserve">, possano </w:t>
      </w:r>
      <w:r w:rsidR="00924865" w:rsidRPr="00D91312">
        <w:rPr>
          <w:rFonts w:ascii="Bookman Old Style" w:hAnsi="Bookman Old Style"/>
        </w:rPr>
        <w:t xml:space="preserve">essere </w:t>
      </w:r>
      <w:r w:rsidR="00227BAB" w:rsidRPr="00D91312">
        <w:rPr>
          <w:rFonts w:ascii="Bookman Old Style" w:hAnsi="Bookman Old Style"/>
        </w:rPr>
        <w:t xml:space="preserve">interamente </w:t>
      </w:r>
      <w:r w:rsidR="00924865" w:rsidRPr="00D91312">
        <w:rPr>
          <w:rFonts w:ascii="Bookman Old Style" w:hAnsi="Bookman Old Style"/>
        </w:rPr>
        <w:t xml:space="preserve">svolte e concluse </w:t>
      </w:r>
      <w:r w:rsidR="00BE76E3" w:rsidRPr="00D91312">
        <w:rPr>
          <w:rFonts w:ascii="Bookman Old Style" w:hAnsi="Bookman Old Style"/>
        </w:rPr>
        <w:t>senza consentire all</w:t>
      </w:r>
      <w:r w:rsidR="008655D6" w:rsidRPr="00D91312">
        <w:rPr>
          <w:rFonts w:ascii="Bookman Old Style" w:hAnsi="Bookman Old Style"/>
        </w:rPr>
        <w:t>’</w:t>
      </w:r>
      <w:r w:rsidR="00BE76E3" w:rsidRPr="00D91312">
        <w:rPr>
          <w:rFonts w:ascii="Bookman Old Style" w:hAnsi="Bookman Old Style"/>
        </w:rPr>
        <w:t>interessato di contraddire e difendersi prima ancora di essere sanzionato.</w:t>
      </w:r>
    </w:p>
    <w:p w:rsidR="00616648" w:rsidRPr="00D91312" w:rsidRDefault="000D689F" w:rsidP="008D144B">
      <w:pPr>
        <w:jc w:val="both"/>
        <w:rPr>
          <w:rFonts w:ascii="Bookman Old Style" w:hAnsi="Bookman Old Style"/>
        </w:rPr>
      </w:pPr>
      <w:r w:rsidRPr="00D91312">
        <w:rPr>
          <w:rFonts w:ascii="Bookman Old Style" w:hAnsi="Bookman Old Style"/>
        </w:rPr>
        <w:t>Il tema del “tempo” dell</w:t>
      </w:r>
      <w:r w:rsidR="008655D6" w:rsidRPr="00D91312">
        <w:rPr>
          <w:rFonts w:ascii="Bookman Old Style" w:hAnsi="Bookman Old Style"/>
        </w:rPr>
        <w:t>’</w:t>
      </w:r>
      <w:r w:rsidRPr="00D91312">
        <w:rPr>
          <w:rFonts w:ascii="Bookman Old Style" w:hAnsi="Bookman Old Style"/>
        </w:rPr>
        <w:t xml:space="preserve">accertamento e della sanzione è indissolubilmente legato </w:t>
      </w:r>
      <w:r w:rsidR="002F0163" w:rsidRPr="00D91312">
        <w:rPr>
          <w:rFonts w:ascii="Bookman Old Style" w:hAnsi="Bookman Old Style"/>
        </w:rPr>
        <w:t>all</w:t>
      </w:r>
      <w:r w:rsidR="008655D6" w:rsidRPr="00D91312">
        <w:rPr>
          <w:rFonts w:ascii="Bookman Old Style" w:hAnsi="Bookman Old Style"/>
        </w:rPr>
        <w:t>’</w:t>
      </w:r>
      <w:r w:rsidR="002F0163" w:rsidRPr="00D91312">
        <w:rPr>
          <w:rFonts w:ascii="Bookman Old Style" w:hAnsi="Bookman Old Style"/>
        </w:rPr>
        <w:t xml:space="preserve">esigenza di </w:t>
      </w:r>
      <w:r w:rsidR="005A63D9" w:rsidRPr="00D91312">
        <w:rPr>
          <w:rFonts w:ascii="Bookman Old Style" w:hAnsi="Bookman Old Style"/>
        </w:rPr>
        <w:t xml:space="preserve">garantire </w:t>
      </w:r>
      <w:r w:rsidR="00876D47" w:rsidRPr="00D91312">
        <w:rPr>
          <w:rFonts w:ascii="Bookman Old Style" w:hAnsi="Bookman Old Style"/>
        </w:rPr>
        <w:t xml:space="preserve">il </w:t>
      </w:r>
      <w:r w:rsidR="002F0163" w:rsidRPr="00D91312">
        <w:rPr>
          <w:rFonts w:ascii="Bookman Old Style" w:hAnsi="Bookman Old Style"/>
        </w:rPr>
        <w:t xml:space="preserve">diritto </w:t>
      </w:r>
      <w:r w:rsidR="00876D47" w:rsidRPr="00D91312">
        <w:rPr>
          <w:rFonts w:ascii="Bookman Old Style" w:hAnsi="Bookman Old Style"/>
        </w:rPr>
        <w:t xml:space="preserve">di difesa </w:t>
      </w:r>
      <w:r w:rsidR="002F0163" w:rsidRPr="00D91312">
        <w:rPr>
          <w:rFonts w:ascii="Bookman Old Style" w:hAnsi="Bookman Old Style"/>
        </w:rPr>
        <w:t>del</w:t>
      </w:r>
      <w:r w:rsidR="00876D47" w:rsidRPr="00D91312">
        <w:rPr>
          <w:rFonts w:ascii="Bookman Old Style" w:hAnsi="Bookman Old Style"/>
        </w:rPr>
        <w:t>l</w:t>
      </w:r>
      <w:r w:rsidR="008655D6" w:rsidRPr="00D91312">
        <w:rPr>
          <w:rFonts w:ascii="Bookman Old Style" w:hAnsi="Bookman Old Style"/>
        </w:rPr>
        <w:t>’</w:t>
      </w:r>
      <w:r w:rsidR="00876D47" w:rsidRPr="00D91312">
        <w:rPr>
          <w:rFonts w:ascii="Bookman Old Style" w:hAnsi="Bookman Old Style"/>
        </w:rPr>
        <w:t xml:space="preserve">incolpato, che finisce per essere leso quando </w:t>
      </w:r>
      <w:r w:rsidR="008E0687" w:rsidRPr="00D91312">
        <w:rPr>
          <w:rFonts w:ascii="Bookman Old Style" w:hAnsi="Bookman Old Style"/>
        </w:rPr>
        <w:t xml:space="preserve">gli addebiti sono formulati </w:t>
      </w:r>
      <w:r w:rsidR="008E1AA9" w:rsidRPr="00D91312">
        <w:rPr>
          <w:rFonts w:ascii="Bookman Old Style" w:hAnsi="Bookman Old Style"/>
        </w:rPr>
        <w:t xml:space="preserve">a </w:t>
      </w:r>
      <w:r w:rsidR="008E0687" w:rsidRPr="00D91312">
        <w:rPr>
          <w:rFonts w:ascii="Bookman Old Style" w:hAnsi="Bookman Old Style"/>
        </w:rPr>
        <w:t xml:space="preserve">tale </w:t>
      </w:r>
      <w:r w:rsidR="008E1AA9" w:rsidRPr="00D91312">
        <w:rPr>
          <w:rFonts w:ascii="Bookman Old Style" w:hAnsi="Bookman Old Style"/>
        </w:rPr>
        <w:t xml:space="preserve">distanza di tempo </w:t>
      </w:r>
      <w:r w:rsidR="008E0687" w:rsidRPr="00D91312">
        <w:rPr>
          <w:rFonts w:ascii="Bookman Old Style" w:hAnsi="Bookman Old Style"/>
        </w:rPr>
        <w:t xml:space="preserve">che egli non possa </w:t>
      </w:r>
      <w:r w:rsidR="008E1AA9" w:rsidRPr="00D91312">
        <w:rPr>
          <w:rFonts w:ascii="Bookman Old Style" w:hAnsi="Bookman Old Style"/>
        </w:rPr>
        <w:t xml:space="preserve">più </w:t>
      </w:r>
      <w:r w:rsidR="008E0687" w:rsidRPr="00D91312">
        <w:rPr>
          <w:rFonts w:ascii="Bookman Old Style" w:hAnsi="Bookman Old Style"/>
        </w:rPr>
        <w:t xml:space="preserve">ricostruire </w:t>
      </w:r>
      <w:r w:rsidR="008E1AA9" w:rsidRPr="00D91312">
        <w:rPr>
          <w:rFonts w:ascii="Bookman Old Style" w:hAnsi="Bookman Old Style"/>
        </w:rPr>
        <w:t xml:space="preserve">con esattezza i fatti o raccogliere </w:t>
      </w:r>
      <w:r w:rsidR="008E0687" w:rsidRPr="00D91312">
        <w:rPr>
          <w:rFonts w:ascii="Bookman Old Style" w:hAnsi="Bookman Old Style"/>
        </w:rPr>
        <w:t xml:space="preserve">le </w:t>
      </w:r>
      <w:r w:rsidR="008E1AA9" w:rsidRPr="00D91312">
        <w:rPr>
          <w:rFonts w:ascii="Bookman Old Style" w:hAnsi="Bookman Old Style"/>
        </w:rPr>
        <w:t xml:space="preserve">prove a </w:t>
      </w:r>
      <w:r w:rsidR="001B2A97" w:rsidRPr="00D91312">
        <w:rPr>
          <w:rFonts w:ascii="Bookman Old Style" w:hAnsi="Bookman Old Style"/>
        </w:rPr>
        <w:t xml:space="preserve">sua </w:t>
      </w:r>
      <w:r w:rsidR="008E1AA9" w:rsidRPr="00D91312">
        <w:rPr>
          <w:rFonts w:ascii="Bookman Old Style" w:hAnsi="Bookman Old Style"/>
        </w:rPr>
        <w:t>discolpa</w:t>
      </w:r>
      <w:r w:rsidR="001B2A97" w:rsidRPr="00D91312">
        <w:rPr>
          <w:rFonts w:ascii="Bookman Old Style" w:hAnsi="Bookman Old Style"/>
        </w:rPr>
        <w:t>.</w:t>
      </w:r>
    </w:p>
    <w:p w:rsidR="00E64F24" w:rsidRPr="00D91312" w:rsidRDefault="00827160" w:rsidP="008D144B">
      <w:pPr>
        <w:jc w:val="both"/>
        <w:rPr>
          <w:rFonts w:ascii="Bookman Old Style" w:hAnsi="Bookman Old Style"/>
        </w:rPr>
      </w:pPr>
      <w:r w:rsidRPr="00D91312">
        <w:rPr>
          <w:rFonts w:ascii="Bookman Old Style" w:hAnsi="Bookman Old Style"/>
        </w:rPr>
        <w:t xml:space="preserve">La disciplina generale sulle sanzioni amministrative </w:t>
      </w:r>
      <w:r w:rsidR="00326C09" w:rsidRPr="00D91312">
        <w:rPr>
          <w:rFonts w:ascii="Bookman Old Style" w:hAnsi="Bookman Old Style"/>
        </w:rPr>
        <w:t xml:space="preserve">pecuniarie contenuta nel Capo I della legge 24 novembre 1981, n. 689, </w:t>
      </w:r>
      <w:r w:rsidR="0086439B" w:rsidRPr="00D91312">
        <w:rPr>
          <w:rFonts w:ascii="Bookman Old Style" w:hAnsi="Bookman Old Style"/>
        </w:rPr>
        <w:t>stabilisce, come è noto, due termini.</w:t>
      </w:r>
    </w:p>
    <w:p w:rsidR="00E64F24" w:rsidRPr="00D91312" w:rsidRDefault="0086439B" w:rsidP="005328DF">
      <w:pPr>
        <w:jc w:val="both"/>
        <w:rPr>
          <w:rFonts w:ascii="Bookman Old Style" w:hAnsi="Bookman Old Style"/>
        </w:rPr>
      </w:pPr>
      <w:r w:rsidRPr="00D91312">
        <w:rPr>
          <w:rFonts w:ascii="Bookman Old Style" w:hAnsi="Bookman Old Style"/>
        </w:rPr>
        <w:t xml:space="preserve">Da un lato, </w:t>
      </w:r>
      <w:r w:rsidR="00774AC4" w:rsidRPr="00D91312">
        <w:rPr>
          <w:rFonts w:ascii="Bookman Old Style" w:hAnsi="Bookman Old Style"/>
        </w:rPr>
        <w:t>al</w:t>
      </w:r>
      <w:r w:rsidRPr="00D91312">
        <w:rPr>
          <w:rFonts w:ascii="Bookman Old Style" w:hAnsi="Bookman Old Style"/>
        </w:rPr>
        <w:t>l</w:t>
      </w:r>
      <w:r w:rsidR="008655D6" w:rsidRPr="00D91312">
        <w:rPr>
          <w:rFonts w:ascii="Bookman Old Style" w:hAnsi="Bookman Old Style"/>
        </w:rPr>
        <w:t>’</w:t>
      </w:r>
      <w:r w:rsidR="005328DF" w:rsidRPr="00D91312">
        <w:rPr>
          <w:rFonts w:ascii="Bookman Old Style" w:hAnsi="Bookman Old Style"/>
        </w:rPr>
        <w:t>articolo</w:t>
      </w:r>
      <w:r w:rsidRPr="00D91312">
        <w:rPr>
          <w:rFonts w:ascii="Bookman Old Style" w:hAnsi="Bookman Old Style"/>
        </w:rPr>
        <w:t xml:space="preserve"> 14 </w:t>
      </w:r>
      <w:r w:rsidR="005328DF" w:rsidRPr="00D91312">
        <w:rPr>
          <w:rFonts w:ascii="Bookman Old Style" w:hAnsi="Bookman Old Style"/>
        </w:rPr>
        <w:t xml:space="preserve">prevede </w:t>
      </w:r>
      <w:r w:rsidRPr="00D91312">
        <w:rPr>
          <w:rFonts w:ascii="Bookman Old Style" w:hAnsi="Bookman Old Style"/>
        </w:rPr>
        <w:t xml:space="preserve">che, </w:t>
      </w:r>
      <w:r w:rsidR="005328DF" w:rsidRPr="00D91312">
        <w:rPr>
          <w:rFonts w:ascii="Bookman Old Style" w:hAnsi="Bookman Old Style"/>
        </w:rPr>
        <w:t xml:space="preserve">ove sia </w:t>
      </w:r>
      <w:r w:rsidRPr="00D91312">
        <w:rPr>
          <w:rFonts w:ascii="Bookman Old Style" w:hAnsi="Bookman Old Style"/>
        </w:rPr>
        <w:t>possibile, la violazione dev</w:t>
      </w:r>
      <w:r w:rsidR="008655D6" w:rsidRPr="00D91312">
        <w:rPr>
          <w:rFonts w:ascii="Bookman Old Style" w:hAnsi="Bookman Old Style"/>
        </w:rPr>
        <w:t>’</w:t>
      </w:r>
      <w:r w:rsidRPr="00D91312">
        <w:rPr>
          <w:rFonts w:ascii="Bookman Old Style" w:hAnsi="Bookman Old Style"/>
        </w:rPr>
        <w:t>essere contestata al trasgressore e all</w:t>
      </w:r>
      <w:r w:rsidR="008655D6" w:rsidRPr="00D91312">
        <w:rPr>
          <w:rFonts w:ascii="Bookman Old Style" w:hAnsi="Bookman Old Style"/>
        </w:rPr>
        <w:t>’</w:t>
      </w:r>
      <w:r w:rsidRPr="00D91312">
        <w:rPr>
          <w:rFonts w:ascii="Bookman Old Style" w:hAnsi="Bookman Old Style"/>
        </w:rPr>
        <w:t xml:space="preserve">obbligato in solido </w:t>
      </w:r>
      <w:r w:rsidR="005328DF" w:rsidRPr="00D91312">
        <w:rPr>
          <w:rFonts w:ascii="Bookman Old Style" w:hAnsi="Bookman Old Style"/>
        </w:rPr>
        <w:t>immediatamente o</w:t>
      </w:r>
      <w:r w:rsidRPr="00D91312">
        <w:rPr>
          <w:rFonts w:ascii="Bookman Old Style" w:hAnsi="Bookman Old Style"/>
        </w:rPr>
        <w:t xml:space="preserve">, in mancanza, entro </w:t>
      </w:r>
      <w:r w:rsidR="00A92C4F" w:rsidRPr="00D91312">
        <w:rPr>
          <w:rFonts w:ascii="Bookman Old Style" w:hAnsi="Bookman Old Style"/>
        </w:rPr>
        <w:t xml:space="preserve">un </w:t>
      </w:r>
      <w:r w:rsidRPr="00D91312">
        <w:rPr>
          <w:rFonts w:ascii="Bookman Old Style" w:hAnsi="Bookman Old Style"/>
        </w:rPr>
        <w:t>termine</w:t>
      </w:r>
      <w:r w:rsidR="00A92C4F" w:rsidRPr="00D91312">
        <w:rPr>
          <w:rFonts w:ascii="Bookman Old Style" w:hAnsi="Bookman Old Style"/>
        </w:rPr>
        <w:t>, decorrente</w:t>
      </w:r>
      <w:r w:rsidRPr="00D91312">
        <w:rPr>
          <w:rFonts w:ascii="Bookman Old Style" w:hAnsi="Bookman Old Style"/>
        </w:rPr>
        <w:t xml:space="preserve"> </w:t>
      </w:r>
      <w:r w:rsidR="00A92C4F" w:rsidRPr="00D91312">
        <w:rPr>
          <w:rFonts w:ascii="Bookman Old Style" w:hAnsi="Bookman Old Style"/>
        </w:rPr>
        <w:t>“</w:t>
      </w:r>
      <w:r w:rsidR="00A92C4F" w:rsidRPr="00D91312">
        <w:rPr>
          <w:rFonts w:ascii="Bookman Old Style" w:hAnsi="Bookman Old Style"/>
          <w:i/>
        </w:rPr>
        <w:t>dall</w:t>
      </w:r>
      <w:r w:rsidR="008655D6" w:rsidRPr="00D91312">
        <w:rPr>
          <w:rFonts w:ascii="Bookman Old Style" w:hAnsi="Bookman Old Style"/>
          <w:i/>
        </w:rPr>
        <w:t>’</w:t>
      </w:r>
      <w:r w:rsidR="00A92C4F" w:rsidRPr="00D91312">
        <w:rPr>
          <w:rFonts w:ascii="Bookman Old Style" w:hAnsi="Bookman Old Style"/>
          <w:i/>
        </w:rPr>
        <w:t>accertamento</w:t>
      </w:r>
      <w:r w:rsidR="00A92C4F" w:rsidRPr="00D91312">
        <w:rPr>
          <w:rFonts w:ascii="Bookman Old Style" w:hAnsi="Bookman Old Style"/>
        </w:rPr>
        <w:t xml:space="preserve">”, </w:t>
      </w:r>
      <w:r w:rsidRPr="00D91312">
        <w:rPr>
          <w:rFonts w:ascii="Bookman Old Style" w:hAnsi="Bookman Old Style"/>
        </w:rPr>
        <w:t>di 90 gg. per i residenti in Italia e 360 gg. per i residenti all</w:t>
      </w:r>
      <w:r w:rsidR="008655D6" w:rsidRPr="00D91312">
        <w:rPr>
          <w:rFonts w:ascii="Bookman Old Style" w:hAnsi="Bookman Old Style"/>
        </w:rPr>
        <w:t>’</w:t>
      </w:r>
      <w:r w:rsidRPr="00D91312">
        <w:rPr>
          <w:rFonts w:ascii="Bookman Old Style" w:hAnsi="Bookman Old Style"/>
        </w:rPr>
        <w:t>estero</w:t>
      </w:r>
      <w:r w:rsidR="00E1075F" w:rsidRPr="00D91312">
        <w:rPr>
          <w:rFonts w:ascii="Bookman Old Style" w:hAnsi="Bookman Old Style"/>
        </w:rPr>
        <w:t xml:space="preserve"> (commi</w:t>
      </w:r>
      <w:r w:rsidR="00A92C4F" w:rsidRPr="00D91312">
        <w:rPr>
          <w:rFonts w:ascii="Bookman Old Style" w:hAnsi="Bookman Old Style"/>
        </w:rPr>
        <w:t xml:space="preserve"> </w:t>
      </w:r>
      <w:r w:rsidR="00E1075F" w:rsidRPr="00D91312">
        <w:rPr>
          <w:rFonts w:ascii="Bookman Old Style" w:hAnsi="Bookman Old Style"/>
        </w:rPr>
        <w:t>1 e 2)</w:t>
      </w:r>
      <w:r w:rsidR="005328DF" w:rsidRPr="00D91312">
        <w:rPr>
          <w:rFonts w:ascii="Bookman Old Style" w:hAnsi="Bookman Old Style"/>
        </w:rPr>
        <w:t>,</w:t>
      </w:r>
      <w:r w:rsidRPr="00D91312">
        <w:rPr>
          <w:rFonts w:ascii="Bookman Old Style" w:hAnsi="Bookman Old Style"/>
        </w:rPr>
        <w:t xml:space="preserve"> </w:t>
      </w:r>
      <w:r w:rsidR="005328DF" w:rsidRPr="00D91312">
        <w:rPr>
          <w:rFonts w:ascii="Bookman Old Style" w:hAnsi="Bookman Old Style"/>
        </w:rPr>
        <w:t>stabilendo che “</w:t>
      </w:r>
      <w:r w:rsidR="005328DF" w:rsidRPr="00D91312">
        <w:rPr>
          <w:rFonts w:ascii="Bookman Old Style" w:hAnsi="Bookman Old Style"/>
          <w:i/>
        </w:rPr>
        <w:t>l</w:t>
      </w:r>
      <w:r w:rsidR="008655D6" w:rsidRPr="00D91312">
        <w:rPr>
          <w:rFonts w:ascii="Bookman Old Style" w:hAnsi="Bookman Old Style"/>
          <w:i/>
        </w:rPr>
        <w:t>’</w:t>
      </w:r>
      <w:r w:rsidR="005328DF" w:rsidRPr="00D91312">
        <w:rPr>
          <w:rFonts w:ascii="Bookman Old Style" w:hAnsi="Bookman Old Style"/>
          <w:i/>
        </w:rPr>
        <w:t>obbligazione di pagare la somma dovuta per la violazione si estingue per la persona nei cui confronti è stata omessa la notificazione nel termine prescritto</w:t>
      </w:r>
      <w:r w:rsidR="005328DF" w:rsidRPr="00D91312">
        <w:rPr>
          <w:rFonts w:ascii="Bookman Old Style" w:hAnsi="Bookman Old Style"/>
        </w:rPr>
        <w:t xml:space="preserve">” (comma 6), per il che non si dubita </w:t>
      </w:r>
      <w:r w:rsidR="00B76C87" w:rsidRPr="00D91312">
        <w:rPr>
          <w:rFonts w:ascii="Bookman Old Style" w:hAnsi="Bookman Old Style"/>
        </w:rPr>
        <w:t>che quel termine sia perentorio e in quanto tale non soggetto a interruzioni.</w:t>
      </w:r>
    </w:p>
    <w:p w:rsidR="008E0687" w:rsidRPr="00D91312" w:rsidRDefault="008E0687" w:rsidP="005328DF">
      <w:pPr>
        <w:jc w:val="both"/>
        <w:rPr>
          <w:rFonts w:ascii="Bookman Old Style" w:hAnsi="Bookman Old Style"/>
        </w:rPr>
      </w:pPr>
      <w:r w:rsidRPr="00D91312">
        <w:rPr>
          <w:rFonts w:ascii="Bookman Old Style" w:hAnsi="Bookman Old Style"/>
        </w:rPr>
        <w:t xml:space="preserve">La contestazione della violazione </w:t>
      </w:r>
      <w:r w:rsidR="004946CE" w:rsidRPr="00D91312">
        <w:rPr>
          <w:rFonts w:ascii="Bookman Old Style" w:hAnsi="Bookman Old Style"/>
        </w:rPr>
        <w:t>cristallizza l</w:t>
      </w:r>
      <w:r w:rsidR="008655D6" w:rsidRPr="00D91312">
        <w:rPr>
          <w:rFonts w:ascii="Bookman Old Style" w:hAnsi="Bookman Old Style"/>
        </w:rPr>
        <w:t>’</w:t>
      </w:r>
      <w:r w:rsidR="004946CE" w:rsidRPr="00D91312">
        <w:rPr>
          <w:rFonts w:ascii="Bookman Old Style" w:hAnsi="Bookman Old Style"/>
        </w:rPr>
        <w:t>addebito e consente all</w:t>
      </w:r>
      <w:r w:rsidR="008655D6" w:rsidRPr="00D91312">
        <w:rPr>
          <w:rFonts w:ascii="Bookman Old Style" w:hAnsi="Bookman Old Style"/>
        </w:rPr>
        <w:t>’</w:t>
      </w:r>
      <w:r w:rsidR="004946CE" w:rsidRPr="00D91312">
        <w:rPr>
          <w:rFonts w:ascii="Bookman Old Style" w:hAnsi="Bookman Old Style"/>
        </w:rPr>
        <w:t>incolpato di contraddire.</w:t>
      </w:r>
    </w:p>
    <w:p w:rsidR="005328DF" w:rsidRPr="00D91312" w:rsidRDefault="00774AC4" w:rsidP="00774AC4">
      <w:pPr>
        <w:jc w:val="both"/>
        <w:rPr>
          <w:rFonts w:ascii="Bookman Old Style" w:hAnsi="Bookman Old Style"/>
        </w:rPr>
      </w:pPr>
      <w:r w:rsidRPr="00D91312">
        <w:rPr>
          <w:rFonts w:ascii="Bookman Old Style" w:hAnsi="Bookman Old Style"/>
        </w:rPr>
        <w:t>Dall</w:t>
      </w:r>
      <w:r w:rsidR="008655D6" w:rsidRPr="00D91312">
        <w:rPr>
          <w:rFonts w:ascii="Bookman Old Style" w:hAnsi="Bookman Old Style"/>
        </w:rPr>
        <w:t>’</w:t>
      </w:r>
      <w:r w:rsidRPr="00D91312">
        <w:rPr>
          <w:rFonts w:ascii="Bookman Old Style" w:hAnsi="Bookman Old Style"/>
        </w:rPr>
        <w:t>altro lato, non prevede alcun termine per la conclusione del procedimento sanzionatorio</w:t>
      </w:r>
      <w:r w:rsidR="006E2CA9" w:rsidRPr="00D91312">
        <w:rPr>
          <w:rStyle w:val="Rimandonotaapidipagina"/>
          <w:rFonts w:ascii="Bookman Old Style" w:hAnsi="Bookman Old Style"/>
        </w:rPr>
        <w:footnoteReference w:id="1"/>
      </w:r>
      <w:r w:rsidRPr="00D91312">
        <w:rPr>
          <w:rFonts w:ascii="Bookman Old Style" w:hAnsi="Bookman Old Style"/>
        </w:rPr>
        <w:t xml:space="preserve">, </w:t>
      </w:r>
      <w:r w:rsidR="00016A92" w:rsidRPr="00D91312">
        <w:rPr>
          <w:rFonts w:ascii="Bookman Old Style" w:hAnsi="Bookman Old Style"/>
        </w:rPr>
        <w:t>ma stabilisce</w:t>
      </w:r>
      <w:r w:rsidRPr="00D91312">
        <w:rPr>
          <w:rFonts w:ascii="Bookman Old Style" w:hAnsi="Bookman Old Style"/>
        </w:rPr>
        <w:t xml:space="preserve"> all</w:t>
      </w:r>
      <w:r w:rsidR="008655D6" w:rsidRPr="00D91312">
        <w:rPr>
          <w:rFonts w:ascii="Bookman Old Style" w:hAnsi="Bookman Old Style"/>
        </w:rPr>
        <w:t>’</w:t>
      </w:r>
      <w:r w:rsidRPr="00D91312">
        <w:rPr>
          <w:rFonts w:ascii="Bookman Old Style" w:hAnsi="Bookman Old Style"/>
        </w:rPr>
        <w:t>art. 28 che “</w:t>
      </w:r>
      <w:r w:rsidRPr="00D91312">
        <w:rPr>
          <w:rFonts w:ascii="Bookman Old Style" w:hAnsi="Bookman Old Style"/>
          <w:i/>
        </w:rPr>
        <w:t>il diritto a riscuotere le somme dovute per le violazioni indicate dalla presente legge si prescrive nel termine di cinque anni dal giorno in cui è stata commessa la violazione</w:t>
      </w:r>
      <w:r w:rsidRPr="00D91312">
        <w:rPr>
          <w:rFonts w:ascii="Bookman Old Style" w:hAnsi="Bookman Old Style"/>
        </w:rPr>
        <w:t>”</w:t>
      </w:r>
      <w:r w:rsidR="00B76C87" w:rsidRPr="00D91312">
        <w:rPr>
          <w:rFonts w:ascii="Bookman Old Style" w:hAnsi="Bookman Old Style"/>
        </w:rPr>
        <w:t xml:space="preserve"> (comma 1) e che tale termine è soggetto alle stesse regole sulla interruzione previste dal codice civile (comma 2).</w:t>
      </w:r>
    </w:p>
    <w:p w:rsidR="00E1075F" w:rsidRPr="00D91312" w:rsidRDefault="00E1075F" w:rsidP="00774AC4">
      <w:pPr>
        <w:jc w:val="both"/>
        <w:rPr>
          <w:rFonts w:ascii="Bookman Old Style" w:hAnsi="Bookman Old Style"/>
        </w:rPr>
      </w:pPr>
      <w:r w:rsidRPr="00D91312">
        <w:rPr>
          <w:rFonts w:ascii="Bookman Old Style" w:hAnsi="Bookman Old Style"/>
        </w:rPr>
        <w:t>Sull</w:t>
      </w:r>
      <w:r w:rsidR="008655D6" w:rsidRPr="00D91312">
        <w:rPr>
          <w:rFonts w:ascii="Bookman Old Style" w:hAnsi="Bookman Old Style"/>
        </w:rPr>
        <w:t>’</w:t>
      </w:r>
      <w:r w:rsidRPr="00D91312">
        <w:rPr>
          <w:rFonts w:ascii="Bookman Old Style" w:hAnsi="Bookman Old Style"/>
        </w:rPr>
        <w:t>assenza di un termine per l</w:t>
      </w:r>
      <w:r w:rsidR="008655D6" w:rsidRPr="00D91312">
        <w:rPr>
          <w:rFonts w:ascii="Bookman Old Style" w:hAnsi="Bookman Old Style"/>
        </w:rPr>
        <w:t>’</w:t>
      </w:r>
      <w:r w:rsidRPr="00D91312">
        <w:rPr>
          <w:rFonts w:ascii="Bookman Old Style" w:hAnsi="Bookman Old Style"/>
        </w:rPr>
        <w:t xml:space="preserve">adozione del provvedimento sanzionatorio si tornerà più avanti, a proposito della </w:t>
      </w:r>
      <w:r w:rsidR="006728A6" w:rsidRPr="00D91312">
        <w:rPr>
          <w:rFonts w:ascii="Bookman Old Style" w:hAnsi="Bookman Old Style"/>
        </w:rPr>
        <w:t xml:space="preserve">recente </w:t>
      </w:r>
      <w:r w:rsidRPr="00D91312">
        <w:rPr>
          <w:rFonts w:ascii="Bookman Old Style" w:hAnsi="Bookman Old Style"/>
        </w:rPr>
        <w:t>giurisprude</w:t>
      </w:r>
      <w:r w:rsidR="006728A6" w:rsidRPr="00D91312">
        <w:rPr>
          <w:rFonts w:ascii="Bookman Old Style" w:hAnsi="Bookman Old Style"/>
        </w:rPr>
        <w:t>nza costituzionale che ne ha criticato la mancanza.</w:t>
      </w:r>
    </w:p>
    <w:p w:rsidR="00016A92" w:rsidRPr="00D91312" w:rsidRDefault="00016A92" w:rsidP="00774AC4">
      <w:pPr>
        <w:jc w:val="both"/>
        <w:rPr>
          <w:rFonts w:ascii="Bookman Old Style" w:hAnsi="Bookman Old Style"/>
        </w:rPr>
      </w:pPr>
      <w:r w:rsidRPr="00D91312">
        <w:rPr>
          <w:rFonts w:ascii="Bookman Old Style" w:hAnsi="Bookman Old Style"/>
        </w:rPr>
        <w:t xml:space="preserve">La giurisprudenza civile è consolidata nel senso che </w:t>
      </w:r>
      <w:r w:rsidR="00AB14C6" w:rsidRPr="00D91312">
        <w:rPr>
          <w:rFonts w:ascii="Bookman Old Style" w:hAnsi="Bookman Old Style"/>
        </w:rPr>
        <w:t>l</w:t>
      </w:r>
      <w:r w:rsidR="008655D6" w:rsidRPr="00D91312">
        <w:rPr>
          <w:rFonts w:ascii="Bookman Old Style" w:hAnsi="Bookman Old Style"/>
        </w:rPr>
        <w:t>’</w:t>
      </w:r>
      <w:r w:rsidR="00AB14C6" w:rsidRPr="00D91312">
        <w:rPr>
          <w:rFonts w:ascii="Bookman Old Style" w:hAnsi="Bookman Old Style"/>
        </w:rPr>
        <w:t xml:space="preserve">effetto estintivo di </w:t>
      </w:r>
      <w:r w:rsidR="00E62274" w:rsidRPr="00D91312">
        <w:rPr>
          <w:rFonts w:ascii="Bookman Old Style" w:hAnsi="Bookman Old Style"/>
        </w:rPr>
        <w:t>cui all</w:t>
      </w:r>
      <w:r w:rsidR="008655D6" w:rsidRPr="00D91312">
        <w:rPr>
          <w:rFonts w:ascii="Bookman Old Style" w:hAnsi="Bookman Old Style"/>
        </w:rPr>
        <w:t>’</w:t>
      </w:r>
      <w:r w:rsidR="00E62274" w:rsidRPr="00D91312">
        <w:rPr>
          <w:rFonts w:ascii="Bookman Old Style" w:hAnsi="Bookman Old Style"/>
        </w:rPr>
        <w:t>art. 14, co. 6, riguarda</w:t>
      </w:r>
      <w:r w:rsidR="00AB14C6" w:rsidRPr="00D91312">
        <w:rPr>
          <w:rFonts w:ascii="Bookman Old Style" w:hAnsi="Bookman Old Style"/>
        </w:rPr>
        <w:t xml:space="preserve"> </w:t>
      </w:r>
      <w:r w:rsidR="00A92C4F" w:rsidRPr="00D91312">
        <w:rPr>
          <w:rFonts w:ascii="Bookman Old Style" w:hAnsi="Bookman Old Style"/>
        </w:rPr>
        <w:t>solo il caso d</w:t>
      </w:r>
      <w:r w:rsidR="008655D6" w:rsidRPr="00D91312">
        <w:rPr>
          <w:rFonts w:ascii="Bookman Old Style" w:hAnsi="Bookman Old Style"/>
        </w:rPr>
        <w:t>’</w:t>
      </w:r>
      <w:r w:rsidR="00AB14C6" w:rsidRPr="00D91312">
        <w:rPr>
          <w:rFonts w:ascii="Bookman Old Style" w:hAnsi="Bookman Old Style"/>
        </w:rPr>
        <w:t xml:space="preserve">inosservanza del termine di notificazione e non anche </w:t>
      </w:r>
      <w:r w:rsidR="00A92C4F" w:rsidRPr="00D91312">
        <w:rPr>
          <w:rFonts w:ascii="Bookman Old Style" w:hAnsi="Bookman Old Style"/>
        </w:rPr>
        <w:t xml:space="preserve">quello </w:t>
      </w:r>
      <w:r w:rsidR="00AB14C6" w:rsidRPr="00D91312">
        <w:rPr>
          <w:rFonts w:ascii="Bookman Old Style" w:hAnsi="Bookman Old Style"/>
        </w:rPr>
        <w:t xml:space="preserve">di omessa contestazione </w:t>
      </w:r>
      <w:r w:rsidR="00A92C4F" w:rsidRPr="00D91312">
        <w:rPr>
          <w:rFonts w:ascii="Bookman Old Style" w:hAnsi="Bookman Old Style"/>
        </w:rPr>
        <w:t xml:space="preserve">immediata della infrazione quando possibile (ovviamente quando non diversamente disposto, come nel codice della strada) e </w:t>
      </w:r>
      <w:r w:rsidR="00E1075F" w:rsidRPr="00D91312">
        <w:rPr>
          <w:rFonts w:ascii="Bookman Old Style" w:hAnsi="Bookman Old Style"/>
        </w:rPr>
        <w:t>che “</w:t>
      </w:r>
      <w:r w:rsidR="00E1075F" w:rsidRPr="00D91312">
        <w:rPr>
          <w:rFonts w:ascii="Bookman Old Style" w:hAnsi="Bookman Old Style"/>
          <w:i/>
        </w:rPr>
        <w:t>l</w:t>
      </w:r>
      <w:r w:rsidR="008655D6" w:rsidRPr="00D91312">
        <w:rPr>
          <w:rFonts w:ascii="Bookman Old Style" w:hAnsi="Bookman Old Style"/>
          <w:i/>
        </w:rPr>
        <w:t>’</w:t>
      </w:r>
      <w:r w:rsidR="00E1075F" w:rsidRPr="00D91312">
        <w:rPr>
          <w:rFonts w:ascii="Bookman Old Style" w:hAnsi="Bookman Old Style"/>
          <w:i/>
        </w:rPr>
        <w:t>accertamento</w:t>
      </w:r>
      <w:r w:rsidR="00E1075F" w:rsidRPr="00D91312">
        <w:rPr>
          <w:rFonts w:ascii="Bookman Old Style" w:hAnsi="Bookman Old Style"/>
        </w:rPr>
        <w:t xml:space="preserve">” </w:t>
      </w:r>
      <w:r w:rsidR="005B7B8B" w:rsidRPr="00D91312">
        <w:rPr>
          <w:rFonts w:ascii="Bookman Old Style" w:hAnsi="Bookman Old Style"/>
        </w:rPr>
        <w:t>da</w:t>
      </w:r>
      <w:r w:rsidR="005B3483" w:rsidRPr="00D91312">
        <w:rPr>
          <w:rFonts w:ascii="Bookman Old Style" w:hAnsi="Bookman Old Style"/>
        </w:rPr>
        <w:t xml:space="preserve">l quale </w:t>
      </w:r>
      <w:r w:rsidR="005B7B8B" w:rsidRPr="00D91312">
        <w:rPr>
          <w:rFonts w:ascii="Bookman Old Style" w:hAnsi="Bookman Old Style"/>
        </w:rPr>
        <w:t>decorre i</w:t>
      </w:r>
      <w:r w:rsidR="00E1075F" w:rsidRPr="00D91312">
        <w:rPr>
          <w:rFonts w:ascii="Bookman Old Style" w:hAnsi="Bookman Old Style"/>
        </w:rPr>
        <w:t>l termine compren</w:t>
      </w:r>
      <w:r w:rsidR="005B7B8B" w:rsidRPr="00D91312">
        <w:rPr>
          <w:rFonts w:ascii="Bookman Old Style" w:hAnsi="Bookman Old Style"/>
        </w:rPr>
        <w:t>de l</w:t>
      </w:r>
      <w:r w:rsidR="008655D6" w:rsidRPr="00D91312">
        <w:rPr>
          <w:rFonts w:ascii="Bookman Old Style" w:hAnsi="Bookman Old Style"/>
        </w:rPr>
        <w:t>’</w:t>
      </w:r>
      <w:r w:rsidR="005B7B8B" w:rsidRPr="00D91312">
        <w:rPr>
          <w:rFonts w:ascii="Bookman Old Style" w:hAnsi="Bookman Old Style"/>
        </w:rPr>
        <w:t xml:space="preserve">attività di </w:t>
      </w:r>
      <w:r w:rsidR="005B3483" w:rsidRPr="00D91312">
        <w:rPr>
          <w:rFonts w:ascii="Bookman Old Style" w:hAnsi="Bookman Old Style"/>
        </w:rPr>
        <w:t xml:space="preserve">approfondimento e di </w:t>
      </w:r>
      <w:r w:rsidR="005B7B8B" w:rsidRPr="00D91312">
        <w:rPr>
          <w:rFonts w:ascii="Bookman Old Style" w:hAnsi="Bookman Old Style"/>
        </w:rPr>
        <w:t xml:space="preserve">valutazione </w:t>
      </w:r>
      <w:r w:rsidR="000C1B55" w:rsidRPr="00D91312">
        <w:rPr>
          <w:rFonts w:ascii="Bookman Old Style" w:hAnsi="Bookman Old Style"/>
        </w:rPr>
        <w:t>delle circostanze acquisite</w:t>
      </w:r>
      <w:r w:rsidR="005B3483" w:rsidRPr="00D91312">
        <w:rPr>
          <w:rFonts w:ascii="Bookman Old Style" w:hAnsi="Bookman Old Style"/>
        </w:rPr>
        <w:t>.</w:t>
      </w:r>
    </w:p>
    <w:p w:rsidR="003F20E5" w:rsidRPr="00D91312" w:rsidRDefault="00CF3B25" w:rsidP="00CF3B25">
      <w:pPr>
        <w:jc w:val="both"/>
        <w:rPr>
          <w:rFonts w:ascii="Bookman Old Style" w:hAnsi="Bookman Old Style"/>
        </w:rPr>
      </w:pPr>
      <w:r w:rsidRPr="00D91312">
        <w:rPr>
          <w:rFonts w:ascii="Bookman Old Style" w:hAnsi="Bookman Old Style"/>
        </w:rPr>
        <w:t>E</w:t>
      </w:r>
      <w:r w:rsidR="008655D6" w:rsidRPr="00D91312">
        <w:rPr>
          <w:rFonts w:ascii="Bookman Old Style" w:hAnsi="Bookman Old Style"/>
        </w:rPr>
        <w:t>’</w:t>
      </w:r>
      <w:r w:rsidRPr="00D91312">
        <w:rPr>
          <w:rFonts w:ascii="Bookman Old Style" w:hAnsi="Bookman Old Style"/>
        </w:rPr>
        <w:t xml:space="preserve"> </w:t>
      </w:r>
      <w:r w:rsidR="00857EFB" w:rsidRPr="00D91312">
        <w:rPr>
          <w:rFonts w:ascii="Bookman Old Style" w:hAnsi="Bookman Old Style"/>
        </w:rPr>
        <w:t xml:space="preserve">altrettanto </w:t>
      </w:r>
      <w:r w:rsidRPr="00D91312">
        <w:rPr>
          <w:rFonts w:ascii="Bookman Old Style" w:hAnsi="Bookman Old Style"/>
        </w:rPr>
        <w:t>pacifico</w:t>
      </w:r>
      <w:r w:rsidR="00857EFB" w:rsidRPr="00D91312">
        <w:rPr>
          <w:rFonts w:ascii="Bookman Old Style" w:hAnsi="Bookman Old Style"/>
        </w:rPr>
        <w:t>, tuttavia,</w:t>
      </w:r>
      <w:r w:rsidRPr="00D91312">
        <w:rPr>
          <w:rFonts w:ascii="Bookman Old Style" w:hAnsi="Bookman Old Style"/>
        </w:rPr>
        <w:t xml:space="preserve"> </w:t>
      </w:r>
      <w:r w:rsidR="00F74515" w:rsidRPr="00D91312">
        <w:rPr>
          <w:rFonts w:ascii="Bookman Old Style" w:hAnsi="Bookman Old Style"/>
        </w:rPr>
        <w:t xml:space="preserve">che </w:t>
      </w:r>
      <w:r w:rsidRPr="00D91312">
        <w:rPr>
          <w:rFonts w:ascii="Bookman Old Style" w:hAnsi="Bookman Old Style"/>
        </w:rPr>
        <w:t>tali attività non debbano essere strumentali</w:t>
      </w:r>
      <w:r w:rsidR="00C2228D" w:rsidRPr="00D91312">
        <w:rPr>
          <w:rFonts w:ascii="Bookman Old Style" w:hAnsi="Bookman Old Style"/>
        </w:rPr>
        <w:t xml:space="preserve"> </w:t>
      </w:r>
      <w:r w:rsidRPr="00D91312">
        <w:rPr>
          <w:rFonts w:ascii="Bookman Old Style" w:hAnsi="Bookman Old Style"/>
        </w:rPr>
        <w:t xml:space="preserve">al differimento </w:t>
      </w:r>
      <w:r w:rsidR="00F74515" w:rsidRPr="00D91312">
        <w:rPr>
          <w:rFonts w:ascii="Bookman Old Style" w:hAnsi="Bookman Old Style"/>
        </w:rPr>
        <w:t>del</w:t>
      </w:r>
      <w:r w:rsidR="00C2228D" w:rsidRPr="00D91312">
        <w:rPr>
          <w:rFonts w:ascii="Bookman Old Style" w:hAnsi="Bookman Old Style"/>
        </w:rPr>
        <w:t xml:space="preserve"> termine di </w:t>
      </w:r>
      <w:r w:rsidR="00F74515" w:rsidRPr="00D91312">
        <w:rPr>
          <w:rFonts w:ascii="Bookman Old Style" w:hAnsi="Bookman Old Style"/>
        </w:rPr>
        <w:t xml:space="preserve">decadenza </w:t>
      </w:r>
      <w:r w:rsidR="002660AC" w:rsidRPr="00D91312">
        <w:rPr>
          <w:rFonts w:ascii="Bookman Old Style" w:hAnsi="Bookman Old Style"/>
        </w:rPr>
        <w:t>e che la dilatazione dei tempi dovuta all</w:t>
      </w:r>
      <w:r w:rsidR="008655D6" w:rsidRPr="00D91312">
        <w:rPr>
          <w:rFonts w:ascii="Bookman Old Style" w:hAnsi="Bookman Old Style"/>
        </w:rPr>
        <w:t>’</w:t>
      </w:r>
      <w:r w:rsidR="002660AC" w:rsidRPr="00D91312">
        <w:rPr>
          <w:rFonts w:ascii="Bookman Old Style" w:hAnsi="Bookman Old Style"/>
        </w:rPr>
        <w:t>inefficienza dell</w:t>
      </w:r>
      <w:r w:rsidR="008655D6" w:rsidRPr="00D91312">
        <w:rPr>
          <w:rFonts w:ascii="Bookman Old Style" w:hAnsi="Bookman Old Style"/>
        </w:rPr>
        <w:t>’</w:t>
      </w:r>
      <w:r w:rsidR="002660AC" w:rsidRPr="00D91312">
        <w:rPr>
          <w:rFonts w:ascii="Bookman Old Style" w:hAnsi="Bookman Old Style"/>
        </w:rPr>
        <w:t xml:space="preserve">amministrazione non possa giustificare la compressione dei diritti del sanzionando, sicché la </w:t>
      </w:r>
      <w:r w:rsidR="001307FA" w:rsidRPr="00D91312">
        <w:rPr>
          <w:rFonts w:ascii="Bookman Old Style" w:hAnsi="Bookman Old Style"/>
        </w:rPr>
        <w:t xml:space="preserve">stessa </w:t>
      </w:r>
      <w:r w:rsidR="002660AC" w:rsidRPr="00D91312">
        <w:rPr>
          <w:rFonts w:ascii="Bookman Old Style" w:hAnsi="Bookman Old Style"/>
        </w:rPr>
        <w:t xml:space="preserve">giurisprudenza </w:t>
      </w:r>
      <w:r w:rsidR="001307FA" w:rsidRPr="00D91312">
        <w:rPr>
          <w:rFonts w:ascii="Bookman Old Style" w:hAnsi="Bookman Old Style"/>
        </w:rPr>
        <w:t>(ad esempio quella</w:t>
      </w:r>
      <w:r w:rsidR="004C4D54" w:rsidRPr="00D91312">
        <w:rPr>
          <w:rFonts w:ascii="Bookman Old Style" w:hAnsi="Bookman Old Style"/>
        </w:rPr>
        <w:t xml:space="preserve"> </w:t>
      </w:r>
      <w:proofErr w:type="spellStart"/>
      <w:r w:rsidR="004C4D54" w:rsidRPr="00D91312">
        <w:rPr>
          <w:rFonts w:ascii="Bookman Old Style" w:hAnsi="Bookman Old Style"/>
        </w:rPr>
        <w:t>giuslavoristica</w:t>
      </w:r>
      <w:proofErr w:type="spellEnd"/>
      <w:r w:rsidR="00AF446D" w:rsidRPr="00D91312">
        <w:rPr>
          <w:rStyle w:val="Rimandonotaapidipagina"/>
          <w:rFonts w:ascii="Bookman Old Style" w:hAnsi="Bookman Old Style"/>
        </w:rPr>
        <w:footnoteReference w:id="2"/>
      </w:r>
      <w:r w:rsidR="00CE396A" w:rsidRPr="00D91312">
        <w:rPr>
          <w:rFonts w:ascii="Bookman Old Style" w:hAnsi="Bookman Old Style"/>
        </w:rPr>
        <w:t xml:space="preserve"> e tributaria</w:t>
      </w:r>
      <w:r w:rsidR="00CE396A" w:rsidRPr="00D91312">
        <w:rPr>
          <w:rStyle w:val="Rimandonotaapidipagina"/>
          <w:rFonts w:ascii="Bookman Old Style" w:hAnsi="Bookman Old Style"/>
        </w:rPr>
        <w:footnoteReference w:id="3"/>
      </w:r>
      <w:r w:rsidR="004C4D54" w:rsidRPr="00D91312">
        <w:rPr>
          <w:rFonts w:ascii="Bookman Old Style" w:hAnsi="Bookman Old Style"/>
        </w:rPr>
        <w:t xml:space="preserve">) </w:t>
      </w:r>
      <w:r w:rsidR="00857EFB" w:rsidRPr="00D91312">
        <w:rPr>
          <w:rFonts w:ascii="Bookman Old Style" w:hAnsi="Bookman Old Style"/>
        </w:rPr>
        <w:t>ri</w:t>
      </w:r>
      <w:r w:rsidR="004E331D" w:rsidRPr="00D91312">
        <w:rPr>
          <w:rFonts w:ascii="Bookman Old Style" w:hAnsi="Bookman Old Style"/>
        </w:rPr>
        <w:t xml:space="preserve">tiene sindacabile </w:t>
      </w:r>
      <w:r w:rsidR="004C4D54" w:rsidRPr="00D91312">
        <w:rPr>
          <w:rFonts w:ascii="Bookman Old Style" w:hAnsi="Bookman Old Style"/>
        </w:rPr>
        <w:t xml:space="preserve">la ragionevolezza del termine impiegato per la conclusione degli accertamenti, </w:t>
      </w:r>
      <w:r w:rsidR="004E331D" w:rsidRPr="00D91312">
        <w:rPr>
          <w:rFonts w:ascii="Bookman Old Style" w:hAnsi="Bookman Old Style"/>
        </w:rPr>
        <w:t xml:space="preserve">ma </w:t>
      </w:r>
      <w:r w:rsidR="006566F4" w:rsidRPr="00D91312">
        <w:rPr>
          <w:rFonts w:ascii="Bookman Old Style" w:hAnsi="Bookman Old Style"/>
        </w:rPr>
        <w:t xml:space="preserve">non anche </w:t>
      </w:r>
      <w:r w:rsidR="00D376E2" w:rsidRPr="00D91312">
        <w:rPr>
          <w:rFonts w:ascii="Bookman Old Style" w:hAnsi="Bookman Old Style"/>
        </w:rPr>
        <w:t>la discrezionalità delle scelte istruttorie dell</w:t>
      </w:r>
      <w:r w:rsidR="008655D6" w:rsidRPr="00D91312">
        <w:rPr>
          <w:rFonts w:ascii="Bookman Old Style" w:hAnsi="Bookman Old Style"/>
        </w:rPr>
        <w:t>’</w:t>
      </w:r>
      <w:r w:rsidR="00D376E2" w:rsidRPr="00D91312">
        <w:rPr>
          <w:rFonts w:ascii="Bookman Old Style" w:hAnsi="Bookman Old Style"/>
        </w:rPr>
        <w:t>amministrazione</w:t>
      </w:r>
      <w:r w:rsidR="006566F4" w:rsidRPr="00D91312">
        <w:rPr>
          <w:rFonts w:ascii="Bookman Old Style" w:hAnsi="Bookman Old Style"/>
        </w:rPr>
        <w:t>.</w:t>
      </w:r>
    </w:p>
    <w:p w:rsidR="00585562" w:rsidRPr="00D91312" w:rsidRDefault="00585562" w:rsidP="00CF3B25">
      <w:pPr>
        <w:jc w:val="both"/>
        <w:rPr>
          <w:rFonts w:ascii="Bookman Old Style" w:hAnsi="Bookman Old Style"/>
        </w:rPr>
      </w:pPr>
    </w:p>
    <w:p w:rsidR="00943500" w:rsidRPr="00D91312" w:rsidRDefault="00943500" w:rsidP="00CF3B25">
      <w:pPr>
        <w:jc w:val="both"/>
        <w:rPr>
          <w:rFonts w:ascii="Bookman Old Style" w:hAnsi="Bookman Old Style"/>
        </w:rPr>
      </w:pPr>
    </w:p>
    <w:p w:rsidR="00CE336C" w:rsidRPr="00D91312" w:rsidRDefault="00BF7CB6" w:rsidP="00541BCD">
      <w:pPr>
        <w:jc w:val="both"/>
        <w:rPr>
          <w:rFonts w:ascii="Bookman Old Style" w:hAnsi="Bookman Old Style"/>
          <w:b/>
        </w:rPr>
      </w:pPr>
      <w:r w:rsidRPr="00D91312">
        <w:rPr>
          <w:rFonts w:ascii="Bookman Old Style" w:hAnsi="Bookman Old Style"/>
          <w:b/>
        </w:rPr>
        <w:t xml:space="preserve">Il </w:t>
      </w:r>
      <w:r w:rsidR="00541BCD" w:rsidRPr="00D91312">
        <w:rPr>
          <w:rFonts w:ascii="Bookman Old Style" w:hAnsi="Bookman Old Style"/>
          <w:b/>
        </w:rPr>
        <w:t>termine per la contestazione</w:t>
      </w:r>
      <w:r w:rsidR="00034F36" w:rsidRPr="00D91312">
        <w:rPr>
          <w:rFonts w:ascii="Bookman Old Style" w:hAnsi="Bookman Old Style"/>
          <w:b/>
        </w:rPr>
        <w:t>, da parte delle Autorità amministrative indipendenti</w:t>
      </w:r>
      <w:r w:rsidR="004E331D" w:rsidRPr="00D91312">
        <w:rPr>
          <w:rFonts w:ascii="Bookman Old Style" w:hAnsi="Bookman Old Style"/>
          <w:b/>
        </w:rPr>
        <w:t xml:space="preserve"> diverse dalla AGCM</w:t>
      </w:r>
      <w:r w:rsidR="00034F36" w:rsidRPr="00D91312">
        <w:rPr>
          <w:rFonts w:ascii="Bookman Old Style" w:hAnsi="Bookman Old Style"/>
          <w:b/>
        </w:rPr>
        <w:t>,</w:t>
      </w:r>
      <w:r w:rsidR="00541BCD" w:rsidRPr="00D91312">
        <w:rPr>
          <w:rFonts w:ascii="Bookman Old Style" w:hAnsi="Bookman Old Style"/>
          <w:b/>
        </w:rPr>
        <w:t xml:space="preserve"> dell</w:t>
      </w:r>
      <w:r w:rsidR="00CE336C" w:rsidRPr="00D91312">
        <w:rPr>
          <w:rFonts w:ascii="Bookman Old Style" w:hAnsi="Bookman Old Style"/>
          <w:b/>
        </w:rPr>
        <w:t xml:space="preserve">e violazioni delle discipline settoriali soggette a sanzione amministrativa pecuniaria e la </w:t>
      </w:r>
      <w:r w:rsidRPr="00D91312">
        <w:rPr>
          <w:rFonts w:ascii="Bookman Old Style" w:hAnsi="Bookman Old Style"/>
          <w:b/>
        </w:rPr>
        <w:t xml:space="preserve">sua </w:t>
      </w:r>
      <w:r w:rsidR="00CE336C" w:rsidRPr="00D91312">
        <w:rPr>
          <w:rFonts w:ascii="Bookman Old Style" w:hAnsi="Bookman Old Style"/>
          <w:b/>
        </w:rPr>
        <w:t>natura.</w:t>
      </w:r>
    </w:p>
    <w:p w:rsidR="00530BDE" w:rsidRPr="00D91312" w:rsidRDefault="001B2636" w:rsidP="00530BDE">
      <w:pPr>
        <w:jc w:val="both"/>
        <w:rPr>
          <w:rFonts w:ascii="Bookman Old Style" w:hAnsi="Bookman Old Style"/>
        </w:rPr>
      </w:pPr>
      <w:r w:rsidRPr="00D91312">
        <w:rPr>
          <w:rFonts w:ascii="Bookman Old Style" w:hAnsi="Bookman Old Style"/>
        </w:rPr>
        <w:t>Per l</w:t>
      </w:r>
      <w:r w:rsidR="008655D6" w:rsidRPr="00D91312">
        <w:rPr>
          <w:rFonts w:ascii="Bookman Old Style" w:hAnsi="Bookman Old Style"/>
        </w:rPr>
        <w:t>’</w:t>
      </w:r>
      <w:r w:rsidR="004E331D" w:rsidRPr="00D91312">
        <w:rPr>
          <w:rFonts w:ascii="Bookman Old Style" w:hAnsi="Bookman Old Style"/>
        </w:rPr>
        <w:t>art. 12</w:t>
      </w:r>
      <w:r w:rsidR="00530BDE" w:rsidRPr="00D91312">
        <w:rPr>
          <w:rFonts w:ascii="Bookman Old Style" w:hAnsi="Bookman Old Style"/>
        </w:rPr>
        <w:t xml:space="preserve"> </w:t>
      </w:r>
      <w:r w:rsidR="004E331D" w:rsidRPr="00D91312">
        <w:rPr>
          <w:rFonts w:ascii="Bookman Old Style" w:hAnsi="Bookman Old Style"/>
        </w:rPr>
        <w:t>(Ambito di applicazione)</w:t>
      </w:r>
      <w:r w:rsidR="00530BDE" w:rsidRPr="00D91312">
        <w:rPr>
          <w:rFonts w:ascii="Bookman Old Style" w:hAnsi="Bookman Old Style"/>
        </w:rPr>
        <w:t xml:space="preserve"> </w:t>
      </w:r>
      <w:r w:rsidRPr="00D91312">
        <w:rPr>
          <w:rFonts w:ascii="Bookman Old Style" w:hAnsi="Bookman Old Style"/>
        </w:rPr>
        <w:t>della l. 689/81 l</w:t>
      </w:r>
      <w:r w:rsidR="00530BDE" w:rsidRPr="00D91312">
        <w:rPr>
          <w:rFonts w:ascii="Bookman Old Style" w:hAnsi="Bookman Old Style"/>
        </w:rPr>
        <w:t xml:space="preserve">e disposizioni </w:t>
      </w:r>
      <w:r w:rsidRPr="00D91312">
        <w:rPr>
          <w:rFonts w:ascii="Bookman Old Style" w:hAnsi="Bookman Old Style"/>
        </w:rPr>
        <w:t>contenute nel Capo I in materia di sanzioni amministrative “</w:t>
      </w:r>
      <w:r w:rsidR="00530BDE" w:rsidRPr="00D91312">
        <w:rPr>
          <w:rFonts w:ascii="Bookman Old Style" w:hAnsi="Bookman Old Style"/>
          <w:i/>
        </w:rPr>
        <w:t>si osservano, in quanto applicabili e salvo che non sia diversamente stabilito,</w:t>
      </w:r>
      <w:r w:rsidRPr="00D91312">
        <w:rPr>
          <w:rFonts w:ascii="Bookman Old Style" w:hAnsi="Bookman Old Style"/>
          <w:i/>
        </w:rPr>
        <w:t xml:space="preserve"> </w:t>
      </w:r>
      <w:r w:rsidR="00530BDE" w:rsidRPr="00D91312">
        <w:rPr>
          <w:rFonts w:ascii="Bookman Old Style" w:hAnsi="Bookman Old Style"/>
          <w:i/>
        </w:rPr>
        <w:t>per tutte le violazioni per le quali è prevista la sanzione amministrativa del pagamento di una somma di</w:t>
      </w:r>
      <w:r w:rsidRPr="00D91312">
        <w:rPr>
          <w:rFonts w:ascii="Bookman Old Style" w:hAnsi="Bookman Old Style"/>
          <w:i/>
        </w:rPr>
        <w:t xml:space="preserve"> </w:t>
      </w:r>
      <w:r w:rsidR="00530BDE" w:rsidRPr="00D91312">
        <w:rPr>
          <w:rFonts w:ascii="Bookman Old Style" w:hAnsi="Bookman Old Style"/>
          <w:i/>
        </w:rPr>
        <w:t>denaro, anche quando questa sanzione non è prevista in sostituzione di una sanzione penale. Non si applicano</w:t>
      </w:r>
      <w:r w:rsidRPr="00D91312">
        <w:rPr>
          <w:rFonts w:ascii="Bookman Old Style" w:hAnsi="Bookman Old Style"/>
          <w:i/>
        </w:rPr>
        <w:t xml:space="preserve"> </w:t>
      </w:r>
      <w:r w:rsidR="00530BDE" w:rsidRPr="00D91312">
        <w:rPr>
          <w:rFonts w:ascii="Bookman Old Style" w:hAnsi="Bookman Old Style"/>
          <w:i/>
        </w:rPr>
        <w:t>alle violazioni disciplinari</w:t>
      </w:r>
      <w:r w:rsidRPr="00D91312">
        <w:rPr>
          <w:rFonts w:ascii="Bookman Old Style" w:hAnsi="Bookman Old Style"/>
        </w:rPr>
        <w:t>”.</w:t>
      </w:r>
    </w:p>
    <w:p w:rsidR="0024220D" w:rsidRPr="00D91312" w:rsidRDefault="003157C2" w:rsidP="00EA4DA5">
      <w:pPr>
        <w:jc w:val="both"/>
        <w:rPr>
          <w:rFonts w:ascii="Bookman Old Style" w:hAnsi="Bookman Old Style"/>
        </w:rPr>
      </w:pPr>
      <w:r w:rsidRPr="00D91312">
        <w:rPr>
          <w:rFonts w:ascii="Bookman Old Style" w:hAnsi="Bookman Old Style"/>
        </w:rPr>
        <w:t>S</w:t>
      </w:r>
      <w:r w:rsidR="001B2636" w:rsidRPr="00D91312">
        <w:rPr>
          <w:rFonts w:ascii="Bookman Old Style" w:hAnsi="Bookman Old Style"/>
        </w:rPr>
        <w:t>i tratta</w:t>
      </w:r>
      <w:r w:rsidRPr="00D91312">
        <w:rPr>
          <w:rFonts w:ascii="Bookman Old Style" w:hAnsi="Bookman Old Style"/>
        </w:rPr>
        <w:t>, perciò</w:t>
      </w:r>
      <w:r w:rsidR="006B0945" w:rsidRPr="00D91312">
        <w:rPr>
          <w:rFonts w:ascii="Bookman Old Style" w:hAnsi="Bookman Old Style"/>
        </w:rPr>
        <w:t>,</w:t>
      </w:r>
      <w:r w:rsidR="001B2636" w:rsidRPr="00D91312">
        <w:rPr>
          <w:rFonts w:ascii="Bookman Old Style" w:hAnsi="Bookman Old Style"/>
        </w:rPr>
        <w:t xml:space="preserve"> di disposizioni di </w:t>
      </w:r>
      <w:r w:rsidRPr="00D91312">
        <w:rPr>
          <w:rFonts w:ascii="Bookman Old Style" w:hAnsi="Bookman Old Style"/>
        </w:rPr>
        <w:t xml:space="preserve">tendenziale </w:t>
      </w:r>
      <w:r w:rsidR="001B2636" w:rsidRPr="00D91312">
        <w:rPr>
          <w:rFonts w:ascii="Bookman Old Style" w:hAnsi="Bookman Old Style"/>
        </w:rPr>
        <w:t xml:space="preserve">applicazione </w:t>
      </w:r>
      <w:r w:rsidR="00887D3B" w:rsidRPr="00D91312">
        <w:rPr>
          <w:rFonts w:ascii="Bookman Old Style" w:hAnsi="Bookman Old Style"/>
        </w:rPr>
        <w:t xml:space="preserve">generale, </w:t>
      </w:r>
      <w:r w:rsidR="007528BE" w:rsidRPr="00D91312">
        <w:rPr>
          <w:rFonts w:ascii="Bookman Old Style" w:hAnsi="Bookman Old Style"/>
        </w:rPr>
        <w:t xml:space="preserve">a meno </w:t>
      </w:r>
      <w:r w:rsidR="00DB5E73" w:rsidRPr="00D91312">
        <w:rPr>
          <w:rFonts w:ascii="Bookman Old Style" w:hAnsi="Bookman Old Style"/>
        </w:rPr>
        <w:t>che</w:t>
      </w:r>
      <w:r w:rsidR="0024220D" w:rsidRPr="00D91312">
        <w:rPr>
          <w:rFonts w:ascii="Bookman Old Style" w:hAnsi="Bookman Old Style"/>
        </w:rPr>
        <w:t xml:space="preserve"> </w:t>
      </w:r>
      <w:r w:rsidR="00FF54F9" w:rsidRPr="00D91312">
        <w:rPr>
          <w:rFonts w:ascii="Bookman Old Style" w:hAnsi="Bookman Old Style"/>
        </w:rPr>
        <w:t xml:space="preserve">la </w:t>
      </w:r>
      <w:r w:rsidR="0024220D" w:rsidRPr="00D91312">
        <w:rPr>
          <w:rFonts w:ascii="Bookman Old Style" w:hAnsi="Bookman Old Style"/>
        </w:rPr>
        <w:t xml:space="preserve">loro applicabilità </w:t>
      </w:r>
      <w:r w:rsidRPr="00D91312">
        <w:rPr>
          <w:rFonts w:ascii="Bookman Old Style" w:hAnsi="Bookman Old Style"/>
        </w:rPr>
        <w:t xml:space="preserve">non vada esclusa </w:t>
      </w:r>
      <w:r w:rsidR="001121FA" w:rsidRPr="00D91312">
        <w:rPr>
          <w:rFonts w:ascii="Bookman Old Style" w:hAnsi="Bookman Old Style"/>
        </w:rPr>
        <w:t xml:space="preserve">per </w:t>
      </w:r>
      <w:r w:rsidRPr="00D91312">
        <w:rPr>
          <w:rFonts w:ascii="Bookman Old Style" w:hAnsi="Bookman Old Style"/>
        </w:rPr>
        <w:t>ra</w:t>
      </w:r>
      <w:r w:rsidR="00EA4DA5" w:rsidRPr="00D91312">
        <w:rPr>
          <w:rFonts w:ascii="Bookman Old Style" w:hAnsi="Bookman Old Style"/>
        </w:rPr>
        <w:t>gioni sistematiche che le</w:t>
      </w:r>
      <w:r w:rsidRPr="00D91312">
        <w:rPr>
          <w:rFonts w:ascii="Bookman Old Style" w:hAnsi="Bookman Old Style"/>
        </w:rPr>
        <w:t xml:space="preserve"> rendano </w:t>
      </w:r>
      <w:r w:rsidR="001121FA" w:rsidRPr="00D91312">
        <w:rPr>
          <w:rFonts w:ascii="Bookman Old Style" w:hAnsi="Bookman Old Style"/>
        </w:rPr>
        <w:t>incompatibil</w:t>
      </w:r>
      <w:r w:rsidR="00EA4DA5" w:rsidRPr="00D91312">
        <w:rPr>
          <w:rFonts w:ascii="Bookman Old Style" w:hAnsi="Bookman Old Style"/>
        </w:rPr>
        <w:t>i</w:t>
      </w:r>
      <w:r w:rsidRPr="00D91312">
        <w:rPr>
          <w:rFonts w:ascii="Bookman Old Style" w:hAnsi="Bookman Old Style"/>
        </w:rPr>
        <w:t xml:space="preserve"> con la </w:t>
      </w:r>
      <w:r w:rsidR="001121FA" w:rsidRPr="00D91312">
        <w:rPr>
          <w:rFonts w:ascii="Bookman Old Style" w:hAnsi="Bookman Old Style"/>
        </w:rPr>
        <w:t xml:space="preserve">disciplina di settore </w:t>
      </w:r>
      <w:r w:rsidRPr="00D91312">
        <w:rPr>
          <w:rFonts w:ascii="Bookman Old Style" w:hAnsi="Bookman Old Style"/>
        </w:rPr>
        <w:t>(</w:t>
      </w:r>
      <w:r w:rsidR="00EA4DA5" w:rsidRPr="00D91312">
        <w:rPr>
          <w:rFonts w:ascii="Bookman Old Style" w:hAnsi="Bookman Old Style"/>
        </w:rPr>
        <w:t xml:space="preserve">difettando allora la condizione </w:t>
      </w:r>
      <w:r w:rsidRPr="00D91312">
        <w:rPr>
          <w:rFonts w:ascii="Bookman Old Style" w:hAnsi="Bookman Old Style"/>
        </w:rPr>
        <w:t>“</w:t>
      </w:r>
      <w:r w:rsidRPr="00D91312">
        <w:rPr>
          <w:rFonts w:ascii="Bookman Old Style" w:hAnsi="Bookman Old Style"/>
          <w:i/>
        </w:rPr>
        <w:t>in quanto applicabili</w:t>
      </w:r>
      <w:r w:rsidR="00EA4DA5" w:rsidRPr="00D91312">
        <w:rPr>
          <w:rFonts w:ascii="Bookman Old Style" w:hAnsi="Bookman Old Style"/>
        </w:rPr>
        <w:t xml:space="preserve">”) </w:t>
      </w:r>
      <w:r w:rsidR="00FF54F9" w:rsidRPr="00D91312">
        <w:rPr>
          <w:rFonts w:ascii="Bookman Old Style" w:hAnsi="Bookman Old Style"/>
        </w:rPr>
        <w:t xml:space="preserve">oppure </w:t>
      </w:r>
      <w:r w:rsidR="007528BE" w:rsidRPr="00D91312">
        <w:rPr>
          <w:rFonts w:ascii="Bookman Old Style" w:hAnsi="Bookman Old Style"/>
        </w:rPr>
        <w:t>per</w:t>
      </w:r>
      <w:r w:rsidR="00EA4DA5" w:rsidRPr="00D91312">
        <w:rPr>
          <w:rFonts w:ascii="Bookman Old Style" w:hAnsi="Bookman Old Style"/>
        </w:rPr>
        <w:t>ché in quest</w:t>
      </w:r>
      <w:r w:rsidR="008655D6" w:rsidRPr="00D91312">
        <w:rPr>
          <w:rFonts w:ascii="Bookman Old Style" w:hAnsi="Bookman Old Style"/>
        </w:rPr>
        <w:t>’</w:t>
      </w:r>
      <w:r w:rsidR="00EA4DA5" w:rsidRPr="00D91312">
        <w:rPr>
          <w:rFonts w:ascii="Bookman Old Style" w:hAnsi="Bookman Old Style"/>
        </w:rPr>
        <w:t>ultima “</w:t>
      </w:r>
      <w:r w:rsidR="00EA4DA5" w:rsidRPr="00D91312">
        <w:rPr>
          <w:rFonts w:ascii="Bookman Old Style" w:hAnsi="Bookman Old Style"/>
          <w:i/>
        </w:rPr>
        <w:t>sia diversamente stabilito</w:t>
      </w:r>
      <w:r w:rsidR="00EA4DA5" w:rsidRPr="00D91312">
        <w:rPr>
          <w:rFonts w:ascii="Bookman Old Style" w:hAnsi="Bookman Old Style"/>
        </w:rPr>
        <w:t>”, in generale o con riferimento a specifiche</w:t>
      </w:r>
      <w:r w:rsidR="00943500" w:rsidRPr="00D91312">
        <w:rPr>
          <w:rFonts w:ascii="Bookman Old Style" w:hAnsi="Bookman Old Style"/>
        </w:rPr>
        <w:t xml:space="preserve"> prescrizioni</w:t>
      </w:r>
      <w:r w:rsidR="00EA4DA5" w:rsidRPr="00D91312">
        <w:rPr>
          <w:rFonts w:ascii="Bookman Old Style" w:hAnsi="Bookman Old Style"/>
        </w:rPr>
        <w:t>.</w:t>
      </w:r>
    </w:p>
    <w:p w:rsidR="00541BCD" w:rsidRPr="00D91312" w:rsidRDefault="00A71F13" w:rsidP="00CF3B25">
      <w:pPr>
        <w:jc w:val="both"/>
        <w:rPr>
          <w:rFonts w:ascii="Bookman Old Style" w:hAnsi="Bookman Old Style"/>
        </w:rPr>
      </w:pPr>
      <w:r w:rsidRPr="00D91312">
        <w:rPr>
          <w:rFonts w:ascii="Bookman Old Style" w:hAnsi="Bookman Old Style"/>
        </w:rPr>
        <w:t>Pe</w:t>
      </w:r>
      <w:r w:rsidR="002649EB" w:rsidRPr="00D91312">
        <w:rPr>
          <w:rFonts w:ascii="Bookman Old Style" w:hAnsi="Bookman Old Style"/>
        </w:rPr>
        <w:t>r</w:t>
      </w:r>
      <w:r w:rsidRPr="00D91312">
        <w:rPr>
          <w:rFonts w:ascii="Bookman Old Style" w:hAnsi="Bookman Old Style"/>
        </w:rPr>
        <w:t xml:space="preserve"> le </w:t>
      </w:r>
      <w:r w:rsidR="006D0236" w:rsidRPr="00D91312">
        <w:rPr>
          <w:rFonts w:ascii="Bookman Old Style" w:hAnsi="Bookman Old Style"/>
        </w:rPr>
        <w:t xml:space="preserve">Autorità amministrative </w:t>
      </w:r>
      <w:r w:rsidRPr="00D91312">
        <w:rPr>
          <w:rFonts w:ascii="Bookman Old Style" w:hAnsi="Bookman Old Style"/>
        </w:rPr>
        <w:t>indipendenti</w:t>
      </w:r>
      <w:r w:rsidR="00530BDE" w:rsidRPr="00D91312">
        <w:rPr>
          <w:rFonts w:ascii="Bookman Old Style" w:hAnsi="Bookman Old Style"/>
        </w:rPr>
        <w:t xml:space="preserve"> </w:t>
      </w:r>
      <w:r w:rsidR="00836CFE" w:rsidRPr="00D91312">
        <w:rPr>
          <w:rFonts w:ascii="Bookman Old Style" w:hAnsi="Bookman Old Style"/>
        </w:rPr>
        <w:t xml:space="preserve">talora </w:t>
      </w:r>
      <w:r w:rsidR="00AC4AC3" w:rsidRPr="00D91312">
        <w:rPr>
          <w:rFonts w:ascii="Bookman Old Style" w:hAnsi="Bookman Old Style"/>
        </w:rPr>
        <w:t xml:space="preserve">sono </w:t>
      </w:r>
      <w:r w:rsidR="006D0236" w:rsidRPr="00D91312">
        <w:rPr>
          <w:rFonts w:ascii="Bookman Old Style" w:hAnsi="Bookman Old Style"/>
        </w:rPr>
        <w:t xml:space="preserve">le </w:t>
      </w:r>
      <w:r w:rsidR="00AC4AC3" w:rsidRPr="00D91312">
        <w:rPr>
          <w:rFonts w:ascii="Bookman Old Style" w:hAnsi="Bookman Old Style"/>
        </w:rPr>
        <w:t xml:space="preserve">stesse </w:t>
      </w:r>
      <w:r w:rsidR="006D0236" w:rsidRPr="00D91312">
        <w:rPr>
          <w:rFonts w:ascii="Bookman Old Style" w:hAnsi="Bookman Old Style"/>
        </w:rPr>
        <w:t xml:space="preserve">leggi </w:t>
      </w:r>
      <w:r w:rsidR="00836CFE" w:rsidRPr="00D91312">
        <w:rPr>
          <w:rFonts w:ascii="Bookman Old Style" w:hAnsi="Bookman Old Style"/>
        </w:rPr>
        <w:t>che ne regolano l</w:t>
      </w:r>
      <w:r w:rsidR="008655D6" w:rsidRPr="00D91312">
        <w:rPr>
          <w:rFonts w:ascii="Bookman Old Style" w:hAnsi="Bookman Old Style"/>
        </w:rPr>
        <w:t>’</w:t>
      </w:r>
      <w:r w:rsidR="00836CFE" w:rsidRPr="00D91312">
        <w:rPr>
          <w:rFonts w:ascii="Bookman Old Style" w:hAnsi="Bookman Old Style"/>
        </w:rPr>
        <w:t xml:space="preserve">esercizio dei poteri sanzionatori </w:t>
      </w:r>
      <w:r w:rsidR="006D0236" w:rsidRPr="00D91312">
        <w:rPr>
          <w:rFonts w:ascii="Bookman Old Style" w:hAnsi="Bookman Old Style"/>
        </w:rPr>
        <w:t xml:space="preserve">ad </w:t>
      </w:r>
      <w:r w:rsidR="00AC4AC3" w:rsidRPr="00D91312">
        <w:rPr>
          <w:rFonts w:ascii="Bookman Old Style" w:hAnsi="Bookman Old Style"/>
        </w:rPr>
        <w:t>imporre</w:t>
      </w:r>
      <w:r w:rsidR="006D0236" w:rsidRPr="00D91312">
        <w:rPr>
          <w:rFonts w:ascii="Bookman Old Style" w:hAnsi="Bookman Old Style"/>
        </w:rPr>
        <w:t xml:space="preserve"> l</w:t>
      </w:r>
      <w:r w:rsidR="008655D6" w:rsidRPr="00D91312">
        <w:rPr>
          <w:rFonts w:ascii="Bookman Old Style" w:hAnsi="Bookman Old Style"/>
        </w:rPr>
        <w:t>’</w:t>
      </w:r>
      <w:r w:rsidR="006D0236" w:rsidRPr="00D91312">
        <w:rPr>
          <w:rFonts w:ascii="Bookman Old Style" w:hAnsi="Bookman Old Style"/>
        </w:rPr>
        <w:t>osservanza di un termine per la contestazione delle violazioni al soggetto incolpato</w:t>
      </w:r>
      <w:r w:rsidR="00D2083C" w:rsidRPr="00D91312">
        <w:rPr>
          <w:rFonts w:ascii="Bookman Old Style" w:hAnsi="Bookman Old Style"/>
        </w:rPr>
        <w:t xml:space="preserve">, </w:t>
      </w:r>
      <w:r w:rsidRPr="00D91312">
        <w:rPr>
          <w:rFonts w:ascii="Bookman Old Style" w:hAnsi="Bookman Old Style"/>
        </w:rPr>
        <w:t xml:space="preserve">talvolta </w:t>
      </w:r>
      <w:r w:rsidR="00A7371A" w:rsidRPr="00D91312">
        <w:rPr>
          <w:rFonts w:ascii="Bookman Old Style" w:hAnsi="Bookman Old Style"/>
        </w:rPr>
        <w:t xml:space="preserve">richiamando </w:t>
      </w:r>
      <w:r w:rsidR="00D2083C" w:rsidRPr="00D91312">
        <w:rPr>
          <w:rFonts w:ascii="Bookman Old Style" w:hAnsi="Bookman Old Style"/>
        </w:rPr>
        <w:t>l</w:t>
      </w:r>
      <w:r w:rsidR="008655D6" w:rsidRPr="00D91312">
        <w:rPr>
          <w:rFonts w:ascii="Bookman Old Style" w:hAnsi="Bookman Old Style"/>
        </w:rPr>
        <w:t>’</w:t>
      </w:r>
      <w:r w:rsidR="00D2083C" w:rsidRPr="00D91312">
        <w:rPr>
          <w:rFonts w:ascii="Bookman Old Style" w:hAnsi="Bookman Old Style"/>
        </w:rPr>
        <w:t>a</w:t>
      </w:r>
      <w:r w:rsidR="00A7371A" w:rsidRPr="00D91312">
        <w:rPr>
          <w:rFonts w:ascii="Bookman Old Style" w:hAnsi="Bookman Old Style"/>
        </w:rPr>
        <w:t>rt. 14 della</w:t>
      </w:r>
      <w:r w:rsidR="00D2083C" w:rsidRPr="00D91312">
        <w:rPr>
          <w:rFonts w:ascii="Bookman Old Style" w:hAnsi="Bookman Old Style"/>
        </w:rPr>
        <w:t xml:space="preserve"> </w:t>
      </w:r>
      <w:r w:rsidR="00A7371A" w:rsidRPr="00D91312">
        <w:rPr>
          <w:rFonts w:ascii="Bookman Old Style" w:hAnsi="Bookman Old Style"/>
        </w:rPr>
        <w:t xml:space="preserve">l. </w:t>
      </w:r>
      <w:r w:rsidR="00D2083C" w:rsidRPr="00D91312">
        <w:rPr>
          <w:rFonts w:ascii="Bookman Old Style" w:hAnsi="Bookman Old Style"/>
        </w:rPr>
        <w:t xml:space="preserve">n. 689/81, </w:t>
      </w:r>
      <w:r w:rsidRPr="00D91312">
        <w:rPr>
          <w:rFonts w:ascii="Bookman Old Style" w:hAnsi="Bookman Old Style"/>
        </w:rPr>
        <w:t xml:space="preserve">talvolta </w:t>
      </w:r>
      <w:r w:rsidR="00A7371A" w:rsidRPr="00D91312">
        <w:rPr>
          <w:rFonts w:ascii="Bookman Old Style" w:hAnsi="Bookman Old Style"/>
        </w:rPr>
        <w:t xml:space="preserve">senza menzionarlo affatto. </w:t>
      </w:r>
    </w:p>
    <w:p w:rsidR="00A21621" w:rsidRPr="00D91312" w:rsidRDefault="00A7371A" w:rsidP="00715C6B">
      <w:pPr>
        <w:jc w:val="both"/>
        <w:rPr>
          <w:rFonts w:ascii="Bookman Old Style" w:hAnsi="Bookman Old Style"/>
        </w:rPr>
      </w:pPr>
      <w:r w:rsidRPr="00D91312">
        <w:rPr>
          <w:rFonts w:ascii="Bookman Old Style" w:hAnsi="Bookman Old Style"/>
        </w:rPr>
        <w:t xml:space="preserve">Il primo caso è quello </w:t>
      </w:r>
      <w:r w:rsidR="00A71F13" w:rsidRPr="00D91312">
        <w:rPr>
          <w:rFonts w:ascii="Bookman Old Style" w:hAnsi="Bookman Old Style"/>
        </w:rPr>
        <w:t>del</w:t>
      </w:r>
      <w:r w:rsidR="00715C6B" w:rsidRPr="00D91312">
        <w:rPr>
          <w:rFonts w:ascii="Bookman Old Style" w:hAnsi="Bookman Old Style"/>
        </w:rPr>
        <w:t>l</w:t>
      </w:r>
      <w:r w:rsidR="008655D6" w:rsidRPr="00D91312">
        <w:rPr>
          <w:rFonts w:ascii="Bookman Old Style" w:hAnsi="Bookman Old Style"/>
        </w:rPr>
        <w:t>’</w:t>
      </w:r>
      <w:r w:rsidR="00AC4AC3" w:rsidRPr="00D91312">
        <w:rPr>
          <w:rFonts w:ascii="Bookman Old Style" w:hAnsi="Bookman Old Style"/>
        </w:rPr>
        <w:t>ARERA</w:t>
      </w:r>
      <w:r w:rsidR="00715C6B" w:rsidRPr="00D91312">
        <w:rPr>
          <w:rFonts w:ascii="Bookman Old Style" w:hAnsi="Bookman Old Style"/>
        </w:rPr>
        <w:t xml:space="preserve">, poiché </w:t>
      </w:r>
      <w:r w:rsidR="005E7E0C" w:rsidRPr="00D91312">
        <w:rPr>
          <w:rFonts w:ascii="Bookman Old Style" w:hAnsi="Bookman Old Style"/>
        </w:rPr>
        <w:t>il comma 5 del</w:t>
      </w:r>
      <w:r w:rsidR="00715C6B" w:rsidRPr="00D91312">
        <w:rPr>
          <w:rFonts w:ascii="Bookman Old Style" w:hAnsi="Bookman Old Style"/>
        </w:rPr>
        <w:t>l</w:t>
      </w:r>
      <w:r w:rsidR="008655D6" w:rsidRPr="00D91312">
        <w:rPr>
          <w:rFonts w:ascii="Bookman Old Style" w:hAnsi="Bookman Old Style"/>
        </w:rPr>
        <w:t>’</w:t>
      </w:r>
      <w:r w:rsidR="00715C6B" w:rsidRPr="00D91312">
        <w:rPr>
          <w:rFonts w:ascii="Bookman Old Style" w:hAnsi="Bookman Old Style"/>
        </w:rPr>
        <w:t>art. 45</w:t>
      </w:r>
      <w:r w:rsidR="00A71F13" w:rsidRPr="00D91312">
        <w:rPr>
          <w:rFonts w:ascii="Bookman Old Style" w:hAnsi="Bookman Old Style"/>
        </w:rPr>
        <w:t xml:space="preserve"> </w:t>
      </w:r>
      <w:r w:rsidR="00715C6B" w:rsidRPr="00D91312">
        <w:rPr>
          <w:rFonts w:ascii="Bookman Old Style" w:hAnsi="Bookman Old Style"/>
        </w:rPr>
        <w:t xml:space="preserve">del d.lgs. 1° giugno 2011, n. 93, </w:t>
      </w:r>
      <w:r w:rsidR="005D2EB6" w:rsidRPr="00D91312">
        <w:rPr>
          <w:rFonts w:ascii="Bookman Old Style" w:hAnsi="Bookman Old Style"/>
        </w:rPr>
        <w:t xml:space="preserve">prevede </w:t>
      </w:r>
      <w:r w:rsidR="00715C6B" w:rsidRPr="00D91312">
        <w:rPr>
          <w:rFonts w:ascii="Bookman Old Style" w:hAnsi="Bookman Old Style"/>
        </w:rPr>
        <w:t xml:space="preserve">che </w:t>
      </w:r>
      <w:r w:rsidR="00C93EBD" w:rsidRPr="00D91312">
        <w:rPr>
          <w:rFonts w:ascii="Bookman Old Style" w:hAnsi="Bookman Old Style"/>
        </w:rPr>
        <w:t xml:space="preserve">per </w:t>
      </w:r>
      <w:r w:rsidR="00715C6B" w:rsidRPr="00D91312">
        <w:rPr>
          <w:rFonts w:ascii="Bookman Old Style" w:hAnsi="Bookman Old Style"/>
        </w:rPr>
        <w:t>i procedimenti sanzionatori dell</w:t>
      </w:r>
      <w:r w:rsidR="008655D6" w:rsidRPr="00D91312">
        <w:rPr>
          <w:rFonts w:ascii="Bookman Old Style" w:hAnsi="Bookman Old Style"/>
        </w:rPr>
        <w:t>’</w:t>
      </w:r>
      <w:r w:rsidR="00715C6B" w:rsidRPr="00D91312">
        <w:rPr>
          <w:rFonts w:ascii="Bookman Old Style" w:hAnsi="Bookman Old Style"/>
        </w:rPr>
        <w:t>allora AEEG “</w:t>
      </w:r>
      <w:r w:rsidR="00C93EBD" w:rsidRPr="00D91312">
        <w:rPr>
          <w:rFonts w:ascii="Bookman Old Style" w:hAnsi="Bookman Old Style"/>
        </w:rPr>
        <w:t xml:space="preserve">(…) </w:t>
      </w:r>
      <w:r w:rsidR="00715C6B" w:rsidRPr="00D91312">
        <w:rPr>
          <w:rFonts w:ascii="Bookman Old Style" w:hAnsi="Bookman Old Style"/>
          <w:i/>
        </w:rPr>
        <w:t>il termine per la notifica degli estremi della violazione agli interessati residenti nel territorio della Repubblica, di cui all</w:t>
      </w:r>
      <w:r w:rsidR="008655D6" w:rsidRPr="00D91312">
        <w:rPr>
          <w:rFonts w:ascii="Bookman Old Style" w:hAnsi="Bookman Old Style"/>
          <w:i/>
        </w:rPr>
        <w:t>’</w:t>
      </w:r>
      <w:r w:rsidR="00715C6B" w:rsidRPr="00D91312">
        <w:rPr>
          <w:rFonts w:ascii="Bookman Old Style" w:hAnsi="Bookman Old Style"/>
          <w:i/>
        </w:rPr>
        <w:t>articolo 14, comma 2, della legge 24 novembre 1981, n. 689, è di centottanta giorni</w:t>
      </w:r>
      <w:r w:rsidR="00715C6B" w:rsidRPr="00D91312">
        <w:rPr>
          <w:rFonts w:ascii="Bookman Old Style" w:hAnsi="Bookman Old Style"/>
        </w:rPr>
        <w:t>”</w:t>
      </w:r>
      <w:r w:rsidR="00A71F13" w:rsidRPr="00D91312">
        <w:rPr>
          <w:rFonts w:ascii="Bookman Old Style" w:hAnsi="Bookman Old Style"/>
        </w:rPr>
        <w:t>.</w:t>
      </w:r>
      <w:r w:rsidR="002F0FB9" w:rsidRPr="00D91312">
        <w:rPr>
          <w:rFonts w:ascii="Bookman Old Style" w:hAnsi="Bookman Old Style"/>
        </w:rPr>
        <w:t xml:space="preserve"> </w:t>
      </w:r>
      <w:r w:rsidR="00D3416A" w:rsidRPr="00D91312">
        <w:rPr>
          <w:rFonts w:ascii="Bookman Old Style" w:hAnsi="Bookman Old Style"/>
        </w:rPr>
        <w:t>Il richiamo presuppone l</w:t>
      </w:r>
      <w:r w:rsidR="008655D6" w:rsidRPr="00D91312">
        <w:rPr>
          <w:rFonts w:ascii="Bookman Old Style" w:hAnsi="Bookman Old Style"/>
        </w:rPr>
        <w:t>’</w:t>
      </w:r>
      <w:r w:rsidR="00D3416A" w:rsidRPr="00D91312">
        <w:rPr>
          <w:rFonts w:ascii="Bookman Old Style" w:hAnsi="Bookman Old Style"/>
        </w:rPr>
        <w:t>applicabilità della legge n. 689/81 e in particolare dell</w:t>
      </w:r>
      <w:r w:rsidR="008655D6" w:rsidRPr="00D91312">
        <w:rPr>
          <w:rFonts w:ascii="Bookman Old Style" w:hAnsi="Bookman Old Style"/>
        </w:rPr>
        <w:t>’</w:t>
      </w:r>
      <w:r w:rsidR="00D3416A" w:rsidRPr="00D91312">
        <w:rPr>
          <w:rFonts w:ascii="Bookman Old Style" w:hAnsi="Bookman Old Style"/>
        </w:rPr>
        <w:t>art. 14 sulla tempestiva notifica della contestazione della violazione a pena di decadenza</w:t>
      </w:r>
      <w:r w:rsidR="008B7BDA" w:rsidRPr="00D91312">
        <w:rPr>
          <w:rFonts w:ascii="Bookman Old Style" w:hAnsi="Bookman Old Style"/>
        </w:rPr>
        <w:t xml:space="preserve">, </w:t>
      </w:r>
      <w:r w:rsidR="00F00B66" w:rsidRPr="00D91312">
        <w:rPr>
          <w:rFonts w:ascii="Bookman Old Style" w:hAnsi="Bookman Old Style"/>
        </w:rPr>
        <w:t xml:space="preserve">al netto di quanto diversamente </w:t>
      </w:r>
      <w:r w:rsidR="00D3416A" w:rsidRPr="00D91312">
        <w:rPr>
          <w:rFonts w:ascii="Bookman Old Style" w:hAnsi="Bookman Old Style"/>
        </w:rPr>
        <w:t>disposto sulla lunghezza del termine</w:t>
      </w:r>
      <w:r w:rsidR="006352F6" w:rsidRPr="00D91312">
        <w:rPr>
          <w:rStyle w:val="Rimandonotaapidipagina"/>
          <w:rFonts w:ascii="Bookman Old Style" w:hAnsi="Bookman Old Style"/>
        </w:rPr>
        <w:footnoteReference w:id="4"/>
      </w:r>
      <w:r w:rsidR="006352F6" w:rsidRPr="00D91312">
        <w:rPr>
          <w:rFonts w:ascii="Bookman Old Style" w:hAnsi="Bookman Old Style"/>
        </w:rPr>
        <w:t>.</w:t>
      </w:r>
      <w:r w:rsidR="00FB2A60" w:rsidRPr="00D91312">
        <w:rPr>
          <w:rFonts w:ascii="Bookman Old Style" w:hAnsi="Bookman Old Style"/>
        </w:rPr>
        <w:t xml:space="preserve"> </w:t>
      </w:r>
    </w:p>
    <w:p w:rsidR="005D2EB6" w:rsidRPr="00D91312" w:rsidRDefault="00D3416A" w:rsidP="00715C6B">
      <w:pPr>
        <w:jc w:val="both"/>
        <w:rPr>
          <w:rFonts w:ascii="Bookman Old Style" w:hAnsi="Bookman Old Style"/>
        </w:rPr>
      </w:pPr>
      <w:r w:rsidRPr="00D91312">
        <w:rPr>
          <w:rFonts w:ascii="Bookman Old Style" w:hAnsi="Bookman Old Style"/>
        </w:rPr>
        <w:t xml:space="preserve">Il secondo caso </w:t>
      </w:r>
      <w:r w:rsidR="004E0769" w:rsidRPr="00D91312">
        <w:rPr>
          <w:rFonts w:ascii="Bookman Old Style" w:hAnsi="Bookman Old Style"/>
        </w:rPr>
        <w:t>è quello del</w:t>
      </w:r>
      <w:r w:rsidR="00943500" w:rsidRPr="00D91312">
        <w:rPr>
          <w:rFonts w:ascii="Bookman Old Style" w:hAnsi="Bookman Old Style"/>
        </w:rPr>
        <w:t xml:space="preserve">la </w:t>
      </w:r>
      <w:r w:rsidR="008B2382" w:rsidRPr="00D91312">
        <w:rPr>
          <w:rFonts w:ascii="Bookman Old Style" w:hAnsi="Bookman Old Style"/>
        </w:rPr>
        <w:t xml:space="preserve">CONSOB e </w:t>
      </w:r>
      <w:r w:rsidR="004E0769" w:rsidRPr="00D91312">
        <w:rPr>
          <w:rFonts w:ascii="Bookman Old Style" w:hAnsi="Bookman Old Style"/>
        </w:rPr>
        <w:t>del</w:t>
      </w:r>
      <w:r w:rsidR="00A63885" w:rsidRPr="00D91312">
        <w:rPr>
          <w:rFonts w:ascii="Bookman Old Style" w:hAnsi="Bookman Old Style"/>
        </w:rPr>
        <w:t xml:space="preserve">la </w:t>
      </w:r>
      <w:r w:rsidR="008B2382" w:rsidRPr="00D91312">
        <w:rPr>
          <w:rFonts w:ascii="Bookman Old Style" w:hAnsi="Bookman Old Style"/>
        </w:rPr>
        <w:t>Banca d</w:t>
      </w:r>
      <w:r w:rsidR="008655D6" w:rsidRPr="00D91312">
        <w:rPr>
          <w:rFonts w:ascii="Bookman Old Style" w:hAnsi="Bookman Old Style"/>
        </w:rPr>
        <w:t>’</w:t>
      </w:r>
      <w:r w:rsidR="008B2382" w:rsidRPr="00D91312">
        <w:rPr>
          <w:rFonts w:ascii="Bookman Old Style" w:hAnsi="Bookman Old Style"/>
        </w:rPr>
        <w:t xml:space="preserve">Italia </w:t>
      </w:r>
      <w:r w:rsidR="00A63885" w:rsidRPr="00D91312">
        <w:rPr>
          <w:rFonts w:ascii="Bookman Old Style" w:hAnsi="Bookman Old Style"/>
        </w:rPr>
        <w:t>in relazione al</w:t>
      </w:r>
      <w:r w:rsidR="005E7E0C" w:rsidRPr="00D91312">
        <w:rPr>
          <w:rFonts w:ascii="Bookman Old Style" w:hAnsi="Bookman Old Style"/>
        </w:rPr>
        <w:t xml:space="preserve">le </w:t>
      </w:r>
      <w:r w:rsidR="008B2382" w:rsidRPr="00D91312">
        <w:rPr>
          <w:rFonts w:ascii="Bookman Old Style" w:hAnsi="Bookman Old Style"/>
        </w:rPr>
        <w:t>sanzioni amministra</w:t>
      </w:r>
      <w:r w:rsidR="00700E84" w:rsidRPr="00D91312">
        <w:rPr>
          <w:rFonts w:ascii="Bookman Old Style" w:hAnsi="Bookman Old Style"/>
        </w:rPr>
        <w:t xml:space="preserve">tive </w:t>
      </w:r>
      <w:r w:rsidR="005E7E0C" w:rsidRPr="00D91312">
        <w:rPr>
          <w:rFonts w:ascii="Bookman Old Style" w:hAnsi="Bookman Old Style"/>
        </w:rPr>
        <w:t xml:space="preserve">previste </w:t>
      </w:r>
      <w:r w:rsidR="00700E84" w:rsidRPr="00D91312">
        <w:rPr>
          <w:rFonts w:ascii="Bookman Old Style" w:hAnsi="Bookman Old Style"/>
        </w:rPr>
        <w:t>dal</w:t>
      </w:r>
      <w:r w:rsidR="005D2EB6" w:rsidRPr="00D91312">
        <w:rPr>
          <w:rFonts w:ascii="Bookman Old Style" w:hAnsi="Bookman Old Style"/>
        </w:rPr>
        <w:t xml:space="preserve"> </w:t>
      </w:r>
      <w:r w:rsidR="005E7E0C" w:rsidRPr="00D91312">
        <w:rPr>
          <w:rFonts w:ascii="Bookman Old Style" w:hAnsi="Bookman Old Style"/>
        </w:rPr>
        <w:t>Titolo II della Parte V del d.lgs. 24 febbraio 1998, n. 58 (</w:t>
      </w:r>
      <w:r w:rsidR="00700E84" w:rsidRPr="00D91312">
        <w:rPr>
          <w:rFonts w:ascii="Bookman Old Style" w:hAnsi="Bookman Old Style"/>
        </w:rPr>
        <w:t>testo unico delle disposizioni in materia di intermediazione finanziaria</w:t>
      </w:r>
      <w:r w:rsidR="00A63885" w:rsidRPr="00D91312">
        <w:rPr>
          <w:rFonts w:ascii="Bookman Old Style" w:hAnsi="Bookman Old Style"/>
        </w:rPr>
        <w:t xml:space="preserve"> - TUIF)</w:t>
      </w:r>
      <w:r w:rsidR="006458BF" w:rsidRPr="00D91312">
        <w:rPr>
          <w:rFonts w:ascii="Bookman Old Style" w:hAnsi="Bookman Old Style"/>
        </w:rPr>
        <w:t xml:space="preserve">, poiché </w:t>
      </w:r>
      <w:r w:rsidR="005E7E0C" w:rsidRPr="00D91312">
        <w:rPr>
          <w:rFonts w:ascii="Bookman Old Style" w:hAnsi="Bookman Old Style"/>
        </w:rPr>
        <w:t xml:space="preserve">in base </w:t>
      </w:r>
      <w:r w:rsidR="006458BF" w:rsidRPr="00D91312">
        <w:rPr>
          <w:rFonts w:ascii="Bookman Old Style" w:hAnsi="Bookman Old Style"/>
        </w:rPr>
        <w:t>a</w:t>
      </w:r>
      <w:r w:rsidR="005E7E0C" w:rsidRPr="00D91312">
        <w:rPr>
          <w:rFonts w:ascii="Bookman Old Style" w:hAnsi="Bookman Old Style"/>
        </w:rPr>
        <w:t>ll</w:t>
      </w:r>
      <w:r w:rsidR="008655D6" w:rsidRPr="00D91312">
        <w:rPr>
          <w:rFonts w:ascii="Bookman Old Style" w:hAnsi="Bookman Old Style"/>
        </w:rPr>
        <w:t>’</w:t>
      </w:r>
      <w:r w:rsidR="005E7E0C" w:rsidRPr="00D91312">
        <w:rPr>
          <w:rFonts w:ascii="Bookman Old Style" w:hAnsi="Bookman Old Style"/>
        </w:rPr>
        <w:t>art. 195</w:t>
      </w:r>
      <w:r w:rsidR="006458BF" w:rsidRPr="00D91312">
        <w:rPr>
          <w:rFonts w:ascii="Bookman Old Style" w:hAnsi="Bookman Old Style"/>
        </w:rPr>
        <w:t>, co. 1,</w:t>
      </w:r>
      <w:r w:rsidR="005E7E0C" w:rsidRPr="00D91312">
        <w:rPr>
          <w:rFonts w:ascii="Bookman Old Style" w:hAnsi="Bookman Old Style"/>
        </w:rPr>
        <w:t xml:space="preserve"> TUIF </w:t>
      </w:r>
      <w:r w:rsidR="005D2EB6" w:rsidRPr="00D91312">
        <w:rPr>
          <w:rFonts w:ascii="Bookman Old Style" w:hAnsi="Bookman Old Style"/>
        </w:rPr>
        <w:t>“</w:t>
      </w:r>
      <w:r w:rsidR="005E7E0C" w:rsidRPr="00D91312">
        <w:rPr>
          <w:rFonts w:ascii="Bookman Old Style" w:hAnsi="Bookman Old Style"/>
          <w:i/>
        </w:rPr>
        <w:t>l</w:t>
      </w:r>
      <w:r w:rsidR="005D2EB6" w:rsidRPr="00D91312">
        <w:rPr>
          <w:rFonts w:ascii="Bookman Old Style" w:hAnsi="Bookman Old Style"/>
          <w:i/>
        </w:rPr>
        <w:t>e sanzioni amministrative previste nel presente titolo sono applicate dalla Banca d</w:t>
      </w:r>
      <w:r w:rsidR="008655D6" w:rsidRPr="00D91312">
        <w:rPr>
          <w:rFonts w:ascii="Bookman Old Style" w:hAnsi="Bookman Old Style"/>
          <w:i/>
        </w:rPr>
        <w:t>’</w:t>
      </w:r>
      <w:r w:rsidR="005D2EB6" w:rsidRPr="00D91312">
        <w:rPr>
          <w:rFonts w:ascii="Bookman Old Style" w:hAnsi="Bookman Old Style"/>
          <w:i/>
        </w:rPr>
        <w:t>Italia o dalla Consob, secondo le rispettive competenze, con provvedimento motivato, previa contestazione degli addebiti agli interessati, da effettuarsi entro centottanta giorni dall</w:t>
      </w:r>
      <w:r w:rsidR="008655D6" w:rsidRPr="00D91312">
        <w:rPr>
          <w:rFonts w:ascii="Bookman Old Style" w:hAnsi="Bookman Old Style"/>
          <w:i/>
        </w:rPr>
        <w:t>’</w:t>
      </w:r>
      <w:r w:rsidR="005D2EB6" w:rsidRPr="00D91312">
        <w:rPr>
          <w:rFonts w:ascii="Bookman Old Style" w:hAnsi="Bookman Old Style"/>
          <w:i/>
        </w:rPr>
        <w:t>accertamento ovvero entro trecentosessanta giorni se l</w:t>
      </w:r>
      <w:r w:rsidR="008655D6" w:rsidRPr="00D91312">
        <w:rPr>
          <w:rFonts w:ascii="Bookman Old Style" w:hAnsi="Bookman Old Style"/>
          <w:i/>
        </w:rPr>
        <w:t>’</w:t>
      </w:r>
      <w:r w:rsidR="005D2EB6" w:rsidRPr="00D91312">
        <w:rPr>
          <w:rFonts w:ascii="Bookman Old Style" w:hAnsi="Bookman Old Style"/>
          <w:i/>
        </w:rPr>
        <w:t>interessato risiede o ha la sede all</w:t>
      </w:r>
      <w:r w:rsidR="008655D6" w:rsidRPr="00D91312">
        <w:rPr>
          <w:rFonts w:ascii="Bookman Old Style" w:hAnsi="Bookman Old Style"/>
          <w:i/>
        </w:rPr>
        <w:t>’</w:t>
      </w:r>
      <w:r w:rsidR="005D2EB6" w:rsidRPr="00D91312">
        <w:rPr>
          <w:rFonts w:ascii="Bookman Old Style" w:hAnsi="Bookman Old Style"/>
          <w:i/>
        </w:rPr>
        <w:t>estero</w:t>
      </w:r>
      <w:r w:rsidR="007D1F67" w:rsidRPr="00D91312">
        <w:rPr>
          <w:rFonts w:ascii="Bookman Old Style" w:hAnsi="Bookman Old Style"/>
          <w:i/>
        </w:rPr>
        <w:t xml:space="preserve"> </w:t>
      </w:r>
      <w:r w:rsidR="007D1F67" w:rsidRPr="00D91312">
        <w:rPr>
          <w:rFonts w:ascii="Bookman Old Style" w:hAnsi="Bookman Old Style"/>
        </w:rPr>
        <w:t>(…)</w:t>
      </w:r>
      <w:r w:rsidR="005D2EB6" w:rsidRPr="00D91312">
        <w:rPr>
          <w:rFonts w:ascii="Bookman Old Style" w:hAnsi="Bookman Old Style"/>
        </w:rPr>
        <w:t>”.</w:t>
      </w:r>
    </w:p>
    <w:p w:rsidR="00F8022E" w:rsidRPr="00D91312" w:rsidRDefault="006458BF" w:rsidP="00F8022E">
      <w:pPr>
        <w:jc w:val="both"/>
        <w:rPr>
          <w:rFonts w:ascii="Bookman Old Style" w:hAnsi="Bookman Old Style"/>
        </w:rPr>
      </w:pPr>
      <w:r w:rsidRPr="00D91312">
        <w:rPr>
          <w:rFonts w:ascii="Bookman Old Style" w:hAnsi="Bookman Old Style"/>
        </w:rPr>
        <w:t xml:space="preserve">Il TUIF </w:t>
      </w:r>
      <w:r w:rsidR="00943500" w:rsidRPr="00D91312">
        <w:rPr>
          <w:rFonts w:ascii="Bookman Old Style" w:hAnsi="Bookman Old Style"/>
        </w:rPr>
        <w:t xml:space="preserve">non </w:t>
      </w:r>
      <w:r w:rsidRPr="00D91312">
        <w:rPr>
          <w:rFonts w:ascii="Bookman Old Style" w:hAnsi="Bookman Old Style"/>
        </w:rPr>
        <w:t>menziona</w:t>
      </w:r>
      <w:r w:rsidR="00943500" w:rsidRPr="00D91312">
        <w:rPr>
          <w:rFonts w:ascii="Bookman Old Style" w:hAnsi="Bookman Old Style"/>
        </w:rPr>
        <w:t xml:space="preserve"> </w:t>
      </w:r>
      <w:r w:rsidRPr="00D91312">
        <w:rPr>
          <w:rFonts w:ascii="Bookman Old Style" w:hAnsi="Bookman Old Style"/>
        </w:rPr>
        <w:t xml:space="preserve">la </w:t>
      </w:r>
      <w:r w:rsidR="00943500" w:rsidRPr="00D91312">
        <w:rPr>
          <w:rFonts w:ascii="Bookman Old Style" w:hAnsi="Bookman Old Style"/>
        </w:rPr>
        <w:t>legge n. 689/81, ma dall</w:t>
      </w:r>
      <w:r w:rsidR="008655D6" w:rsidRPr="00D91312">
        <w:rPr>
          <w:rFonts w:ascii="Bookman Old Style" w:hAnsi="Bookman Old Style"/>
        </w:rPr>
        <w:t>’</w:t>
      </w:r>
      <w:r w:rsidR="00943500" w:rsidRPr="00D91312">
        <w:rPr>
          <w:rFonts w:ascii="Bookman Old Style" w:hAnsi="Bookman Old Style"/>
        </w:rPr>
        <w:t xml:space="preserve">esame della dottrina e della giurisprudenza edita non consta si sia mai dubitato </w:t>
      </w:r>
      <w:r w:rsidR="00F8022E" w:rsidRPr="00D91312">
        <w:rPr>
          <w:rFonts w:ascii="Bookman Old Style" w:hAnsi="Bookman Old Style"/>
        </w:rPr>
        <w:t xml:space="preserve">(come </w:t>
      </w:r>
      <w:r w:rsidRPr="00D91312">
        <w:rPr>
          <w:rFonts w:ascii="Bookman Old Style" w:hAnsi="Bookman Old Style"/>
        </w:rPr>
        <w:t xml:space="preserve">pure </w:t>
      </w:r>
      <w:r w:rsidR="00F8022E" w:rsidRPr="00D91312">
        <w:rPr>
          <w:rFonts w:ascii="Bookman Old Style" w:hAnsi="Bookman Old Style"/>
        </w:rPr>
        <w:t>in relazione alla norma che ha preceduto l</w:t>
      </w:r>
      <w:r w:rsidR="008655D6" w:rsidRPr="00D91312">
        <w:rPr>
          <w:rFonts w:ascii="Bookman Old Style" w:hAnsi="Bookman Old Style"/>
        </w:rPr>
        <w:t>’</w:t>
      </w:r>
      <w:r w:rsidR="00F8022E" w:rsidRPr="00D91312">
        <w:rPr>
          <w:rFonts w:ascii="Bookman Old Style" w:hAnsi="Bookman Old Style"/>
        </w:rPr>
        <w:t>art. 195</w:t>
      </w:r>
      <w:r w:rsidRPr="00D91312">
        <w:rPr>
          <w:rFonts w:ascii="Bookman Old Style" w:hAnsi="Bookman Old Style"/>
        </w:rPr>
        <w:t xml:space="preserve"> TUIF</w:t>
      </w:r>
      <w:r w:rsidR="00F8022E" w:rsidRPr="00D91312">
        <w:rPr>
          <w:rFonts w:ascii="Bookman Old Style" w:hAnsi="Bookman Old Style"/>
        </w:rPr>
        <w:t xml:space="preserve">, </w:t>
      </w:r>
      <w:r w:rsidRPr="00D91312">
        <w:rPr>
          <w:rFonts w:ascii="Bookman Old Style" w:hAnsi="Bookman Old Style"/>
        </w:rPr>
        <w:t xml:space="preserve">cioè </w:t>
      </w:r>
      <w:r w:rsidR="00762CD6" w:rsidRPr="00D91312">
        <w:rPr>
          <w:rFonts w:ascii="Bookman Old Style" w:hAnsi="Bookman Old Style"/>
        </w:rPr>
        <w:t>l</w:t>
      </w:r>
      <w:r w:rsidR="008655D6" w:rsidRPr="00D91312">
        <w:rPr>
          <w:rFonts w:ascii="Bookman Old Style" w:hAnsi="Bookman Old Style"/>
        </w:rPr>
        <w:t>’</w:t>
      </w:r>
      <w:r w:rsidR="00762CD6" w:rsidRPr="00D91312">
        <w:rPr>
          <w:rFonts w:ascii="Bookman Old Style" w:hAnsi="Bookman Old Style"/>
        </w:rPr>
        <w:t>art. 44 del D.lgs. 23 luglio 1996, n. 415</w:t>
      </w:r>
      <w:r w:rsidR="00F8022E" w:rsidRPr="00D91312">
        <w:rPr>
          <w:rFonts w:ascii="Bookman Old Style" w:hAnsi="Bookman Old Style"/>
        </w:rPr>
        <w:t xml:space="preserve">) che </w:t>
      </w:r>
      <w:r w:rsidR="00E7202D" w:rsidRPr="00D91312">
        <w:rPr>
          <w:rFonts w:ascii="Bookman Old Style" w:hAnsi="Bookman Old Style"/>
        </w:rPr>
        <w:t xml:space="preserve">il termine sia </w:t>
      </w:r>
      <w:r w:rsidR="00F8022E" w:rsidRPr="00D91312">
        <w:rPr>
          <w:rFonts w:ascii="Bookman Old Style" w:hAnsi="Bookman Old Style"/>
        </w:rPr>
        <w:t>perentorio</w:t>
      </w:r>
      <w:r w:rsidRPr="00D91312">
        <w:rPr>
          <w:rFonts w:ascii="Bookman Old Style" w:hAnsi="Bookman Old Style"/>
        </w:rPr>
        <w:t>:</w:t>
      </w:r>
      <w:r w:rsidR="00B05892" w:rsidRPr="00D91312">
        <w:rPr>
          <w:rFonts w:ascii="Bookman Old Style" w:hAnsi="Bookman Old Style"/>
        </w:rPr>
        <w:t xml:space="preserve"> conclusione </w:t>
      </w:r>
      <w:r w:rsidR="00E7202D" w:rsidRPr="00D91312">
        <w:rPr>
          <w:rFonts w:ascii="Bookman Old Style" w:hAnsi="Bookman Old Style"/>
        </w:rPr>
        <w:t xml:space="preserve">alla quale </w:t>
      </w:r>
      <w:r w:rsidR="006714AA" w:rsidRPr="00D91312">
        <w:rPr>
          <w:rFonts w:ascii="Bookman Old Style" w:hAnsi="Bookman Old Style"/>
        </w:rPr>
        <w:t xml:space="preserve">si </w:t>
      </w:r>
      <w:r w:rsidR="00E7202D" w:rsidRPr="00D91312">
        <w:rPr>
          <w:rFonts w:ascii="Bookman Old Style" w:hAnsi="Bookman Old Style"/>
        </w:rPr>
        <w:t xml:space="preserve">può </w:t>
      </w:r>
      <w:r w:rsidR="006714AA" w:rsidRPr="00D91312">
        <w:rPr>
          <w:rFonts w:ascii="Bookman Old Style" w:hAnsi="Bookman Old Style"/>
        </w:rPr>
        <w:t xml:space="preserve">alternativamente </w:t>
      </w:r>
      <w:r w:rsidR="00E7202D" w:rsidRPr="00D91312">
        <w:rPr>
          <w:rFonts w:ascii="Bookman Old Style" w:hAnsi="Bookman Old Style"/>
        </w:rPr>
        <w:t>pervenir</w:t>
      </w:r>
      <w:r w:rsidR="006714AA" w:rsidRPr="00D91312">
        <w:rPr>
          <w:rFonts w:ascii="Bookman Old Style" w:hAnsi="Bookman Old Style"/>
        </w:rPr>
        <w:t>e</w:t>
      </w:r>
      <w:r w:rsidR="00E7202D" w:rsidRPr="00D91312">
        <w:rPr>
          <w:rFonts w:ascii="Bookman Old Style" w:hAnsi="Bookman Old Style"/>
        </w:rPr>
        <w:t xml:space="preserve"> </w:t>
      </w:r>
      <w:r w:rsidRPr="00D91312">
        <w:rPr>
          <w:rFonts w:ascii="Bookman Old Style" w:hAnsi="Bookman Old Style"/>
        </w:rPr>
        <w:t>o ritenendo senz</w:t>
      </w:r>
      <w:r w:rsidR="008655D6" w:rsidRPr="00D91312">
        <w:rPr>
          <w:rFonts w:ascii="Bookman Old Style" w:hAnsi="Bookman Old Style"/>
        </w:rPr>
        <w:t>’</w:t>
      </w:r>
      <w:r w:rsidRPr="00D91312">
        <w:rPr>
          <w:rFonts w:ascii="Bookman Old Style" w:hAnsi="Bookman Old Style"/>
        </w:rPr>
        <w:t xml:space="preserve">altro </w:t>
      </w:r>
      <w:r w:rsidR="00E7202D" w:rsidRPr="00D91312">
        <w:rPr>
          <w:rFonts w:ascii="Bookman Old Style" w:hAnsi="Bookman Old Style"/>
        </w:rPr>
        <w:t>applicabile il comma 6 dell</w:t>
      </w:r>
      <w:r w:rsidR="008655D6" w:rsidRPr="00D91312">
        <w:rPr>
          <w:rFonts w:ascii="Bookman Old Style" w:hAnsi="Bookman Old Style"/>
        </w:rPr>
        <w:t>’</w:t>
      </w:r>
      <w:r w:rsidR="00E7202D" w:rsidRPr="00D91312">
        <w:rPr>
          <w:rFonts w:ascii="Bookman Old Style" w:hAnsi="Bookman Old Style"/>
        </w:rPr>
        <w:t>art. 14 della l. 689/81 (</w:t>
      </w:r>
      <w:r w:rsidR="006714AA" w:rsidRPr="00D91312">
        <w:rPr>
          <w:rFonts w:ascii="Bookman Old Style" w:hAnsi="Bookman Old Style"/>
        </w:rPr>
        <w:t xml:space="preserve">rispetto al quale il TUIF avrebbe diversamente disposto </w:t>
      </w:r>
      <w:r w:rsidR="00E7202D" w:rsidRPr="00D91312">
        <w:rPr>
          <w:rFonts w:ascii="Bookman Old Style" w:hAnsi="Bookman Old Style"/>
        </w:rPr>
        <w:t xml:space="preserve">solo </w:t>
      </w:r>
      <w:r w:rsidR="006714AA" w:rsidRPr="00D91312">
        <w:rPr>
          <w:rFonts w:ascii="Bookman Old Style" w:hAnsi="Bookman Old Style"/>
        </w:rPr>
        <w:t xml:space="preserve">per la </w:t>
      </w:r>
      <w:r w:rsidR="00E7202D" w:rsidRPr="00D91312">
        <w:rPr>
          <w:rFonts w:ascii="Bookman Old Style" w:hAnsi="Bookman Old Style"/>
        </w:rPr>
        <w:t>durata del termine)</w:t>
      </w:r>
      <w:r w:rsidRPr="00D91312">
        <w:rPr>
          <w:rFonts w:ascii="Bookman Old Style" w:hAnsi="Bookman Old Style"/>
        </w:rPr>
        <w:t xml:space="preserve"> o </w:t>
      </w:r>
      <w:r w:rsidR="003A7DF4" w:rsidRPr="00D91312">
        <w:rPr>
          <w:rFonts w:ascii="Bookman Old Style" w:hAnsi="Bookman Old Style"/>
        </w:rPr>
        <w:t>per ragioni di ordine logico e funzionale, sulla scorta del</w:t>
      </w:r>
      <w:r w:rsidR="004E615E" w:rsidRPr="00D91312">
        <w:rPr>
          <w:rFonts w:ascii="Bookman Old Style" w:hAnsi="Bookman Old Style"/>
        </w:rPr>
        <w:t>l</w:t>
      </w:r>
      <w:r w:rsidR="008655D6" w:rsidRPr="00D91312">
        <w:rPr>
          <w:rFonts w:ascii="Bookman Old Style" w:hAnsi="Bookman Old Style"/>
        </w:rPr>
        <w:t>’</w:t>
      </w:r>
      <w:r w:rsidR="003A7DF4" w:rsidRPr="00D91312">
        <w:rPr>
          <w:rFonts w:ascii="Bookman Old Style" w:hAnsi="Bookman Old Style"/>
        </w:rPr>
        <w:t xml:space="preserve">orientamento </w:t>
      </w:r>
      <w:r w:rsidR="004E615E" w:rsidRPr="00D91312">
        <w:rPr>
          <w:rFonts w:ascii="Bookman Old Style" w:hAnsi="Bookman Old Style"/>
        </w:rPr>
        <w:t xml:space="preserve">di principio della giurisprudenza civile di legittimità </w:t>
      </w:r>
      <w:r w:rsidR="003A7DF4" w:rsidRPr="00D91312">
        <w:rPr>
          <w:rFonts w:ascii="Bookman Old Style" w:hAnsi="Bookman Old Style"/>
        </w:rPr>
        <w:t>per cui la mancata espressa previsione di un termine come perentorio non impedisce di dedurne la perentorietà, nel silenzio della legge, dallo scopo che persegue e dalla funzione che adempie</w:t>
      </w:r>
      <w:r w:rsidR="00307D24" w:rsidRPr="00D91312">
        <w:rPr>
          <w:rStyle w:val="Rimandonotaapidipagina"/>
          <w:rFonts w:ascii="Bookman Old Style" w:hAnsi="Bookman Old Style"/>
        </w:rPr>
        <w:footnoteReference w:id="5"/>
      </w:r>
      <w:r w:rsidR="00796F2A" w:rsidRPr="00D91312">
        <w:rPr>
          <w:rFonts w:ascii="Bookman Old Style" w:hAnsi="Bookman Old Style"/>
        </w:rPr>
        <w:t xml:space="preserve">; argomentazioni queste nella sostanza fatte proprie dal Consiglio di Stato, </w:t>
      </w:r>
      <w:r w:rsidR="004772A3" w:rsidRPr="00D91312">
        <w:rPr>
          <w:rFonts w:ascii="Bookman Old Style" w:hAnsi="Bookman Old Style"/>
        </w:rPr>
        <w:t>quando se ne è presentata l</w:t>
      </w:r>
      <w:r w:rsidR="008655D6" w:rsidRPr="00D91312">
        <w:rPr>
          <w:rFonts w:ascii="Bookman Old Style" w:hAnsi="Bookman Old Style"/>
        </w:rPr>
        <w:t>’</w:t>
      </w:r>
      <w:r w:rsidR="004772A3" w:rsidRPr="00D91312">
        <w:rPr>
          <w:rFonts w:ascii="Bookman Old Style" w:hAnsi="Bookman Old Style"/>
        </w:rPr>
        <w:t>occasione, valorizzando la particolarità del procedimento sanzionatorio rispetto al generale paradigma del procedimento amministrativo</w:t>
      </w:r>
      <w:r w:rsidR="00307D24" w:rsidRPr="00D91312">
        <w:rPr>
          <w:rStyle w:val="Rimandonotaapidipagina"/>
          <w:rFonts w:ascii="Bookman Old Style" w:hAnsi="Bookman Old Style"/>
        </w:rPr>
        <w:footnoteReference w:id="6"/>
      </w:r>
      <w:r w:rsidR="004772A3" w:rsidRPr="00D91312">
        <w:rPr>
          <w:rFonts w:ascii="Bookman Old Style" w:hAnsi="Bookman Old Style"/>
        </w:rPr>
        <w:t>.</w:t>
      </w:r>
    </w:p>
    <w:p w:rsidR="002F166A" w:rsidRPr="00D91312" w:rsidRDefault="0036413C" w:rsidP="00057205">
      <w:pPr>
        <w:jc w:val="both"/>
        <w:rPr>
          <w:rFonts w:ascii="Bookman Old Style" w:hAnsi="Bookman Old Style"/>
        </w:rPr>
      </w:pPr>
      <w:r w:rsidRPr="00D91312">
        <w:rPr>
          <w:rFonts w:ascii="Bookman Old Style" w:hAnsi="Bookman Old Style"/>
        </w:rPr>
        <w:t>Per la COVIP, il termine è stabilito dal</w:t>
      </w:r>
      <w:r w:rsidR="008B5AEC" w:rsidRPr="00D91312">
        <w:rPr>
          <w:rFonts w:ascii="Bookman Old Style" w:hAnsi="Bookman Old Style"/>
        </w:rPr>
        <w:t>l</w:t>
      </w:r>
      <w:r w:rsidR="008655D6" w:rsidRPr="00D91312">
        <w:rPr>
          <w:rFonts w:ascii="Bookman Old Style" w:hAnsi="Bookman Old Style"/>
        </w:rPr>
        <w:t>’</w:t>
      </w:r>
      <w:r w:rsidR="008B5AEC" w:rsidRPr="00D91312">
        <w:rPr>
          <w:rFonts w:ascii="Bookman Old Style" w:hAnsi="Bookman Old Style"/>
        </w:rPr>
        <w:t>art. 19-</w:t>
      </w:r>
      <w:r w:rsidR="008B5AEC" w:rsidRPr="00D91312">
        <w:rPr>
          <w:rFonts w:ascii="Bookman Old Style" w:hAnsi="Bookman Old Style"/>
          <w:i/>
        </w:rPr>
        <w:t xml:space="preserve">quinquies </w:t>
      </w:r>
      <w:r w:rsidR="008B5AEC" w:rsidRPr="00D91312">
        <w:rPr>
          <w:rFonts w:ascii="Bookman Old Style" w:hAnsi="Bookman Old Style"/>
        </w:rPr>
        <w:t xml:space="preserve">del d.lgs. 5 dicembre 2005, n. 252, </w:t>
      </w:r>
      <w:r w:rsidRPr="00D91312">
        <w:rPr>
          <w:rFonts w:ascii="Bookman Old Style" w:hAnsi="Bookman Old Style"/>
        </w:rPr>
        <w:t xml:space="preserve">il quale </w:t>
      </w:r>
      <w:r w:rsidR="00ED7CF6" w:rsidRPr="00D91312">
        <w:rPr>
          <w:rFonts w:ascii="Bookman Old Style" w:hAnsi="Bookman Old Style"/>
        </w:rPr>
        <w:t>prevede che l</w:t>
      </w:r>
      <w:r w:rsidR="008655D6" w:rsidRPr="00D91312">
        <w:rPr>
          <w:rFonts w:ascii="Bookman Old Style" w:hAnsi="Bookman Old Style"/>
        </w:rPr>
        <w:t>’</w:t>
      </w:r>
      <w:r w:rsidR="00ED7CF6" w:rsidRPr="00D91312">
        <w:rPr>
          <w:rFonts w:ascii="Bookman Old Style" w:hAnsi="Bookman Old Style"/>
        </w:rPr>
        <w:t>avvio del procedimento sanzionatorio, mediante contestazione degli addebiti ai possibili responsabili della violazione, avvenga “</w:t>
      </w:r>
      <w:r w:rsidR="00ED7CF6" w:rsidRPr="00D91312">
        <w:rPr>
          <w:rFonts w:ascii="Bookman Old Style" w:hAnsi="Bookman Old Style"/>
          <w:i/>
        </w:rPr>
        <w:t>nel termine di novanta giorni dall</w:t>
      </w:r>
      <w:r w:rsidR="008655D6" w:rsidRPr="00D91312">
        <w:rPr>
          <w:rFonts w:ascii="Bookman Old Style" w:hAnsi="Bookman Old Style"/>
          <w:i/>
        </w:rPr>
        <w:t>’</w:t>
      </w:r>
      <w:r w:rsidR="00ED7CF6" w:rsidRPr="00D91312">
        <w:rPr>
          <w:rFonts w:ascii="Bookman Old Style" w:hAnsi="Bookman Old Style"/>
          <w:i/>
        </w:rPr>
        <w:t>accertamento dell</w:t>
      </w:r>
      <w:r w:rsidR="008655D6" w:rsidRPr="00D91312">
        <w:rPr>
          <w:rFonts w:ascii="Bookman Old Style" w:hAnsi="Bookman Old Style"/>
          <w:i/>
        </w:rPr>
        <w:t>’</w:t>
      </w:r>
      <w:r w:rsidR="00ED7CF6" w:rsidRPr="00D91312">
        <w:rPr>
          <w:rFonts w:ascii="Bookman Old Style" w:hAnsi="Bookman Old Style"/>
          <w:i/>
        </w:rPr>
        <w:t>infrazione ovvero nel termine di centottanta giorni per i soggetti residenti all</w:t>
      </w:r>
      <w:r w:rsidR="008655D6" w:rsidRPr="00D91312">
        <w:rPr>
          <w:rFonts w:ascii="Bookman Old Style" w:hAnsi="Bookman Old Style"/>
          <w:i/>
        </w:rPr>
        <w:t>’</w:t>
      </w:r>
      <w:r w:rsidR="00ED7CF6" w:rsidRPr="00D91312">
        <w:rPr>
          <w:rFonts w:ascii="Bookman Old Style" w:hAnsi="Bookman Old Style"/>
          <w:i/>
        </w:rPr>
        <w:t>estero</w:t>
      </w:r>
      <w:r w:rsidR="00ED7CF6" w:rsidRPr="00D91312">
        <w:rPr>
          <w:rFonts w:ascii="Bookman Old Style" w:hAnsi="Bookman Old Style"/>
        </w:rPr>
        <w:t>”</w:t>
      </w:r>
      <w:r w:rsidR="002452E0" w:rsidRPr="00D91312">
        <w:rPr>
          <w:rFonts w:ascii="Bookman Old Style" w:hAnsi="Bookman Old Style"/>
        </w:rPr>
        <w:t xml:space="preserve"> (l</w:t>
      </w:r>
      <w:r w:rsidR="008655D6" w:rsidRPr="00D91312">
        <w:rPr>
          <w:rFonts w:ascii="Bookman Old Style" w:hAnsi="Bookman Old Style"/>
        </w:rPr>
        <w:t>’</w:t>
      </w:r>
      <w:r w:rsidR="00ED7CF6" w:rsidRPr="00D91312">
        <w:rPr>
          <w:rFonts w:ascii="Bookman Old Style" w:hAnsi="Bookman Old Style"/>
        </w:rPr>
        <w:t xml:space="preserve">articolo, </w:t>
      </w:r>
      <w:r w:rsidR="008B5AEC" w:rsidRPr="00D91312">
        <w:rPr>
          <w:rFonts w:ascii="Bookman Old Style" w:hAnsi="Bookman Old Style"/>
        </w:rPr>
        <w:t xml:space="preserve">inserito dal d.lgs. 13 dicembre 2018, n. 147, </w:t>
      </w:r>
      <w:r w:rsidR="00ED7CF6" w:rsidRPr="00D91312">
        <w:rPr>
          <w:rFonts w:ascii="Bookman Old Style" w:hAnsi="Bookman Old Style"/>
        </w:rPr>
        <w:t xml:space="preserve">ne regola la procedura sanzionatoria </w:t>
      </w:r>
      <w:r w:rsidR="00234416" w:rsidRPr="00D91312">
        <w:rPr>
          <w:rFonts w:ascii="Bookman Old Style" w:hAnsi="Bookman Old Style"/>
        </w:rPr>
        <w:t>a seguito della coeva eliminazione,</w:t>
      </w:r>
      <w:r w:rsidR="008B5AEC" w:rsidRPr="00D91312">
        <w:rPr>
          <w:rFonts w:ascii="Bookman Old Style" w:hAnsi="Bookman Old Style"/>
        </w:rPr>
        <w:t xml:space="preserve"> nell</w:t>
      </w:r>
      <w:r w:rsidR="008655D6" w:rsidRPr="00D91312">
        <w:rPr>
          <w:rFonts w:ascii="Bookman Old Style" w:hAnsi="Bookman Old Style"/>
        </w:rPr>
        <w:t>’</w:t>
      </w:r>
      <w:r w:rsidR="008B5AEC" w:rsidRPr="00D91312">
        <w:rPr>
          <w:rFonts w:ascii="Bookman Old Style" w:hAnsi="Bookman Old Style"/>
        </w:rPr>
        <w:t>art. 19-</w:t>
      </w:r>
      <w:r w:rsidR="008B5AEC" w:rsidRPr="00D91312">
        <w:rPr>
          <w:rFonts w:ascii="Bookman Old Style" w:hAnsi="Bookman Old Style"/>
          <w:i/>
        </w:rPr>
        <w:t>quater</w:t>
      </w:r>
      <w:r w:rsidR="008B5AEC" w:rsidRPr="00D91312">
        <w:rPr>
          <w:rFonts w:ascii="Bookman Old Style" w:hAnsi="Bookman Old Style"/>
        </w:rPr>
        <w:t xml:space="preserve"> co</w:t>
      </w:r>
      <w:r w:rsidR="00234416" w:rsidRPr="00D91312">
        <w:rPr>
          <w:rFonts w:ascii="Bookman Old Style" w:hAnsi="Bookman Old Style"/>
        </w:rPr>
        <w:t xml:space="preserve">. </w:t>
      </w:r>
      <w:r w:rsidR="008B5AEC" w:rsidRPr="00D91312">
        <w:rPr>
          <w:rFonts w:ascii="Bookman Old Style" w:hAnsi="Bookman Old Style"/>
        </w:rPr>
        <w:t>4</w:t>
      </w:r>
      <w:r w:rsidR="00234416" w:rsidRPr="00D91312">
        <w:rPr>
          <w:rFonts w:ascii="Bookman Old Style" w:hAnsi="Bookman Old Style"/>
        </w:rPr>
        <w:t xml:space="preserve">, del </w:t>
      </w:r>
      <w:r w:rsidR="008B5AEC" w:rsidRPr="00D91312">
        <w:rPr>
          <w:rFonts w:ascii="Bookman Old Style" w:hAnsi="Bookman Old Style"/>
        </w:rPr>
        <w:t xml:space="preserve">rinvio alla procedura sanzionatoria regolata dal Testo unico </w:t>
      </w:r>
      <w:r w:rsidR="00234416" w:rsidRPr="00D91312">
        <w:rPr>
          <w:rFonts w:ascii="Bookman Old Style" w:hAnsi="Bookman Old Style"/>
        </w:rPr>
        <w:t>bancario</w:t>
      </w:r>
      <w:r w:rsidR="002452E0" w:rsidRPr="00D91312">
        <w:rPr>
          <w:rFonts w:ascii="Bookman Old Style" w:hAnsi="Bookman Old Style"/>
        </w:rPr>
        <w:t>)</w:t>
      </w:r>
      <w:r w:rsidR="00234416" w:rsidRPr="00D91312">
        <w:rPr>
          <w:rFonts w:ascii="Bookman Old Style" w:hAnsi="Bookman Old Style"/>
        </w:rPr>
        <w:t xml:space="preserve">. </w:t>
      </w:r>
      <w:r w:rsidRPr="00D91312">
        <w:rPr>
          <w:rFonts w:ascii="Bookman Old Style" w:hAnsi="Bookman Old Style"/>
        </w:rPr>
        <w:t>L</w:t>
      </w:r>
      <w:r w:rsidR="00E24D8D" w:rsidRPr="00D91312">
        <w:rPr>
          <w:rFonts w:ascii="Bookman Old Style" w:hAnsi="Bookman Old Style"/>
        </w:rPr>
        <w:t xml:space="preserve">a norma </w:t>
      </w:r>
      <w:r w:rsidRPr="00D91312">
        <w:rPr>
          <w:rFonts w:ascii="Bookman Old Style" w:hAnsi="Bookman Old Style"/>
        </w:rPr>
        <w:t xml:space="preserve">procedurale </w:t>
      </w:r>
      <w:r w:rsidR="00234416" w:rsidRPr="00D91312">
        <w:rPr>
          <w:rFonts w:ascii="Bookman Old Style" w:hAnsi="Bookman Old Style"/>
        </w:rPr>
        <w:t xml:space="preserve">non </w:t>
      </w:r>
      <w:r w:rsidR="00E24D8D" w:rsidRPr="00D91312">
        <w:rPr>
          <w:rFonts w:ascii="Bookman Old Style" w:hAnsi="Bookman Old Style"/>
        </w:rPr>
        <w:t xml:space="preserve">fa </w:t>
      </w:r>
      <w:r w:rsidR="00234416" w:rsidRPr="00D91312">
        <w:rPr>
          <w:rFonts w:ascii="Bookman Old Style" w:hAnsi="Bookman Old Style"/>
        </w:rPr>
        <w:t>men</w:t>
      </w:r>
      <w:r w:rsidR="00E24D8D" w:rsidRPr="00D91312">
        <w:rPr>
          <w:rFonts w:ascii="Bookman Old Style" w:hAnsi="Bookman Old Style"/>
        </w:rPr>
        <w:t xml:space="preserve">zione della legge n. 689/81, </w:t>
      </w:r>
      <w:r w:rsidR="00E10220" w:rsidRPr="00D91312">
        <w:rPr>
          <w:rFonts w:ascii="Bookman Old Style" w:hAnsi="Bookman Old Style"/>
        </w:rPr>
        <w:t xml:space="preserve">che viceversa </w:t>
      </w:r>
      <w:r w:rsidRPr="00D91312">
        <w:rPr>
          <w:rFonts w:ascii="Bookman Old Style" w:hAnsi="Bookman Old Style"/>
        </w:rPr>
        <w:t>è evocata</w:t>
      </w:r>
      <w:r w:rsidR="00E24D8D" w:rsidRPr="00D91312">
        <w:rPr>
          <w:rFonts w:ascii="Bookman Old Style" w:hAnsi="Bookman Old Style"/>
        </w:rPr>
        <w:t xml:space="preserve"> nel</w:t>
      </w:r>
      <w:r w:rsidRPr="00D91312">
        <w:rPr>
          <w:rFonts w:ascii="Bookman Old Style" w:hAnsi="Bookman Old Style"/>
        </w:rPr>
        <w:t xml:space="preserve"> </w:t>
      </w:r>
      <w:r w:rsidR="00E24D8D" w:rsidRPr="00D91312">
        <w:rPr>
          <w:rFonts w:ascii="Bookman Old Style" w:hAnsi="Bookman Old Style"/>
        </w:rPr>
        <w:t>precedente</w:t>
      </w:r>
      <w:r w:rsidRPr="00D91312">
        <w:rPr>
          <w:rFonts w:ascii="Bookman Old Style" w:hAnsi="Bookman Old Style"/>
        </w:rPr>
        <w:t xml:space="preserve"> </w:t>
      </w:r>
      <w:r w:rsidR="00234416" w:rsidRPr="00D91312">
        <w:rPr>
          <w:rFonts w:ascii="Bookman Old Style" w:hAnsi="Bookman Old Style"/>
        </w:rPr>
        <w:t>art. 19-</w:t>
      </w:r>
      <w:r w:rsidR="00234416" w:rsidRPr="00D91312">
        <w:rPr>
          <w:rFonts w:ascii="Bookman Old Style" w:hAnsi="Bookman Old Style"/>
          <w:i/>
        </w:rPr>
        <w:t>quater</w:t>
      </w:r>
      <w:r w:rsidRPr="00D91312">
        <w:rPr>
          <w:rFonts w:ascii="Bookman Old Style" w:hAnsi="Bookman Old Style"/>
        </w:rPr>
        <w:t xml:space="preserve">, per il quale </w:t>
      </w:r>
      <w:r w:rsidR="00234416" w:rsidRPr="00D91312">
        <w:rPr>
          <w:rFonts w:ascii="Bookman Old Style" w:hAnsi="Bookman Old Style"/>
        </w:rPr>
        <w:t xml:space="preserve">le sanzioni amministrative </w:t>
      </w:r>
      <w:r w:rsidR="00E10220" w:rsidRPr="00D91312">
        <w:rPr>
          <w:rFonts w:ascii="Bookman Old Style" w:hAnsi="Bookman Old Style"/>
        </w:rPr>
        <w:t xml:space="preserve">ivi </w:t>
      </w:r>
      <w:r w:rsidR="00234416" w:rsidRPr="00D91312">
        <w:rPr>
          <w:rFonts w:ascii="Bookman Old Style" w:hAnsi="Bookman Old Style"/>
        </w:rPr>
        <w:t>previste</w:t>
      </w:r>
      <w:r w:rsidRPr="00D91312">
        <w:rPr>
          <w:rFonts w:ascii="Bookman Old Style" w:hAnsi="Bookman Old Style"/>
        </w:rPr>
        <w:t>, riguar</w:t>
      </w:r>
      <w:r w:rsidR="00E10220" w:rsidRPr="00D91312">
        <w:rPr>
          <w:rFonts w:ascii="Bookman Old Style" w:hAnsi="Bookman Old Style"/>
        </w:rPr>
        <w:t>danti</w:t>
      </w:r>
      <w:r w:rsidRPr="00D91312">
        <w:rPr>
          <w:rFonts w:ascii="Bookman Old Style" w:hAnsi="Bookman Old Style"/>
        </w:rPr>
        <w:t xml:space="preserve"> </w:t>
      </w:r>
      <w:r w:rsidR="00DF6B5C" w:rsidRPr="00D91312">
        <w:rPr>
          <w:rFonts w:ascii="Bookman Old Style" w:hAnsi="Bookman Old Style"/>
        </w:rPr>
        <w:t xml:space="preserve">le </w:t>
      </w:r>
      <w:r w:rsidRPr="00D91312">
        <w:rPr>
          <w:rFonts w:ascii="Bookman Old Style" w:hAnsi="Bookman Old Style"/>
        </w:rPr>
        <w:t xml:space="preserve">violazioni della normativa in materia di previdenza complementare, </w:t>
      </w:r>
      <w:r w:rsidR="00234416" w:rsidRPr="00D91312">
        <w:rPr>
          <w:rFonts w:ascii="Bookman Old Style" w:hAnsi="Bookman Old Style"/>
        </w:rPr>
        <w:t xml:space="preserve">sono applicate nel rispetto </w:t>
      </w:r>
      <w:r w:rsidRPr="00D91312">
        <w:rPr>
          <w:rFonts w:ascii="Bookman Old Style" w:hAnsi="Bookman Old Style"/>
        </w:rPr>
        <w:t>dei principi di cui alla legge</w:t>
      </w:r>
      <w:r w:rsidR="00234416" w:rsidRPr="00D91312">
        <w:rPr>
          <w:rFonts w:ascii="Bookman Old Style" w:hAnsi="Bookman Old Style"/>
        </w:rPr>
        <w:t xml:space="preserve"> n. 689/81.</w:t>
      </w:r>
      <w:r w:rsidR="002452E0" w:rsidRPr="00D91312">
        <w:rPr>
          <w:rFonts w:ascii="Bookman Old Style" w:hAnsi="Bookman Old Style"/>
        </w:rPr>
        <w:t xml:space="preserve"> </w:t>
      </w:r>
      <w:r w:rsidR="002F166A" w:rsidRPr="00D91312">
        <w:rPr>
          <w:rFonts w:ascii="Bookman Old Style" w:hAnsi="Bookman Old Style"/>
        </w:rPr>
        <w:t xml:space="preserve">La diversa collocazione potrebbe dare adito al dubbio che il richiamo valga solo per i principi sostanziali e non per quelli procedurali, </w:t>
      </w:r>
      <w:r w:rsidR="00B03F4F" w:rsidRPr="00D91312">
        <w:rPr>
          <w:rFonts w:ascii="Bookman Old Style" w:hAnsi="Bookman Old Style"/>
        </w:rPr>
        <w:t>ma</w:t>
      </w:r>
      <w:r w:rsidR="00E10220" w:rsidRPr="00D91312">
        <w:rPr>
          <w:rFonts w:ascii="Bookman Old Style" w:hAnsi="Bookman Old Style"/>
        </w:rPr>
        <w:t xml:space="preserve">, </w:t>
      </w:r>
      <w:r w:rsidR="00B03F4F" w:rsidRPr="00D91312">
        <w:rPr>
          <w:rFonts w:ascii="Bookman Old Style" w:hAnsi="Bookman Old Style"/>
        </w:rPr>
        <w:t>con tutta probabilità</w:t>
      </w:r>
      <w:r w:rsidR="00E10220" w:rsidRPr="00D91312">
        <w:rPr>
          <w:rFonts w:ascii="Bookman Old Style" w:hAnsi="Bookman Old Style"/>
        </w:rPr>
        <w:t>,</w:t>
      </w:r>
      <w:r w:rsidR="00B03F4F" w:rsidRPr="00D91312">
        <w:rPr>
          <w:rFonts w:ascii="Bookman Old Style" w:hAnsi="Bookman Old Style"/>
        </w:rPr>
        <w:t xml:space="preserve"> si deve solo a un difetto di coordinamento </w:t>
      </w:r>
      <w:r w:rsidR="00E10220" w:rsidRPr="00D91312">
        <w:rPr>
          <w:rFonts w:ascii="Bookman Old Style" w:hAnsi="Bookman Old Style"/>
        </w:rPr>
        <w:t xml:space="preserve">in sede di </w:t>
      </w:r>
      <w:r w:rsidR="00B03F4F" w:rsidRPr="00D91312">
        <w:rPr>
          <w:rFonts w:ascii="Bookman Old Style" w:hAnsi="Bookman Old Style"/>
        </w:rPr>
        <w:t>ult</w:t>
      </w:r>
      <w:r w:rsidR="00E10220" w:rsidRPr="00D91312">
        <w:rPr>
          <w:rFonts w:ascii="Bookman Old Style" w:hAnsi="Bookman Old Style"/>
        </w:rPr>
        <w:t>ima</w:t>
      </w:r>
      <w:r w:rsidR="00B03F4F" w:rsidRPr="00D91312">
        <w:rPr>
          <w:rFonts w:ascii="Bookman Old Style" w:hAnsi="Bookman Old Style"/>
        </w:rPr>
        <w:t xml:space="preserve"> </w:t>
      </w:r>
      <w:r w:rsidR="00E10220" w:rsidRPr="00D91312">
        <w:rPr>
          <w:rFonts w:ascii="Bookman Old Style" w:hAnsi="Bookman Old Style"/>
        </w:rPr>
        <w:t xml:space="preserve">novella legislativa </w:t>
      </w:r>
      <w:r w:rsidR="00B03F4F" w:rsidRPr="00D91312">
        <w:rPr>
          <w:rFonts w:ascii="Bookman Old Style" w:hAnsi="Bookman Old Style"/>
        </w:rPr>
        <w:t>(lo spostamento della disciplina sulla procedura sanzionatoria dall</w:t>
      </w:r>
      <w:r w:rsidR="008655D6" w:rsidRPr="00D91312">
        <w:rPr>
          <w:rFonts w:ascii="Bookman Old Style" w:hAnsi="Bookman Old Style"/>
        </w:rPr>
        <w:t>’</w:t>
      </w:r>
      <w:r w:rsidR="00B03F4F" w:rsidRPr="00D91312">
        <w:rPr>
          <w:rFonts w:ascii="Bookman Old Style" w:hAnsi="Bookman Old Style"/>
        </w:rPr>
        <w:t>art. 19-quater all</w:t>
      </w:r>
      <w:r w:rsidR="008655D6" w:rsidRPr="00D91312">
        <w:rPr>
          <w:rFonts w:ascii="Bookman Old Style" w:hAnsi="Bookman Old Style"/>
        </w:rPr>
        <w:t>’</w:t>
      </w:r>
      <w:r w:rsidR="00B03F4F" w:rsidRPr="00D91312">
        <w:rPr>
          <w:rFonts w:ascii="Bookman Old Style" w:hAnsi="Bookman Old Style"/>
        </w:rPr>
        <w:t>art. 19-quinquies). D</w:t>
      </w:r>
      <w:r w:rsidR="008655D6" w:rsidRPr="00D91312">
        <w:rPr>
          <w:rFonts w:ascii="Bookman Old Style" w:hAnsi="Bookman Old Style"/>
        </w:rPr>
        <w:t>’</w:t>
      </w:r>
      <w:r w:rsidR="00B03F4F" w:rsidRPr="00D91312">
        <w:rPr>
          <w:rFonts w:ascii="Bookman Old Style" w:hAnsi="Bookman Old Style"/>
        </w:rPr>
        <w:t xml:space="preserve">altronde non </w:t>
      </w:r>
      <w:r w:rsidR="00A236D3" w:rsidRPr="00D91312">
        <w:rPr>
          <w:rFonts w:ascii="Bookman Old Style" w:hAnsi="Bookman Old Style"/>
        </w:rPr>
        <w:t>si comprende perché</w:t>
      </w:r>
      <w:r w:rsidR="004324DB" w:rsidRPr="00D91312">
        <w:rPr>
          <w:rFonts w:ascii="Bookman Old Style" w:hAnsi="Bookman Old Style"/>
        </w:rPr>
        <w:t xml:space="preserve"> </w:t>
      </w:r>
      <w:r w:rsidR="00A236D3" w:rsidRPr="00D91312">
        <w:rPr>
          <w:rFonts w:ascii="Bookman Old Style" w:hAnsi="Bookman Old Style"/>
        </w:rPr>
        <w:t xml:space="preserve">solo le sanzioni </w:t>
      </w:r>
      <w:r w:rsidR="00DF6B5C" w:rsidRPr="00D91312">
        <w:rPr>
          <w:rFonts w:ascii="Bookman Old Style" w:hAnsi="Bookman Old Style"/>
        </w:rPr>
        <w:t>previste dall</w:t>
      </w:r>
      <w:r w:rsidR="008655D6" w:rsidRPr="00D91312">
        <w:rPr>
          <w:rFonts w:ascii="Bookman Old Style" w:hAnsi="Bookman Old Style"/>
        </w:rPr>
        <w:t>’</w:t>
      </w:r>
      <w:r w:rsidR="00DF6B5C" w:rsidRPr="00D91312">
        <w:rPr>
          <w:rFonts w:ascii="Bookman Old Style" w:hAnsi="Bookman Old Style"/>
        </w:rPr>
        <w:t>art. 19-quater dovrebbero essere applicate nel rispetto de</w:t>
      </w:r>
      <w:r w:rsidR="00A236D3" w:rsidRPr="00D91312">
        <w:rPr>
          <w:rFonts w:ascii="Bookman Old Style" w:hAnsi="Bookman Old Style"/>
        </w:rPr>
        <w:t xml:space="preserve">i principi della </w:t>
      </w:r>
      <w:r w:rsidR="004324DB" w:rsidRPr="00D91312">
        <w:rPr>
          <w:rFonts w:ascii="Bookman Old Style" w:hAnsi="Bookman Old Style"/>
        </w:rPr>
        <w:t xml:space="preserve">l. </w:t>
      </w:r>
      <w:r w:rsidR="00A236D3" w:rsidRPr="00D91312">
        <w:rPr>
          <w:rFonts w:ascii="Bookman Old Style" w:hAnsi="Bookman Old Style"/>
        </w:rPr>
        <w:t xml:space="preserve">n. 689/81 </w:t>
      </w:r>
      <w:r w:rsidR="00DF6B5C" w:rsidRPr="00D91312">
        <w:rPr>
          <w:rFonts w:ascii="Bookman Old Style" w:hAnsi="Bookman Old Style"/>
        </w:rPr>
        <w:t xml:space="preserve">e non anche le altre </w:t>
      </w:r>
      <w:r w:rsidR="004324DB" w:rsidRPr="00D91312">
        <w:rPr>
          <w:rFonts w:ascii="Bookman Old Style" w:hAnsi="Bookman Old Style"/>
        </w:rPr>
        <w:t xml:space="preserve">pure </w:t>
      </w:r>
      <w:r w:rsidR="00DF6B5C" w:rsidRPr="00D91312">
        <w:rPr>
          <w:rFonts w:ascii="Bookman Old Style" w:hAnsi="Bookman Old Style"/>
        </w:rPr>
        <w:t>di competenza della COVIP.</w:t>
      </w:r>
    </w:p>
    <w:p w:rsidR="00EB7CC5" w:rsidRPr="00D91312" w:rsidRDefault="00CE3B02" w:rsidP="00EB7CC5">
      <w:pPr>
        <w:jc w:val="both"/>
        <w:rPr>
          <w:rFonts w:ascii="Bookman Old Style" w:hAnsi="Bookman Old Style"/>
        </w:rPr>
      </w:pPr>
      <w:r w:rsidRPr="00D91312">
        <w:rPr>
          <w:rFonts w:ascii="Bookman Old Style" w:hAnsi="Bookman Old Style"/>
        </w:rPr>
        <w:t xml:space="preserve">In altri </w:t>
      </w:r>
      <w:r w:rsidR="004D01E2" w:rsidRPr="00D91312">
        <w:rPr>
          <w:rFonts w:ascii="Bookman Old Style" w:hAnsi="Bookman Old Style"/>
        </w:rPr>
        <w:t>casi</w:t>
      </w:r>
      <w:r w:rsidRPr="00D91312">
        <w:rPr>
          <w:rFonts w:ascii="Bookman Old Style" w:hAnsi="Bookman Old Style"/>
        </w:rPr>
        <w:t xml:space="preserve"> le leggi di settore </w:t>
      </w:r>
      <w:r w:rsidR="00EB7CC5" w:rsidRPr="00D91312">
        <w:rPr>
          <w:rFonts w:ascii="Bookman Old Style" w:hAnsi="Bookman Old Style"/>
        </w:rPr>
        <w:t xml:space="preserve">tacciono </w:t>
      </w:r>
      <w:r w:rsidR="00AE693B" w:rsidRPr="00D91312">
        <w:rPr>
          <w:rFonts w:ascii="Bookman Old Style" w:hAnsi="Bookman Old Style"/>
        </w:rPr>
        <w:t>sul termine di</w:t>
      </w:r>
      <w:r w:rsidR="00EB7CC5" w:rsidRPr="00D91312">
        <w:rPr>
          <w:rFonts w:ascii="Bookman Old Style" w:hAnsi="Bookman Old Style"/>
        </w:rPr>
        <w:t xml:space="preserve"> contestazione delle violazioni al soggetto incolpato, non perché abbiano inteso dettare una disciplina affatto diversa in materia di procedimento sanzionatorio, ma perché </w:t>
      </w:r>
      <w:r w:rsidR="00AE693B" w:rsidRPr="00D91312">
        <w:rPr>
          <w:rFonts w:ascii="Bookman Old Style" w:hAnsi="Bookman Old Style"/>
        </w:rPr>
        <w:t xml:space="preserve">il legislatore ha affidato alle stesse </w:t>
      </w:r>
      <w:r w:rsidR="009F1E3F" w:rsidRPr="00D91312">
        <w:rPr>
          <w:rFonts w:ascii="Bookman Old Style" w:hAnsi="Bookman Old Style"/>
        </w:rPr>
        <w:t>a</w:t>
      </w:r>
      <w:r w:rsidR="00EB7CC5" w:rsidRPr="00D91312">
        <w:rPr>
          <w:rFonts w:ascii="Bookman Old Style" w:hAnsi="Bookman Old Style"/>
        </w:rPr>
        <w:t xml:space="preserve">utorità di vigilanza </w:t>
      </w:r>
      <w:r w:rsidR="002F0FB9" w:rsidRPr="00D91312">
        <w:rPr>
          <w:rFonts w:ascii="Bookman Old Style" w:hAnsi="Bookman Old Style"/>
        </w:rPr>
        <w:t xml:space="preserve">il compito di emanare la </w:t>
      </w:r>
      <w:r w:rsidR="00EB7CC5" w:rsidRPr="00D91312">
        <w:rPr>
          <w:rFonts w:ascii="Bookman Old Style" w:hAnsi="Bookman Old Style"/>
        </w:rPr>
        <w:t>relativa disciplina.</w:t>
      </w:r>
    </w:p>
    <w:p w:rsidR="007E2E72" w:rsidRPr="00D91312" w:rsidRDefault="007E2E72" w:rsidP="007E2E72">
      <w:pPr>
        <w:jc w:val="both"/>
        <w:rPr>
          <w:rFonts w:ascii="Bookman Old Style" w:hAnsi="Bookman Old Style"/>
        </w:rPr>
      </w:pPr>
      <w:r w:rsidRPr="00D91312">
        <w:rPr>
          <w:rFonts w:ascii="Bookman Old Style" w:hAnsi="Bookman Old Style"/>
        </w:rPr>
        <w:t>Così l</w:t>
      </w:r>
      <w:r w:rsidR="008655D6" w:rsidRPr="00D91312">
        <w:rPr>
          <w:rFonts w:ascii="Bookman Old Style" w:hAnsi="Bookman Old Style"/>
        </w:rPr>
        <w:t>’</w:t>
      </w:r>
      <w:r w:rsidRPr="00D91312">
        <w:rPr>
          <w:rFonts w:ascii="Bookman Old Style" w:hAnsi="Bookman Old Style"/>
        </w:rPr>
        <w:t>art. 222, comma 13, del d.lgs. 31 marzo 2023, n. 36, stabilisce che l</w:t>
      </w:r>
      <w:r w:rsidR="008655D6" w:rsidRPr="00D91312">
        <w:rPr>
          <w:rFonts w:ascii="Bookman Old Style" w:hAnsi="Bookman Old Style"/>
        </w:rPr>
        <w:t>’</w:t>
      </w:r>
      <w:r w:rsidRPr="00D91312">
        <w:rPr>
          <w:rFonts w:ascii="Bookman Old Style" w:hAnsi="Bookman Old Style"/>
        </w:rPr>
        <w:t>ANAC esercita il potere di irrogare sanzioni amministrative pecuniarie “</w:t>
      </w:r>
      <w:r w:rsidRPr="00D91312">
        <w:rPr>
          <w:rFonts w:ascii="Bookman Old Style" w:hAnsi="Bookman Old Style"/>
          <w:i/>
        </w:rPr>
        <w:t>nel rispetto dei principi di cui alla legge 24 novembre 1981, n. 689</w:t>
      </w:r>
      <w:r w:rsidRPr="00D91312">
        <w:rPr>
          <w:rFonts w:ascii="Bookman Old Style" w:hAnsi="Bookman Old Style"/>
        </w:rPr>
        <w:t>” e che “</w:t>
      </w:r>
      <w:r w:rsidRPr="00D91312">
        <w:rPr>
          <w:rFonts w:ascii="Bookman Old Style" w:hAnsi="Bookman Old Style"/>
          <w:i/>
        </w:rPr>
        <w:t>con propri atti l</w:t>
      </w:r>
      <w:r w:rsidR="008655D6" w:rsidRPr="00D91312">
        <w:rPr>
          <w:rFonts w:ascii="Bookman Old Style" w:hAnsi="Bookman Old Style"/>
          <w:i/>
        </w:rPr>
        <w:t>’</w:t>
      </w:r>
      <w:r w:rsidRPr="00D91312">
        <w:rPr>
          <w:rFonts w:ascii="Bookman Old Style" w:hAnsi="Bookman Old Style"/>
          <w:i/>
        </w:rPr>
        <w:t>ANAC disciplina i procedimenti sanzionatori di sua competenza</w:t>
      </w:r>
      <w:r w:rsidRPr="00D91312">
        <w:rPr>
          <w:rFonts w:ascii="Bookman Old Style" w:hAnsi="Bookman Old Style"/>
        </w:rPr>
        <w:t>”, ma il regolamento attuale, a differenza del precedente</w:t>
      </w:r>
      <w:r w:rsidR="00786ACE" w:rsidRPr="00D91312">
        <w:rPr>
          <w:rStyle w:val="Rimandonotaapidipagina"/>
          <w:rFonts w:ascii="Bookman Old Style" w:hAnsi="Bookman Old Style"/>
        </w:rPr>
        <w:footnoteReference w:id="7"/>
      </w:r>
      <w:r w:rsidRPr="00D91312">
        <w:rPr>
          <w:rFonts w:ascii="Bookman Old Style" w:hAnsi="Bookman Old Style"/>
        </w:rPr>
        <w:t>, nulla dice sul termine di avvio del procedimento sanzionatorio.</w:t>
      </w:r>
    </w:p>
    <w:p w:rsidR="00EB7CC5" w:rsidRPr="00D91312" w:rsidRDefault="007E2E72" w:rsidP="000A3226">
      <w:pPr>
        <w:jc w:val="both"/>
        <w:rPr>
          <w:rFonts w:ascii="Bookman Old Style" w:hAnsi="Bookman Old Style"/>
        </w:rPr>
      </w:pPr>
      <w:r w:rsidRPr="00D91312">
        <w:rPr>
          <w:rFonts w:ascii="Bookman Old Style" w:hAnsi="Bookman Old Style"/>
        </w:rPr>
        <w:t>Per le autorità del settore bancario, finanziario, assicurativo e della previdenza complementare s</w:t>
      </w:r>
      <w:r w:rsidR="000A3226" w:rsidRPr="00D91312">
        <w:rPr>
          <w:rFonts w:ascii="Bookman Old Style" w:hAnsi="Bookman Old Style"/>
        </w:rPr>
        <w:t>i tratta di</w:t>
      </w:r>
      <w:r w:rsidR="009F1E3F" w:rsidRPr="00D91312">
        <w:rPr>
          <w:rFonts w:ascii="Bookman Old Style" w:hAnsi="Bookman Old Style"/>
        </w:rPr>
        <w:t xml:space="preserve"> una </w:t>
      </w:r>
      <w:r w:rsidR="000A3226" w:rsidRPr="00D91312">
        <w:rPr>
          <w:rFonts w:ascii="Bookman Old Style" w:hAnsi="Bookman Old Style"/>
        </w:rPr>
        <w:t xml:space="preserve">scelta che affonda le </w:t>
      </w:r>
      <w:r w:rsidR="009F1E3F" w:rsidRPr="00D91312">
        <w:rPr>
          <w:rFonts w:ascii="Bookman Old Style" w:hAnsi="Bookman Old Style"/>
        </w:rPr>
        <w:t xml:space="preserve">sue </w:t>
      </w:r>
      <w:r w:rsidR="000A3226" w:rsidRPr="00D91312">
        <w:rPr>
          <w:rFonts w:ascii="Bookman Old Style" w:hAnsi="Bookman Old Style"/>
        </w:rPr>
        <w:t>radici nella decisione assunta, quasi venti anni fa</w:t>
      </w:r>
      <w:r w:rsidR="009F1E3F" w:rsidRPr="00D91312">
        <w:rPr>
          <w:rFonts w:ascii="Bookman Old Style" w:hAnsi="Bookman Old Style"/>
        </w:rPr>
        <w:t xml:space="preserve">, </w:t>
      </w:r>
      <w:r w:rsidR="004324DB" w:rsidRPr="00D91312">
        <w:rPr>
          <w:rFonts w:ascii="Bookman Old Style" w:hAnsi="Bookman Old Style"/>
        </w:rPr>
        <w:t xml:space="preserve">di semplificare </w:t>
      </w:r>
      <w:r w:rsidR="009F1E3F" w:rsidRPr="00D91312">
        <w:rPr>
          <w:rFonts w:ascii="Bookman Old Style" w:hAnsi="Bookman Old Style"/>
        </w:rPr>
        <w:t>l</w:t>
      </w:r>
      <w:r w:rsidR="008655D6" w:rsidRPr="00D91312">
        <w:rPr>
          <w:rFonts w:ascii="Bookman Old Style" w:hAnsi="Bookman Old Style"/>
        </w:rPr>
        <w:t>’</w:t>
      </w:r>
      <w:r w:rsidR="009F1E3F" w:rsidRPr="00D91312">
        <w:rPr>
          <w:rFonts w:ascii="Bookman Old Style" w:hAnsi="Bookman Old Style"/>
        </w:rPr>
        <w:t xml:space="preserve">assetto delle competenze in materia di sanzioni amministrative </w:t>
      </w:r>
      <w:r w:rsidR="004324DB" w:rsidRPr="00D91312">
        <w:rPr>
          <w:rFonts w:ascii="Bookman Old Style" w:hAnsi="Bookman Old Style"/>
        </w:rPr>
        <w:t>allocando in capo alle autorità di vigilanza funzioni e poteri che in precedenza spe</w:t>
      </w:r>
      <w:r w:rsidR="009F1E3F" w:rsidRPr="00D91312">
        <w:rPr>
          <w:rFonts w:ascii="Bookman Old Style" w:hAnsi="Bookman Old Style"/>
        </w:rPr>
        <w:t xml:space="preserve">ttavano ai ministeri competenti. In quella sede, infatti, </w:t>
      </w:r>
      <w:r w:rsidR="00F0130E" w:rsidRPr="00D91312">
        <w:rPr>
          <w:rFonts w:ascii="Bookman Old Style" w:hAnsi="Bookman Old Style"/>
        </w:rPr>
        <w:t>l</w:t>
      </w:r>
      <w:r w:rsidR="008655D6" w:rsidRPr="00D91312">
        <w:rPr>
          <w:rFonts w:ascii="Bookman Old Style" w:hAnsi="Bookman Old Style"/>
        </w:rPr>
        <w:t>’</w:t>
      </w:r>
      <w:r w:rsidR="00F0130E" w:rsidRPr="00D91312">
        <w:rPr>
          <w:rFonts w:ascii="Bookman Old Style" w:hAnsi="Bookman Old Style"/>
        </w:rPr>
        <w:t>art. 24 della legge 28 dicembre 2005, n. 262</w:t>
      </w:r>
      <w:r w:rsidR="000A3226" w:rsidRPr="00D91312">
        <w:rPr>
          <w:rFonts w:ascii="Bookman Old Style" w:hAnsi="Bookman Old Style"/>
        </w:rPr>
        <w:t>,</w:t>
      </w:r>
      <w:r w:rsidR="00F0130E" w:rsidRPr="00D91312">
        <w:rPr>
          <w:rFonts w:ascii="Bookman Old Style" w:hAnsi="Bookman Old Style"/>
        </w:rPr>
        <w:t xml:space="preserve"> </w:t>
      </w:r>
      <w:r w:rsidR="000A3226" w:rsidRPr="00D91312">
        <w:rPr>
          <w:rFonts w:ascii="Bookman Old Style" w:hAnsi="Bookman Old Style"/>
        </w:rPr>
        <w:t xml:space="preserve">introdusse </w:t>
      </w:r>
      <w:r w:rsidR="00F0130E" w:rsidRPr="00D91312">
        <w:rPr>
          <w:rFonts w:ascii="Bookman Old Style" w:hAnsi="Bookman Old Style"/>
        </w:rPr>
        <w:t>una disposizione</w:t>
      </w:r>
      <w:r w:rsidR="00255B65" w:rsidRPr="00D91312">
        <w:rPr>
          <w:rFonts w:ascii="Bookman Old Style" w:hAnsi="Bookman Old Style"/>
        </w:rPr>
        <w:t>,</w:t>
      </w:r>
      <w:r w:rsidR="00F0130E" w:rsidRPr="00D91312">
        <w:rPr>
          <w:rFonts w:ascii="Bookman Old Style" w:hAnsi="Bookman Old Style"/>
        </w:rPr>
        <w:t xml:space="preserve"> comune per la Banca d</w:t>
      </w:r>
      <w:r w:rsidR="008655D6" w:rsidRPr="00D91312">
        <w:rPr>
          <w:rFonts w:ascii="Bookman Old Style" w:hAnsi="Bookman Old Style"/>
        </w:rPr>
        <w:t>’</w:t>
      </w:r>
      <w:r w:rsidR="00F0130E" w:rsidRPr="00D91312">
        <w:rPr>
          <w:rFonts w:ascii="Bookman Old Style" w:hAnsi="Bookman Old Style"/>
        </w:rPr>
        <w:t>Italia, la CONSOB, l</w:t>
      </w:r>
      <w:r w:rsidR="008655D6" w:rsidRPr="00D91312">
        <w:rPr>
          <w:rFonts w:ascii="Bookman Old Style" w:hAnsi="Bookman Old Style"/>
        </w:rPr>
        <w:t>’</w:t>
      </w:r>
      <w:r w:rsidR="00F0130E" w:rsidRPr="00D91312">
        <w:rPr>
          <w:rFonts w:ascii="Bookman Old Style" w:hAnsi="Bookman Old Style"/>
        </w:rPr>
        <w:t>ISVAP (ora IVASS) e la COVIP</w:t>
      </w:r>
      <w:r w:rsidR="00255B65" w:rsidRPr="00D91312">
        <w:rPr>
          <w:rFonts w:ascii="Bookman Old Style" w:hAnsi="Bookman Old Style"/>
        </w:rPr>
        <w:t>,</w:t>
      </w:r>
      <w:r w:rsidR="00F0130E" w:rsidRPr="00D91312">
        <w:rPr>
          <w:rFonts w:ascii="Bookman Old Style" w:hAnsi="Bookman Old Style"/>
        </w:rPr>
        <w:t xml:space="preserve"> che </w:t>
      </w:r>
      <w:r w:rsidR="009F1E3F" w:rsidRPr="00D91312">
        <w:rPr>
          <w:rFonts w:ascii="Bookman Old Style" w:hAnsi="Bookman Old Style"/>
        </w:rPr>
        <w:t>affida alle stesse l</w:t>
      </w:r>
      <w:r w:rsidR="008655D6" w:rsidRPr="00D91312">
        <w:rPr>
          <w:rFonts w:ascii="Bookman Old Style" w:hAnsi="Bookman Old Style"/>
        </w:rPr>
        <w:t>’</w:t>
      </w:r>
      <w:r w:rsidR="009F1E3F" w:rsidRPr="00D91312">
        <w:rPr>
          <w:rFonts w:ascii="Bookman Old Style" w:hAnsi="Bookman Old Style"/>
        </w:rPr>
        <w:t xml:space="preserve">adozione di disposizioni applicative dei principi sanciti dalla legge </w:t>
      </w:r>
      <w:r w:rsidR="00F0130E" w:rsidRPr="00D91312">
        <w:rPr>
          <w:rFonts w:ascii="Bookman Old Style" w:hAnsi="Bookman Old Style"/>
        </w:rPr>
        <w:t>in materia di procedimenti volti all</w:t>
      </w:r>
      <w:r w:rsidR="008655D6" w:rsidRPr="00D91312">
        <w:rPr>
          <w:rFonts w:ascii="Bookman Old Style" w:hAnsi="Bookman Old Style"/>
        </w:rPr>
        <w:t>’</w:t>
      </w:r>
      <w:r w:rsidR="00F0130E" w:rsidRPr="00D91312">
        <w:rPr>
          <w:rFonts w:ascii="Bookman Old Style" w:hAnsi="Bookman Old Style"/>
        </w:rPr>
        <w:t>emanazione di provvedimenti individuali, compresi quelli a carattere sanzionatorio.</w:t>
      </w:r>
    </w:p>
    <w:p w:rsidR="00DB2E26" w:rsidRPr="00D91312" w:rsidRDefault="00D371D7" w:rsidP="00CA058D">
      <w:pPr>
        <w:jc w:val="both"/>
        <w:rPr>
          <w:rFonts w:ascii="Bookman Old Style" w:hAnsi="Bookman Old Style"/>
        </w:rPr>
      </w:pPr>
      <w:r w:rsidRPr="00D91312">
        <w:rPr>
          <w:rFonts w:ascii="Bookman Old Style" w:hAnsi="Bookman Old Style"/>
        </w:rPr>
        <w:t>A</w:t>
      </w:r>
      <w:r w:rsidR="00FB41CE" w:rsidRPr="00D91312">
        <w:rPr>
          <w:rFonts w:ascii="Bookman Old Style" w:hAnsi="Bookman Old Style"/>
        </w:rPr>
        <w:t>desso l</w:t>
      </w:r>
      <w:r w:rsidR="008655D6" w:rsidRPr="00D91312">
        <w:rPr>
          <w:rFonts w:ascii="Bookman Old Style" w:hAnsi="Bookman Old Style"/>
        </w:rPr>
        <w:t>’</w:t>
      </w:r>
      <w:r w:rsidR="00985FED" w:rsidRPr="00D91312">
        <w:rPr>
          <w:rFonts w:ascii="Bookman Old Style" w:hAnsi="Bookman Old Style"/>
        </w:rPr>
        <w:t>art. 145-</w:t>
      </w:r>
      <w:r w:rsidR="00985FED" w:rsidRPr="00D91312">
        <w:rPr>
          <w:rFonts w:ascii="Bookman Old Style" w:hAnsi="Bookman Old Style"/>
          <w:i/>
        </w:rPr>
        <w:t>quater</w:t>
      </w:r>
      <w:r w:rsidR="00985FED" w:rsidRPr="00D91312">
        <w:rPr>
          <w:rFonts w:ascii="Bookman Old Style" w:hAnsi="Bookman Old Style"/>
        </w:rPr>
        <w:t xml:space="preserve"> del testo unico bancario, inserito nel 2015, attribuisce alla Banca d</w:t>
      </w:r>
      <w:r w:rsidR="008655D6" w:rsidRPr="00D91312">
        <w:rPr>
          <w:rFonts w:ascii="Bookman Old Style" w:hAnsi="Bookman Old Style"/>
        </w:rPr>
        <w:t>’</w:t>
      </w:r>
      <w:r w:rsidR="00985FED" w:rsidRPr="00D91312">
        <w:rPr>
          <w:rFonts w:ascii="Bookman Old Style" w:hAnsi="Bookman Old Style"/>
        </w:rPr>
        <w:t xml:space="preserve">Italia il potere di emanare disposizioni </w:t>
      </w:r>
      <w:r w:rsidR="009520C1" w:rsidRPr="00D91312">
        <w:rPr>
          <w:rFonts w:ascii="Bookman Old Style" w:hAnsi="Bookman Old Style"/>
        </w:rPr>
        <w:t>di attuazione del Titolo VIII e quindi</w:t>
      </w:r>
      <w:r w:rsidR="00985FED" w:rsidRPr="00D91312">
        <w:rPr>
          <w:rFonts w:ascii="Bookman Old Style" w:hAnsi="Bookman Old Style"/>
        </w:rPr>
        <w:t xml:space="preserve"> anche in materia di procedura sanzionatoria</w:t>
      </w:r>
      <w:r w:rsidR="009520C1" w:rsidRPr="00D91312">
        <w:rPr>
          <w:rFonts w:ascii="Bookman Old Style" w:hAnsi="Bookman Old Style"/>
        </w:rPr>
        <w:t xml:space="preserve">, </w:t>
      </w:r>
      <w:r w:rsidR="005F69A6" w:rsidRPr="00D91312">
        <w:rPr>
          <w:rFonts w:ascii="Bookman Old Style" w:hAnsi="Bookman Old Style"/>
        </w:rPr>
        <w:t xml:space="preserve">per colmare </w:t>
      </w:r>
      <w:r w:rsidR="009520C1" w:rsidRPr="00D91312">
        <w:rPr>
          <w:rFonts w:ascii="Bookman Old Style" w:hAnsi="Bookman Old Style"/>
        </w:rPr>
        <w:t xml:space="preserve">la </w:t>
      </w:r>
      <w:r w:rsidR="005F69A6" w:rsidRPr="00D91312">
        <w:rPr>
          <w:rFonts w:ascii="Bookman Old Style" w:hAnsi="Bookman Old Style"/>
        </w:rPr>
        <w:t>lacuna data dal fatto che il potere conferito dall</w:t>
      </w:r>
      <w:r w:rsidR="008655D6" w:rsidRPr="00D91312">
        <w:rPr>
          <w:rFonts w:ascii="Bookman Old Style" w:hAnsi="Bookman Old Style"/>
        </w:rPr>
        <w:t>’</w:t>
      </w:r>
      <w:r w:rsidR="005F69A6" w:rsidRPr="00D91312">
        <w:rPr>
          <w:rFonts w:ascii="Bookman Old Style" w:hAnsi="Bookman Old Style"/>
        </w:rPr>
        <w:t xml:space="preserve">art. 24 della l. n. 262/05 </w:t>
      </w:r>
      <w:r w:rsidR="009520C1" w:rsidRPr="00D91312">
        <w:rPr>
          <w:rFonts w:ascii="Bookman Old Style" w:hAnsi="Bookman Old Style"/>
        </w:rPr>
        <w:t xml:space="preserve">ha un </w:t>
      </w:r>
      <w:r w:rsidR="00985FED" w:rsidRPr="00D91312">
        <w:rPr>
          <w:rFonts w:ascii="Bookman Old Style" w:hAnsi="Bookman Old Style"/>
        </w:rPr>
        <w:t>oggetto più limitato</w:t>
      </w:r>
      <w:r w:rsidR="00DB2E26" w:rsidRPr="00D91312">
        <w:rPr>
          <w:rFonts w:ascii="Bookman Old Style" w:hAnsi="Bookman Old Style"/>
        </w:rPr>
        <w:t>.</w:t>
      </w:r>
    </w:p>
    <w:p w:rsidR="00F0130E" w:rsidRPr="00D91312" w:rsidRDefault="00C0508F" w:rsidP="00CA058D">
      <w:pPr>
        <w:jc w:val="both"/>
        <w:rPr>
          <w:rFonts w:ascii="Bookman Old Style" w:hAnsi="Bookman Old Style"/>
        </w:rPr>
      </w:pPr>
      <w:r w:rsidRPr="00D91312">
        <w:rPr>
          <w:rFonts w:ascii="Bookman Old Style" w:hAnsi="Bookman Old Style"/>
        </w:rPr>
        <w:t>L</w:t>
      </w:r>
      <w:r w:rsidR="00985FED" w:rsidRPr="00D91312">
        <w:rPr>
          <w:rFonts w:ascii="Bookman Old Style" w:hAnsi="Bookman Old Style"/>
        </w:rPr>
        <w:t xml:space="preserve">e </w:t>
      </w:r>
      <w:r w:rsidRPr="00D91312">
        <w:rPr>
          <w:rFonts w:ascii="Bookman Old Style" w:hAnsi="Bookman Old Style"/>
        </w:rPr>
        <w:t xml:space="preserve">attuali </w:t>
      </w:r>
      <w:r w:rsidR="00985FED" w:rsidRPr="00D91312">
        <w:rPr>
          <w:rFonts w:ascii="Bookman Old Style" w:hAnsi="Bookman Old Style"/>
        </w:rPr>
        <w:t>“</w:t>
      </w:r>
      <w:r w:rsidR="00985FED" w:rsidRPr="00D91312">
        <w:rPr>
          <w:rFonts w:ascii="Bookman Old Style" w:hAnsi="Bookman Old Style"/>
          <w:i/>
        </w:rPr>
        <w:t>Disposizioni di vigilanza in materia di sanzioni e procedura sanzionatoria amministrativa</w:t>
      </w:r>
      <w:r w:rsidR="00985FED" w:rsidRPr="00D91312">
        <w:rPr>
          <w:rFonts w:ascii="Bookman Old Style" w:hAnsi="Bookman Old Style"/>
        </w:rPr>
        <w:t xml:space="preserve">” </w:t>
      </w:r>
      <w:r w:rsidRPr="00D91312">
        <w:rPr>
          <w:rFonts w:ascii="Bookman Old Style" w:hAnsi="Bookman Old Style"/>
        </w:rPr>
        <w:t>(</w:t>
      </w:r>
      <w:r w:rsidR="00985FED" w:rsidRPr="00D91312">
        <w:rPr>
          <w:rFonts w:ascii="Bookman Old Style" w:hAnsi="Bookman Old Style"/>
        </w:rPr>
        <w:t xml:space="preserve">nel testo aggiornato pubblicato nella </w:t>
      </w:r>
      <w:r w:rsidRPr="00D91312">
        <w:rPr>
          <w:rFonts w:ascii="Bookman Old Style" w:hAnsi="Bookman Old Style"/>
        </w:rPr>
        <w:t>G.U., serie gen.</w:t>
      </w:r>
      <w:r w:rsidR="00985FED" w:rsidRPr="00D91312">
        <w:rPr>
          <w:rFonts w:ascii="Bookman Old Style" w:hAnsi="Bookman Old Style"/>
        </w:rPr>
        <w:t xml:space="preserve"> n. 186 del 10 agosto 2022</w:t>
      </w:r>
      <w:r w:rsidRPr="00D91312">
        <w:rPr>
          <w:rFonts w:ascii="Bookman Old Style" w:hAnsi="Bookman Old Style"/>
        </w:rPr>
        <w:t>)</w:t>
      </w:r>
      <w:r w:rsidR="009520C1" w:rsidRPr="00D91312">
        <w:rPr>
          <w:rFonts w:ascii="Bookman Old Style" w:hAnsi="Bookman Old Style"/>
        </w:rPr>
        <w:t xml:space="preserve"> </w:t>
      </w:r>
      <w:r w:rsidRPr="00D91312">
        <w:rPr>
          <w:rFonts w:ascii="Bookman Old Style" w:hAnsi="Bookman Old Style"/>
        </w:rPr>
        <w:t xml:space="preserve">– che </w:t>
      </w:r>
      <w:r w:rsidR="00985FED" w:rsidRPr="00D91312">
        <w:rPr>
          <w:rFonts w:ascii="Bookman Old Style" w:hAnsi="Bookman Old Style"/>
        </w:rPr>
        <w:t xml:space="preserve">si applicano </w:t>
      </w:r>
      <w:r w:rsidRPr="00D91312">
        <w:rPr>
          <w:rFonts w:ascii="Bookman Old Style" w:hAnsi="Bookman Old Style"/>
        </w:rPr>
        <w:t xml:space="preserve">anche </w:t>
      </w:r>
      <w:r w:rsidR="00985FED" w:rsidRPr="00D91312">
        <w:rPr>
          <w:rFonts w:ascii="Bookman Old Style" w:hAnsi="Bookman Old Style"/>
        </w:rPr>
        <w:t xml:space="preserve">alle procedure sanzionatorie avviate </w:t>
      </w:r>
      <w:r w:rsidRPr="00D91312">
        <w:rPr>
          <w:rFonts w:ascii="Bookman Old Style" w:hAnsi="Bookman Old Style"/>
        </w:rPr>
        <w:t>dalla Banca d</w:t>
      </w:r>
      <w:r w:rsidR="008655D6" w:rsidRPr="00D91312">
        <w:rPr>
          <w:rFonts w:ascii="Bookman Old Style" w:hAnsi="Bookman Old Style"/>
        </w:rPr>
        <w:t>’</w:t>
      </w:r>
      <w:r w:rsidRPr="00D91312">
        <w:rPr>
          <w:rFonts w:ascii="Bookman Old Style" w:hAnsi="Bookman Old Style"/>
        </w:rPr>
        <w:t xml:space="preserve">Italia </w:t>
      </w:r>
      <w:r w:rsidR="00985FED" w:rsidRPr="00D91312">
        <w:rPr>
          <w:rFonts w:ascii="Bookman Old Style" w:hAnsi="Bookman Old Style"/>
        </w:rPr>
        <w:t>nell</w:t>
      </w:r>
      <w:r w:rsidR="008655D6" w:rsidRPr="00D91312">
        <w:rPr>
          <w:rFonts w:ascii="Bookman Old Style" w:hAnsi="Bookman Old Style"/>
        </w:rPr>
        <w:t>’</w:t>
      </w:r>
      <w:r w:rsidR="00985FED" w:rsidRPr="00D91312">
        <w:rPr>
          <w:rFonts w:ascii="Bookman Old Style" w:hAnsi="Bookman Old Style"/>
        </w:rPr>
        <w:t xml:space="preserve">ambito del Meccanismo di vigilanza unico, </w:t>
      </w:r>
      <w:r w:rsidR="009520C1" w:rsidRPr="00D91312">
        <w:rPr>
          <w:rFonts w:ascii="Bookman Old Style" w:hAnsi="Bookman Old Style"/>
        </w:rPr>
        <w:t xml:space="preserve">di cui </w:t>
      </w:r>
      <w:r w:rsidRPr="00D91312">
        <w:rPr>
          <w:rFonts w:ascii="Bookman Old Style" w:hAnsi="Bookman Old Style"/>
        </w:rPr>
        <w:t>l</w:t>
      </w:r>
      <w:r w:rsidR="008655D6" w:rsidRPr="00D91312">
        <w:rPr>
          <w:rFonts w:ascii="Bookman Old Style" w:hAnsi="Bookman Old Style"/>
        </w:rPr>
        <w:t>’</w:t>
      </w:r>
      <w:r w:rsidRPr="00D91312">
        <w:rPr>
          <w:rFonts w:ascii="Bookman Old Style" w:hAnsi="Bookman Old Style"/>
        </w:rPr>
        <w:t xml:space="preserve">Istituto </w:t>
      </w:r>
      <w:r w:rsidR="00985FED" w:rsidRPr="00D91312">
        <w:rPr>
          <w:rFonts w:ascii="Bookman Old Style" w:hAnsi="Bookman Old Style"/>
        </w:rPr>
        <w:t xml:space="preserve">fa parte </w:t>
      </w:r>
      <w:r w:rsidR="00EF1A20" w:rsidRPr="00D91312">
        <w:rPr>
          <w:rFonts w:ascii="Bookman Old Style" w:hAnsi="Bookman Old Style"/>
        </w:rPr>
        <w:t>nell</w:t>
      </w:r>
      <w:r w:rsidR="008655D6" w:rsidRPr="00D91312">
        <w:rPr>
          <w:rFonts w:ascii="Bookman Old Style" w:hAnsi="Bookman Old Style"/>
        </w:rPr>
        <w:t>’</w:t>
      </w:r>
      <w:r w:rsidR="00EF1A20" w:rsidRPr="00D91312">
        <w:rPr>
          <w:rFonts w:ascii="Bookman Old Style" w:hAnsi="Bookman Old Style"/>
        </w:rPr>
        <w:t xml:space="preserve">esercizio delle funzioni di vigilanza </w:t>
      </w:r>
      <w:r w:rsidR="00985FED" w:rsidRPr="00D91312">
        <w:rPr>
          <w:rFonts w:ascii="Bookman Old Style" w:hAnsi="Bookman Old Style"/>
        </w:rPr>
        <w:t xml:space="preserve">in </w:t>
      </w:r>
      <w:r w:rsidRPr="00D91312">
        <w:rPr>
          <w:rFonts w:ascii="Bookman Old Style" w:hAnsi="Bookman Old Style"/>
        </w:rPr>
        <w:t>virtù del</w:t>
      </w:r>
      <w:r w:rsidR="00985FED" w:rsidRPr="00D91312">
        <w:rPr>
          <w:rFonts w:ascii="Bookman Old Style" w:hAnsi="Bookman Old Style"/>
        </w:rPr>
        <w:t xml:space="preserve"> reg. (UE) n. 1024/013 (cfr. </w:t>
      </w:r>
      <w:r w:rsidR="009520C1" w:rsidRPr="00D91312">
        <w:rPr>
          <w:rFonts w:ascii="Bookman Old Style" w:hAnsi="Bookman Old Style"/>
        </w:rPr>
        <w:t xml:space="preserve">pure gli </w:t>
      </w:r>
      <w:r w:rsidR="00985FED" w:rsidRPr="00D91312">
        <w:rPr>
          <w:rFonts w:ascii="Bookman Old Style" w:hAnsi="Bookman Old Style"/>
        </w:rPr>
        <w:t>artt. 6, 6-</w:t>
      </w:r>
      <w:r w:rsidR="00985FED" w:rsidRPr="00D91312">
        <w:rPr>
          <w:rFonts w:ascii="Bookman Old Style" w:hAnsi="Bookman Old Style"/>
          <w:i/>
        </w:rPr>
        <w:t>bis</w:t>
      </w:r>
      <w:r w:rsidR="00985FED" w:rsidRPr="00D91312">
        <w:rPr>
          <w:rFonts w:ascii="Bookman Old Style" w:hAnsi="Bookman Old Style"/>
        </w:rPr>
        <w:t xml:space="preserve"> e 144-</w:t>
      </w:r>
      <w:r w:rsidR="00985FED" w:rsidRPr="00D91312">
        <w:rPr>
          <w:rFonts w:ascii="Bookman Old Style" w:hAnsi="Bookman Old Style"/>
          <w:i/>
        </w:rPr>
        <w:t>septies</w:t>
      </w:r>
      <w:r w:rsidR="00985FED" w:rsidRPr="00D91312">
        <w:rPr>
          <w:rFonts w:ascii="Bookman Old Style" w:hAnsi="Bookman Old Style"/>
        </w:rPr>
        <w:t xml:space="preserve"> </w:t>
      </w:r>
      <w:r w:rsidRPr="00D91312">
        <w:rPr>
          <w:rFonts w:ascii="Bookman Old Style" w:hAnsi="Bookman Old Style"/>
        </w:rPr>
        <w:t>TUB)</w:t>
      </w:r>
      <w:r w:rsidR="00DB2E26" w:rsidRPr="00D91312">
        <w:rPr>
          <w:rFonts w:ascii="Bookman Old Style" w:hAnsi="Bookman Old Style"/>
        </w:rPr>
        <w:t xml:space="preserve"> – </w:t>
      </w:r>
      <w:r w:rsidR="00D6561D" w:rsidRPr="00D91312">
        <w:rPr>
          <w:rFonts w:ascii="Bookman Old Style" w:hAnsi="Bookman Old Style"/>
        </w:rPr>
        <w:t xml:space="preserve">prevedono </w:t>
      </w:r>
      <w:r w:rsidR="00DB2E26" w:rsidRPr="00D91312">
        <w:rPr>
          <w:rFonts w:ascii="Bookman Old Style" w:hAnsi="Bookman Old Style"/>
        </w:rPr>
        <w:t xml:space="preserve">un </w:t>
      </w:r>
      <w:r w:rsidR="00CA058D" w:rsidRPr="00D91312">
        <w:rPr>
          <w:rFonts w:ascii="Bookman Old Style" w:hAnsi="Bookman Old Style"/>
        </w:rPr>
        <w:t>termine per avviare la procedura sanzionatoria</w:t>
      </w:r>
      <w:r w:rsidR="00DB2E26" w:rsidRPr="00D91312">
        <w:rPr>
          <w:rFonts w:ascii="Bookman Old Style" w:hAnsi="Bookman Old Style"/>
        </w:rPr>
        <w:t>, mediante</w:t>
      </w:r>
      <w:r w:rsidR="00CA058D" w:rsidRPr="00D91312">
        <w:rPr>
          <w:rFonts w:ascii="Bookman Old Style" w:hAnsi="Bookman Old Style"/>
        </w:rPr>
        <w:t xml:space="preserve"> la notifica della contestazione formale nei confronti dei soggetti ritenuti responsabili</w:t>
      </w:r>
      <w:r w:rsidR="00EF1A20" w:rsidRPr="00D91312">
        <w:rPr>
          <w:rFonts w:ascii="Bookman Old Style" w:hAnsi="Bookman Old Style"/>
        </w:rPr>
        <w:t xml:space="preserve"> delle violazioni riscontrate</w:t>
      </w:r>
      <w:r w:rsidR="00DB2E26" w:rsidRPr="00D91312">
        <w:rPr>
          <w:rFonts w:ascii="Bookman Old Style" w:hAnsi="Bookman Old Style"/>
        </w:rPr>
        <w:t xml:space="preserve">, che </w:t>
      </w:r>
      <w:r w:rsidR="00CA058D" w:rsidRPr="00D91312">
        <w:rPr>
          <w:rFonts w:ascii="Bookman Old Style" w:hAnsi="Bookman Old Style"/>
        </w:rPr>
        <w:t xml:space="preserve">è di 90 gg o </w:t>
      </w:r>
      <w:r w:rsidR="00DB2E26" w:rsidRPr="00D91312">
        <w:rPr>
          <w:rFonts w:ascii="Bookman Old Style" w:hAnsi="Bookman Old Style"/>
        </w:rPr>
        <w:t xml:space="preserve">di </w:t>
      </w:r>
      <w:r w:rsidR="00CA058D" w:rsidRPr="00D91312">
        <w:rPr>
          <w:rFonts w:ascii="Bookman Old Style" w:hAnsi="Bookman Old Style"/>
        </w:rPr>
        <w:t>180 gg dall</w:t>
      </w:r>
      <w:r w:rsidR="008655D6" w:rsidRPr="00D91312">
        <w:rPr>
          <w:rFonts w:ascii="Bookman Old Style" w:hAnsi="Bookman Old Style"/>
        </w:rPr>
        <w:t>’</w:t>
      </w:r>
      <w:r w:rsidR="00CA058D" w:rsidRPr="00D91312">
        <w:rPr>
          <w:rFonts w:ascii="Bookman Old Style" w:hAnsi="Bookman Old Style"/>
        </w:rPr>
        <w:t xml:space="preserve">accertamento, a seconda si tratti di procedura ex art. 145 TUB o 195 TUIF, per i soggetti residenti in Italia, </w:t>
      </w:r>
      <w:r w:rsidR="00DB2E26" w:rsidRPr="00D91312">
        <w:rPr>
          <w:rFonts w:ascii="Bookman Old Style" w:hAnsi="Bookman Old Style"/>
        </w:rPr>
        <w:t xml:space="preserve">e di </w:t>
      </w:r>
      <w:r w:rsidR="00CA058D" w:rsidRPr="00D91312">
        <w:rPr>
          <w:rFonts w:ascii="Bookman Old Style" w:hAnsi="Bookman Old Style"/>
        </w:rPr>
        <w:t>360 gg. per i soggetti residenti all</w:t>
      </w:r>
      <w:r w:rsidR="008655D6" w:rsidRPr="00D91312">
        <w:rPr>
          <w:rFonts w:ascii="Bookman Old Style" w:hAnsi="Bookman Old Style"/>
        </w:rPr>
        <w:t>’</w:t>
      </w:r>
      <w:r w:rsidR="00CA058D" w:rsidRPr="00D91312">
        <w:rPr>
          <w:rFonts w:ascii="Bookman Old Style" w:hAnsi="Bookman Old Style"/>
        </w:rPr>
        <w:t>estero.</w:t>
      </w:r>
    </w:p>
    <w:p w:rsidR="00DB2E26" w:rsidRPr="00D91312" w:rsidRDefault="00BE3388" w:rsidP="00BE3388">
      <w:pPr>
        <w:jc w:val="both"/>
        <w:rPr>
          <w:rFonts w:ascii="Bookman Old Style" w:hAnsi="Bookman Old Style"/>
        </w:rPr>
      </w:pPr>
      <w:r w:rsidRPr="00D91312">
        <w:rPr>
          <w:rFonts w:ascii="Bookman Old Style" w:hAnsi="Bookman Old Style"/>
        </w:rPr>
        <w:t>A sua volta l</w:t>
      </w:r>
      <w:r w:rsidR="008655D6" w:rsidRPr="00D91312">
        <w:rPr>
          <w:rFonts w:ascii="Bookman Old Style" w:hAnsi="Bookman Old Style"/>
        </w:rPr>
        <w:t>’</w:t>
      </w:r>
      <w:r w:rsidRPr="00D91312">
        <w:rPr>
          <w:rFonts w:ascii="Bookman Old Style" w:hAnsi="Bookman Old Style"/>
        </w:rPr>
        <w:t xml:space="preserve">art. 9, co. 3, del Codice delle assicurazioni private (d.lgs. 7 settembre 2005, n. 209) </w:t>
      </w:r>
      <w:r w:rsidR="00D6561D" w:rsidRPr="00D91312">
        <w:rPr>
          <w:rFonts w:ascii="Bookman Old Style" w:hAnsi="Bookman Old Style"/>
        </w:rPr>
        <w:t xml:space="preserve">prevede </w:t>
      </w:r>
      <w:r w:rsidRPr="00D91312">
        <w:rPr>
          <w:rFonts w:ascii="Bookman Old Style" w:hAnsi="Bookman Old Style"/>
        </w:rPr>
        <w:t xml:space="preserve">che “(…) </w:t>
      </w:r>
      <w:r w:rsidRPr="00D91312">
        <w:rPr>
          <w:rFonts w:ascii="Bookman Old Style" w:hAnsi="Bookman Old Style"/>
          <w:i/>
        </w:rPr>
        <w:t>l</w:t>
      </w:r>
      <w:r w:rsidR="008655D6" w:rsidRPr="00D91312">
        <w:rPr>
          <w:rFonts w:ascii="Bookman Old Style" w:hAnsi="Bookman Old Style"/>
          <w:i/>
        </w:rPr>
        <w:t>’</w:t>
      </w:r>
      <w:r w:rsidRPr="00D91312">
        <w:rPr>
          <w:rFonts w:ascii="Bookman Old Style" w:hAnsi="Bookman Old Style"/>
          <w:i/>
        </w:rPr>
        <w:t>IVASS disciplina, in particolare, i procedimenti relativi all</w:t>
      </w:r>
      <w:r w:rsidR="008655D6" w:rsidRPr="00D91312">
        <w:rPr>
          <w:rFonts w:ascii="Bookman Old Style" w:hAnsi="Bookman Old Style"/>
          <w:i/>
        </w:rPr>
        <w:t>’</w:t>
      </w:r>
      <w:r w:rsidRPr="00D91312">
        <w:rPr>
          <w:rFonts w:ascii="Bookman Old Style" w:hAnsi="Bookman Old Style"/>
          <w:i/>
        </w:rPr>
        <w:t>accertamento delle violazioni ed all</w:t>
      </w:r>
      <w:r w:rsidR="008655D6" w:rsidRPr="00D91312">
        <w:rPr>
          <w:rFonts w:ascii="Bookman Old Style" w:hAnsi="Bookman Old Style"/>
          <w:i/>
        </w:rPr>
        <w:t>’</w:t>
      </w:r>
      <w:r w:rsidRPr="00D91312">
        <w:rPr>
          <w:rFonts w:ascii="Bookman Old Style" w:hAnsi="Bookman Old Style"/>
          <w:i/>
        </w:rPr>
        <w:t xml:space="preserve">irrogazione delle sanzioni </w:t>
      </w:r>
      <w:r w:rsidRPr="00D91312">
        <w:rPr>
          <w:rFonts w:ascii="Bookman Old Style" w:hAnsi="Bookman Old Style"/>
        </w:rPr>
        <w:t>(…)”</w:t>
      </w:r>
      <w:r w:rsidR="00EF1A20" w:rsidRPr="00D91312">
        <w:rPr>
          <w:rFonts w:ascii="Bookman Old Style" w:hAnsi="Bookman Old Style"/>
        </w:rPr>
        <w:t>.</w:t>
      </w:r>
    </w:p>
    <w:p w:rsidR="00BE3388" w:rsidRPr="00D91312" w:rsidRDefault="00DB2E26" w:rsidP="00BE3388">
      <w:pPr>
        <w:jc w:val="both"/>
        <w:rPr>
          <w:rFonts w:ascii="Bookman Old Style" w:hAnsi="Bookman Old Style"/>
        </w:rPr>
      </w:pPr>
      <w:r w:rsidRPr="00D91312">
        <w:rPr>
          <w:rFonts w:ascii="Bookman Old Style" w:hAnsi="Bookman Old Style"/>
        </w:rPr>
        <w:t xml:space="preserve">Il </w:t>
      </w:r>
      <w:r w:rsidR="00BE3388" w:rsidRPr="00D91312">
        <w:rPr>
          <w:rFonts w:ascii="Bookman Old Style" w:hAnsi="Bookman Old Style"/>
        </w:rPr>
        <w:t>regolamento sul</w:t>
      </w:r>
      <w:r w:rsidR="00EF1A20" w:rsidRPr="00D91312">
        <w:rPr>
          <w:rFonts w:ascii="Bookman Old Style" w:hAnsi="Bookman Old Style"/>
        </w:rPr>
        <w:t>la procedura d</w:t>
      </w:r>
      <w:r w:rsidR="008655D6" w:rsidRPr="00D91312">
        <w:rPr>
          <w:rFonts w:ascii="Bookman Old Style" w:hAnsi="Bookman Old Style"/>
        </w:rPr>
        <w:t>’</w:t>
      </w:r>
      <w:r w:rsidR="00BE3388" w:rsidRPr="00D91312">
        <w:rPr>
          <w:rFonts w:ascii="Bookman Old Style" w:hAnsi="Bookman Old Style"/>
        </w:rPr>
        <w:t xml:space="preserve">irrogazione delle sanzioni amministrative </w:t>
      </w:r>
      <w:r w:rsidRPr="00D91312">
        <w:rPr>
          <w:rFonts w:ascii="Bookman Old Style" w:hAnsi="Bookman Old Style"/>
        </w:rPr>
        <w:t>dell</w:t>
      </w:r>
      <w:r w:rsidR="008655D6" w:rsidRPr="00D91312">
        <w:rPr>
          <w:rFonts w:ascii="Bookman Old Style" w:hAnsi="Bookman Old Style"/>
        </w:rPr>
        <w:t>’</w:t>
      </w:r>
      <w:r w:rsidRPr="00D91312">
        <w:rPr>
          <w:rFonts w:ascii="Bookman Old Style" w:hAnsi="Bookman Old Style"/>
        </w:rPr>
        <w:t xml:space="preserve">IVASS </w:t>
      </w:r>
      <w:r w:rsidR="009C3733" w:rsidRPr="00D91312">
        <w:rPr>
          <w:rFonts w:ascii="Bookman Old Style" w:hAnsi="Bookman Old Style"/>
        </w:rPr>
        <w:t xml:space="preserve">(reg. </w:t>
      </w:r>
      <w:r w:rsidR="00BE3388" w:rsidRPr="00D91312">
        <w:rPr>
          <w:rFonts w:ascii="Bookman Old Style" w:hAnsi="Bookman Old Style"/>
        </w:rPr>
        <w:t xml:space="preserve">n. 39 del 2 agosto 2018, pubblicato nella </w:t>
      </w:r>
      <w:r w:rsidRPr="00D91312">
        <w:rPr>
          <w:rFonts w:ascii="Bookman Old Style" w:hAnsi="Bookman Old Style"/>
        </w:rPr>
        <w:t xml:space="preserve">G.U. </w:t>
      </w:r>
      <w:r w:rsidR="00BE3388" w:rsidRPr="00D91312">
        <w:rPr>
          <w:rFonts w:ascii="Bookman Old Style" w:hAnsi="Bookman Old Style"/>
        </w:rPr>
        <w:t xml:space="preserve">n. 218 del 19 settembre 2018, S.O. n. 42, e </w:t>
      </w:r>
      <w:proofErr w:type="spellStart"/>
      <w:r w:rsidR="00BE3388" w:rsidRPr="00D91312">
        <w:rPr>
          <w:rFonts w:ascii="Bookman Old Style" w:hAnsi="Bookman Old Style"/>
        </w:rPr>
        <w:t>s.m.i.</w:t>
      </w:r>
      <w:proofErr w:type="spellEnd"/>
      <w:r w:rsidR="003518E2" w:rsidRPr="00D91312">
        <w:rPr>
          <w:rFonts w:ascii="Bookman Old Style" w:hAnsi="Bookman Old Style"/>
        </w:rPr>
        <w:t>) stabilisc</w:t>
      </w:r>
      <w:r w:rsidR="00D6561D" w:rsidRPr="00D91312">
        <w:rPr>
          <w:rFonts w:ascii="Bookman Old Style" w:hAnsi="Bookman Old Style"/>
        </w:rPr>
        <w:t>e</w:t>
      </w:r>
      <w:r w:rsidR="00620663" w:rsidRPr="00D91312">
        <w:rPr>
          <w:rFonts w:ascii="Bookman Old Style" w:hAnsi="Bookman Old Style"/>
        </w:rPr>
        <w:t xml:space="preserve"> </w:t>
      </w:r>
      <w:r w:rsidR="00D6561D" w:rsidRPr="00D91312">
        <w:rPr>
          <w:rFonts w:ascii="Bookman Old Style" w:hAnsi="Bookman Old Style"/>
        </w:rPr>
        <w:t xml:space="preserve">che </w:t>
      </w:r>
      <w:r w:rsidR="00620663" w:rsidRPr="00D91312">
        <w:rPr>
          <w:rFonts w:ascii="Bookman Old Style" w:hAnsi="Bookman Old Style"/>
        </w:rPr>
        <w:t>il procedimento sanzionatorio ha inizio</w:t>
      </w:r>
      <w:r w:rsidR="003A69FE" w:rsidRPr="00D91312">
        <w:rPr>
          <w:rFonts w:ascii="Bookman Old Style" w:hAnsi="Bookman Old Style"/>
        </w:rPr>
        <w:t>,</w:t>
      </w:r>
      <w:r w:rsidR="00620663" w:rsidRPr="00D91312">
        <w:rPr>
          <w:rFonts w:ascii="Bookman Old Style" w:hAnsi="Bookman Old Style"/>
        </w:rPr>
        <w:t xml:space="preserve"> con la contestazione formale nei confronti dei soggetti ritenuti responsabili delle violazioni riscontrate</w:t>
      </w:r>
      <w:r w:rsidR="003A69FE" w:rsidRPr="00D91312">
        <w:rPr>
          <w:rFonts w:ascii="Bookman Old Style" w:hAnsi="Bookman Old Style"/>
        </w:rPr>
        <w:t>,</w:t>
      </w:r>
      <w:r w:rsidR="00467B45" w:rsidRPr="00D91312">
        <w:rPr>
          <w:rFonts w:ascii="Bookman Old Style" w:hAnsi="Bookman Old Style"/>
        </w:rPr>
        <w:t xml:space="preserve"> </w:t>
      </w:r>
      <w:r w:rsidR="00EF1A20" w:rsidRPr="00D91312">
        <w:rPr>
          <w:rFonts w:ascii="Bookman Old Style" w:hAnsi="Bookman Old Style"/>
        </w:rPr>
        <w:t>ne</w:t>
      </w:r>
      <w:r w:rsidR="00467B45" w:rsidRPr="00D91312">
        <w:rPr>
          <w:rFonts w:ascii="Bookman Old Style" w:hAnsi="Bookman Old Style"/>
        </w:rPr>
        <w:t xml:space="preserve">l termine di </w:t>
      </w:r>
      <w:r w:rsidR="00620663" w:rsidRPr="00D91312">
        <w:rPr>
          <w:rFonts w:ascii="Bookman Old Style" w:hAnsi="Bookman Old Style"/>
        </w:rPr>
        <w:t xml:space="preserve">120 o </w:t>
      </w:r>
      <w:r w:rsidR="00467B45" w:rsidRPr="00D91312">
        <w:rPr>
          <w:rFonts w:ascii="Bookman Old Style" w:hAnsi="Bookman Old Style"/>
        </w:rPr>
        <w:t>di 180 gg. dall</w:t>
      </w:r>
      <w:r w:rsidR="008655D6" w:rsidRPr="00D91312">
        <w:rPr>
          <w:rFonts w:ascii="Bookman Old Style" w:hAnsi="Bookman Old Style"/>
        </w:rPr>
        <w:t>’</w:t>
      </w:r>
      <w:r w:rsidR="00467B45" w:rsidRPr="00D91312">
        <w:rPr>
          <w:rFonts w:ascii="Bookman Old Style" w:hAnsi="Bookman Old Style"/>
        </w:rPr>
        <w:t>accertamento</w:t>
      </w:r>
      <w:r w:rsidR="003A69FE" w:rsidRPr="00D91312">
        <w:rPr>
          <w:rFonts w:ascii="Bookman Old Style" w:hAnsi="Bookman Old Style"/>
        </w:rPr>
        <w:t>,</w:t>
      </w:r>
      <w:r w:rsidR="00620663" w:rsidRPr="00D91312">
        <w:rPr>
          <w:rFonts w:ascii="Bookman Old Style" w:hAnsi="Bookman Old Style"/>
        </w:rPr>
        <w:t xml:space="preserve"> a seconda che si tratti di soggetti residenti in Italia o all</w:t>
      </w:r>
      <w:r w:rsidR="008655D6" w:rsidRPr="00D91312">
        <w:rPr>
          <w:rFonts w:ascii="Bookman Old Style" w:hAnsi="Bookman Old Style"/>
        </w:rPr>
        <w:t>’</w:t>
      </w:r>
      <w:r w:rsidR="00620663" w:rsidRPr="00D91312">
        <w:rPr>
          <w:rFonts w:ascii="Bookman Old Style" w:hAnsi="Bookman Old Style"/>
        </w:rPr>
        <w:t>estero</w:t>
      </w:r>
      <w:r w:rsidR="00EF1A20" w:rsidRPr="00D91312">
        <w:rPr>
          <w:rFonts w:ascii="Bookman Old Style" w:hAnsi="Bookman Old Style"/>
        </w:rPr>
        <w:t xml:space="preserve"> (art. 12).</w:t>
      </w:r>
    </w:p>
    <w:p w:rsidR="00467B45" w:rsidRPr="00D91312" w:rsidRDefault="00116C89" w:rsidP="00876CAC">
      <w:pPr>
        <w:jc w:val="both"/>
        <w:rPr>
          <w:rFonts w:ascii="Bookman Old Style" w:hAnsi="Bookman Old Style"/>
        </w:rPr>
      </w:pPr>
      <w:r w:rsidRPr="00D91312">
        <w:rPr>
          <w:rFonts w:ascii="Bookman Old Style" w:hAnsi="Bookman Old Style"/>
        </w:rPr>
        <w:t>N</w:t>
      </w:r>
      <w:r w:rsidR="00F47B95" w:rsidRPr="00D91312">
        <w:rPr>
          <w:rFonts w:ascii="Bookman Old Style" w:hAnsi="Bookman Old Style"/>
        </w:rPr>
        <w:t>elle loro disposizioni</w:t>
      </w:r>
      <w:r w:rsidRPr="00D91312">
        <w:rPr>
          <w:rFonts w:ascii="Bookman Old Style" w:hAnsi="Bookman Old Style"/>
        </w:rPr>
        <w:t xml:space="preserve"> la Banca d</w:t>
      </w:r>
      <w:r w:rsidR="008655D6" w:rsidRPr="00D91312">
        <w:rPr>
          <w:rFonts w:ascii="Bookman Old Style" w:hAnsi="Bookman Old Style"/>
        </w:rPr>
        <w:t>’</w:t>
      </w:r>
      <w:r w:rsidRPr="00D91312">
        <w:rPr>
          <w:rFonts w:ascii="Bookman Old Style" w:hAnsi="Bookman Old Style"/>
        </w:rPr>
        <w:t>Italia e l</w:t>
      </w:r>
      <w:r w:rsidR="008655D6" w:rsidRPr="00D91312">
        <w:rPr>
          <w:rFonts w:ascii="Bookman Old Style" w:hAnsi="Bookman Old Style"/>
        </w:rPr>
        <w:t>’</w:t>
      </w:r>
      <w:r w:rsidRPr="00D91312">
        <w:rPr>
          <w:rFonts w:ascii="Bookman Old Style" w:hAnsi="Bookman Old Style"/>
        </w:rPr>
        <w:t>IVASS (la seconda limitatamente al caso di illeciti emersi nell</w:t>
      </w:r>
      <w:r w:rsidR="008655D6" w:rsidRPr="00D91312">
        <w:rPr>
          <w:rFonts w:ascii="Bookman Old Style" w:hAnsi="Bookman Old Style"/>
        </w:rPr>
        <w:t>’</w:t>
      </w:r>
      <w:r w:rsidRPr="00D91312">
        <w:rPr>
          <w:rFonts w:ascii="Bookman Old Style" w:hAnsi="Bookman Old Style"/>
        </w:rPr>
        <w:t>ambito di verifiche ispettive)</w:t>
      </w:r>
      <w:r w:rsidR="00F47B95" w:rsidRPr="00D91312">
        <w:rPr>
          <w:rFonts w:ascii="Bookman Old Style" w:hAnsi="Bookman Old Style"/>
        </w:rPr>
        <w:t xml:space="preserve"> hanno normato </w:t>
      </w:r>
      <w:r w:rsidR="00EF1A20" w:rsidRPr="00D91312">
        <w:rPr>
          <w:rFonts w:ascii="Bookman Old Style" w:hAnsi="Bookman Old Style"/>
        </w:rPr>
        <w:t xml:space="preserve">anche </w:t>
      </w:r>
      <w:r w:rsidR="00F47B95" w:rsidRPr="00D91312">
        <w:rPr>
          <w:rFonts w:ascii="Bookman Old Style" w:hAnsi="Bookman Old Style"/>
        </w:rPr>
        <w:t xml:space="preserve">il momento di </w:t>
      </w:r>
      <w:r w:rsidRPr="00D91312">
        <w:rPr>
          <w:rFonts w:ascii="Bookman Old Style" w:hAnsi="Bookman Old Style"/>
        </w:rPr>
        <w:t xml:space="preserve">conclusione </w:t>
      </w:r>
      <w:r w:rsidR="00F47B95" w:rsidRPr="00D91312">
        <w:rPr>
          <w:rFonts w:ascii="Bookman Old Style" w:hAnsi="Bookman Old Style"/>
        </w:rPr>
        <w:t>degli accertamenti</w:t>
      </w:r>
      <w:r w:rsidR="005C2E3C" w:rsidRPr="00D91312">
        <w:rPr>
          <w:rFonts w:ascii="Bookman Old Style" w:hAnsi="Bookman Old Style"/>
        </w:rPr>
        <w:t xml:space="preserve"> </w:t>
      </w:r>
      <w:r w:rsidRPr="00D91312">
        <w:rPr>
          <w:rFonts w:ascii="Bookman Old Style" w:hAnsi="Bookman Old Style"/>
        </w:rPr>
        <w:t xml:space="preserve">formalizzando la chiusura </w:t>
      </w:r>
      <w:r w:rsidR="00115C05" w:rsidRPr="00D91312">
        <w:rPr>
          <w:rFonts w:ascii="Bookman Old Style" w:hAnsi="Bookman Old Style"/>
        </w:rPr>
        <w:t>del</w:t>
      </w:r>
      <w:r w:rsidR="00876CAC" w:rsidRPr="00D91312">
        <w:rPr>
          <w:rFonts w:ascii="Bookman Old Style" w:hAnsi="Bookman Old Style"/>
        </w:rPr>
        <w:t xml:space="preserve">la fase </w:t>
      </w:r>
      <w:r w:rsidR="00115C05" w:rsidRPr="00D91312">
        <w:rPr>
          <w:rFonts w:ascii="Bookman Old Style" w:hAnsi="Bookman Old Style"/>
        </w:rPr>
        <w:t>preliminare</w:t>
      </w:r>
      <w:r w:rsidR="00EF1A20" w:rsidRPr="00D91312">
        <w:rPr>
          <w:rFonts w:ascii="Bookman Old Style" w:hAnsi="Bookman Old Style"/>
        </w:rPr>
        <w:t>, propedeutica</w:t>
      </w:r>
      <w:r w:rsidR="00115C05" w:rsidRPr="00D91312">
        <w:rPr>
          <w:rFonts w:ascii="Bookman Old Style" w:hAnsi="Bookman Old Style"/>
        </w:rPr>
        <w:t xml:space="preserve"> all</w:t>
      </w:r>
      <w:r w:rsidR="008655D6" w:rsidRPr="00D91312">
        <w:rPr>
          <w:rFonts w:ascii="Bookman Old Style" w:hAnsi="Bookman Old Style"/>
        </w:rPr>
        <w:t>’</w:t>
      </w:r>
      <w:r w:rsidR="00115C05" w:rsidRPr="00D91312">
        <w:rPr>
          <w:rFonts w:ascii="Bookman Old Style" w:hAnsi="Bookman Old Style"/>
        </w:rPr>
        <w:t xml:space="preserve">avvio del procedimento sanzionatorio. </w:t>
      </w:r>
    </w:p>
    <w:p w:rsidR="00876CAC" w:rsidRPr="00D91312" w:rsidRDefault="003A69FE" w:rsidP="004460CA">
      <w:pPr>
        <w:jc w:val="both"/>
        <w:rPr>
          <w:rFonts w:ascii="Bookman Old Style" w:hAnsi="Bookman Old Style"/>
        </w:rPr>
      </w:pPr>
      <w:r w:rsidRPr="00D91312">
        <w:rPr>
          <w:rFonts w:ascii="Bookman Old Style" w:hAnsi="Bookman Old Style"/>
        </w:rPr>
        <w:t>Come nel caso già visto della CONSOB, a</w:t>
      </w:r>
      <w:r w:rsidR="00876CAC" w:rsidRPr="00D91312">
        <w:rPr>
          <w:rFonts w:ascii="Bookman Old Style" w:hAnsi="Bookman Old Style"/>
        </w:rPr>
        <w:t xml:space="preserve">nche </w:t>
      </w:r>
      <w:r w:rsidRPr="00D91312">
        <w:rPr>
          <w:rFonts w:ascii="Bookman Old Style" w:hAnsi="Bookman Old Style"/>
        </w:rPr>
        <w:t>per la Banca d</w:t>
      </w:r>
      <w:r w:rsidR="008655D6" w:rsidRPr="00D91312">
        <w:rPr>
          <w:rFonts w:ascii="Bookman Old Style" w:hAnsi="Bookman Old Style"/>
        </w:rPr>
        <w:t>’</w:t>
      </w:r>
      <w:r w:rsidRPr="00D91312">
        <w:rPr>
          <w:rFonts w:ascii="Bookman Old Style" w:hAnsi="Bookman Old Style"/>
        </w:rPr>
        <w:t>Italia e l</w:t>
      </w:r>
      <w:r w:rsidR="008655D6" w:rsidRPr="00D91312">
        <w:rPr>
          <w:rFonts w:ascii="Bookman Old Style" w:hAnsi="Bookman Old Style"/>
        </w:rPr>
        <w:t>’</w:t>
      </w:r>
      <w:r w:rsidRPr="00D91312">
        <w:rPr>
          <w:rFonts w:ascii="Bookman Old Style" w:hAnsi="Bookman Old Style"/>
        </w:rPr>
        <w:t xml:space="preserve">IVASS </w:t>
      </w:r>
      <w:r w:rsidR="00523FA0" w:rsidRPr="00D91312">
        <w:rPr>
          <w:rFonts w:ascii="Bookman Old Style" w:hAnsi="Bookman Old Style"/>
        </w:rPr>
        <w:t xml:space="preserve">la </w:t>
      </w:r>
      <w:r w:rsidRPr="00D91312">
        <w:rPr>
          <w:rFonts w:ascii="Bookman Old Style" w:hAnsi="Bookman Old Style"/>
        </w:rPr>
        <w:t xml:space="preserve">rispettiva </w:t>
      </w:r>
      <w:r w:rsidR="00523FA0" w:rsidRPr="00D91312">
        <w:rPr>
          <w:rFonts w:ascii="Bookman Old Style" w:hAnsi="Bookman Old Style"/>
        </w:rPr>
        <w:t xml:space="preserve">normativa primaria non contiene alcun </w:t>
      </w:r>
      <w:r w:rsidR="00876CAC" w:rsidRPr="00D91312">
        <w:rPr>
          <w:rFonts w:ascii="Bookman Old Style" w:hAnsi="Bookman Old Style"/>
        </w:rPr>
        <w:t>riferimento alla legge n. 689/81</w:t>
      </w:r>
      <w:r w:rsidRPr="00D91312">
        <w:rPr>
          <w:rFonts w:ascii="Bookman Old Style" w:hAnsi="Bookman Old Style"/>
        </w:rPr>
        <w:t xml:space="preserve"> e tuttavia non risulta che si sia mai </w:t>
      </w:r>
      <w:r w:rsidR="0041616C" w:rsidRPr="00D91312">
        <w:rPr>
          <w:rFonts w:ascii="Bookman Old Style" w:hAnsi="Bookman Old Style"/>
        </w:rPr>
        <w:t xml:space="preserve">dubitato </w:t>
      </w:r>
      <w:r w:rsidR="00876CAC" w:rsidRPr="00D91312">
        <w:rPr>
          <w:rFonts w:ascii="Bookman Old Style" w:hAnsi="Bookman Old Style"/>
        </w:rPr>
        <w:t>della natura perentoria di quel</w:t>
      </w:r>
      <w:r w:rsidR="0033663D" w:rsidRPr="00D91312">
        <w:rPr>
          <w:rFonts w:ascii="Bookman Old Style" w:hAnsi="Bookman Old Style"/>
        </w:rPr>
        <w:t>le scadenze</w:t>
      </w:r>
      <w:r w:rsidR="00BF7CB6" w:rsidRPr="00D91312">
        <w:rPr>
          <w:rFonts w:ascii="Bookman Old Style" w:hAnsi="Bookman Old Style"/>
        </w:rPr>
        <w:t>,</w:t>
      </w:r>
      <w:r w:rsidR="0041616C" w:rsidRPr="00D91312">
        <w:rPr>
          <w:rFonts w:ascii="Bookman Old Style" w:hAnsi="Bookman Old Style"/>
        </w:rPr>
        <w:t xml:space="preserve"> </w:t>
      </w:r>
      <w:r w:rsidR="006412FE" w:rsidRPr="00D91312">
        <w:rPr>
          <w:rFonts w:ascii="Bookman Old Style" w:hAnsi="Bookman Old Style"/>
        </w:rPr>
        <w:t xml:space="preserve">valide restando </w:t>
      </w:r>
      <w:r w:rsidR="0041616C" w:rsidRPr="00D91312">
        <w:rPr>
          <w:rFonts w:ascii="Bookman Old Style" w:hAnsi="Bookman Old Style"/>
        </w:rPr>
        <w:t xml:space="preserve">le </w:t>
      </w:r>
      <w:r w:rsidR="006412FE" w:rsidRPr="00D91312">
        <w:rPr>
          <w:rFonts w:ascii="Bookman Old Style" w:hAnsi="Bookman Old Style"/>
        </w:rPr>
        <w:t xml:space="preserve">stesse </w:t>
      </w:r>
      <w:r w:rsidR="0041616C" w:rsidRPr="00D91312">
        <w:rPr>
          <w:rFonts w:ascii="Bookman Old Style" w:hAnsi="Bookman Old Style"/>
        </w:rPr>
        <w:t>ragioni sopra esposte (</w:t>
      </w:r>
      <w:r w:rsidR="006412FE" w:rsidRPr="00D91312">
        <w:rPr>
          <w:rFonts w:ascii="Bookman Old Style" w:hAnsi="Bookman Old Style"/>
        </w:rPr>
        <w:t xml:space="preserve">mentre </w:t>
      </w:r>
      <w:r w:rsidR="0041616C" w:rsidRPr="00D91312">
        <w:rPr>
          <w:rFonts w:ascii="Bookman Old Style" w:hAnsi="Bookman Old Style"/>
        </w:rPr>
        <w:t>la giurisprudenza civile</w:t>
      </w:r>
      <w:r w:rsidR="0033663D" w:rsidRPr="00D91312">
        <w:rPr>
          <w:rFonts w:ascii="Bookman Old Style" w:hAnsi="Bookman Old Style"/>
        </w:rPr>
        <w:t xml:space="preserve"> esclude </w:t>
      </w:r>
      <w:r w:rsidR="004460CA" w:rsidRPr="00D91312">
        <w:rPr>
          <w:rFonts w:ascii="Bookman Old Style" w:hAnsi="Bookman Old Style"/>
        </w:rPr>
        <w:t xml:space="preserve">la </w:t>
      </w:r>
      <w:r w:rsidR="0033663D" w:rsidRPr="00D91312">
        <w:rPr>
          <w:rFonts w:ascii="Bookman Old Style" w:hAnsi="Bookman Old Style"/>
        </w:rPr>
        <w:t>perentori</w:t>
      </w:r>
      <w:r w:rsidR="004460CA" w:rsidRPr="00D91312">
        <w:rPr>
          <w:rFonts w:ascii="Bookman Old Style" w:hAnsi="Bookman Old Style"/>
        </w:rPr>
        <w:t>età</w:t>
      </w:r>
      <w:r w:rsidR="0033663D" w:rsidRPr="00D91312">
        <w:rPr>
          <w:rFonts w:ascii="Bookman Old Style" w:hAnsi="Bookman Old Style"/>
        </w:rPr>
        <w:t xml:space="preserve"> </w:t>
      </w:r>
      <w:r w:rsidR="004460CA" w:rsidRPr="00D91312">
        <w:rPr>
          <w:rFonts w:ascii="Bookman Old Style" w:hAnsi="Bookman Old Style"/>
        </w:rPr>
        <w:t>del termine</w:t>
      </w:r>
      <w:r w:rsidR="0033663D" w:rsidRPr="00D91312">
        <w:rPr>
          <w:rFonts w:ascii="Bookman Old Style" w:hAnsi="Bookman Old Style"/>
        </w:rPr>
        <w:t xml:space="preserve"> </w:t>
      </w:r>
      <w:r w:rsidR="004460CA" w:rsidRPr="00D91312">
        <w:rPr>
          <w:rFonts w:ascii="Bookman Old Style" w:hAnsi="Bookman Old Style"/>
        </w:rPr>
        <w:t>fissato</w:t>
      </w:r>
      <w:r w:rsidR="006412FE" w:rsidRPr="00D91312">
        <w:rPr>
          <w:rFonts w:ascii="Bookman Old Style" w:hAnsi="Bookman Old Style"/>
        </w:rPr>
        <w:t>, viceversa,</w:t>
      </w:r>
      <w:r w:rsidR="004460CA" w:rsidRPr="00D91312">
        <w:rPr>
          <w:rFonts w:ascii="Bookman Old Style" w:hAnsi="Bookman Old Style"/>
        </w:rPr>
        <w:t xml:space="preserve"> in sede di normativa secondaria</w:t>
      </w:r>
      <w:r w:rsidR="006412FE" w:rsidRPr="00D91312">
        <w:rPr>
          <w:rFonts w:ascii="Bookman Old Style" w:hAnsi="Bookman Old Style"/>
        </w:rPr>
        <w:t xml:space="preserve"> per la conclusione del procedimento sanzionatorio</w:t>
      </w:r>
      <w:r w:rsidR="00F40F16" w:rsidRPr="00D91312">
        <w:rPr>
          <w:rStyle w:val="Rimandonotaapidipagina"/>
          <w:rFonts w:ascii="Bookman Old Style" w:hAnsi="Bookman Old Style"/>
        </w:rPr>
        <w:footnoteReference w:id="8"/>
      </w:r>
      <w:r w:rsidR="004460CA" w:rsidRPr="00D91312">
        <w:rPr>
          <w:rFonts w:ascii="Bookman Old Style" w:hAnsi="Bookman Old Style"/>
        </w:rPr>
        <w:t>)</w:t>
      </w:r>
      <w:r w:rsidR="00BF7CB6" w:rsidRPr="00D91312">
        <w:rPr>
          <w:rFonts w:ascii="Bookman Old Style" w:hAnsi="Bookman Old Style"/>
        </w:rPr>
        <w:t>.</w:t>
      </w:r>
    </w:p>
    <w:p w:rsidR="006412FE" w:rsidRPr="00D91312" w:rsidRDefault="005F3262" w:rsidP="004460CA">
      <w:pPr>
        <w:jc w:val="both"/>
        <w:rPr>
          <w:rFonts w:ascii="Bookman Old Style" w:hAnsi="Bookman Old Style"/>
        </w:rPr>
      </w:pPr>
      <w:r w:rsidRPr="00D91312">
        <w:rPr>
          <w:rFonts w:ascii="Bookman Old Style" w:hAnsi="Bookman Old Style"/>
        </w:rPr>
        <w:t>Piuttosto, le controversie riguardanti la tempestività della contestazione formale delle violazioni s</w:t>
      </w:r>
      <w:r w:rsidR="008655D6" w:rsidRPr="00D91312">
        <w:rPr>
          <w:rFonts w:ascii="Bookman Old Style" w:hAnsi="Bookman Old Style"/>
        </w:rPr>
        <w:t>’</w:t>
      </w:r>
      <w:r w:rsidRPr="00D91312">
        <w:rPr>
          <w:rFonts w:ascii="Bookman Old Style" w:hAnsi="Bookman Old Style"/>
        </w:rPr>
        <w:t xml:space="preserve">incentrano sul </w:t>
      </w:r>
      <w:proofErr w:type="spellStart"/>
      <w:r w:rsidRPr="00D91312">
        <w:rPr>
          <w:rFonts w:ascii="Bookman Old Style" w:hAnsi="Bookman Old Style"/>
          <w:i/>
        </w:rPr>
        <w:t>dies</w:t>
      </w:r>
      <w:proofErr w:type="spellEnd"/>
      <w:r w:rsidRPr="00D91312">
        <w:rPr>
          <w:rFonts w:ascii="Bookman Old Style" w:hAnsi="Bookman Old Style"/>
          <w:i/>
        </w:rPr>
        <w:t xml:space="preserve"> a quo</w:t>
      </w:r>
      <w:r w:rsidRPr="00D91312">
        <w:rPr>
          <w:rFonts w:ascii="Bookman Old Style" w:hAnsi="Bookman Old Style"/>
        </w:rPr>
        <w:t xml:space="preserve"> </w:t>
      </w:r>
      <w:r w:rsidR="006D56AC" w:rsidRPr="00D91312">
        <w:rPr>
          <w:rFonts w:ascii="Bookman Old Style" w:hAnsi="Bookman Old Style"/>
        </w:rPr>
        <w:t xml:space="preserve">del </w:t>
      </w:r>
      <w:r w:rsidRPr="00D91312">
        <w:rPr>
          <w:rFonts w:ascii="Bookman Old Style" w:hAnsi="Bookman Old Style"/>
        </w:rPr>
        <w:t>termine,</w:t>
      </w:r>
      <w:r w:rsidR="00B734E2" w:rsidRPr="00D91312">
        <w:rPr>
          <w:rFonts w:ascii="Bookman Old Style" w:hAnsi="Bookman Old Style"/>
        </w:rPr>
        <w:t xml:space="preserve"> cioè sul momento nel quale l</w:t>
      </w:r>
      <w:r w:rsidR="008655D6" w:rsidRPr="00D91312">
        <w:rPr>
          <w:rFonts w:ascii="Bookman Old Style" w:hAnsi="Bookman Old Style"/>
        </w:rPr>
        <w:t>’</w:t>
      </w:r>
      <w:r w:rsidR="00B734E2" w:rsidRPr="00D91312">
        <w:rPr>
          <w:rFonts w:ascii="Bookman Old Style" w:hAnsi="Bookman Old Style"/>
        </w:rPr>
        <w:t>accertamento preliminare alla contestazione</w:t>
      </w:r>
      <w:r w:rsidR="006D56AC" w:rsidRPr="00D91312">
        <w:rPr>
          <w:rFonts w:ascii="Bookman Old Style" w:hAnsi="Bookman Old Style"/>
        </w:rPr>
        <w:t xml:space="preserve"> </w:t>
      </w:r>
      <w:r w:rsidR="006412FE" w:rsidRPr="00D91312">
        <w:rPr>
          <w:rFonts w:ascii="Bookman Old Style" w:hAnsi="Bookman Old Style"/>
        </w:rPr>
        <w:t xml:space="preserve">può dirsi concluso </w:t>
      </w:r>
      <w:proofErr w:type="gramStart"/>
      <w:r w:rsidR="00B734E2" w:rsidRPr="00D91312">
        <w:rPr>
          <w:rFonts w:ascii="Bookman Old Style" w:hAnsi="Bookman Old Style"/>
        </w:rPr>
        <w:t>e</w:t>
      </w:r>
      <w:proofErr w:type="gramEnd"/>
      <w:r w:rsidR="00B734E2" w:rsidRPr="00D91312">
        <w:rPr>
          <w:rFonts w:ascii="Bookman Old Style" w:hAnsi="Bookman Old Style"/>
        </w:rPr>
        <w:t xml:space="preserve"> sul tempo impiegato per concluderlo</w:t>
      </w:r>
      <w:r w:rsidR="006412FE" w:rsidRPr="00D91312">
        <w:rPr>
          <w:rFonts w:ascii="Bookman Old Style" w:hAnsi="Bookman Old Style"/>
        </w:rPr>
        <w:t>.</w:t>
      </w:r>
    </w:p>
    <w:p w:rsidR="00E50567" w:rsidRPr="00D91312" w:rsidRDefault="006412FE" w:rsidP="004460CA">
      <w:pPr>
        <w:jc w:val="both"/>
        <w:rPr>
          <w:rFonts w:ascii="Bookman Old Style" w:hAnsi="Bookman Old Style"/>
        </w:rPr>
      </w:pPr>
      <w:r w:rsidRPr="00D91312">
        <w:rPr>
          <w:rFonts w:ascii="Bookman Old Style" w:hAnsi="Bookman Old Style"/>
        </w:rPr>
        <w:t>Su queste</w:t>
      </w:r>
      <w:r w:rsidR="00B734E2" w:rsidRPr="00D91312">
        <w:rPr>
          <w:rFonts w:ascii="Bookman Old Style" w:hAnsi="Bookman Old Style"/>
        </w:rPr>
        <w:t xml:space="preserve"> questioni gli approdi giurisprudenziali sono </w:t>
      </w:r>
      <w:r w:rsidR="00AA592F" w:rsidRPr="00D91312">
        <w:rPr>
          <w:rFonts w:ascii="Bookman Old Style" w:hAnsi="Bookman Old Style"/>
        </w:rPr>
        <w:t xml:space="preserve">i medesimi </w:t>
      </w:r>
      <w:r w:rsidR="006D56AC" w:rsidRPr="00D91312">
        <w:rPr>
          <w:rFonts w:ascii="Bookman Old Style" w:hAnsi="Bookman Old Style"/>
        </w:rPr>
        <w:t xml:space="preserve">raggiunti </w:t>
      </w:r>
      <w:r w:rsidRPr="00D91312">
        <w:rPr>
          <w:rFonts w:ascii="Bookman Old Style" w:hAnsi="Bookman Old Style"/>
        </w:rPr>
        <w:t>per l</w:t>
      </w:r>
      <w:r w:rsidR="008655D6" w:rsidRPr="00D91312">
        <w:rPr>
          <w:rFonts w:ascii="Bookman Old Style" w:hAnsi="Bookman Old Style"/>
        </w:rPr>
        <w:t>’</w:t>
      </w:r>
      <w:r w:rsidRPr="00D91312">
        <w:rPr>
          <w:rFonts w:ascii="Bookman Old Style" w:hAnsi="Bookman Old Style"/>
        </w:rPr>
        <w:t>art. 14 della legge</w:t>
      </w:r>
      <w:r w:rsidR="00B734E2" w:rsidRPr="00D91312">
        <w:rPr>
          <w:rFonts w:ascii="Bookman Old Style" w:hAnsi="Bookman Old Style"/>
        </w:rPr>
        <w:t xml:space="preserve"> 689/81</w:t>
      </w:r>
      <w:r w:rsidRPr="00D91312">
        <w:rPr>
          <w:rFonts w:ascii="Bookman Old Style" w:hAnsi="Bookman Old Style"/>
        </w:rPr>
        <w:t xml:space="preserve"> in generale</w:t>
      </w:r>
      <w:r w:rsidR="00B734E2" w:rsidRPr="00D91312">
        <w:rPr>
          <w:rFonts w:ascii="Bookman Old Style" w:hAnsi="Bookman Old Style"/>
        </w:rPr>
        <w:t xml:space="preserve">, </w:t>
      </w:r>
      <w:r w:rsidR="00AA592F" w:rsidRPr="00D91312">
        <w:rPr>
          <w:rFonts w:ascii="Bookman Old Style" w:hAnsi="Bookman Old Style"/>
        </w:rPr>
        <w:t xml:space="preserve">concordando </w:t>
      </w:r>
      <w:r w:rsidR="00B734E2" w:rsidRPr="00D91312">
        <w:rPr>
          <w:rFonts w:ascii="Bookman Old Style" w:hAnsi="Bookman Old Style"/>
        </w:rPr>
        <w:t>sia la giurisprudenza civile</w:t>
      </w:r>
      <w:r w:rsidR="00A26468" w:rsidRPr="00D91312">
        <w:rPr>
          <w:rStyle w:val="Rimandonotaapidipagina"/>
          <w:rFonts w:ascii="Bookman Old Style" w:hAnsi="Bookman Old Style"/>
        </w:rPr>
        <w:footnoteReference w:id="9"/>
      </w:r>
      <w:r w:rsidR="00B734E2" w:rsidRPr="00D91312">
        <w:rPr>
          <w:rFonts w:ascii="Bookman Old Style" w:hAnsi="Bookman Old Style"/>
        </w:rPr>
        <w:t xml:space="preserve"> </w:t>
      </w:r>
      <w:r w:rsidR="006D56AC" w:rsidRPr="00D91312">
        <w:rPr>
          <w:rFonts w:ascii="Bookman Old Style" w:hAnsi="Bookman Old Style"/>
        </w:rPr>
        <w:t xml:space="preserve">sia </w:t>
      </w:r>
      <w:r w:rsidR="00B734E2" w:rsidRPr="00D91312">
        <w:rPr>
          <w:rFonts w:ascii="Bookman Old Style" w:hAnsi="Bookman Old Style"/>
        </w:rPr>
        <w:t>quella amministrativa</w:t>
      </w:r>
      <w:r w:rsidR="00411D8D" w:rsidRPr="00D91312">
        <w:rPr>
          <w:rStyle w:val="Rimandonotaapidipagina"/>
          <w:rFonts w:ascii="Bookman Old Style" w:hAnsi="Bookman Old Style"/>
        </w:rPr>
        <w:footnoteReference w:id="10"/>
      </w:r>
      <w:r w:rsidR="00B734E2" w:rsidRPr="00D91312">
        <w:rPr>
          <w:rFonts w:ascii="Bookman Old Style" w:hAnsi="Bookman Old Style"/>
        </w:rPr>
        <w:t xml:space="preserve"> </w:t>
      </w:r>
      <w:r w:rsidR="00AA592F" w:rsidRPr="00D91312">
        <w:rPr>
          <w:rFonts w:ascii="Bookman Old Style" w:hAnsi="Bookman Old Style"/>
        </w:rPr>
        <w:t xml:space="preserve">che </w:t>
      </w:r>
      <w:r w:rsidR="00E50567" w:rsidRPr="00D91312">
        <w:rPr>
          <w:rFonts w:ascii="Bookman Old Style" w:hAnsi="Bookman Old Style"/>
        </w:rPr>
        <w:t xml:space="preserve">il giudice può sindacare </w:t>
      </w:r>
      <w:r w:rsidR="006D56AC" w:rsidRPr="00D91312">
        <w:rPr>
          <w:rFonts w:ascii="Bookman Old Style" w:hAnsi="Bookman Old Style"/>
        </w:rPr>
        <w:t xml:space="preserve">la ragionevolezza del tempo </w:t>
      </w:r>
      <w:r w:rsidRPr="00D91312">
        <w:rPr>
          <w:rFonts w:ascii="Bookman Old Style" w:hAnsi="Bookman Old Style"/>
        </w:rPr>
        <w:t xml:space="preserve">impiegato </w:t>
      </w:r>
      <w:r w:rsidR="006D56AC" w:rsidRPr="00D91312">
        <w:rPr>
          <w:rFonts w:ascii="Bookman Old Style" w:hAnsi="Bookman Old Style"/>
        </w:rPr>
        <w:t xml:space="preserve">per </w:t>
      </w:r>
      <w:r w:rsidR="007865C1" w:rsidRPr="00D91312">
        <w:rPr>
          <w:rFonts w:ascii="Bookman Old Style" w:hAnsi="Bookman Old Style"/>
        </w:rPr>
        <w:t>l</w:t>
      </w:r>
      <w:r w:rsidR="008655D6" w:rsidRPr="00D91312">
        <w:rPr>
          <w:rFonts w:ascii="Bookman Old Style" w:hAnsi="Bookman Old Style"/>
        </w:rPr>
        <w:t>’</w:t>
      </w:r>
      <w:r w:rsidR="007865C1" w:rsidRPr="00D91312">
        <w:rPr>
          <w:rFonts w:ascii="Bookman Old Style" w:hAnsi="Bookman Old Style"/>
        </w:rPr>
        <w:t>accertamento</w:t>
      </w:r>
      <w:r w:rsidRPr="00D91312">
        <w:rPr>
          <w:rFonts w:ascii="Bookman Old Style" w:hAnsi="Bookman Old Style"/>
        </w:rPr>
        <w:t xml:space="preserve"> e, in particolare</w:t>
      </w:r>
      <w:r w:rsidR="0075189E" w:rsidRPr="00D91312">
        <w:rPr>
          <w:rFonts w:ascii="Bookman Old Style" w:hAnsi="Bookman Old Style"/>
        </w:rPr>
        <w:t>, verifica</w:t>
      </w:r>
      <w:r w:rsidRPr="00D91312">
        <w:rPr>
          <w:rFonts w:ascii="Bookman Old Style" w:hAnsi="Bookman Old Style"/>
        </w:rPr>
        <w:t xml:space="preserve">re se vi sia stata una </w:t>
      </w:r>
      <w:r w:rsidR="0075189E" w:rsidRPr="00D91312">
        <w:rPr>
          <w:rFonts w:ascii="Bookman Old Style" w:hAnsi="Bookman Old Style"/>
        </w:rPr>
        <w:t>ingiustificata e protratta inerzia</w:t>
      </w:r>
      <w:r w:rsidRPr="00D91312">
        <w:rPr>
          <w:rFonts w:ascii="Bookman Old Style" w:hAnsi="Bookman Old Style"/>
        </w:rPr>
        <w:t>,</w:t>
      </w:r>
      <w:r w:rsidR="0075189E" w:rsidRPr="00D91312">
        <w:rPr>
          <w:rFonts w:ascii="Bookman Old Style" w:hAnsi="Bookman Old Style"/>
        </w:rPr>
        <w:t xml:space="preserve"> durante o dopo la raccolta dei dati di indagine, </w:t>
      </w:r>
      <w:r w:rsidR="00AA592F" w:rsidRPr="00D91312">
        <w:rPr>
          <w:rFonts w:ascii="Bookman Old Style" w:hAnsi="Bookman Old Style"/>
        </w:rPr>
        <w:t>e individuare il momento iniziale del termine per la contes</w:t>
      </w:r>
      <w:r w:rsidR="00A9030A" w:rsidRPr="00D91312">
        <w:rPr>
          <w:rFonts w:ascii="Bookman Old Style" w:hAnsi="Bookman Old Style"/>
        </w:rPr>
        <w:t>tazione non nel giorno in cui l</w:t>
      </w:r>
      <w:r w:rsidR="008655D6" w:rsidRPr="00D91312">
        <w:rPr>
          <w:rFonts w:ascii="Bookman Old Style" w:hAnsi="Bookman Old Style"/>
        </w:rPr>
        <w:t>’</w:t>
      </w:r>
      <w:r w:rsidR="00A9030A" w:rsidRPr="00D91312">
        <w:rPr>
          <w:rFonts w:ascii="Bookman Old Style" w:hAnsi="Bookman Old Style"/>
        </w:rPr>
        <w:t>accertamento è stato</w:t>
      </w:r>
      <w:r w:rsidR="00FB2BFC" w:rsidRPr="00D91312">
        <w:rPr>
          <w:rFonts w:ascii="Bookman Old Style" w:hAnsi="Bookman Old Style"/>
        </w:rPr>
        <w:t xml:space="preserve"> </w:t>
      </w:r>
      <w:r w:rsidR="00A9030A" w:rsidRPr="00D91312">
        <w:rPr>
          <w:rFonts w:ascii="Bookman Old Style" w:hAnsi="Bookman Old Style"/>
        </w:rPr>
        <w:t>concluso</w:t>
      </w:r>
      <w:r w:rsidR="00AA592F" w:rsidRPr="00D91312">
        <w:rPr>
          <w:rFonts w:ascii="Bookman Old Style" w:hAnsi="Bookman Old Style"/>
        </w:rPr>
        <w:t xml:space="preserve">, ma in quello in cui </w:t>
      </w:r>
      <w:r w:rsidR="00FA7DEE" w:rsidRPr="00D91312">
        <w:rPr>
          <w:rFonts w:ascii="Bookman Old Style" w:hAnsi="Bookman Old Style"/>
        </w:rPr>
        <w:t xml:space="preserve">avrebbe potuto esserlo </w:t>
      </w:r>
      <w:r w:rsidR="00A9030A" w:rsidRPr="00D91312">
        <w:rPr>
          <w:rFonts w:ascii="Bookman Old Style" w:hAnsi="Bookman Old Style"/>
        </w:rPr>
        <w:t>(</w:t>
      </w:r>
      <w:r w:rsidR="00FA7DEE" w:rsidRPr="00D91312">
        <w:rPr>
          <w:rFonts w:ascii="Bookman Old Style" w:hAnsi="Bookman Old Style"/>
        </w:rPr>
        <w:t xml:space="preserve">con un giudizio </w:t>
      </w:r>
      <w:r w:rsidR="00FA7DEE" w:rsidRPr="00D91312">
        <w:rPr>
          <w:rFonts w:ascii="Bookman Old Style" w:hAnsi="Bookman Old Style"/>
          <w:i/>
        </w:rPr>
        <w:t xml:space="preserve">ex ante, </w:t>
      </w:r>
      <w:r w:rsidR="00FA7DEE" w:rsidRPr="00D91312">
        <w:rPr>
          <w:rFonts w:ascii="Bookman Old Style" w:hAnsi="Bookman Old Style"/>
        </w:rPr>
        <w:t>sulla base delle deduzioni dell</w:t>
      </w:r>
      <w:r w:rsidR="008655D6" w:rsidRPr="00D91312">
        <w:rPr>
          <w:rFonts w:ascii="Bookman Old Style" w:hAnsi="Bookman Old Style"/>
        </w:rPr>
        <w:t>’</w:t>
      </w:r>
      <w:r w:rsidR="00FA7DEE" w:rsidRPr="00D91312">
        <w:rPr>
          <w:rFonts w:ascii="Bookman Old Style" w:hAnsi="Bookman Old Style"/>
        </w:rPr>
        <w:t>amministrazione e dell</w:t>
      </w:r>
      <w:r w:rsidR="008655D6" w:rsidRPr="00D91312">
        <w:rPr>
          <w:rFonts w:ascii="Bookman Old Style" w:hAnsi="Bookman Old Style"/>
        </w:rPr>
        <w:t>’</w:t>
      </w:r>
      <w:r w:rsidR="00FA7DEE" w:rsidRPr="00D91312">
        <w:rPr>
          <w:rFonts w:ascii="Bookman Old Style" w:hAnsi="Bookman Old Style"/>
        </w:rPr>
        <w:t>esame degli atti relativi all</w:t>
      </w:r>
      <w:r w:rsidR="008655D6" w:rsidRPr="00D91312">
        <w:rPr>
          <w:rFonts w:ascii="Bookman Old Style" w:hAnsi="Bookman Old Style"/>
        </w:rPr>
        <w:t>’</w:t>
      </w:r>
      <w:r w:rsidR="00FA7DEE" w:rsidRPr="00D91312">
        <w:rPr>
          <w:rFonts w:ascii="Bookman Old Style" w:hAnsi="Bookman Old Style"/>
        </w:rPr>
        <w:t>accertamento, apprezzando l</w:t>
      </w:r>
      <w:r w:rsidR="008655D6" w:rsidRPr="00D91312">
        <w:rPr>
          <w:rFonts w:ascii="Bookman Old Style" w:hAnsi="Bookman Old Style"/>
        </w:rPr>
        <w:t>’</w:t>
      </w:r>
      <w:r w:rsidR="00FA7DEE" w:rsidRPr="00D91312">
        <w:rPr>
          <w:rFonts w:ascii="Bookman Old Style" w:hAnsi="Bookman Old Style"/>
        </w:rPr>
        <w:t xml:space="preserve">eventuale superfluità degli atti di indagine ma senza sostituirsi </w:t>
      </w:r>
      <w:r w:rsidR="00261735" w:rsidRPr="00D91312">
        <w:rPr>
          <w:rFonts w:ascii="Bookman Old Style" w:hAnsi="Bookman Old Style"/>
        </w:rPr>
        <w:t>nelle valutazioni dell</w:t>
      </w:r>
      <w:r w:rsidR="008655D6" w:rsidRPr="00D91312">
        <w:rPr>
          <w:rFonts w:ascii="Bookman Old Style" w:hAnsi="Bookman Old Style"/>
        </w:rPr>
        <w:t>’</w:t>
      </w:r>
      <w:r w:rsidR="00261735" w:rsidRPr="00D91312">
        <w:rPr>
          <w:rFonts w:ascii="Bookman Old Style" w:hAnsi="Bookman Old Style"/>
        </w:rPr>
        <w:t>amministrazione</w:t>
      </w:r>
      <w:r w:rsidR="00FB2BFC" w:rsidRPr="00D91312">
        <w:rPr>
          <w:rFonts w:ascii="Bookman Old Style" w:hAnsi="Bookman Old Style"/>
        </w:rPr>
        <w:t>)</w:t>
      </w:r>
      <w:r w:rsidR="00261735" w:rsidRPr="00D91312">
        <w:rPr>
          <w:rFonts w:ascii="Bookman Old Style" w:hAnsi="Bookman Old Style"/>
        </w:rPr>
        <w:t>.</w:t>
      </w:r>
    </w:p>
    <w:p w:rsidR="00BB0479" w:rsidRPr="00D91312" w:rsidRDefault="00D371D7" w:rsidP="00BB0479">
      <w:pPr>
        <w:jc w:val="both"/>
        <w:rPr>
          <w:rFonts w:ascii="Bookman Old Style" w:hAnsi="Bookman Old Style"/>
        </w:rPr>
      </w:pPr>
      <w:r w:rsidRPr="00D91312">
        <w:rPr>
          <w:rFonts w:ascii="Bookman Old Style" w:hAnsi="Bookman Old Style"/>
        </w:rPr>
        <w:t>Infine</w:t>
      </w:r>
      <w:r w:rsidR="005833C6" w:rsidRPr="00D91312">
        <w:rPr>
          <w:rFonts w:ascii="Bookman Old Style" w:hAnsi="Bookman Old Style"/>
        </w:rPr>
        <w:t>,</w:t>
      </w:r>
      <w:r w:rsidRPr="00D91312">
        <w:rPr>
          <w:rFonts w:ascii="Bookman Old Style" w:hAnsi="Bookman Old Style"/>
        </w:rPr>
        <w:t xml:space="preserve"> u</w:t>
      </w:r>
      <w:r w:rsidR="00BB0479" w:rsidRPr="00D91312">
        <w:rPr>
          <w:rFonts w:ascii="Bookman Old Style" w:hAnsi="Bookman Old Style"/>
        </w:rPr>
        <w:t>n caso in cui</w:t>
      </w:r>
      <w:r w:rsidRPr="00D91312">
        <w:rPr>
          <w:rFonts w:ascii="Bookman Old Style" w:hAnsi="Bookman Old Style"/>
        </w:rPr>
        <w:t>, viceversa,</w:t>
      </w:r>
      <w:r w:rsidR="00BB0479" w:rsidRPr="00D91312">
        <w:rPr>
          <w:rFonts w:ascii="Bookman Old Style" w:hAnsi="Bookman Old Style"/>
        </w:rPr>
        <w:t xml:space="preserve"> l</w:t>
      </w:r>
      <w:r w:rsidR="008655D6" w:rsidRPr="00D91312">
        <w:rPr>
          <w:rFonts w:ascii="Bookman Old Style" w:hAnsi="Bookman Old Style"/>
        </w:rPr>
        <w:t>’</w:t>
      </w:r>
      <w:r w:rsidR="00BB0479" w:rsidRPr="00D91312">
        <w:rPr>
          <w:rFonts w:ascii="Bookman Old Style" w:hAnsi="Bookman Old Style"/>
        </w:rPr>
        <w:t>app</w:t>
      </w:r>
      <w:r w:rsidRPr="00D91312">
        <w:rPr>
          <w:rFonts w:ascii="Bookman Old Style" w:hAnsi="Bookman Old Style"/>
        </w:rPr>
        <w:t>licabilità dell</w:t>
      </w:r>
      <w:r w:rsidR="008655D6" w:rsidRPr="00D91312">
        <w:rPr>
          <w:rFonts w:ascii="Bookman Old Style" w:hAnsi="Bookman Old Style"/>
        </w:rPr>
        <w:t>’</w:t>
      </w:r>
      <w:r w:rsidRPr="00D91312">
        <w:rPr>
          <w:rFonts w:ascii="Bookman Old Style" w:hAnsi="Bookman Old Style"/>
        </w:rPr>
        <w:t>art. 14 della legge</w:t>
      </w:r>
      <w:r w:rsidR="00BB0479" w:rsidRPr="00D91312">
        <w:rPr>
          <w:rFonts w:ascii="Bookman Old Style" w:hAnsi="Bookman Old Style"/>
        </w:rPr>
        <w:t xml:space="preserve"> 689/81 </w:t>
      </w:r>
      <w:r w:rsidRPr="00D91312">
        <w:rPr>
          <w:rFonts w:ascii="Bookman Old Style" w:hAnsi="Bookman Old Style"/>
        </w:rPr>
        <w:t xml:space="preserve">va </w:t>
      </w:r>
      <w:r w:rsidR="00BB0479" w:rsidRPr="00D91312">
        <w:rPr>
          <w:rFonts w:ascii="Bookman Old Style" w:hAnsi="Bookman Old Style"/>
        </w:rPr>
        <w:t>esclusa</w:t>
      </w:r>
      <w:r w:rsidRPr="00D91312">
        <w:rPr>
          <w:rFonts w:ascii="Bookman Old Style" w:hAnsi="Bookman Old Style"/>
        </w:rPr>
        <w:t xml:space="preserve"> </w:t>
      </w:r>
      <w:r w:rsidR="00BB0479" w:rsidRPr="00D91312">
        <w:rPr>
          <w:rFonts w:ascii="Bookman Old Style" w:hAnsi="Bookman Old Style"/>
        </w:rPr>
        <w:t>sia per incompatibilità</w:t>
      </w:r>
      <w:r w:rsidRPr="00D91312">
        <w:rPr>
          <w:rFonts w:ascii="Bookman Old Style" w:hAnsi="Bookman Old Style"/>
        </w:rPr>
        <w:t>,</w:t>
      </w:r>
      <w:r w:rsidR="00BB0479" w:rsidRPr="00D91312">
        <w:rPr>
          <w:rFonts w:ascii="Bookman Old Style" w:hAnsi="Bookman Old Style"/>
        </w:rPr>
        <w:t xml:space="preserve"> sia per espresso disposto di legge è quello delle sanzioni amministrative pecuniarie irrogate dal Garante per la protezione dei dati personali, </w:t>
      </w:r>
      <w:r w:rsidRPr="00D91312">
        <w:rPr>
          <w:rFonts w:ascii="Bookman Old Style" w:hAnsi="Bookman Old Style"/>
        </w:rPr>
        <w:t xml:space="preserve">che forma </w:t>
      </w:r>
      <w:r w:rsidR="00BB0479" w:rsidRPr="00D91312">
        <w:rPr>
          <w:rFonts w:ascii="Bookman Old Style" w:hAnsi="Bookman Old Style"/>
        </w:rPr>
        <w:t xml:space="preserve">oggetto di una specifica e peculiare disciplina contenuta </w:t>
      </w:r>
      <w:r w:rsidRPr="00D91312">
        <w:rPr>
          <w:rFonts w:ascii="Bookman Old Style" w:hAnsi="Bookman Old Style"/>
        </w:rPr>
        <w:t>n</w:t>
      </w:r>
      <w:r w:rsidR="00BB0479" w:rsidRPr="00D91312">
        <w:rPr>
          <w:rFonts w:ascii="Bookman Old Style" w:hAnsi="Bookman Old Style"/>
        </w:rPr>
        <w:t xml:space="preserve">el Codice in materia di protezione dei dati personali (d.lgs. </w:t>
      </w:r>
      <w:r w:rsidR="00AD134B" w:rsidRPr="00D91312">
        <w:rPr>
          <w:rFonts w:ascii="Bookman Old Style" w:hAnsi="Bookman Old Style"/>
        </w:rPr>
        <w:t>30 giugno 2003, n. 196), segnatamente nei commi 5 e 7</w:t>
      </w:r>
      <w:r w:rsidRPr="00D91312">
        <w:rPr>
          <w:rFonts w:ascii="Bookman Old Style" w:hAnsi="Bookman Old Style"/>
        </w:rPr>
        <w:t xml:space="preserve"> dell</w:t>
      </w:r>
      <w:r w:rsidR="008655D6" w:rsidRPr="00D91312">
        <w:rPr>
          <w:rFonts w:ascii="Bookman Old Style" w:hAnsi="Bookman Old Style"/>
        </w:rPr>
        <w:t>’</w:t>
      </w:r>
      <w:r w:rsidRPr="00D91312">
        <w:rPr>
          <w:rFonts w:ascii="Bookman Old Style" w:hAnsi="Bookman Old Style"/>
        </w:rPr>
        <w:t>art. 166</w:t>
      </w:r>
      <w:r w:rsidR="00AD134B" w:rsidRPr="00D91312">
        <w:rPr>
          <w:rFonts w:ascii="Bookman Old Style" w:hAnsi="Bookman Old Style"/>
        </w:rPr>
        <w:t>.</w:t>
      </w:r>
    </w:p>
    <w:p w:rsidR="00AC4AC3" w:rsidRPr="00D91312" w:rsidRDefault="00AC4AC3" w:rsidP="002F1D93">
      <w:pPr>
        <w:jc w:val="both"/>
        <w:rPr>
          <w:rFonts w:ascii="Bookman Old Style" w:hAnsi="Bookman Old Style"/>
        </w:rPr>
      </w:pPr>
    </w:p>
    <w:p w:rsidR="002F1D93" w:rsidRPr="00D91312" w:rsidRDefault="002F1D93" w:rsidP="002F1D93">
      <w:pPr>
        <w:jc w:val="both"/>
        <w:rPr>
          <w:rFonts w:ascii="Bookman Old Style" w:hAnsi="Bookman Old Style"/>
        </w:rPr>
      </w:pPr>
    </w:p>
    <w:p w:rsidR="00A23CF0" w:rsidRPr="00D91312" w:rsidRDefault="00556360" w:rsidP="008D144B">
      <w:pPr>
        <w:jc w:val="both"/>
        <w:rPr>
          <w:rFonts w:ascii="Bookman Old Style" w:hAnsi="Bookman Old Style"/>
          <w:b/>
        </w:rPr>
      </w:pPr>
      <w:r w:rsidRPr="00D91312">
        <w:rPr>
          <w:rFonts w:ascii="Bookman Old Style" w:hAnsi="Bookman Old Style"/>
          <w:b/>
        </w:rPr>
        <w:t xml:space="preserve">Il caso specifico </w:t>
      </w:r>
      <w:r w:rsidR="009C3F1C" w:rsidRPr="00D91312">
        <w:rPr>
          <w:rFonts w:ascii="Bookman Old Style" w:hAnsi="Bookman Old Style"/>
          <w:b/>
        </w:rPr>
        <w:t xml:space="preserve">del procedimento sanzionatorio </w:t>
      </w:r>
      <w:r w:rsidRPr="00D91312">
        <w:rPr>
          <w:rFonts w:ascii="Bookman Old Style" w:hAnsi="Bookman Old Style"/>
          <w:b/>
        </w:rPr>
        <w:t>dell</w:t>
      </w:r>
      <w:r w:rsidR="008655D6" w:rsidRPr="00D91312">
        <w:rPr>
          <w:rFonts w:ascii="Bookman Old Style" w:hAnsi="Bookman Old Style"/>
          <w:b/>
        </w:rPr>
        <w:t>’</w:t>
      </w:r>
      <w:r w:rsidRPr="00D91312">
        <w:rPr>
          <w:rFonts w:ascii="Bookman Old Style" w:hAnsi="Bookman Old Style"/>
          <w:b/>
        </w:rPr>
        <w:t>AGCM</w:t>
      </w:r>
      <w:r w:rsidR="0021294E" w:rsidRPr="00D91312">
        <w:rPr>
          <w:rFonts w:ascii="Bookman Old Style" w:hAnsi="Bookman Old Style"/>
          <w:b/>
        </w:rPr>
        <w:t>.</w:t>
      </w:r>
    </w:p>
    <w:p w:rsidR="000930C9" w:rsidRPr="00D91312" w:rsidRDefault="00D505A5" w:rsidP="0060660C">
      <w:pPr>
        <w:jc w:val="both"/>
        <w:rPr>
          <w:rFonts w:ascii="Bookman Old Style" w:hAnsi="Bookman Old Style"/>
        </w:rPr>
      </w:pPr>
      <w:r w:rsidRPr="00D91312">
        <w:rPr>
          <w:rFonts w:ascii="Bookman Old Style" w:hAnsi="Bookman Old Style"/>
        </w:rPr>
        <w:t xml:space="preserve">In questo contesto si inserisce il </w:t>
      </w:r>
      <w:r w:rsidR="005833C6" w:rsidRPr="00D91312">
        <w:rPr>
          <w:rFonts w:ascii="Bookman Old Style" w:hAnsi="Bookman Old Style"/>
        </w:rPr>
        <w:t xml:space="preserve">controverso </w:t>
      </w:r>
      <w:r w:rsidRPr="00D91312">
        <w:rPr>
          <w:rFonts w:ascii="Bookman Old Style" w:hAnsi="Bookman Old Style"/>
        </w:rPr>
        <w:t>tema del</w:t>
      </w:r>
      <w:r w:rsidR="00170BE0" w:rsidRPr="00D91312">
        <w:rPr>
          <w:rFonts w:ascii="Bookman Old Style" w:hAnsi="Bookman Old Style"/>
        </w:rPr>
        <w:t>l</w:t>
      </w:r>
      <w:r w:rsidR="008655D6" w:rsidRPr="00D91312">
        <w:rPr>
          <w:rFonts w:ascii="Bookman Old Style" w:hAnsi="Bookman Old Style"/>
        </w:rPr>
        <w:t>’</w:t>
      </w:r>
      <w:r w:rsidR="00170BE0" w:rsidRPr="00D91312">
        <w:rPr>
          <w:rFonts w:ascii="Bookman Old Style" w:hAnsi="Bookman Old Style"/>
        </w:rPr>
        <w:t>applicabilità della disposizione generale sul</w:t>
      </w:r>
      <w:r w:rsidRPr="00D91312">
        <w:rPr>
          <w:rFonts w:ascii="Bookman Old Style" w:hAnsi="Bookman Old Style"/>
        </w:rPr>
        <w:t xml:space="preserve"> termine di contestazione degli addebiti </w:t>
      </w:r>
      <w:r w:rsidR="00170BE0" w:rsidRPr="00D91312">
        <w:rPr>
          <w:rFonts w:ascii="Bookman Old Style" w:hAnsi="Bookman Old Style"/>
        </w:rPr>
        <w:t>anche al</w:t>
      </w:r>
      <w:r w:rsidR="005833C6" w:rsidRPr="00D91312">
        <w:rPr>
          <w:rFonts w:ascii="Bookman Old Style" w:hAnsi="Bookman Old Style"/>
        </w:rPr>
        <w:t xml:space="preserve">le infrazioni </w:t>
      </w:r>
      <w:r w:rsidR="0060660C" w:rsidRPr="00D91312">
        <w:rPr>
          <w:rFonts w:ascii="Bookman Old Style" w:hAnsi="Bookman Old Style"/>
        </w:rPr>
        <w:t>in materia di intese restrittive della libertà di concorrenza e di abuso di posizione dominante nell</w:t>
      </w:r>
      <w:r w:rsidR="008655D6" w:rsidRPr="00D91312">
        <w:rPr>
          <w:rFonts w:ascii="Bookman Old Style" w:hAnsi="Bookman Old Style"/>
        </w:rPr>
        <w:t>’</w:t>
      </w:r>
      <w:r w:rsidR="0060660C" w:rsidRPr="00D91312">
        <w:rPr>
          <w:rFonts w:ascii="Bookman Old Style" w:hAnsi="Bookman Old Style"/>
        </w:rPr>
        <w:t>ambito dei procedimenti sanzionatori regolati dalla legge 10 ottobre 1990, n. 287</w:t>
      </w:r>
      <w:r w:rsidR="000930C9" w:rsidRPr="00D91312">
        <w:rPr>
          <w:rFonts w:ascii="Bookman Old Style" w:hAnsi="Bookman Old Style"/>
        </w:rPr>
        <w:t>.</w:t>
      </w:r>
      <w:r w:rsidR="00356893" w:rsidRPr="00D91312">
        <w:rPr>
          <w:rFonts w:ascii="Bookman Old Style" w:hAnsi="Bookman Old Style"/>
        </w:rPr>
        <w:t xml:space="preserve"> </w:t>
      </w:r>
    </w:p>
    <w:p w:rsidR="000930C9" w:rsidRPr="00D91312" w:rsidRDefault="00356893" w:rsidP="0060660C">
      <w:pPr>
        <w:jc w:val="both"/>
        <w:rPr>
          <w:rFonts w:ascii="Bookman Old Style" w:hAnsi="Bookman Old Style"/>
        </w:rPr>
      </w:pPr>
      <w:r w:rsidRPr="00D91312">
        <w:rPr>
          <w:rFonts w:ascii="Bookman Old Style" w:hAnsi="Bookman Old Style"/>
        </w:rPr>
        <w:t>L</w:t>
      </w:r>
      <w:r w:rsidR="008655D6" w:rsidRPr="00D91312">
        <w:rPr>
          <w:rFonts w:ascii="Bookman Old Style" w:hAnsi="Bookman Old Style"/>
        </w:rPr>
        <w:t>’</w:t>
      </w:r>
      <w:r w:rsidRPr="00D91312">
        <w:rPr>
          <w:rFonts w:ascii="Bookman Old Style" w:hAnsi="Bookman Old Style"/>
        </w:rPr>
        <w:t xml:space="preserve">art. 31 della </w:t>
      </w:r>
      <w:r w:rsidR="00E457A4" w:rsidRPr="00D91312">
        <w:rPr>
          <w:rFonts w:ascii="Bookman Old Style" w:hAnsi="Bookman Old Style"/>
        </w:rPr>
        <w:t>l.</w:t>
      </w:r>
      <w:r w:rsidRPr="00D91312">
        <w:rPr>
          <w:rFonts w:ascii="Bookman Old Style" w:hAnsi="Bookman Old Style"/>
        </w:rPr>
        <w:t xml:space="preserve"> </w:t>
      </w:r>
      <w:r w:rsidR="00092622" w:rsidRPr="00D91312">
        <w:rPr>
          <w:rFonts w:ascii="Bookman Old Style" w:hAnsi="Bookman Old Style"/>
        </w:rPr>
        <w:t>n. 287/9</w:t>
      </w:r>
      <w:r w:rsidRPr="00D91312">
        <w:rPr>
          <w:rFonts w:ascii="Bookman Old Style" w:hAnsi="Bookman Old Style"/>
        </w:rPr>
        <w:t>0 dispone, infatti, che “</w:t>
      </w:r>
      <w:r w:rsidRPr="00D91312">
        <w:rPr>
          <w:rFonts w:ascii="Bookman Old Style" w:hAnsi="Bookman Old Style"/>
          <w:i/>
        </w:rPr>
        <w:t>per le sanzioni amministrative pecuniarie conseguenti alla violazione della presente legge si osservano, in quanto applicabili, le disposizioni contenute nel capo I, sezioni I e II, della legge 24 novembre 1981, n. 689</w:t>
      </w:r>
      <w:r w:rsidRPr="00D91312">
        <w:rPr>
          <w:rFonts w:ascii="Bookman Old Style" w:hAnsi="Bookman Old Style"/>
        </w:rPr>
        <w:t>”</w:t>
      </w:r>
      <w:r w:rsidR="002B3064" w:rsidRPr="00D91312">
        <w:rPr>
          <w:rFonts w:ascii="Bookman Old Style" w:hAnsi="Bookman Old Style"/>
        </w:rPr>
        <w:t xml:space="preserve"> (la sez. I è rubricata “Principi generali”, la sez. II “Applicazione”)</w:t>
      </w:r>
      <w:r w:rsidR="006B344D" w:rsidRPr="00D91312">
        <w:rPr>
          <w:rFonts w:ascii="Bookman Old Style" w:hAnsi="Bookman Old Style"/>
        </w:rPr>
        <w:t>, il cui art. 12, come poc</w:t>
      </w:r>
      <w:r w:rsidR="008655D6" w:rsidRPr="00D91312">
        <w:rPr>
          <w:rFonts w:ascii="Bookman Old Style" w:hAnsi="Bookman Old Style"/>
        </w:rPr>
        <w:t>’</w:t>
      </w:r>
      <w:r w:rsidR="006B344D" w:rsidRPr="00D91312">
        <w:rPr>
          <w:rFonts w:ascii="Bookman Old Style" w:hAnsi="Bookman Old Style"/>
        </w:rPr>
        <w:t xml:space="preserve">anzi ricordato, a </w:t>
      </w:r>
      <w:r w:rsidR="002B3064" w:rsidRPr="00D91312">
        <w:rPr>
          <w:rFonts w:ascii="Bookman Old Style" w:hAnsi="Bookman Old Style"/>
        </w:rPr>
        <w:t xml:space="preserve">propria </w:t>
      </w:r>
      <w:r w:rsidR="006B344D" w:rsidRPr="00D91312">
        <w:rPr>
          <w:rFonts w:ascii="Bookman Old Style" w:hAnsi="Bookman Old Style"/>
        </w:rPr>
        <w:t xml:space="preserve">volta prevede </w:t>
      </w:r>
      <w:r w:rsidR="00AF2695" w:rsidRPr="00D91312">
        <w:rPr>
          <w:rFonts w:ascii="Bookman Old Style" w:hAnsi="Bookman Old Style"/>
        </w:rPr>
        <w:t xml:space="preserve">che le disposizioni contenute nel capo I </w:t>
      </w:r>
      <w:r w:rsidR="00E457A4" w:rsidRPr="00D91312">
        <w:rPr>
          <w:rFonts w:ascii="Bookman Old Style" w:hAnsi="Bookman Old Style"/>
        </w:rPr>
        <w:t xml:space="preserve">della l. 689/81 </w:t>
      </w:r>
      <w:r w:rsidR="006B344D" w:rsidRPr="00D91312">
        <w:rPr>
          <w:rFonts w:ascii="Bookman Old Style" w:hAnsi="Bookman Old Style"/>
        </w:rPr>
        <w:t>“</w:t>
      </w:r>
      <w:r w:rsidR="006B344D" w:rsidRPr="00D91312">
        <w:rPr>
          <w:rFonts w:ascii="Bookman Old Style" w:hAnsi="Bookman Old Style"/>
          <w:i/>
        </w:rPr>
        <w:t>si osservano, in quanto applicabili e salvo che non sia diversamente stabilito, per tutte le violazioni per le quali è prevista la sanzione amministrativa del pagamento di una somma di denaro</w:t>
      </w:r>
      <w:r w:rsidR="00AF2695" w:rsidRPr="00D91312">
        <w:rPr>
          <w:rFonts w:ascii="Bookman Old Style" w:hAnsi="Bookman Old Style"/>
        </w:rPr>
        <w:t>”.</w:t>
      </w:r>
    </w:p>
    <w:p w:rsidR="006B344D" w:rsidRPr="00D91312" w:rsidRDefault="00AF2695" w:rsidP="007260E2">
      <w:pPr>
        <w:jc w:val="both"/>
        <w:rPr>
          <w:rFonts w:ascii="Bookman Old Style" w:hAnsi="Bookman Old Style"/>
        </w:rPr>
      </w:pPr>
      <w:r w:rsidRPr="00D91312">
        <w:rPr>
          <w:rFonts w:ascii="Bookman Old Style" w:hAnsi="Bookman Old Style"/>
        </w:rPr>
        <w:t>All</w:t>
      </w:r>
      <w:r w:rsidR="008655D6" w:rsidRPr="00D91312">
        <w:rPr>
          <w:rFonts w:ascii="Bookman Old Style" w:hAnsi="Bookman Old Style"/>
        </w:rPr>
        <w:t>’</w:t>
      </w:r>
      <w:r w:rsidRPr="00D91312">
        <w:rPr>
          <w:rFonts w:ascii="Bookman Old Style" w:hAnsi="Bookman Old Style"/>
        </w:rPr>
        <w:t>indomani dell</w:t>
      </w:r>
      <w:r w:rsidR="008655D6" w:rsidRPr="00D91312">
        <w:rPr>
          <w:rFonts w:ascii="Bookman Old Style" w:hAnsi="Bookman Old Style"/>
        </w:rPr>
        <w:t>’</w:t>
      </w:r>
      <w:r w:rsidRPr="00D91312">
        <w:rPr>
          <w:rFonts w:ascii="Bookman Old Style" w:hAnsi="Bookman Old Style"/>
        </w:rPr>
        <w:t>entrata in</w:t>
      </w:r>
      <w:r w:rsidR="007260E2" w:rsidRPr="00D91312">
        <w:rPr>
          <w:rFonts w:ascii="Bookman Old Style" w:hAnsi="Bookman Old Style"/>
        </w:rPr>
        <w:t xml:space="preserve"> vigore della legge n. 287/</w:t>
      </w:r>
      <w:r w:rsidR="00E53D1F" w:rsidRPr="00D91312">
        <w:rPr>
          <w:rFonts w:ascii="Bookman Old Style" w:hAnsi="Bookman Old Style"/>
        </w:rPr>
        <w:t xml:space="preserve">90, </w:t>
      </w:r>
      <w:r w:rsidR="00092622" w:rsidRPr="00D91312">
        <w:rPr>
          <w:rFonts w:ascii="Bookman Old Style" w:hAnsi="Bookman Old Style"/>
        </w:rPr>
        <w:t>tuttavia, la questione dell</w:t>
      </w:r>
      <w:r w:rsidR="008655D6" w:rsidRPr="00D91312">
        <w:rPr>
          <w:rFonts w:ascii="Bookman Old Style" w:hAnsi="Bookman Old Style"/>
        </w:rPr>
        <w:t>’</w:t>
      </w:r>
      <w:r w:rsidR="00092622" w:rsidRPr="00D91312">
        <w:rPr>
          <w:rFonts w:ascii="Bookman Old Style" w:hAnsi="Bookman Old Style"/>
        </w:rPr>
        <w:t>applicabilità della legge n. 689/81 si era imposta in dottrina</w:t>
      </w:r>
      <w:r w:rsidR="00162354" w:rsidRPr="00D91312">
        <w:rPr>
          <w:rFonts w:ascii="Bookman Old Style" w:hAnsi="Bookman Old Style"/>
        </w:rPr>
        <w:t>,</w:t>
      </w:r>
      <w:r w:rsidR="00092622" w:rsidRPr="00D91312">
        <w:rPr>
          <w:rFonts w:ascii="Bookman Old Style" w:hAnsi="Bookman Old Style"/>
        </w:rPr>
        <w:t xml:space="preserve"> piuttosto</w:t>
      </w:r>
      <w:r w:rsidR="00162354" w:rsidRPr="00D91312">
        <w:rPr>
          <w:rFonts w:ascii="Bookman Old Style" w:hAnsi="Bookman Old Style"/>
        </w:rPr>
        <w:t>,</w:t>
      </w:r>
      <w:r w:rsidR="00092622" w:rsidRPr="00D91312">
        <w:rPr>
          <w:rFonts w:ascii="Bookman Old Style" w:hAnsi="Bookman Old Style"/>
        </w:rPr>
        <w:t xml:space="preserve"> </w:t>
      </w:r>
      <w:r w:rsidR="00162354" w:rsidRPr="00D91312">
        <w:rPr>
          <w:rFonts w:ascii="Bookman Old Style" w:hAnsi="Bookman Old Style"/>
        </w:rPr>
        <w:t xml:space="preserve">con riferimento al tema della possibile estensione del giudizio di opposizione </w:t>
      </w:r>
      <w:r w:rsidR="004605D5" w:rsidRPr="00D91312">
        <w:rPr>
          <w:rFonts w:ascii="Bookman Old Style" w:hAnsi="Bookman Old Style"/>
        </w:rPr>
        <w:t>a ordinanza ingiunzione, previsto da</w:t>
      </w:r>
      <w:r w:rsidR="00162354" w:rsidRPr="00D91312">
        <w:rPr>
          <w:rFonts w:ascii="Bookman Old Style" w:hAnsi="Bookman Old Style"/>
        </w:rPr>
        <w:t>lla legge n. 689</w:t>
      </w:r>
      <w:r w:rsidR="004605D5" w:rsidRPr="00D91312">
        <w:rPr>
          <w:rFonts w:ascii="Bookman Old Style" w:hAnsi="Bookman Old Style"/>
        </w:rPr>
        <w:t xml:space="preserve">/81, anche alle sanzioni amministrative in materia </w:t>
      </w:r>
      <w:r w:rsidR="004605D5" w:rsidRPr="00D91312">
        <w:rPr>
          <w:rFonts w:ascii="Bookman Old Style" w:hAnsi="Bookman Old Style"/>
          <w:i/>
        </w:rPr>
        <w:t>antitrust</w:t>
      </w:r>
      <w:r w:rsidR="002A53E8" w:rsidRPr="00D91312">
        <w:rPr>
          <w:rFonts w:ascii="Bookman Old Style" w:hAnsi="Bookman Old Style"/>
        </w:rPr>
        <w:t xml:space="preserve">, discutendosi se </w:t>
      </w:r>
      <w:r w:rsidR="007260E2" w:rsidRPr="00D91312">
        <w:rPr>
          <w:rFonts w:ascii="Bookman Old Style" w:hAnsi="Bookman Old Style"/>
        </w:rPr>
        <w:t>la tutela nei loro confronti fosse attratta alla giurisdizione amministrativa in forza della previsione dell</w:t>
      </w:r>
      <w:r w:rsidR="008655D6" w:rsidRPr="00D91312">
        <w:rPr>
          <w:rFonts w:ascii="Bookman Old Style" w:hAnsi="Bookman Old Style"/>
        </w:rPr>
        <w:t>’</w:t>
      </w:r>
      <w:r w:rsidR="007260E2" w:rsidRPr="00D91312">
        <w:rPr>
          <w:rFonts w:ascii="Bookman Old Style" w:hAnsi="Bookman Old Style"/>
        </w:rPr>
        <w:t xml:space="preserve">art. 33 della stessa legge n. 287/90 - </w:t>
      </w:r>
      <w:r w:rsidR="00FB2278" w:rsidRPr="00D91312">
        <w:rPr>
          <w:rFonts w:ascii="Bookman Old Style" w:hAnsi="Bookman Old Style"/>
        </w:rPr>
        <w:t>che</w:t>
      </w:r>
      <w:r w:rsidR="007260E2" w:rsidRPr="00D91312">
        <w:rPr>
          <w:rFonts w:ascii="Bookman Old Style" w:hAnsi="Bookman Old Style"/>
        </w:rPr>
        <w:t xml:space="preserve"> all</w:t>
      </w:r>
      <w:r w:rsidR="008655D6" w:rsidRPr="00D91312">
        <w:rPr>
          <w:rFonts w:ascii="Bookman Old Style" w:hAnsi="Bookman Old Style"/>
        </w:rPr>
        <w:t>’</w:t>
      </w:r>
      <w:r w:rsidR="00FB2278" w:rsidRPr="00D91312">
        <w:rPr>
          <w:rFonts w:ascii="Bookman Old Style" w:hAnsi="Bookman Old Style"/>
        </w:rPr>
        <w:t>epoca</w:t>
      </w:r>
      <w:r w:rsidR="007260E2" w:rsidRPr="00D91312">
        <w:rPr>
          <w:rFonts w:ascii="Bookman Old Style" w:hAnsi="Bookman Old Style"/>
        </w:rPr>
        <w:t xml:space="preserve"> </w:t>
      </w:r>
      <w:r w:rsidR="00FB2278" w:rsidRPr="00D91312">
        <w:rPr>
          <w:rFonts w:ascii="Bookman Old Style" w:hAnsi="Bookman Old Style"/>
        </w:rPr>
        <w:t>disponeva che “</w:t>
      </w:r>
      <w:r w:rsidR="007260E2" w:rsidRPr="00D91312">
        <w:rPr>
          <w:rFonts w:ascii="Bookman Old Style" w:hAnsi="Bookman Old Style"/>
          <w:i/>
        </w:rPr>
        <w:t xml:space="preserve">i ricorsi avverso i provvedimenti amministrativi (…) della presente legge rientrano </w:t>
      </w:r>
      <w:r w:rsidR="00FB2278" w:rsidRPr="00D91312">
        <w:rPr>
          <w:rFonts w:ascii="Bookman Old Style" w:hAnsi="Bookman Old Style"/>
          <w:i/>
        </w:rPr>
        <w:t>nella giurisdizione esclusiva del giudice amministrativo</w:t>
      </w:r>
      <w:r w:rsidR="00FB2278" w:rsidRPr="00D91312">
        <w:rPr>
          <w:rFonts w:ascii="Bookman Old Style" w:hAnsi="Bookman Old Style"/>
        </w:rPr>
        <w:t>” – e dell</w:t>
      </w:r>
      <w:r w:rsidR="008655D6" w:rsidRPr="00D91312">
        <w:rPr>
          <w:rFonts w:ascii="Bookman Old Style" w:hAnsi="Bookman Old Style"/>
        </w:rPr>
        <w:t>’</w:t>
      </w:r>
      <w:r w:rsidR="00FB2278" w:rsidRPr="00D91312">
        <w:rPr>
          <w:rFonts w:ascii="Bookman Old Style" w:hAnsi="Bookman Old Style"/>
        </w:rPr>
        <w:t>inciso “</w:t>
      </w:r>
      <w:r w:rsidR="00FB2278" w:rsidRPr="00D91312">
        <w:rPr>
          <w:rFonts w:ascii="Bookman Old Style" w:hAnsi="Bookman Old Style"/>
          <w:i/>
        </w:rPr>
        <w:t>in quanto applicabili</w:t>
      </w:r>
      <w:r w:rsidR="00FB2278" w:rsidRPr="00D91312">
        <w:rPr>
          <w:rFonts w:ascii="Bookman Old Style" w:hAnsi="Bookman Old Style"/>
        </w:rPr>
        <w:t xml:space="preserve">” </w:t>
      </w:r>
      <w:r w:rsidR="00E457A4" w:rsidRPr="00D91312">
        <w:rPr>
          <w:rFonts w:ascii="Bookman Old Style" w:hAnsi="Bookman Old Style"/>
        </w:rPr>
        <w:t>contenuto n</w:t>
      </w:r>
      <w:r w:rsidR="00FB2278" w:rsidRPr="00D91312">
        <w:rPr>
          <w:rFonts w:ascii="Bookman Old Style" w:hAnsi="Bookman Old Style"/>
        </w:rPr>
        <w:t>ell</w:t>
      </w:r>
      <w:r w:rsidR="008655D6" w:rsidRPr="00D91312">
        <w:rPr>
          <w:rFonts w:ascii="Bookman Old Style" w:hAnsi="Bookman Old Style"/>
        </w:rPr>
        <w:t>’</w:t>
      </w:r>
      <w:r w:rsidR="00FB2278" w:rsidRPr="00D91312">
        <w:rPr>
          <w:rFonts w:ascii="Bookman Old Style" w:hAnsi="Bookman Old Style"/>
        </w:rPr>
        <w:t>art. 31</w:t>
      </w:r>
      <w:r w:rsidR="00FB2278" w:rsidRPr="00D91312">
        <w:rPr>
          <w:rStyle w:val="Rimandonotaapidipagina"/>
          <w:rFonts w:ascii="Bookman Old Style" w:hAnsi="Bookman Old Style"/>
        </w:rPr>
        <w:footnoteReference w:id="11"/>
      </w:r>
      <w:r w:rsidR="00E457A4" w:rsidRPr="00D91312">
        <w:rPr>
          <w:rFonts w:ascii="Bookman Old Style" w:hAnsi="Bookman Old Style"/>
        </w:rPr>
        <w:t>,</w:t>
      </w:r>
      <w:r w:rsidR="00E37A35" w:rsidRPr="00D91312">
        <w:rPr>
          <w:rFonts w:ascii="Bookman Old Style" w:hAnsi="Bookman Old Style"/>
        </w:rPr>
        <w:t xml:space="preserve"> oppure no</w:t>
      </w:r>
      <w:r w:rsidR="00E61C83" w:rsidRPr="00D91312">
        <w:rPr>
          <w:rStyle w:val="Rimandonotaapidipagina"/>
          <w:rFonts w:ascii="Bookman Old Style" w:hAnsi="Bookman Old Style"/>
        </w:rPr>
        <w:footnoteReference w:id="12"/>
      </w:r>
      <w:r w:rsidR="00E457A4" w:rsidRPr="00D91312">
        <w:rPr>
          <w:rFonts w:ascii="Bookman Old Style" w:hAnsi="Bookman Old Style"/>
        </w:rPr>
        <w:t>.</w:t>
      </w:r>
    </w:p>
    <w:p w:rsidR="00021AF8" w:rsidRPr="00D91312" w:rsidRDefault="00621CCA" w:rsidP="0075128B">
      <w:pPr>
        <w:jc w:val="both"/>
        <w:rPr>
          <w:rFonts w:ascii="Bookman Old Style" w:hAnsi="Bookman Old Style"/>
        </w:rPr>
      </w:pPr>
      <w:r w:rsidRPr="00D91312">
        <w:rPr>
          <w:rFonts w:ascii="Bookman Old Style" w:hAnsi="Bookman Old Style"/>
        </w:rPr>
        <w:t xml:space="preserve">La questione che </w:t>
      </w:r>
      <w:r w:rsidR="008F0903" w:rsidRPr="00D91312">
        <w:rPr>
          <w:rFonts w:ascii="Bookman Old Style" w:hAnsi="Bookman Old Style"/>
        </w:rPr>
        <w:t xml:space="preserve">in questa sede </w:t>
      </w:r>
      <w:r w:rsidRPr="00D91312">
        <w:rPr>
          <w:rFonts w:ascii="Bookman Old Style" w:hAnsi="Bookman Old Style"/>
        </w:rPr>
        <w:t>interessa</w:t>
      </w:r>
      <w:r w:rsidR="00C038B8" w:rsidRPr="00D91312">
        <w:rPr>
          <w:rFonts w:ascii="Bookman Old Style" w:hAnsi="Bookman Old Style"/>
        </w:rPr>
        <w:t>,</w:t>
      </w:r>
      <w:r w:rsidRPr="00D91312">
        <w:rPr>
          <w:rFonts w:ascii="Bookman Old Style" w:hAnsi="Bookman Old Style"/>
        </w:rPr>
        <w:t xml:space="preserve"> comunque</w:t>
      </w:r>
      <w:r w:rsidR="00C038B8" w:rsidRPr="00D91312">
        <w:rPr>
          <w:rFonts w:ascii="Bookman Old Style" w:hAnsi="Bookman Old Style"/>
        </w:rPr>
        <w:t>,</w:t>
      </w:r>
      <w:r w:rsidRPr="00D91312">
        <w:rPr>
          <w:rFonts w:ascii="Bookman Old Style" w:hAnsi="Bookman Old Style"/>
        </w:rPr>
        <w:t xml:space="preserve"> </w:t>
      </w:r>
      <w:r w:rsidR="0075128B" w:rsidRPr="00D91312">
        <w:rPr>
          <w:rFonts w:ascii="Bookman Old Style" w:hAnsi="Bookman Old Style"/>
        </w:rPr>
        <w:t xml:space="preserve">non poteva </w:t>
      </w:r>
      <w:r w:rsidRPr="00D91312">
        <w:rPr>
          <w:rFonts w:ascii="Bookman Old Style" w:hAnsi="Bookman Old Style"/>
        </w:rPr>
        <w:t xml:space="preserve">essere elusa, </w:t>
      </w:r>
      <w:r w:rsidR="0075128B" w:rsidRPr="00D91312">
        <w:rPr>
          <w:rFonts w:ascii="Bookman Old Style" w:hAnsi="Bookman Old Style"/>
        </w:rPr>
        <w:t xml:space="preserve">tanto più che </w:t>
      </w:r>
      <w:r w:rsidR="00021AF8" w:rsidRPr="00D91312">
        <w:rPr>
          <w:rFonts w:ascii="Bookman Old Style" w:hAnsi="Bookman Old Style"/>
        </w:rPr>
        <w:t xml:space="preserve">la </w:t>
      </w:r>
      <w:r w:rsidR="007104C1" w:rsidRPr="00D91312">
        <w:rPr>
          <w:rFonts w:ascii="Bookman Old Style" w:hAnsi="Bookman Old Style"/>
        </w:rPr>
        <w:t xml:space="preserve">formulazione </w:t>
      </w:r>
      <w:r w:rsidR="0075128B" w:rsidRPr="00D91312">
        <w:rPr>
          <w:rFonts w:ascii="Bookman Old Style" w:hAnsi="Bookman Old Style"/>
        </w:rPr>
        <w:t xml:space="preserve">della </w:t>
      </w:r>
      <w:r w:rsidR="007104C1" w:rsidRPr="00D91312">
        <w:rPr>
          <w:rFonts w:ascii="Bookman Old Style" w:hAnsi="Bookman Old Style"/>
        </w:rPr>
        <w:t xml:space="preserve">clausola di rinvio </w:t>
      </w:r>
      <w:r w:rsidR="00C038B8" w:rsidRPr="00D91312">
        <w:rPr>
          <w:rFonts w:ascii="Bookman Old Style" w:hAnsi="Bookman Old Style"/>
        </w:rPr>
        <w:t xml:space="preserve">si prestava </w:t>
      </w:r>
      <w:r w:rsidR="007104C1" w:rsidRPr="00D91312">
        <w:rPr>
          <w:rFonts w:ascii="Bookman Old Style" w:hAnsi="Bookman Old Style"/>
        </w:rPr>
        <w:t xml:space="preserve">facilmente </w:t>
      </w:r>
      <w:r w:rsidR="00C038B8" w:rsidRPr="00D91312">
        <w:rPr>
          <w:rFonts w:ascii="Bookman Old Style" w:hAnsi="Bookman Old Style"/>
        </w:rPr>
        <w:t xml:space="preserve">a </w:t>
      </w:r>
      <w:r w:rsidR="007104C1" w:rsidRPr="00D91312">
        <w:rPr>
          <w:rFonts w:ascii="Bookman Old Style" w:hAnsi="Bookman Old Style"/>
        </w:rPr>
        <w:t xml:space="preserve">legittimare posizioni </w:t>
      </w:r>
      <w:r w:rsidR="00C038B8" w:rsidRPr="00D91312">
        <w:rPr>
          <w:rFonts w:ascii="Bookman Old Style" w:hAnsi="Bookman Old Style"/>
        </w:rPr>
        <w:t xml:space="preserve">in contrasto </w:t>
      </w:r>
      <w:r w:rsidR="007104C1" w:rsidRPr="00D91312">
        <w:rPr>
          <w:rFonts w:ascii="Bookman Old Style" w:hAnsi="Bookman Old Style"/>
        </w:rPr>
        <w:t>tra loro.</w:t>
      </w:r>
    </w:p>
    <w:p w:rsidR="00170BE0" w:rsidRPr="00D91312" w:rsidRDefault="00E76CEF" w:rsidP="0075128B">
      <w:pPr>
        <w:jc w:val="both"/>
        <w:rPr>
          <w:rFonts w:ascii="Bookman Old Style" w:hAnsi="Bookman Old Style"/>
        </w:rPr>
      </w:pPr>
      <w:r w:rsidRPr="00D91312">
        <w:rPr>
          <w:rFonts w:ascii="Bookman Old Style" w:hAnsi="Bookman Old Style"/>
        </w:rPr>
        <w:t>I</w:t>
      </w:r>
      <w:r w:rsidR="00110FBD" w:rsidRPr="00D91312">
        <w:rPr>
          <w:rFonts w:ascii="Bookman Old Style" w:hAnsi="Bookman Old Style"/>
        </w:rPr>
        <w:t xml:space="preserve">n </w:t>
      </w:r>
      <w:r w:rsidR="00C038B8" w:rsidRPr="00D91312">
        <w:rPr>
          <w:rFonts w:ascii="Bookman Old Style" w:hAnsi="Bookman Old Style"/>
        </w:rPr>
        <w:t xml:space="preserve">dottrina si </w:t>
      </w:r>
      <w:r w:rsidRPr="00D91312">
        <w:rPr>
          <w:rFonts w:ascii="Bookman Old Style" w:hAnsi="Bookman Old Style"/>
        </w:rPr>
        <w:t xml:space="preserve">è sostenuto </w:t>
      </w:r>
      <w:r w:rsidR="00C038B8" w:rsidRPr="00D91312">
        <w:rPr>
          <w:rFonts w:ascii="Bookman Old Style" w:hAnsi="Bookman Old Style"/>
        </w:rPr>
        <w:t>che l</w:t>
      </w:r>
      <w:r w:rsidR="008655D6" w:rsidRPr="00D91312">
        <w:rPr>
          <w:rFonts w:ascii="Bookman Old Style" w:hAnsi="Bookman Old Style"/>
        </w:rPr>
        <w:t>’</w:t>
      </w:r>
      <w:r w:rsidR="00C038B8" w:rsidRPr="00D91312">
        <w:rPr>
          <w:rFonts w:ascii="Bookman Old Style" w:hAnsi="Bookman Old Style"/>
        </w:rPr>
        <w:t xml:space="preserve">art. 14 della l. 689/81 </w:t>
      </w:r>
      <w:r w:rsidR="00110FBD" w:rsidRPr="00D91312">
        <w:rPr>
          <w:rFonts w:ascii="Bookman Old Style" w:hAnsi="Bookman Old Style"/>
        </w:rPr>
        <w:t xml:space="preserve">sul termine per la contestazione degli illeciti </w:t>
      </w:r>
      <w:r w:rsidR="00C038B8" w:rsidRPr="00D91312">
        <w:rPr>
          <w:rFonts w:ascii="Bookman Old Style" w:hAnsi="Bookman Old Style"/>
        </w:rPr>
        <w:t xml:space="preserve">non </w:t>
      </w:r>
      <w:r w:rsidR="00110FBD" w:rsidRPr="00D91312">
        <w:rPr>
          <w:rFonts w:ascii="Bookman Old Style" w:hAnsi="Bookman Old Style"/>
        </w:rPr>
        <w:t xml:space="preserve">sarebbe </w:t>
      </w:r>
      <w:r w:rsidR="008F0903" w:rsidRPr="00D91312">
        <w:rPr>
          <w:rFonts w:ascii="Bookman Old Style" w:hAnsi="Bookman Old Style"/>
        </w:rPr>
        <w:t xml:space="preserve">applicabile </w:t>
      </w:r>
      <w:r w:rsidR="001514F4" w:rsidRPr="00D91312">
        <w:rPr>
          <w:rFonts w:ascii="Bookman Old Style" w:hAnsi="Bookman Old Style"/>
          <w:i/>
        </w:rPr>
        <w:t xml:space="preserve">in </w:t>
      </w:r>
      <w:proofErr w:type="spellStart"/>
      <w:r w:rsidR="001514F4" w:rsidRPr="00D91312">
        <w:rPr>
          <w:rFonts w:ascii="Bookman Old Style" w:hAnsi="Bookman Old Style"/>
          <w:i/>
        </w:rPr>
        <w:t>subiecta</w:t>
      </w:r>
      <w:proofErr w:type="spellEnd"/>
      <w:r w:rsidR="001514F4" w:rsidRPr="00D91312">
        <w:rPr>
          <w:rFonts w:ascii="Bookman Old Style" w:hAnsi="Bookman Old Style"/>
          <w:i/>
        </w:rPr>
        <w:t xml:space="preserve"> materia</w:t>
      </w:r>
      <w:r w:rsidR="001514F4" w:rsidRPr="00D91312">
        <w:rPr>
          <w:rFonts w:ascii="Bookman Old Style" w:hAnsi="Bookman Old Style"/>
        </w:rPr>
        <w:t xml:space="preserve"> </w:t>
      </w:r>
      <w:r w:rsidR="008F0903" w:rsidRPr="00D91312">
        <w:rPr>
          <w:rFonts w:ascii="Bookman Old Style" w:hAnsi="Bookman Old Style"/>
        </w:rPr>
        <w:t xml:space="preserve">a causa della specialità della disciplina </w:t>
      </w:r>
      <w:r w:rsidR="008F0903" w:rsidRPr="00D91312">
        <w:rPr>
          <w:rFonts w:ascii="Bookman Old Style" w:hAnsi="Bookman Old Style"/>
          <w:i/>
        </w:rPr>
        <w:t>antitrust</w:t>
      </w:r>
      <w:r w:rsidR="001514F4" w:rsidRPr="00D91312">
        <w:rPr>
          <w:rFonts w:ascii="Bookman Old Style" w:hAnsi="Bookman Old Style"/>
        </w:rPr>
        <w:t xml:space="preserve"> poiché </w:t>
      </w:r>
      <w:r w:rsidR="008F0903" w:rsidRPr="00D91312">
        <w:rPr>
          <w:rFonts w:ascii="Bookman Old Style" w:hAnsi="Bookman Old Style"/>
        </w:rPr>
        <w:t>l</w:t>
      </w:r>
      <w:r w:rsidR="008655D6" w:rsidRPr="00D91312">
        <w:rPr>
          <w:rFonts w:ascii="Bookman Old Style" w:hAnsi="Bookman Old Style"/>
        </w:rPr>
        <w:t>’</w:t>
      </w:r>
      <w:r w:rsidR="008F0903" w:rsidRPr="00D91312">
        <w:rPr>
          <w:rFonts w:ascii="Bookman Old Style" w:hAnsi="Bookman Old Style"/>
        </w:rPr>
        <w:t xml:space="preserve">ampio spazio previsto per la partecipazione degli interessati </w:t>
      </w:r>
      <w:r w:rsidR="00110FBD" w:rsidRPr="00D91312">
        <w:rPr>
          <w:rFonts w:ascii="Bookman Old Style" w:hAnsi="Bookman Old Style"/>
        </w:rPr>
        <w:t xml:space="preserve">inciderebbe sui </w:t>
      </w:r>
      <w:r w:rsidR="008F0903" w:rsidRPr="00D91312">
        <w:rPr>
          <w:rFonts w:ascii="Bookman Old Style" w:hAnsi="Bookman Old Style"/>
        </w:rPr>
        <w:t>tempi della procedura</w:t>
      </w:r>
      <w:r w:rsidR="001514F4" w:rsidRPr="00D91312">
        <w:rPr>
          <w:rStyle w:val="Rimandonotaapidipagina"/>
          <w:rFonts w:ascii="Bookman Old Style" w:hAnsi="Bookman Old Style"/>
        </w:rPr>
        <w:footnoteReference w:id="13"/>
      </w:r>
      <w:r w:rsidR="00170BE0" w:rsidRPr="00D91312">
        <w:rPr>
          <w:rFonts w:ascii="Bookman Old Style" w:hAnsi="Bookman Old Style"/>
        </w:rPr>
        <w:t>.</w:t>
      </w:r>
    </w:p>
    <w:p w:rsidR="00A74368" w:rsidRPr="00D91312" w:rsidRDefault="00CF1CB8" w:rsidP="00A74368">
      <w:pPr>
        <w:jc w:val="both"/>
        <w:rPr>
          <w:rFonts w:ascii="Bookman Old Style" w:hAnsi="Bookman Old Style"/>
        </w:rPr>
      </w:pPr>
      <w:r w:rsidRPr="00D91312">
        <w:rPr>
          <w:rFonts w:ascii="Bookman Old Style" w:hAnsi="Bookman Old Style"/>
        </w:rPr>
        <w:t xml:space="preserve">La </w:t>
      </w:r>
      <w:r w:rsidR="00170BE0" w:rsidRPr="00D91312">
        <w:rPr>
          <w:rFonts w:ascii="Bookman Old Style" w:hAnsi="Bookman Old Style"/>
        </w:rPr>
        <w:t xml:space="preserve">giurisprudenza </w:t>
      </w:r>
      <w:r w:rsidR="00920D0A" w:rsidRPr="00D91312">
        <w:rPr>
          <w:rFonts w:ascii="Bookman Old Style" w:hAnsi="Bookman Old Style"/>
        </w:rPr>
        <w:t>è divisa sulla questione di principio dell</w:t>
      </w:r>
      <w:r w:rsidR="008655D6" w:rsidRPr="00D91312">
        <w:rPr>
          <w:rFonts w:ascii="Bookman Old Style" w:hAnsi="Bookman Old Style"/>
        </w:rPr>
        <w:t>’</w:t>
      </w:r>
      <w:r w:rsidR="00920D0A" w:rsidRPr="00D91312">
        <w:rPr>
          <w:rFonts w:ascii="Bookman Old Style" w:hAnsi="Bookman Old Style"/>
        </w:rPr>
        <w:t>applicabilità o meno dell</w:t>
      </w:r>
      <w:r w:rsidR="008655D6" w:rsidRPr="00D91312">
        <w:rPr>
          <w:rFonts w:ascii="Bookman Old Style" w:hAnsi="Bookman Old Style"/>
        </w:rPr>
        <w:t>’</w:t>
      </w:r>
      <w:r w:rsidR="00920D0A" w:rsidRPr="00D91312">
        <w:rPr>
          <w:rFonts w:ascii="Bookman Old Style" w:hAnsi="Bookman Old Style"/>
        </w:rPr>
        <w:t xml:space="preserve">art. 14 della l. 689/81 ai procedimenti sanzionatori in materia </w:t>
      </w:r>
      <w:r w:rsidR="00920D0A" w:rsidRPr="00D91312">
        <w:rPr>
          <w:rFonts w:ascii="Bookman Old Style" w:hAnsi="Bookman Old Style"/>
          <w:i/>
        </w:rPr>
        <w:t>antitrust</w:t>
      </w:r>
      <w:r w:rsidR="00920D0A" w:rsidRPr="00D91312">
        <w:rPr>
          <w:rFonts w:ascii="Bookman Old Style" w:hAnsi="Bookman Old Style"/>
        </w:rPr>
        <w:t xml:space="preserve">, ma con esiti temperati </w:t>
      </w:r>
      <w:r w:rsidR="00A74368" w:rsidRPr="00D91312">
        <w:rPr>
          <w:rFonts w:ascii="Bookman Old Style" w:hAnsi="Bookman Old Style"/>
        </w:rPr>
        <w:t>dal fatto di non dubitare, comunque, della possibilità di sindacare la ragionevolezza della durata della fase preliminare delle indagini.</w:t>
      </w:r>
    </w:p>
    <w:p w:rsidR="00902C29" w:rsidRPr="00D91312" w:rsidRDefault="00163FCE" w:rsidP="00A74368">
      <w:pPr>
        <w:jc w:val="both"/>
        <w:rPr>
          <w:rFonts w:ascii="Bookman Old Style" w:hAnsi="Bookman Old Style"/>
        </w:rPr>
      </w:pPr>
      <w:r w:rsidRPr="00D91312">
        <w:rPr>
          <w:rFonts w:ascii="Bookman Old Style" w:hAnsi="Bookman Old Style"/>
        </w:rPr>
        <w:t xml:space="preserve">Come è noto, infatti, nella disciplina italiana </w:t>
      </w:r>
      <w:r w:rsidRPr="00D91312">
        <w:rPr>
          <w:rFonts w:ascii="Bookman Old Style" w:hAnsi="Bookman Old Style"/>
          <w:i/>
        </w:rPr>
        <w:t>antitrust</w:t>
      </w:r>
      <w:r w:rsidRPr="00D91312">
        <w:rPr>
          <w:rFonts w:ascii="Bookman Old Style" w:hAnsi="Bookman Old Style"/>
        </w:rPr>
        <w:t>, così come in quella europea, l</w:t>
      </w:r>
      <w:r w:rsidR="008655D6" w:rsidRPr="00D91312">
        <w:rPr>
          <w:rFonts w:ascii="Bookman Old Style" w:hAnsi="Bookman Old Style"/>
        </w:rPr>
        <w:t>’</w:t>
      </w:r>
      <w:r w:rsidRPr="00D91312">
        <w:rPr>
          <w:rFonts w:ascii="Bookman Old Style" w:hAnsi="Bookman Old Style"/>
        </w:rPr>
        <w:t xml:space="preserve">avvio del procedimento istruttorio </w:t>
      </w:r>
      <w:r w:rsidR="008A4DBA" w:rsidRPr="00D91312">
        <w:rPr>
          <w:rFonts w:ascii="Bookman Old Style" w:hAnsi="Bookman Old Style"/>
        </w:rPr>
        <w:t xml:space="preserve">volto </w:t>
      </w:r>
      <w:r w:rsidRPr="00D91312">
        <w:rPr>
          <w:rFonts w:ascii="Bookman Old Style" w:hAnsi="Bookman Old Style"/>
        </w:rPr>
        <w:t>all</w:t>
      </w:r>
      <w:r w:rsidR="008655D6" w:rsidRPr="00D91312">
        <w:rPr>
          <w:rFonts w:ascii="Bookman Old Style" w:hAnsi="Bookman Old Style"/>
        </w:rPr>
        <w:t>’</w:t>
      </w:r>
      <w:r w:rsidRPr="00D91312">
        <w:rPr>
          <w:rFonts w:ascii="Bookman Old Style" w:hAnsi="Bookman Old Style"/>
        </w:rPr>
        <w:t xml:space="preserve">accertamento di eventuali violazioni del diritto della concorrenza è preceduto </w:t>
      </w:r>
      <w:r w:rsidR="00FB347F" w:rsidRPr="00D91312">
        <w:rPr>
          <w:rFonts w:ascii="Bookman Old Style" w:hAnsi="Bookman Old Style"/>
        </w:rPr>
        <w:t xml:space="preserve">da una fase </w:t>
      </w:r>
      <w:r w:rsidR="008A4DBA" w:rsidRPr="00D91312">
        <w:rPr>
          <w:rFonts w:ascii="Bookman Old Style" w:hAnsi="Bookman Old Style"/>
        </w:rPr>
        <w:t>comunemente definita preistruttoria nella quale l</w:t>
      </w:r>
      <w:r w:rsidR="008655D6" w:rsidRPr="00D91312">
        <w:rPr>
          <w:rFonts w:ascii="Bookman Old Style" w:hAnsi="Bookman Old Style"/>
        </w:rPr>
        <w:t>’</w:t>
      </w:r>
      <w:r w:rsidR="008A4DBA" w:rsidRPr="00D91312">
        <w:rPr>
          <w:rFonts w:ascii="Bookman Old Style" w:hAnsi="Bookman Old Style"/>
        </w:rPr>
        <w:t>A</w:t>
      </w:r>
      <w:r w:rsidR="003B04E7" w:rsidRPr="00D91312">
        <w:rPr>
          <w:rFonts w:ascii="Bookman Old Style" w:hAnsi="Bookman Old Style"/>
        </w:rPr>
        <w:t>GCM</w:t>
      </w:r>
      <w:r w:rsidR="008A4DBA" w:rsidRPr="00D91312">
        <w:rPr>
          <w:rFonts w:ascii="Bookman Old Style" w:hAnsi="Bookman Old Style"/>
        </w:rPr>
        <w:t xml:space="preserve">, sulla base di segnalazioni, denunce o esposti o di notizie o informazioni autonomamente acquisite (ad esempio da organi di stampa), </w:t>
      </w:r>
      <w:r w:rsidR="00C5494D" w:rsidRPr="00D91312">
        <w:rPr>
          <w:rFonts w:ascii="Bookman Old Style" w:hAnsi="Bookman Old Style"/>
        </w:rPr>
        <w:t>procede in via officiosa a una prima indagine</w:t>
      </w:r>
      <w:r w:rsidR="005F143E" w:rsidRPr="00D91312">
        <w:rPr>
          <w:rFonts w:ascii="Bookman Old Style" w:hAnsi="Bookman Old Style"/>
        </w:rPr>
        <w:t xml:space="preserve">, di tipo </w:t>
      </w:r>
      <w:r w:rsidR="00C5494D" w:rsidRPr="00D91312">
        <w:rPr>
          <w:rFonts w:ascii="Bookman Old Style" w:hAnsi="Bookman Old Style"/>
        </w:rPr>
        <w:t>preliminare</w:t>
      </w:r>
      <w:r w:rsidR="005F143E" w:rsidRPr="00D91312">
        <w:rPr>
          <w:rFonts w:ascii="Bookman Old Style" w:hAnsi="Bookman Old Style"/>
        </w:rPr>
        <w:t>,</w:t>
      </w:r>
      <w:r w:rsidR="00C5494D" w:rsidRPr="00D91312">
        <w:rPr>
          <w:rFonts w:ascii="Bookman Old Style" w:hAnsi="Bookman Old Style"/>
        </w:rPr>
        <w:t xml:space="preserve"> per verificare la sussistenza dei presupposti per procedere all</w:t>
      </w:r>
      <w:r w:rsidR="008655D6" w:rsidRPr="00D91312">
        <w:rPr>
          <w:rFonts w:ascii="Bookman Old Style" w:hAnsi="Bookman Old Style"/>
        </w:rPr>
        <w:t>’</w:t>
      </w:r>
      <w:r w:rsidR="00C5494D" w:rsidRPr="00D91312">
        <w:rPr>
          <w:rFonts w:ascii="Bookman Old Style" w:hAnsi="Bookman Old Style"/>
        </w:rPr>
        <w:t>a</w:t>
      </w:r>
      <w:r w:rsidR="005F143E" w:rsidRPr="00D91312">
        <w:rPr>
          <w:rFonts w:ascii="Bookman Old Style" w:hAnsi="Bookman Old Style"/>
        </w:rPr>
        <w:t>vvio dell</w:t>
      </w:r>
      <w:r w:rsidR="008655D6" w:rsidRPr="00D91312">
        <w:rPr>
          <w:rFonts w:ascii="Bookman Old Style" w:hAnsi="Bookman Old Style"/>
        </w:rPr>
        <w:t>’</w:t>
      </w:r>
      <w:r w:rsidR="005F143E" w:rsidRPr="00D91312">
        <w:rPr>
          <w:rFonts w:ascii="Bookman Old Style" w:hAnsi="Bookman Old Style"/>
        </w:rPr>
        <w:t>istruttoria (è questa la valutazione di cui all</w:t>
      </w:r>
      <w:r w:rsidR="008655D6" w:rsidRPr="00D91312">
        <w:rPr>
          <w:rFonts w:ascii="Bookman Old Style" w:hAnsi="Bookman Old Style"/>
        </w:rPr>
        <w:t>’</w:t>
      </w:r>
      <w:r w:rsidR="005F143E" w:rsidRPr="00D91312">
        <w:rPr>
          <w:rFonts w:ascii="Bookman Old Style" w:hAnsi="Bookman Old Style"/>
        </w:rPr>
        <w:t>inciso del primo comma dell</w:t>
      </w:r>
      <w:r w:rsidR="008655D6" w:rsidRPr="00D91312">
        <w:rPr>
          <w:rFonts w:ascii="Bookman Old Style" w:hAnsi="Bookman Old Style"/>
        </w:rPr>
        <w:t>’</w:t>
      </w:r>
      <w:r w:rsidR="005F143E" w:rsidRPr="00D91312">
        <w:rPr>
          <w:rFonts w:ascii="Bookman Old Style" w:hAnsi="Bookman Old Style"/>
        </w:rPr>
        <w:t xml:space="preserve">art. 12 della l. 287/90). </w:t>
      </w:r>
      <w:r w:rsidR="00964E28" w:rsidRPr="00D91312">
        <w:rPr>
          <w:rFonts w:ascii="Bookman Old Style" w:hAnsi="Bookman Old Style"/>
        </w:rPr>
        <w:t xml:space="preserve">Qualora ne emerga un </w:t>
      </w:r>
      <w:proofErr w:type="spellStart"/>
      <w:r w:rsidR="00964E28" w:rsidRPr="00D91312">
        <w:rPr>
          <w:rFonts w:ascii="Bookman Old Style" w:hAnsi="Bookman Old Style"/>
          <w:i/>
        </w:rPr>
        <w:t>fumus</w:t>
      </w:r>
      <w:proofErr w:type="spellEnd"/>
      <w:r w:rsidR="00964E28" w:rsidRPr="00D91312">
        <w:rPr>
          <w:rFonts w:ascii="Bookman Old Style" w:hAnsi="Bookman Old Style"/>
        </w:rPr>
        <w:t xml:space="preserve"> d</w:t>
      </w:r>
      <w:r w:rsidR="008655D6" w:rsidRPr="00D91312">
        <w:rPr>
          <w:rFonts w:ascii="Bookman Old Style" w:hAnsi="Bookman Old Style"/>
        </w:rPr>
        <w:t>’</w:t>
      </w:r>
      <w:r w:rsidR="00964E28" w:rsidRPr="00D91312">
        <w:rPr>
          <w:rFonts w:ascii="Bookman Old Style" w:hAnsi="Bookman Old Style"/>
        </w:rPr>
        <w:t>infrazione (di “presunta infrazione” parla l</w:t>
      </w:r>
      <w:r w:rsidR="008655D6" w:rsidRPr="00D91312">
        <w:rPr>
          <w:rFonts w:ascii="Bookman Old Style" w:hAnsi="Bookman Old Style"/>
        </w:rPr>
        <w:t>’</w:t>
      </w:r>
      <w:r w:rsidR="00902C29" w:rsidRPr="00D91312">
        <w:rPr>
          <w:rFonts w:ascii="Bookman Old Style" w:hAnsi="Bookman Old Style"/>
        </w:rPr>
        <w:t>art. 14, co. 1, della l. 287/90) l</w:t>
      </w:r>
      <w:r w:rsidR="008655D6" w:rsidRPr="00D91312">
        <w:rPr>
          <w:rFonts w:ascii="Bookman Old Style" w:hAnsi="Bookman Old Style"/>
        </w:rPr>
        <w:t>’</w:t>
      </w:r>
      <w:r w:rsidR="003B04E7" w:rsidRPr="00D91312">
        <w:rPr>
          <w:rFonts w:ascii="Bookman Old Style" w:hAnsi="Bookman Old Style"/>
        </w:rPr>
        <w:t xml:space="preserve">AGCM </w:t>
      </w:r>
      <w:r w:rsidR="0009109F" w:rsidRPr="00D91312">
        <w:rPr>
          <w:rFonts w:ascii="Bookman Old Style" w:hAnsi="Bookman Old Style"/>
        </w:rPr>
        <w:t xml:space="preserve">delibera di </w:t>
      </w:r>
      <w:r w:rsidR="00902C29" w:rsidRPr="00D91312">
        <w:rPr>
          <w:rFonts w:ascii="Bookman Old Style" w:hAnsi="Bookman Old Style"/>
        </w:rPr>
        <w:t>procede</w:t>
      </w:r>
      <w:r w:rsidR="0009109F" w:rsidRPr="00D91312">
        <w:rPr>
          <w:rFonts w:ascii="Bookman Old Style" w:hAnsi="Bookman Old Style"/>
        </w:rPr>
        <w:t>re</w:t>
      </w:r>
      <w:r w:rsidR="00902C29" w:rsidRPr="00D91312">
        <w:rPr>
          <w:rFonts w:ascii="Bookman Old Style" w:hAnsi="Bookman Old Style"/>
        </w:rPr>
        <w:t xml:space="preserve"> all</w:t>
      </w:r>
      <w:r w:rsidR="008655D6" w:rsidRPr="00D91312">
        <w:rPr>
          <w:rFonts w:ascii="Bookman Old Style" w:hAnsi="Bookman Old Style"/>
        </w:rPr>
        <w:t>’</w:t>
      </w:r>
      <w:r w:rsidR="00902C29" w:rsidRPr="00D91312">
        <w:rPr>
          <w:rFonts w:ascii="Bookman Old Style" w:hAnsi="Bookman Old Style"/>
        </w:rPr>
        <w:t>istruttoria finalizzata a verificarne l</w:t>
      </w:r>
      <w:r w:rsidR="008655D6" w:rsidRPr="00D91312">
        <w:rPr>
          <w:rFonts w:ascii="Bookman Old Style" w:hAnsi="Bookman Old Style"/>
        </w:rPr>
        <w:t>’</w:t>
      </w:r>
      <w:r w:rsidR="00902C29" w:rsidRPr="00D91312">
        <w:rPr>
          <w:rFonts w:ascii="Bookman Old Style" w:hAnsi="Bookman Old Style"/>
        </w:rPr>
        <w:t>esistenza, notificandone l</w:t>
      </w:r>
      <w:r w:rsidR="008655D6" w:rsidRPr="00D91312">
        <w:rPr>
          <w:rFonts w:ascii="Bookman Old Style" w:hAnsi="Bookman Old Style"/>
        </w:rPr>
        <w:t>’</w:t>
      </w:r>
      <w:r w:rsidR="00902C29" w:rsidRPr="00D91312">
        <w:rPr>
          <w:rFonts w:ascii="Bookman Old Style" w:hAnsi="Bookman Old Style"/>
        </w:rPr>
        <w:t xml:space="preserve">apertura alle imprese e agli enti interessati (art. 14 </w:t>
      </w:r>
      <w:r w:rsidR="0009109F" w:rsidRPr="00D91312">
        <w:rPr>
          <w:rFonts w:ascii="Bookman Old Style" w:hAnsi="Bookman Old Style"/>
        </w:rPr>
        <w:t xml:space="preserve">l. 287/90; art. 6 </w:t>
      </w:r>
      <w:proofErr w:type="spellStart"/>
      <w:r w:rsidR="0009109F" w:rsidRPr="00D91312">
        <w:rPr>
          <w:rFonts w:ascii="Bookman Old Style" w:hAnsi="Bookman Old Style"/>
        </w:rPr>
        <w:t>d.P.R.</w:t>
      </w:r>
      <w:proofErr w:type="spellEnd"/>
      <w:r w:rsidR="0009109F" w:rsidRPr="00D91312">
        <w:rPr>
          <w:rFonts w:ascii="Bookman Old Style" w:hAnsi="Bookman Old Style"/>
        </w:rPr>
        <w:t xml:space="preserve"> 30 aprile 1998, n. 217</w:t>
      </w:r>
      <w:r w:rsidR="00902C29" w:rsidRPr="00D91312">
        <w:rPr>
          <w:rFonts w:ascii="Bookman Old Style" w:hAnsi="Bookman Old Style"/>
        </w:rPr>
        <w:t>).</w:t>
      </w:r>
    </w:p>
    <w:p w:rsidR="0062151B" w:rsidRPr="00D91312" w:rsidRDefault="0062151B" w:rsidP="00A74368">
      <w:pPr>
        <w:jc w:val="both"/>
        <w:rPr>
          <w:rFonts w:ascii="Bookman Old Style" w:hAnsi="Bookman Old Style"/>
        </w:rPr>
      </w:pPr>
      <w:r w:rsidRPr="00D91312">
        <w:rPr>
          <w:rFonts w:ascii="Bookman Old Style" w:hAnsi="Bookman Old Style"/>
        </w:rPr>
        <w:t>Il problema dell</w:t>
      </w:r>
      <w:r w:rsidR="008655D6" w:rsidRPr="00D91312">
        <w:rPr>
          <w:rFonts w:ascii="Bookman Old Style" w:hAnsi="Bookman Old Style"/>
        </w:rPr>
        <w:t>’</w:t>
      </w:r>
      <w:r w:rsidRPr="00D91312">
        <w:rPr>
          <w:rFonts w:ascii="Bookman Old Style" w:hAnsi="Bookman Old Style"/>
        </w:rPr>
        <w:t>applicazione dell</w:t>
      </w:r>
      <w:r w:rsidR="008655D6" w:rsidRPr="00D91312">
        <w:rPr>
          <w:rFonts w:ascii="Bookman Old Style" w:hAnsi="Bookman Old Style"/>
        </w:rPr>
        <w:t>’</w:t>
      </w:r>
      <w:r w:rsidRPr="00D91312">
        <w:rPr>
          <w:rFonts w:ascii="Bookman Old Style" w:hAnsi="Bookman Old Style"/>
        </w:rPr>
        <w:t>art. 14 della l. 689/81 si è posto in concreto per entrambe le fasi, sia quella preistruttoria, sia quella istruttoria.</w:t>
      </w:r>
    </w:p>
    <w:p w:rsidR="00FA2980" w:rsidRPr="00D91312" w:rsidRDefault="0062151B" w:rsidP="00496B14">
      <w:pPr>
        <w:jc w:val="both"/>
        <w:rPr>
          <w:rFonts w:ascii="Bookman Old Style" w:hAnsi="Bookman Old Style"/>
        </w:rPr>
      </w:pPr>
      <w:r w:rsidRPr="00D91312">
        <w:rPr>
          <w:rFonts w:ascii="Bookman Old Style" w:hAnsi="Bookman Old Style"/>
        </w:rPr>
        <w:t>Per la fase preistruttoria</w:t>
      </w:r>
      <w:r w:rsidR="00FA2980" w:rsidRPr="00D91312">
        <w:rPr>
          <w:rFonts w:ascii="Bookman Old Style" w:hAnsi="Bookman Old Style"/>
        </w:rPr>
        <w:t>,</w:t>
      </w:r>
      <w:r w:rsidRPr="00D91312">
        <w:rPr>
          <w:rFonts w:ascii="Bookman Old Style" w:hAnsi="Bookman Old Style"/>
        </w:rPr>
        <w:t xml:space="preserve"> l</w:t>
      </w:r>
      <w:r w:rsidR="008655D6" w:rsidRPr="00D91312">
        <w:rPr>
          <w:rFonts w:ascii="Bookman Old Style" w:hAnsi="Bookman Old Style"/>
        </w:rPr>
        <w:t>’</w:t>
      </w:r>
      <w:r w:rsidRPr="00D91312">
        <w:rPr>
          <w:rFonts w:ascii="Bookman Old Style" w:hAnsi="Bookman Old Style"/>
        </w:rPr>
        <w:t xml:space="preserve">orientamento </w:t>
      </w:r>
      <w:r w:rsidR="00FA2980" w:rsidRPr="00D91312">
        <w:rPr>
          <w:rFonts w:ascii="Bookman Old Style" w:hAnsi="Bookman Old Style"/>
        </w:rPr>
        <w:t xml:space="preserve">negativo si fonda sulla constatazione </w:t>
      </w:r>
      <w:r w:rsidR="00496B14" w:rsidRPr="00D91312">
        <w:rPr>
          <w:rFonts w:ascii="Bookman Old Style" w:hAnsi="Bookman Old Style"/>
        </w:rPr>
        <w:t xml:space="preserve">che </w:t>
      </w:r>
      <w:r w:rsidR="00FA2980" w:rsidRPr="00D91312">
        <w:rPr>
          <w:rFonts w:ascii="Bookman Old Style" w:hAnsi="Bookman Old Style"/>
        </w:rPr>
        <w:t>l</w:t>
      </w:r>
      <w:r w:rsidR="008655D6" w:rsidRPr="00D91312">
        <w:rPr>
          <w:rFonts w:ascii="Bookman Old Style" w:hAnsi="Bookman Old Style"/>
        </w:rPr>
        <w:t>’</w:t>
      </w:r>
      <w:r w:rsidR="00FA2980" w:rsidRPr="00D91312">
        <w:rPr>
          <w:rFonts w:ascii="Bookman Old Style" w:hAnsi="Bookman Old Style"/>
        </w:rPr>
        <w:t>art. 14</w:t>
      </w:r>
      <w:r w:rsidR="00496B14" w:rsidRPr="00D91312">
        <w:rPr>
          <w:rFonts w:ascii="Bookman Old Style" w:hAnsi="Bookman Old Style"/>
        </w:rPr>
        <w:t xml:space="preserve"> della l. </w:t>
      </w:r>
      <w:r w:rsidR="00FA2980" w:rsidRPr="00D91312">
        <w:rPr>
          <w:rFonts w:ascii="Bookman Old Style" w:hAnsi="Bookman Old Style"/>
        </w:rPr>
        <w:t xml:space="preserve">689/1981 </w:t>
      </w:r>
      <w:r w:rsidR="00496B14" w:rsidRPr="00D91312">
        <w:rPr>
          <w:rFonts w:ascii="Bookman Old Style" w:hAnsi="Bookman Old Style"/>
        </w:rPr>
        <w:t xml:space="preserve">è </w:t>
      </w:r>
      <w:r w:rsidR="00FA2980" w:rsidRPr="00D91312">
        <w:rPr>
          <w:rFonts w:ascii="Bookman Old Style" w:hAnsi="Bookman Old Style"/>
        </w:rPr>
        <w:t>relativo alla contestazione della violazione a seguito dello svolgimento delle relative indagini e non all</w:t>
      </w:r>
      <w:r w:rsidR="008655D6" w:rsidRPr="00D91312">
        <w:rPr>
          <w:rFonts w:ascii="Bookman Old Style" w:hAnsi="Bookman Old Style"/>
        </w:rPr>
        <w:t>’</w:t>
      </w:r>
      <w:r w:rsidR="00FA2980" w:rsidRPr="00D91312">
        <w:rPr>
          <w:rFonts w:ascii="Bookman Old Style" w:hAnsi="Bookman Old Style"/>
        </w:rPr>
        <w:t>avvio della fase istruttoria del procedimento</w:t>
      </w:r>
      <w:r w:rsidR="00496B14" w:rsidRPr="00D91312">
        <w:rPr>
          <w:rStyle w:val="Rimandonotaapidipagina"/>
          <w:rFonts w:ascii="Bookman Old Style" w:hAnsi="Bookman Old Style"/>
        </w:rPr>
        <w:footnoteReference w:id="14"/>
      </w:r>
      <w:r w:rsidR="001973DD" w:rsidRPr="00D91312">
        <w:rPr>
          <w:rFonts w:ascii="Bookman Old Style" w:hAnsi="Bookman Old Style"/>
        </w:rPr>
        <w:t>.</w:t>
      </w:r>
    </w:p>
    <w:p w:rsidR="00F81EFB" w:rsidRPr="00D91312" w:rsidRDefault="00417D70" w:rsidP="00496B14">
      <w:pPr>
        <w:jc w:val="both"/>
        <w:rPr>
          <w:rFonts w:ascii="Bookman Old Style" w:hAnsi="Bookman Old Style"/>
        </w:rPr>
      </w:pPr>
      <w:r w:rsidRPr="00D91312">
        <w:rPr>
          <w:rFonts w:ascii="Bookman Old Style" w:hAnsi="Bookman Old Style"/>
        </w:rPr>
        <w:t xml:space="preserve">In questo senso </w:t>
      </w:r>
      <w:r w:rsidR="00F81EFB" w:rsidRPr="00D91312">
        <w:rPr>
          <w:rFonts w:ascii="Bookman Old Style" w:hAnsi="Bookman Old Style"/>
        </w:rPr>
        <w:t>non risultano arresti di segno contrario</w:t>
      </w:r>
      <w:r w:rsidR="00A058F9" w:rsidRPr="00D91312">
        <w:rPr>
          <w:rFonts w:ascii="Bookman Old Style" w:hAnsi="Bookman Old Style"/>
        </w:rPr>
        <w:t xml:space="preserve">, diversamente da quanto </w:t>
      </w:r>
      <w:r w:rsidRPr="00D91312">
        <w:rPr>
          <w:rFonts w:ascii="Bookman Old Style" w:hAnsi="Bookman Old Style"/>
        </w:rPr>
        <w:t xml:space="preserve">affermato </w:t>
      </w:r>
      <w:r w:rsidR="00A058F9" w:rsidRPr="00D91312">
        <w:rPr>
          <w:rFonts w:ascii="Bookman Old Style" w:hAnsi="Bookman Old Style"/>
        </w:rPr>
        <w:t>in dottrina</w:t>
      </w:r>
      <w:r w:rsidR="00A058F9" w:rsidRPr="00D91312">
        <w:rPr>
          <w:rStyle w:val="Rimandonotaapidipagina"/>
          <w:rFonts w:ascii="Bookman Old Style" w:hAnsi="Bookman Old Style"/>
        </w:rPr>
        <w:footnoteReference w:id="15"/>
      </w:r>
      <w:r w:rsidR="00CC311A" w:rsidRPr="00D91312">
        <w:rPr>
          <w:rFonts w:ascii="Bookman Old Style" w:hAnsi="Bookman Old Style"/>
        </w:rPr>
        <w:t xml:space="preserve">, </w:t>
      </w:r>
      <w:r w:rsidR="009E3A45" w:rsidRPr="00D91312">
        <w:rPr>
          <w:rFonts w:ascii="Bookman Old Style" w:hAnsi="Bookman Old Style"/>
        </w:rPr>
        <w:t xml:space="preserve">che segnala un </w:t>
      </w:r>
      <w:r w:rsidR="00CC311A" w:rsidRPr="00D91312">
        <w:rPr>
          <w:rFonts w:ascii="Bookman Old Style" w:hAnsi="Bookman Old Style"/>
        </w:rPr>
        <w:t xml:space="preserve">precedente </w:t>
      </w:r>
      <w:r w:rsidR="009E3A45" w:rsidRPr="00D91312">
        <w:rPr>
          <w:rFonts w:ascii="Bookman Old Style" w:hAnsi="Bookman Old Style"/>
        </w:rPr>
        <w:t xml:space="preserve">per il quale, tuttavia, </w:t>
      </w:r>
      <w:r w:rsidR="00CC311A" w:rsidRPr="00D91312">
        <w:rPr>
          <w:rFonts w:ascii="Bookman Old Style" w:hAnsi="Bookman Old Style"/>
        </w:rPr>
        <w:t xml:space="preserve">la tempestività della contestazione </w:t>
      </w:r>
      <w:r w:rsidR="009E3A45" w:rsidRPr="00D91312">
        <w:rPr>
          <w:rFonts w:ascii="Bookman Old Style" w:hAnsi="Bookman Old Style"/>
        </w:rPr>
        <w:t xml:space="preserve">va, </w:t>
      </w:r>
      <w:r w:rsidRPr="00D91312">
        <w:rPr>
          <w:rFonts w:ascii="Bookman Old Style" w:hAnsi="Bookman Old Style"/>
        </w:rPr>
        <w:t>comunque</w:t>
      </w:r>
      <w:r w:rsidR="009E3A45" w:rsidRPr="00D91312">
        <w:rPr>
          <w:rFonts w:ascii="Bookman Old Style" w:hAnsi="Bookman Old Style"/>
        </w:rPr>
        <w:t>,</w:t>
      </w:r>
      <w:r w:rsidRPr="00D91312">
        <w:rPr>
          <w:rFonts w:ascii="Bookman Old Style" w:hAnsi="Bookman Old Style"/>
        </w:rPr>
        <w:t xml:space="preserve"> </w:t>
      </w:r>
      <w:r w:rsidR="0092705A" w:rsidRPr="00D91312">
        <w:rPr>
          <w:rFonts w:ascii="Bookman Old Style" w:hAnsi="Bookman Old Style"/>
        </w:rPr>
        <w:t xml:space="preserve">collegata </w:t>
      </w:r>
      <w:r w:rsidR="00CC311A" w:rsidRPr="00D91312">
        <w:rPr>
          <w:rFonts w:ascii="Bookman Old Style" w:hAnsi="Bookman Old Style"/>
        </w:rPr>
        <w:t>“</w:t>
      </w:r>
      <w:r w:rsidR="00CC311A" w:rsidRPr="00D91312">
        <w:rPr>
          <w:rFonts w:ascii="Bookman Old Style" w:hAnsi="Bookman Old Style"/>
          <w:i/>
        </w:rPr>
        <w:t>all</w:t>
      </w:r>
      <w:r w:rsidR="008655D6" w:rsidRPr="00D91312">
        <w:rPr>
          <w:rFonts w:ascii="Bookman Old Style" w:hAnsi="Bookman Old Style"/>
          <w:i/>
        </w:rPr>
        <w:t>’</w:t>
      </w:r>
      <w:r w:rsidR="00CC311A" w:rsidRPr="00D91312">
        <w:rPr>
          <w:rFonts w:ascii="Bookman Old Style" w:hAnsi="Bookman Old Style"/>
          <w:i/>
        </w:rPr>
        <w:t>acquisizione della piena conoscenza della condotta illecita implicante il riscontro (allo scopo di una corretta formulazione della contestazione) della sussistenza e della consistenza dell</w:t>
      </w:r>
      <w:r w:rsidR="008655D6" w:rsidRPr="00D91312">
        <w:rPr>
          <w:rFonts w:ascii="Bookman Old Style" w:hAnsi="Bookman Old Style"/>
          <w:i/>
        </w:rPr>
        <w:t>’</w:t>
      </w:r>
      <w:r w:rsidR="00CC311A" w:rsidRPr="00D91312">
        <w:rPr>
          <w:rFonts w:ascii="Bookman Old Style" w:hAnsi="Bookman Old Style"/>
          <w:i/>
        </w:rPr>
        <w:t>infrazione e dei suoi effetti</w:t>
      </w:r>
      <w:r w:rsidRPr="00D91312">
        <w:rPr>
          <w:rFonts w:ascii="Bookman Old Style" w:hAnsi="Bookman Old Style"/>
        </w:rPr>
        <w:t>”</w:t>
      </w:r>
      <w:r w:rsidR="0092705A" w:rsidRPr="00D91312">
        <w:rPr>
          <w:rStyle w:val="Rimandonotaapidipagina"/>
          <w:rFonts w:ascii="Bookman Old Style" w:hAnsi="Bookman Old Style"/>
        </w:rPr>
        <w:footnoteReference w:id="16"/>
      </w:r>
      <w:r w:rsidR="0092705A" w:rsidRPr="00D91312">
        <w:rPr>
          <w:rFonts w:ascii="Bookman Old Style" w:hAnsi="Bookman Old Style"/>
        </w:rPr>
        <w:t>.</w:t>
      </w:r>
    </w:p>
    <w:p w:rsidR="005659B2" w:rsidRPr="00D91312" w:rsidRDefault="001973DD" w:rsidP="000D6E0D">
      <w:pPr>
        <w:jc w:val="both"/>
        <w:rPr>
          <w:rFonts w:ascii="Bookman Old Style" w:hAnsi="Bookman Old Style"/>
        </w:rPr>
      </w:pPr>
      <w:r w:rsidRPr="00D91312">
        <w:rPr>
          <w:rFonts w:ascii="Bookman Old Style" w:hAnsi="Bookman Old Style"/>
        </w:rPr>
        <w:t xml:space="preserve">Per la fase istruttoria, </w:t>
      </w:r>
      <w:r w:rsidR="00E1602B" w:rsidRPr="00D91312">
        <w:rPr>
          <w:rFonts w:ascii="Bookman Old Style" w:hAnsi="Bookman Old Style"/>
        </w:rPr>
        <w:t>l</w:t>
      </w:r>
      <w:r w:rsidR="008655D6" w:rsidRPr="00D91312">
        <w:rPr>
          <w:rFonts w:ascii="Bookman Old Style" w:hAnsi="Bookman Old Style"/>
        </w:rPr>
        <w:t>’</w:t>
      </w:r>
      <w:r w:rsidR="00E1602B" w:rsidRPr="00D91312">
        <w:rPr>
          <w:rFonts w:ascii="Bookman Old Style" w:hAnsi="Bookman Old Style"/>
        </w:rPr>
        <w:t>orientamento negativo</w:t>
      </w:r>
      <w:r w:rsidR="00E71957" w:rsidRPr="00D91312">
        <w:rPr>
          <w:rStyle w:val="Rimandonotaapidipagina"/>
          <w:rFonts w:ascii="Bookman Old Style" w:hAnsi="Bookman Old Style"/>
        </w:rPr>
        <w:footnoteReference w:id="17"/>
      </w:r>
      <w:r w:rsidR="005659B2" w:rsidRPr="00D91312">
        <w:rPr>
          <w:rFonts w:ascii="Bookman Old Style" w:hAnsi="Bookman Old Style"/>
        </w:rPr>
        <w:t xml:space="preserve"> </w:t>
      </w:r>
      <w:r w:rsidR="00507075" w:rsidRPr="00D91312">
        <w:rPr>
          <w:rFonts w:ascii="Bookman Old Style" w:hAnsi="Bookman Old Style"/>
        </w:rPr>
        <w:t>ritiene che ai procedimenti dell</w:t>
      </w:r>
      <w:r w:rsidR="008655D6" w:rsidRPr="00D91312">
        <w:rPr>
          <w:rFonts w:ascii="Bookman Old Style" w:hAnsi="Bookman Old Style"/>
        </w:rPr>
        <w:t>’</w:t>
      </w:r>
      <w:r w:rsidR="00507075" w:rsidRPr="00D91312">
        <w:rPr>
          <w:rFonts w:ascii="Bookman Old Style" w:hAnsi="Bookman Old Style"/>
        </w:rPr>
        <w:t>AGCM i termini perentori di cui all</w:t>
      </w:r>
      <w:r w:rsidR="008655D6" w:rsidRPr="00D91312">
        <w:rPr>
          <w:rFonts w:ascii="Bookman Old Style" w:hAnsi="Bookman Old Style"/>
        </w:rPr>
        <w:t>’</w:t>
      </w:r>
      <w:r w:rsidR="00507075" w:rsidRPr="00D91312">
        <w:rPr>
          <w:rFonts w:ascii="Bookman Old Style" w:hAnsi="Bookman Old Style"/>
        </w:rPr>
        <w:t xml:space="preserve">art. 14 della l. 689/81 </w:t>
      </w:r>
      <w:r w:rsidR="006F698F" w:rsidRPr="00D91312">
        <w:rPr>
          <w:rFonts w:ascii="Bookman Old Style" w:hAnsi="Bookman Old Style"/>
        </w:rPr>
        <w:t xml:space="preserve">non si applichino </w:t>
      </w:r>
      <w:r w:rsidR="000D6E0D" w:rsidRPr="00D91312">
        <w:rPr>
          <w:rFonts w:ascii="Bookman Old Style" w:hAnsi="Bookman Old Style"/>
        </w:rPr>
        <w:t xml:space="preserve">perché </w:t>
      </w:r>
      <w:r w:rsidR="00507075" w:rsidRPr="00D91312">
        <w:rPr>
          <w:rFonts w:ascii="Bookman Old Style" w:hAnsi="Bookman Old Style"/>
        </w:rPr>
        <w:t>la norma dell</w:t>
      </w:r>
      <w:r w:rsidR="008655D6" w:rsidRPr="00D91312">
        <w:rPr>
          <w:rFonts w:ascii="Bookman Old Style" w:hAnsi="Bookman Old Style"/>
        </w:rPr>
        <w:t>’</w:t>
      </w:r>
      <w:r w:rsidR="00507075" w:rsidRPr="00D91312">
        <w:rPr>
          <w:rFonts w:ascii="Bookman Old Style" w:hAnsi="Bookman Old Style"/>
        </w:rPr>
        <w:t xml:space="preserve">art. 14 cit. </w:t>
      </w:r>
      <w:r w:rsidR="006F698F" w:rsidRPr="00D91312">
        <w:rPr>
          <w:rFonts w:ascii="Bookman Old Style" w:hAnsi="Bookman Old Style"/>
        </w:rPr>
        <w:t xml:space="preserve">avrebbe </w:t>
      </w:r>
      <w:r w:rsidR="008123CF" w:rsidRPr="00D91312">
        <w:rPr>
          <w:rFonts w:ascii="Bookman Old Style" w:hAnsi="Bookman Old Style"/>
        </w:rPr>
        <w:t>carattere suppletivo</w:t>
      </w:r>
      <w:r w:rsidR="000D6E0D" w:rsidRPr="00D91312">
        <w:rPr>
          <w:rFonts w:ascii="Bookman Old Style" w:hAnsi="Bookman Old Style"/>
        </w:rPr>
        <w:t xml:space="preserve"> e quindi varrebbe soltanto </w:t>
      </w:r>
      <w:r w:rsidR="008A4BFE" w:rsidRPr="00D91312">
        <w:rPr>
          <w:rFonts w:ascii="Bookman Old Style" w:hAnsi="Bookman Old Style"/>
        </w:rPr>
        <w:t xml:space="preserve">ove </w:t>
      </w:r>
      <w:r w:rsidR="000D6E0D" w:rsidRPr="00D91312">
        <w:rPr>
          <w:rFonts w:ascii="Bookman Old Style" w:hAnsi="Bookman Old Style"/>
        </w:rPr>
        <w:t>non esista</w:t>
      </w:r>
      <w:r w:rsidR="005B69D5" w:rsidRPr="00D91312">
        <w:rPr>
          <w:rFonts w:ascii="Bookman Old Style" w:hAnsi="Bookman Old Style"/>
        </w:rPr>
        <w:t xml:space="preserve"> </w:t>
      </w:r>
      <w:r w:rsidR="008123CF" w:rsidRPr="00D91312">
        <w:rPr>
          <w:rFonts w:ascii="Bookman Old Style" w:hAnsi="Bookman Old Style"/>
        </w:rPr>
        <w:t>una normativa</w:t>
      </w:r>
      <w:r w:rsidR="006F698F" w:rsidRPr="00D91312">
        <w:rPr>
          <w:rFonts w:ascii="Bookman Old Style" w:hAnsi="Bookman Old Style"/>
        </w:rPr>
        <w:t xml:space="preserve"> </w:t>
      </w:r>
      <w:r w:rsidR="005B69D5" w:rsidRPr="00D91312">
        <w:rPr>
          <w:rFonts w:ascii="Bookman Old Style" w:hAnsi="Bookman Old Style"/>
        </w:rPr>
        <w:t xml:space="preserve">speciale </w:t>
      </w:r>
      <w:r w:rsidR="006F698F" w:rsidRPr="00D91312">
        <w:rPr>
          <w:rFonts w:ascii="Bookman Old Style" w:hAnsi="Bookman Old Style"/>
        </w:rPr>
        <w:t xml:space="preserve">incompatibile </w:t>
      </w:r>
      <w:r w:rsidR="005B69D5" w:rsidRPr="00D91312">
        <w:rPr>
          <w:rFonts w:ascii="Bookman Old Style" w:hAnsi="Bookman Old Style"/>
        </w:rPr>
        <w:t>(</w:t>
      </w:r>
      <w:r w:rsidR="008123CF" w:rsidRPr="00D91312">
        <w:rPr>
          <w:rFonts w:ascii="Bookman Old Style" w:hAnsi="Bookman Old Style"/>
        </w:rPr>
        <w:t xml:space="preserve">anche non di </w:t>
      </w:r>
      <w:r w:rsidR="006F698F" w:rsidRPr="00D91312">
        <w:rPr>
          <w:rFonts w:ascii="Bookman Old Style" w:hAnsi="Bookman Old Style"/>
        </w:rPr>
        <w:t>rango primario</w:t>
      </w:r>
      <w:r w:rsidR="005B69D5" w:rsidRPr="00D91312">
        <w:rPr>
          <w:rFonts w:ascii="Bookman Old Style" w:hAnsi="Bookman Old Style"/>
        </w:rPr>
        <w:t>)</w:t>
      </w:r>
      <w:r w:rsidR="0062297C" w:rsidRPr="00D91312">
        <w:rPr>
          <w:rFonts w:ascii="Bookman Old Style" w:hAnsi="Bookman Old Style"/>
        </w:rPr>
        <w:t>,</w:t>
      </w:r>
      <w:r w:rsidR="005B69D5" w:rsidRPr="00D91312">
        <w:rPr>
          <w:rFonts w:ascii="Bookman Old Style" w:hAnsi="Bookman Old Style"/>
        </w:rPr>
        <w:t xml:space="preserve"> </w:t>
      </w:r>
      <w:r w:rsidR="008A4BFE" w:rsidRPr="00D91312">
        <w:rPr>
          <w:rFonts w:ascii="Bookman Old Style" w:hAnsi="Bookman Old Style"/>
        </w:rPr>
        <w:t xml:space="preserve">che </w:t>
      </w:r>
      <w:r w:rsidR="005B69D5" w:rsidRPr="00D91312">
        <w:rPr>
          <w:rFonts w:ascii="Bookman Old Style" w:hAnsi="Bookman Old Style"/>
        </w:rPr>
        <w:t>nella specie</w:t>
      </w:r>
      <w:r w:rsidR="008A4BFE" w:rsidRPr="00D91312">
        <w:rPr>
          <w:rFonts w:ascii="Bookman Old Style" w:hAnsi="Bookman Old Style"/>
        </w:rPr>
        <w:t xml:space="preserve"> sarebbe rappresentata</w:t>
      </w:r>
      <w:r w:rsidR="005B69D5" w:rsidRPr="00D91312">
        <w:rPr>
          <w:rFonts w:ascii="Bookman Old Style" w:hAnsi="Bookman Old Style"/>
        </w:rPr>
        <w:t xml:space="preserve"> dalla disciplina dettata dal </w:t>
      </w:r>
      <w:proofErr w:type="spellStart"/>
      <w:r w:rsidR="005B69D5" w:rsidRPr="00D91312">
        <w:rPr>
          <w:rFonts w:ascii="Bookman Old Style" w:hAnsi="Bookman Old Style"/>
        </w:rPr>
        <w:t>d.P.R.</w:t>
      </w:r>
      <w:proofErr w:type="spellEnd"/>
      <w:r w:rsidR="005B69D5" w:rsidRPr="00D91312">
        <w:rPr>
          <w:rFonts w:ascii="Bookman Old Style" w:hAnsi="Bookman Old Style"/>
        </w:rPr>
        <w:t xml:space="preserve"> n. 217/1998</w:t>
      </w:r>
      <w:r w:rsidR="00E71957" w:rsidRPr="00D91312">
        <w:rPr>
          <w:rStyle w:val="Rimandonotaapidipagina"/>
          <w:rFonts w:ascii="Bookman Old Style" w:hAnsi="Bookman Old Style"/>
        </w:rPr>
        <w:footnoteReference w:id="18"/>
      </w:r>
      <w:r w:rsidR="00BB429F" w:rsidRPr="00D91312">
        <w:rPr>
          <w:rFonts w:ascii="Bookman Old Style" w:hAnsi="Bookman Old Style"/>
        </w:rPr>
        <w:t>, cioè dal regolamento in materia di procedure istruttorie dell</w:t>
      </w:r>
      <w:r w:rsidR="008655D6" w:rsidRPr="00D91312">
        <w:rPr>
          <w:rFonts w:ascii="Bookman Old Style" w:hAnsi="Bookman Old Style"/>
        </w:rPr>
        <w:t>’</w:t>
      </w:r>
      <w:r w:rsidR="00BB429F" w:rsidRPr="00D91312">
        <w:rPr>
          <w:rFonts w:ascii="Bookman Old Style" w:hAnsi="Bookman Old Style"/>
        </w:rPr>
        <w:t>AGCM</w:t>
      </w:r>
      <w:r w:rsidR="0062297C" w:rsidRPr="00D91312">
        <w:rPr>
          <w:rFonts w:ascii="Bookman Old Style" w:hAnsi="Bookman Old Style"/>
        </w:rPr>
        <w:t>; l</w:t>
      </w:r>
      <w:r w:rsidR="008655D6" w:rsidRPr="00D91312">
        <w:rPr>
          <w:rFonts w:ascii="Bookman Old Style" w:hAnsi="Bookman Old Style"/>
        </w:rPr>
        <w:t>’</w:t>
      </w:r>
      <w:r w:rsidR="0062297C" w:rsidRPr="00D91312">
        <w:rPr>
          <w:rFonts w:ascii="Bookman Old Style" w:hAnsi="Bookman Old Style"/>
        </w:rPr>
        <w:t xml:space="preserve">inapplicabilità non comporterebbe esiti incostituzionali, </w:t>
      </w:r>
      <w:r w:rsidR="00BB429F" w:rsidRPr="00D91312">
        <w:rPr>
          <w:rFonts w:ascii="Bookman Old Style" w:hAnsi="Bookman Old Style"/>
        </w:rPr>
        <w:t xml:space="preserve">nel senso di </w:t>
      </w:r>
      <w:r w:rsidR="0062297C" w:rsidRPr="00D91312">
        <w:rPr>
          <w:rFonts w:ascii="Bookman Old Style" w:hAnsi="Bookman Old Style"/>
        </w:rPr>
        <w:t>espo</w:t>
      </w:r>
      <w:r w:rsidR="00BB429F" w:rsidRPr="00D91312">
        <w:rPr>
          <w:rFonts w:ascii="Bookman Old Style" w:hAnsi="Bookman Old Style"/>
        </w:rPr>
        <w:t xml:space="preserve">rre </w:t>
      </w:r>
      <w:r w:rsidR="0062297C" w:rsidRPr="00D91312">
        <w:rPr>
          <w:rFonts w:ascii="Bookman Old Style" w:hAnsi="Bookman Old Style"/>
        </w:rPr>
        <w:t>l</w:t>
      </w:r>
      <w:r w:rsidR="008655D6" w:rsidRPr="00D91312">
        <w:rPr>
          <w:rFonts w:ascii="Bookman Old Style" w:hAnsi="Bookman Old Style"/>
        </w:rPr>
        <w:t>’</w:t>
      </w:r>
      <w:r w:rsidR="0062297C" w:rsidRPr="00D91312">
        <w:rPr>
          <w:rFonts w:ascii="Bookman Old Style" w:hAnsi="Bookman Old Style"/>
        </w:rPr>
        <w:t xml:space="preserve">interessato senza limiti di tempo </w:t>
      </w:r>
      <w:r w:rsidR="00B80689" w:rsidRPr="00D91312">
        <w:rPr>
          <w:rFonts w:ascii="Bookman Old Style" w:hAnsi="Bookman Old Style"/>
        </w:rPr>
        <w:t xml:space="preserve">al </w:t>
      </w:r>
      <w:r w:rsidR="0062297C" w:rsidRPr="00D91312">
        <w:rPr>
          <w:rFonts w:ascii="Bookman Old Style" w:hAnsi="Bookman Old Style"/>
        </w:rPr>
        <w:t>potere sanzion</w:t>
      </w:r>
      <w:r w:rsidR="00B80689" w:rsidRPr="00D91312">
        <w:rPr>
          <w:rFonts w:ascii="Bookman Old Style" w:hAnsi="Bookman Old Style"/>
        </w:rPr>
        <w:t>atorio</w:t>
      </w:r>
      <w:r w:rsidR="00BB429F" w:rsidRPr="00D91312">
        <w:rPr>
          <w:rFonts w:ascii="Bookman Old Style" w:hAnsi="Bookman Old Style"/>
        </w:rPr>
        <w:t>,</w:t>
      </w:r>
      <w:r w:rsidR="0062297C" w:rsidRPr="00D91312">
        <w:rPr>
          <w:rFonts w:ascii="Bookman Old Style" w:hAnsi="Bookman Old Style"/>
        </w:rPr>
        <w:t xml:space="preserve"> perché egli potrebbe agire </w:t>
      </w:r>
      <w:r w:rsidR="00B80689" w:rsidRPr="00D91312">
        <w:rPr>
          <w:rFonts w:ascii="Bookman Old Style" w:hAnsi="Bookman Old Style"/>
        </w:rPr>
        <w:t xml:space="preserve">col rito del silenzio </w:t>
      </w:r>
      <w:r w:rsidR="0062297C" w:rsidRPr="00D91312">
        <w:rPr>
          <w:rFonts w:ascii="Bookman Old Style" w:hAnsi="Bookman Old Style"/>
        </w:rPr>
        <w:t>contro l</w:t>
      </w:r>
      <w:r w:rsidR="008655D6" w:rsidRPr="00D91312">
        <w:rPr>
          <w:rFonts w:ascii="Bookman Old Style" w:hAnsi="Bookman Old Style"/>
        </w:rPr>
        <w:t>’</w:t>
      </w:r>
      <w:r w:rsidR="0062297C" w:rsidRPr="00D91312">
        <w:rPr>
          <w:rFonts w:ascii="Bookman Old Style" w:hAnsi="Bookman Old Style"/>
        </w:rPr>
        <w:t xml:space="preserve">Autorità </w:t>
      </w:r>
      <w:r w:rsidR="008A4BFE" w:rsidRPr="00D91312">
        <w:rPr>
          <w:rFonts w:ascii="Bookman Old Style" w:hAnsi="Bookman Old Style"/>
        </w:rPr>
        <w:t xml:space="preserve">stessa </w:t>
      </w:r>
      <w:r w:rsidR="00B80689" w:rsidRPr="00D91312">
        <w:rPr>
          <w:rFonts w:ascii="Bookman Old Style" w:hAnsi="Bookman Old Style"/>
        </w:rPr>
        <w:t xml:space="preserve">per costringerla a pronunciarsi in termini certi e </w:t>
      </w:r>
      <w:r w:rsidR="001E33B4" w:rsidRPr="00D91312">
        <w:rPr>
          <w:rFonts w:ascii="Bookman Old Style" w:hAnsi="Bookman Old Style"/>
        </w:rPr>
        <w:t xml:space="preserve">perché </w:t>
      </w:r>
      <w:r w:rsidR="00B80689" w:rsidRPr="00D91312">
        <w:rPr>
          <w:rFonts w:ascii="Bookman Old Style" w:hAnsi="Bookman Old Style"/>
        </w:rPr>
        <w:t xml:space="preserve">anche alle sanzioni di competenza </w:t>
      </w:r>
      <w:r w:rsidR="00BB429F" w:rsidRPr="00D91312">
        <w:rPr>
          <w:rFonts w:ascii="Bookman Old Style" w:hAnsi="Bookman Old Style"/>
        </w:rPr>
        <w:t>dell</w:t>
      </w:r>
      <w:r w:rsidR="008655D6" w:rsidRPr="00D91312">
        <w:rPr>
          <w:rFonts w:ascii="Bookman Old Style" w:hAnsi="Bookman Old Style"/>
        </w:rPr>
        <w:t>’</w:t>
      </w:r>
      <w:r w:rsidR="00BB429F" w:rsidRPr="00D91312">
        <w:rPr>
          <w:rFonts w:ascii="Bookman Old Style" w:hAnsi="Bookman Old Style"/>
        </w:rPr>
        <w:t xml:space="preserve">AGCM </w:t>
      </w:r>
      <w:r w:rsidR="00B80689" w:rsidRPr="00D91312">
        <w:rPr>
          <w:rFonts w:ascii="Bookman Old Style" w:hAnsi="Bookman Old Style"/>
        </w:rPr>
        <w:t>si applicherebbe la previsione generale dell</w:t>
      </w:r>
      <w:r w:rsidR="008655D6" w:rsidRPr="00D91312">
        <w:rPr>
          <w:rFonts w:ascii="Bookman Old Style" w:hAnsi="Bookman Old Style"/>
        </w:rPr>
        <w:t>’</w:t>
      </w:r>
      <w:r w:rsidR="00B80689" w:rsidRPr="00D91312">
        <w:rPr>
          <w:rFonts w:ascii="Bookman Old Style" w:hAnsi="Bookman Old Style"/>
        </w:rPr>
        <w:t>art. 28 della l. 689/1981 sulla prescrizione</w:t>
      </w:r>
      <w:r w:rsidR="00E71957" w:rsidRPr="00D91312">
        <w:rPr>
          <w:rStyle w:val="Rimandonotaapidipagina"/>
          <w:rFonts w:ascii="Bookman Old Style" w:hAnsi="Bookman Old Style"/>
        </w:rPr>
        <w:footnoteReference w:id="19"/>
      </w:r>
      <w:r w:rsidR="00E71957" w:rsidRPr="00D91312">
        <w:rPr>
          <w:rFonts w:ascii="Bookman Old Style" w:hAnsi="Bookman Old Style"/>
        </w:rPr>
        <w:t>.</w:t>
      </w:r>
    </w:p>
    <w:p w:rsidR="00684789" w:rsidRPr="00D91312" w:rsidRDefault="001973DD" w:rsidP="00684789">
      <w:pPr>
        <w:jc w:val="both"/>
        <w:rPr>
          <w:rFonts w:ascii="Bookman Old Style" w:hAnsi="Bookman Old Style"/>
        </w:rPr>
      </w:pPr>
      <w:r w:rsidRPr="00D91312">
        <w:rPr>
          <w:rFonts w:ascii="Bookman Old Style" w:hAnsi="Bookman Old Style"/>
        </w:rPr>
        <w:t>L</w:t>
      </w:r>
      <w:r w:rsidR="008655D6" w:rsidRPr="00D91312">
        <w:rPr>
          <w:rFonts w:ascii="Bookman Old Style" w:hAnsi="Bookman Old Style"/>
        </w:rPr>
        <w:t>’</w:t>
      </w:r>
      <w:r w:rsidRPr="00D91312">
        <w:rPr>
          <w:rFonts w:ascii="Bookman Old Style" w:hAnsi="Bookman Old Style"/>
        </w:rPr>
        <w:t>orientamento positivo</w:t>
      </w:r>
      <w:r w:rsidR="006529F6" w:rsidRPr="00D91312">
        <w:rPr>
          <w:rStyle w:val="Rimandonotaapidipagina"/>
          <w:rFonts w:ascii="Bookman Old Style" w:hAnsi="Bookman Old Style"/>
        </w:rPr>
        <w:footnoteReference w:id="20"/>
      </w:r>
      <w:r w:rsidR="0009598C" w:rsidRPr="00D91312">
        <w:rPr>
          <w:rFonts w:ascii="Bookman Old Style" w:hAnsi="Bookman Old Style"/>
        </w:rPr>
        <w:t xml:space="preserve">, </w:t>
      </w:r>
      <w:r w:rsidR="00684789" w:rsidRPr="00D91312">
        <w:rPr>
          <w:rFonts w:ascii="Bookman Old Style" w:hAnsi="Bookman Old Style"/>
        </w:rPr>
        <w:t>sulla premessa che la preventiva comunicazione e descrizione sommaria del fatto contestato con l</w:t>
      </w:r>
      <w:r w:rsidR="008655D6" w:rsidRPr="00D91312">
        <w:rPr>
          <w:rFonts w:ascii="Bookman Old Style" w:hAnsi="Bookman Old Style"/>
        </w:rPr>
        <w:t>’</w:t>
      </w:r>
      <w:r w:rsidR="00684789" w:rsidRPr="00D91312">
        <w:rPr>
          <w:rFonts w:ascii="Bookman Old Style" w:hAnsi="Bookman Old Style"/>
        </w:rPr>
        <w:t>indicazione delle circostanze di tempo e di luogo, idonee ad assicurare la difesa dell</w:t>
      </w:r>
      <w:r w:rsidR="008655D6" w:rsidRPr="00D91312">
        <w:rPr>
          <w:rFonts w:ascii="Bookman Old Style" w:hAnsi="Bookman Old Style"/>
        </w:rPr>
        <w:t>’</w:t>
      </w:r>
      <w:r w:rsidR="00684789" w:rsidRPr="00D91312">
        <w:rPr>
          <w:rFonts w:ascii="Bookman Old Style" w:hAnsi="Bookman Old Style"/>
        </w:rPr>
        <w:t>interessato già nella fase del procedimento anteriore all</w:t>
      </w:r>
      <w:r w:rsidR="008655D6" w:rsidRPr="00D91312">
        <w:rPr>
          <w:rFonts w:ascii="Bookman Old Style" w:hAnsi="Bookman Old Style"/>
        </w:rPr>
        <w:t>’</w:t>
      </w:r>
      <w:r w:rsidR="00684789" w:rsidRPr="00D91312">
        <w:rPr>
          <w:rFonts w:ascii="Bookman Old Style" w:hAnsi="Bookman Old Style"/>
        </w:rPr>
        <w:t>emissione dell</w:t>
      </w:r>
      <w:r w:rsidR="008655D6" w:rsidRPr="00D91312">
        <w:rPr>
          <w:rFonts w:ascii="Bookman Old Style" w:hAnsi="Bookman Old Style"/>
        </w:rPr>
        <w:t>’</w:t>
      </w:r>
      <w:r w:rsidR="00684789" w:rsidRPr="00D91312">
        <w:rPr>
          <w:rFonts w:ascii="Bookman Old Style" w:hAnsi="Bookman Old Style"/>
        </w:rPr>
        <w:t>ordinanza-ingiunzione, attiene ai principi del contraddittorio e svolge la precisa funzione di garanzia di consentire un tempestivo esercizio del diritto di difesa, sostiene</w:t>
      </w:r>
      <w:r w:rsidR="00263B8E" w:rsidRPr="00D91312">
        <w:rPr>
          <w:rFonts w:ascii="Bookman Old Style" w:hAnsi="Bookman Old Style"/>
        </w:rPr>
        <w:t>,</w:t>
      </w:r>
      <w:r w:rsidR="00684789" w:rsidRPr="00D91312">
        <w:rPr>
          <w:rFonts w:ascii="Bookman Old Style" w:hAnsi="Bookman Old Style"/>
        </w:rPr>
        <w:t xml:space="preserve"> </w:t>
      </w:r>
      <w:r w:rsidR="00036F34" w:rsidRPr="00D91312">
        <w:rPr>
          <w:rFonts w:ascii="Bookman Old Style" w:hAnsi="Bookman Old Style"/>
        </w:rPr>
        <w:t>invece</w:t>
      </w:r>
      <w:r w:rsidR="00263B8E" w:rsidRPr="00D91312">
        <w:rPr>
          <w:rFonts w:ascii="Bookman Old Style" w:hAnsi="Bookman Old Style"/>
        </w:rPr>
        <w:t>,</w:t>
      </w:r>
      <w:r w:rsidR="00036F34" w:rsidRPr="00D91312">
        <w:rPr>
          <w:rFonts w:ascii="Bookman Old Style" w:hAnsi="Bookman Old Style"/>
        </w:rPr>
        <w:t xml:space="preserve"> </w:t>
      </w:r>
      <w:r w:rsidR="00684789" w:rsidRPr="00D91312">
        <w:rPr>
          <w:rFonts w:ascii="Bookman Old Style" w:hAnsi="Bookman Old Style"/>
        </w:rPr>
        <w:t>che l</w:t>
      </w:r>
      <w:r w:rsidR="008655D6" w:rsidRPr="00D91312">
        <w:rPr>
          <w:rFonts w:ascii="Bookman Old Style" w:hAnsi="Bookman Old Style"/>
        </w:rPr>
        <w:t>’</w:t>
      </w:r>
      <w:r w:rsidR="00684789" w:rsidRPr="00D91312">
        <w:rPr>
          <w:rFonts w:ascii="Bookman Old Style" w:hAnsi="Bookman Old Style"/>
        </w:rPr>
        <w:t xml:space="preserve">ampia portata precettiva </w:t>
      </w:r>
      <w:r w:rsidR="009F3A27" w:rsidRPr="00D91312">
        <w:rPr>
          <w:rFonts w:ascii="Bookman Old Style" w:hAnsi="Bookman Old Style"/>
        </w:rPr>
        <w:t xml:space="preserve">del capo I della legge 689/81 possa essere </w:t>
      </w:r>
      <w:r w:rsidR="00684789" w:rsidRPr="00D91312">
        <w:rPr>
          <w:rFonts w:ascii="Bookman Old Style" w:hAnsi="Bookman Old Style"/>
        </w:rPr>
        <w:t>esclusa soltanto dalla presenza di una diversa regolamentazi</w:t>
      </w:r>
      <w:r w:rsidR="009F3A27" w:rsidRPr="00D91312">
        <w:rPr>
          <w:rFonts w:ascii="Bookman Old Style" w:hAnsi="Bookman Old Style"/>
        </w:rPr>
        <w:t xml:space="preserve">one da parte di </w:t>
      </w:r>
      <w:r w:rsidR="001E33B4" w:rsidRPr="00D91312">
        <w:rPr>
          <w:rFonts w:ascii="Bookman Old Style" w:hAnsi="Bookman Old Style"/>
        </w:rPr>
        <w:t xml:space="preserve">una </w:t>
      </w:r>
      <w:r w:rsidR="009F3A27" w:rsidRPr="00D91312">
        <w:rPr>
          <w:rFonts w:ascii="Bookman Old Style" w:hAnsi="Bookman Old Style"/>
        </w:rPr>
        <w:t>fonte normativa</w:t>
      </w:r>
      <w:r w:rsidR="00684789" w:rsidRPr="00D91312">
        <w:rPr>
          <w:rFonts w:ascii="Bookman Old Style" w:hAnsi="Bookman Old Style"/>
        </w:rPr>
        <w:t xml:space="preserve"> pari ordinata, </w:t>
      </w:r>
      <w:r w:rsidR="009F3A27" w:rsidRPr="00D91312">
        <w:rPr>
          <w:rFonts w:ascii="Bookman Old Style" w:hAnsi="Bookman Old Style"/>
        </w:rPr>
        <w:t xml:space="preserve">la quale, </w:t>
      </w:r>
      <w:r w:rsidR="00684789" w:rsidRPr="00D91312">
        <w:rPr>
          <w:rFonts w:ascii="Bookman Old Style" w:hAnsi="Bookman Old Style"/>
        </w:rPr>
        <w:t>per il suo carattere di sp</w:t>
      </w:r>
      <w:r w:rsidR="009F3A27" w:rsidRPr="00D91312">
        <w:rPr>
          <w:rFonts w:ascii="Bookman Old Style" w:hAnsi="Bookman Old Style"/>
        </w:rPr>
        <w:t xml:space="preserve">ecialità, si configuri idonea a </w:t>
      </w:r>
      <w:r w:rsidR="00684789" w:rsidRPr="00D91312">
        <w:rPr>
          <w:rFonts w:ascii="Bookman Old Style" w:hAnsi="Bookman Old Style"/>
        </w:rPr>
        <w:t>introdurre deroga all</w:t>
      </w:r>
      <w:r w:rsidR="009F3A27" w:rsidRPr="00D91312">
        <w:rPr>
          <w:rFonts w:ascii="Bookman Old Style" w:hAnsi="Bookman Old Style"/>
        </w:rPr>
        <w:t>a norma generale e di principio, tanto che l</w:t>
      </w:r>
      <w:r w:rsidR="00684789" w:rsidRPr="00D91312">
        <w:rPr>
          <w:rFonts w:ascii="Bookman Old Style" w:hAnsi="Bookman Old Style"/>
        </w:rPr>
        <w:t xml:space="preserve">o stesso art. 31 della </w:t>
      </w:r>
      <w:r w:rsidR="00036F34" w:rsidRPr="00D91312">
        <w:rPr>
          <w:rFonts w:ascii="Bookman Old Style" w:hAnsi="Bookman Old Style"/>
        </w:rPr>
        <w:t xml:space="preserve">l. </w:t>
      </w:r>
      <w:r w:rsidR="00684789" w:rsidRPr="00D91312">
        <w:rPr>
          <w:rFonts w:ascii="Bookman Old Style" w:hAnsi="Bookman Old Style"/>
        </w:rPr>
        <w:t>n. 287</w:t>
      </w:r>
      <w:r w:rsidR="009F3A27" w:rsidRPr="00D91312">
        <w:rPr>
          <w:rFonts w:ascii="Bookman Old Style" w:hAnsi="Bookman Old Style"/>
        </w:rPr>
        <w:t>/</w:t>
      </w:r>
      <w:r w:rsidR="00684789" w:rsidRPr="00D91312">
        <w:rPr>
          <w:rFonts w:ascii="Bookman Old Style" w:hAnsi="Bookman Old Style"/>
        </w:rPr>
        <w:t>90 prevede l</w:t>
      </w:r>
      <w:r w:rsidR="008655D6" w:rsidRPr="00D91312">
        <w:rPr>
          <w:rFonts w:ascii="Bookman Old Style" w:hAnsi="Bookman Old Style"/>
        </w:rPr>
        <w:t>’</w:t>
      </w:r>
      <w:r w:rsidR="00684789" w:rsidRPr="00D91312">
        <w:rPr>
          <w:rFonts w:ascii="Bookman Old Style" w:hAnsi="Bookman Old Style"/>
        </w:rPr>
        <w:t>applicazione delle norme generali di cui alla legge n. 689</w:t>
      </w:r>
      <w:r w:rsidR="009F3A27" w:rsidRPr="00D91312">
        <w:rPr>
          <w:rFonts w:ascii="Bookman Old Style" w:hAnsi="Bookman Old Style"/>
        </w:rPr>
        <w:t>/</w:t>
      </w:r>
      <w:r w:rsidR="00684789" w:rsidRPr="00D91312">
        <w:rPr>
          <w:rFonts w:ascii="Bookman Old Style" w:hAnsi="Bookman Old Style"/>
        </w:rPr>
        <w:t>81 “</w:t>
      </w:r>
      <w:r w:rsidR="00684789" w:rsidRPr="00D91312">
        <w:rPr>
          <w:rFonts w:ascii="Bookman Old Style" w:hAnsi="Bookman Old Style"/>
          <w:i/>
        </w:rPr>
        <w:t>in quanto applicabili</w:t>
      </w:r>
      <w:r w:rsidR="00684789" w:rsidRPr="00D91312">
        <w:rPr>
          <w:rFonts w:ascii="Bookman Old Style" w:hAnsi="Bookman Old Style"/>
        </w:rPr>
        <w:t>”.</w:t>
      </w:r>
      <w:r w:rsidR="009F3A27" w:rsidRPr="00D91312">
        <w:rPr>
          <w:rFonts w:ascii="Bookman Old Style" w:hAnsi="Bookman Old Style"/>
        </w:rPr>
        <w:t xml:space="preserve"> Nel caso </w:t>
      </w:r>
      <w:r w:rsidR="00684789" w:rsidRPr="00D91312">
        <w:rPr>
          <w:rFonts w:ascii="Bookman Old Style" w:hAnsi="Bookman Old Style"/>
        </w:rPr>
        <w:t xml:space="preserve">specifico </w:t>
      </w:r>
      <w:r w:rsidR="009F3A27" w:rsidRPr="00D91312">
        <w:rPr>
          <w:rFonts w:ascii="Bookman Old Style" w:hAnsi="Bookman Old Style"/>
        </w:rPr>
        <w:t>de</w:t>
      </w:r>
      <w:r w:rsidR="00684789" w:rsidRPr="00D91312">
        <w:rPr>
          <w:rFonts w:ascii="Bookman Old Style" w:hAnsi="Bookman Old Style"/>
        </w:rPr>
        <w:t>lla disciplina della potestà sanzionatoria dell</w:t>
      </w:r>
      <w:r w:rsidR="008655D6" w:rsidRPr="00D91312">
        <w:rPr>
          <w:rFonts w:ascii="Bookman Old Style" w:hAnsi="Bookman Old Style"/>
        </w:rPr>
        <w:t>’</w:t>
      </w:r>
      <w:r w:rsidR="00684789" w:rsidRPr="00D91312">
        <w:rPr>
          <w:rFonts w:ascii="Bookman Old Style" w:hAnsi="Bookman Old Style"/>
        </w:rPr>
        <w:t>A</w:t>
      </w:r>
      <w:r w:rsidR="009F3A27" w:rsidRPr="00D91312">
        <w:rPr>
          <w:rFonts w:ascii="Bookman Old Style" w:hAnsi="Bookman Old Style"/>
        </w:rPr>
        <w:t xml:space="preserve">GCM </w:t>
      </w:r>
      <w:r w:rsidR="00684789" w:rsidRPr="00D91312">
        <w:rPr>
          <w:rFonts w:ascii="Bookman Old Style" w:hAnsi="Bookman Old Style"/>
        </w:rPr>
        <w:t>non emerg</w:t>
      </w:r>
      <w:r w:rsidR="009F3A27" w:rsidRPr="00D91312">
        <w:rPr>
          <w:rFonts w:ascii="Bookman Old Style" w:hAnsi="Bookman Old Style"/>
        </w:rPr>
        <w:t xml:space="preserve">erebbero </w:t>
      </w:r>
      <w:r w:rsidR="00684789" w:rsidRPr="00D91312">
        <w:rPr>
          <w:rFonts w:ascii="Bookman Old Style" w:hAnsi="Bookman Old Style"/>
        </w:rPr>
        <w:t xml:space="preserve">le condizioni per derogare al sistema </w:t>
      </w:r>
      <w:r w:rsidR="006529F6" w:rsidRPr="00D91312">
        <w:rPr>
          <w:rFonts w:ascii="Bookman Old Style" w:hAnsi="Bookman Old Style"/>
        </w:rPr>
        <w:t>della l. 689/81</w:t>
      </w:r>
      <w:r w:rsidR="001E33B4" w:rsidRPr="00D91312">
        <w:rPr>
          <w:rFonts w:ascii="Bookman Old Style" w:hAnsi="Bookman Old Style"/>
        </w:rPr>
        <w:t>,</w:t>
      </w:r>
      <w:r w:rsidR="006529F6" w:rsidRPr="00D91312">
        <w:rPr>
          <w:rFonts w:ascii="Bookman Old Style" w:hAnsi="Bookman Old Style"/>
        </w:rPr>
        <w:t xml:space="preserve"> in quanto i</w:t>
      </w:r>
      <w:r w:rsidR="00684789" w:rsidRPr="00D91312">
        <w:rPr>
          <w:rFonts w:ascii="Bookman Old Style" w:hAnsi="Bookman Old Style"/>
        </w:rPr>
        <w:t xml:space="preserve">l </w:t>
      </w:r>
      <w:r w:rsidR="006529F6" w:rsidRPr="00D91312">
        <w:rPr>
          <w:rFonts w:ascii="Bookman Old Style" w:hAnsi="Bookman Old Style"/>
        </w:rPr>
        <w:t xml:space="preserve">succitato </w:t>
      </w:r>
      <w:proofErr w:type="spellStart"/>
      <w:r w:rsidR="00684789" w:rsidRPr="00D91312">
        <w:rPr>
          <w:rFonts w:ascii="Bookman Old Style" w:hAnsi="Bookman Old Style"/>
        </w:rPr>
        <w:t>d.P.R.</w:t>
      </w:r>
      <w:proofErr w:type="spellEnd"/>
      <w:r w:rsidR="00684789" w:rsidRPr="00D91312">
        <w:rPr>
          <w:rFonts w:ascii="Bookman Old Style" w:hAnsi="Bookman Old Style"/>
        </w:rPr>
        <w:t xml:space="preserve"> 30 aprile 1998, n. 217</w:t>
      </w:r>
      <w:r w:rsidR="006529F6" w:rsidRPr="00D91312">
        <w:rPr>
          <w:rFonts w:ascii="Bookman Old Style" w:hAnsi="Bookman Old Style"/>
        </w:rPr>
        <w:t>,</w:t>
      </w:r>
      <w:r w:rsidR="00684789" w:rsidRPr="00D91312">
        <w:rPr>
          <w:rFonts w:ascii="Bookman Old Style" w:hAnsi="Bookman Old Style"/>
        </w:rPr>
        <w:t xml:space="preserve"> non reca</w:t>
      </w:r>
      <w:r w:rsidR="006529F6" w:rsidRPr="00D91312">
        <w:rPr>
          <w:rFonts w:ascii="Bookman Old Style" w:hAnsi="Bookman Old Style"/>
        </w:rPr>
        <w:t>ndo</w:t>
      </w:r>
      <w:r w:rsidR="00684789" w:rsidRPr="00D91312">
        <w:rPr>
          <w:rFonts w:ascii="Bookman Old Style" w:hAnsi="Bookman Old Style"/>
        </w:rPr>
        <w:t xml:space="preserve"> indicazione di alcun termine per </w:t>
      </w:r>
      <w:r w:rsidR="006529F6" w:rsidRPr="00D91312">
        <w:rPr>
          <w:rFonts w:ascii="Bookman Old Style" w:hAnsi="Bookman Old Style"/>
        </w:rPr>
        <w:t>la contestazione degli addebiti,</w:t>
      </w:r>
      <w:r w:rsidR="00684789" w:rsidRPr="00D91312">
        <w:rPr>
          <w:rFonts w:ascii="Bookman Old Style" w:hAnsi="Bookman Old Style"/>
        </w:rPr>
        <w:t xml:space="preserve"> non </w:t>
      </w:r>
      <w:r w:rsidR="006529F6" w:rsidRPr="00D91312">
        <w:rPr>
          <w:rFonts w:ascii="Bookman Old Style" w:hAnsi="Bookman Old Style"/>
        </w:rPr>
        <w:t xml:space="preserve">potrebbe </w:t>
      </w:r>
      <w:r w:rsidR="00684789" w:rsidRPr="00D91312">
        <w:rPr>
          <w:rFonts w:ascii="Bookman Old Style" w:hAnsi="Bookman Old Style"/>
        </w:rPr>
        <w:t>far ritenere “diversamente stabilita</w:t>
      </w:r>
      <w:r w:rsidR="006529F6" w:rsidRPr="00D91312">
        <w:rPr>
          <w:rFonts w:ascii="Bookman Old Style" w:hAnsi="Bookman Old Style"/>
        </w:rPr>
        <w:t>” la scansione procedimentale.</w:t>
      </w:r>
      <w:r w:rsidR="00036F34" w:rsidRPr="00D91312">
        <w:rPr>
          <w:rFonts w:ascii="Bookman Old Style" w:hAnsi="Bookman Old Style"/>
        </w:rPr>
        <w:t xml:space="preserve"> </w:t>
      </w:r>
      <w:r w:rsidR="009E3A45" w:rsidRPr="00D91312">
        <w:rPr>
          <w:rFonts w:ascii="Bookman Old Style" w:hAnsi="Bookman Old Style"/>
        </w:rPr>
        <w:t xml:space="preserve">Per </w:t>
      </w:r>
      <w:r w:rsidR="00036F34" w:rsidRPr="00D91312">
        <w:rPr>
          <w:rFonts w:ascii="Bookman Old Style" w:hAnsi="Bookman Old Style"/>
        </w:rPr>
        <w:t>questo indirizzo, “</w:t>
      </w:r>
      <w:r w:rsidR="00036F34" w:rsidRPr="00D91312">
        <w:rPr>
          <w:rFonts w:ascii="Bookman Old Style" w:hAnsi="Bookman Old Style"/>
          <w:i/>
        </w:rPr>
        <w:t>t</w:t>
      </w:r>
      <w:r w:rsidR="00684789" w:rsidRPr="00D91312">
        <w:rPr>
          <w:rFonts w:ascii="Bookman Old Style" w:hAnsi="Bookman Old Style"/>
          <w:i/>
        </w:rPr>
        <w:t>ale interpretazione è preferibile anche in quanto orientata dalla sicura ascendenza costituzionale del principio di tempestività della contestazione, posto a tutela del diritto di difesa</w:t>
      </w:r>
      <w:r w:rsidR="00036F34" w:rsidRPr="00D91312">
        <w:rPr>
          <w:rFonts w:ascii="Bookman Old Style" w:hAnsi="Bookman Old Style"/>
        </w:rPr>
        <w:t>”</w:t>
      </w:r>
      <w:r w:rsidR="001E33B4" w:rsidRPr="00D91312">
        <w:rPr>
          <w:rStyle w:val="Rimandonotaapidipagina"/>
          <w:rFonts w:ascii="Bookman Old Style" w:hAnsi="Bookman Old Style"/>
        </w:rPr>
        <w:footnoteReference w:id="21"/>
      </w:r>
      <w:r w:rsidR="009E3A45" w:rsidRPr="00D91312">
        <w:rPr>
          <w:rFonts w:ascii="Bookman Old Style" w:hAnsi="Bookman Old Style"/>
        </w:rPr>
        <w:t xml:space="preserve"> </w:t>
      </w:r>
      <w:r w:rsidR="00244ADA" w:rsidRPr="00D91312">
        <w:rPr>
          <w:rFonts w:ascii="Bookman Old Style" w:hAnsi="Bookman Old Style"/>
        </w:rPr>
        <w:t xml:space="preserve">e </w:t>
      </w:r>
      <w:r w:rsidR="009E3A45" w:rsidRPr="00D91312">
        <w:rPr>
          <w:rFonts w:ascii="Bookman Old Style" w:hAnsi="Bookman Old Style"/>
        </w:rPr>
        <w:t xml:space="preserve">in tal senso </w:t>
      </w:r>
      <w:r w:rsidR="00244ADA" w:rsidRPr="00D91312">
        <w:rPr>
          <w:rFonts w:ascii="Bookman Old Style" w:hAnsi="Bookman Old Style"/>
        </w:rPr>
        <w:t xml:space="preserve">le </w:t>
      </w:r>
      <w:r w:rsidR="009E3A45" w:rsidRPr="00D91312">
        <w:rPr>
          <w:rFonts w:ascii="Bookman Old Style" w:hAnsi="Bookman Old Style"/>
        </w:rPr>
        <w:t>pronunce  più recenti</w:t>
      </w:r>
      <w:r w:rsidR="00244ADA" w:rsidRPr="00D91312">
        <w:rPr>
          <w:rFonts w:ascii="Bookman Old Style" w:hAnsi="Bookman Old Style"/>
        </w:rPr>
        <w:t xml:space="preserve"> richiamano </w:t>
      </w:r>
      <w:r w:rsidR="009E3A45" w:rsidRPr="00D91312">
        <w:rPr>
          <w:rFonts w:ascii="Bookman Old Style" w:hAnsi="Bookman Old Style"/>
        </w:rPr>
        <w:t>la decisione della Corte costituzionale (n. 151 del 2021) di cui più avanti si dirà</w:t>
      </w:r>
      <w:r w:rsidR="00244ADA" w:rsidRPr="00D91312">
        <w:rPr>
          <w:rFonts w:ascii="Bookman Old Style" w:hAnsi="Bookman Old Style"/>
        </w:rPr>
        <w:t>, oltre a rimarcare che la soluzione proposta, oltre che rispondente al canone ermeneutico di tipo sistematico, s</w:t>
      </w:r>
      <w:r w:rsidR="008655D6" w:rsidRPr="00D91312">
        <w:rPr>
          <w:rFonts w:ascii="Bookman Old Style" w:hAnsi="Bookman Old Style"/>
        </w:rPr>
        <w:t>’</w:t>
      </w:r>
      <w:r w:rsidR="00244ADA" w:rsidRPr="00D91312">
        <w:rPr>
          <w:rFonts w:ascii="Bookman Old Style" w:hAnsi="Bookman Old Style"/>
        </w:rPr>
        <w:t>imporrebbe anche alla luce dell</w:t>
      </w:r>
      <w:r w:rsidR="008655D6" w:rsidRPr="00D91312">
        <w:rPr>
          <w:rFonts w:ascii="Bookman Old Style" w:hAnsi="Bookman Old Style"/>
        </w:rPr>
        <w:t>’</w:t>
      </w:r>
      <w:r w:rsidR="00244ADA" w:rsidRPr="00D91312">
        <w:rPr>
          <w:rFonts w:ascii="Bookman Old Style" w:hAnsi="Bookman Old Style"/>
        </w:rPr>
        <w:t xml:space="preserve">obbligo di interpretazione conforme, quale logico corollario della natura sostanzialmente </w:t>
      </w:r>
      <w:r w:rsidR="008655D6" w:rsidRPr="00D91312">
        <w:rPr>
          <w:rFonts w:ascii="Bookman Old Style" w:hAnsi="Bookman Old Style"/>
        </w:rPr>
        <w:t>‘</w:t>
      </w:r>
      <w:r w:rsidR="00244ADA" w:rsidRPr="00D91312">
        <w:rPr>
          <w:rFonts w:ascii="Bookman Old Style" w:hAnsi="Bookman Old Style"/>
        </w:rPr>
        <w:t>penale</w:t>
      </w:r>
      <w:r w:rsidR="008655D6" w:rsidRPr="00D91312">
        <w:rPr>
          <w:rFonts w:ascii="Bookman Old Style" w:hAnsi="Bookman Old Style"/>
        </w:rPr>
        <w:t>’</w:t>
      </w:r>
      <w:r w:rsidR="00244ADA" w:rsidRPr="00D91312">
        <w:rPr>
          <w:rFonts w:ascii="Bookman Old Style" w:hAnsi="Bookman Old Style"/>
        </w:rPr>
        <w:t xml:space="preserve"> delle sanzioni </w:t>
      </w:r>
      <w:r w:rsidR="00244ADA" w:rsidRPr="00D91312">
        <w:rPr>
          <w:rFonts w:ascii="Bookman Old Style" w:hAnsi="Bookman Old Style"/>
          <w:i/>
        </w:rPr>
        <w:t>antitrust</w:t>
      </w:r>
      <w:r w:rsidR="00244ADA" w:rsidRPr="00D91312">
        <w:rPr>
          <w:rFonts w:ascii="Bookman Old Style" w:hAnsi="Bookman Old Style"/>
        </w:rPr>
        <w:t xml:space="preserve"> e della conseguente applicabilità ad esse dei principi fondamentali del diritto punitivo</w:t>
      </w:r>
      <w:r w:rsidR="009E3A45" w:rsidRPr="00D91312">
        <w:rPr>
          <w:rStyle w:val="Rimandonotaapidipagina"/>
          <w:rFonts w:ascii="Bookman Old Style" w:hAnsi="Bookman Old Style"/>
        </w:rPr>
        <w:footnoteReference w:id="22"/>
      </w:r>
      <w:r w:rsidR="00684789" w:rsidRPr="00D91312">
        <w:rPr>
          <w:rFonts w:ascii="Bookman Old Style" w:hAnsi="Bookman Old Style"/>
        </w:rPr>
        <w:t>.</w:t>
      </w:r>
    </w:p>
    <w:p w:rsidR="0093603F" w:rsidRPr="00D91312" w:rsidRDefault="0093603F" w:rsidP="00684789">
      <w:pPr>
        <w:jc w:val="both"/>
        <w:rPr>
          <w:rFonts w:ascii="Bookman Old Style" w:hAnsi="Bookman Old Style"/>
        </w:rPr>
      </w:pPr>
      <w:r w:rsidRPr="00D91312">
        <w:rPr>
          <w:rFonts w:ascii="Bookman Old Style" w:hAnsi="Bookman Old Style"/>
        </w:rPr>
        <w:t xml:space="preserve">Ciò detto, </w:t>
      </w:r>
      <w:r w:rsidR="00CA52A1" w:rsidRPr="00D91312">
        <w:rPr>
          <w:rFonts w:ascii="Bookman Old Style" w:hAnsi="Bookman Old Style"/>
        </w:rPr>
        <w:t xml:space="preserve">non pare dubitabile che </w:t>
      </w:r>
      <w:r w:rsidRPr="00D91312">
        <w:rPr>
          <w:rFonts w:ascii="Bookman Old Style" w:hAnsi="Bookman Old Style"/>
        </w:rPr>
        <w:t xml:space="preserve">il </w:t>
      </w:r>
      <w:r w:rsidR="00CA52A1" w:rsidRPr="00D91312">
        <w:rPr>
          <w:rFonts w:ascii="Bookman Old Style" w:hAnsi="Bookman Old Style"/>
        </w:rPr>
        <w:t xml:space="preserve">solo fatto che la l. </w:t>
      </w:r>
      <w:r w:rsidRPr="00D91312">
        <w:rPr>
          <w:rFonts w:ascii="Bookman Old Style" w:hAnsi="Bookman Old Style"/>
        </w:rPr>
        <w:t xml:space="preserve">n. 287/90 e </w:t>
      </w:r>
      <w:r w:rsidR="00CA52A1" w:rsidRPr="00D91312">
        <w:rPr>
          <w:rFonts w:ascii="Bookman Old Style" w:hAnsi="Bookman Old Style"/>
        </w:rPr>
        <w:t xml:space="preserve">il </w:t>
      </w:r>
      <w:r w:rsidRPr="00D91312">
        <w:rPr>
          <w:rFonts w:ascii="Bookman Old Style" w:hAnsi="Bookman Old Style"/>
        </w:rPr>
        <w:t xml:space="preserve">regolamento </w:t>
      </w:r>
      <w:r w:rsidR="00CA52A1" w:rsidRPr="00D91312">
        <w:rPr>
          <w:rFonts w:ascii="Bookman Old Style" w:hAnsi="Bookman Old Style"/>
        </w:rPr>
        <w:t xml:space="preserve">non indichino alcun termine per la contestazione degli addebiti </w:t>
      </w:r>
      <w:r w:rsidR="00C76443" w:rsidRPr="00D91312">
        <w:rPr>
          <w:rFonts w:ascii="Bookman Old Style" w:hAnsi="Bookman Old Style"/>
        </w:rPr>
        <w:t>non equivale a</w:t>
      </w:r>
      <w:r w:rsidR="001E33B4" w:rsidRPr="00D91312">
        <w:rPr>
          <w:rFonts w:ascii="Bookman Old Style" w:hAnsi="Bookman Old Style"/>
        </w:rPr>
        <w:t xml:space="preserve">d </w:t>
      </w:r>
      <w:r w:rsidR="00C76443" w:rsidRPr="00D91312">
        <w:rPr>
          <w:rFonts w:ascii="Bookman Old Style" w:hAnsi="Bookman Old Style"/>
        </w:rPr>
        <w:t xml:space="preserve">aver </w:t>
      </w:r>
      <w:r w:rsidR="00CA52A1" w:rsidRPr="00D91312">
        <w:rPr>
          <w:rFonts w:ascii="Bookman Old Style" w:hAnsi="Bookman Old Style"/>
        </w:rPr>
        <w:t>“</w:t>
      </w:r>
      <w:r w:rsidR="00CA52A1" w:rsidRPr="00D91312">
        <w:rPr>
          <w:rFonts w:ascii="Bookman Old Style" w:hAnsi="Bookman Old Style"/>
          <w:i/>
        </w:rPr>
        <w:t>diversamente stabilito</w:t>
      </w:r>
      <w:r w:rsidR="00CA52A1" w:rsidRPr="00D91312">
        <w:rPr>
          <w:rFonts w:ascii="Bookman Old Style" w:hAnsi="Bookman Old Style"/>
        </w:rPr>
        <w:t>”</w:t>
      </w:r>
      <w:r w:rsidR="0034434E" w:rsidRPr="00D91312">
        <w:rPr>
          <w:rFonts w:ascii="Bookman Old Style" w:hAnsi="Bookman Old Style"/>
        </w:rPr>
        <w:t xml:space="preserve">, rispetto alla l. 689/81, </w:t>
      </w:r>
      <w:r w:rsidR="00C76443" w:rsidRPr="00D91312">
        <w:rPr>
          <w:rFonts w:ascii="Bookman Old Style" w:hAnsi="Bookman Old Style"/>
        </w:rPr>
        <w:t>su</w:t>
      </w:r>
      <w:r w:rsidR="0034434E" w:rsidRPr="00D91312">
        <w:rPr>
          <w:rFonts w:ascii="Bookman Old Style" w:hAnsi="Bookman Old Style"/>
        </w:rPr>
        <w:t>lla necessità di una formale e tempestiva contestazione delle infrazioni a pena di decadenza.</w:t>
      </w:r>
    </w:p>
    <w:p w:rsidR="0034434E" w:rsidRPr="00D91312" w:rsidRDefault="00D618B7" w:rsidP="00684789">
      <w:pPr>
        <w:jc w:val="both"/>
        <w:rPr>
          <w:rFonts w:ascii="Bookman Old Style" w:hAnsi="Bookman Old Style"/>
        </w:rPr>
      </w:pPr>
      <w:r w:rsidRPr="00D91312">
        <w:rPr>
          <w:rFonts w:ascii="Bookman Old Style" w:hAnsi="Bookman Old Style"/>
        </w:rPr>
        <w:t>Rimangono</w:t>
      </w:r>
      <w:r w:rsidR="0034434E" w:rsidRPr="00D91312">
        <w:rPr>
          <w:rFonts w:ascii="Bookman Old Style" w:hAnsi="Bookman Old Style"/>
        </w:rPr>
        <w:t xml:space="preserve"> </w:t>
      </w:r>
      <w:r w:rsidRPr="00D91312">
        <w:rPr>
          <w:rFonts w:ascii="Bookman Old Style" w:hAnsi="Bookman Old Style"/>
        </w:rPr>
        <w:t>da approfondire le ragioni de</w:t>
      </w:r>
      <w:r w:rsidR="0034434E" w:rsidRPr="00D91312">
        <w:rPr>
          <w:rFonts w:ascii="Bookman Old Style" w:hAnsi="Bookman Old Style"/>
        </w:rPr>
        <w:t xml:space="preserve">l </w:t>
      </w:r>
      <w:r w:rsidR="00ED4CA9" w:rsidRPr="00D91312">
        <w:rPr>
          <w:rFonts w:ascii="Bookman Old Style" w:hAnsi="Bookman Old Style"/>
        </w:rPr>
        <w:t xml:space="preserve">contrasto </w:t>
      </w:r>
      <w:r w:rsidRPr="00D91312">
        <w:rPr>
          <w:rFonts w:ascii="Bookman Old Style" w:hAnsi="Bookman Old Style"/>
        </w:rPr>
        <w:t xml:space="preserve">in merito </w:t>
      </w:r>
      <w:r w:rsidR="00ED4CA9" w:rsidRPr="00D91312">
        <w:rPr>
          <w:rFonts w:ascii="Bookman Old Style" w:hAnsi="Bookman Old Style"/>
        </w:rPr>
        <w:t>(</w:t>
      </w:r>
      <w:r w:rsidR="0034434E" w:rsidRPr="00D91312">
        <w:rPr>
          <w:rFonts w:ascii="Bookman Old Style" w:hAnsi="Bookman Old Style"/>
        </w:rPr>
        <w:t>in</w:t>
      </w:r>
      <w:r w:rsidR="00ED4CA9" w:rsidRPr="00D91312">
        <w:rPr>
          <w:rFonts w:ascii="Bookman Old Style" w:hAnsi="Bookman Old Style"/>
        </w:rPr>
        <w:t>)</w:t>
      </w:r>
      <w:r w:rsidR="0034434E" w:rsidRPr="00D91312">
        <w:rPr>
          <w:rFonts w:ascii="Bookman Old Style" w:hAnsi="Bookman Old Style"/>
        </w:rPr>
        <w:t xml:space="preserve">compatibilità sistematica </w:t>
      </w:r>
      <w:r w:rsidR="00ED4CA9" w:rsidRPr="00D91312">
        <w:rPr>
          <w:rFonts w:ascii="Bookman Old Style" w:hAnsi="Bookman Old Style"/>
        </w:rPr>
        <w:t>della disciplina sul procedimento istruttorio dell</w:t>
      </w:r>
      <w:r w:rsidR="008655D6" w:rsidRPr="00D91312">
        <w:rPr>
          <w:rFonts w:ascii="Bookman Old Style" w:hAnsi="Bookman Old Style"/>
        </w:rPr>
        <w:t>’</w:t>
      </w:r>
      <w:r w:rsidR="00ED4CA9" w:rsidRPr="00D91312">
        <w:rPr>
          <w:rFonts w:ascii="Bookman Old Style" w:hAnsi="Bookman Old Style"/>
        </w:rPr>
        <w:t>AGCM rispetto allo statuto generale delle sanzioni amministrative de</w:t>
      </w:r>
      <w:r w:rsidR="001E33B4" w:rsidRPr="00D91312">
        <w:rPr>
          <w:rFonts w:ascii="Bookman Old Style" w:hAnsi="Bookman Old Style"/>
        </w:rPr>
        <w:t xml:space="preserve">lineato dalla </w:t>
      </w:r>
      <w:r w:rsidRPr="00D91312">
        <w:rPr>
          <w:rFonts w:ascii="Bookman Old Style" w:hAnsi="Bookman Old Style"/>
        </w:rPr>
        <w:t xml:space="preserve">l. </w:t>
      </w:r>
      <w:r w:rsidR="00ED4CA9" w:rsidRPr="00D91312">
        <w:rPr>
          <w:rFonts w:ascii="Bookman Old Style" w:hAnsi="Bookman Old Style"/>
        </w:rPr>
        <w:t>n. 689/81.</w:t>
      </w:r>
    </w:p>
    <w:p w:rsidR="00ED4CA9" w:rsidRPr="00D91312" w:rsidRDefault="00ED4CA9" w:rsidP="00684789">
      <w:pPr>
        <w:jc w:val="both"/>
        <w:rPr>
          <w:rFonts w:ascii="Bookman Old Style" w:hAnsi="Bookman Old Style"/>
        </w:rPr>
      </w:pPr>
    </w:p>
    <w:p w:rsidR="009C3F1C" w:rsidRPr="00D91312" w:rsidRDefault="009C3F1C" w:rsidP="00684789">
      <w:pPr>
        <w:jc w:val="both"/>
        <w:rPr>
          <w:rFonts w:ascii="Bookman Old Style" w:hAnsi="Bookman Old Style"/>
        </w:rPr>
      </w:pPr>
    </w:p>
    <w:p w:rsidR="0021294E" w:rsidRPr="00D91312" w:rsidRDefault="0021294E" w:rsidP="00684789">
      <w:pPr>
        <w:jc w:val="both"/>
        <w:rPr>
          <w:rFonts w:ascii="Bookman Old Style" w:hAnsi="Bookman Old Style"/>
          <w:b/>
        </w:rPr>
      </w:pPr>
      <w:r w:rsidRPr="00D91312">
        <w:rPr>
          <w:rFonts w:ascii="Bookman Old Style" w:hAnsi="Bookman Old Style"/>
          <w:b/>
        </w:rPr>
        <w:t xml:space="preserve">Le indicazioni ritraibili dalla giurisprudenza costituzionale </w:t>
      </w:r>
    </w:p>
    <w:p w:rsidR="009E50BE" w:rsidRPr="00D91312" w:rsidRDefault="00C76443" w:rsidP="0021294E">
      <w:pPr>
        <w:jc w:val="both"/>
        <w:rPr>
          <w:rFonts w:ascii="Bookman Old Style" w:hAnsi="Bookman Old Style"/>
        </w:rPr>
      </w:pPr>
      <w:r w:rsidRPr="00D91312">
        <w:rPr>
          <w:rFonts w:ascii="Bookman Old Style" w:hAnsi="Bookman Old Style"/>
        </w:rPr>
        <w:t>Su un piano generale, l</w:t>
      </w:r>
      <w:r w:rsidR="0021294E" w:rsidRPr="00D91312">
        <w:rPr>
          <w:rFonts w:ascii="Bookman Old Style" w:hAnsi="Bookman Old Style"/>
        </w:rPr>
        <w:t>a tesi che l</w:t>
      </w:r>
      <w:r w:rsidR="008655D6" w:rsidRPr="00D91312">
        <w:rPr>
          <w:rFonts w:ascii="Bookman Old Style" w:hAnsi="Bookman Old Style"/>
        </w:rPr>
        <w:t>’</w:t>
      </w:r>
      <w:r w:rsidR="009E50BE" w:rsidRPr="00D91312">
        <w:rPr>
          <w:rFonts w:ascii="Bookman Old Style" w:hAnsi="Bookman Old Style"/>
        </w:rPr>
        <w:t>esclusione dell</w:t>
      </w:r>
      <w:r w:rsidR="008655D6" w:rsidRPr="00D91312">
        <w:rPr>
          <w:rFonts w:ascii="Bookman Old Style" w:hAnsi="Bookman Old Style"/>
        </w:rPr>
        <w:t>’</w:t>
      </w:r>
      <w:r w:rsidR="0021294E" w:rsidRPr="00D91312">
        <w:rPr>
          <w:rFonts w:ascii="Bookman Old Style" w:hAnsi="Bookman Old Style"/>
        </w:rPr>
        <w:t xml:space="preserve">applicabilità del termine </w:t>
      </w:r>
      <w:r w:rsidR="009E50BE" w:rsidRPr="00D91312">
        <w:rPr>
          <w:rFonts w:ascii="Bookman Old Style" w:hAnsi="Bookman Old Style"/>
        </w:rPr>
        <w:t>di decadenza</w:t>
      </w:r>
      <w:r w:rsidR="0021294E" w:rsidRPr="00D91312">
        <w:rPr>
          <w:rFonts w:ascii="Bookman Old Style" w:hAnsi="Bookman Old Style"/>
        </w:rPr>
        <w:t xml:space="preserve"> per la contestazione degli addebiti non comporterebbe esiti incostituzionali</w:t>
      </w:r>
      <w:r w:rsidR="009E50BE" w:rsidRPr="00D91312">
        <w:rPr>
          <w:rFonts w:ascii="Bookman Old Style" w:hAnsi="Bookman Old Style"/>
        </w:rPr>
        <w:t xml:space="preserve"> </w:t>
      </w:r>
      <w:r w:rsidR="00A75506" w:rsidRPr="00D91312">
        <w:rPr>
          <w:rFonts w:ascii="Bookman Old Style" w:hAnsi="Bookman Old Style"/>
        </w:rPr>
        <w:t>in presenza della possibilità di agire contro l</w:t>
      </w:r>
      <w:r w:rsidR="008655D6" w:rsidRPr="00D91312">
        <w:rPr>
          <w:rFonts w:ascii="Bookman Old Style" w:hAnsi="Bookman Old Style"/>
        </w:rPr>
        <w:t>’</w:t>
      </w:r>
      <w:r w:rsidR="00A75506" w:rsidRPr="00D91312">
        <w:rPr>
          <w:rFonts w:ascii="Bookman Old Style" w:hAnsi="Bookman Old Style"/>
        </w:rPr>
        <w:t>inerzia dell</w:t>
      </w:r>
      <w:r w:rsidR="008655D6" w:rsidRPr="00D91312">
        <w:rPr>
          <w:rFonts w:ascii="Bookman Old Style" w:hAnsi="Bookman Old Style"/>
        </w:rPr>
        <w:t>’</w:t>
      </w:r>
      <w:r w:rsidR="00A75506" w:rsidRPr="00D91312">
        <w:rPr>
          <w:rFonts w:ascii="Bookman Old Style" w:hAnsi="Bookman Old Style"/>
        </w:rPr>
        <w:t>amministrazione e di un termine di prescrizione della sanzione ap</w:t>
      </w:r>
      <w:r w:rsidR="009E50BE" w:rsidRPr="00D91312">
        <w:rPr>
          <w:rFonts w:ascii="Bookman Old Style" w:hAnsi="Bookman Old Style"/>
        </w:rPr>
        <w:t xml:space="preserve">pare </w:t>
      </w:r>
      <w:r w:rsidR="001E33B4" w:rsidRPr="00D91312">
        <w:rPr>
          <w:rFonts w:ascii="Bookman Old Style" w:hAnsi="Bookman Old Style"/>
        </w:rPr>
        <w:t xml:space="preserve">ormai </w:t>
      </w:r>
      <w:r w:rsidR="009E50BE" w:rsidRPr="00D91312">
        <w:rPr>
          <w:rFonts w:ascii="Bookman Old Style" w:hAnsi="Bookman Old Style"/>
        </w:rPr>
        <w:t xml:space="preserve">difficilmente </w:t>
      </w:r>
      <w:r w:rsidR="00672216" w:rsidRPr="00D91312">
        <w:rPr>
          <w:rFonts w:ascii="Bookman Old Style" w:hAnsi="Bookman Old Style"/>
        </w:rPr>
        <w:t xml:space="preserve">sostenibile </w:t>
      </w:r>
      <w:r w:rsidR="009E50BE" w:rsidRPr="00D91312">
        <w:rPr>
          <w:rFonts w:ascii="Bookman Old Style" w:hAnsi="Bookman Old Style"/>
        </w:rPr>
        <w:t>alla luce della recente giurisprudenza costituzionale</w:t>
      </w:r>
      <w:r w:rsidR="005F4A1D" w:rsidRPr="00D91312">
        <w:rPr>
          <w:rStyle w:val="Rimandonotaapidipagina"/>
          <w:rFonts w:ascii="Bookman Old Style" w:hAnsi="Bookman Old Style"/>
        </w:rPr>
        <w:footnoteReference w:id="23"/>
      </w:r>
      <w:r w:rsidR="00CA78B8" w:rsidRPr="00D91312">
        <w:rPr>
          <w:rFonts w:ascii="Bookman Old Style" w:hAnsi="Bookman Old Style"/>
        </w:rPr>
        <w:t xml:space="preserve"> sulla legittimità dell</w:t>
      </w:r>
      <w:r w:rsidR="008655D6" w:rsidRPr="00D91312">
        <w:rPr>
          <w:rFonts w:ascii="Bookman Old Style" w:hAnsi="Bookman Old Style"/>
        </w:rPr>
        <w:t>’</w:t>
      </w:r>
      <w:r w:rsidR="00CA78B8" w:rsidRPr="00D91312">
        <w:rPr>
          <w:rFonts w:ascii="Bookman Old Style" w:hAnsi="Bookman Old Style"/>
        </w:rPr>
        <w:t>art. 18 della l</w:t>
      </w:r>
      <w:r w:rsidR="00A75506" w:rsidRPr="00D91312">
        <w:rPr>
          <w:rFonts w:ascii="Bookman Old Style" w:hAnsi="Bookman Old Style"/>
        </w:rPr>
        <w:t>egge</w:t>
      </w:r>
      <w:r w:rsidR="00CA78B8" w:rsidRPr="00D91312">
        <w:rPr>
          <w:rFonts w:ascii="Bookman Old Style" w:hAnsi="Bookman Old Style"/>
        </w:rPr>
        <w:t xml:space="preserve"> n. 689/81 nella parte in cui non prevede un termine per la conclusione del procedimento sanzionatorio mediante </w:t>
      </w:r>
      <w:r w:rsidR="00A75506" w:rsidRPr="00D91312">
        <w:rPr>
          <w:rFonts w:ascii="Bookman Old Style" w:hAnsi="Bookman Old Style"/>
        </w:rPr>
        <w:t>l</w:t>
      </w:r>
      <w:r w:rsidR="008655D6" w:rsidRPr="00D91312">
        <w:rPr>
          <w:rFonts w:ascii="Bookman Old Style" w:hAnsi="Bookman Old Style"/>
        </w:rPr>
        <w:t>’</w:t>
      </w:r>
      <w:r w:rsidR="00CA78B8" w:rsidRPr="00D91312">
        <w:rPr>
          <w:rFonts w:ascii="Bookman Old Style" w:hAnsi="Bookman Old Style"/>
        </w:rPr>
        <w:t>emissione dell</w:t>
      </w:r>
      <w:r w:rsidR="008655D6" w:rsidRPr="00D91312">
        <w:rPr>
          <w:rFonts w:ascii="Bookman Old Style" w:hAnsi="Bookman Old Style"/>
        </w:rPr>
        <w:t>’</w:t>
      </w:r>
      <w:r w:rsidR="00CA78B8" w:rsidRPr="00D91312">
        <w:rPr>
          <w:rFonts w:ascii="Bookman Old Style" w:hAnsi="Bookman Old Style"/>
        </w:rPr>
        <w:t>ordinanza-ingiunzione o dell</w:t>
      </w:r>
      <w:r w:rsidR="008655D6" w:rsidRPr="00D91312">
        <w:rPr>
          <w:rFonts w:ascii="Bookman Old Style" w:hAnsi="Bookman Old Style"/>
        </w:rPr>
        <w:t>’</w:t>
      </w:r>
      <w:r w:rsidR="00CA78B8" w:rsidRPr="00D91312">
        <w:rPr>
          <w:rFonts w:ascii="Bookman Old Style" w:hAnsi="Bookman Old Style"/>
        </w:rPr>
        <w:t>ordinanza di archiviazione degli atti.</w:t>
      </w:r>
    </w:p>
    <w:p w:rsidR="00ED5F1F" w:rsidRPr="00D91312" w:rsidRDefault="005646A3" w:rsidP="0021294E">
      <w:pPr>
        <w:jc w:val="both"/>
        <w:rPr>
          <w:rFonts w:ascii="Bookman Old Style" w:hAnsi="Bookman Old Style"/>
        </w:rPr>
      </w:pPr>
      <w:r w:rsidRPr="00D91312">
        <w:rPr>
          <w:rFonts w:ascii="Bookman Old Style" w:hAnsi="Bookman Old Style"/>
        </w:rPr>
        <w:t>La Corte</w:t>
      </w:r>
      <w:r w:rsidR="00D833C1" w:rsidRPr="00D91312">
        <w:rPr>
          <w:rFonts w:ascii="Bookman Old Style" w:hAnsi="Bookman Old Style"/>
        </w:rPr>
        <w:t>,</w:t>
      </w:r>
      <w:r w:rsidR="00675711" w:rsidRPr="00D91312">
        <w:rPr>
          <w:rFonts w:ascii="Bookman Old Style" w:hAnsi="Bookman Old Style"/>
        </w:rPr>
        <w:t xml:space="preserve"> </w:t>
      </w:r>
      <w:r w:rsidR="00672216" w:rsidRPr="00D91312">
        <w:rPr>
          <w:rFonts w:ascii="Bookman Old Style" w:hAnsi="Bookman Old Style"/>
        </w:rPr>
        <w:t>infatti</w:t>
      </w:r>
      <w:r w:rsidR="00D833C1" w:rsidRPr="00D91312">
        <w:rPr>
          <w:rFonts w:ascii="Bookman Old Style" w:hAnsi="Bookman Old Style"/>
        </w:rPr>
        <w:t>, si è</w:t>
      </w:r>
      <w:r w:rsidR="00672216" w:rsidRPr="00D91312">
        <w:rPr>
          <w:rFonts w:ascii="Bookman Old Style" w:hAnsi="Bookman Old Style"/>
        </w:rPr>
        <w:t xml:space="preserve"> </w:t>
      </w:r>
      <w:r w:rsidR="00675711" w:rsidRPr="00D91312">
        <w:rPr>
          <w:rFonts w:ascii="Bookman Old Style" w:hAnsi="Bookman Old Style"/>
        </w:rPr>
        <w:t>espressa</w:t>
      </w:r>
      <w:r w:rsidR="00CA78B8" w:rsidRPr="00D91312">
        <w:rPr>
          <w:rFonts w:ascii="Bookman Old Style" w:hAnsi="Bookman Old Style"/>
        </w:rPr>
        <w:t xml:space="preserve"> </w:t>
      </w:r>
      <w:r w:rsidR="00675711" w:rsidRPr="00D91312">
        <w:rPr>
          <w:rFonts w:ascii="Bookman Old Style" w:hAnsi="Bookman Old Style"/>
        </w:rPr>
        <w:t>criticamente sull</w:t>
      </w:r>
      <w:r w:rsidR="008655D6" w:rsidRPr="00D91312">
        <w:rPr>
          <w:rFonts w:ascii="Bookman Old Style" w:hAnsi="Bookman Old Style"/>
        </w:rPr>
        <w:t>’</w:t>
      </w:r>
      <w:r w:rsidR="00675711" w:rsidRPr="00D91312">
        <w:rPr>
          <w:rFonts w:ascii="Bookman Old Style" w:hAnsi="Bookman Old Style"/>
        </w:rPr>
        <w:t>idoneità del termine di prescrizione quinquennale</w:t>
      </w:r>
      <w:r w:rsidR="00F40B6E" w:rsidRPr="00D91312">
        <w:rPr>
          <w:rFonts w:ascii="Bookman Old Style" w:hAnsi="Bookman Old Style"/>
        </w:rPr>
        <w:t xml:space="preserve">, </w:t>
      </w:r>
      <w:r w:rsidR="00672216" w:rsidRPr="00D91312">
        <w:rPr>
          <w:rFonts w:ascii="Bookman Old Style" w:hAnsi="Bookman Old Style"/>
        </w:rPr>
        <w:t>soggetto a interruzione</w:t>
      </w:r>
      <w:r w:rsidR="00F40B6E" w:rsidRPr="00D91312">
        <w:rPr>
          <w:rFonts w:ascii="Bookman Old Style" w:hAnsi="Bookman Old Style"/>
        </w:rPr>
        <w:t>,</w:t>
      </w:r>
      <w:r w:rsidR="00672216" w:rsidRPr="00D91312">
        <w:rPr>
          <w:rFonts w:ascii="Bookman Old Style" w:hAnsi="Bookman Old Style"/>
        </w:rPr>
        <w:t xml:space="preserve"> </w:t>
      </w:r>
      <w:r w:rsidR="00675711" w:rsidRPr="00D91312">
        <w:rPr>
          <w:rFonts w:ascii="Bookman Old Style" w:hAnsi="Bookman Old Style"/>
        </w:rPr>
        <w:t>a garantire, di per sé solo, la certezza giuridica della posizione dell</w:t>
      </w:r>
      <w:r w:rsidR="008655D6" w:rsidRPr="00D91312">
        <w:rPr>
          <w:rFonts w:ascii="Bookman Old Style" w:hAnsi="Bookman Old Style"/>
        </w:rPr>
        <w:t>’</w:t>
      </w:r>
      <w:r w:rsidR="00675711" w:rsidRPr="00D91312">
        <w:rPr>
          <w:rFonts w:ascii="Bookman Old Style" w:hAnsi="Bookman Old Style"/>
        </w:rPr>
        <w:t>incolpato e l</w:t>
      </w:r>
      <w:r w:rsidR="008655D6" w:rsidRPr="00D91312">
        <w:rPr>
          <w:rFonts w:ascii="Bookman Old Style" w:hAnsi="Bookman Old Style"/>
        </w:rPr>
        <w:t>’</w:t>
      </w:r>
      <w:r w:rsidR="00675711" w:rsidRPr="00D91312">
        <w:rPr>
          <w:rFonts w:ascii="Bookman Old Style" w:hAnsi="Bookman Old Style"/>
        </w:rPr>
        <w:t>effettività del suo diritto di difesa</w:t>
      </w:r>
      <w:r w:rsidR="00247B72" w:rsidRPr="00D91312">
        <w:rPr>
          <w:rFonts w:ascii="Bookman Old Style" w:hAnsi="Bookman Old Style"/>
        </w:rPr>
        <w:t>, riten</w:t>
      </w:r>
      <w:r w:rsidR="00672216" w:rsidRPr="00D91312">
        <w:rPr>
          <w:rFonts w:ascii="Bookman Old Style" w:hAnsi="Bookman Old Style"/>
        </w:rPr>
        <w:t xml:space="preserve">endo </w:t>
      </w:r>
      <w:r w:rsidR="004D17D5" w:rsidRPr="00D91312">
        <w:rPr>
          <w:rFonts w:ascii="Bookman Old Style" w:hAnsi="Bookman Old Style"/>
        </w:rPr>
        <w:t>coessenziale a un sis</w:t>
      </w:r>
      <w:r w:rsidR="00672216" w:rsidRPr="00D91312">
        <w:rPr>
          <w:rFonts w:ascii="Bookman Old Style" w:hAnsi="Bookman Old Style"/>
        </w:rPr>
        <w:t>tema sanzionatorio coerente co</w:t>
      </w:r>
      <w:r w:rsidR="004D17D5" w:rsidRPr="00D91312">
        <w:rPr>
          <w:rFonts w:ascii="Bookman Old Style" w:hAnsi="Bookman Old Style"/>
        </w:rPr>
        <w:t xml:space="preserve">i parametri costituzionali </w:t>
      </w:r>
      <w:r w:rsidR="00ED5F1F" w:rsidRPr="00D91312">
        <w:rPr>
          <w:rFonts w:ascii="Bookman Old Style" w:hAnsi="Bookman Old Style"/>
        </w:rPr>
        <w:t>costituiti d</w:t>
      </w:r>
      <w:r w:rsidR="004D17D5" w:rsidRPr="00D91312">
        <w:rPr>
          <w:rFonts w:ascii="Bookman Old Style" w:hAnsi="Bookman Old Style"/>
        </w:rPr>
        <w:t>agli artt. 24 e 97 Cost. la fissazione di un termine per la conclusione del procedimento non particolarmente distante dal momento dell</w:t>
      </w:r>
      <w:r w:rsidR="008655D6" w:rsidRPr="00D91312">
        <w:rPr>
          <w:rFonts w:ascii="Bookman Old Style" w:hAnsi="Bookman Old Style"/>
        </w:rPr>
        <w:t>’</w:t>
      </w:r>
      <w:r w:rsidR="004D17D5" w:rsidRPr="00D91312">
        <w:rPr>
          <w:rFonts w:ascii="Bookman Old Style" w:hAnsi="Bookman Old Style"/>
        </w:rPr>
        <w:t>accertamento e della contestazione dell</w:t>
      </w:r>
      <w:r w:rsidR="008655D6" w:rsidRPr="00D91312">
        <w:rPr>
          <w:rFonts w:ascii="Bookman Old Style" w:hAnsi="Bookman Old Style"/>
        </w:rPr>
        <w:t>’</w:t>
      </w:r>
      <w:r w:rsidR="004D17D5" w:rsidRPr="00D91312">
        <w:rPr>
          <w:rFonts w:ascii="Bookman Old Style" w:hAnsi="Bookman Old Style"/>
        </w:rPr>
        <w:t xml:space="preserve">illecito, </w:t>
      </w:r>
      <w:r w:rsidR="00F40B6E" w:rsidRPr="00D91312">
        <w:rPr>
          <w:rFonts w:ascii="Bookman Old Style" w:hAnsi="Bookman Old Style"/>
        </w:rPr>
        <w:t xml:space="preserve">in modo da consentire </w:t>
      </w:r>
      <w:r w:rsidR="004D17D5" w:rsidRPr="00D91312">
        <w:rPr>
          <w:rFonts w:ascii="Bookman Old Style" w:hAnsi="Bookman Old Style"/>
        </w:rPr>
        <w:t>all</w:t>
      </w:r>
      <w:r w:rsidR="008655D6" w:rsidRPr="00D91312">
        <w:rPr>
          <w:rFonts w:ascii="Bookman Old Style" w:hAnsi="Bookman Old Style"/>
        </w:rPr>
        <w:t>’</w:t>
      </w:r>
      <w:r w:rsidR="004D17D5" w:rsidRPr="00D91312">
        <w:rPr>
          <w:rFonts w:ascii="Bookman Old Style" w:hAnsi="Bookman Old Style"/>
        </w:rPr>
        <w:t>incolpato di opporsi efficacemente al provvedimento sanzionatorio</w:t>
      </w:r>
      <w:r w:rsidR="00ED5F1F" w:rsidRPr="00D91312">
        <w:rPr>
          <w:rFonts w:ascii="Bookman Old Style" w:hAnsi="Bookman Old Style"/>
        </w:rPr>
        <w:t xml:space="preserve"> (C. </w:t>
      </w:r>
      <w:proofErr w:type="spellStart"/>
      <w:r w:rsidR="00F40B6E" w:rsidRPr="00D91312">
        <w:rPr>
          <w:rFonts w:ascii="Bookman Old Style" w:hAnsi="Bookman Old Style"/>
        </w:rPr>
        <w:t>cost</w:t>
      </w:r>
      <w:proofErr w:type="spellEnd"/>
      <w:r w:rsidR="00F40B6E" w:rsidRPr="00D91312">
        <w:rPr>
          <w:rFonts w:ascii="Bookman Old Style" w:hAnsi="Bookman Old Style"/>
        </w:rPr>
        <w:t xml:space="preserve">. n. 151 e n. 260 del 2021); </w:t>
      </w:r>
      <w:r w:rsidR="00D833C1" w:rsidRPr="00D91312">
        <w:rPr>
          <w:rFonts w:ascii="Bookman Old Style" w:hAnsi="Bookman Old Style"/>
        </w:rPr>
        <w:t>la declaratoria di inammissibilità del</w:t>
      </w:r>
      <w:r w:rsidR="00ED5F1F" w:rsidRPr="00D91312">
        <w:rPr>
          <w:rFonts w:ascii="Bookman Old Style" w:hAnsi="Bookman Old Style"/>
        </w:rPr>
        <w:t xml:space="preserve">la </w:t>
      </w:r>
      <w:r w:rsidR="00D833C1" w:rsidRPr="00D91312">
        <w:rPr>
          <w:rFonts w:ascii="Bookman Old Style" w:hAnsi="Bookman Old Style"/>
        </w:rPr>
        <w:t xml:space="preserve">relativa </w:t>
      </w:r>
      <w:r w:rsidR="00ED5F1F" w:rsidRPr="00D91312">
        <w:rPr>
          <w:rFonts w:ascii="Bookman Old Style" w:hAnsi="Bookman Old Style"/>
        </w:rPr>
        <w:t xml:space="preserve">questione </w:t>
      </w:r>
      <w:r w:rsidR="00F40B6E" w:rsidRPr="00D91312">
        <w:rPr>
          <w:rFonts w:ascii="Bookman Old Style" w:hAnsi="Bookman Old Style"/>
        </w:rPr>
        <w:t xml:space="preserve">di costituzionalità </w:t>
      </w:r>
      <w:r w:rsidR="00D833C1" w:rsidRPr="00D91312">
        <w:rPr>
          <w:rFonts w:ascii="Bookman Old Style" w:hAnsi="Bookman Old Style"/>
        </w:rPr>
        <w:t>è avvenuta</w:t>
      </w:r>
      <w:r w:rsidR="00ED5F1F" w:rsidRPr="00D91312">
        <w:rPr>
          <w:rFonts w:ascii="Bookman Old Style" w:hAnsi="Bookman Old Style"/>
        </w:rPr>
        <w:t xml:space="preserve"> “</w:t>
      </w:r>
      <w:r w:rsidR="00ED5F1F" w:rsidRPr="00D91312">
        <w:rPr>
          <w:rFonts w:ascii="Bookman Old Style" w:hAnsi="Bookman Old Style"/>
          <w:i/>
        </w:rPr>
        <w:t>in ragione del doveroso rispetto della prioritaria valutazione del legislatore in ordine alla individuazione dei mezzi più idonei al conseguimento di un fine costituzionalmente necessario</w:t>
      </w:r>
      <w:r w:rsidR="00D833C1" w:rsidRPr="00D91312">
        <w:rPr>
          <w:rFonts w:ascii="Bookman Old Style" w:hAnsi="Bookman Old Style"/>
        </w:rPr>
        <w:t xml:space="preserve">” e </w:t>
      </w:r>
      <w:r w:rsidR="00F40B6E" w:rsidRPr="00D91312">
        <w:rPr>
          <w:rFonts w:ascii="Bookman Old Style" w:hAnsi="Bookman Old Style"/>
        </w:rPr>
        <w:t xml:space="preserve">la Corte </w:t>
      </w:r>
      <w:r w:rsidR="00D833C1" w:rsidRPr="00D91312">
        <w:rPr>
          <w:rFonts w:ascii="Bookman Old Style" w:hAnsi="Bookman Old Style"/>
        </w:rPr>
        <w:t xml:space="preserve">ha ammonito </w:t>
      </w:r>
      <w:r w:rsidR="00ED5F1F" w:rsidRPr="00D91312">
        <w:rPr>
          <w:rFonts w:ascii="Bookman Old Style" w:hAnsi="Bookman Old Style"/>
        </w:rPr>
        <w:t xml:space="preserve">che il protrarsi della lacuna normativa </w:t>
      </w:r>
      <w:r w:rsidR="00103D27" w:rsidRPr="00D91312">
        <w:rPr>
          <w:rFonts w:ascii="Bookman Old Style" w:hAnsi="Bookman Old Style"/>
        </w:rPr>
        <w:t>– che “</w:t>
      </w:r>
      <w:r w:rsidR="00103D27" w:rsidRPr="00D91312">
        <w:rPr>
          <w:rFonts w:ascii="Bookman Old Style" w:hAnsi="Bookman Old Style"/>
          <w:i/>
        </w:rPr>
        <w:t>colloca  l</w:t>
      </w:r>
      <w:r w:rsidR="008655D6" w:rsidRPr="00D91312">
        <w:rPr>
          <w:rFonts w:ascii="Bookman Old Style" w:hAnsi="Bookman Old Style"/>
          <w:i/>
        </w:rPr>
        <w:t>’</w:t>
      </w:r>
      <w:r w:rsidR="00103D27" w:rsidRPr="00D91312">
        <w:rPr>
          <w:rFonts w:ascii="Bookman Old Style" w:hAnsi="Bookman Old Style"/>
          <w:i/>
        </w:rPr>
        <w:t>autorità titolare della potestà punitiva in una posizione ingiustificatamente privilegiata che, nell</w:t>
      </w:r>
      <w:r w:rsidR="008655D6" w:rsidRPr="00D91312">
        <w:rPr>
          <w:rFonts w:ascii="Bookman Old Style" w:hAnsi="Bookman Old Style"/>
          <w:i/>
        </w:rPr>
        <w:t>’</w:t>
      </w:r>
      <w:r w:rsidR="00103D27" w:rsidRPr="00D91312">
        <w:rPr>
          <w:rFonts w:ascii="Bookman Old Style" w:hAnsi="Bookman Old Style"/>
          <w:i/>
        </w:rPr>
        <w:t>attuale contesto ordinamentale, si configura come un anacronistico retaggio della supremazia speciale della pubblica amministrazione</w:t>
      </w:r>
      <w:r w:rsidR="00103D27" w:rsidRPr="00D91312">
        <w:rPr>
          <w:rFonts w:ascii="Bookman Old Style" w:hAnsi="Bookman Old Style"/>
        </w:rPr>
        <w:t xml:space="preserve">” - </w:t>
      </w:r>
      <w:r w:rsidR="00ED5F1F" w:rsidRPr="00D91312">
        <w:rPr>
          <w:rFonts w:ascii="Bookman Old Style" w:hAnsi="Bookman Old Style"/>
        </w:rPr>
        <w:t>rende ineludibile un te</w:t>
      </w:r>
      <w:r w:rsidR="00103D27" w:rsidRPr="00D91312">
        <w:rPr>
          <w:rFonts w:ascii="Bookman Old Style" w:hAnsi="Bookman Old Style"/>
        </w:rPr>
        <w:t xml:space="preserve">mpestivo intervento legislativo (C. </w:t>
      </w:r>
      <w:proofErr w:type="spellStart"/>
      <w:r w:rsidR="00103D27" w:rsidRPr="00D91312">
        <w:rPr>
          <w:rFonts w:ascii="Bookman Old Style" w:hAnsi="Bookman Old Style"/>
        </w:rPr>
        <w:t>cost</w:t>
      </w:r>
      <w:proofErr w:type="spellEnd"/>
      <w:r w:rsidR="00103D27" w:rsidRPr="00D91312">
        <w:rPr>
          <w:rFonts w:ascii="Bookman Old Style" w:hAnsi="Bookman Old Style"/>
        </w:rPr>
        <w:t>. n. 151 del 2021).</w:t>
      </w:r>
    </w:p>
    <w:p w:rsidR="00EA31F2" w:rsidRPr="00D91312" w:rsidRDefault="00D833C1" w:rsidP="0021294E">
      <w:pPr>
        <w:jc w:val="both"/>
        <w:rPr>
          <w:rFonts w:ascii="Bookman Old Style" w:hAnsi="Bookman Old Style"/>
        </w:rPr>
      </w:pPr>
      <w:r w:rsidRPr="00D91312">
        <w:rPr>
          <w:rFonts w:ascii="Bookman Old Style" w:hAnsi="Bookman Old Style"/>
        </w:rPr>
        <w:t>S</w:t>
      </w:r>
      <w:r w:rsidR="00103D27" w:rsidRPr="00D91312">
        <w:rPr>
          <w:rFonts w:ascii="Bookman Old Style" w:hAnsi="Bookman Old Style"/>
        </w:rPr>
        <w:t>e</w:t>
      </w:r>
      <w:r w:rsidRPr="00D91312">
        <w:rPr>
          <w:rFonts w:ascii="Bookman Old Style" w:hAnsi="Bookman Old Style"/>
        </w:rPr>
        <w:t>, dunque,</w:t>
      </w:r>
      <w:r w:rsidR="00103D27" w:rsidRPr="00D91312">
        <w:rPr>
          <w:rFonts w:ascii="Bookman Old Style" w:hAnsi="Bookman Old Style"/>
        </w:rPr>
        <w:t xml:space="preserve"> è “</w:t>
      </w:r>
      <w:r w:rsidR="00103D27" w:rsidRPr="00D91312">
        <w:rPr>
          <w:rFonts w:ascii="Bookman Old Style" w:hAnsi="Bookman Old Style"/>
          <w:i/>
        </w:rPr>
        <w:t>un fine costituzionalmente necessario</w:t>
      </w:r>
      <w:r w:rsidR="00103D27" w:rsidRPr="00D91312">
        <w:rPr>
          <w:rFonts w:ascii="Bookman Old Style" w:hAnsi="Bookman Old Style"/>
        </w:rPr>
        <w:t xml:space="preserve">” </w:t>
      </w:r>
      <w:r w:rsidR="003D0908" w:rsidRPr="00D91312">
        <w:rPr>
          <w:rFonts w:ascii="Bookman Old Style" w:hAnsi="Bookman Old Style"/>
        </w:rPr>
        <w:t xml:space="preserve">assicurare adeguata protezione al diritto di difesa e ai principi </w:t>
      </w:r>
      <w:r w:rsidR="00A5705A" w:rsidRPr="00D91312">
        <w:rPr>
          <w:rFonts w:ascii="Bookman Old Style" w:hAnsi="Bookman Old Style"/>
        </w:rPr>
        <w:t xml:space="preserve">di </w:t>
      </w:r>
      <w:r w:rsidR="003D0908" w:rsidRPr="00D91312">
        <w:rPr>
          <w:rFonts w:ascii="Bookman Old Style" w:hAnsi="Bookman Old Style"/>
        </w:rPr>
        <w:t xml:space="preserve">buon andamento e imparzialità della pubblica amministrazione </w:t>
      </w:r>
      <w:r w:rsidR="00335882" w:rsidRPr="00D91312">
        <w:rPr>
          <w:rFonts w:ascii="Bookman Old Style" w:hAnsi="Bookman Old Style"/>
        </w:rPr>
        <w:t xml:space="preserve">stabilendo </w:t>
      </w:r>
      <w:r w:rsidR="00EA31F2" w:rsidRPr="00D91312">
        <w:rPr>
          <w:rFonts w:ascii="Bookman Old Style" w:hAnsi="Bookman Old Style"/>
        </w:rPr>
        <w:t>un limite temporale per l</w:t>
      </w:r>
      <w:r w:rsidR="008655D6" w:rsidRPr="00D91312">
        <w:rPr>
          <w:rFonts w:ascii="Bookman Old Style" w:hAnsi="Bookman Old Style"/>
        </w:rPr>
        <w:t>’</w:t>
      </w:r>
      <w:r w:rsidR="00EA31F2" w:rsidRPr="00D91312">
        <w:rPr>
          <w:rFonts w:ascii="Bookman Old Style" w:hAnsi="Bookman Old Style"/>
        </w:rPr>
        <w:t>emissione dell</w:t>
      </w:r>
      <w:r w:rsidR="008655D6" w:rsidRPr="00D91312">
        <w:rPr>
          <w:rFonts w:ascii="Bookman Old Style" w:hAnsi="Bookman Old Style"/>
        </w:rPr>
        <w:t>’</w:t>
      </w:r>
      <w:r w:rsidR="00335882" w:rsidRPr="00D91312">
        <w:rPr>
          <w:rFonts w:ascii="Bookman Old Style" w:hAnsi="Bookman Old Style"/>
        </w:rPr>
        <w:t xml:space="preserve">ordinanza-ingiunzione il cui inutile decorso produca la consumazione del potere stesso, </w:t>
      </w:r>
      <w:r w:rsidR="00EA31F2" w:rsidRPr="00D91312">
        <w:rPr>
          <w:rFonts w:ascii="Bookman Old Style" w:hAnsi="Bookman Old Style"/>
        </w:rPr>
        <w:t xml:space="preserve">può dubitarsi che sia </w:t>
      </w:r>
      <w:r w:rsidRPr="00D91312">
        <w:rPr>
          <w:rFonts w:ascii="Bookman Old Style" w:hAnsi="Bookman Old Style"/>
        </w:rPr>
        <w:t xml:space="preserve">costituzionalmente legittimo che </w:t>
      </w:r>
      <w:r w:rsidR="00C76443" w:rsidRPr="00D91312">
        <w:rPr>
          <w:rFonts w:ascii="Bookman Old Style" w:hAnsi="Bookman Old Style"/>
        </w:rPr>
        <w:t>un</w:t>
      </w:r>
      <w:r w:rsidR="008655D6" w:rsidRPr="00D91312">
        <w:rPr>
          <w:rFonts w:ascii="Bookman Old Style" w:hAnsi="Bookman Old Style"/>
        </w:rPr>
        <w:t>’</w:t>
      </w:r>
      <w:r w:rsidR="00C76443" w:rsidRPr="00D91312">
        <w:rPr>
          <w:rFonts w:ascii="Bookman Old Style" w:hAnsi="Bookman Old Style"/>
        </w:rPr>
        <w:t xml:space="preserve">autorità </w:t>
      </w:r>
      <w:r w:rsidR="00964C4C" w:rsidRPr="00D91312">
        <w:rPr>
          <w:rFonts w:ascii="Bookman Old Style" w:hAnsi="Bookman Old Style"/>
        </w:rPr>
        <w:t xml:space="preserve">indipendente </w:t>
      </w:r>
      <w:r w:rsidRPr="00D91312">
        <w:rPr>
          <w:rFonts w:ascii="Bookman Old Style" w:hAnsi="Bookman Old Style"/>
        </w:rPr>
        <w:t xml:space="preserve">sia </w:t>
      </w:r>
      <w:r w:rsidR="00EA31F2" w:rsidRPr="00D91312">
        <w:rPr>
          <w:rFonts w:ascii="Bookman Old Style" w:hAnsi="Bookman Old Style"/>
        </w:rPr>
        <w:t>svincolata dal</w:t>
      </w:r>
      <w:r w:rsidRPr="00D91312">
        <w:rPr>
          <w:rFonts w:ascii="Bookman Old Style" w:hAnsi="Bookman Old Style"/>
        </w:rPr>
        <w:t>l</w:t>
      </w:r>
      <w:r w:rsidR="008655D6" w:rsidRPr="00D91312">
        <w:rPr>
          <w:rFonts w:ascii="Bookman Old Style" w:hAnsi="Bookman Old Style"/>
        </w:rPr>
        <w:t>’</w:t>
      </w:r>
      <w:r w:rsidRPr="00D91312">
        <w:rPr>
          <w:rFonts w:ascii="Bookman Old Style" w:hAnsi="Bookman Old Style"/>
        </w:rPr>
        <w:t xml:space="preserve">osservanza </w:t>
      </w:r>
      <w:r w:rsidR="00EA31F2" w:rsidRPr="00D91312">
        <w:rPr>
          <w:rFonts w:ascii="Bookman Old Style" w:hAnsi="Bookman Old Style"/>
        </w:rPr>
        <w:t xml:space="preserve">del termine </w:t>
      </w:r>
      <w:r w:rsidR="00F7333F" w:rsidRPr="00D91312">
        <w:rPr>
          <w:rFonts w:ascii="Bookman Old Style" w:hAnsi="Bookman Old Style"/>
        </w:rPr>
        <w:t xml:space="preserve">di decadenza </w:t>
      </w:r>
      <w:r w:rsidRPr="00D91312">
        <w:rPr>
          <w:rFonts w:ascii="Bookman Old Style" w:hAnsi="Bookman Old Style"/>
        </w:rPr>
        <w:t xml:space="preserve">previsto in via generale </w:t>
      </w:r>
      <w:r w:rsidR="00F7333F" w:rsidRPr="00D91312">
        <w:rPr>
          <w:rFonts w:ascii="Bookman Old Style" w:hAnsi="Bookman Old Style"/>
        </w:rPr>
        <w:t xml:space="preserve">per </w:t>
      </w:r>
      <w:r w:rsidR="00EA31F2" w:rsidRPr="00D91312">
        <w:rPr>
          <w:rFonts w:ascii="Bookman Old Style" w:hAnsi="Bookman Old Style"/>
        </w:rPr>
        <w:t>contesta</w:t>
      </w:r>
      <w:r w:rsidR="00964C4C" w:rsidRPr="00D91312">
        <w:rPr>
          <w:rFonts w:ascii="Bookman Old Style" w:hAnsi="Bookman Old Style"/>
        </w:rPr>
        <w:t xml:space="preserve">re </w:t>
      </w:r>
      <w:r w:rsidR="00EA31F2" w:rsidRPr="00D91312">
        <w:rPr>
          <w:rFonts w:ascii="Bookman Old Style" w:hAnsi="Bookman Old Style"/>
        </w:rPr>
        <w:t>gli addebiti</w:t>
      </w:r>
      <w:r w:rsidRPr="00D91312">
        <w:rPr>
          <w:rFonts w:ascii="Bookman Old Style" w:hAnsi="Bookman Old Style"/>
        </w:rPr>
        <w:t>,</w:t>
      </w:r>
      <w:r w:rsidR="00F7333F" w:rsidRPr="00D91312">
        <w:rPr>
          <w:rFonts w:ascii="Bookman Old Style" w:hAnsi="Bookman Old Style"/>
        </w:rPr>
        <w:t xml:space="preserve"> </w:t>
      </w:r>
      <w:r w:rsidR="009C2B8F" w:rsidRPr="00D91312">
        <w:rPr>
          <w:rFonts w:ascii="Bookman Old Style" w:hAnsi="Bookman Old Style"/>
        </w:rPr>
        <w:t xml:space="preserve">una volta </w:t>
      </w:r>
      <w:r w:rsidR="000E2596" w:rsidRPr="00D91312">
        <w:rPr>
          <w:rFonts w:ascii="Bookman Old Style" w:hAnsi="Bookman Old Style"/>
        </w:rPr>
        <w:t>concluso</w:t>
      </w:r>
      <w:r w:rsidRPr="00D91312">
        <w:rPr>
          <w:rFonts w:ascii="Bookman Old Style" w:hAnsi="Bookman Old Style"/>
        </w:rPr>
        <w:t xml:space="preserve"> </w:t>
      </w:r>
      <w:r w:rsidR="000E2596" w:rsidRPr="00D91312">
        <w:rPr>
          <w:rFonts w:ascii="Bookman Old Style" w:hAnsi="Bookman Old Style"/>
        </w:rPr>
        <w:t>l</w:t>
      </w:r>
      <w:r w:rsidR="008655D6" w:rsidRPr="00D91312">
        <w:rPr>
          <w:rFonts w:ascii="Bookman Old Style" w:hAnsi="Bookman Old Style"/>
        </w:rPr>
        <w:t>’</w:t>
      </w:r>
      <w:r w:rsidR="000E2596" w:rsidRPr="00D91312">
        <w:rPr>
          <w:rFonts w:ascii="Bookman Old Style" w:hAnsi="Bookman Old Style"/>
        </w:rPr>
        <w:t>accertamento</w:t>
      </w:r>
      <w:r w:rsidR="009C2B8F" w:rsidRPr="00D91312">
        <w:rPr>
          <w:rFonts w:ascii="Bookman Old Style" w:hAnsi="Bookman Old Style"/>
        </w:rPr>
        <w:t xml:space="preserve">, </w:t>
      </w:r>
      <w:r w:rsidR="000E2596" w:rsidRPr="00D91312">
        <w:rPr>
          <w:rFonts w:ascii="Bookman Old Style" w:hAnsi="Bookman Old Style"/>
        </w:rPr>
        <w:t xml:space="preserve">in modo da </w:t>
      </w:r>
      <w:r w:rsidR="00F7333F" w:rsidRPr="00D91312">
        <w:rPr>
          <w:rFonts w:ascii="Bookman Old Style" w:hAnsi="Bookman Old Style"/>
        </w:rPr>
        <w:t>disporre</w:t>
      </w:r>
      <w:r w:rsidR="00F40B6E" w:rsidRPr="00D91312">
        <w:rPr>
          <w:rFonts w:ascii="Bookman Old Style" w:hAnsi="Bookman Old Style"/>
        </w:rPr>
        <w:t>,</w:t>
      </w:r>
      <w:r w:rsidR="00F7333F" w:rsidRPr="00D91312">
        <w:rPr>
          <w:rFonts w:ascii="Bookman Old Style" w:hAnsi="Bookman Old Style"/>
        </w:rPr>
        <w:t xml:space="preserve"> </w:t>
      </w:r>
      <w:r w:rsidR="00F40B6E" w:rsidRPr="00D91312">
        <w:rPr>
          <w:rFonts w:ascii="Bookman Old Style" w:hAnsi="Bookman Old Style"/>
        </w:rPr>
        <w:t xml:space="preserve">nella </w:t>
      </w:r>
      <w:r w:rsidR="00F7333F" w:rsidRPr="00D91312">
        <w:rPr>
          <w:rFonts w:ascii="Bookman Old Style" w:hAnsi="Bookman Old Style"/>
        </w:rPr>
        <w:t>sostanz</w:t>
      </w:r>
      <w:r w:rsidR="00F40B6E" w:rsidRPr="00D91312">
        <w:rPr>
          <w:rFonts w:ascii="Bookman Old Style" w:hAnsi="Bookman Old Style"/>
        </w:rPr>
        <w:t xml:space="preserve">a, </w:t>
      </w:r>
      <w:r w:rsidR="00F7333F" w:rsidRPr="00D91312">
        <w:rPr>
          <w:rFonts w:ascii="Bookman Old Style" w:hAnsi="Bookman Old Style"/>
        </w:rPr>
        <w:t xml:space="preserve">del </w:t>
      </w:r>
      <w:proofErr w:type="spellStart"/>
      <w:r w:rsidR="00F7333F" w:rsidRPr="00D91312">
        <w:rPr>
          <w:rFonts w:ascii="Bookman Old Style" w:hAnsi="Bookman Old Style"/>
          <w:i/>
        </w:rPr>
        <w:t>dies</w:t>
      </w:r>
      <w:proofErr w:type="spellEnd"/>
      <w:r w:rsidR="00F7333F" w:rsidRPr="00D91312">
        <w:rPr>
          <w:rFonts w:ascii="Bookman Old Style" w:hAnsi="Bookman Old Style"/>
          <w:i/>
        </w:rPr>
        <w:t xml:space="preserve"> a quo</w:t>
      </w:r>
      <w:r w:rsidR="00F7333F" w:rsidRPr="00D91312">
        <w:rPr>
          <w:rFonts w:ascii="Bookman Old Style" w:hAnsi="Bookman Old Style"/>
        </w:rPr>
        <w:t xml:space="preserve"> </w:t>
      </w:r>
      <w:r w:rsidR="000E2596" w:rsidRPr="00D91312">
        <w:rPr>
          <w:rFonts w:ascii="Bookman Old Style" w:hAnsi="Bookman Old Style"/>
        </w:rPr>
        <w:t xml:space="preserve">dello stesso </w:t>
      </w:r>
      <w:r w:rsidR="00F7333F" w:rsidRPr="00D91312">
        <w:rPr>
          <w:rFonts w:ascii="Bookman Old Style" w:hAnsi="Bookman Old Style"/>
        </w:rPr>
        <w:t>termine di prescrizione</w:t>
      </w:r>
      <w:r w:rsidR="009C2B8F" w:rsidRPr="00D91312">
        <w:rPr>
          <w:rFonts w:ascii="Bookman Old Style" w:hAnsi="Bookman Old Style"/>
        </w:rPr>
        <w:t>.</w:t>
      </w:r>
    </w:p>
    <w:p w:rsidR="000E2596" w:rsidRPr="00D91312" w:rsidRDefault="000E2596" w:rsidP="0021294E">
      <w:pPr>
        <w:jc w:val="both"/>
        <w:rPr>
          <w:rFonts w:ascii="Bookman Old Style" w:hAnsi="Bookman Old Style"/>
        </w:rPr>
      </w:pPr>
      <w:r w:rsidRPr="00D91312">
        <w:rPr>
          <w:rFonts w:ascii="Bookman Old Style" w:hAnsi="Bookman Old Style"/>
        </w:rPr>
        <w:t>Da qui i</w:t>
      </w:r>
      <w:r w:rsidR="000A119B" w:rsidRPr="00D91312">
        <w:rPr>
          <w:rFonts w:ascii="Bookman Old Style" w:hAnsi="Bookman Old Style"/>
        </w:rPr>
        <w:t>l richiamo</w:t>
      </w:r>
      <w:r w:rsidRPr="00D91312">
        <w:rPr>
          <w:rFonts w:ascii="Bookman Old Style" w:hAnsi="Bookman Old Style"/>
        </w:rPr>
        <w:t xml:space="preserve"> </w:t>
      </w:r>
      <w:r w:rsidR="000A119B" w:rsidRPr="00D91312">
        <w:rPr>
          <w:rFonts w:ascii="Bookman Old Style" w:hAnsi="Bookman Old Style"/>
        </w:rPr>
        <w:t xml:space="preserve">da parte della </w:t>
      </w:r>
      <w:r w:rsidRPr="00D91312">
        <w:rPr>
          <w:rFonts w:ascii="Bookman Old Style" w:hAnsi="Bookman Old Style"/>
        </w:rPr>
        <w:t xml:space="preserve">più recente giurisprudenza </w:t>
      </w:r>
      <w:r w:rsidR="000A119B" w:rsidRPr="00D91312">
        <w:rPr>
          <w:rFonts w:ascii="Bookman Old Style" w:hAnsi="Bookman Old Style"/>
        </w:rPr>
        <w:t>amministrativa</w:t>
      </w:r>
      <w:r w:rsidRPr="00D91312">
        <w:rPr>
          <w:rFonts w:ascii="Bookman Old Style" w:hAnsi="Bookman Old Style"/>
        </w:rPr>
        <w:t xml:space="preserve">, </w:t>
      </w:r>
      <w:r w:rsidR="000A119B" w:rsidRPr="00D91312">
        <w:rPr>
          <w:rFonts w:ascii="Bookman Old Style" w:hAnsi="Bookman Old Style"/>
        </w:rPr>
        <w:t>come poc</w:t>
      </w:r>
      <w:r w:rsidR="008655D6" w:rsidRPr="00D91312">
        <w:rPr>
          <w:rFonts w:ascii="Bookman Old Style" w:hAnsi="Bookman Old Style"/>
        </w:rPr>
        <w:t>’</w:t>
      </w:r>
      <w:r w:rsidR="000A119B" w:rsidRPr="00D91312">
        <w:rPr>
          <w:rFonts w:ascii="Bookman Old Style" w:hAnsi="Bookman Old Style"/>
        </w:rPr>
        <w:t>anzi visto, a</w:t>
      </w:r>
      <w:r w:rsidRPr="00D91312">
        <w:rPr>
          <w:rFonts w:ascii="Bookman Old Style" w:hAnsi="Bookman Old Style"/>
        </w:rPr>
        <w:t>ll</w:t>
      </w:r>
      <w:r w:rsidR="008655D6" w:rsidRPr="00D91312">
        <w:rPr>
          <w:rFonts w:ascii="Bookman Old Style" w:hAnsi="Bookman Old Style"/>
        </w:rPr>
        <w:t>’</w:t>
      </w:r>
      <w:r w:rsidRPr="00D91312">
        <w:rPr>
          <w:rFonts w:ascii="Bookman Old Style" w:hAnsi="Bookman Old Style"/>
        </w:rPr>
        <w:t>obbligo di interpretazione conforme.</w:t>
      </w:r>
    </w:p>
    <w:p w:rsidR="00BD4A25" w:rsidRPr="00D91312" w:rsidRDefault="00A75506" w:rsidP="0021294E">
      <w:pPr>
        <w:jc w:val="both"/>
        <w:rPr>
          <w:rFonts w:ascii="Bookman Old Style" w:hAnsi="Bookman Old Style"/>
        </w:rPr>
      </w:pPr>
      <w:r w:rsidRPr="00D91312">
        <w:rPr>
          <w:rFonts w:ascii="Bookman Old Style" w:hAnsi="Bookman Old Style"/>
        </w:rPr>
        <w:t>La questione diviene</w:t>
      </w:r>
      <w:r w:rsidR="00BD4A25" w:rsidRPr="00D91312">
        <w:rPr>
          <w:rFonts w:ascii="Bookman Old Style" w:hAnsi="Bookman Old Style"/>
        </w:rPr>
        <w:t>,</w:t>
      </w:r>
      <w:r w:rsidRPr="00D91312">
        <w:rPr>
          <w:rFonts w:ascii="Bookman Old Style" w:hAnsi="Bookman Old Style"/>
        </w:rPr>
        <w:t xml:space="preserve"> allora</w:t>
      </w:r>
      <w:r w:rsidR="00BD4A25" w:rsidRPr="00D91312">
        <w:rPr>
          <w:rFonts w:ascii="Bookman Old Style" w:hAnsi="Bookman Old Style"/>
        </w:rPr>
        <w:t>,</w:t>
      </w:r>
      <w:r w:rsidRPr="00D91312">
        <w:rPr>
          <w:rFonts w:ascii="Bookman Old Style" w:hAnsi="Bookman Old Style"/>
        </w:rPr>
        <w:t xml:space="preserve"> se la strutturazione dei procedimenti di competenza dell</w:t>
      </w:r>
      <w:r w:rsidR="008655D6" w:rsidRPr="00D91312">
        <w:rPr>
          <w:rFonts w:ascii="Bookman Old Style" w:hAnsi="Bookman Old Style"/>
        </w:rPr>
        <w:t>’</w:t>
      </w:r>
      <w:r w:rsidRPr="00D91312">
        <w:rPr>
          <w:rFonts w:ascii="Bookman Old Style" w:hAnsi="Bookman Old Style"/>
        </w:rPr>
        <w:t xml:space="preserve">AGCM </w:t>
      </w:r>
      <w:r w:rsidR="00BD4A25" w:rsidRPr="00D91312">
        <w:rPr>
          <w:rFonts w:ascii="Bookman Old Style" w:hAnsi="Bookman Old Style"/>
        </w:rPr>
        <w:t xml:space="preserve">valga </w:t>
      </w:r>
      <w:r w:rsidR="000A119B" w:rsidRPr="00D91312">
        <w:rPr>
          <w:rFonts w:ascii="Bookman Old Style" w:hAnsi="Bookman Old Style"/>
        </w:rPr>
        <w:t xml:space="preserve">già </w:t>
      </w:r>
      <w:r w:rsidR="00BD4A25" w:rsidRPr="00D91312">
        <w:rPr>
          <w:rFonts w:ascii="Bookman Old Style" w:hAnsi="Bookman Old Style"/>
        </w:rPr>
        <w:t>di per sé ad assicurare la necessaria tutel</w:t>
      </w:r>
      <w:r w:rsidR="00907969" w:rsidRPr="00D91312">
        <w:rPr>
          <w:rFonts w:ascii="Bookman Old Style" w:hAnsi="Bookman Old Style"/>
        </w:rPr>
        <w:t>a di quei valori costituzionali e se l</w:t>
      </w:r>
      <w:r w:rsidR="008655D6" w:rsidRPr="00D91312">
        <w:rPr>
          <w:rFonts w:ascii="Bookman Old Style" w:hAnsi="Bookman Old Style"/>
        </w:rPr>
        <w:t>’</w:t>
      </w:r>
      <w:r w:rsidR="00907969" w:rsidRPr="00D91312">
        <w:rPr>
          <w:rFonts w:ascii="Bookman Old Style" w:hAnsi="Bookman Old Style"/>
        </w:rPr>
        <w:t xml:space="preserve">assenza di un termine perentorio per la contestazione degli addebiti risponda a un bisogno di omogeneità col procedimento </w:t>
      </w:r>
      <w:r w:rsidR="00907969" w:rsidRPr="00D91312">
        <w:rPr>
          <w:rFonts w:ascii="Bookman Old Style" w:hAnsi="Bookman Old Style"/>
          <w:i/>
        </w:rPr>
        <w:t>antitrust</w:t>
      </w:r>
      <w:r w:rsidR="00907969" w:rsidRPr="00D91312">
        <w:rPr>
          <w:rFonts w:ascii="Bookman Old Style" w:hAnsi="Bookman Old Style"/>
        </w:rPr>
        <w:t xml:space="preserve"> europeo.</w:t>
      </w:r>
    </w:p>
    <w:p w:rsidR="00BD4A25" w:rsidRPr="00D91312" w:rsidRDefault="00BD4A25" w:rsidP="0021294E">
      <w:pPr>
        <w:jc w:val="both"/>
        <w:rPr>
          <w:rFonts w:ascii="Bookman Old Style" w:hAnsi="Bookman Old Style"/>
        </w:rPr>
      </w:pPr>
    </w:p>
    <w:p w:rsidR="009C3F1C" w:rsidRPr="00D91312" w:rsidRDefault="009C3F1C" w:rsidP="0021294E">
      <w:pPr>
        <w:jc w:val="both"/>
        <w:rPr>
          <w:rFonts w:ascii="Bookman Old Style" w:hAnsi="Bookman Old Style"/>
        </w:rPr>
      </w:pPr>
    </w:p>
    <w:p w:rsidR="00BD4A25" w:rsidRPr="00D91312" w:rsidRDefault="00B969C5" w:rsidP="00BD4A25">
      <w:pPr>
        <w:jc w:val="both"/>
        <w:rPr>
          <w:rFonts w:ascii="Bookman Old Style" w:hAnsi="Bookman Old Style"/>
          <w:b/>
        </w:rPr>
      </w:pPr>
      <w:r w:rsidRPr="00D91312">
        <w:rPr>
          <w:rFonts w:ascii="Bookman Old Style" w:hAnsi="Bookman Old Style"/>
          <w:b/>
        </w:rPr>
        <w:t xml:space="preserve">Il procedimento </w:t>
      </w:r>
      <w:r w:rsidRPr="00D91312">
        <w:rPr>
          <w:rFonts w:ascii="Bookman Old Style" w:hAnsi="Bookman Old Style"/>
          <w:b/>
          <w:i/>
        </w:rPr>
        <w:t>antitrust</w:t>
      </w:r>
      <w:r w:rsidRPr="00D91312">
        <w:rPr>
          <w:rFonts w:ascii="Bookman Old Style" w:hAnsi="Bookman Old Style"/>
          <w:b/>
        </w:rPr>
        <w:t xml:space="preserve"> europeo e </w:t>
      </w:r>
      <w:r w:rsidR="00174F64" w:rsidRPr="00D91312">
        <w:rPr>
          <w:rFonts w:ascii="Bookman Old Style" w:hAnsi="Bookman Old Style"/>
          <w:b/>
        </w:rPr>
        <w:t xml:space="preserve">la </w:t>
      </w:r>
      <w:r w:rsidR="00BD4A25" w:rsidRPr="00D91312">
        <w:rPr>
          <w:rFonts w:ascii="Bookman Old Style" w:hAnsi="Bookman Old Style"/>
          <w:b/>
        </w:rPr>
        <w:t xml:space="preserve">giurisprudenza </w:t>
      </w:r>
      <w:r w:rsidRPr="00D91312">
        <w:rPr>
          <w:rFonts w:ascii="Bookman Old Style" w:hAnsi="Bookman Old Style"/>
          <w:b/>
        </w:rPr>
        <w:t>della Corte di giustizia.</w:t>
      </w:r>
    </w:p>
    <w:p w:rsidR="00406C38" w:rsidRPr="00D91312" w:rsidRDefault="0098018D" w:rsidP="0021294E">
      <w:pPr>
        <w:jc w:val="both"/>
        <w:rPr>
          <w:rFonts w:ascii="Bookman Old Style" w:hAnsi="Bookman Old Style"/>
        </w:rPr>
      </w:pPr>
      <w:r w:rsidRPr="00D91312">
        <w:rPr>
          <w:rFonts w:ascii="Bookman Old Style" w:hAnsi="Bookman Old Style"/>
        </w:rPr>
        <w:t>I</w:t>
      </w:r>
      <w:r w:rsidR="00814DB6" w:rsidRPr="00D91312">
        <w:rPr>
          <w:rFonts w:ascii="Bookman Old Style" w:hAnsi="Bookman Old Style"/>
        </w:rPr>
        <w:t xml:space="preserve">l fatto che le autorità nazionali garanti della concorrenza applicano il </w:t>
      </w:r>
      <w:r w:rsidRPr="00D91312">
        <w:rPr>
          <w:rFonts w:ascii="Bookman Old Style" w:hAnsi="Bookman Old Style"/>
        </w:rPr>
        <w:t xml:space="preserve">proprio </w:t>
      </w:r>
      <w:r w:rsidR="00814DB6" w:rsidRPr="00D91312">
        <w:rPr>
          <w:rFonts w:ascii="Bookman Old Style" w:hAnsi="Bookman Old Style"/>
        </w:rPr>
        <w:t xml:space="preserve">diritto nazionale </w:t>
      </w:r>
      <w:r w:rsidR="00814DB6" w:rsidRPr="00D91312">
        <w:rPr>
          <w:rFonts w:ascii="Bookman Old Style" w:hAnsi="Bookman Old Style"/>
          <w:i/>
        </w:rPr>
        <w:t>antitrust</w:t>
      </w:r>
      <w:r w:rsidR="00814DB6" w:rsidRPr="00D91312">
        <w:rPr>
          <w:rFonts w:ascii="Bookman Old Style" w:hAnsi="Bookman Old Style"/>
        </w:rPr>
        <w:t xml:space="preserve"> e, </w:t>
      </w:r>
      <w:r w:rsidR="007E63F0" w:rsidRPr="00D91312">
        <w:rPr>
          <w:rFonts w:ascii="Bookman Old Style" w:hAnsi="Bookman Old Style"/>
        </w:rPr>
        <w:t xml:space="preserve">in </w:t>
      </w:r>
      <w:r w:rsidR="00814DB6" w:rsidRPr="00D91312">
        <w:rPr>
          <w:rFonts w:ascii="Bookman Old Style" w:hAnsi="Bookman Old Style"/>
        </w:rPr>
        <w:t>parallel</w:t>
      </w:r>
      <w:r w:rsidR="007E63F0" w:rsidRPr="00D91312">
        <w:rPr>
          <w:rFonts w:ascii="Bookman Old Style" w:hAnsi="Bookman Old Style"/>
        </w:rPr>
        <w:t xml:space="preserve">o </w:t>
      </w:r>
      <w:r w:rsidR="00814DB6" w:rsidRPr="00D91312">
        <w:rPr>
          <w:rFonts w:ascii="Bookman Old Style" w:hAnsi="Bookman Old Style"/>
        </w:rPr>
        <w:t xml:space="preserve">alla Commissione, il diritto europeo della concorrenza di cui agli artt. 101 e 102 TFUE </w:t>
      </w:r>
      <w:r w:rsidR="007E63F0" w:rsidRPr="00D91312">
        <w:rPr>
          <w:rFonts w:ascii="Bookman Old Style" w:hAnsi="Bookman Old Style"/>
        </w:rPr>
        <w:t xml:space="preserve">rende </w:t>
      </w:r>
      <w:r w:rsidR="00D60636" w:rsidRPr="00D91312">
        <w:rPr>
          <w:rFonts w:ascii="Bookman Old Style" w:hAnsi="Bookman Old Style"/>
        </w:rPr>
        <w:t xml:space="preserve">in effetti </w:t>
      </w:r>
      <w:r w:rsidR="007E63F0" w:rsidRPr="00D91312">
        <w:rPr>
          <w:rFonts w:ascii="Bookman Old Style" w:hAnsi="Bookman Old Style"/>
        </w:rPr>
        <w:t xml:space="preserve">necessario verificare </w:t>
      </w:r>
      <w:r w:rsidR="00696DE5" w:rsidRPr="00D91312">
        <w:rPr>
          <w:rFonts w:ascii="Bookman Old Style" w:hAnsi="Bookman Old Style"/>
        </w:rPr>
        <w:t xml:space="preserve">quali </w:t>
      </w:r>
      <w:r w:rsidR="007E63F0" w:rsidRPr="00D91312">
        <w:rPr>
          <w:rFonts w:ascii="Bookman Old Style" w:hAnsi="Bookman Old Style"/>
        </w:rPr>
        <w:t xml:space="preserve">limiti o obblighi </w:t>
      </w:r>
      <w:r w:rsidR="00696DE5" w:rsidRPr="00D91312">
        <w:rPr>
          <w:rFonts w:ascii="Bookman Old Style" w:hAnsi="Bookman Old Style"/>
        </w:rPr>
        <w:t>possano derivarsi da quest</w:t>
      </w:r>
      <w:r w:rsidR="008655D6" w:rsidRPr="00D91312">
        <w:rPr>
          <w:rFonts w:ascii="Bookman Old Style" w:hAnsi="Bookman Old Style"/>
        </w:rPr>
        <w:t>’</w:t>
      </w:r>
      <w:r w:rsidR="00696DE5" w:rsidRPr="00D91312">
        <w:rPr>
          <w:rFonts w:ascii="Bookman Old Style" w:hAnsi="Bookman Old Style"/>
        </w:rPr>
        <w:t xml:space="preserve">ultimo in relazione alle </w:t>
      </w:r>
      <w:r w:rsidR="00552099" w:rsidRPr="00D91312">
        <w:rPr>
          <w:rFonts w:ascii="Bookman Old Style" w:hAnsi="Bookman Old Style"/>
        </w:rPr>
        <w:t xml:space="preserve">tematiche </w:t>
      </w:r>
      <w:r w:rsidR="00E42058" w:rsidRPr="00D91312">
        <w:rPr>
          <w:rFonts w:ascii="Bookman Old Style" w:hAnsi="Bookman Old Style"/>
        </w:rPr>
        <w:t>oggetto della presente indagine</w:t>
      </w:r>
      <w:r w:rsidR="00696DE5" w:rsidRPr="00D91312">
        <w:rPr>
          <w:rFonts w:ascii="Bookman Old Style" w:hAnsi="Bookman Old Style"/>
        </w:rPr>
        <w:t>.</w:t>
      </w:r>
    </w:p>
    <w:p w:rsidR="00A052B8" w:rsidRPr="00D91312" w:rsidRDefault="00900CCE" w:rsidP="00106FCE">
      <w:pPr>
        <w:jc w:val="both"/>
        <w:rPr>
          <w:rFonts w:ascii="Bookman Old Style" w:hAnsi="Bookman Old Style"/>
        </w:rPr>
      </w:pPr>
      <w:r w:rsidRPr="00D91312">
        <w:rPr>
          <w:rFonts w:ascii="Bookman Old Style" w:hAnsi="Bookman Old Style"/>
        </w:rPr>
        <w:t>I</w:t>
      </w:r>
      <w:r w:rsidR="00106FCE" w:rsidRPr="00D91312">
        <w:rPr>
          <w:rFonts w:ascii="Bookman Old Style" w:hAnsi="Bookman Old Style"/>
        </w:rPr>
        <w:t>l diritto dell</w:t>
      </w:r>
      <w:r w:rsidR="008655D6" w:rsidRPr="00D91312">
        <w:rPr>
          <w:rFonts w:ascii="Bookman Old Style" w:hAnsi="Bookman Old Style"/>
        </w:rPr>
        <w:t>’</w:t>
      </w:r>
      <w:r w:rsidR="00106FCE" w:rsidRPr="00D91312">
        <w:rPr>
          <w:rFonts w:ascii="Bookman Old Style" w:hAnsi="Bookman Old Style"/>
        </w:rPr>
        <w:t xml:space="preserve">UE non stabilisce un termine entro </w:t>
      </w:r>
      <w:r w:rsidR="00D60636" w:rsidRPr="00D91312">
        <w:rPr>
          <w:rFonts w:ascii="Bookman Old Style" w:hAnsi="Bookman Old Style"/>
        </w:rPr>
        <w:t xml:space="preserve">il quale </w:t>
      </w:r>
      <w:r w:rsidR="00106FCE" w:rsidRPr="00D91312">
        <w:rPr>
          <w:rFonts w:ascii="Bookman Old Style" w:hAnsi="Bookman Old Style"/>
        </w:rPr>
        <w:t>la</w:t>
      </w:r>
      <w:r w:rsidR="00A052B8" w:rsidRPr="00D91312">
        <w:rPr>
          <w:rFonts w:ascii="Bookman Old Style" w:hAnsi="Bookman Old Style"/>
        </w:rPr>
        <w:t xml:space="preserve"> </w:t>
      </w:r>
      <w:r w:rsidR="00106FCE" w:rsidRPr="00D91312">
        <w:rPr>
          <w:rFonts w:ascii="Bookman Old Style" w:hAnsi="Bookman Old Style"/>
        </w:rPr>
        <w:t xml:space="preserve">Commissione deve condurre le indagini </w:t>
      </w:r>
      <w:r w:rsidR="00106FCE" w:rsidRPr="00D91312">
        <w:rPr>
          <w:rFonts w:ascii="Bookman Old Style" w:hAnsi="Bookman Old Style"/>
          <w:i/>
        </w:rPr>
        <w:t>antitrust</w:t>
      </w:r>
      <w:r w:rsidR="00A052B8" w:rsidRPr="00D91312">
        <w:rPr>
          <w:rFonts w:ascii="Bookman Old Style" w:hAnsi="Bookman Old Style"/>
        </w:rPr>
        <w:t xml:space="preserve"> </w:t>
      </w:r>
      <w:r w:rsidR="00106FCE" w:rsidRPr="00D91312">
        <w:rPr>
          <w:rFonts w:ascii="Bookman Old Style" w:hAnsi="Bookman Old Style"/>
        </w:rPr>
        <w:t xml:space="preserve">e </w:t>
      </w:r>
      <w:r w:rsidR="00A052B8" w:rsidRPr="00D91312">
        <w:rPr>
          <w:rFonts w:ascii="Bookman Old Style" w:hAnsi="Bookman Old Style"/>
        </w:rPr>
        <w:t xml:space="preserve">neppure un termine per la comunicazione formale degli addebiti una volta conclusa la fase preistruttoria, ma </w:t>
      </w:r>
      <w:r w:rsidR="00B06DCF" w:rsidRPr="00D91312">
        <w:rPr>
          <w:rFonts w:ascii="Bookman Old Style" w:hAnsi="Bookman Old Style"/>
        </w:rPr>
        <w:t xml:space="preserve">solo </w:t>
      </w:r>
      <w:r w:rsidR="00A052B8" w:rsidRPr="00D91312">
        <w:rPr>
          <w:rFonts w:ascii="Bookman Old Style" w:hAnsi="Bookman Old Style"/>
        </w:rPr>
        <w:t xml:space="preserve">un termine di prescrizione per </w:t>
      </w:r>
      <w:r w:rsidR="00B06DCF" w:rsidRPr="00D91312">
        <w:rPr>
          <w:rFonts w:ascii="Bookman Old Style" w:hAnsi="Bookman Old Style"/>
        </w:rPr>
        <w:t>l</w:t>
      </w:r>
      <w:r w:rsidR="008655D6" w:rsidRPr="00D91312">
        <w:rPr>
          <w:rFonts w:ascii="Bookman Old Style" w:hAnsi="Bookman Old Style"/>
        </w:rPr>
        <w:t>’</w:t>
      </w:r>
      <w:r w:rsidR="00B06DCF" w:rsidRPr="00D91312">
        <w:rPr>
          <w:rFonts w:ascii="Bookman Old Style" w:hAnsi="Bookman Old Style"/>
        </w:rPr>
        <w:t>irrogazione del</w:t>
      </w:r>
      <w:r w:rsidR="00A052B8" w:rsidRPr="00D91312">
        <w:rPr>
          <w:rFonts w:ascii="Bookman Old Style" w:hAnsi="Bookman Old Style"/>
        </w:rPr>
        <w:t>le sanzioni.</w:t>
      </w:r>
    </w:p>
    <w:p w:rsidR="00B974E7" w:rsidRPr="00D91312" w:rsidRDefault="00900CCE" w:rsidP="00B974E7">
      <w:pPr>
        <w:jc w:val="both"/>
        <w:rPr>
          <w:rFonts w:ascii="Bookman Old Style" w:hAnsi="Bookman Old Style"/>
        </w:rPr>
      </w:pPr>
      <w:r w:rsidRPr="00D91312">
        <w:rPr>
          <w:rFonts w:ascii="Bookman Old Style" w:hAnsi="Bookman Old Style"/>
        </w:rPr>
        <w:t>Come è noto, i</w:t>
      </w:r>
      <w:r w:rsidR="00B06DCF" w:rsidRPr="00D91312">
        <w:rPr>
          <w:rFonts w:ascii="Bookman Old Style" w:hAnsi="Bookman Old Style"/>
        </w:rPr>
        <w:t>n base all</w:t>
      </w:r>
      <w:r w:rsidR="00B974E7" w:rsidRPr="00D91312">
        <w:rPr>
          <w:rFonts w:ascii="Bookman Old Style" w:hAnsi="Bookman Old Style"/>
        </w:rPr>
        <w:t>a disciplina applicativa delle disposizioni in materia di concorrenza di cui agli artt. 101 e 102 TFUE (ex artt. 81 e 82 TCE)</w:t>
      </w:r>
      <w:r w:rsidR="00A052B8" w:rsidRPr="00D91312">
        <w:rPr>
          <w:rFonts w:ascii="Bookman Old Style" w:hAnsi="Bookman Old Style"/>
        </w:rPr>
        <w:t xml:space="preserve">, </w:t>
      </w:r>
      <w:r w:rsidR="00B974E7" w:rsidRPr="00D91312">
        <w:rPr>
          <w:rFonts w:ascii="Bookman Old Style" w:hAnsi="Bookman Old Style"/>
        </w:rPr>
        <w:t>contenuta nel reg</w:t>
      </w:r>
      <w:r w:rsidR="00D60636" w:rsidRPr="00D91312">
        <w:rPr>
          <w:rFonts w:ascii="Bookman Old Style" w:hAnsi="Bookman Old Style"/>
        </w:rPr>
        <w:t xml:space="preserve">. </w:t>
      </w:r>
      <w:r w:rsidR="00B974E7" w:rsidRPr="00D91312">
        <w:rPr>
          <w:rFonts w:ascii="Bookman Old Style" w:hAnsi="Bookman Old Style"/>
        </w:rPr>
        <w:t>(CE) n. 1/2003 del Consiglio e nel reg</w:t>
      </w:r>
      <w:r w:rsidR="00D60636" w:rsidRPr="00D91312">
        <w:rPr>
          <w:rFonts w:ascii="Bookman Old Style" w:hAnsi="Bookman Old Style"/>
        </w:rPr>
        <w:t>.</w:t>
      </w:r>
      <w:r w:rsidR="00B974E7" w:rsidRPr="00D91312">
        <w:rPr>
          <w:rFonts w:ascii="Bookman Old Style" w:hAnsi="Bookman Old Style"/>
        </w:rPr>
        <w:t xml:space="preserve"> (CE</w:t>
      </w:r>
      <w:r w:rsidR="00106FCE" w:rsidRPr="00D91312">
        <w:rPr>
          <w:rFonts w:ascii="Bookman Old Style" w:hAnsi="Bookman Old Style"/>
        </w:rPr>
        <w:t>) n. 773/2004 della Commissione</w:t>
      </w:r>
      <w:r w:rsidR="00A052B8" w:rsidRPr="00D91312">
        <w:rPr>
          <w:rFonts w:ascii="Bookman Old Style" w:hAnsi="Bookman Old Style"/>
        </w:rPr>
        <w:t xml:space="preserve">, </w:t>
      </w:r>
      <w:r w:rsidR="00D60636" w:rsidRPr="00D91312">
        <w:rPr>
          <w:rFonts w:ascii="Bookman Old Style" w:hAnsi="Bookman Old Style"/>
        </w:rPr>
        <w:t xml:space="preserve">anche </w:t>
      </w:r>
      <w:r w:rsidR="00B06DCF" w:rsidRPr="00D91312">
        <w:rPr>
          <w:rFonts w:ascii="Bookman Old Style" w:hAnsi="Bookman Old Style"/>
        </w:rPr>
        <w:t>i</w:t>
      </w:r>
      <w:r w:rsidR="00B974E7" w:rsidRPr="00D91312">
        <w:rPr>
          <w:rFonts w:ascii="Bookman Old Style" w:hAnsi="Bookman Old Style"/>
        </w:rPr>
        <w:t xml:space="preserve">l procedimento </w:t>
      </w:r>
      <w:r w:rsidR="00D60636" w:rsidRPr="00D91312">
        <w:rPr>
          <w:rFonts w:ascii="Bookman Old Style" w:hAnsi="Bookman Old Style"/>
          <w:i/>
        </w:rPr>
        <w:t>antitrust</w:t>
      </w:r>
      <w:r w:rsidR="00D60636" w:rsidRPr="00D91312">
        <w:rPr>
          <w:rFonts w:ascii="Bookman Old Style" w:hAnsi="Bookman Old Style"/>
        </w:rPr>
        <w:t xml:space="preserve"> europeo </w:t>
      </w:r>
      <w:r w:rsidR="00B06DCF" w:rsidRPr="00D91312">
        <w:rPr>
          <w:rFonts w:ascii="Bookman Old Style" w:hAnsi="Bookman Old Style"/>
        </w:rPr>
        <w:t xml:space="preserve">risulta </w:t>
      </w:r>
      <w:r w:rsidR="00B974E7" w:rsidRPr="00D91312">
        <w:rPr>
          <w:rFonts w:ascii="Bookman Old Style" w:hAnsi="Bookman Old Style"/>
        </w:rPr>
        <w:t>strutturato in tre fasi.</w:t>
      </w:r>
    </w:p>
    <w:p w:rsidR="00B974E7" w:rsidRPr="00D91312" w:rsidRDefault="00B974E7" w:rsidP="00B974E7">
      <w:pPr>
        <w:jc w:val="both"/>
        <w:rPr>
          <w:rFonts w:ascii="Bookman Old Style" w:hAnsi="Bookman Old Style"/>
        </w:rPr>
      </w:pPr>
      <w:r w:rsidRPr="00D91312">
        <w:rPr>
          <w:rFonts w:ascii="Bookman Old Style" w:hAnsi="Bookman Old Style"/>
        </w:rPr>
        <w:t>In una prima fase gli uffici della DG Concorrenza, acquisita notizia della sospetta condotta a</w:t>
      </w:r>
      <w:r w:rsidR="005E5066" w:rsidRPr="00D91312">
        <w:rPr>
          <w:rFonts w:ascii="Bookman Old Style" w:hAnsi="Bookman Old Style"/>
        </w:rPr>
        <w:t>nticoncorrenziale, provvedono a effettuare</w:t>
      </w:r>
      <w:r w:rsidRPr="00D91312">
        <w:rPr>
          <w:rFonts w:ascii="Bookman Old Style" w:hAnsi="Bookman Old Style"/>
        </w:rPr>
        <w:t xml:space="preserve"> accertamenti preliminari esercitando i poteri di cui agli artt. 17 ss. del reg. n. 1/2003. Tale fase va dall</w:t>
      </w:r>
      <w:r w:rsidR="008655D6" w:rsidRPr="00D91312">
        <w:rPr>
          <w:rFonts w:ascii="Bookman Old Style" w:hAnsi="Bookman Old Style"/>
        </w:rPr>
        <w:t>’</w:t>
      </w:r>
      <w:r w:rsidRPr="00D91312">
        <w:rPr>
          <w:rFonts w:ascii="Bookman Old Style" w:hAnsi="Bookman Old Style"/>
        </w:rPr>
        <w:t xml:space="preserve">apertura del fascicolo fino alla notifica della comunicazione degli addebiti </w:t>
      </w:r>
      <w:r w:rsidR="005E5066" w:rsidRPr="00D91312">
        <w:rPr>
          <w:rFonts w:ascii="Bookman Old Style" w:hAnsi="Bookman Old Style"/>
        </w:rPr>
        <w:t>ai sensi de</w:t>
      </w:r>
      <w:r w:rsidRPr="00D91312">
        <w:rPr>
          <w:rFonts w:ascii="Bookman Old Style" w:hAnsi="Bookman Old Style"/>
        </w:rPr>
        <w:t>ll</w:t>
      </w:r>
      <w:r w:rsidR="008655D6" w:rsidRPr="00D91312">
        <w:rPr>
          <w:rFonts w:ascii="Bookman Old Style" w:hAnsi="Bookman Old Style"/>
        </w:rPr>
        <w:t>’</w:t>
      </w:r>
      <w:r w:rsidRPr="00D91312">
        <w:rPr>
          <w:rFonts w:ascii="Bookman Old Style" w:hAnsi="Bookman Old Style"/>
        </w:rPr>
        <w:t>art. 10 del reg.</w:t>
      </w:r>
      <w:r w:rsidR="005E5066" w:rsidRPr="00D91312">
        <w:rPr>
          <w:rFonts w:ascii="Bookman Old Style" w:hAnsi="Bookman Old Style"/>
        </w:rPr>
        <w:t xml:space="preserve"> n. 773/04, </w:t>
      </w:r>
      <w:r w:rsidR="00B06DCF" w:rsidRPr="00D91312">
        <w:rPr>
          <w:rFonts w:ascii="Bookman Old Style" w:hAnsi="Bookman Old Style"/>
        </w:rPr>
        <w:t xml:space="preserve">il quale prevede che </w:t>
      </w:r>
      <w:r w:rsidRPr="00D91312">
        <w:rPr>
          <w:rFonts w:ascii="Bookman Old Style" w:hAnsi="Bookman Old Style"/>
        </w:rPr>
        <w:t>“</w:t>
      </w:r>
      <w:r w:rsidRPr="00D91312">
        <w:rPr>
          <w:rFonts w:ascii="Bookman Old Style" w:hAnsi="Bookman Old Style"/>
          <w:i/>
        </w:rPr>
        <w:t>la Commissione informa le parti interessate degli addebiti mossi nei loro confronti</w:t>
      </w:r>
      <w:r w:rsidR="00B06DCF" w:rsidRPr="00D91312">
        <w:rPr>
          <w:rFonts w:ascii="Bookman Old Style" w:hAnsi="Bookman Old Style"/>
        </w:rPr>
        <w:t>” e che “</w:t>
      </w:r>
      <w:r w:rsidR="00B06DCF" w:rsidRPr="00D91312">
        <w:rPr>
          <w:rFonts w:ascii="Bookman Old Style" w:hAnsi="Bookman Old Style"/>
          <w:i/>
        </w:rPr>
        <w:t>l</w:t>
      </w:r>
      <w:r w:rsidRPr="00D91312">
        <w:rPr>
          <w:rFonts w:ascii="Bookman Old Style" w:hAnsi="Bookman Old Style"/>
          <w:i/>
        </w:rPr>
        <w:t>a comunicazione degli addebiti è notificata per iscritto a ciascuna delle parti nei cui confronti sono mossi gli addebiti</w:t>
      </w:r>
      <w:r w:rsidR="00B06DCF" w:rsidRPr="00D91312">
        <w:rPr>
          <w:rFonts w:ascii="Bookman Old Style" w:hAnsi="Bookman Old Style"/>
        </w:rPr>
        <w:t>”, ma non detta alcun termine per l</w:t>
      </w:r>
      <w:r w:rsidR="008655D6" w:rsidRPr="00D91312">
        <w:rPr>
          <w:rFonts w:ascii="Bookman Old Style" w:hAnsi="Bookman Old Style"/>
        </w:rPr>
        <w:t>’</w:t>
      </w:r>
      <w:r w:rsidR="00B06DCF" w:rsidRPr="00D91312">
        <w:rPr>
          <w:rFonts w:ascii="Bookman Old Style" w:hAnsi="Bookman Old Style"/>
        </w:rPr>
        <w:t>adempimento</w:t>
      </w:r>
      <w:r w:rsidRPr="00D91312">
        <w:rPr>
          <w:rFonts w:ascii="Bookman Old Style" w:hAnsi="Bookman Old Style"/>
        </w:rPr>
        <w:t>.</w:t>
      </w:r>
      <w:r w:rsidR="00BF32FA" w:rsidRPr="00D91312">
        <w:rPr>
          <w:rFonts w:ascii="Bookman Old Style" w:hAnsi="Bookman Old Style"/>
        </w:rPr>
        <w:t xml:space="preserve"> </w:t>
      </w:r>
      <w:r w:rsidRPr="00D91312">
        <w:rPr>
          <w:rFonts w:ascii="Bookman Old Style" w:hAnsi="Bookman Old Style"/>
        </w:rPr>
        <w:t>La comunicazione degli addebiti (</w:t>
      </w:r>
      <w:r w:rsidRPr="00D91312">
        <w:rPr>
          <w:rFonts w:ascii="Bookman Old Style" w:hAnsi="Bookman Old Style"/>
          <w:i/>
        </w:rPr>
        <w:t xml:space="preserve">statement of </w:t>
      </w:r>
      <w:proofErr w:type="spellStart"/>
      <w:r w:rsidRPr="00D91312">
        <w:rPr>
          <w:rFonts w:ascii="Bookman Old Style" w:hAnsi="Bookman Old Style"/>
          <w:i/>
        </w:rPr>
        <w:t>objections</w:t>
      </w:r>
      <w:proofErr w:type="spellEnd"/>
      <w:r w:rsidRPr="00D91312">
        <w:rPr>
          <w:rFonts w:ascii="Bookman Old Style" w:hAnsi="Bookman Old Style"/>
        </w:rPr>
        <w:t xml:space="preserve">) dà avvio alla procedura </w:t>
      </w:r>
      <w:r w:rsidR="00BF32FA" w:rsidRPr="00D91312">
        <w:rPr>
          <w:rFonts w:ascii="Bookman Old Style" w:hAnsi="Bookman Old Style"/>
        </w:rPr>
        <w:t xml:space="preserve">aprendo la fase istruttoria, in cui </w:t>
      </w:r>
      <w:r w:rsidRPr="00D91312">
        <w:rPr>
          <w:rFonts w:ascii="Bookman Old Style" w:hAnsi="Bookman Old Style"/>
        </w:rPr>
        <w:t>le parti possono esercitare i loro diritti difensivi (prendere visione del fascicolo investigativo, replicare per iscritto agli addebiti, essere sentite).</w:t>
      </w:r>
      <w:r w:rsidR="00BF32FA" w:rsidRPr="00D91312">
        <w:rPr>
          <w:rFonts w:ascii="Bookman Old Style" w:hAnsi="Bookman Old Style"/>
        </w:rPr>
        <w:t xml:space="preserve"> </w:t>
      </w:r>
      <w:r w:rsidR="00C47843" w:rsidRPr="00D91312">
        <w:rPr>
          <w:rFonts w:ascii="Bookman Old Style" w:hAnsi="Bookman Old Style"/>
        </w:rPr>
        <w:t>La Commissione stessa ha chiarito che l</w:t>
      </w:r>
      <w:r w:rsidR="008655D6" w:rsidRPr="00D91312">
        <w:rPr>
          <w:rFonts w:ascii="Bookman Old Style" w:hAnsi="Bookman Old Style"/>
        </w:rPr>
        <w:t>’</w:t>
      </w:r>
      <w:r w:rsidR="00C47843" w:rsidRPr="00D91312">
        <w:rPr>
          <w:rFonts w:ascii="Bookman Old Style" w:hAnsi="Bookman Old Style"/>
        </w:rPr>
        <w:t>avvio del procedimento ha luogo “</w:t>
      </w:r>
      <w:r w:rsidR="00C47843" w:rsidRPr="00D91312">
        <w:rPr>
          <w:rFonts w:ascii="Bookman Old Style" w:hAnsi="Bookman Old Style"/>
          <w:i/>
        </w:rPr>
        <w:t>quando l</w:t>
      </w:r>
      <w:r w:rsidR="008655D6" w:rsidRPr="00D91312">
        <w:rPr>
          <w:rFonts w:ascii="Bookman Old Style" w:hAnsi="Bookman Old Style"/>
          <w:i/>
        </w:rPr>
        <w:t>’</w:t>
      </w:r>
      <w:r w:rsidR="00C47843" w:rsidRPr="00D91312">
        <w:rPr>
          <w:rFonts w:ascii="Bookman Old Style" w:hAnsi="Bookman Old Style"/>
          <w:i/>
        </w:rPr>
        <w:t>iniziale valutazione porta a concludere che il caso merita ulteriori indagini e se la portata dell</w:t>
      </w:r>
      <w:r w:rsidR="008655D6" w:rsidRPr="00D91312">
        <w:rPr>
          <w:rFonts w:ascii="Bookman Old Style" w:hAnsi="Bookman Old Style"/>
          <w:i/>
        </w:rPr>
        <w:t>’</w:t>
      </w:r>
      <w:r w:rsidR="00C47843" w:rsidRPr="00D91312">
        <w:rPr>
          <w:rFonts w:ascii="Bookman Old Style" w:hAnsi="Bookman Old Style"/>
          <w:i/>
        </w:rPr>
        <w:t>indagine è stata definita in modo adeguato</w:t>
      </w:r>
      <w:r w:rsidR="00C47843" w:rsidRPr="00D91312">
        <w:rPr>
          <w:rFonts w:ascii="Bookman Old Style" w:hAnsi="Bookman Old Style"/>
        </w:rPr>
        <w:t>”</w:t>
      </w:r>
      <w:r w:rsidR="00C47843" w:rsidRPr="00D91312">
        <w:rPr>
          <w:rStyle w:val="Rimandonotaapidipagina"/>
          <w:rFonts w:ascii="Bookman Old Style" w:hAnsi="Bookman Old Style"/>
        </w:rPr>
        <w:footnoteReference w:id="24"/>
      </w:r>
      <w:r w:rsidR="00C47843" w:rsidRPr="00D91312">
        <w:rPr>
          <w:rFonts w:ascii="Bookman Old Style" w:hAnsi="Bookman Old Style"/>
        </w:rPr>
        <w:t>. La fase decisoria segue alla chiusura del</w:t>
      </w:r>
      <w:r w:rsidRPr="00D91312">
        <w:rPr>
          <w:rFonts w:ascii="Bookman Old Style" w:hAnsi="Bookman Old Style"/>
        </w:rPr>
        <w:t>l</w:t>
      </w:r>
      <w:r w:rsidR="008655D6" w:rsidRPr="00D91312">
        <w:rPr>
          <w:rFonts w:ascii="Bookman Old Style" w:hAnsi="Bookman Old Style"/>
        </w:rPr>
        <w:t>’</w:t>
      </w:r>
      <w:r w:rsidRPr="00D91312">
        <w:rPr>
          <w:rFonts w:ascii="Bookman Old Style" w:hAnsi="Bookman Old Style"/>
        </w:rPr>
        <w:t xml:space="preserve">istruttoria, </w:t>
      </w:r>
      <w:r w:rsidR="00C47843" w:rsidRPr="00D91312">
        <w:rPr>
          <w:rFonts w:ascii="Bookman Old Style" w:hAnsi="Bookman Old Style"/>
        </w:rPr>
        <w:t>per la quale</w:t>
      </w:r>
      <w:r w:rsidR="002D3690" w:rsidRPr="00D91312">
        <w:rPr>
          <w:rFonts w:ascii="Bookman Old Style" w:hAnsi="Bookman Old Style"/>
        </w:rPr>
        <w:t xml:space="preserve"> pure</w:t>
      </w:r>
      <w:r w:rsidR="00C47843" w:rsidRPr="00D91312">
        <w:rPr>
          <w:rFonts w:ascii="Bookman Old Style" w:hAnsi="Bookman Old Style"/>
        </w:rPr>
        <w:t>, come detto</w:t>
      </w:r>
      <w:r w:rsidR="002D3690" w:rsidRPr="00D91312">
        <w:rPr>
          <w:rFonts w:ascii="Bookman Old Style" w:hAnsi="Bookman Old Style"/>
        </w:rPr>
        <w:t>,</w:t>
      </w:r>
      <w:r w:rsidR="00C47843" w:rsidRPr="00D91312">
        <w:rPr>
          <w:rFonts w:ascii="Bookman Old Style" w:hAnsi="Bookman Old Style"/>
        </w:rPr>
        <w:t xml:space="preserve"> non è </w:t>
      </w:r>
      <w:r w:rsidR="002D3690" w:rsidRPr="00D91312">
        <w:rPr>
          <w:rFonts w:ascii="Bookman Old Style" w:hAnsi="Bookman Old Style"/>
        </w:rPr>
        <w:t>previsto un termine.</w:t>
      </w:r>
    </w:p>
    <w:p w:rsidR="00814DB6" w:rsidRPr="00D91312" w:rsidRDefault="002D3690" w:rsidP="002D3690">
      <w:pPr>
        <w:jc w:val="both"/>
        <w:rPr>
          <w:rFonts w:ascii="Bookman Old Style" w:hAnsi="Bookman Old Style"/>
        </w:rPr>
      </w:pPr>
      <w:r w:rsidRPr="00D91312">
        <w:rPr>
          <w:rFonts w:ascii="Bookman Old Style" w:hAnsi="Bookman Old Style"/>
        </w:rPr>
        <w:t xml:space="preserve">In origine non era previsto neppure un termine di prescrizione, </w:t>
      </w:r>
      <w:r w:rsidR="00900CCE" w:rsidRPr="00D91312">
        <w:rPr>
          <w:rFonts w:ascii="Bookman Old Style" w:hAnsi="Bookman Old Style"/>
        </w:rPr>
        <w:t xml:space="preserve">ora </w:t>
      </w:r>
      <w:r w:rsidRPr="00D91312">
        <w:rPr>
          <w:rFonts w:ascii="Bookman Old Style" w:hAnsi="Bookman Old Style"/>
        </w:rPr>
        <w:t>stabilito dall</w:t>
      </w:r>
      <w:r w:rsidR="008655D6" w:rsidRPr="00D91312">
        <w:rPr>
          <w:rFonts w:ascii="Bookman Old Style" w:hAnsi="Bookman Old Style"/>
        </w:rPr>
        <w:t>’</w:t>
      </w:r>
      <w:r w:rsidRPr="00D91312">
        <w:rPr>
          <w:rFonts w:ascii="Bookman Old Style" w:hAnsi="Bookman Old Style"/>
        </w:rPr>
        <w:t>art. 25 del reg. n. 1/2003 (in base al quale i</w:t>
      </w:r>
      <w:r w:rsidR="00B974E7" w:rsidRPr="00D91312">
        <w:rPr>
          <w:rFonts w:ascii="Bookman Old Style" w:hAnsi="Bookman Old Style"/>
        </w:rPr>
        <w:t>l potere della Commissione di irrogare sanzioni è soggetto al termine di prescrizione di 3 anni per le infrazioni alle disposizioni relative alla richiesta di informazioni o all</w:t>
      </w:r>
      <w:r w:rsidR="008655D6" w:rsidRPr="00D91312">
        <w:rPr>
          <w:rFonts w:ascii="Bookman Old Style" w:hAnsi="Bookman Old Style"/>
        </w:rPr>
        <w:t>’</w:t>
      </w:r>
      <w:r w:rsidR="00B974E7" w:rsidRPr="00D91312">
        <w:rPr>
          <w:rFonts w:ascii="Bookman Old Style" w:hAnsi="Bookman Old Style"/>
        </w:rPr>
        <w:t>esecuzione di accertamenti e di 5 anni per le altre infrazioni; la prescrizione decorre dal giorno in cui è stata commessa l</w:t>
      </w:r>
      <w:r w:rsidR="008655D6" w:rsidRPr="00D91312">
        <w:rPr>
          <w:rFonts w:ascii="Bookman Old Style" w:hAnsi="Bookman Old Style"/>
        </w:rPr>
        <w:t>’</w:t>
      </w:r>
      <w:r w:rsidR="00B974E7" w:rsidRPr="00D91312">
        <w:rPr>
          <w:rFonts w:ascii="Bookman Old Style" w:hAnsi="Bookman Old Style"/>
        </w:rPr>
        <w:t>infrazione ovvero, per quanto concerne le infrazioni continuate o ripetute, dal giorno in cui è cessata l</w:t>
      </w:r>
      <w:r w:rsidR="008655D6" w:rsidRPr="00D91312">
        <w:rPr>
          <w:rFonts w:ascii="Bookman Old Style" w:hAnsi="Bookman Old Style"/>
        </w:rPr>
        <w:t>’</w:t>
      </w:r>
      <w:r w:rsidR="00B974E7" w:rsidRPr="00D91312">
        <w:rPr>
          <w:rFonts w:ascii="Bookman Old Style" w:hAnsi="Bookman Old Style"/>
        </w:rPr>
        <w:t>infrazione e</w:t>
      </w:r>
      <w:r w:rsidRPr="00D91312">
        <w:rPr>
          <w:rFonts w:ascii="Bookman Old Style" w:hAnsi="Bookman Old Style"/>
        </w:rPr>
        <w:t xml:space="preserve">d è soggetto a </w:t>
      </w:r>
      <w:r w:rsidR="00B974E7" w:rsidRPr="00D91312">
        <w:rPr>
          <w:rFonts w:ascii="Bookman Old Style" w:hAnsi="Bookman Old Style"/>
        </w:rPr>
        <w:t>interr</w:t>
      </w:r>
      <w:r w:rsidRPr="00D91312">
        <w:rPr>
          <w:rFonts w:ascii="Bookman Old Style" w:hAnsi="Bookman Old Style"/>
        </w:rPr>
        <w:t>uzione</w:t>
      </w:r>
      <w:r w:rsidR="004F6246" w:rsidRPr="00D91312">
        <w:rPr>
          <w:rFonts w:ascii="Bookman Old Style" w:hAnsi="Bookman Old Style"/>
        </w:rPr>
        <w:t>)</w:t>
      </w:r>
      <w:r w:rsidR="00B974E7" w:rsidRPr="00D91312">
        <w:rPr>
          <w:rFonts w:ascii="Bookman Old Style" w:hAnsi="Bookman Old Style"/>
        </w:rPr>
        <w:t>.</w:t>
      </w:r>
    </w:p>
    <w:p w:rsidR="0006631B" w:rsidRPr="00D91312" w:rsidRDefault="003D7610" w:rsidP="002A4E73">
      <w:pPr>
        <w:jc w:val="both"/>
        <w:rPr>
          <w:rFonts w:ascii="Bookman Old Style" w:hAnsi="Bookman Old Style"/>
        </w:rPr>
      </w:pPr>
      <w:r w:rsidRPr="00D91312">
        <w:rPr>
          <w:rFonts w:ascii="Bookman Old Style" w:hAnsi="Bookman Old Style"/>
        </w:rPr>
        <w:t xml:space="preserve">Esso è stato introdotto </w:t>
      </w:r>
      <w:r w:rsidR="0006631B" w:rsidRPr="00D91312">
        <w:rPr>
          <w:rFonts w:ascii="Bookman Old Style" w:hAnsi="Bookman Old Style"/>
        </w:rPr>
        <w:t>per la prima volta col reg. CEE n. 2988/74 del 26 novembre 1974</w:t>
      </w:r>
      <w:r w:rsidR="002A4E73" w:rsidRPr="00D91312">
        <w:rPr>
          <w:rFonts w:ascii="Bookman Old Style" w:hAnsi="Bookman Old Style"/>
        </w:rPr>
        <w:t xml:space="preserve"> al fine di colmare una lacuna riconosciuta dal</w:t>
      </w:r>
      <w:r w:rsidR="00C051E5" w:rsidRPr="00D91312">
        <w:rPr>
          <w:rFonts w:ascii="Bookman Old Style" w:hAnsi="Bookman Old Style"/>
        </w:rPr>
        <w:t xml:space="preserve">la </w:t>
      </w:r>
      <w:r w:rsidR="007B3980" w:rsidRPr="00D91312">
        <w:rPr>
          <w:rFonts w:ascii="Bookman Old Style" w:hAnsi="Bookman Old Style"/>
        </w:rPr>
        <w:t xml:space="preserve">stessa </w:t>
      </w:r>
      <w:r w:rsidR="002A4E73" w:rsidRPr="00D91312">
        <w:rPr>
          <w:rFonts w:ascii="Bookman Old Style" w:hAnsi="Bookman Old Style"/>
        </w:rPr>
        <w:t>Commissione</w:t>
      </w:r>
      <w:r w:rsidR="004F6246" w:rsidRPr="00D91312">
        <w:rPr>
          <w:rFonts w:ascii="Bookman Old Style" w:hAnsi="Bookman Old Style"/>
        </w:rPr>
        <w:t>,</w:t>
      </w:r>
      <w:r w:rsidR="002A4E73" w:rsidRPr="00D91312">
        <w:rPr>
          <w:rFonts w:ascii="Bookman Old Style" w:hAnsi="Bookman Old Style"/>
        </w:rPr>
        <w:t xml:space="preserve"> </w:t>
      </w:r>
      <w:r w:rsidR="007B3980" w:rsidRPr="00D91312">
        <w:rPr>
          <w:rFonts w:ascii="Bookman Old Style" w:hAnsi="Bookman Old Style"/>
        </w:rPr>
        <w:t xml:space="preserve">oltre che </w:t>
      </w:r>
      <w:r w:rsidR="002A4E73" w:rsidRPr="00D91312">
        <w:rPr>
          <w:rFonts w:ascii="Bookman Old Style" w:hAnsi="Bookman Old Style"/>
        </w:rPr>
        <w:t xml:space="preserve">dalla </w:t>
      </w:r>
      <w:r w:rsidRPr="00D91312">
        <w:rPr>
          <w:rFonts w:ascii="Bookman Old Style" w:hAnsi="Bookman Old Style"/>
        </w:rPr>
        <w:t>Corte di giustizia</w:t>
      </w:r>
      <w:r w:rsidR="007B3980" w:rsidRPr="00D91312">
        <w:rPr>
          <w:rStyle w:val="Rimandonotaapidipagina"/>
          <w:rFonts w:ascii="Bookman Old Style" w:hAnsi="Bookman Old Style"/>
        </w:rPr>
        <w:footnoteReference w:id="25"/>
      </w:r>
      <w:r w:rsidR="007B3980" w:rsidRPr="00D91312">
        <w:rPr>
          <w:rFonts w:ascii="Bookman Old Style" w:hAnsi="Bookman Old Style"/>
        </w:rPr>
        <w:t>; quest</w:t>
      </w:r>
      <w:r w:rsidR="008655D6" w:rsidRPr="00D91312">
        <w:rPr>
          <w:rFonts w:ascii="Bookman Old Style" w:hAnsi="Bookman Old Style"/>
        </w:rPr>
        <w:t>’</w:t>
      </w:r>
      <w:r w:rsidR="007B3980" w:rsidRPr="00D91312">
        <w:rPr>
          <w:rFonts w:ascii="Bookman Old Style" w:hAnsi="Bookman Old Style"/>
        </w:rPr>
        <w:t>ultima</w:t>
      </w:r>
      <w:r w:rsidR="0006631B" w:rsidRPr="00D91312">
        <w:rPr>
          <w:rFonts w:ascii="Bookman Old Style" w:hAnsi="Bookman Old Style"/>
        </w:rPr>
        <w:t xml:space="preserve">, </w:t>
      </w:r>
      <w:r w:rsidR="00B75E9D" w:rsidRPr="00D91312">
        <w:rPr>
          <w:rFonts w:ascii="Bookman Old Style" w:hAnsi="Bookman Old Style"/>
        </w:rPr>
        <w:t xml:space="preserve">preso atto che i </w:t>
      </w:r>
      <w:r w:rsidR="0006631B" w:rsidRPr="00D91312">
        <w:rPr>
          <w:rFonts w:ascii="Bookman Old Style" w:hAnsi="Bookman Old Style"/>
        </w:rPr>
        <w:t>testi che attribui</w:t>
      </w:r>
      <w:r w:rsidR="00B75E9D" w:rsidRPr="00D91312">
        <w:rPr>
          <w:rFonts w:ascii="Bookman Old Style" w:hAnsi="Bookman Old Style"/>
        </w:rPr>
        <w:t xml:space="preserve">vano </w:t>
      </w:r>
      <w:r w:rsidR="0006631B" w:rsidRPr="00D91312">
        <w:rPr>
          <w:rFonts w:ascii="Bookman Old Style" w:hAnsi="Bookman Old Style"/>
        </w:rPr>
        <w:t>alla Commissione il potere d</w:t>
      </w:r>
      <w:r w:rsidR="008655D6" w:rsidRPr="00D91312">
        <w:rPr>
          <w:rFonts w:ascii="Bookman Old Style" w:hAnsi="Bookman Old Style"/>
        </w:rPr>
        <w:t>’</w:t>
      </w:r>
      <w:r w:rsidR="0006631B" w:rsidRPr="00D91312">
        <w:rPr>
          <w:rFonts w:ascii="Bookman Old Style" w:hAnsi="Bookman Old Style"/>
        </w:rPr>
        <w:t>infliggere ammende</w:t>
      </w:r>
      <w:r w:rsidR="00B75E9D" w:rsidRPr="00D91312">
        <w:rPr>
          <w:rFonts w:ascii="Bookman Old Style" w:hAnsi="Bookman Old Style"/>
        </w:rPr>
        <w:t xml:space="preserve"> </w:t>
      </w:r>
      <w:r w:rsidR="0006631B" w:rsidRPr="00D91312">
        <w:rPr>
          <w:rFonts w:ascii="Bookman Old Style" w:hAnsi="Bookman Old Style"/>
        </w:rPr>
        <w:t>in caso di violazione delle norme sulla concorrenza non preved</w:t>
      </w:r>
      <w:r w:rsidR="00B75E9D" w:rsidRPr="00D91312">
        <w:rPr>
          <w:rFonts w:ascii="Bookman Old Style" w:hAnsi="Bookman Old Style"/>
        </w:rPr>
        <w:t xml:space="preserve">evano </w:t>
      </w:r>
      <w:r w:rsidR="0006631B" w:rsidRPr="00D91312">
        <w:rPr>
          <w:rFonts w:ascii="Bookman Old Style" w:hAnsi="Bookman Old Style"/>
        </w:rPr>
        <w:t>la</w:t>
      </w:r>
      <w:r w:rsidR="00B75E9D" w:rsidRPr="00D91312">
        <w:rPr>
          <w:rFonts w:ascii="Bookman Old Style" w:hAnsi="Bookman Old Style"/>
        </w:rPr>
        <w:t xml:space="preserve"> </w:t>
      </w:r>
      <w:r w:rsidR="002A4E73" w:rsidRPr="00D91312">
        <w:rPr>
          <w:rFonts w:ascii="Bookman Old Style" w:hAnsi="Bookman Old Style"/>
        </w:rPr>
        <w:t xml:space="preserve">prescrizione, aveva osservato che </w:t>
      </w:r>
      <w:r w:rsidR="007B3980" w:rsidRPr="00D91312">
        <w:rPr>
          <w:rFonts w:ascii="Bookman Old Style" w:hAnsi="Bookman Old Style"/>
        </w:rPr>
        <w:t xml:space="preserve">per </w:t>
      </w:r>
      <w:r w:rsidR="002A4E73" w:rsidRPr="00D91312">
        <w:rPr>
          <w:rFonts w:ascii="Bookman Old Style" w:hAnsi="Bookman Old Style"/>
        </w:rPr>
        <w:t>adempiere la sua funzione di ga</w:t>
      </w:r>
      <w:r w:rsidR="007B3980" w:rsidRPr="00D91312">
        <w:rPr>
          <w:rFonts w:ascii="Bookman Old Style" w:hAnsi="Bookman Old Style"/>
        </w:rPr>
        <w:t>rantire la certezza del diritto</w:t>
      </w:r>
      <w:r w:rsidR="002A4E73" w:rsidRPr="00D91312">
        <w:rPr>
          <w:rFonts w:ascii="Bookman Old Style" w:hAnsi="Bookman Old Style"/>
        </w:rPr>
        <w:t xml:space="preserve"> il termine</w:t>
      </w:r>
      <w:r w:rsidR="007B3980" w:rsidRPr="00D91312">
        <w:rPr>
          <w:rFonts w:ascii="Bookman Old Style" w:hAnsi="Bookman Old Style"/>
        </w:rPr>
        <w:t xml:space="preserve"> </w:t>
      </w:r>
      <w:r w:rsidR="002A4E73" w:rsidRPr="00D91312">
        <w:rPr>
          <w:rFonts w:ascii="Bookman Old Style" w:hAnsi="Bookman Old Style"/>
        </w:rPr>
        <w:t>di prescrizione dev</w:t>
      </w:r>
      <w:r w:rsidR="008655D6" w:rsidRPr="00D91312">
        <w:rPr>
          <w:rFonts w:ascii="Bookman Old Style" w:hAnsi="Bookman Old Style"/>
        </w:rPr>
        <w:t>’</w:t>
      </w:r>
      <w:r w:rsidR="007B3980" w:rsidRPr="00D91312">
        <w:rPr>
          <w:rFonts w:ascii="Bookman Old Style" w:hAnsi="Bookman Old Style"/>
        </w:rPr>
        <w:t>essere stabilito in precedenza, ma aveva ritenuto che l</w:t>
      </w:r>
      <w:r w:rsidR="002A4E73" w:rsidRPr="00D91312">
        <w:rPr>
          <w:rFonts w:ascii="Bookman Old Style" w:hAnsi="Bookman Old Style"/>
        </w:rPr>
        <w:t>a determinazione della sua durata e delle modalità d</w:t>
      </w:r>
      <w:r w:rsidR="008655D6" w:rsidRPr="00D91312">
        <w:rPr>
          <w:rFonts w:ascii="Bookman Old Style" w:hAnsi="Bookman Old Style"/>
        </w:rPr>
        <w:t>’</w:t>
      </w:r>
      <w:r w:rsidR="002A4E73" w:rsidRPr="00D91312">
        <w:rPr>
          <w:rFonts w:ascii="Bookman Old Style" w:hAnsi="Bookman Old Style"/>
        </w:rPr>
        <w:t xml:space="preserve">applicazione </w:t>
      </w:r>
      <w:r w:rsidR="007B3980" w:rsidRPr="00D91312">
        <w:rPr>
          <w:rFonts w:ascii="Bookman Old Style" w:hAnsi="Bookman Old Style"/>
        </w:rPr>
        <w:t xml:space="preserve">fosse </w:t>
      </w:r>
      <w:r w:rsidR="002A4E73" w:rsidRPr="00D91312">
        <w:rPr>
          <w:rFonts w:ascii="Bookman Old Style" w:hAnsi="Bookman Old Style"/>
        </w:rPr>
        <w:t>di</w:t>
      </w:r>
      <w:r w:rsidR="007B3980" w:rsidRPr="00D91312">
        <w:rPr>
          <w:rFonts w:ascii="Bookman Old Style" w:hAnsi="Bookman Old Style"/>
        </w:rPr>
        <w:t xml:space="preserve"> </w:t>
      </w:r>
      <w:r w:rsidR="002A4E73" w:rsidRPr="00D91312">
        <w:rPr>
          <w:rFonts w:ascii="Bookman Old Style" w:hAnsi="Bookman Old Style"/>
        </w:rPr>
        <w:t>competenza del legislatore comunitario</w:t>
      </w:r>
      <w:r w:rsidR="00BF444D" w:rsidRPr="00D91312">
        <w:rPr>
          <w:rStyle w:val="Rimandonotaapidipagina"/>
          <w:rFonts w:ascii="Bookman Old Style" w:hAnsi="Bookman Old Style"/>
        </w:rPr>
        <w:footnoteReference w:id="26"/>
      </w:r>
      <w:r w:rsidR="002A4E73" w:rsidRPr="00D91312">
        <w:rPr>
          <w:rFonts w:ascii="Bookman Old Style" w:hAnsi="Bookman Old Style"/>
        </w:rPr>
        <w:t>.</w:t>
      </w:r>
    </w:p>
    <w:p w:rsidR="007D1983" w:rsidRPr="00D91312" w:rsidRDefault="007D1983" w:rsidP="002A4E73">
      <w:pPr>
        <w:jc w:val="both"/>
        <w:rPr>
          <w:rFonts w:ascii="Bookman Old Style" w:hAnsi="Bookman Old Style"/>
        </w:rPr>
      </w:pPr>
      <w:r w:rsidRPr="00D91312">
        <w:rPr>
          <w:rFonts w:ascii="Bookman Old Style" w:hAnsi="Bookman Old Style"/>
        </w:rPr>
        <w:t>Ciò non significa</w:t>
      </w:r>
      <w:r w:rsidR="00F51225" w:rsidRPr="00D91312">
        <w:rPr>
          <w:rFonts w:ascii="Bookman Old Style" w:hAnsi="Bookman Old Style"/>
        </w:rPr>
        <w:t>, peraltro,</w:t>
      </w:r>
      <w:r w:rsidRPr="00D91312">
        <w:rPr>
          <w:rFonts w:ascii="Bookman Old Style" w:hAnsi="Bookman Old Style"/>
        </w:rPr>
        <w:t xml:space="preserve"> che la Commissione possa ritardare a piacimento l</w:t>
      </w:r>
      <w:r w:rsidR="008655D6" w:rsidRPr="00D91312">
        <w:rPr>
          <w:rFonts w:ascii="Bookman Old Style" w:hAnsi="Bookman Old Style"/>
        </w:rPr>
        <w:t>’</w:t>
      </w:r>
      <w:r w:rsidRPr="00D91312">
        <w:rPr>
          <w:rFonts w:ascii="Bookman Old Style" w:hAnsi="Bookman Old Style"/>
        </w:rPr>
        <w:t>avvio della procedura formale, poiché</w:t>
      </w:r>
      <w:r w:rsidR="00F51225" w:rsidRPr="00D91312">
        <w:rPr>
          <w:rFonts w:ascii="Bookman Old Style" w:hAnsi="Bookman Old Style"/>
        </w:rPr>
        <w:t xml:space="preserve"> il procedimento</w:t>
      </w:r>
      <w:r w:rsidR="00857960" w:rsidRPr="00D91312">
        <w:rPr>
          <w:rFonts w:ascii="Bookman Old Style" w:hAnsi="Bookman Old Style"/>
        </w:rPr>
        <w:t>,</w:t>
      </w:r>
      <w:r w:rsidR="00F51225" w:rsidRPr="00D91312">
        <w:rPr>
          <w:rFonts w:ascii="Bookman Old Style" w:hAnsi="Bookman Old Style"/>
        </w:rPr>
        <w:t xml:space="preserve"> </w:t>
      </w:r>
      <w:r w:rsidRPr="00D91312">
        <w:rPr>
          <w:rFonts w:ascii="Bookman Old Style" w:hAnsi="Bookman Old Style"/>
        </w:rPr>
        <w:t>comunque</w:t>
      </w:r>
      <w:r w:rsidR="00857960" w:rsidRPr="00D91312">
        <w:rPr>
          <w:rFonts w:ascii="Bookman Old Style" w:hAnsi="Bookman Old Style"/>
        </w:rPr>
        <w:t>, resta</w:t>
      </w:r>
      <w:r w:rsidRPr="00D91312">
        <w:rPr>
          <w:rFonts w:ascii="Bookman Old Style" w:hAnsi="Bookman Old Style"/>
        </w:rPr>
        <w:t xml:space="preserve"> soggetto al rispetto del principio generale s</w:t>
      </w:r>
      <w:r w:rsidR="00857960" w:rsidRPr="00D91312">
        <w:rPr>
          <w:rFonts w:ascii="Bookman Old Style" w:hAnsi="Bookman Old Style"/>
        </w:rPr>
        <w:t>ulla ragionevolezza del termine</w:t>
      </w:r>
      <w:r w:rsidRPr="00D91312">
        <w:rPr>
          <w:rFonts w:ascii="Bookman Old Style" w:hAnsi="Bookman Old Style"/>
        </w:rPr>
        <w:t xml:space="preserve"> </w:t>
      </w:r>
      <w:r w:rsidR="00900CCE" w:rsidRPr="00D91312">
        <w:rPr>
          <w:rFonts w:ascii="Bookman Old Style" w:hAnsi="Bookman Old Style"/>
        </w:rPr>
        <w:t>che è sancito ne</w:t>
      </w:r>
      <w:r w:rsidRPr="00D91312">
        <w:rPr>
          <w:rFonts w:ascii="Bookman Old Style" w:hAnsi="Bookman Old Style"/>
        </w:rPr>
        <w:t>ll</w:t>
      </w:r>
      <w:r w:rsidR="008655D6" w:rsidRPr="00D91312">
        <w:rPr>
          <w:rFonts w:ascii="Bookman Old Style" w:hAnsi="Bookman Old Style"/>
        </w:rPr>
        <w:t>’</w:t>
      </w:r>
      <w:r w:rsidRPr="00D91312">
        <w:rPr>
          <w:rFonts w:ascii="Bookman Old Style" w:hAnsi="Bookman Old Style"/>
        </w:rPr>
        <w:t>art. 41, § 1, della Carta dei diritti fondamentali dell</w:t>
      </w:r>
      <w:r w:rsidR="008655D6" w:rsidRPr="00D91312">
        <w:rPr>
          <w:rFonts w:ascii="Bookman Old Style" w:hAnsi="Bookman Old Style"/>
        </w:rPr>
        <w:t>’</w:t>
      </w:r>
      <w:r w:rsidRPr="00D91312">
        <w:rPr>
          <w:rFonts w:ascii="Bookman Old Style" w:hAnsi="Bookman Old Style"/>
        </w:rPr>
        <w:t>Unione europea (“</w:t>
      </w:r>
      <w:r w:rsidRPr="00D91312">
        <w:rPr>
          <w:rFonts w:ascii="Bookman Old Style" w:hAnsi="Bookman Old Style"/>
          <w:i/>
        </w:rPr>
        <w:t>ogni individuo ha diritto a che le questioni che lo riguardano siano trattate … entro un termine ragionevole dalle istituzioni e dagli organi dell</w:t>
      </w:r>
      <w:r w:rsidR="008655D6" w:rsidRPr="00D91312">
        <w:rPr>
          <w:rFonts w:ascii="Bookman Old Style" w:hAnsi="Bookman Old Style"/>
          <w:i/>
        </w:rPr>
        <w:t>’</w:t>
      </w:r>
      <w:r w:rsidRPr="00D91312">
        <w:rPr>
          <w:rFonts w:ascii="Bookman Old Style" w:hAnsi="Bookman Old Style"/>
          <w:i/>
        </w:rPr>
        <w:t>Unione</w:t>
      </w:r>
      <w:r w:rsidRPr="00D91312">
        <w:rPr>
          <w:rFonts w:ascii="Bookman Old Style" w:hAnsi="Bookman Old Style"/>
        </w:rPr>
        <w:t>”).</w:t>
      </w:r>
    </w:p>
    <w:p w:rsidR="00210B4D" w:rsidRPr="00D91312" w:rsidRDefault="00B52BE6" w:rsidP="002A4E73">
      <w:pPr>
        <w:jc w:val="both"/>
        <w:rPr>
          <w:rFonts w:ascii="Bookman Old Style" w:hAnsi="Bookman Old Style"/>
        </w:rPr>
      </w:pPr>
      <w:r w:rsidRPr="00D91312">
        <w:rPr>
          <w:rFonts w:ascii="Bookman Old Style" w:hAnsi="Bookman Old Style"/>
        </w:rPr>
        <w:t>Infatti, c</w:t>
      </w:r>
      <w:r w:rsidR="00210B4D" w:rsidRPr="00D91312">
        <w:rPr>
          <w:rFonts w:ascii="Bookman Old Style" w:hAnsi="Bookman Old Style"/>
        </w:rPr>
        <w:t xml:space="preserve">ome </w:t>
      </w:r>
      <w:r w:rsidR="00EA2B6F" w:rsidRPr="00D91312">
        <w:rPr>
          <w:rFonts w:ascii="Bookman Old Style" w:hAnsi="Bookman Old Style"/>
        </w:rPr>
        <w:t xml:space="preserve">ancora di </w:t>
      </w:r>
      <w:r w:rsidR="00210B4D" w:rsidRPr="00D91312">
        <w:rPr>
          <w:rFonts w:ascii="Bookman Old Style" w:hAnsi="Bookman Old Style"/>
        </w:rPr>
        <w:t>recente</w:t>
      </w:r>
      <w:r w:rsidR="00EA2B6F" w:rsidRPr="00D91312">
        <w:rPr>
          <w:rFonts w:ascii="Bookman Old Style" w:hAnsi="Bookman Old Style"/>
        </w:rPr>
        <w:t xml:space="preserve"> </w:t>
      </w:r>
      <w:r w:rsidR="00210B4D" w:rsidRPr="00D91312">
        <w:rPr>
          <w:rFonts w:ascii="Bookman Old Style" w:hAnsi="Bookman Old Style"/>
        </w:rPr>
        <w:t>ricordato dal Tribunale UE, secondo la giurisprudenza della Corte di giustizia “</w:t>
      </w:r>
      <w:r w:rsidR="00210B4D" w:rsidRPr="00D91312">
        <w:rPr>
          <w:rFonts w:ascii="Bookman Old Style" w:hAnsi="Bookman Old Style"/>
          <w:i/>
        </w:rPr>
        <w:t>l</w:t>
      </w:r>
      <w:r w:rsidR="008655D6" w:rsidRPr="00D91312">
        <w:rPr>
          <w:rFonts w:ascii="Bookman Old Style" w:hAnsi="Bookman Old Style"/>
          <w:i/>
        </w:rPr>
        <w:t>’</w:t>
      </w:r>
      <w:r w:rsidR="00210B4D" w:rsidRPr="00D91312">
        <w:rPr>
          <w:rFonts w:ascii="Bookman Old Style" w:hAnsi="Bookman Old Style"/>
          <w:i/>
        </w:rPr>
        <w:t>obbligo di rispettare un termine ragionevole si applica a ciascuna fase che s</w:t>
      </w:r>
      <w:r w:rsidR="008655D6" w:rsidRPr="00D91312">
        <w:rPr>
          <w:rFonts w:ascii="Bookman Old Style" w:hAnsi="Bookman Old Style"/>
          <w:i/>
        </w:rPr>
        <w:t>’</w:t>
      </w:r>
      <w:r w:rsidR="00210B4D" w:rsidRPr="00D91312">
        <w:rPr>
          <w:rFonts w:ascii="Bookman Old Style" w:hAnsi="Bookman Old Style"/>
          <w:i/>
        </w:rPr>
        <w:t>inscriva in un procedimento nonché al complesso da quest</w:t>
      </w:r>
      <w:r w:rsidR="008655D6" w:rsidRPr="00D91312">
        <w:rPr>
          <w:rFonts w:ascii="Bookman Old Style" w:hAnsi="Bookman Old Style"/>
          <w:i/>
        </w:rPr>
        <w:t>’</w:t>
      </w:r>
      <w:r w:rsidR="00210B4D" w:rsidRPr="00D91312">
        <w:rPr>
          <w:rFonts w:ascii="Bookman Old Style" w:hAnsi="Bookman Old Style"/>
          <w:i/>
        </w:rPr>
        <w:t xml:space="preserve">ultimo formato (v., in tal senso, sentenza del 15 ottobre 2002, </w:t>
      </w:r>
      <w:proofErr w:type="spellStart"/>
      <w:r w:rsidR="00210B4D" w:rsidRPr="00D91312">
        <w:rPr>
          <w:rFonts w:ascii="Bookman Old Style" w:hAnsi="Bookman Old Style"/>
          <w:i/>
        </w:rPr>
        <w:t>Limburgse</w:t>
      </w:r>
      <w:proofErr w:type="spellEnd"/>
      <w:r w:rsidR="00210B4D" w:rsidRPr="00D91312">
        <w:rPr>
          <w:rFonts w:ascii="Bookman Old Style" w:hAnsi="Bookman Old Style"/>
          <w:i/>
        </w:rPr>
        <w:t xml:space="preserve"> </w:t>
      </w:r>
      <w:proofErr w:type="spellStart"/>
      <w:r w:rsidR="00210B4D" w:rsidRPr="00D91312">
        <w:rPr>
          <w:rFonts w:ascii="Bookman Old Style" w:hAnsi="Bookman Old Style"/>
          <w:i/>
        </w:rPr>
        <w:t>Vinyl</w:t>
      </w:r>
      <w:proofErr w:type="spellEnd"/>
      <w:r w:rsidR="00210B4D" w:rsidRPr="00D91312">
        <w:rPr>
          <w:rFonts w:ascii="Bookman Old Style" w:hAnsi="Bookman Old Style"/>
          <w:i/>
        </w:rPr>
        <w:t xml:space="preserve"> </w:t>
      </w:r>
      <w:proofErr w:type="spellStart"/>
      <w:r w:rsidR="00210B4D" w:rsidRPr="00D91312">
        <w:rPr>
          <w:rFonts w:ascii="Bookman Old Style" w:hAnsi="Bookman Old Style"/>
          <w:i/>
        </w:rPr>
        <w:t>Maatschappij</w:t>
      </w:r>
      <w:proofErr w:type="spellEnd"/>
      <w:r w:rsidR="00210B4D" w:rsidRPr="00D91312">
        <w:rPr>
          <w:rFonts w:ascii="Bookman Old Style" w:hAnsi="Bookman Old Style"/>
          <w:i/>
        </w:rPr>
        <w:t xml:space="preserve"> e a./Commissione, C</w:t>
      </w:r>
      <w:r w:rsidR="00210B4D" w:rsidRPr="00D91312">
        <w:rPr>
          <w:rFonts w:ascii="Times New Roman" w:hAnsi="Times New Roman" w:cs="Times New Roman"/>
          <w:i/>
        </w:rPr>
        <w:t>‑</w:t>
      </w:r>
      <w:r w:rsidR="00210B4D" w:rsidRPr="00D91312">
        <w:rPr>
          <w:rFonts w:ascii="Bookman Old Style" w:hAnsi="Bookman Old Style"/>
          <w:i/>
        </w:rPr>
        <w:t>238/99 P, C</w:t>
      </w:r>
      <w:r w:rsidR="00210B4D" w:rsidRPr="00D91312">
        <w:rPr>
          <w:rFonts w:ascii="Times New Roman" w:hAnsi="Times New Roman" w:cs="Times New Roman"/>
          <w:i/>
        </w:rPr>
        <w:t>‑</w:t>
      </w:r>
      <w:r w:rsidR="00210B4D" w:rsidRPr="00D91312">
        <w:rPr>
          <w:rFonts w:ascii="Bookman Old Style" w:hAnsi="Bookman Old Style"/>
          <w:i/>
        </w:rPr>
        <w:t>244/99 P, C</w:t>
      </w:r>
      <w:r w:rsidR="00210B4D" w:rsidRPr="00D91312">
        <w:rPr>
          <w:rFonts w:ascii="Times New Roman" w:hAnsi="Times New Roman" w:cs="Times New Roman"/>
          <w:i/>
        </w:rPr>
        <w:t>‑</w:t>
      </w:r>
      <w:r w:rsidR="00210B4D" w:rsidRPr="00D91312">
        <w:rPr>
          <w:rFonts w:ascii="Bookman Old Style" w:hAnsi="Bookman Old Style"/>
          <w:i/>
        </w:rPr>
        <w:t>245/99 P, C</w:t>
      </w:r>
      <w:r w:rsidR="00210B4D" w:rsidRPr="00D91312">
        <w:rPr>
          <w:rFonts w:ascii="Times New Roman" w:hAnsi="Times New Roman" w:cs="Times New Roman"/>
          <w:i/>
        </w:rPr>
        <w:t>‑</w:t>
      </w:r>
      <w:r w:rsidR="00210B4D" w:rsidRPr="00D91312">
        <w:rPr>
          <w:rFonts w:ascii="Bookman Old Style" w:hAnsi="Bookman Old Style"/>
          <w:i/>
        </w:rPr>
        <w:t>247/99 P, da C</w:t>
      </w:r>
      <w:r w:rsidR="00210B4D" w:rsidRPr="00D91312">
        <w:rPr>
          <w:rFonts w:ascii="Times New Roman" w:hAnsi="Times New Roman" w:cs="Times New Roman"/>
          <w:i/>
        </w:rPr>
        <w:t>‑</w:t>
      </w:r>
      <w:r w:rsidR="00210B4D" w:rsidRPr="00D91312">
        <w:rPr>
          <w:rFonts w:ascii="Bookman Old Style" w:hAnsi="Bookman Old Style"/>
          <w:i/>
        </w:rPr>
        <w:t>250/99 P a C</w:t>
      </w:r>
      <w:r w:rsidR="00210B4D" w:rsidRPr="00D91312">
        <w:rPr>
          <w:rFonts w:ascii="Times New Roman" w:hAnsi="Times New Roman" w:cs="Times New Roman"/>
          <w:i/>
        </w:rPr>
        <w:t>‑</w:t>
      </w:r>
      <w:r w:rsidR="00210B4D" w:rsidRPr="00D91312">
        <w:rPr>
          <w:rFonts w:ascii="Bookman Old Style" w:hAnsi="Bookman Old Style"/>
          <w:i/>
        </w:rPr>
        <w:t>252/99 P e C</w:t>
      </w:r>
      <w:r w:rsidR="00210B4D" w:rsidRPr="00D91312">
        <w:rPr>
          <w:rFonts w:ascii="Times New Roman" w:hAnsi="Times New Roman" w:cs="Times New Roman"/>
          <w:i/>
        </w:rPr>
        <w:t>‑</w:t>
      </w:r>
      <w:r w:rsidR="00210B4D" w:rsidRPr="00D91312">
        <w:rPr>
          <w:rFonts w:ascii="Bookman Old Style" w:hAnsi="Bookman Old Style"/>
          <w:i/>
        </w:rPr>
        <w:t>254/99 P, EU:C:2002:582, punti 230 e 231, e conclusioni dell</w:t>
      </w:r>
      <w:r w:rsidR="008655D6" w:rsidRPr="00D91312">
        <w:rPr>
          <w:rFonts w:ascii="Bookman Old Style" w:hAnsi="Bookman Old Style"/>
          <w:i/>
        </w:rPr>
        <w:t>’</w:t>
      </w:r>
      <w:r w:rsidR="00210B4D" w:rsidRPr="00D91312">
        <w:rPr>
          <w:rFonts w:ascii="Bookman Old Style" w:hAnsi="Bookman Old Style"/>
          <w:i/>
        </w:rPr>
        <w:t xml:space="preserve">avvocato generale </w:t>
      </w:r>
      <w:proofErr w:type="spellStart"/>
      <w:r w:rsidR="00210B4D" w:rsidRPr="00D91312">
        <w:rPr>
          <w:rFonts w:ascii="Bookman Old Style" w:hAnsi="Bookman Old Style"/>
          <w:i/>
        </w:rPr>
        <w:t>Kokott</w:t>
      </w:r>
      <w:proofErr w:type="spellEnd"/>
      <w:r w:rsidR="00210B4D" w:rsidRPr="00D91312">
        <w:rPr>
          <w:rFonts w:ascii="Bookman Old Style" w:hAnsi="Bookman Old Style"/>
          <w:i/>
        </w:rPr>
        <w:t xml:space="preserve"> nella causa Solvay/Commissione, C</w:t>
      </w:r>
      <w:r w:rsidR="00210B4D" w:rsidRPr="00D91312">
        <w:rPr>
          <w:rFonts w:ascii="Times New Roman" w:hAnsi="Times New Roman" w:cs="Times New Roman"/>
          <w:i/>
        </w:rPr>
        <w:t>‑</w:t>
      </w:r>
      <w:r w:rsidR="00210B4D" w:rsidRPr="00D91312">
        <w:rPr>
          <w:rFonts w:ascii="Bookman Old Style" w:hAnsi="Bookman Old Style"/>
          <w:i/>
        </w:rPr>
        <w:t>109/10 P, EU:C:2011:256, paragrafo 239)</w:t>
      </w:r>
      <w:r w:rsidR="00210B4D" w:rsidRPr="00D91312">
        <w:rPr>
          <w:rFonts w:ascii="Bookman Old Style" w:hAnsi="Bookman Old Style"/>
        </w:rPr>
        <w:t>”</w:t>
      </w:r>
      <w:r w:rsidR="00210B4D" w:rsidRPr="00D91312">
        <w:rPr>
          <w:rStyle w:val="Rimandonotaapidipagina"/>
          <w:rFonts w:ascii="Bookman Old Style" w:hAnsi="Bookman Old Style"/>
        </w:rPr>
        <w:footnoteReference w:id="27"/>
      </w:r>
      <w:r w:rsidR="00210B4D" w:rsidRPr="00D91312">
        <w:rPr>
          <w:rFonts w:ascii="Bookman Old Style" w:hAnsi="Bookman Old Style"/>
        </w:rPr>
        <w:t>.</w:t>
      </w:r>
    </w:p>
    <w:p w:rsidR="008C6F8C" w:rsidRPr="00D91312" w:rsidRDefault="002A6582" w:rsidP="002A4E73">
      <w:pPr>
        <w:jc w:val="both"/>
        <w:rPr>
          <w:rFonts w:ascii="Bookman Old Style" w:hAnsi="Bookman Old Style"/>
        </w:rPr>
      </w:pPr>
      <w:r w:rsidRPr="00D91312">
        <w:rPr>
          <w:rFonts w:ascii="Bookman Old Style" w:hAnsi="Bookman Old Style"/>
        </w:rPr>
        <w:t>Di conseguenza, nonostante la mancanza della previsione di termini intermedi, l</w:t>
      </w:r>
      <w:r w:rsidR="008655D6" w:rsidRPr="00D91312">
        <w:rPr>
          <w:rFonts w:ascii="Bookman Old Style" w:hAnsi="Bookman Old Style"/>
        </w:rPr>
        <w:t>’</w:t>
      </w:r>
      <w:r w:rsidRPr="00D91312">
        <w:rPr>
          <w:rFonts w:ascii="Bookman Old Style" w:hAnsi="Bookman Old Style"/>
        </w:rPr>
        <w:t>incolpato è garantito, oltre che dalla prescrizione, anche dal principio del termine ragionevole.</w:t>
      </w:r>
    </w:p>
    <w:p w:rsidR="005B15FE" w:rsidRPr="00D91312" w:rsidRDefault="00D51252" w:rsidP="002A4E73">
      <w:pPr>
        <w:jc w:val="both"/>
        <w:rPr>
          <w:rFonts w:ascii="Bookman Old Style" w:hAnsi="Bookman Old Style"/>
        </w:rPr>
      </w:pPr>
      <w:r w:rsidRPr="00D91312">
        <w:rPr>
          <w:rFonts w:ascii="Bookman Old Style" w:hAnsi="Bookman Old Style"/>
        </w:rPr>
        <w:t xml:space="preserve">Al fine di </w:t>
      </w:r>
      <w:r w:rsidR="00397465" w:rsidRPr="00D91312">
        <w:rPr>
          <w:rFonts w:ascii="Bookman Old Style" w:hAnsi="Bookman Old Style"/>
        </w:rPr>
        <w:t xml:space="preserve">verificare la ragionevolezza della durata del procedimento, </w:t>
      </w:r>
      <w:r w:rsidRPr="00D91312">
        <w:rPr>
          <w:rFonts w:ascii="Bookman Old Style" w:hAnsi="Bookman Old Style"/>
        </w:rPr>
        <w:t xml:space="preserve">per la Corte </w:t>
      </w:r>
      <w:r w:rsidR="00B52BE6" w:rsidRPr="00D91312">
        <w:rPr>
          <w:rFonts w:ascii="Bookman Old Style" w:hAnsi="Bookman Old Style"/>
        </w:rPr>
        <w:t xml:space="preserve">di giustizia </w:t>
      </w:r>
      <w:r w:rsidRPr="00D91312">
        <w:rPr>
          <w:rFonts w:ascii="Bookman Old Style" w:hAnsi="Bookman Old Style"/>
        </w:rPr>
        <w:t xml:space="preserve">occorre prendere </w:t>
      </w:r>
      <w:r w:rsidR="00397465" w:rsidRPr="00D91312">
        <w:rPr>
          <w:rFonts w:ascii="Bookman Old Style" w:hAnsi="Bookman Old Style"/>
        </w:rPr>
        <w:t>in considerazione le circostanze proprie di ciascun caso e, segnatamente, la rilevanza della controversia per l</w:t>
      </w:r>
      <w:r w:rsidR="008655D6" w:rsidRPr="00D91312">
        <w:rPr>
          <w:rFonts w:ascii="Bookman Old Style" w:hAnsi="Bookman Old Style"/>
        </w:rPr>
        <w:t>’</w:t>
      </w:r>
      <w:r w:rsidR="00397465" w:rsidRPr="00D91312">
        <w:rPr>
          <w:rFonts w:ascii="Bookman Old Style" w:hAnsi="Bookman Old Style"/>
        </w:rPr>
        <w:t>interessato, la complessità del caso nonché il comportamento della parte ricorrente e quello delle autorità competenti</w:t>
      </w:r>
      <w:r w:rsidRPr="00D91312">
        <w:rPr>
          <w:rStyle w:val="Rimandonotaapidipagina"/>
          <w:rFonts w:ascii="Bookman Old Style" w:hAnsi="Bookman Old Style"/>
        </w:rPr>
        <w:footnoteReference w:id="28"/>
      </w:r>
      <w:r w:rsidR="005B15FE" w:rsidRPr="00D91312">
        <w:rPr>
          <w:rFonts w:ascii="Bookman Old Style" w:hAnsi="Bookman Old Style"/>
        </w:rPr>
        <w:t>.</w:t>
      </w:r>
    </w:p>
    <w:p w:rsidR="00D51252" w:rsidRPr="00D91312" w:rsidRDefault="005B15FE" w:rsidP="002A4E73">
      <w:pPr>
        <w:jc w:val="both"/>
        <w:rPr>
          <w:rFonts w:ascii="Bookman Old Style" w:hAnsi="Bookman Old Style"/>
        </w:rPr>
      </w:pPr>
      <w:r w:rsidRPr="00D91312">
        <w:rPr>
          <w:rFonts w:ascii="Bookman Old Style" w:hAnsi="Bookman Old Style"/>
        </w:rPr>
        <w:t>C</w:t>
      </w:r>
      <w:r w:rsidR="009232A8" w:rsidRPr="00D91312">
        <w:rPr>
          <w:rFonts w:ascii="Bookman Old Style" w:hAnsi="Bookman Old Style"/>
        </w:rPr>
        <w:t xml:space="preserve">osì declinati, </w:t>
      </w:r>
      <w:r w:rsidR="00900CCE" w:rsidRPr="00D91312">
        <w:rPr>
          <w:rFonts w:ascii="Bookman Old Style" w:hAnsi="Bookman Old Style"/>
        </w:rPr>
        <w:t xml:space="preserve">questi criteri </w:t>
      </w:r>
      <w:r w:rsidR="009232A8" w:rsidRPr="00D91312">
        <w:rPr>
          <w:rFonts w:ascii="Bookman Old Style" w:hAnsi="Bookman Old Style"/>
        </w:rPr>
        <w:t>corrispondono a quelli indicati dalla Corte E.D.U. con riferimento al diritto a un processo “</w:t>
      </w:r>
      <w:r w:rsidR="009232A8" w:rsidRPr="00D91312">
        <w:rPr>
          <w:rFonts w:ascii="Bookman Old Style" w:hAnsi="Bookman Old Style"/>
          <w:i/>
        </w:rPr>
        <w:t>entro un termine ragionevole</w:t>
      </w:r>
      <w:r w:rsidR="009232A8" w:rsidRPr="00D91312">
        <w:rPr>
          <w:rFonts w:ascii="Bookman Old Style" w:hAnsi="Bookman Old Style"/>
        </w:rPr>
        <w:t xml:space="preserve">”  </w:t>
      </w:r>
      <w:r w:rsidR="00DD31C4" w:rsidRPr="00D91312">
        <w:rPr>
          <w:rFonts w:ascii="Bookman Old Style" w:hAnsi="Bookman Old Style"/>
        </w:rPr>
        <w:t xml:space="preserve">che è </w:t>
      </w:r>
      <w:r w:rsidR="00BC4754" w:rsidRPr="00D91312">
        <w:rPr>
          <w:rFonts w:ascii="Bookman Old Style" w:hAnsi="Bookman Old Style"/>
        </w:rPr>
        <w:t xml:space="preserve">riconosciuto </w:t>
      </w:r>
      <w:r w:rsidR="009232A8" w:rsidRPr="00D91312">
        <w:rPr>
          <w:rFonts w:ascii="Bookman Old Style" w:hAnsi="Bookman Old Style"/>
        </w:rPr>
        <w:t>dall</w:t>
      </w:r>
      <w:r w:rsidR="008655D6" w:rsidRPr="00D91312">
        <w:rPr>
          <w:rFonts w:ascii="Bookman Old Style" w:hAnsi="Bookman Old Style"/>
        </w:rPr>
        <w:t>’</w:t>
      </w:r>
      <w:r w:rsidR="009232A8" w:rsidRPr="00D91312">
        <w:rPr>
          <w:rFonts w:ascii="Bookman Old Style" w:hAnsi="Bookman Old Style"/>
        </w:rPr>
        <w:t>art. 6, § 1, della Convenzione</w:t>
      </w:r>
      <w:r w:rsidR="00BC4754" w:rsidRPr="00D91312">
        <w:rPr>
          <w:rStyle w:val="Rimandonotaapidipagina"/>
          <w:rFonts w:ascii="Bookman Old Style" w:hAnsi="Bookman Old Style"/>
        </w:rPr>
        <w:footnoteReference w:id="29"/>
      </w:r>
      <w:r w:rsidR="00DD31C4" w:rsidRPr="00D91312">
        <w:rPr>
          <w:rFonts w:ascii="Bookman Old Style" w:hAnsi="Bookman Old Style"/>
        </w:rPr>
        <w:t>.</w:t>
      </w:r>
    </w:p>
    <w:p w:rsidR="00172302" w:rsidRPr="00D91312" w:rsidRDefault="003C22F0" w:rsidP="002A4E73">
      <w:pPr>
        <w:jc w:val="both"/>
        <w:rPr>
          <w:rFonts w:ascii="Bookman Old Style" w:hAnsi="Bookman Old Style"/>
        </w:rPr>
      </w:pPr>
      <w:r w:rsidRPr="00D91312">
        <w:rPr>
          <w:rFonts w:ascii="Bookman Old Style" w:hAnsi="Bookman Old Style"/>
        </w:rPr>
        <w:t xml:space="preserve">Per </w:t>
      </w:r>
      <w:r w:rsidR="00172302" w:rsidRPr="00D91312">
        <w:rPr>
          <w:rFonts w:ascii="Bookman Old Style" w:hAnsi="Bookman Old Style"/>
        </w:rPr>
        <w:t xml:space="preserve">la giurisprudenza della Corte di giustizia, tuttavia, il superamento del termine ragionevole (che costituisce </w:t>
      </w:r>
      <w:r w:rsidRPr="00D91312">
        <w:rPr>
          <w:rFonts w:ascii="Bookman Old Style" w:hAnsi="Bookman Old Style"/>
        </w:rPr>
        <w:t xml:space="preserve">un </w:t>
      </w:r>
      <w:r w:rsidR="00172302" w:rsidRPr="00D91312">
        <w:rPr>
          <w:rFonts w:ascii="Bookman Old Style" w:hAnsi="Bookman Old Style"/>
        </w:rPr>
        <w:t>principio generale del diritto dell</w:t>
      </w:r>
      <w:r w:rsidR="008655D6" w:rsidRPr="00D91312">
        <w:rPr>
          <w:rFonts w:ascii="Bookman Old Style" w:hAnsi="Bookman Old Style"/>
        </w:rPr>
        <w:t>’</w:t>
      </w:r>
      <w:r w:rsidR="00172302" w:rsidRPr="00D91312">
        <w:rPr>
          <w:rFonts w:ascii="Bookman Old Style" w:hAnsi="Bookman Old Style"/>
        </w:rPr>
        <w:t>Unione che la Commissione è tenuta a rispettare nell</w:t>
      </w:r>
      <w:r w:rsidR="008655D6" w:rsidRPr="00D91312">
        <w:rPr>
          <w:rFonts w:ascii="Bookman Old Style" w:hAnsi="Bookman Old Style"/>
        </w:rPr>
        <w:t>’</w:t>
      </w:r>
      <w:r w:rsidR="00172302" w:rsidRPr="00D91312">
        <w:rPr>
          <w:rFonts w:ascii="Bookman Old Style" w:hAnsi="Bookman Old Style"/>
        </w:rPr>
        <w:t>ambito delle sue procedure amministrative</w:t>
      </w:r>
      <w:r w:rsidR="000D744E" w:rsidRPr="00D91312">
        <w:rPr>
          <w:rStyle w:val="Rimandonotaapidipagina"/>
          <w:rFonts w:ascii="Bookman Old Style" w:hAnsi="Bookman Old Style"/>
        </w:rPr>
        <w:footnoteReference w:id="30"/>
      </w:r>
      <w:r w:rsidR="00172302" w:rsidRPr="00D91312">
        <w:rPr>
          <w:rFonts w:ascii="Bookman Old Style" w:hAnsi="Bookman Old Style"/>
        </w:rPr>
        <w:t xml:space="preserve">) può costituire </w:t>
      </w:r>
      <w:r w:rsidRPr="00D91312">
        <w:rPr>
          <w:rFonts w:ascii="Bookman Old Style" w:hAnsi="Bookman Old Style"/>
        </w:rPr>
        <w:t xml:space="preserve">un </w:t>
      </w:r>
      <w:r w:rsidR="00172302" w:rsidRPr="00D91312">
        <w:rPr>
          <w:rFonts w:ascii="Bookman Old Style" w:hAnsi="Bookman Old Style"/>
        </w:rPr>
        <w:t xml:space="preserve">motivo di annullamento di una decisione della Commissione solo qualora risulti provato che </w:t>
      </w:r>
      <w:r w:rsidRPr="00D91312">
        <w:rPr>
          <w:rFonts w:ascii="Bookman Old Style" w:hAnsi="Bookman Old Style"/>
        </w:rPr>
        <w:t xml:space="preserve">tale </w:t>
      </w:r>
      <w:r w:rsidR="00172302" w:rsidRPr="00D91312">
        <w:rPr>
          <w:rFonts w:ascii="Bookman Old Style" w:hAnsi="Bookman Old Style"/>
        </w:rPr>
        <w:t>superamento ha pregiudicato i diritti della dife</w:t>
      </w:r>
      <w:r w:rsidRPr="00D91312">
        <w:rPr>
          <w:rFonts w:ascii="Bookman Old Style" w:hAnsi="Bookman Old Style"/>
        </w:rPr>
        <w:t>sa</w:t>
      </w:r>
      <w:r w:rsidR="00172302" w:rsidRPr="00D91312">
        <w:rPr>
          <w:rFonts w:ascii="Bookman Old Style" w:hAnsi="Bookman Old Style"/>
        </w:rPr>
        <w:t xml:space="preserve"> o se esista un indizio dell</w:t>
      </w:r>
      <w:r w:rsidR="008655D6" w:rsidRPr="00D91312">
        <w:rPr>
          <w:rFonts w:ascii="Bookman Old Style" w:hAnsi="Bookman Old Style"/>
        </w:rPr>
        <w:t>’</w:t>
      </w:r>
      <w:r w:rsidR="00172302" w:rsidRPr="00D91312">
        <w:rPr>
          <w:rFonts w:ascii="Bookman Old Style" w:hAnsi="Bookman Old Style"/>
        </w:rPr>
        <w:t>incidenza dell</w:t>
      </w:r>
      <w:r w:rsidR="008655D6" w:rsidRPr="00D91312">
        <w:rPr>
          <w:rFonts w:ascii="Bookman Old Style" w:hAnsi="Bookman Old Style"/>
        </w:rPr>
        <w:t>’</w:t>
      </w:r>
      <w:r w:rsidR="00172302" w:rsidRPr="00D91312">
        <w:rPr>
          <w:rFonts w:ascii="Bookman Old Style" w:hAnsi="Bookman Old Style"/>
        </w:rPr>
        <w:t>eccessiva durata del procedimento sulla soluzione del</w:t>
      </w:r>
      <w:r w:rsidRPr="00D91312">
        <w:rPr>
          <w:rFonts w:ascii="Bookman Old Style" w:hAnsi="Bookman Old Style"/>
        </w:rPr>
        <w:t xml:space="preserve"> caso</w:t>
      </w:r>
      <w:r w:rsidR="00172302" w:rsidRPr="00D91312">
        <w:rPr>
          <w:rStyle w:val="Rimandonotaapidipagina"/>
          <w:rFonts w:ascii="Bookman Old Style" w:hAnsi="Bookman Old Style"/>
        </w:rPr>
        <w:footnoteReference w:id="31"/>
      </w:r>
      <w:r w:rsidR="00172302" w:rsidRPr="00D91312">
        <w:rPr>
          <w:rFonts w:ascii="Bookman Old Style" w:hAnsi="Bookman Old Style"/>
        </w:rPr>
        <w:t>.</w:t>
      </w:r>
    </w:p>
    <w:p w:rsidR="00397465" w:rsidRPr="00D91312" w:rsidRDefault="00397465" w:rsidP="002A4E73">
      <w:pPr>
        <w:jc w:val="both"/>
        <w:rPr>
          <w:rFonts w:ascii="Bookman Old Style" w:hAnsi="Bookman Old Style"/>
        </w:rPr>
      </w:pPr>
    </w:p>
    <w:p w:rsidR="009C3F1C" w:rsidRPr="00D91312" w:rsidRDefault="009C3F1C" w:rsidP="002A4E73">
      <w:pPr>
        <w:jc w:val="both"/>
        <w:rPr>
          <w:rFonts w:ascii="Bookman Old Style" w:hAnsi="Bookman Old Style"/>
        </w:rPr>
      </w:pPr>
    </w:p>
    <w:p w:rsidR="00CC22AF" w:rsidRPr="00D91312" w:rsidRDefault="00CC22AF" w:rsidP="00CC22AF">
      <w:pPr>
        <w:jc w:val="both"/>
        <w:rPr>
          <w:rFonts w:ascii="Bookman Old Style" w:hAnsi="Bookman Old Style"/>
          <w:b/>
        </w:rPr>
      </w:pPr>
      <w:r w:rsidRPr="00D91312">
        <w:rPr>
          <w:rFonts w:ascii="Bookman Old Style" w:hAnsi="Bookman Old Style"/>
          <w:b/>
        </w:rPr>
        <w:t>Le indicazioni ritraibili dalla direttiva (UE) 2019/1 del Parlamento europeo e del Consiglio dell</w:t>
      </w:r>
      <w:r w:rsidR="008655D6" w:rsidRPr="00D91312">
        <w:rPr>
          <w:rFonts w:ascii="Bookman Old Style" w:hAnsi="Bookman Old Style"/>
          <w:b/>
        </w:rPr>
        <w:t>’</w:t>
      </w:r>
      <w:r w:rsidRPr="00D91312">
        <w:rPr>
          <w:rFonts w:ascii="Bookman Old Style" w:hAnsi="Bookman Old Style"/>
          <w:b/>
        </w:rPr>
        <w:t>11 dicembre 2018.</w:t>
      </w:r>
    </w:p>
    <w:p w:rsidR="00CC22AF" w:rsidRPr="00D91312" w:rsidRDefault="00174F64" w:rsidP="0021294E">
      <w:pPr>
        <w:jc w:val="both"/>
        <w:rPr>
          <w:rFonts w:ascii="Bookman Old Style" w:hAnsi="Bookman Old Style"/>
        </w:rPr>
      </w:pPr>
      <w:r w:rsidRPr="00D91312">
        <w:rPr>
          <w:rFonts w:ascii="Bookman Old Style" w:hAnsi="Bookman Old Style"/>
        </w:rPr>
        <w:t>La circostanza che s</w:t>
      </w:r>
      <w:r w:rsidR="00FF5D4C" w:rsidRPr="00D91312">
        <w:rPr>
          <w:rFonts w:ascii="Bookman Old Style" w:hAnsi="Bookman Old Style"/>
        </w:rPr>
        <w:t>otto il profilo delle tempistiche</w:t>
      </w:r>
      <w:r w:rsidRPr="00D91312">
        <w:rPr>
          <w:rFonts w:ascii="Bookman Old Style" w:hAnsi="Bookman Old Style"/>
        </w:rPr>
        <w:t xml:space="preserve"> pro</w:t>
      </w:r>
      <w:r w:rsidR="00FF5D4C" w:rsidRPr="00D91312">
        <w:rPr>
          <w:rFonts w:ascii="Bookman Old Style" w:hAnsi="Bookman Old Style"/>
        </w:rPr>
        <w:t>cedimentali</w:t>
      </w:r>
      <w:r w:rsidRPr="00D91312">
        <w:rPr>
          <w:rFonts w:ascii="Bookman Old Style" w:hAnsi="Bookman Old Style"/>
        </w:rPr>
        <w:t xml:space="preserve"> il diritto europeo </w:t>
      </w:r>
      <w:r w:rsidR="00FF5D4C" w:rsidRPr="00D91312">
        <w:rPr>
          <w:rFonts w:ascii="Bookman Old Style" w:hAnsi="Bookman Old Style"/>
        </w:rPr>
        <w:t xml:space="preserve">preveda </w:t>
      </w:r>
      <w:r w:rsidRPr="00D91312">
        <w:rPr>
          <w:rFonts w:ascii="Bookman Old Style" w:hAnsi="Bookman Old Style"/>
        </w:rPr>
        <w:t xml:space="preserve">unicamente un termine di prescrizione, soggetto a sospensione, </w:t>
      </w:r>
      <w:r w:rsidR="00FF5D4C" w:rsidRPr="00D91312">
        <w:rPr>
          <w:rFonts w:ascii="Bookman Old Style" w:hAnsi="Bookman Old Style"/>
        </w:rPr>
        <w:t>e imponga l</w:t>
      </w:r>
      <w:r w:rsidR="008655D6" w:rsidRPr="00D91312">
        <w:rPr>
          <w:rFonts w:ascii="Bookman Old Style" w:hAnsi="Bookman Old Style"/>
        </w:rPr>
        <w:t>’</w:t>
      </w:r>
      <w:r w:rsidR="00FF5D4C" w:rsidRPr="00D91312">
        <w:rPr>
          <w:rFonts w:ascii="Bookman Old Style" w:hAnsi="Bookman Old Style"/>
        </w:rPr>
        <w:t xml:space="preserve">osservanza di un principio di ragionevole durata la cui </w:t>
      </w:r>
      <w:r w:rsidR="00747CB8" w:rsidRPr="00D91312">
        <w:rPr>
          <w:rFonts w:ascii="Bookman Old Style" w:hAnsi="Bookman Old Style"/>
        </w:rPr>
        <w:t>violazione</w:t>
      </w:r>
      <w:r w:rsidR="005A7A12" w:rsidRPr="00D91312">
        <w:rPr>
          <w:rFonts w:ascii="Bookman Old Style" w:hAnsi="Bookman Old Style"/>
        </w:rPr>
        <w:t>,</w:t>
      </w:r>
      <w:r w:rsidR="00FF5D4C" w:rsidRPr="00D91312">
        <w:rPr>
          <w:rFonts w:ascii="Bookman Old Style" w:hAnsi="Bookman Old Style"/>
        </w:rPr>
        <w:t xml:space="preserve"> </w:t>
      </w:r>
      <w:r w:rsidR="00747CB8" w:rsidRPr="00D91312">
        <w:rPr>
          <w:rFonts w:ascii="Bookman Old Style" w:hAnsi="Bookman Old Style"/>
        </w:rPr>
        <w:t>tuttavia</w:t>
      </w:r>
      <w:r w:rsidR="005A7A12" w:rsidRPr="00D91312">
        <w:rPr>
          <w:rFonts w:ascii="Bookman Old Style" w:hAnsi="Bookman Old Style"/>
        </w:rPr>
        <w:t>,</w:t>
      </w:r>
      <w:r w:rsidR="00FF5D4C" w:rsidRPr="00D91312">
        <w:rPr>
          <w:rFonts w:ascii="Bookman Old Style" w:hAnsi="Bookman Old Style"/>
        </w:rPr>
        <w:t xml:space="preserve"> </w:t>
      </w:r>
      <w:r w:rsidR="00E91983" w:rsidRPr="00D91312">
        <w:rPr>
          <w:rFonts w:ascii="Bookman Old Style" w:hAnsi="Bookman Old Style"/>
        </w:rPr>
        <w:t xml:space="preserve">per </w:t>
      </w:r>
      <w:r w:rsidR="00FF5D4C" w:rsidRPr="00D91312">
        <w:rPr>
          <w:rFonts w:ascii="Bookman Old Style" w:hAnsi="Bookman Old Style"/>
        </w:rPr>
        <w:t xml:space="preserve">la Corte di giustizia non </w:t>
      </w:r>
      <w:r w:rsidR="00E91983" w:rsidRPr="00D91312">
        <w:rPr>
          <w:rFonts w:ascii="Bookman Old Style" w:hAnsi="Bookman Old Style"/>
        </w:rPr>
        <w:t xml:space="preserve">basta a </w:t>
      </w:r>
      <w:r w:rsidR="00FF5D4C" w:rsidRPr="00D91312">
        <w:rPr>
          <w:rFonts w:ascii="Bookman Old Style" w:hAnsi="Bookman Old Style"/>
        </w:rPr>
        <w:t>giustificare l</w:t>
      </w:r>
      <w:r w:rsidR="008655D6" w:rsidRPr="00D91312">
        <w:rPr>
          <w:rFonts w:ascii="Bookman Old Style" w:hAnsi="Bookman Old Style"/>
        </w:rPr>
        <w:t>’</w:t>
      </w:r>
      <w:r w:rsidR="00E91983" w:rsidRPr="00D91312">
        <w:rPr>
          <w:rFonts w:ascii="Bookman Old Style" w:hAnsi="Bookman Old Style"/>
        </w:rPr>
        <w:t>annullamento della sanzione se non risultino in concreto pregiudicati i diritti di difesa o l</w:t>
      </w:r>
      <w:r w:rsidR="008655D6" w:rsidRPr="00D91312">
        <w:rPr>
          <w:rFonts w:ascii="Bookman Old Style" w:hAnsi="Bookman Old Style"/>
        </w:rPr>
        <w:t>’</w:t>
      </w:r>
      <w:r w:rsidR="00E91983" w:rsidRPr="00D91312">
        <w:rPr>
          <w:rFonts w:ascii="Bookman Old Style" w:hAnsi="Bookman Old Style"/>
        </w:rPr>
        <w:t xml:space="preserve">esito del procedimento non legittima </w:t>
      </w:r>
      <w:r w:rsidR="00A12B95" w:rsidRPr="00D91312">
        <w:rPr>
          <w:rFonts w:ascii="Bookman Old Style" w:hAnsi="Bookman Old Style"/>
        </w:rPr>
        <w:t xml:space="preserve">la </w:t>
      </w:r>
      <w:r w:rsidR="00E91983" w:rsidRPr="00D91312">
        <w:rPr>
          <w:rFonts w:ascii="Bookman Old Style" w:hAnsi="Bookman Old Style"/>
        </w:rPr>
        <w:t>conclusione</w:t>
      </w:r>
      <w:r w:rsidR="00A12B95" w:rsidRPr="00D91312">
        <w:rPr>
          <w:rFonts w:ascii="Bookman Old Style" w:hAnsi="Bookman Old Style"/>
        </w:rPr>
        <w:t xml:space="preserve"> che, in base ai principi di effettività e di equivalenza,</w:t>
      </w:r>
      <w:r w:rsidR="00E91983" w:rsidRPr="00D91312">
        <w:rPr>
          <w:rFonts w:ascii="Bookman Old Style" w:hAnsi="Bookman Old Style"/>
        </w:rPr>
        <w:t xml:space="preserve"> </w:t>
      </w:r>
      <w:r w:rsidR="0007753D" w:rsidRPr="00D91312">
        <w:rPr>
          <w:rFonts w:ascii="Bookman Old Style" w:hAnsi="Bookman Old Style"/>
        </w:rPr>
        <w:t>i</w:t>
      </w:r>
      <w:r w:rsidR="00E91983" w:rsidRPr="00D91312">
        <w:rPr>
          <w:rFonts w:ascii="Bookman Old Style" w:hAnsi="Bookman Old Style"/>
        </w:rPr>
        <w:t>l diritto nazionale</w:t>
      </w:r>
      <w:r w:rsidR="0007753D" w:rsidRPr="00D91312">
        <w:rPr>
          <w:rFonts w:ascii="Bookman Old Style" w:hAnsi="Bookman Old Style"/>
        </w:rPr>
        <w:t xml:space="preserve"> non possa accordare maggior tutela anche </w:t>
      </w:r>
      <w:r w:rsidR="00124740" w:rsidRPr="00D91312">
        <w:rPr>
          <w:rFonts w:ascii="Bookman Old Style" w:hAnsi="Bookman Old Style"/>
        </w:rPr>
        <w:t xml:space="preserve">attraverso </w:t>
      </w:r>
      <w:r w:rsidR="00334A38" w:rsidRPr="00D91312">
        <w:rPr>
          <w:rFonts w:ascii="Bookman Old Style" w:hAnsi="Bookman Old Style"/>
        </w:rPr>
        <w:t xml:space="preserve">la previsione di </w:t>
      </w:r>
      <w:r w:rsidR="0007753D" w:rsidRPr="00D91312">
        <w:rPr>
          <w:rFonts w:ascii="Bookman Old Style" w:hAnsi="Bookman Old Style"/>
        </w:rPr>
        <w:t xml:space="preserve">termini </w:t>
      </w:r>
      <w:r w:rsidR="00747CB8" w:rsidRPr="00D91312">
        <w:rPr>
          <w:rFonts w:ascii="Bookman Old Style" w:hAnsi="Bookman Old Style"/>
        </w:rPr>
        <w:t xml:space="preserve">di </w:t>
      </w:r>
      <w:r w:rsidR="00777E2F" w:rsidRPr="00D91312">
        <w:rPr>
          <w:rFonts w:ascii="Bookman Old Style" w:hAnsi="Bookman Old Style"/>
        </w:rPr>
        <w:t xml:space="preserve">natura </w:t>
      </w:r>
      <w:r w:rsidR="00747CB8" w:rsidRPr="00D91312">
        <w:rPr>
          <w:rFonts w:ascii="Bookman Old Style" w:hAnsi="Bookman Old Style"/>
        </w:rPr>
        <w:t>decadenziale</w:t>
      </w:r>
      <w:r w:rsidR="00E91983" w:rsidRPr="00D91312">
        <w:rPr>
          <w:rFonts w:ascii="Bookman Old Style" w:hAnsi="Bookman Old Style"/>
        </w:rPr>
        <w:t>.</w:t>
      </w:r>
    </w:p>
    <w:p w:rsidR="00124740" w:rsidRPr="00D91312" w:rsidRDefault="00124740" w:rsidP="0021294E">
      <w:pPr>
        <w:jc w:val="both"/>
        <w:rPr>
          <w:rFonts w:ascii="Bookman Old Style" w:hAnsi="Bookman Old Style"/>
        </w:rPr>
      </w:pPr>
      <w:r w:rsidRPr="00D91312">
        <w:rPr>
          <w:rFonts w:ascii="Bookman Old Style" w:hAnsi="Bookman Old Style"/>
        </w:rPr>
        <w:t xml:space="preserve">In tal senso depone </w:t>
      </w:r>
      <w:r w:rsidR="002067B4" w:rsidRPr="00D91312">
        <w:rPr>
          <w:rFonts w:ascii="Bookman Old Style" w:hAnsi="Bookman Old Style"/>
        </w:rPr>
        <w:t xml:space="preserve">la c.d. direttiva </w:t>
      </w:r>
      <w:proofErr w:type="spellStart"/>
      <w:r w:rsidR="002067B4" w:rsidRPr="00D91312">
        <w:rPr>
          <w:rFonts w:ascii="Bookman Old Style" w:hAnsi="Bookman Old Style"/>
          <w:i/>
        </w:rPr>
        <w:t>European</w:t>
      </w:r>
      <w:proofErr w:type="spellEnd"/>
      <w:r w:rsidR="002067B4" w:rsidRPr="00D91312">
        <w:rPr>
          <w:rFonts w:ascii="Bookman Old Style" w:hAnsi="Bookman Old Style"/>
          <w:i/>
        </w:rPr>
        <w:t xml:space="preserve"> </w:t>
      </w:r>
      <w:proofErr w:type="spellStart"/>
      <w:r w:rsidR="002067B4" w:rsidRPr="00D91312">
        <w:rPr>
          <w:rFonts w:ascii="Bookman Old Style" w:hAnsi="Bookman Old Style"/>
          <w:i/>
        </w:rPr>
        <w:t>Competition</w:t>
      </w:r>
      <w:proofErr w:type="spellEnd"/>
      <w:r w:rsidR="002067B4" w:rsidRPr="00D91312">
        <w:rPr>
          <w:rFonts w:ascii="Bookman Old Style" w:hAnsi="Bookman Old Style"/>
          <w:i/>
        </w:rPr>
        <w:t xml:space="preserve"> Network+</w:t>
      </w:r>
      <w:r w:rsidR="00CD4628" w:rsidRPr="00D91312">
        <w:rPr>
          <w:rFonts w:ascii="Bookman Old Style" w:hAnsi="Bookman Old Style"/>
        </w:rPr>
        <w:t xml:space="preserve"> (nota anche come direttiva ECN+), cioè la “</w:t>
      </w:r>
      <w:r w:rsidRPr="00D91312">
        <w:rPr>
          <w:rFonts w:ascii="Bookman Old Style" w:hAnsi="Bookman Old Style"/>
          <w:i/>
        </w:rPr>
        <w:t>dir</w:t>
      </w:r>
      <w:r w:rsidR="00CD4628" w:rsidRPr="00D91312">
        <w:rPr>
          <w:rFonts w:ascii="Bookman Old Style" w:hAnsi="Bookman Old Style"/>
          <w:i/>
        </w:rPr>
        <w:t>ettiva</w:t>
      </w:r>
      <w:r w:rsidR="00777E2F" w:rsidRPr="00D91312">
        <w:rPr>
          <w:rFonts w:ascii="Bookman Old Style" w:hAnsi="Bookman Old Style"/>
          <w:i/>
        </w:rPr>
        <w:t xml:space="preserve"> </w:t>
      </w:r>
      <w:r w:rsidRPr="00D91312">
        <w:rPr>
          <w:rFonts w:ascii="Bookman Old Style" w:hAnsi="Bookman Old Style"/>
          <w:i/>
        </w:rPr>
        <w:t xml:space="preserve">(UE) 2019/1 del Parlamento europeo e del </w:t>
      </w:r>
      <w:r w:rsidR="00777E2F" w:rsidRPr="00D91312">
        <w:rPr>
          <w:rFonts w:ascii="Bookman Old Style" w:hAnsi="Bookman Old Style"/>
          <w:i/>
        </w:rPr>
        <w:t>Consiglio dell</w:t>
      </w:r>
      <w:r w:rsidR="008655D6" w:rsidRPr="00D91312">
        <w:rPr>
          <w:rFonts w:ascii="Bookman Old Style" w:hAnsi="Bookman Old Style"/>
          <w:i/>
        </w:rPr>
        <w:t>’</w:t>
      </w:r>
      <w:r w:rsidR="00777E2F" w:rsidRPr="00D91312">
        <w:rPr>
          <w:rFonts w:ascii="Bookman Old Style" w:hAnsi="Bookman Old Style"/>
          <w:i/>
        </w:rPr>
        <w:t>11 dicembre 2018 che conferisce alle autorità garanti della concorrenza degli Stati membri poteri di applicazione più efficace e che assicura il corretto funzionamento del mercato interno</w:t>
      </w:r>
      <w:r w:rsidR="00CD4628" w:rsidRPr="00D91312">
        <w:rPr>
          <w:rFonts w:ascii="Bookman Old Style" w:hAnsi="Bookman Old Style"/>
        </w:rPr>
        <w:t>”.</w:t>
      </w:r>
    </w:p>
    <w:p w:rsidR="00E33710" w:rsidRPr="00D91312" w:rsidRDefault="0053393A" w:rsidP="00470439">
      <w:pPr>
        <w:jc w:val="both"/>
        <w:rPr>
          <w:rFonts w:ascii="Bookman Old Style" w:hAnsi="Bookman Old Style"/>
        </w:rPr>
      </w:pPr>
      <w:r w:rsidRPr="00D91312">
        <w:rPr>
          <w:rFonts w:ascii="Bookman Old Style" w:hAnsi="Bookman Old Style"/>
        </w:rPr>
        <w:t xml:space="preserve">La </w:t>
      </w:r>
      <w:r w:rsidR="00E33710" w:rsidRPr="00D91312">
        <w:rPr>
          <w:rFonts w:ascii="Bookman Old Style" w:hAnsi="Bookman Old Style"/>
        </w:rPr>
        <w:t>direttiva</w:t>
      </w:r>
      <w:r w:rsidRPr="00D91312">
        <w:rPr>
          <w:rFonts w:ascii="Bookman Old Style" w:hAnsi="Bookman Old Style"/>
        </w:rPr>
        <w:t xml:space="preserve"> </w:t>
      </w:r>
      <w:r w:rsidR="00470439" w:rsidRPr="00D91312">
        <w:rPr>
          <w:rFonts w:ascii="Bookman Old Style" w:hAnsi="Bookman Old Style"/>
        </w:rPr>
        <w:t xml:space="preserve">non soltanto </w:t>
      </w:r>
      <w:r w:rsidRPr="00D91312">
        <w:rPr>
          <w:rFonts w:ascii="Bookman Old Style" w:hAnsi="Bookman Old Style"/>
        </w:rPr>
        <w:t>rafforza</w:t>
      </w:r>
      <w:r w:rsidR="00E33710" w:rsidRPr="00D91312">
        <w:rPr>
          <w:rFonts w:ascii="Bookman Old Style" w:hAnsi="Bookman Old Style"/>
        </w:rPr>
        <w:t xml:space="preserve"> </w:t>
      </w:r>
      <w:r w:rsidR="00470439" w:rsidRPr="00D91312">
        <w:rPr>
          <w:rFonts w:ascii="Bookman Old Style" w:hAnsi="Bookman Old Style"/>
        </w:rPr>
        <w:t xml:space="preserve">in maniera </w:t>
      </w:r>
      <w:r w:rsidR="00E33710" w:rsidRPr="00D91312">
        <w:rPr>
          <w:rFonts w:ascii="Bookman Old Style" w:hAnsi="Bookman Old Style"/>
        </w:rPr>
        <w:t>significativa</w:t>
      </w:r>
      <w:r w:rsidR="00470439" w:rsidRPr="00D91312">
        <w:rPr>
          <w:rFonts w:ascii="Bookman Old Style" w:hAnsi="Bookman Old Style"/>
        </w:rPr>
        <w:t xml:space="preserve"> </w:t>
      </w:r>
      <w:r w:rsidR="00E33710" w:rsidRPr="00D91312">
        <w:rPr>
          <w:rFonts w:ascii="Bookman Old Style" w:hAnsi="Bookman Old Style"/>
        </w:rPr>
        <w:t xml:space="preserve">le prerogative delle autorità nazionali garanti della concorrenza (che, </w:t>
      </w:r>
      <w:r w:rsidR="000C3E47" w:rsidRPr="00D91312">
        <w:rPr>
          <w:rFonts w:ascii="Bookman Old Style" w:hAnsi="Bookman Old Style"/>
        </w:rPr>
        <w:t xml:space="preserve">secondo </w:t>
      </w:r>
      <w:r w:rsidR="00470439" w:rsidRPr="00D91312">
        <w:rPr>
          <w:rFonts w:ascii="Bookman Old Style" w:hAnsi="Bookman Old Style"/>
        </w:rPr>
        <w:t>quanto si legge nel</w:t>
      </w:r>
      <w:r w:rsidRPr="00D91312">
        <w:rPr>
          <w:rFonts w:ascii="Bookman Old Style" w:hAnsi="Bookman Old Style"/>
        </w:rPr>
        <w:t xml:space="preserve">la </w:t>
      </w:r>
      <w:r w:rsidR="000C3E47" w:rsidRPr="00D91312">
        <w:rPr>
          <w:rFonts w:ascii="Bookman Old Style" w:hAnsi="Bookman Old Style"/>
        </w:rPr>
        <w:t xml:space="preserve">proposta di direttiva presentata nel 2017 dalla Commissione, in numerosi casi non disponevano di tutti gli strumenti necessari per individuare e combattere efficacemente le violazioni del diritto della concorrenza), </w:t>
      </w:r>
      <w:r w:rsidRPr="00D91312">
        <w:rPr>
          <w:rFonts w:ascii="Bookman Old Style" w:hAnsi="Bookman Old Style"/>
        </w:rPr>
        <w:t xml:space="preserve">ma allo stesso tempo </w:t>
      </w:r>
      <w:r w:rsidR="00470439" w:rsidRPr="00D91312">
        <w:rPr>
          <w:rFonts w:ascii="Bookman Old Style" w:hAnsi="Bookman Old Style"/>
        </w:rPr>
        <w:t xml:space="preserve">è intesa a </w:t>
      </w:r>
      <w:r w:rsidR="000C3E47" w:rsidRPr="00D91312">
        <w:rPr>
          <w:rFonts w:ascii="Bookman Old Style" w:hAnsi="Bookman Old Style"/>
        </w:rPr>
        <w:t>rafforza</w:t>
      </w:r>
      <w:r w:rsidRPr="00D91312">
        <w:rPr>
          <w:rFonts w:ascii="Bookman Old Style" w:hAnsi="Bookman Old Style"/>
        </w:rPr>
        <w:t xml:space="preserve">re </w:t>
      </w:r>
      <w:r w:rsidR="00470439" w:rsidRPr="00D91312">
        <w:rPr>
          <w:rFonts w:ascii="Bookman Old Style" w:hAnsi="Bookman Old Style"/>
        </w:rPr>
        <w:t xml:space="preserve">anche </w:t>
      </w:r>
      <w:r w:rsidRPr="00D91312">
        <w:rPr>
          <w:rFonts w:ascii="Bookman Old Style" w:hAnsi="Bookman Old Style"/>
        </w:rPr>
        <w:t xml:space="preserve">i </w:t>
      </w:r>
      <w:r w:rsidR="000C3E47" w:rsidRPr="00D91312">
        <w:rPr>
          <w:rFonts w:ascii="Bookman Old Style" w:hAnsi="Bookman Old Style"/>
        </w:rPr>
        <w:t>diritti procedurali</w:t>
      </w:r>
      <w:r w:rsidRPr="00D91312">
        <w:rPr>
          <w:rFonts w:ascii="Bookman Old Style" w:hAnsi="Bookman Old Style"/>
        </w:rPr>
        <w:t xml:space="preserve"> delle imprese</w:t>
      </w:r>
      <w:r w:rsidR="003346E4" w:rsidRPr="00D91312">
        <w:rPr>
          <w:rFonts w:ascii="Bookman Old Style" w:hAnsi="Bookman Old Style"/>
        </w:rPr>
        <w:t>, in particolare</w:t>
      </w:r>
      <w:r w:rsidR="00470439" w:rsidRPr="00D91312">
        <w:rPr>
          <w:rFonts w:ascii="Bookman Old Style" w:hAnsi="Bookman Old Style"/>
        </w:rPr>
        <w:t xml:space="preserve"> </w:t>
      </w:r>
      <w:r w:rsidR="000C3E47" w:rsidRPr="00D91312">
        <w:rPr>
          <w:rFonts w:ascii="Bookman Old Style" w:hAnsi="Bookman Old Style"/>
        </w:rPr>
        <w:t>in quei paesi in cui esistono margini di miglioramento</w:t>
      </w:r>
      <w:r w:rsidR="00470439" w:rsidRPr="00D91312">
        <w:rPr>
          <w:rFonts w:ascii="Bookman Old Style" w:hAnsi="Bookman Old Style"/>
        </w:rPr>
        <w:t xml:space="preserve"> (come precisava </w:t>
      </w:r>
      <w:r w:rsidR="003346E4" w:rsidRPr="00D91312">
        <w:rPr>
          <w:rFonts w:ascii="Bookman Old Style" w:hAnsi="Bookman Old Style"/>
        </w:rPr>
        <w:t xml:space="preserve">sempre </w:t>
      </w:r>
      <w:r w:rsidR="00470439" w:rsidRPr="00D91312">
        <w:rPr>
          <w:rFonts w:ascii="Bookman Old Style" w:hAnsi="Bookman Old Style"/>
        </w:rPr>
        <w:t>la proposta).</w:t>
      </w:r>
    </w:p>
    <w:p w:rsidR="002602E5" w:rsidRPr="00D91312" w:rsidRDefault="005947A5" w:rsidP="002602E5">
      <w:pPr>
        <w:jc w:val="both"/>
        <w:rPr>
          <w:rFonts w:ascii="Bookman Old Style" w:hAnsi="Bookman Old Style"/>
        </w:rPr>
      </w:pPr>
      <w:r w:rsidRPr="00D91312">
        <w:rPr>
          <w:rFonts w:ascii="Bookman Old Style" w:hAnsi="Bookman Old Style"/>
        </w:rPr>
        <w:t xml:space="preserve">Nel </w:t>
      </w:r>
      <w:r w:rsidR="00212621" w:rsidRPr="00D91312">
        <w:rPr>
          <w:rFonts w:ascii="Bookman Old Style" w:hAnsi="Bookman Old Style"/>
        </w:rPr>
        <w:t xml:space="preserve">quattordicesimo </w:t>
      </w:r>
      <w:r w:rsidR="00212621" w:rsidRPr="00D91312">
        <w:rPr>
          <w:rFonts w:ascii="Bookman Old Style" w:hAnsi="Bookman Old Style"/>
          <w:i/>
        </w:rPr>
        <w:t>considerando</w:t>
      </w:r>
      <w:r w:rsidR="00212621" w:rsidRPr="00D91312">
        <w:rPr>
          <w:rFonts w:ascii="Bookman Old Style" w:hAnsi="Bookman Old Style"/>
        </w:rPr>
        <w:t xml:space="preserve"> </w:t>
      </w:r>
      <w:r w:rsidR="002602E5" w:rsidRPr="00D91312">
        <w:rPr>
          <w:rFonts w:ascii="Bookman Old Style" w:hAnsi="Bookman Old Style"/>
        </w:rPr>
        <w:t xml:space="preserve">vi </w:t>
      </w:r>
      <w:r w:rsidRPr="00D91312">
        <w:rPr>
          <w:rFonts w:ascii="Bookman Old Style" w:hAnsi="Bookman Old Style"/>
        </w:rPr>
        <w:t xml:space="preserve">si </w:t>
      </w:r>
      <w:r w:rsidR="00212621" w:rsidRPr="00D91312">
        <w:rPr>
          <w:rFonts w:ascii="Bookman Old Style" w:hAnsi="Bookman Old Style"/>
        </w:rPr>
        <w:t>afferma che “</w:t>
      </w:r>
      <w:r w:rsidRPr="00D91312">
        <w:rPr>
          <w:rFonts w:ascii="Bookman Old Style" w:hAnsi="Bookman Old Style"/>
          <w:i/>
        </w:rPr>
        <w:t>l</w:t>
      </w:r>
      <w:r w:rsidR="008655D6" w:rsidRPr="00D91312">
        <w:rPr>
          <w:rFonts w:ascii="Bookman Old Style" w:hAnsi="Bookman Old Style"/>
          <w:i/>
        </w:rPr>
        <w:t>’</w:t>
      </w:r>
      <w:r w:rsidR="00212621" w:rsidRPr="00D91312">
        <w:rPr>
          <w:rFonts w:ascii="Bookman Old Style" w:hAnsi="Bookman Old Style"/>
          <w:i/>
        </w:rPr>
        <w:t xml:space="preserve">esercizio dei poteri conferiti dalla presente direttiva alle ANC, compresi i poteri di indagine, dovrebbe essere soggetto a garanzie adeguate che soddisfino </w:t>
      </w:r>
      <w:r w:rsidR="00212621" w:rsidRPr="00D91312">
        <w:rPr>
          <w:rFonts w:ascii="Bookman Old Style" w:hAnsi="Bookman Old Style"/>
          <w:i/>
          <w:u w:val="single"/>
        </w:rPr>
        <w:t>almeno</w:t>
      </w:r>
      <w:r w:rsidR="00212621" w:rsidRPr="00D91312">
        <w:rPr>
          <w:rFonts w:ascii="Bookman Old Style" w:hAnsi="Bookman Old Style"/>
          <w:i/>
        </w:rPr>
        <w:t xml:space="preserve"> i principi generali del diritto dell</w:t>
      </w:r>
      <w:r w:rsidR="008655D6" w:rsidRPr="00D91312">
        <w:rPr>
          <w:rFonts w:ascii="Bookman Old Style" w:hAnsi="Bookman Old Style"/>
          <w:i/>
        </w:rPr>
        <w:t>’</w:t>
      </w:r>
      <w:r w:rsidR="00212621" w:rsidRPr="00D91312">
        <w:rPr>
          <w:rFonts w:ascii="Bookman Old Style" w:hAnsi="Bookman Old Style"/>
          <w:i/>
        </w:rPr>
        <w:t>Unione e la Carta dei diritti fondamentali dell</w:t>
      </w:r>
      <w:r w:rsidR="008655D6" w:rsidRPr="00D91312">
        <w:rPr>
          <w:rFonts w:ascii="Bookman Old Style" w:hAnsi="Bookman Old Style"/>
          <w:i/>
        </w:rPr>
        <w:t>’</w:t>
      </w:r>
      <w:r w:rsidR="00212621" w:rsidRPr="00D91312">
        <w:rPr>
          <w:rFonts w:ascii="Bookman Old Style" w:hAnsi="Bookman Old Style"/>
          <w:i/>
        </w:rPr>
        <w:t>Unione europea, conformemente alla giurisprudenza della Corte di giustizia dell</w:t>
      </w:r>
      <w:r w:rsidR="008655D6" w:rsidRPr="00D91312">
        <w:rPr>
          <w:rFonts w:ascii="Bookman Old Style" w:hAnsi="Bookman Old Style"/>
          <w:i/>
        </w:rPr>
        <w:t>’</w:t>
      </w:r>
      <w:r w:rsidR="00212621" w:rsidRPr="00D91312">
        <w:rPr>
          <w:rFonts w:ascii="Bookman Old Style" w:hAnsi="Bookman Old Style"/>
          <w:i/>
        </w:rPr>
        <w:t>Unione europea, in particolare nell</w:t>
      </w:r>
      <w:r w:rsidR="008655D6" w:rsidRPr="00D91312">
        <w:rPr>
          <w:rFonts w:ascii="Bookman Old Style" w:hAnsi="Bookman Old Style"/>
          <w:i/>
        </w:rPr>
        <w:t>’</w:t>
      </w:r>
      <w:r w:rsidR="00212621" w:rsidRPr="00D91312">
        <w:rPr>
          <w:rFonts w:ascii="Bookman Old Style" w:hAnsi="Bookman Old Style"/>
          <w:i/>
        </w:rPr>
        <w:t>ambito di procedimenti che potrebbero dar luogo all</w:t>
      </w:r>
      <w:r w:rsidR="008655D6" w:rsidRPr="00D91312">
        <w:rPr>
          <w:rFonts w:ascii="Bookman Old Style" w:hAnsi="Bookman Old Style"/>
          <w:i/>
        </w:rPr>
        <w:t>’</w:t>
      </w:r>
      <w:r w:rsidR="00212621" w:rsidRPr="00D91312">
        <w:rPr>
          <w:rFonts w:ascii="Bookman Old Style" w:hAnsi="Bookman Old Style"/>
          <w:i/>
        </w:rPr>
        <w:t>irrogazione di sanzioni</w:t>
      </w:r>
      <w:r w:rsidR="009435CA" w:rsidRPr="00D91312">
        <w:rPr>
          <w:rFonts w:ascii="Bookman Old Style" w:hAnsi="Bookman Old Style"/>
        </w:rPr>
        <w:t>” (sottolineatura aggiunta) nonché, per quanto qui interessa, che “</w:t>
      </w:r>
      <w:r w:rsidR="009435CA" w:rsidRPr="00D91312">
        <w:rPr>
          <w:rFonts w:ascii="Bookman Old Style" w:hAnsi="Bookman Old Style"/>
          <w:i/>
        </w:rPr>
        <w:t xml:space="preserve">in </w:t>
      </w:r>
      <w:r w:rsidR="00212621" w:rsidRPr="00D91312">
        <w:rPr>
          <w:rFonts w:ascii="Bookman Old Style" w:hAnsi="Bookman Old Style"/>
          <w:i/>
        </w:rPr>
        <w:t>particolare, le ANC dovrebbero informare le parti oggetto dell</w:t>
      </w:r>
      <w:r w:rsidR="008655D6" w:rsidRPr="00D91312">
        <w:rPr>
          <w:rFonts w:ascii="Bookman Old Style" w:hAnsi="Bookman Old Style"/>
          <w:i/>
        </w:rPr>
        <w:t>’</w:t>
      </w:r>
      <w:r w:rsidR="00212621" w:rsidRPr="00D91312">
        <w:rPr>
          <w:rFonts w:ascii="Bookman Old Style" w:hAnsi="Bookman Old Style"/>
          <w:i/>
        </w:rPr>
        <w:t>indagine in merito agli addebiti mossi nei loro confronti a norma dell</w:t>
      </w:r>
      <w:r w:rsidR="008655D6" w:rsidRPr="00D91312">
        <w:rPr>
          <w:rFonts w:ascii="Bookman Old Style" w:hAnsi="Bookman Old Style"/>
          <w:i/>
        </w:rPr>
        <w:t>’</w:t>
      </w:r>
      <w:r w:rsidR="00212621" w:rsidRPr="00D91312">
        <w:rPr>
          <w:rFonts w:ascii="Bookman Old Style" w:hAnsi="Bookman Old Style"/>
          <w:i/>
        </w:rPr>
        <w:t>articolo 101 o 102 TFUE sotto forma di una comunicazione degli addebiti o di una misura simile prima di adottare una decisione che constata un</w:t>
      </w:r>
      <w:r w:rsidR="008655D6" w:rsidRPr="00D91312">
        <w:rPr>
          <w:rFonts w:ascii="Bookman Old Style" w:hAnsi="Bookman Old Style"/>
          <w:i/>
        </w:rPr>
        <w:t>’</w:t>
      </w:r>
      <w:r w:rsidR="00212621" w:rsidRPr="00D91312">
        <w:rPr>
          <w:rFonts w:ascii="Bookman Old Style" w:hAnsi="Bookman Old Style"/>
          <w:i/>
        </w:rPr>
        <w:t>infrazione</w:t>
      </w:r>
      <w:r w:rsidR="009435CA" w:rsidRPr="00D91312">
        <w:rPr>
          <w:rFonts w:ascii="Bookman Old Style" w:hAnsi="Bookman Old Style"/>
        </w:rPr>
        <w:t>”</w:t>
      </w:r>
      <w:r w:rsidR="002602E5" w:rsidRPr="00D91312">
        <w:rPr>
          <w:rFonts w:ascii="Bookman Old Style" w:hAnsi="Bookman Old Style"/>
        </w:rPr>
        <w:t xml:space="preserve"> e che “</w:t>
      </w:r>
      <w:r w:rsidR="001621D2" w:rsidRPr="00D91312">
        <w:rPr>
          <w:rFonts w:ascii="Bookman Old Style" w:hAnsi="Bookman Old Style"/>
          <w:i/>
        </w:rPr>
        <w:t>conformemente al diritto a una buona amministrazione, gli Stati membri dovrebbero garantire che, nell</w:t>
      </w:r>
      <w:r w:rsidR="008655D6" w:rsidRPr="00D91312">
        <w:rPr>
          <w:rFonts w:ascii="Bookman Old Style" w:hAnsi="Bookman Old Style"/>
          <w:i/>
        </w:rPr>
        <w:t>’</w:t>
      </w:r>
      <w:r w:rsidR="001621D2" w:rsidRPr="00D91312">
        <w:rPr>
          <w:rFonts w:ascii="Bookman Old Style" w:hAnsi="Bookman Old Style"/>
          <w:i/>
        </w:rPr>
        <w:t>applicare gli articoli 101 e 102 TFUE, le ANC svolgano i procedimenti entro tempi ragionevoli, tenendo conto delle specificità di ciascun caso. Tali garanzie dovrebbero essere concepite in modo da trovare il giusto equilibrio tra il rispetto dei diritti fondamentali delle imprese e l</w:t>
      </w:r>
      <w:r w:rsidR="008655D6" w:rsidRPr="00D91312">
        <w:rPr>
          <w:rFonts w:ascii="Bookman Old Style" w:hAnsi="Bookman Old Style"/>
          <w:i/>
        </w:rPr>
        <w:t>’</w:t>
      </w:r>
      <w:r w:rsidR="001621D2" w:rsidRPr="00D91312">
        <w:rPr>
          <w:rFonts w:ascii="Bookman Old Style" w:hAnsi="Bookman Old Style"/>
          <w:i/>
        </w:rPr>
        <w:t>obbligo di garantire l</w:t>
      </w:r>
      <w:r w:rsidR="008655D6" w:rsidRPr="00D91312">
        <w:rPr>
          <w:rFonts w:ascii="Bookman Old Style" w:hAnsi="Bookman Old Style"/>
          <w:i/>
        </w:rPr>
        <w:t>’</w:t>
      </w:r>
      <w:r w:rsidR="001621D2" w:rsidRPr="00D91312">
        <w:rPr>
          <w:rFonts w:ascii="Bookman Old Style" w:hAnsi="Bookman Old Style"/>
          <w:i/>
        </w:rPr>
        <w:t>applicazione efficace degli articoli 101 e 102 TFUE</w:t>
      </w:r>
      <w:r w:rsidR="002602E5" w:rsidRPr="00D91312">
        <w:rPr>
          <w:rFonts w:ascii="Bookman Old Style" w:hAnsi="Bookman Old Style"/>
        </w:rPr>
        <w:t>”</w:t>
      </w:r>
      <w:r w:rsidR="001621D2" w:rsidRPr="00D91312">
        <w:rPr>
          <w:rFonts w:ascii="Bookman Old Style" w:hAnsi="Bookman Old Style"/>
        </w:rPr>
        <w:t>.</w:t>
      </w:r>
    </w:p>
    <w:p w:rsidR="00470439" w:rsidRPr="00D91312" w:rsidRDefault="003346E4" w:rsidP="00470439">
      <w:pPr>
        <w:jc w:val="both"/>
        <w:rPr>
          <w:rFonts w:ascii="Bookman Old Style" w:hAnsi="Bookman Old Style"/>
        </w:rPr>
      </w:pPr>
      <w:r w:rsidRPr="00D91312">
        <w:rPr>
          <w:rFonts w:ascii="Bookman Old Style" w:hAnsi="Bookman Old Style"/>
        </w:rPr>
        <w:t xml:space="preserve">A tale scopo la direttiva prevede </w:t>
      </w:r>
      <w:r w:rsidR="00212621" w:rsidRPr="00D91312">
        <w:rPr>
          <w:rFonts w:ascii="Bookman Old Style" w:hAnsi="Bookman Old Style"/>
        </w:rPr>
        <w:t>all</w:t>
      </w:r>
      <w:r w:rsidR="008655D6" w:rsidRPr="00D91312">
        <w:rPr>
          <w:rFonts w:ascii="Bookman Old Style" w:hAnsi="Bookman Old Style"/>
        </w:rPr>
        <w:t>’</w:t>
      </w:r>
      <w:r w:rsidR="00212621" w:rsidRPr="00D91312">
        <w:rPr>
          <w:rFonts w:ascii="Bookman Old Style" w:hAnsi="Bookman Old Style"/>
        </w:rPr>
        <w:t xml:space="preserve">art. 3 (“Garanzie”) </w:t>
      </w:r>
      <w:r w:rsidRPr="00D91312">
        <w:rPr>
          <w:rFonts w:ascii="Bookman Old Style" w:hAnsi="Bookman Old Style"/>
        </w:rPr>
        <w:t>che:</w:t>
      </w:r>
    </w:p>
    <w:p w:rsidR="003346E4" w:rsidRPr="00D91312" w:rsidRDefault="003346E4" w:rsidP="00470439">
      <w:pPr>
        <w:jc w:val="both"/>
        <w:rPr>
          <w:rFonts w:ascii="Bookman Old Style" w:hAnsi="Bookman Old Style"/>
          <w:i/>
        </w:rPr>
      </w:pPr>
      <w:r w:rsidRPr="00D91312">
        <w:rPr>
          <w:rFonts w:ascii="Bookman Old Style" w:hAnsi="Bookman Old Style"/>
        </w:rPr>
        <w:t>“</w:t>
      </w:r>
      <w:r w:rsidRPr="00D91312">
        <w:rPr>
          <w:rFonts w:ascii="Bookman Old Style" w:hAnsi="Bookman Old Style"/>
          <w:i/>
        </w:rPr>
        <w:t>1. I procedimenti relativi alle infrazioni dell</w:t>
      </w:r>
      <w:r w:rsidR="008655D6" w:rsidRPr="00D91312">
        <w:rPr>
          <w:rFonts w:ascii="Bookman Old Style" w:hAnsi="Bookman Old Style"/>
          <w:i/>
        </w:rPr>
        <w:t>’</w:t>
      </w:r>
      <w:r w:rsidRPr="00D91312">
        <w:rPr>
          <w:rFonts w:ascii="Bookman Old Style" w:hAnsi="Bookman Old Style"/>
          <w:i/>
        </w:rPr>
        <w:t>articolo 101 o 102 TFUE, incluso l</w:t>
      </w:r>
      <w:r w:rsidR="008655D6" w:rsidRPr="00D91312">
        <w:rPr>
          <w:rFonts w:ascii="Bookman Old Style" w:hAnsi="Bookman Old Style"/>
          <w:i/>
        </w:rPr>
        <w:t>’</w:t>
      </w:r>
      <w:r w:rsidRPr="00D91312">
        <w:rPr>
          <w:rFonts w:ascii="Bookman Old Style" w:hAnsi="Bookman Old Style"/>
          <w:i/>
        </w:rPr>
        <w:t>esercizio dei poteri di cui alla presente direttiva da parte delle autorità nazionali garanti della concorrenza, rispettano i principi generali del diritto dell</w:t>
      </w:r>
      <w:r w:rsidR="008655D6" w:rsidRPr="00D91312">
        <w:rPr>
          <w:rFonts w:ascii="Bookman Old Style" w:hAnsi="Bookman Old Style"/>
          <w:i/>
        </w:rPr>
        <w:t>’</w:t>
      </w:r>
      <w:r w:rsidRPr="00D91312">
        <w:rPr>
          <w:rFonts w:ascii="Bookman Old Style" w:hAnsi="Bookman Old Style"/>
          <w:i/>
        </w:rPr>
        <w:t>Unione e la Carta dei diritti fondamentali dell</w:t>
      </w:r>
      <w:r w:rsidR="008655D6" w:rsidRPr="00D91312">
        <w:rPr>
          <w:rFonts w:ascii="Bookman Old Style" w:hAnsi="Bookman Old Style"/>
          <w:i/>
        </w:rPr>
        <w:t>’</w:t>
      </w:r>
      <w:r w:rsidRPr="00D91312">
        <w:rPr>
          <w:rFonts w:ascii="Bookman Old Style" w:hAnsi="Bookman Old Style"/>
          <w:i/>
        </w:rPr>
        <w:t>Unione europea.</w:t>
      </w:r>
    </w:p>
    <w:p w:rsidR="003346E4" w:rsidRPr="00D91312" w:rsidRDefault="003346E4" w:rsidP="00470439">
      <w:pPr>
        <w:jc w:val="both"/>
        <w:rPr>
          <w:rFonts w:ascii="Bookman Old Style" w:hAnsi="Bookman Old Style"/>
          <w:i/>
        </w:rPr>
      </w:pPr>
      <w:r w:rsidRPr="00D91312">
        <w:rPr>
          <w:rFonts w:ascii="Bookman Old Style" w:hAnsi="Bookman Old Style"/>
          <w:i/>
        </w:rPr>
        <w:t xml:space="preserve"> 2. Gli Stati membri provvedono a che l</w:t>
      </w:r>
      <w:r w:rsidR="008655D6" w:rsidRPr="00D91312">
        <w:rPr>
          <w:rFonts w:ascii="Bookman Old Style" w:hAnsi="Bookman Old Style"/>
          <w:i/>
        </w:rPr>
        <w:t>’</w:t>
      </w:r>
      <w:r w:rsidRPr="00D91312">
        <w:rPr>
          <w:rFonts w:ascii="Bookman Old Style" w:hAnsi="Bookman Old Style"/>
          <w:i/>
        </w:rPr>
        <w:t>esercizio dei poteri di cui al paragrafo 1 sia soggetto a garanzie adeguate per quanto concerne il diritto di difesa delle imprese, compresi il diritto di essere sentiti e il diritto a un ricorso effettivo dinanzi a un giudice.</w:t>
      </w:r>
    </w:p>
    <w:p w:rsidR="003346E4" w:rsidRPr="00D91312" w:rsidRDefault="003346E4" w:rsidP="00470439">
      <w:pPr>
        <w:jc w:val="both"/>
        <w:rPr>
          <w:rFonts w:ascii="Bookman Old Style" w:hAnsi="Bookman Old Style"/>
        </w:rPr>
      </w:pPr>
      <w:r w:rsidRPr="00D91312">
        <w:rPr>
          <w:rFonts w:ascii="Bookman Old Style" w:hAnsi="Bookman Old Style"/>
          <w:i/>
        </w:rPr>
        <w:t>3. Gli Stati membri provvedono a che i procedimenti istruttori delle autorità nazionali garanti della concorrenza siano svolti in tempi ragionevoli. Gli Stati membri provvedono a che, prima di adottare una decisione ai sensi dell</w:t>
      </w:r>
      <w:r w:rsidR="008655D6" w:rsidRPr="00D91312">
        <w:rPr>
          <w:rFonts w:ascii="Bookman Old Style" w:hAnsi="Bookman Old Style"/>
          <w:i/>
        </w:rPr>
        <w:t>’</w:t>
      </w:r>
      <w:r w:rsidRPr="00D91312">
        <w:rPr>
          <w:rFonts w:ascii="Bookman Old Style" w:hAnsi="Bookman Old Style"/>
          <w:i/>
        </w:rPr>
        <w:t>articolo 10 della presente direttiva, le autorità nazionali garanti della concorrenza adottino una comunicazione degli addebiti</w:t>
      </w:r>
      <w:r w:rsidRPr="00D91312">
        <w:rPr>
          <w:rFonts w:ascii="Bookman Old Style" w:hAnsi="Bookman Old Style"/>
        </w:rPr>
        <w:t>”.</w:t>
      </w:r>
    </w:p>
    <w:p w:rsidR="000C3E47" w:rsidRPr="00D91312" w:rsidRDefault="002602E5" w:rsidP="0021294E">
      <w:pPr>
        <w:jc w:val="both"/>
        <w:rPr>
          <w:rFonts w:ascii="Bookman Old Style" w:hAnsi="Bookman Old Style"/>
        </w:rPr>
      </w:pPr>
      <w:r w:rsidRPr="00D91312">
        <w:rPr>
          <w:rFonts w:ascii="Bookman Old Style" w:hAnsi="Bookman Old Style"/>
        </w:rPr>
        <w:t xml:space="preserve">La direttiva non stabilisce un termine per la comunicazione degli addebiti, ma neppure impedisce che gli Stati membri impongano o conservino termini </w:t>
      </w:r>
      <w:r w:rsidR="00334A38" w:rsidRPr="00D91312">
        <w:rPr>
          <w:rFonts w:ascii="Bookman Old Style" w:hAnsi="Bookman Old Style"/>
        </w:rPr>
        <w:t xml:space="preserve">a pena di </w:t>
      </w:r>
      <w:r w:rsidRPr="00D91312">
        <w:rPr>
          <w:rFonts w:ascii="Bookman Old Style" w:hAnsi="Bookman Old Style"/>
        </w:rPr>
        <w:t>decadenz</w:t>
      </w:r>
      <w:r w:rsidR="00334A38" w:rsidRPr="00D91312">
        <w:rPr>
          <w:rFonts w:ascii="Bookman Old Style" w:hAnsi="Bookman Old Style"/>
        </w:rPr>
        <w:t>a, a ciò espressamente non ostando la previsione da parte della direttiva di un termine di prescrizione in senso proprio.</w:t>
      </w:r>
    </w:p>
    <w:p w:rsidR="00E33710" w:rsidRPr="00D91312" w:rsidRDefault="00334A38" w:rsidP="0021294E">
      <w:pPr>
        <w:jc w:val="both"/>
        <w:rPr>
          <w:rFonts w:ascii="Bookman Old Style" w:hAnsi="Bookman Old Style"/>
        </w:rPr>
      </w:pPr>
      <w:r w:rsidRPr="00D91312">
        <w:rPr>
          <w:rFonts w:ascii="Bookman Old Style" w:hAnsi="Bookman Old Style"/>
        </w:rPr>
        <w:t xml:space="preserve">Si legge, infatti, nel settantesimo </w:t>
      </w:r>
      <w:r w:rsidRPr="00D91312">
        <w:rPr>
          <w:rFonts w:ascii="Bookman Old Style" w:hAnsi="Bookman Old Style"/>
          <w:i/>
        </w:rPr>
        <w:t>considerando</w:t>
      </w:r>
      <w:r w:rsidRPr="00D91312">
        <w:rPr>
          <w:rFonts w:ascii="Bookman Old Style" w:hAnsi="Bookman Old Style"/>
        </w:rPr>
        <w:t xml:space="preserve"> che “</w:t>
      </w:r>
      <w:r w:rsidRPr="00D91312">
        <w:rPr>
          <w:rFonts w:ascii="Bookman Old Style" w:hAnsi="Bookman Old Style"/>
          <w:i/>
        </w:rPr>
        <w:t>al fine di garantire l</w:t>
      </w:r>
      <w:r w:rsidR="008655D6" w:rsidRPr="00D91312">
        <w:rPr>
          <w:rFonts w:ascii="Bookman Old Style" w:hAnsi="Bookman Old Style"/>
          <w:i/>
        </w:rPr>
        <w:t>’</w:t>
      </w:r>
      <w:r w:rsidRPr="00D91312">
        <w:rPr>
          <w:rFonts w:ascii="Bookman Old Style" w:hAnsi="Bookman Old Style"/>
          <w:i/>
        </w:rPr>
        <w:t>applicazione efficace degli articoli 101 e 102 TFUE da parte delle ANC, è necessario prevedere norme funzionali in materia di termini di prescrizione. In particolare, in un sistema di competenze parallele, è opportuno sospendere o interrompere i termini nazionali di prescrizione per la durata del procedimento dinanzi alle ANC di un altro Stato membro o alla Commissione. Tale sospensione o interruzione non dovrebbe impedire agli Stati membri di mantenere o introdurre termini di prescrizione assoluti, purché la durata di tali limitazioni assolute non renda praticamente impossibile o eccessivamente difficile l</w:t>
      </w:r>
      <w:r w:rsidR="008655D6" w:rsidRPr="00D91312">
        <w:rPr>
          <w:rFonts w:ascii="Bookman Old Style" w:hAnsi="Bookman Old Style"/>
          <w:i/>
        </w:rPr>
        <w:t>’</w:t>
      </w:r>
      <w:r w:rsidRPr="00D91312">
        <w:rPr>
          <w:rFonts w:ascii="Bookman Old Style" w:hAnsi="Bookman Old Style"/>
          <w:i/>
        </w:rPr>
        <w:t>applicazione efficace degli articoli 101 e 102 TFUE</w:t>
      </w:r>
      <w:r w:rsidRPr="00D91312">
        <w:rPr>
          <w:rFonts w:ascii="Bookman Old Style" w:hAnsi="Bookman Old Style"/>
        </w:rPr>
        <w:t>”; di conseguenza, nel Capo VIII sui</w:t>
      </w:r>
      <w:r w:rsidR="00876D0A" w:rsidRPr="00D91312">
        <w:rPr>
          <w:rFonts w:ascii="Bookman Old Style" w:hAnsi="Bookman Old Style"/>
        </w:rPr>
        <w:t xml:space="preserve"> termini di prescrizione, l</w:t>
      </w:r>
      <w:r w:rsidR="008655D6" w:rsidRPr="00D91312">
        <w:rPr>
          <w:rFonts w:ascii="Bookman Old Style" w:hAnsi="Bookman Old Style"/>
        </w:rPr>
        <w:t>’</w:t>
      </w:r>
      <w:r w:rsidR="00876D0A" w:rsidRPr="00D91312">
        <w:rPr>
          <w:rFonts w:ascii="Bookman Old Style" w:hAnsi="Bookman Old Style"/>
        </w:rPr>
        <w:t>articolo</w:t>
      </w:r>
      <w:r w:rsidRPr="00D91312">
        <w:rPr>
          <w:rFonts w:ascii="Bookman Old Style" w:hAnsi="Bookman Old Style"/>
        </w:rPr>
        <w:t xml:space="preserve"> 29 (“Norme relative ai termini di prescrizione in materia di irrogazione di ammende e di penalità di mora”) </w:t>
      </w:r>
      <w:r w:rsidR="00876D0A" w:rsidRPr="00D91312">
        <w:rPr>
          <w:rFonts w:ascii="Bookman Old Style" w:hAnsi="Bookman Old Style"/>
        </w:rPr>
        <w:t xml:space="preserve">della direttiva, trattando </w:t>
      </w:r>
      <w:r w:rsidR="00C92EB0" w:rsidRPr="00D91312">
        <w:rPr>
          <w:rFonts w:ascii="Bookman Old Style" w:hAnsi="Bookman Old Style"/>
        </w:rPr>
        <w:t>nel</w:t>
      </w:r>
      <w:r w:rsidR="00CC0FC5" w:rsidRPr="00D91312">
        <w:rPr>
          <w:rFonts w:ascii="Bookman Old Style" w:hAnsi="Bookman Old Style"/>
        </w:rPr>
        <w:t xml:space="preserve"> paragr</w:t>
      </w:r>
      <w:r w:rsidR="00C92EB0" w:rsidRPr="00D91312">
        <w:rPr>
          <w:rFonts w:ascii="Bookman Old Style" w:hAnsi="Bookman Old Style"/>
        </w:rPr>
        <w:t>afo</w:t>
      </w:r>
      <w:r w:rsidR="00CC0FC5" w:rsidRPr="00D91312">
        <w:rPr>
          <w:rFonts w:ascii="Bookman Old Style" w:hAnsi="Bookman Old Style"/>
        </w:rPr>
        <w:t xml:space="preserve"> 1 </w:t>
      </w:r>
      <w:r w:rsidR="00876D0A" w:rsidRPr="00D91312">
        <w:rPr>
          <w:rFonts w:ascii="Bookman Old Style" w:hAnsi="Bookman Old Style"/>
        </w:rPr>
        <w:t xml:space="preserve">della sospensione o interruzione </w:t>
      </w:r>
      <w:r w:rsidR="00DC7D42" w:rsidRPr="00D91312">
        <w:rPr>
          <w:rFonts w:ascii="Bookman Old Style" w:hAnsi="Bookman Old Style"/>
        </w:rPr>
        <w:t xml:space="preserve">dei termini di prescrizione </w:t>
      </w:r>
      <w:r w:rsidR="00876D0A" w:rsidRPr="00D91312">
        <w:rPr>
          <w:rFonts w:ascii="Bookman Old Style" w:hAnsi="Bookman Old Style"/>
        </w:rPr>
        <w:t>per la durata dei procedimenti istruttori dinanzi alle autorità nazionali garanti della concorrenza di altri Stati membri o alla Commissione per un</w:t>
      </w:r>
      <w:r w:rsidR="008655D6" w:rsidRPr="00D91312">
        <w:rPr>
          <w:rFonts w:ascii="Bookman Old Style" w:hAnsi="Bookman Old Style"/>
        </w:rPr>
        <w:t>’</w:t>
      </w:r>
      <w:r w:rsidR="00876D0A" w:rsidRPr="00D91312">
        <w:rPr>
          <w:rFonts w:ascii="Bookman Old Style" w:hAnsi="Bookman Old Style"/>
        </w:rPr>
        <w:t>infrazione riguardante lo stesso accordo</w:t>
      </w:r>
      <w:r w:rsidR="00DC7D42" w:rsidRPr="00D91312">
        <w:rPr>
          <w:rFonts w:ascii="Bookman Old Style" w:hAnsi="Bookman Old Style"/>
        </w:rPr>
        <w:t>, precisa che “</w:t>
      </w:r>
      <w:r w:rsidR="00CC0FC5" w:rsidRPr="00D91312">
        <w:rPr>
          <w:rFonts w:ascii="Bookman Old Style" w:hAnsi="Bookman Old Style"/>
          <w:i/>
        </w:rPr>
        <w:t>l</w:t>
      </w:r>
      <w:r w:rsidR="00DC7D42" w:rsidRPr="00D91312">
        <w:rPr>
          <w:rFonts w:ascii="Bookman Old Style" w:hAnsi="Bookman Old Style"/>
          <w:i/>
        </w:rPr>
        <w:t>a durata di tale sospensione o interruzione lascia impregiudicati i termini di prescrizione assoluti</w:t>
      </w:r>
      <w:r w:rsidR="00CC0FC5" w:rsidRPr="00D91312">
        <w:rPr>
          <w:rFonts w:ascii="Bookman Old Style" w:hAnsi="Bookman Old Style"/>
          <w:i/>
        </w:rPr>
        <w:t xml:space="preserve"> previsti dal diritto nazionale</w:t>
      </w:r>
      <w:r w:rsidR="00CC0FC5" w:rsidRPr="00D91312">
        <w:rPr>
          <w:rFonts w:ascii="Bookman Old Style" w:hAnsi="Bookman Old Style"/>
        </w:rPr>
        <w:t>”.</w:t>
      </w:r>
    </w:p>
    <w:p w:rsidR="00D71E2B" w:rsidRPr="00D91312" w:rsidRDefault="00C92EB0" w:rsidP="0021294E">
      <w:pPr>
        <w:jc w:val="both"/>
        <w:rPr>
          <w:rFonts w:ascii="Bookman Old Style" w:hAnsi="Bookman Old Style"/>
        </w:rPr>
      </w:pPr>
      <w:r w:rsidRPr="00D91312">
        <w:rPr>
          <w:rFonts w:ascii="Bookman Old Style" w:hAnsi="Bookman Old Style"/>
        </w:rPr>
        <w:t>I termini di prescrizione assoluti</w:t>
      </w:r>
      <w:r w:rsidR="00484B44" w:rsidRPr="00D91312">
        <w:rPr>
          <w:rFonts w:ascii="Bookman Old Style" w:hAnsi="Bookman Old Style"/>
        </w:rPr>
        <w:t xml:space="preserve"> sono </w:t>
      </w:r>
      <w:r w:rsidR="00D71E2B" w:rsidRPr="00D91312">
        <w:rPr>
          <w:rFonts w:ascii="Bookman Old Style" w:hAnsi="Bookman Old Style"/>
        </w:rPr>
        <w:t>termini massimi</w:t>
      </w:r>
      <w:r w:rsidRPr="00D91312">
        <w:rPr>
          <w:rFonts w:ascii="Bookman Old Style" w:hAnsi="Bookman Old Style"/>
        </w:rPr>
        <w:t xml:space="preserve">, </w:t>
      </w:r>
      <w:r w:rsidR="00D71E2B" w:rsidRPr="00D91312">
        <w:rPr>
          <w:rFonts w:ascii="Bookman Old Style" w:hAnsi="Bookman Old Style"/>
        </w:rPr>
        <w:t>che non sopportano sospensioni o interruzioni</w:t>
      </w:r>
      <w:r w:rsidR="007877B9" w:rsidRPr="00D91312">
        <w:rPr>
          <w:rFonts w:ascii="Bookman Old Style" w:hAnsi="Bookman Old Style"/>
        </w:rPr>
        <w:t>, e p</w:t>
      </w:r>
      <w:r w:rsidR="00FA7583" w:rsidRPr="00D91312">
        <w:rPr>
          <w:rFonts w:ascii="Bookman Old Style" w:hAnsi="Bookman Old Style"/>
        </w:rPr>
        <w:t>e</w:t>
      </w:r>
      <w:r w:rsidR="007877B9" w:rsidRPr="00D91312">
        <w:rPr>
          <w:rFonts w:ascii="Bookman Old Style" w:hAnsi="Bookman Old Style"/>
        </w:rPr>
        <w:t xml:space="preserve">r questo </w:t>
      </w:r>
      <w:r w:rsidR="00D71E2B" w:rsidRPr="00D91312">
        <w:rPr>
          <w:rFonts w:ascii="Bookman Old Style" w:hAnsi="Bookman Old Style"/>
        </w:rPr>
        <w:t>di norma sono più lunghi dei termini di prescrizione cc.dd. relativi.</w:t>
      </w:r>
    </w:p>
    <w:p w:rsidR="00D71E2B" w:rsidRPr="00D91312" w:rsidRDefault="00D71E2B" w:rsidP="0021294E">
      <w:pPr>
        <w:jc w:val="both"/>
        <w:rPr>
          <w:rFonts w:ascii="Bookman Old Style" w:hAnsi="Bookman Old Style"/>
        </w:rPr>
      </w:pPr>
      <w:r w:rsidRPr="00D91312">
        <w:rPr>
          <w:rFonts w:ascii="Bookman Old Style" w:hAnsi="Bookman Old Style"/>
        </w:rPr>
        <w:t xml:space="preserve">Tuttavia, il principio essenziale desumibile da quanto sopra è che il diritto europeo non osta </w:t>
      </w:r>
      <w:r w:rsidR="007877B9" w:rsidRPr="00D91312">
        <w:rPr>
          <w:rFonts w:ascii="Bookman Old Style" w:hAnsi="Bookman Old Style"/>
        </w:rPr>
        <w:t>alla previsione, nel diritto interno, di termini invalicabili purché la durata di tali limitazioni assolute non renda praticamente impossibile o eccessivamente difficile l</w:t>
      </w:r>
      <w:r w:rsidR="008655D6" w:rsidRPr="00D91312">
        <w:rPr>
          <w:rFonts w:ascii="Bookman Old Style" w:hAnsi="Bookman Old Style"/>
        </w:rPr>
        <w:t>’</w:t>
      </w:r>
      <w:r w:rsidR="007877B9" w:rsidRPr="00D91312">
        <w:rPr>
          <w:rFonts w:ascii="Bookman Old Style" w:hAnsi="Bookman Old Style"/>
        </w:rPr>
        <w:t>applicazione efficace degli articoli 101 e 102 TFUE.</w:t>
      </w:r>
    </w:p>
    <w:p w:rsidR="007877B9" w:rsidRPr="00D91312" w:rsidRDefault="007877B9" w:rsidP="0021294E">
      <w:pPr>
        <w:jc w:val="both"/>
        <w:rPr>
          <w:rFonts w:ascii="Bookman Old Style" w:hAnsi="Bookman Old Style"/>
        </w:rPr>
      </w:pPr>
      <w:r w:rsidRPr="00D91312">
        <w:rPr>
          <w:rFonts w:ascii="Bookman Old Style" w:hAnsi="Bookman Old Style"/>
        </w:rPr>
        <w:t>E nel caso della notifica dell</w:t>
      </w:r>
      <w:r w:rsidR="008655D6" w:rsidRPr="00D91312">
        <w:rPr>
          <w:rFonts w:ascii="Bookman Old Style" w:hAnsi="Bookman Old Style"/>
        </w:rPr>
        <w:t>’</w:t>
      </w:r>
      <w:r w:rsidRPr="00D91312">
        <w:rPr>
          <w:rFonts w:ascii="Bookman Old Style" w:hAnsi="Bookman Old Style"/>
        </w:rPr>
        <w:t>avvio dell</w:t>
      </w:r>
      <w:r w:rsidR="008655D6" w:rsidRPr="00D91312">
        <w:rPr>
          <w:rFonts w:ascii="Bookman Old Style" w:hAnsi="Bookman Old Style"/>
        </w:rPr>
        <w:t>’</w:t>
      </w:r>
      <w:r w:rsidRPr="00D91312">
        <w:rPr>
          <w:rFonts w:ascii="Bookman Old Style" w:hAnsi="Bookman Old Style"/>
        </w:rPr>
        <w:t xml:space="preserve">apertura della fase istruttoria del procedimento </w:t>
      </w:r>
      <w:r w:rsidRPr="00D91312">
        <w:rPr>
          <w:rFonts w:ascii="Bookman Old Style" w:hAnsi="Bookman Old Style"/>
          <w:i/>
        </w:rPr>
        <w:t>antitrust</w:t>
      </w:r>
      <w:r w:rsidRPr="00D91312">
        <w:rPr>
          <w:rFonts w:ascii="Bookman Old Style" w:hAnsi="Bookman Old Style"/>
        </w:rPr>
        <w:t>, che definisce l</w:t>
      </w:r>
      <w:r w:rsidR="008655D6" w:rsidRPr="00D91312">
        <w:rPr>
          <w:rFonts w:ascii="Bookman Old Style" w:hAnsi="Bookman Old Style"/>
        </w:rPr>
        <w:t>’</w:t>
      </w:r>
      <w:r w:rsidRPr="00D91312">
        <w:rPr>
          <w:rFonts w:ascii="Bookman Old Style" w:hAnsi="Bookman Old Style"/>
        </w:rPr>
        <w:t xml:space="preserve">ipotesi di addebito, appare </w:t>
      </w:r>
      <w:r w:rsidR="0071640D" w:rsidRPr="00D91312">
        <w:rPr>
          <w:rFonts w:ascii="Bookman Old Style" w:hAnsi="Bookman Old Style"/>
        </w:rPr>
        <w:t>difficile immaginare che – conclusa ormai la fase preistruttoria – l</w:t>
      </w:r>
      <w:r w:rsidR="008655D6" w:rsidRPr="00D91312">
        <w:rPr>
          <w:rFonts w:ascii="Bookman Old Style" w:hAnsi="Bookman Old Style"/>
        </w:rPr>
        <w:t>’</w:t>
      </w:r>
      <w:r w:rsidR="0071640D" w:rsidRPr="00D91312">
        <w:rPr>
          <w:rFonts w:ascii="Bookman Old Style" w:hAnsi="Bookman Old Style"/>
        </w:rPr>
        <w:t>imposizione di un termine di novanta giorni per tale adempimento possa in qualche modo renda praticamente impossibile o eccessivamente difficile l</w:t>
      </w:r>
      <w:r w:rsidR="008655D6" w:rsidRPr="00D91312">
        <w:rPr>
          <w:rFonts w:ascii="Bookman Old Style" w:hAnsi="Bookman Old Style"/>
        </w:rPr>
        <w:t>’</w:t>
      </w:r>
      <w:r w:rsidR="0071640D" w:rsidRPr="00D91312">
        <w:rPr>
          <w:rFonts w:ascii="Bookman Old Style" w:hAnsi="Bookman Old Style"/>
        </w:rPr>
        <w:t>applicazione efficace degli articoli 101 e 102 TFUE.</w:t>
      </w:r>
    </w:p>
    <w:p w:rsidR="00DC7D42" w:rsidRPr="00D91312" w:rsidRDefault="00DC7D42" w:rsidP="0021294E">
      <w:pPr>
        <w:jc w:val="both"/>
        <w:rPr>
          <w:rFonts w:ascii="Bookman Old Style" w:hAnsi="Bookman Old Style"/>
        </w:rPr>
      </w:pPr>
    </w:p>
    <w:p w:rsidR="009C3F1C" w:rsidRPr="00D91312" w:rsidRDefault="009C3F1C" w:rsidP="0021294E">
      <w:pPr>
        <w:jc w:val="both"/>
        <w:rPr>
          <w:rFonts w:ascii="Bookman Old Style" w:hAnsi="Bookman Old Style"/>
        </w:rPr>
      </w:pPr>
    </w:p>
    <w:p w:rsidR="00C92EB0" w:rsidRPr="00D91312" w:rsidRDefault="00C92EB0" w:rsidP="00C92EB0">
      <w:pPr>
        <w:jc w:val="both"/>
        <w:rPr>
          <w:rFonts w:ascii="Bookman Old Style" w:hAnsi="Bookman Old Style"/>
          <w:b/>
        </w:rPr>
      </w:pPr>
      <w:r w:rsidRPr="00D91312">
        <w:rPr>
          <w:rFonts w:ascii="Bookman Old Style" w:hAnsi="Bookman Old Style"/>
          <w:b/>
        </w:rPr>
        <w:t>Conclusioni</w:t>
      </w:r>
    </w:p>
    <w:p w:rsidR="00C92EB0" w:rsidRPr="00D91312" w:rsidRDefault="00C92EB0" w:rsidP="0021294E">
      <w:pPr>
        <w:jc w:val="both"/>
        <w:rPr>
          <w:rFonts w:ascii="Bookman Old Style" w:hAnsi="Bookman Old Style"/>
        </w:rPr>
      </w:pPr>
      <w:r w:rsidRPr="00D91312">
        <w:rPr>
          <w:rFonts w:ascii="Bookman Old Style" w:hAnsi="Bookman Old Style"/>
        </w:rPr>
        <w:t>L</w:t>
      </w:r>
      <w:r w:rsidR="008655D6" w:rsidRPr="00D91312">
        <w:rPr>
          <w:rFonts w:ascii="Bookman Old Style" w:hAnsi="Bookman Old Style"/>
        </w:rPr>
        <w:t>’</w:t>
      </w:r>
      <w:r w:rsidRPr="00D91312">
        <w:rPr>
          <w:rFonts w:ascii="Bookman Old Style" w:hAnsi="Bookman Old Style"/>
        </w:rPr>
        <w:t>indagine svolta conduce a esiti coerenti con la più recente giurisprudenza d</w:t>
      </w:r>
      <w:r w:rsidR="008655D6" w:rsidRPr="00D91312">
        <w:rPr>
          <w:rFonts w:ascii="Bookman Old Style" w:hAnsi="Bookman Old Style"/>
        </w:rPr>
        <w:t>’</w:t>
      </w:r>
      <w:r w:rsidRPr="00D91312">
        <w:rPr>
          <w:rFonts w:ascii="Bookman Old Style" w:hAnsi="Bookman Old Style"/>
        </w:rPr>
        <w:t>appello sull</w:t>
      </w:r>
      <w:r w:rsidR="008655D6" w:rsidRPr="00D91312">
        <w:rPr>
          <w:rFonts w:ascii="Bookman Old Style" w:hAnsi="Bookman Old Style"/>
        </w:rPr>
        <w:t>’</w:t>
      </w:r>
      <w:r w:rsidRPr="00D91312">
        <w:rPr>
          <w:rFonts w:ascii="Bookman Old Style" w:hAnsi="Bookman Old Style"/>
        </w:rPr>
        <w:t>applicabilità anche al</w:t>
      </w:r>
      <w:r w:rsidR="0071640D" w:rsidRPr="00D91312">
        <w:rPr>
          <w:rFonts w:ascii="Bookman Old Style" w:hAnsi="Bookman Old Style"/>
        </w:rPr>
        <w:t xml:space="preserve"> procedimento sanzionatorio condotto dall</w:t>
      </w:r>
      <w:r w:rsidR="008655D6" w:rsidRPr="00D91312">
        <w:rPr>
          <w:rFonts w:ascii="Bookman Old Style" w:hAnsi="Bookman Old Style"/>
        </w:rPr>
        <w:t>’</w:t>
      </w:r>
      <w:r w:rsidR="0071640D" w:rsidRPr="00D91312">
        <w:rPr>
          <w:rFonts w:ascii="Bookman Old Style" w:hAnsi="Bookman Old Style"/>
        </w:rPr>
        <w:t xml:space="preserve">AGCM in materia di intese restrittive della libertà di concorrenza e di abuso di posizione dominante </w:t>
      </w:r>
      <w:r w:rsidR="00D269E5" w:rsidRPr="00D91312">
        <w:rPr>
          <w:rFonts w:ascii="Bookman Old Style" w:hAnsi="Bookman Old Style"/>
        </w:rPr>
        <w:t>del</w:t>
      </w:r>
      <w:r w:rsidR="0071640D" w:rsidRPr="00D91312">
        <w:rPr>
          <w:rFonts w:ascii="Bookman Old Style" w:hAnsi="Bookman Old Style"/>
        </w:rPr>
        <w:t xml:space="preserve">la previsione </w:t>
      </w:r>
      <w:r w:rsidR="00D269E5" w:rsidRPr="00D91312">
        <w:rPr>
          <w:rFonts w:ascii="Bookman Old Style" w:hAnsi="Bookman Old Style"/>
        </w:rPr>
        <w:t>generale de</w:t>
      </w:r>
      <w:r w:rsidR="0071640D" w:rsidRPr="00D91312">
        <w:rPr>
          <w:rFonts w:ascii="Bookman Old Style" w:hAnsi="Bookman Old Style"/>
        </w:rPr>
        <w:t>ll</w:t>
      </w:r>
      <w:r w:rsidR="008655D6" w:rsidRPr="00D91312">
        <w:rPr>
          <w:rFonts w:ascii="Bookman Old Style" w:hAnsi="Bookman Old Style"/>
        </w:rPr>
        <w:t>’</w:t>
      </w:r>
      <w:r w:rsidR="00D269E5" w:rsidRPr="00D91312">
        <w:rPr>
          <w:rFonts w:ascii="Bookman Old Style" w:hAnsi="Bookman Old Style"/>
        </w:rPr>
        <w:t>art. 14 della legge</w:t>
      </w:r>
      <w:r w:rsidR="0071640D" w:rsidRPr="00D91312">
        <w:rPr>
          <w:rFonts w:ascii="Bookman Old Style" w:hAnsi="Bookman Old Style"/>
        </w:rPr>
        <w:t xml:space="preserve"> n. 689/81</w:t>
      </w:r>
      <w:r w:rsidR="00D269E5" w:rsidRPr="00D91312">
        <w:rPr>
          <w:rFonts w:ascii="Bookman Old Style" w:hAnsi="Bookman Old Style"/>
        </w:rPr>
        <w:t xml:space="preserve"> sul termine decadenziale per la contestazione degli addebiti</w:t>
      </w:r>
      <w:r w:rsidR="0071640D" w:rsidRPr="00D91312">
        <w:rPr>
          <w:rFonts w:ascii="Bookman Old Style" w:hAnsi="Bookman Old Style"/>
        </w:rPr>
        <w:t>.</w:t>
      </w:r>
    </w:p>
    <w:p w:rsidR="008A4ED5" w:rsidRPr="00D91312" w:rsidRDefault="00D269E5" w:rsidP="00FA7583">
      <w:pPr>
        <w:jc w:val="both"/>
        <w:rPr>
          <w:rFonts w:ascii="Bookman Old Style" w:hAnsi="Bookman Old Style"/>
        </w:rPr>
      </w:pPr>
      <w:r w:rsidRPr="00D91312">
        <w:rPr>
          <w:rFonts w:ascii="Bookman Old Style" w:hAnsi="Bookman Old Style"/>
        </w:rPr>
        <w:t>A fronte d</w:t>
      </w:r>
      <w:r w:rsidR="00FA7583" w:rsidRPr="00D91312">
        <w:rPr>
          <w:rFonts w:ascii="Bookman Old Style" w:hAnsi="Bookman Old Style"/>
        </w:rPr>
        <w:t>i quanto previsto in generale dall</w:t>
      </w:r>
      <w:r w:rsidR="008655D6" w:rsidRPr="00D91312">
        <w:rPr>
          <w:rFonts w:ascii="Bookman Old Style" w:hAnsi="Bookman Old Style"/>
        </w:rPr>
        <w:t>’</w:t>
      </w:r>
      <w:r w:rsidR="00FA7583" w:rsidRPr="00D91312">
        <w:rPr>
          <w:rFonts w:ascii="Bookman Old Style" w:hAnsi="Bookman Old Style"/>
        </w:rPr>
        <w:t>art. 12 della l. 689/81 e in particolare dall</w:t>
      </w:r>
      <w:r w:rsidR="008655D6" w:rsidRPr="00D91312">
        <w:rPr>
          <w:rFonts w:ascii="Bookman Old Style" w:hAnsi="Bookman Old Style"/>
        </w:rPr>
        <w:t>’</w:t>
      </w:r>
      <w:r w:rsidR="00FA7583" w:rsidRPr="00D91312">
        <w:rPr>
          <w:rFonts w:ascii="Bookman Old Style" w:hAnsi="Bookman Old Style"/>
        </w:rPr>
        <w:t>art. 31 della l. n. 287/90 sull</w:t>
      </w:r>
      <w:r w:rsidR="008655D6" w:rsidRPr="00D91312">
        <w:rPr>
          <w:rFonts w:ascii="Bookman Old Style" w:hAnsi="Bookman Old Style"/>
        </w:rPr>
        <w:t>’</w:t>
      </w:r>
      <w:r w:rsidR="00FA7583" w:rsidRPr="00D91312">
        <w:rPr>
          <w:rFonts w:ascii="Bookman Old Style" w:hAnsi="Bookman Old Style"/>
        </w:rPr>
        <w:t xml:space="preserve">applicazione del capo I della legge del 1981, non </w:t>
      </w:r>
      <w:r w:rsidR="008A4ED5" w:rsidRPr="00D91312">
        <w:rPr>
          <w:rFonts w:ascii="Bookman Old Style" w:hAnsi="Bookman Old Style"/>
        </w:rPr>
        <w:t>sono emerse</w:t>
      </w:r>
      <w:r w:rsidR="00980818" w:rsidRPr="00D91312">
        <w:rPr>
          <w:rFonts w:ascii="Bookman Old Style" w:hAnsi="Bookman Old Style"/>
        </w:rPr>
        <w:t xml:space="preserve"> disposizioni derogatorie o</w:t>
      </w:r>
      <w:r w:rsidR="008A4ED5" w:rsidRPr="00D91312">
        <w:rPr>
          <w:rFonts w:ascii="Bookman Old Style" w:hAnsi="Bookman Old Style"/>
        </w:rPr>
        <w:t xml:space="preserve"> ragioni di natura </w:t>
      </w:r>
      <w:r w:rsidR="00FA7583" w:rsidRPr="00D91312">
        <w:rPr>
          <w:rFonts w:ascii="Bookman Old Style" w:hAnsi="Bookman Old Style"/>
        </w:rPr>
        <w:t xml:space="preserve">sistematica </w:t>
      </w:r>
      <w:r w:rsidR="00980818" w:rsidRPr="00D91312">
        <w:rPr>
          <w:rFonts w:ascii="Bookman Old Style" w:hAnsi="Bookman Old Style"/>
        </w:rPr>
        <w:t>che depongano in modo convincente per l</w:t>
      </w:r>
      <w:r w:rsidR="008655D6" w:rsidRPr="00D91312">
        <w:rPr>
          <w:rFonts w:ascii="Bookman Old Style" w:hAnsi="Bookman Old Style"/>
        </w:rPr>
        <w:t>’</w:t>
      </w:r>
      <w:r w:rsidR="00980818" w:rsidRPr="00D91312">
        <w:rPr>
          <w:rFonts w:ascii="Bookman Old Style" w:hAnsi="Bookman Old Style"/>
        </w:rPr>
        <w:t>inapplicabilità di quella norma.</w:t>
      </w:r>
    </w:p>
    <w:p w:rsidR="006B1B5D" w:rsidRPr="00D91312" w:rsidRDefault="006B1B5D" w:rsidP="00FA7583">
      <w:pPr>
        <w:jc w:val="both"/>
        <w:rPr>
          <w:rFonts w:ascii="Bookman Old Style" w:hAnsi="Bookman Old Style"/>
        </w:rPr>
      </w:pPr>
      <w:r w:rsidRPr="00D91312">
        <w:rPr>
          <w:rFonts w:ascii="Bookman Old Style" w:hAnsi="Bookman Old Style"/>
        </w:rPr>
        <w:t>A conclusione non diversa conduce la nuova formulazione dell</w:t>
      </w:r>
      <w:r w:rsidR="008655D6" w:rsidRPr="00D91312">
        <w:rPr>
          <w:rFonts w:ascii="Bookman Old Style" w:hAnsi="Bookman Old Style"/>
        </w:rPr>
        <w:t>’</w:t>
      </w:r>
      <w:r w:rsidRPr="00D91312">
        <w:rPr>
          <w:rFonts w:ascii="Bookman Old Style" w:hAnsi="Bookman Old Style"/>
        </w:rPr>
        <w:t>art. 14 della l. 287/90, modificato dalla legge di recepimento della dir. 2019/1/UE, dove oggi recita che “</w:t>
      </w:r>
      <w:r w:rsidRPr="00D91312">
        <w:rPr>
          <w:rFonts w:ascii="Bookman Old Style" w:hAnsi="Bookman Old Style"/>
          <w:i/>
        </w:rPr>
        <w:t>l</w:t>
      </w:r>
      <w:r w:rsidR="008655D6" w:rsidRPr="00D91312">
        <w:rPr>
          <w:rFonts w:ascii="Bookman Old Style" w:hAnsi="Bookman Old Style"/>
          <w:i/>
        </w:rPr>
        <w:t>’</w:t>
      </w:r>
      <w:r w:rsidRPr="00D91312">
        <w:rPr>
          <w:rFonts w:ascii="Bookman Old Style" w:hAnsi="Bookman Old Style"/>
          <w:i/>
        </w:rPr>
        <w:t>Autorità, nei casi di presunta infrazione degli articoli 101 o 102 del TFUE ovvero degli articoli 2 o 3 della presente legge, svolge l</w:t>
      </w:r>
      <w:r w:rsidR="008655D6" w:rsidRPr="00D91312">
        <w:rPr>
          <w:rFonts w:ascii="Bookman Old Style" w:hAnsi="Bookman Old Style"/>
          <w:i/>
        </w:rPr>
        <w:t>’</w:t>
      </w:r>
      <w:r w:rsidRPr="00D91312">
        <w:rPr>
          <w:rFonts w:ascii="Bookman Old Style" w:hAnsi="Bookman Old Style"/>
          <w:i/>
        </w:rPr>
        <w:t>istruttoria in tempi ragionevoli e ne notifica l</w:t>
      </w:r>
      <w:r w:rsidR="008655D6" w:rsidRPr="00D91312">
        <w:rPr>
          <w:rFonts w:ascii="Bookman Old Style" w:hAnsi="Bookman Old Style"/>
          <w:i/>
        </w:rPr>
        <w:t>’</w:t>
      </w:r>
      <w:r w:rsidRPr="00D91312">
        <w:rPr>
          <w:rFonts w:ascii="Bookman Old Style" w:hAnsi="Bookman Old Style"/>
          <w:i/>
        </w:rPr>
        <w:t>apertura alle imprese e agli enti interessati</w:t>
      </w:r>
      <w:r w:rsidRPr="00D91312">
        <w:rPr>
          <w:rFonts w:ascii="Bookman Old Style" w:hAnsi="Bookman Old Style"/>
        </w:rPr>
        <w:t>” (anziché “</w:t>
      </w:r>
      <w:r w:rsidRPr="00D91312">
        <w:rPr>
          <w:rFonts w:ascii="Bookman Old Style" w:hAnsi="Bookman Old Style"/>
          <w:i/>
        </w:rPr>
        <w:t>l</w:t>
      </w:r>
      <w:r w:rsidR="008655D6" w:rsidRPr="00D91312">
        <w:rPr>
          <w:rFonts w:ascii="Bookman Old Style" w:hAnsi="Bookman Old Style"/>
          <w:i/>
        </w:rPr>
        <w:t>’</w:t>
      </w:r>
      <w:r w:rsidRPr="00D91312">
        <w:rPr>
          <w:rFonts w:ascii="Bookman Old Style" w:hAnsi="Bookman Old Style"/>
          <w:i/>
        </w:rPr>
        <w:t>Autorità, nei casi di presunta infrazione agli articoli 2 o 3, notifica l</w:t>
      </w:r>
      <w:r w:rsidR="008655D6" w:rsidRPr="00D91312">
        <w:rPr>
          <w:rFonts w:ascii="Bookman Old Style" w:hAnsi="Bookman Old Style"/>
          <w:i/>
        </w:rPr>
        <w:t>’</w:t>
      </w:r>
      <w:r w:rsidRPr="00D91312">
        <w:rPr>
          <w:rFonts w:ascii="Bookman Old Style" w:hAnsi="Bookman Old Style"/>
          <w:i/>
        </w:rPr>
        <w:t>apertura dell</w:t>
      </w:r>
      <w:r w:rsidR="008655D6" w:rsidRPr="00D91312">
        <w:rPr>
          <w:rFonts w:ascii="Bookman Old Style" w:hAnsi="Bookman Old Style"/>
          <w:i/>
        </w:rPr>
        <w:t>’</w:t>
      </w:r>
      <w:r w:rsidRPr="00D91312">
        <w:rPr>
          <w:rFonts w:ascii="Bookman Old Style" w:hAnsi="Bookman Old Style"/>
          <w:i/>
        </w:rPr>
        <w:t>istruttoria alle imprese e agli enti interessati</w:t>
      </w:r>
      <w:r w:rsidRPr="00D91312">
        <w:rPr>
          <w:rFonts w:ascii="Bookman Old Style" w:hAnsi="Bookman Old Style"/>
        </w:rPr>
        <w:t>”).</w:t>
      </w:r>
    </w:p>
    <w:p w:rsidR="00980818" w:rsidRPr="00D91312" w:rsidRDefault="00980818" w:rsidP="00FA7583">
      <w:pPr>
        <w:jc w:val="both"/>
        <w:rPr>
          <w:rFonts w:ascii="Bookman Old Style" w:hAnsi="Bookman Old Style"/>
        </w:rPr>
      </w:pPr>
      <w:r w:rsidRPr="00D91312">
        <w:rPr>
          <w:rFonts w:ascii="Bookman Old Style" w:hAnsi="Bookman Old Style"/>
        </w:rPr>
        <w:t>Al contrario, la necessità di interpretazione conforme a Costituzione convince, alla luce di quanto da ultimo chiarito dalla Corte costituzionale sull</w:t>
      </w:r>
      <w:r w:rsidR="008655D6" w:rsidRPr="00D91312">
        <w:rPr>
          <w:rFonts w:ascii="Bookman Old Style" w:hAnsi="Bookman Old Style"/>
        </w:rPr>
        <w:t>’</w:t>
      </w:r>
      <w:r w:rsidRPr="00D91312">
        <w:rPr>
          <w:rFonts w:ascii="Bookman Old Style" w:hAnsi="Bookman Old Style"/>
        </w:rPr>
        <w:t>insufficienza del termine di mera prescrizione a garantire l</w:t>
      </w:r>
      <w:r w:rsidR="008655D6" w:rsidRPr="00D91312">
        <w:rPr>
          <w:rFonts w:ascii="Bookman Old Style" w:hAnsi="Bookman Old Style"/>
        </w:rPr>
        <w:t>’</w:t>
      </w:r>
      <w:r w:rsidRPr="00D91312">
        <w:rPr>
          <w:rFonts w:ascii="Bookman Old Style" w:hAnsi="Bookman Old Style"/>
        </w:rPr>
        <w:t>effettività di diritto di difesa dell</w:t>
      </w:r>
      <w:r w:rsidR="008655D6" w:rsidRPr="00D91312">
        <w:rPr>
          <w:rFonts w:ascii="Bookman Old Style" w:hAnsi="Bookman Old Style"/>
        </w:rPr>
        <w:t>’</w:t>
      </w:r>
      <w:r w:rsidRPr="00D91312">
        <w:rPr>
          <w:rFonts w:ascii="Bookman Old Style" w:hAnsi="Bookman Old Style"/>
        </w:rPr>
        <w:t xml:space="preserve">incolpato, </w:t>
      </w:r>
      <w:r w:rsidR="00FD2555" w:rsidRPr="00D91312">
        <w:rPr>
          <w:rFonts w:ascii="Bookman Old Style" w:hAnsi="Bookman Old Style"/>
        </w:rPr>
        <w:t xml:space="preserve">della estensione ai procedimenti </w:t>
      </w:r>
      <w:r w:rsidR="00FD2555" w:rsidRPr="00D91312">
        <w:rPr>
          <w:rFonts w:ascii="Bookman Old Style" w:hAnsi="Bookman Old Style"/>
          <w:i/>
        </w:rPr>
        <w:t>antitrust</w:t>
      </w:r>
      <w:r w:rsidR="00FD2555" w:rsidRPr="00D91312">
        <w:rPr>
          <w:rFonts w:ascii="Bookman Old Style" w:hAnsi="Bookman Old Style"/>
        </w:rPr>
        <w:t xml:space="preserve"> </w:t>
      </w:r>
      <w:r w:rsidR="007514DE" w:rsidRPr="00D91312">
        <w:rPr>
          <w:rFonts w:ascii="Bookman Old Style" w:hAnsi="Bookman Old Style"/>
        </w:rPr>
        <w:t>della specifica previsione della legge del 1981.</w:t>
      </w:r>
    </w:p>
    <w:p w:rsidR="001D189B" w:rsidRPr="00D91312" w:rsidRDefault="00F75803" w:rsidP="00F75803">
      <w:pPr>
        <w:jc w:val="both"/>
        <w:rPr>
          <w:rFonts w:ascii="Bookman Old Style" w:hAnsi="Bookman Old Style"/>
        </w:rPr>
      </w:pPr>
      <w:r w:rsidRPr="00D91312">
        <w:rPr>
          <w:rFonts w:ascii="Bookman Old Style" w:hAnsi="Bookman Old Style"/>
        </w:rPr>
        <w:t>Il fatto che già il prolungamento ingiustificato della fase preistruttoria sia causa di invalidità della successiva decisione non appresta un uguale livello di tutela, per la diffico</w:t>
      </w:r>
      <w:r w:rsidR="001D189B" w:rsidRPr="00D91312">
        <w:rPr>
          <w:rFonts w:ascii="Bookman Old Style" w:hAnsi="Bookman Old Style"/>
        </w:rPr>
        <w:t>ltà d</w:t>
      </w:r>
      <w:r w:rsidR="00856C61" w:rsidRPr="00D91312">
        <w:rPr>
          <w:rFonts w:ascii="Bookman Old Style" w:hAnsi="Bookman Old Style"/>
        </w:rPr>
        <w:t xml:space="preserve">i stabilire in </w:t>
      </w:r>
      <w:r w:rsidRPr="00D91312">
        <w:rPr>
          <w:rFonts w:ascii="Bookman Old Style" w:hAnsi="Bookman Old Style"/>
        </w:rPr>
        <w:t xml:space="preserve">concreto </w:t>
      </w:r>
      <w:r w:rsidR="00856C61" w:rsidRPr="00D91312">
        <w:rPr>
          <w:rFonts w:ascii="Bookman Old Style" w:hAnsi="Bookman Old Style"/>
        </w:rPr>
        <w:t xml:space="preserve">se </w:t>
      </w:r>
      <w:r w:rsidR="001D189B" w:rsidRPr="00D91312">
        <w:rPr>
          <w:rFonts w:ascii="Bookman Old Style" w:hAnsi="Bookman Old Style"/>
        </w:rPr>
        <w:t xml:space="preserve">la durata </w:t>
      </w:r>
      <w:r w:rsidR="00856C61" w:rsidRPr="00D91312">
        <w:rPr>
          <w:rFonts w:ascii="Bookman Old Style" w:hAnsi="Bookman Old Style"/>
        </w:rPr>
        <w:t xml:space="preserve">sia </w:t>
      </w:r>
      <w:r w:rsidR="001D189B" w:rsidRPr="00D91312">
        <w:rPr>
          <w:rFonts w:ascii="Bookman Old Style" w:hAnsi="Bookman Old Style"/>
        </w:rPr>
        <w:t>stata irragionevole e</w:t>
      </w:r>
      <w:r w:rsidR="00856C61" w:rsidRPr="00D91312">
        <w:rPr>
          <w:rFonts w:ascii="Bookman Old Style" w:hAnsi="Bookman Old Style"/>
        </w:rPr>
        <w:t xml:space="preserve"> </w:t>
      </w:r>
      <w:r w:rsidR="00E93C7A" w:rsidRPr="00D91312">
        <w:rPr>
          <w:rFonts w:ascii="Bookman Old Style" w:hAnsi="Bookman Old Style"/>
        </w:rPr>
        <w:t xml:space="preserve">ancor prima, per il privato, di provarlo (ancor più ove lo si ritenesse onerato, </w:t>
      </w:r>
      <w:r w:rsidR="00274E29" w:rsidRPr="00D91312">
        <w:rPr>
          <w:rFonts w:ascii="Bookman Old Style" w:hAnsi="Bookman Old Style"/>
        </w:rPr>
        <w:t>in continuità con la giurisprudenza della CGUE e della CEDU</w:t>
      </w:r>
      <w:r w:rsidR="008655D6" w:rsidRPr="00D91312">
        <w:rPr>
          <w:rFonts w:ascii="Bookman Old Style" w:hAnsi="Bookman Old Style"/>
        </w:rPr>
        <w:t xml:space="preserve">, della dimostrazione della </w:t>
      </w:r>
      <w:r w:rsidR="00E93C7A" w:rsidRPr="00D91312">
        <w:rPr>
          <w:rFonts w:ascii="Bookman Old Style" w:hAnsi="Bookman Old Style"/>
        </w:rPr>
        <w:t>concreta lesione d</w:t>
      </w:r>
      <w:r w:rsidR="008655D6" w:rsidRPr="00D91312">
        <w:rPr>
          <w:rFonts w:ascii="Bookman Old Style" w:hAnsi="Bookman Old Style"/>
        </w:rPr>
        <w:t>e</w:t>
      </w:r>
      <w:r w:rsidR="00E93C7A" w:rsidRPr="00D91312">
        <w:rPr>
          <w:rFonts w:ascii="Bookman Old Style" w:hAnsi="Bookman Old Style"/>
        </w:rPr>
        <w:t>i suoi diritti di difesa).</w:t>
      </w:r>
    </w:p>
    <w:p w:rsidR="00E81EE0" w:rsidRPr="00D91312" w:rsidRDefault="00E93C7A" w:rsidP="00FA7583">
      <w:pPr>
        <w:jc w:val="both"/>
        <w:rPr>
          <w:rFonts w:ascii="Bookman Old Style" w:hAnsi="Bookman Old Style"/>
        </w:rPr>
      </w:pPr>
      <w:r w:rsidRPr="00D91312">
        <w:rPr>
          <w:rFonts w:ascii="Bookman Old Style" w:hAnsi="Bookman Old Style"/>
        </w:rPr>
        <w:t>Viceversa, l</w:t>
      </w:r>
      <w:r w:rsidR="007514DE" w:rsidRPr="00D91312">
        <w:rPr>
          <w:rFonts w:ascii="Bookman Old Style" w:hAnsi="Bookman Old Style"/>
        </w:rPr>
        <w:t xml:space="preserve">a circostanza che la decorrenza del termine </w:t>
      </w:r>
      <w:r w:rsidR="009F1960" w:rsidRPr="00D91312">
        <w:rPr>
          <w:rFonts w:ascii="Bookman Old Style" w:hAnsi="Bookman Old Style"/>
        </w:rPr>
        <w:t xml:space="preserve">viene </w:t>
      </w:r>
      <w:r w:rsidRPr="00D91312">
        <w:rPr>
          <w:rFonts w:ascii="Bookman Old Style" w:hAnsi="Bookman Old Style"/>
        </w:rPr>
        <w:t xml:space="preserve">comunque a </w:t>
      </w:r>
      <w:r w:rsidR="005B4C40" w:rsidRPr="00D91312">
        <w:rPr>
          <w:rFonts w:ascii="Bookman Old Style" w:hAnsi="Bookman Old Style"/>
        </w:rPr>
        <w:t>lega</w:t>
      </w:r>
      <w:r w:rsidRPr="00D91312">
        <w:rPr>
          <w:rFonts w:ascii="Bookman Old Style" w:hAnsi="Bookman Old Style"/>
        </w:rPr>
        <w:t>rsi</w:t>
      </w:r>
      <w:r w:rsidR="005B4C40" w:rsidRPr="00D91312">
        <w:rPr>
          <w:rFonts w:ascii="Bookman Old Style" w:hAnsi="Bookman Old Style"/>
        </w:rPr>
        <w:t xml:space="preserve"> alla </w:t>
      </w:r>
      <w:r w:rsidR="003C239E" w:rsidRPr="00D91312">
        <w:rPr>
          <w:rFonts w:ascii="Bookman Old Style" w:hAnsi="Bookman Old Style"/>
        </w:rPr>
        <w:t>definizione dell</w:t>
      </w:r>
      <w:r w:rsidR="008655D6" w:rsidRPr="00D91312">
        <w:rPr>
          <w:rFonts w:ascii="Bookman Old Style" w:hAnsi="Bookman Old Style"/>
        </w:rPr>
        <w:t>’</w:t>
      </w:r>
      <w:r w:rsidR="003C239E" w:rsidRPr="00D91312">
        <w:rPr>
          <w:rFonts w:ascii="Bookman Old Style" w:hAnsi="Bookman Old Style"/>
        </w:rPr>
        <w:t xml:space="preserve">ipotesi di infrazione, o al momento </w:t>
      </w:r>
      <w:r w:rsidR="00E81EE0" w:rsidRPr="00D91312">
        <w:rPr>
          <w:rFonts w:ascii="Bookman Old Style" w:hAnsi="Bookman Old Style"/>
        </w:rPr>
        <w:t xml:space="preserve">nel quale </w:t>
      </w:r>
      <w:r w:rsidR="003C239E" w:rsidRPr="00D91312">
        <w:rPr>
          <w:rFonts w:ascii="Bookman Old Style" w:hAnsi="Bookman Old Style"/>
        </w:rPr>
        <w:t xml:space="preserve">si sarebbero potuti </w:t>
      </w:r>
      <w:r w:rsidR="005B4C40" w:rsidRPr="00D91312">
        <w:rPr>
          <w:rFonts w:ascii="Bookman Old Style" w:hAnsi="Bookman Old Style"/>
        </w:rPr>
        <w:t>formulare gli addebiti, è sufficiente per escludere che l</w:t>
      </w:r>
      <w:r w:rsidR="008655D6" w:rsidRPr="00D91312">
        <w:rPr>
          <w:rFonts w:ascii="Bookman Old Style" w:hAnsi="Bookman Old Style"/>
        </w:rPr>
        <w:t>’</w:t>
      </w:r>
      <w:r w:rsidR="005B4C40" w:rsidRPr="00D91312">
        <w:rPr>
          <w:rFonts w:ascii="Bookman Old Style" w:hAnsi="Bookman Old Style"/>
        </w:rPr>
        <w:t>obbligo possa pregiudicare un</w:t>
      </w:r>
      <w:r w:rsidR="008655D6" w:rsidRPr="00D91312">
        <w:rPr>
          <w:rFonts w:ascii="Bookman Old Style" w:hAnsi="Bookman Old Style"/>
        </w:rPr>
        <w:t>’</w:t>
      </w:r>
      <w:r w:rsidR="005B4C40" w:rsidRPr="00D91312">
        <w:rPr>
          <w:rFonts w:ascii="Bookman Old Style" w:hAnsi="Bookman Old Style"/>
        </w:rPr>
        <w:t xml:space="preserve">efficace applicazione della disciplina </w:t>
      </w:r>
      <w:r w:rsidR="005B4C40" w:rsidRPr="00D91312">
        <w:rPr>
          <w:rFonts w:ascii="Bookman Old Style" w:hAnsi="Bookman Old Style"/>
          <w:i/>
        </w:rPr>
        <w:t>antitrust</w:t>
      </w:r>
      <w:r w:rsidR="00E81EE0" w:rsidRPr="00D91312">
        <w:rPr>
          <w:rFonts w:ascii="Bookman Old Style" w:hAnsi="Bookman Old Style"/>
        </w:rPr>
        <w:t>.</w:t>
      </w:r>
    </w:p>
    <w:p w:rsidR="009F1960" w:rsidRPr="00D91312" w:rsidRDefault="009F1960" w:rsidP="00FA7583">
      <w:pPr>
        <w:jc w:val="both"/>
        <w:rPr>
          <w:rFonts w:ascii="Bookman Old Style" w:hAnsi="Bookman Old Style"/>
        </w:rPr>
      </w:pPr>
      <w:r w:rsidRPr="00D91312">
        <w:rPr>
          <w:rFonts w:ascii="Bookman Old Style" w:hAnsi="Bookman Old Style"/>
        </w:rPr>
        <w:t>Il paragone con la disciplina del procedimento sanzionatorio di autorità amministrative indipendenti come CONSOB, Banca d</w:t>
      </w:r>
      <w:r w:rsidR="008655D6" w:rsidRPr="00D91312">
        <w:rPr>
          <w:rFonts w:ascii="Bookman Old Style" w:hAnsi="Bookman Old Style"/>
        </w:rPr>
        <w:t>’</w:t>
      </w:r>
      <w:r w:rsidRPr="00D91312">
        <w:rPr>
          <w:rFonts w:ascii="Bookman Old Style" w:hAnsi="Bookman Old Style"/>
        </w:rPr>
        <w:t>Italia e IVASS</w:t>
      </w:r>
      <w:r w:rsidR="001E395A" w:rsidRPr="00D91312">
        <w:rPr>
          <w:rFonts w:ascii="Bookman Old Style" w:hAnsi="Bookman Old Style"/>
        </w:rPr>
        <w:t>, dove l</w:t>
      </w:r>
      <w:r w:rsidR="008655D6" w:rsidRPr="00D91312">
        <w:rPr>
          <w:rFonts w:ascii="Bookman Old Style" w:hAnsi="Bookman Old Style"/>
        </w:rPr>
        <w:t>’</w:t>
      </w:r>
      <w:r w:rsidR="001E395A" w:rsidRPr="00D91312">
        <w:rPr>
          <w:rFonts w:ascii="Bookman Old Style" w:hAnsi="Bookman Old Style"/>
        </w:rPr>
        <w:t>effettività del contraddittorio è garantita anche grazie alla tempestiva contestazione dell</w:t>
      </w:r>
      <w:r w:rsidR="008655D6" w:rsidRPr="00D91312">
        <w:rPr>
          <w:rFonts w:ascii="Bookman Old Style" w:hAnsi="Bookman Old Style"/>
        </w:rPr>
        <w:t>’</w:t>
      </w:r>
      <w:r w:rsidR="001E395A" w:rsidRPr="00D91312">
        <w:rPr>
          <w:rFonts w:ascii="Bookman Old Style" w:hAnsi="Bookman Old Style"/>
        </w:rPr>
        <w:t>addebito,</w:t>
      </w:r>
      <w:r w:rsidR="00F12118" w:rsidRPr="00D91312">
        <w:rPr>
          <w:rFonts w:ascii="Bookman Old Style" w:hAnsi="Bookman Old Style"/>
        </w:rPr>
        <w:t xml:space="preserve"> pare </w:t>
      </w:r>
      <w:r w:rsidRPr="00D91312">
        <w:rPr>
          <w:rFonts w:ascii="Bookman Old Style" w:hAnsi="Bookman Old Style"/>
        </w:rPr>
        <w:t>corrobora</w:t>
      </w:r>
      <w:r w:rsidR="00F12118" w:rsidRPr="00D91312">
        <w:rPr>
          <w:rFonts w:ascii="Bookman Old Style" w:hAnsi="Bookman Old Style"/>
        </w:rPr>
        <w:t>re</w:t>
      </w:r>
      <w:r w:rsidRPr="00D91312">
        <w:rPr>
          <w:rFonts w:ascii="Bookman Old Style" w:hAnsi="Bookman Old Style"/>
        </w:rPr>
        <w:t xml:space="preserve"> </w:t>
      </w:r>
      <w:r w:rsidR="00F12118" w:rsidRPr="00D91312">
        <w:rPr>
          <w:rFonts w:ascii="Bookman Old Style" w:hAnsi="Bookman Old Style"/>
        </w:rPr>
        <w:t xml:space="preserve">la </w:t>
      </w:r>
      <w:r w:rsidRPr="00D91312">
        <w:rPr>
          <w:rFonts w:ascii="Bookman Old Style" w:hAnsi="Bookman Old Style"/>
        </w:rPr>
        <w:t>conclusione</w:t>
      </w:r>
      <w:r w:rsidR="00F12118" w:rsidRPr="00D91312">
        <w:rPr>
          <w:rFonts w:ascii="Bookman Old Style" w:hAnsi="Bookman Old Style"/>
        </w:rPr>
        <w:t xml:space="preserve"> malgrado la diversa struttura procedimentale</w:t>
      </w:r>
      <w:r w:rsidRPr="00D91312">
        <w:rPr>
          <w:rFonts w:ascii="Bookman Old Style" w:hAnsi="Bookman Old Style"/>
        </w:rPr>
        <w:t>.</w:t>
      </w:r>
    </w:p>
    <w:p w:rsidR="00C02998" w:rsidRPr="00D91312" w:rsidRDefault="00C02998" w:rsidP="00FA7583">
      <w:pPr>
        <w:jc w:val="both"/>
        <w:rPr>
          <w:rFonts w:ascii="Bookman Old Style" w:hAnsi="Bookman Old Style"/>
        </w:rPr>
      </w:pPr>
      <w:r w:rsidRPr="00D91312">
        <w:rPr>
          <w:rFonts w:ascii="Bookman Old Style" w:hAnsi="Bookman Old Style"/>
        </w:rPr>
        <w:t xml:space="preserve">Non emergono ostacoli dal raffronto con la disciplina europea </w:t>
      </w:r>
      <w:r w:rsidRPr="00D91312">
        <w:rPr>
          <w:rFonts w:ascii="Bookman Old Style" w:hAnsi="Bookman Old Style"/>
          <w:i/>
        </w:rPr>
        <w:t>antitrust</w:t>
      </w:r>
      <w:r w:rsidRPr="00D91312">
        <w:rPr>
          <w:rFonts w:ascii="Bookman Old Style" w:hAnsi="Bookman Old Style"/>
        </w:rPr>
        <w:t>, che non pregiudica, per precisa scelta del legislatore europeo, la possibilità degli Stati membri di mantenere termini non soggetti a sospensione, a interruzione o a proro</w:t>
      </w:r>
      <w:r w:rsidR="00E3288E" w:rsidRPr="00D91312">
        <w:rPr>
          <w:rFonts w:ascii="Bookman Old Style" w:hAnsi="Bookman Old Style"/>
        </w:rPr>
        <w:t>ga, purché tali limiti non rendano praticamente impossibile o eccessivamente difficile l</w:t>
      </w:r>
      <w:r w:rsidR="008655D6" w:rsidRPr="00D91312">
        <w:rPr>
          <w:rFonts w:ascii="Bookman Old Style" w:hAnsi="Bookman Old Style"/>
        </w:rPr>
        <w:t>’</w:t>
      </w:r>
      <w:r w:rsidR="00E3288E" w:rsidRPr="00D91312">
        <w:rPr>
          <w:rFonts w:ascii="Bookman Old Style" w:hAnsi="Bookman Old Style"/>
        </w:rPr>
        <w:t>applicazione efficace degli articoli 101 e 102 TFUE. Può ragionevolmente ritenersi che l</w:t>
      </w:r>
      <w:r w:rsidR="008655D6" w:rsidRPr="00D91312">
        <w:rPr>
          <w:rFonts w:ascii="Bookman Old Style" w:hAnsi="Bookman Old Style"/>
        </w:rPr>
        <w:t>’</w:t>
      </w:r>
      <w:r w:rsidR="00E3288E" w:rsidRPr="00D91312">
        <w:rPr>
          <w:rFonts w:ascii="Bookman Old Style" w:hAnsi="Bookman Old Style"/>
        </w:rPr>
        <w:t xml:space="preserve">assenza di questo ostacolo funzionale faccia premio sulla brevità del termine, </w:t>
      </w:r>
      <w:r w:rsidR="00880310" w:rsidRPr="00D91312">
        <w:rPr>
          <w:rFonts w:ascii="Bookman Old Style" w:hAnsi="Bookman Old Style"/>
        </w:rPr>
        <w:t xml:space="preserve">pur potendosi </w:t>
      </w:r>
      <w:r w:rsidR="00E3288E" w:rsidRPr="00D91312">
        <w:rPr>
          <w:rFonts w:ascii="Bookman Old Style" w:hAnsi="Bookman Old Style"/>
        </w:rPr>
        <w:t>presum</w:t>
      </w:r>
      <w:r w:rsidR="00880310" w:rsidRPr="00D91312">
        <w:rPr>
          <w:rFonts w:ascii="Bookman Old Style" w:hAnsi="Bookman Old Style"/>
        </w:rPr>
        <w:t xml:space="preserve">ere </w:t>
      </w:r>
      <w:r w:rsidR="00E3288E" w:rsidRPr="00D91312">
        <w:rPr>
          <w:rFonts w:ascii="Bookman Old Style" w:hAnsi="Bookman Old Style"/>
        </w:rPr>
        <w:t xml:space="preserve">che la direttiva </w:t>
      </w:r>
      <w:r w:rsidR="00880310" w:rsidRPr="00D91312">
        <w:rPr>
          <w:rFonts w:ascii="Bookman Old Style" w:hAnsi="Bookman Old Style"/>
        </w:rPr>
        <w:t xml:space="preserve">europea </w:t>
      </w:r>
      <w:r w:rsidR="00E3288E" w:rsidRPr="00D91312">
        <w:rPr>
          <w:rFonts w:ascii="Bookman Old Style" w:hAnsi="Bookman Old Style"/>
        </w:rPr>
        <w:t xml:space="preserve">intendesse riferirsi a termini di </w:t>
      </w:r>
      <w:r w:rsidR="00880310" w:rsidRPr="00D91312">
        <w:rPr>
          <w:rFonts w:ascii="Bookman Old Style" w:hAnsi="Bookman Old Style"/>
        </w:rPr>
        <w:t>un</w:t>
      </w:r>
      <w:r w:rsidR="008655D6" w:rsidRPr="00D91312">
        <w:rPr>
          <w:rFonts w:ascii="Bookman Old Style" w:hAnsi="Bookman Old Style"/>
        </w:rPr>
        <w:t>’</w:t>
      </w:r>
      <w:r w:rsidR="00880310" w:rsidRPr="00D91312">
        <w:rPr>
          <w:rFonts w:ascii="Bookman Old Style" w:hAnsi="Bookman Old Style"/>
        </w:rPr>
        <w:t>apprezzabile durata.</w:t>
      </w:r>
    </w:p>
    <w:p w:rsidR="009C00B2" w:rsidRPr="00D91312" w:rsidRDefault="00661506" w:rsidP="00FA7583">
      <w:pPr>
        <w:jc w:val="both"/>
        <w:rPr>
          <w:rFonts w:ascii="Bookman Old Style" w:hAnsi="Bookman Old Style"/>
        </w:rPr>
      </w:pPr>
      <w:r w:rsidRPr="00D91312">
        <w:rPr>
          <w:rFonts w:ascii="Bookman Old Style" w:hAnsi="Bookman Old Style"/>
        </w:rPr>
        <w:t>Non sembra che un</w:t>
      </w:r>
      <w:r w:rsidR="008655D6" w:rsidRPr="00D91312">
        <w:rPr>
          <w:rFonts w:ascii="Bookman Old Style" w:hAnsi="Bookman Old Style"/>
        </w:rPr>
        <w:t>’</w:t>
      </w:r>
      <w:r w:rsidRPr="00D91312">
        <w:rPr>
          <w:rFonts w:ascii="Bookman Old Style" w:hAnsi="Bookman Old Style"/>
        </w:rPr>
        <w:t>analisi dei sistemi in vigore negli altri ordinamenti europei possa fornire ulteriori elementi utili</w:t>
      </w:r>
      <w:r w:rsidR="00A72962" w:rsidRPr="00D91312">
        <w:rPr>
          <w:rFonts w:ascii="Bookman Old Style" w:hAnsi="Bookman Old Style"/>
        </w:rPr>
        <w:t xml:space="preserve"> di riflessione</w:t>
      </w:r>
      <w:r w:rsidRPr="00D91312">
        <w:rPr>
          <w:rFonts w:ascii="Bookman Old Style" w:hAnsi="Bookman Old Style"/>
        </w:rPr>
        <w:t xml:space="preserve">, una volta che la stessa </w:t>
      </w:r>
      <w:r w:rsidR="00A72962" w:rsidRPr="00D91312">
        <w:rPr>
          <w:rFonts w:ascii="Bookman Old Style" w:hAnsi="Bookman Old Style"/>
        </w:rPr>
        <w:t xml:space="preserve">Commissione europea, nella sua </w:t>
      </w:r>
      <w:r w:rsidRPr="00D91312">
        <w:rPr>
          <w:rFonts w:ascii="Bookman Old Style" w:hAnsi="Bookman Old Style"/>
        </w:rPr>
        <w:t xml:space="preserve">iniziativa </w:t>
      </w:r>
      <w:r w:rsidR="00A72962" w:rsidRPr="00D91312">
        <w:rPr>
          <w:rFonts w:ascii="Bookman Old Style" w:hAnsi="Bookman Old Style"/>
        </w:rPr>
        <w:t xml:space="preserve">legislativa, </w:t>
      </w:r>
      <w:r w:rsidRPr="00D91312">
        <w:rPr>
          <w:rFonts w:ascii="Bookman Old Style" w:hAnsi="Bookman Old Style"/>
        </w:rPr>
        <w:t xml:space="preserve">ha dato atto della </w:t>
      </w:r>
      <w:r w:rsidR="00A72962" w:rsidRPr="00D91312">
        <w:rPr>
          <w:rFonts w:ascii="Bookman Old Style" w:hAnsi="Bookman Old Style"/>
        </w:rPr>
        <w:t xml:space="preserve">notevole </w:t>
      </w:r>
      <w:r w:rsidRPr="00D91312">
        <w:rPr>
          <w:rFonts w:ascii="Bookman Old Style" w:hAnsi="Bookman Old Style"/>
        </w:rPr>
        <w:t xml:space="preserve">diversità </w:t>
      </w:r>
      <w:r w:rsidR="00A72962" w:rsidRPr="00D91312">
        <w:rPr>
          <w:rFonts w:ascii="Bookman Old Style" w:hAnsi="Bookman Old Style"/>
        </w:rPr>
        <w:t>di approccio delle legislazioni nazionali</w:t>
      </w:r>
      <w:r w:rsidR="00897B70" w:rsidRPr="00D91312">
        <w:rPr>
          <w:rFonts w:ascii="Bookman Old Style" w:hAnsi="Bookman Old Style"/>
        </w:rPr>
        <w:t xml:space="preserve">, </w:t>
      </w:r>
      <w:r w:rsidR="008655D6" w:rsidRPr="00D91312">
        <w:rPr>
          <w:rFonts w:ascii="Bookman Old Style" w:hAnsi="Bookman Old Style"/>
        </w:rPr>
        <w:t xml:space="preserve">fermo </w:t>
      </w:r>
      <w:r w:rsidR="00897B70" w:rsidRPr="00D91312">
        <w:rPr>
          <w:rFonts w:ascii="Bookman Old Style" w:hAnsi="Bookman Old Style"/>
        </w:rPr>
        <w:t xml:space="preserve">che </w:t>
      </w:r>
      <w:r w:rsidR="008655D6" w:rsidRPr="00D91312">
        <w:rPr>
          <w:rFonts w:ascii="Bookman Old Style" w:hAnsi="Bookman Old Style"/>
        </w:rPr>
        <w:t xml:space="preserve">l’Ufficio resta </w:t>
      </w:r>
      <w:r w:rsidR="00897B70" w:rsidRPr="00D91312">
        <w:rPr>
          <w:rFonts w:ascii="Bookman Old Style" w:hAnsi="Bookman Old Style"/>
        </w:rPr>
        <w:t>a disposizione anche per questo approfondimento.</w:t>
      </w:r>
    </w:p>
    <w:sectPr w:rsidR="009C00B2" w:rsidRPr="00D913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B42" w:rsidRDefault="00684B42" w:rsidP="006E2CA9">
      <w:pPr>
        <w:spacing w:after="0" w:line="240" w:lineRule="auto"/>
      </w:pPr>
      <w:r>
        <w:separator/>
      </w:r>
    </w:p>
  </w:endnote>
  <w:endnote w:type="continuationSeparator" w:id="0">
    <w:p w:rsidR="00684B42" w:rsidRDefault="00684B42" w:rsidP="006E2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B42" w:rsidRDefault="00684B42" w:rsidP="006E2CA9">
      <w:pPr>
        <w:spacing w:after="0" w:line="240" w:lineRule="auto"/>
      </w:pPr>
      <w:r>
        <w:separator/>
      </w:r>
    </w:p>
  </w:footnote>
  <w:footnote w:type="continuationSeparator" w:id="0">
    <w:p w:rsidR="00684B42" w:rsidRDefault="00684B42" w:rsidP="006E2CA9">
      <w:pPr>
        <w:spacing w:after="0" w:line="240" w:lineRule="auto"/>
      </w:pPr>
      <w:r>
        <w:continuationSeparator/>
      </w:r>
    </w:p>
  </w:footnote>
  <w:footnote w:id="1">
    <w:p w:rsidR="00334A38" w:rsidRPr="00D91312" w:rsidRDefault="00334A38" w:rsidP="00307D24">
      <w:pPr>
        <w:pStyle w:val="Testonotaapidipagina"/>
        <w:jc w:val="both"/>
        <w:rPr>
          <w:rFonts w:ascii="Bookman Old Style" w:hAnsi="Bookman Old Style"/>
          <w:sz w:val="18"/>
          <w:szCs w:val="18"/>
        </w:rPr>
      </w:pPr>
      <w:r w:rsidRPr="00D91312">
        <w:rPr>
          <w:rStyle w:val="Rimandonotaapidipagina"/>
          <w:rFonts w:ascii="Bookman Old Style" w:hAnsi="Bookman Old Style"/>
          <w:sz w:val="18"/>
          <w:szCs w:val="18"/>
        </w:rPr>
        <w:footnoteRef/>
      </w:r>
      <w:r w:rsidRPr="00D91312">
        <w:rPr>
          <w:rFonts w:ascii="Bookman Old Style" w:hAnsi="Bookman Old Style"/>
          <w:sz w:val="18"/>
          <w:szCs w:val="18"/>
        </w:rPr>
        <w:t xml:space="preserve"> Per tutti, in dottrina, M. D</w:t>
      </w:r>
      <w:r w:rsidR="008655D6" w:rsidRPr="00D91312">
        <w:rPr>
          <w:rFonts w:ascii="Bookman Old Style" w:hAnsi="Bookman Old Style"/>
          <w:sz w:val="18"/>
          <w:szCs w:val="18"/>
        </w:rPr>
        <w:t>’</w:t>
      </w:r>
      <w:r w:rsidRPr="00D91312">
        <w:rPr>
          <w:rFonts w:ascii="Bookman Old Style" w:hAnsi="Bookman Old Style"/>
          <w:sz w:val="18"/>
          <w:szCs w:val="18"/>
        </w:rPr>
        <w:t xml:space="preserve">Orsogna, </w:t>
      </w:r>
      <w:r w:rsidRPr="00D91312">
        <w:rPr>
          <w:rFonts w:ascii="Bookman Old Style" w:hAnsi="Bookman Old Style"/>
          <w:i/>
          <w:sz w:val="18"/>
          <w:szCs w:val="18"/>
        </w:rPr>
        <w:t>Gli atti di accertamento della violazione</w:t>
      </w:r>
      <w:r w:rsidRPr="00D91312">
        <w:rPr>
          <w:rFonts w:ascii="Bookman Old Style" w:hAnsi="Bookman Old Style"/>
          <w:sz w:val="18"/>
          <w:szCs w:val="18"/>
        </w:rPr>
        <w:t xml:space="preserve">, in </w:t>
      </w:r>
      <w:r w:rsidRPr="00D91312">
        <w:rPr>
          <w:rFonts w:ascii="Bookman Old Style" w:hAnsi="Bookman Old Style"/>
          <w:i/>
          <w:sz w:val="18"/>
          <w:szCs w:val="18"/>
        </w:rPr>
        <w:t>La sanzione amministrativa</w:t>
      </w:r>
      <w:r w:rsidRPr="00D91312">
        <w:rPr>
          <w:rFonts w:ascii="Bookman Old Style" w:hAnsi="Bookman Old Style"/>
          <w:sz w:val="18"/>
          <w:szCs w:val="18"/>
        </w:rPr>
        <w:t>, a cura di A. Cagnazzo et al., Milano, 2016, pag. 597: “</w:t>
      </w:r>
      <w:r w:rsidRPr="00D91312">
        <w:rPr>
          <w:rFonts w:ascii="Bookman Old Style" w:hAnsi="Bookman Old Style"/>
          <w:i/>
          <w:sz w:val="18"/>
          <w:szCs w:val="18"/>
        </w:rPr>
        <w:t>l</w:t>
      </w:r>
      <w:r w:rsidR="008655D6" w:rsidRPr="00D91312">
        <w:rPr>
          <w:rFonts w:ascii="Bookman Old Style" w:hAnsi="Bookman Old Style"/>
          <w:i/>
          <w:sz w:val="18"/>
          <w:szCs w:val="18"/>
        </w:rPr>
        <w:t>’</w:t>
      </w:r>
      <w:r w:rsidRPr="00D91312">
        <w:rPr>
          <w:rFonts w:ascii="Bookman Old Style" w:hAnsi="Bookman Old Style"/>
          <w:i/>
          <w:sz w:val="18"/>
          <w:szCs w:val="18"/>
        </w:rPr>
        <w:t>art 28</w:t>
      </w:r>
      <w:r w:rsidRPr="00D91312">
        <w:rPr>
          <w:rFonts w:ascii="Bookman Old Style" w:hAnsi="Bookman Old Style"/>
          <w:sz w:val="18"/>
          <w:szCs w:val="18"/>
        </w:rPr>
        <w:t xml:space="preserve"> (…), </w:t>
      </w:r>
      <w:r w:rsidRPr="00D91312">
        <w:rPr>
          <w:rFonts w:ascii="Bookman Old Style" w:hAnsi="Bookman Old Style"/>
          <w:i/>
          <w:sz w:val="18"/>
          <w:szCs w:val="18"/>
        </w:rPr>
        <w:t>come è facile notare, si riferisce al diritto di riscuotere e non al diritto di sanzionare</w:t>
      </w:r>
      <w:r w:rsidRPr="00D91312">
        <w:rPr>
          <w:rFonts w:ascii="Bookman Old Style" w:hAnsi="Bookman Old Style"/>
          <w:sz w:val="18"/>
          <w:szCs w:val="18"/>
        </w:rPr>
        <w:t xml:space="preserve">”. </w:t>
      </w:r>
    </w:p>
  </w:footnote>
  <w:footnote w:id="2">
    <w:p w:rsidR="00334A38" w:rsidRPr="00D91312" w:rsidRDefault="00334A38" w:rsidP="00307D24">
      <w:pPr>
        <w:pStyle w:val="Testonotaapidipagina"/>
        <w:jc w:val="both"/>
        <w:rPr>
          <w:rFonts w:ascii="Bookman Old Style" w:hAnsi="Bookman Old Style"/>
          <w:sz w:val="18"/>
          <w:szCs w:val="18"/>
        </w:rPr>
      </w:pPr>
      <w:r w:rsidRPr="00D91312">
        <w:rPr>
          <w:rStyle w:val="Rimandonotaapidipagina"/>
          <w:rFonts w:ascii="Bookman Old Style" w:hAnsi="Bookman Old Style"/>
          <w:sz w:val="18"/>
          <w:szCs w:val="18"/>
        </w:rPr>
        <w:footnoteRef/>
      </w:r>
      <w:r w:rsidRPr="00D91312">
        <w:rPr>
          <w:rFonts w:ascii="Bookman Old Style" w:hAnsi="Bookman Old Style"/>
          <w:sz w:val="18"/>
          <w:szCs w:val="18"/>
        </w:rPr>
        <w:t xml:space="preserve"> Ad es., </w:t>
      </w:r>
      <w:proofErr w:type="spellStart"/>
      <w:r w:rsidRPr="00D91312">
        <w:rPr>
          <w:rFonts w:ascii="Bookman Old Style" w:hAnsi="Bookman Old Style"/>
          <w:sz w:val="18"/>
          <w:szCs w:val="18"/>
        </w:rPr>
        <w:t>Cass</w:t>
      </w:r>
      <w:proofErr w:type="spellEnd"/>
      <w:r w:rsidRPr="00D91312">
        <w:rPr>
          <w:rFonts w:ascii="Bookman Old Style" w:hAnsi="Bookman Old Style"/>
          <w:sz w:val="18"/>
          <w:szCs w:val="18"/>
        </w:rPr>
        <w:t>. sez. lav., 28 agosto 2003, n. 12654.</w:t>
      </w:r>
    </w:p>
  </w:footnote>
  <w:footnote w:id="3">
    <w:p w:rsidR="00334A38" w:rsidRPr="00D91312" w:rsidRDefault="00334A38" w:rsidP="00307D24">
      <w:pPr>
        <w:pStyle w:val="Testonotaapidipagina"/>
        <w:jc w:val="both"/>
        <w:rPr>
          <w:rFonts w:ascii="Bookman Old Style" w:hAnsi="Bookman Old Style"/>
          <w:sz w:val="18"/>
          <w:szCs w:val="18"/>
        </w:rPr>
      </w:pPr>
      <w:r w:rsidRPr="00D91312">
        <w:rPr>
          <w:rStyle w:val="Rimandonotaapidipagina"/>
          <w:rFonts w:ascii="Bookman Old Style" w:hAnsi="Bookman Old Style"/>
          <w:sz w:val="18"/>
          <w:szCs w:val="18"/>
        </w:rPr>
        <w:footnoteRef/>
      </w:r>
      <w:r w:rsidRPr="00D91312">
        <w:rPr>
          <w:rFonts w:ascii="Bookman Old Style" w:hAnsi="Bookman Old Style"/>
          <w:sz w:val="18"/>
          <w:szCs w:val="18"/>
        </w:rPr>
        <w:t xml:space="preserve"> Ad es., </w:t>
      </w:r>
      <w:proofErr w:type="spellStart"/>
      <w:r w:rsidRPr="00D91312">
        <w:rPr>
          <w:rFonts w:ascii="Bookman Old Style" w:hAnsi="Bookman Old Style"/>
          <w:sz w:val="18"/>
          <w:szCs w:val="18"/>
        </w:rPr>
        <w:t>Cass</w:t>
      </w:r>
      <w:proofErr w:type="spellEnd"/>
      <w:r w:rsidRPr="00D91312">
        <w:rPr>
          <w:rFonts w:ascii="Bookman Old Style" w:hAnsi="Bookman Old Style"/>
          <w:sz w:val="18"/>
          <w:szCs w:val="18"/>
        </w:rPr>
        <w:t xml:space="preserve">. sez. </w:t>
      </w:r>
      <w:proofErr w:type="spellStart"/>
      <w:r w:rsidRPr="00D91312">
        <w:rPr>
          <w:rFonts w:ascii="Bookman Old Style" w:hAnsi="Bookman Old Style"/>
          <w:sz w:val="18"/>
          <w:szCs w:val="18"/>
        </w:rPr>
        <w:t>trib</w:t>
      </w:r>
      <w:proofErr w:type="spellEnd"/>
      <w:r w:rsidRPr="00D91312">
        <w:rPr>
          <w:rFonts w:ascii="Bookman Old Style" w:hAnsi="Bookman Old Style"/>
          <w:sz w:val="18"/>
          <w:szCs w:val="18"/>
        </w:rPr>
        <w:t>. 28ì9 febbraio 2008, n. 5467.</w:t>
      </w:r>
    </w:p>
  </w:footnote>
  <w:footnote w:id="4">
    <w:p w:rsidR="00334A38" w:rsidRPr="00D91312" w:rsidRDefault="00334A38" w:rsidP="00307D24">
      <w:pPr>
        <w:pStyle w:val="Testonotaapidipagina"/>
        <w:jc w:val="both"/>
        <w:rPr>
          <w:rFonts w:ascii="Bookman Old Style" w:hAnsi="Bookman Old Style"/>
          <w:sz w:val="18"/>
          <w:szCs w:val="18"/>
        </w:rPr>
      </w:pPr>
      <w:r w:rsidRPr="00D91312">
        <w:rPr>
          <w:rStyle w:val="Rimandonotaapidipagina"/>
          <w:rFonts w:ascii="Bookman Old Style" w:hAnsi="Bookman Old Style"/>
          <w:sz w:val="18"/>
          <w:szCs w:val="18"/>
        </w:rPr>
        <w:footnoteRef/>
      </w:r>
      <w:r w:rsidRPr="00D91312">
        <w:rPr>
          <w:rFonts w:ascii="Bookman Old Style" w:hAnsi="Bookman Old Style"/>
          <w:sz w:val="18"/>
          <w:szCs w:val="18"/>
        </w:rPr>
        <w:t xml:space="preserve"> L</w:t>
      </w:r>
      <w:r w:rsidR="008655D6" w:rsidRPr="00D91312">
        <w:rPr>
          <w:rFonts w:ascii="Bookman Old Style" w:hAnsi="Bookman Old Style"/>
          <w:sz w:val="18"/>
          <w:szCs w:val="18"/>
        </w:rPr>
        <w:t>’</w:t>
      </w:r>
      <w:r w:rsidRPr="00D91312">
        <w:rPr>
          <w:rFonts w:ascii="Bookman Old Style" w:hAnsi="Bookman Old Style"/>
          <w:sz w:val="18"/>
          <w:szCs w:val="18"/>
        </w:rPr>
        <w:t xml:space="preserve">affermazione di </w:t>
      </w:r>
      <w:proofErr w:type="spellStart"/>
      <w:r w:rsidRPr="00D91312">
        <w:rPr>
          <w:rFonts w:ascii="Bookman Old Style" w:hAnsi="Bookman Old Style"/>
          <w:sz w:val="18"/>
          <w:szCs w:val="18"/>
        </w:rPr>
        <w:t>C.d.S</w:t>
      </w:r>
      <w:proofErr w:type="spellEnd"/>
      <w:r w:rsidRPr="00D91312">
        <w:rPr>
          <w:rFonts w:ascii="Bookman Old Style" w:hAnsi="Bookman Old Style"/>
          <w:sz w:val="18"/>
          <w:szCs w:val="18"/>
        </w:rPr>
        <w:t>., sez. VI, 20 giugno 2019, n. 4215, secondo cui l</w:t>
      </w:r>
      <w:r w:rsidR="008655D6" w:rsidRPr="00D91312">
        <w:rPr>
          <w:rFonts w:ascii="Bookman Old Style" w:hAnsi="Bookman Old Style"/>
          <w:sz w:val="18"/>
          <w:szCs w:val="18"/>
        </w:rPr>
        <w:t>’</w:t>
      </w:r>
      <w:r w:rsidRPr="00D91312">
        <w:rPr>
          <w:rFonts w:ascii="Bookman Old Style" w:hAnsi="Bookman Old Style"/>
          <w:sz w:val="18"/>
          <w:szCs w:val="18"/>
        </w:rPr>
        <w:t>art. 14 della l. 689/81 non si applicherebbe ai procedimenti in questione</w:t>
      </w:r>
      <w:r w:rsidR="006B0945" w:rsidRPr="00D91312">
        <w:rPr>
          <w:rFonts w:ascii="Bookman Old Style" w:hAnsi="Bookman Old Style"/>
          <w:sz w:val="18"/>
          <w:szCs w:val="18"/>
        </w:rPr>
        <w:t>, si riferisce a fatti del 2008, anteriori a quella legge.</w:t>
      </w:r>
    </w:p>
  </w:footnote>
  <w:footnote w:id="5">
    <w:p w:rsidR="00307D24" w:rsidRPr="00D91312" w:rsidRDefault="00307D24" w:rsidP="00307D24">
      <w:pPr>
        <w:pStyle w:val="Testonotaapidipagina"/>
        <w:jc w:val="both"/>
        <w:rPr>
          <w:rFonts w:ascii="Bookman Old Style" w:hAnsi="Bookman Old Style"/>
          <w:sz w:val="18"/>
          <w:szCs w:val="18"/>
        </w:rPr>
      </w:pPr>
      <w:r w:rsidRPr="00D91312">
        <w:rPr>
          <w:rStyle w:val="Rimandonotaapidipagina"/>
          <w:rFonts w:ascii="Bookman Old Style" w:hAnsi="Bookman Old Style"/>
          <w:sz w:val="18"/>
          <w:szCs w:val="18"/>
        </w:rPr>
        <w:footnoteRef/>
      </w:r>
      <w:r w:rsidRPr="00D91312">
        <w:rPr>
          <w:rFonts w:ascii="Bookman Old Style" w:hAnsi="Bookman Old Style"/>
          <w:sz w:val="18"/>
          <w:szCs w:val="18"/>
        </w:rPr>
        <w:t xml:space="preserve">  </w:t>
      </w:r>
      <w:r w:rsidRPr="00D91312">
        <w:rPr>
          <w:rFonts w:ascii="Bookman Old Style" w:hAnsi="Bookman Old Style"/>
          <w:i/>
          <w:sz w:val="18"/>
          <w:szCs w:val="18"/>
        </w:rPr>
        <w:t xml:space="preserve">Ex </w:t>
      </w:r>
      <w:proofErr w:type="spellStart"/>
      <w:r w:rsidRPr="00D91312">
        <w:rPr>
          <w:rFonts w:ascii="Bookman Old Style" w:hAnsi="Bookman Old Style"/>
          <w:i/>
          <w:sz w:val="18"/>
          <w:szCs w:val="18"/>
        </w:rPr>
        <w:t>ceteris</w:t>
      </w:r>
      <w:proofErr w:type="spellEnd"/>
      <w:r w:rsidRPr="00D91312">
        <w:rPr>
          <w:rFonts w:ascii="Bookman Old Style" w:hAnsi="Bookman Old Style"/>
          <w:sz w:val="18"/>
          <w:szCs w:val="18"/>
        </w:rPr>
        <w:t xml:space="preserve">, </w:t>
      </w:r>
      <w:proofErr w:type="spellStart"/>
      <w:r w:rsidRPr="00D91312">
        <w:rPr>
          <w:rFonts w:ascii="Bookman Old Style" w:hAnsi="Bookman Old Style"/>
          <w:sz w:val="18"/>
          <w:szCs w:val="18"/>
        </w:rPr>
        <w:t>Cass</w:t>
      </w:r>
      <w:proofErr w:type="spellEnd"/>
      <w:r w:rsidRPr="00D91312">
        <w:rPr>
          <w:rFonts w:ascii="Bookman Old Style" w:hAnsi="Bookman Old Style"/>
          <w:sz w:val="18"/>
          <w:szCs w:val="18"/>
        </w:rPr>
        <w:t>., sez. lav. 25 giugno 2007, n. 14692; id., 1° luglio 2008, n. 17978; sez. VI, 15 ottobre 2010, n. 21365.</w:t>
      </w:r>
    </w:p>
  </w:footnote>
  <w:footnote w:id="6">
    <w:p w:rsidR="00307D24" w:rsidRPr="00D91312" w:rsidRDefault="00307D24" w:rsidP="00307D24">
      <w:pPr>
        <w:pStyle w:val="Testonotaapidipagina"/>
        <w:jc w:val="both"/>
        <w:rPr>
          <w:rFonts w:ascii="Bookman Old Style" w:hAnsi="Bookman Old Style"/>
          <w:sz w:val="18"/>
          <w:szCs w:val="18"/>
        </w:rPr>
      </w:pPr>
      <w:r w:rsidRPr="00D91312">
        <w:rPr>
          <w:rStyle w:val="Rimandonotaapidipagina"/>
          <w:rFonts w:ascii="Bookman Old Style" w:hAnsi="Bookman Old Style"/>
          <w:sz w:val="18"/>
          <w:szCs w:val="18"/>
        </w:rPr>
        <w:footnoteRef/>
      </w:r>
      <w:r w:rsidRPr="00D91312">
        <w:rPr>
          <w:rFonts w:ascii="Bookman Old Style" w:hAnsi="Bookman Old Style"/>
          <w:sz w:val="18"/>
          <w:szCs w:val="18"/>
        </w:rPr>
        <w:t xml:space="preserve">  Cfr. </w:t>
      </w:r>
      <w:proofErr w:type="spellStart"/>
      <w:r w:rsidRPr="00D91312">
        <w:rPr>
          <w:rFonts w:ascii="Bookman Old Style" w:hAnsi="Bookman Old Style"/>
          <w:sz w:val="18"/>
          <w:szCs w:val="18"/>
        </w:rPr>
        <w:t>C.d.S</w:t>
      </w:r>
      <w:proofErr w:type="spellEnd"/>
      <w:r w:rsidRPr="00D91312">
        <w:rPr>
          <w:rFonts w:ascii="Bookman Old Style" w:hAnsi="Bookman Old Style"/>
          <w:sz w:val="18"/>
          <w:szCs w:val="18"/>
        </w:rPr>
        <w:t>., sez. VI, 4 aprile 2019, n. 2289, con ampi richiami.</w:t>
      </w:r>
    </w:p>
  </w:footnote>
  <w:footnote w:id="7">
    <w:p w:rsidR="00334A38" w:rsidRPr="00D91312" w:rsidRDefault="00334A38" w:rsidP="00307D24">
      <w:pPr>
        <w:pStyle w:val="Testonotaapidipagina"/>
        <w:jc w:val="both"/>
        <w:rPr>
          <w:rFonts w:ascii="Bookman Old Style" w:hAnsi="Bookman Old Style"/>
          <w:sz w:val="18"/>
          <w:szCs w:val="18"/>
        </w:rPr>
      </w:pPr>
      <w:r w:rsidRPr="00D91312">
        <w:rPr>
          <w:rStyle w:val="Rimandonotaapidipagina"/>
          <w:rFonts w:ascii="Bookman Old Style" w:hAnsi="Bookman Old Style"/>
          <w:sz w:val="18"/>
          <w:szCs w:val="18"/>
        </w:rPr>
        <w:footnoteRef/>
      </w:r>
      <w:r w:rsidRPr="00D91312">
        <w:rPr>
          <w:rFonts w:ascii="Bookman Old Style" w:hAnsi="Bookman Old Style"/>
          <w:sz w:val="18"/>
          <w:szCs w:val="18"/>
        </w:rPr>
        <w:t xml:space="preserve"> Cfr. </w:t>
      </w:r>
      <w:proofErr w:type="spellStart"/>
      <w:r w:rsidRPr="00D91312">
        <w:rPr>
          <w:rFonts w:ascii="Bookman Old Style" w:hAnsi="Bookman Old Style"/>
          <w:sz w:val="18"/>
          <w:szCs w:val="18"/>
        </w:rPr>
        <w:t>C.d.S</w:t>
      </w:r>
      <w:proofErr w:type="spellEnd"/>
      <w:r w:rsidRPr="00D91312">
        <w:rPr>
          <w:rFonts w:ascii="Bookman Old Style" w:hAnsi="Bookman Old Style"/>
          <w:sz w:val="18"/>
          <w:szCs w:val="18"/>
        </w:rPr>
        <w:t>., sez. V, 16 giugno 2023, n. 5969.</w:t>
      </w:r>
    </w:p>
  </w:footnote>
  <w:footnote w:id="8">
    <w:p w:rsidR="00334A38" w:rsidRPr="00D91312" w:rsidRDefault="00334A38" w:rsidP="00307D24">
      <w:pPr>
        <w:pStyle w:val="Testonotaapidipagina"/>
        <w:jc w:val="both"/>
        <w:rPr>
          <w:rFonts w:ascii="Bookman Old Style" w:hAnsi="Bookman Old Style"/>
          <w:sz w:val="18"/>
          <w:szCs w:val="18"/>
        </w:rPr>
      </w:pPr>
      <w:r w:rsidRPr="00D91312">
        <w:rPr>
          <w:rStyle w:val="Rimandonotaapidipagina"/>
          <w:rFonts w:ascii="Bookman Old Style" w:hAnsi="Bookman Old Style"/>
          <w:sz w:val="18"/>
          <w:szCs w:val="18"/>
        </w:rPr>
        <w:footnoteRef/>
      </w:r>
      <w:r w:rsidRPr="00D91312">
        <w:rPr>
          <w:rFonts w:ascii="Bookman Old Style" w:hAnsi="Bookman Old Style"/>
          <w:sz w:val="18"/>
          <w:szCs w:val="18"/>
        </w:rPr>
        <w:t xml:space="preserve"> Per consolidata giurisprudenza della Cassazione la violazione di quel termine da parte della Banca d</w:t>
      </w:r>
      <w:r w:rsidR="008655D6" w:rsidRPr="00D91312">
        <w:rPr>
          <w:rFonts w:ascii="Bookman Old Style" w:hAnsi="Bookman Old Style"/>
          <w:sz w:val="18"/>
          <w:szCs w:val="18"/>
        </w:rPr>
        <w:t>’</w:t>
      </w:r>
      <w:r w:rsidRPr="00D91312">
        <w:rPr>
          <w:rFonts w:ascii="Bookman Old Style" w:hAnsi="Bookman Old Style"/>
          <w:sz w:val="18"/>
          <w:szCs w:val="18"/>
        </w:rPr>
        <w:t xml:space="preserve">Italia (ad es. </w:t>
      </w:r>
      <w:proofErr w:type="spellStart"/>
      <w:r w:rsidRPr="00D91312">
        <w:rPr>
          <w:rFonts w:ascii="Bookman Old Style" w:hAnsi="Bookman Old Style"/>
          <w:sz w:val="18"/>
          <w:szCs w:val="18"/>
        </w:rPr>
        <w:t>Cass</w:t>
      </w:r>
      <w:proofErr w:type="spellEnd"/>
      <w:r w:rsidRPr="00D91312">
        <w:rPr>
          <w:rFonts w:ascii="Bookman Old Style" w:hAnsi="Bookman Old Style"/>
          <w:sz w:val="18"/>
          <w:szCs w:val="18"/>
        </w:rPr>
        <w:t xml:space="preserve">., sez. II, 3 settembre 2018, n. 21553) o della CONSOB (ad es. </w:t>
      </w:r>
      <w:proofErr w:type="spellStart"/>
      <w:r w:rsidRPr="00D91312">
        <w:rPr>
          <w:rFonts w:ascii="Bookman Old Style" w:hAnsi="Bookman Old Style"/>
          <w:sz w:val="18"/>
          <w:szCs w:val="18"/>
        </w:rPr>
        <w:t>Cass</w:t>
      </w:r>
      <w:proofErr w:type="spellEnd"/>
      <w:r w:rsidRPr="00D91312">
        <w:rPr>
          <w:rFonts w:ascii="Bookman Old Style" w:hAnsi="Bookman Old Style"/>
          <w:sz w:val="18"/>
          <w:szCs w:val="18"/>
        </w:rPr>
        <w:t>, sez. II 3 novembre 2021 n. 31239) non determinerebbe l</w:t>
      </w:r>
      <w:r w:rsidR="008655D6" w:rsidRPr="00D91312">
        <w:rPr>
          <w:rFonts w:ascii="Bookman Old Style" w:hAnsi="Bookman Old Style"/>
          <w:sz w:val="18"/>
          <w:szCs w:val="18"/>
        </w:rPr>
        <w:t>’</w:t>
      </w:r>
      <w:r w:rsidRPr="00D91312">
        <w:rPr>
          <w:rFonts w:ascii="Bookman Old Style" w:hAnsi="Bookman Old Style"/>
          <w:sz w:val="18"/>
          <w:szCs w:val="18"/>
        </w:rPr>
        <w:t xml:space="preserve">illegittimità del provvedimento, che per la sua natura sanzionatoria sarebbe compiutamente retto dai principi sanciti dalla l. n. 689 del 1981 e quindi soggetto unicamente al termine di prescrizione dalla stessa stabilito, in difetto di una diversa norma di legge (il richiamo al difetto di norme speciali che stabiliscano sbarramenti temporali </w:t>
      </w:r>
      <w:proofErr w:type="spellStart"/>
      <w:r w:rsidRPr="00D91312">
        <w:rPr>
          <w:rFonts w:ascii="Bookman Old Style" w:hAnsi="Bookman Old Style"/>
          <w:sz w:val="18"/>
          <w:szCs w:val="18"/>
        </w:rPr>
        <w:t>decadenziali</w:t>
      </w:r>
      <w:proofErr w:type="spellEnd"/>
      <w:r w:rsidRPr="00D91312">
        <w:rPr>
          <w:rFonts w:ascii="Bookman Old Style" w:hAnsi="Bookman Old Style"/>
          <w:sz w:val="18"/>
          <w:szCs w:val="18"/>
        </w:rPr>
        <w:t xml:space="preserve"> è una costante dell</w:t>
      </w:r>
      <w:r w:rsidR="008655D6" w:rsidRPr="00D91312">
        <w:rPr>
          <w:rFonts w:ascii="Bookman Old Style" w:hAnsi="Bookman Old Style"/>
          <w:sz w:val="18"/>
          <w:szCs w:val="18"/>
        </w:rPr>
        <w:t>’</w:t>
      </w:r>
      <w:r w:rsidRPr="00D91312">
        <w:rPr>
          <w:rFonts w:ascii="Bookman Old Style" w:hAnsi="Bookman Old Style"/>
          <w:sz w:val="18"/>
          <w:szCs w:val="18"/>
        </w:rPr>
        <w:t>indirizzo in esame); si afferma talvolta che, in relazione al contenuto vincolato del provvedimento, si tratterebbe di un vizio che non influisce sul diritto di difesa e perciò non comporterebbe invalidità del provvedimento sanzionatorio ai sensi dell</w:t>
      </w:r>
      <w:r w:rsidR="008655D6" w:rsidRPr="00D91312">
        <w:rPr>
          <w:rFonts w:ascii="Bookman Old Style" w:hAnsi="Bookman Old Style"/>
          <w:sz w:val="18"/>
          <w:szCs w:val="18"/>
        </w:rPr>
        <w:t>’</w:t>
      </w:r>
      <w:r w:rsidRPr="00D91312">
        <w:rPr>
          <w:rFonts w:ascii="Bookman Old Style" w:hAnsi="Bookman Old Style"/>
          <w:sz w:val="18"/>
          <w:szCs w:val="18"/>
        </w:rPr>
        <w:t xml:space="preserve">art. art. 21 </w:t>
      </w:r>
      <w:proofErr w:type="spellStart"/>
      <w:r w:rsidRPr="00D91312">
        <w:rPr>
          <w:rFonts w:ascii="Bookman Old Style" w:hAnsi="Bookman Old Style"/>
          <w:sz w:val="18"/>
          <w:szCs w:val="18"/>
        </w:rPr>
        <w:t>octies</w:t>
      </w:r>
      <w:proofErr w:type="spellEnd"/>
      <w:r w:rsidRPr="00D91312">
        <w:rPr>
          <w:rFonts w:ascii="Bookman Old Style" w:hAnsi="Bookman Old Style"/>
          <w:sz w:val="18"/>
          <w:szCs w:val="18"/>
        </w:rPr>
        <w:t xml:space="preserve"> della l. n. 241 del 1990 (</w:t>
      </w:r>
      <w:proofErr w:type="spellStart"/>
      <w:r w:rsidRPr="00D91312">
        <w:rPr>
          <w:rFonts w:ascii="Bookman Old Style" w:hAnsi="Bookman Old Style"/>
          <w:sz w:val="18"/>
          <w:szCs w:val="18"/>
        </w:rPr>
        <w:t>Cass</w:t>
      </w:r>
      <w:proofErr w:type="spellEnd"/>
      <w:r w:rsidRPr="00D91312">
        <w:rPr>
          <w:rFonts w:ascii="Bookman Old Style" w:hAnsi="Bookman Old Style"/>
          <w:sz w:val="18"/>
          <w:szCs w:val="18"/>
        </w:rPr>
        <w:t>. n. 21553/18 cit., dove ulteriori rinvii).</w:t>
      </w:r>
    </w:p>
  </w:footnote>
  <w:footnote w:id="9">
    <w:p w:rsidR="00334A38" w:rsidRPr="00D91312" w:rsidRDefault="00334A38" w:rsidP="00307D24">
      <w:pPr>
        <w:pStyle w:val="Testonotaapidipagina"/>
        <w:jc w:val="both"/>
        <w:rPr>
          <w:rFonts w:ascii="Bookman Old Style" w:hAnsi="Bookman Old Style"/>
          <w:sz w:val="18"/>
          <w:szCs w:val="18"/>
        </w:rPr>
      </w:pPr>
      <w:r w:rsidRPr="00D91312">
        <w:rPr>
          <w:rStyle w:val="Rimandonotaapidipagina"/>
          <w:rFonts w:ascii="Bookman Old Style" w:hAnsi="Bookman Old Style"/>
          <w:sz w:val="18"/>
          <w:szCs w:val="18"/>
        </w:rPr>
        <w:footnoteRef/>
      </w:r>
      <w:r w:rsidRPr="00D91312">
        <w:rPr>
          <w:rFonts w:ascii="Bookman Old Style" w:hAnsi="Bookman Old Style"/>
          <w:sz w:val="18"/>
          <w:szCs w:val="18"/>
        </w:rPr>
        <w:t xml:space="preserve"> </w:t>
      </w:r>
      <w:r w:rsidRPr="00D91312">
        <w:rPr>
          <w:rFonts w:ascii="Bookman Old Style" w:hAnsi="Bookman Old Style"/>
          <w:i/>
          <w:sz w:val="18"/>
          <w:szCs w:val="18"/>
        </w:rPr>
        <w:t xml:space="preserve">Ex </w:t>
      </w:r>
      <w:proofErr w:type="spellStart"/>
      <w:r w:rsidRPr="00D91312">
        <w:rPr>
          <w:rFonts w:ascii="Bookman Old Style" w:hAnsi="Bookman Old Style"/>
          <w:i/>
          <w:sz w:val="18"/>
          <w:szCs w:val="18"/>
        </w:rPr>
        <w:t>multis</w:t>
      </w:r>
      <w:proofErr w:type="spellEnd"/>
      <w:r w:rsidRPr="00D91312">
        <w:rPr>
          <w:rFonts w:ascii="Bookman Old Style" w:hAnsi="Bookman Old Style"/>
          <w:sz w:val="18"/>
          <w:szCs w:val="18"/>
        </w:rPr>
        <w:t xml:space="preserve">, </w:t>
      </w:r>
      <w:proofErr w:type="spellStart"/>
      <w:r w:rsidRPr="00D91312">
        <w:rPr>
          <w:rFonts w:ascii="Bookman Old Style" w:hAnsi="Bookman Old Style"/>
          <w:sz w:val="18"/>
          <w:szCs w:val="18"/>
        </w:rPr>
        <w:t>Cass</w:t>
      </w:r>
      <w:proofErr w:type="spellEnd"/>
      <w:r w:rsidRPr="00D91312">
        <w:rPr>
          <w:rFonts w:ascii="Bookman Old Style" w:hAnsi="Bookman Old Style"/>
          <w:sz w:val="18"/>
          <w:szCs w:val="18"/>
        </w:rPr>
        <w:t xml:space="preserve">., sez. II, 19 aprile 2023, n. 10475; </w:t>
      </w:r>
      <w:proofErr w:type="spellStart"/>
      <w:r w:rsidRPr="00D91312">
        <w:rPr>
          <w:rFonts w:ascii="Bookman Old Style" w:hAnsi="Bookman Old Style"/>
          <w:sz w:val="18"/>
          <w:szCs w:val="18"/>
        </w:rPr>
        <w:t>Cass</w:t>
      </w:r>
      <w:proofErr w:type="spellEnd"/>
      <w:r w:rsidRPr="00D91312">
        <w:rPr>
          <w:rFonts w:ascii="Bookman Old Style" w:hAnsi="Bookman Old Style"/>
          <w:sz w:val="18"/>
          <w:szCs w:val="18"/>
        </w:rPr>
        <w:t>., sez. II, 19 febbraio 2019, n. 4820.</w:t>
      </w:r>
    </w:p>
  </w:footnote>
  <w:footnote w:id="10">
    <w:p w:rsidR="00334A38" w:rsidRPr="00D91312" w:rsidRDefault="00334A38" w:rsidP="00307D24">
      <w:pPr>
        <w:pStyle w:val="Testonotaapidipagina"/>
        <w:jc w:val="both"/>
        <w:rPr>
          <w:rFonts w:ascii="Bookman Old Style" w:hAnsi="Bookman Old Style"/>
          <w:sz w:val="18"/>
          <w:szCs w:val="18"/>
        </w:rPr>
      </w:pPr>
      <w:r w:rsidRPr="00D91312">
        <w:rPr>
          <w:rStyle w:val="Rimandonotaapidipagina"/>
          <w:rFonts w:ascii="Bookman Old Style" w:hAnsi="Bookman Old Style"/>
          <w:sz w:val="18"/>
          <w:szCs w:val="18"/>
        </w:rPr>
        <w:footnoteRef/>
      </w:r>
      <w:r w:rsidR="003518E2" w:rsidRPr="00D91312">
        <w:rPr>
          <w:rFonts w:ascii="Bookman Old Style" w:hAnsi="Bookman Old Style"/>
          <w:sz w:val="18"/>
          <w:szCs w:val="18"/>
        </w:rPr>
        <w:t xml:space="preserve"> </w:t>
      </w:r>
      <w:proofErr w:type="spellStart"/>
      <w:r w:rsidRPr="00D91312">
        <w:rPr>
          <w:rFonts w:ascii="Bookman Old Style" w:hAnsi="Bookman Old Style"/>
          <w:sz w:val="18"/>
          <w:szCs w:val="18"/>
        </w:rPr>
        <w:t>C.d.S</w:t>
      </w:r>
      <w:proofErr w:type="spellEnd"/>
      <w:r w:rsidRPr="00D91312">
        <w:rPr>
          <w:rFonts w:ascii="Bookman Old Style" w:hAnsi="Bookman Old Style"/>
          <w:sz w:val="18"/>
          <w:szCs w:val="18"/>
        </w:rPr>
        <w:t xml:space="preserve">., sez. VI, 12 gennaio 2023, </w:t>
      </w:r>
      <w:proofErr w:type="spellStart"/>
      <w:r w:rsidRPr="00D91312">
        <w:rPr>
          <w:rFonts w:ascii="Bookman Old Style" w:hAnsi="Bookman Old Style"/>
          <w:sz w:val="18"/>
          <w:szCs w:val="18"/>
        </w:rPr>
        <w:t>nn</w:t>
      </w:r>
      <w:proofErr w:type="spellEnd"/>
      <w:r w:rsidRPr="00D91312">
        <w:rPr>
          <w:rFonts w:ascii="Bookman Old Style" w:hAnsi="Bookman Old Style"/>
          <w:sz w:val="18"/>
          <w:szCs w:val="18"/>
        </w:rPr>
        <w:t>. 410 e 413, per la COVIP; T.A.R. Lazio, sez. II, 26 gennaio 2021, n. 1034 (non appellata), per l</w:t>
      </w:r>
      <w:r w:rsidR="008655D6" w:rsidRPr="00D91312">
        <w:rPr>
          <w:rFonts w:ascii="Bookman Old Style" w:hAnsi="Bookman Old Style"/>
          <w:sz w:val="18"/>
          <w:szCs w:val="18"/>
        </w:rPr>
        <w:t>’</w:t>
      </w:r>
      <w:r w:rsidRPr="00D91312">
        <w:rPr>
          <w:rFonts w:ascii="Bookman Old Style" w:hAnsi="Bookman Old Style"/>
          <w:sz w:val="18"/>
          <w:szCs w:val="18"/>
        </w:rPr>
        <w:t>IVASS.</w:t>
      </w:r>
    </w:p>
  </w:footnote>
  <w:footnote w:id="11">
    <w:p w:rsidR="00334A38" w:rsidRPr="00D91312" w:rsidRDefault="00334A38" w:rsidP="00307D24">
      <w:pPr>
        <w:pStyle w:val="Testonotaapidipagina"/>
        <w:jc w:val="both"/>
        <w:rPr>
          <w:rFonts w:ascii="Bookman Old Style" w:hAnsi="Bookman Old Style"/>
          <w:sz w:val="18"/>
          <w:szCs w:val="18"/>
        </w:rPr>
      </w:pPr>
      <w:r w:rsidRPr="00D91312">
        <w:rPr>
          <w:rStyle w:val="Rimandonotaapidipagina"/>
          <w:rFonts w:ascii="Bookman Old Style" w:hAnsi="Bookman Old Style"/>
          <w:sz w:val="18"/>
          <w:szCs w:val="18"/>
        </w:rPr>
        <w:footnoteRef/>
      </w:r>
      <w:r w:rsidRPr="00D91312">
        <w:rPr>
          <w:rFonts w:ascii="Bookman Old Style" w:hAnsi="Bookman Old Style"/>
          <w:sz w:val="18"/>
          <w:szCs w:val="18"/>
        </w:rPr>
        <w:t xml:space="preserve"> In questo senso, ad es., R. Alessi e (C. Olivieri), </w:t>
      </w:r>
      <w:r w:rsidRPr="00D91312">
        <w:rPr>
          <w:rFonts w:ascii="Bookman Old Style" w:hAnsi="Bookman Old Style"/>
          <w:i/>
          <w:sz w:val="18"/>
          <w:szCs w:val="18"/>
        </w:rPr>
        <w:t>La disciplina della concorrenza e del mercato</w:t>
      </w:r>
      <w:r w:rsidRPr="00D91312">
        <w:rPr>
          <w:rFonts w:ascii="Bookman Old Style" w:hAnsi="Bookman Old Style"/>
          <w:sz w:val="18"/>
          <w:szCs w:val="18"/>
        </w:rPr>
        <w:t>, Torino, 1991, pag. 168.</w:t>
      </w:r>
    </w:p>
  </w:footnote>
  <w:footnote w:id="12">
    <w:p w:rsidR="00334A38" w:rsidRPr="00D91312" w:rsidRDefault="00334A38" w:rsidP="00307D24">
      <w:pPr>
        <w:pStyle w:val="Testonotaapidipagina"/>
        <w:jc w:val="both"/>
        <w:rPr>
          <w:rFonts w:ascii="Bookman Old Style" w:hAnsi="Bookman Old Style"/>
          <w:sz w:val="18"/>
          <w:szCs w:val="18"/>
        </w:rPr>
      </w:pPr>
      <w:r w:rsidRPr="00D91312">
        <w:rPr>
          <w:rStyle w:val="Rimandonotaapidipagina"/>
          <w:rFonts w:ascii="Bookman Old Style" w:hAnsi="Bookman Old Style"/>
          <w:sz w:val="18"/>
          <w:szCs w:val="18"/>
        </w:rPr>
        <w:footnoteRef/>
      </w:r>
      <w:r w:rsidRPr="00D91312">
        <w:rPr>
          <w:rFonts w:ascii="Bookman Old Style" w:hAnsi="Bookman Old Style"/>
          <w:sz w:val="18"/>
          <w:szCs w:val="18"/>
        </w:rPr>
        <w:t xml:space="preserve"> Cfr. A. Barone, </w:t>
      </w:r>
      <w:r w:rsidRPr="00D91312">
        <w:rPr>
          <w:rFonts w:ascii="Bookman Old Style" w:hAnsi="Bookman Old Style"/>
          <w:i/>
          <w:sz w:val="18"/>
          <w:szCs w:val="18"/>
        </w:rPr>
        <w:t>Commento all</w:t>
      </w:r>
      <w:r w:rsidR="008655D6" w:rsidRPr="00D91312">
        <w:rPr>
          <w:rFonts w:ascii="Bookman Old Style" w:hAnsi="Bookman Old Style"/>
          <w:i/>
          <w:sz w:val="18"/>
          <w:szCs w:val="18"/>
        </w:rPr>
        <w:t>’</w:t>
      </w:r>
      <w:r w:rsidRPr="00D91312">
        <w:rPr>
          <w:rFonts w:ascii="Bookman Old Style" w:hAnsi="Bookman Old Style"/>
          <w:i/>
          <w:sz w:val="18"/>
          <w:szCs w:val="18"/>
        </w:rPr>
        <w:t>art. 31</w:t>
      </w:r>
      <w:r w:rsidRPr="00D91312">
        <w:rPr>
          <w:rFonts w:ascii="Bookman Old Style" w:hAnsi="Bookman Old Style"/>
          <w:sz w:val="18"/>
          <w:szCs w:val="18"/>
        </w:rPr>
        <w:t xml:space="preserve">, in </w:t>
      </w:r>
      <w:r w:rsidRPr="00D91312">
        <w:rPr>
          <w:rFonts w:ascii="Bookman Old Style" w:hAnsi="Bookman Old Style"/>
          <w:i/>
          <w:sz w:val="18"/>
          <w:szCs w:val="18"/>
        </w:rPr>
        <w:t>Diritto antitrust italiano</w:t>
      </w:r>
      <w:r w:rsidRPr="00D91312">
        <w:rPr>
          <w:rFonts w:ascii="Bookman Old Style" w:hAnsi="Bookman Old Style"/>
          <w:sz w:val="18"/>
          <w:szCs w:val="18"/>
        </w:rPr>
        <w:t xml:space="preserve">, a cura di A. </w:t>
      </w:r>
      <w:proofErr w:type="spellStart"/>
      <w:r w:rsidRPr="00D91312">
        <w:rPr>
          <w:rFonts w:ascii="Bookman Old Style" w:hAnsi="Bookman Old Style"/>
          <w:sz w:val="18"/>
          <w:szCs w:val="18"/>
        </w:rPr>
        <w:t>Frignani</w:t>
      </w:r>
      <w:proofErr w:type="spellEnd"/>
      <w:r w:rsidRPr="00D91312">
        <w:rPr>
          <w:rFonts w:ascii="Bookman Old Style" w:hAnsi="Bookman Old Style"/>
          <w:sz w:val="18"/>
          <w:szCs w:val="18"/>
        </w:rPr>
        <w:t xml:space="preserve">, R. Pardolesi, A. Patroni Griffi, L.C. </w:t>
      </w:r>
      <w:proofErr w:type="spellStart"/>
      <w:r w:rsidRPr="00D91312">
        <w:rPr>
          <w:rFonts w:ascii="Bookman Old Style" w:hAnsi="Bookman Old Style"/>
          <w:sz w:val="18"/>
          <w:szCs w:val="18"/>
        </w:rPr>
        <w:t>Ubertazzi</w:t>
      </w:r>
      <w:proofErr w:type="spellEnd"/>
      <w:r w:rsidRPr="00D91312">
        <w:rPr>
          <w:rFonts w:ascii="Bookman Old Style" w:hAnsi="Bookman Old Style"/>
          <w:sz w:val="18"/>
          <w:szCs w:val="18"/>
        </w:rPr>
        <w:t>, vol. 2, Bologna, 1993, pag. 1423 ss., il quale, tacciando l</w:t>
      </w:r>
      <w:r w:rsidR="008655D6" w:rsidRPr="00D91312">
        <w:rPr>
          <w:rFonts w:ascii="Bookman Old Style" w:hAnsi="Bookman Old Style"/>
          <w:sz w:val="18"/>
          <w:szCs w:val="18"/>
        </w:rPr>
        <w:t>’</w:t>
      </w:r>
      <w:r w:rsidRPr="00D91312">
        <w:rPr>
          <w:rFonts w:ascii="Bookman Old Style" w:hAnsi="Bookman Old Style"/>
          <w:sz w:val="18"/>
          <w:szCs w:val="18"/>
        </w:rPr>
        <w:t>inciso “in quanto applicabili” d</w:t>
      </w:r>
      <w:r w:rsidR="008655D6" w:rsidRPr="00D91312">
        <w:rPr>
          <w:rFonts w:ascii="Bookman Old Style" w:hAnsi="Bookman Old Style"/>
          <w:sz w:val="18"/>
          <w:szCs w:val="18"/>
        </w:rPr>
        <w:t>’</w:t>
      </w:r>
      <w:r w:rsidRPr="00D91312">
        <w:rPr>
          <w:rFonts w:ascii="Bookman Old Style" w:hAnsi="Bookman Old Style"/>
          <w:sz w:val="18"/>
          <w:szCs w:val="18"/>
        </w:rPr>
        <w:t>essere null</w:t>
      </w:r>
      <w:r w:rsidR="008655D6" w:rsidRPr="00D91312">
        <w:rPr>
          <w:rFonts w:ascii="Bookman Old Style" w:hAnsi="Bookman Old Style"/>
          <w:sz w:val="18"/>
          <w:szCs w:val="18"/>
        </w:rPr>
        <w:t>’</w:t>
      </w:r>
      <w:r w:rsidRPr="00D91312">
        <w:rPr>
          <w:rFonts w:ascii="Bookman Old Style" w:hAnsi="Bookman Old Style"/>
          <w:sz w:val="18"/>
          <w:szCs w:val="18"/>
        </w:rPr>
        <w:t>altro che una “formula vaga ed anfibologica” e osservando che l</w:t>
      </w:r>
      <w:r w:rsidR="008655D6" w:rsidRPr="00D91312">
        <w:rPr>
          <w:rFonts w:ascii="Bookman Old Style" w:hAnsi="Bookman Old Style"/>
          <w:sz w:val="18"/>
          <w:szCs w:val="18"/>
        </w:rPr>
        <w:t>’</w:t>
      </w:r>
      <w:r w:rsidRPr="00D91312">
        <w:rPr>
          <w:rFonts w:ascii="Bookman Old Style" w:hAnsi="Bookman Old Style"/>
          <w:sz w:val="18"/>
          <w:szCs w:val="18"/>
        </w:rPr>
        <w:t xml:space="preserve">art. 33 non conteneva una disposizione espressamente derogatoria rispetto alla disciplina generale della l. 689 né faceva alcun riferimento al problema della tutela avverso i provvedimenti sanzionatori, discuteva a lungo il problema, pervenendo alla conclusione che fosse plausibile ritenere in materia la competenza pretorile.  </w:t>
      </w:r>
    </w:p>
  </w:footnote>
  <w:footnote w:id="13">
    <w:p w:rsidR="00334A38" w:rsidRPr="00D91312" w:rsidRDefault="00334A38" w:rsidP="00307D24">
      <w:pPr>
        <w:pStyle w:val="Testonotaapidipagina"/>
        <w:jc w:val="both"/>
        <w:rPr>
          <w:rFonts w:ascii="Bookman Old Style" w:hAnsi="Bookman Old Style"/>
          <w:sz w:val="18"/>
          <w:szCs w:val="18"/>
        </w:rPr>
      </w:pPr>
      <w:r w:rsidRPr="00D91312">
        <w:rPr>
          <w:rStyle w:val="Rimandonotaapidipagina"/>
          <w:rFonts w:ascii="Bookman Old Style" w:hAnsi="Bookman Old Style"/>
          <w:sz w:val="18"/>
          <w:szCs w:val="18"/>
        </w:rPr>
        <w:footnoteRef/>
      </w:r>
      <w:r w:rsidRPr="00D91312">
        <w:rPr>
          <w:rFonts w:ascii="Bookman Old Style" w:hAnsi="Bookman Old Style"/>
          <w:sz w:val="18"/>
          <w:szCs w:val="18"/>
        </w:rPr>
        <w:t xml:space="preserve"> V. Freni, </w:t>
      </w:r>
      <w:r w:rsidRPr="00D91312">
        <w:rPr>
          <w:rFonts w:ascii="Bookman Old Style" w:hAnsi="Bookman Old Style"/>
          <w:i/>
          <w:sz w:val="18"/>
          <w:szCs w:val="18"/>
        </w:rPr>
        <w:t>Le sanzioni dell</w:t>
      </w:r>
      <w:r w:rsidR="008655D6" w:rsidRPr="00D91312">
        <w:rPr>
          <w:rFonts w:ascii="Bookman Old Style" w:hAnsi="Bookman Old Style"/>
          <w:i/>
          <w:sz w:val="18"/>
          <w:szCs w:val="18"/>
        </w:rPr>
        <w:t>’</w:t>
      </w:r>
      <w:r w:rsidRPr="00D91312">
        <w:rPr>
          <w:rFonts w:ascii="Bookman Old Style" w:hAnsi="Bookman Old Style"/>
          <w:i/>
          <w:sz w:val="18"/>
          <w:szCs w:val="18"/>
        </w:rPr>
        <w:t>Autorità garante della concorrenza e del mercato</w:t>
      </w:r>
      <w:r w:rsidRPr="00D91312">
        <w:rPr>
          <w:rFonts w:ascii="Bookman Old Style" w:hAnsi="Bookman Old Style"/>
          <w:sz w:val="18"/>
          <w:szCs w:val="18"/>
        </w:rPr>
        <w:t xml:space="preserve">, in </w:t>
      </w:r>
      <w:r w:rsidRPr="00D91312">
        <w:rPr>
          <w:rFonts w:ascii="Bookman Old Style" w:hAnsi="Bookman Old Style"/>
          <w:i/>
          <w:sz w:val="18"/>
          <w:szCs w:val="18"/>
        </w:rPr>
        <w:t>Le sanzioni delle Autorità amministrative indipendenti</w:t>
      </w:r>
      <w:r w:rsidRPr="00D91312">
        <w:rPr>
          <w:rFonts w:ascii="Bookman Old Style" w:hAnsi="Bookman Old Style"/>
          <w:sz w:val="18"/>
          <w:szCs w:val="18"/>
        </w:rPr>
        <w:t>, a cura di M. Fratini, Padova, 2011, pag. 831.</w:t>
      </w:r>
    </w:p>
  </w:footnote>
  <w:footnote w:id="14">
    <w:p w:rsidR="00334A38" w:rsidRPr="00D91312" w:rsidRDefault="00334A38" w:rsidP="00307D24">
      <w:pPr>
        <w:pStyle w:val="Testonotaapidipagina"/>
        <w:jc w:val="both"/>
        <w:rPr>
          <w:rFonts w:ascii="Bookman Old Style" w:hAnsi="Bookman Old Style"/>
          <w:sz w:val="18"/>
          <w:szCs w:val="18"/>
        </w:rPr>
      </w:pPr>
      <w:r w:rsidRPr="00D91312">
        <w:rPr>
          <w:rStyle w:val="Rimandonotaapidipagina"/>
          <w:rFonts w:ascii="Bookman Old Style" w:hAnsi="Bookman Old Style"/>
          <w:sz w:val="18"/>
          <w:szCs w:val="18"/>
        </w:rPr>
        <w:footnoteRef/>
      </w:r>
      <w:r w:rsidRPr="00D91312">
        <w:rPr>
          <w:rFonts w:ascii="Bookman Old Style" w:hAnsi="Bookman Old Style"/>
          <w:sz w:val="18"/>
          <w:szCs w:val="18"/>
        </w:rPr>
        <w:t xml:space="preserve"> </w:t>
      </w:r>
      <w:proofErr w:type="spellStart"/>
      <w:r w:rsidRPr="00D91312">
        <w:rPr>
          <w:rFonts w:ascii="Bookman Old Style" w:hAnsi="Bookman Old Style"/>
          <w:sz w:val="18"/>
          <w:szCs w:val="18"/>
        </w:rPr>
        <w:t>C.d.S</w:t>
      </w:r>
      <w:proofErr w:type="spellEnd"/>
      <w:r w:rsidRPr="00D91312">
        <w:rPr>
          <w:rFonts w:ascii="Bookman Old Style" w:hAnsi="Bookman Old Style"/>
          <w:sz w:val="18"/>
          <w:szCs w:val="18"/>
        </w:rPr>
        <w:t>., sez. VI, 2 marzo 2009, n. 1190; id., 3 aprile 2009, n. 2092.</w:t>
      </w:r>
    </w:p>
  </w:footnote>
  <w:footnote w:id="15">
    <w:p w:rsidR="00334A38" w:rsidRPr="00D91312" w:rsidRDefault="00334A38" w:rsidP="00307D24">
      <w:pPr>
        <w:pStyle w:val="Testonotaapidipagina"/>
        <w:jc w:val="both"/>
        <w:rPr>
          <w:rFonts w:ascii="Bookman Old Style" w:hAnsi="Bookman Old Style"/>
          <w:sz w:val="18"/>
          <w:szCs w:val="18"/>
        </w:rPr>
      </w:pPr>
      <w:r w:rsidRPr="00D91312">
        <w:rPr>
          <w:rStyle w:val="Rimandonotaapidipagina"/>
          <w:rFonts w:ascii="Bookman Old Style" w:hAnsi="Bookman Old Style"/>
          <w:sz w:val="18"/>
          <w:szCs w:val="18"/>
        </w:rPr>
        <w:footnoteRef/>
      </w:r>
      <w:r w:rsidRPr="00D91312">
        <w:rPr>
          <w:rFonts w:ascii="Bookman Old Style" w:hAnsi="Bookman Old Style"/>
          <w:sz w:val="18"/>
          <w:szCs w:val="18"/>
        </w:rPr>
        <w:t xml:space="preserve"> P. </w:t>
      </w:r>
      <w:proofErr w:type="spellStart"/>
      <w:r w:rsidRPr="00D91312">
        <w:rPr>
          <w:rFonts w:ascii="Bookman Old Style" w:hAnsi="Bookman Old Style"/>
          <w:sz w:val="18"/>
          <w:szCs w:val="18"/>
        </w:rPr>
        <w:t>Ziotti</w:t>
      </w:r>
      <w:proofErr w:type="spellEnd"/>
      <w:r w:rsidRPr="00D91312">
        <w:rPr>
          <w:rFonts w:ascii="Bookman Old Style" w:hAnsi="Bookman Old Style"/>
          <w:sz w:val="18"/>
          <w:szCs w:val="18"/>
        </w:rPr>
        <w:t xml:space="preserve"> – I. Perego, </w:t>
      </w:r>
      <w:r w:rsidRPr="00D91312">
        <w:rPr>
          <w:rFonts w:ascii="Bookman Old Style" w:hAnsi="Bookman Old Style"/>
          <w:i/>
          <w:sz w:val="18"/>
          <w:szCs w:val="18"/>
        </w:rPr>
        <w:t>Il procedimento antitrust</w:t>
      </w:r>
      <w:r w:rsidRPr="00D91312">
        <w:rPr>
          <w:rFonts w:ascii="Bookman Old Style" w:hAnsi="Bookman Old Style"/>
          <w:sz w:val="18"/>
          <w:szCs w:val="18"/>
        </w:rPr>
        <w:t xml:space="preserve">, in </w:t>
      </w:r>
      <w:r w:rsidRPr="00D91312">
        <w:rPr>
          <w:rFonts w:ascii="Bookman Old Style" w:hAnsi="Bookman Old Style"/>
          <w:i/>
          <w:sz w:val="18"/>
          <w:szCs w:val="18"/>
        </w:rPr>
        <w:t>Diritto antitrust</w:t>
      </w:r>
      <w:r w:rsidRPr="00D91312">
        <w:rPr>
          <w:rFonts w:ascii="Bookman Old Style" w:hAnsi="Bookman Old Style"/>
          <w:sz w:val="18"/>
          <w:szCs w:val="18"/>
        </w:rPr>
        <w:t xml:space="preserve">, a cura di A. </w:t>
      </w:r>
      <w:proofErr w:type="spellStart"/>
      <w:r w:rsidRPr="00D91312">
        <w:rPr>
          <w:rFonts w:ascii="Bookman Old Style" w:hAnsi="Bookman Old Style"/>
          <w:sz w:val="18"/>
          <w:szCs w:val="18"/>
        </w:rPr>
        <w:t>Catricalà</w:t>
      </w:r>
      <w:proofErr w:type="spellEnd"/>
      <w:r w:rsidRPr="00D91312">
        <w:rPr>
          <w:rFonts w:ascii="Bookman Old Style" w:hAnsi="Bookman Old Style"/>
          <w:sz w:val="18"/>
          <w:szCs w:val="18"/>
        </w:rPr>
        <w:t>, C.E. Cazzato, F. Fimmanò, Milano, 2021, pag. 572.</w:t>
      </w:r>
    </w:p>
  </w:footnote>
  <w:footnote w:id="16">
    <w:p w:rsidR="00334A38" w:rsidRPr="00D91312" w:rsidRDefault="00334A38" w:rsidP="00307D24">
      <w:pPr>
        <w:pStyle w:val="Testonotaapidipagina"/>
        <w:jc w:val="both"/>
        <w:rPr>
          <w:rFonts w:ascii="Bookman Old Style" w:hAnsi="Bookman Old Style"/>
          <w:sz w:val="18"/>
          <w:szCs w:val="18"/>
        </w:rPr>
      </w:pPr>
      <w:r w:rsidRPr="00D91312">
        <w:rPr>
          <w:rStyle w:val="Rimandonotaapidipagina"/>
          <w:rFonts w:ascii="Bookman Old Style" w:hAnsi="Bookman Old Style"/>
          <w:sz w:val="18"/>
          <w:szCs w:val="18"/>
        </w:rPr>
        <w:footnoteRef/>
      </w:r>
      <w:r w:rsidRPr="00D91312">
        <w:rPr>
          <w:rFonts w:ascii="Bookman Old Style" w:hAnsi="Bookman Old Style"/>
          <w:sz w:val="18"/>
          <w:szCs w:val="18"/>
        </w:rPr>
        <w:t xml:space="preserve"> </w:t>
      </w:r>
      <w:proofErr w:type="spellStart"/>
      <w:r w:rsidRPr="00D91312">
        <w:rPr>
          <w:rFonts w:ascii="Bookman Old Style" w:hAnsi="Bookman Old Style"/>
          <w:sz w:val="18"/>
          <w:szCs w:val="18"/>
        </w:rPr>
        <w:t>C.d.S</w:t>
      </w:r>
      <w:proofErr w:type="spellEnd"/>
      <w:r w:rsidRPr="00D91312">
        <w:rPr>
          <w:rFonts w:ascii="Bookman Old Style" w:hAnsi="Bookman Old Style"/>
          <w:sz w:val="18"/>
          <w:szCs w:val="18"/>
        </w:rPr>
        <w:t xml:space="preserve">., sez. VI, 21 gennaio 2020, n. 512; cfr. anche </w:t>
      </w:r>
      <w:proofErr w:type="spellStart"/>
      <w:r w:rsidRPr="00D91312">
        <w:rPr>
          <w:rFonts w:ascii="Bookman Old Style" w:hAnsi="Bookman Old Style"/>
          <w:sz w:val="18"/>
          <w:szCs w:val="18"/>
        </w:rPr>
        <w:t>C.d.S</w:t>
      </w:r>
      <w:proofErr w:type="spellEnd"/>
      <w:r w:rsidRPr="00D91312">
        <w:rPr>
          <w:rFonts w:ascii="Bookman Old Style" w:hAnsi="Bookman Old Style"/>
          <w:sz w:val="18"/>
          <w:szCs w:val="18"/>
        </w:rPr>
        <w:t xml:space="preserve">., sez. VI, 17 novembre 2020, </w:t>
      </w:r>
      <w:proofErr w:type="spellStart"/>
      <w:r w:rsidRPr="00D91312">
        <w:rPr>
          <w:rFonts w:ascii="Bookman Old Style" w:hAnsi="Bookman Old Style"/>
          <w:sz w:val="18"/>
          <w:szCs w:val="18"/>
        </w:rPr>
        <w:t>nn</w:t>
      </w:r>
      <w:proofErr w:type="spellEnd"/>
      <w:r w:rsidRPr="00D91312">
        <w:rPr>
          <w:rFonts w:ascii="Bookman Old Style" w:hAnsi="Bookman Old Style"/>
          <w:sz w:val="18"/>
          <w:szCs w:val="18"/>
        </w:rPr>
        <w:t>. 7150, 7151 e 7153.</w:t>
      </w:r>
    </w:p>
  </w:footnote>
  <w:footnote w:id="17">
    <w:p w:rsidR="00334A38" w:rsidRPr="00D91312" w:rsidRDefault="00334A38" w:rsidP="00307D24">
      <w:pPr>
        <w:pStyle w:val="Testonotaapidipagina"/>
        <w:jc w:val="both"/>
        <w:rPr>
          <w:rFonts w:ascii="Bookman Old Style" w:hAnsi="Bookman Old Style"/>
          <w:sz w:val="18"/>
          <w:szCs w:val="18"/>
        </w:rPr>
      </w:pPr>
      <w:r w:rsidRPr="00D91312">
        <w:rPr>
          <w:rStyle w:val="Rimandonotaapidipagina"/>
          <w:rFonts w:ascii="Bookman Old Style" w:hAnsi="Bookman Old Style"/>
          <w:sz w:val="18"/>
          <w:szCs w:val="18"/>
        </w:rPr>
        <w:footnoteRef/>
      </w:r>
      <w:r w:rsidRPr="00D91312">
        <w:rPr>
          <w:rFonts w:ascii="Bookman Old Style" w:hAnsi="Bookman Old Style"/>
          <w:sz w:val="18"/>
          <w:szCs w:val="18"/>
        </w:rPr>
        <w:t xml:space="preserve"> </w:t>
      </w:r>
      <w:proofErr w:type="spellStart"/>
      <w:r w:rsidRPr="00D91312">
        <w:rPr>
          <w:rFonts w:ascii="Bookman Old Style" w:hAnsi="Bookman Old Style"/>
          <w:sz w:val="18"/>
          <w:szCs w:val="18"/>
        </w:rPr>
        <w:t>C.d.S</w:t>
      </w:r>
      <w:proofErr w:type="spellEnd"/>
      <w:r w:rsidRPr="00D91312">
        <w:rPr>
          <w:rFonts w:ascii="Bookman Old Style" w:hAnsi="Bookman Old Style"/>
          <w:sz w:val="18"/>
          <w:szCs w:val="18"/>
        </w:rPr>
        <w:t>., sez. VI, 21 dicembre 2021, n. 8492, 12 febbraio 2020, n. 1046, 25 giugno 2019, n. 4357, tutte sulla falsariga di sez. VI, 20 giugno 2019, n. 4215, che però riguardava l</w:t>
      </w:r>
      <w:r w:rsidR="008655D6" w:rsidRPr="00D91312">
        <w:rPr>
          <w:rFonts w:ascii="Bookman Old Style" w:hAnsi="Bookman Old Style"/>
          <w:sz w:val="18"/>
          <w:szCs w:val="18"/>
        </w:rPr>
        <w:t>’</w:t>
      </w:r>
      <w:r w:rsidRPr="00D91312">
        <w:rPr>
          <w:rFonts w:ascii="Bookman Old Style" w:hAnsi="Bookman Old Style"/>
          <w:sz w:val="18"/>
          <w:szCs w:val="18"/>
        </w:rPr>
        <w:t>AEEGSI oggi ARERA.</w:t>
      </w:r>
    </w:p>
  </w:footnote>
  <w:footnote w:id="18">
    <w:p w:rsidR="00334A38" w:rsidRPr="00D91312" w:rsidRDefault="00334A38" w:rsidP="00307D24">
      <w:pPr>
        <w:pStyle w:val="Testonotaapidipagina"/>
        <w:jc w:val="both"/>
        <w:rPr>
          <w:rFonts w:ascii="Bookman Old Style" w:hAnsi="Bookman Old Style"/>
          <w:sz w:val="18"/>
          <w:szCs w:val="18"/>
        </w:rPr>
      </w:pPr>
      <w:r w:rsidRPr="00D91312">
        <w:rPr>
          <w:rStyle w:val="Rimandonotaapidipagina"/>
          <w:rFonts w:ascii="Bookman Old Style" w:hAnsi="Bookman Old Style"/>
          <w:sz w:val="18"/>
          <w:szCs w:val="18"/>
        </w:rPr>
        <w:footnoteRef/>
      </w:r>
      <w:r w:rsidRPr="00D91312">
        <w:rPr>
          <w:rFonts w:ascii="Bookman Old Style" w:hAnsi="Bookman Old Style"/>
          <w:sz w:val="18"/>
          <w:szCs w:val="18"/>
        </w:rPr>
        <w:t xml:space="preserve"> Cfr. in particolare </w:t>
      </w:r>
      <w:proofErr w:type="spellStart"/>
      <w:r w:rsidRPr="00D91312">
        <w:rPr>
          <w:rFonts w:ascii="Bookman Old Style" w:hAnsi="Bookman Old Style"/>
          <w:sz w:val="18"/>
          <w:szCs w:val="18"/>
        </w:rPr>
        <w:t>C.d.S</w:t>
      </w:r>
      <w:proofErr w:type="spellEnd"/>
      <w:r w:rsidRPr="00D91312">
        <w:rPr>
          <w:rFonts w:ascii="Bookman Old Style" w:hAnsi="Bookman Old Style"/>
          <w:sz w:val="18"/>
          <w:szCs w:val="18"/>
        </w:rPr>
        <w:t xml:space="preserve">., sez. VI, n. 8492/21 cit. </w:t>
      </w:r>
    </w:p>
  </w:footnote>
  <w:footnote w:id="19">
    <w:p w:rsidR="00334A38" w:rsidRPr="00D91312" w:rsidRDefault="00334A38" w:rsidP="00307D24">
      <w:pPr>
        <w:pStyle w:val="Testonotaapidipagina"/>
        <w:jc w:val="both"/>
        <w:rPr>
          <w:rFonts w:ascii="Bookman Old Style" w:hAnsi="Bookman Old Style"/>
          <w:sz w:val="18"/>
          <w:szCs w:val="18"/>
        </w:rPr>
      </w:pPr>
      <w:r w:rsidRPr="00D91312">
        <w:rPr>
          <w:rStyle w:val="Rimandonotaapidipagina"/>
          <w:rFonts w:ascii="Bookman Old Style" w:hAnsi="Bookman Old Style"/>
          <w:sz w:val="18"/>
          <w:szCs w:val="18"/>
        </w:rPr>
        <w:footnoteRef/>
      </w:r>
      <w:r w:rsidRPr="00D91312">
        <w:rPr>
          <w:rFonts w:ascii="Bookman Old Style" w:hAnsi="Bookman Old Style"/>
          <w:sz w:val="18"/>
          <w:szCs w:val="18"/>
        </w:rPr>
        <w:t xml:space="preserve"> Cfr. </w:t>
      </w:r>
      <w:proofErr w:type="spellStart"/>
      <w:r w:rsidRPr="00D91312">
        <w:rPr>
          <w:rFonts w:ascii="Bookman Old Style" w:hAnsi="Bookman Old Style"/>
          <w:sz w:val="18"/>
          <w:szCs w:val="18"/>
        </w:rPr>
        <w:t>C.d.S</w:t>
      </w:r>
      <w:proofErr w:type="spellEnd"/>
      <w:r w:rsidRPr="00D91312">
        <w:rPr>
          <w:rFonts w:ascii="Bookman Old Style" w:hAnsi="Bookman Old Style"/>
          <w:sz w:val="18"/>
          <w:szCs w:val="18"/>
        </w:rPr>
        <w:t>., sez. VI, n. 4357/19.</w:t>
      </w:r>
    </w:p>
  </w:footnote>
  <w:footnote w:id="20">
    <w:p w:rsidR="00334A38" w:rsidRPr="00D91312" w:rsidRDefault="00334A38" w:rsidP="00307D24">
      <w:pPr>
        <w:pStyle w:val="Testonotaapidipagina"/>
        <w:jc w:val="both"/>
        <w:rPr>
          <w:rFonts w:ascii="Bookman Old Style" w:hAnsi="Bookman Old Style"/>
          <w:sz w:val="18"/>
          <w:szCs w:val="18"/>
        </w:rPr>
      </w:pPr>
      <w:r w:rsidRPr="00D91312">
        <w:rPr>
          <w:rStyle w:val="Rimandonotaapidipagina"/>
          <w:rFonts w:ascii="Bookman Old Style" w:hAnsi="Bookman Old Style"/>
          <w:sz w:val="18"/>
          <w:szCs w:val="18"/>
        </w:rPr>
        <w:footnoteRef/>
      </w:r>
      <w:r w:rsidRPr="00D91312">
        <w:rPr>
          <w:rFonts w:ascii="Bookman Old Style" w:hAnsi="Bookman Old Style"/>
          <w:sz w:val="18"/>
          <w:szCs w:val="18"/>
        </w:rPr>
        <w:t xml:space="preserve"> </w:t>
      </w:r>
      <w:proofErr w:type="spellStart"/>
      <w:r w:rsidRPr="00D91312">
        <w:rPr>
          <w:rFonts w:ascii="Bookman Old Style" w:hAnsi="Bookman Old Style"/>
          <w:sz w:val="18"/>
          <w:szCs w:val="18"/>
        </w:rPr>
        <w:t>C.d.S</w:t>
      </w:r>
      <w:proofErr w:type="spellEnd"/>
      <w:r w:rsidRPr="00D91312">
        <w:rPr>
          <w:rFonts w:ascii="Bookman Old Style" w:hAnsi="Bookman Old Style"/>
          <w:sz w:val="18"/>
          <w:szCs w:val="18"/>
        </w:rPr>
        <w:t>., sez. VI, 21 gennaio 2020, n. 512.</w:t>
      </w:r>
    </w:p>
  </w:footnote>
  <w:footnote w:id="21">
    <w:p w:rsidR="00334A38" w:rsidRPr="00D91312" w:rsidRDefault="00334A38" w:rsidP="00307D24">
      <w:pPr>
        <w:pStyle w:val="Testonotaapidipagina"/>
        <w:jc w:val="both"/>
        <w:rPr>
          <w:rFonts w:ascii="Bookman Old Style" w:hAnsi="Bookman Old Style"/>
          <w:sz w:val="18"/>
          <w:szCs w:val="18"/>
        </w:rPr>
      </w:pPr>
      <w:r w:rsidRPr="00D91312">
        <w:rPr>
          <w:rStyle w:val="Rimandonotaapidipagina"/>
          <w:rFonts w:ascii="Bookman Old Style" w:hAnsi="Bookman Old Style"/>
          <w:sz w:val="18"/>
          <w:szCs w:val="18"/>
        </w:rPr>
        <w:footnoteRef/>
      </w:r>
      <w:r w:rsidRPr="00D91312">
        <w:rPr>
          <w:rFonts w:ascii="Bookman Old Style" w:hAnsi="Bookman Old Style"/>
          <w:sz w:val="18"/>
          <w:szCs w:val="18"/>
        </w:rPr>
        <w:t xml:space="preserve"> Ibidem.</w:t>
      </w:r>
    </w:p>
  </w:footnote>
  <w:footnote w:id="22">
    <w:p w:rsidR="00334A38" w:rsidRPr="00D91312" w:rsidRDefault="00334A38" w:rsidP="00307D24">
      <w:pPr>
        <w:pStyle w:val="Testonotaapidipagina"/>
        <w:jc w:val="both"/>
        <w:rPr>
          <w:rFonts w:ascii="Bookman Old Style" w:hAnsi="Bookman Old Style"/>
          <w:sz w:val="18"/>
          <w:szCs w:val="18"/>
        </w:rPr>
      </w:pPr>
      <w:r w:rsidRPr="00D91312">
        <w:rPr>
          <w:rStyle w:val="Rimandonotaapidipagina"/>
          <w:rFonts w:ascii="Bookman Old Style" w:hAnsi="Bookman Old Style"/>
          <w:sz w:val="18"/>
          <w:szCs w:val="18"/>
        </w:rPr>
        <w:footnoteRef/>
      </w:r>
      <w:r w:rsidRPr="00D91312">
        <w:rPr>
          <w:rFonts w:ascii="Bookman Old Style" w:hAnsi="Bookman Old Style"/>
          <w:sz w:val="18"/>
          <w:szCs w:val="18"/>
        </w:rPr>
        <w:t xml:space="preserve"> </w:t>
      </w:r>
      <w:proofErr w:type="spellStart"/>
      <w:r w:rsidRPr="00D91312">
        <w:rPr>
          <w:rFonts w:ascii="Bookman Old Style" w:hAnsi="Bookman Old Style"/>
          <w:sz w:val="18"/>
          <w:szCs w:val="18"/>
        </w:rPr>
        <w:t>C.d.S</w:t>
      </w:r>
      <w:proofErr w:type="spellEnd"/>
      <w:r w:rsidRPr="00D91312">
        <w:rPr>
          <w:rFonts w:ascii="Bookman Old Style" w:hAnsi="Bookman Old Style"/>
          <w:sz w:val="18"/>
          <w:szCs w:val="18"/>
        </w:rPr>
        <w:t xml:space="preserve">., sez. VI, 9 maggio 2022, </w:t>
      </w:r>
      <w:proofErr w:type="spellStart"/>
      <w:r w:rsidRPr="00D91312">
        <w:rPr>
          <w:rFonts w:ascii="Bookman Old Style" w:hAnsi="Bookman Old Style"/>
          <w:sz w:val="18"/>
          <w:szCs w:val="18"/>
        </w:rPr>
        <w:t>nn</w:t>
      </w:r>
      <w:proofErr w:type="spellEnd"/>
      <w:r w:rsidRPr="00D91312">
        <w:rPr>
          <w:rFonts w:ascii="Bookman Old Style" w:hAnsi="Bookman Old Style"/>
          <w:sz w:val="18"/>
          <w:szCs w:val="18"/>
        </w:rPr>
        <w:t xml:space="preserve">. 3570 e 3572; 4 ottobre 2022, </w:t>
      </w:r>
      <w:proofErr w:type="spellStart"/>
      <w:r w:rsidRPr="00D91312">
        <w:rPr>
          <w:rFonts w:ascii="Bookman Old Style" w:hAnsi="Bookman Old Style"/>
          <w:sz w:val="18"/>
          <w:szCs w:val="18"/>
        </w:rPr>
        <w:t>nn</w:t>
      </w:r>
      <w:proofErr w:type="spellEnd"/>
      <w:r w:rsidRPr="00D91312">
        <w:rPr>
          <w:rFonts w:ascii="Bookman Old Style" w:hAnsi="Bookman Old Style"/>
          <w:sz w:val="18"/>
          <w:szCs w:val="18"/>
        </w:rPr>
        <w:t>. 8503, 8504 e 8505; 15 febbraio 2023, n. 1580.</w:t>
      </w:r>
    </w:p>
  </w:footnote>
  <w:footnote w:id="23">
    <w:p w:rsidR="00334A38" w:rsidRPr="00D91312" w:rsidRDefault="00334A38" w:rsidP="00307D24">
      <w:pPr>
        <w:pStyle w:val="Testonotaapidipagina"/>
        <w:jc w:val="both"/>
        <w:rPr>
          <w:rFonts w:ascii="Bookman Old Style" w:hAnsi="Bookman Old Style"/>
          <w:sz w:val="18"/>
          <w:szCs w:val="18"/>
        </w:rPr>
      </w:pPr>
      <w:r w:rsidRPr="00D91312">
        <w:rPr>
          <w:rStyle w:val="Rimandonotaapidipagina"/>
          <w:rFonts w:ascii="Bookman Old Style" w:hAnsi="Bookman Old Style"/>
          <w:sz w:val="18"/>
          <w:szCs w:val="18"/>
        </w:rPr>
        <w:footnoteRef/>
      </w:r>
      <w:r w:rsidRPr="00D91312">
        <w:rPr>
          <w:rFonts w:ascii="Bookman Old Style" w:hAnsi="Bookman Old Style"/>
          <w:sz w:val="18"/>
          <w:szCs w:val="18"/>
        </w:rPr>
        <w:t xml:space="preserve"> Non si tratta di un </w:t>
      </w:r>
      <w:proofErr w:type="spellStart"/>
      <w:r w:rsidRPr="00D91312">
        <w:rPr>
          <w:rFonts w:ascii="Bookman Old Style" w:hAnsi="Bookman Old Style"/>
          <w:i/>
          <w:sz w:val="18"/>
          <w:szCs w:val="18"/>
        </w:rPr>
        <w:t>revirement</w:t>
      </w:r>
      <w:proofErr w:type="spellEnd"/>
      <w:r w:rsidRPr="00D91312">
        <w:rPr>
          <w:rFonts w:ascii="Bookman Old Style" w:hAnsi="Bookman Old Style"/>
          <w:sz w:val="18"/>
          <w:szCs w:val="18"/>
        </w:rPr>
        <w:t xml:space="preserve"> rispetto alla giurisprudenza costituzionale richiamata da </w:t>
      </w:r>
      <w:proofErr w:type="spellStart"/>
      <w:r w:rsidRPr="00D91312">
        <w:rPr>
          <w:rFonts w:ascii="Bookman Old Style" w:hAnsi="Bookman Old Style"/>
          <w:sz w:val="18"/>
          <w:szCs w:val="18"/>
        </w:rPr>
        <w:t>C.d.S</w:t>
      </w:r>
      <w:proofErr w:type="spellEnd"/>
      <w:r w:rsidRPr="00D91312">
        <w:rPr>
          <w:rFonts w:ascii="Bookman Old Style" w:hAnsi="Bookman Old Style"/>
          <w:sz w:val="18"/>
          <w:szCs w:val="18"/>
        </w:rPr>
        <w:t>., sez. VI, n. 4215/19 cit. (che, come detto, riguarda l</w:t>
      </w:r>
      <w:r w:rsidR="008655D6" w:rsidRPr="00D91312">
        <w:rPr>
          <w:rFonts w:ascii="Bookman Old Style" w:hAnsi="Bookman Old Style"/>
          <w:sz w:val="18"/>
          <w:szCs w:val="18"/>
        </w:rPr>
        <w:t>’</w:t>
      </w:r>
      <w:r w:rsidRPr="00D91312">
        <w:rPr>
          <w:rFonts w:ascii="Bookman Old Style" w:hAnsi="Bookman Old Style"/>
          <w:sz w:val="18"/>
          <w:szCs w:val="18"/>
        </w:rPr>
        <w:t xml:space="preserve">AEEGSI ora ARERA) al punto 10.2 della motivazione, perché quei precedenti (Corte </w:t>
      </w:r>
      <w:proofErr w:type="spellStart"/>
      <w:r w:rsidRPr="00D91312">
        <w:rPr>
          <w:rFonts w:ascii="Bookman Old Style" w:hAnsi="Bookman Old Style"/>
          <w:sz w:val="18"/>
          <w:szCs w:val="18"/>
        </w:rPr>
        <w:t>cost</w:t>
      </w:r>
      <w:proofErr w:type="spellEnd"/>
      <w:r w:rsidRPr="00D91312">
        <w:rPr>
          <w:rFonts w:ascii="Bookman Old Style" w:hAnsi="Bookman Old Style"/>
          <w:sz w:val="18"/>
          <w:szCs w:val="18"/>
        </w:rPr>
        <w:t>. n. 355 del 2002 e n. 262 del 1997) non riguardavano l</w:t>
      </w:r>
      <w:r w:rsidR="008655D6" w:rsidRPr="00D91312">
        <w:rPr>
          <w:rFonts w:ascii="Bookman Old Style" w:hAnsi="Bookman Old Style"/>
          <w:sz w:val="18"/>
          <w:szCs w:val="18"/>
        </w:rPr>
        <w:t>’</w:t>
      </w:r>
      <w:r w:rsidRPr="00D91312">
        <w:rPr>
          <w:rFonts w:ascii="Bookman Old Style" w:hAnsi="Bookman Old Style"/>
          <w:sz w:val="18"/>
          <w:szCs w:val="18"/>
        </w:rPr>
        <w:t>esercizio di poteri amministrativi sanzionatori (l</w:t>
      </w:r>
      <w:r w:rsidR="008655D6" w:rsidRPr="00D91312">
        <w:rPr>
          <w:rFonts w:ascii="Bookman Old Style" w:hAnsi="Bookman Old Style"/>
          <w:sz w:val="18"/>
          <w:szCs w:val="18"/>
        </w:rPr>
        <w:t>’</w:t>
      </w:r>
      <w:r w:rsidRPr="00D91312">
        <w:rPr>
          <w:rFonts w:ascii="Bookman Old Style" w:hAnsi="Bookman Old Style"/>
          <w:sz w:val="18"/>
          <w:szCs w:val="18"/>
        </w:rPr>
        <w:t>una</w:t>
      </w:r>
      <w:r w:rsidR="00D618B7" w:rsidRPr="00D91312">
        <w:rPr>
          <w:rFonts w:ascii="Bookman Old Style" w:hAnsi="Bookman Old Style"/>
          <w:sz w:val="18"/>
          <w:szCs w:val="18"/>
        </w:rPr>
        <w:t xml:space="preserve"> atteneva</w:t>
      </w:r>
      <w:r w:rsidRPr="00D91312">
        <w:rPr>
          <w:rFonts w:ascii="Bookman Old Style" w:hAnsi="Bookman Old Style"/>
          <w:sz w:val="18"/>
          <w:szCs w:val="18"/>
        </w:rPr>
        <w:t xml:space="preserve"> </w:t>
      </w:r>
      <w:r w:rsidR="00D618B7" w:rsidRPr="00D91312">
        <w:rPr>
          <w:rFonts w:ascii="Bookman Old Style" w:hAnsi="Bookman Old Style"/>
          <w:sz w:val="18"/>
          <w:szCs w:val="18"/>
        </w:rPr>
        <w:t>al</w:t>
      </w:r>
      <w:r w:rsidRPr="00D91312">
        <w:rPr>
          <w:rFonts w:ascii="Bookman Old Style" w:hAnsi="Bookman Old Style"/>
          <w:sz w:val="18"/>
          <w:szCs w:val="18"/>
        </w:rPr>
        <w:t>l</w:t>
      </w:r>
      <w:r w:rsidR="008655D6" w:rsidRPr="00D91312">
        <w:rPr>
          <w:rFonts w:ascii="Bookman Old Style" w:hAnsi="Bookman Old Style"/>
          <w:sz w:val="18"/>
          <w:szCs w:val="18"/>
        </w:rPr>
        <w:t>’</w:t>
      </w:r>
      <w:r w:rsidRPr="00D91312">
        <w:rPr>
          <w:rFonts w:ascii="Bookman Old Style" w:hAnsi="Bookman Old Style"/>
          <w:sz w:val="18"/>
          <w:szCs w:val="18"/>
        </w:rPr>
        <w:t>approvazione del piano generale degli impianti pubblicitari; l</w:t>
      </w:r>
      <w:r w:rsidR="008655D6" w:rsidRPr="00D91312">
        <w:rPr>
          <w:rFonts w:ascii="Bookman Old Style" w:hAnsi="Bookman Old Style"/>
          <w:sz w:val="18"/>
          <w:szCs w:val="18"/>
        </w:rPr>
        <w:t>’</w:t>
      </w:r>
      <w:r w:rsidRPr="00D91312">
        <w:rPr>
          <w:rFonts w:ascii="Bookman Old Style" w:hAnsi="Bookman Old Style"/>
          <w:sz w:val="18"/>
          <w:szCs w:val="18"/>
        </w:rPr>
        <w:t xml:space="preserve">altra, </w:t>
      </w:r>
      <w:r w:rsidR="00D618B7" w:rsidRPr="00D91312">
        <w:rPr>
          <w:rFonts w:ascii="Bookman Old Style" w:hAnsi="Bookman Old Style"/>
          <w:sz w:val="18"/>
          <w:szCs w:val="18"/>
        </w:rPr>
        <w:t>al</w:t>
      </w:r>
      <w:r w:rsidRPr="00D91312">
        <w:rPr>
          <w:rFonts w:ascii="Bookman Old Style" w:hAnsi="Bookman Old Style"/>
          <w:sz w:val="18"/>
          <w:szCs w:val="18"/>
        </w:rPr>
        <w:t>la trasformazione in definitivi di vincoli paesistici provvisori).</w:t>
      </w:r>
    </w:p>
  </w:footnote>
  <w:footnote w:id="24">
    <w:p w:rsidR="00334A38" w:rsidRPr="00D91312" w:rsidRDefault="00334A38" w:rsidP="00307D24">
      <w:pPr>
        <w:pStyle w:val="Testonotaapidipagina"/>
        <w:jc w:val="both"/>
        <w:rPr>
          <w:rFonts w:ascii="Bookman Old Style" w:hAnsi="Bookman Old Style"/>
          <w:sz w:val="18"/>
          <w:szCs w:val="18"/>
        </w:rPr>
      </w:pPr>
      <w:r w:rsidRPr="00D91312">
        <w:rPr>
          <w:rStyle w:val="Rimandonotaapidipagina"/>
          <w:rFonts w:ascii="Bookman Old Style" w:hAnsi="Bookman Old Style"/>
          <w:sz w:val="18"/>
          <w:szCs w:val="18"/>
        </w:rPr>
        <w:footnoteRef/>
      </w:r>
      <w:r w:rsidRPr="00D91312">
        <w:rPr>
          <w:rFonts w:ascii="Bookman Old Style" w:hAnsi="Bookman Old Style"/>
          <w:sz w:val="18"/>
          <w:szCs w:val="18"/>
        </w:rPr>
        <w:t xml:space="preserve"> </w:t>
      </w:r>
      <w:r w:rsidRPr="00D91312">
        <w:rPr>
          <w:rFonts w:ascii="Bookman Old Style" w:hAnsi="Bookman Old Style"/>
          <w:i/>
          <w:sz w:val="18"/>
          <w:szCs w:val="18"/>
        </w:rPr>
        <w:t>Comunicazione della Commissione sulle migliori pratiche relative ai procedimenti previsti dagli articoli 101 e 102 del TFUE</w:t>
      </w:r>
      <w:r w:rsidRPr="00D91312">
        <w:rPr>
          <w:rFonts w:ascii="Bookman Old Style" w:hAnsi="Bookman Old Style"/>
          <w:sz w:val="18"/>
          <w:szCs w:val="18"/>
        </w:rPr>
        <w:t>, 2011/C 308/06, § 17</w:t>
      </w:r>
    </w:p>
  </w:footnote>
  <w:footnote w:id="25">
    <w:p w:rsidR="00334A38" w:rsidRPr="00D91312" w:rsidRDefault="00334A38" w:rsidP="00307D24">
      <w:pPr>
        <w:pStyle w:val="Testonotaapidipagina"/>
        <w:jc w:val="both"/>
        <w:rPr>
          <w:rFonts w:ascii="Bookman Old Style" w:hAnsi="Bookman Old Style"/>
          <w:sz w:val="18"/>
          <w:szCs w:val="18"/>
        </w:rPr>
      </w:pPr>
      <w:r w:rsidRPr="00D91312">
        <w:rPr>
          <w:rStyle w:val="Rimandonotaapidipagina"/>
          <w:rFonts w:ascii="Bookman Old Style" w:hAnsi="Bookman Old Style"/>
          <w:sz w:val="18"/>
          <w:szCs w:val="18"/>
        </w:rPr>
        <w:footnoteRef/>
      </w:r>
      <w:r w:rsidRPr="00D91312">
        <w:rPr>
          <w:rFonts w:ascii="Bookman Old Style" w:hAnsi="Bookman Old Style"/>
          <w:sz w:val="18"/>
          <w:szCs w:val="18"/>
        </w:rPr>
        <w:t xml:space="preserve"> Cfr. F. Tomat, </w:t>
      </w:r>
      <w:r w:rsidRPr="00D91312">
        <w:rPr>
          <w:rFonts w:ascii="Bookman Old Style" w:hAnsi="Bookman Old Style"/>
          <w:i/>
          <w:sz w:val="18"/>
          <w:szCs w:val="18"/>
        </w:rPr>
        <w:t>Commento all</w:t>
      </w:r>
      <w:r w:rsidR="008655D6" w:rsidRPr="00D91312">
        <w:rPr>
          <w:rFonts w:ascii="Bookman Old Style" w:hAnsi="Bookman Old Style"/>
          <w:i/>
          <w:sz w:val="18"/>
          <w:szCs w:val="18"/>
        </w:rPr>
        <w:t>’</w:t>
      </w:r>
      <w:r w:rsidRPr="00D91312">
        <w:rPr>
          <w:rFonts w:ascii="Bookman Old Style" w:hAnsi="Bookman Old Style"/>
          <w:i/>
          <w:sz w:val="18"/>
          <w:szCs w:val="18"/>
        </w:rPr>
        <w:t>art. 25, in L</w:t>
      </w:r>
      <w:r w:rsidR="008655D6" w:rsidRPr="00D91312">
        <w:rPr>
          <w:rFonts w:ascii="Bookman Old Style" w:hAnsi="Bookman Old Style"/>
          <w:i/>
          <w:sz w:val="18"/>
          <w:szCs w:val="18"/>
        </w:rPr>
        <w:t>’</w:t>
      </w:r>
      <w:r w:rsidRPr="00D91312">
        <w:rPr>
          <w:rFonts w:ascii="Bookman Old Style" w:hAnsi="Bookman Old Style"/>
          <w:i/>
          <w:sz w:val="18"/>
          <w:szCs w:val="18"/>
        </w:rPr>
        <w:t>applicazione del diritto comunitario della concorrenza. Commentario al regolamento (CE) n. 1/2003 del Consiglio del 16 dicembre 2002</w:t>
      </w:r>
      <w:r w:rsidRPr="00D91312">
        <w:rPr>
          <w:rFonts w:ascii="Bookman Old Style" w:hAnsi="Bookman Old Style"/>
          <w:sz w:val="18"/>
          <w:szCs w:val="18"/>
        </w:rPr>
        <w:t xml:space="preserve">, a cura di A. </w:t>
      </w:r>
      <w:proofErr w:type="spellStart"/>
      <w:r w:rsidRPr="00D91312">
        <w:rPr>
          <w:rFonts w:ascii="Bookman Old Style" w:hAnsi="Bookman Old Style"/>
          <w:sz w:val="18"/>
          <w:szCs w:val="18"/>
        </w:rPr>
        <w:t>Adinolfi</w:t>
      </w:r>
      <w:proofErr w:type="spellEnd"/>
      <w:r w:rsidRPr="00D91312">
        <w:rPr>
          <w:rFonts w:ascii="Bookman Old Style" w:hAnsi="Bookman Old Style"/>
          <w:sz w:val="18"/>
          <w:szCs w:val="18"/>
        </w:rPr>
        <w:t xml:space="preserve">, L. Daniele, B. Nascimbene e S. Amadeo, Milano, 2007, pag. 316 s.; I. Van </w:t>
      </w:r>
      <w:proofErr w:type="spellStart"/>
      <w:r w:rsidRPr="00D91312">
        <w:rPr>
          <w:rFonts w:ascii="Bookman Old Style" w:hAnsi="Bookman Old Style"/>
          <w:sz w:val="18"/>
          <w:szCs w:val="18"/>
        </w:rPr>
        <w:t>Bael</w:t>
      </w:r>
      <w:proofErr w:type="spellEnd"/>
      <w:r w:rsidRPr="00D91312">
        <w:rPr>
          <w:rFonts w:ascii="Bookman Old Style" w:hAnsi="Bookman Old Style"/>
          <w:sz w:val="18"/>
          <w:szCs w:val="18"/>
        </w:rPr>
        <w:t xml:space="preserve"> – J-F. </w:t>
      </w:r>
      <w:proofErr w:type="spellStart"/>
      <w:r w:rsidRPr="00D91312">
        <w:rPr>
          <w:rFonts w:ascii="Bookman Old Style" w:hAnsi="Bookman Old Style"/>
          <w:sz w:val="18"/>
          <w:szCs w:val="18"/>
        </w:rPr>
        <w:t>Bellis</w:t>
      </w:r>
      <w:proofErr w:type="spellEnd"/>
      <w:r w:rsidRPr="00D91312">
        <w:rPr>
          <w:rFonts w:ascii="Bookman Old Style" w:hAnsi="Bookman Old Style"/>
          <w:sz w:val="18"/>
          <w:szCs w:val="18"/>
        </w:rPr>
        <w:t xml:space="preserve">, </w:t>
      </w:r>
      <w:r w:rsidRPr="00D91312">
        <w:rPr>
          <w:rFonts w:ascii="Bookman Old Style" w:hAnsi="Bookman Old Style"/>
          <w:i/>
          <w:sz w:val="18"/>
          <w:szCs w:val="18"/>
        </w:rPr>
        <w:t>Il diritto comunitario della concorrenza</w:t>
      </w:r>
      <w:r w:rsidRPr="00D91312">
        <w:rPr>
          <w:rFonts w:ascii="Bookman Old Style" w:hAnsi="Bookman Old Style"/>
          <w:sz w:val="18"/>
          <w:szCs w:val="18"/>
        </w:rPr>
        <w:t>, Torino, 2009, pag. 100 s.</w:t>
      </w:r>
    </w:p>
  </w:footnote>
  <w:footnote w:id="26">
    <w:p w:rsidR="00334A38" w:rsidRPr="00D91312" w:rsidRDefault="00334A38" w:rsidP="00307D24">
      <w:pPr>
        <w:pStyle w:val="Testonotaapidipagina"/>
        <w:jc w:val="both"/>
        <w:rPr>
          <w:rFonts w:ascii="Bookman Old Style" w:hAnsi="Bookman Old Style"/>
          <w:sz w:val="18"/>
          <w:szCs w:val="18"/>
        </w:rPr>
      </w:pPr>
      <w:r w:rsidRPr="00D91312">
        <w:rPr>
          <w:rStyle w:val="Rimandonotaapidipagina"/>
          <w:rFonts w:ascii="Bookman Old Style" w:hAnsi="Bookman Old Style"/>
          <w:sz w:val="18"/>
          <w:szCs w:val="18"/>
        </w:rPr>
        <w:footnoteRef/>
      </w:r>
      <w:r w:rsidRPr="00D91312">
        <w:rPr>
          <w:rFonts w:ascii="Bookman Old Style" w:hAnsi="Bookman Old Style"/>
          <w:sz w:val="18"/>
          <w:szCs w:val="18"/>
        </w:rPr>
        <w:t xml:space="preserve"> C.G. CEE, 15 luglio 1970, </w:t>
      </w:r>
      <w:r w:rsidRPr="00D91312">
        <w:rPr>
          <w:rFonts w:ascii="Bookman Old Style" w:hAnsi="Bookman Old Style"/>
          <w:i/>
          <w:sz w:val="18"/>
          <w:szCs w:val="18"/>
        </w:rPr>
        <w:t xml:space="preserve">ACF </w:t>
      </w:r>
      <w:proofErr w:type="spellStart"/>
      <w:r w:rsidRPr="00D91312">
        <w:rPr>
          <w:rFonts w:ascii="Bookman Old Style" w:hAnsi="Bookman Old Style"/>
          <w:i/>
          <w:sz w:val="18"/>
          <w:szCs w:val="18"/>
        </w:rPr>
        <w:t>Chemiefarma</w:t>
      </w:r>
      <w:proofErr w:type="spellEnd"/>
      <w:r w:rsidRPr="00D91312">
        <w:rPr>
          <w:rFonts w:ascii="Bookman Old Style" w:hAnsi="Bookman Old Style"/>
          <w:i/>
          <w:sz w:val="18"/>
          <w:szCs w:val="18"/>
        </w:rPr>
        <w:t xml:space="preserve"> NV</w:t>
      </w:r>
      <w:r w:rsidRPr="00D91312">
        <w:rPr>
          <w:rFonts w:ascii="Bookman Old Style" w:hAnsi="Bookman Old Style"/>
          <w:sz w:val="18"/>
          <w:szCs w:val="18"/>
        </w:rPr>
        <w:t>, C-41/69, punti 19-20.</w:t>
      </w:r>
    </w:p>
  </w:footnote>
  <w:footnote w:id="27">
    <w:p w:rsidR="00334A38" w:rsidRPr="00D91312" w:rsidRDefault="00334A38" w:rsidP="00307D24">
      <w:pPr>
        <w:pStyle w:val="Testonotaapidipagina"/>
        <w:jc w:val="both"/>
        <w:rPr>
          <w:rFonts w:ascii="Bookman Old Style" w:hAnsi="Bookman Old Style"/>
          <w:sz w:val="18"/>
          <w:szCs w:val="18"/>
        </w:rPr>
      </w:pPr>
      <w:r w:rsidRPr="00D91312">
        <w:rPr>
          <w:rStyle w:val="Rimandonotaapidipagina"/>
          <w:rFonts w:ascii="Bookman Old Style" w:hAnsi="Bookman Old Style"/>
          <w:sz w:val="18"/>
          <w:szCs w:val="18"/>
        </w:rPr>
        <w:footnoteRef/>
      </w:r>
      <w:r w:rsidRPr="00D91312">
        <w:rPr>
          <w:rFonts w:ascii="Bookman Old Style" w:hAnsi="Bookman Old Style"/>
          <w:sz w:val="18"/>
          <w:szCs w:val="18"/>
        </w:rPr>
        <w:t xml:space="preserve"> Tribunale UE, 9 novembre 2022, T-667/19, </w:t>
      </w:r>
      <w:r w:rsidRPr="00D91312">
        <w:rPr>
          <w:rFonts w:ascii="Bookman Old Style" w:hAnsi="Bookman Old Style"/>
          <w:i/>
          <w:sz w:val="18"/>
          <w:szCs w:val="18"/>
        </w:rPr>
        <w:t>Ferriere Nord c. Commissione</w:t>
      </w:r>
      <w:r w:rsidRPr="00D91312">
        <w:rPr>
          <w:rFonts w:ascii="Bookman Old Style" w:hAnsi="Bookman Old Style"/>
          <w:sz w:val="18"/>
          <w:szCs w:val="18"/>
        </w:rPr>
        <w:t>, punto 255.</w:t>
      </w:r>
    </w:p>
  </w:footnote>
  <w:footnote w:id="28">
    <w:p w:rsidR="00334A38" w:rsidRPr="00D91312" w:rsidRDefault="00334A38" w:rsidP="00307D24">
      <w:pPr>
        <w:pStyle w:val="Testonotaapidipagina"/>
        <w:jc w:val="both"/>
        <w:rPr>
          <w:rFonts w:ascii="Bookman Old Style" w:hAnsi="Bookman Old Style"/>
          <w:sz w:val="18"/>
          <w:szCs w:val="18"/>
        </w:rPr>
      </w:pPr>
      <w:r w:rsidRPr="00D91312">
        <w:rPr>
          <w:rStyle w:val="Rimandonotaapidipagina"/>
          <w:rFonts w:ascii="Bookman Old Style" w:hAnsi="Bookman Old Style"/>
          <w:sz w:val="18"/>
          <w:szCs w:val="18"/>
        </w:rPr>
        <w:footnoteRef/>
      </w:r>
      <w:r w:rsidRPr="00D91312">
        <w:rPr>
          <w:rFonts w:ascii="Bookman Old Style" w:hAnsi="Bookman Old Style"/>
          <w:sz w:val="18"/>
          <w:szCs w:val="18"/>
        </w:rPr>
        <w:t xml:space="preserve"> C.G.U.E., 15 ottobre 2002, </w:t>
      </w:r>
      <w:proofErr w:type="spellStart"/>
      <w:r w:rsidRPr="00D91312">
        <w:rPr>
          <w:rFonts w:ascii="Bookman Old Style" w:hAnsi="Bookman Old Style"/>
          <w:i/>
          <w:sz w:val="18"/>
          <w:szCs w:val="18"/>
        </w:rPr>
        <w:t>Limburgse</w:t>
      </w:r>
      <w:proofErr w:type="spellEnd"/>
      <w:r w:rsidRPr="00D91312">
        <w:rPr>
          <w:rFonts w:ascii="Bookman Old Style" w:hAnsi="Bookman Old Style"/>
          <w:i/>
          <w:sz w:val="18"/>
          <w:szCs w:val="18"/>
        </w:rPr>
        <w:t xml:space="preserve"> </w:t>
      </w:r>
      <w:proofErr w:type="spellStart"/>
      <w:r w:rsidRPr="00D91312">
        <w:rPr>
          <w:rFonts w:ascii="Bookman Old Style" w:hAnsi="Bookman Old Style"/>
          <w:i/>
          <w:sz w:val="18"/>
          <w:szCs w:val="18"/>
        </w:rPr>
        <w:t>Vinyl</w:t>
      </w:r>
      <w:proofErr w:type="spellEnd"/>
      <w:r w:rsidRPr="00D91312">
        <w:rPr>
          <w:rFonts w:ascii="Bookman Old Style" w:hAnsi="Bookman Old Style"/>
          <w:i/>
          <w:sz w:val="18"/>
          <w:szCs w:val="18"/>
        </w:rPr>
        <w:t xml:space="preserve"> </w:t>
      </w:r>
      <w:proofErr w:type="spellStart"/>
      <w:r w:rsidRPr="00D91312">
        <w:rPr>
          <w:rFonts w:ascii="Bookman Old Style" w:hAnsi="Bookman Old Style"/>
          <w:i/>
          <w:sz w:val="18"/>
          <w:szCs w:val="18"/>
        </w:rPr>
        <w:t>Maatschappij</w:t>
      </w:r>
      <w:proofErr w:type="spellEnd"/>
      <w:r w:rsidRPr="00D91312">
        <w:rPr>
          <w:rFonts w:ascii="Bookman Old Style" w:hAnsi="Bookman Old Style"/>
          <w:i/>
          <w:sz w:val="18"/>
          <w:szCs w:val="18"/>
        </w:rPr>
        <w:t xml:space="preserve"> e a. c. Commissione</w:t>
      </w:r>
      <w:r w:rsidRPr="00D91312">
        <w:rPr>
          <w:rFonts w:ascii="Bookman Old Style" w:hAnsi="Bookman Old Style"/>
          <w:sz w:val="18"/>
          <w:szCs w:val="18"/>
        </w:rPr>
        <w:t>, C</w:t>
      </w:r>
      <w:r w:rsidRPr="00D91312">
        <w:rPr>
          <w:rFonts w:ascii="Times New Roman" w:hAnsi="Times New Roman" w:cs="Times New Roman"/>
          <w:sz w:val="18"/>
          <w:szCs w:val="18"/>
        </w:rPr>
        <w:t>‑</w:t>
      </w:r>
      <w:r w:rsidRPr="00D91312">
        <w:rPr>
          <w:rFonts w:ascii="Bookman Old Style" w:hAnsi="Bookman Old Style"/>
          <w:sz w:val="18"/>
          <w:szCs w:val="18"/>
        </w:rPr>
        <w:t>238/99 P + a., punti 187-188.</w:t>
      </w:r>
    </w:p>
  </w:footnote>
  <w:footnote w:id="29">
    <w:p w:rsidR="00334A38" w:rsidRPr="00D91312" w:rsidRDefault="00334A38" w:rsidP="00307D24">
      <w:pPr>
        <w:pStyle w:val="Testonotaapidipagina"/>
        <w:jc w:val="both"/>
        <w:rPr>
          <w:rFonts w:ascii="Bookman Old Style" w:hAnsi="Bookman Old Style"/>
          <w:sz w:val="18"/>
          <w:szCs w:val="18"/>
        </w:rPr>
      </w:pPr>
      <w:r w:rsidRPr="00D91312">
        <w:rPr>
          <w:rStyle w:val="Rimandonotaapidipagina"/>
          <w:rFonts w:ascii="Bookman Old Style" w:hAnsi="Bookman Old Style"/>
          <w:sz w:val="18"/>
          <w:szCs w:val="18"/>
        </w:rPr>
        <w:footnoteRef/>
      </w:r>
      <w:r w:rsidRPr="00D91312">
        <w:rPr>
          <w:rFonts w:ascii="Bookman Old Style" w:hAnsi="Bookman Old Style"/>
          <w:sz w:val="18"/>
          <w:szCs w:val="18"/>
        </w:rPr>
        <w:t xml:space="preserve"> Corte EDU, prima sezione, 15 dicembre 2022, </w:t>
      </w:r>
      <w:r w:rsidRPr="00D91312">
        <w:rPr>
          <w:rFonts w:ascii="Bookman Old Style" w:hAnsi="Bookman Old Style"/>
          <w:i/>
          <w:sz w:val="18"/>
          <w:szCs w:val="18"/>
        </w:rPr>
        <w:t>Gherardi Martiri c. San Marino</w:t>
      </w:r>
      <w:r w:rsidRPr="00D91312">
        <w:rPr>
          <w:rFonts w:ascii="Bookman Old Style" w:hAnsi="Bookman Old Style"/>
          <w:sz w:val="18"/>
          <w:szCs w:val="18"/>
        </w:rPr>
        <w:t>, punto 125: “</w:t>
      </w:r>
      <w:r w:rsidRPr="00D91312">
        <w:rPr>
          <w:rFonts w:ascii="Bookman Old Style" w:hAnsi="Bookman Old Style"/>
          <w:i/>
          <w:sz w:val="18"/>
          <w:szCs w:val="18"/>
        </w:rPr>
        <w:t>the “</w:t>
      </w:r>
      <w:proofErr w:type="spellStart"/>
      <w:r w:rsidRPr="00D91312">
        <w:rPr>
          <w:rFonts w:ascii="Bookman Old Style" w:hAnsi="Bookman Old Style"/>
          <w:i/>
          <w:sz w:val="18"/>
          <w:szCs w:val="18"/>
        </w:rPr>
        <w:t>reasonableness</w:t>
      </w:r>
      <w:proofErr w:type="spellEnd"/>
      <w:r w:rsidRPr="00D91312">
        <w:rPr>
          <w:rFonts w:ascii="Bookman Old Style" w:hAnsi="Bookman Old Style"/>
          <w:i/>
          <w:sz w:val="18"/>
          <w:szCs w:val="18"/>
        </w:rPr>
        <w:t xml:space="preserve">” of the </w:t>
      </w:r>
      <w:proofErr w:type="spellStart"/>
      <w:r w:rsidRPr="00D91312">
        <w:rPr>
          <w:rFonts w:ascii="Bookman Old Style" w:hAnsi="Bookman Old Style"/>
          <w:i/>
          <w:sz w:val="18"/>
          <w:szCs w:val="18"/>
        </w:rPr>
        <w:t>length</w:t>
      </w:r>
      <w:proofErr w:type="spellEnd"/>
      <w:r w:rsidRPr="00D91312">
        <w:rPr>
          <w:rFonts w:ascii="Bookman Old Style" w:hAnsi="Bookman Old Style"/>
          <w:i/>
          <w:sz w:val="18"/>
          <w:szCs w:val="18"/>
        </w:rPr>
        <w:t xml:space="preserve"> of </w:t>
      </w:r>
      <w:proofErr w:type="spellStart"/>
      <w:r w:rsidRPr="00D91312">
        <w:rPr>
          <w:rFonts w:ascii="Bookman Old Style" w:hAnsi="Bookman Old Style"/>
          <w:i/>
          <w:sz w:val="18"/>
          <w:szCs w:val="18"/>
        </w:rPr>
        <w:t>proceedings</w:t>
      </w:r>
      <w:proofErr w:type="spellEnd"/>
      <w:r w:rsidRPr="00D91312">
        <w:rPr>
          <w:rFonts w:ascii="Bookman Old Style" w:hAnsi="Bookman Old Style"/>
          <w:i/>
          <w:sz w:val="18"/>
          <w:szCs w:val="18"/>
        </w:rPr>
        <w:t xml:space="preserve"> must be </w:t>
      </w:r>
      <w:proofErr w:type="spellStart"/>
      <w:r w:rsidRPr="00D91312">
        <w:rPr>
          <w:rFonts w:ascii="Bookman Old Style" w:hAnsi="Bookman Old Style"/>
          <w:i/>
          <w:sz w:val="18"/>
          <w:szCs w:val="18"/>
        </w:rPr>
        <w:t>assessed</w:t>
      </w:r>
      <w:proofErr w:type="spellEnd"/>
      <w:r w:rsidRPr="00D91312">
        <w:rPr>
          <w:rFonts w:ascii="Bookman Old Style" w:hAnsi="Bookman Old Style"/>
          <w:i/>
          <w:sz w:val="18"/>
          <w:szCs w:val="18"/>
        </w:rPr>
        <w:t xml:space="preserve"> in light of the </w:t>
      </w:r>
      <w:proofErr w:type="spellStart"/>
      <w:r w:rsidRPr="00D91312">
        <w:rPr>
          <w:rFonts w:ascii="Bookman Old Style" w:hAnsi="Bookman Old Style"/>
          <w:i/>
          <w:sz w:val="18"/>
          <w:szCs w:val="18"/>
        </w:rPr>
        <w:t>circumstances</w:t>
      </w:r>
      <w:proofErr w:type="spellEnd"/>
      <w:r w:rsidRPr="00D91312">
        <w:rPr>
          <w:rFonts w:ascii="Bookman Old Style" w:hAnsi="Bookman Old Style"/>
          <w:i/>
          <w:sz w:val="18"/>
          <w:szCs w:val="18"/>
        </w:rPr>
        <w:t xml:space="preserve"> of the case and with </w:t>
      </w:r>
      <w:proofErr w:type="spellStart"/>
      <w:r w:rsidRPr="00D91312">
        <w:rPr>
          <w:rFonts w:ascii="Bookman Old Style" w:hAnsi="Bookman Old Style"/>
          <w:i/>
          <w:sz w:val="18"/>
          <w:szCs w:val="18"/>
        </w:rPr>
        <w:t>reference</w:t>
      </w:r>
      <w:proofErr w:type="spellEnd"/>
      <w:r w:rsidRPr="00D91312">
        <w:rPr>
          <w:rFonts w:ascii="Bookman Old Style" w:hAnsi="Bookman Old Style"/>
          <w:i/>
          <w:sz w:val="18"/>
          <w:szCs w:val="18"/>
        </w:rPr>
        <w:t xml:space="preserve"> to the </w:t>
      </w:r>
      <w:proofErr w:type="spellStart"/>
      <w:r w:rsidRPr="00D91312">
        <w:rPr>
          <w:rFonts w:ascii="Bookman Old Style" w:hAnsi="Bookman Old Style"/>
          <w:i/>
          <w:sz w:val="18"/>
          <w:szCs w:val="18"/>
        </w:rPr>
        <w:t>following</w:t>
      </w:r>
      <w:proofErr w:type="spellEnd"/>
      <w:r w:rsidRPr="00D91312">
        <w:rPr>
          <w:rFonts w:ascii="Bookman Old Style" w:hAnsi="Bookman Old Style"/>
          <w:i/>
          <w:sz w:val="18"/>
          <w:szCs w:val="18"/>
        </w:rPr>
        <w:t xml:space="preserve"> </w:t>
      </w:r>
      <w:proofErr w:type="spellStart"/>
      <w:r w:rsidRPr="00D91312">
        <w:rPr>
          <w:rFonts w:ascii="Bookman Old Style" w:hAnsi="Bookman Old Style"/>
          <w:i/>
          <w:sz w:val="18"/>
          <w:szCs w:val="18"/>
        </w:rPr>
        <w:t>criteria</w:t>
      </w:r>
      <w:proofErr w:type="spellEnd"/>
      <w:r w:rsidRPr="00D91312">
        <w:rPr>
          <w:rFonts w:ascii="Bookman Old Style" w:hAnsi="Bookman Old Style"/>
          <w:i/>
          <w:sz w:val="18"/>
          <w:szCs w:val="18"/>
        </w:rPr>
        <w:t xml:space="preserve">: the </w:t>
      </w:r>
      <w:proofErr w:type="spellStart"/>
      <w:r w:rsidRPr="00D91312">
        <w:rPr>
          <w:rFonts w:ascii="Bookman Old Style" w:hAnsi="Bookman Old Style"/>
          <w:i/>
          <w:sz w:val="18"/>
          <w:szCs w:val="18"/>
        </w:rPr>
        <w:t>complexity</w:t>
      </w:r>
      <w:proofErr w:type="spellEnd"/>
      <w:r w:rsidRPr="00D91312">
        <w:rPr>
          <w:rFonts w:ascii="Bookman Old Style" w:hAnsi="Bookman Old Style"/>
          <w:i/>
          <w:sz w:val="18"/>
          <w:szCs w:val="18"/>
        </w:rPr>
        <w:t xml:space="preserve"> of the case, the </w:t>
      </w:r>
      <w:proofErr w:type="spellStart"/>
      <w:r w:rsidRPr="00D91312">
        <w:rPr>
          <w:rFonts w:ascii="Bookman Old Style" w:hAnsi="Bookman Old Style"/>
          <w:i/>
          <w:sz w:val="18"/>
          <w:szCs w:val="18"/>
        </w:rPr>
        <w:t>conduct</w:t>
      </w:r>
      <w:proofErr w:type="spellEnd"/>
      <w:r w:rsidRPr="00D91312">
        <w:rPr>
          <w:rFonts w:ascii="Bookman Old Style" w:hAnsi="Bookman Old Style"/>
          <w:i/>
          <w:sz w:val="18"/>
          <w:szCs w:val="18"/>
        </w:rPr>
        <w:t xml:space="preserve"> of the </w:t>
      </w:r>
      <w:proofErr w:type="spellStart"/>
      <w:r w:rsidRPr="00D91312">
        <w:rPr>
          <w:rFonts w:ascii="Bookman Old Style" w:hAnsi="Bookman Old Style"/>
          <w:i/>
          <w:sz w:val="18"/>
          <w:szCs w:val="18"/>
        </w:rPr>
        <w:t>applicant</w:t>
      </w:r>
      <w:proofErr w:type="spellEnd"/>
      <w:r w:rsidRPr="00D91312">
        <w:rPr>
          <w:rFonts w:ascii="Bookman Old Style" w:hAnsi="Bookman Old Style"/>
          <w:i/>
          <w:sz w:val="18"/>
          <w:szCs w:val="18"/>
        </w:rPr>
        <w:t xml:space="preserve"> and the </w:t>
      </w:r>
      <w:proofErr w:type="spellStart"/>
      <w:r w:rsidRPr="00D91312">
        <w:rPr>
          <w:rFonts w:ascii="Bookman Old Style" w:hAnsi="Bookman Old Style"/>
          <w:i/>
          <w:sz w:val="18"/>
          <w:szCs w:val="18"/>
        </w:rPr>
        <w:t>relevant</w:t>
      </w:r>
      <w:proofErr w:type="spellEnd"/>
      <w:r w:rsidRPr="00D91312">
        <w:rPr>
          <w:rFonts w:ascii="Bookman Old Style" w:hAnsi="Bookman Old Style"/>
          <w:i/>
          <w:sz w:val="18"/>
          <w:szCs w:val="18"/>
        </w:rPr>
        <w:t xml:space="preserve"> </w:t>
      </w:r>
      <w:proofErr w:type="spellStart"/>
      <w:r w:rsidRPr="00D91312">
        <w:rPr>
          <w:rFonts w:ascii="Bookman Old Style" w:hAnsi="Bookman Old Style"/>
          <w:i/>
          <w:sz w:val="18"/>
          <w:szCs w:val="18"/>
        </w:rPr>
        <w:t>authorities</w:t>
      </w:r>
      <w:proofErr w:type="spellEnd"/>
      <w:r w:rsidRPr="00D91312">
        <w:rPr>
          <w:rFonts w:ascii="Bookman Old Style" w:hAnsi="Bookman Old Style"/>
          <w:i/>
          <w:sz w:val="18"/>
          <w:szCs w:val="18"/>
        </w:rPr>
        <w:t xml:space="preserve">, and </w:t>
      </w:r>
      <w:proofErr w:type="spellStart"/>
      <w:r w:rsidRPr="00D91312">
        <w:rPr>
          <w:rFonts w:ascii="Bookman Old Style" w:hAnsi="Bookman Old Style"/>
          <w:i/>
          <w:sz w:val="18"/>
          <w:szCs w:val="18"/>
        </w:rPr>
        <w:t>what</w:t>
      </w:r>
      <w:proofErr w:type="spellEnd"/>
      <w:r w:rsidRPr="00D91312">
        <w:rPr>
          <w:rFonts w:ascii="Bookman Old Style" w:hAnsi="Bookman Old Style"/>
          <w:i/>
          <w:sz w:val="18"/>
          <w:szCs w:val="18"/>
        </w:rPr>
        <w:t xml:space="preserve"> </w:t>
      </w:r>
      <w:proofErr w:type="spellStart"/>
      <w:r w:rsidRPr="00D91312">
        <w:rPr>
          <w:rFonts w:ascii="Bookman Old Style" w:hAnsi="Bookman Old Style"/>
          <w:i/>
          <w:sz w:val="18"/>
          <w:szCs w:val="18"/>
        </w:rPr>
        <w:t>is</w:t>
      </w:r>
      <w:proofErr w:type="spellEnd"/>
      <w:r w:rsidRPr="00D91312">
        <w:rPr>
          <w:rFonts w:ascii="Bookman Old Style" w:hAnsi="Bookman Old Style"/>
          <w:i/>
          <w:sz w:val="18"/>
          <w:szCs w:val="18"/>
        </w:rPr>
        <w:t xml:space="preserve"> </w:t>
      </w:r>
      <w:proofErr w:type="spellStart"/>
      <w:r w:rsidRPr="00D91312">
        <w:rPr>
          <w:rFonts w:ascii="Bookman Old Style" w:hAnsi="Bookman Old Style"/>
          <w:i/>
          <w:sz w:val="18"/>
          <w:szCs w:val="18"/>
        </w:rPr>
        <w:t>at</w:t>
      </w:r>
      <w:proofErr w:type="spellEnd"/>
      <w:r w:rsidRPr="00D91312">
        <w:rPr>
          <w:rFonts w:ascii="Bookman Old Style" w:hAnsi="Bookman Old Style"/>
          <w:i/>
          <w:sz w:val="18"/>
          <w:szCs w:val="18"/>
        </w:rPr>
        <w:t xml:space="preserve"> </w:t>
      </w:r>
      <w:proofErr w:type="spellStart"/>
      <w:r w:rsidRPr="00D91312">
        <w:rPr>
          <w:rFonts w:ascii="Bookman Old Style" w:hAnsi="Bookman Old Style"/>
          <w:i/>
          <w:sz w:val="18"/>
          <w:szCs w:val="18"/>
        </w:rPr>
        <w:t>stake</w:t>
      </w:r>
      <w:proofErr w:type="spellEnd"/>
      <w:r w:rsidRPr="00D91312">
        <w:rPr>
          <w:rFonts w:ascii="Bookman Old Style" w:hAnsi="Bookman Old Style"/>
          <w:i/>
          <w:sz w:val="18"/>
          <w:szCs w:val="18"/>
        </w:rPr>
        <w:t xml:space="preserve"> for the </w:t>
      </w:r>
      <w:proofErr w:type="spellStart"/>
      <w:r w:rsidRPr="00D91312">
        <w:rPr>
          <w:rFonts w:ascii="Bookman Old Style" w:hAnsi="Bookman Old Style"/>
          <w:i/>
          <w:sz w:val="18"/>
          <w:szCs w:val="18"/>
        </w:rPr>
        <w:t>applicant</w:t>
      </w:r>
      <w:proofErr w:type="spellEnd"/>
      <w:r w:rsidRPr="00D91312">
        <w:rPr>
          <w:rFonts w:ascii="Bookman Old Style" w:hAnsi="Bookman Old Style"/>
          <w:i/>
          <w:sz w:val="18"/>
          <w:szCs w:val="18"/>
        </w:rPr>
        <w:t xml:space="preserve"> in the dispute (</w:t>
      </w:r>
      <w:proofErr w:type="spellStart"/>
      <w:r w:rsidRPr="00D91312">
        <w:rPr>
          <w:rFonts w:ascii="Bookman Old Style" w:hAnsi="Bookman Old Style"/>
          <w:i/>
          <w:sz w:val="18"/>
          <w:szCs w:val="18"/>
        </w:rPr>
        <w:t>see</w:t>
      </w:r>
      <w:proofErr w:type="spellEnd"/>
      <w:r w:rsidRPr="00D91312">
        <w:rPr>
          <w:rFonts w:ascii="Bookman Old Style" w:hAnsi="Bookman Old Style"/>
          <w:i/>
          <w:sz w:val="18"/>
          <w:szCs w:val="18"/>
        </w:rPr>
        <w:t xml:space="preserve">, </w:t>
      </w:r>
      <w:proofErr w:type="spellStart"/>
      <w:r w:rsidRPr="00D91312">
        <w:rPr>
          <w:rFonts w:ascii="Bookman Old Style" w:hAnsi="Bookman Old Style"/>
          <w:i/>
          <w:sz w:val="18"/>
          <w:szCs w:val="18"/>
        </w:rPr>
        <w:t>among</w:t>
      </w:r>
      <w:proofErr w:type="spellEnd"/>
      <w:r w:rsidRPr="00D91312">
        <w:rPr>
          <w:rFonts w:ascii="Bookman Old Style" w:hAnsi="Bookman Old Style"/>
          <w:i/>
          <w:sz w:val="18"/>
          <w:szCs w:val="18"/>
        </w:rPr>
        <w:t xml:space="preserve"> </w:t>
      </w:r>
      <w:proofErr w:type="spellStart"/>
      <w:r w:rsidRPr="00D91312">
        <w:rPr>
          <w:rFonts w:ascii="Bookman Old Style" w:hAnsi="Bookman Old Style"/>
          <w:i/>
          <w:sz w:val="18"/>
          <w:szCs w:val="18"/>
        </w:rPr>
        <w:t>other</w:t>
      </w:r>
      <w:proofErr w:type="spellEnd"/>
      <w:r w:rsidRPr="00D91312">
        <w:rPr>
          <w:rFonts w:ascii="Bookman Old Style" w:hAnsi="Bookman Old Style"/>
          <w:i/>
          <w:sz w:val="18"/>
          <w:szCs w:val="18"/>
        </w:rPr>
        <w:t xml:space="preserve"> </w:t>
      </w:r>
      <w:proofErr w:type="spellStart"/>
      <w:r w:rsidRPr="00D91312">
        <w:rPr>
          <w:rFonts w:ascii="Bookman Old Style" w:hAnsi="Bookman Old Style"/>
          <w:i/>
          <w:sz w:val="18"/>
          <w:szCs w:val="18"/>
        </w:rPr>
        <w:t>authorities</w:t>
      </w:r>
      <w:proofErr w:type="spellEnd"/>
      <w:r w:rsidRPr="00D91312">
        <w:rPr>
          <w:rFonts w:ascii="Bookman Old Style" w:hAnsi="Bookman Old Style"/>
          <w:i/>
          <w:sz w:val="18"/>
          <w:szCs w:val="18"/>
        </w:rPr>
        <w:t xml:space="preserve">, </w:t>
      </w:r>
      <w:proofErr w:type="spellStart"/>
      <w:r w:rsidRPr="00D91312">
        <w:rPr>
          <w:rFonts w:ascii="Bookman Old Style" w:hAnsi="Bookman Old Style"/>
          <w:i/>
          <w:sz w:val="18"/>
          <w:szCs w:val="18"/>
        </w:rPr>
        <w:t>Lupeni</w:t>
      </w:r>
      <w:proofErr w:type="spellEnd"/>
      <w:r w:rsidRPr="00D91312">
        <w:rPr>
          <w:rFonts w:ascii="Bookman Old Style" w:hAnsi="Bookman Old Style"/>
          <w:i/>
          <w:sz w:val="18"/>
          <w:szCs w:val="18"/>
        </w:rPr>
        <w:t xml:space="preserve"> </w:t>
      </w:r>
      <w:proofErr w:type="spellStart"/>
      <w:r w:rsidRPr="00D91312">
        <w:rPr>
          <w:rFonts w:ascii="Bookman Old Style" w:hAnsi="Bookman Old Style"/>
          <w:i/>
          <w:sz w:val="18"/>
          <w:szCs w:val="18"/>
        </w:rPr>
        <w:t>Greek</w:t>
      </w:r>
      <w:proofErr w:type="spellEnd"/>
      <w:r w:rsidRPr="00D91312">
        <w:rPr>
          <w:rFonts w:ascii="Bookman Old Style" w:hAnsi="Bookman Old Style"/>
          <w:i/>
          <w:sz w:val="18"/>
          <w:szCs w:val="18"/>
        </w:rPr>
        <w:t xml:space="preserve"> </w:t>
      </w:r>
      <w:proofErr w:type="spellStart"/>
      <w:r w:rsidRPr="00D91312">
        <w:rPr>
          <w:rFonts w:ascii="Bookman Old Style" w:hAnsi="Bookman Old Style"/>
          <w:i/>
          <w:sz w:val="18"/>
          <w:szCs w:val="18"/>
        </w:rPr>
        <w:t>Catholic</w:t>
      </w:r>
      <w:proofErr w:type="spellEnd"/>
      <w:r w:rsidRPr="00D91312">
        <w:rPr>
          <w:rFonts w:ascii="Bookman Old Style" w:hAnsi="Bookman Old Style"/>
          <w:i/>
          <w:sz w:val="18"/>
          <w:szCs w:val="18"/>
        </w:rPr>
        <w:t xml:space="preserve"> </w:t>
      </w:r>
      <w:proofErr w:type="spellStart"/>
      <w:r w:rsidRPr="00D91312">
        <w:rPr>
          <w:rFonts w:ascii="Bookman Old Style" w:hAnsi="Bookman Old Style"/>
          <w:i/>
          <w:sz w:val="18"/>
          <w:szCs w:val="18"/>
        </w:rPr>
        <w:t>Parish</w:t>
      </w:r>
      <w:proofErr w:type="spellEnd"/>
      <w:r w:rsidRPr="00D91312">
        <w:rPr>
          <w:rFonts w:ascii="Bookman Old Style" w:hAnsi="Bookman Old Style"/>
          <w:i/>
          <w:sz w:val="18"/>
          <w:szCs w:val="18"/>
        </w:rPr>
        <w:t xml:space="preserve"> and Others v. Romania [GC], no. 76943/11, § 143, 29 </w:t>
      </w:r>
      <w:proofErr w:type="spellStart"/>
      <w:r w:rsidRPr="00D91312">
        <w:rPr>
          <w:rFonts w:ascii="Bookman Old Style" w:hAnsi="Bookman Old Style"/>
          <w:i/>
          <w:sz w:val="18"/>
          <w:szCs w:val="18"/>
        </w:rPr>
        <w:t>November</w:t>
      </w:r>
      <w:proofErr w:type="spellEnd"/>
      <w:r w:rsidRPr="00D91312">
        <w:rPr>
          <w:rFonts w:ascii="Bookman Old Style" w:hAnsi="Bookman Old Style"/>
          <w:i/>
          <w:sz w:val="18"/>
          <w:szCs w:val="18"/>
        </w:rPr>
        <w:t xml:space="preserve"> 2016; </w:t>
      </w:r>
      <w:proofErr w:type="spellStart"/>
      <w:r w:rsidRPr="00D91312">
        <w:rPr>
          <w:rFonts w:ascii="Bookman Old Style" w:hAnsi="Bookman Old Style"/>
          <w:i/>
          <w:sz w:val="18"/>
          <w:szCs w:val="18"/>
        </w:rPr>
        <w:t>Frydlender</w:t>
      </w:r>
      <w:proofErr w:type="spellEnd"/>
      <w:r w:rsidRPr="00D91312">
        <w:rPr>
          <w:rFonts w:ascii="Bookman Old Style" w:hAnsi="Bookman Old Style"/>
          <w:i/>
          <w:sz w:val="18"/>
          <w:szCs w:val="18"/>
        </w:rPr>
        <w:t xml:space="preserve"> v. France [GC], no. 30979/96, § 43, ECHR 2000-VII; </w:t>
      </w:r>
      <w:proofErr w:type="spellStart"/>
      <w:r w:rsidRPr="00D91312">
        <w:rPr>
          <w:rFonts w:ascii="Bookman Old Style" w:hAnsi="Bookman Old Style"/>
          <w:i/>
          <w:sz w:val="18"/>
          <w:szCs w:val="18"/>
        </w:rPr>
        <w:t>Comingersoll</w:t>
      </w:r>
      <w:proofErr w:type="spellEnd"/>
      <w:r w:rsidRPr="00D91312">
        <w:rPr>
          <w:rFonts w:ascii="Bookman Old Style" w:hAnsi="Bookman Old Style"/>
          <w:i/>
          <w:sz w:val="18"/>
          <w:szCs w:val="18"/>
        </w:rPr>
        <w:t xml:space="preserve"> S.A. v. Portugal [GC], no. 35382/97, § 19, ECHR 2000-IV; and </w:t>
      </w:r>
      <w:proofErr w:type="spellStart"/>
      <w:r w:rsidRPr="00D91312">
        <w:rPr>
          <w:rFonts w:ascii="Bookman Old Style" w:hAnsi="Bookman Old Style"/>
          <w:i/>
          <w:sz w:val="18"/>
          <w:szCs w:val="18"/>
        </w:rPr>
        <w:t>Sürmeli</w:t>
      </w:r>
      <w:proofErr w:type="spellEnd"/>
      <w:r w:rsidRPr="00D91312">
        <w:rPr>
          <w:rFonts w:ascii="Bookman Old Style" w:hAnsi="Bookman Old Style"/>
          <w:i/>
          <w:sz w:val="18"/>
          <w:szCs w:val="18"/>
        </w:rPr>
        <w:t xml:space="preserve"> v. Germany [GC], no. 75529/01, § 128, ECHR 2006</w:t>
      </w:r>
      <w:r w:rsidRPr="00D91312">
        <w:rPr>
          <w:rFonts w:ascii="Times New Roman" w:hAnsi="Times New Roman" w:cs="Times New Roman"/>
          <w:i/>
          <w:sz w:val="18"/>
          <w:szCs w:val="18"/>
        </w:rPr>
        <w:t>‑</w:t>
      </w:r>
      <w:r w:rsidRPr="00D91312">
        <w:rPr>
          <w:rFonts w:ascii="Bookman Old Style" w:hAnsi="Bookman Old Style"/>
          <w:i/>
          <w:sz w:val="18"/>
          <w:szCs w:val="18"/>
        </w:rPr>
        <w:t>VII)”</w:t>
      </w:r>
      <w:r w:rsidRPr="00D91312">
        <w:rPr>
          <w:rFonts w:ascii="Bookman Old Style" w:hAnsi="Bookman Old Style"/>
          <w:sz w:val="18"/>
          <w:szCs w:val="18"/>
        </w:rPr>
        <w:t>.</w:t>
      </w:r>
    </w:p>
    <w:p w:rsidR="00334A38" w:rsidRPr="00D91312" w:rsidRDefault="00334A38" w:rsidP="00307D24">
      <w:pPr>
        <w:pStyle w:val="Testonotaapidipagina"/>
        <w:jc w:val="both"/>
        <w:rPr>
          <w:rFonts w:ascii="Bookman Old Style" w:hAnsi="Bookman Old Style"/>
          <w:sz w:val="18"/>
          <w:szCs w:val="18"/>
        </w:rPr>
      </w:pPr>
      <w:r w:rsidRPr="00D91312">
        <w:rPr>
          <w:rFonts w:ascii="Bookman Old Style" w:hAnsi="Bookman Old Style"/>
          <w:sz w:val="18"/>
          <w:szCs w:val="18"/>
        </w:rPr>
        <w:t xml:space="preserve">Sul tema cfr. anche Corte EDU, Grande sezione, 3 novembre 2022, </w:t>
      </w:r>
      <w:proofErr w:type="spellStart"/>
      <w:r w:rsidRPr="00D91312">
        <w:rPr>
          <w:rFonts w:ascii="Bookman Old Style" w:hAnsi="Bookman Old Style"/>
          <w:i/>
          <w:sz w:val="18"/>
          <w:szCs w:val="18"/>
        </w:rPr>
        <w:t>Vegotex</w:t>
      </w:r>
      <w:proofErr w:type="spellEnd"/>
      <w:r w:rsidRPr="00D91312">
        <w:rPr>
          <w:rFonts w:ascii="Bookman Old Style" w:hAnsi="Bookman Old Style"/>
          <w:i/>
          <w:sz w:val="18"/>
          <w:szCs w:val="18"/>
        </w:rPr>
        <w:t xml:space="preserve"> International S.A. c. Belgio</w:t>
      </w:r>
      <w:r w:rsidRPr="00D91312">
        <w:rPr>
          <w:rFonts w:ascii="Bookman Old Style" w:hAnsi="Bookman Old Style"/>
          <w:sz w:val="18"/>
          <w:szCs w:val="18"/>
        </w:rPr>
        <w:t xml:space="preserve">, punto 151; prima sezione, 11 gennaio 2018, </w:t>
      </w:r>
      <w:r w:rsidRPr="00D91312">
        <w:rPr>
          <w:rFonts w:ascii="Bookman Old Style" w:hAnsi="Bookman Old Style"/>
          <w:i/>
          <w:sz w:val="18"/>
          <w:szCs w:val="18"/>
        </w:rPr>
        <w:t>Cipolletta c. Italia</w:t>
      </w:r>
      <w:r w:rsidRPr="00D91312">
        <w:rPr>
          <w:rFonts w:ascii="Bookman Old Style" w:hAnsi="Bookman Old Style"/>
          <w:sz w:val="18"/>
          <w:szCs w:val="18"/>
        </w:rPr>
        <w:t>, punto 42.</w:t>
      </w:r>
    </w:p>
  </w:footnote>
  <w:footnote w:id="30">
    <w:p w:rsidR="00334A38" w:rsidRPr="00D91312" w:rsidRDefault="00334A38" w:rsidP="00307D24">
      <w:pPr>
        <w:pStyle w:val="Testonotaapidipagina"/>
        <w:jc w:val="both"/>
        <w:rPr>
          <w:rFonts w:ascii="Bookman Old Style" w:hAnsi="Bookman Old Style"/>
          <w:sz w:val="18"/>
          <w:szCs w:val="18"/>
        </w:rPr>
      </w:pPr>
      <w:r w:rsidRPr="00D91312">
        <w:rPr>
          <w:rStyle w:val="Rimandonotaapidipagina"/>
          <w:rFonts w:ascii="Bookman Old Style" w:hAnsi="Bookman Old Style"/>
          <w:sz w:val="18"/>
          <w:szCs w:val="18"/>
        </w:rPr>
        <w:footnoteRef/>
      </w:r>
      <w:r w:rsidRPr="00D91312">
        <w:rPr>
          <w:rFonts w:ascii="Bookman Old Style" w:hAnsi="Bookman Old Style"/>
          <w:sz w:val="18"/>
          <w:szCs w:val="18"/>
        </w:rPr>
        <w:t xml:space="preserve"> C.G.U.E., 7 aprile 2011, </w:t>
      </w:r>
      <w:r w:rsidRPr="00D91312">
        <w:rPr>
          <w:rFonts w:ascii="Bookman Old Style" w:hAnsi="Bookman Old Style"/>
          <w:i/>
          <w:sz w:val="18"/>
          <w:szCs w:val="18"/>
        </w:rPr>
        <w:t>Grecia c. Commissione</w:t>
      </w:r>
      <w:r w:rsidRPr="00D91312">
        <w:rPr>
          <w:rFonts w:ascii="Bookman Old Style" w:hAnsi="Bookman Old Style"/>
          <w:sz w:val="18"/>
          <w:szCs w:val="18"/>
        </w:rPr>
        <w:t>, C</w:t>
      </w:r>
      <w:r w:rsidRPr="00D91312">
        <w:rPr>
          <w:rFonts w:ascii="Times New Roman" w:hAnsi="Times New Roman" w:cs="Times New Roman"/>
          <w:sz w:val="18"/>
          <w:szCs w:val="18"/>
        </w:rPr>
        <w:t>‑</w:t>
      </w:r>
      <w:r w:rsidRPr="00D91312">
        <w:rPr>
          <w:rFonts w:ascii="Bookman Old Style" w:hAnsi="Bookman Old Style"/>
          <w:sz w:val="18"/>
          <w:szCs w:val="18"/>
        </w:rPr>
        <w:t>321/09 P, punto 32 e giurisprudenza ivi citata.</w:t>
      </w:r>
    </w:p>
  </w:footnote>
  <w:footnote w:id="31">
    <w:p w:rsidR="00334A38" w:rsidRPr="00D91312" w:rsidRDefault="00334A38" w:rsidP="00307D24">
      <w:pPr>
        <w:pStyle w:val="Testonotaapidipagina"/>
        <w:jc w:val="both"/>
        <w:rPr>
          <w:rFonts w:ascii="Bookman Old Style" w:hAnsi="Bookman Old Style"/>
          <w:sz w:val="18"/>
          <w:szCs w:val="18"/>
        </w:rPr>
      </w:pPr>
      <w:r w:rsidRPr="00D91312">
        <w:rPr>
          <w:rStyle w:val="Rimandonotaapidipagina"/>
          <w:rFonts w:ascii="Bookman Old Style" w:hAnsi="Bookman Old Style"/>
          <w:sz w:val="18"/>
          <w:szCs w:val="18"/>
        </w:rPr>
        <w:footnoteRef/>
      </w:r>
      <w:r w:rsidRPr="00D91312">
        <w:rPr>
          <w:rFonts w:ascii="Bookman Old Style" w:hAnsi="Bookman Old Style"/>
          <w:sz w:val="18"/>
          <w:szCs w:val="18"/>
        </w:rPr>
        <w:t xml:space="preserve"> C.G.U.E., 21 settembre 2006, </w:t>
      </w:r>
      <w:proofErr w:type="spellStart"/>
      <w:r w:rsidRPr="00D91312">
        <w:rPr>
          <w:rFonts w:ascii="Bookman Old Style" w:hAnsi="Bookman Old Style"/>
          <w:i/>
          <w:sz w:val="18"/>
          <w:szCs w:val="18"/>
        </w:rPr>
        <w:t>Technische</w:t>
      </w:r>
      <w:proofErr w:type="spellEnd"/>
      <w:r w:rsidRPr="00D91312">
        <w:rPr>
          <w:rFonts w:ascii="Bookman Old Style" w:hAnsi="Bookman Old Style"/>
          <w:i/>
          <w:sz w:val="18"/>
          <w:szCs w:val="18"/>
        </w:rPr>
        <w:t xml:space="preserve"> </w:t>
      </w:r>
      <w:proofErr w:type="spellStart"/>
      <w:r w:rsidRPr="00D91312">
        <w:rPr>
          <w:rFonts w:ascii="Bookman Old Style" w:hAnsi="Bookman Old Style"/>
          <w:i/>
          <w:sz w:val="18"/>
          <w:szCs w:val="18"/>
        </w:rPr>
        <w:t>Unie</w:t>
      </w:r>
      <w:proofErr w:type="spellEnd"/>
      <w:r w:rsidRPr="00D91312">
        <w:rPr>
          <w:rFonts w:ascii="Bookman Old Style" w:hAnsi="Bookman Old Style"/>
          <w:i/>
          <w:sz w:val="18"/>
          <w:szCs w:val="18"/>
        </w:rPr>
        <w:t xml:space="preserve"> c. Commissione</w:t>
      </w:r>
      <w:r w:rsidRPr="00D91312">
        <w:rPr>
          <w:rFonts w:ascii="Bookman Old Style" w:hAnsi="Bookman Old Style"/>
          <w:sz w:val="18"/>
          <w:szCs w:val="18"/>
        </w:rPr>
        <w:t>, C</w:t>
      </w:r>
      <w:r w:rsidRPr="00D91312">
        <w:rPr>
          <w:rFonts w:ascii="Times New Roman" w:hAnsi="Times New Roman" w:cs="Times New Roman"/>
          <w:sz w:val="18"/>
          <w:szCs w:val="18"/>
        </w:rPr>
        <w:t>‑</w:t>
      </w:r>
      <w:r w:rsidRPr="00D91312">
        <w:rPr>
          <w:rFonts w:ascii="Bookman Old Style" w:hAnsi="Bookman Old Style"/>
          <w:sz w:val="18"/>
          <w:szCs w:val="18"/>
        </w:rPr>
        <w:t xml:space="preserve">113/04 P, punti 47 e 48; 9 giugno 2016, </w:t>
      </w:r>
      <w:r w:rsidRPr="00D91312">
        <w:rPr>
          <w:rFonts w:ascii="Bookman Old Style" w:hAnsi="Bookman Old Style"/>
          <w:i/>
          <w:sz w:val="18"/>
          <w:szCs w:val="18"/>
        </w:rPr>
        <w:t>PROAS c. Commissione</w:t>
      </w:r>
      <w:r w:rsidRPr="00D91312">
        <w:rPr>
          <w:rFonts w:ascii="Bookman Old Style" w:hAnsi="Bookman Old Style"/>
          <w:sz w:val="18"/>
          <w:szCs w:val="18"/>
        </w:rPr>
        <w:t>, C</w:t>
      </w:r>
      <w:r w:rsidRPr="00D91312">
        <w:rPr>
          <w:rFonts w:ascii="Times New Roman" w:hAnsi="Times New Roman" w:cs="Times New Roman"/>
          <w:sz w:val="18"/>
          <w:szCs w:val="18"/>
        </w:rPr>
        <w:t>‑</w:t>
      </w:r>
      <w:r w:rsidRPr="00D91312">
        <w:rPr>
          <w:rFonts w:ascii="Bookman Old Style" w:hAnsi="Bookman Old Style"/>
          <w:sz w:val="18"/>
          <w:szCs w:val="18"/>
        </w:rPr>
        <w:t xml:space="preserve">616/13 P, punto </w:t>
      </w:r>
      <w:proofErr w:type="gramStart"/>
      <w:r w:rsidRPr="00D91312">
        <w:rPr>
          <w:rFonts w:ascii="Bookman Old Style" w:hAnsi="Bookman Old Style"/>
          <w:sz w:val="18"/>
          <w:szCs w:val="18"/>
        </w:rPr>
        <w:t>74;  8</w:t>
      </w:r>
      <w:proofErr w:type="gramEnd"/>
      <w:r w:rsidRPr="00D91312">
        <w:rPr>
          <w:rFonts w:ascii="Bookman Old Style" w:hAnsi="Bookman Old Style"/>
          <w:sz w:val="18"/>
          <w:szCs w:val="18"/>
        </w:rPr>
        <w:t xml:space="preserve"> maggio 2014, </w:t>
      </w:r>
      <w:proofErr w:type="spellStart"/>
      <w:r w:rsidRPr="00D91312">
        <w:rPr>
          <w:rFonts w:ascii="Bookman Old Style" w:hAnsi="Bookman Old Style"/>
          <w:i/>
          <w:sz w:val="18"/>
          <w:szCs w:val="18"/>
        </w:rPr>
        <w:t>Bolloré</w:t>
      </w:r>
      <w:proofErr w:type="spellEnd"/>
      <w:r w:rsidRPr="00D91312">
        <w:rPr>
          <w:rFonts w:ascii="Bookman Old Style" w:hAnsi="Bookman Old Style"/>
          <w:i/>
          <w:sz w:val="18"/>
          <w:szCs w:val="18"/>
        </w:rPr>
        <w:t xml:space="preserve"> c. Commissione</w:t>
      </w:r>
      <w:r w:rsidRPr="00D91312">
        <w:rPr>
          <w:rFonts w:ascii="Bookman Old Style" w:hAnsi="Bookman Old Style"/>
          <w:sz w:val="18"/>
          <w:szCs w:val="18"/>
        </w:rPr>
        <w:t>, C</w:t>
      </w:r>
      <w:r w:rsidRPr="00D91312">
        <w:rPr>
          <w:rFonts w:ascii="Times New Roman" w:hAnsi="Times New Roman" w:cs="Times New Roman"/>
          <w:sz w:val="18"/>
          <w:szCs w:val="18"/>
        </w:rPr>
        <w:t>‑</w:t>
      </w:r>
      <w:r w:rsidRPr="00D91312">
        <w:rPr>
          <w:rFonts w:ascii="Bookman Old Style" w:hAnsi="Bookman Old Style"/>
          <w:sz w:val="18"/>
          <w:szCs w:val="18"/>
        </w:rPr>
        <w:t xml:space="preserve">414/12 P, punto 84; da ultimo, al di fuori della materia </w:t>
      </w:r>
      <w:r w:rsidRPr="00D91312">
        <w:rPr>
          <w:rFonts w:ascii="Bookman Old Style" w:hAnsi="Bookman Old Style"/>
          <w:i/>
          <w:sz w:val="18"/>
          <w:szCs w:val="18"/>
        </w:rPr>
        <w:t>antitrust</w:t>
      </w:r>
      <w:r w:rsidRPr="00D91312">
        <w:rPr>
          <w:rFonts w:ascii="Bookman Old Style" w:hAnsi="Bookman Old Style"/>
          <w:sz w:val="18"/>
          <w:szCs w:val="18"/>
        </w:rPr>
        <w:t xml:space="preserve">, 26 giugno 2019, </w:t>
      </w:r>
      <w:r w:rsidRPr="00D91312">
        <w:rPr>
          <w:rFonts w:ascii="Bookman Old Style" w:hAnsi="Bookman Old Style"/>
          <w:i/>
          <w:sz w:val="18"/>
          <w:szCs w:val="18"/>
        </w:rPr>
        <w:t>Repubblica italiana c. Commissione</w:t>
      </w:r>
      <w:r w:rsidRPr="00D91312">
        <w:rPr>
          <w:rFonts w:ascii="Bookman Old Style" w:hAnsi="Bookman Old Style"/>
          <w:sz w:val="18"/>
          <w:szCs w:val="18"/>
        </w:rPr>
        <w:t>, C-247/18 P, punto 85.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06DF4"/>
    <w:multiLevelType w:val="hybridMultilevel"/>
    <w:tmpl w:val="D4987F6A"/>
    <w:lvl w:ilvl="0" w:tplc="D396AF7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7797B01"/>
    <w:multiLevelType w:val="hybridMultilevel"/>
    <w:tmpl w:val="A9E2E71A"/>
    <w:lvl w:ilvl="0" w:tplc="037E63D8">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7E"/>
    <w:rsid w:val="000020C7"/>
    <w:rsid w:val="000070C5"/>
    <w:rsid w:val="00016A92"/>
    <w:rsid w:val="00021AF8"/>
    <w:rsid w:val="00034F36"/>
    <w:rsid w:val="00035325"/>
    <w:rsid w:val="00036F34"/>
    <w:rsid w:val="00057205"/>
    <w:rsid w:val="0006631B"/>
    <w:rsid w:val="0007753D"/>
    <w:rsid w:val="0008249E"/>
    <w:rsid w:val="0009109F"/>
    <w:rsid w:val="00092622"/>
    <w:rsid w:val="000930C9"/>
    <w:rsid w:val="0009598C"/>
    <w:rsid w:val="000A119B"/>
    <w:rsid w:val="000A3226"/>
    <w:rsid w:val="000B3CDB"/>
    <w:rsid w:val="000B6FBC"/>
    <w:rsid w:val="000C1B55"/>
    <w:rsid w:val="000C3E47"/>
    <w:rsid w:val="000D3642"/>
    <w:rsid w:val="000D3ABE"/>
    <w:rsid w:val="000D689F"/>
    <w:rsid w:val="000D6E0D"/>
    <w:rsid w:val="000D744E"/>
    <w:rsid w:val="000E0497"/>
    <w:rsid w:val="000E2596"/>
    <w:rsid w:val="00103D27"/>
    <w:rsid w:val="00106FCE"/>
    <w:rsid w:val="00110FBD"/>
    <w:rsid w:val="001121FA"/>
    <w:rsid w:val="00112CBD"/>
    <w:rsid w:val="00115C05"/>
    <w:rsid w:val="00116C89"/>
    <w:rsid w:val="001200A5"/>
    <w:rsid w:val="00124740"/>
    <w:rsid w:val="0012750B"/>
    <w:rsid w:val="001307FA"/>
    <w:rsid w:val="001514F4"/>
    <w:rsid w:val="001621D2"/>
    <w:rsid w:val="00162354"/>
    <w:rsid w:val="00163FCE"/>
    <w:rsid w:val="00170BE0"/>
    <w:rsid w:val="00172302"/>
    <w:rsid w:val="001729EF"/>
    <w:rsid w:val="00174F64"/>
    <w:rsid w:val="0017536B"/>
    <w:rsid w:val="00176307"/>
    <w:rsid w:val="00181459"/>
    <w:rsid w:val="001973DD"/>
    <w:rsid w:val="001B117E"/>
    <w:rsid w:val="001B2636"/>
    <w:rsid w:val="001B2A97"/>
    <w:rsid w:val="001C5EDD"/>
    <w:rsid w:val="001D189B"/>
    <w:rsid w:val="001E33B4"/>
    <w:rsid w:val="001E395A"/>
    <w:rsid w:val="00204774"/>
    <w:rsid w:val="002067B4"/>
    <w:rsid w:val="00210B4D"/>
    <w:rsid w:val="00210F28"/>
    <w:rsid w:val="00212621"/>
    <w:rsid w:val="0021294E"/>
    <w:rsid w:val="00224859"/>
    <w:rsid w:val="00225D6E"/>
    <w:rsid w:val="00227BAB"/>
    <w:rsid w:val="00234416"/>
    <w:rsid w:val="002408C6"/>
    <w:rsid w:val="0024220D"/>
    <w:rsid w:val="00244ADA"/>
    <w:rsid w:val="002452E0"/>
    <w:rsid w:val="00247B72"/>
    <w:rsid w:val="00255B65"/>
    <w:rsid w:val="002602E5"/>
    <w:rsid w:val="00261735"/>
    <w:rsid w:val="00263B8E"/>
    <w:rsid w:val="002649EB"/>
    <w:rsid w:val="002660AC"/>
    <w:rsid w:val="00274E29"/>
    <w:rsid w:val="002812AD"/>
    <w:rsid w:val="002904FE"/>
    <w:rsid w:val="002938D9"/>
    <w:rsid w:val="002A4E73"/>
    <w:rsid w:val="002A53E8"/>
    <w:rsid w:val="002A6582"/>
    <w:rsid w:val="002B3064"/>
    <w:rsid w:val="002B5971"/>
    <w:rsid w:val="002D3690"/>
    <w:rsid w:val="002E24E9"/>
    <w:rsid w:val="002F0163"/>
    <w:rsid w:val="002F0FB9"/>
    <w:rsid w:val="002F166A"/>
    <w:rsid w:val="002F1D93"/>
    <w:rsid w:val="002F2540"/>
    <w:rsid w:val="00307D24"/>
    <w:rsid w:val="003157C2"/>
    <w:rsid w:val="00326C09"/>
    <w:rsid w:val="003346E4"/>
    <w:rsid w:val="00334A38"/>
    <w:rsid w:val="00335882"/>
    <w:rsid w:val="0033663D"/>
    <w:rsid w:val="00341120"/>
    <w:rsid w:val="0034434E"/>
    <w:rsid w:val="00344DA1"/>
    <w:rsid w:val="00345150"/>
    <w:rsid w:val="003515F0"/>
    <w:rsid w:val="0035177F"/>
    <w:rsid w:val="003518E2"/>
    <w:rsid w:val="00356893"/>
    <w:rsid w:val="0036413C"/>
    <w:rsid w:val="003820A1"/>
    <w:rsid w:val="00382432"/>
    <w:rsid w:val="00390BA8"/>
    <w:rsid w:val="00397465"/>
    <w:rsid w:val="003A591A"/>
    <w:rsid w:val="003A622C"/>
    <w:rsid w:val="003A69FE"/>
    <w:rsid w:val="003A7DF4"/>
    <w:rsid w:val="003B04E7"/>
    <w:rsid w:val="003C1D63"/>
    <w:rsid w:val="003C22F0"/>
    <w:rsid w:val="003C239E"/>
    <w:rsid w:val="003C7713"/>
    <w:rsid w:val="003D0908"/>
    <w:rsid w:val="003D7610"/>
    <w:rsid w:val="003E2F90"/>
    <w:rsid w:val="003F1A93"/>
    <w:rsid w:val="003F20E5"/>
    <w:rsid w:val="00406C38"/>
    <w:rsid w:val="00407EEA"/>
    <w:rsid w:val="00411D8D"/>
    <w:rsid w:val="00413E24"/>
    <w:rsid w:val="0041616C"/>
    <w:rsid w:val="00417D70"/>
    <w:rsid w:val="00421691"/>
    <w:rsid w:val="004324DB"/>
    <w:rsid w:val="004460CA"/>
    <w:rsid w:val="004605D5"/>
    <w:rsid w:val="00467B45"/>
    <w:rsid w:val="00470439"/>
    <w:rsid w:val="004772A3"/>
    <w:rsid w:val="00484B44"/>
    <w:rsid w:val="004946CE"/>
    <w:rsid w:val="00496B14"/>
    <w:rsid w:val="004A1DAC"/>
    <w:rsid w:val="004C4D54"/>
    <w:rsid w:val="004D01E2"/>
    <w:rsid w:val="004D17D5"/>
    <w:rsid w:val="004E0769"/>
    <w:rsid w:val="004E331D"/>
    <w:rsid w:val="004E615E"/>
    <w:rsid w:val="004E6286"/>
    <w:rsid w:val="004F6246"/>
    <w:rsid w:val="00507075"/>
    <w:rsid w:val="00523FA0"/>
    <w:rsid w:val="00530BDE"/>
    <w:rsid w:val="005328DF"/>
    <w:rsid w:val="0053393A"/>
    <w:rsid w:val="00541BCD"/>
    <w:rsid w:val="00552099"/>
    <w:rsid w:val="00556360"/>
    <w:rsid w:val="005646A3"/>
    <w:rsid w:val="005659B2"/>
    <w:rsid w:val="005833C6"/>
    <w:rsid w:val="00585562"/>
    <w:rsid w:val="005947A5"/>
    <w:rsid w:val="005A63D9"/>
    <w:rsid w:val="005A7A12"/>
    <w:rsid w:val="005B15FE"/>
    <w:rsid w:val="005B3483"/>
    <w:rsid w:val="005B4C40"/>
    <w:rsid w:val="005B69D5"/>
    <w:rsid w:val="005B7B8B"/>
    <w:rsid w:val="005C2E3C"/>
    <w:rsid w:val="005D2EB6"/>
    <w:rsid w:val="005E0FFC"/>
    <w:rsid w:val="005E334F"/>
    <w:rsid w:val="005E5066"/>
    <w:rsid w:val="005E7E0C"/>
    <w:rsid w:val="005F143E"/>
    <w:rsid w:val="005F3262"/>
    <w:rsid w:val="005F4A1D"/>
    <w:rsid w:val="005F69A6"/>
    <w:rsid w:val="0060660C"/>
    <w:rsid w:val="00610AC2"/>
    <w:rsid w:val="00616648"/>
    <w:rsid w:val="00620663"/>
    <w:rsid w:val="0062151B"/>
    <w:rsid w:val="00621CCA"/>
    <w:rsid w:val="0062297C"/>
    <w:rsid w:val="006352F6"/>
    <w:rsid w:val="006412FE"/>
    <w:rsid w:val="00641B97"/>
    <w:rsid w:val="006458BF"/>
    <w:rsid w:val="006529F6"/>
    <w:rsid w:val="006566F4"/>
    <w:rsid w:val="00661506"/>
    <w:rsid w:val="006636B1"/>
    <w:rsid w:val="006714AA"/>
    <w:rsid w:val="00672216"/>
    <w:rsid w:val="006728A6"/>
    <w:rsid w:val="00675711"/>
    <w:rsid w:val="00684789"/>
    <w:rsid w:val="00684B42"/>
    <w:rsid w:val="00696DE5"/>
    <w:rsid w:val="006B0286"/>
    <w:rsid w:val="006B0945"/>
    <w:rsid w:val="006B1B5D"/>
    <w:rsid w:val="006B344D"/>
    <w:rsid w:val="006D0236"/>
    <w:rsid w:val="006D4D8D"/>
    <w:rsid w:val="006D56AC"/>
    <w:rsid w:val="006E2CA9"/>
    <w:rsid w:val="006F0615"/>
    <w:rsid w:val="006F698F"/>
    <w:rsid w:val="00700E84"/>
    <w:rsid w:val="0071048C"/>
    <w:rsid w:val="007104C1"/>
    <w:rsid w:val="00715C6B"/>
    <w:rsid w:val="0071640D"/>
    <w:rsid w:val="00721242"/>
    <w:rsid w:val="007255C0"/>
    <w:rsid w:val="007260E2"/>
    <w:rsid w:val="00747CB8"/>
    <w:rsid w:val="0075128B"/>
    <w:rsid w:val="007514DE"/>
    <w:rsid w:val="0075189E"/>
    <w:rsid w:val="007528BE"/>
    <w:rsid w:val="00762CD6"/>
    <w:rsid w:val="00774AC4"/>
    <w:rsid w:val="00777E2F"/>
    <w:rsid w:val="007865C1"/>
    <w:rsid w:val="00786ACE"/>
    <w:rsid w:val="007877B9"/>
    <w:rsid w:val="0079250B"/>
    <w:rsid w:val="00796F2A"/>
    <w:rsid w:val="007B3980"/>
    <w:rsid w:val="007C4894"/>
    <w:rsid w:val="007D1983"/>
    <w:rsid w:val="007D1F67"/>
    <w:rsid w:val="007E05F7"/>
    <w:rsid w:val="007E2E72"/>
    <w:rsid w:val="007E63F0"/>
    <w:rsid w:val="008123CF"/>
    <w:rsid w:val="00814DB6"/>
    <w:rsid w:val="0082238E"/>
    <w:rsid w:val="00827160"/>
    <w:rsid w:val="00835F7D"/>
    <w:rsid w:val="00836CFE"/>
    <w:rsid w:val="00856C61"/>
    <w:rsid w:val="00857960"/>
    <w:rsid w:val="00857EFB"/>
    <w:rsid w:val="0086439B"/>
    <w:rsid w:val="008655D6"/>
    <w:rsid w:val="0086618C"/>
    <w:rsid w:val="00871F2C"/>
    <w:rsid w:val="00874588"/>
    <w:rsid w:val="00876CAC"/>
    <w:rsid w:val="00876D0A"/>
    <w:rsid w:val="00876D47"/>
    <w:rsid w:val="00880310"/>
    <w:rsid w:val="0088353F"/>
    <w:rsid w:val="00887D3B"/>
    <w:rsid w:val="00897B70"/>
    <w:rsid w:val="008A4BFE"/>
    <w:rsid w:val="008A4DBA"/>
    <w:rsid w:val="008A4ED5"/>
    <w:rsid w:val="008B2382"/>
    <w:rsid w:val="008B5AEC"/>
    <w:rsid w:val="008B7BDA"/>
    <w:rsid w:val="008C6A4E"/>
    <w:rsid w:val="008C6F8C"/>
    <w:rsid w:val="008D144B"/>
    <w:rsid w:val="008E0687"/>
    <w:rsid w:val="008E1AA9"/>
    <w:rsid w:val="008F0903"/>
    <w:rsid w:val="00900CCE"/>
    <w:rsid w:val="00902C29"/>
    <w:rsid w:val="00906514"/>
    <w:rsid w:val="00907969"/>
    <w:rsid w:val="00920D0A"/>
    <w:rsid w:val="009232A8"/>
    <w:rsid w:val="00924865"/>
    <w:rsid w:val="0092705A"/>
    <w:rsid w:val="0093603F"/>
    <w:rsid w:val="00941FBA"/>
    <w:rsid w:val="00943500"/>
    <w:rsid w:val="009435CA"/>
    <w:rsid w:val="009520C1"/>
    <w:rsid w:val="00955E64"/>
    <w:rsid w:val="00964C4C"/>
    <w:rsid w:val="00964E28"/>
    <w:rsid w:val="00975C8E"/>
    <w:rsid w:val="0098018D"/>
    <w:rsid w:val="00980818"/>
    <w:rsid w:val="00985FED"/>
    <w:rsid w:val="009946D2"/>
    <w:rsid w:val="00995D8B"/>
    <w:rsid w:val="009B10F9"/>
    <w:rsid w:val="009C00B2"/>
    <w:rsid w:val="009C04F7"/>
    <w:rsid w:val="009C2B8F"/>
    <w:rsid w:val="009C3733"/>
    <w:rsid w:val="009C3F1C"/>
    <w:rsid w:val="009E3A45"/>
    <w:rsid w:val="009E50BE"/>
    <w:rsid w:val="009F1960"/>
    <w:rsid w:val="009F1E3F"/>
    <w:rsid w:val="009F220A"/>
    <w:rsid w:val="009F297E"/>
    <w:rsid w:val="009F3A27"/>
    <w:rsid w:val="00A052B8"/>
    <w:rsid w:val="00A058F9"/>
    <w:rsid w:val="00A12B95"/>
    <w:rsid w:val="00A21621"/>
    <w:rsid w:val="00A22393"/>
    <w:rsid w:val="00A236D3"/>
    <w:rsid w:val="00A23CF0"/>
    <w:rsid w:val="00A26468"/>
    <w:rsid w:val="00A5705A"/>
    <w:rsid w:val="00A625DC"/>
    <w:rsid w:val="00A63885"/>
    <w:rsid w:val="00A71F13"/>
    <w:rsid w:val="00A72962"/>
    <w:rsid w:val="00A7371A"/>
    <w:rsid w:val="00A74368"/>
    <w:rsid w:val="00A75506"/>
    <w:rsid w:val="00A8097E"/>
    <w:rsid w:val="00A9030A"/>
    <w:rsid w:val="00A92C4F"/>
    <w:rsid w:val="00AA592F"/>
    <w:rsid w:val="00AA59B3"/>
    <w:rsid w:val="00AB14C6"/>
    <w:rsid w:val="00AC4AC3"/>
    <w:rsid w:val="00AD134B"/>
    <w:rsid w:val="00AE2A05"/>
    <w:rsid w:val="00AE693B"/>
    <w:rsid w:val="00AF2695"/>
    <w:rsid w:val="00AF446D"/>
    <w:rsid w:val="00B018F4"/>
    <w:rsid w:val="00B03F4F"/>
    <w:rsid w:val="00B05892"/>
    <w:rsid w:val="00B06DCF"/>
    <w:rsid w:val="00B52BE6"/>
    <w:rsid w:val="00B56331"/>
    <w:rsid w:val="00B61E52"/>
    <w:rsid w:val="00B6590E"/>
    <w:rsid w:val="00B734E2"/>
    <w:rsid w:val="00B75DA0"/>
    <w:rsid w:val="00B75E9D"/>
    <w:rsid w:val="00B76C87"/>
    <w:rsid w:val="00B80689"/>
    <w:rsid w:val="00B86A9C"/>
    <w:rsid w:val="00B969C5"/>
    <w:rsid w:val="00B974E7"/>
    <w:rsid w:val="00BA76EB"/>
    <w:rsid w:val="00BB0479"/>
    <w:rsid w:val="00BB429F"/>
    <w:rsid w:val="00BC4754"/>
    <w:rsid w:val="00BD3977"/>
    <w:rsid w:val="00BD4A25"/>
    <w:rsid w:val="00BD690F"/>
    <w:rsid w:val="00BE3388"/>
    <w:rsid w:val="00BE76E3"/>
    <w:rsid w:val="00BF32FA"/>
    <w:rsid w:val="00BF444D"/>
    <w:rsid w:val="00BF7CB6"/>
    <w:rsid w:val="00C02998"/>
    <w:rsid w:val="00C02F3A"/>
    <w:rsid w:val="00C038B8"/>
    <w:rsid w:val="00C0508F"/>
    <w:rsid w:val="00C051E5"/>
    <w:rsid w:val="00C121CA"/>
    <w:rsid w:val="00C208E9"/>
    <w:rsid w:val="00C2228D"/>
    <w:rsid w:val="00C47843"/>
    <w:rsid w:val="00C5494D"/>
    <w:rsid w:val="00C55A0C"/>
    <w:rsid w:val="00C76443"/>
    <w:rsid w:val="00C76896"/>
    <w:rsid w:val="00C8308E"/>
    <w:rsid w:val="00C92EB0"/>
    <w:rsid w:val="00C93EBD"/>
    <w:rsid w:val="00C966C7"/>
    <w:rsid w:val="00CA058D"/>
    <w:rsid w:val="00CA52A1"/>
    <w:rsid w:val="00CA78B8"/>
    <w:rsid w:val="00CB14AE"/>
    <w:rsid w:val="00CC0FC5"/>
    <w:rsid w:val="00CC22AF"/>
    <w:rsid w:val="00CC311A"/>
    <w:rsid w:val="00CD2E37"/>
    <w:rsid w:val="00CD3973"/>
    <w:rsid w:val="00CD4628"/>
    <w:rsid w:val="00CE336C"/>
    <w:rsid w:val="00CE396A"/>
    <w:rsid w:val="00CE3B02"/>
    <w:rsid w:val="00CF1604"/>
    <w:rsid w:val="00CF1CB8"/>
    <w:rsid w:val="00CF3B25"/>
    <w:rsid w:val="00CF4402"/>
    <w:rsid w:val="00D2083C"/>
    <w:rsid w:val="00D24A01"/>
    <w:rsid w:val="00D269E5"/>
    <w:rsid w:val="00D3416A"/>
    <w:rsid w:val="00D371D7"/>
    <w:rsid w:val="00D376E2"/>
    <w:rsid w:val="00D505A5"/>
    <w:rsid w:val="00D51252"/>
    <w:rsid w:val="00D60636"/>
    <w:rsid w:val="00D618B7"/>
    <w:rsid w:val="00D648D2"/>
    <w:rsid w:val="00D6561D"/>
    <w:rsid w:val="00D71E2B"/>
    <w:rsid w:val="00D833C1"/>
    <w:rsid w:val="00D85685"/>
    <w:rsid w:val="00D91312"/>
    <w:rsid w:val="00DA0F26"/>
    <w:rsid w:val="00DB1B8E"/>
    <w:rsid w:val="00DB2E26"/>
    <w:rsid w:val="00DB5E73"/>
    <w:rsid w:val="00DC1C5B"/>
    <w:rsid w:val="00DC4CBD"/>
    <w:rsid w:val="00DC7D42"/>
    <w:rsid w:val="00DD04DA"/>
    <w:rsid w:val="00DD31C4"/>
    <w:rsid w:val="00DF58E0"/>
    <w:rsid w:val="00DF6B5C"/>
    <w:rsid w:val="00E045D3"/>
    <w:rsid w:val="00E10220"/>
    <w:rsid w:val="00E1075F"/>
    <w:rsid w:val="00E1602B"/>
    <w:rsid w:val="00E24D8D"/>
    <w:rsid w:val="00E31C00"/>
    <w:rsid w:val="00E31D05"/>
    <w:rsid w:val="00E3288E"/>
    <w:rsid w:val="00E33710"/>
    <w:rsid w:val="00E37A35"/>
    <w:rsid w:val="00E42058"/>
    <w:rsid w:val="00E42502"/>
    <w:rsid w:val="00E457A4"/>
    <w:rsid w:val="00E50567"/>
    <w:rsid w:val="00E53D1F"/>
    <w:rsid w:val="00E61C83"/>
    <w:rsid w:val="00E62274"/>
    <w:rsid w:val="00E62700"/>
    <w:rsid w:val="00E64F24"/>
    <w:rsid w:val="00E71957"/>
    <w:rsid w:val="00E7202D"/>
    <w:rsid w:val="00E76CEF"/>
    <w:rsid w:val="00E81EE0"/>
    <w:rsid w:val="00E91983"/>
    <w:rsid w:val="00E93C7A"/>
    <w:rsid w:val="00EA2B6F"/>
    <w:rsid w:val="00EA31F2"/>
    <w:rsid w:val="00EA4DA5"/>
    <w:rsid w:val="00EB7CC5"/>
    <w:rsid w:val="00EC4E7B"/>
    <w:rsid w:val="00EC5026"/>
    <w:rsid w:val="00ED4CA9"/>
    <w:rsid w:val="00ED5F1F"/>
    <w:rsid w:val="00ED7CF6"/>
    <w:rsid w:val="00EF1A20"/>
    <w:rsid w:val="00EF39D3"/>
    <w:rsid w:val="00EF5C54"/>
    <w:rsid w:val="00F00B66"/>
    <w:rsid w:val="00F0130E"/>
    <w:rsid w:val="00F12118"/>
    <w:rsid w:val="00F166DF"/>
    <w:rsid w:val="00F40B6E"/>
    <w:rsid w:val="00F40F16"/>
    <w:rsid w:val="00F47B95"/>
    <w:rsid w:val="00F51225"/>
    <w:rsid w:val="00F522A2"/>
    <w:rsid w:val="00F73195"/>
    <w:rsid w:val="00F7333F"/>
    <w:rsid w:val="00F74515"/>
    <w:rsid w:val="00F75803"/>
    <w:rsid w:val="00F8022E"/>
    <w:rsid w:val="00F81EFB"/>
    <w:rsid w:val="00FA2980"/>
    <w:rsid w:val="00FA7583"/>
    <w:rsid w:val="00FA7DEE"/>
    <w:rsid w:val="00FB2278"/>
    <w:rsid w:val="00FB2A60"/>
    <w:rsid w:val="00FB2BFC"/>
    <w:rsid w:val="00FB347F"/>
    <w:rsid w:val="00FB41CE"/>
    <w:rsid w:val="00FD2555"/>
    <w:rsid w:val="00FE6347"/>
    <w:rsid w:val="00FF54F9"/>
    <w:rsid w:val="00FF5D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2E2A0"/>
  <w15:chartTrackingRefBased/>
  <w15:docId w15:val="{CC27A3AF-B67B-4F82-820D-7144DA70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55E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E2CA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E2CA9"/>
    <w:rPr>
      <w:sz w:val="20"/>
      <w:szCs w:val="20"/>
    </w:rPr>
  </w:style>
  <w:style w:type="character" w:styleId="Rimandonotaapidipagina">
    <w:name w:val="footnote reference"/>
    <w:basedOn w:val="Carpredefinitoparagrafo"/>
    <w:uiPriority w:val="99"/>
    <w:semiHidden/>
    <w:unhideWhenUsed/>
    <w:rsid w:val="006E2CA9"/>
    <w:rPr>
      <w:vertAlign w:val="superscript"/>
    </w:rPr>
  </w:style>
  <w:style w:type="paragraph" w:styleId="Paragrafoelenco">
    <w:name w:val="List Paragraph"/>
    <w:basedOn w:val="Normale"/>
    <w:uiPriority w:val="34"/>
    <w:qFormat/>
    <w:rsid w:val="00507075"/>
    <w:pPr>
      <w:ind w:left="720"/>
      <w:contextualSpacing/>
    </w:pPr>
  </w:style>
  <w:style w:type="paragraph" w:customStyle="1" w:styleId="paragraph">
    <w:name w:val="paragraph"/>
    <w:basedOn w:val="Normale"/>
    <w:rsid w:val="00D9131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eop">
    <w:name w:val="eop"/>
    <w:basedOn w:val="Carpredefinitoparagrafo"/>
    <w:rsid w:val="00D91312"/>
  </w:style>
  <w:style w:type="character" w:customStyle="1" w:styleId="normaltextrun">
    <w:name w:val="normaltextrun"/>
    <w:basedOn w:val="Carpredefinitoparagrafo"/>
    <w:rsid w:val="00D91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50697">
      <w:bodyDiv w:val="1"/>
      <w:marLeft w:val="0"/>
      <w:marRight w:val="0"/>
      <w:marTop w:val="0"/>
      <w:marBottom w:val="0"/>
      <w:divBdr>
        <w:top w:val="none" w:sz="0" w:space="0" w:color="auto"/>
        <w:left w:val="none" w:sz="0" w:space="0" w:color="auto"/>
        <w:bottom w:val="none" w:sz="0" w:space="0" w:color="auto"/>
        <w:right w:val="none" w:sz="0" w:space="0" w:color="auto"/>
      </w:divBdr>
      <w:divsChild>
        <w:div w:id="1632245743">
          <w:marLeft w:val="0"/>
          <w:marRight w:val="0"/>
          <w:marTop w:val="0"/>
          <w:marBottom w:val="0"/>
          <w:divBdr>
            <w:top w:val="none" w:sz="0" w:space="0" w:color="auto"/>
            <w:left w:val="none" w:sz="0" w:space="0" w:color="auto"/>
            <w:bottom w:val="none" w:sz="0" w:space="0" w:color="auto"/>
            <w:right w:val="none" w:sz="0" w:space="0" w:color="auto"/>
          </w:divBdr>
        </w:div>
        <w:div w:id="1169104629">
          <w:marLeft w:val="0"/>
          <w:marRight w:val="0"/>
          <w:marTop w:val="0"/>
          <w:marBottom w:val="0"/>
          <w:divBdr>
            <w:top w:val="none" w:sz="0" w:space="0" w:color="auto"/>
            <w:left w:val="none" w:sz="0" w:space="0" w:color="auto"/>
            <w:bottom w:val="none" w:sz="0" w:space="0" w:color="auto"/>
            <w:right w:val="none" w:sz="0" w:space="0" w:color="auto"/>
          </w:divBdr>
        </w:div>
        <w:div w:id="594245386">
          <w:marLeft w:val="0"/>
          <w:marRight w:val="0"/>
          <w:marTop w:val="0"/>
          <w:marBottom w:val="0"/>
          <w:divBdr>
            <w:top w:val="none" w:sz="0" w:space="0" w:color="auto"/>
            <w:left w:val="none" w:sz="0" w:space="0" w:color="auto"/>
            <w:bottom w:val="none" w:sz="0" w:space="0" w:color="auto"/>
            <w:right w:val="none" w:sz="0" w:space="0" w:color="auto"/>
          </w:divBdr>
        </w:div>
        <w:div w:id="1779254229">
          <w:marLeft w:val="0"/>
          <w:marRight w:val="0"/>
          <w:marTop w:val="0"/>
          <w:marBottom w:val="0"/>
          <w:divBdr>
            <w:top w:val="none" w:sz="0" w:space="0" w:color="auto"/>
            <w:left w:val="none" w:sz="0" w:space="0" w:color="auto"/>
            <w:bottom w:val="none" w:sz="0" w:space="0" w:color="auto"/>
            <w:right w:val="none" w:sz="0" w:space="0" w:color="auto"/>
          </w:divBdr>
        </w:div>
        <w:div w:id="1845051176">
          <w:marLeft w:val="0"/>
          <w:marRight w:val="0"/>
          <w:marTop w:val="0"/>
          <w:marBottom w:val="0"/>
          <w:divBdr>
            <w:top w:val="none" w:sz="0" w:space="0" w:color="auto"/>
            <w:left w:val="none" w:sz="0" w:space="0" w:color="auto"/>
            <w:bottom w:val="none" w:sz="0" w:space="0" w:color="auto"/>
            <w:right w:val="none" w:sz="0" w:space="0" w:color="auto"/>
          </w:divBdr>
        </w:div>
        <w:div w:id="2095930176">
          <w:marLeft w:val="0"/>
          <w:marRight w:val="0"/>
          <w:marTop w:val="0"/>
          <w:marBottom w:val="0"/>
          <w:divBdr>
            <w:top w:val="none" w:sz="0" w:space="0" w:color="auto"/>
            <w:left w:val="none" w:sz="0" w:space="0" w:color="auto"/>
            <w:bottom w:val="none" w:sz="0" w:space="0" w:color="auto"/>
            <w:right w:val="none" w:sz="0" w:space="0" w:color="auto"/>
          </w:divBdr>
        </w:div>
        <w:div w:id="974022898">
          <w:marLeft w:val="0"/>
          <w:marRight w:val="0"/>
          <w:marTop w:val="0"/>
          <w:marBottom w:val="0"/>
          <w:divBdr>
            <w:top w:val="none" w:sz="0" w:space="0" w:color="auto"/>
            <w:left w:val="none" w:sz="0" w:space="0" w:color="auto"/>
            <w:bottom w:val="none" w:sz="0" w:space="0" w:color="auto"/>
            <w:right w:val="none" w:sz="0" w:space="0" w:color="auto"/>
          </w:divBdr>
        </w:div>
        <w:div w:id="1148009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8D3AA-E7EA-447D-A107-CF62021F6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6483</Words>
  <Characters>36959</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GUARRACINO Francesco</dc:creator>
  <cp:keywords/>
  <dc:description/>
  <cp:lastModifiedBy>DURANTE Nicola</cp:lastModifiedBy>
  <cp:revision>3</cp:revision>
  <dcterms:created xsi:type="dcterms:W3CDTF">2023-07-08T17:05:00Z</dcterms:created>
  <dcterms:modified xsi:type="dcterms:W3CDTF">2023-07-08T19:44:00Z</dcterms:modified>
</cp:coreProperties>
</file>