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89D" w:rsidRPr="00990B3F" w:rsidRDefault="0087189D" w:rsidP="008E76C8">
      <w:pPr>
        <w:spacing w:line="360" w:lineRule="auto"/>
        <w:ind w:left="284" w:right="282"/>
        <w:jc w:val="center"/>
        <w:rPr>
          <w:b/>
        </w:rPr>
      </w:pPr>
      <w:r w:rsidRPr="00B9257F">
        <w:rPr>
          <w:b/>
          <w:sz w:val="40"/>
          <w:szCs w:val="40"/>
        </w:rPr>
        <w:t>Concessioni balneari: avviso ai naviganti</w:t>
      </w:r>
      <w:r w:rsidR="00101125" w:rsidRPr="00990B3F">
        <w:rPr>
          <w:b/>
        </w:rPr>
        <w:t xml:space="preserve"> </w:t>
      </w:r>
      <w:r w:rsidR="00101125" w:rsidRPr="00990B3F">
        <w:rPr>
          <w:b/>
          <w:vertAlign w:val="superscript"/>
        </w:rPr>
        <w:t>(*)</w:t>
      </w:r>
    </w:p>
    <w:p w:rsidR="0087189D" w:rsidRDefault="0087189D" w:rsidP="008E76C8">
      <w:pPr>
        <w:spacing w:line="360" w:lineRule="auto"/>
        <w:ind w:left="284" w:right="282"/>
        <w:jc w:val="both"/>
      </w:pPr>
      <w:r>
        <w:t>A quanto mi è stato detto – non sono un esperto di marineria –</w:t>
      </w:r>
      <w:r w:rsidR="00990B3F">
        <w:t>,</w:t>
      </w:r>
      <w:r>
        <w:t xml:space="preserve"> gli avvisi ai naviganti in tanto sono utili, in quanto conteng</w:t>
      </w:r>
      <w:r w:rsidR="00990B3F">
        <w:t>a</w:t>
      </w:r>
      <w:r>
        <w:t xml:space="preserve">no le informazioni sui pericoli che punto per punto possono incontrarsi </w:t>
      </w:r>
      <w:r w:rsidR="00990B3F">
        <w:t>su</w:t>
      </w:r>
      <w:r>
        <w:t>lla rotta di navigazione.</w:t>
      </w:r>
    </w:p>
    <w:p w:rsidR="0087189D" w:rsidRDefault="0087189D" w:rsidP="008E76C8">
      <w:pPr>
        <w:spacing w:line="360" w:lineRule="auto"/>
        <w:ind w:left="284" w:right="282"/>
        <w:jc w:val="both"/>
      </w:pPr>
      <w:r>
        <w:t>Ed allora,</w:t>
      </w:r>
      <w:r w:rsidR="00285832">
        <w:t xml:space="preserve"> a</w:t>
      </w:r>
      <w:r>
        <w:t xml:space="preserve">vrei </w:t>
      </w:r>
      <w:r w:rsidR="00285832">
        <w:t xml:space="preserve">pensato </w:t>
      </w:r>
      <w:r>
        <w:t>impostare quest</w:t>
      </w:r>
      <w:r w:rsidR="00285832">
        <w:t>o mio</w:t>
      </w:r>
      <w:r>
        <w:t xml:space="preserve"> breve </w:t>
      </w:r>
      <w:r w:rsidR="00285832">
        <w:t>intervento</w:t>
      </w:r>
      <w:r w:rsidR="00FE29B2">
        <w:t xml:space="preserve">, </w:t>
      </w:r>
      <w:r w:rsidR="00285832">
        <w:t>indica</w:t>
      </w:r>
      <w:r w:rsidR="00FE29B2">
        <w:t>ndo i pericoli e</w:t>
      </w:r>
      <w:r w:rsidR="00285832">
        <w:t>, in relazione ad essi,</w:t>
      </w:r>
      <w:r w:rsidR="00FE29B2">
        <w:t xml:space="preserve"> </w:t>
      </w:r>
      <w:r w:rsidR="00285832">
        <w:t>l</w:t>
      </w:r>
      <w:r w:rsidR="00FE29B2">
        <w:t>e possibili correzioni che la rotta deve effettuare.</w:t>
      </w:r>
    </w:p>
    <w:p w:rsidR="00ED7629" w:rsidRPr="00FE29B2" w:rsidRDefault="00ED7629" w:rsidP="008E76C8">
      <w:pPr>
        <w:spacing w:line="360" w:lineRule="auto"/>
        <w:ind w:left="284" w:right="282"/>
        <w:jc w:val="both"/>
        <w:rPr>
          <w:b/>
        </w:rPr>
      </w:pPr>
      <w:r w:rsidRPr="00FE29B2">
        <w:rPr>
          <w:b/>
        </w:rPr>
        <w:t>Art. 49 TFUE e art. 12 della direttiva 2006/123/CE.</w:t>
      </w:r>
    </w:p>
    <w:p w:rsidR="00ED7629" w:rsidRDefault="00FE29B2" w:rsidP="008E76C8">
      <w:pPr>
        <w:spacing w:line="360" w:lineRule="auto"/>
        <w:ind w:left="284" w:right="282"/>
        <w:jc w:val="both"/>
      </w:pPr>
      <w:r>
        <w:t>Il pericolo principale riguarda l</w:t>
      </w:r>
      <w:r w:rsidR="000B297D">
        <w:t>’</w:t>
      </w:r>
      <w:r w:rsidR="00F92E18">
        <w:t xml:space="preserve">ormai pacifica </w:t>
      </w:r>
      <w:r>
        <w:t>applic</w:t>
      </w:r>
      <w:r w:rsidR="00F92E18">
        <w:t>abilità</w:t>
      </w:r>
      <w:r>
        <w:t xml:space="preserve"> diretta</w:t>
      </w:r>
      <w:r w:rsidR="00F92E18">
        <w:t>,</w:t>
      </w:r>
      <w:r>
        <w:t xml:space="preserve"> nel nostro ordinamento</w:t>
      </w:r>
      <w:r w:rsidR="00F92E18">
        <w:t>,</w:t>
      </w:r>
      <w:r>
        <w:t xml:space="preserve"> di due </w:t>
      </w:r>
      <w:r w:rsidR="00F92E18">
        <w:t xml:space="preserve">precise </w:t>
      </w:r>
      <w:r>
        <w:t>norme del diritto dell</w:t>
      </w:r>
      <w:r w:rsidR="000B297D">
        <w:t>’</w:t>
      </w:r>
      <w:r>
        <w:t>Unione europea</w:t>
      </w:r>
      <w:r w:rsidR="00F92E18">
        <w:t>:</w:t>
      </w:r>
      <w:r>
        <w:t xml:space="preserve"> l</w:t>
      </w:r>
      <w:r w:rsidR="000B297D">
        <w:t>’</w:t>
      </w:r>
      <w:r w:rsidR="00ED7629" w:rsidRPr="00C41656">
        <w:t xml:space="preserve">art. 49 </w:t>
      </w:r>
      <w:r w:rsidR="009875EB">
        <w:t xml:space="preserve">del </w:t>
      </w:r>
      <w:r w:rsidR="00ED7629" w:rsidRPr="00C41656">
        <w:t>T</w:t>
      </w:r>
      <w:r w:rsidR="009875EB">
        <w:t>rattato di funzionamento dell</w:t>
      </w:r>
      <w:r w:rsidR="000B297D">
        <w:t>’</w:t>
      </w:r>
      <w:r w:rsidR="009875EB">
        <w:t>Unione europea (T</w:t>
      </w:r>
      <w:r w:rsidR="00ED7629" w:rsidRPr="00C41656">
        <w:t>FUE</w:t>
      </w:r>
      <w:r w:rsidR="009875EB">
        <w:t>)</w:t>
      </w:r>
      <w:r w:rsidR="00ED7629">
        <w:t xml:space="preserve"> e </w:t>
      </w:r>
      <w:r w:rsidR="00ED7629" w:rsidRPr="00C41656">
        <w:t>l</w:t>
      </w:r>
      <w:r w:rsidR="000B297D">
        <w:t>’</w:t>
      </w:r>
      <w:r w:rsidR="00ED7629" w:rsidRPr="00C41656">
        <w:t>art. 12 della direttiva 2006/123/CE</w:t>
      </w:r>
      <w:r w:rsidR="00ED7629">
        <w:t xml:space="preserve"> (c.d. Bolkestein)</w:t>
      </w:r>
      <w:r w:rsidR="009875EB">
        <w:t>, le quali, nella sostanza,</w:t>
      </w:r>
      <w:r w:rsidR="00ED7629">
        <w:t xml:space="preserve"> </w:t>
      </w:r>
      <w:r w:rsidR="009875EB">
        <w:t>impong</w:t>
      </w:r>
      <w:r w:rsidR="00ED7629">
        <w:t>ono l</w:t>
      </w:r>
      <w:r w:rsidR="000B297D">
        <w:t>’</w:t>
      </w:r>
      <w:r w:rsidR="00ED7629">
        <w:t>obbligo di mettere a gara</w:t>
      </w:r>
      <w:r w:rsidR="00F92E18">
        <w:t xml:space="preserve"> i servizi pubblici,</w:t>
      </w:r>
      <w:r w:rsidR="00ED7629" w:rsidRPr="00DB53D9">
        <w:t xml:space="preserve"> </w:t>
      </w:r>
      <w:r w:rsidR="00ED7629">
        <w:t xml:space="preserve">con </w:t>
      </w:r>
      <w:r w:rsidR="00ED7629" w:rsidRPr="0051064F">
        <w:t>garanzi</w:t>
      </w:r>
      <w:r w:rsidR="00ED7629">
        <w:t>a di imparzialità,</w:t>
      </w:r>
      <w:r w:rsidR="00ED7629" w:rsidRPr="0051064F">
        <w:t xml:space="preserve"> trasparenza</w:t>
      </w:r>
      <w:r w:rsidR="00ED7629" w:rsidRPr="00DB53D9">
        <w:t xml:space="preserve"> </w:t>
      </w:r>
      <w:r w:rsidR="00ED7629" w:rsidRPr="0051064F">
        <w:t>e</w:t>
      </w:r>
      <w:r w:rsidR="00ED7629">
        <w:t xml:space="preserve"> pubblicità, ove ricorra almeno uno dei seguenti due requisiti</w:t>
      </w:r>
      <w:r w:rsidR="00F92E18">
        <w:t>,</w:t>
      </w:r>
      <w:r w:rsidR="00ED7629">
        <w:t xml:space="preserve"> l</w:t>
      </w:r>
      <w:r w:rsidR="000B297D">
        <w:t>’</w:t>
      </w:r>
      <w:r w:rsidR="00ED7629" w:rsidRPr="00DA531D">
        <w:t>interesse transfrontaliero</w:t>
      </w:r>
      <w:r w:rsidR="00ED7629" w:rsidRPr="00EE5A79">
        <w:t xml:space="preserve"> </w:t>
      </w:r>
      <w:r w:rsidR="00ED7629">
        <w:t xml:space="preserve">certo e </w:t>
      </w:r>
      <w:r w:rsidR="00ED7629" w:rsidRPr="00DA531D">
        <w:t>la scarsità dell</w:t>
      </w:r>
      <w:r w:rsidR="00ED7629">
        <w:t>a</w:t>
      </w:r>
      <w:r w:rsidR="00ED7629" w:rsidRPr="00DA531D">
        <w:t xml:space="preserve"> risors</w:t>
      </w:r>
      <w:r w:rsidR="00ED7629">
        <w:t xml:space="preserve">a </w:t>
      </w:r>
      <w:r w:rsidR="00F92E18">
        <w:t>naturale</w:t>
      </w:r>
      <w:r w:rsidR="00ED7629">
        <w:t>.</w:t>
      </w:r>
    </w:p>
    <w:p w:rsidR="00ED7629" w:rsidRPr="00341E99" w:rsidRDefault="00ED7629" w:rsidP="008E76C8">
      <w:pPr>
        <w:spacing w:line="360" w:lineRule="auto"/>
        <w:ind w:left="284" w:right="282"/>
        <w:jc w:val="both"/>
        <w:rPr>
          <w:b/>
        </w:rPr>
      </w:pPr>
      <w:r w:rsidRPr="00ED7629">
        <w:rPr>
          <w:b/>
        </w:rPr>
        <w:t xml:space="preserve">La sentenza </w:t>
      </w:r>
      <w:r w:rsidR="00341E99" w:rsidRPr="00341E99">
        <w:rPr>
          <w:b/>
        </w:rPr>
        <w:t>CGUE</w:t>
      </w:r>
      <w:r w:rsidR="009875EB">
        <w:rPr>
          <w:b/>
        </w:rPr>
        <w:t xml:space="preserve"> </w:t>
      </w:r>
      <w:r w:rsidR="00341E99" w:rsidRPr="00341E99">
        <w:rPr>
          <w:b/>
        </w:rPr>
        <w:t>14 luglio 2016, Promoimpresa e Melis</w:t>
      </w:r>
      <w:r w:rsidR="00341E99">
        <w:rPr>
          <w:b/>
        </w:rPr>
        <w:t xml:space="preserve"> c. Italia</w:t>
      </w:r>
      <w:r w:rsidR="00341E99" w:rsidRPr="00341E99">
        <w:rPr>
          <w:b/>
        </w:rPr>
        <w:t>, C-458/14 e C-67/15</w:t>
      </w:r>
      <w:r w:rsidRPr="00341E99">
        <w:rPr>
          <w:b/>
        </w:rPr>
        <w:t>.</w:t>
      </w:r>
    </w:p>
    <w:p w:rsidR="00ED7629" w:rsidRDefault="009875EB" w:rsidP="008E76C8">
      <w:pPr>
        <w:spacing w:line="360" w:lineRule="auto"/>
        <w:ind w:left="284" w:right="282"/>
        <w:jc w:val="both"/>
      </w:pPr>
      <w:r>
        <w:t xml:space="preserve">Il secondo scoglio è rappresentato dalla </w:t>
      </w:r>
      <w:r w:rsidR="00ED7629" w:rsidRPr="0051064F">
        <w:t xml:space="preserve">sentenza </w:t>
      </w:r>
      <w:r w:rsidR="00ED7629" w:rsidRPr="0051064F">
        <w:rPr>
          <w:i/>
        </w:rPr>
        <w:t>Promoimpresa</w:t>
      </w:r>
      <w:r w:rsidR="00341E99">
        <w:rPr>
          <w:i/>
        </w:rPr>
        <w:t xml:space="preserve"> e Melis</w:t>
      </w:r>
      <w:r w:rsidR="00ED7629">
        <w:rPr>
          <w:rStyle w:val="Rimandonotaapidipagina"/>
        </w:rPr>
        <w:t xml:space="preserve"> </w:t>
      </w:r>
      <w:r w:rsidR="00552C12">
        <w:t>c</w:t>
      </w:r>
      <w:r w:rsidR="00341E99">
        <w:t>.</w:t>
      </w:r>
      <w:r w:rsidR="00552C12">
        <w:t xml:space="preserve"> Italia</w:t>
      </w:r>
      <w:r w:rsidR="00ED7629">
        <w:t>,</w:t>
      </w:r>
      <w:r>
        <w:t xml:space="preserve"> in tema di concessioni turistico-ricreative, con cui</w:t>
      </w:r>
      <w:r w:rsidR="00ED7629">
        <w:t xml:space="preserve"> la </w:t>
      </w:r>
      <w:r w:rsidRPr="00341E99">
        <w:t>Sez. V</w:t>
      </w:r>
      <w:r w:rsidRPr="0051064F">
        <w:t xml:space="preserve"> </w:t>
      </w:r>
      <w:r>
        <w:t xml:space="preserve">della </w:t>
      </w:r>
      <w:r w:rsidR="00ED7629" w:rsidRPr="0051064F">
        <w:t>Corte di giustizia</w:t>
      </w:r>
      <w:r w:rsidRPr="009875EB">
        <w:t xml:space="preserve"> </w:t>
      </w:r>
      <w:r>
        <w:t>dell</w:t>
      </w:r>
      <w:r w:rsidR="000B297D">
        <w:t>’</w:t>
      </w:r>
      <w:r>
        <w:t>Unione europea</w:t>
      </w:r>
      <w:r w:rsidR="00ED7629">
        <w:t xml:space="preserve"> ha affermato </w:t>
      </w:r>
      <w:r w:rsidR="00341E99">
        <w:t>du</w:t>
      </w:r>
      <w:r w:rsidR="00ED7629">
        <w:t>e</w:t>
      </w:r>
      <w:r w:rsidR="00341E99">
        <w:t xml:space="preserve"> fondamentali</w:t>
      </w:r>
      <w:r w:rsidR="00ED7629">
        <w:t xml:space="preserve"> princìpi:</w:t>
      </w:r>
    </w:p>
    <w:p w:rsidR="00ED7629" w:rsidRDefault="00ED7629" w:rsidP="008E76C8">
      <w:pPr>
        <w:spacing w:line="360" w:lineRule="auto"/>
        <w:ind w:left="284" w:right="282"/>
        <w:jc w:val="both"/>
      </w:pPr>
      <w:r>
        <w:t xml:space="preserve">- </w:t>
      </w:r>
      <w:r w:rsidR="009875EB">
        <w:t xml:space="preserve">ove </w:t>
      </w:r>
      <w:r>
        <w:t>sussist</w:t>
      </w:r>
      <w:r w:rsidR="009875EB">
        <w:t>an</w:t>
      </w:r>
      <w:r>
        <w:t>o i requisiti della</w:t>
      </w:r>
      <w:r w:rsidRPr="00884ACC">
        <w:t xml:space="preserve"> </w:t>
      </w:r>
      <w:r>
        <w:t>scarsità della risorsa o</w:t>
      </w:r>
      <w:r w:rsidRPr="005248C1">
        <w:t xml:space="preserve"> </w:t>
      </w:r>
      <w:r>
        <w:t>dell</w:t>
      </w:r>
      <w:r w:rsidR="000B297D">
        <w:t>’</w:t>
      </w:r>
      <w:r w:rsidRPr="005248C1">
        <w:t>interesse transfrontaliero certo</w:t>
      </w:r>
      <w:r>
        <w:t xml:space="preserve">, il diritto europeo osta ad una norma interna recante </w:t>
      </w:r>
      <w:r w:rsidRPr="005248C1">
        <w:t>la proroga automatica</w:t>
      </w:r>
      <w:r>
        <w:t xml:space="preserve"> (ossia, </w:t>
      </w:r>
      <w:r w:rsidRPr="005248C1">
        <w:t>in assenza di qualsiasi procedura di</w:t>
      </w:r>
      <w:r>
        <w:t xml:space="preserve"> </w:t>
      </w:r>
      <w:r w:rsidRPr="005248C1">
        <w:t>selezione tra i potenziali candidati</w:t>
      </w:r>
      <w:r>
        <w:t>)</w:t>
      </w:r>
      <w:r w:rsidRPr="005248C1">
        <w:t xml:space="preserve"> delle autorizzazioni demaniali marittime e</w:t>
      </w:r>
      <w:r>
        <w:t xml:space="preserve"> </w:t>
      </w:r>
      <w:r w:rsidRPr="005248C1">
        <w:t>lacuali per attività turistico</w:t>
      </w:r>
      <w:r w:rsidRPr="00AC09CE">
        <w:rPr>
          <w:rFonts w:ascii="MS Gothic" w:eastAsia="MS Gothic" w:hAnsi="MS Gothic" w:cs="MS Gothic" w:hint="eastAsia"/>
        </w:rPr>
        <w:t>‑</w:t>
      </w:r>
      <w:r>
        <w:t>ricreative;</w:t>
      </w:r>
    </w:p>
    <w:p w:rsidR="00ED7629" w:rsidRDefault="00ED7629" w:rsidP="008E76C8">
      <w:pPr>
        <w:spacing w:line="360" w:lineRule="auto"/>
        <w:ind w:left="284" w:right="282"/>
        <w:jc w:val="both"/>
      </w:pPr>
      <w:r>
        <w:t xml:space="preserve">- la scarsità </w:t>
      </w:r>
      <w:r w:rsidR="00950401" w:rsidRPr="002F49D3">
        <w:t xml:space="preserve">delle risorse naturali </w:t>
      </w:r>
      <w:r>
        <w:t>e l</w:t>
      </w:r>
      <w:r w:rsidR="000B297D">
        <w:t>’</w:t>
      </w:r>
      <w:r w:rsidRPr="005248C1">
        <w:t xml:space="preserve">interesse transfrontaliero certo </w:t>
      </w:r>
      <w:r>
        <w:t>sono valutati dall</w:t>
      </w:r>
      <w:r w:rsidR="000B297D">
        <w:t>’</w:t>
      </w:r>
      <w:r>
        <w:t xml:space="preserve">amministrazione concedente in relazione alla singola </w:t>
      </w:r>
      <w:r w:rsidRPr="005248C1">
        <w:t>concession</w:t>
      </w:r>
      <w:r>
        <w:t>e,</w:t>
      </w:r>
      <w:r w:rsidRPr="00AC09CE">
        <w:t xml:space="preserve"> spettando poi al giudice</w:t>
      </w:r>
      <w:r>
        <w:t xml:space="preserve"> </w:t>
      </w:r>
      <w:r w:rsidRPr="00AC09CE">
        <w:t xml:space="preserve">nazionale </w:t>
      </w:r>
      <w:r>
        <w:t>il sindacato su tale apprezzamento</w:t>
      </w:r>
      <w:r w:rsidR="00341E99">
        <w:t>.</w:t>
      </w:r>
    </w:p>
    <w:p w:rsidR="00ED7629" w:rsidRPr="0077049C" w:rsidRDefault="00ED7629" w:rsidP="008E76C8">
      <w:pPr>
        <w:spacing w:line="360" w:lineRule="auto"/>
        <w:ind w:left="284" w:right="282"/>
        <w:jc w:val="both"/>
        <w:rPr>
          <w:b/>
        </w:rPr>
      </w:pPr>
      <w:r>
        <w:rPr>
          <w:b/>
        </w:rPr>
        <w:t xml:space="preserve">Le sentenze </w:t>
      </w:r>
      <w:r w:rsidR="00E902AF" w:rsidRPr="0077049C">
        <w:rPr>
          <w:b/>
        </w:rPr>
        <w:t>d</w:t>
      </w:r>
      <w:r w:rsidR="00E902AF">
        <w:rPr>
          <w:b/>
        </w:rPr>
        <w:t>e</w:t>
      </w:r>
      <w:r w:rsidR="00E902AF" w:rsidRPr="0077049C">
        <w:rPr>
          <w:b/>
        </w:rPr>
        <w:t>ll</w:t>
      </w:r>
      <w:r w:rsidR="000B297D">
        <w:rPr>
          <w:b/>
        </w:rPr>
        <w:t>’</w:t>
      </w:r>
      <w:r w:rsidR="00E902AF" w:rsidRPr="0077049C">
        <w:rPr>
          <w:b/>
        </w:rPr>
        <w:t>Adunanza plenaria del Consiglio di Stato</w:t>
      </w:r>
      <w:r w:rsidR="00E902AF" w:rsidRPr="00341E99">
        <w:rPr>
          <w:b/>
        </w:rPr>
        <w:t xml:space="preserve"> </w:t>
      </w:r>
      <w:r w:rsidR="00341E99" w:rsidRPr="00341E99">
        <w:rPr>
          <w:b/>
        </w:rPr>
        <w:t>9 novembre 2021, n. 17 e n. 18</w:t>
      </w:r>
      <w:r w:rsidRPr="0077049C">
        <w:rPr>
          <w:b/>
        </w:rPr>
        <w:t>.</w:t>
      </w:r>
    </w:p>
    <w:p w:rsidR="00ED7629" w:rsidRDefault="009875EB" w:rsidP="008E76C8">
      <w:pPr>
        <w:spacing w:line="360" w:lineRule="auto"/>
        <w:ind w:left="284" w:right="282"/>
        <w:jc w:val="both"/>
      </w:pPr>
      <w:r>
        <w:t>Lo scoglio più grande, i</w:t>
      </w:r>
      <w:r w:rsidR="00552C12">
        <w:t xml:space="preserve">n tema di concessioni turistico-ricreative, </w:t>
      </w:r>
      <w:r>
        <w:t xml:space="preserve">è </w:t>
      </w:r>
      <w:r w:rsidR="00950401">
        <w:t xml:space="preserve">però </w:t>
      </w:r>
      <w:r>
        <w:t>oggi rappresentato da</w:t>
      </w:r>
      <w:r w:rsidR="00950401">
        <w:t>lle</w:t>
      </w:r>
      <w:r w:rsidR="00ED7629">
        <w:t xml:space="preserve"> due sentenze </w:t>
      </w:r>
      <w:r w:rsidR="00ED7629" w:rsidRPr="00950401">
        <w:t>gemelle</w:t>
      </w:r>
      <w:r w:rsidR="00950401" w:rsidRPr="00950401">
        <w:t xml:space="preserve"> n. 17 e n</w:t>
      </w:r>
      <w:r w:rsidR="00950401">
        <w:t xml:space="preserve">. </w:t>
      </w:r>
      <w:r w:rsidR="00950401" w:rsidRPr="00950401">
        <w:t>18 del 2021</w:t>
      </w:r>
      <w:r w:rsidR="00ED7629">
        <w:t xml:space="preserve">, </w:t>
      </w:r>
      <w:r>
        <w:t xml:space="preserve">con </w:t>
      </w:r>
      <w:r w:rsidR="00950401">
        <w:t xml:space="preserve">cui </w:t>
      </w:r>
      <w:r w:rsidR="00ED7629">
        <w:t>il Consiglio di Stato ha affermato i seguenti princìpi:</w:t>
      </w:r>
    </w:p>
    <w:p w:rsidR="00112F1C" w:rsidRDefault="00552C12" w:rsidP="008E76C8">
      <w:pPr>
        <w:spacing w:line="360" w:lineRule="auto"/>
        <w:ind w:left="284" w:right="282"/>
        <w:jc w:val="both"/>
      </w:pPr>
      <w:r>
        <w:t xml:space="preserve">- </w:t>
      </w:r>
      <w:r w:rsidR="009875EB">
        <w:t>l</w:t>
      </w:r>
      <w:r w:rsidR="000B297D">
        <w:t>’</w:t>
      </w:r>
      <w:r w:rsidR="009875EB">
        <w:t>intero territorio nazionale</w:t>
      </w:r>
      <w:r w:rsidR="00950401">
        <w:t>,</w:t>
      </w:r>
      <w:r w:rsidR="009875EB">
        <w:t xml:space="preserve"> per il quale tali tipologie di concessioni possono essere rilasciate</w:t>
      </w:r>
      <w:r w:rsidR="00950401">
        <w:t>,</w:t>
      </w:r>
      <w:r w:rsidR="009875EB">
        <w:t xml:space="preserve"> si caratterizza </w:t>
      </w:r>
      <w:r w:rsidR="00757C74">
        <w:t>per i</w:t>
      </w:r>
      <w:r>
        <w:t>l requisito dell</w:t>
      </w:r>
      <w:r w:rsidR="000B297D">
        <w:t>’</w:t>
      </w:r>
      <w:r w:rsidR="00ED7629" w:rsidRPr="00201246">
        <w:t>interesse transfrontaliero certo</w:t>
      </w:r>
      <w:r>
        <w:t xml:space="preserve">, </w:t>
      </w:r>
      <w:r w:rsidR="009875EB">
        <w:t>dovendosi considerare</w:t>
      </w:r>
      <w:r>
        <w:t>:</w:t>
      </w:r>
    </w:p>
    <w:p w:rsidR="00112F1C" w:rsidRDefault="00E902AF" w:rsidP="008E76C8">
      <w:pPr>
        <w:spacing w:line="360" w:lineRule="auto"/>
        <w:ind w:left="851" w:right="282"/>
        <w:jc w:val="both"/>
      </w:pPr>
      <w:r>
        <w:lastRenderedPageBreak/>
        <w:t>*</w:t>
      </w:r>
      <w:r w:rsidR="00552C12">
        <w:t xml:space="preserve"> </w:t>
      </w:r>
      <w:r w:rsidR="009875EB">
        <w:t xml:space="preserve">per un verso, </w:t>
      </w:r>
      <w:r w:rsidR="00552C12">
        <w:t xml:space="preserve">la </w:t>
      </w:r>
      <w:r w:rsidR="00ED7629">
        <w:t>natura unitaria del patrimonio costiero italiano, il quale, “</w:t>
      </w:r>
      <w:r w:rsidR="00ED7629" w:rsidRPr="00552C12">
        <w:rPr>
          <w:i/>
        </w:rPr>
        <w:t>per conformazione, ubicazione geografica, condizioni climatiche e vocazione turistica … certamente oggetto di interesse transfrontaliero, esercitando una indiscutibile capacità attrattiva verso le imprese di altri Stati membri</w:t>
      </w:r>
      <w:r w:rsidR="00552C12">
        <w:t>”;</w:t>
      </w:r>
    </w:p>
    <w:p w:rsidR="00552C12" w:rsidRDefault="00E902AF" w:rsidP="008E76C8">
      <w:pPr>
        <w:spacing w:line="360" w:lineRule="auto"/>
        <w:ind w:left="851" w:right="282"/>
        <w:jc w:val="both"/>
      </w:pPr>
      <w:r>
        <w:t>*</w:t>
      </w:r>
      <w:r w:rsidR="00552C12">
        <w:t xml:space="preserve"> </w:t>
      </w:r>
      <w:r w:rsidR="009875EB">
        <w:t xml:space="preserve">per altro verso, </w:t>
      </w:r>
      <w:r w:rsidR="00552C12">
        <w:t>“</w:t>
      </w:r>
      <w:r w:rsidR="00552C12" w:rsidRPr="00552C12">
        <w:rPr>
          <w:i/>
        </w:rPr>
        <w:t>l</w:t>
      </w:r>
      <w:r w:rsidR="000B297D">
        <w:rPr>
          <w:i/>
        </w:rPr>
        <w:t>’</w:t>
      </w:r>
      <w:r w:rsidR="00552C12" w:rsidRPr="00552C12">
        <w:rPr>
          <w:i/>
        </w:rPr>
        <w:t>ampia possibilità di ricorrere alla sub-concessione. A tal proposito, l</w:t>
      </w:r>
      <w:r w:rsidR="000B297D">
        <w:rPr>
          <w:i/>
        </w:rPr>
        <w:t>’</w:t>
      </w:r>
      <w:r w:rsidR="00552C12" w:rsidRPr="00552C12">
        <w:rPr>
          <w:i/>
        </w:rPr>
        <w:t>art. 45-bis cod. nav. consente al concessionario, previa autorizzazione dell</w:t>
      </w:r>
      <w:r w:rsidR="000B297D">
        <w:rPr>
          <w:i/>
        </w:rPr>
        <w:t>’</w:t>
      </w:r>
      <w:r w:rsidR="00552C12" w:rsidRPr="00552C12">
        <w:rPr>
          <w:i/>
        </w:rPr>
        <w:t>autorità competente, di affidare ad altri soggetti la gestione delle attività oggetto della concessione (o di attività secondarie nell</w:t>
      </w:r>
      <w:r w:rsidR="000B297D">
        <w:rPr>
          <w:i/>
        </w:rPr>
        <w:t>’</w:t>
      </w:r>
      <w:r w:rsidR="00552C12" w:rsidRPr="00552C12">
        <w:rPr>
          <w:i/>
        </w:rPr>
        <w:t>ambito della concessione stessa)</w:t>
      </w:r>
      <w:r w:rsidR="00757C74">
        <w:t>”;</w:t>
      </w:r>
    </w:p>
    <w:p w:rsidR="00ED7629" w:rsidRDefault="00552C12" w:rsidP="008E76C8">
      <w:pPr>
        <w:spacing w:line="360" w:lineRule="auto"/>
        <w:ind w:left="284" w:right="282"/>
        <w:jc w:val="both"/>
      </w:pPr>
      <w:r>
        <w:t xml:space="preserve">- </w:t>
      </w:r>
      <w:r w:rsidR="00757C74">
        <w:t>l</w:t>
      </w:r>
      <w:r w:rsidR="000B297D">
        <w:t>’</w:t>
      </w:r>
      <w:r w:rsidR="00757C74">
        <w:t>intero territorio nazionale</w:t>
      </w:r>
      <w:r w:rsidR="00950401">
        <w:t>,</w:t>
      </w:r>
      <w:r w:rsidR="00757C74">
        <w:t xml:space="preserve"> per il quale tali tipologie di concessioni possono essere rilasciate</w:t>
      </w:r>
      <w:r w:rsidR="00950401">
        <w:t>,</w:t>
      </w:r>
      <w:r w:rsidR="00757C74">
        <w:t xml:space="preserve"> si caratterizza per il </w:t>
      </w:r>
      <w:r>
        <w:t xml:space="preserve">requisito della </w:t>
      </w:r>
      <w:r w:rsidRPr="002F7FC1">
        <w:t xml:space="preserve">scarsità </w:t>
      </w:r>
      <w:r>
        <w:t xml:space="preserve">del bene, che </w:t>
      </w:r>
      <w:r w:rsidRPr="002F7FC1">
        <w:t>v</w:t>
      </w:r>
      <w:r>
        <w:t>a</w:t>
      </w:r>
      <w:r w:rsidRPr="002F7FC1">
        <w:t xml:space="preserve"> inte</w:t>
      </w:r>
      <w:r>
        <w:t>so “</w:t>
      </w:r>
      <w:r w:rsidRPr="00552C12">
        <w:rPr>
          <w:i/>
        </w:rPr>
        <w:t>in termini relativi e non assoluti</w:t>
      </w:r>
      <w:r>
        <w:rPr>
          <w:i/>
        </w:rPr>
        <w:t xml:space="preserve">, tenendo </w:t>
      </w:r>
      <w:r w:rsidRPr="00552C12">
        <w:rPr>
          <w:i/>
        </w:rPr>
        <w:t>conto non solo della quantità del bene disponibile, ma anche dei suoi aspetti qualitativi e, di conseguenza, della domanda che è in grado di generare da parte di altri potenziali concorrenti, oltre che dei fruitori finali del servizio che tramite esso viene immesso sul mercato</w:t>
      </w:r>
      <w:r>
        <w:t>”;</w:t>
      </w:r>
    </w:p>
    <w:p w:rsidR="00ED7629" w:rsidRDefault="00ED7629" w:rsidP="008E76C8">
      <w:pPr>
        <w:spacing w:line="360" w:lineRule="auto"/>
        <w:ind w:left="284" w:right="282"/>
        <w:jc w:val="both"/>
      </w:pPr>
      <w:r>
        <w:t>- sussiste</w:t>
      </w:r>
      <w:r w:rsidR="00757C74">
        <w:t>, pertanto,</w:t>
      </w:r>
      <w:r w:rsidRPr="004646D2">
        <w:t xml:space="preserve"> </w:t>
      </w:r>
      <w:r>
        <w:t>l</w:t>
      </w:r>
      <w:r w:rsidR="000B297D">
        <w:t>’</w:t>
      </w:r>
      <w:r>
        <w:t xml:space="preserve">obbligo </w:t>
      </w:r>
      <w:r w:rsidR="00757C74">
        <w:t xml:space="preserve">generalizzato </w:t>
      </w:r>
      <w:r>
        <w:t xml:space="preserve">di affidamento </w:t>
      </w:r>
      <w:r w:rsidR="00552C12">
        <w:t xml:space="preserve">di tali concessioni </w:t>
      </w:r>
      <w:r>
        <w:t xml:space="preserve">tramite </w:t>
      </w:r>
      <w:r w:rsidRPr="0051064F">
        <w:t>una “</w:t>
      </w:r>
      <w:r w:rsidRPr="00552C12">
        <w:rPr>
          <w:i/>
        </w:rPr>
        <w:t>procedura di selezione tra i candidati potenziali, che presenti garanzie di imparzialità e di trasparenza e preveda, in particolare, un</w:t>
      </w:r>
      <w:r w:rsidR="000B297D">
        <w:rPr>
          <w:i/>
        </w:rPr>
        <w:t>’</w:t>
      </w:r>
      <w:r w:rsidRPr="00552C12">
        <w:rPr>
          <w:i/>
        </w:rPr>
        <w:t>adeguata pubblicità dell</w:t>
      </w:r>
      <w:r w:rsidR="000B297D">
        <w:rPr>
          <w:i/>
        </w:rPr>
        <w:t>’</w:t>
      </w:r>
      <w:r w:rsidRPr="00552C12">
        <w:rPr>
          <w:i/>
        </w:rPr>
        <w:t>avvio della procedura e del suo svolgimento e completamento</w:t>
      </w:r>
      <w:r>
        <w:t>”;</w:t>
      </w:r>
    </w:p>
    <w:p w:rsidR="00ED7629" w:rsidRDefault="00ED7629" w:rsidP="008E76C8">
      <w:pPr>
        <w:spacing w:line="360" w:lineRule="auto"/>
        <w:ind w:left="284" w:right="282"/>
        <w:jc w:val="both"/>
      </w:pPr>
      <w:r>
        <w:t>- le disposizioni, normative ed amministrative, di</w:t>
      </w:r>
      <w:r w:rsidRPr="00C41656">
        <w:t xml:space="preserve"> proroga automatica </w:t>
      </w:r>
      <w:r>
        <w:t>delle concessioni</w:t>
      </w:r>
      <w:r w:rsidR="00757C74">
        <w:t>, così come gli</w:t>
      </w:r>
      <w:r>
        <w:t xml:space="preserve"> </w:t>
      </w:r>
      <w:r w:rsidR="00757C74">
        <w:t>eventuali giudicati che abbiano affermato la validità di tali proroghe, sono in contrasto con il diritto dell</w:t>
      </w:r>
      <w:r w:rsidR="000B297D">
        <w:t>’</w:t>
      </w:r>
      <w:r w:rsidR="00757C74">
        <w:t xml:space="preserve">Unione europea e, come tali, </w:t>
      </w:r>
      <w:r>
        <w:t xml:space="preserve">non devono </w:t>
      </w:r>
      <w:r w:rsidRPr="00C41656">
        <w:t>essere applicate dai giudici</w:t>
      </w:r>
      <w:r>
        <w:t xml:space="preserve"> e</w:t>
      </w:r>
      <w:r w:rsidRPr="00C41656">
        <w:t xml:space="preserve"> dalla</w:t>
      </w:r>
      <w:r>
        <w:t xml:space="preserve"> pubblica amministrazione;</w:t>
      </w:r>
    </w:p>
    <w:p w:rsidR="00ED7629" w:rsidRDefault="00ED7629" w:rsidP="008E76C8">
      <w:pPr>
        <w:spacing w:line="360" w:lineRule="auto"/>
        <w:ind w:left="284" w:right="282"/>
        <w:jc w:val="both"/>
      </w:pPr>
      <w:r>
        <w:t xml:space="preserve">- </w:t>
      </w:r>
      <w:r w:rsidR="00B51C20">
        <w:t xml:space="preserve">nondimeno, allo scopo di </w:t>
      </w:r>
      <w:r w:rsidRPr="00C41656">
        <w:t xml:space="preserve">evitare </w:t>
      </w:r>
      <w:r>
        <w:t>un grave nocumento all</w:t>
      </w:r>
      <w:r w:rsidR="000B297D">
        <w:t>’</w:t>
      </w:r>
      <w:r>
        <w:t>interesse pubblico e</w:t>
      </w:r>
      <w:r w:rsidRPr="00C41656">
        <w:t xml:space="preserve"> nell</w:t>
      </w:r>
      <w:r w:rsidR="000B297D">
        <w:t>’</w:t>
      </w:r>
      <w:r w:rsidRPr="00C41656">
        <w:t xml:space="preserve">auspicio </w:t>
      </w:r>
      <w:r>
        <w:t>di un</w:t>
      </w:r>
      <w:r w:rsidRPr="00C41656">
        <w:t xml:space="preserve"> </w:t>
      </w:r>
      <w:r>
        <w:t xml:space="preserve">rapido </w:t>
      </w:r>
      <w:r w:rsidRPr="00C41656">
        <w:t>riordin</w:t>
      </w:r>
      <w:r>
        <w:t>o</w:t>
      </w:r>
      <w:r w:rsidRPr="00C41656">
        <w:t xml:space="preserve"> </w:t>
      </w:r>
      <w:r>
        <w:t>legislativo</w:t>
      </w:r>
      <w:r w:rsidRPr="00C41656">
        <w:t xml:space="preserve">, </w:t>
      </w:r>
      <w:r>
        <w:t xml:space="preserve">le concessioni in essere, </w:t>
      </w:r>
      <w:r w:rsidR="00552C12">
        <w:t xml:space="preserve">pur se </w:t>
      </w:r>
      <w:r>
        <w:t>violative dell</w:t>
      </w:r>
      <w:r w:rsidR="000B297D">
        <w:t>’</w:t>
      </w:r>
      <w:r>
        <w:t xml:space="preserve">obbligo, </w:t>
      </w:r>
      <w:r w:rsidRPr="00C41656">
        <w:t>continua</w:t>
      </w:r>
      <w:r>
        <w:t>no a</w:t>
      </w:r>
      <w:r w:rsidRPr="00C41656">
        <w:t xml:space="preserve"> </w:t>
      </w:r>
      <w:r>
        <w:t xml:space="preserve">produrre </w:t>
      </w:r>
      <w:r w:rsidRPr="00C41656">
        <w:t>eff</w:t>
      </w:r>
      <w:r>
        <w:t>ett</w:t>
      </w:r>
      <w:r w:rsidRPr="00C41656">
        <w:t>i</w:t>
      </w:r>
      <w:r>
        <w:t xml:space="preserve"> fino</w:t>
      </w:r>
      <w:r w:rsidRPr="00C41656">
        <w:t xml:space="preserve"> al 31 dicembre 2023</w:t>
      </w:r>
      <w:r w:rsidR="00552C12">
        <w:t>;</w:t>
      </w:r>
    </w:p>
    <w:p w:rsidR="00ED7629" w:rsidRDefault="00552C12" w:rsidP="008E76C8">
      <w:pPr>
        <w:spacing w:line="360" w:lineRule="auto"/>
        <w:ind w:left="284" w:right="282"/>
        <w:jc w:val="both"/>
      </w:pPr>
      <w:r>
        <w:t>- i</w:t>
      </w:r>
      <w:r w:rsidR="00ED7629">
        <w:t xml:space="preserve"> </w:t>
      </w:r>
      <w:r w:rsidR="00ED7629" w:rsidRPr="0051064F">
        <w:t xml:space="preserve">criteri </w:t>
      </w:r>
      <w:r w:rsidR="00ED7629">
        <w:t>delle future procedure competitive, da stabilir</w:t>
      </w:r>
      <w:r w:rsidR="00F92E18">
        <w:t>si</w:t>
      </w:r>
      <w:r w:rsidR="00ED7629">
        <w:t xml:space="preserve"> </w:t>
      </w:r>
      <w:r w:rsidR="00B51C20">
        <w:t xml:space="preserve">necessariamente </w:t>
      </w:r>
      <w:r w:rsidR="00ED7629">
        <w:t>con legge statale</w:t>
      </w:r>
      <w:r w:rsidR="00E902AF">
        <w:t xml:space="preserve"> (</w:t>
      </w:r>
      <w:r>
        <w:t>vertendosi in materia di concorrenza</w:t>
      </w:r>
      <w:r w:rsidR="00E902AF">
        <w:t>)</w:t>
      </w:r>
      <w:r w:rsidR="00ED7629">
        <w:t>, d</w:t>
      </w:r>
      <w:r w:rsidR="00F92E18">
        <w:t>evo</w:t>
      </w:r>
      <w:r w:rsidR="00ED7629">
        <w:t xml:space="preserve">no essere </w:t>
      </w:r>
      <w:r w:rsidR="00ED7629" w:rsidRPr="0051064F">
        <w:t>proporzionati, non discriminatori ed equi</w:t>
      </w:r>
      <w:r w:rsidR="002E7D4C">
        <w:t>,</w:t>
      </w:r>
      <w:r w:rsidR="00ED7629" w:rsidRPr="00B96E26">
        <w:t xml:space="preserve"> </w:t>
      </w:r>
      <w:r w:rsidR="00ED7629">
        <w:t xml:space="preserve">dunque </w:t>
      </w:r>
      <w:r w:rsidR="00ED7629" w:rsidRPr="0051064F">
        <w:t xml:space="preserve">collegati </w:t>
      </w:r>
      <w:r w:rsidR="00ED7629">
        <w:t xml:space="preserve">esclusivamente </w:t>
      </w:r>
      <w:r w:rsidR="00ED7629" w:rsidRPr="0051064F">
        <w:t>all</w:t>
      </w:r>
      <w:r w:rsidR="000B297D">
        <w:t>’</w:t>
      </w:r>
      <w:r w:rsidR="00ED7629" w:rsidRPr="0051064F">
        <w:t xml:space="preserve">oggetto del contratto </w:t>
      </w:r>
      <w:r w:rsidR="00ED7629">
        <w:t>ed al</w:t>
      </w:r>
      <w:r w:rsidR="00ED7629" w:rsidRPr="0051064F">
        <w:t>l</w:t>
      </w:r>
      <w:r w:rsidR="00ED7629">
        <w:t xml:space="preserve">a </w:t>
      </w:r>
      <w:r w:rsidR="00ED7629" w:rsidRPr="0051064F">
        <w:t>capacità tecnica, professionale, finanziaria ed economica degli operatori</w:t>
      </w:r>
      <w:r>
        <w:t xml:space="preserve"> concorrenti;</w:t>
      </w:r>
    </w:p>
    <w:p w:rsidR="00ED7629" w:rsidRDefault="00552C12" w:rsidP="008E76C8">
      <w:pPr>
        <w:spacing w:line="360" w:lineRule="auto"/>
        <w:ind w:left="284" w:right="282"/>
        <w:jc w:val="both"/>
      </w:pPr>
      <w:r>
        <w:t xml:space="preserve">- </w:t>
      </w:r>
      <w:r w:rsidR="002E7D4C">
        <w:t>in ogni caso, nella determinazione di tali criteri, è possibile tener</w:t>
      </w:r>
      <w:r w:rsidR="00F92E18">
        <w:t>e</w:t>
      </w:r>
      <w:r w:rsidR="002E7D4C">
        <w:t xml:space="preserve"> conto, ai sensi del</w:t>
      </w:r>
      <w:r w:rsidR="00ED7629">
        <w:t>l</w:t>
      </w:r>
      <w:r w:rsidR="000B297D">
        <w:t>’</w:t>
      </w:r>
      <w:r w:rsidR="00ED7629">
        <w:t>art. 12</w:t>
      </w:r>
      <w:r w:rsidR="002E7D4C">
        <w:t>,</w:t>
      </w:r>
      <w:r w:rsidR="00ED7629">
        <w:t xml:space="preserve"> “</w:t>
      </w:r>
      <w:r w:rsidR="00ED7629" w:rsidRPr="00552C12">
        <w:rPr>
          <w:i/>
        </w:rPr>
        <w:t>di considerazioni di salute pubblica, di obiettivi di politica sociale, della salute e della sicurezza dei lavoratori dipendenti ed autonomi, della protezione dell</w:t>
      </w:r>
      <w:r w:rsidR="000B297D">
        <w:rPr>
          <w:i/>
        </w:rPr>
        <w:t>’</w:t>
      </w:r>
      <w:r w:rsidR="00ED7629" w:rsidRPr="00552C12">
        <w:rPr>
          <w:i/>
        </w:rPr>
        <w:t>ambiente, della salvaguardia del patrimonio culturale e di altri motivi imperativi d</w:t>
      </w:r>
      <w:r w:rsidR="000B297D">
        <w:rPr>
          <w:i/>
        </w:rPr>
        <w:t>’</w:t>
      </w:r>
      <w:r w:rsidR="00ED7629" w:rsidRPr="00552C12">
        <w:rPr>
          <w:i/>
        </w:rPr>
        <w:t>interesse generale conformi al diritto</w:t>
      </w:r>
      <w:r w:rsidRPr="00552C12">
        <w:rPr>
          <w:i/>
        </w:rPr>
        <w:t xml:space="preserve"> comunitario</w:t>
      </w:r>
      <w:r>
        <w:t>”;</w:t>
      </w:r>
    </w:p>
    <w:p w:rsidR="00ED7629" w:rsidRPr="0051064F" w:rsidRDefault="00552C12" w:rsidP="008E76C8">
      <w:pPr>
        <w:spacing w:line="360" w:lineRule="auto"/>
        <w:ind w:left="284" w:right="282"/>
        <w:jc w:val="both"/>
      </w:pPr>
      <w:r>
        <w:t>-</w:t>
      </w:r>
      <w:r w:rsidR="00ED7629">
        <w:t xml:space="preserve"> i criteri di gara</w:t>
      </w:r>
      <w:r w:rsidR="002E7D4C">
        <w:t>, quindi, ben</w:t>
      </w:r>
      <w:r w:rsidR="00ED7629">
        <w:t xml:space="preserve"> </w:t>
      </w:r>
      <w:r w:rsidR="00ED7629" w:rsidRPr="0051064F">
        <w:t>po</w:t>
      </w:r>
      <w:r>
        <w:t>sso</w:t>
      </w:r>
      <w:r w:rsidR="00ED7629" w:rsidRPr="0051064F">
        <w:t>no</w:t>
      </w:r>
      <w:r w:rsidR="00ED7629">
        <w:t xml:space="preserve"> contenere</w:t>
      </w:r>
      <w:r w:rsidR="00ED7629" w:rsidRPr="0051064F">
        <w:t xml:space="preserve"> </w:t>
      </w:r>
      <w:r w:rsidR="00ED7629">
        <w:t xml:space="preserve">regole </w:t>
      </w:r>
      <w:r w:rsidR="00ED7629" w:rsidRPr="0051064F">
        <w:t xml:space="preserve">che, nel rispetto della </w:t>
      </w:r>
      <w:r w:rsidR="00ED7629" w:rsidRPr="0051064F">
        <w:rPr>
          <w:i/>
        </w:rPr>
        <w:t>par condicio</w:t>
      </w:r>
      <w:r w:rsidR="00ED7629" w:rsidRPr="0051064F">
        <w:t>, valorizz</w:t>
      </w:r>
      <w:r w:rsidR="00ED7629">
        <w:t>ino</w:t>
      </w:r>
      <w:r w:rsidR="00ED7629" w:rsidRPr="0051064F">
        <w:t xml:space="preserve"> l</w:t>
      </w:r>
      <w:r w:rsidR="000B297D">
        <w:t>’</w:t>
      </w:r>
      <w:r w:rsidR="00ED7629" w:rsidRPr="0051064F">
        <w:t>esperienza professionale e</w:t>
      </w:r>
      <w:r w:rsidR="00ED7629">
        <w:t>d</w:t>
      </w:r>
      <w:r w:rsidR="00ED7629" w:rsidRPr="0051064F">
        <w:t xml:space="preserve"> il </w:t>
      </w:r>
      <w:r w:rsidR="00ED7629" w:rsidRPr="0051064F">
        <w:rPr>
          <w:i/>
        </w:rPr>
        <w:t>know-how</w:t>
      </w:r>
      <w:r w:rsidR="00ED7629" w:rsidRPr="0051064F">
        <w:t xml:space="preserve"> </w:t>
      </w:r>
      <w:r w:rsidR="00ED7629">
        <w:t xml:space="preserve">già </w:t>
      </w:r>
      <w:r w:rsidR="00ED7629" w:rsidRPr="0051064F">
        <w:t>acquisit</w:t>
      </w:r>
      <w:r w:rsidR="00ED7629">
        <w:t>i</w:t>
      </w:r>
      <w:r w:rsidR="00ED7629" w:rsidRPr="0051064F">
        <w:t xml:space="preserve"> (anche d</w:t>
      </w:r>
      <w:r w:rsidR="00ED7629">
        <w:t>a</w:t>
      </w:r>
      <w:r w:rsidR="00ED7629" w:rsidRPr="0051064F">
        <w:t>l concessionario uscente), la capacità del progetto di intera</w:t>
      </w:r>
      <w:r w:rsidR="00ED7629">
        <w:t>gir</w:t>
      </w:r>
      <w:r w:rsidR="00ED7629" w:rsidRPr="0051064F">
        <w:t xml:space="preserve">e con il complessivo sistema turistico-ricettivo </w:t>
      </w:r>
      <w:r w:rsidR="00ED7629">
        <w:t>territori</w:t>
      </w:r>
      <w:r w:rsidR="00ED7629" w:rsidRPr="0051064F">
        <w:t>ale</w:t>
      </w:r>
      <w:r w:rsidR="00ED7629">
        <w:t>,</w:t>
      </w:r>
      <w:r w:rsidR="00ED7629" w:rsidRPr="008514F1">
        <w:t xml:space="preserve"> </w:t>
      </w:r>
      <w:r w:rsidR="00ED7629" w:rsidRPr="0051064F">
        <w:t>i</w:t>
      </w:r>
      <w:r w:rsidR="00ED7629">
        <w:t xml:space="preserve"> maggiori</w:t>
      </w:r>
      <w:r w:rsidR="00ED7629" w:rsidRPr="0051064F">
        <w:t xml:space="preserve"> </w:t>
      </w:r>
      <w:r w:rsidR="00ED7629" w:rsidRPr="0051064F">
        <w:rPr>
          <w:i/>
        </w:rPr>
        <w:t>standard</w:t>
      </w:r>
      <w:r w:rsidR="00ED7629" w:rsidRPr="0051064F">
        <w:t xml:space="preserve"> qualitativi dei servizi </w:t>
      </w:r>
      <w:r w:rsidR="00ED7629">
        <w:t>offerti,</w:t>
      </w:r>
      <w:r w:rsidR="00ED7629" w:rsidRPr="0051064F">
        <w:t xml:space="preserve"> la sostenibilità sociale e</w:t>
      </w:r>
      <w:r w:rsidR="00ED7629">
        <w:t>d</w:t>
      </w:r>
      <w:r w:rsidR="00ED7629" w:rsidRPr="0051064F">
        <w:t xml:space="preserve"> ambientale del piano degli investimenti, in relazione alla tipologia</w:t>
      </w:r>
      <w:r w:rsidR="00ED7629">
        <w:t xml:space="preserve"> della concessione da affida</w:t>
      </w:r>
      <w:r>
        <w:t>re;</w:t>
      </w:r>
    </w:p>
    <w:p w:rsidR="00ED7629" w:rsidRDefault="00552C12" w:rsidP="008E76C8">
      <w:pPr>
        <w:spacing w:line="360" w:lineRule="auto"/>
        <w:ind w:left="284" w:right="282"/>
        <w:jc w:val="both"/>
      </w:pPr>
      <w:r>
        <w:t xml:space="preserve">- è </w:t>
      </w:r>
      <w:r w:rsidR="00ED7629">
        <w:t>auspicabile che l</w:t>
      </w:r>
      <w:r w:rsidR="00ED7629" w:rsidRPr="0051064F">
        <w:t xml:space="preserve">a durata delle concessioni </w:t>
      </w:r>
      <w:r w:rsidR="00ED7629">
        <w:t>sia</w:t>
      </w:r>
      <w:r w:rsidR="00ED7629" w:rsidRPr="0051064F">
        <w:t xml:space="preserve"> commisurata al valore e</w:t>
      </w:r>
      <w:r w:rsidR="00ED7629">
        <w:t>d</w:t>
      </w:r>
      <w:r w:rsidR="00ED7629" w:rsidRPr="0051064F">
        <w:t xml:space="preserve"> alla complessità organizzativa</w:t>
      </w:r>
      <w:r w:rsidR="00ED7629">
        <w:t xml:space="preserve"> delle stesse,</w:t>
      </w:r>
      <w:r w:rsidR="00ED7629" w:rsidRPr="0051064F">
        <w:t xml:space="preserve"> </w:t>
      </w:r>
      <w:r w:rsidR="00ED7629">
        <w:t xml:space="preserve">non </w:t>
      </w:r>
      <w:r w:rsidR="00ED7629" w:rsidRPr="0051064F">
        <w:t>ecced</w:t>
      </w:r>
      <w:r w:rsidR="00ED7629">
        <w:t>endo</w:t>
      </w:r>
      <w:r w:rsidR="00ED7629" w:rsidRPr="0051064F">
        <w:t xml:space="preserve"> il tempo ragionevolmente necessario al recupero degli investimenti</w:t>
      </w:r>
      <w:r w:rsidR="00ED7629">
        <w:t xml:space="preserve"> ed</w:t>
      </w:r>
      <w:r w:rsidR="00ED7629" w:rsidRPr="0051064F">
        <w:t xml:space="preserve"> a</w:t>
      </w:r>
      <w:r w:rsidR="00ED7629">
        <w:t>ll</w:t>
      </w:r>
      <w:r w:rsidR="00ED7629" w:rsidRPr="0051064F">
        <w:t>a remunerazione del capitale investito. </w:t>
      </w:r>
      <w:r w:rsidR="00ED7629">
        <w:t>Ugualmente</w:t>
      </w:r>
      <w:r w:rsidR="00ED7629" w:rsidRPr="0051064F">
        <w:t xml:space="preserve">, </w:t>
      </w:r>
      <w:r w:rsidR="00ED7629">
        <w:t>è</w:t>
      </w:r>
      <w:r w:rsidR="00ED7629" w:rsidRPr="0051064F">
        <w:t xml:space="preserve"> op</w:t>
      </w:r>
      <w:r w:rsidR="00ED7629">
        <w:t xml:space="preserve">portuno che i canoni concessori </w:t>
      </w:r>
      <w:r w:rsidR="00ED7629" w:rsidRPr="0051064F">
        <w:t>formi</w:t>
      </w:r>
      <w:r w:rsidR="00ED7629">
        <w:t>no</w:t>
      </w:r>
      <w:r w:rsidR="00ED7629" w:rsidRPr="0051064F">
        <w:t xml:space="preserve"> oggetto della </w:t>
      </w:r>
      <w:r w:rsidR="00ED7629">
        <w:t>ga</w:t>
      </w:r>
      <w:r w:rsidR="00ED7629" w:rsidRPr="0051064F">
        <w:t xml:space="preserve">ra, in modo che </w:t>
      </w:r>
      <w:r w:rsidR="00ED7629">
        <w:t>la competizione</w:t>
      </w:r>
      <w:r w:rsidR="00ED7629" w:rsidRPr="0051064F">
        <w:t xml:space="preserve"> rifletta il reale valore economico d</w:t>
      </w:r>
      <w:r w:rsidR="00ED7629">
        <w:t>el bene</w:t>
      </w:r>
      <w:r>
        <w:t>;</w:t>
      </w:r>
    </w:p>
    <w:p w:rsidR="00ED7629" w:rsidRDefault="00552C12" w:rsidP="008E76C8">
      <w:pPr>
        <w:spacing w:line="360" w:lineRule="auto"/>
        <w:ind w:left="284" w:right="282"/>
        <w:jc w:val="both"/>
      </w:pPr>
      <w:r>
        <w:t>-</w:t>
      </w:r>
      <w:r w:rsidR="00ED7629">
        <w:t xml:space="preserve"> i</w:t>
      </w:r>
      <w:r w:rsidR="00ED7629" w:rsidRPr="0051064F">
        <w:t xml:space="preserve">l legittimo affidamento dei </w:t>
      </w:r>
      <w:r w:rsidR="00ED7629">
        <w:t>concession</w:t>
      </w:r>
      <w:r w:rsidR="00ED7629" w:rsidRPr="0051064F">
        <w:t xml:space="preserve">ari </w:t>
      </w:r>
      <w:r w:rsidR="00ED7629">
        <w:t>non risultati aggiudicatari p</w:t>
      </w:r>
      <w:r w:rsidR="00F92E18">
        <w:t>uò</w:t>
      </w:r>
      <w:r w:rsidR="00ED7629">
        <w:t xml:space="preserve"> essere compensato</w:t>
      </w:r>
      <w:r w:rsidR="00ED7629" w:rsidRPr="0051064F">
        <w:t xml:space="preserve"> </w:t>
      </w:r>
      <w:r w:rsidR="00ED7629">
        <w:t xml:space="preserve">con la previsione di </w:t>
      </w:r>
      <w:r w:rsidR="00ED7629" w:rsidRPr="0051064F">
        <w:t>un indennizzo</w:t>
      </w:r>
      <w:r w:rsidR="00ED7629">
        <w:t xml:space="preserve"> a carico dell</w:t>
      </w:r>
      <w:r w:rsidR="000B297D">
        <w:t>’</w:t>
      </w:r>
      <w:r w:rsidR="00ED7629">
        <w:t>affidatario,</w:t>
      </w:r>
      <w:r w:rsidR="00ED7629" w:rsidRPr="0051064F">
        <w:t xml:space="preserve"> funzionale ad ammortizzare gli investimenti effettuati</w:t>
      </w:r>
      <w:r w:rsidR="00ED7629">
        <w:t>.</w:t>
      </w:r>
    </w:p>
    <w:p w:rsidR="00ED7629" w:rsidRDefault="00ED7629" w:rsidP="008E76C8">
      <w:pPr>
        <w:spacing w:line="360" w:lineRule="auto"/>
        <w:ind w:left="284" w:right="282"/>
        <w:jc w:val="both"/>
      </w:pPr>
      <w:r>
        <w:t>Fin qui i princìpi di diritto affermati dal Consiglio di Stato, il quale, come visto, prospetta, come unica soluzione per uscire dall</w:t>
      </w:r>
      <w:r w:rsidR="000B297D">
        <w:t>’</w:t>
      </w:r>
      <w:r w:rsidRPr="00080800">
        <w:rPr>
          <w:i/>
        </w:rPr>
        <w:t>impasse</w:t>
      </w:r>
      <w:r>
        <w:t>, la celebrazione di gare pubbliche competitive e trasparenti</w:t>
      </w:r>
      <w:r w:rsidRPr="0065020F">
        <w:t xml:space="preserve"> </w:t>
      </w:r>
      <w:r w:rsidR="002E7D4C">
        <w:t xml:space="preserve">d concludersi </w:t>
      </w:r>
      <w:r>
        <w:t xml:space="preserve">entro il </w:t>
      </w:r>
      <w:r w:rsidRPr="00C41656">
        <w:t>31 dicembre 2023</w:t>
      </w:r>
      <w:r>
        <w:t xml:space="preserve">, </w:t>
      </w:r>
      <w:r w:rsidR="002E7D4C">
        <w:t>regolate da</w:t>
      </w:r>
      <w:r>
        <w:t xml:space="preserve"> criteri uniformi stabiliti dalla legge nazionale.</w:t>
      </w:r>
    </w:p>
    <w:p w:rsidR="00341E99" w:rsidRPr="00341E99" w:rsidRDefault="00341E99" w:rsidP="008E76C8">
      <w:pPr>
        <w:spacing w:line="360" w:lineRule="auto"/>
        <w:ind w:left="284" w:right="282"/>
        <w:jc w:val="both"/>
        <w:rPr>
          <w:b/>
        </w:rPr>
      </w:pPr>
      <w:r w:rsidRPr="00341E99">
        <w:rPr>
          <w:b/>
        </w:rPr>
        <w:t>L</w:t>
      </w:r>
      <w:r w:rsidR="000B297D">
        <w:rPr>
          <w:b/>
        </w:rPr>
        <w:t>’</w:t>
      </w:r>
      <w:r w:rsidR="00112F1C">
        <w:rPr>
          <w:b/>
        </w:rPr>
        <w:t>evoluzione normativa</w:t>
      </w:r>
      <w:r w:rsidR="00E902AF" w:rsidRPr="00E902AF">
        <w:rPr>
          <w:b/>
        </w:rPr>
        <w:t xml:space="preserve"> </w:t>
      </w:r>
      <w:r w:rsidR="00E902AF" w:rsidRPr="00341E99">
        <w:rPr>
          <w:b/>
        </w:rPr>
        <w:t>successiv</w:t>
      </w:r>
      <w:r w:rsidR="00E902AF">
        <w:rPr>
          <w:b/>
        </w:rPr>
        <w:t>a</w:t>
      </w:r>
      <w:r w:rsidRPr="00341E99">
        <w:rPr>
          <w:b/>
        </w:rPr>
        <w:t>.</w:t>
      </w:r>
    </w:p>
    <w:p w:rsidR="00ED7629" w:rsidRDefault="002E7D4C" w:rsidP="008E76C8">
      <w:pPr>
        <w:spacing w:line="360" w:lineRule="auto"/>
        <w:ind w:left="284" w:right="282"/>
        <w:jc w:val="both"/>
      </w:pPr>
      <w:r>
        <w:t>All</w:t>
      </w:r>
      <w:r w:rsidR="000B297D">
        <w:t>’</w:t>
      </w:r>
      <w:r>
        <w:t xml:space="preserve">indomani delle </w:t>
      </w:r>
      <w:r w:rsidR="00950401">
        <w:t xml:space="preserve">predette </w:t>
      </w:r>
      <w:r>
        <w:t xml:space="preserve">sentenze, </w:t>
      </w:r>
      <w:r w:rsidR="00950401">
        <w:t>so</w:t>
      </w:r>
      <w:r>
        <w:t xml:space="preserve">no </w:t>
      </w:r>
      <w:r w:rsidR="00950401">
        <w:t xml:space="preserve">stati introdotti </w:t>
      </w:r>
      <w:r>
        <w:t>g</w:t>
      </w:r>
      <w:r w:rsidR="00ED7629">
        <w:t>li artt. 2, 2-</w:t>
      </w:r>
      <w:r w:rsidR="00ED7629" w:rsidRPr="00080800">
        <w:rPr>
          <w:i/>
        </w:rPr>
        <w:t>bis</w:t>
      </w:r>
      <w:r w:rsidR="00ED7629">
        <w:t xml:space="preserve"> e 2-</w:t>
      </w:r>
      <w:r w:rsidR="00ED7629" w:rsidRPr="00080800">
        <w:rPr>
          <w:i/>
        </w:rPr>
        <w:t>ter</w:t>
      </w:r>
      <w:r w:rsidR="00ED7629">
        <w:t xml:space="preserve"> d</w:t>
      </w:r>
      <w:r w:rsidR="00341E99">
        <w:t xml:space="preserve">ella </w:t>
      </w:r>
      <w:r w:rsidR="00ED7629">
        <w:t xml:space="preserve">legge </w:t>
      </w:r>
      <w:r w:rsidR="00341E99" w:rsidRPr="00341E99">
        <w:t>n. 118/2022</w:t>
      </w:r>
      <w:r>
        <w:t>, i quali</w:t>
      </w:r>
      <w:r w:rsidR="00341E99" w:rsidRPr="00341E99">
        <w:t xml:space="preserve"> </w:t>
      </w:r>
      <w:r w:rsidR="00ED7629">
        <w:t>ha</w:t>
      </w:r>
      <w:r w:rsidR="00341E99">
        <w:t>nno</w:t>
      </w:r>
      <w:r w:rsidR="00950401">
        <w:t>, tra l’altro</w:t>
      </w:r>
      <w:r w:rsidR="00ED7629">
        <w:t>:</w:t>
      </w:r>
    </w:p>
    <w:p w:rsidR="00ED7629" w:rsidRDefault="00ED7629" w:rsidP="008E76C8">
      <w:pPr>
        <w:spacing w:line="360" w:lineRule="auto"/>
        <w:ind w:left="284" w:right="282"/>
        <w:jc w:val="both"/>
      </w:pPr>
      <w:r>
        <w:t xml:space="preserve">- </w:t>
      </w:r>
      <w:r w:rsidR="00950401">
        <w:t>programma</w:t>
      </w:r>
      <w:r>
        <w:t>to la mappatura delle concessioni esistenti;</w:t>
      </w:r>
    </w:p>
    <w:p w:rsidR="00ED7629" w:rsidRDefault="00ED7629" w:rsidP="008E76C8">
      <w:pPr>
        <w:spacing w:line="360" w:lineRule="auto"/>
        <w:ind w:left="284" w:right="282"/>
        <w:jc w:val="both"/>
      </w:pPr>
      <w:r>
        <w:t>- individuato i criteri per l</w:t>
      </w:r>
      <w:r w:rsidR="000B297D">
        <w:t>’</w:t>
      </w:r>
      <w:r>
        <w:t>affidamento delle nuove concessioni o dei rinnovi, in linea con le indicazioni del Consiglio di Stato, tranne che per l</w:t>
      </w:r>
      <w:r w:rsidR="000B297D">
        <w:t>’</w:t>
      </w:r>
      <w:r>
        <w:t>inserimento del valore del canone tra gli elementi di gara.</w:t>
      </w:r>
    </w:p>
    <w:p w:rsidR="00112F1C" w:rsidRDefault="002E7D4C" w:rsidP="008E76C8">
      <w:pPr>
        <w:spacing w:line="360" w:lineRule="auto"/>
        <w:ind w:left="284" w:right="282"/>
        <w:jc w:val="both"/>
      </w:pPr>
      <w:r>
        <w:t>Con</w:t>
      </w:r>
      <w:r w:rsidR="00112F1C" w:rsidRPr="00341E99">
        <w:t xml:space="preserve"> l</w:t>
      </w:r>
      <w:r>
        <w:t>egge 24 febbraio 2023, n. 14, si è quindi stabilito</w:t>
      </w:r>
      <w:r w:rsidR="00112F1C">
        <w:t>:</w:t>
      </w:r>
    </w:p>
    <w:p w:rsidR="00341E99" w:rsidRPr="00341E99" w:rsidRDefault="00112F1C" w:rsidP="008E76C8">
      <w:pPr>
        <w:spacing w:line="360" w:lineRule="auto"/>
        <w:ind w:left="284" w:right="282"/>
        <w:jc w:val="both"/>
      </w:pPr>
      <w:r>
        <w:t>- all</w:t>
      </w:r>
      <w:r w:rsidR="000B297D">
        <w:t>’</w:t>
      </w:r>
      <w:r w:rsidR="00341E99" w:rsidRPr="00341E99">
        <w:t>art. 12, comma 6-</w:t>
      </w:r>
      <w:r w:rsidR="00341E99" w:rsidRPr="00341E99">
        <w:rPr>
          <w:i/>
        </w:rPr>
        <w:t>sexies</w:t>
      </w:r>
      <w:r w:rsidR="00341E99">
        <w:t>,</w:t>
      </w:r>
      <w:r w:rsidR="00341E99" w:rsidRPr="00341E99">
        <w:t xml:space="preserve"> l</w:t>
      </w:r>
      <w:r w:rsidR="002E7D4C">
        <w:t>a</w:t>
      </w:r>
      <w:r w:rsidR="00341E99" w:rsidRPr="00341E99">
        <w:t xml:space="preserve"> proroga di un anno (ovvero fino al 31 dicembre 2024) del termine di scadenza delle concessioni demaniali a uso turistico-ricreativo, già stabili</w:t>
      </w:r>
      <w:r w:rsidR="002E7D4C">
        <w:t xml:space="preserve">to al 31 dicembre 2023 dalla legge </w:t>
      </w:r>
      <w:r w:rsidR="00341E99" w:rsidRPr="00341E99">
        <w:t xml:space="preserve">n. 118/2022. Di conseguenza, </w:t>
      </w:r>
      <w:r w:rsidR="002E7D4C">
        <w:t>è stato</w:t>
      </w:r>
      <w:r w:rsidR="00341E99" w:rsidRPr="00341E99">
        <w:t xml:space="preserve"> differito al 31 dicembre 2025 il termine di scadenza delle concessioni</w:t>
      </w:r>
      <w:r w:rsidR="002E7D4C">
        <w:t>,</w:t>
      </w:r>
      <w:r w:rsidR="00341E99" w:rsidRPr="00341E99">
        <w:t xml:space="preserve"> </w:t>
      </w:r>
      <w:r w:rsidR="002E7D4C">
        <w:t>p</w:t>
      </w:r>
      <w:r w:rsidR="00341E99" w:rsidRPr="00341E99">
        <w:t>e</w:t>
      </w:r>
      <w:r w:rsidR="002E7D4C">
        <w:t>r i</w:t>
      </w:r>
      <w:r w:rsidR="00341E99" w:rsidRPr="00341E99">
        <w:t>l caso di ragioni oggettive che impediscano la conclu</w:t>
      </w:r>
      <w:r>
        <w:t>sione delle procedure selettive;</w:t>
      </w:r>
    </w:p>
    <w:p w:rsidR="00341E99" w:rsidRPr="00341E99" w:rsidRDefault="00112F1C" w:rsidP="008E76C8">
      <w:pPr>
        <w:spacing w:line="360" w:lineRule="auto"/>
        <w:ind w:left="284" w:right="282"/>
        <w:jc w:val="both"/>
      </w:pPr>
      <w:r>
        <w:t>- all</w:t>
      </w:r>
      <w:r w:rsidR="000B297D">
        <w:t>’</w:t>
      </w:r>
      <w:r w:rsidR="00341E99" w:rsidRPr="00341E99">
        <w:t xml:space="preserve">art. 1, comma 8, lett. a), la proroga di </w:t>
      </w:r>
      <w:r>
        <w:t>5</w:t>
      </w:r>
      <w:r w:rsidR="00341E99" w:rsidRPr="00341E99">
        <w:t xml:space="preserve"> mesi dei termini per la mappatura dei beni pubblici in regime di concessione, fissando</w:t>
      </w:r>
      <w:r w:rsidR="002E7D4C">
        <w:t xml:space="preserve"> </w:t>
      </w:r>
      <w:r w:rsidR="00341E99" w:rsidRPr="00341E99">
        <w:t xml:space="preserve">la nuova scadenza al 27 luglio 2023. </w:t>
      </w:r>
      <w:r w:rsidR="00341E99">
        <w:t>F</w:t>
      </w:r>
      <w:r w:rsidR="00341E99" w:rsidRPr="00341E99">
        <w:t xml:space="preserve">ino </w:t>
      </w:r>
      <w:r w:rsidR="00341E99">
        <w:t xml:space="preserve">ad allora, </w:t>
      </w:r>
      <w:r w:rsidR="00E902AF">
        <w:t>viene</w:t>
      </w:r>
      <w:r w:rsidR="00341E99" w:rsidRPr="00341E99">
        <w:t xml:space="preserve"> fatto divieto </w:t>
      </w:r>
      <w:r w:rsidR="00E902AF">
        <w:t>dell</w:t>
      </w:r>
      <w:r w:rsidR="000B297D">
        <w:t>’</w:t>
      </w:r>
      <w:r w:rsidR="00E902AF">
        <w:t>emanazione d</w:t>
      </w:r>
      <w:r w:rsidR="00341E99" w:rsidRPr="00341E99">
        <w:t>i bandi di assegnazione delle concessioni e dei rapporti di cui all</w:t>
      </w:r>
      <w:r w:rsidR="000B297D">
        <w:t>’</w:t>
      </w:r>
      <w:r w:rsidR="00341E99" w:rsidRPr="00341E99">
        <w:t>art. 3, comma 1, lett. a) e b), della stessa l</w:t>
      </w:r>
      <w:r w:rsidR="002E7D4C">
        <w:t>egge</w:t>
      </w:r>
      <w:r w:rsidR="00341E99" w:rsidRPr="00341E99">
        <w:t xml:space="preserve"> n. 118/2022.</w:t>
      </w:r>
    </w:p>
    <w:p w:rsidR="00341E99" w:rsidRPr="00341E99" w:rsidRDefault="00341E99" w:rsidP="008E76C8">
      <w:pPr>
        <w:spacing w:line="360" w:lineRule="auto"/>
        <w:ind w:left="284" w:right="282"/>
        <w:jc w:val="both"/>
      </w:pPr>
      <w:r w:rsidRPr="00341E99">
        <w:t>L</w:t>
      </w:r>
      <w:r w:rsidR="000B297D">
        <w:t>’</w:t>
      </w:r>
      <w:r w:rsidRPr="00341E99">
        <w:t>art. 10-</w:t>
      </w:r>
      <w:r w:rsidRPr="00341E99">
        <w:rPr>
          <w:i/>
        </w:rPr>
        <w:t>quater</w:t>
      </w:r>
      <w:r w:rsidRPr="00341E99">
        <w:t xml:space="preserve"> ha</w:t>
      </w:r>
      <w:r w:rsidR="002E7D4C">
        <w:t xml:space="preserve"> </w:t>
      </w:r>
      <w:r w:rsidR="00F92E18">
        <w:t>infine</w:t>
      </w:r>
      <w:r w:rsidRPr="00341E99">
        <w:t xml:space="preserve"> istituito un tavolo tecnico consultivo presso la Presidenza del Consiglio dei </w:t>
      </w:r>
      <w:r w:rsidR="00E902AF">
        <w:t>M</w:t>
      </w:r>
      <w:r w:rsidRPr="00341E99">
        <w:t xml:space="preserve">inistri, </w:t>
      </w:r>
      <w:r w:rsidR="00F92E18">
        <w:t>preposto ad</w:t>
      </w:r>
      <w:r w:rsidRPr="00341E99">
        <w:t xml:space="preserve"> acquisire i dati relativi all</w:t>
      </w:r>
      <w:r w:rsidR="00E35B66">
        <w:t>a mappatura delle concessioni e</w:t>
      </w:r>
      <w:r w:rsidR="00E902AF">
        <w:t xml:space="preserve"> </w:t>
      </w:r>
      <w:r w:rsidRPr="00341E99">
        <w:t>stabilire i criteri tecnici per “</w:t>
      </w:r>
      <w:r w:rsidRPr="00341E99">
        <w:rPr>
          <w:i/>
        </w:rPr>
        <w:t>la determinazione della sussistenza della scarsità della risorsa naturale disponibile e della rilevanza economica transfrontaliera</w:t>
      </w:r>
      <w:r w:rsidRPr="00341E99">
        <w:t>”</w:t>
      </w:r>
      <w:r>
        <w:t>, ulteriormente prorogando il temine del</w:t>
      </w:r>
      <w:r w:rsidRPr="00341E99">
        <w:t xml:space="preserve"> 31 dicembre 2024</w:t>
      </w:r>
      <w:r>
        <w:t xml:space="preserve"> </w:t>
      </w:r>
      <w:r w:rsidRPr="00341E99">
        <w:t>al 31 dicembre 2025</w:t>
      </w:r>
      <w:r>
        <w:t xml:space="preserve"> </w:t>
      </w:r>
      <w:r w:rsidRPr="00341E99">
        <w:t>e</w:t>
      </w:r>
      <w:r>
        <w:t xml:space="preserve"> prevedendo che</w:t>
      </w:r>
      <w:r w:rsidRPr="00341E99">
        <w:t xml:space="preserve"> le concessioni e i rappo</w:t>
      </w:r>
      <w:r w:rsidR="002E7D4C">
        <w:t>rti previsti all</w:t>
      </w:r>
      <w:r w:rsidR="000B297D">
        <w:t>’</w:t>
      </w:r>
      <w:r w:rsidR="002E7D4C">
        <w:t>art. 3 della legge</w:t>
      </w:r>
      <w:r w:rsidRPr="00341E99">
        <w:t xml:space="preserve"> n. 118/2022 continu</w:t>
      </w:r>
      <w:r w:rsidR="00F92E18">
        <w:t>i</w:t>
      </w:r>
      <w:r w:rsidRPr="00341E99">
        <w:t>no ad avere efficacia sino alla data di rilascio dei nuovi provvedimenti concessori.</w:t>
      </w:r>
    </w:p>
    <w:p w:rsidR="00341E99" w:rsidRPr="00341E99" w:rsidRDefault="00341E99" w:rsidP="008E76C8">
      <w:pPr>
        <w:spacing w:line="360" w:lineRule="auto"/>
        <w:ind w:left="284" w:right="282"/>
        <w:jc w:val="both"/>
        <w:rPr>
          <w:b/>
        </w:rPr>
      </w:pPr>
      <w:r w:rsidRPr="00341E99">
        <w:rPr>
          <w:b/>
        </w:rPr>
        <w:t>La sentenza del Consiglio di Stato, Sez. VI, 1 marzo 2023 n.</w:t>
      </w:r>
      <w:r w:rsidR="002F49D3">
        <w:rPr>
          <w:b/>
        </w:rPr>
        <w:t xml:space="preserve"> </w:t>
      </w:r>
      <w:r w:rsidRPr="00341E99">
        <w:rPr>
          <w:b/>
        </w:rPr>
        <w:t>2192.</w:t>
      </w:r>
    </w:p>
    <w:p w:rsidR="002E7D4C" w:rsidRDefault="00F92E18" w:rsidP="008E76C8">
      <w:pPr>
        <w:spacing w:line="360" w:lineRule="auto"/>
        <w:ind w:left="284" w:right="282"/>
        <w:jc w:val="both"/>
      </w:pPr>
      <w:r>
        <w:t>Tuttavia, l</w:t>
      </w:r>
      <w:r w:rsidR="002E7D4C">
        <w:t>o strumento</w:t>
      </w:r>
      <w:r w:rsidR="00950401">
        <w:t xml:space="preserve"> da ultimo</w:t>
      </w:r>
      <w:r w:rsidR="002E7D4C">
        <w:t xml:space="preserve"> individuato dal Parlamento è apparso poco efficace</w:t>
      </w:r>
      <w:r w:rsidR="002E7D4C" w:rsidRPr="002E7D4C">
        <w:t xml:space="preserve"> </w:t>
      </w:r>
      <w:r w:rsidR="002E7D4C">
        <w:t>ai fini dell</w:t>
      </w:r>
      <w:r w:rsidR="000B297D">
        <w:t>’</w:t>
      </w:r>
      <w:r w:rsidR="002E7D4C">
        <w:t>eliminazione del pericolo gravante sulla rotta nautica.</w:t>
      </w:r>
    </w:p>
    <w:p w:rsidR="00341E99" w:rsidRDefault="002E7D4C" w:rsidP="008E76C8">
      <w:pPr>
        <w:spacing w:line="360" w:lineRule="auto"/>
        <w:ind w:left="284" w:right="282"/>
        <w:jc w:val="both"/>
      </w:pPr>
      <w:r>
        <w:t>Infatti, c</w:t>
      </w:r>
      <w:r w:rsidR="00341E99">
        <w:t xml:space="preserve">on sentenza n. 2192/2023, il Consiglio di Stato ha </w:t>
      </w:r>
      <w:r w:rsidR="00F92E18">
        <w:t xml:space="preserve">immediatamente </w:t>
      </w:r>
      <w:r w:rsidR="00341E99">
        <w:t>affermato che “</w:t>
      </w:r>
      <w:r w:rsidR="00341E99" w:rsidRPr="00341E99">
        <w:rPr>
          <w:i/>
        </w:rPr>
        <w:t>sulla base di quanto affermato dall</w:t>
      </w:r>
      <w:r w:rsidR="000B297D">
        <w:rPr>
          <w:i/>
        </w:rPr>
        <w:t>’</w:t>
      </w:r>
      <w:r w:rsidR="00341E99" w:rsidRPr="00341E99">
        <w:rPr>
          <w:i/>
        </w:rPr>
        <w:t>Adunanza Plenaria, con le ricordate sentenze nn. 17 e 18 del 2021, non solo i commi 682 e 683 dell</w:t>
      </w:r>
      <w:r w:rsidR="000B297D">
        <w:rPr>
          <w:i/>
        </w:rPr>
        <w:t>’</w:t>
      </w:r>
      <w:r w:rsidR="00341E99" w:rsidRPr="00341E99">
        <w:rPr>
          <w:i/>
        </w:rPr>
        <w:t>art. 1 della L. n. 145/2018, ma anche la nuova norma contenuta nell</w:t>
      </w:r>
      <w:r w:rsidR="000B297D">
        <w:rPr>
          <w:i/>
        </w:rPr>
        <w:t>’</w:t>
      </w:r>
      <w:r w:rsidR="00341E99" w:rsidRPr="00341E99">
        <w:rPr>
          <w:i/>
        </w:rPr>
        <w:t xml:space="preserve">art. 10-quater, comma 3, del </w:t>
      </w:r>
      <w:r w:rsidR="00112F1C">
        <w:rPr>
          <w:i/>
        </w:rPr>
        <w:t>d.l.</w:t>
      </w:r>
      <w:r w:rsidR="00341E99" w:rsidRPr="00341E99">
        <w:rPr>
          <w:i/>
        </w:rPr>
        <w:t xml:space="preserve">. 29/12/2022, n. 198, conv. in </w:t>
      </w:r>
      <w:r w:rsidR="00112F1C">
        <w:rPr>
          <w:i/>
        </w:rPr>
        <w:t>l</w:t>
      </w:r>
      <w:r w:rsidR="00341E99" w:rsidRPr="00341E99">
        <w:rPr>
          <w:i/>
        </w:rPr>
        <w:t>. 24/2/2023, n. 14, che prevede la proroga automatica delle concessioni demaniali marittime in essere, si pone in frontale contrasto con la sopra richiamata disciplina di cui all</w:t>
      </w:r>
      <w:r w:rsidR="000B297D">
        <w:rPr>
          <w:i/>
        </w:rPr>
        <w:t>’</w:t>
      </w:r>
      <w:r w:rsidR="00341E99" w:rsidRPr="00341E99">
        <w:rPr>
          <w:i/>
        </w:rPr>
        <w:t>art. 12 della direttiva n. 2006/123/CE, e va, conseguentemente, disapplicata da qualunque organo dello Stato</w:t>
      </w:r>
      <w:r w:rsidR="00341E99">
        <w:t>”</w:t>
      </w:r>
      <w:r w:rsidR="00341E99" w:rsidRPr="00341E99">
        <w:t>.</w:t>
      </w:r>
    </w:p>
    <w:p w:rsidR="00505437" w:rsidRPr="00341E99" w:rsidRDefault="00552C12" w:rsidP="008E76C8">
      <w:pPr>
        <w:spacing w:line="360" w:lineRule="auto"/>
        <w:ind w:left="284" w:right="282"/>
        <w:jc w:val="both"/>
        <w:rPr>
          <w:b/>
        </w:rPr>
      </w:pPr>
      <w:r w:rsidRPr="00341E99">
        <w:rPr>
          <w:b/>
        </w:rPr>
        <w:t>La sentenza della Corte di Giustizia dell</w:t>
      </w:r>
      <w:r w:rsidR="000B297D">
        <w:rPr>
          <w:b/>
        </w:rPr>
        <w:t>’</w:t>
      </w:r>
      <w:r w:rsidRPr="00341E99">
        <w:rPr>
          <w:b/>
        </w:rPr>
        <w:t xml:space="preserve">Unione Europea, </w:t>
      </w:r>
      <w:r w:rsidR="002E7D4C">
        <w:rPr>
          <w:b/>
        </w:rPr>
        <w:t>S</w:t>
      </w:r>
      <w:r w:rsidRPr="00341E99">
        <w:rPr>
          <w:b/>
        </w:rPr>
        <w:t>ez. III, 20 aprile 2023</w:t>
      </w:r>
      <w:r w:rsidR="00585CCC">
        <w:rPr>
          <w:b/>
        </w:rPr>
        <w:t>,</w:t>
      </w:r>
      <w:r w:rsidRPr="00341E99">
        <w:rPr>
          <w:b/>
        </w:rPr>
        <w:t xml:space="preserve"> </w:t>
      </w:r>
      <w:r w:rsidR="00585CCC">
        <w:rPr>
          <w:b/>
        </w:rPr>
        <w:t>i</w:t>
      </w:r>
      <w:r w:rsidRPr="00341E99">
        <w:rPr>
          <w:b/>
        </w:rPr>
        <w:t>n causa C-348/22</w:t>
      </w:r>
      <w:r w:rsidR="00112F1C">
        <w:rPr>
          <w:b/>
        </w:rPr>
        <w:t>.</w:t>
      </w:r>
    </w:p>
    <w:p w:rsidR="00112F1C" w:rsidRDefault="00F92E18" w:rsidP="008E76C8">
      <w:pPr>
        <w:spacing w:line="360" w:lineRule="auto"/>
        <w:ind w:left="284" w:right="282"/>
        <w:jc w:val="both"/>
      </w:pPr>
      <w:r>
        <w:t>Nelle more è intervenuta</w:t>
      </w:r>
      <w:r w:rsidR="002E7D4C">
        <w:t xml:space="preserve"> un ulteriore pronuncia della</w:t>
      </w:r>
      <w:r w:rsidR="00112F1C">
        <w:t xml:space="preserve"> CGUE</w:t>
      </w:r>
      <w:r w:rsidR="002E7D4C">
        <w:t xml:space="preserve"> che</w:t>
      </w:r>
      <w:r w:rsidR="00112F1C">
        <w:t xml:space="preserve">, con sentenza 20 aprile 2023, ha </w:t>
      </w:r>
      <w:r w:rsidR="002E7D4C">
        <w:t>afferma</w:t>
      </w:r>
      <w:r w:rsidR="00112F1C">
        <w:t>to</w:t>
      </w:r>
      <w:r w:rsidR="002E7D4C">
        <w:t xml:space="preserve"> quanto segue</w:t>
      </w:r>
      <w:r w:rsidR="00112F1C">
        <w:t>:</w:t>
      </w:r>
    </w:p>
    <w:p w:rsidR="00552C12" w:rsidRPr="00341E99" w:rsidRDefault="00112F1C" w:rsidP="008E76C8">
      <w:pPr>
        <w:spacing w:line="360" w:lineRule="auto"/>
        <w:ind w:left="284" w:right="282"/>
        <w:jc w:val="both"/>
      </w:pPr>
      <w:r>
        <w:t xml:space="preserve">- </w:t>
      </w:r>
      <w:r w:rsidR="00552C12" w:rsidRPr="00341E99">
        <w:t>“</w:t>
      </w:r>
      <w:r w:rsidRPr="00112F1C">
        <w:rPr>
          <w:i/>
        </w:rPr>
        <w:t>l</w:t>
      </w:r>
      <w:r w:rsidR="000B297D">
        <w:rPr>
          <w:i/>
        </w:rPr>
        <w:t>’</w:t>
      </w:r>
      <w:r w:rsidR="00552C12" w:rsidRPr="00112F1C">
        <w:rPr>
          <w:i/>
        </w:rPr>
        <w:t>art</w:t>
      </w:r>
      <w:r w:rsidR="00E902AF">
        <w:rPr>
          <w:i/>
        </w:rPr>
        <w:t>.</w:t>
      </w:r>
      <w:r w:rsidR="00552C12" w:rsidRPr="00112F1C">
        <w:rPr>
          <w:i/>
        </w:rPr>
        <w:t xml:space="preserve"> 12, paragrafi 1 e 2, della direttiva 2006/123 deve essere interpretato nel senso che l</w:t>
      </w:r>
      <w:r w:rsidR="000B297D">
        <w:rPr>
          <w:i/>
        </w:rPr>
        <w:t>’</w:t>
      </w:r>
      <w:r w:rsidR="00552C12" w:rsidRPr="00112F1C">
        <w:rPr>
          <w:i/>
        </w:rPr>
        <w:t>obbligo, per gli Stati membri, di applicare una procedura di selezione imparziale e trasparente tra i candidati potenziali, nonché il divieto di rinnovare automaticamente un</w:t>
      </w:r>
      <w:r w:rsidR="000B297D">
        <w:rPr>
          <w:i/>
        </w:rPr>
        <w:t>’</w:t>
      </w:r>
      <w:r w:rsidR="00552C12" w:rsidRPr="00112F1C">
        <w:rPr>
          <w:i/>
        </w:rPr>
        <w:t>autorizzazione rilasciata per una determinata attività sono enunciati in modo incondizionato e sufficientemente preciso da poter essere considerati disposizioni produttive di effetti diretti</w:t>
      </w:r>
      <w:r>
        <w:t>”;</w:t>
      </w:r>
    </w:p>
    <w:p w:rsidR="00341E99" w:rsidRPr="00341E99" w:rsidRDefault="00112F1C" w:rsidP="008E76C8">
      <w:pPr>
        <w:spacing w:line="360" w:lineRule="auto"/>
        <w:ind w:left="284" w:right="282"/>
        <w:jc w:val="both"/>
      </w:pPr>
      <w:r>
        <w:t xml:space="preserve">- </w:t>
      </w:r>
      <w:r w:rsidR="00341E99" w:rsidRPr="00341E99">
        <w:t>“</w:t>
      </w:r>
      <w:r w:rsidRPr="00112F1C">
        <w:rPr>
          <w:i/>
        </w:rPr>
        <w:t>l</w:t>
      </w:r>
      <w:r w:rsidR="000B297D">
        <w:rPr>
          <w:i/>
        </w:rPr>
        <w:t>’</w:t>
      </w:r>
      <w:r w:rsidR="00341E99" w:rsidRPr="00112F1C">
        <w:rPr>
          <w:i/>
        </w:rPr>
        <w:t>art</w:t>
      </w:r>
      <w:r w:rsidR="00E902AF">
        <w:rPr>
          <w:i/>
        </w:rPr>
        <w:t>.</w:t>
      </w:r>
      <w:r w:rsidR="00341E99" w:rsidRPr="00112F1C">
        <w:rPr>
          <w:i/>
        </w:rPr>
        <w:t xml:space="preserve"> 288, terzo comma, TFUE deve es</w:t>
      </w:r>
      <w:r w:rsidR="002E7D4C">
        <w:rPr>
          <w:i/>
        </w:rPr>
        <w:t>sere interpretato nel senso che</w:t>
      </w:r>
      <w:r w:rsidR="00341E99" w:rsidRPr="00112F1C">
        <w:rPr>
          <w:i/>
        </w:rPr>
        <w:t xml:space="preserve"> la valutazione dell</w:t>
      </w:r>
      <w:r w:rsidR="000B297D">
        <w:rPr>
          <w:i/>
        </w:rPr>
        <w:t>’</w:t>
      </w:r>
      <w:r w:rsidR="00341E99" w:rsidRPr="00112F1C">
        <w:rPr>
          <w:i/>
        </w:rPr>
        <w:t>effetto diretto connesso all</w:t>
      </w:r>
      <w:r w:rsidR="000B297D">
        <w:rPr>
          <w:i/>
        </w:rPr>
        <w:t>’</w:t>
      </w:r>
      <w:r w:rsidR="00341E99" w:rsidRPr="00112F1C">
        <w:rPr>
          <w:i/>
        </w:rPr>
        <w:t>obbligo e al divieto previsti dall</w:t>
      </w:r>
      <w:r w:rsidR="000B297D">
        <w:rPr>
          <w:i/>
        </w:rPr>
        <w:t>’</w:t>
      </w:r>
      <w:r w:rsidR="00341E99" w:rsidRPr="00112F1C">
        <w:rPr>
          <w:i/>
        </w:rPr>
        <w:t>articolo 12, paragrafi 1 e 2, della direttiva 2006/123 e l</w:t>
      </w:r>
      <w:r w:rsidR="000B297D">
        <w:rPr>
          <w:i/>
        </w:rPr>
        <w:t>’</w:t>
      </w:r>
      <w:r w:rsidR="00341E99" w:rsidRPr="00112F1C">
        <w:rPr>
          <w:i/>
        </w:rPr>
        <w:t>obbligo di disapplicare le disposizioni nazionali contrarie incombono ai giudici nazionali e alle autorità amministrative, comprese quelle comunali</w:t>
      </w:r>
      <w:r>
        <w:t>”;</w:t>
      </w:r>
    </w:p>
    <w:p w:rsidR="00552C12" w:rsidRPr="00341E99" w:rsidRDefault="00112F1C" w:rsidP="008E76C8">
      <w:pPr>
        <w:spacing w:line="360" w:lineRule="auto"/>
        <w:ind w:left="284" w:right="282"/>
        <w:jc w:val="both"/>
      </w:pPr>
      <w:r>
        <w:t>-</w:t>
      </w:r>
      <w:r w:rsidR="00341E99" w:rsidRPr="00341E99">
        <w:t xml:space="preserve"> </w:t>
      </w:r>
      <w:r w:rsidR="00552C12" w:rsidRPr="00341E99">
        <w:t>“</w:t>
      </w:r>
      <w:r w:rsidRPr="00112F1C">
        <w:rPr>
          <w:i/>
        </w:rPr>
        <w:t>l</w:t>
      </w:r>
      <w:r w:rsidR="000B297D">
        <w:rPr>
          <w:i/>
        </w:rPr>
        <w:t>’</w:t>
      </w:r>
      <w:r w:rsidR="00552C12" w:rsidRPr="00112F1C">
        <w:rPr>
          <w:i/>
        </w:rPr>
        <w:t>art</w:t>
      </w:r>
      <w:r w:rsidR="00E902AF">
        <w:rPr>
          <w:i/>
        </w:rPr>
        <w:t>.</w:t>
      </w:r>
      <w:r w:rsidR="00552C12" w:rsidRPr="00112F1C">
        <w:rPr>
          <w:i/>
        </w:rPr>
        <w:t xml:space="preserve"> 12, paragrafi 1 e</w:t>
      </w:r>
      <w:r w:rsidR="002E7D4C">
        <w:rPr>
          <w:i/>
        </w:rPr>
        <w:t xml:space="preserve"> 2, della direttiva 2006/123/CE </w:t>
      </w:r>
      <w:r w:rsidR="00585CCC" w:rsidRPr="00585CCC">
        <w:t>(sull</w:t>
      </w:r>
      <w:r w:rsidR="000B297D">
        <w:t>’</w:t>
      </w:r>
      <w:r w:rsidR="00585CCC">
        <w:t>obbligo di</w:t>
      </w:r>
      <w:r w:rsidR="00585CCC" w:rsidRPr="00585CCC">
        <w:t xml:space="preserve"> messa in gara delle concessioni relative a risorse naturali scarse)</w:t>
      </w:r>
      <w:r w:rsidR="00585CCC">
        <w:rPr>
          <w:i/>
        </w:rPr>
        <w:t xml:space="preserve"> </w:t>
      </w:r>
      <w:r w:rsidR="00552C12" w:rsidRPr="00112F1C">
        <w:rPr>
          <w:i/>
        </w:rPr>
        <w:t>deve es</w:t>
      </w:r>
      <w:r w:rsidR="002E7D4C">
        <w:rPr>
          <w:i/>
        </w:rPr>
        <w:t>sere interpretato nel senso che</w:t>
      </w:r>
      <w:r w:rsidR="00552C12" w:rsidRPr="00112F1C">
        <w:rPr>
          <w:i/>
        </w:rPr>
        <w:t xml:space="preserve"> esso non si applica unicamente alle concessioni di occupazione del demanio marittimo che presentano un interesse transfrontaliero certo</w:t>
      </w:r>
      <w:r>
        <w:t>”;</w:t>
      </w:r>
    </w:p>
    <w:p w:rsidR="00552C12" w:rsidRPr="00341E99" w:rsidRDefault="00112F1C" w:rsidP="008E76C8">
      <w:pPr>
        <w:spacing w:line="360" w:lineRule="auto"/>
        <w:ind w:left="284" w:right="282"/>
        <w:jc w:val="both"/>
      </w:pPr>
      <w:r>
        <w:t xml:space="preserve">- </w:t>
      </w:r>
      <w:r w:rsidR="00552C12" w:rsidRPr="00341E99">
        <w:t>“</w:t>
      </w:r>
      <w:r w:rsidRPr="00112F1C">
        <w:rPr>
          <w:i/>
        </w:rPr>
        <w:t>l</w:t>
      </w:r>
      <w:r w:rsidR="000B297D">
        <w:rPr>
          <w:i/>
        </w:rPr>
        <w:t>’</w:t>
      </w:r>
      <w:r w:rsidR="00552C12" w:rsidRPr="00112F1C">
        <w:rPr>
          <w:i/>
        </w:rPr>
        <w:t>art</w:t>
      </w:r>
      <w:r w:rsidR="00E902AF">
        <w:rPr>
          <w:i/>
        </w:rPr>
        <w:t>.</w:t>
      </w:r>
      <w:r w:rsidR="00552C12" w:rsidRPr="00112F1C">
        <w:rPr>
          <w:i/>
        </w:rPr>
        <w:t xml:space="preserve"> 12, paragrafo 1, della direttiva 2006/123 deve essere interpretato nel senso che esso non osta a che la scarsità delle risorse naturali e delle concessioni disponibili sia valutata combinando un approccio generale e astratto, a livello nazionale, e un approccio caso per caso, basato su un</w:t>
      </w:r>
      <w:r w:rsidR="000B297D">
        <w:rPr>
          <w:i/>
        </w:rPr>
        <w:t>’</w:t>
      </w:r>
      <w:r w:rsidR="00552C12" w:rsidRPr="00112F1C">
        <w:rPr>
          <w:i/>
        </w:rPr>
        <w:t>analisi del territorio costiero del comune in questione</w:t>
      </w:r>
      <w:r w:rsidR="00552C12" w:rsidRPr="00341E99">
        <w:t>”.</w:t>
      </w:r>
    </w:p>
    <w:p w:rsidR="00552C12" w:rsidRDefault="00F92E18" w:rsidP="008E76C8">
      <w:pPr>
        <w:spacing w:line="360" w:lineRule="auto"/>
        <w:ind w:left="284" w:right="282"/>
        <w:jc w:val="both"/>
      </w:pPr>
      <w:r>
        <w:t>La decisione dà sicuramente dei buoni spunti per tracciare la nuova rotta, in quanto, s</w:t>
      </w:r>
      <w:r w:rsidR="00552C12" w:rsidRPr="00341E99">
        <w:t>econdo la Corte</w:t>
      </w:r>
      <w:r w:rsidR="00585CCC">
        <w:t xml:space="preserve">, </w:t>
      </w:r>
      <w:r>
        <w:t>nel</w:t>
      </w:r>
      <w:r w:rsidR="00552C12" w:rsidRPr="00341E99">
        <w:t>la valutazione della scarsità delle risorse naturali</w:t>
      </w:r>
      <w:r>
        <w:t>, che</w:t>
      </w:r>
      <w:r w:rsidR="00552C12" w:rsidRPr="00341E99">
        <w:t xml:space="preserve"> va effettuata </w:t>
      </w:r>
      <w:r w:rsidR="00112F1C">
        <w:t>mediante</w:t>
      </w:r>
      <w:r w:rsidR="00552C12" w:rsidRPr="00341E99">
        <w:t xml:space="preserve"> criteri</w:t>
      </w:r>
      <w:r w:rsidR="00112F1C">
        <w:t xml:space="preserve"> </w:t>
      </w:r>
      <w:r w:rsidR="00112F1C" w:rsidRPr="00341E99">
        <w:t>“</w:t>
      </w:r>
      <w:r w:rsidR="00112F1C" w:rsidRPr="00112F1C">
        <w:rPr>
          <w:i/>
        </w:rPr>
        <w:t>obiettivi, non discriminatori, trasparenti e proporzionati</w:t>
      </w:r>
      <w:r w:rsidR="00112F1C" w:rsidRPr="00341E99">
        <w:t>”</w:t>
      </w:r>
      <w:r>
        <w:t>,</w:t>
      </w:r>
      <w:r w:rsidR="00552C12" w:rsidRPr="00341E99">
        <w:t xml:space="preserve"> </w:t>
      </w:r>
      <w:r w:rsidR="00005DB5">
        <w:t>lo</w:t>
      </w:r>
      <w:r w:rsidR="00552C12" w:rsidRPr="00341E99">
        <w:t xml:space="preserve"> Stato </w:t>
      </w:r>
      <w:r w:rsidR="00275DE1">
        <w:t>può</w:t>
      </w:r>
      <w:r w:rsidR="00552C12" w:rsidRPr="00341E99">
        <w:t xml:space="preserve"> </w:t>
      </w:r>
      <w:r>
        <w:t>ricorre</w:t>
      </w:r>
      <w:r w:rsidR="00552C12" w:rsidRPr="00341E99">
        <w:t xml:space="preserve">re </w:t>
      </w:r>
      <w:r>
        <w:t xml:space="preserve">sia ad </w:t>
      </w:r>
      <w:r w:rsidR="00552C12" w:rsidRPr="00341E99">
        <w:t>una valutazione generale e astratta, ossia valida per tutto il territorio nazionale</w:t>
      </w:r>
      <w:r>
        <w:t xml:space="preserve"> (come ha fatto l’Adunanza </w:t>
      </w:r>
      <w:r w:rsidR="00005DB5">
        <w:t>p</w:t>
      </w:r>
      <w:r>
        <w:t>lenaria)</w:t>
      </w:r>
      <w:r w:rsidR="00552C12" w:rsidRPr="00341E99">
        <w:t>, ma anche seguire un approccio di tipo empirico, ossia riferito alla situazione esistente nel territorio costiero di un comune o dell</w:t>
      </w:r>
      <w:r w:rsidR="000B297D">
        <w:t>’</w:t>
      </w:r>
      <w:r w:rsidR="00552C12" w:rsidRPr="00341E99">
        <w:t>autorità amministrativa competente</w:t>
      </w:r>
      <w:r>
        <w:t>,</w:t>
      </w:r>
      <w:r w:rsidR="00552C12" w:rsidRPr="00341E99">
        <w:t xml:space="preserve"> oppure combinare entrambe le scelte.</w:t>
      </w:r>
    </w:p>
    <w:p w:rsidR="000B297D" w:rsidRPr="00341E99" w:rsidRDefault="000B297D" w:rsidP="008E76C8">
      <w:pPr>
        <w:spacing w:line="360" w:lineRule="auto"/>
        <w:ind w:left="284" w:right="282"/>
        <w:jc w:val="both"/>
        <w:rPr>
          <w:b/>
        </w:rPr>
      </w:pPr>
      <w:r w:rsidRPr="00341E99">
        <w:rPr>
          <w:b/>
        </w:rPr>
        <w:t xml:space="preserve">La sentenza del Consiglio di </w:t>
      </w:r>
      <w:r>
        <w:rPr>
          <w:b/>
        </w:rPr>
        <w:t>Giustizia amministrativa per la Regione Siciliana</w:t>
      </w:r>
      <w:r w:rsidRPr="00341E99">
        <w:rPr>
          <w:b/>
        </w:rPr>
        <w:t xml:space="preserve">, Sez. </w:t>
      </w:r>
      <w:r>
        <w:rPr>
          <w:b/>
        </w:rPr>
        <w:t>giurisd.</w:t>
      </w:r>
      <w:r w:rsidRPr="00341E99">
        <w:rPr>
          <w:b/>
        </w:rPr>
        <w:t xml:space="preserve">, </w:t>
      </w:r>
      <w:r>
        <w:rPr>
          <w:b/>
        </w:rPr>
        <w:t>22</w:t>
      </w:r>
      <w:r w:rsidRPr="00341E99">
        <w:rPr>
          <w:b/>
        </w:rPr>
        <w:t xml:space="preserve"> ma</w:t>
      </w:r>
      <w:r>
        <w:rPr>
          <w:b/>
        </w:rPr>
        <w:t>ggi</w:t>
      </w:r>
      <w:r w:rsidRPr="00341E99">
        <w:rPr>
          <w:b/>
        </w:rPr>
        <w:t>o 2023</w:t>
      </w:r>
      <w:r w:rsidR="00F92E18">
        <w:rPr>
          <w:b/>
        </w:rPr>
        <w:t>,</w:t>
      </w:r>
      <w:r w:rsidRPr="00341E99">
        <w:rPr>
          <w:b/>
        </w:rPr>
        <w:t xml:space="preserve"> n.</w:t>
      </w:r>
      <w:r w:rsidR="002F49D3">
        <w:rPr>
          <w:b/>
        </w:rPr>
        <w:t xml:space="preserve"> </w:t>
      </w:r>
      <w:r w:rsidRPr="00341E99">
        <w:rPr>
          <w:b/>
        </w:rPr>
        <w:t>2</w:t>
      </w:r>
      <w:r>
        <w:rPr>
          <w:b/>
        </w:rPr>
        <w:t>50</w:t>
      </w:r>
      <w:r w:rsidRPr="00341E99">
        <w:rPr>
          <w:b/>
        </w:rPr>
        <w:t>.</w:t>
      </w:r>
    </w:p>
    <w:p w:rsidR="000B297D" w:rsidRDefault="000B297D" w:rsidP="008E76C8">
      <w:pPr>
        <w:spacing w:line="360" w:lineRule="auto"/>
        <w:ind w:left="284" w:right="282"/>
        <w:jc w:val="both"/>
      </w:pPr>
      <w:r>
        <w:t>Recentemente, il massimo organo della Giustizia amministrativa della Regione Sicilia sembra avere messo in discussione uno dei capisaldi delle sentenze gemelle dell’Adunanza plenaria</w:t>
      </w:r>
      <w:r w:rsidR="00F92E18">
        <w:t>,</w:t>
      </w:r>
      <w:r>
        <w:t xml:space="preserve"> e cioè </w:t>
      </w:r>
      <w:r w:rsidR="00371A26">
        <w:t>quello per cui</w:t>
      </w:r>
      <w:r w:rsidR="00FD5D5E">
        <w:t xml:space="preserve"> le gare per le concessioni de</w:t>
      </w:r>
      <w:r w:rsidR="00371A26">
        <w:t>vo</w:t>
      </w:r>
      <w:r w:rsidR="00FD5D5E">
        <w:t xml:space="preserve">no uniformarsi ai criteri </w:t>
      </w:r>
      <w:r w:rsidR="00371A26">
        <w:t>di evidenza pubblica che saranno appositamente</w:t>
      </w:r>
      <w:r w:rsidR="00FD5D5E">
        <w:t xml:space="preserve"> dettati dalla legge dello Stato.</w:t>
      </w:r>
    </w:p>
    <w:p w:rsidR="00FD5D5E" w:rsidRDefault="00FD5D5E" w:rsidP="00881505">
      <w:pPr>
        <w:spacing w:line="360" w:lineRule="auto"/>
        <w:ind w:left="284" w:right="282"/>
        <w:jc w:val="both"/>
      </w:pPr>
      <w:r>
        <w:t xml:space="preserve">Ha infatti </w:t>
      </w:r>
      <w:r w:rsidR="00C479EA">
        <w:t>affermato</w:t>
      </w:r>
      <w:r w:rsidR="00881505">
        <w:t>, in estrema sintesi,</w:t>
      </w:r>
      <w:r w:rsidR="00C479EA">
        <w:t xml:space="preserve"> </w:t>
      </w:r>
      <w:r>
        <w:t xml:space="preserve">che </w:t>
      </w:r>
      <w:r w:rsidR="00881505">
        <w:t xml:space="preserve">in </w:t>
      </w:r>
      <w:r w:rsidR="00881505" w:rsidRPr="00881505">
        <w:rPr>
          <w:i/>
        </w:rPr>
        <w:t>subiecta materia</w:t>
      </w:r>
      <w:r>
        <w:t xml:space="preserve"> tro</w:t>
      </w:r>
      <w:r w:rsidR="000B297D" w:rsidRPr="000B297D">
        <w:t xml:space="preserve">va </w:t>
      </w:r>
      <w:r>
        <w:t xml:space="preserve">applicazione </w:t>
      </w:r>
      <w:r w:rsidR="000B297D" w:rsidRPr="000B297D">
        <w:t>la norma speciale di cui all</w:t>
      </w:r>
      <w:r w:rsidR="000B297D">
        <w:t>’</w:t>
      </w:r>
      <w:r w:rsidR="000B297D" w:rsidRPr="000B297D">
        <w:t xml:space="preserve">art. 37 del codice della navigazione, </w:t>
      </w:r>
      <w:r w:rsidR="00881505">
        <w:t>che contempla</w:t>
      </w:r>
      <w:r w:rsidR="000B297D" w:rsidRPr="000B297D">
        <w:t xml:space="preserve"> una procedura a</w:t>
      </w:r>
      <w:r w:rsidR="00881505">
        <w:t>d</w:t>
      </w:r>
      <w:r w:rsidR="000B297D" w:rsidRPr="000B297D">
        <w:t xml:space="preserve"> evidenza pubblica</w:t>
      </w:r>
      <w:r w:rsidR="00881505" w:rsidRPr="00881505">
        <w:t xml:space="preserve"> </w:t>
      </w:r>
      <w:r w:rsidR="00881505">
        <w:t xml:space="preserve">avviata </w:t>
      </w:r>
      <w:r w:rsidR="00950401">
        <w:t>da</w:t>
      </w:r>
      <w:r w:rsidR="00881505">
        <w:t xml:space="preserve"> </w:t>
      </w:r>
      <w:r w:rsidR="000B297D" w:rsidRPr="000B297D">
        <w:t>una domanda d</w:t>
      </w:r>
      <w:r w:rsidR="00950401">
        <w:t>e</w:t>
      </w:r>
      <w:r w:rsidR="000B297D" w:rsidRPr="000B297D">
        <w:t>l privato</w:t>
      </w:r>
      <w:r w:rsidR="00881505">
        <w:t xml:space="preserve">, le cui pur </w:t>
      </w:r>
      <w:r w:rsidR="000B297D" w:rsidRPr="000B297D">
        <w:t>informal</w:t>
      </w:r>
      <w:r w:rsidR="00881505">
        <w:t>i modalità</w:t>
      </w:r>
      <w:r w:rsidR="000B297D" w:rsidRPr="000B297D">
        <w:t xml:space="preserve"> di selezione </w:t>
      </w:r>
      <w:r w:rsidR="00950401">
        <w:t>sono</w:t>
      </w:r>
      <w:r w:rsidR="00881505">
        <w:t xml:space="preserve"> </w:t>
      </w:r>
      <w:r w:rsidR="000B297D" w:rsidRPr="000B297D">
        <w:t>idonee a soddisfare gli obblighi di trasparenza, imparzialità e </w:t>
      </w:r>
      <w:r w:rsidR="000B297D" w:rsidRPr="000B297D">
        <w:rPr>
          <w:i/>
          <w:iCs/>
        </w:rPr>
        <w:t>par condicio</w:t>
      </w:r>
      <w:r w:rsidR="000B297D" w:rsidRPr="000B297D">
        <w:t>,</w:t>
      </w:r>
      <w:r w:rsidR="00950401">
        <w:t xml:space="preserve"> perché</w:t>
      </w:r>
      <w:r w:rsidR="000B297D" w:rsidRPr="000B297D">
        <w:t xml:space="preserve"> rend</w:t>
      </w:r>
      <w:r w:rsidR="00950401">
        <w:t>o</w:t>
      </w:r>
      <w:r w:rsidR="000B297D" w:rsidRPr="000B297D">
        <w:t xml:space="preserve">no effettivo il confronto fra le istanze in comparazione e, quindi, le </w:t>
      </w:r>
      <w:r w:rsidR="000B297D" w:rsidRPr="002F49D3">
        <w:rPr>
          <w:i/>
        </w:rPr>
        <w:t>chances</w:t>
      </w:r>
      <w:r w:rsidR="000B297D" w:rsidRPr="000B297D">
        <w:t xml:space="preserve"> concorrenziali delle nuove imprese contendenti.</w:t>
      </w:r>
    </w:p>
    <w:p w:rsidR="000B297D" w:rsidRPr="00341E99" w:rsidRDefault="00881505" w:rsidP="008E76C8">
      <w:pPr>
        <w:spacing w:line="360" w:lineRule="auto"/>
        <w:ind w:left="284" w:right="282"/>
        <w:jc w:val="both"/>
      </w:pPr>
      <w:r>
        <w:t>Per vero, l</w:t>
      </w:r>
      <w:r w:rsidR="000B297D" w:rsidRPr="000B297D">
        <w:t xml:space="preserve">a concomitanza di domande di concessione già di per sé </w:t>
      </w:r>
      <w:r w:rsidR="00950401" w:rsidRPr="000B297D">
        <w:t xml:space="preserve">determina </w:t>
      </w:r>
      <w:r w:rsidR="000B297D" w:rsidRPr="000B297D">
        <w:t>una situazione concorrenziale che preesiste alla volontà dell</w:t>
      </w:r>
      <w:r w:rsidR="000B297D">
        <w:t>’</w:t>
      </w:r>
      <w:r w:rsidR="000B297D" w:rsidRPr="000B297D">
        <w:t>amministrazione di stipulare un contratto e pertanto non richiede le formalità proprie dell</w:t>
      </w:r>
      <w:r w:rsidR="000B297D">
        <w:t>’</w:t>
      </w:r>
      <w:r w:rsidR="000B297D" w:rsidRPr="000B297D">
        <w:t>evidenza pubblica, sicché la fissazione dei criteri in questo caso non assolverebbe alla sua funzione tipica di assicurare un confronto competitivo leale, perché verrebbe fatta quando le proposte di affidamento sono già state presentate.</w:t>
      </w:r>
    </w:p>
    <w:p w:rsidR="00585CCC" w:rsidRDefault="00112F1C" w:rsidP="008E76C8">
      <w:pPr>
        <w:spacing w:line="360" w:lineRule="auto"/>
        <w:ind w:left="284" w:right="282"/>
        <w:jc w:val="both"/>
        <w:rPr>
          <w:b/>
        </w:rPr>
      </w:pPr>
      <w:r w:rsidRPr="00112F1C">
        <w:rPr>
          <w:b/>
        </w:rPr>
        <w:t>L</w:t>
      </w:r>
      <w:r w:rsidR="00585CCC">
        <w:rPr>
          <w:b/>
        </w:rPr>
        <w:t>a nuova rotta possibile.</w:t>
      </w:r>
    </w:p>
    <w:p w:rsidR="00585CCC" w:rsidRDefault="00585CCC" w:rsidP="00FB1C70">
      <w:pPr>
        <w:spacing w:line="360" w:lineRule="auto"/>
        <w:ind w:left="284" w:right="282"/>
        <w:jc w:val="both"/>
      </w:pPr>
      <w:r>
        <w:t>All</w:t>
      </w:r>
      <w:r w:rsidRPr="00585CCC">
        <w:t>a</w:t>
      </w:r>
      <w:r>
        <w:t xml:space="preserve"> luce di </w:t>
      </w:r>
      <w:r w:rsidR="00950401">
        <w:t xml:space="preserve">tutti </w:t>
      </w:r>
      <w:r>
        <w:t>quest</w:t>
      </w:r>
      <w:r w:rsidR="00950401">
        <w:t xml:space="preserve">i avvisi </w:t>
      </w:r>
      <w:r>
        <w:t>di pericolo, la</w:t>
      </w:r>
      <w:r w:rsidRPr="00585CCC">
        <w:t xml:space="preserve"> nuova rotta</w:t>
      </w:r>
      <w:r>
        <w:t xml:space="preserve"> va necessariamente individuata se</w:t>
      </w:r>
      <w:r w:rsidR="00950401">
        <w:t>gue</w:t>
      </w:r>
      <w:r>
        <w:t>ndo tracciati alternativi.</w:t>
      </w:r>
    </w:p>
    <w:p w:rsidR="00E35B66" w:rsidRDefault="00D5623D" w:rsidP="008E76C8">
      <w:pPr>
        <w:spacing w:line="360" w:lineRule="auto"/>
        <w:ind w:left="284" w:right="282"/>
        <w:jc w:val="both"/>
      </w:pPr>
      <w:r>
        <w:t>Per prima cosa</w:t>
      </w:r>
      <w:r w:rsidR="00FB1C70">
        <w:t>,</w:t>
      </w:r>
      <w:r w:rsidR="00E35B66">
        <w:t xml:space="preserve"> </w:t>
      </w:r>
      <w:r w:rsidR="00A750FB">
        <w:t>potrebbe valutarsi se</w:t>
      </w:r>
      <w:r>
        <w:t xml:space="preserve"> effettuare</w:t>
      </w:r>
      <w:r w:rsidR="00E35B66">
        <w:t xml:space="preserve">, con legge, una </w:t>
      </w:r>
      <w:r>
        <w:t xml:space="preserve">decisa </w:t>
      </w:r>
      <w:r w:rsidR="00E35B66">
        <w:t>virata rispetto ai princ</w:t>
      </w:r>
      <w:r w:rsidR="00FB1C70">
        <w:t>ì</w:t>
      </w:r>
      <w:r w:rsidR="00E35B66">
        <w:t xml:space="preserve">pi stabiliti dall’Adunanza </w:t>
      </w:r>
      <w:r w:rsidR="00FB1C70">
        <w:t>p</w:t>
      </w:r>
      <w:r w:rsidR="00E35B66">
        <w:t xml:space="preserve">lenaria, </w:t>
      </w:r>
      <w:r w:rsidR="00950401">
        <w:t>stabile</w:t>
      </w:r>
      <w:r w:rsidR="00E35B66">
        <w:t xml:space="preserve">ndo che esistono </w:t>
      </w:r>
      <w:r w:rsidR="00A750FB">
        <w:t xml:space="preserve">almeno tre </w:t>
      </w:r>
      <w:r w:rsidR="00E35B66">
        <w:t xml:space="preserve">tipologie di beni turistico-balneari </w:t>
      </w:r>
      <w:r w:rsidR="000352F5">
        <w:t>affida</w:t>
      </w:r>
      <w:r>
        <w:t xml:space="preserve">bili </w:t>
      </w:r>
      <w:r w:rsidR="000352F5">
        <w:t>i</w:t>
      </w:r>
      <w:r w:rsidR="00E35B66">
        <w:t>n concessione:</w:t>
      </w:r>
    </w:p>
    <w:p w:rsidR="00E35B66" w:rsidRDefault="00404F6D" w:rsidP="008E76C8">
      <w:pPr>
        <w:spacing w:line="360" w:lineRule="auto"/>
        <w:ind w:left="284" w:right="282"/>
        <w:jc w:val="both"/>
      </w:pPr>
      <w:r>
        <w:t>1)</w:t>
      </w:r>
      <w:r w:rsidR="00E35B66" w:rsidRPr="00E35B66">
        <w:t xml:space="preserve"> i beni scarsi o con interesse transfrontaliero certo, che vanno assoggettati a procedura di selezione imparziale e trasparente tra i </w:t>
      </w:r>
      <w:r w:rsidR="00D5623D" w:rsidRPr="00E35B66">
        <w:t xml:space="preserve">potenziali </w:t>
      </w:r>
      <w:r w:rsidR="00E35B66" w:rsidRPr="00E35B66">
        <w:t>candidati</w:t>
      </w:r>
      <w:r w:rsidR="00E35B66">
        <w:t>;</w:t>
      </w:r>
    </w:p>
    <w:p w:rsidR="00E35B66" w:rsidRPr="00E35B66" w:rsidRDefault="00404F6D" w:rsidP="008E76C8">
      <w:pPr>
        <w:spacing w:line="360" w:lineRule="auto"/>
        <w:ind w:left="284" w:right="282"/>
        <w:jc w:val="both"/>
      </w:pPr>
      <w:r>
        <w:t>2)</w:t>
      </w:r>
      <w:r w:rsidR="00E35B66" w:rsidRPr="00E35B66">
        <w:t xml:space="preserve"> i beni non scarsi e privi interesse transfrontaliero certo, che non sono soggetti alle regole dell’art. 49 TFUE e dell’art. 12 della direttiva 2006/123/CE, ma tutt’al più solo ai princìpi;</w:t>
      </w:r>
    </w:p>
    <w:p w:rsidR="00E35B66" w:rsidRPr="00E35B66" w:rsidRDefault="00404F6D" w:rsidP="008E76C8">
      <w:pPr>
        <w:spacing w:line="360" w:lineRule="auto"/>
        <w:ind w:left="284" w:right="282"/>
        <w:jc w:val="both"/>
      </w:pPr>
      <w:r>
        <w:t>3)</w:t>
      </w:r>
      <w:r w:rsidR="00E35B66">
        <w:t xml:space="preserve"> </w:t>
      </w:r>
      <w:r w:rsidR="00E35B66" w:rsidRPr="00E35B66">
        <w:t xml:space="preserve">i </w:t>
      </w:r>
      <w:r w:rsidR="00E35B66">
        <w:t>beni da assegnare con regole differen</w:t>
      </w:r>
      <w:r>
        <w:t>ti,</w:t>
      </w:r>
      <w:r w:rsidR="00E35B66">
        <w:t xml:space="preserve"> per ragioni di interesse pubblico.</w:t>
      </w:r>
    </w:p>
    <w:p w:rsidR="00E35B66" w:rsidRDefault="00E35B66" w:rsidP="008E76C8">
      <w:pPr>
        <w:spacing w:line="360" w:lineRule="auto"/>
        <w:ind w:left="284" w:right="282"/>
        <w:jc w:val="both"/>
      </w:pPr>
      <w:r>
        <w:t xml:space="preserve">Riguardo ai primi ed ai secondi, saranno </w:t>
      </w:r>
      <w:r w:rsidR="00950401">
        <w:t xml:space="preserve">decisive </w:t>
      </w:r>
      <w:r>
        <w:t xml:space="preserve">le risultanze </w:t>
      </w:r>
      <w:r w:rsidRPr="00341E99">
        <w:t xml:space="preserve">tavolo tecnico consultivo </w:t>
      </w:r>
      <w:r>
        <w:t xml:space="preserve">istituito </w:t>
      </w:r>
      <w:r w:rsidRPr="00341E99">
        <w:t xml:space="preserve">presso la Presidenza del Consiglio dei </w:t>
      </w:r>
      <w:r>
        <w:t>M</w:t>
      </w:r>
      <w:r w:rsidRPr="00341E99">
        <w:t xml:space="preserve">inistri, </w:t>
      </w:r>
      <w:r>
        <w:t xml:space="preserve">che </w:t>
      </w:r>
      <w:r w:rsidR="00C41A47">
        <w:t>deve</w:t>
      </w:r>
      <w:r w:rsidRPr="00341E99">
        <w:t xml:space="preserve"> acquisire i dati relativi alla mappatura delle concessioni e stabilire i criteri tecnici per “</w:t>
      </w:r>
      <w:r w:rsidRPr="00341E99">
        <w:rPr>
          <w:i/>
        </w:rPr>
        <w:t>la determinazione della sussistenza della scarsità della risorsa naturale disponibile e della rilevanza economica transfrontaliera</w:t>
      </w:r>
      <w:r w:rsidRPr="00341E99">
        <w:t>”</w:t>
      </w:r>
      <w:r>
        <w:t>.</w:t>
      </w:r>
    </w:p>
    <w:p w:rsidR="00E35B66" w:rsidRDefault="00404F6D" w:rsidP="008E76C8">
      <w:pPr>
        <w:spacing w:line="360" w:lineRule="auto"/>
        <w:ind w:left="284" w:right="282"/>
        <w:jc w:val="both"/>
      </w:pPr>
      <w:r>
        <w:t>D’altronde, la CGUE, nelle due pronunce sopra indicate, ha affermato a chiare lettere che:</w:t>
      </w:r>
    </w:p>
    <w:p w:rsidR="002F49D3" w:rsidRDefault="002F49D3" w:rsidP="008E76C8">
      <w:pPr>
        <w:spacing w:line="360" w:lineRule="auto"/>
        <w:ind w:left="284" w:right="282"/>
        <w:jc w:val="both"/>
      </w:pPr>
      <w:r>
        <w:t xml:space="preserve">- la scarsità </w:t>
      </w:r>
      <w:r w:rsidR="00950401" w:rsidRPr="002F49D3">
        <w:t xml:space="preserve">delle risorse naturali </w:t>
      </w:r>
      <w:r>
        <w:t>e l’</w:t>
      </w:r>
      <w:r w:rsidRPr="005248C1">
        <w:t xml:space="preserve">interesse transfrontaliero certo </w:t>
      </w:r>
      <w:r w:rsidR="00C41A47">
        <w:t>dev</w:t>
      </w:r>
      <w:r>
        <w:t>ono</w:t>
      </w:r>
      <w:r w:rsidR="00C41A47">
        <w:t xml:space="preserve"> essere</w:t>
      </w:r>
      <w:r>
        <w:t xml:space="preserve"> valutati dall’amministrazione concedente in relazione alla singola </w:t>
      </w:r>
      <w:r w:rsidRPr="005248C1">
        <w:t>concession</w:t>
      </w:r>
      <w:r>
        <w:t>e,</w:t>
      </w:r>
      <w:r w:rsidRPr="00AC09CE">
        <w:t xml:space="preserve"> spettando poi al giudice</w:t>
      </w:r>
      <w:r>
        <w:t xml:space="preserve"> </w:t>
      </w:r>
      <w:r w:rsidRPr="00AC09CE">
        <w:t xml:space="preserve">nazionale </w:t>
      </w:r>
      <w:r>
        <w:t>il sindacato su tale apprezzamento;</w:t>
      </w:r>
    </w:p>
    <w:p w:rsidR="002F49D3" w:rsidRDefault="002F49D3" w:rsidP="008E76C8">
      <w:pPr>
        <w:spacing w:line="360" w:lineRule="auto"/>
        <w:ind w:left="284" w:right="282"/>
        <w:jc w:val="both"/>
      </w:pPr>
      <w:r>
        <w:t xml:space="preserve">- </w:t>
      </w:r>
      <w:r w:rsidRPr="002F49D3">
        <w:t xml:space="preserve">la scarsità delle risorse naturali e delle concessioni disponibili </w:t>
      </w:r>
      <w:r>
        <w:t>può essere</w:t>
      </w:r>
      <w:r w:rsidRPr="002F49D3">
        <w:t xml:space="preserve"> valutata combinando un approccio generale e astratto, a livello nazionale, e un approccio caso per caso, basato su un’analisi del territorio costiero del comune in questione</w:t>
      </w:r>
      <w:r w:rsidRPr="00341E99">
        <w:t>.</w:t>
      </w:r>
    </w:p>
    <w:p w:rsidR="002F49D3" w:rsidRDefault="002F49D3" w:rsidP="008E76C8">
      <w:pPr>
        <w:spacing w:line="360" w:lineRule="auto"/>
        <w:ind w:left="284" w:right="282"/>
        <w:jc w:val="both"/>
      </w:pPr>
      <w:r>
        <w:t xml:space="preserve">Sempre riguardo </w:t>
      </w:r>
      <w:r w:rsidR="00D5623D">
        <w:t>alle prime due tipologie di beni</w:t>
      </w:r>
      <w:r>
        <w:t>, occorre</w:t>
      </w:r>
      <w:r w:rsidR="00B05A71">
        <w:t xml:space="preserve"> poi</w:t>
      </w:r>
      <w:r>
        <w:t xml:space="preserve"> tenere presente che il termine </w:t>
      </w:r>
      <w:r w:rsidR="00D5623D">
        <w:t>di</w:t>
      </w:r>
      <w:r>
        <w:t xml:space="preserve"> scadenza delle concessioni esistenti,</w:t>
      </w:r>
      <w:r w:rsidR="0019469A">
        <w:t xml:space="preserve"> ove</w:t>
      </w:r>
      <w:r>
        <w:t xml:space="preserve"> </w:t>
      </w:r>
      <w:r w:rsidR="00302BF7">
        <w:t xml:space="preserve">a suo tempo </w:t>
      </w:r>
      <w:r>
        <w:t>non assegnate a mezzo gara pubblica, resta (almeno prudenzialmente) quello del 31 dicembre 2023.</w:t>
      </w:r>
    </w:p>
    <w:p w:rsidR="002F49D3" w:rsidRDefault="00302BF7" w:rsidP="008E76C8">
      <w:pPr>
        <w:spacing w:line="360" w:lineRule="auto"/>
        <w:ind w:left="284" w:right="282"/>
        <w:jc w:val="both"/>
        <w:rPr>
          <w:iCs/>
        </w:rPr>
      </w:pPr>
      <w:r>
        <w:t>Ancora, q</w:t>
      </w:r>
      <w:r w:rsidR="002F49D3">
        <w:t>uanto alle modalità pratiche di assegnazione, si p</w:t>
      </w:r>
      <w:r w:rsidR="002F49D3" w:rsidRPr="002F49D3">
        <w:t xml:space="preserve">otrebbe </w:t>
      </w:r>
      <w:r w:rsidR="002F49D3">
        <w:t>fa</w:t>
      </w:r>
      <w:r w:rsidR="002F49D3" w:rsidRPr="002F49D3">
        <w:t>r</w:t>
      </w:r>
      <w:r w:rsidR="002F49D3">
        <w:t xml:space="preserve"> leva</w:t>
      </w:r>
      <w:r w:rsidR="002F49D3" w:rsidRPr="002F49D3">
        <w:t xml:space="preserve"> sull’art. 37 del codice della navigazione, quale </w:t>
      </w:r>
      <w:r w:rsidR="00CF0CFA">
        <w:t xml:space="preserve">speciale </w:t>
      </w:r>
      <w:r w:rsidR="002F49D3" w:rsidRPr="002F49D3">
        <w:t>procedura ad evidenza pubblica</w:t>
      </w:r>
      <w:r w:rsidR="002F49D3" w:rsidRPr="002F49D3">
        <w:rPr>
          <w:iCs/>
        </w:rPr>
        <w:t xml:space="preserve">, </w:t>
      </w:r>
      <w:r w:rsidR="002256BE">
        <w:rPr>
          <w:iCs/>
        </w:rPr>
        <w:t>arricchendolo con l’obbligo del</w:t>
      </w:r>
      <w:r w:rsidR="002F49D3" w:rsidRPr="002F49D3">
        <w:rPr>
          <w:iCs/>
        </w:rPr>
        <w:t>la previa pubblicazione di un invito ad offrire</w:t>
      </w:r>
      <w:r w:rsidR="002F49D3">
        <w:rPr>
          <w:iCs/>
        </w:rPr>
        <w:t>,</w:t>
      </w:r>
      <w:r w:rsidR="002F49D3" w:rsidRPr="002F49D3">
        <w:rPr>
          <w:iCs/>
        </w:rPr>
        <w:t xml:space="preserve"> c</w:t>
      </w:r>
      <w:r w:rsidR="002F49D3">
        <w:rPr>
          <w:iCs/>
        </w:rPr>
        <w:t xml:space="preserve">he </w:t>
      </w:r>
      <w:r w:rsidR="002256BE">
        <w:rPr>
          <w:iCs/>
        </w:rPr>
        <w:t>dia</w:t>
      </w:r>
      <w:r w:rsidR="002F49D3" w:rsidRPr="002F49D3">
        <w:rPr>
          <w:iCs/>
        </w:rPr>
        <w:t xml:space="preserve"> </w:t>
      </w:r>
      <w:r>
        <w:t>maggiore</w:t>
      </w:r>
      <w:r w:rsidR="002F49D3" w:rsidRPr="002F49D3">
        <w:t xml:space="preserve"> </w:t>
      </w:r>
      <w:r w:rsidR="002F49D3" w:rsidRPr="002F49D3">
        <w:rPr>
          <w:iCs/>
        </w:rPr>
        <w:t>garanzia d</w:t>
      </w:r>
      <w:r>
        <w:rPr>
          <w:iCs/>
        </w:rPr>
        <w:t>el</w:t>
      </w:r>
      <w:r w:rsidR="002F49D3" w:rsidRPr="002F49D3">
        <w:rPr>
          <w:iCs/>
        </w:rPr>
        <w:t xml:space="preserve"> </w:t>
      </w:r>
      <w:r w:rsidR="002F49D3" w:rsidRPr="002F49D3">
        <w:t>soddisfa</w:t>
      </w:r>
      <w:r w:rsidR="002F49D3">
        <w:t>cimento de</w:t>
      </w:r>
      <w:r w:rsidR="002F49D3" w:rsidRPr="002F49D3">
        <w:t>gli obblighi di trasparenza, imparzialità e </w:t>
      </w:r>
      <w:r w:rsidR="002F49D3" w:rsidRPr="002F49D3">
        <w:rPr>
          <w:i/>
          <w:iCs/>
        </w:rPr>
        <w:t>par condicio</w:t>
      </w:r>
      <w:r w:rsidR="002F49D3">
        <w:rPr>
          <w:iCs/>
        </w:rPr>
        <w:t xml:space="preserve"> richiesti dalla normativa sovranazionale.</w:t>
      </w:r>
    </w:p>
    <w:p w:rsidR="00E35B66" w:rsidRPr="002F49D3" w:rsidRDefault="00AB2583" w:rsidP="008E76C8">
      <w:pPr>
        <w:spacing w:line="360" w:lineRule="auto"/>
        <w:ind w:left="284" w:right="282"/>
        <w:jc w:val="both"/>
      </w:pPr>
      <w:r>
        <w:t>Viceversa, per l</w:t>
      </w:r>
      <w:r w:rsidR="0019469A">
        <w:t>a terza tipologia di beni</w:t>
      </w:r>
      <w:r w:rsidR="002F49D3">
        <w:t xml:space="preserve"> </w:t>
      </w:r>
      <w:r w:rsidR="0019469A">
        <w:t xml:space="preserve">si </w:t>
      </w:r>
      <w:r w:rsidR="002F49D3">
        <w:t>potrebbe</w:t>
      </w:r>
      <w:r w:rsidR="0019469A">
        <w:t xml:space="preserve"> </w:t>
      </w:r>
      <w:r w:rsidR="002F49D3">
        <w:t>valorizzar</w:t>
      </w:r>
      <w:r w:rsidR="0019469A">
        <w:t>e</w:t>
      </w:r>
      <w:r w:rsidR="002F49D3">
        <w:t xml:space="preserve"> quanto affermato dalla </w:t>
      </w:r>
      <w:r w:rsidR="00E35B66" w:rsidRPr="002F49D3">
        <w:t>Corte costituzionale nell</w:t>
      </w:r>
      <w:r w:rsidR="002F49D3">
        <w:t>e</w:t>
      </w:r>
      <w:r w:rsidR="00E35B66" w:rsidRPr="002F49D3">
        <w:t xml:space="preserve"> sentenz</w:t>
      </w:r>
      <w:r w:rsidR="002F49D3">
        <w:t>e</w:t>
      </w:r>
      <w:r w:rsidR="00E35B66" w:rsidRPr="002F49D3">
        <w:t xml:space="preserve"> n. 131/2020</w:t>
      </w:r>
      <w:r w:rsidR="002F49D3">
        <w:t xml:space="preserve"> e n. </w:t>
      </w:r>
      <w:r w:rsidR="002F49D3" w:rsidRPr="002F49D3">
        <w:t>218/2021</w:t>
      </w:r>
      <w:r w:rsidR="00E35B66" w:rsidRPr="002F49D3">
        <w:t>, sui</w:t>
      </w:r>
      <w:r w:rsidR="002F49D3">
        <w:t xml:space="preserve"> </w:t>
      </w:r>
      <w:r w:rsidR="00E35B66" w:rsidRPr="002F49D3">
        <w:t>rapporti tra tutela della concorrenza</w:t>
      </w:r>
      <w:r w:rsidR="002F49D3">
        <w:t xml:space="preserve"> </w:t>
      </w:r>
      <w:r w:rsidR="00E35B66" w:rsidRPr="002F49D3">
        <w:t>e</w:t>
      </w:r>
      <w:r w:rsidR="002F49D3">
        <w:t xml:space="preserve"> raggiungimento degli obiettivi di</w:t>
      </w:r>
      <w:r w:rsidR="00E35B66" w:rsidRPr="002F49D3">
        <w:t xml:space="preserve"> solidariet</w:t>
      </w:r>
      <w:r w:rsidR="00E35B66" w:rsidRPr="002F49D3">
        <w:rPr>
          <w:rFonts w:hint="eastAsia"/>
        </w:rPr>
        <w:t>à</w:t>
      </w:r>
      <w:r w:rsidR="00E35B66" w:rsidRPr="002F49D3">
        <w:t>/sussidiariet</w:t>
      </w:r>
      <w:r w:rsidR="00E35B66" w:rsidRPr="002F49D3">
        <w:rPr>
          <w:rFonts w:hint="eastAsia"/>
        </w:rPr>
        <w:t>à</w:t>
      </w:r>
      <w:r w:rsidR="002F49D3">
        <w:t xml:space="preserve"> orizzontale, </w:t>
      </w:r>
      <w:r w:rsidR="00EF11D0">
        <w:t>e cioè che l</w:t>
      </w:r>
      <w:r w:rsidR="00E35B66" w:rsidRPr="002F49D3">
        <w:t xml:space="preserve">a concorrenza </w:t>
      </w:r>
      <w:r w:rsidR="00E35B66" w:rsidRPr="002F49D3">
        <w:rPr>
          <w:rFonts w:hint="eastAsia"/>
        </w:rPr>
        <w:t>è</w:t>
      </w:r>
      <w:r w:rsidR="00E35B66" w:rsidRPr="002F49D3">
        <w:t xml:space="preserve"> uno strumento </w:t>
      </w:r>
      <w:r w:rsidR="00302BF7">
        <w:t xml:space="preserve">e non fine </w:t>
      </w:r>
      <w:r w:rsidR="00E35B66" w:rsidRPr="002F49D3">
        <w:t>e</w:t>
      </w:r>
      <w:r w:rsidR="00302BF7">
        <w:t>, come tale,</w:t>
      </w:r>
      <w:r w:rsidR="00E35B66" w:rsidRPr="002F49D3">
        <w:t xml:space="preserve"> pu</w:t>
      </w:r>
      <w:r w:rsidR="00E35B66" w:rsidRPr="002F49D3">
        <w:rPr>
          <w:rFonts w:hint="eastAsia"/>
        </w:rPr>
        <w:t>ò</w:t>
      </w:r>
      <w:r w:rsidR="002F49D3">
        <w:t xml:space="preserve"> </w:t>
      </w:r>
      <w:r w:rsidR="00E35B66" w:rsidRPr="002F49D3">
        <w:t xml:space="preserve">essere </w:t>
      </w:r>
      <w:r w:rsidR="002F49D3">
        <w:t xml:space="preserve">sacrificato in </w:t>
      </w:r>
      <w:r w:rsidR="00D5623D">
        <w:t>vista</w:t>
      </w:r>
      <w:r w:rsidR="002F49D3">
        <w:t xml:space="preserve"> d</w:t>
      </w:r>
      <w:r w:rsidR="00E35B66" w:rsidRPr="002F49D3">
        <w:t>i interessi superiori</w:t>
      </w:r>
      <w:r w:rsidR="002F49D3">
        <w:t xml:space="preserve"> </w:t>
      </w:r>
      <w:r w:rsidR="00E35B66" w:rsidRPr="002F49D3">
        <w:t>da realizzare</w:t>
      </w:r>
      <w:r w:rsidR="002F49D3">
        <w:t>.</w:t>
      </w:r>
    </w:p>
    <w:p w:rsidR="0019469A" w:rsidRDefault="0019469A" w:rsidP="008E76C8">
      <w:pPr>
        <w:spacing w:line="360" w:lineRule="auto"/>
        <w:ind w:left="284" w:right="282"/>
        <w:jc w:val="both"/>
      </w:pPr>
      <w:r w:rsidRPr="0019469A">
        <w:t>Tra quest</w:t>
      </w:r>
      <w:r w:rsidR="00D5623D">
        <w:t>i beni</w:t>
      </w:r>
      <w:r w:rsidR="00112F1C" w:rsidRPr="0019469A">
        <w:t xml:space="preserve"> </w:t>
      </w:r>
      <w:r w:rsidRPr="0019469A">
        <w:t xml:space="preserve">potrebbero essere </w:t>
      </w:r>
      <w:r w:rsidR="001E62D7">
        <w:t>inclusi quelli da affidare</w:t>
      </w:r>
      <w:r w:rsidRPr="0019469A">
        <w:t xml:space="preserve"> </w:t>
      </w:r>
      <w:r w:rsidR="001E62D7">
        <w:t xml:space="preserve">con </w:t>
      </w:r>
      <w:r w:rsidR="00112F1C" w:rsidRPr="0019469A">
        <w:t>concessioni demaniali per finalità sportive</w:t>
      </w:r>
      <w:r w:rsidR="000332F2">
        <w:t xml:space="preserve"> dilettantistiche,</w:t>
      </w:r>
      <w:r>
        <w:t xml:space="preserve"> </w:t>
      </w:r>
      <w:r w:rsidR="00302BF7">
        <w:t>le quali ultime</w:t>
      </w:r>
      <w:r w:rsidR="006405D8">
        <w:t xml:space="preserve">, </w:t>
      </w:r>
      <w:r w:rsidR="00D5623D">
        <w:t>pur</w:t>
      </w:r>
      <w:r>
        <w:t xml:space="preserve"> </w:t>
      </w:r>
      <w:r w:rsidR="00E902AF">
        <w:t>r</w:t>
      </w:r>
      <w:r w:rsidR="00F13BD4">
        <w:t>ientran</w:t>
      </w:r>
      <w:r w:rsidR="00D5623D">
        <w:t>d</w:t>
      </w:r>
      <w:r w:rsidR="00F13BD4">
        <w:t xml:space="preserve">o </w:t>
      </w:r>
      <w:r w:rsidR="00302BF7">
        <w:t>tra le</w:t>
      </w:r>
      <w:r w:rsidR="00F13BD4" w:rsidRPr="00F13BD4">
        <w:t xml:space="preserve"> concession</w:t>
      </w:r>
      <w:r w:rsidR="00302BF7">
        <w:t>i</w:t>
      </w:r>
      <w:r w:rsidR="00F13BD4" w:rsidRPr="00F13BD4">
        <w:t xml:space="preserve"> di beni demaniali marittimi con finalità turistico-ricreative </w:t>
      </w:r>
      <w:r w:rsidR="006405D8">
        <w:t>(</w:t>
      </w:r>
      <w:r w:rsidR="00F13BD4" w:rsidRPr="00F13BD4">
        <w:t>ai sensi dell</w:t>
      </w:r>
      <w:r w:rsidR="000B297D">
        <w:t>’</w:t>
      </w:r>
      <w:r w:rsidR="00F13BD4" w:rsidRPr="00F13BD4">
        <w:t>art. 1, d</w:t>
      </w:r>
      <w:r>
        <w:t>el decreto-legge</w:t>
      </w:r>
      <w:r w:rsidR="00F13BD4" w:rsidRPr="00F13BD4">
        <w:t xml:space="preserve"> n. 400/1993</w:t>
      </w:r>
      <w:r w:rsidR="006405D8">
        <w:t>)</w:t>
      </w:r>
      <w:r>
        <w:t xml:space="preserve">, </w:t>
      </w:r>
      <w:r w:rsidR="00D5623D">
        <w:t>sono caratterizzate</w:t>
      </w:r>
      <w:r w:rsidR="00F13BD4" w:rsidRPr="00112F1C">
        <w:t xml:space="preserve"> </w:t>
      </w:r>
      <w:r w:rsidR="00D5623D">
        <w:t xml:space="preserve">da </w:t>
      </w:r>
      <w:r>
        <w:t>un interesse di carattere pubblicistico</w:t>
      </w:r>
      <w:r w:rsidR="00680212">
        <w:t>,</w:t>
      </w:r>
      <w:r>
        <w:t xml:space="preserve"> sotteso all</w:t>
      </w:r>
      <w:r w:rsidR="00680212">
        <w:t xml:space="preserve">’utilità collettiva dello </w:t>
      </w:r>
      <w:r>
        <w:t>svolgimento dell’attività sportiva.</w:t>
      </w:r>
    </w:p>
    <w:p w:rsidR="005813EB" w:rsidRDefault="0019469A" w:rsidP="008E76C8">
      <w:pPr>
        <w:spacing w:line="360" w:lineRule="auto"/>
        <w:ind w:left="284" w:right="282"/>
        <w:jc w:val="both"/>
      </w:pPr>
      <w:r>
        <w:t xml:space="preserve">Ciò si </w:t>
      </w:r>
      <w:r w:rsidR="00D5623D">
        <w:t>evince</w:t>
      </w:r>
      <w:r w:rsidR="00F13BD4" w:rsidRPr="00112F1C">
        <w:t xml:space="preserve"> </w:t>
      </w:r>
      <w:r w:rsidR="00302BF7">
        <w:t xml:space="preserve">invero </w:t>
      </w:r>
      <w:r w:rsidR="0014294E">
        <w:t xml:space="preserve">dall’esistenza di disposizioni normative puntuali, </w:t>
      </w:r>
      <w:r w:rsidR="005813EB">
        <w:t>quali</w:t>
      </w:r>
      <w:r w:rsidR="0014294E">
        <w:t xml:space="preserve"> </w:t>
      </w:r>
      <w:r w:rsidR="00F13BD4" w:rsidRPr="00112F1C">
        <w:t>l</w:t>
      </w:r>
      <w:r w:rsidR="000B297D">
        <w:t>’</w:t>
      </w:r>
      <w:r w:rsidR="00F13BD4" w:rsidRPr="00112F1C">
        <w:t>applicazione di canoni ridotti</w:t>
      </w:r>
      <w:r w:rsidR="00F13BD4">
        <w:t xml:space="preserve"> di </w:t>
      </w:r>
      <w:r>
        <w:t>natur</w:t>
      </w:r>
      <w:r w:rsidR="00F13BD4">
        <w:t>a</w:t>
      </w:r>
      <w:r w:rsidR="00F13BD4" w:rsidRPr="00112F1C">
        <w:t xml:space="preserve"> meramente </w:t>
      </w:r>
      <w:r w:rsidR="00F13BD4">
        <w:t>ricognit</w:t>
      </w:r>
      <w:r w:rsidR="00302BF7">
        <w:t>iv</w:t>
      </w:r>
      <w:r w:rsidR="00F13BD4">
        <w:t>a</w:t>
      </w:r>
      <w:r>
        <w:t xml:space="preserve"> o </w:t>
      </w:r>
      <w:r w:rsidR="005813EB">
        <w:t>quali</w:t>
      </w:r>
      <w:r w:rsidR="0014294E">
        <w:t xml:space="preserve"> </w:t>
      </w:r>
      <w:r w:rsidR="00F13BD4" w:rsidRPr="00F13BD4">
        <w:t>l</w:t>
      </w:r>
      <w:r w:rsidR="000B297D">
        <w:t>’</w:t>
      </w:r>
      <w:hyperlink r:id="rId7" w:anchor="/ricerca/fonti_documento?idDatabank=7&amp;idDocMaster=3949380&amp;idUnitaDoc=20161176&amp;nVigUnitaDoc=1&amp;docIdx=1&amp;isCorrelazioniSearch=true&amp;correlatoA=Giurisprudenza" w:history="1">
        <w:r w:rsidR="00F13BD4" w:rsidRPr="00F13BD4">
          <w:t xml:space="preserve">art. 90, comma 25, </w:t>
        </w:r>
        <w:r w:rsidR="00D5623D">
          <w:t xml:space="preserve">della </w:t>
        </w:r>
        <w:r w:rsidR="00F13BD4" w:rsidRPr="00F13BD4">
          <w:t>l</w:t>
        </w:r>
        <w:r w:rsidR="00D5623D">
          <w:t>egge</w:t>
        </w:r>
        <w:r w:rsidR="00F13BD4" w:rsidRPr="00F13BD4">
          <w:t xml:space="preserve"> 27 dicembre 2002</w:t>
        </w:r>
        <w:r w:rsidR="00D5623D">
          <w:t>,</w:t>
        </w:r>
        <w:r w:rsidR="00F13BD4" w:rsidRPr="00F13BD4">
          <w:t xml:space="preserve"> n. 289</w:t>
        </w:r>
      </w:hyperlink>
      <w:r w:rsidR="00F13BD4" w:rsidRPr="00F13BD4">
        <w:t xml:space="preserve"> (ora, art. 6, commi 2 e 3, d.lgs. n. 38/2011), </w:t>
      </w:r>
      <w:r>
        <w:t xml:space="preserve">secondo cui </w:t>
      </w:r>
      <w:r w:rsidR="00F13BD4" w:rsidRPr="00F13BD4">
        <w:t>l</w:t>
      </w:r>
      <w:r w:rsidR="000B297D">
        <w:t>’</w:t>
      </w:r>
      <w:r w:rsidR="00F13BD4" w:rsidRPr="00F13BD4">
        <w:t>affidamento d</w:t>
      </w:r>
      <w:r w:rsidR="00871F81">
        <w:t>egl</w:t>
      </w:r>
      <w:r w:rsidR="00F13BD4" w:rsidRPr="00F13BD4">
        <w:t>i impianti sportivi che l</w:t>
      </w:r>
      <w:r w:rsidR="000B297D">
        <w:t>’</w:t>
      </w:r>
      <w:r w:rsidR="00F13BD4" w:rsidRPr="00F13BD4">
        <w:t>ente pubblico territoriale non intend</w:t>
      </w:r>
      <w:r w:rsidR="00E902AF">
        <w:t>e</w:t>
      </w:r>
      <w:r w:rsidR="00F13BD4" w:rsidRPr="00F13BD4">
        <w:t xml:space="preserve"> gestire direttamente </w:t>
      </w:r>
      <w:r>
        <w:t xml:space="preserve">dev’essere disposto </w:t>
      </w:r>
      <w:r w:rsidR="00871F81">
        <w:t>–</w:t>
      </w:r>
      <w:r>
        <w:t xml:space="preserve"> previ</w:t>
      </w:r>
      <w:r w:rsidR="00F13BD4" w:rsidRPr="00F13BD4">
        <w:t>a stipula di convenzioni</w:t>
      </w:r>
      <w:r>
        <w:t xml:space="preserve"> ed</w:t>
      </w:r>
      <w:r w:rsidR="00F13BD4" w:rsidRPr="00F13BD4">
        <w:t xml:space="preserve"> all</w:t>
      </w:r>
      <w:r w:rsidR="000B297D">
        <w:t>’</w:t>
      </w:r>
      <w:r w:rsidR="00F13BD4" w:rsidRPr="00F13BD4">
        <w:t xml:space="preserve">esito </w:t>
      </w:r>
      <w:r w:rsidR="00871F81">
        <w:t>di una procedura di affidamento –</w:t>
      </w:r>
      <w:r>
        <w:t xml:space="preserve"> </w:t>
      </w:r>
      <w:r w:rsidR="00F13BD4" w:rsidRPr="00F13BD4">
        <w:t>«</w:t>
      </w:r>
      <w:r w:rsidR="00F13BD4">
        <w:t>in via preferenziale</w:t>
      </w:r>
      <w:r w:rsidR="00F13BD4" w:rsidRPr="00F13BD4">
        <w:t xml:space="preserve">» </w:t>
      </w:r>
      <w:r w:rsidR="00D5623D">
        <w:t>in f</w:t>
      </w:r>
      <w:r w:rsidR="00F13BD4" w:rsidRPr="00F13BD4">
        <w:t>a</w:t>
      </w:r>
      <w:r w:rsidR="00D5623D">
        <w:t>vore di</w:t>
      </w:r>
      <w:r w:rsidR="00F13BD4" w:rsidRPr="00F13BD4">
        <w:t xml:space="preserve"> società e associazioni </w:t>
      </w:r>
      <w:r w:rsidR="00F13BD4">
        <w:t>sportive</w:t>
      </w:r>
      <w:r w:rsidR="00F13BD4" w:rsidRPr="00F13BD4">
        <w:t> dilettantistiche, enti di promozione sportiva, discipline </w:t>
      </w:r>
      <w:r w:rsidR="00F13BD4">
        <w:t>sportive</w:t>
      </w:r>
      <w:r w:rsidR="00F13BD4" w:rsidRPr="00F13BD4">
        <w:t> associate e federazioni </w:t>
      </w:r>
      <w:r w:rsidR="00F13BD4">
        <w:t>sportive</w:t>
      </w:r>
      <w:r w:rsidR="00F13BD4" w:rsidRPr="00F13BD4">
        <w:t> nazionali</w:t>
      </w:r>
      <w:r w:rsidR="00F13BD4">
        <w:t xml:space="preserve"> (</w:t>
      </w:r>
      <w:r w:rsidR="00871F81">
        <w:t xml:space="preserve">cfr. </w:t>
      </w:r>
      <w:r w:rsidR="00871F81" w:rsidRPr="00871F81">
        <w:t>Cons</w:t>
      </w:r>
      <w:r w:rsidR="00871F81">
        <w:t>.</w:t>
      </w:r>
      <w:r w:rsidR="00871F81" w:rsidRPr="00871F81">
        <w:t xml:space="preserve"> Stato</w:t>
      </w:r>
      <w:r w:rsidR="00871F81">
        <w:t>,</w:t>
      </w:r>
      <w:r w:rsidR="00871F81" w:rsidRPr="00871F81">
        <w:t xml:space="preserve"> </w:t>
      </w:r>
      <w:r w:rsidR="00871F81">
        <w:t>S</w:t>
      </w:r>
      <w:r w:rsidR="00871F81" w:rsidRPr="00871F81">
        <w:t>ez. V, 28/01/2021, n.</w:t>
      </w:r>
      <w:r w:rsidR="00871F81">
        <w:t xml:space="preserve"> </w:t>
      </w:r>
      <w:r w:rsidR="00871F81" w:rsidRPr="00871F81">
        <w:t>858</w:t>
      </w:r>
      <w:r w:rsidR="00871F81">
        <w:t xml:space="preserve">; </w:t>
      </w:r>
      <w:r w:rsidR="00F13BD4" w:rsidRPr="00F13BD4">
        <w:t>T.A.R. Campania</w:t>
      </w:r>
      <w:r w:rsidR="00F13BD4">
        <w:t>,</w:t>
      </w:r>
      <w:r w:rsidR="00F13BD4" w:rsidRPr="00F13BD4">
        <w:t xml:space="preserve"> Napoli, </w:t>
      </w:r>
      <w:r w:rsidR="00F13BD4">
        <w:t>S</w:t>
      </w:r>
      <w:r w:rsidR="00F13BD4" w:rsidRPr="00F13BD4">
        <w:t>ez. VII, 18/11/2022, n.</w:t>
      </w:r>
      <w:r w:rsidR="00F13BD4">
        <w:t xml:space="preserve"> </w:t>
      </w:r>
      <w:r w:rsidR="00F13BD4" w:rsidRPr="00F13BD4">
        <w:t>7130</w:t>
      </w:r>
      <w:r w:rsidR="00F13BD4">
        <w:t>).</w:t>
      </w:r>
    </w:p>
    <w:p w:rsidR="00C51FBF" w:rsidRPr="00C51FBF" w:rsidRDefault="005813EB" w:rsidP="008E76C8">
      <w:pPr>
        <w:spacing w:line="360" w:lineRule="auto"/>
        <w:ind w:left="284" w:right="282"/>
        <w:jc w:val="both"/>
      </w:pPr>
      <w:r>
        <w:t>A tal</w:t>
      </w:r>
      <w:r w:rsidR="0019469A">
        <w:t xml:space="preserve"> proposito, si richiama anche</w:t>
      </w:r>
      <w:r w:rsidR="00C51FBF">
        <w:t xml:space="preserve"> </w:t>
      </w:r>
      <w:r w:rsidR="00C51FBF" w:rsidRPr="00C51FBF">
        <w:t>la delibera ANAC n. 1300 del 14 dicembre 2016</w:t>
      </w:r>
      <w:r w:rsidR="0019469A">
        <w:t xml:space="preserve">, </w:t>
      </w:r>
      <w:r w:rsidR="00D83820">
        <w:t xml:space="preserve">nella parte in cui </w:t>
      </w:r>
      <w:r w:rsidR="0019469A">
        <w:t>tratta dell’</w:t>
      </w:r>
      <w:r w:rsidR="00C51FBF" w:rsidRPr="00C51FBF">
        <w:t>affidamento d</w:t>
      </w:r>
      <w:r w:rsidR="0019469A">
        <w:t>egl</w:t>
      </w:r>
      <w:r w:rsidR="00C51FBF" w:rsidRPr="00C51FBF">
        <w:t xml:space="preserve">i impianti </w:t>
      </w:r>
      <w:r w:rsidR="0019469A" w:rsidRPr="00C51FBF">
        <w:t>sportivi</w:t>
      </w:r>
      <w:r w:rsidR="00C51FBF" w:rsidRPr="00C51FBF">
        <w:t>.</w:t>
      </w:r>
    </w:p>
    <w:p w:rsidR="00F13BD4" w:rsidRDefault="001C4FD4" w:rsidP="008E76C8">
      <w:pPr>
        <w:spacing w:line="360" w:lineRule="auto"/>
        <w:ind w:left="284" w:right="282"/>
        <w:jc w:val="both"/>
      </w:pPr>
      <w:r>
        <w:t>Tale</w:t>
      </w:r>
      <w:r w:rsidR="00871F81">
        <w:t xml:space="preserve"> </w:t>
      </w:r>
      <w:r w:rsidR="00B05172">
        <w:t xml:space="preserve">peculiare situazione </w:t>
      </w:r>
      <w:r w:rsidR="00871F81">
        <w:t xml:space="preserve">è </w:t>
      </w:r>
      <w:r w:rsidR="00D5623D">
        <w:t>per altro</w:t>
      </w:r>
      <w:r w:rsidR="0019469A">
        <w:t xml:space="preserve"> </w:t>
      </w:r>
      <w:r w:rsidR="00B05172">
        <w:t xml:space="preserve">valutata </w:t>
      </w:r>
      <w:r w:rsidR="004E62FE">
        <w:t xml:space="preserve">al </w:t>
      </w:r>
      <w:r w:rsidR="004E62FE" w:rsidRPr="00112F1C">
        <w:t>considerando 35</w:t>
      </w:r>
      <w:r w:rsidR="004E62FE">
        <w:t xml:space="preserve"> d</w:t>
      </w:r>
      <w:r w:rsidR="00871F81">
        <w:t>ell</w:t>
      </w:r>
      <w:r w:rsidR="00112F1C" w:rsidRPr="00112F1C">
        <w:t>a direttiva Bolkestein</w:t>
      </w:r>
      <w:r w:rsidR="00871F81">
        <w:t>, dove si prevede che</w:t>
      </w:r>
      <w:r w:rsidR="00112F1C" w:rsidRPr="00112F1C">
        <w:t xml:space="preserve"> </w:t>
      </w:r>
      <w:r w:rsidR="00C51FBF">
        <w:t>“</w:t>
      </w:r>
      <w:r w:rsidR="00112F1C" w:rsidRPr="00C51FBF">
        <w:rPr>
          <w:i/>
        </w:rPr>
        <w:t>le attività sportive amatoriali senza scopo di lucro rivestono una notevole importanza sociale. Tali attività perseguono spesso finalità esclusivamente sociali o ricreative. Pertanto, esse non possono costituire un</w:t>
      </w:r>
      <w:r w:rsidR="000B297D">
        <w:rPr>
          <w:i/>
        </w:rPr>
        <w:t>’</w:t>
      </w:r>
      <w:r w:rsidR="00112F1C" w:rsidRPr="00C51FBF">
        <w:rPr>
          <w:i/>
        </w:rPr>
        <w:t>attività economica ai sensi del diritto comunitario e non dovrebbero rientrare nel campo di applicazione della presente direttiva</w:t>
      </w:r>
      <w:r w:rsidR="00C51FBF">
        <w:t>”</w:t>
      </w:r>
      <w:r w:rsidR="00112F1C" w:rsidRPr="00112F1C">
        <w:t>.</w:t>
      </w:r>
      <w:r w:rsidR="0019469A">
        <w:t xml:space="preserve"> </w:t>
      </w:r>
      <w:r w:rsidR="004E62FE">
        <w:t>Le stesse</w:t>
      </w:r>
      <w:r w:rsidR="00601885">
        <w:t xml:space="preserve"> ben</w:t>
      </w:r>
      <w:r w:rsidR="004E62FE">
        <w:t xml:space="preserve"> </w:t>
      </w:r>
      <w:r w:rsidR="0019469A">
        <w:t>pot</w:t>
      </w:r>
      <w:r w:rsidR="00C51FBF">
        <w:t>rebbero rientrare, quindi, tra i servizi non economici d</w:t>
      </w:r>
      <w:r w:rsidR="000B297D">
        <w:t>’</w:t>
      </w:r>
      <w:r w:rsidR="00C51FBF">
        <w:t>interesse generale, cui la direttiva non si applica</w:t>
      </w:r>
      <w:r w:rsidR="004E62FE">
        <w:t>,</w:t>
      </w:r>
      <w:r w:rsidR="00C51FBF">
        <w:t xml:space="preserve"> </w:t>
      </w:r>
      <w:r w:rsidR="00C51FBF" w:rsidRPr="0019469A">
        <w:rPr>
          <w:i/>
        </w:rPr>
        <w:t>ex</w:t>
      </w:r>
      <w:r w:rsidR="00C51FBF">
        <w:t xml:space="preserve"> art. 2</w:t>
      </w:r>
      <w:r w:rsidR="00302BF7">
        <w:t xml:space="preserve"> della stessa</w:t>
      </w:r>
      <w:r w:rsidR="00C51FBF">
        <w:t>.</w:t>
      </w:r>
    </w:p>
    <w:p w:rsidR="00D5623D" w:rsidRDefault="00D5623D" w:rsidP="008E76C8">
      <w:pPr>
        <w:spacing w:line="360" w:lineRule="auto"/>
        <w:ind w:left="284" w:right="282"/>
        <w:jc w:val="both"/>
      </w:pPr>
    </w:p>
    <w:p w:rsidR="00101125" w:rsidRDefault="00101125" w:rsidP="008E76C8">
      <w:pPr>
        <w:spacing w:line="360" w:lineRule="auto"/>
        <w:ind w:left="284" w:right="282"/>
        <w:jc w:val="both"/>
      </w:pPr>
      <w:r w:rsidRPr="00101125">
        <w:t>(*)</w:t>
      </w:r>
      <w:r>
        <w:t xml:space="preserve"> Relazione resa al convegno “</w:t>
      </w:r>
      <w:r w:rsidRPr="00601885">
        <w:rPr>
          <w:i/>
          <w:iCs/>
        </w:rPr>
        <w:t>ASD e Concessioni demaniali marittime - Lo scoglio della Bolkestein e le opportune correzioni di rotta</w:t>
      </w:r>
      <w:r>
        <w:t xml:space="preserve">”, organizzato ad </w:t>
      </w:r>
      <w:r w:rsidRPr="00101125">
        <w:t>Ischia</w:t>
      </w:r>
      <w:r w:rsidR="00D20146">
        <w:t>,</w:t>
      </w:r>
      <w:r w:rsidRPr="00101125">
        <w:t xml:space="preserve"> </w:t>
      </w:r>
      <w:r>
        <w:t>il</w:t>
      </w:r>
      <w:r w:rsidRPr="00101125">
        <w:t xml:space="preserve"> 14</w:t>
      </w:r>
      <w:r>
        <w:t xml:space="preserve"> giugno </w:t>
      </w:r>
      <w:r w:rsidRPr="00101125">
        <w:t>2023</w:t>
      </w:r>
      <w:r>
        <w:t>.</w:t>
      </w:r>
    </w:p>
    <w:p w:rsidR="00101125" w:rsidRDefault="00101125" w:rsidP="00673D10">
      <w:pPr>
        <w:spacing w:line="240" w:lineRule="atLeast"/>
        <w:ind w:left="284" w:right="284"/>
        <w:jc w:val="right"/>
      </w:pPr>
      <w:bookmarkStart w:id="0" w:name="_GoBack"/>
    </w:p>
    <w:p w:rsidR="00101125" w:rsidRPr="00673D10" w:rsidRDefault="00101125" w:rsidP="00673D10">
      <w:pPr>
        <w:spacing w:line="240" w:lineRule="atLeast"/>
        <w:ind w:left="5948" w:right="284" w:firstLine="424"/>
        <w:jc w:val="right"/>
        <w:rPr>
          <w:b/>
        </w:rPr>
      </w:pPr>
      <w:r w:rsidRPr="00673D10">
        <w:rPr>
          <w:b/>
        </w:rPr>
        <w:t>Nicola Durante</w:t>
      </w:r>
    </w:p>
    <w:p w:rsidR="00101125" w:rsidRPr="00101125" w:rsidRDefault="00101125" w:rsidP="00673D10">
      <w:pPr>
        <w:spacing w:line="240" w:lineRule="atLeast"/>
        <w:ind w:left="5524" w:right="284" w:firstLine="424"/>
        <w:jc w:val="right"/>
      </w:pPr>
      <w:r>
        <w:t xml:space="preserve"> Pres. Sez. TAR Salerno</w:t>
      </w:r>
    </w:p>
    <w:bookmarkEnd w:id="0"/>
    <w:p w:rsidR="00101125" w:rsidRDefault="00101125" w:rsidP="008E76C8">
      <w:pPr>
        <w:spacing w:line="360" w:lineRule="auto"/>
        <w:ind w:left="284" w:right="282"/>
        <w:jc w:val="both"/>
      </w:pPr>
    </w:p>
    <w:p w:rsidR="00673D10" w:rsidRPr="00552C12" w:rsidRDefault="00673D10" w:rsidP="00673D10">
      <w:pPr>
        <w:spacing w:line="360" w:lineRule="auto"/>
        <w:ind w:left="284" w:right="282"/>
        <w:jc w:val="right"/>
      </w:pPr>
      <w:r>
        <w:t>Pubblicato il 30 giugno 2023</w:t>
      </w:r>
    </w:p>
    <w:sectPr w:rsidR="00673D10" w:rsidRPr="00552C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3DA" w:rsidRDefault="000833DA" w:rsidP="00ED7629">
      <w:pPr>
        <w:spacing w:after="0" w:line="240" w:lineRule="auto"/>
      </w:pPr>
      <w:r>
        <w:separator/>
      </w:r>
    </w:p>
  </w:endnote>
  <w:endnote w:type="continuationSeparator" w:id="0">
    <w:p w:rsidR="000833DA" w:rsidRDefault="000833DA" w:rsidP="00ED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3DA" w:rsidRDefault="000833DA" w:rsidP="00ED7629">
      <w:pPr>
        <w:spacing w:after="0" w:line="240" w:lineRule="auto"/>
      </w:pPr>
      <w:r>
        <w:separator/>
      </w:r>
    </w:p>
  </w:footnote>
  <w:footnote w:type="continuationSeparator" w:id="0">
    <w:p w:rsidR="000833DA" w:rsidRDefault="000833DA" w:rsidP="00ED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85DB8"/>
    <w:multiLevelType w:val="multilevel"/>
    <w:tmpl w:val="B9489D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29"/>
    <w:rsid w:val="00005DB5"/>
    <w:rsid w:val="000332F2"/>
    <w:rsid w:val="000352F5"/>
    <w:rsid w:val="000833DA"/>
    <w:rsid w:val="000B297D"/>
    <w:rsid w:val="00101125"/>
    <w:rsid w:val="00112F1C"/>
    <w:rsid w:val="0014294E"/>
    <w:rsid w:val="00190713"/>
    <w:rsid w:val="0019469A"/>
    <w:rsid w:val="001C4FD4"/>
    <w:rsid w:val="001E62D7"/>
    <w:rsid w:val="002256BE"/>
    <w:rsid w:val="00275DE1"/>
    <w:rsid w:val="00285832"/>
    <w:rsid w:val="002E7D4C"/>
    <w:rsid w:val="002F49D3"/>
    <w:rsid w:val="00302BF7"/>
    <w:rsid w:val="00341E99"/>
    <w:rsid w:val="00371A26"/>
    <w:rsid w:val="00404F6D"/>
    <w:rsid w:val="004E62FE"/>
    <w:rsid w:val="00505437"/>
    <w:rsid w:val="0051753B"/>
    <w:rsid w:val="00552C12"/>
    <w:rsid w:val="005813EB"/>
    <w:rsid w:val="00585CCC"/>
    <w:rsid w:val="00601885"/>
    <w:rsid w:val="006245F1"/>
    <w:rsid w:val="0062578A"/>
    <w:rsid w:val="006405D8"/>
    <w:rsid w:val="00673D10"/>
    <w:rsid w:val="00680212"/>
    <w:rsid w:val="00757C74"/>
    <w:rsid w:val="0087189D"/>
    <w:rsid w:val="00871F81"/>
    <w:rsid w:val="00881505"/>
    <w:rsid w:val="008E2397"/>
    <w:rsid w:val="008E76C8"/>
    <w:rsid w:val="00950401"/>
    <w:rsid w:val="009875EB"/>
    <w:rsid w:val="00990B3F"/>
    <w:rsid w:val="00A750FB"/>
    <w:rsid w:val="00AB2583"/>
    <w:rsid w:val="00B05172"/>
    <w:rsid w:val="00B05A71"/>
    <w:rsid w:val="00B51C20"/>
    <w:rsid w:val="00B9257F"/>
    <w:rsid w:val="00C41A47"/>
    <w:rsid w:val="00C479EA"/>
    <w:rsid w:val="00C51FBF"/>
    <w:rsid w:val="00CF0CFA"/>
    <w:rsid w:val="00D20146"/>
    <w:rsid w:val="00D5623D"/>
    <w:rsid w:val="00D83820"/>
    <w:rsid w:val="00E35B66"/>
    <w:rsid w:val="00E902AF"/>
    <w:rsid w:val="00ED7629"/>
    <w:rsid w:val="00EF11D0"/>
    <w:rsid w:val="00F13BD4"/>
    <w:rsid w:val="00F92E18"/>
    <w:rsid w:val="00FA7E2E"/>
    <w:rsid w:val="00FB1C70"/>
    <w:rsid w:val="00FD5D5E"/>
    <w:rsid w:val="00FE2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33F6"/>
  <w15:chartTrackingRefBased/>
  <w15:docId w15:val="{864E43D6-F31B-49AF-A578-FFCF4B3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76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ED762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D7629"/>
    <w:rPr>
      <w:sz w:val="20"/>
      <w:szCs w:val="20"/>
    </w:rPr>
  </w:style>
  <w:style w:type="character" w:styleId="Rimandonotaapidipagina">
    <w:name w:val="footnote reference"/>
    <w:basedOn w:val="Carpredefinitoparagrafo"/>
    <w:uiPriority w:val="99"/>
    <w:semiHidden/>
    <w:unhideWhenUsed/>
    <w:rsid w:val="00ED7629"/>
    <w:rPr>
      <w:vertAlign w:val="superscript"/>
    </w:rPr>
  </w:style>
  <w:style w:type="character" w:customStyle="1" w:styleId="resultlisthighlightterm">
    <w:name w:val="resultlisthighlightterm"/>
    <w:basedOn w:val="Carpredefinitoparagrafo"/>
    <w:rsid w:val="00F13BD4"/>
  </w:style>
  <w:style w:type="character" w:styleId="Collegamentoipertestuale">
    <w:name w:val="Hyperlink"/>
    <w:basedOn w:val="Carpredefinitoparagrafo"/>
    <w:uiPriority w:val="99"/>
    <w:semiHidden/>
    <w:unhideWhenUsed/>
    <w:rsid w:val="00F13BD4"/>
    <w:rPr>
      <w:color w:val="0000FF"/>
      <w:u w:val="single"/>
    </w:rPr>
  </w:style>
  <w:style w:type="paragraph" w:styleId="NormaleWeb">
    <w:name w:val="Normal (Web)"/>
    <w:basedOn w:val="Normale"/>
    <w:uiPriority w:val="99"/>
    <w:semiHidden/>
    <w:unhideWhenUsed/>
    <w:rsid w:val="00C51F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C51FBF"/>
  </w:style>
  <w:style w:type="character" w:styleId="Enfasicorsivo">
    <w:name w:val="Emphasis"/>
    <w:basedOn w:val="Carpredefinitoparagrafo"/>
    <w:uiPriority w:val="20"/>
    <w:qFormat/>
    <w:rsid w:val="000B297D"/>
    <w:rPr>
      <w:i/>
      <w:iCs/>
    </w:rPr>
  </w:style>
  <w:style w:type="paragraph" w:styleId="Nessunaspaziatura">
    <w:name w:val="No Spacing"/>
    <w:uiPriority w:val="1"/>
    <w:qFormat/>
    <w:rsid w:val="002F4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3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ju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2737</Words>
  <Characters>15604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3</cp:revision>
  <dcterms:created xsi:type="dcterms:W3CDTF">2023-06-30T12:47:00Z</dcterms:created>
  <dcterms:modified xsi:type="dcterms:W3CDTF">2023-06-30T12:48:00Z</dcterms:modified>
</cp:coreProperties>
</file>