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0D52" w:rsidRPr="000E6C4F" w:rsidRDefault="000D27BF" w:rsidP="000E6C4F">
      <w:pPr>
        <w:spacing w:line="360" w:lineRule="auto"/>
        <w:ind w:firstLine="709"/>
        <w:jc w:val="center"/>
        <w:rPr>
          <w:rFonts w:ascii="Times New Roman" w:hAnsi="Times New Roman" w:cs="Times New Roman"/>
          <w:b/>
          <w:sz w:val="40"/>
          <w:szCs w:val="40"/>
        </w:rPr>
      </w:pPr>
      <w:bookmarkStart w:id="0" w:name="_GoBack"/>
      <w:r w:rsidRPr="000E6C4F">
        <w:rPr>
          <w:rFonts w:ascii="Times New Roman" w:hAnsi="Times New Roman" w:cs="Times New Roman"/>
          <w:b/>
          <w:sz w:val="40"/>
          <w:szCs w:val="40"/>
        </w:rPr>
        <w:t>C</w:t>
      </w:r>
      <w:r w:rsidR="000E6C4F" w:rsidRPr="000E6C4F">
        <w:rPr>
          <w:rFonts w:ascii="Times New Roman" w:hAnsi="Times New Roman" w:cs="Times New Roman"/>
          <w:b/>
          <w:sz w:val="40"/>
          <w:szCs w:val="40"/>
        </w:rPr>
        <w:t>oncessioni demaniali marittime: un’ulteriore puntata di una storia infinita</w:t>
      </w:r>
    </w:p>
    <w:bookmarkEnd w:id="0"/>
    <w:p w:rsidR="00C30D52" w:rsidRPr="00D84E17" w:rsidRDefault="00C30D52" w:rsidP="00D84E17">
      <w:pPr>
        <w:spacing w:line="360" w:lineRule="auto"/>
        <w:ind w:firstLine="709"/>
        <w:jc w:val="both"/>
        <w:rPr>
          <w:rFonts w:ascii="Times New Roman" w:hAnsi="Times New Roman" w:cs="Times New Roman"/>
          <w:sz w:val="24"/>
          <w:szCs w:val="24"/>
        </w:rPr>
      </w:pPr>
    </w:p>
    <w:p w:rsidR="009E0E19" w:rsidRPr="009E0E19" w:rsidRDefault="00D84E17" w:rsidP="009E0E19">
      <w:pPr>
        <w:spacing w:line="360" w:lineRule="auto"/>
        <w:ind w:firstLine="709"/>
        <w:jc w:val="both"/>
        <w:rPr>
          <w:rFonts w:ascii="Times New Roman" w:hAnsi="Times New Roman" w:cs="Times New Roman"/>
          <w:b/>
          <w:sz w:val="24"/>
          <w:szCs w:val="24"/>
        </w:rPr>
      </w:pPr>
      <w:r w:rsidRPr="00D84E17">
        <w:rPr>
          <w:rFonts w:ascii="Times New Roman" w:hAnsi="Times New Roman" w:cs="Times New Roman"/>
          <w:b/>
          <w:sz w:val="24"/>
          <w:szCs w:val="24"/>
        </w:rPr>
        <w:t>SOMMARIO: 1. La sentenza della Corte di Giustizia</w:t>
      </w:r>
      <w:r>
        <w:rPr>
          <w:rFonts w:ascii="Times New Roman" w:hAnsi="Times New Roman" w:cs="Times New Roman"/>
          <w:b/>
          <w:sz w:val="24"/>
          <w:szCs w:val="24"/>
        </w:rPr>
        <w:t xml:space="preserve"> dell’Unione Europea (CGUE)</w:t>
      </w:r>
      <w:r w:rsidR="00DC1099">
        <w:rPr>
          <w:rFonts w:ascii="Times New Roman" w:hAnsi="Times New Roman" w:cs="Times New Roman"/>
          <w:b/>
          <w:sz w:val="24"/>
          <w:szCs w:val="24"/>
        </w:rPr>
        <w:t>, sez. III,</w:t>
      </w:r>
      <w:r>
        <w:rPr>
          <w:rFonts w:ascii="Times New Roman" w:hAnsi="Times New Roman" w:cs="Times New Roman"/>
          <w:b/>
          <w:sz w:val="24"/>
          <w:szCs w:val="24"/>
        </w:rPr>
        <w:t xml:space="preserve"> </w:t>
      </w:r>
      <w:r w:rsidRPr="00D84E17">
        <w:rPr>
          <w:rFonts w:ascii="Times New Roman" w:hAnsi="Times New Roman" w:cs="Times New Roman"/>
          <w:b/>
          <w:sz w:val="24"/>
          <w:szCs w:val="24"/>
        </w:rPr>
        <w:t>20 aprile 2023 nella causa C-348/22.</w:t>
      </w:r>
      <w:r w:rsidR="001737B3" w:rsidRPr="001737B3">
        <w:rPr>
          <w:rFonts w:ascii="Times New Roman" w:hAnsi="Times New Roman" w:cs="Times New Roman"/>
          <w:b/>
          <w:sz w:val="24"/>
          <w:szCs w:val="24"/>
        </w:rPr>
        <w:t xml:space="preserve"> </w:t>
      </w:r>
      <w:r w:rsidR="001737B3" w:rsidRPr="004C3142">
        <w:rPr>
          <w:rFonts w:ascii="Times New Roman" w:hAnsi="Times New Roman" w:cs="Times New Roman"/>
          <w:b/>
          <w:sz w:val="24"/>
          <w:szCs w:val="24"/>
        </w:rPr>
        <w:t>2. L’applicabilità dell’art. 12, paragrafi 1 e 2, della direttiva 2006/123/CE.</w:t>
      </w:r>
      <w:r w:rsidR="001737B3" w:rsidRPr="001737B3">
        <w:t xml:space="preserve"> </w:t>
      </w:r>
      <w:r w:rsidR="001737B3" w:rsidRPr="001737B3">
        <w:rPr>
          <w:rFonts w:ascii="Times New Roman" w:hAnsi="Times New Roman" w:cs="Times New Roman"/>
          <w:b/>
          <w:sz w:val="24"/>
          <w:szCs w:val="24"/>
        </w:rPr>
        <w:t xml:space="preserve">3. La scarsità delle risorse. </w:t>
      </w:r>
      <w:r w:rsidR="001737B3" w:rsidRPr="00C345D6">
        <w:rPr>
          <w:rFonts w:ascii="Times New Roman" w:hAnsi="Times New Roman" w:cs="Times New Roman"/>
          <w:b/>
          <w:sz w:val="24"/>
          <w:szCs w:val="24"/>
        </w:rPr>
        <w:t>4. La validità della direttiva 2006/123/CE.</w:t>
      </w:r>
      <w:r w:rsidR="001737B3" w:rsidRPr="001737B3">
        <w:rPr>
          <w:rFonts w:ascii="Times New Roman" w:hAnsi="Times New Roman" w:cs="Times New Roman"/>
          <w:b/>
          <w:sz w:val="24"/>
          <w:szCs w:val="24"/>
        </w:rPr>
        <w:t xml:space="preserve"> </w:t>
      </w:r>
      <w:r w:rsidR="001737B3" w:rsidRPr="00176FDD">
        <w:rPr>
          <w:rFonts w:ascii="Times New Roman" w:hAnsi="Times New Roman" w:cs="Times New Roman"/>
          <w:b/>
          <w:sz w:val="24"/>
          <w:szCs w:val="24"/>
        </w:rPr>
        <w:t xml:space="preserve">5. </w:t>
      </w:r>
      <w:r w:rsidR="001737B3">
        <w:rPr>
          <w:rFonts w:ascii="Times New Roman" w:hAnsi="Times New Roman" w:cs="Times New Roman"/>
          <w:b/>
          <w:sz w:val="24"/>
          <w:szCs w:val="24"/>
        </w:rPr>
        <w:t>Il carattere</w:t>
      </w:r>
      <w:r w:rsidR="001737B3" w:rsidRPr="00176FDD">
        <w:rPr>
          <w:rFonts w:ascii="Times New Roman" w:hAnsi="Times New Roman" w:cs="Times New Roman"/>
          <w:b/>
          <w:sz w:val="24"/>
          <w:szCs w:val="24"/>
        </w:rPr>
        <w:t xml:space="preserve"> self-</w:t>
      </w:r>
      <w:proofErr w:type="spellStart"/>
      <w:r w:rsidR="001737B3" w:rsidRPr="00176FDD">
        <w:rPr>
          <w:rFonts w:ascii="Times New Roman" w:hAnsi="Times New Roman" w:cs="Times New Roman"/>
          <w:b/>
          <w:sz w:val="24"/>
          <w:szCs w:val="24"/>
        </w:rPr>
        <w:t>executing</w:t>
      </w:r>
      <w:proofErr w:type="spellEnd"/>
      <w:r w:rsidR="001737B3" w:rsidRPr="00176FDD">
        <w:rPr>
          <w:rFonts w:ascii="Times New Roman" w:hAnsi="Times New Roman" w:cs="Times New Roman"/>
          <w:b/>
          <w:sz w:val="24"/>
          <w:szCs w:val="24"/>
        </w:rPr>
        <w:t xml:space="preserve"> </w:t>
      </w:r>
      <w:r w:rsidR="001737B3">
        <w:rPr>
          <w:rFonts w:ascii="Times New Roman" w:hAnsi="Times New Roman" w:cs="Times New Roman"/>
          <w:b/>
          <w:sz w:val="24"/>
          <w:szCs w:val="24"/>
        </w:rPr>
        <w:t xml:space="preserve">della </w:t>
      </w:r>
      <w:r w:rsidR="001737B3" w:rsidRPr="00176FDD">
        <w:rPr>
          <w:rFonts w:ascii="Times New Roman" w:hAnsi="Times New Roman" w:cs="Times New Roman"/>
          <w:b/>
          <w:sz w:val="24"/>
          <w:szCs w:val="24"/>
        </w:rPr>
        <w:t>dirett</w:t>
      </w:r>
      <w:r w:rsidR="001737B3">
        <w:rPr>
          <w:rFonts w:ascii="Times New Roman" w:hAnsi="Times New Roman" w:cs="Times New Roman"/>
          <w:b/>
          <w:sz w:val="24"/>
          <w:szCs w:val="24"/>
        </w:rPr>
        <w:t>iva 2006/123/CE</w:t>
      </w:r>
      <w:r w:rsidR="001737B3" w:rsidRPr="00176FDD">
        <w:rPr>
          <w:rFonts w:ascii="Times New Roman" w:hAnsi="Times New Roman" w:cs="Times New Roman"/>
          <w:b/>
          <w:sz w:val="24"/>
          <w:szCs w:val="24"/>
        </w:rPr>
        <w:t>.</w:t>
      </w:r>
      <w:r w:rsidR="001737B3" w:rsidRPr="001737B3">
        <w:rPr>
          <w:rFonts w:ascii="Times New Roman" w:hAnsi="Times New Roman" w:cs="Times New Roman"/>
          <w:b/>
          <w:sz w:val="24"/>
          <w:szCs w:val="24"/>
        </w:rPr>
        <w:t xml:space="preserve"> </w:t>
      </w:r>
      <w:r w:rsidR="001737B3" w:rsidRPr="009F7F14">
        <w:rPr>
          <w:rFonts w:ascii="Times New Roman" w:hAnsi="Times New Roman" w:cs="Times New Roman"/>
          <w:b/>
          <w:sz w:val="24"/>
          <w:szCs w:val="24"/>
        </w:rPr>
        <w:t>6. L’obbligo di disapplicazione.</w:t>
      </w:r>
      <w:r w:rsidR="00B45D2A" w:rsidRPr="00B45D2A">
        <w:rPr>
          <w:rFonts w:ascii="Times New Roman" w:hAnsi="Times New Roman" w:cs="Times New Roman"/>
          <w:b/>
          <w:sz w:val="24"/>
          <w:szCs w:val="24"/>
        </w:rPr>
        <w:t xml:space="preserve"> </w:t>
      </w:r>
      <w:r w:rsidR="00B45D2A" w:rsidRPr="001737B3">
        <w:rPr>
          <w:rFonts w:ascii="Times New Roman" w:hAnsi="Times New Roman" w:cs="Times New Roman"/>
          <w:b/>
          <w:sz w:val="24"/>
          <w:szCs w:val="24"/>
        </w:rPr>
        <w:t xml:space="preserve">7. </w:t>
      </w:r>
      <w:r w:rsidR="00B45D2A">
        <w:rPr>
          <w:rFonts w:ascii="Times New Roman" w:hAnsi="Times New Roman" w:cs="Times New Roman"/>
          <w:b/>
          <w:sz w:val="24"/>
          <w:szCs w:val="24"/>
        </w:rPr>
        <w:t>Problemi giuridici.</w:t>
      </w:r>
      <w:r w:rsidR="00266AB0" w:rsidRPr="00266AB0">
        <w:rPr>
          <w:rFonts w:ascii="Times New Roman" w:hAnsi="Times New Roman" w:cs="Times New Roman"/>
          <w:b/>
          <w:sz w:val="24"/>
          <w:szCs w:val="24"/>
        </w:rPr>
        <w:t xml:space="preserve"> </w:t>
      </w:r>
      <w:r w:rsidR="00266AB0">
        <w:rPr>
          <w:rFonts w:ascii="Times New Roman" w:hAnsi="Times New Roman" w:cs="Times New Roman"/>
          <w:b/>
          <w:sz w:val="24"/>
          <w:szCs w:val="24"/>
        </w:rPr>
        <w:t>8. Problemi non solo giuridici.</w:t>
      </w:r>
      <w:r w:rsidR="00266AB0" w:rsidRPr="00266AB0">
        <w:rPr>
          <w:rFonts w:ascii="Times New Roman" w:hAnsi="Times New Roman" w:cs="Times New Roman"/>
          <w:b/>
          <w:sz w:val="24"/>
          <w:szCs w:val="24"/>
        </w:rPr>
        <w:t xml:space="preserve"> </w:t>
      </w:r>
      <w:r w:rsidR="00266AB0" w:rsidRPr="001505F7">
        <w:rPr>
          <w:rFonts w:ascii="Times New Roman" w:hAnsi="Times New Roman" w:cs="Times New Roman"/>
          <w:b/>
          <w:sz w:val="24"/>
          <w:szCs w:val="24"/>
        </w:rPr>
        <w:t>9. Il nuovo panorama normativo.</w:t>
      </w:r>
      <w:r w:rsidR="00266AB0" w:rsidRPr="00266AB0">
        <w:rPr>
          <w:rFonts w:ascii="Times New Roman" w:hAnsi="Times New Roman" w:cs="Times New Roman"/>
          <w:b/>
          <w:sz w:val="24"/>
          <w:szCs w:val="24"/>
        </w:rPr>
        <w:t xml:space="preserve"> </w:t>
      </w:r>
      <w:r w:rsidR="00266AB0">
        <w:rPr>
          <w:rFonts w:ascii="Times New Roman" w:hAnsi="Times New Roman" w:cs="Times New Roman"/>
          <w:b/>
          <w:sz w:val="24"/>
          <w:szCs w:val="24"/>
        </w:rPr>
        <w:t>10. Conseguenze.</w:t>
      </w:r>
      <w:r w:rsidR="0026194A">
        <w:rPr>
          <w:rFonts w:ascii="Times New Roman" w:hAnsi="Times New Roman" w:cs="Times New Roman"/>
          <w:b/>
          <w:sz w:val="24"/>
          <w:szCs w:val="24"/>
        </w:rPr>
        <w:t xml:space="preserve"> 11. Nel frattempo.</w:t>
      </w:r>
      <w:r w:rsidR="009E0E19" w:rsidRPr="009E0E19">
        <w:rPr>
          <w:rFonts w:ascii="Times New Roman" w:hAnsi="Times New Roman" w:cs="Times New Roman"/>
          <w:b/>
          <w:sz w:val="24"/>
          <w:szCs w:val="24"/>
        </w:rPr>
        <w:t xml:space="preserve"> 12. Considerazioni finali.</w:t>
      </w:r>
    </w:p>
    <w:p w:rsidR="00D84E17" w:rsidRPr="00D84E17" w:rsidRDefault="00D84E17" w:rsidP="00D84E17">
      <w:pPr>
        <w:spacing w:line="360" w:lineRule="auto"/>
        <w:ind w:firstLine="709"/>
        <w:jc w:val="both"/>
        <w:rPr>
          <w:rFonts w:ascii="Times New Roman" w:hAnsi="Times New Roman" w:cs="Times New Roman"/>
          <w:b/>
          <w:sz w:val="24"/>
          <w:szCs w:val="24"/>
        </w:rPr>
      </w:pPr>
    </w:p>
    <w:p w:rsidR="00D84E17" w:rsidRPr="00D84E17" w:rsidRDefault="00D84E17" w:rsidP="00D84E17">
      <w:pPr>
        <w:spacing w:line="360" w:lineRule="auto"/>
        <w:ind w:firstLine="709"/>
        <w:jc w:val="both"/>
        <w:rPr>
          <w:rFonts w:ascii="Times New Roman" w:hAnsi="Times New Roman" w:cs="Times New Roman"/>
          <w:b/>
          <w:sz w:val="24"/>
          <w:szCs w:val="24"/>
        </w:rPr>
      </w:pPr>
      <w:r w:rsidRPr="00D84E17">
        <w:rPr>
          <w:rFonts w:ascii="Times New Roman" w:hAnsi="Times New Roman" w:cs="Times New Roman"/>
          <w:b/>
          <w:sz w:val="24"/>
          <w:szCs w:val="24"/>
        </w:rPr>
        <w:t xml:space="preserve">1. La sentenza della Corte di Giustizia </w:t>
      </w:r>
      <w:r>
        <w:rPr>
          <w:rFonts w:ascii="Times New Roman" w:hAnsi="Times New Roman" w:cs="Times New Roman"/>
          <w:b/>
          <w:sz w:val="24"/>
          <w:szCs w:val="24"/>
        </w:rPr>
        <w:t>dell’Unione Europea (CUGE)</w:t>
      </w:r>
      <w:r w:rsidR="00DC1099">
        <w:rPr>
          <w:rFonts w:ascii="Times New Roman" w:hAnsi="Times New Roman" w:cs="Times New Roman"/>
          <w:b/>
          <w:sz w:val="24"/>
          <w:szCs w:val="24"/>
        </w:rPr>
        <w:t>, sez. III,</w:t>
      </w:r>
      <w:r>
        <w:rPr>
          <w:rFonts w:ascii="Times New Roman" w:hAnsi="Times New Roman" w:cs="Times New Roman"/>
          <w:b/>
          <w:sz w:val="24"/>
          <w:szCs w:val="24"/>
        </w:rPr>
        <w:t xml:space="preserve"> </w:t>
      </w:r>
      <w:r w:rsidRPr="00D84E17">
        <w:rPr>
          <w:rFonts w:ascii="Times New Roman" w:hAnsi="Times New Roman" w:cs="Times New Roman"/>
          <w:b/>
          <w:sz w:val="24"/>
          <w:szCs w:val="24"/>
        </w:rPr>
        <w:t>20 aprile 2023 nella causa C-348/22.</w:t>
      </w:r>
    </w:p>
    <w:p w:rsidR="00D84E17" w:rsidRDefault="00D84E17"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Puntuale come un orologio, annunciata da tempo, è arrivata la </w:t>
      </w:r>
      <w:r>
        <w:rPr>
          <w:rFonts w:ascii="Times New Roman" w:hAnsi="Times New Roman" w:cs="Times New Roman"/>
          <w:sz w:val="24"/>
          <w:szCs w:val="24"/>
        </w:rPr>
        <w:t>sentenza della GUCE</w:t>
      </w:r>
      <w:r w:rsidR="008E6709">
        <w:rPr>
          <w:rFonts w:ascii="Times New Roman" w:hAnsi="Times New Roman" w:cs="Times New Roman"/>
          <w:sz w:val="24"/>
          <w:szCs w:val="24"/>
        </w:rPr>
        <w:t>, sez. III,</w:t>
      </w:r>
      <w:r w:rsidR="008278AF">
        <w:rPr>
          <w:rFonts w:ascii="Times New Roman" w:hAnsi="Times New Roman" w:cs="Times New Roman"/>
          <w:sz w:val="24"/>
          <w:szCs w:val="24"/>
        </w:rPr>
        <w:t xml:space="preserve"> 20 aprile 2023 su</w:t>
      </w:r>
      <w:r>
        <w:rPr>
          <w:rFonts w:ascii="Times New Roman" w:hAnsi="Times New Roman" w:cs="Times New Roman"/>
          <w:sz w:val="24"/>
          <w:szCs w:val="24"/>
        </w:rPr>
        <w:t>l tormentato tema delle concessioni demaniali marittime</w:t>
      </w:r>
      <w:r w:rsidR="004C3142">
        <w:rPr>
          <w:rFonts w:ascii="Times New Roman" w:hAnsi="Times New Roman" w:cs="Times New Roman"/>
          <w:sz w:val="24"/>
          <w:szCs w:val="24"/>
        </w:rPr>
        <w:t xml:space="preserve"> e della direttiva 2006/123/CE del Parlamento europeo e del Consiglio, del 12 dicembre 2006, relativa ai servizi del mercato interno, così detta direttiva “</w:t>
      </w:r>
      <w:proofErr w:type="spellStart"/>
      <w:r w:rsidR="004C3142">
        <w:rPr>
          <w:rFonts w:ascii="Times New Roman" w:hAnsi="Times New Roman" w:cs="Times New Roman"/>
          <w:sz w:val="24"/>
          <w:szCs w:val="24"/>
        </w:rPr>
        <w:t>Bolkestein</w:t>
      </w:r>
      <w:proofErr w:type="spellEnd"/>
      <w:r w:rsidR="004C3142">
        <w:rPr>
          <w:rFonts w:ascii="Times New Roman" w:hAnsi="Times New Roman" w:cs="Times New Roman"/>
          <w:sz w:val="24"/>
          <w:szCs w:val="24"/>
        </w:rPr>
        <w:t>”, con particolare riguardo all’art. 12, paragrafi 1 e 2</w:t>
      </w:r>
      <w:r>
        <w:rPr>
          <w:rFonts w:ascii="Times New Roman" w:hAnsi="Times New Roman" w:cs="Times New Roman"/>
          <w:sz w:val="24"/>
          <w:szCs w:val="24"/>
        </w:rPr>
        <w:t>.</w:t>
      </w:r>
    </w:p>
    <w:p w:rsidR="00CD724D" w:rsidRDefault="00CD724D"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w:t>
      </w:r>
      <w:r w:rsidR="004A71BD">
        <w:rPr>
          <w:rFonts w:ascii="Times New Roman" w:hAnsi="Times New Roman" w:cs="Times New Roman"/>
          <w:sz w:val="24"/>
          <w:szCs w:val="24"/>
        </w:rPr>
        <w:t>sentenza</w:t>
      </w:r>
      <w:r>
        <w:rPr>
          <w:rFonts w:ascii="Times New Roman" w:hAnsi="Times New Roman" w:cs="Times New Roman"/>
          <w:sz w:val="24"/>
          <w:szCs w:val="24"/>
        </w:rPr>
        <w:t xml:space="preserve"> </w:t>
      </w:r>
      <w:r w:rsidR="00602CD9">
        <w:rPr>
          <w:rFonts w:ascii="Times New Roman" w:hAnsi="Times New Roman" w:cs="Times New Roman"/>
          <w:sz w:val="24"/>
          <w:szCs w:val="24"/>
        </w:rPr>
        <w:t>è</w:t>
      </w:r>
      <w:r>
        <w:rPr>
          <w:rFonts w:ascii="Times New Roman" w:hAnsi="Times New Roman" w:cs="Times New Roman"/>
          <w:sz w:val="24"/>
          <w:szCs w:val="24"/>
        </w:rPr>
        <w:t xml:space="preserve"> un’ulteriore puntata di una storia infinita, ma ne rappresenta un tassello importante. Anche se </w:t>
      </w:r>
      <w:r w:rsidR="006A7842">
        <w:rPr>
          <w:rFonts w:ascii="Times New Roman" w:hAnsi="Times New Roman" w:cs="Times New Roman"/>
          <w:sz w:val="24"/>
          <w:szCs w:val="24"/>
        </w:rPr>
        <w:t xml:space="preserve">ribadisce </w:t>
      </w:r>
      <w:r>
        <w:rPr>
          <w:rFonts w:ascii="Times New Roman" w:hAnsi="Times New Roman" w:cs="Times New Roman"/>
          <w:sz w:val="24"/>
          <w:szCs w:val="24"/>
        </w:rPr>
        <w:t xml:space="preserve">molti principi </w:t>
      </w:r>
      <w:r w:rsidR="006A7842">
        <w:rPr>
          <w:rFonts w:ascii="Times New Roman" w:hAnsi="Times New Roman" w:cs="Times New Roman"/>
          <w:sz w:val="24"/>
          <w:szCs w:val="24"/>
        </w:rPr>
        <w:t>affermati c</w:t>
      </w:r>
      <w:r w:rsidR="008278AF">
        <w:rPr>
          <w:rFonts w:ascii="Times New Roman" w:hAnsi="Times New Roman" w:cs="Times New Roman"/>
          <w:sz w:val="24"/>
          <w:szCs w:val="24"/>
        </w:rPr>
        <w:t xml:space="preserve">on la precedente sentenza </w:t>
      </w:r>
      <w:proofErr w:type="spellStart"/>
      <w:r w:rsidR="008278AF">
        <w:rPr>
          <w:rFonts w:ascii="Times New Roman" w:hAnsi="Times New Roman" w:cs="Times New Roman"/>
          <w:sz w:val="24"/>
          <w:szCs w:val="24"/>
        </w:rPr>
        <w:t>Promo</w:t>
      </w:r>
      <w:r w:rsidR="006A7842">
        <w:rPr>
          <w:rFonts w:ascii="Times New Roman" w:hAnsi="Times New Roman" w:cs="Times New Roman"/>
          <w:sz w:val="24"/>
          <w:szCs w:val="24"/>
        </w:rPr>
        <w:t>impresa</w:t>
      </w:r>
      <w:proofErr w:type="spellEnd"/>
      <w:r w:rsidR="006A7842">
        <w:rPr>
          <w:rStyle w:val="Rimandonotaapidipagina"/>
          <w:rFonts w:ascii="Times New Roman" w:hAnsi="Times New Roman" w:cs="Times New Roman"/>
          <w:sz w:val="24"/>
          <w:szCs w:val="24"/>
        </w:rPr>
        <w:footnoteReference w:id="1"/>
      </w:r>
      <w:r w:rsidR="004A71BD">
        <w:rPr>
          <w:rFonts w:ascii="Times New Roman" w:hAnsi="Times New Roman" w:cs="Times New Roman"/>
          <w:sz w:val="24"/>
          <w:szCs w:val="24"/>
        </w:rPr>
        <w:t xml:space="preserve"> e da ulteriore </w:t>
      </w:r>
      <w:r w:rsidR="00602CD9">
        <w:rPr>
          <w:rFonts w:ascii="Times New Roman" w:hAnsi="Times New Roman" w:cs="Times New Roman"/>
          <w:sz w:val="24"/>
          <w:szCs w:val="24"/>
        </w:rPr>
        <w:t xml:space="preserve">sua </w:t>
      </w:r>
      <w:r w:rsidR="006A7842">
        <w:rPr>
          <w:rFonts w:ascii="Times New Roman" w:hAnsi="Times New Roman" w:cs="Times New Roman"/>
          <w:sz w:val="24"/>
          <w:szCs w:val="24"/>
        </w:rPr>
        <w:t>giurisprudenza</w:t>
      </w:r>
      <w:r w:rsidR="008E6709">
        <w:rPr>
          <w:rFonts w:ascii="Times New Roman" w:hAnsi="Times New Roman" w:cs="Times New Roman"/>
          <w:sz w:val="24"/>
          <w:szCs w:val="24"/>
        </w:rPr>
        <w:t>,</w:t>
      </w:r>
      <w:r>
        <w:rPr>
          <w:rFonts w:ascii="Times New Roman" w:hAnsi="Times New Roman" w:cs="Times New Roman"/>
          <w:sz w:val="24"/>
          <w:szCs w:val="24"/>
        </w:rPr>
        <w:t xml:space="preserve"> alcune affermazioni </w:t>
      </w:r>
      <w:r w:rsidR="004A71BD">
        <w:rPr>
          <w:rFonts w:ascii="Times New Roman" w:hAnsi="Times New Roman" w:cs="Times New Roman"/>
          <w:sz w:val="24"/>
          <w:szCs w:val="24"/>
        </w:rPr>
        <w:t xml:space="preserve">della Corte </w:t>
      </w:r>
      <w:r>
        <w:rPr>
          <w:rFonts w:ascii="Times New Roman" w:hAnsi="Times New Roman" w:cs="Times New Roman"/>
          <w:sz w:val="24"/>
          <w:szCs w:val="24"/>
        </w:rPr>
        <w:t xml:space="preserve">costituiscono novità nel </w:t>
      </w:r>
      <w:r w:rsidR="008E6709">
        <w:rPr>
          <w:rFonts w:ascii="Times New Roman" w:hAnsi="Times New Roman" w:cs="Times New Roman"/>
          <w:sz w:val="24"/>
          <w:szCs w:val="24"/>
        </w:rPr>
        <w:t xml:space="preserve">relativo </w:t>
      </w:r>
      <w:r>
        <w:rPr>
          <w:rFonts w:ascii="Times New Roman" w:hAnsi="Times New Roman" w:cs="Times New Roman"/>
          <w:sz w:val="24"/>
          <w:szCs w:val="24"/>
        </w:rPr>
        <w:t xml:space="preserve">frastagliato </w:t>
      </w:r>
      <w:r w:rsidR="008E6709">
        <w:rPr>
          <w:rFonts w:ascii="Times New Roman" w:hAnsi="Times New Roman" w:cs="Times New Roman"/>
          <w:sz w:val="24"/>
          <w:szCs w:val="24"/>
        </w:rPr>
        <w:t>panorama</w:t>
      </w:r>
      <w:r>
        <w:rPr>
          <w:rFonts w:ascii="Times New Roman" w:hAnsi="Times New Roman" w:cs="Times New Roman"/>
          <w:sz w:val="24"/>
          <w:szCs w:val="24"/>
        </w:rPr>
        <w:t>.</w:t>
      </w:r>
    </w:p>
    <w:p w:rsidR="00CD724D" w:rsidRDefault="008E670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Non si intende ritornare sul contesto normativo e sugli antefatti, giuridici e non, della sentenza. Gli stessi sono ampiamente svolti </w:t>
      </w:r>
      <w:r w:rsidR="004C3142">
        <w:rPr>
          <w:rFonts w:ascii="Times New Roman" w:hAnsi="Times New Roman" w:cs="Times New Roman"/>
          <w:sz w:val="24"/>
          <w:szCs w:val="24"/>
        </w:rPr>
        <w:t xml:space="preserve">e illustrati </w:t>
      </w:r>
      <w:r w:rsidR="004A71BD">
        <w:rPr>
          <w:rFonts w:ascii="Times New Roman" w:hAnsi="Times New Roman" w:cs="Times New Roman"/>
          <w:sz w:val="24"/>
          <w:szCs w:val="24"/>
        </w:rPr>
        <w:t>dalla GUG</w:t>
      </w:r>
      <w:r>
        <w:rPr>
          <w:rFonts w:ascii="Times New Roman" w:hAnsi="Times New Roman" w:cs="Times New Roman"/>
          <w:sz w:val="24"/>
          <w:szCs w:val="24"/>
        </w:rPr>
        <w:t xml:space="preserve">E stessa e, tra l’altro, sono stati </w:t>
      </w:r>
      <w:r w:rsidR="004C3142">
        <w:rPr>
          <w:rFonts w:ascii="Times New Roman" w:hAnsi="Times New Roman" w:cs="Times New Roman"/>
          <w:sz w:val="24"/>
          <w:szCs w:val="24"/>
        </w:rPr>
        <w:t>anche già</w:t>
      </w:r>
      <w:r>
        <w:rPr>
          <w:rFonts w:ascii="Times New Roman" w:hAnsi="Times New Roman" w:cs="Times New Roman"/>
          <w:sz w:val="24"/>
          <w:szCs w:val="24"/>
        </w:rPr>
        <w:t xml:space="preserve"> trattati in uno scritto precedente</w:t>
      </w:r>
      <w:r w:rsidR="004C3142">
        <w:rPr>
          <w:rFonts w:ascii="Times New Roman" w:hAnsi="Times New Roman" w:cs="Times New Roman"/>
          <w:sz w:val="24"/>
          <w:szCs w:val="24"/>
        </w:rPr>
        <w:t xml:space="preserve"> al quale si rimanda</w:t>
      </w:r>
      <w:r>
        <w:rPr>
          <w:rStyle w:val="Rimandonotaapidipagina"/>
          <w:rFonts w:ascii="Times New Roman" w:hAnsi="Times New Roman" w:cs="Times New Roman"/>
          <w:sz w:val="24"/>
          <w:szCs w:val="24"/>
        </w:rPr>
        <w:footnoteReference w:id="2"/>
      </w:r>
      <w:r>
        <w:rPr>
          <w:rFonts w:ascii="Times New Roman" w:hAnsi="Times New Roman" w:cs="Times New Roman"/>
          <w:sz w:val="24"/>
          <w:szCs w:val="24"/>
        </w:rPr>
        <w:t>.</w:t>
      </w:r>
      <w:r w:rsidR="004C3142">
        <w:rPr>
          <w:rFonts w:ascii="Times New Roman" w:hAnsi="Times New Roman" w:cs="Times New Roman"/>
          <w:sz w:val="24"/>
          <w:szCs w:val="24"/>
        </w:rPr>
        <w:t xml:space="preserve"> Ci si soffermerà, invece, su quanto ribadito dalla Corte, sulle novità affermate e sull’impatto della sentenza in riferimento alla normativa vigente</w:t>
      </w:r>
      <w:r w:rsidR="004A71BD">
        <w:rPr>
          <w:rFonts w:ascii="Times New Roman" w:hAnsi="Times New Roman" w:cs="Times New Roman"/>
          <w:sz w:val="24"/>
          <w:szCs w:val="24"/>
        </w:rPr>
        <w:t xml:space="preserve"> e alla situazione conseguente</w:t>
      </w:r>
      <w:r w:rsidR="004C3142">
        <w:rPr>
          <w:rFonts w:ascii="Times New Roman" w:hAnsi="Times New Roman" w:cs="Times New Roman"/>
          <w:sz w:val="24"/>
          <w:szCs w:val="24"/>
        </w:rPr>
        <w:t>.</w:t>
      </w:r>
    </w:p>
    <w:p w:rsidR="008E6709" w:rsidRDefault="008E6709" w:rsidP="00D84E17">
      <w:pPr>
        <w:spacing w:line="360" w:lineRule="auto"/>
        <w:ind w:firstLine="709"/>
        <w:jc w:val="both"/>
        <w:rPr>
          <w:rFonts w:ascii="Times New Roman" w:hAnsi="Times New Roman" w:cs="Times New Roman"/>
          <w:sz w:val="24"/>
          <w:szCs w:val="24"/>
        </w:rPr>
      </w:pPr>
    </w:p>
    <w:p w:rsidR="00CD724D" w:rsidRPr="004C3142" w:rsidRDefault="004C3142" w:rsidP="00D84E17">
      <w:pPr>
        <w:spacing w:line="360" w:lineRule="auto"/>
        <w:ind w:firstLine="709"/>
        <w:jc w:val="both"/>
        <w:rPr>
          <w:rFonts w:ascii="Times New Roman" w:hAnsi="Times New Roman" w:cs="Times New Roman"/>
          <w:b/>
          <w:sz w:val="24"/>
          <w:szCs w:val="24"/>
        </w:rPr>
      </w:pPr>
      <w:r w:rsidRPr="004C3142">
        <w:rPr>
          <w:rFonts w:ascii="Times New Roman" w:hAnsi="Times New Roman" w:cs="Times New Roman"/>
          <w:b/>
          <w:sz w:val="24"/>
          <w:szCs w:val="24"/>
        </w:rPr>
        <w:t>2. L’applicabilità dell’art. 12, paragrafi 1 e 2, della direttiva 2006/123/CE.</w:t>
      </w:r>
    </w:p>
    <w:p w:rsidR="00D84E17" w:rsidRDefault="004C3142"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Il primo principio affermato dalla CGUE è il seguente:</w:t>
      </w:r>
    </w:p>
    <w:p w:rsidR="004C3142" w:rsidRPr="006C5C58" w:rsidRDefault="006C5C58" w:rsidP="00E25D8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E25D89" w:rsidRPr="00E25D89">
        <w:rPr>
          <w:rFonts w:ascii="Times New Roman" w:hAnsi="Times New Roman" w:cs="Times New Roman"/>
          <w:i/>
          <w:sz w:val="24"/>
          <w:szCs w:val="24"/>
        </w:rPr>
        <w:t>L’articolo 12, paragrafi 1 e 2, della direttiva 2006/123/CE…deve essere interpretato nel senso che: esso non si applica unicamente alle concessioni di occupazione del demanio marittimo che presentano un i</w:t>
      </w:r>
      <w:r>
        <w:rPr>
          <w:rFonts w:ascii="Times New Roman" w:hAnsi="Times New Roman" w:cs="Times New Roman"/>
          <w:i/>
          <w:sz w:val="24"/>
          <w:szCs w:val="24"/>
        </w:rPr>
        <w:t>nteresse transfrontaliero certo</w:t>
      </w:r>
      <w:r>
        <w:rPr>
          <w:rFonts w:ascii="Times New Roman" w:hAnsi="Times New Roman" w:cs="Times New Roman"/>
          <w:sz w:val="24"/>
          <w:szCs w:val="24"/>
        </w:rPr>
        <w:t>”.</w:t>
      </w:r>
    </w:p>
    <w:p w:rsidR="004A71BD" w:rsidRDefault="00E25D89" w:rsidP="00E25D8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Argomentando a contrario si dovrebbe ritenere che il principio dell’evidenza pubblica </w:t>
      </w:r>
      <w:r w:rsidR="008278AF">
        <w:rPr>
          <w:rFonts w:ascii="Times New Roman" w:hAnsi="Times New Roman" w:cs="Times New Roman"/>
          <w:sz w:val="24"/>
          <w:szCs w:val="24"/>
        </w:rPr>
        <w:t xml:space="preserve">per la scelta del concessionario </w:t>
      </w:r>
      <w:r>
        <w:rPr>
          <w:rFonts w:ascii="Times New Roman" w:hAnsi="Times New Roman" w:cs="Times New Roman"/>
          <w:sz w:val="24"/>
          <w:szCs w:val="24"/>
        </w:rPr>
        <w:t xml:space="preserve">e il divieto della proroga automatica delle </w:t>
      </w:r>
      <w:r w:rsidR="006A7842">
        <w:rPr>
          <w:rFonts w:ascii="Times New Roman" w:hAnsi="Times New Roman" w:cs="Times New Roman"/>
          <w:sz w:val="24"/>
          <w:szCs w:val="24"/>
        </w:rPr>
        <w:t>concessioni scadute</w:t>
      </w:r>
      <w:r w:rsidR="004A71BD">
        <w:rPr>
          <w:rFonts w:ascii="Times New Roman" w:hAnsi="Times New Roman" w:cs="Times New Roman"/>
          <w:sz w:val="24"/>
          <w:szCs w:val="24"/>
        </w:rPr>
        <w:t>, di cui al citato art. 12, paragrafi 1 e 2,</w:t>
      </w:r>
      <w:r>
        <w:rPr>
          <w:rFonts w:ascii="Times New Roman" w:hAnsi="Times New Roman" w:cs="Times New Roman"/>
          <w:sz w:val="24"/>
          <w:szCs w:val="24"/>
        </w:rPr>
        <w:t xml:space="preserve"> non si </w:t>
      </w:r>
      <w:r w:rsidR="004A71BD">
        <w:rPr>
          <w:rFonts w:ascii="Times New Roman" w:hAnsi="Times New Roman" w:cs="Times New Roman"/>
          <w:sz w:val="24"/>
          <w:szCs w:val="24"/>
        </w:rPr>
        <w:t>applic</w:t>
      </w:r>
      <w:r w:rsidR="008278AF">
        <w:rPr>
          <w:rFonts w:ascii="Times New Roman" w:hAnsi="Times New Roman" w:cs="Times New Roman"/>
          <w:sz w:val="24"/>
          <w:szCs w:val="24"/>
        </w:rPr>
        <w:t>hi</w:t>
      </w:r>
      <w:r>
        <w:rPr>
          <w:rFonts w:ascii="Times New Roman" w:hAnsi="Times New Roman" w:cs="Times New Roman"/>
          <w:sz w:val="24"/>
          <w:szCs w:val="24"/>
        </w:rPr>
        <w:t xml:space="preserve"> nel caso in cui le concessioni di occupazione </w:t>
      </w:r>
      <w:r w:rsidR="006A7842">
        <w:rPr>
          <w:rFonts w:ascii="Times New Roman" w:hAnsi="Times New Roman" w:cs="Times New Roman"/>
          <w:sz w:val="24"/>
          <w:szCs w:val="24"/>
        </w:rPr>
        <w:t xml:space="preserve">del demanio marittimo </w:t>
      </w:r>
      <w:r w:rsidR="008278AF">
        <w:rPr>
          <w:rFonts w:ascii="Times New Roman" w:hAnsi="Times New Roman" w:cs="Times New Roman"/>
          <w:sz w:val="24"/>
          <w:szCs w:val="24"/>
        </w:rPr>
        <w:t>hanno</w:t>
      </w:r>
      <w:r>
        <w:rPr>
          <w:rFonts w:ascii="Times New Roman" w:hAnsi="Times New Roman" w:cs="Times New Roman"/>
          <w:sz w:val="24"/>
          <w:szCs w:val="24"/>
        </w:rPr>
        <w:t xml:space="preserve"> un interesse </w:t>
      </w:r>
      <w:proofErr w:type="spellStart"/>
      <w:r>
        <w:rPr>
          <w:rFonts w:ascii="Times New Roman" w:hAnsi="Times New Roman" w:cs="Times New Roman"/>
          <w:sz w:val="24"/>
          <w:szCs w:val="24"/>
        </w:rPr>
        <w:t>trasf</w:t>
      </w:r>
      <w:r w:rsidR="006A7842">
        <w:rPr>
          <w:rFonts w:ascii="Times New Roman" w:hAnsi="Times New Roman" w:cs="Times New Roman"/>
          <w:sz w:val="24"/>
          <w:szCs w:val="24"/>
        </w:rPr>
        <w:t>rontaliero</w:t>
      </w:r>
      <w:proofErr w:type="spellEnd"/>
      <w:r w:rsidR="006A7842">
        <w:rPr>
          <w:rFonts w:ascii="Times New Roman" w:hAnsi="Times New Roman" w:cs="Times New Roman"/>
          <w:sz w:val="24"/>
          <w:szCs w:val="24"/>
        </w:rPr>
        <w:t xml:space="preserve"> </w:t>
      </w:r>
      <w:r>
        <w:rPr>
          <w:rFonts w:ascii="Times New Roman" w:hAnsi="Times New Roman" w:cs="Times New Roman"/>
          <w:sz w:val="24"/>
          <w:szCs w:val="24"/>
        </w:rPr>
        <w:t>certo.</w:t>
      </w:r>
    </w:p>
    <w:p w:rsidR="004A71BD" w:rsidRDefault="004A71BD" w:rsidP="00E25D8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 il principio è esplicativo di quanto svolto dalla Corte nel </w:t>
      </w:r>
      <w:r w:rsidR="00AB55D9">
        <w:rPr>
          <w:rFonts w:ascii="Times New Roman" w:hAnsi="Times New Roman" w:cs="Times New Roman"/>
          <w:sz w:val="24"/>
          <w:szCs w:val="24"/>
        </w:rPr>
        <w:t>punto</w:t>
      </w:r>
      <w:r>
        <w:rPr>
          <w:rFonts w:ascii="Times New Roman" w:hAnsi="Times New Roman" w:cs="Times New Roman"/>
          <w:sz w:val="24"/>
          <w:szCs w:val="24"/>
        </w:rPr>
        <w:t xml:space="preserve"> 40 della sentenza</w:t>
      </w:r>
      <w:r w:rsidR="008278AF">
        <w:rPr>
          <w:rFonts w:ascii="Times New Roman" w:hAnsi="Times New Roman" w:cs="Times New Roman"/>
          <w:sz w:val="24"/>
          <w:szCs w:val="24"/>
        </w:rPr>
        <w:t>,</w:t>
      </w:r>
      <w:r>
        <w:rPr>
          <w:rFonts w:ascii="Times New Roman" w:hAnsi="Times New Roman" w:cs="Times New Roman"/>
          <w:sz w:val="24"/>
          <w:szCs w:val="24"/>
        </w:rPr>
        <w:t xml:space="preserve"> nel quale si dice che le disposizioni dell’art. 12 “</w:t>
      </w:r>
      <w:r w:rsidRPr="004A71BD">
        <w:rPr>
          <w:rFonts w:ascii="Times New Roman" w:hAnsi="Times New Roman" w:cs="Times New Roman"/>
          <w:i/>
          <w:sz w:val="24"/>
          <w:szCs w:val="24"/>
        </w:rPr>
        <w:t>devono essere interpretate nel senso che esse si applicano, in particolare, a una situazione i cui elementi rilevanti si collocano tutti all’interno di un solo Stato membro</w:t>
      </w:r>
      <w:r>
        <w:rPr>
          <w:rFonts w:ascii="Times New Roman" w:hAnsi="Times New Roman" w:cs="Times New Roman"/>
          <w:sz w:val="24"/>
          <w:szCs w:val="24"/>
        </w:rPr>
        <w:t>”. E trova ulteriore svolgimento nella richiamata sentenza del 30 ge</w:t>
      </w:r>
      <w:r w:rsidR="00576822">
        <w:rPr>
          <w:rFonts w:ascii="Times New Roman" w:hAnsi="Times New Roman" w:cs="Times New Roman"/>
          <w:sz w:val="24"/>
          <w:szCs w:val="24"/>
        </w:rPr>
        <w:t xml:space="preserve">nnaio 2018, X e </w:t>
      </w:r>
      <w:proofErr w:type="spellStart"/>
      <w:r w:rsidR="00576822">
        <w:rPr>
          <w:rFonts w:ascii="Times New Roman" w:hAnsi="Times New Roman" w:cs="Times New Roman"/>
          <w:sz w:val="24"/>
          <w:szCs w:val="24"/>
        </w:rPr>
        <w:t>Visser</w:t>
      </w:r>
      <w:proofErr w:type="spellEnd"/>
      <w:r w:rsidR="00576822">
        <w:rPr>
          <w:rFonts w:ascii="Times New Roman" w:hAnsi="Times New Roman" w:cs="Times New Roman"/>
          <w:sz w:val="24"/>
          <w:szCs w:val="24"/>
        </w:rPr>
        <w:t>, C-360/15 e C-31/16, EU:C:2018:44, punti da 99 a 110</w:t>
      </w:r>
      <w:r w:rsidR="00576822">
        <w:rPr>
          <w:rStyle w:val="Rimandonotaapidipagina"/>
          <w:rFonts w:ascii="Times New Roman" w:hAnsi="Times New Roman" w:cs="Times New Roman"/>
          <w:sz w:val="24"/>
          <w:szCs w:val="24"/>
        </w:rPr>
        <w:footnoteReference w:id="3"/>
      </w:r>
      <w:r w:rsidR="00576822">
        <w:rPr>
          <w:rFonts w:ascii="Times New Roman" w:hAnsi="Times New Roman" w:cs="Times New Roman"/>
          <w:sz w:val="24"/>
          <w:szCs w:val="24"/>
        </w:rPr>
        <w:t>.</w:t>
      </w:r>
    </w:p>
    <w:p w:rsidR="004A71BD" w:rsidRPr="00D84E17" w:rsidRDefault="00602CD9" w:rsidP="00E25D89">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Quindi</w:t>
      </w:r>
      <w:r w:rsidR="006C5C58">
        <w:rPr>
          <w:rFonts w:ascii="Times New Roman" w:hAnsi="Times New Roman" w:cs="Times New Roman"/>
          <w:sz w:val="24"/>
          <w:szCs w:val="24"/>
        </w:rPr>
        <w:t xml:space="preserve"> l’interesse transfrontaliero è presupposto per l’applicazione dell’art. 49 del Trattato sul funzionamento dell’Unione europea (TFUE)</w:t>
      </w:r>
      <w:r w:rsidR="008278AF">
        <w:rPr>
          <w:rFonts w:ascii="Times New Roman" w:hAnsi="Times New Roman" w:cs="Times New Roman"/>
          <w:sz w:val="24"/>
          <w:szCs w:val="24"/>
        </w:rPr>
        <w:t>,</w:t>
      </w:r>
      <w:r w:rsidR="006C5C58">
        <w:rPr>
          <w:rFonts w:ascii="Times New Roman" w:hAnsi="Times New Roman" w:cs="Times New Roman"/>
          <w:sz w:val="24"/>
          <w:szCs w:val="24"/>
        </w:rPr>
        <w:t xml:space="preserve"> ma non è richiesto dal citato art. 12, paragrafi 1 e 2.</w:t>
      </w:r>
      <w:r w:rsidR="00DE7DB6">
        <w:rPr>
          <w:rFonts w:ascii="Times New Roman" w:hAnsi="Times New Roman" w:cs="Times New Roman"/>
          <w:sz w:val="24"/>
          <w:szCs w:val="24"/>
        </w:rPr>
        <w:t xml:space="preserve"> Così che le concessioni di cui trattasi vanno messe a gara a prescindere dall’interesse transfrontaliero.</w:t>
      </w:r>
    </w:p>
    <w:p w:rsidR="00D84E17" w:rsidRDefault="00D84E17" w:rsidP="00D84E17">
      <w:pPr>
        <w:spacing w:line="360" w:lineRule="auto"/>
        <w:ind w:firstLine="709"/>
        <w:jc w:val="both"/>
        <w:rPr>
          <w:rFonts w:ascii="Times New Roman" w:hAnsi="Times New Roman" w:cs="Times New Roman"/>
          <w:sz w:val="24"/>
          <w:szCs w:val="24"/>
        </w:rPr>
      </w:pPr>
    </w:p>
    <w:p w:rsidR="006C5C58" w:rsidRPr="006C5C58" w:rsidRDefault="006C5C58" w:rsidP="00D84E17">
      <w:pPr>
        <w:spacing w:line="360" w:lineRule="auto"/>
        <w:ind w:firstLine="709"/>
        <w:jc w:val="both"/>
        <w:rPr>
          <w:rFonts w:ascii="Times New Roman" w:hAnsi="Times New Roman" w:cs="Times New Roman"/>
          <w:b/>
          <w:sz w:val="24"/>
          <w:szCs w:val="24"/>
        </w:rPr>
      </w:pPr>
      <w:r w:rsidRPr="006C5C58">
        <w:rPr>
          <w:rFonts w:ascii="Times New Roman" w:hAnsi="Times New Roman" w:cs="Times New Roman"/>
          <w:b/>
          <w:sz w:val="24"/>
          <w:szCs w:val="24"/>
        </w:rPr>
        <w:t>3. La scarsità delle risorse.</w:t>
      </w:r>
    </w:p>
    <w:p w:rsidR="006C5C58" w:rsidRDefault="006C5C58" w:rsidP="006C5C58">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secondo principio affermato dalla CGUE è il seguente:</w:t>
      </w:r>
    </w:p>
    <w:p w:rsidR="006C5C58" w:rsidRDefault="006C5C58" w:rsidP="00B923D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B923DF" w:rsidRPr="00B923DF">
        <w:rPr>
          <w:rFonts w:ascii="Times New Roman" w:hAnsi="Times New Roman" w:cs="Times New Roman"/>
          <w:i/>
          <w:sz w:val="24"/>
          <w:szCs w:val="24"/>
        </w:rPr>
        <w:t>L’articolo 12, paragrafo 1, della direttiva 2006/123 deve essere interpretato nel senso che: esso non osta a che la scarsità delle risorse naturali e delle concessioni disponibili sia valutata combinando un approccio generale e astratto, a livello nazionale, e un approccio caso per caso, basato su un’analisi del territorio costiero del comune in questione</w:t>
      </w:r>
      <w:r w:rsidR="00B923DF">
        <w:rPr>
          <w:rFonts w:ascii="Times New Roman" w:hAnsi="Times New Roman" w:cs="Times New Roman"/>
          <w:sz w:val="24"/>
          <w:szCs w:val="24"/>
        </w:rPr>
        <w:t>”.</w:t>
      </w:r>
    </w:p>
    <w:p w:rsidR="006C5C58" w:rsidRDefault="00602CD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w:t>
      </w:r>
      <w:r w:rsidR="00B923DF">
        <w:rPr>
          <w:rFonts w:ascii="Times New Roman" w:hAnsi="Times New Roman" w:cs="Times New Roman"/>
          <w:sz w:val="24"/>
          <w:szCs w:val="24"/>
        </w:rPr>
        <w:t>ui</w:t>
      </w:r>
      <w:r>
        <w:rPr>
          <w:rFonts w:ascii="Times New Roman" w:hAnsi="Times New Roman" w:cs="Times New Roman"/>
          <w:sz w:val="24"/>
          <w:szCs w:val="24"/>
        </w:rPr>
        <w:t xml:space="preserve"> è</w:t>
      </w:r>
      <w:r w:rsidR="00B923DF">
        <w:rPr>
          <w:rFonts w:ascii="Times New Roman" w:hAnsi="Times New Roman" w:cs="Times New Roman"/>
          <w:sz w:val="24"/>
          <w:szCs w:val="24"/>
        </w:rPr>
        <w:t xml:space="preserve"> la vera novità della sentenza della CGUE.</w:t>
      </w:r>
    </w:p>
    <w:p w:rsidR="00B923DF" w:rsidRDefault="00B923D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Il citato art. 12 prevede, al paragrafo 1, una procedura selettiva - con garanzie di imparzialità e di trasparenza, nonché adeguata pubblicità - “</w:t>
      </w:r>
      <w:r w:rsidRPr="00B923DF">
        <w:rPr>
          <w:rFonts w:ascii="Times New Roman" w:hAnsi="Times New Roman" w:cs="Times New Roman"/>
          <w:i/>
          <w:sz w:val="24"/>
          <w:szCs w:val="24"/>
        </w:rPr>
        <w:t>qualora il numero di autorizzazioni disponibili per una determinata attività sia limitato per via della scarsità delle risorse naturali o delle capacità tecniche utilizzabili</w:t>
      </w:r>
      <w:r>
        <w:rPr>
          <w:rFonts w:ascii="Times New Roman" w:hAnsi="Times New Roman" w:cs="Times New Roman"/>
          <w:sz w:val="24"/>
          <w:szCs w:val="24"/>
        </w:rPr>
        <w:t>”.</w:t>
      </w:r>
    </w:p>
    <w:p w:rsidR="00B923DF" w:rsidRDefault="00602CD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B923DF">
        <w:rPr>
          <w:rFonts w:ascii="Times New Roman" w:hAnsi="Times New Roman" w:cs="Times New Roman"/>
          <w:sz w:val="24"/>
          <w:szCs w:val="24"/>
        </w:rPr>
        <w:t xml:space="preserve">l concetto di scarsità ha due esplicazioni: una di tipo oggettivo, con riguardo alle risorse naturali, e l’altra di tipo soggettivo, con riferimento alle capacità tecniche utilizzabili. </w:t>
      </w:r>
      <w:r w:rsidR="00B900A4">
        <w:rPr>
          <w:rFonts w:ascii="Times New Roman" w:hAnsi="Times New Roman" w:cs="Times New Roman"/>
          <w:sz w:val="24"/>
          <w:szCs w:val="24"/>
        </w:rPr>
        <w:t>Ma s</w:t>
      </w:r>
      <w:r w:rsidR="00B923DF">
        <w:rPr>
          <w:rFonts w:ascii="Times New Roman" w:hAnsi="Times New Roman" w:cs="Times New Roman"/>
          <w:sz w:val="24"/>
          <w:szCs w:val="24"/>
        </w:rPr>
        <w:t xml:space="preserve">i </w:t>
      </w:r>
      <w:r w:rsidR="00B900A4">
        <w:rPr>
          <w:rFonts w:ascii="Times New Roman" w:hAnsi="Times New Roman" w:cs="Times New Roman"/>
          <w:sz w:val="24"/>
          <w:szCs w:val="24"/>
        </w:rPr>
        <w:t>manifesta</w:t>
      </w:r>
      <w:r w:rsidR="00B923DF">
        <w:rPr>
          <w:rFonts w:ascii="Times New Roman" w:hAnsi="Times New Roman" w:cs="Times New Roman"/>
          <w:sz w:val="24"/>
          <w:szCs w:val="24"/>
        </w:rPr>
        <w:t xml:space="preserve"> comunque in un dato </w:t>
      </w:r>
      <w:r w:rsidR="00084D76">
        <w:rPr>
          <w:rFonts w:ascii="Times New Roman" w:hAnsi="Times New Roman" w:cs="Times New Roman"/>
          <w:sz w:val="24"/>
          <w:szCs w:val="24"/>
        </w:rPr>
        <w:t xml:space="preserve">che è </w:t>
      </w:r>
      <w:r w:rsidR="00B923DF">
        <w:rPr>
          <w:rFonts w:ascii="Times New Roman" w:hAnsi="Times New Roman" w:cs="Times New Roman"/>
          <w:sz w:val="24"/>
          <w:szCs w:val="24"/>
        </w:rPr>
        <w:t xml:space="preserve">comune: </w:t>
      </w:r>
      <w:r w:rsidR="00B900A4">
        <w:rPr>
          <w:rFonts w:ascii="Times New Roman" w:hAnsi="Times New Roman" w:cs="Times New Roman"/>
          <w:sz w:val="24"/>
          <w:szCs w:val="24"/>
        </w:rPr>
        <w:t>la</w:t>
      </w:r>
      <w:r w:rsidR="00B923DF">
        <w:rPr>
          <w:rFonts w:ascii="Times New Roman" w:hAnsi="Times New Roman" w:cs="Times New Roman"/>
          <w:sz w:val="24"/>
          <w:szCs w:val="24"/>
        </w:rPr>
        <w:t xml:space="preserve"> domanda </w:t>
      </w:r>
      <w:r w:rsidR="00B900A4">
        <w:rPr>
          <w:rFonts w:ascii="Times New Roman" w:hAnsi="Times New Roman" w:cs="Times New Roman"/>
          <w:sz w:val="24"/>
          <w:szCs w:val="24"/>
        </w:rPr>
        <w:t xml:space="preserve">è </w:t>
      </w:r>
      <w:r w:rsidR="00B923DF">
        <w:rPr>
          <w:rFonts w:ascii="Times New Roman" w:hAnsi="Times New Roman" w:cs="Times New Roman"/>
          <w:sz w:val="24"/>
          <w:szCs w:val="24"/>
        </w:rPr>
        <w:t>superiore all’offerta</w:t>
      </w:r>
      <w:r w:rsidR="00B900A4">
        <w:rPr>
          <w:rFonts w:ascii="Times New Roman" w:hAnsi="Times New Roman" w:cs="Times New Roman"/>
          <w:sz w:val="24"/>
          <w:szCs w:val="24"/>
        </w:rPr>
        <w:t xml:space="preserve"> o, all’inverso</w:t>
      </w:r>
      <w:r w:rsidR="00084D76">
        <w:rPr>
          <w:rFonts w:ascii="Times New Roman" w:hAnsi="Times New Roman" w:cs="Times New Roman"/>
          <w:sz w:val="24"/>
          <w:szCs w:val="24"/>
        </w:rPr>
        <w:t>,</w:t>
      </w:r>
      <w:r w:rsidR="00B900A4">
        <w:rPr>
          <w:rFonts w:ascii="Times New Roman" w:hAnsi="Times New Roman" w:cs="Times New Roman"/>
          <w:sz w:val="24"/>
          <w:szCs w:val="24"/>
        </w:rPr>
        <w:t xml:space="preserve"> l’offerta è </w:t>
      </w:r>
      <w:r w:rsidR="00084D76">
        <w:rPr>
          <w:rFonts w:ascii="Times New Roman" w:hAnsi="Times New Roman" w:cs="Times New Roman"/>
          <w:sz w:val="24"/>
          <w:szCs w:val="24"/>
        </w:rPr>
        <w:t>inferiore</w:t>
      </w:r>
      <w:r w:rsidR="00B900A4">
        <w:rPr>
          <w:rFonts w:ascii="Times New Roman" w:hAnsi="Times New Roman" w:cs="Times New Roman"/>
          <w:sz w:val="24"/>
          <w:szCs w:val="24"/>
        </w:rPr>
        <w:t xml:space="preserve"> alla domanda.</w:t>
      </w:r>
    </w:p>
    <w:p w:rsidR="00B900A4" w:rsidRDefault="00B900A4"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Secondo la Corte la valutazione della scarsità delle risorse naturali va effettuata dallo Stato previa emanazione di criteri. Lo Stato potrà preferire una valutazione generale </w:t>
      </w:r>
      <w:r w:rsidR="00084D76">
        <w:rPr>
          <w:rFonts w:ascii="Times New Roman" w:hAnsi="Times New Roman" w:cs="Times New Roman"/>
          <w:sz w:val="24"/>
          <w:szCs w:val="24"/>
        </w:rPr>
        <w:t xml:space="preserve">e </w:t>
      </w:r>
      <w:r>
        <w:rPr>
          <w:rFonts w:ascii="Times New Roman" w:hAnsi="Times New Roman" w:cs="Times New Roman"/>
          <w:sz w:val="24"/>
          <w:szCs w:val="24"/>
        </w:rPr>
        <w:t>astratta, ossia valida per tutto il territorio nazionale, ma anche seguire un approccio di tipo empirico, ossia riferito alla situazione esistente nel territorio costiero di un comune o dell’autorità amministrativa competente; oppure combinare entrambe le scelte.</w:t>
      </w:r>
    </w:p>
    <w:p w:rsidR="00084D76" w:rsidRDefault="00B900A4"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Quindi necessaria previa emanazione di criteri da parte dello Stato</w:t>
      </w:r>
      <w:r w:rsidR="00084D76">
        <w:rPr>
          <w:rFonts w:ascii="Times New Roman" w:hAnsi="Times New Roman" w:cs="Times New Roman"/>
          <w:sz w:val="24"/>
          <w:szCs w:val="24"/>
        </w:rPr>
        <w:t>,</w:t>
      </w:r>
      <w:r>
        <w:rPr>
          <w:rFonts w:ascii="Times New Roman" w:hAnsi="Times New Roman" w:cs="Times New Roman"/>
          <w:sz w:val="24"/>
          <w:szCs w:val="24"/>
        </w:rPr>
        <w:t xml:space="preserve"> che </w:t>
      </w:r>
      <w:r w:rsidR="00084D76">
        <w:rPr>
          <w:rFonts w:ascii="Times New Roman" w:hAnsi="Times New Roman" w:cs="Times New Roman"/>
          <w:sz w:val="24"/>
          <w:szCs w:val="24"/>
        </w:rPr>
        <w:t xml:space="preserve">comunque </w:t>
      </w:r>
      <w:r>
        <w:rPr>
          <w:rFonts w:ascii="Times New Roman" w:hAnsi="Times New Roman" w:cs="Times New Roman"/>
          <w:sz w:val="24"/>
          <w:szCs w:val="24"/>
        </w:rPr>
        <w:t xml:space="preserve">non potrà determinarli </w:t>
      </w:r>
      <w:r w:rsidRPr="00084D76">
        <w:rPr>
          <w:rFonts w:ascii="Times New Roman" w:hAnsi="Times New Roman" w:cs="Times New Roman"/>
          <w:i/>
          <w:sz w:val="24"/>
          <w:szCs w:val="24"/>
        </w:rPr>
        <w:t>ad libitum</w:t>
      </w:r>
      <w:r w:rsidR="008278AF">
        <w:rPr>
          <w:rFonts w:ascii="Times New Roman" w:hAnsi="Times New Roman" w:cs="Times New Roman"/>
          <w:sz w:val="24"/>
          <w:szCs w:val="24"/>
        </w:rPr>
        <w:t>,</w:t>
      </w:r>
      <w:r>
        <w:rPr>
          <w:rFonts w:ascii="Times New Roman" w:hAnsi="Times New Roman" w:cs="Times New Roman"/>
          <w:sz w:val="24"/>
          <w:szCs w:val="24"/>
        </w:rPr>
        <w:t xml:space="preserve"> poiché </w:t>
      </w:r>
      <w:r w:rsidR="00602CD9">
        <w:rPr>
          <w:rFonts w:ascii="Times New Roman" w:hAnsi="Times New Roman" w:cs="Times New Roman"/>
          <w:sz w:val="24"/>
          <w:szCs w:val="24"/>
        </w:rPr>
        <w:t>essi</w:t>
      </w:r>
      <w:r w:rsidR="00084D76">
        <w:rPr>
          <w:rFonts w:ascii="Times New Roman" w:hAnsi="Times New Roman" w:cs="Times New Roman"/>
          <w:sz w:val="24"/>
          <w:szCs w:val="24"/>
        </w:rPr>
        <w:t>, secondo la Corte, dovranno essere “</w:t>
      </w:r>
      <w:r w:rsidR="00084D76" w:rsidRPr="00084D76">
        <w:rPr>
          <w:rFonts w:ascii="Times New Roman" w:hAnsi="Times New Roman" w:cs="Times New Roman"/>
          <w:i/>
          <w:sz w:val="24"/>
          <w:szCs w:val="24"/>
        </w:rPr>
        <w:t>obiettivi, non discriminatori, trasparenti e proporzionati</w:t>
      </w:r>
      <w:r w:rsidR="00084D76">
        <w:rPr>
          <w:rFonts w:ascii="Times New Roman" w:hAnsi="Times New Roman" w:cs="Times New Roman"/>
          <w:sz w:val="24"/>
          <w:szCs w:val="24"/>
        </w:rPr>
        <w:t>”.</w:t>
      </w:r>
    </w:p>
    <w:p w:rsidR="00B923DF" w:rsidRDefault="00084D76"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L’unica novità rilevante della decisione della Corte consiste proprio in questo punto. Non sussiste sempre e comunque la scarsità delle risorse, che quindi non può essere presunta. Essa invece va determinata sulla base di criteri la cui emanazione compete allo Stato, che avrà dei margini di manovra abbastanza ampi ma il cui previo intervento diviene imprescindibile.</w:t>
      </w:r>
    </w:p>
    <w:p w:rsidR="00154AD3" w:rsidRDefault="00154AD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punto invece è un altro.</w:t>
      </w:r>
    </w:p>
    <w:p w:rsidR="00B923DF" w:rsidRDefault="00154AD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Che succede nel caso in cui non sono stabiliti i criteri</w:t>
      </w:r>
      <w:r w:rsidR="001737B3">
        <w:rPr>
          <w:rFonts w:ascii="Times New Roman" w:hAnsi="Times New Roman" w:cs="Times New Roman"/>
          <w:sz w:val="24"/>
          <w:szCs w:val="24"/>
        </w:rPr>
        <w:t>?</w:t>
      </w:r>
      <w:r>
        <w:rPr>
          <w:rFonts w:ascii="Times New Roman" w:hAnsi="Times New Roman" w:cs="Times New Roman"/>
          <w:sz w:val="24"/>
          <w:szCs w:val="24"/>
        </w:rPr>
        <w:t xml:space="preserve"> Ossia, nello specifico essendo previsto che in caso di scarsità delle risorse naturali utilizzabili</w:t>
      </w:r>
      <w:r w:rsidR="00602CD9">
        <w:rPr>
          <w:rFonts w:ascii="Times New Roman" w:hAnsi="Times New Roman" w:cs="Times New Roman"/>
          <w:sz w:val="24"/>
          <w:szCs w:val="24"/>
        </w:rPr>
        <w:t>,</w:t>
      </w:r>
      <w:r>
        <w:rPr>
          <w:rFonts w:ascii="Times New Roman" w:hAnsi="Times New Roman" w:cs="Times New Roman"/>
          <w:sz w:val="24"/>
          <w:szCs w:val="24"/>
        </w:rPr>
        <w:t xml:space="preserve"> ogni amministrazione deve seguire una procedura di selezione tra i candidati potenziali e garantire il rispetto del citato art. </w:t>
      </w:r>
      <w:r w:rsidR="008278AF">
        <w:rPr>
          <w:rFonts w:ascii="Times New Roman" w:hAnsi="Times New Roman" w:cs="Times New Roman"/>
          <w:sz w:val="24"/>
          <w:szCs w:val="24"/>
        </w:rPr>
        <w:t>12, paragrafi 1 e 2, disapplicand</w:t>
      </w:r>
      <w:r>
        <w:rPr>
          <w:rFonts w:ascii="Times New Roman" w:hAnsi="Times New Roman" w:cs="Times New Roman"/>
          <w:sz w:val="24"/>
          <w:szCs w:val="24"/>
        </w:rPr>
        <w:t>o anche le norme interne non conformi, è possibile che la scarsità delle risorse naturali venga valutata e definita dall’amministrazione competente all’affidamento della concessione?</w:t>
      </w:r>
    </w:p>
    <w:p w:rsidR="001737B3" w:rsidRDefault="001737B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Si cercherà una risposta più avanti anche sulla base della normativa vigente.</w:t>
      </w:r>
    </w:p>
    <w:p w:rsidR="00154AD3" w:rsidRDefault="00154AD3" w:rsidP="00D84E17">
      <w:pPr>
        <w:spacing w:line="360" w:lineRule="auto"/>
        <w:ind w:firstLine="709"/>
        <w:jc w:val="both"/>
        <w:rPr>
          <w:rFonts w:ascii="Times New Roman" w:hAnsi="Times New Roman" w:cs="Times New Roman"/>
          <w:sz w:val="24"/>
          <w:szCs w:val="24"/>
        </w:rPr>
      </w:pPr>
    </w:p>
    <w:p w:rsidR="00B923DF" w:rsidRPr="00C345D6" w:rsidRDefault="00084D76" w:rsidP="00D84E17">
      <w:pPr>
        <w:spacing w:line="360" w:lineRule="auto"/>
        <w:ind w:firstLine="709"/>
        <w:jc w:val="both"/>
        <w:rPr>
          <w:rFonts w:ascii="Times New Roman" w:hAnsi="Times New Roman" w:cs="Times New Roman"/>
          <w:b/>
          <w:sz w:val="24"/>
          <w:szCs w:val="24"/>
        </w:rPr>
      </w:pPr>
      <w:r w:rsidRPr="00C345D6">
        <w:rPr>
          <w:rFonts w:ascii="Times New Roman" w:hAnsi="Times New Roman" w:cs="Times New Roman"/>
          <w:b/>
          <w:sz w:val="24"/>
          <w:szCs w:val="24"/>
        </w:rPr>
        <w:t xml:space="preserve">4. La validità della </w:t>
      </w:r>
      <w:r w:rsidR="00C345D6" w:rsidRPr="00C345D6">
        <w:rPr>
          <w:rFonts w:ascii="Times New Roman" w:hAnsi="Times New Roman" w:cs="Times New Roman"/>
          <w:b/>
          <w:sz w:val="24"/>
          <w:szCs w:val="24"/>
        </w:rPr>
        <w:t>direttiva 2006/123/CE.</w:t>
      </w:r>
    </w:p>
    <w:p w:rsidR="00C345D6" w:rsidRDefault="00C345D6" w:rsidP="00D84E17">
      <w:pPr>
        <w:spacing w:line="360" w:lineRule="auto"/>
        <w:ind w:firstLine="709"/>
        <w:jc w:val="both"/>
        <w:rPr>
          <w:rFonts w:ascii="Times New Roman" w:hAnsi="Times New Roman" w:cs="Times New Roman"/>
          <w:sz w:val="24"/>
          <w:szCs w:val="24"/>
        </w:rPr>
      </w:pPr>
      <w:r w:rsidRPr="00C345D6">
        <w:rPr>
          <w:rFonts w:ascii="Times New Roman" w:hAnsi="Times New Roman" w:cs="Times New Roman"/>
          <w:sz w:val="24"/>
          <w:szCs w:val="24"/>
        </w:rPr>
        <w:lastRenderedPageBreak/>
        <w:t xml:space="preserve">Il </w:t>
      </w:r>
      <w:r>
        <w:rPr>
          <w:rFonts w:ascii="Times New Roman" w:hAnsi="Times New Roman" w:cs="Times New Roman"/>
          <w:sz w:val="24"/>
          <w:szCs w:val="24"/>
        </w:rPr>
        <w:t>terzo</w:t>
      </w:r>
      <w:r w:rsidRPr="00C345D6">
        <w:rPr>
          <w:rFonts w:ascii="Times New Roman" w:hAnsi="Times New Roman" w:cs="Times New Roman"/>
          <w:sz w:val="24"/>
          <w:szCs w:val="24"/>
        </w:rPr>
        <w:t xml:space="preserve"> principio affermato d</w:t>
      </w:r>
      <w:r>
        <w:rPr>
          <w:rFonts w:ascii="Times New Roman" w:hAnsi="Times New Roman" w:cs="Times New Roman"/>
          <w:sz w:val="24"/>
          <w:szCs w:val="24"/>
        </w:rPr>
        <w:t>alla CGUE è che non emerge “</w:t>
      </w:r>
      <w:r w:rsidRPr="00C345D6">
        <w:rPr>
          <w:rFonts w:ascii="Times New Roman" w:hAnsi="Times New Roman" w:cs="Times New Roman"/>
          <w:i/>
          <w:sz w:val="24"/>
          <w:szCs w:val="24"/>
        </w:rPr>
        <w:t>alcun elemento idoneo ad inficiare la validità della direttiva 2006/123 alla luce dell’articolo 94 CE</w:t>
      </w:r>
      <w:r>
        <w:rPr>
          <w:rFonts w:ascii="Times New Roman" w:hAnsi="Times New Roman" w:cs="Times New Roman"/>
          <w:sz w:val="24"/>
          <w:szCs w:val="24"/>
        </w:rPr>
        <w:t>”.</w:t>
      </w:r>
    </w:p>
    <w:p w:rsidR="00C345D6" w:rsidRDefault="00C345D6"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Viene sconfessata l’impostazione del giudice remittente</w:t>
      </w:r>
      <w:r>
        <w:rPr>
          <w:rStyle w:val="Rimandonotaapidipagina"/>
          <w:rFonts w:ascii="Times New Roman" w:hAnsi="Times New Roman" w:cs="Times New Roman"/>
          <w:sz w:val="24"/>
          <w:szCs w:val="24"/>
        </w:rPr>
        <w:footnoteReference w:id="4"/>
      </w:r>
      <w:r>
        <w:rPr>
          <w:rFonts w:ascii="Times New Roman" w:hAnsi="Times New Roman" w:cs="Times New Roman"/>
          <w:sz w:val="24"/>
          <w:szCs w:val="24"/>
        </w:rPr>
        <w:t>, secondo cui la citata direttiva di armonizzazione non sarebbe stata adottata dal Consiglio all’unanimità</w:t>
      </w:r>
      <w:r w:rsidR="00C029C7">
        <w:rPr>
          <w:rFonts w:ascii="Times New Roman" w:hAnsi="Times New Roman" w:cs="Times New Roman"/>
          <w:sz w:val="24"/>
          <w:szCs w:val="24"/>
        </w:rPr>
        <w:t>,</w:t>
      </w:r>
      <w:r>
        <w:rPr>
          <w:rFonts w:ascii="Times New Roman" w:hAnsi="Times New Roman" w:cs="Times New Roman"/>
          <w:sz w:val="24"/>
          <w:szCs w:val="24"/>
        </w:rPr>
        <w:t xml:space="preserve"> come richiesto dall’</w:t>
      </w:r>
      <w:r w:rsidR="00C029C7">
        <w:rPr>
          <w:rFonts w:ascii="Times New Roman" w:hAnsi="Times New Roman" w:cs="Times New Roman"/>
          <w:sz w:val="24"/>
          <w:szCs w:val="24"/>
        </w:rPr>
        <w:t xml:space="preserve">art. 94 </w:t>
      </w:r>
      <w:r w:rsidR="00176FDD">
        <w:rPr>
          <w:rFonts w:ascii="Times New Roman" w:hAnsi="Times New Roman" w:cs="Times New Roman"/>
          <w:sz w:val="24"/>
          <w:szCs w:val="24"/>
        </w:rPr>
        <w:t>CE</w:t>
      </w:r>
      <w:r w:rsidR="00C029C7">
        <w:rPr>
          <w:rFonts w:ascii="Times New Roman" w:hAnsi="Times New Roman" w:cs="Times New Roman"/>
          <w:sz w:val="24"/>
          <w:szCs w:val="24"/>
        </w:rPr>
        <w:t>, ma a maggioranza qualificata.</w:t>
      </w:r>
      <w:r w:rsidR="00176FDD">
        <w:rPr>
          <w:rFonts w:ascii="Times New Roman" w:hAnsi="Times New Roman" w:cs="Times New Roman"/>
          <w:sz w:val="24"/>
          <w:szCs w:val="24"/>
        </w:rPr>
        <w:t xml:space="preserve"> La CGUE ritiene che il legislatore dell’Unione abbia correttamente privilegiato l’art. 47, </w:t>
      </w:r>
      <w:proofErr w:type="spellStart"/>
      <w:r w:rsidR="00176FDD">
        <w:rPr>
          <w:rFonts w:ascii="Times New Roman" w:hAnsi="Times New Roman" w:cs="Times New Roman"/>
          <w:sz w:val="24"/>
          <w:szCs w:val="24"/>
        </w:rPr>
        <w:t>paragarfo</w:t>
      </w:r>
      <w:proofErr w:type="spellEnd"/>
      <w:r w:rsidR="003C0E7F">
        <w:rPr>
          <w:rFonts w:ascii="Times New Roman" w:hAnsi="Times New Roman" w:cs="Times New Roman"/>
          <w:sz w:val="24"/>
          <w:szCs w:val="24"/>
        </w:rPr>
        <w:t xml:space="preserve"> </w:t>
      </w:r>
      <w:r w:rsidR="00176FDD">
        <w:rPr>
          <w:rFonts w:ascii="Times New Roman" w:hAnsi="Times New Roman" w:cs="Times New Roman"/>
          <w:sz w:val="24"/>
          <w:szCs w:val="24"/>
        </w:rPr>
        <w:t>2, prima e terza frase, CE e il successivo art. 55, che prevedono l’approvazione a maggioranza, rispetto al citato art. 94.</w:t>
      </w:r>
    </w:p>
    <w:p w:rsidR="00C345D6" w:rsidRDefault="00C345D6" w:rsidP="00D84E17">
      <w:pPr>
        <w:spacing w:line="360" w:lineRule="auto"/>
        <w:ind w:firstLine="709"/>
        <w:jc w:val="both"/>
        <w:rPr>
          <w:rFonts w:ascii="Times New Roman" w:hAnsi="Times New Roman" w:cs="Times New Roman"/>
          <w:sz w:val="24"/>
          <w:szCs w:val="24"/>
        </w:rPr>
      </w:pPr>
    </w:p>
    <w:p w:rsidR="00176FDD" w:rsidRPr="00176FDD" w:rsidRDefault="00176FDD" w:rsidP="00D84E17">
      <w:pPr>
        <w:spacing w:line="360" w:lineRule="auto"/>
        <w:ind w:firstLine="709"/>
        <w:jc w:val="both"/>
        <w:rPr>
          <w:rFonts w:ascii="Times New Roman" w:hAnsi="Times New Roman" w:cs="Times New Roman"/>
          <w:b/>
          <w:sz w:val="24"/>
          <w:szCs w:val="24"/>
        </w:rPr>
      </w:pPr>
      <w:r w:rsidRPr="00176FDD">
        <w:rPr>
          <w:rFonts w:ascii="Times New Roman" w:hAnsi="Times New Roman" w:cs="Times New Roman"/>
          <w:b/>
          <w:sz w:val="24"/>
          <w:szCs w:val="24"/>
        </w:rPr>
        <w:t xml:space="preserve">5. </w:t>
      </w:r>
      <w:r w:rsidR="001737B3">
        <w:rPr>
          <w:rFonts w:ascii="Times New Roman" w:hAnsi="Times New Roman" w:cs="Times New Roman"/>
          <w:b/>
          <w:sz w:val="24"/>
          <w:szCs w:val="24"/>
        </w:rPr>
        <w:t>Il carattere</w:t>
      </w:r>
      <w:r w:rsidRPr="00176FDD">
        <w:rPr>
          <w:rFonts w:ascii="Times New Roman" w:hAnsi="Times New Roman" w:cs="Times New Roman"/>
          <w:b/>
          <w:sz w:val="24"/>
          <w:szCs w:val="24"/>
        </w:rPr>
        <w:t xml:space="preserve"> </w:t>
      </w:r>
      <w:r w:rsidR="001737B3" w:rsidRPr="00176FDD">
        <w:rPr>
          <w:rFonts w:ascii="Times New Roman" w:hAnsi="Times New Roman" w:cs="Times New Roman"/>
          <w:b/>
          <w:sz w:val="24"/>
          <w:szCs w:val="24"/>
        </w:rPr>
        <w:t>self-</w:t>
      </w:r>
      <w:proofErr w:type="spellStart"/>
      <w:r w:rsidR="001737B3" w:rsidRPr="00176FDD">
        <w:rPr>
          <w:rFonts w:ascii="Times New Roman" w:hAnsi="Times New Roman" w:cs="Times New Roman"/>
          <w:b/>
          <w:sz w:val="24"/>
          <w:szCs w:val="24"/>
        </w:rPr>
        <w:t>executing</w:t>
      </w:r>
      <w:proofErr w:type="spellEnd"/>
      <w:r w:rsidR="001737B3" w:rsidRPr="00176FDD">
        <w:rPr>
          <w:rFonts w:ascii="Times New Roman" w:hAnsi="Times New Roman" w:cs="Times New Roman"/>
          <w:b/>
          <w:sz w:val="24"/>
          <w:szCs w:val="24"/>
        </w:rPr>
        <w:t xml:space="preserve"> </w:t>
      </w:r>
      <w:r w:rsidR="001737B3">
        <w:rPr>
          <w:rFonts w:ascii="Times New Roman" w:hAnsi="Times New Roman" w:cs="Times New Roman"/>
          <w:b/>
          <w:sz w:val="24"/>
          <w:szCs w:val="24"/>
        </w:rPr>
        <w:t xml:space="preserve">della </w:t>
      </w:r>
      <w:r w:rsidRPr="00176FDD">
        <w:rPr>
          <w:rFonts w:ascii="Times New Roman" w:hAnsi="Times New Roman" w:cs="Times New Roman"/>
          <w:b/>
          <w:sz w:val="24"/>
          <w:szCs w:val="24"/>
        </w:rPr>
        <w:t>dirett</w:t>
      </w:r>
      <w:r w:rsidR="001737B3">
        <w:rPr>
          <w:rFonts w:ascii="Times New Roman" w:hAnsi="Times New Roman" w:cs="Times New Roman"/>
          <w:b/>
          <w:sz w:val="24"/>
          <w:szCs w:val="24"/>
        </w:rPr>
        <w:t>iva 2006/123/CE</w:t>
      </w:r>
      <w:r w:rsidRPr="00176FDD">
        <w:rPr>
          <w:rFonts w:ascii="Times New Roman" w:hAnsi="Times New Roman" w:cs="Times New Roman"/>
          <w:b/>
          <w:sz w:val="24"/>
          <w:szCs w:val="24"/>
        </w:rPr>
        <w:t>.</w:t>
      </w:r>
    </w:p>
    <w:p w:rsidR="00176FDD" w:rsidRDefault="00176FDD" w:rsidP="00D84E17">
      <w:pPr>
        <w:spacing w:line="360" w:lineRule="auto"/>
        <w:ind w:firstLine="709"/>
        <w:jc w:val="both"/>
        <w:rPr>
          <w:rFonts w:ascii="Times New Roman" w:hAnsi="Times New Roman" w:cs="Times New Roman"/>
          <w:sz w:val="24"/>
          <w:szCs w:val="24"/>
        </w:rPr>
      </w:pPr>
      <w:r w:rsidRPr="00176FDD">
        <w:rPr>
          <w:rFonts w:ascii="Times New Roman" w:hAnsi="Times New Roman" w:cs="Times New Roman"/>
          <w:sz w:val="24"/>
          <w:szCs w:val="24"/>
        </w:rPr>
        <w:t xml:space="preserve">Il </w:t>
      </w:r>
      <w:r>
        <w:rPr>
          <w:rFonts w:ascii="Times New Roman" w:hAnsi="Times New Roman" w:cs="Times New Roman"/>
          <w:sz w:val="24"/>
          <w:szCs w:val="24"/>
        </w:rPr>
        <w:t>quarto</w:t>
      </w:r>
      <w:r w:rsidRPr="00176FDD">
        <w:rPr>
          <w:rFonts w:ascii="Times New Roman" w:hAnsi="Times New Roman" w:cs="Times New Roman"/>
          <w:sz w:val="24"/>
          <w:szCs w:val="24"/>
        </w:rPr>
        <w:t xml:space="preserve"> principio affermato dalla CGUE è il seguente:</w:t>
      </w:r>
    </w:p>
    <w:p w:rsidR="00176FDD" w:rsidRDefault="00176FDD" w:rsidP="005149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005149F7" w:rsidRPr="005149F7">
        <w:rPr>
          <w:rFonts w:ascii="Times New Roman" w:hAnsi="Times New Roman" w:cs="Times New Roman"/>
          <w:i/>
          <w:sz w:val="24"/>
          <w:szCs w:val="24"/>
        </w:rPr>
        <w:t>L’articolo 12, paragrafi 1 e 2, della direttiva 2006/123 deve essere interpretato nel senso che: l’obbligo, per gli Stati membri, di applicare una procedura di selezione imparziale e trasparente tra i candidati potenziali, nonché il divieto di rinnovare automaticamente un’autorizzazione rilasciata per una determinata attività sono enunciati in modo incondizionato e sufficientemente preciso da poter essere considerati disposizioni produttive di effetti diretti</w:t>
      </w:r>
      <w:r w:rsidR="005149F7">
        <w:rPr>
          <w:rFonts w:ascii="Times New Roman" w:hAnsi="Times New Roman" w:cs="Times New Roman"/>
          <w:sz w:val="24"/>
          <w:szCs w:val="24"/>
        </w:rPr>
        <w:t>”.</w:t>
      </w:r>
    </w:p>
    <w:p w:rsidR="009F7F14" w:rsidRDefault="009F7F14" w:rsidP="005149F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 Corte ribadisce il carattere dettagliato e incondizionato</w:t>
      </w:r>
      <w:r w:rsidR="001737B3">
        <w:rPr>
          <w:rFonts w:ascii="Times New Roman" w:hAnsi="Times New Roman" w:cs="Times New Roman"/>
          <w:sz w:val="24"/>
          <w:szCs w:val="24"/>
        </w:rPr>
        <w:t>, e quindi self-</w:t>
      </w:r>
      <w:proofErr w:type="spellStart"/>
      <w:r w:rsidR="001737B3">
        <w:rPr>
          <w:rFonts w:ascii="Times New Roman" w:hAnsi="Times New Roman" w:cs="Times New Roman"/>
          <w:sz w:val="24"/>
          <w:szCs w:val="24"/>
        </w:rPr>
        <w:t>executing</w:t>
      </w:r>
      <w:proofErr w:type="spellEnd"/>
      <w:r w:rsidR="001737B3">
        <w:rPr>
          <w:rFonts w:ascii="Times New Roman" w:hAnsi="Times New Roman" w:cs="Times New Roman"/>
          <w:sz w:val="24"/>
          <w:szCs w:val="24"/>
        </w:rPr>
        <w:t>,</w:t>
      </w:r>
      <w:r>
        <w:rPr>
          <w:rFonts w:ascii="Times New Roman" w:hAnsi="Times New Roman" w:cs="Times New Roman"/>
          <w:sz w:val="24"/>
          <w:szCs w:val="24"/>
        </w:rPr>
        <w:t xml:space="preserve"> delle disposizioni contenute nei primi due paragrafi dell’art. 12 della direttiva </w:t>
      </w:r>
      <w:proofErr w:type="spellStart"/>
      <w:r>
        <w:rPr>
          <w:rFonts w:ascii="Times New Roman" w:hAnsi="Times New Roman" w:cs="Times New Roman"/>
          <w:sz w:val="24"/>
          <w:szCs w:val="24"/>
        </w:rPr>
        <w:t>Bolkestein</w:t>
      </w:r>
      <w:proofErr w:type="spellEnd"/>
      <w:r>
        <w:rPr>
          <w:rFonts w:ascii="Times New Roman" w:hAnsi="Times New Roman" w:cs="Times New Roman"/>
          <w:sz w:val="24"/>
          <w:szCs w:val="24"/>
        </w:rPr>
        <w:t xml:space="preserve"> e si rifà all’interpretazione già data con la sentenza </w:t>
      </w:r>
      <w:proofErr w:type="spellStart"/>
      <w:r>
        <w:rPr>
          <w:rFonts w:ascii="Times New Roman" w:hAnsi="Times New Roman" w:cs="Times New Roman"/>
          <w:sz w:val="24"/>
          <w:szCs w:val="24"/>
        </w:rPr>
        <w:t>Promoimpresa</w:t>
      </w:r>
      <w:proofErr w:type="spellEnd"/>
      <w:r>
        <w:rPr>
          <w:rFonts w:ascii="Times New Roman" w:hAnsi="Times New Roman" w:cs="Times New Roman"/>
          <w:sz w:val="24"/>
          <w:szCs w:val="24"/>
        </w:rPr>
        <w:t>.</w:t>
      </w:r>
      <w:r w:rsidR="001737B3">
        <w:rPr>
          <w:rFonts w:ascii="Times New Roman" w:hAnsi="Times New Roman" w:cs="Times New Roman"/>
          <w:sz w:val="24"/>
          <w:szCs w:val="24"/>
        </w:rPr>
        <w:t xml:space="preserve"> Aggiunge così u</w:t>
      </w:r>
      <w:r>
        <w:rPr>
          <w:rFonts w:ascii="Times New Roman" w:hAnsi="Times New Roman" w:cs="Times New Roman"/>
          <w:sz w:val="24"/>
          <w:szCs w:val="24"/>
        </w:rPr>
        <w:t xml:space="preserve">n altro </w:t>
      </w:r>
      <w:r w:rsidR="008278AF">
        <w:rPr>
          <w:rFonts w:ascii="Times New Roman" w:hAnsi="Times New Roman" w:cs="Times New Roman"/>
          <w:sz w:val="24"/>
          <w:szCs w:val="24"/>
        </w:rPr>
        <w:t>tassello</w:t>
      </w:r>
      <w:r>
        <w:rPr>
          <w:rFonts w:ascii="Times New Roman" w:hAnsi="Times New Roman" w:cs="Times New Roman"/>
          <w:sz w:val="24"/>
          <w:szCs w:val="24"/>
        </w:rPr>
        <w:t xml:space="preserve"> importante: la direttiva va applicata anche ai rapporti giuridici sorti e costituiti prima di quest’ultima sentenza, che è del 2016, </w:t>
      </w:r>
      <w:r w:rsidR="00AB55D9">
        <w:rPr>
          <w:rFonts w:ascii="Times New Roman" w:hAnsi="Times New Roman" w:cs="Times New Roman"/>
          <w:sz w:val="24"/>
          <w:szCs w:val="24"/>
        </w:rPr>
        <w:t>a decorrere dal</w:t>
      </w:r>
      <w:r>
        <w:rPr>
          <w:rFonts w:ascii="Times New Roman" w:hAnsi="Times New Roman" w:cs="Times New Roman"/>
          <w:sz w:val="24"/>
          <w:szCs w:val="24"/>
        </w:rPr>
        <w:t>l’entrata in vigore della direttiva, ossia dal 28 dicembre 2009.</w:t>
      </w:r>
    </w:p>
    <w:p w:rsidR="005149F7" w:rsidRDefault="005149F7" w:rsidP="005149F7">
      <w:pPr>
        <w:spacing w:line="360" w:lineRule="auto"/>
        <w:ind w:firstLine="709"/>
        <w:jc w:val="both"/>
        <w:rPr>
          <w:rFonts w:ascii="Times New Roman" w:hAnsi="Times New Roman" w:cs="Times New Roman"/>
          <w:sz w:val="24"/>
          <w:szCs w:val="24"/>
        </w:rPr>
      </w:pPr>
    </w:p>
    <w:p w:rsidR="00176FDD" w:rsidRPr="009F7F14" w:rsidRDefault="009F7F14" w:rsidP="00D84E17">
      <w:pPr>
        <w:spacing w:line="360" w:lineRule="auto"/>
        <w:ind w:firstLine="709"/>
        <w:jc w:val="both"/>
        <w:rPr>
          <w:rFonts w:ascii="Times New Roman" w:hAnsi="Times New Roman" w:cs="Times New Roman"/>
          <w:b/>
          <w:sz w:val="24"/>
          <w:szCs w:val="24"/>
        </w:rPr>
      </w:pPr>
      <w:r w:rsidRPr="009F7F14">
        <w:rPr>
          <w:rFonts w:ascii="Times New Roman" w:hAnsi="Times New Roman" w:cs="Times New Roman"/>
          <w:b/>
          <w:sz w:val="24"/>
          <w:szCs w:val="24"/>
        </w:rPr>
        <w:t>6. L’obbligo di disapplicazione.</w:t>
      </w:r>
    </w:p>
    <w:p w:rsidR="00B923DF" w:rsidRDefault="009F7F14" w:rsidP="00D84E17">
      <w:pPr>
        <w:spacing w:line="360" w:lineRule="auto"/>
        <w:ind w:firstLine="709"/>
        <w:jc w:val="both"/>
        <w:rPr>
          <w:rFonts w:ascii="Times New Roman" w:hAnsi="Times New Roman" w:cs="Times New Roman"/>
          <w:sz w:val="24"/>
          <w:szCs w:val="24"/>
        </w:rPr>
      </w:pPr>
      <w:r w:rsidRPr="009F7F14">
        <w:rPr>
          <w:rFonts w:ascii="Times New Roman" w:hAnsi="Times New Roman" w:cs="Times New Roman"/>
          <w:sz w:val="24"/>
          <w:szCs w:val="24"/>
        </w:rPr>
        <w:t xml:space="preserve">Il </w:t>
      </w:r>
      <w:r>
        <w:rPr>
          <w:rFonts w:ascii="Times New Roman" w:hAnsi="Times New Roman" w:cs="Times New Roman"/>
          <w:sz w:val="24"/>
          <w:szCs w:val="24"/>
        </w:rPr>
        <w:t>quinto e ultimo</w:t>
      </w:r>
      <w:r w:rsidRPr="009F7F14">
        <w:rPr>
          <w:rFonts w:ascii="Times New Roman" w:hAnsi="Times New Roman" w:cs="Times New Roman"/>
          <w:sz w:val="24"/>
          <w:szCs w:val="24"/>
        </w:rPr>
        <w:t xml:space="preserve"> principio affermato dalla CGUE è il seguente:</w:t>
      </w:r>
    </w:p>
    <w:p w:rsidR="009F7F14" w:rsidRDefault="009F7F14" w:rsidP="009F7F14">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w:t>
      </w:r>
      <w:r w:rsidRPr="009F7F14">
        <w:rPr>
          <w:rFonts w:ascii="Times New Roman" w:hAnsi="Times New Roman" w:cs="Times New Roman"/>
          <w:i/>
          <w:sz w:val="24"/>
          <w:szCs w:val="24"/>
        </w:rPr>
        <w:t>L’articolo 288, terzo comma, TFUE deve essere interpretato nel senso che: la valutazione dell’effetto diretto connesso all’obbligo e al divieto previsti dall’articolo 12, paragrafi 1 e 2, della direttiva 2006/123 e l’obbligo di disapplicare le disposizioni nazionali contrarie incombono ai giudici nazionali e alle autorità amministrative, comprese quelle comunali</w:t>
      </w:r>
      <w:r>
        <w:rPr>
          <w:rFonts w:ascii="Times New Roman" w:hAnsi="Times New Roman" w:cs="Times New Roman"/>
          <w:sz w:val="24"/>
          <w:szCs w:val="24"/>
        </w:rPr>
        <w:t>”.</w:t>
      </w:r>
    </w:p>
    <w:p w:rsidR="00154AD3" w:rsidRDefault="001737B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La C</w:t>
      </w:r>
      <w:r w:rsidR="00154AD3">
        <w:rPr>
          <w:rFonts w:ascii="Times New Roman" w:hAnsi="Times New Roman" w:cs="Times New Roman"/>
          <w:sz w:val="24"/>
          <w:szCs w:val="24"/>
        </w:rPr>
        <w:t>orte, com’era facile prevedere</w:t>
      </w:r>
      <w:r>
        <w:rPr>
          <w:rFonts w:ascii="Times New Roman" w:hAnsi="Times New Roman" w:cs="Times New Roman"/>
          <w:sz w:val="24"/>
          <w:szCs w:val="24"/>
        </w:rPr>
        <w:t>,</w:t>
      </w:r>
      <w:r w:rsidR="00154AD3">
        <w:rPr>
          <w:rFonts w:ascii="Times New Roman" w:hAnsi="Times New Roman" w:cs="Times New Roman"/>
          <w:sz w:val="24"/>
          <w:szCs w:val="24"/>
        </w:rPr>
        <w:t xml:space="preserve"> conferma la sua giurisprudenza ultra trentennale, ormai da tempo avallata</w:t>
      </w:r>
      <w:r>
        <w:rPr>
          <w:rFonts w:ascii="Times New Roman" w:hAnsi="Times New Roman" w:cs="Times New Roman"/>
          <w:sz w:val="24"/>
          <w:szCs w:val="24"/>
        </w:rPr>
        <w:t xml:space="preserve"> anche dalla C</w:t>
      </w:r>
      <w:r w:rsidR="00154AD3">
        <w:rPr>
          <w:rFonts w:ascii="Times New Roman" w:hAnsi="Times New Roman" w:cs="Times New Roman"/>
          <w:sz w:val="24"/>
          <w:szCs w:val="24"/>
        </w:rPr>
        <w:t>orte costituzionale. Ossia l’obbligo di disapplicare il diritto interno contrario al diritto europeo direttamente applicabile incombe</w:t>
      </w:r>
      <w:r>
        <w:rPr>
          <w:rFonts w:ascii="Times New Roman" w:hAnsi="Times New Roman" w:cs="Times New Roman"/>
          <w:sz w:val="24"/>
          <w:szCs w:val="24"/>
        </w:rPr>
        <w:t>,</w:t>
      </w:r>
      <w:r w:rsidR="00154AD3">
        <w:rPr>
          <w:rFonts w:ascii="Times New Roman" w:hAnsi="Times New Roman" w:cs="Times New Roman"/>
          <w:sz w:val="24"/>
          <w:szCs w:val="24"/>
        </w:rPr>
        <w:t xml:space="preserve"> non solo a carico del giudice nel risolvere le </w:t>
      </w:r>
      <w:r>
        <w:rPr>
          <w:rFonts w:ascii="Times New Roman" w:hAnsi="Times New Roman" w:cs="Times New Roman"/>
          <w:sz w:val="24"/>
          <w:szCs w:val="24"/>
        </w:rPr>
        <w:t xml:space="preserve">antinomie </w:t>
      </w:r>
      <w:r w:rsidR="00154AD3">
        <w:rPr>
          <w:rFonts w:ascii="Times New Roman" w:hAnsi="Times New Roman" w:cs="Times New Roman"/>
          <w:sz w:val="24"/>
          <w:szCs w:val="24"/>
        </w:rPr>
        <w:t>normative, ma anche della pubblica amministrazione.</w:t>
      </w:r>
      <w:r>
        <w:rPr>
          <w:rFonts w:ascii="Times New Roman" w:hAnsi="Times New Roman" w:cs="Times New Roman"/>
          <w:sz w:val="24"/>
          <w:szCs w:val="24"/>
        </w:rPr>
        <w:t xml:space="preserve"> Con le conseguenze sulla patologia del provvedimento amministrativo, che, se conforme al diritto interno contrario al diritto europeo direttamente applicabile, sarà illegittimo e quindi annullabile </w:t>
      </w:r>
      <w:r w:rsidR="008278AF">
        <w:rPr>
          <w:rFonts w:ascii="Times New Roman" w:hAnsi="Times New Roman" w:cs="Times New Roman"/>
          <w:sz w:val="24"/>
          <w:szCs w:val="24"/>
        </w:rPr>
        <w:t xml:space="preserve">da parte del </w:t>
      </w:r>
      <w:r>
        <w:rPr>
          <w:rFonts w:ascii="Times New Roman" w:hAnsi="Times New Roman" w:cs="Times New Roman"/>
          <w:sz w:val="24"/>
          <w:szCs w:val="24"/>
        </w:rPr>
        <w:t>giudice amministrativo.</w:t>
      </w:r>
    </w:p>
    <w:p w:rsidR="009F7F14" w:rsidRDefault="00154AD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Nulla di nuovo</w:t>
      </w:r>
      <w:r w:rsidR="001737B3">
        <w:rPr>
          <w:rFonts w:ascii="Times New Roman" w:hAnsi="Times New Roman" w:cs="Times New Roman"/>
          <w:sz w:val="24"/>
          <w:szCs w:val="24"/>
        </w:rPr>
        <w:t xml:space="preserve"> sotto il sole.</w:t>
      </w:r>
    </w:p>
    <w:p w:rsidR="009F7F14" w:rsidRDefault="009F7F14" w:rsidP="00D84E17">
      <w:pPr>
        <w:spacing w:line="360" w:lineRule="auto"/>
        <w:ind w:firstLine="709"/>
        <w:jc w:val="both"/>
        <w:rPr>
          <w:rFonts w:ascii="Times New Roman" w:hAnsi="Times New Roman" w:cs="Times New Roman"/>
          <w:sz w:val="24"/>
          <w:szCs w:val="24"/>
        </w:rPr>
      </w:pPr>
    </w:p>
    <w:p w:rsidR="001737B3" w:rsidRPr="001737B3" w:rsidRDefault="001737B3" w:rsidP="00D84E17">
      <w:pPr>
        <w:spacing w:line="360" w:lineRule="auto"/>
        <w:ind w:firstLine="709"/>
        <w:jc w:val="both"/>
        <w:rPr>
          <w:rFonts w:ascii="Times New Roman" w:hAnsi="Times New Roman" w:cs="Times New Roman"/>
          <w:b/>
          <w:sz w:val="24"/>
          <w:szCs w:val="24"/>
        </w:rPr>
      </w:pPr>
      <w:r w:rsidRPr="001737B3">
        <w:rPr>
          <w:rFonts w:ascii="Times New Roman" w:hAnsi="Times New Roman" w:cs="Times New Roman"/>
          <w:b/>
          <w:sz w:val="24"/>
          <w:szCs w:val="24"/>
        </w:rPr>
        <w:t xml:space="preserve">7. </w:t>
      </w:r>
      <w:r w:rsidR="00CA03AD">
        <w:rPr>
          <w:rFonts w:ascii="Times New Roman" w:hAnsi="Times New Roman" w:cs="Times New Roman"/>
          <w:b/>
          <w:sz w:val="24"/>
          <w:szCs w:val="24"/>
        </w:rPr>
        <w:t>Problemi giuridici</w:t>
      </w:r>
      <w:r w:rsidR="00B8162B">
        <w:rPr>
          <w:rFonts w:ascii="Times New Roman" w:hAnsi="Times New Roman" w:cs="Times New Roman"/>
          <w:b/>
          <w:sz w:val="24"/>
          <w:szCs w:val="24"/>
        </w:rPr>
        <w:t>.</w:t>
      </w:r>
    </w:p>
    <w:p w:rsidR="006273C9" w:rsidRDefault="006273C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sentenza della CGUE del 20 aprile 2023 continua la </w:t>
      </w:r>
      <w:r w:rsidR="00AB55D9">
        <w:rPr>
          <w:rFonts w:ascii="Times New Roman" w:hAnsi="Times New Roman" w:cs="Times New Roman"/>
          <w:sz w:val="24"/>
          <w:szCs w:val="24"/>
        </w:rPr>
        <w:t>sequenza</w:t>
      </w:r>
      <w:r>
        <w:rPr>
          <w:rFonts w:ascii="Times New Roman" w:hAnsi="Times New Roman" w:cs="Times New Roman"/>
          <w:sz w:val="24"/>
          <w:szCs w:val="24"/>
        </w:rPr>
        <w:t xml:space="preserve"> giuridica in materia.</w:t>
      </w:r>
    </w:p>
    <w:p w:rsidR="00602CD9" w:rsidRDefault="00602CD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 estrema sintesi.</w:t>
      </w:r>
    </w:p>
    <w:p w:rsidR="00CA03AD" w:rsidRDefault="006273C9" w:rsidP="00CA03AD">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w:t>
      </w:r>
      <w:r w:rsidR="00CA03AD">
        <w:rPr>
          <w:rFonts w:ascii="Times New Roman" w:hAnsi="Times New Roman" w:cs="Times New Roman"/>
          <w:sz w:val="24"/>
          <w:szCs w:val="24"/>
        </w:rPr>
        <w:t xml:space="preserve"> campo </w:t>
      </w:r>
      <w:r>
        <w:rPr>
          <w:rFonts w:ascii="Times New Roman" w:hAnsi="Times New Roman" w:cs="Times New Roman"/>
          <w:sz w:val="24"/>
          <w:szCs w:val="24"/>
        </w:rPr>
        <w:t xml:space="preserve">è </w:t>
      </w:r>
      <w:r w:rsidR="00CA03AD">
        <w:rPr>
          <w:rFonts w:ascii="Times New Roman" w:hAnsi="Times New Roman" w:cs="Times New Roman"/>
          <w:sz w:val="24"/>
          <w:szCs w:val="24"/>
        </w:rPr>
        <w:t xml:space="preserve">regolato innanzitutto dal diritto europeo, in cui vigono i </w:t>
      </w:r>
      <w:r w:rsidR="00933B4A" w:rsidRPr="00D84E17">
        <w:rPr>
          <w:rFonts w:ascii="Times New Roman" w:hAnsi="Times New Roman" w:cs="Times New Roman"/>
          <w:sz w:val="24"/>
          <w:szCs w:val="24"/>
        </w:rPr>
        <w:t>divieti alle restrizioni alla libertà di stabilimento e alla libera prestazione di servizi, previsti, rispettivament</w:t>
      </w:r>
      <w:r w:rsidR="00CA03AD">
        <w:rPr>
          <w:rFonts w:ascii="Times New Roman" w:hAnsi="Times New Roman" w:cs="Times New Roman"/>
          <w:sz w:val="24"/>
          <w:szCs w:val="24"/>
        </w:rPr>
        <w:t>e, dagli artt. 49 e 56 del TFUE</w:t>
      </w:r>
      <w:r w:rsidR="00602CD9">
        <w:rPr>
          <w:rFonts w:ascii="Times New Roman" w:hAnsi="Times New Roman" w:cs="Times New Roman"/>
          <w:sz w:val="24"/>
          <w:szCs w:val="24"/>
        </w:rPr>
        <w:t>,</w:t>
      </w:r>
      <w:r w:rsidR="00CA03AD">
        <w:rPr>
          <w:rFonts w:ascii="Times New Roman" w:hAnsi="Times New Roman" w:cs="Times New Roman"/>
          <w:sz w:val="24"/>
          <w:szCs w:val="24"/>
        </w:rPr>
        <w:t xml:space="preserve"> e i </w:t>
      </w:r>
      <w:r w:rsidR="00933B4A" w:rsidRPr="00D84E17">
        <w:rPr>
          <w:rFonts w:ascii="Times New Roman" w:hAnsi="Times New Roman" w:cs="Times New Roman"/>
          <w:sz w:val="24"/>
          <w:szCs w:val="24"/>
        </w:rPr>
        <w:t xml:space="preserve">principi di tutela della concorrenza </w:t>
      </w:r>
      <w:r w:rsidR="00CA03AD">
        <w:rPr>
          <w:rFonts w:ascii="Times New Roman" w:hAnsi="Times New Roman" w:cs="Times New Roman"/>
          <w:sz w:val="24"/>
          <w:szCs w:val="24"/>
        </w:rPr>
        <w:t>e del libero accesso ai mercati.</w:t>
      </w:r>
    </w:p>
    <w:p w:rsidR="002B2501" w:rsidRDefault="00933B4A"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L’art. 12 della direttiva del Parlamento europeo e del Consiglio relativa ai servizi nel mercato interno 12 dicembre 2006, n. 200</w:t>
      </w:r>
      <w:r w:rsidR="00CA03AD">
        <w:rPr>
          <w:rFonts w:ascii="Times New Roman" w:hAnsi="Times New Roman" w:cs="Times New Roman"/>
          <w:sz w:val="24"/>
          <w:szCs w:val="24"/>
        </w:rPr>
        <w:t xml:space="preserve">6/123/CE, cosiddetta </w:t>
      </w:r>
      <w:proofErr w:type="spellStart"/>
      <w:r w:rsidR="00CA03AD">
        <w:rPr>
          <w:rFonts w:ascii="Times New Roman" w:hAnsi="Times New Roman" w:cs="Times New Roman"/>
          <w:sz w:val="24"/>
          <w:szCs w:val="24"/>
        </w:rPr>
        <w:t>Bolkestein</w:t>
      </w:r>
      <w:proofErr w:type="spellEnd"/>
      <w:r w:rsidR="00CA03AD">
        <w:rPr>
          <w:rFonts w:ascii="Times New Roman" w:hAnsi="Times New Roman" w:cs="Times New Roman"/>
          <w:sz w:val="24"/>
          <w:szCs w:val="24"/>
        </w:rPr>
        <w:t xml:space="preserve">, è stato recepito dal </w:t>
      </w:r>
      <w:r w:rsidR="002B2501" w:rsidRPr="00D84E17">
        <w:rPr>
          <w:rFonts w:ascii="Times New Roman" w:hAnsi="Times New Roman" w:cs="Times New Roman"/>
          <w:sz w:val="24"/>
          <w:szCs w:val="24"/>
        </w:rPr>
        <w:t>d.lgs. 26 marzo 2010, n. 59, che</w:t>
      </w:r>
      <w:r w:rsidR="008278AF">
        <w:rPr>
          <w:rFonts w:ascii="Times New Roman" w:hAnsi="Times New Roman" w:cs="Times New Roman"/>
          <w:sz w:val="24"/>
          <w:szCs w:val="24"/>
        </w:rPr>
        <w:t xml:space="preserve"> ne </w:t>
      </w:r>
      <w:r w:rsidR="00CA03AD">
        <w:rPr>
          <w:rFonts w:ascii="Times New Roman" w:hAnsi="Times New Roman" w:cs="Times New Roman"/>
          <w:sz w:val="24"/>
          <w:szCs w:val="24"/>
        </w:rPr>
        <w:t xml:space="preserve">ha </w:t>
      </w:r>
      <w:r w:rsidR="002B2501" w:rsidRPr="00D84E17">
        <w:rPr>
          <w:rFonts w:ascii="Times New Roman" w:hAnsi="Times New Roman" w:cs="Times New Roman"/>
          <w:sz w:val="24"/>
          <w:szCs w:val="24"/>
        </w:rPr>
        <w:t>ripre</w:t>
      </w:r>
      <w:r w:rsidR="00CA03AD">
        <w:rPr>
          <w:rFonts w:ascii="Times New Roman" w:hAnsi="Times New Roman" w:cs="Times New Roman"/>
          <w:sz w:val="24"/>
          <w:szCs w:val="24"/>
        </w:rPr>
        <w:t>so</w:t>
      </w:r>
      <w:r w:rsidR="002B2501" w:rsidRPr="00D84E17">
        <w:rPr>
          <w:rFonts w:ascii="Times New Roman" w:hAnsi="Times New Roman" w:cs="Times New Roman"/>
          <w:sz w:val="24"/>
          <w:szCs w:val="24"/>
        </w:rPr>
        <w:t xml:space="preserve"> il contenuto nell’art. 16, dal titolo “</w:t>
      </w:r>
      <w:r w:rsidR="002B2501" w:rsidRPr="00D84E17">
        <w:rPr>
          <w:rFonts w:ascii="Times New Roman" w:hAnsi="Times New Roman" w:cs="Times New Roman"/>
          <w:i/>
          <w:sz w:val="24"/>
          <w:szCs w:val="24"/>
        </w:rPr>
        <w:t>Selezione tra diversi candidati</w:t>
      </w:r>
      <w:r w:rsidR="002B2501" w:rsidRPr="00D84E17">
        <w:rPr>
          <w:rFonts w:ascii="Times New Roman" w:hAnsi="Times New Roman" w:cs="Times New Roman"/>
          <w:sz w:val="24"/>
          <w:szCs w:val="24"/>
        </w:rPr>
        <w:t>”.</w:t>
      </w:r>
    </w:p>
    <w:p w:rsidR="001C1FCC" w:rsidRPr="00D84E17" w:rsidRDefault="008278A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Tuttavia</w:t>
      </w:r>
      <w:r w:rsidR="00CA03AD">
        <w:rPr>
          <w:rFonts w:ascii="Times New Roman" w:hAnsi="Times New Roman" w:cs="Times New Roman"/>
          <w:sz w:val="24"/>
          <w:szCs w:val="24"/>
        </w:rPr>
        <w:t xml:space="preserve"> il nostro ordinamento interno ha visto l</w:t>
      </w:r>
      <w:r w:rsidR="002B2501" w:rsidRPr="00D84E17">
        <w:rPr>
          <w:rFonts w:ascii="Times New Roman" w:hAnsi="Times New Roman" w:cs="Times New Roman"/>
          <w:sz w:val="24"/>
          <w:szCs w:val="24"/>
        </w:rPr>
        <w:t>a successione d</w:t>
      </w:r>
      <w:r w:rsidR="00CA03AD">
        <w:rPr>
          <w:rFonts w:ascii="Times New Roman" w:hAnsi="Times New Roman" w:cs="Times New Roman"/>
          <w:sz w:val="24"/>
          <w:szCs w:val="24"/>
        </w:rPr>
        <w:t>i norme</w:t>
      </w:r>
      <w:r w:rsidR="002B2501" w:rsidRPr="00D84E17">
        <w:rPr>
          <w:rFonts w:ascii="Times New Roman" w:hAnsi="Times New Roman" w:cs="Times New Roman"/>
          <w:sz w:val="24"/>
          <w:szCs w:val="24"/>
        </w:rPr>
        <w:t xml:space="preserve"> che ha</w:t>
      </w:r>
      <w:r w:rsidR="00CA03AD">
        <w:rPr>
          <w:rFonts w:ascii="Times New Roman" w:hAnsi="Times New Roman" w:cs="Times New Roman"/>
          <w:sz w:val="24"/>
          <w:szCs w:val="24"/>
        </w:rPr>
        <w:t>nno</w:t>
      </w:r>
      <w:r w:rsidR="002B2501" w:rsidRPr="00D84E17">
        <w:rPr>
          <w:rFonts w:ascii="Times New Roman" w:hAnsi="Times New Roman" w:cs="Times New Roman"/>
          <w:sz w:val="24"/>
          <w:szCs w:val="24"/>
        </w:rPr>
        <w:t xml:space="preserve"> disposto varie volte, e continuativamente, la proroga delle concessioni</w:t>
      </w:r>
      <w:r w:rsidR="001C1FCC" w:rsidRPr="00D84E17">
        <w:rPr>
          <w:rFonts w:ascii="Times New Roman" w:hAnsi="Times New Roman" w:cs="Times New Roman"/>
          <w:sz w:val="24"/>
          <w:szCs w:val="24"/>
        </w:rPr>
        <w:t xml:space="preserve"> demaniali marittime in essere.</w:t>
      </w:r>
    </w:p>
    <w:p w:rsidR="002B2501" w:rsidRPr="00D84E17" w:rsidRDefault="002B2501"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Si tratta di tre provvedimenti legislativi, a partire dall’art. 1, comma 18, del </w:t>
      </w:r>
      <w:proofErr w:type="spellStart"/>
      <w:r w:rsidRPr="00D84E17">
        <w:rPr>
          <w:rFonts w:ascii="Times New Roman" w:hAnsi="Times New Roman" w:cs="Times New Roman"/>
          <w:sz w:val="24"/>
          <w:szCs w:val="24"/>
        </w:rPr>
        <w:t>d.l.</w:t>
      </w:r>
      <w:proofErr w:type="spellEnd"/>
      <w:r w:rsidRPr="00D84E17">
        <w:rPr>
          <w:rFonts w:ascii="Times New Roman" w:hAnsi="Times New Roman" w:cs="Times New Roman"/>
          <w:sz w:val="24"/>
          <w:szCs w:val="24"/>
        </w:rPr>
        <w:t xml:space="preserve"> 30 dicembre 2009, n.</w:t>
      </w:r>
      <w:r w:rsidR="003F0DAC">
        <w:rPr>
          <w:rFonts w:ascii="Times New Roman" w:hAnsi="Times New Roman" w:cs="Times New Roman"/>
          <w:sz w:val="24"/>
          <w:szCs w:val="24"/>
        </w:rPr>
        <w:t xml:space="preserve"> 194 (così detto decreto “</w:t>
      </w:r>
      <w:proofErr w:type="spellStart"/>
      <w:r w:rsidR="003F0DAC">
        <w:rPr>
          <w:rFonts w:ascii="Times New Roman" w:hAnsi="Times New Roman" w:cs="Times New Roman"/>
          <w:sz w:val="24"/>
          <w:szCs w:val="24"/>
        </w:rPr>
        <w:t>mille</w:t>
      </w:r>
      <w:r w:rsidRPr="00D84E17">
        <w:rPr>
          <w:rFonts w:ascii="Times New Roman" w:hAnsi="Times New Roman" w:cs="Times New Roman"/>
          <w:sz w:val="24"/>
          <w:szCs w:val="24"/>
        </w:rPr>
        <w:t>proroghe</w:t>
      </w:r>
      <w:proofErr w:type="spellEnd"/>
      <w:r w:rsidRPr="00D84E17">
        <w:rPr>
          <w:rFonts w:ascii="Times New Roman" w:hAnsi="Times New Roman" w:cs="Times New Roman"/>
          <w:sz w:val="24"/>
          <w:szCs w:val="24"/>
        </w:rPr>
        <w:t>”, convertito, con modificazioni, dalla l. 26 febbraio 2010, n</w:t>
      </w:r>
      <w:r w:rsidR="00602CD9">
        <w:rPr>
          <w:rFonts w:ascii="Times New Roman" w:hAnsi="Times New Roman" w:cs="Times New Roman"/>
          <w:sz w:val="24"/>
          <w:szCs w:val="24"/>
        </w:rPr>
        <w:t>.</w:t>
      </w:r>
      <w:r w:rsidRPr="00D84E17">
        <w:rPr>
          <w:rFonts w:ascii="Times New Roman" w:hAnsi="Times New Roman" w:cs="Times New Roman"/>
          <w:sz w:val="24"/>
          <w:szCs w:val="24"/>
        </w:rPr>
        <w:t xml:space="preserve"> 25) e a finire con l’art. 1, commi 682 e 683, della l. 30 dicembre 2018, n. 145 (legge finanziaria per il 2019). La prima proroga inizialmente fino al 31 dicembre 2012 e l’ultima fino al 31 dicembre 2033, ininterrottamente.</w:t>
      </w:r>
    </w:p>
    <w:p w:rsidR="002B2501" w:rsidRPr="00D84E17" w:rsidRDefault="00CA03AD"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 qui l</w:t>
      </w:r>
      <w:r w:rsidR="002B2501" w:rsidRPr="00D84E17">
        <w:rPr>
          <w:rFonts w:ascii="Times New Roman" w:hAnsi="Times New Roman" w:cs="Times New Roman"/>
          <w:sz w:val="24"/>
          <w:szCs w:val="24"/>
        </w:rPr>
        <w:t>e plurime procedure di infrazione messe in moto dalla Commissione europea.</w:t>
      </w:r>
      <w:r>
        <w:rPr>
          <w:rFonts w:ascii="Times New Roman" w:hAnsi="Times New Roman" w:cs="Times New Roman"/>
          <w:sz w:val="24"/>
          <w:szCs w:val="24"/>
        </w:rPr>
        <w:t xml:space="preserve"> Per poi giungere</w:t>
      </w:r>
      <w:r w:rsidR="006273C9">
        <w:rPr>
          <w:rFonts w:ascii="Times New Roman" w:hAnsi="Times New Roman" w:cs="Times New Roman"/>
          <w:sz w:val="24"/>
          <w:szCs w:val="24"/>
        </w:rPr>
        <w:t xml:space="preserve"> anche </w:t>
      </w:r>
      <w:r>
        <w:rPr>
          <w:rFonts w:ascii="Times New Roman" w:hAnsi="Times New Roman" w:cs="Times New Roman"/>
          <w:sz w:val="24"/>
          <w:szCs w:val="24"/>
        </w:rPr>
        <w:t xml:space="preserve">alla </w:t>
      </w:r>
      <w:r w:rsidR="002B2501" w:rsidRPr="00D84E17">
        <w:rPr>
          <w:rFonts w:ascii="Times New Roman" w:hAnsi="Times New Roman" w:cs="Times New Roman"/>
          <w:sz w:val="24"/>
          <w:szCs w:val="24"/>
        </w:rPr>
        <w:t xml:space="preserve">sentenza della CGUE, sez. V, 14 luglio 2016, n. 458, cosiddetta sentenza </w:t>
      </w:r>
      <w:proofErr w:type="spellStart"/>
      <w:r w:rsidR="002B2501" w:rsidRPr="00D84E17">
        <w:rPr>
          <w:rFonts w:ascii="Times New Roman" w:hAnsi="Times New Roman" w:cs="Times New Roman"/>
          <w:sz w:val="24"/>
          <w:szCs w:val="24"/>
        </w:rPr>
        <w:t>Promoimpresa</w:t>
      </w:r>
      <w:proofErr w:type="spellEnd"/>
      <w:r w:rsidR="002B2501" w:rsidRPr="00D84E17">
        <w:rPr>
          <w:rFonts w:ascii="Times New Roman" w:hAnsi="Times New Roman" w:cs="Times New Roman"/>
          <w:sz w:val="24"/>
          <w:szCs w:val="24"/>
        </w:rPr>
        <w:t xml:space="preserve">, la quale </w:t>
      </w:r>
      <w:r>
        <w:rPr>
          <w:rFonts w:ascii="Times New Roman" w:hAnsi="Times New Roman" w:cs="Times New Roman"/>
          <w:sz w:val="24"/>
          <w:szCs w:val="24"/>
        </w:rPr>
        <w:t xml:space="preserve">ha </w:t>
      </w:r>
      <w:r w:rsidR="002B2501" w:rsidRPr="00D84E17">
        <w:rPr>
          <w:rFonts w:ascii="Times New Roman" w:hAnsi="Times New Roman" w:cs="Times New Roman"/>
          <w:sz w:val="24"/>
          <w:szCs w:val="24"/>
        </w:rPr>
        <w:t>afferma</w:t>
      </w:r>
      <w:r>
        <w:rPr>
          <w:rFonts w:ascii="Times New Roman" w:hAnsi="Times New Roman" w:cs="Times New Roman"/>
          <w:sz w:val="24"/>
          <w:szCs w:val="24"/>
        </w:rPr>
        <w:t>to</w:t>
      </w:r>
      <w:r w:rsidR="002B2501" w:rsidRPr="00D84E17">
        <w:rPr>
          <w:rFonts w:ascii="Times New Roman" w:hAnsi="Times New Roman" w:cs="Times New Roman"/>
          <w:sz w:val="24"/>
          <w:szCs w:val="24"/>
        </w:rPr>
        <w:t xml:space="preserve"> che:</w:t>
      </w:r>
    </w:p>
    <w:p w:rsidR="002B2501" w:rsidRPr="00D84E17" w:rsidRDefault="002B2501" w:rsidP="00D84E17">
      <w:pPr>
        <w:spacing w:line="360" w:lineRule="auto"/>
        <w:ind w:firstLine="709"/>
        <w:jc w:val="both"/>
        <w:rPr>
          <w:rFonts w:ascii="Times New Roman" w:hAnsi="Times New Roman" w:cs="Times New Roman"/>
          <w:i/>
          <w:sz w:val="24"/>
          <w:szCs w:val="24"/>
        </w:rPr>
      </w:pPr>
      <w:r w:rsidRPr="00D84E17">
        <w:rPr>
          <w:rFonts w:ascii="Times New Roman" w:hAnsi="Times New Roman" w:cs="Times New Roman"/>
          <w:sz w:val="24"/>
          <w:szCs w:val="24"/>
        </w:rPr>
        <w:t>“</w:t>
      </w:r>
      <w:r w:rsidRPr="00D84E17">
        <w:rPr>
          <w:rFonts w:ascii="Times New Roman" w:hAnsi="Times New Roman" w:cs="Times New Roman"/>
          <w:i/>
          <w:sz w:val="24"/>
          <w:szCs w:val="24"/>
        </w:rPr>
        <w:t>1) L'articolo 12, paragrafi 1 e 2, della direttiva 2006/123/CE del Parlamento europeo e del Consiglio, del 12 dicembre 2006, relativa ai servizi nel mercato interno, deve essere interpretato nel senso che osta a una misura nazionale, come quella di cui ai procedimenti principali, che prevede la proroga automatica delle autorizzazioni demaniali marittime e lacuali in essere per attività turistico-ricreative, in assenza di qualsiasi procedura di selezione tra i potenziali candidati.</w:t>
      </w:r>
    </w:p>
    <w:p w:rsidR="002B2501" w:rsidRPr="00D84E17" w:rsidRDefault="002B2501" w:rsidP="00D84E17">
      <w:pPr>
        <w:spacing w:line="360" w:lineRule="auto"/>
        <w:ind w:firstLine="709"/>
        <w:jc w:val="both"/>
        <w:rPr>
          <w:rFonts w:ascii="Times New Roman" w:hAnsi="Times New Roman" w:cs="Times New Roman"/>
          <w:i/>
          <w:sz w:val="24"/>
          <w:szCs w:val="24"/>
        </w:rPr>
      </w:pPr>
      <w:r w:rsidRPr="00D84E17">
        <w:rPr>
          <w:rFonts w:ascii="Times New Roman" w:hAnsi="Times New Roman" w:cs="Times New Roman"/>
          <w:i/>
          <w:sz w:val="24"/>
          <w:szCs w:val="24"/>
        </w:rPr>
        <w:t>2) L'articolo 49 TFUE deve essere interpretato nel senso che osta a una normativa nazionale, come quella di cui ai procedimenti principali, che consente una proroga automatica delle concessioni demaniali pubbliche in essere per attività turistico-ricreative, nei limiti in cui tali concessioni presentano un interesse transfrontaliero certo.</w:t>
      </w:r>
    </w:p>
    <w:p w:rsidR="00933B4A" w:rsidRPr="00D84E17" w:rsidRDefault="00CA03AD"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Poi l</w:t>
      </w:r>
      <w:r w:rsidR="00F0134E" w:rsidRPr="00D84E17">
        <w:rPr>
          <w:rFonts w:ascii="Times New Roman" w:hAnsi="Times New Roman" w:cs="Times New Roman"/>
          <w:sz w:val="24"/>
          <w:szCs w:val="24"/>
        </w:rPr>
        <w:t xml:space="preserve">e sentenze gemelle dell’Adunanza Plenaria del Consiglio di Stato </w:t>
      </w:r>
      <w:r>
        <w:rPr>
          <w:rFonts w:ascii="Times New Roman" w:hAnsi="Times New Roman" w:cs="Times New Roman"/>
          <w:sz w:val="24"/>
          <w:szCs w:val="24"/>
        </w:rPr>
        <w:t xml:space="preserve">9 novembre 2021, </w:t>
      </w:r>
      <w:proofErr w:type="spellStart"/>
      <w:r w:rsidR="00F0134E" w:rsidRPr="00D84E17">
        <w:rPr>
          <w:rFonts w:ascii="Times New Roman" w:hAnsi="Times New Roman" w:cs="Times New Roman"/>
          <w:sz w:val="24"/>
          <w:szCs w:val="24"/>
        </w:rPr>
        <w:t>nn</w:t>
      </w:r>
      <w:proofErr w:type="spellEnd"/>
      <w:r w:rsidR="00F0134E" w:rsidRPr="00D84E17">
        <w:rPr>
          <w:rFonts w:ascii="Times New Roman" w:hAnsi="Times New Roman" w:cs="Times New Roman"/>
          <w:sz w:val="24"/>
          <w:szCs w:val="24"/>
        </w:rPr>
        <w:t>. 17 e 18</w:t>
      </w:r>
      <w:r w:rsidR="006273C9">
        <w:rPr>
          <w:rFonts w:ascii="Times New Roman" w:hAnsi="Times New Roman" w:cs="Times New Roman"/>
          <w:sz w:val="24"/>
          <w:szCs w:val="24"/>
        </w:rPr>
        <w:t>, che hanno</w:t>
      </w:r>
      <w:r w:rsidR="005D472A" w:rsidRPr="00D84E17">
        <w:rPr>
          <w:rFonts w:ascii="Times New Roman" w:hAnsi="Times New Roman" w:cs="Times New Roman"/>
          <w:sz w:val="24"/>
          <w:szCs w:val="24"/>
        </w:rPr>
        <w:t xml:space="preserve"> afferma</w:t>
      </w:r>
      <w:r w:rsidR="006273C9">
        <w:rPr>
          <w:rFonts w:ascii="Times New Roman" w:hAnsi="Times New Roman" w:cs="Times New Roman"/>
          <w:sz w:val="24"/>
          <w:szCs w:val="24"/>
        </w:rPr>
        <w:t>to</w:t>
      </w:r>
      <w:r w:rsidR="005D472A" w:rsidRPr="00D84E17">
        <w:rPr>
          <w:rFonts w:ascii="Times New Roman" w:hAnsi="Times New Roman" w:cs="Times New Roman"/>
          <w:sz w:val="24"/>
          <w:szCs w:val="24"/>
        </w:rPr>
        <w:t>, innanzitutto, il seguente principio:</w:t>
      </w:r>
    </w:p>
    <w:p w:rsidR="005D472A" w:rsidRPr="00D84E17" w:rsidRDefault="005D472A" w:rsidP="00D84E17">
      <w:pPr>
        <w:spacing w:line="360" w:lineRule="auto"/>
        <w:ind w:firstLine="709"/>
        <w:jc w:val="both"/>
        <w:rPr>
          <w:rFonts w:ascii="Times New Roman" w:hAnsi="Times New Roman" w:cs="Times New Roman"/>
          <w:i/>
          <w:iCs/>
          <w:sz w:val="24"/>
          <w:szCs w:val="24"/>
        </w:rPr>
      </w:pPr>
      <w:r w:rsidRPr="00D84E17">
        <w:rPr>
          <w:rFonts w:ascii="Times New Roman" w:hAnsi="Times New Roman" w:cs="Times New Roman"/>
          <w:iCs/>
          <w:sz w:val="24"/>
          <w:szCs w:val="24"/>
        </w:rPr>
        <w:t>“</w:t>
      </w:r>
      <w:r w:rsidRPr="00D84E17">
        <w:rPr>
          <w:rFonts w:ascii="Times New Roman" w:hAnsi="Times New Roman" w:cs="Times New Roman"/>
          <w:i/>
          <w:iCs/>
          <w:sz w:val="24"/>
          <w:szCs w:val="24"/>
        </w:rPr>
        <w:t>1. Le norme legislative nazionali che hanno disposto (e che in futuro dovessero ancora disporre) la proroga automatica delle concessioni demaniali marittime pe</w:t>
      </w:r>
      <w:r w:rsidR="006B517D" w:rsidRPr="00D84E17">
        <w:rPr>
          <w:rFonts w:ascii="Times New Roman" w:hAnsi="Times New Roman" w:cs="Times New Roman"/>
          <w:i/>
          <w:iCs/>
          <w:sz w:val="24"/>
          <w:szCs w:val="24"/>
        </w:rPr>
        <w:t>r finalità turistico-ricreative…</w:t>
      </w:r>
      <w:r w:rsidRPr="00D84E17">
        <w:rPr>
          <w:rFonts w:ascii="Times New Roman" w:hAnsi="Times New Roman" w:cs="Times New Roman"/>
          <w:i/>
          <w:iCs/>
          <w:sz w:val="24"/>
          <w:szCs w:val="24"/>
        </w:rPr>
        <w:t xml:space="preserve">sono in contrasto con il diritto </w:t>
      </w:r>
      <w:proofErr w:type="spellStart"/>
      <w:r w:rsidRPr="00D84E17">
        <w:rPr>
          <w:rFonts w:ascii="Times New Roman" w:hAnsi="Times New Roman" w:cs="Times New Roman"/>
          <w:i/>
          <w:iCs/>
          <w:sz w:val="24"/>
          <w:szCs w:val="24"/>
        </w:rPr>
        <w:t>eurounitario</w:t>
      </w:r>
      <w:proofErr w:type="spellEnd"/>
      <w:r w:rsidRPr="00D84E17">
        <w:rPr>
          <w:rFonts w:ascii="Times New Roman" w:hAnsi="Times New Roman" w:cs="Times New Roman"/>
          <w:i/>
          <w:iCs/>
          <w:sz w:val="24"/>
          <w:szCs w:val="24"/>
        </w:rPr>
        <w:t>, segnatamente con l'art. 49 TFUE e con l'art. 12 della direttiva 2006/123/CE. Tali norme, pertanto, non devono essere applicate né dai giudici né dalla pubblica amministrazione”.</w:t>
      </w:r>
    </w:p>
    <w:p w:rsidR="006F3E61" w:rsidRPr="00D84E17" w:rsidRDefault="006273C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Sulla spinta dell’Adunanza Plenaria è intervenuta la</w:t>
      </w:r>
      <w:r w:rsidR="006F3E61" w:rsidRPr="00D84E17">
        <w:rPr>
          <w:rFonts w:ascii="Times New Roman" w:hAnsi="Times New Roman" w:cs="Times New Roman"/>
          <w:sz w:val="24"/>
          <w:szCs w:val="24"/>
        </w:rPr>
        <w:t xml:space="preserve"> l. 5 agosto 2022, n. 118, dal titolo “</w:t>
      </w:r>
      <w:r w:rsidR="006F3E61" w:rsidRPr="00D84E17">
        <w:rPr>
          <w:rFonts w:ascii="Times New Roman" w:hAnsi="Times New Roman" w:cs="Times New Roman"/>
          <w:i/>
          <w:sz w:val="24"/>
          <w:szCs w:val="24"/>
        </w:rPr>
        <w:t>Legge annuale per il mercato e la concorrenza 2021</w:t>
      </w:r>
      <w:r w:rsidR="006F3E61" w:rsidRPr="00D84E17">
        <w:rPr>
          <w:rFonts w:ascii="Times New Roman" w:hAnsi="Times New Roman" w:cs="Times New Roman"/>
          <w:sz w:val="24"/>
          <w:szCs w:val="24"/>
        </w:rPr>
        <w:t>” (in vigore dal 27 agosto 2022)</w:t>
      </w:r>
      <w:r>
        <w:rPr>
          <w:rFonts w:ascii="Times New Roman" w:hAnsi="Times New Roman" w:cs="Times New Roman"/>
          <w:sz w:val="24"/>
          <w:szCs w:val="24"/>
        </w:rPr>
        <w:t>, che ha previsto:</w:t>
      </w:r>
    </w:p>
    <w:p w:rsidR="006F3E61"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a) </w:t>
      </w:r>
      <w:r w:rsidR="006273C9">
        <w:rPr>
          <w:rFonts w:ascii="Times New Roman" w:hAnsi="Times New Roman" w:cs="Times New Roman"/>
          <w:sz w:val="24"/>
          <w:szCs w:val="24"/>
        </w:rPr>
        <w:t xml:space="preserve">la </w:t>
      </w:r>
      <w:r w:rsidRPr="00D84E17">
        <w:rPr>
          <w:rFonts w:ascii="Times New Roman" w:hAnsi="Times New Roman" w:cs="Times New Roman"/>
          <w:sz w:val="24"/>
          <w:szCs w:val="24"/>
        </w:rPr>
        <w:t>mappatura</w:t>
      </w:r>
      <w:r w:rsidR="00266AB0">
        <w:rPr>
          <w:rFonts w:ascii="Times New Roman" w:hAnsi="Times New Roman" w:cs="Times New Roman"/>
          <w:sz w:val="24"/>
          <w:szCs w:val="24"/>
        </w:rPr>
        <w:t>, ossia la rilevazione delle concessioni di beni pubblici</w:t>
      </w:r>
      <w:r w:rsidRPr="00D84E17">
        <w:rPr>
          <w:rFonts w:ascii="Times New Roman" w:hAnsi="Times New Roman" w:cs="Times New Roman"/>
          <w:sz w:val="24"/>
          <w:szCs w:val="24"/>
        </w:rPr>
        <w:t>;</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b) </w:t>
      </w:r>
      <w:r w:rsidR="006273C9">
        <w:rPr>
          <w:rFonts w:ascii="Times New Roman" w:hAnsi="Times New Roman" w:cs="Times New Roman"/>
          <w:sz w:val="24"/>
          <w:szCs w:val="24"/>
        </w:rPr>
        <w:t xml:space="preserve">la </w:t>
      </w:r>
      <w:r w:rsidRPr="00D84E17">
        <w:rPr>
          <w:rFonts w:ascii="Times New Roman" w:hAnsi="Times New Roman" w:cs="Times New Roman"/>
          <w:sz w:val="24"/>
          <w:szCs w:val="24"/>
        </w:rPr>
        <w:t>continuazione dell’efficacia sino al 31 dicembre 2023 delle concessioni in essere demaniali marittime, lacuali e fluviali per l'esercizio delle attività turistico-ricreative e sportive, con possibilità di differimento non oltre il 31 dicembre 2024 con atto motivato dell’autorità competente e in pendenza di un contenzioso o di difficoltà oggettive legate all’espletamento delle gare (art. 3);</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c) </w:t>
      </w:r>
      <w:r w:rsidR="006273C9">
        <w:rPr>
          <w:rFonts w:ascii="Times New Roman" w:hAnsi="Times New Roman" w:cs="Times New Roman"/>
          <w:sz w:val="24"/>
          <w:szCs w:val="24"/>
        </w:rPr>
        <w:t>l’</w:t>
      </w:r>
      <w:r w:rsidRPr="00D84E17">
        <w:rPr>
          <w:rFonts w:ascii="Times New Roman" w:hAnsi="Times New Roman" w:cs="Times New Roman"/>
          <w:sz w:val="24"/>
          <w:szCs w:val="24"/>
        </w:rPr>
        <w:t>adozione di uno o più decreti legislativi per la disciplina delle gare per l’affidamento delle concessioni.</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In </w:t>
      </w:r>
      <w:r w:rsidR="00602CD9">
        <w:rPr>
          <w:rFonts w:ascii="Times New Roman" w:hAnsi="Times New Roman" w:cs="Times New Roman"/>
          <w:sz w:val="24"/>
          <w:szCs w:val="24"/>
        </w:rPr>
        <w:t>particolare</w:t>
      </w:r>
      <w:r w:rsidR="006273C9">
        <w:rPr>
          <w:rFonts w:ascii="Times New Roman" w:hAnsi="Times New Roman" w:cs="Times New Roman"/>
          <w:sz w:val="24"/>
          <w:szCs w:val="24"/>
        </w:rPr>
        <w:t>, quindi</w:t>
      </w:r>
      <w:r w:rsidRPr="00D84E17">
        <w:rPr>
          <w:rFonts w:ascii="Times New Roman" w:hAnsi="Times New Roman" w:cs="Times New Roman"/>
          <w:sz w:val="24"/>
          <w:szCs w:val="24"/>
        </w:rPr>
        <w:t>:</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a) cessazione dell’efficacia delle concessioni in essere al 31 dicembre 2023 o, in via eccezionale, al 31 dicembre 2024;</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b) espletamento delle gare per l’affidamento delle nuove concessioni;</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c) rispetto dei principi del TFUE a tutela della concorrenza, ai fini della scelta del concessionario;</w:t>
      </w:r>
    </w:p>
    <w:p w:rsidR="001109B3" w:rsidRPr="00D84E17" w:rsidRDefault="001109B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d) considerazione delle professionalità acquisite nel settore, degli investimenti effettuati e riconoscimento di un indennizzo a favore del concessionario uscente posto a carico del concessionario subentrante.</w:t>
      </w:r>
    </w:p>
    <w:p w:rsidR="00F0134E" w:rsidRDefault="00F0134E" w:rsidP="00D84E17">
      <w:pPr>
        <w:spacing w:line="360" w:lineRule="auto"/>
        <w:ind w:firstLine="709"/>
        <w:jc w:val="both"/>
        <w:rPr>
          <w:rFonts w:ascii="Times New Roman" w:hAnsi="Times New Roman" w:cs="Times New Roman"/>
          <w:sz w:val="24"/>
          <w:szCs w:val="24"/>
        </w:rPr>
      </w:pPr>
    </w:p>
    <w:p w:rsidR="006273C9" w:rsidRDefault="006273C9" w:rsidP="00D84E17">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8. Problemi non solo giuridici.</w:t>
      </w:r>
    </w:p>
    <w:p w:rsidR="006273C9" w:rsidRDefault="006273C9" w:rsidP="00D84E17">
      <w:pPr>
        <w:spacing w:line="360" w:lineRule="auto"/>
        <w:ind w:firstLine="709"/>
        <w:jc w:val="both"/>
        <w:rPr>
          <w:rFonts w:ascii="Times New Roman" w:hAnsi="Times New Roman" w:cs="Times New Roman"/>
          <w:sz w:val="24"/>
          <w:szCs w:val="24"/>
        </w:rPr>
      </w:pPr>
      <w:r w:rsidRPr="006273C9">
        <w:rPr>
          <w:rFonts w:ascii="Times New Roman" w:hAnsi="Times New Roman" w:cs="Times New Roman"/>
          <w:sz w:val="24"/>
          <w:szCs w:val="24"/>
        </w:rPr>
        <w:t xml:space="preserve">Le concessioni demaniali marittime, e il loro affidamento, </w:t>
      </w:r>
      <w:r w:rsidR="00AB55D9">
        <w:rPr>
          <w:rFonts w:ascii="Times New Roman" w:hAnsi="Times New Roman" w:cs="Times New Roman"/>
          <w:sz w:val="24"/>
          <w:szCs w:val="24"/>
        </w:rPr>
        <w:t>fanno emergere</w:t>
      </w:r>
      <w:r w:rsidRPr="006273C9">
        <w:rPr>
          <w:rFonts w:ascii="Times New Roman" w:hAnsi="Times New Roman" w:cs="Times New Roman"/>
          <w:sz w:val="24"/>
          <w:szCs w:val="24"/>
        </w:rPr>
        <w:t xml:space="preserve"> problemi non solo di tipo giuridico, ma anche economico, politico, sociale, geografico e ambientale.</w:t>
      </w:r>
    </w:p>
    <w:p w:rsidR="006273C9" w:rsidRPr="006273C9" w:rsidRDefault="006273C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Economico.</w:t>
      </w:r>
    </w:p>
    <w:p w:rsidR="00BC1D82" w:rsidRPr="00D84E17" w:rsidRDefault="00BC1D82"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Il settore delle concessioni demaniali marittime per finalità turistico ricreative è di fondamentale importanza per l’economia e per il turismo del Paese.</w:t>
      </w:r>
      <w:r w:rsidR="006273C9">
        <w:rPr>
          <w:rFonts w:ascii="Times New Roman" w:hAnsi="Times New Roman" w:cs="Times New Roman"/>
          <w:sz w:val="24"/>
          <w:szCs w:val="24"/>
        </w:rPr>
        <w:t xml:space="preserve"> Ne consegue la n</w:t>
      </w:r>
      <w:r w:rsidRPr="00D84E17">
        <w:rPr>
          <w:rFonts w:ascii="Times New Roman" w:hAnsi="Times New Roman" w:cs="Times New Roman"/>
          <w:sz w:val="24"/>
          <w:szCs w:val="24"/>
        </w:rPr>
        <w:t>ecessità di garantire gli investimenti effettuati, il lavoro e l’occupazione, oltre che la giusta reddittività (finora molto esigua) del patrimonio pubblico con la previsione di canoni adeguati.</w:t>
      </w:r>
    </w:p>
    <w:p w:rsidR="00BC1D82" w:rsidRPr="00D84E17" w:rsidRDefault="006273C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b) Politico.</w:t>
      </w:r>
    </w:p>
    <w:p w:rsidR="00BC1D82" w:rsidRPr="00D84E17" w:rsidRDefault="00BC1D82"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La legge sulla concorrenza è una riforma chiave del piano nazionale di ripresa e resilienza (PNRR).</w:t>
      </w:r>
      <w:r w:rsidR="006273C9">
        <w:rPr>
          <w:rFonts w:ascii="Times New Roman" w:hAnsi="Times New Roman" w:cs="Times New Roman"/>
          <w:sz w:val="24"/>
          <w:szCs w:val="24"/>
        </w:rPr>
        <w:t xml:space="preserve"> Ma tutti i </w:t>
      </w:r>
      <w:r w:rsidRPr="00D84E17">
        <w:rPr>
          <w:rFonts w:ascii="Times New Roman" w:hAnsi="Times New Roman" w:cs="Times New Roman"/>
          <w:sz w:val="24"/>
          <w:szCs w:val="24"/>
        </w:rPr>
        <w:t xml:space="preserve">problemi </w:t>
      </w:r>
      <w:r w:rsidR="006273C9">
        <w:rPr>
          <w:rFonts w:ascii="Times New Roman" w:hAnsi="Times New Roman" w:cs="Times New Roman"/>
          <w:sz w:val="24"/>
          <w:szCs w:val="24"/>
        </w:rPr>
        <w:t xml:space="preserve">del settore - con riguardo alle posizioni acquisite e </w:t>
      </w:r>
      <w:r w:rsidR="007C0D4F">
        <w:rPr>
          <w:rFonts w:ascii="Times New Roman" w:hAnsi="Times New Roman" w:cs="Times New Roman"/>
          <w:sz w:val="24"/>
          <w:szCs w:val="24"/>
        </w:rPr>
        <w:t>agli interessi di coloro che ambiscono accedere al</w:t>
      </w:r>
      <w:r w:rsidR="006273C9">
        <w:rPr>
          <w:rFonts w:ascii="Times New Roman" w:hAnsi="Times New Roman" w:cs="Times New Roman"/>
          <w:sz w:val="24"/>
          <w:szCs w:val="24"/>
        </w:rPr>
        <w:t xml:space="preserve"> mercato - </w:t>
      </w:r>
      <w:r w:rsidRPr="00D84E17">
        <w:rPr>
          <w:rFonts w:ascii="Times New Roman" w:hAnsi="Times New Roman" w:cs="Times New Roman"/>
          <w:sz w:val="24"/>
          <w:szCs w:val="24"/>
        </w:rPr>
        <w:t>si sarebbero dovuti risolvere in via prio</w:t>
      </w:r>
      <w:r w:rsidR="007C0D4F">
        <w:rPr>
          <w:rFonts w:ascii="Times New Roman" w:hAnsi="Times New Roman" w:cs="Times New Roman"/>
          <w:sz w:val="24"/>
          <w:szCs w:val="24"/>
        </w:rPr>
        <w:t>ritaria da parte della politica;</w:t>
      </w:r>
      <w:r w:rsidRPr="00D84E17">
        <w:rPr>
          <w:rFonts w:ascii="Times New Roman" w:hAnsi="Times New Roman" w:cs="Times New Roman"/>
          <w:sz w:val="24"/>
          <w:szCs w:val="24"/>
        </w:rPr>
        <w:t xml:space="preserve"> </w:t>
      </w:r>
      <w:r w:rsidR="00EB7868">
        <w:rPr>
          <w:rFonts w:ascii="Times New Roman" w:hAnsi="Times New Roman" w:cs="Times New Roman"/>
          <w:sz w:val="24"/>
          <w:szCs w:val="24"/>
        </w:rPr>
        <w:t>la quale</w:t>
      </w:r>
      <w:r w:rsidR="007C0D4F">
        <w:rPr>
          <w:rFonts w:ascii="Times New Roman" w:hAnsi="Times New Roman" w:cs="Times New Roman"/>
          <w:sz w:val="24"/>
          <w:szCs w:val="24"/>
        </w:rPr>
        <w:t>, invece,</w:t>
      </w:r>
      <w:r w:rsidRPr="00D84E17">
        <w:rPr>
          <w:rFonts w:ascii="Times New Roman" w:hAnsi="Times New Roman" w:cs="Times New Roman"/>
          <w:sz w:val="24"/>
          <w:szCs w:val="24"/>
        </w:rPr>
        <w:t xml:space="preserve"> non ha fatto altro</w:t>
      </w:r>
      <w:r w:rsidR="00602CD9">
        <w:rPr>
          <w:rFonts w:ascii="Times New Roman" w:hAnsi="Times New Roman" w:cs="Times New Roman"/>
          <w:sz w:val="24"/>
          <w:szCs w:val="24"/>
        </w:rPr>
        <w:t xml:space="preserve">, </w:t>
      </w:r>
      <w:r w:rsidR="00602CD9" w:rsidRPr="00602CD9">
        <w:rPr>
          <w:rFonts w:ascii="Times New Roman" w:hAnsi="Times New Roman" w:cs="Times New Roman"/>
          <w:sz w:val="24"/>
          <w:szCs w:val="24"/>
        </w:rPr>
        <w:t>con le ripetute norme di proroga</w:t>
      </w:r>
      <w:r w:rsidR="00602CD9">
        <w:rPr>
          <w:rFonts w:ascii="Times New Roman" w:hAnsi="Times New Roman" w:cs="Times New Roman"/>
          <w:sz w:val="24"/>
          <w:szCs w:val="24"/>
        </w:rPr>
        <w:t>,</w:t>
      </w:r>
      <w:r w:rsidRPr="00D84E17">
        <w:rPr>
          <w:rFonts w:ascii="Times New Roman" w:hAnsi="Times New Roman" w:cs="Times New Roman"/>
          <w:sz w:val="24"/>
          <w:szCs w:val="24"/>
        </w:rPr>
        <w:t xml:space="preserve"> che procrastinare le diverse criticità emerse </w:t>
      </w:r>
      <w:r w:rsidR="00AB55D9">
        <w:rPr>
          <w:rFonts w:ascii="Times New Roman" w:hAnsi="Times New Roman" w:cs="Times New Roman"/>
          <w:sz w:val="24"/>
          <w:szCs w:val="24"/>
        </w:rPr>
        <w:t xml:space="preserve">già </w:t>
      </w:r>
      <w:r w:rsidRPr="00D84E17">
        <w:rPr>
          <w:rFonts w:ascii="Times New Roman" w:hAnsi="Times New Roman" w:cs="Times New Roman"/>
          <w:sz w:val="24"/>
          <w:szCs w:val="24"/>
        </w:rPr>
        <w:t>da tempo a livello europeo.</w:t>
      </w:r>
    </w:p>
    <w:p w:rsidR="00BC1D82" w:rsidRPr="00D84E17" w:rsidRDefault="007C0D4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c) Sociale.</w:t>
      </w:r>
    </w:p>
    <w:p w:rsidR="00831F98" w:rsidRPr="00D84E17" w:rsidRDefault="00831F98"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Almeno 30.000 famiglie vivono grazie a ombrelloni e sdraio.</w:t>
      </w:r>
      <w:r w:rsidR="007C0D4F" w:rsidRPr="007C0D4F">
        <w:t xml:space="preserve"> </w:t>
      </w:r>
      <w:r w:rsidR="007C0D4F">
        <w:rPr>
          <w:rFonts w:ascii="Times New Roman" w:hAnsi="Times New Roman" w:cs="Times New Roman"/>
          <w:sz w:val="24"/>
          <w:szCs w:val="24"/>
        </w:rPr>
        <w:t>S</w:t>
      </w:r>
      <w:r w:rsidR="007C0D4F" w:rsidRPr="007C0D4F">
        <w:rPr>
          <w:rFonts w:ascii="Times New Roman" w:hAnsi="Times New Roman" w:cs="Times New Roman"/>
          <w:sz w:val="24"/>
          <w:szCs w:val="24"/>
        </w:rPr>
        <w:t>econdo Nomisma</w:t>
      </w:r>
      <w:r w:rsidR="007C0D4F">
        <w:rPr>
          <w:rFonts w:ascii="Times New Roman" w:hAnsi="Times New Roman" w:cs="Times New Roman"/>
          <w:sz w:val="24"/>
          <w:szCs w:val="24"/>
        </w:rPr>
        <w:t xml:space="preserve"> si tratta di </w:t>
      </w:r>
      <w:r w:rsidR="005F47E0" w:rsidRPr="00D84E17">
        <w:rPr>
          <w:rFonts w:ascii="Times New Roman" w:hAnsi="Times New Roman" w:cs="Times New Roman"/>
          <w:sz w:val="24"/>
          <w:szCs w:val="24"/>
        </w:rPr>
        <w:t>15.41</w:t>
      </w:r>
      <w:r w:rsidR="007C0D4F">
        <w:rPr>
          <w:rFonts w:ascii="Times New Roman" w:hAnsi="Times New Roman" w:cs="Times New Roman"/>
          <w:sz w:val="24"/>
          <w:szCs w:val="24"/>
        </w:rPr>
        <w:t>4 concessioni ad</w:t>
      </w:r>
      <w:r w:rsidR="00EB7868">
        <w:rPr>
          <w:rFonts w:ascii="Times New Roman" w:hAnsi="Times New Roman" w:cs="Times New Roman"/>
          <w:sz w:val="24"/>
          <w:szCs w:val="24"/>
        </w:rPr>
        <w:t xml:space="preserve"> uso turistico </w:t>
      </w:r>
      <w:r w:rsidR="005F47E0" w:rsidRPr="00D84E17">
        <w:rPr>
          <w:rFonts w:ascii="Times New Roman" w:hAnsi="Times New Roman" w:cs="Times New Roman"/>
          <w:sz w:val="24"/>
          <w:szCs w:val="24"/>
        </w:rPr>
        <w:t>ricreativo</w:t>
      </w:r>
      <w:r w:rsidR="007C0D4F">
        <w:rPr>
          <w:rFonts w:ascii="Times New Roman" w:hAnsi="Times New Roman" w:cs="Times New Roman"/>
          <w:sz w:val="24"/>
          <w:szCs w:val="24"/>
        </w:rPr>
        <w:t>,</w:t>
      </w:r>
      <w:r w:rsidR="005F47E0" w:rsidRPr="00D84E17">
        <w:rPr>
          <w:rFonts w:ascii="Times New Roman" w:hAnsi="Times New Roman" w:cs="Times New Roman"/>
          <w:sz w:val="24"/>
          <w:szCs w:val="24"/>
        </w:rPr>
        <w:t xml:space="preserve"> </w:t>
      </w:r>
      <w:r w:rsidRPr="00D84E17">
        <w:rPr>
          <w:rFonts w:ascii="Times New Roman" w:hAnsi="Times New Roman" w:cs="Times New Roman"/>
          <w:sz w:val="24"/>
          <w:szCs w:val="24"/>
        </w:rPr>
        <w:t>6.592 stabilimenti balneari e 68.000 addetti nel settore.</w:t>
      </w:r>
    </w:p>
    <w:p w:rsidR="00831F98" w:rsidRPr="00D84E17" w:rsidRDefault="007C0D4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Per un fatturato complessivo di un </w:t>
      </w:r>
      <w:r w:rsidR="00831F98" w:rsidRPr="00D84E17">
        <w:rPr>
          <w:rFonts w:ascii="Times New Roman" w:hAnsi="Times New Roman" w:cs="Times New Roman"/>
          <w:sz w:val="24"/>
          <w:szCs w:val="24"/>
        </w:rPr>
        <w:t>miliardo e mezzo di euro</w:t>
      </w:r>
      <w:r w:rsidR="00602CD9">
        <w:rPr>
          <w:rFonts w:ascii="Times New Roman" w:hAnsi="Times New Roman" w:cs="Times New Roman"/>
          <w:sz w:val="24"/>
          <w:szCs w:val="24"/>
        </w:rPr>
        <w:t>, che non sembra di per sé una somma elevata</w:t>
      </w:r>
      <w:r w:rsidR="00831F98" w:rsidRPr="00D84E17">
        <w:rPr>
          <w:rFonts w:ascii="Times New Roman" w:hAnsi="Times New Roman" w:cs="Times New Roman"/>
          <w:sz w:val="24"/>
          <w:szCs w:val="24"/>
        </w:rPr>
        <w:t>.</w:t>
      </w:r>
      <w:r>
        <w:rPr>
          <w:rFonts w:ascii="Times New Roman" w:hAnsi="Times New Roman" w:cs="Times New Roman"/>
          <w:sz w:val="24"/>
          <w:szCs w:val="24"/>
        </w:rPr>
        <w:t xml:space="preserve"> </w:t>
      </w:r>
      <w:r w:rsidR="00831F98" w:rsidRPr="00D84E17">
        <w:rPr>
          <w:rFonts w:ascii="Times New Roman" w:hAnsi="Times New Roman" w:cs="Times New Roman"/>
          <w:sz w:val="24"/>
          <w:szCs w:val="24"/>
        </w:rPr>
        <w:t>Ma è</w:t>
      </w:r>
      <w:r>
        <w:rPr>
          <w:rFonts w:ascii="Times New Roman" w:hAnsi="Times New Roman" w:cs="Times New Roman"/>
          <w:sz w:val="24"/>
          <w:szCs w:val="24"/>
        </w:rPr>
        <w:t xml:space="preserve"> soprattutto l’innesco del turismo estivo, </w:t>
      </w:r>
      <w:r w:rsidR="00831F98" w:rsidRPr="00D84E17">
        <w:rPr>
          <w:rFonts w:ascii="Times New Roman" w:hAnsi="Times New Roman" w:cs="Times New Roman"/>
          <w:sz w:val="24"/>
          <w:szCs w:val="24"/>
        </w:rPr>
        <w:t>che comporta il 6,4% del PIL, pari a circa 110 miliardi di euro.</w:t>
      </w:r>
    </w:p>
    <w:p w:rsidR="001C1FCC" w:rsidRPr="00D84E17" w:rsidRDefault="007C0D4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 Geografico.</w:t>
      </w:r>
    </w:p>
    <w:p w:rsidR="00F0134E" w:rsidRPr="00D84E17" w:rsidRDefault="006B517D"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L’Italia </w:t>
      </w:r>
      <w:r w:rsidR="007C0D4F">
        <w:rPr>
          <w:rFonts w:ascii="Times New Roman" w:hAnsi="Times New Roman" w:cs="Times New Roman"/>
          <w:sz w:val="24"/>
          <w:szCs w:val="24"/>
        </w:rPr>
        <w:t xml:space="preserve">riveste una posizione peculiare </w:t>
      </w:r>
      <w:r w:rsidRPr="00D84E17">
        <w:rPr>
          <w:rFonts w:ascii="Times New Roman" w:hAnsi="Times New Roman" w:cs="Times New Roman"/>
          <w:sz w:val="24"/>
          <w:szCs w:val="24"/>
        </w:rPr>
        <w:t>n</w:t>
      </w:r>
      <w:r w:rsidR="004D04F7" w:rsidRPr="00D84E17">
        <w:rPr>
          <w:rFonts w:ascii="Times New Roman" w:hAnsi="Times New Roman" w:cs="Times New Roman"/>
          <w:sz w:val="24"/>
          <w:szCs w:val="24"/>
        </w:rPr>
        <w:t xml:space="preserve">el contesto </w:t>
      </w:r>
      <w:r w:rsidRPr="00D84E17">
        <w:rPr>
          <w:rFonts w:ascii="Times New Roman" w:hAnsi="Times New Roman" w:cs="Times New Roman"/>
          <w:sz w:val="24"/>
          <w:szCs w:val="24"/>
        </w:rPr>
        <w:t xml:space="preserve">geografico </w:t>
      </w:r>
      <w:r w:rsidR="004D04F7" w:rsidRPr="00D84E17">
        <w:rPr>
          <w:rFonts w:ascii="Times New Roman" w:hAnsi="Times New Roman" w:cs="Times New Roman"/>
          <w:sz w:val="24"/>
          <w:szCs w:val="24"/>
        </w:rPr>
        <w:t>europeo.</w:t>
      </w:r>
      <w:r w:rsidR="007C0D4F">
        <w:rPr>
          <w:rFonts w:ascii="Times New Roman" w:hAnsi="Times New Roman" w:cs="Times New Roman"/>
          <w:sz w:val="24"/>
          <w:szCs w:val="24"/>
        </w:rPr>
        <w:t xml:space="preserve"> Peculiare è, infatti, la </w:t>
      </w:r>
      <w:r w:rsidR="00BC1D82" w:rsidRPr="00D84E17">
        <w:rPr>
          <w:rFonts w:ascii="Times New Roman" w:hAnsi="Times New Roman" w:cs="Times New Roman"/>
          <w:sz w:val="24"/>
          <w:szCs w:val="24"/>
        </w:rPr>
        <w:t>situazione delle coste italiane (oltre 8.300 km, in gran parte balneabili per vari mesi all’anno) rispetto a quelle di molti altri Paesi dell’Unione</w:t>
      </w:r>
      <w:r w:rsidR="007C0D4F">
        <w:rPr>
          <w:rFonts w:ascii="Times New Roman" w:hAnsi="Times New Roman" w:cs="Times New Roman"/>
          <w:sz w:val="24"/>
          <w:szCs w:val="24"/>
        </w:rPr>
        <w:t>, quali, ad esempio, quelli del nord Europa</w:t>
      </w:r>
      <w:r w:rsidR="00BC1D82" w:rsidRPr="00D84E17">
        <w:rPr>
          <w:rFonts w:ascii="Times New Roman" w:hAnsi="Times New Roman" w:cs="Times New Roman"/>
          <w:sz w:val="24"/>
          <w:szCs w:val="24"/>
        </w:rPr>
        <w:t>. Così che le mancanze a livello ascendente si ripercuotono sul livello discendente, in ambito applicativo di una disciplina europea unica che non prevede eccezioni malgrado le diversità geografiche e territoriali degli Stati membri.</w:t>
      </w:r>
    </w:p>
    <w:p w:rsidR="00EF7228" w:rsidRPr="00D84E17" w:rsidRDefault="007C0D4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 Ambientale.</w:t>
      </w:r>
    </w:p>
    <w:p w:rsidR="00300565" w:rsidRPr="00D84E17" w:rsidRDefault="007C0D4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Infine, problemi ambientali, con le conseguenti e</w:t>
      </w:r>
      <w:r w:rsidR="00300565" w:rsidRPr="00D84E17">
        <w:rPr>
          <w:rFonts w:ascii="Times New Roman" w:hAnsi="Times New Roman" w:cs="Times New Roman"/>
          <w:sz w:val="24"/>
          <w:szCs w:val="24"/>
        </w:rPr>
        <w:t>sigenze connesse all’uso ottimale di beni che sono pur sempre pubblici e alla protezione del paesaggio e dell’ambiente.</w:t>
      </w:r>
    </w:p>
    <w:p w:rsidR="00300565" w:rsidRDefault="00300565" w:rsidP="00D84E17">
      <w:pPr>
        <w:spacing w:line="360" w:lineRule="auto"/>
        <w:ind w:firstLine="709"/>
        <w:jc w:val="both"/>
        <w:rPr>
          <w:rFonts w:ascii="Times New Roman" w:hAnsi="Times New Roman" w:cs="Times New Roman"/>
          <w:sz w:val="24"/>
          <w:szCs w:val="24"/>
        </w:rPr>
      </w:pPr>
    </w:p>
    <w:p w:rsidR="001505F7" w:rsidRPr="001505F7" w:rsidRDefault="001505F7" w:rsidP="00D84E17">
      <w:pPr>
        <w:spacing w:line="360" w:lineRule="auto"/>
        <w:ind w:firstLine="709"/>
        <w:jc w:val="both"/>
        <w:rPr>
          <w:rFonts w:ascii="Times New Roman" w:hAnsi="Times New Roman" w:cs="Times New Roman"/>
          <w:b/>
          <w:sz w:val="24"/>
          <w:szCs w:val="24"/>
        </w:rPr>
      </w:pPr>
      <w:r w:rsidRPr="001505F7">
        <w:rPr>
          <w:rFonts w:ascii="Times New Roman" w:hAnsi="Times New Roman" w:cs="Times New Roman"/>
          <w:b/>
          <w:sz w:val="24"/>
          <w:szCs w:val="24"/>
        </w:rPr>
        <w:t>9. Il nuovo panorama normativo.</w:t>
      </w:r>
    </w:p>
    <w:p w:rsidR="001505F7" w:rsidRDefault="001505F7"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panorama normativo su cui impatta la sentenza della CGUE del 20 aprile 2023 non è più quello delineato dalla legge sulla concorrenza (l. n. 118/2022).</w:t>
      </w:r>
    </w:p>
    <w:p w:rsidR="00E1478B" w:rsidRPr="00D84E17" w:rsidRDefault="00E1478B"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In sede di conversione del </w:t>
      </w:r>
      <w:proofErr w:type="spellStart"/>
      <w:r w:rsidRPr="00D84E17">
        <w:rPr>
          <w:rFonts w:ascii="Times New Roman" w:hAnsi="Times New Roman" w:cs="Times New Roman"/>
          <w:sz w:val="24"/>
          <w:szCs w:val="24"/>
        </w:rPr>
        <w:t>d.l.</w:t>
      </w:r>
      <w:proofErr w:type="spellEnd"/>
      <w:r w:rsidRPr="00D84E17">
        <w:rPr>
          <w:rFonts w:ascii="Times New Roman" w:hAnsi="Times New Roman" w:cs="Times New Roman"/>
          <w:sz w:val="24"/>
          <w:szCs w:val="24"/>
        </w:rPr>
        <w:t xml:space="preserve"> 29 dicembre 2022, n. 198 (noto come “decreto </w:t>
      </w:r>
      <w:proofErr w:type="spellStart"/>
      <w:r w:rsidRPr="00D84E17">
        <w:rPr>
          <w:rFonts w:ascii="Times New Roman" w:hAnsi="Times New Roman" w:cs="Times New Roman"/>
          <w:sz w:val="24"/>
          <w:szCs w:val="24"/>
        </w:rPr>
        <w:t>milleproroghe</w:t>
      </w:r>
      <w:proofErr w:type="spellEnd"/>
      <w:r w:rsidRPr="00D84E17">
        <w:rPr>
          <w:rFonts w:ascii="Times New Roman" w:hAnsi="Times New Roman" w:cs="Times New Roman"/>
          <w:sz w:val="24"/>
          <w:szCs w:val="24"/>
        </w:rPr>
        <w:t>”), è stato inserito dalla l. 24 febbraio</w:t>
      </w:r>
      <w:r w:rsidR="00326540">
        <w:rPr>
          <w:rFonts w:ascii="Times New Roman" w:hAnsi="Times New Roman" w:cs="Times New Roman"/>
          <w:sz w:val="24"/>
          <w:szCs w:val="24"/>
        </w:rPr>
        <w:t xml:space="preserve"> 2023, n. 14 l’art. 12, comma 6-</w:t>
      </w:r>
      <w:r w:rsidRPr="00D84E17">
        <w:rPr>
          <w:rFonts w:ascii="Times New Roman" w:hAnsi="Times New Roman" w:cs="Times New Roman"/>
          <w:sz w:val="24"/>
          <w:szCs w:val="24"/>
        </w:rPr>
        <w:t xml:space="preserve">sexies, che </w:t>
      </w:r>
      <w:r w:rsidR="00326540">
        <w:rPr>
          <w:rFonts w:ascii="Times New Roman" w:hAnsi="Times New Roman" w:cs="Times New Roman"/>
          <w:sz w:val="24"/>
          <w:szCs w:val="24"/>
        </w:rPr>
        <w:t xml:space="preserve">ha </w:t>
      </w:r>
      <w:r w:rsidRPr="00D84E17">
        <w:rPr>
          <w:rFonts w:ascii="Times New Roman" w:hAnsi="Times New Roman" w:cs="Times New Roman"/>
          <w:sz w:val="24"/>
          <w:szCs w:val="24"/>
        </w:rPr>
        <w:t>dispo</w:t>
      </w:r>
      <w:r w:rsidR="00326540">
        <w:rPr>
          <w:rFonts w:ascii="Times New Roman" w:hAnsi="Times New Roman" w:cs="Times New Roman"/>
          <w:sz w:val="24"/>
          <w:szCs w:val="24"/>
        </w:rPr>
        <w:t>sto</w:t>
      </w:r>
      <w:r w:rsidRPr="00D84E17">
        <w:rPr>
          <w:rFonts w:ascii="Times New Roman" w:hAnsi="Times New Roman" w:cs="Times New Roman"/>
          <w:sz w:val="24"/>
          <w:szCs w:val="24"/>
        </w:rPr>
        <w:t xml:space="preserve"> l’ulteriore proroga di un anno (ovvero fino al 31 dicembre 2024) del termine di scadenza delle concessioni demaniali a uso turistico-ricreativo, già stabilito al 31 dicembre 2023 dalla l. n. 118/2022. Di conseguenza, viene anche </w:t>
      </w:r>
      <w:r w:rsidR="00326540">
        <w:rPr>
          <w:rFonts w:ascii="Times New Roman" w:hAnsi="Times New Roman" w:cs="Times New Roman"/>
          <w:sz w:val="24"/>
          <w:szCs w:val="24"/>
        </w:rPr>
        <w:t>differito al 31 dicembre 2025 i</w:t>
      </w:r>
      <w:r w:rsidRPr="00D84E17">
        <w:rPr>
          <w:rFonts w:ascii="Times New Roman" w:hAnsi="Times New Roman" w:cs="Times New Roman"/>
          <w:sz w:val="24"/>
          <w:szCs w:val="24"/>
        </w:rPr>
        <w:t>l termine di scadenza delle concessioni nel caso di ragioni oggettive che impediscano la conclusione delle procedure selettive.</w:t>
      </w:r>
    </w:p>
    <w:p w:rsidR="00E1478B" w:rsidRPr="00D84E17" w:rsidRDefault="00E1478B"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Inoltre, l’art. 1, comma 8, </w:t>
      </w:r>
      <w:proofErr w:type="spellStart"/>
      <w:r w:rsidRPr="00D84E17">
        <w:rPr>
          <w:rFonts w:ascii="Times New Roman" w:hAnsi="Times New Roman" w:cs="Times New Roman"/>
          <w:sz w:val="24"/>
          <w:szCs w:val="24"/>
        </w:rPr>
        <w:t>lett</w:t>
      </w:r>
      <w:proofErr w:type="spellEnd"/>
      <w:r w:rsidRPr="00D84E17">
        <w:rPr>
          <w:rFonts w:ascii="Times New Roman" w:hAnsi="Times New Roman" w:cs="Times New Roman"/>
          <w:sz w:val="24"/>
          <w:szCs w:val="24"/>
        </w:rPr>
        <w:t xml:space="preserve">. a), della l. </w:t>
      </w:r>
      <w:r w:rsidR="006B517D" w:rsidRPr="00D84E17">
        <w:rPr>
          <w:rFonts w:ascii="Times New Roman" w:hAnsi="Times New Roman" w:cs="Times New Roman"/>
          <w:sz w:val="24"/>
          <w:szCs w:val="24"/>
        </w:rPr>
        <w:t>n. 14/2023</w:t>
      </w:r>
      <w:r w:rsidRPr="00D84E17">
        <w:rPr>
          <w:rFonts w:ascii="Times New Roman" w:hAnsi="Times New Roman" w:cs="Times New Roman"/>
          <w:sz w:val="24"/>
          <w:szCs w:val="24"/>
        </w:rPr>
        <w:t xml:space="preserve"> </w:t>
      </w:r>
      <w:r w:rsidR="00326540">
        <w:rPr>
          <w:rFonts w:ascii="Times New Roman" w:hAnsi="Times New Roman" w:cs="Times New Roman"/>
          <w:sz w:val="24"/>
          <w:szCs w:val="24"/>
        </w:rPr>
        <w:t xml:space="preserve">ha </w:t>
      </w:r>
      <w:r w:rsidRPr="00D84E17">
        <w:rPr>
          <w:rFonts w:ascii="Times New Roman" w:hAnsi="Times New Roman" w:cs="Times New Roman"/>
          <w:sz w:val="24"/>
          <w:szCs w:val="24"/>
        </w:rPr>
        <w:t>prev</w:t>
      </w:r>
      <w:r w:rsidR="00326540">
        <w:rPr>
          <w:rFonts w:ascii="Times New Roman" w:hAnsi="Times New Roman" w:cs="Times New Roman"/>
          <w:sz w:val="24"/>
          <w:szCs w:val="24"/>
        </w:rPr>
        <w:t xml:space="preserve">isto </w:t>
      </w:r>
      <w:r w:rsidRPr="00D84E17">
        <w:rPr>
          <w:rFonts w:ascii="Times New Roman" w:hAnsi="Times New Roman" w:cs="Times New Roman"/>
          <w:sz w:val="24"/>
          <w:szCs w:val="24"/>
        </w:rPr>
        <w:t xml:space="preserve">anche la proroga di cinque mesi </w:t>
      </w:r>
      <w:r w:rsidR="004D04F7" w:rsidRPr="00D84E17">
        <w:rPr>
          <w:rFonts w:ascii="Times New Roman" w:hAnsi="Times New Roman" w:cs="Times New Roman"/>
          <w:sz w:val="24"/>
          <w:szCs w:val="24"/>
        </w:rPr>
        <w:t>dei termini per l’emanazione del</w:t>
      </w:r>
      <w:r w:rsidRPr="00D84E17">
        <w:rPr>
          <w:rFonts w:ascii="Times New Roman" w:hAnsi="Times New Roman" w:cs="Times New Roman"/>
          <w:sz w:val="24"/>
          <w:szCs w:val="24"/>
        </w:rPr>
        <w:t xml:space="preserve"> d.lgs.</w:t>
      </w:r>
      <w:r w:rsidR="004D04F7" w:rsidRPr="00D84E17">
        <w:rPr>
          <w:rFonts w:ascii="Times New Roman" w:hAnsi="Times New Roman" w:cs="Times New Roman"/>
          <w:sz w:val="24"/>
          <w:szCs w:val="24"/>
        </w:rPr>
        <w:t xml:space="preserve"> relativo</w:t>
      </w:r>
      <w:r w:rsidRPr="00D84E17">
        <w:rPr>
          <w:rFonts w:ascii="Times New Roman" w:hAnsi="Times New Roman" w:cs="Times New Roman"/>
          <w:sz w:val="24"/>
          <w:szCs w:val="24"/>
        </w:rPr>
        <w:t xml:space="preserve"> alla mappatura dei beni pubblici in regime di concessione, fissandone la nuova scadenza al 27 luglio 2023. Alla successiva lettera b) della suddetta disposizione si </w:t>
      </w:r>
      <w:r w:rsidR="00326540">
        <w:rPr>
          <w:rFonts w:ascii="Times New Roman" w:hAnsi="Times New Roman" w:cs="Times New Roman"/>
          <w:sz w:val="24"/>
          <w:szCs w:val="24"/>
        </w:rPr>
        <w:t xml:space="preserve">è </w:t>
      </w:r>
      <w:r w:rsidRPr="00D84E17">
        <w:rPr>
          <w:rFonts w:ascii="Times New Roman" w:hAnsi="Times New Roman" w:cs="Times New Roman"/>
          <w:sz w:val="24"/>
          <w:szCs w:val="24"/>
        </w:rPr>
        <w:t>precisa</w:t>
      </w:r>
      <w:r w:rsidR="00326540">
        <w:rPr>
          <w:rFonts w:ascii="Times New Roman" w:hAnsi="Times New Roman" w:cs="Times New Roman"/>
          <w:sz w:val="24"/>
          <w:szCs w:val="24"/>
        </w:rPr>
        <w:t>to</w:t>
      </w:r>
      <w:r w:rsidRPr="00D84E17">
        <w:rPr>
          <w:rFonts w:ascii="Times New Roman" w:hAnsi="Times New Roman" w:cs="Times New Roman"/>
          <w:sz w:val="24"/>
          <w:szCs w:val="24"/>
        </w:rPr>
        <w:t xml:space="preserve"> che, fino all’adozione dei d.lgs. di cui all’art. 4 della l. n. 118/2022, in materia di affidamento delle concessioni demaniali marittime, lacuali e fluviali per finalità turistico-ricreative e sportive, è fatto divieto agli enti concedenti di procedere all’emanazione dei bandi di assegnazione delle concessioni e dei rapporti di cui all’art. 3, comma 1, </w:t>
      </w:r>
      <w:proofErr w:type="spellStart"/>
      <w:r w:rsidRPr="00D84E17">
        <w:rPr>
          <w:rFonts w:ascii="Times New Roman" w:hAnsi="Times New Roman" w:cs="Times New Roman"/>
          <w:sz w:val="24"/>
          <w:szCs w:val="24"/>
        </w:rPr>
        <w:t>lett</w:t>
      </w:r>
      <w:proofErr w:type="spellEnd"/>
      <w:r w:rsidRPr="00D84E17">
        <w:rPr>
          <w:rFonts w:ascii="Times New Roman" w:hAnsi="Times New Roman" w:cs="Times New Roman"/>
          <w:sz w:val="24"/>
          <w:szCs w:val="24"/>
        </w:rPr>
        <w:t>. a) e b), della stessa l. n. 118/2022.</w:t>
      </w:r>
    </w:p>
    <w:p w:rsidR="00266AB0" w:rsidRPr="00D84E17" w:rsidRDefault="00E1570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L’art. 10-</w:t>
      </w:r>
      <w:r w:rsidR="004D04F7" w:rsidRPr="00D84E17">
        <w:rPr>
          <w:rFonts w:ascii="Times New Roman" w:hAnsi="Times New Roman" w:cs="Times New Roman"/>
          <w:sz w:val="24"/>
          <w:szCs w:val="24"/>
        </w:rPr>
        <w:t>quater del decreto “</w:t>
      </w:r>
      <w:proofErr w:type="spellStart"/>
      <w:r w:rsidR="004D04F7" w:rsidRPr="00D84E17">
        <w:rPr>
          <w:rFonts w:ascii="Times New Roman" w:hAnsi="Times New Roman" w:cs="Times New Roman"/>
          <w:sz w:val="24"/>
          <w:szCs w:val="24"/>
        </w:rPr>
        <w:t>milleproroghe</w:t>
      </w:r>
      <w:proofErr w:type="spellEnd"/>
      <w:r w:rsidR="004D04F7" w:rsidRPr="00D84E17">
        <w:rPr>
          <w:rFonts w:ascii="Times New Roman" w:hAnsi="Times New Roman" w:cs="Times New Roman"/>
          <w:sz w:val="24"/>
          <w:szCs w:val="24"/>
        </w:rPr>
        <w:t>” ha istituito un</w:t>
      </w:r>
      <w:r w:rsidR="00E1478B" w:rsidRPr="00D84E17">
        <w:rPr>
          <w:rFonts w:ascii="Times New Roman" w:hAnsi="Times New Roman" w:cs="Times New Roman"/>
          <w:sz w:val="24"/>
          <w:szCs w:val="24"/>
        </w:rPr>
        <w:t xml:space="preserve"> tavolo tecnico consultivo</w:t>
      </w:r>
      <w:r w:rsidR="004D04F7" w:rsidRPr="00D84E17">
        <w:rPr>
          <w:rFonts w:ascii="Times New Roman" w:hAnsi="Times New Roman" w:cs="Times New Roman"/>
          <w:sz w:val="24"/>
          <w:szCs w:val="24"/>
        </w:rPr>
        <w:t xml:space="preserve"> pres</w:t>
      </w:r>
      <w:r w:rsidR="00326540">
        <w:rPr>
          <w:rFonts w:ascii="Times New Roman" w:hAnsi="Times New Roman" w:cs="Times New Roman"/>
          <w:sz w:val="24"/>
          <w:szCs w:val="24"/>
        </w:rPr>
        <w:t>so la Presidenza del Consiglio dei ministri</w:t>
      </w:r>
      <w:r w:rsidR="004D04F7" w:rsidRPr="00D84E17">
        <w:rPr>
          <w:rFonts w:ascii="Times New Roman" w:hAnsi="Times New Roman" w:cs="Times New Roman"/>
          <w:sz w:val="24"/>
          <w:szCs w:val="24"/>
        </w:rPr>
        <w:t>,</w:t>
      </w:r>
      <w:r w:rsidR="00E1478B" w:rsidRPr="00D84E17">
        <w:rPr>
          <w:rFonts w:ascii="Times New Roman" w:hAnsi="Times New Roman" w:cs="Times New Roman"/>
          <w:sz w:val="24"/>
          <w:szCs w:val="24"/>
        </w:rPr>
        <w:t xml:space="preserve"> con la specificazione contenuta nella norma in base alla quale </w:t>
      </w:r>
      <w:r w:rsidR="004D04F7" w:rsidRPr="00D84E17">
        <w:rPr>
          <w:rFonts w:ascii="Times New Roman" w:hAnsi="Times New Roman" w:cs="Times New Roman"/>
          <w:sz w:val="24"/>
          <w:szCs w:val="24"/>
        </w:rPr>
        <w:t>esso</w:t>
      </w:r>
      <w:r w:rsidR="00E1478B" w:rsidRPr="00D84E17">
        <w:rPr>
          <w:rFonts w:ascii="Times New Roman" w:hAnsi="Times New Roman" w:cs="Times New Roman"/>
          <w:sz w:val="24"/>
          <w:szCs w:val="24"/>
        </w:rPr>
        <w:t xml:space="preserve"> dovrà previamente acquisire i dati relativi alla mappatura delle concessioni e quindi, in un termine non definito, stabilire i criteri tecnici per “la determinazione della sussistenza della scarsità della risorsa naturale disponibile e della rilevanza economica transfrontaliera”.</w:t>
      </w:r>
    </w:p>
    <w:p w:rsidR="00E1478B" w:rsidRPr="00D84E17" w:rsidRDefault="00E1478B"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A completamento del quadro normativo contenuto nel decreto</w:t>
      </w:r>
      <w:r w:rsidR="0026194A">
        <w:rPr>
          <w:rFonts w:ascii="Times New Roman" w:hAnsi="Times New Roman" w:cs="Times New Roman"/>
          <w:sz w:val="24"/>
          <w:szCs w:val="24"/>
        </w:rPr>
        <w:t xml:space="preserve"> </w:t>
      </w:r>
      <w:r w:rsidR="00266AB0" w:rsidRPr="00266AB0">
        <w:rPr>
          <w:rFonts w:ascii="Times New Roman" w:hAnsi="Times New Roman" w:cs="Times New Roman"/>
          <w:sz w:val="24"/>
          <w:szCs w:val="24"/>
        </w:rPr>
        <w:t>“</w:t>
      </w:r>
      <w:proofErr w:type="spellStart"/>
      <w:r w:rsidR="00266AB0" w:rsidRPr="00266AB0">
        <w:rPr>
          <w:rFonts w:ascii="Times New Roman" w:hAnsi="Times New Roman" w:cs="Times New Roman"/>
          <w:sz w:val="24"/>
          <w:szCs w:val="24"/>
        </w:rPr>
        <w:t>milleproroghe</w:t>
      </w:r>
      <w:proofErr w:type="spellEnd"/>
      <w:r w:rsidR="00266AB0" w:rsidRPr="00266AB0">
        <w:rPr>
          <w:rFonts w:ascii="Times New Roman" w:hAnsi="Times New Roman" w:cs="Times New Roman"/>
          <w:sz w:val="24"/>
          <w:szCs w:val="24"/>
        </w:rPr>
        <w:t>”</w:t>
      </w:r>
      <w:r w:rsidRPr="00D84E17">
        <w:rPr>
          <w:rFonts w:ascii="Times New Roman" w:hAnsi="Times New Roman" w:cs="Times New Roman"/>
          <w:sz w:val="24"/>
          <w:szCs w:val="24"/>
        </w:rPr>
        <w:t xml:space="preserve">, le disposizioni </w:t>
      </w:r>
      <w:r w:rsidR="00AB55D9">
        <w:rPr>
          <w:rFonts w:ascii="Times New Roman" w:hAnsi="Times New Roman" w:cs="Times New Roman"/>
          <w:sz w:val="24"/>
          <w:szCs w:val="24"/>
        </w:rPr>
        <w:t>di cui</w:t>
      </w:r>
      <w:r w:rsidR="00702B3F">
        <w:rPr>
          <w:rFonts w:ascii="Times New Roman" w:hAnsi="Times New Roman" w:cs="Times New Roman"/>
          <w:sz w:val="24"/>
          <w:szCs w:val="24"/>
        </w:rPr>
        <w:t xml:space="preserve"> all’ultimo comma del citato </w:t>
      </w:r>
      <w:r w:rsidR="00326540">
        <w:rPr>
          <w:rFonts w:ascii="Times New Roman" w:hAnsi="Times New Roman" w:cs="Times New Roman"/>
          <w:sz w:val="24"/>
          <w:szCs w:val="24"/>
        </w:rPr>
        <w:t>art. 10-</w:t>
      </w:r>
      <w:r w:rsidRPr="00D84E17">
        <w:rPr>
          <w:rFonts w:ascii="Times New Roman" w:hAnsi="Times New Roman" w:cs="Times New Roman"/>
          <w:sz w:val="24"/>
          <w:szCs w:val="24"/>
        </w:rPr>
        <w:t>quater</w:t>
      </w:r>
      <w:r w:rsidR="00326540">
        <w:rPr>
          <w:rFonts w:ascii="Times New Roman" w:hAnsi="Times New Roman" w:cs="Times New Roman"/>
          <w:sz w:val="24"/>
          <w:szCs w:val="24"/>
        </w:rPr>
        <w:t xml:space="preserve"> hanno prescritto che, </w:t>
      </w:r>
      <w:r w:rsidRPr="00D84E17">
        <w:rPr>
          <w:rFonts w:ascii="Times New Roman" w:hAnsi="Times New Roman" w:cs="Times New Roman"/>
          <w:sz w:val="24"/>
          <w:szCs w:val="24"/>
        </w:rPr>
        <w:t xml:space="preserve">ai fini dell’espletamento dei </w:t>
      </w:r>
      <w:r w:rsidR="00326540">
        <w:rPr>
          <w:rFonts w:ascii="Times New Roman" w:hAnsi="Times New Roman" w:cs="Times New Roman"/>
          <w:sz w:val="24"/>
          <w:szCs w:val="24"/>
        </w:rPr>
        <w:t>co</w:t>
      </w:r>
      <w:r w:rsidRPr="00D84E17">
        <w:rPr>
          <w:rFonts w:ascii="Times New Roman" w:hAnsi="Times New Roman" w:cs="Times New Roman"/>
          <w:sz w:val="24"/>
          <w:szCs w:val="24"/>
        </w:rPr>
        <w:t xml:space="preserve">mpiti del tavolo tecnico, il termine del 31 dicembre 2024, </w:t>
      </w:r>
      <w:r w:rsidR="00326540">
        <w:rPr>
          <w:rFonts w:ascii="Times New Roman" w:hAnsi="Times New Roman" w:cs="Times New Roman"/>
          <w:sz w:val="24"/>
          <w:szCs w:val="24"/>
        </w:rPr>
        <w:t>di cui</w:t>
      </w:r>
      <w:r w:rsidR="004D04F7" w:rsidRPr="00D84E17">
        <w:rPr>
          <w:rFonts w:ascii="Times New Roman" w:hAnsi="Times New Roman" w:cs="Times New Roman"/>
          <w:sz w:val="24"/>
          <w:szCs w:val="24"/>
        </w:rPr>
        <w:t xml:space="preserve"> ai commi 3 e 4 dell’art.</w:t>
      </w:r>
      <w:r w:rsidRPr="00D84E17">
        <w:rPr>
          <w:rFonts w:ascii="Times New Roman" w:hAnsi="Times New Roman" w:cs="Times New Roman"/>
          <w:sz w:val="24"/>
          <w:szCs w:val="24"/>
        </w:rPr>
        <w:t xml:space="preserve"> 3 della </w:t>
      </w:r>
      <w:r w:rsidR="004D04F7" w:rsidRPr="00D84E17">
        <w:rPr>
          <w:rFonts w:ascii="Times New Roman" w:hAnsi="Times New Roman" w:cs="Times New Roman"/>
          <w:sz w:val="24"/>
          <w:szCs w:val="24"/>
        </w:rPr>
        <w:t>l. n.</w:t>
      </w:r>
      <w:r w:rsidRPr="00D84E17">
        <w:rPr>
          <w:rFonts w:ascii="Times New Roman" w:hAnsi="Times New Roman" w:cs="Times New Roman"/>
          <w:sz w:val="24"/>
          <w:szCs w:val="24"/>
        </w:rPr>
        <w:t xml:space="preserve"> 118/2022, viene rideterminato al 31 dicembre 2025. Si tratta dei termini previsti, rispettivamente, per il differimento della scadenza delle procedure selettive in presenza di ragioni oggettive che ne impediscano la conclusione, e del termine affidato al Ministro delle infrastrutture </w:t>
      </w:r>
      <w:r w:rsidR="00026353">
        <w:rPr>
          <w:rFonts w:ascii="Times New Roman" w:hAnsi="Times New Roman" w:cs="Times New Roman"/>
          <w:sz w:val="24"/>
          <w:szCs w:val="24"/>
        </w:rPr>
        <w:t xml:space="preserve">e della mobilità sostenibili </w:t>
      </w:r>
      <w:r w:rsidRPr="00D84E17">
        <w:rPr>
          <w:rFonts w:ascii="Times New Roman" w:hAnsi="Times New Roman" w:cs="Times New Roman"/>
          <w:sz w:val="24"/>
          <w:szCs w:val="24"/>
        </w:rPr>
        <w:t>per la trasmissione al Parlamento di una relazione finale relativa alla conclusione delle procedure di gara.</w:t>
      </w:r>
    </w:p>
    <w:p w:rsidR="00E1478B" w:rsidRDefault="00E1478B"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Inoltre, le concessioni e </w:t>
      </w:r>
      <w:r w:rsidR="004D04F7" w:rsidRPr="00D84E17">
        <w:rPr>
          <w:rFonts w:ascii="Times New Roman" w:hAnsi="Times New Roman" w:cs="Times New Roman"/>
          <w:sz w:val="24"/>
          <w:szCs w:val="24"/>
        </w:rPr>
        <w:t>i rapporti previsti all’art.</w:t>
      </w:r>
      <w:r w:rsidRPr="00D84E17">
        <w:rPr>
          <w:rFonts w:ascii="Times New Roman" w:hAnsi="Times New Roman" w:cs="Times New Roman"/>
          <w:sz w:val="24"/>
          <w:szCs w:val="24"/>
        </w:rPr>
        <w:t xml:space="preserve"> 3 della </w:t>
      </w:r>
      <w:r w:rsidR="004D04F7" w:rsidRPr="00D84E17">
        <w:rPr>
          <w:rFonts w:ascii="Times New Roman" w:hAnsi="Times New Roman" w:cs="Times New Roman"/>
          <w:sz w:val="24"/>
          <w:szCs w:val="24"/>
        </w:rPr>
        <w:t>l. n.</w:t>
      </w:r>
      <w:r w:rsidRPr="00D84E17">
        <w:rPr>
          <w:rFonts w:ascii="Times New Roman" w:hAnsi="Times New Roman" w:cs="Times New Roman"/>
          <w:sz w:val="24"/>
          <w:szCs w:val="24"/>
        </w:rPr>
        <w:t xml:space="preserve"> 118/2022 continuano ad avere efficacia sino alla data di rilascio dei nuovi provvedimenti concessori.</w:t>
      </w:r>
    </w:p>
    <w:p w:rsidR="00E15703" w:rsidRDefault="00326540"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 </w:t>
      </w:r>
      <w:r w:rsidR="00602CD9">
        <w:rPr>
          <w:rFonts w:ascii="Times New Roman" w:hAnsi="Times New Roman" w:cs="Times New Roman"/>
          <w:sz w:val="24"/>
          <w:szCs w:val="24"/>
        </w:rPr>
        <w:t>conclusione</w:t>
      </w:r>
      <w:r>
        <w:rPr>
          <w:rFonts w:ascii="Times New Roman" w:hAnsi="Times New Roman" w:cs="Times New Roman"/>
          <w:sz w:val="24"/>
          <w:szCs w:val="24"/>
        </w:rPr>
        <w:t>.</w:t>
      </w:r>
    </w:p>
    <w:p w:rsidR="00E15703" w:rsidRDefault="00326540"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U</w:t>
      </w:r>
      <w:r w:rsidR="00E15703">
        <w:rPr>
          <w:rFonts w:ascii="Times New Roman" w:hAnsi="Times New Roman" w:cs="Times New Roman"/>
          <w:sz w:val="24"/>
          <w:szCs w:val="24"/>
        </w:rPr>
        <w:t>lteriore proroga delle concessioni dal 31 dicembre 2023 al 31 dicembre 2024.</w:t>
      </w:r>
    </w:p>
    <w:p w:rsidR="00E15703" w:rsidRPr="00D84E17" w:rsidRDefault="00E15703"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Non è possibile più emanare i decreti legislativi previsti dall’art. 4 della l. n. 118/2022 essendo scaduto il relativo termine il 27 febbraio 2023; </w:t>
      </w:r>
      <w:r w:rsidR="00326540">
        <w:rPr>
          <w:rFonts w:ascii="Times New Roman" w:hAnsi="Times New Roman" w:cs="Times New Roman"/>
          <w:sz w:val="24"/>
          <w:szCs w:val="24"/>
        </w:rPr>
        <w:t>decreti che</w:t>
      </w:r>
      <w:r>
        <w:rPr>
          <w:rFonts w:ascii="Times New Roman" w:hAnsi="Times New Roman" w:cs="Times New Roman"/>
          <w:sz w:val="24"/>
          <w:szCs w:val="24"/>
        </w:rPr>
        <w:t xml:space="preserve"> avrebbero dovuto determinare soprattutto le procedure e i criteri in base ai quali indire le gare per l’affidamento delle nuove concessioni.</w:t>
      </w:r>
    </w:p>
    <w:p w:rsidR="00E15703" w:rsidRDefault="00326540"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E</w:t>
      </w:r>
      <w:r w:rsidR="00E15703">
        <w:rPr>
          <w:rFonts w:ascii="Times New Roman" w:hAnsi="Times New Roman" w:cs="Times New Roman"/>
          <w:sz w:val="24"/>
          <w:szCs w:val="24"/>
        </w:rPr>
        <w:t xml:space="preserve">mblematico del caos normativo è il divieto di procedere all’emanazione dei bandi di assegnazione delle concessioni fino all’adozione dei </w:t>
      </w:r>
      <w:r>
        <w:rPr>
          <w:rFonts w:ascii="Times New Roman" w:hAnsi="Times New Roman" w:cs="Times New Roman"/>
          <w:sz w:val="24"/>
          <w:szCs w:val="24"/>
        </w:rPr>
        <w:t>d.lgs.</w:t>
      </w:r>
      <w:r w:rsidR="00E15703">
        <w:rPr>
          <w:rFonts w:ascii="Times New Roman" w:hAnsi="Times New Roman" w:cs="Times New Roman"/>
          <w:sz w:val="24"/>
          <w:szCs w:val="24"/>
        </w:rPr>
        <w:t xml:space="preserve"> di cui al citato art. 4, i quali non potranno essere più </w:t>
      </w:r>
      <w:r>
        <w:rPr>
          <w:rFonts w:ascii="Times New Roman" w:hAnsi="Times New Roman" w:cs="Times New Roman"/>
          <w:sz w:val="24"/>
          <w:szCs w:val="24"/>
        </w:rPr>
        <w:t>adottati</w:t>
      </w:r>
      <w:r w:rsidR="00E15703">
        <w:rPr>
          <w:rFonts w:ascii="Times New Roman" w:hAnsi="Times New Roman" w:cs="Times New Roman"/>
          <w:sz w:val="24"/>
          <w:szCs w:val="24"/>
        </w:rPr>
        <w:t xml:space="preserve"> per la scadenza del relativo termine; divieto</w:t>
      </w:r>
      <w:r>
        <w:rPr>
          <w:rFonts w:ascii="Times New Roman" w:hAnsi="Times New Roman" w:cs="Times New Roman"/>
          <w:sz w:val="24"/>
          <w:szCs w:val="24"/>
        </w:rPr>
        <w:t>, tra l’altro,</w:t>
      </w:r>
      <w:r w:rsidR="00E15703">
        <w:rPr>
          <w:rFonts w:ascii="Times New Roman" w:hAnsi="Times New Roman" w:cs="Times New Roman"/>
          <w:sz w:val="24"/>
          <w:szCs w:val="24"/>
        </w:rPr>
        <w:t xml:space="preserve"> previsto da una norma</w:t>
      </w:r>
      <w:r w:rsidR="00B13E91">
        <w:rPr>
          <w:rFonts w:ascii="Times New Roman" w:hAnsi="Times New Roman" w:cs="Times New Roman"/>
          <w:sz w:val="24"/>
          <w:szCs w:val="24"/>
        </w:rPr>
        <w:t xml:space="preserve"> [art. 1, comma 8, </w:t>
      </w:r>
      <w:proofErr w:type="spellStart"/>
      <w:r w:rsidR="00B13E91">
        <w:rPr>
          <w:rFonts w:ascii="Times New Roman" w:hAnsi="Times New Roman" w:cs="Times New Roman"/>
          <w:sz w:val="24"/>
          <w:szCs w:val="24"/>
        </w:rPr>
        <w:t>lett</w:t>
      </w:r>
      <w:proofErr w:type="spellEnd"/>
      <w:r w:rsidR="00B13E91">
        <w:rPr>
          <w:rFonts w:ascii="Times New Roman" w:hAnsi="Times New Roman" w:cs="Times New Roman"/>
          <w:sz w:val="24"/>
          <w:szCs w:val="24"/>
        </w:rPr>
        <w:t xml:space="preserve">. </w:t>
      </w:r>
      <w:r w:rsidR="00266AB0">
        <w:rPr>
          <w:rFonts w:ascii="Times New Roman" w:hAnsi="Times New Roman" w:cs="Times New Roman"/>
          <w:sz w:val="24"/>
          <w:szCs w:val="24"/>
        </w:rPr>
        <w:t xml:space="preserve">b), </w:t>
      </w:r>
      <w:r w:rsidR="00602CD9">
        <w:rPr>
          <w:rFonts w:ascii="Times New Roman" w:hAnsi="Times New Roman" w:cs="Times New Roman"/>
          <w:sz w:val="24"/>
          <w:szCs w:val="24"/>
        </w:rPr>
        <w:t xml:space="preserve">della </w:t>
      </w:r>
      <w:r w:rsidR="00266AB0">
        <w:rPr>
          <w:rFonts w:ascii="Times New Roman" w:hAnsi="Times New Roman" w:cs="Times New Roman"/>
          <w:sz w:val="24"/>
          <w:szCs w:val="24"/>
        </w:rPr>
        <w:t>l. n. 14/2023]</w:t>
      </w:r>
      <w:r w:rsidR="00E15703">
        <w:rPr>
          <w:rFonts w:ascii="Times New Roman" w:hAnsi="Times New Roman" w:cs="Times New Roman"/>
          <w:sz w:val="24"/>
          <w:szCs w:val="24"/>
        </w:rPr>
        <w:t xml:space="preserve"> entrata in vigore il giorno dopo (28 febbraio 2023) quello della scadenza del termine per l’em</w:t>
      </w:r>
      <w:r>
        <w:rPr>
          <w:rFonts w:ascii="Times New Roman" w:hAnsi="Times New Roman" w:cs="Times New Roman"/>
          <w:sz w:val="24"/>
          <w:szCs w:val="24"/>
        </w:rPr>
        <w:t>anazione dei d.lgs.</w:t>
      </w:r>
      <w:r w:rsidR="00E15703">
        <w:rPr>
          <w:rFonts w:ascii="Times New Roman" w:hAnsi="Times New Roman" w:cs="Times New Roman"/>
          <w:sz w:val="24"/>
          <w:szCs w:val="24"/>
        </w:rPr>
        <w:t xml:space="preserve"> (27 febbraio 2023).</w:t>
      </w:r>
    </w:p>
    <w:p w:rsidR="00E1478B" w:rsidRDefault="00B13E91"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Allora una domanda sorge spontanea. Che senso ha un divieto di legge posto a termine fino all’adozione di qualcosa che non potrà mai essere adottato? Sarebbe un divieto senza termine e quindi a regime, ma come tale inapplicabile oltre che da disapplicare poiché in contrasto con tutti i principi e le norme europee di cui si è detto.</w:t>
      </w:r>
    </w:p>
    <w:p w:rsidR="00B13E91" w:rsidRDefault="00B13E91"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Infine proroga al 27 luglio 2023 </w:t>
      </w:r>
      <w:r w:rsidR="00AB55D9">
        <w:rPr>
          <w:rFonts w:ascii="Times New Roman" w:hAnsi="Times New Roman" w:cs="Times New Roman"/>
          <w:sz w:val="24"/>
          <w:szCs w:val="24"/>
        </w:rPr>
        <w:t xml:space="preserve">del termine </w:t>
      </w:r>
      <w:r>
        <w:rPr>
          <w:rFonts w:ascii="Times New Roman" w:hAnsi="Times New Roman" w:cs="Times New Roman"/>
          <w:sz w:val="24"/>
          <w:szCs w:val="24"/>
        </w:rPr>
        <w:t>per l’adozione del d.lgs. per la cosiddetta mappatura dei beni pubblici di cui all’art. 2 della l. n. 118/2022.</w:t>
      </w:r>
    </w:p>
    <w:p w:rsidR="00022CD1" w:rsidRDefault="00022CD1" w:rsidP="00D84E17">
      <w:pPr>
        <w:spacing w:line="360" w:lineRule="auto"/>
        <w:ind w:firstLine="709"/>
        <w:jc w:val="both"/>
        <w:rPr>
          <w:rFonts w:ascii="Times New Roman" w:hAnsi="Times New Roman" w:cs="Times New Roman"/>
          <w:b/>
          <w:sz w:val="24"/>
          <w:szCs w:val="24"/>
        </w:rPr>
      </w:pPr>
    </w:p>
    <w:p w:rsidR="00326540" w:rsidRPr="00D84E17" w:rsidRDefault="00326540" w:rsidP="00D84E17">
      <w:pPr>
        <w:spacing w:line="360" w:lineRule="auto"/>
        <w:ind w:firstLine="709"/>
        <w:jc w:val="both"/>
        <w:rPr>
          <w:rFonts w:ascii="Times New Roman" w:hAnsi="Times New Roman" w:cs="Times New Roman"/>
          <w:b/>
          <w:sz w:val="24"/>
          <w:szCs w:val="24"/>
        </w:rPr>
      </w:pPr>
      <w:r>
        <w:rPr>
          <w:rFonts w:ascii="Times New Roman" w:hAnsi="Times New Roman" w:cs="Times New Roman"/>
          <w:b/>
          <w:sz w:val="24"/>
          <w:szCs w:val="24"/>
        </w:rPr>
        <w:t>10. Conseguenze.</w:t>
      </w:r>
    </w:p>
    <w:p w:rsidR="00A51533" w:rsidRPr="00D84E17" w:rsidRDefault="00544B0C"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Il Presidente della Repubbl</w:t>
      </w:r>
      <w:r w:rsidR="00E63D3E">
        <w:rPr>
          <w:rFonts w:ascii="Times New Roman" w:hAnsi="Times New Roman" w:cs="Times New Roman"/>
          <w:sz w:val="24"/>
          <w:szCs w:val="24"/>
        </w:rPr>
        <w:t>ica, in una lettera inviata ai P</w:t>
      </w:r>
      <w:r w:rsidRPr="00D84E17">
        <w:rPr>
          <w:rFonts w:ascii="Times New Roman" w:hAnsi="Times New Roman" w:cs="Times New Roman"/>
          <w:sz w:val="24"/>
          <w:szCs w:val="24"/>
        </w:rPr>
        <w:t xml:space="preserve">residenti di Camera e Senato </w:t>
      </w:r>
      <w:r w:rsidR="004D04F7" w:rsidRPr="00D84E17">
        <w:rPr>
          <w:rFonts w:ascii="Times New Roman" w:hAnsi="Times New Roman" w:cs="Times New Roman"/>
          <w:sz w:val="24"/>
          <w:szCs w:val="24"/>
        </w:rPr>
        <w:t>e al Presidente del Consiglio</w:t>
      </w:r>
      <w:r w:rsidR="00702B3F">
        <w:rPr>
          <w:rFonts w:ascii="Times New Roman" w:hAnsi="Times New Roman" w:cs="Times New Roman"/>
          <w:sz w:val="24"/>
          <w:szCs w:val="24"/>
        </w:rPr>
        <w:t xml:space="preserve"> dei ministri</w:t>
      </w:r>
      <w:r w:rsidR="004D04F7" w:rsidRPr="00D84E17">
        <w:rPr>
          <w:rFonts w:ascii="Times New Roman" w:hAnsi="Times New Roman" w:cs="Times New Roman"/>
          <w:sz w:val="24"/>
          <w:szCs w:val="24"/>
        </w:rPr>
        <w:t xml:space="preserve"> </w:t>
      </w:r>
      <w:r w:rsidR="00326540">
        <w:rPr>
          <w:rFonts w:ascii="Times New Roman" w:hAnsi="Times New Roman" w:cs="Times New Roman"/>
          <w:sz w:val="24"/>
          <w:szCs w:val="24"/>
        </w:rPr>
        <w:t>il</w:t>
      </w:r>
      <w:r w:rsidRPr="00D84E17">
        <w:rPr>
          <w:rFonts w:ascii="Times New Roman" w:hAnsi="Times New Roman" w:cs="Times New Roman"/>
          <w:sz w:val="24"/>
          <w:szCs w:val="24"/>
        </w:rPr>
        <w:t xml:space="preserve"> 24 febbraio</w:t>
      </w:r>
      <w:r w:rsidR="00326540">
        <w:rPr>
          <w:rFonts w:ascii="Times New Roman" w:hAnsi="Times New Roman" w:cs="Times New Roman"/>
          <w:sz w:val="24"/>
          <w:szCs w:val="24"/>
        </w:rPr>
        <w:t xml:space="preserve"> 2023, in sede di promulgazione della l. di conversione del </w:t>
      </w:r>
      <w:proofErr w:type="spellStart"/>
      <w:r w:rsidR="00326540">
        <w:rPr>
          <w:rFonts w:ascii="Times New Roman" w:hAnsi="Times New Roman" w:cs="Times New Roman"/>
          <w:sz w:val="24"/>
          <w:szCs w:val="24"/>
        </w:rPr>
        <w:t>d.l.</w:t>
      </w:r>
      <w:proofErr w:type="spellEnd"/>
      <w:r w:rsidR="00326540">
        <w:rPr>
          <w:rFonts w:ascii="Times New Roman" w:hAnsi="Times New Roman" w:cs="Times New Roman"/>
          <w:sz w:val="24"/>
          <w:szCs w:val="24"/>
        </w:rPr>
        <w:t xml:space="preserve"> n. 198/2022</w:t>
      </w:r>
      <w:r w:rsidRPr="00D84E17">
        <w:rPr>
          <w:rFonts w:ascii="Times New Roman" w:hAnsi="Times New Roman" w:cs="Times New Roman"/>
          <w:sz w:val="24"/>
          <w:szCs w:val="24"/>
        </w:rPr>
        <w:t xml:space="preserve"> </w:t>
      </w:r>
      <w:r w:rsidR="0026194A" w:rsidRPr="0026194A">
        <w:rPr>
          <w:rFonts w:ascii="Times New Roman" w:hAnsi="Times New Roman" w:cs="Times New Roman"/>
          <w:sz w:val="24"/>
          <w:szCs w:val="24"/>
        </w:rPr>
        <w:t>“</w:t>
      </w:r>
      <w:proofErr w:type="spellStart"/>
      <w:r w:rsidR="0026194A" w:rsidRPr="0026194A">
        <w:rPr>
          <w:rFonts w:ascii="Times New Roman" w:hAnsi="Times New Roman" w:cs="Times New Roman"/>
          <w:sz w:val="24"/>
          <w:szCs w:val="24"/>
        </w:rPr>
        <w:t>milleproroghe</w:t>
      </w:r>
      <w:proofErr w:type="spellEnd"/>
      <w:r w:rsidR="0026194A" w:rsidRPr="0026194A">
        <w:rPr>
          <w:rFonts w:ascii="Times New Roman" w:hAnsi="Times New Roman" w:cs="Times New Roman"/>
          <w:sz w:val="24"/>
          <w:szCs w:val="24"/>
        </w:rPr>
        <w:t xml:space="preserve">”, </w:t>
      </w:r>
      <w:r w:rsidR="00AB55D9">
        <w:rPr>
          <w:rFonts w:ascii="Times New Roman" w:hAnsi="Times New Roman" w:cs="Times New Roman"/>
          <w:sz w:val="24"/>
          <w:szCs w:val="24"/>
        </w:rPr>
        <w:t>ha</w:t>
      </w:r>
      <w:r w:rsidRPr="00D84E17">
        <w:rPr>
          <w:rFonts w:ascii="Times New Roman" w:hAnsi="Times New Roman" w:cs="Times New Roman"/>
          <w:sz w:val="24"/>
          <w:szCs w:val="24"/>
        </w:rPr>
        <w:t xml:space="preserve"> espresso “specifiche e rilevanti perplessità”</w:t>
      </w:r>
      <w:r w:rsidR="00A51533" w:rsidRPr="00D84E17">
        <w:rPr>
          <w:rFonts w:ascii="Times New Roman" w:hAnsi="Times New Roman" w:cs="Times New Roman"/>
          <w:sz w:val="24"/>
          <w:szCs w:val="24"/>
        </w:rPr>
        <w:t>.</w:t>
      </w:r>
    </w:p>
    <w:p w:rsidR="00A51533" w:rsidRDefault="00A51533" w:rsidP="00D84E17">
      <w:pPr>
        <w:spacing w:line="360" w:lineRule="auto"/>
        <w:ind w:firstLine="709"/>
        <w:jc w:val="both"/>
        <w:rPr>
          <w:rFonts w:ascii="Times New Roman" w:hAnsi="Times New Roman" w:cs="Times New Roman"/>
          <w:sz w:val="24"/>
          <w:szCs w:val="24"/>
        </w:rPr>
      </w:pPr>
      <w:r w:rsidRPr="00D84E17">
        <w:rPr>
          <w:rFonts w:ascii="Times New Roman" w:hAnsi="Times New Roman" w:cs="Times New Roman"/>
          <w:sz w:val="24"/>
          <w:szCs w:val="24"/>
        </w:rPr>
        <w:t xml:space="preserve">Nel merito il Presidente della Repubblica ha deciso di soprassedere al rinvio del testo alle Camere solo per evitare la decadenza “con effetti retroattivi, in molti casi in maniera irreversibile, di tutte le numerose altre disposizioni che il decreto-legge contiene, determinando incertezza e disorientamento nelle pubbliche amministrazioni e nei destinatari delle norme”. In particolare, il Capo dello Stato </w:t>
      </w:r>
      <w:r w:rsidR="00E63D3E">
        <w:rPr>
          <w:rFonts w:ascii="Times New Roman" w:hAnsi="Times New Roman" w:cs="Times New Roman"/>
          <w:sz w:val="24"/>
          <w:szCs w:val="24"/>
        </w:rPr>
        <w:t xml:space="preserve">ha </w:t>
      </w:r>
      <w:r w:rsidRPr="00D84E17">
        <w:rPr>
          <w:rFonts w:ascii="Times New Roman" w:hAnsi="Times New Roman" w:cs="Times New Roman"/>
          <w:sz w:val="24"/>
          <w:szCs w:val="24"/>
        </w:rPr>
        <w:t>precisa</w:t>
      </w:r>
      <w:r w:rsidR="00E63D3E">
        <w:rPr>
          <w:rFonts w:ascii="Times New Roman" w:hAnsi="Times New Roman" w:cs="Times New Roman"/>
          <w:sz w:val="24"/>
          <w:szCs w:val="24"/>
        </w:rPr>
        <w:t>to</w:t>
      </w:r>
      <w:r w:rsidRPr="00D84E17">
        <w:rPr>
          <w:rFonts w:ascii="Times New Roman" w:hAnsi="Times New Roman" w:cs="Times New Roman"/>
          <w:sz w:val="24"/>
          <w:szCs w:val="24"/>
        </w:rPr>
        <w:t xml:space="preserve"> che la legge appare in contrasto sia con le norme </w:t>
      </w:r>
      <w:r w:rsidR="00290725">
        <w:rPr>
          <w:rFonts w:ascii="Times New Roman" w:hAnsi="Times New Roman" w:cs="Times New Roman"/>
          <w:sz w:val="24"/>
          <w:szCs w:val="24"/>
        </w:rPr>
        <w:t>europee che con il PNRR</w:t>
      </w:r>
      <w:r w:rsidR="00E63D3E">
        <w:rPr>
          <w:rFonts w:ascii="Times New Roman" w:hAnsi="Times New Roman" w:cs="Times New Roman"/>
          <w:sz w:val="24"/>
          <w:szCs w:val="24"/>
        </w:rPr>
        <w:t>,</w:t>
      </w:r>
      <w:r w:rsidRPr="00D84E17">
        <w:rPr>
          <w:rFonts w:ascii="Times New Roman" w:hAnsi="Times New Roman" w:cs="Times New Roman"/>
          <w:sz w:val="24"/>
          <w:szCs w:val="24"/>
        </w:rPr>
        <w:t xml:space="preserve"> in quanto “oltre a contrastare con le ricordate definitive sentenze del Consiglio di Stato, è difforme dal diritto dell’Unione europea, anche in considerazione degli impegni in termini di apertura al mercato assunti dall’Italia nel contesto del Piano Nazionale di Ripresa e Re</w:t>
      </w:r>
      <w:r w:rsidR="006B517D" w:rsidRPr="00D84E17">
        <w:rPr>
          <w:rFonts w:ascii="Times New Roman" w:hAnsi="Times New Roman" w:cs="Times New Roman"/>
          <w:sz w:val="24"/>
          <w:szCs w:val="24"/>
        </w:rPr>
        <w:t xml:space="preserve">silienza”. Pertanto, </w:t>
      </w:r>
      <w:r w:rsidR="00E63D3E">
        <w:rPr>
          <w:rFonts w:ascii="Times New Roman" w:hAnsi="Times New Roman" w:cs="Times New Roman"/>
          <w:sz w:val="24"/>
          <w:szCs w:val="24"/>
        </w:rPr>
        <w:t xml:space="preserve">si è </w:t>
      </w:r>
      <w:r w:rsidR="006B517D" w:rsidRPr="00D84E17">
        <w:rPr>
          <w:rFonts w:ascii="Times New Roman" w:hAnsi="Times New Roman" w:cs="Times New Roman"/>
          <w:sz w:val="24"/>
          <w:szCs w:val="24"/>
        </w:rPr>
        <w:t>chie</w:t>
      </w:r>
      <w:r w:rsidR="00E63D3E">
        <w:rPr>
          <w:rFonts w:ascii="Times New Roman" w:hAnsi="Times New Roman" w:cs="Times New Roman"/>
          <w:sz w:val="24"/>
          <w:szCs w:val="24"/>
        </w:rPr>
        <w:t>sto</w:t>
      </w:r>
      <w:r w:rsidR="006B517D" w:rsidRPr="00D84E17">
        <w:rPr>
          <w:rFonts w:ascii="Times New Roman" w:hAnsi="Times New Roman" w:cs="Times New Roman"/>
          <w:sz w:val="24"/>
          <w:szCs w:val="24"/>
        </w:rPr>
        <w:t xml:space="preserve"> al G</w:t>
      </w:r>
      <w:r w:rsidRPr="00D84E17">
        <w:rPr>
          <w:rFonts w:ascii="Times New Roman" w:hAnsi="Times New Roman" w:cs="Times New Roman"/>
          <w:sz w:val="24"/>
          <w:szCs w:val="24"/>
        </w:rPr>
        <w:t>overno di intervenire con un nuovo provvedimento.</w:t>
      </w:r>
    </w:p>
    <w:p w:rsidR="00544935" w:rsidRPr="00290725" w:rsidRDefault="00290725"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Il parziale contrasto della nuova normat</w:t>
      </w:r>
      <w:r w:rsidR="00AB55D9">
        <w:rPr>
          <w:rFonts w:ascii="Times New Roman" w:hAnsi="Times New Roman" w:cs="Times New Roman"/>
          <w:sz w:val="24"/>
          <w:szCs w:val="24"/>
        </w:rPr>
        <w:t xml:space="preserve">iva interna con i principi e le </w:t>
      </w:r>
      <w:r>
        <w:rPr>
          <w:rFonts w:ascii="Times New Roman" w:hAnsi="Times New Roman" w:cs="Times New Roman"/>
          <w:sz w:val="24"/>
          <w:szCs w:val="24"/>
        </w:rPr>
        <w:t>norm</w:t>
      </w:r>
      <w:r w:rsidR="00AB55D9">
        <w:rPr>
          <w:rFonts w:ascii="Times New Roman" w:hAnsi="Times New Roman" w:cs="Times New Roman"/>
          <w:sz w:val="24"/>
          <w:szCs w:val="24"/>
        </w:rPr>
        <w:t>e</w:t>
      </w:r>
      <w:r>
        <w:rPr>
          <w:rFonts w:ascii="Times New Roman" w:hAnsi="Times New Roman" w:cs="Times New Roman"/>
          <w:sz w:val="24"/>
          <w:szCs w:val="24"/>
        </w:rPr>
        <w:t xml:space="preserve"> europe</w:t>
      </w:r>
      <w:r w:rsidR="00AB55D9">
        <w:rPr>
          <w:rFonts w:ascii="Times New Roman" w:hAnsi="Times New Roman" w:cs="Times New Roman"/>
          <w:sz w:val="24"/>
          <w:szCs w:val="24"/>
        </w:rPr>
        <w:t>e direttamente applicabili</w:t>
      </w:r>
      <w:r>
        <w:rPr>
          <w:rFonts w:ascii="Times New Roman" w:hAnsi="Times New Roman" w:cs="Times New Roman"/>
          <w:sz w:val="24"/>
          <w:szCs w:val="24"/>
        </w:rPr>
        <w:t xml:space="preserve"> è stato immediatamente colto dal Consiglio di Stato. La sez. VI, con la sentenza 1 marzo 2023, n. 2192, ha statuito che “</w:t>
      </w:r>
      <w:r w:rsidR="00022CD1" w:rsidRPr="00D84E17">
        <w:rPr>
          <w:rFonts w:ascii="Times New Roman" w:hAnsi="Times New Roman" w:cs="Times New Roman"/>
          <w:i/>
          <w:sz w:val="24"/>
          <w:szCs w:val="24"/>
        </w:rPr>
        <w:t xml:space="preserve">sulla base di quanto affermato dall’Adunanza Plenaria, con le ricordate sentenze </w:t>
      </w:r>
      <w:proofErr w:type="spellStart"/>
      <w:r w:rsidR="00022CD1" w:rsidRPr="00D84E17">
        <w:rPr>
          <w:rFonts w:ascii="Times New Roman" w:hAnsi="Times New Roman" w:cs="Times New Roman"/>
          <w:i/>
          <w:sz w:val="24"/>
          <w:szCs w:val="24"/>
        </w:rPr>
        <w:t>nn</w:t>
      </w:r>
      <w:proofErr w:type="spellEnd"/>
      <w:r w:rsidR="00022CD1" w:rsidRPr="00D84E17">
        <w:rPr>
          <w:rFonts w:ascii="Times New Roman" w:hAnsi="Times New Roman" w:cs="Times New Roman"/>
          <w:i/>
          <w:sz w:val="24"/>
          <w:szCs w:val="24"/>
        </w:rPr>
        <w:t xml:space="preserve">. 17 e 18 del 2021, non solo i commi 682 e 683 dell’art. 1 della L. n. 145/2018, ma anche la nuova norma contenuta nell’art. 10-quater, comma 3, del D.L. 29/12/2022, n. 198, </w:t>
      </w:r>
      <w:proofErr w:type="spellStart"/>
      <w:r w:rsidR="00022CD1" w:rsidRPr="00D84E17">
        <w:rPr>
          <w:rFonts w:ascii="Times New Roman" w:hAnsi="Times New Roman" w:cs="Times New Roman"/>
          <w:i/>
          <w:sz w:val="24"/>
          <w:szCs w:val="24"/>
        </w:rPr>
        <w:t>conv</w:t>
      </w:r>
      <w:proofErr w:type="spellEnd"/>
      <w:r w:rsidR="00022CD1" w:rsidRPr="00D84E17">
        <w:rPr>
          <w:rFonts w:ascii="Times New Roman" w:hAnsi="Times New Roman" w:cs="Times New Roman"/>
          <w:i/>
          <w:sz w:val="24"/>
          <w:szCs w:val="24"/>
        </w:rPr>
        <w:t xml:space="preserve">. in L. 24/2/2023, n. 14, che prevede la proroga automatica delle concessioni demaniali marittime in essere, si pone in frontale contrasto con la sopra richiamata disciplina di cui all’art. 12 della direttiva n. 2006/123/CE, e va, conseguentemente, disapplicata </w:t>
      </w:r>
      <w:r>
        <w:rPr>
          <w:rFonts w:ascii="Times New Roman" w:hAnsi="Times New Roman" w:cs="Times New Roman"/>
          <w:i/>
          <w:sz w:val="24"/>
          <w:szCs w:val="24"/>
        </w:rPr>
        <w:t>da qualunque organo dello Stato</w:t>
      </w:r>
      <w:r>
        <w:rPr>
          <w:rFonts w:ascii="Times New Roman" w:hAnsi="Times New Roman" w:cs="Times New Roman"/>
          <w:sz w:val="24"/>
          <w:szCs w:val="24"/>
        </w:rPr>
        <w:t>”.</w:t>
      </w:r>
    </w:p>
    <w:p w:rsidR="00544935" w:rsidRDefault="00290725"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questo punto, anche alla luce della sentenz</w:t>
      </w:r>
      <w:r w:rsidR="005C60E5">
        <w:rPr>
          <w:rFonts w:ascii="Times New Roman" w:hAnsi="Times New Roman" w:cs="Times New Roman"/>
          <w:sz w:val="24"/>
          <w:szCs w:val="24"/>
        </w:rPr>
        <w:t xml:space="preserve">a della CGUE del 20 aprile 2023, si dovrebbe ritenere, con riguardo </w:t>
      </w:r>
      <w:r w:rsidR="005C60E5" w:rsidRPr="005C60E5">
        <w:rPr>
          <w:rFonts w:ascii="Times New Roman" w:hAnsi="Times New Roman" w:cs="Times New Roman"/>
          <w:sz w:val="24"/>
          <w:szCs w:val="24"/>
        </w:rPr>
        <w:t>alle concessioni demaniali m</w:t>
      </w:r>
      <w:r w:rsidR="005C60E5">
        <w:rPr>
          <w:rFonts w:ascii="Times New Roman" w:hAnsi="Times New Roman" w:cs="Times New Roman"/>
          <w:sz w:val="24"/>
          <w:szCs w:val="24"/>
        </w:rPr>
        <w:t>arittime per finalità turistico-</w:t>
      </w:r>
      <w:r w:rsidR="005C60E5" w:rsidRPr="005C60E5">
        <w:rPr>
          <w:rFonts w:ascii="Times New Roman" w:hAnsi="Times New Roman" w:cs="Times New Roman"/>
          <w:sz w:val="24"/>
          <w:szCs w:val="24"/>
        </w:rPr>
        <w:t>ricreative</w:t>
      </w:r>
      <w:r w:rsidR="005C60E5">
        <w:rPr>
          <w:rFonts w:ascii="Times New Roman" w:hAnsi="Times New Roman" w:cs="Times New Roman"/>
          <w:sz w:val="24"/>
          <w:szCs w:val="24"/>
        </w:rPr>
        <w:t>:</w:t>
      </w:r>
    </w:p>
    <w:p w:rsidR="005C60E5" w:rsidRDefault="005C60E5"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l’applicabilità dell’art. 12, paragrafi 1 e 2, della direttiva </w:t>
      </w:r>
      <w:proofErr w:type="spellStart"/>
      <w:r>
        <w:rPr>
          <w:rFonts w:ascii="Times New Roman" w:hAnsi="Times New Roman" w:cs="Times New Roman"/>
          <w:sz w:val="24"/>
          <w:szCs w:val="24"/>
        </w:rPr>
        <w:t>Bolkestein</w:t>
      </w:r>
      <w:proofErr w:type="spellEnd"/>
      <w:r>
        <w:rPr>
          <w:rFonts w:ascii="Times New Roman" w:hAnsi="Times New Roman" w:cs="Times New Roman"/>
          <w:sz w:val="24"/>
          <w:szCs w:val="24"/>
        </w:rPr>
        <w:t xml:space="preserve"> in caso di “scarsità delle risorse naturali o dell</w:t>
      </w:r>
      <w:r w:rsidR="0026194A">
        <w:rPr>
          <w:rFonts w:ascii="Times New Roman" w:hAnsi="Times New Roman" w:cs="Times New Roman"/>
          <w:sz w:val="24"/>
          <w:szCs w:val="24"/>
        </w:rPr>
        <w:t>e</w:t>
      </w:r>
      <w:r>
        <w:rPr>
          <w:rFonts w:ascii="Times New Roman" w:hAnsi="Times New Roman" w:cs="Times New Roman"/>
          <w:sz w:val="24"/>
          <w:szCs w:val="24"/>
        </w:rPr>
        <w:t xml:space="preserve"> capacità tecniche utilizzabili”, e quindi la necessità </w:t>
      </w:r>
      <w:r w:rsidR="0026194A">
        <w:rPr>
          <w:rFonts w:ascii="Times New Roman" w:hAnsi="Times New Roman" w:cs="Times New Roman"/>
          <w:sz w:val="24"/>
          <w:szCs w:val="24"/>
        </w:rPr>
        <w:t xml:space="preserve">dell’espletamento </w:t>
      </w:r>
      <w:r>
        <w:rPr>
          <w:rFonts w:ascii="Times New Roman" w:hAnsi="Times New Roman" w:cs="Times New Roman"/>
          <w:sz w:val="24"/>
          <w:szCs w:val="24"/>
        </w:rPr>
        <w:t xml:space="preserve">di previe procedure di evidenza pubblica per il loro affidamento, </w:t>
      </w:r>
      <w:r w:rsidR="003323A6">
        <w:rPr>
          <w:rFonts w:ascii="Times New Roman" w:hAnsi="Times New Roman" w:cs="Times New Roman"/>
          <w:sz w:val="24"/>
          <w:szCs w:val="24"/>
        </w:rPr>
        <w:t xml:space="preserve">con garanzie di imparzialità </w:t>
      </w:r>
      <w:r>
        <w:rPr>
          <w:rFonts w:ascii="Times New Roman" w:hAnsi="Times New Roman" w:cs="Times New Roman"/>
          <w:sz w:val="24"/>
          <w:szCs w:val="24"/>
        </w:rPr>
        <w:t>e trasparenza nonché previsione di adeguata pubblicità;</w:t>
      </w:r>
    </w:p>
    <w:p w:rsidR="005C60E5" w:rsidRDefault="005C60E5"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il </w:t>
      </w:r>
      <w:r w:rsidR="003323A6">
        <w:rPr>
          <w:rFonts w:ascii="Times New Roman" w:hAnsi="Times New Roman" w:cs="Times New Roman"/>
          <w:sz w:val="24"/>
          <w:szCs w:val="24"/>
        </w:rPr>
        <w:t xml:space="preserve">divieto di </w:t>
      </w:r>
      <w:r>
        <w:rPr>
          <w:rFonts w:ascii="Times New Roman" w:hAnsi="Times New Roman" w:cs="Times New Roman"/>
          <w:sz w:val="24"/>
          <w:szCs w:val="24"/>
        </w:rPr>
        <w:t>rinnovo automatico, così che la loro scadenza non può andare oltre il 31 dicembre 2023 e, in via eccezionale il 31 dicembre 2024, come previsto dall’</w:t>
      </w:r>
      <w:r w:rsidR="003323A6">
        <w:rPr>
          <w:rFonts w:ascii="Times New Roman" w:hAnsi="Times New Roman" w:cs="Times New Roman"/>
          <w:sz w:val="24"/>
          <w:szCs w:val="24"/>
        </w:rPr>
        <w:t>art. 3 della l. n. 118/2022</w:t>
      </w:r>
      <w:r w:rsidR="0026194A">
        <w:rPr>
          <w:rFonts w:ascii="Times New Roman" w:hAnsi="Times New Roman" w:cs="Times New Roman"/>
          <w:sz w:val="24"/>
          <w:szCs w:val="24"/>
        </w:rPr>
        <w:t xml:space="preserve">, data la </w:t>
      </w:r>
      <w:r w:rsidR="003323A6">
        <w:rPr>
          <w:rFonts w:ascii="Times New Roman" w:hAnsi="Times New Roman" w:cs="Times New Roman"/>
          <w:sz w:val="24"/>
          <w:szCs w:val="24"/>
        </w:rPr>
        <w:t>disapplicazione delle norme di proroga successive;</w:t>
      </w:r>
    </w:p>
    <w:p w:rsidR="003323A6" w:rsidRDefault="003323A6"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se non vi è </w:t>
      </w:r>
      <w:r w:rsidRPr="003323A6">
        <w:rPr>
          <w:rFonts w:ascii="Times New Roman" w:hAnsi="Times New Roman" w:cs="Times New Roman"/>
          <w:sz w:val="24"/>
          <w:szCs w:val="24"/>
        </w:rPr>
        <w:t>“scarsità delle risorse naturali o dell</w:t>
      </w:r>
      <w:r w:rsidR="0026194A">
        <w:rPr>
          <w:rFonts w:ascii="Times New Roman" w:hAnsi="Times New Roman" w:cs="Times New Roman"/>
          <w:sz w:val="24"/>
          <w:szCs w:val="24"/>
        </w:rPr>
        <w:t>e</w:t>
      </w:r>
      <w:r w:rsidRPr="003323A6">
        <w:rPr>
          <w:rFonts w:ascii="Times New Roman" w:hAnsi="Times New Roman" w:cs="Times New Roman"/>
          <w:sz w:val="24"/>
          <w:szCs w:val="24"/>
        </w:rPr>
        <w:t xml:space="preserve"> capacità tecniche utilizzabili”</w:t>
      </w:r>
      <w:r w:rsidR="0026194A">
        <w:rPr>
          <w:rFonts w:ascii="Times New Roman" w:hAnsi="Times New Roman" w:cs="Times New Roman"/>
          <w:sz w:val="24"/>
          <w:szCs w:val="24"/>
        </w:rPr>
        <w:t>,</w:t>
      </w:r>
      <w:r>
        <w:rPr>
          <w:rFonts w:ascii="Times New Roman" w:hAnsi="Times New Roman" w:cs="Times New Roman"/>
          <w:sz w:val="24"/>
          <w:szCs w:val="24"/>
        </w:rPr>
        <w:t xml:space="preserve"> non si applica la direttiva </w:t>
      </w:r>
      <w:proofErr w:type="spellStart"/>
      <w:r>
        <w:rPr>
          <w:rFonts w:ascii="Times New Roman" w:hAnsi="Times New Roman" w:cs="Times New Roman"/>
          <w:sz w:val="24"/>
          <w:szCs w:val="24"/>
        </w:rPr>
        <w:t>Bolkestein</w:t>
      </w:r>
      <w:proofErr w:type="spellEnd"/>
      <w:r>
        <w:rPr>
          <w:rFonts w:ascii="Times New Roman" w:hAnsi="Times New Roman" w:cs="Times New Roman"/>
          <w:sz w:val="24"/>
          <w:szCs w:val="24"/>
        </w:rPr>
        <w:t xml:space="preserve"> ma, per la scelta degli operatori economici, vanno rispettati i principi di concorrenza, imparzialità, non discriminazione, pubblicità e trasparenza, proporzionalità. Ciò sulla base dell’art. 13, commi 2 e 5, e dell’art. 3 del nuovo codice dei contratti pubblici (d.lgs. 31 marzo 2023, n. 36)</w:t>
      </w:r>
      <w:r w:rsidR="0026194A">
        <w:rPr>
          <w:rFonts w:ascii="Times New Roman" w:hAnsi="Times New Roman" w:cs="Times New Roman"/>
          <w:sz w:val="24"/>
          <w:szCs w:val="24"/>
        </w:rPr>
        <w:t>,</w:t>
      </w:r>
      <w:r>
        <w:rPr>
          <w:rFonts w:ascii="Times New Roman" w:hAnsi="Times New Roman" w:cs="Times New Roman"/>
          <w:sz w:val="24"/>
          <w:szCs w:val="24"/>
        </w:rPr>
        <w:t xml:space="preserve"> il quale, pur prevedendo che le disposizioni dello stesso non si applicano al nostro caso</w:t>
      </w:r>
      <w:r w:rsidR="005011CF">
        <w:rPr>
          <w:rFonts w:ascii="Times New Roman" w:hAnsi="Times New Roman" w:cs="Times New Roman"/>
          <w:sz w:val="24"/>
          <w:szCs w:val="24"/>
        </w:rPr>
        <w:t xml:space="preserve"> </w:t>
      </w:r>
      <w:r>
        <w:rPr>
          <w:rFonts w:ascii="Times New Roman" w:hAnsi="Times New Roman" w:cs="Times New Roman"/>
          <w:sz w:val="24"/>
          <w:szCs w:val="24"/>
        </w:rPr>
        <w:t>e tanto meno ai contratti attivi</w:t>
      </w:r>
      <w:r w:rsidR="005011CF">
        <w:rPr>
          <w:rFonts w:ascii="Times New Roman" w:hAnsi="Times New Roman" w:cs="Times New Roman"/>
          <w:sz w:val="24"/>
          <w:szCs w:val="24"/>
        </w:rPr>
        <w:t xml:space="preserve"> </w:t>
      </w:r>
      <w:r w:rsidR="005011CF" w:rsidRPr="005011CF">
        <w:rPr>
          <w:rFonts w:ascii="Times New Roman" w:hAnsi="Times New Roman" w:cs="Times New Roman"/>
          <w:sz w:val="24"/>
          <w:szCs w:val="24"/>
        </w:rPr>
        <w:t xml:space="preserve">(si verte nel campo dei </w:t>
      </w:r>
      <w:r w:rsidR="00602CD9" w:rsidRPr="00602CD9">
        <w:rPr>
          <w:rFonts w:ascii="Times New Roman" w:hAnsi="Times New Roman" w:cs="Times New Roman"/>
          <w:sz w:val="24"/>
          <w:szCs w:val="24"/>
        </w:rPr>
        <w:t xml:space="preserve">cosiddetti </w:t>
      </w:r>
      <w:r w:rsidR="005011CF" w:rsidRPr="005011CF">
        <w:rPr>
          <w:rFonts w:ascii="Times New Roman" w:hAnsi="Times New Roman" w:cs="Times New Roman"/>
          <w:sz w:val="24"/>
          <w:szCs w:val="24"/>
        </w:rPr>
        <w:t>contratti esclusi)</w:t>
      </w:r>
      <w:r>
        <w:rPr>
          <w:rFonts w:ascii="Times New Roman" w:hAnsi="Times New Roman" w:cs="Times New Roman"/>
          <w:sz w:val="24"/>
          <w:szCs w:val="24"/>
        </w:rPr>
        <w:t xml:space="preserve">, </w:t>
      </w:r>
      <w:r w:rsidR="0026194A">
        <w:rPr>
          <w:rFonts w:ascii="Times New Roman" w:hAnsi="Times New Roman" w:cs="Times New Roman"/>
          <w:sz w:val="24"/>
          <w:szCs w:val="24"/>
        </w:rPr>
        <w:t>dispone</w:t>
      </w:r>
      <w:r>
        <w:rPr>
          <w:rFonts w:ascii="Times New Roman" w:hAnsi="Times New Roman" w:cs="Times New Roman"/>
          <w:sz w:val="24"/>
          <w:szCs w:val="24"/>
        </w:rPr>
        <w:t xml:space="preserve"> che l’affidamento degli stessi </w:t>
      </w:r>
      <w:r w:rsidR="0026194A">
        <w:rPr>
          <w:rFonts w:ascii="Times New Roman" w:hAnsi="Times New Roman" w:cs="Times New Roman"/>
          <w:sz w:val="24"/>
          <w:szCs w:val="24"/>
        </w:rPr>
        <w:t xml:space="preserve">contratti </w:t>
      </w:r>
      <w:r>
        <w:rPr>
          <w:rFonts w:ascii="Times New Roman" w:hAnsi="Times New Roman" w:cs="Times New Roman"/>
          <w:sz w:val="24"/>
          <w:szCs w:val="24"/>
        </w:rPr>
        <w:t xml:space="preserve">nel caso in cui </w:t>
      </w:r>
      <w:r w:rsidR="00B45D2A">
        <w:rPr>
          <w:rFonts w:ascii="Times New Roman" w:hAnsi="Times New Roman" w:cs="Times New Roman"/>
          <w:sz w:val="24"/>
          <w:szCs w:val="24"/>
        </w:rPr>
        <w:t>offrano</w:t>
      </w:r>
      <w:r>
        <w:rPr>
          <w:rFonts w:ascii="Times New Roman" w:hAnsi="Times New Roman" w:cs="Times New Roman"/>
          <w:sz w:val="24"/>
          <w:szCs w:val="24"/>
        </w:rPr>
        <w:t xml:space="preserve"> opportunità di guadagno economico, anche indiretto</w:t>
      </w:r>
      <w:r w:rsidR="00B45D2A">
        <w:rPr>
          <w:rFonts w:ascii="Times New Roman" w:hAnsi="Times New Roman" w:cs="Times New Roman"/>
          <w:sz w:val="24"/>
          <w:szCs w:val="24"/>
        </w:rPr>
        <w:t>,</w:t>
      </w:r>
      <w:r>
        <w:rPr>
          <w:rFonts w:ascii="Times New Roman" w:hAnsi="Times New Roman" w:cs="Times New Roman"/>
          <w:sz w:val="24"/>
          <w:szCs w:val="24"/>
        </w:rPr>
        <w:t xml:space="preserve"> avvenga tenendo conto dei detti principi.</w:t>
      </w:r>
      <w:r w:rsidR="00B45D2A">
        <w:rPr>
          <w:rFonts w:ascii="Times New Roman" w:hAnsi="Times New Roman" w:cs="Times New Roman"/>
          <w:sz w:val="24"/>
          <w:szCs w:val="24"/>
        </w:rPr>
        <w:t xml:space="preserve"> Come già previsto dal precedente codice all’art. 4 del d.lgs. </w:t>
      </w:r>
      <w:r w:rsidR="00B45D2A" w:rsidRPr="00B45D2A">
        <w:rPr>
          <w:rFonts w:ascii="Times New Roman" w:hAnsi="Times New Roman" w:cs="Times New Roman"/>
          <w:sz w:val="24"/>
          <w:szCs w:val="24"/>
        </w:rPr>
        <w:t>18</w:t>
      </w:r>
      <w:r w:rsidR="00B45D2A">
        <w:rPr>
          <w:rFonts w:ascii="Times New Roman" w:hAnsi="Times New Roman" w:cs="Times New Roman"/>
          <w:sz w:val="24"/>
          <w:szCs w:val="24"/>
        </w:rPr>
        <w:t xml:space="preserve"> aprile </w:t>
      </w:r>
      <w:r w:rsidR="00B45D2A" w:rsidRPr="00B45D2A">
        <w:rPr>
          <w:rFonts w:ascii="Times New Roman" w:hAnsi="Times New Roman" w:cs="Times New Roman"/>
          <w:sz w:val="24"/>
          <w:szCs w:val="24"/>
        </w:rPr>
        <w:t>2016, n. 50</w:t>
      </w:r>
      <w:r w:rsidR="00B45D2A">
        <w:rPr>
          <w:rFonts w:ascii="Times New Roman" w:hAnsi="Times New Roman" w:cs="Times New Roman"/>
          <w:sz w:val="24"/>
          <w:szCs w:val="24"/>
        </w:rPr>
        <w:t>. Ossia vanno svolte procedure di evidenza pubblica;</w:t>
      </w:r>
    </w:p>
    <w:p w:rsidR="00B45D2A" w:rsidRDefault="00B45D2A"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in mancanza dei criteri per lo svolgimento delle gare interviene l’art. 37 del cod. </w:t>
      </w:r>
      <w:proofErr w:type="spellStart"/>
      <w:r>
        <w:rPr>
          <w:rFonts w:ascii="Times New Roman" w:hAnsi="Times New Roman" w:cs="Times New Roman"/>
          <w:sz w:val="24"/>
          <w:szCs w:val="24"/>
        </w:rPr>
        <w:t>nav</w:t>
      </w:r>
      <w:proofErr w:type="spellEnd"/>
      <w:r>
        <w:rPr>
          <w:rFonts w:ascii="Times New Roman" w:hAnsi="Times New Roman" w:cs="Times New Roman"/>
          <w:sz w:val="24"/>
          <w:szCs w:val="24"/>
        </w:rPr>
        <w:t>., che, nel concorso di più domande di concessione, prevede che si proceda mediante licitazione privata nell’ipotesi in cui non ricorrano le ragioni di preferenza di cui ai commi primo e secondo (tra le quali, con riguardo al rilascio di concessioni demaniali marittime per attività turistico-ricreative, vi è la preferenza per le richieste che importino attrezzature non fisse e completamente amovibili).</w:t>
      </w:r>
    </w:p>
    <w:p w:rsidR="005C60E5" w:rsidRDefault="005C60E5" w:rsidP="00D84E17">
      <w:pPr>
        <w:spacing w:line="360" w:lineRule="auto"/>
        <w:ind w:firstLine="709"/>
        <w:jc w:val="both"/>
        <w:rPr>
          <w:rFonts w:ascii="Times New Roman" w:hAnsi="Times New Roman" w:cs="Times New Roman"/>
          <w:sz w:val="24"/>
          <w:szCs w:val="24"/>
        </w:rPr>
      </w:pPr>
    </w:p>
    <w:p w:rsidR="0026194A" w:rsidRDefault="0026194A" w:rsidP="00D84E17">
      <w:pPr>
        <w:spacing w:line="360" w:lineRule="auto"/>
        <w:ind w:firstLine="709"/>
        <w:jc w:val="both"/>
        <w:rPr>
          <w:rFonts w:ascii="Times New Roman" w:hAnsi="Times New Roman" w:cs="Times New Roman"/>
          <w:sz w:val="24"/>
          <w:szCs w:val="24"/>
        </w:rPr>
      </w:pPr>
      <w:r>
        <w:rPr>
          <w:rFonts w:ascii="Times New Roman" w:hAnsi="Times New Roman" w:cs="Times New Roman"/>
          <w:b/>
          <w:sz w:val="24"/>
          <w:szCs w:val="24"/>
        </w:rPr>
        <w:t>11. Nel frattempo.</w:t>
      </w:r>
    </w:p>
    <w:p w:rsidR="003C0E7F" w:rsidRDefault="00327674" w:rsidP="003C0E7F">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Nel frattempo, per chi è in cerca di certezze, il settore delle concessioni demaniali marittime per finalità turistico</w:t>
      </w:r>
      <w:r w:rsidR="00EE5FB2">
        <w:rPr>
          <w:rFonts w:ascii="Times New Roman" w:hAnsi="Times New Roman" w:cs="Times New Roman"/>
          <w:sz w:val="24"/>
          <w:szCs w:val="24"/>
        </w:rPr>
        <w:t xml:space="preserve"> </w:t>
      </w:r>
      <w:r>
        <w:rPr>
          <w:rFonts w:ascii="Times New Roman" w:hAnsi="Times New Roman" w:cs="Times New Roman"/>
          <w:sz w:val="24"/>
          <w:szCs w:val="24"/>
        </w:rPr>
        <w:t>ricreative diviene una miniera in quanto materia di esercitazione continua.</w:t>
      </w:r>
      <w:r w:rsidR="003C0E7F" w:rsidRPr="003C0E7F">
        <w:rPr>
          <w:rFonts w:ascii="Times New Roman" w:hAnsi="Times New Roman" w:cs="Times New Roman"/>
          <w:sz w:val="24"/>
          <w:szCs w:val="24"/>
        </w:rPr>
        <w:t xml:space="preserve"> </w:t>
      </w:r>
      <w:r w:rsidR="003C0E7F">
        <w:rPr>
          <w:rFonts w:ascii="Times New Roman" w:hAnsi="Times New Roman" w:cs="Times New Roman"/>
          <w:sz w:val="24"/>
          <w:szCs w:val="24"/>
        </w:rPr>
        <w:t>Il settore, infatti, rappresenta al momento un e</w:t>
      </w:r>
      <w:r w:rsidR="003C0E7F" w:rsidRPr="00D84E17">
        <w:rPr>
          <w:rFonts w:ascii="Times New Roman" w:hAnsi="Times New Roman" w:cs="Times New Roman"/>
          <w:sz w:val="24"/>
          <w:szCs w:val="24"/>
        </w:rPr>
        <w:t>sempio emblematico di incertezza del diritto.</w:t>
      </w:r>
    </w:p>
    <w:p w:rsidR="00327674" w:rsidRDefault="00EE5FB2"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La proroga al 31 dicembre 2024 disposta a inizio di anno dalla l. di conversione del </w:t>
      </w:r>
      <w:proofErr w:type="spellStart"/>
      <w:r>
        <w:rPr>
          <w:rFonts w:ascii="Times New Roman" w:hAnsi="Times New Roman" w:cs="Times New Roman"/>
          <w:sz w:val="24"/>
          <w:szCs w:val="24"/>
        </w:rPr>
        <w:t>d.l.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milleproroghe</w:t>
      </w:r>
      <w:proofErr w:type="spellEnd"/>
      <w:r>
        <w:rPr>
          <w:rFonts w:ascii="Times New Roman" w:hAnsi="Times New Roman" w:cs="Times New Roman"/>
          <w:sz w:val="24"/>
          <w:szCs w:val="24"/>
        </w:rPr>
        <w:t xml:space="preserve">” è di dubbia legittimità </w:t>
      </w:r>
      <w:r w:rsidR="00602CD9">
        <w:rPr>
          <w:rFonts w:ascii="Times New Roman" w:hAnsi="Times New Roman" w:cs="Times New Roman"/>
          <w:sz w:val="24"/>
          <w:szCs w:val="24"/>
        </w:rPr>
        <w:t xml:space="preserve">in relazione alla conformità con il diritto europeo </w:t>
      </w:r>
      <w:r>
        <w:rPr>
          <w:rFonts w:ascii="Times New Roman" w:hAnsi="Times New Roman" w:cs="Times New Roman"/>
          <w:sz w:val="24"/>
          <w:szCs w:val="24"/>
        </w:rPr>
        <w:t>ed è stata già disapplicata dal Consiglio di Stato.</w:t>
      </w:r>
    </w:p>
    <w:p w:rsidR="00327674" w:rsidRDefault="00EE5FB2" w:rsidP="00EF155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Mentre rimane in piedi l</w:t>
      </w:r>
      <w:r w:rsidR="00EF1557">
        <w:rPr>
          <w:rFonts w:ascii="Times New Roman" w:hAnsi="Times New Roman" w:cs="Times New Roman"/>
          <w:sz w:val="24"/>
          <w:szCs w:val="24"/>
        </w:rPr>
        <w:t>’impostazione della l. n. 118/2022 quanto meno con riguardo al</w:t>
      </w:r>
      <w:r w:rsidR="00EF1557" w:rsidRPr="00EF1557">
        <w:rPr>
          <w:rFonts w:ascii="Times New Roman" w:hAnsi="Times New Roman" w:cs="Times New Roman"/>
          <w:sz w:val="24"/>
          <w:szCs w:val="24"/>
        </w:rPr>
        <w:t>la continuazione dell’efficacia sino al 31 dicembre 2023 delle concessioni in essere demaniali marittime, lacuali e fluviali per l'esercizio delle attività turistico-ricreative e sportive, con possibilità di differimento non oltre il 31 dicembre 2024 con atto motivato dell’autorità competente e in pendenza di un contenzioso o di difficoltà oggettive legate all’espletamento delle gare (art. 3).</w:t>
      </w:r>
      <w:r w:rsidR="00EF1557">
        <w:rPr>
          <w:rFonts w:ascii="Times New Roman" w:hAnsi="Times New Roman" w:cs="Times New Roman"/>
          <w:sz w:val="24"/>
          <w:szCs w:val="24"/>
        </w:rPr>
        <w:t xml:space="preserve"> Così come </w:t>
      </w:r>
      <w:r w:rsidR="00602CD9">
        <w:rPr>
          <w:rFonts w:ascii="Times New Roman" w:hAnsi="Times New Roman" w:cs="Times New Roman"/>
          <w:sz w:val="24"/>
          <w:szCs w:val="24"/>
        </w:rPr>
        <w:t xml:space="preserve">per quanto attiene </w:t>
      </w:r>
      <w:r w:rsidR="00EF1557">
        <w:rPr>
          <w:rFonts w:ascii="Times New Roman" w:hAnsi="Times New Roman" w:cs="Times New Roman"/>
          <w:sz w:val="24"/>
          <w:szCs w:val="24"/>
        </w:rPr>
        <w:t>al</w:t>
      </w:r>
      <w:r>
        <w:rPr>
          <w:rFonts w:ascii="Times New Roman" w:hAnsi="Times New Roman" w:cs="Times New Roman"/>
          <w:sz w:val="24"/>
          <w:szCs w:val="24"/>
        </w:rPr>
        <w:t>l’</w:t>
      </w:r>
      <w:r w:rsidR="00EF1557" w:rsidRPr="00EF1557">
        <w:rPr>
          <w:rFonts w:ascii="Times New Roman" w:hAnsi="Times New Roman" w:cs="Times New Roman"/>
          <w:sz w:val="24"/>
          <w:szCs w:val="24"/>
        </w:rPr>
        <w:t>espletamento delle gare per l’affi</w:t>
      </w:r>
      <w:r w:rsidR="00EF1557">
        <w:rPr>
          <w:rFonts w:ascii="Times New Roman" w:hAnsi="Times New Roman" w:cs="Times New Roman"/>
          <w:sz w:val="24"/>
          <w:szCs w:val="24"/>
        </w:rPr>
        <w:t xml:space="preserve">damento delle nuove concessioni, nel </w:t>
      </w:r>
      <w:r w:rsidR="00EF1557" w:rsidRPr="00EF1557">
        <w:rPr>
          <w:rFonts w:ascii="Times New Roman" w:hAnsi="Times New Roman" w:cs="Times New Roman"/>
          <w:sz w:val="24"/>
          <w:szCs w:val="24"/>
        </w:rPr>
        <w:t xml:space="preserve">rispetto dei principi del </w:t>
      </w:r>
      <w:r w:rsidR="00EF1557">
        <w:rPr>
          <w:rFonts w:ascii="Times New Roman" w:hAnsi="Times New Roman" w:cs="Times New Roman"/>
          <w:sz w:val="24"/>
          <w:szCs w:val="24"/>
        </w:rPr>
        <w:t>TFUE a tutela della concorrenza</w:t>
      </w:r>
      <w:r w:rsidR="00EF1557" w:rsidRPr="00EF1557">
        <w:rPr>
          <w:rFonts w:ascii="Times New Roman" w:hAnsi="Times New Roman" w:cs="Times New Roman"/>
          <w:sz w:val="24"/>
          <w:szCs w:val="24"/>
        </w:rPr>
        <w:t xml:space="preserve"> ai fini </w:t>
      </w:r>
      <w:r w:rsidR="00EF1557">
        <w:rPr>
          <w:rFonts w:ascii="Times New Roman" w:hAnsi="Times New Roman" w:cs="Times New Roman"/>
          <w:sz w:val="24"/>
          <w:szCs w:val="24"/>
        </w:rPr>
        <w:t>della scelta del concessionario.</w:t>
      </w:r>
    </w:p>
    <w:p w:rsidR="00EF1557" w:rsidRDefault="00EF1557" w:rsidP="00EF155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Ma ne viene meno l’impostazione di base, fondata sull’adozione dei d.lgs. tesi a definire le procedure da seguire e i criteri da applicare per la scelta dell’affidatario, </w:t>
      </w:r>
      <w:r w:rsidRPr="00EF1557">
        <w:rPr>
          <w:rFonts w:ascii="Times New Roman" w:hAnsi="Times New Roman" w:cs="Times New Roman"/>
          <w:sz w:val="24"/>
          <w:szCs w:val="24"/>
        </w:rPr>
        <w:t>considera</w:t>
      </w:r>
      <w:r>
        <w:rPr>
          <w:rFonts w:ascii="Times New Roman" w:hAnsi="Times New Roman" w:cs="Times New Roman"/>
          <w:sz w:val="24"/>
          <w:szCs w:val="24"/>
        </w:rPr>
        <w:t xml:space="preserve">ndo </w:t>
      </w:r>
      <w:r w:rsidRPr="00EF1557">
        <w:rPr>
          <w:rFonts w:ascii="Times New Roman" w:hAnsi="Times New Roman" w:cs="Times New Roman"/>
          <w:sz w:val="24"/>
          <w:szCs w:val="24"/>
        </w:rPr>
        <w:t>le professionalità acquisite nel settore</w:t>
      </w:r>
      <w:r>
        <w:rPr>
          <w:rFonts w:ascii="Times New Roman" w:hAnsi="Times New Roman" w:cs="Times New Roman"/>
          <w:sz w:val="24"/>
          <w:szCs w:val="24"/>
        </w:rPr>
        <w:t xml:space="preserve"> e </w:t>
      </w:r>
      <w:r w:rsidRPr="00EF1557">
        <w:rPr>
          <w:rFonts w:ascii="Times New Roman" w:hAnsi="Times New Roman" w:cs="Times New Roman"/>
          <w:sz w:val="24"/>
          <w:szCs w:val="24"/>
        </w:rPr>
        <w:t>gli investimenti effettuati</w:t>
      </w:r>
      <w:r>
        <w:rPr>
          <w:rFonts w:ascii="Times New Roman" w:hAnsi="Times New Roman" w:cs="Times New Roman"/>
          <w:sz w:val="24"/>
          <w:szCs w:val="24"/>
        </w:rPr>
        <w:t>, nonché</w:t>
      </w:r>
      <w:r w:rsidRPr="00EF1557">
        <w:rPr>
          <w:rFonts w:ascii="Times New Roman" w:hAnsi="Times New Roman" w:cs="Times New Roman"/>
          <w:sz w:val="24"/>
          <w:szCs w:val="24"/>
        </w:rPr>
        <w:t xml:space="preserve"> riconosc</w:t>
      </w:r>
      <w:r>
        <w:rPr>
          <w:rFonts w:ascii="Times New Roman" w:hAnsi="Times New Roman" w:cs="Times New Roman"/>
          <w:sz w:val="24"/>
          <w:szCs w:val="24"/>
        </w:rPr>
        <w:t>endo</w:t>
      </w:r>
      <w:r w:rsidRPr="00EF1557">
        <w:rPr>
          <w:rFonts w:ascii="Times New Roman" w:hAnsi="Times New Roman" w:cs="Times New Roman"/>
          <w:sz w:val="24"/>
          <w:szCs w:val="24"/>
        </w:rPr>
        <w:t xml:space="preserve"> un indennizzo a favore del concessionario uscente posto a carico del concessionario subentrante.</w:t>
      </w:r>
    </w:p>
    <w:p w:rsidR="004D04F7"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Di qui la n</w:t>
      </w:r>
      <w:r w:rsidR="004D04F7" w:rsidRPr="00D84E17">
        <w:rPr>
          <w:rFonts w:ascii="Times New Roman" w:hAnsi="Times New Roman" w:cs="Times New Roman"/>
          <w:sz w:val="24"/>
          <w:szCs w:val="24"/>
        </w:rPr>
        <w:t>ecessità di un nuovo</w:t>
      </w:r>
      <w:r>
        <w:rPr>
          <w:rFonts w:ascii="Times New Roman" w:hAnsi="Times New Roman" w:cs="Times New Roman"/>
          <w:sz w:val="24"/>
          <w:szCs w:val="24"/>
        </w:rPr>
        <w:t xml:space="preserve"> intervento legislativo a breve, come richiesto anche dal Presidente della Repubblica.</w:t>
      </w:r>
    </w:p>
    <w:p w:rsidR="003F0DAC"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Ma quali soluzioni?</w:t>
      </w:r>
    </w:p>
    <w:p w:rsidR="003F0DAC"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ne </w:t>
      </w:r>
      <w:r w:rsidR="00602CD9">
        <w:rPr>
          <w:rFonts w:ascii="Times New Roman" w:hAnsi="Times New Roman" w:cs="Times New Roman"/>
          <w:sz w:val="24"/>
          <w:szCs w:val="24"/>
        </w:rPr>
        <w:t>prospettano</w:t>
      </w:r>
      <w:r>
        <w:rPr>
          <w:rFonts w:ascii="Times New Roman" w:hAnsi="Times New Roman" w:cs="Times New Roman"/>
          <w:sz w:val="24"/>
          <w:szCs w:val="24"/>
        </w:rPr>
        <w:t xml:space="preserve"> alcune:</w:t>
      </w:r>
    </w:p>
    <w:p w:rsidR="003F0DAC"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a) e</w:t>
      </w:r>
      <w:r w:rsidR="00831F98" w:rsidRPr="00D84E17">
        <w:rPr>
          <w:rFonts w:ascii="Times New Roman" w:hAnsi="Times New Roman" w:cs="Times New Roman"/>
          <w:sz w:val="24"/>
          <w:szCs w:val="24"/>
        </w:rPr>
        <w:t xml:space="preserve">liminazione della proroga </w:t>
      </w:r>
      <w:r w:rsidRPr="00D84E17">
        <w:rPr>
          <w:rFonts w:ascii="Times New Roman" w:hAnsi="Times New Roman" w:cs="Times New Roman"/>
          <w:sz w:val="24"/>
          <w:szCs w:val="24"/>
        </w:rPr>
        <w:t>l</w:t>
      </w:r>
      <w:r>
        <w:rPr>
          <w:rFonts w:ascii="Times New Roman" w:hAnsi="Times New Roman" w:cs="Times New Roman"/>
          <w:sz w:val="24"/>
          <w:szCs w:val="24"/>
        </w:rPr>
        <w:t>egislativa a</w:t>
      </w:r>
      <w:r w:rsidR="00831F98" w:rsidRPr="00D84E17">
        <w:rPr>
          <w:rFonts w:ascii="Times New Roman" w:hAnsi="Times New Roman" w:cs="Times New Roman"/>
          <w:sz w:val="24"/>
          <w:szCs w:val="24"/>
        </w:rPr>
        <w:t xml:space="preserve">l </w:t>
      </w:r>
      <w:r>
        <w:rPr>
          <w:rFonts w:ascii="Times New Roman" w:hAnsi="Times New Roman" w:cs="Times New Roman"/>
          <w:sz w:val="24"/>
          <w:szCs w:val="24"/>
        </w:rPr>
        <w:t xml:space="preserve">31 dicembre </w:t>
      </w:r>
      <w:r w:rsidR="00831F98" w:rsidRPr="00D84E17">
        <w:rPr>
          <w:rFonts w:ascii="Times New Roman" w:hAnsi="Times New Roman" w:cs="Times New Roman"/>
          <w:sz w:val="24"/>
          <w:szCs w:val="24"/>
        </w:rPr>
        <w:t>2024 salvaguardando le conce</w:t>
      </w:r>
      <w:r w:rsidR="00A61774" w:rsidRPr="00D84E17">
        <w:rPr>
          <w:rFonts w:ascii="Times New Roman" w:hAnsi="Times New Roman" w:cs="Times New Roman"/>
          <w:sz w:val="24"/>
          <w:szCs w:val="24"/>
        </w:rPr>
        <w:t xml:space="preserve">ssioni </w:t>
      </w:r>
      <w:r>
        <w:rPr>
          <w:rFonts w:ascii="Times New Roman" w:hAnsi="Times New Roman" w:cs="Times New Roman"/>
          <w:sz w:val="24"/>
          <w:szCs w:val="24"/>
        </w:rPr>
        <w:t xml:space="preserve">affidate </w:t>
      </w:r>
      <w:r w:rsidR="00A61774" w:rsidRPr="00D84E17">
        <w:rPr>
          <w:rFonts w:ascii="Times New Roman" w:hAnsi="Times New Roman" w:cs="Times New Roman"/>
          <w:sz w:val="24"/>
          <w:szCs w:val="24"/>
        </w:rPr>
        <w:t xml:space="preserve">prima del </w:t>
      </w:r>
      <w:r>
        <w:rPr>
          <w:rFonts w:ascii="Times New Roman" w:hAnsi="Times New Roman" w:cs="Times New Roman"/>
          <w:sz w:val="24"/>
          <w:szCs w:val="24"/>
        </w:rPr>
        <w:t>28 dicembre 2009, data di entrata in vi</w:t>
      </w:r>
      <w:r w:rsidR="00AB55D9">
        <w:rPr>
          <w:rFonts w:ascii="Times New Roman" w:hAnsi="Times New Roman" w:cs="Times New Roman"/>
          <w:sz w:val="24"/>
          <w:szCs w:val="24"/>
        </w:rPr>
        <w:t xml:space="preserve">gore della direttiva </w:t>
      </w:r>
      <w:proofErr w:type="spellStart"/>
      <w:r w:rsidR="00AB55D9">
        <w:rPr>
          <w:rFonts w:ascii="Times New Roman" w:hAnsi="Times New Roman" w:cs="Times New Roman"/>
          <w:sz w:val="24"/>
          <w:szCs w:val="24"/>
        </w:rPr>
        <w:t>Bolkestein</w:t>
      </w:r>
      <w:proofErr w:type="spellEnd"/>
      <w:r w:rsidR="00AB55D9">
        <w:rPr>
          <w:rFonts w:ascii="Times New Roman" w:hAnsi="Times New Roman" w:cs="Times New Roman"/>
          <w:sz w:val="24"/>
          <w:szCs w:val="24"/>
        </w:rPr>
        <w:t xml:space="preserve">. Soluzione di non semplice percorribilità considerato che la CGUE, nella sentenza del 20 aprile 2023, ribadisce che la direttiva </w:t>
      </w:r>
      <w:proofErr w:type="spellStart"/>
      <w:r w:rsidR="00AB55D9">
        <w:rPr>
          <w:rFonts w:ascii="Times New Roman" w:hAnsi="Times New Roman" w:cs="Times New Roman"/>
          <w:sz w:val="24"/>
          <w:szCs w:val="24"/>
        </w:rPr>
        <w:t>Bolkestein</w:t>
      </w:r>
      <w:proofErr w:type="spellEnd"/>
      <w:r w:rsidR="00AB55D9">
        <w:rPr>
          <w:rFonts w:ascii="Times New Roman" w:hAnsi="Times New Roman" w:cs="Times New Roman"/>
          <w:sz w:val="24"/>
          <w:szCs w:val="24"/>
        </w:rPr>
        <w:t xml:space="preserve"> va applicata “dal momento della sua entrata in vigore, ossia, …a decorrere dal 28 dicembre 2009” (punto 73);</w:t>
      </w:r>
    </w:p>
    <w:p w:rsidR="003F0DAC"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b) definizione dei criteri per la determinazione della sussistenza della scarsità della risorsa naturale disponibile, non più demandati al tavolo tecnico previsto dall’art. 10-quater del </w:t>
      </w:r>
      <w:proofErr w:type="spellStart"/>
      <w:r>
        <w:rPr>
          <w:rFonts w:ascii="Times New Roman" w:hAnsi="Times New Roman" w:cs="Times New Roman"/>
          <w:sz w:val="24"/>
          <w:szCs w:val="24"/>
        </w:rPr>
        <w:t>d.l.</w:t>
      </w:r>
      <w:proofErr w:type="spellEnd"/>
      <w:r w:rsidR="00991288">
        <w:rPr>
          <w:rFonts w:ascii="Times New Roman" w:hAnsi="Times New Roman" w:cs="Times New Roman"/>
          <w:sz w:val="24"/>
          <w:szCs w:val="24"/>
        </w:rPr>
        <w:t xml:space="preserve"> n.</w:t>
      </w:r>
      <w:r>
        <w:rPr>
          <w:rFonts w:ascii="Times New Roman" w:hAnsi="Times New Roman" w:cs="Times New Roman"/>
          <w:sz w:val="24"/>
          <w:szCs w:val="24"/>
        </w:rPr>
        <w:t xml:space="preserve"> 198/2022;</w:t>
      </w:r>
    </w:p>
    <w:p w:rsidR="00991288" w:rsidRDefault="003F0DAC"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 fissazione dei criteri per le gare, che </w:t>
      </w:r>
      <w:r w:rsidR="00991288">
        <w:rPr>
          <w:rFonts w:ascii="Times New Roman" w:hAnsi="Times New Roman" w:cs="Times New Roman"/>
          <w:sz w:val="24"/>
          <w:szCs w:val="24"/>
        </w:rPr>
        <w:t>potranno essere differenziati a seconda che, causa la scarsità o meno delle risorse, si applichi</w:t>
      </w:r>
      <w:r w:rsidR="009E0E19">
        <w:rPr>
          <w:rFonts w:ascii="Times New Roman" w:hAnsi="Times New Roman" w:cs="Times New Roman"/>
          <w:sz w:val="24"/>
          <w:szCs w:val="24"/>
        </w:rPr>
        <w:t>no</w:t>
      </w:r>
      <w:r w:rsidR="00991288">
        <w:rPr>
          <w:rFonts w:ascii="Times New Roman" w:hAnsi="Times New Roman" w:cs="Times New Roman"/>
          <w:sz w:val="24"/>
          <w:szCs w:val="24"/>
        </w:rPr>
        <w:t xml:space="preserve"> la direttiva </w:t>
      </w:r>
      <w:proofErr w:type="spellStart"/>
      <w:r w:rsidR="00991288">
        <w:rPr>
          <w:rFonts w:ascii="Times New Roman" w:hAnsi="Times New Roman" w:cs="Times New Roman"/>
          <w:sz w:val="24"/>
          <w:szCs w:val="24"/>
        </w:rPr>
        <w:t>Bolkestein</w:t>
      </w:r>
      <w:proofErr w:type="spellEnd"/>
      <w:r w:rsidR="00991288">
        <w:rPr>
          <w:rFonts w:ascii="Times New Roman" w:hAnsi="Times New Roman" w:cs="Times New Roman"/>
          <w:sz w:val="24"/>
          <w:szCs w:val="24"/>
        </w:rPr>
        <w:t xml:space="preserve"> oppure l’art. 13, commi 2 e 5, del d.lgs. n. 36/2023 (nuovo codice dei contratti pubblici) e quindi i principi dell’accesso al mercato di cui al precedente art. 3.</w:t>
      </w:r>
    </w:p>
    <w:p w:rsidR="009E0E19" w:rsidRDefault="005011C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 in mancanza della fissazione di previ criteri, </w:t>
      </w:r>
      <w:r w:rsidRPr="005011CF">
        <w:rPr>
          <w:rFonts w:ascii="Times New Roman" w:hAnsi="Times New Roman" w:cs="Times New Roman"/>
          <w:sz w:val="24"/>
          <w:szCs w:val="24"/>
        </w:rPr>
        <w:t xml:space="preserve">la scarsità delle risorse naturali </w:t>
      </w:r>
      <w:r>
        <w:rPr>
          <w:rFonts w:ascii="Times New Roman" w:hAnsi="Times New Roman" w:cs="Times New Roman"/>
          <w:sz w:val="24"/>
          <w:szCs w:val="24"/>
        </w:rPr>
        <w:t>non potrà che essere</w:t>
      </w:r>
      <w:r w:rsidRPr="005011CF">
        <w:rPr>
          <w:rFonts w:ascii="Times New Roman" w:hAnsi="Times New Roman" w:cs="Times New Roman"/>
          <w:sz w:val="24"/>
          <w:szCs w:val="24"/>
        </w:rPr>
        <w:t xml:space="preserve"> valutata e definita</w:t>
      </w:r>
      <w:r>
        <w:rPr>
          <w:rFonts w:ascii="Times New Roman" w:hAnsi="Times New Roman" w:cs="Times New Roman"/>
          <w:sz w:val="24"/>
          <w:szCs w:val="24"/>
        </w:rPr>
        <w:t>, di volta in volta,</w:t>
      </w:r>
      <w:r w:rsidRPr="005011CF">
        <w:rPr>
          <w:rFonts w:ascii="Times New Roman" w:hAnsi="Times New Roman" w:cs="Times New Roman"/>
          <w:sz w:val="24"/>
          <w:szCs w:val="24"/>
        </w:rPr>
        <w:t xml:space="preserve"> dall’amministrazione competente al</w:t>
      </w:r>
      <w:r>
        <w:rPr>
          <w:rFonts w:ascii="Times New Roman" w:hAnsi="Times New Roman" w:cs="Times New Roman"/>
          <w:sz w:val="24"/>
          <w:szCs w:val="24"/>
        </w:rPr>
        <w:t>l’affidamento della concessione.</w:t>
      </w:r>
    </w:p>
    <w:p w:rsidR="005011CF" w:rsidRDefault="005011CF" w:rsidP="00D84E17">
      <w:pPr>
        <w:spacing w:line="360" w:lineRule="auto"/>
        <w:ind w:firstLine="709"/>
        <w:jc w:val="both"/>
        <w:rPr>
          <w:rFonts w:ascii="Times New Roman" w:hAnsi="Times New Roman" w:cs="Times New Roman"/>
          <w:sz w:val="24"/>
          <w:szCs w:val="24"/>
        </w:rPr>
      </w:pPr>
    </w:p>
    <w:p w:rsidR="009E0E19" w:rsidRPr="009E0E19" w:rsidRDefault="009E0E19" w:rsidP="00D84E17">
      <w:pPr>
        <w:spacing w:line="360" w:lineRule="auto"/>
        <w:ind w:firstLine="709"/>
        <w:jc w:val="both"/>
        <w:rPr>
          <w:rFonts w:ascii="Times New Roman" w:hAnsi="Times New Roman" w:cs="Times New Roman"/>
          <w:b/>
          <w:sz w:val="24"/>
          <w:szCs w:val="24"/>
        </w:rPr>
      </w:pPr>
      <w:r w:rsidRPr="009E0E19">
        <w:rPr>
          <w:rFonts w:ascii="Times New Roman" w:hAnsi="Times New Roman" w:cs="Times New Roman"/>
          <w:b/>
          <w:sz w:val="24"/>
          <w:szCs w:val="24"/>
        </w:rPr>
        <w:t>12. Considerazioni finali.</w:t>
      </w:r>
    </w:p>
    <w:p w:rsidR="003F0DAC" w:rsidRDefault="009E0E1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Intanto il tempo stringe ed appare</w:t>
      </w:r>
      <w:r w:rsidR="003F0DAC">
        <w:rPr>
          <w:rFonts w:ascii="Times New Roman" w:hAnsi="Times New Roman" w:cs="Times New Roman"/>
          <w:sz w:val="24"/>
          <w:szCs w:val="24"/>
        </w:rPr>
        <w:t xml:space="preserve"> illusorio </w:t>
      </w:r>
      <w:r>
        <w:rPr>
          <w:rFonts w:ascii="Times New Roman" w:hAnsi="Times New Roman" w:cs="Times New Roman"/>
          <w:sz w:val="24"/>
          <w:szCs w:val="24"/>
        </w:rPr>
        <w:t xml:space="preserve">che il tutto possa essere </w:t>
      </w:r>
      <w:r w:rsidR="003F0DAC">
        <w:rPr>
          <w:rFonts w:ascii="Times New Roman" w:hAnsi="Times New Roman" w:cs="Times New Roman"/>
          <w:sz w:val="24"/>
          <w:szCs w:val="24"/>
        </w:rPr>
        <w:t>effettua</w:t>
      </w:r>
      <w:r>
        <w:rPr>
          <w:rFonts w:ascii="Times New Roman" w:hAnsi="Times New Roman" w:cs="Times New Roman"/>
          <w:sz w:val="24"/>
          <w:szCs w:val="24"/>
        </w:rPr>
        <w:t>to</w:t>
      </w:r>
      <w:r w:rsidR="003F0DAC">
        <w:rPr>
          <w:rFonts w:ascii="Times New Roman" w:hAnsi="Times New Roman" w:cs="Times New Roman"/>
          <w:sz w:val="24"/>
          <w:szCs w:val="24"/>
        </w:rPr>
        <w:t xml:space="preserve"> entro il 31 dicembre 2023</w:t>
      </w:r>
      <w:r>
        <w:rPr>
          <w:rFonts w:ascii="Times New Roman" w:hAnsi="Times New Roman" w:cs="Times New Roman"/>
          <w:sz w:val="24"/>
          <w:szCs w:val="24"/>
        </w:rPr>
        <w:t>.</w:t>
      </w:r>
    </w:p>
    <w:p w:rsidR="00EB2776" w:rsidRDefault="00EB2776"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Purtroppo è passato troppo tempo </w:t>
      </w:r>
      <w:r w:rsidR="006F435F">
        <w:rPr>
          <w:rFonts w:ascii="Times New Roman" w:hAnsi="Times New Roman" w:cs="Times New Roman"/>
          <w:sz w:val="24"/>
          <w:szCs w:val="24"/>
        </w:rPr>
        <w:t xml:space="preserve">e </w:t>
      </w:r>
      <w:r>
        <w:rPr>
          <w:rFonts w:ascii="Times New Roman" w:hAnsi="Times New Roman" w:cs="Times New Roman"/>
          <w:sz w:val="24"/>
          <w:szCs w:val="24"/>
        </w:rPr>
        <w:t>si è pensato esclusivamente a tutelare le posizioni dei concessionari in essere</w:t>
      </w:r>
      <w:r w:rsidR="006F435F">
        <w:rPr>
          <w:rFonts w:ascii="Times New Roman" w:hAnsi="Times New Roman" w:cs="Times New Roman"/>
          <w:sz w:val="24"/>
          <w:szCs w:val="24"/>
        </w:rPr>
        <w:t xml:space="preserve"> procrastinando la soluzione d</w:t>
      </w:r>
      <w:r w:rsidR="005011CF">
        <w:rPr>
          <w:rFonts w:ascii="Times New Roman" w:hAnsi="Times New Roman" w:cs="Times New Roman"/>
          <w:sz w:val="24"/>
          <w:szCs w:val="24"/>
        </w:rPr>
        <w:t>e</w:t>
      </w:r>
      <w:r w:rsidR="006F435F">
        <w:rPr>
          <w:rFonts w:ascii="Times New Roman" w:hAnsi="Times New Roman" w:cs="Times New Roman"/>
          <w:sz w:val="24"/>
          <w:szCs w:val="24"/>
        </w:rPr>
        <w:t>i problemi</w:t>
      </w:r>
      <w:r>
        <w:rPr>
          <w:rFonts w:ascii="Times New Roman" w:hAnsi="Times New Roman" w:cs="Times New Roman"/>
          <w:sz w:val="24"/>
          <w:szCs w:val="24"/>
        </w:rPr>
        <w:t>. Mentre</w:t>
      </w:r>
      <w:r w:rsidR="006F435F">
        <w:rPr>
          <w:rFonts w:ascii="Times New Roman" w:hAnsi="Times New Roman" w:cs="Times New Roman"/>
          <w:sz w:val="24"/>
          <w:szCs w:val="24"/>
        </w:rPr>
        <w:t>,</w:t>
      </w:r>
      <w:r>
        <w:rPr>
          <w:rFonts w:ascii="Times New Roman" w:hAnsi="Times New Roman" w:cs="Times New Roman"/>
          <w:sz w:val="24"/>
          <w:szCs w:val="24"/>
        </w:rPr>
        <w:t xml:space="preserve"> invece</w:t>
      </w:r>
      <w:r w:rsidR="006F435F">
        <w:rPr>
          <w:rFonts w:ascii="Times New Roman" w:hAnsi="Times New Roman" w:cs="Times New Roman"/>
          <w:sz w:val="24"/>
          <w:szCs w:val="24"/>
        </w:rPr>
        <w:t>,</w:t>
      </w:r>
      <w:r>
        <w:rPr>
          <w:rFonts w:ascii="Times New Roman" w:hAnsi="Times New Roman" w:cs="Times New Roman"/>
          <w:sz w:val="24"/>
          <w:szCs w:val="24"/>
        </w:rPr>
        <w:t xml:space="preserve"> la necessità dell’apertura del mercato avrebbe dovuto sin da tempo portare allo svolgimento delle gare.</w:t>
      </w:r>
    </w:p>
    <w:p w:rsidR="006F435F" w:rsidRDefault="006F435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w:t>
      </w:r>
      <w:r w:rsidR="00EB2776">
        <w:rPr>
          <w:rFonts w:ascii="Times New Roman" w:hAnsi="Times New Roman" w:cs="Times New Roman"/>
          <w:sz w:val="24"/>
          <w:szCs w:val="24"/>
        </w:rPr>
        <w:t xml:space="preserve">l paradosso </w:t>
      </w:r>
      <w:r>
        <w:rPr>
          <w:rFonts w:ascii="Times New Roman" w:hAnsi="Times New Roman" w:cs="Times New Roman"/>
          <w:sz w:val="24"/>
          <w:szCs w:val="24"/>
        </w:rPr>
        <w:t>nel quale</w:t>
      </w:r>
      <w:r w:rsidR="00EB2776">
        <w:rPr>
          <w:rFonts w:ascii="Times New Roman" w:hAnsi="Times New Roman" w:cs="Times New Roman"/>
          <w:sz w:val="24"/>
          <w:szCs w:val="24"/>
        </w:rPr>
        <w:t xml:space="preserve"> ci si trova è quello per cui le gare non possono </w:t>
      </w:r>
      <w:r>
        <w:rPr>
          <w:rFonts w:ascii="Times New Roman" w:hAnsi="Times New Roman" w:cs="Times New Roman"/>
          <w:sz w:val="24"/>
          <w:szCs w:val="24"/>
        </w:rPr>
        <w:t xml:space="preserve">non </w:t>
      </w:r>
      <w:r w:rsidR="00EB2776">
        <w:rPr>
          <w:rFonts w:ascii="Times New Roman" w:hAnsi="Times New Roman" w:cs="Times New Roman"/>
          <w:sz w:val="24"/>
          <w:szCs w:val="24"/>
        </w:rPr>
        <w:t>essere svolte</w:t>
      </w:r>
      <w:r>
        <w:rPr>
          <w:rFonts w:ascii="Times New Roman" w:hAnsi="Times New Roman" w:cs="Times New Roman"/>
          <w:sz w:val="24"/>
          <w:szCs w:val="24"/>
        </w:rPr>
        <w:t>,</w:t>
      </w:r>
      <w:r w:rsidR="00EB2776">
        <w:rPr>
          <w:rFonts w:ascii="Times New Roman" w:hAnsi="Times New Roman" w:cs="Times New Roman"/>
          <w:sz w:val="24"/>
          <w:szCs w:val="24"/>
        </w:rPr>
        <w:t xml:space="preserve"> ma al momento non sono definiti i criteri</w:t>
      </w:r>
      <w:r>
        <w:rPr>
          <w:rFonts w:ascii="Times New Roman" w:hAnsi="Times New Roman" w:cs="Times New Roman"/>
          <w:sz w:val="24"/>
          <w:szCs w:val="24"/>
        </w:rPr>
        <w:t xml:space="preserve"> e quindi il contenuto dei bandi a cui è demandato fissare le regole per la scelta del soggetto affidatario.</w:t>
      </w:r>
    </w:p>
    <w:p w:rsidR="006B517D" w:rsidRDefault="006F435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È indubbio che ci si trovi in una situazione di incertezza e in un momento di stallo, dal quale comunque si dovrà uscire. Oltremodo è indubbio che la vicenda non potrà annoiare coloro che si interessano - per var</w:t>
      </w:r>
      <w:r w:rsidR="00AB55D9">
        <w:rPr>
          <w:rFonts w:ascii="Times New Roman" w:hAnsi="Times New Roman" w:cs="Times New Roman"/>
          <w:sz w:val="24"/>
          <w:szCs w:val="24"/>
        </w:rPr>
        <w:t>i aspetti, giuridici e non - al</w:t>
      </w:r>
      <w:r>
        <w:rPr>
          <w:rFonts w:ascii="Times New Roman" w:hAnsi="Times New Roman" w:cs="Times New Roman"/>
          <w:sz w:val="24"/>
          <w:szCs w:val="24"/>
        </w:rPr>
        <w:t xml:space="preserve"> settore, i quali certamente non resteranno delusi dalle successive puntate di quella che ormai è diventata una specie di telenovela.</w:t>
      </w:r>
    </w:p>
    <w:p w:rsidR="00D01F18" w:rsidRDefault="00602CD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Intanto b</w:t>
      </w:r>
      <w:r w:rsidR="006F435F">
        <w:rPr>
          <w:rFonts w:ascii="Times New Roman" w:hAnsi="Times New Roman" w:cs="Times New Roman"/>
          <w:sz w:val="24"/>
          <w:szCs w:val="24"/>
        </w:rPr>
        <w:t>isogna essere fiduciosi, anche se spesso il legislatore</w:t>
      </w:r>
      <w:r w:rsidR="00D01F18">
        <w:rPr>
          <w:rFonts w:ascii="Times New Roman" w:hAnsi="Times New Roman" w:cs="Times New Roman"/>
          <w:sz w:val="24"/>
          <w:szCs w:val="24"/>
        </w:rPr>
        <w:t>, soprattutto negli ultimi tempi,</w:t>
      </w:r>
      <w:r w:rsidR="006F435F">
        <w:rPr>
          <w:rFonts w:ascii="Times New Roman" w:hAnsi="Times New Roman" w:cs="Times New Roman"/>
          <w:sz w:val="24"/>
          <w:szCs w:val="24"/>
        </w:rPr>
        <w:t xml:space="preserve"> non ha dato il meglio di sé in questa materia. </w:t>
      </w:r>
      <w:r w:rsidR="00D01F18">
        <w:rPr>
          <w:rFonts w:ascii="Times New Roman" w:hAnsi="Times New Roman" w:cs="Times New Roman"/>
          <w:sz w:val="24"/>
          <w:szCs w:val="24"/>
        </w:rPr>
        <w:t xml:space="preserve">Ne è esempio, come detto, </w:t>
      </w:r>
      <w:r w:rsidR="00D01F18" w:rsidRPr="00D01F18">
        <w:rPr>
          <w:rFonts w:ascii="Times New Roman" w:hAnsi="Times New Roman" w:cs="Times New Roman"/>
          <w:sz w:val="24"/>
          <w:szCs w:val="24"/>
        </w:rPr>
        <w:t xml:space="preserve">il nuovo comma 4-bis, inserito nell’art. 4 </w:t>
      </w:r>
      <w:r w:rsidR="00D01F18">
        <w:rPr>
          <w:rFonts w:ascii="Times New Roman" w:hAnsi="Times New Roman" w:cs="Times New Roman"/>
          <w:sz w:val="24"/>
          <w:szCs w:val="24"/>
        </w:rPr>
        <w:t xml:space="preserve">della l. n. 118/2022 </w:t>
      </w:r>
      <w:r w:rsidR="00D01F18" w:rsidRPr="00D01F18">
        <w:rPr>
          <w:rFonts w:ascii="Times New Roman" w:hAnsi="Times New Roman" w:cs="Times New Roman"/>
          <w:sz w:val="24"/>
          <w:szCs w:val="24"/>
        </w:rPr>
        <w:t xml:space="preserve">dalla l. n. </w:t>
      </w:r>
      <w:r w:rsidR="00D01F18">
        <w:rPr>
          <w:rFonts w:ascii="Times New Roman" w:hAnsi="Times New Roman" w:cs="Times New Roman"/>
          <w:sz w:val="24"/>
          <w:szCs w:val="24"/>
        </w:rPr>
        <w:t xml:space="preserve">14/2023, di conversione del </w:t>
      </w:r>
      <w:proofErr w:type="spellStart"/>
      <w:r w:rsidR="00D01F18">
        <w:rPr>
          <w:rFonts w:ascii="Times New Roman" w:hAnsi="Times New Roman" w:cs="Times New Roman"/>
          <w:sz w:val="24"/>
          <w:szCs w:val="24"/>
        </w:rPr>
        <w:t>d.l.</w:t>
      </w:r>
      <w:proofErr w:type="spellEnd"/>
      <w:r w:rsidR="00D01F18">
        <w:rPr>
          <w:rFonts w:ascii="Times New Roman" w:hAnsi="Times New Roman" w:cs="Times New Roman"/>
          <w:sz w:val="24"/>
          <w:szCs w:val="24"/>
        </w:rPr>
        <w:t xml:space="preserve"> “</w:t>
      </w:r>
      <w:proofErr w:type="spellStart"/>
      <w:r w:rsidR="00D01F18">
        <w:rPr>
          <w:rFonts w:ascii="Times New Roman" w:hAnsi="Times New Roman" w:cs="Times New Roman"/>
          <w:sz w:val="24"/>
          <w:szCs w:val="24"/>
        </w:rPr>
        <w:t>milleproroghe</w:t>
      </w:r>
      <w:proofErr w:type="spellEnd"/>
      <w:r w:rsidR="00D01F18">
        <w:rPr>
          <w:rFonts w:ascii="Times New Roman" w:hAnsi="Times New Roman" w:cs="Times New Roman"/>
          <w:sz w:val="24"/>
          <w:szCs w:val="24"/>
        </w:rPr>
        <w:t>”.</w:t>
      </w:r>
    </w:p>
    <w:p w:rsidR="00D01F18" w:rsidRDefault="006F435F"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Quello che tuttavia non </w:t>
      </w:r>
      <w:r w:rsidR="00AB55D9">
        <w:rPr>
          <w:rFonts w:ascii="Times New Roman" w:hAnsi="Times New Roman" w:cs="Times New Roman"/>
          <w:sz w:val="24"/>
          <w:szCs w:val="24"/>
        </w:rPr>
        <w:t>può</w:t>
      </w:r>
      <w:r>
        <w:rPr>
          <w:rFonts w:ascii="Times New Roman" w:hAnsi="Times New Roman" w:cs="Times New Roman"/>
          <w:sz w:val="24"/>
          <w:szCs w:val="24"/>
        </w:rPr>
        <w:t xml:space="preserve"> pretendersi</w:t>
      </w:r>
      <w:r w:rsidR="00D01F18">
        <w:rPr>
          <w:rFonts w:ascii="Times New Roman" w:hAnsi="Times New Roman" w:cs="Times New Roman"/>
          <w:sz w:val="24"/>
          <w:szCs w:val="24"/>
        </w:rPr>
        <w:t xml:space="preserve"> è </w:t>
      </w:r>
      <w:r>
        <w:rPr>
          <w:rFonts w:ascii="Times New Roman" w:hAnsi="Times New Roman" w:cs="Times New Roman"/>
          <w:sz w:val="24"/>
          <w:szCs w:val="24"/>
        </w:rPr>
        <w:t>che la soluzione dei problemi vada rimessa al giudice amministrativo</w:t>
      </w:r>
      <w:r w:rsidR="00D01F18">
        <w:rPr>
          <w:rFonts w:ascii="Times New Roman" w:hAnsi="Times New Roman" w:cs="Times New Roman"/>
          <w:sz w:val="24"/>
          <w:szCs w:val="24"/>
        </w:rPr>
        <w:t xml:space="preserve">, il </w:t>
      </w:r>
      <w:r>
        <w:rPr>
          <w:rFonts w:ascii="Times New Roman" w:hAnsi="Times New Roman" w:cs="Times New Roman"/>
          <w:sz w:val="24"/>
          <w:szCs w:val="24"/>
        </w:rPr>
        <w:t xml:space="preserve">quale già di per sé </w:t>
      </w:r>
      <w:r w:rsidR="005011CF">
        <w:rPr>
          <w:rFonts w:ascii="Times New Roman" w:hAnsi="Times New Roman" w:cs="Times New Roman"/>
          <w:sz w:val="24"/>
          <w:szCs w:val="24"/>
        </w:rPr>
        <w:t xml:space="preserve">interviene </w:t>
      </w:r>
      <w:r>
        <w:rPr>
          <w:rFonts w:ascii="Times New Roman" w:hAnsi="Times New Roman" w:cs="Times New Roman"/>
          <w:sz w:val="24"/>
          <w:szCs w:val="24"/>
        </w:rPr>
        <w:t>in un momento patologico e di contrasto</w:t>
      </w:r>
      <w:r w:rsidR="00D01F18">
        <w:rPr>
          <w:rFonts w:ascii="Times New Roman" w:hAnsi="Times New Roman" w:cs="Times New Roman"/>
          <w:sz w:val="24"/>
          <w:szCs w:val="24"/>
        </w:rPr>
        <w:t xml:space="preserve"> nei rapporti tra le parti.</w:t>
      </w:r>
      <w:r w:rsidR="00AB55D9">
        <w:rPr>
          <w:rFonts w:ascii="Times New Roman" w:hAnsi="Times New Roman" w:cs="Times New Roman"/>
          <w:sz w:val="24"/>
          <w:szCs w:val="24"/>
        </w:rPr>
        <w:t xml:space="preserve"> Tra l’altro nemmeno avvantaggiato dalla giurisprudenza della CGUE, sempre di più, come nella specie (si veda il discorso sulla scarsità delle risorse), avulsa da un approccio empirico e propensa ad affermazioni di tipo teorico che non facilitano la risoluzione delle problematiche di un settore proprie di uno Stato dell’Unione.</w:t>
      </w:r>
    </w:p>
    <w:p w:rsidR="00D01F18" w:rsidRDefault="00602CD9"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Nel frattempo</w:t>
      </w:r>
      <w:r w:rsidR="00D01F18">
        <w:rPr>
          <w:rFonts w:ascii="Times New Roman" w:hAnsi="Times New Roman" w:cs="Times New Roman"/>
          <w:sz w:val="24"/>
          <w:szCs w:val="24"/>
        </w:rPr>
        <w:t xml:space="preserve"> la nuova stagione balneare si avvicina e c’è il pericolo reale che l’attuale situazione di incertezza determini un aumento dei prezzi a detrimento dei consumatori.</w:t>
      </w:r>
    </w:p>
    <w:p w:rsidR="00D84E17" w:rsidRDefault="00D01F18" w:rsidP="00D84E17">
      <w:pPr>
        <w:spacing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Staremo a vedere le prossime puntate. </w:t>
      </w:r>
      <w:r w:rsidR="00602CD9">
        <w:rPr>
          <w:rFonts w:ascii="Times New Roman" w:hAnsi="Times New Roman" w:cs="Times New Roman"/>
          <w:sz w:val="24"/>
          <w:szCs w:val="24"/>
        </w:rPr>
        <w:t>È</w:t>
      </w:r>
      <w:r>
        <w:rPr>
          <w:rFonts w:ascii="Times New Roman" w:hAnsi="Times New Roman" w:cs="Times New Roman"/>
          <w:sz w:val="24"/>
          <w:szCs w:val="24"/>
        </w:rPr>
        <w:t xml:space="preserve"> comunque uno spettacolo avvincente.</w:t>
      </w:r>
    </w:p>
    <w:p w:rsidR="00A35C57" w:rsidRDefault="00A35C57" w:rsidP="00D84E17">
      <w:pPr>
        <w:spacing w:line="360" w:lineRule="auto"/>
        <w:ind w:firstLine="709"/>
        <w:jc w:val="both"/>
        <w:rPr>
          <w:rFonts w:ascii="Times New Roman" w:hAnsi="Times New Roman" w:cs="Times New Roman"/>
          <w:sz w:val="24"/>
          <w:szCs w:val="24"/>
        </w:rPr>
      </w:pPr>
    </w:p>
    <w:p w:rsidR="00A35C57" w:rsidRPr="00A35C57" w:rsidRDefault="00A35C57" w:rsidP="00A35C57">
      <w:pPr>
        <w:spacing w:line="360" w:lineRule="auto"/>
        <w:ind w:firstLine="709"/>
        <w:jc w:val="right"/>
        <w:rPr>
          <w:rFonts w:ascii="Times New Roman" w:hAnsi="Times New Roman" w:cs="Times New Roman"/>
          <w:sz w:val="24"/>
          <w:szCs w:val="24"/>
        </w:rPr>
      </w:pPr>
      <w:r w:rsidRPr="00A35C57">
        <w:rPr>
          <w:rFonts w:ascii="Times New Roman" w:hAnsi="Times New Roman" w:cs="Times New Roman"/>
          <w:sz w:val="24"/>
          <w:szCs w:val="24"/>
        </w:rPr>
        <w:t>Carmine Volpe</w:t>
      </w:r>
    </w:p>
    <w:p w:rsidR="00A35C57" w:rsidRDefault="00A35C57" w:rsidP="00A35C57">
      <w:pPr>
        <w:spacing w:line="360" w:lineRule="auto"/>
        <w:ind w:firstLine="709"/>
        <w:jc w:val="right"/>
        <w:rPr>
          <w:rFonts w:ascii="Times New Roman" w:hAnsi="Times New Roman" w:cs="Times New Roman"/>
          <w:sz w:val="24"/>
          <w:szCs w:val="24"/>
        </w:rPr>
      </w:pPr>
      <w:r w:rsidRPr="00A35C57">
        <w:rPr>
          <w:rFonts w:ascii="Times New Roman" w:hAnsi="Times New Roman" w:cs="Times New Roman"/>
          <w:sz w:val="24"/>
          <w:szCs w:val="24"/>
        </w:rPr>
        <w:t xml:space="preserve">Presidente </w:t>
      </w:r>
      <w:r>
        <w:rPr>
          <w:rFonts w:ascii="Times New Roman" w:hAnsi="Times New Roman" w:cs="Times New Roman"/>
          <w:sz w:val="24"/>
          <w:szCs w:val="24"/>
        </w:rPr>
        <w:t>Aggiunto</w:t>
      </w:r>
      <w:r w:rsidRPr="00A35C57">
        <w:rPr>
          <w:rFonts w:ascii="Times New Roman" w:hAnsi="Times New Roman" w:cs="Times New Roman"/>
          <w:sz w:val="24"/>
          <w:szCs w:val="24"/>
        </w:rPr>
        <w:t xml:space="preserve"> del Consiglio di Stato</w:t>
      </w:r>
    </w:p>
    <w:p w:rsidR="000E6C4F" w:rsidRDefault="000E6C4F" w:rsidP="00A35C57">
      <w:pPr>
        <w:spacing w:line="360" w:lineRule="auto"/>
        <w:ind w:firstLine="709"/>
        <w:jc w:val="right"/>
        <w:rPr>
          <w:rFonts w:ascii="Times New Roman" w:hAnsi="Times New Roman" w:cs="Times New Roman"/>
          <w:sz w:val="24"/>
          <w:szCs w:val="24"/>
        </w:rPr>
      </w:pPr>
    </w:p>
    <w:p w:rsidR="000E6C4F" w:rsidRPr="00D84E17" w:rsidRDefault="000E6C4F" w:rsidP="00A35C57">
      <w:pPr>
        <w:spacing w:line="360" w:lineRule="auto"/>
        <w:ind w:firstLine="709"/>
        <w:jc w:val="right"/>
        <w:rPr>
          <w:rFonts w:ascii="Times New Roman" w:hAnsi="Times New Roman" w:cs="Times New Roman"/>
          <w:sz w:val="24"/>
          <w:szCs w:val="24"/>
        </w:rPr>
      </w:pPr>
      <w:r>
        <w:rPr>
          <w:rFonts w:ascii="Times New Roman" w:hAnsi="Times New Roman" w:cs="Times New Roman"/>
          <w:sz w:val="24"/>
          <w:szCs w:val="24"/>
        </w:rPr>
        <w:t>Pubblicato il 26 aprile 2023</w:t>
      </w:r>
    </w:p>
    <w:sectPr w:rsidR="000E6C4F" w:rsidRPr="00D84E17">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7B32" w:rsidRDefault="006D7B32" w:rsidP="00BE376E">
      <w:pPr>
        <w:spacing w:after="0" w:line="240" w:lineRule="auto"/>
      </w:pPr>
      <w:r>
        <w:separator/>
      </w:r>
    </w:p>
  </w:endnote>
  <w:endnote w:type="continuationSeparator" w:id="0">
    <w:p w:rsidR="006D7B32" w:rsidRDefault="006D7B32" w:rsidP="00BE37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6E" w:rsidRDefault="00BE376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3421795"/>
      <w:docPartObj>
        <w:docPartGallery w:val="Page Numbers (Bottom of Page)"/>
        <w:docPartUnique/>
      </w:docPartObj>
    </w:sdtPr>
    <w:sdtEndPr/>
    <w:sdtContent>
      <w:p w:rsidR="00BE376E" w:rsidRDefault="00BE376E">
        <w:pPr>
          <w:pStyle w:val="Pidipagina"/>
          <w:jc w:val="right"/>
        </w:pPr>
        <w:r>
          <w:fldChar w:fldCharType="begin"/>
        </w:r>
        <w:r>
          <w:instrText>PAGE   \* MERGEFORMAT</w:instrText>
        </w:r>
        <w:r>
          <w:fldChar w:fldCharType="separate"/>
        </w:r>
        <w:r w:rsidR="000E6C4F">
          <w:rPr>
            <w:noProof/>
          </w:rPr>
          <w:t>13</w:t>
        </w:r>
        <w:r>
          <w:fldChar w:fldCharType="end"/>
        </w:r>
      </w:p>
    </w:sdtContent>
  </w:sdt>
  <w:p w:rsidR="00BE376E" w:rsidRDefault="00BE376E">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6E" w:rsidRDefault="00BE376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7B32" w:rsidRDefault="006D7B32" w:rsidP="00BE376E">
      <w:pPr>
        <w:spacing w:after="0" w:line="240" w:lineRule="auto"/>
      </w:pPr>
      <w:r>
        <w:separator/>
      </w:r>
    </w:p>
  </w:footnote>
  <w:footnote w:type="continuationSeparator" w:id="0">
    <w:p w:rsidR="006D7B32" w:rsidRDefault="006D7B32" w:rsidP="00BE376E">
      <w:pPr>
        <w:spacing w:after="0" w:line="240" w:lineRule="auto"/>
      </w:pPr>
      <w:r>
        <w:continuationSeparator/>
      </w:r>
    </w:p>
  </w:footnote>
  <w:footnote w:id="1">
    <w:p w:rsidR="006A7842" w:rsidRPr="006A7842" w:rsidRDefault="006A7842">
      <w:pPr>
        <w:pStyle w:val="Testonotaapidipagina"/>
        <w:rPr>
          <w:rFonts w:ascii="Times New Roman" w:hAnsi="Times New Roman" w:cs="Times New Roman"/>
        </w:rPr>
      </w:pPr>
      <w:r>
        <w:rPr>
          <w:rStyle w:val="Rimandonotaapidipagina"/>
        </w:rPr>
        <w:footnoteRef/>
      </w:r>
      <w:r>
        <w:t xml:space="preserve"> </w:t>
      </w:r>
      <w:r w:rsidRPr="006A7842">
        <w:rPr>
          <w:rFonts w:ascii="Times New Roman" w:hAnsi="Times New Roman" w:cs="Times New Roman"/>
        </w:rPr>
        <w:t>CGUE, sez. V, 14 luglio 2016, n. 458.</w:t>
      </w:r>
    </w:p>
  </w:footnote>
  <w:footnote w:id="2">
    <w:p w:rsidR="008E6709" w:rsidRPr="008E6709" w:rsidRDefault="008E6709" w:rsidP="008E6709">
      <w:pPr>
        <w:pStyle w:val="Testonotaapidipagina"/>
        <w:jc w:val="both"/>
        <w:rPr>
          <w:rFonts w:ascii="Times New Roman" w:hAnsi="Times New Roman" w:cs="Times New Roman"/>
        </w:rPr>
      </w:pPr>
      <w:r w:rsidRPr="008E6709">
        <w:rPr>
          <w:rStyle w:val="Rimandonotaapidipagina"/>
          <w:rFonts w:ascii="Times New Roman" w:hAnsi="Times New Roman" w:cs="Times New Roman"/>
        </w:rPr>
        <w:footnoteRef/>
      </w:r>
      <w:r w:rsidRPr="008E6709">
        <w:rPr>
          <w:rFonts w:ascii="Times New Roman" w:hAnsi="Times New Roman" w:cs="Times New Roman"/>
        </w:rPr>
        <w:t xml:space="preserve"> Il riferimento è </w:t>
      </w:r>
      <w:r w:rsidRPr="008278AF">
        <w:rPr>
          <w:rFonts w:ascii="Times New Roman" w:hAnsi="Times New Roman" w:cs="Times New Roman"/>
        </w:rPr>
        <w:t xml:space="preserve">a </w:t>
      </w:r>
      <w:r w:rsidRPr="008E6709">
        <w:rPr>
          <w:rFonts w:ascii="Times New Roman" w:hAnsi="Times New Roman" w:cs="Times New Roman"/>
          <w:b/>
        </w:rPr>
        <w:t>C. VOLPE</w:t>
      </w:r>
      <w:r w:rsidRPr="008E6709">
        <w:rPr>
          <w:rFonts w:ascii="Times New Roman" w:hAnsi="Times New Roman" w:cs="Times New Roman"/>
        </w:rPr>
        <w:t>, “</w:t>
      </w:r>
      <w:r w:rsidRPr="008E6709">
        <w:rPr>
          <w:rFonts w:ascii="Times New Roman" w:hAnsi="Times New Roman" w:cs="Times New Roman"/>
          <w:i/>
        </w:rPr>
        <w:t>Le concessioni demaniali marittime: una fine o un inizio? Correzioni di rotta e nuovi approdi</w:t>
      </w:r>
      <w:r w:rsidRPr="008E6709">
        <w:rPr>
          <w:rFonts w:ascii="Times New Roman" w:hAnsi="Times New Roman" w:cs="Times New Roman"/>
        </w:rPr>
        <w:t xml:space="preserve">”, in </w:t>
      </w:r>
      <w:r w:rsidRPr="008E6709">
        <w:rPr>
          <w:rFonts w:ascii="Times New Roman" w:hAnsi="Times New Roman" w:cs="Times New Roman"/>
          <w:i/>
        </w:rPr>
        <w:t>www.giustizia-amministrativa.it</w:t>
      </w:r>
      <w:r>
        <w:rPr>
          <w:rFonts w:ascii="Times New Roman" w:hAnsi="Times New Roman" w:cs="Times New Roman"/>
        </w:rPr>
        <w:t xml:space="preserve"> e </w:t>
      </w:r>
      <w:r w:rsidRPr="008E6709">
        <w:rPr>
          <w:rFonts w:ascii="Times New Roman" w:hAnsi="Times New Roman" w:cs="Times New Roman"/>
          <w:i/>
        </w:rPr>
        <w:t>www.giustamm.it</w:t>
      </w:r>
      <w:r w:rsidRPr="008E6709">
        <w:rPr>
          <w:rFonts w:ascii="Times New Roman" w:hAnsi="Times New Roman" w:cs="Times New Roman"/>
        </w:rPr>
        <w:t>, n. 11/2022.</w:t>
      </w:r>
    </w:p>
    <w:p w:rsidR="008E6709" w:rsidRDefault="008E6709">
      <w:pPr>
        <w:pStyle w:val="Testonotaapidipagina"/>
      </w:pPr>
    </w:p>
  </w:footnote>
  <w:footnote w:id="3">
    <w:p w:rsidR="00576822" w:rsidRPr="00576822" w:rsidRDefault="00576822" w:rsidP="00576822">
      <w:pPr>
        <w:pStyle w:val="Testonotaapidipagina"/>
        <w:jc w:val="both"/>
        <w:rPr>
          <w:rFonts w:ascii="Times New Roman" w:hAnsi="Times New Roman" w:cs="Times New Roman"/>
        </w:rPr>
      </w:pPr>
      <w:r>
        <w:rPr>
          <w:rStyle w:val="Rimandonotaapidipagina"/>
        </w:rPr>
        <w:footnoteRef/>
      </w:r>
      <w:r>
        <w:t xml:space="preserve"> </w:t>
      </w:r>
      <w:r w:rsidRPr="00576822">
        <w:rPr>
          <w:rFonts w:ascii="Times New Roman" w:hAnsi="Times New Roman" w:cs="Times New Roman"/>
        </w:rPr>
        <w:t>Nel punto 109 si dice: “</w:t>
      </w:r>
      <w:r w:rsidRPr="00576822">
        <w:rPr>
          <w:rFonts w:ascii="Times New Roman" w:hAnsi="Times New Roman" w:cs="Times New Roman"/>
          <w:i/>
        </w:rPr>
        <w:t>Quanto alla circostanza, dedotta in udienza dal governo dei Paesi Bassi, che l’articolo 53, paragrafo 1, e l’articolo 62 TFUE costituiscono la base giuridica della direttiva 2006/123, occorre rilevare che tali disposizioni, a differenza segnatamente degli articoli 49 TFUE e 56 TFUE, che tuttavia fanno parte degli stessi capi 2 e 3 del titolo IV della terza parte del Trattato FUE, non menzionano alcun elemento di carattere estero. Non si può quindi desumere che la competenza del legislatore dell’Unione per stabilire direttive al fine di agevolare l’accesso alle attività non salariate e il loro esercizio, sulla base dell’articolo 53, paragrafo 1, TFUE e dell’articolo 62 TFUE, come avviene nel caso della direttiva 2006/123 per quanto concerne le attività di servizi, implichi necessariamente l’esistenza di un elemento siffatto</w:t>
      </w:r>
      <w:r w:rsidRPr="00576822">
        <w:rPr>
          <w:rFonts w:ascii="Times New Roman" w:hAnsi="Times New Roman" w:cs="Times New Roman"/>
        </w:rPr>
        <w:t>”.</w:t>
      </w:r>
    </w:p>
  </w:footnote>
  <w:footnote w:id="4">
    <w:p w:rsidR="00C345D6" w:rsidRPr="00C345D6" w:rsidRDefault="00C345D6">
      <w:pPr>
        <w:pStyle w:val="Testonotaapidipagina"/>
        <w:rPr>
          <w:rFonts w:ascii="Times New Roman" w:hAnsi="Times New Roman" w:cs="Times New Roman"/>
        </w:rPr>
      </w:pPr>
      <w:r>
        <w:rPr>
          <w:rStyle w:val="Rimandonotaapidipagina"/>
        </w:rPr>
        <w:footnoteRef/>
      </w:r>
      <w:r>
        <w:t xml:space="preserve"> </w:t>
      </w:r>
      <w:r w:rsidRPr="00C345D6">
        <w:rPr>
          <w:rFonts w:ascii="Times New Roman" w:hAnsi="Times New Roman" w:cs="Times New Roman"/>
        </w:rPr>
        <w:t>TAR Puglia, Lecce, ordinanza, 11 maggio 2022, n. 743.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6E" w:rsidRDefault="00BE376E">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6E" w:rsidRDefault="00BE376E">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376E" w:rsidRDefault="00BE376E">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46AD"/>
    <w:rsid w:val="00022CD1"/>
    <w:rsid w:val="00025235"/>
    <w:rsid w:val="00026353"/>
    <w:rsid w:val="00066C8D"/>
    <w:rsid w:val="00071E82"/>
    <w:rsid w:val="00084D76"/>
    <w:rsid w:val="00094AB6"/>
    <w:rsid w:val="000A2745"/>
    <w:rsid w:val="000C0E1D"/>
    <w:rsid w:val="000D0D6C"/>
    <w:rsid w:val="000D27BF"/>
    <w:rsid w:val="000D5A71"/>
    <w:rsid w:val="000E6C4F"/>
    <w:rsid w:val="001007B9"/>
    <w:rsid w:val="001109B3"/>
    <w:rsid w:val="0012370E"/>
    <w:rsid w:val="001505F7"/>
    <w:rsid w:val="00154AD3"/>
    <w:rsid w:val="001737B3"/>
    <w:rsid w:val="00176FDD"/>
    <w:rsid w:val="001C1FCC"/>
    <w:rsid w:val="001F3410"/>
    <w:rsid w:val="002573FE"/>
    <w:rsid w:val="0026194A"/>
    <w:rsid w:val="00266AB0"/>
    <w:rsid w:val="00290725"/>
    <w:rsid w:val="002B2501"/>
    <w:rsid w:val="002B5339"/>
    <w:rsid w:val="002C0B0D"/>
    <w:rsid w:val="00300565"/>
    <w:rsid w:val="00326540"/>
    <w:rsid w:val="00327674"/>
    <w:rsid w:val="003323A6"/>
    <w:rsid w:val="0039154E"/>
    <w:rsid w:val="003C0E7F"/>
    <w:rsid w:val="003F0DAC"/>
    <w:rsid w:val="00406503"/>
    <w:rsid w:val="004548B0"/>
    <w:rsid w:val="00454A7E"/>
    <w:rsid w:val="004A71BD"/>
    <w:rsid w:val="004C3142"/>
    <w:rsid w:val="004D04F7"/>
    <w:rsid w:val="005011CF"/>
    <w:rsid w:val="005149F7"/>
    <w:rsid w:val="00527208"/>
    <w:rsid w:val="005352D8"/>
    <w:rsid w:val="00544935"/>
    <w:rsid w:val="00544B0C"/>
    <w:rsid w:val="00562B8D"/>
    <w:rsid w:val="00576822"/>
    <w:rsid w:val="005946AD"/>
    <w:rsid w:val="005C60E5"/>
    <w:rsid w:val="005D472A"/>
    <w:rsid w:val="005D49AF"/>
    <w:rsid w:val="005F47E0"/>
    <w:rsid w:val="00602CD9"/>
    <w:rsid w:val="00613D6D"/>
    <w:rsid w:val="006273C9"/>
    <w:rsid w:val="00634A32"/>
    <w:rsid w:val="00650B32"/>
    <w:rsid w:val="00655709"/>
    <w:rsid w:val="006840B1"/>
    <w:rsid w:val="006A7842"/>
    <w:rsid w:val="006B517D"/>
    <w:rsid w:val="006C5C58"/>
    <w:rsid w:val="006D739C"/>
    <w:rsid w:val="006D7B32"/>
    <w:rsid w:val="006F3E61"/>
    <w:rsid w:val="006F435F"/>
    <w:rsid w:val="006F78E1"/>
    <w:rsid w:val="00702B3F"/>
    <w:rsid w:val="0073098D"/>
    <w:rsid w:val="0073304F"/>
    <w:rsid w:val="00744320"/>
    <w:rsid w:val="00751680"/>
    <w:rsid w:val="00765C23"/>
    <w:rsid w:val="007C0D4F"/>
    <w:rsid w:val="007F32EC"/>
    <w:rsid w:val="00802366"/>
    <w:rsid w:val="00803DCF"/>
    <w:rsid w:val="008278AF"/>
    <w:rsid w:val="00831F98"/>
    <w:rsid w:val="00841FE7"/>
    <w:rsid w:val="00880DBA"/>
    <w:rsid w:val="008E6709"/>
    <w:rsid w:val="008E7ADB"/>
    <w:rsid w:val="008F4FB0"/>
    <w:rsid w:val="00933B4A"/>
    <w:rsid w:val="00951E21"/>
    <w:rsid w:val="00991288"/>
    <w:rsid w:val="009E0E19"/>
    <w:rsid w:val="009E54AD"/>
    <w:rsid w:val="009F7F14"/>
    <w:rsid w:val="00A00EAC"/>
    <w:rsid w:val="00A35C57"/>
    <w:rsid w:val="00A45617"/>
    <w:rsid w:val="00A51533"/>
    <w:rsid w:val="00A52B5E"/>
    <w:rsid w:val="00A61774"/>
    <w:rsid w:val="00A77F8E"/>
    <w:rsid w:val="00A90D8E"/>
    <w:rsid w:val="00A97E4C"/>
    <w:rsid w:val="00AB03C9"/>
    <w:rsid w:val="00AB55D9"/>
    <w:rsid w:val="00AB77B8"/>
    <w:rsid w:val="00AC3D1A"/>
    <w:rsid w:val="00AC65AB"/>
    <w:rsid w:val="00B13E91"/>
    <w:rsid w:val="00B204E8"/>
    <w:rsid w:val="00B34062"/>
    <w:rsid w:val="00B37E81"/>
    <w:rsid w:val="00B45D2A"/>
    <w:rsid w:val="00B8162B"/>
    <w:rsid w:val="00B900A4"/>
    <w:rsid w:val="00B923DF"/>
    <w:rsid w:val="00BC1D82"/>
    <w:rsid w:val="00BE376E"/>
    <w:rsid w:val="00BF1929"/>
    <w:rsid w:val="00C029C7"/>
    <w:rsid w:val="00C30D52"/>
    <w:rsid w:val="00C345D6"/>
    <w:rsid w:val="00CA03AD"/>
    <w:rsid w:val="00CD724D"/>
    <w:rsid w:val="00D01F18"/>
    <w:rsid w:val="00D61A07"/>
    <w:rsid w:val="00D70870"/>
    <w:rsid w:val="00D84E17"/>
    <w:rsid w:val="00DB1598"/>
    <w:rsid w:val="00DC1099"/>
    <w:rsid w:val="00DE6CAA"/>
    <w:rsid w:val="00DE7DB6"/>
    <w:rsid w:val="00E1478B"/>
    <w:rsid w:val="00E15703"/>
    <w:rsid w:val="00E232A6"/>
    <w:rsid w:val="00E25D89"/>
    <w:rsid w:val="00E35678"/>
    <w:rsid w:val="00E41A2E"/>
    <w:rsid w:val="00E63D3E"/>
    <w:rsid w:val="00EB2776"/>
    <w:rsid w:val="00EB7868"/>
    <w:rsid w:val="00EE2A9F"/>
    <w:rsid w:val="00EE328D"/>
    <w:rsid w:val="00EE5FB2"/>
    <w:rsid w:val="00EF034E"/>
    <w:rsid w:val="00EF1557"/>
    <w:rsid w:val="00EF7228"/>
    <w:rsid w:val="00F00F62"/>
    <w:rsid w:val="00F0134E"/>
    <w:rsid w:val="00F32CC5"/>
    <w:rsid w:val="00FA033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0DA7A"/>
  <w15:chartTrackingRefBased/>
  <w15:docId w15:val="{D2322A4D-393C-4CFF-A44F-F19D47C7B6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9E0E19"/>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B1598"/>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DB1598"/>
    <w:rPr>
      <w:rFonts w:ascii="Segoe UI" w:hAnsi="Segoe UI" w:cs="Segoe UI"/>
      <w:sz w:val="18"/>
      <w:szCs w:val="18"/>
    </w:rPr>
  </w:style>
  <w:style w:type="paragraph" w:styleId="Intestazione">
    <w:name w:val="header"/>
    <w:basedOn w:val="Normale"/>
    <w:link w:val="IntestazioneCarattere"/>
    <w:uiPriority w:val="99"/>
    <w:unhideWhenUsed/>
    <w:rsid w:val="00BE376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E376E"/>
  </w:style>
  <w:style w:type="paragraph" w:styleId="Pidipagina">
    <w:name w:val="footer"/>
    <w:basedOn w:val="Normale"/>
    <w:link w:val="PidipaginaCarattere"/>
    <w:uiPriority w:val="99"/>
    <w:unhideWhenUsed/>
    <w:rsid w:val="00BE376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E376E"/>
  </w:style>
  <w:style w:type="paragraph" w:styleId="Testonotaapidipagina">
    <w:name w:val="footnote text"/>
    <w:basedOn w:val="Normale"/>
    <w:link w:val="TestonotaapidipaginaCarattere"/>
    <w:uiPriority w:val="99"/>
    <w:semiHidden/>
    <w:unhideWhenUsed/>
    <w:rsid w:val="008E6709"/>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8E6709"/>
    <w:rPr>
      <w:sz w:val="20"/>
      <w:szCs w:val="20"/>
    </w:rPr>
  </w:style>
  <w:style w:type="character" w:styleId="Rimandonotaapidipagina">
    <w:name w:val="footnote reference"/>
    <w:basedOn w:val="Carpredefinitoparagrafo"/>
    <w:uiPriority w:val="99"/>
    <w:semiHidden/>
    <w:unhideWhenUsed/>
    <w:rsid w:val="008E670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1652C3-8C60-4B58-8CBD-375C4F004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4326</Words>
  <Characters>24660</Characters>
  <Application>Microsoft Office Word</Application>
  <DocSecurity>0</DocSecurity>
  <Lines>205</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VOLPE Carmine</dc:creator>
  <cp:keywords/>
  <dc:description/>
  <cp:lastModifiedBy>FERRARI Giulia</cp:lastModifiedBy>
  <cp:revision>3</cp:revision>
  <cp:lastPrinted>2023-04-25T19:00:00Z</cp:lastPrinted>
  <dcterms:created xsi:type="dcterms:W3CDTF">2023-04-26T13:13:00Z</dcterms:created>
  <dcterms:modified xsi:type="dcterms:W3CDTF">2023-04-26T13:14:00Z</dcterms:modified>
</cp:coreProperties>
</file>