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87" w:type="pct"/>
        <w:shd w:val="clear" w:color="auto" w:fill="ECECEC"/>
        <w:tblCellMar>
          <w:left w:w="0" w:type="dxa"/>
          <w:right w:w="0" w:type="dxa"/>
        </w:tblCellMar>
        <w:tblLook w:val="04A0" w:firstRow="1" w:lastRow="0" w:firstColumn="1" w:lastColumn="0" w:noHBand="0" w:noVBand="1"/>
      </w:tblPr>
      <w:tblGrid>
        <w:gridCol w:w="9638"/>
      </w:tblGrid>
      <w:tr w:rsidR="006527C1" w:rsidRPr="00A01E20" w:rsidTr="001C5A87">
        <w:tc>
          <w:tcPr>
            <w:tcW w:w="5000" w:type="pct"/>
            <w:shd w:val="clear" w:color="auto" w:fill="ECECEC"/>
            <w:vAlign w:val="center"/>
            <w:hideMark/>
          </w:tcPr>
          <w:tbl>
            <w:tblPr>
              <w:tblW w:w="9638" w:type="dxa"/>
              <w:jc w:val="center"/>
              <w:tblCellMar>
                <w:left w:w="0" w:type="dxa"/>
                <w:right w:w="0" w:type="dxa"/>
              </w:tblCellMar>
              <w:tblLook w:val="04A0" w:firstRow="1" w:lastRow="0" w:firstColumn="1" w:lastColumn="0" w:noHBand="0" w:noVBand="1"/>
            </w:tblPr>
            <w:tblGrid>
              <w:gridCol w:w="9638"/>
            </w:tblGrid>
            <w:tr w:rsidR="006527C1" w:rsidRPr="00A01E20">
              <w:trPr>
                <w:jc w:val="center"/>
              </w:trPr>
              <w:tc>
                <w:tcPr>
                  <w:tcW w:w="9638" w:type="dxa"/>
                  <w:vAlign w:val="center"/>
                </w:tcPr>
                <w:p w:rsidR="00B23899" w:rsidRPr="00420361" w:rsidRDefault="00B23899">
                  <w:pPr>
                    <w:spacing w:line="240" w:lineRule="auto"/>
                    <w:rPr>
                      <w:rFonts w:cs="Times New Roman"/>
                      <w:szCs w:val="24"/>
                      <w:lang w:eastAsia="en-US"/>
                    </w:rPr>
                  </w:pPr>
                </w:p>
              </w:tc>
            </w:tr>
            <w:tr w:rsidR="006527C1" w:rsidRPr="00A01E20">
              <w:trPr>
                <w:trHeight w:val="2605"/>
                <w:jc w:val="center"/>
              </w:trPr>
              <w:tc>
                <w:tcPr>
                  <w:tcW w:w="9638" w:type="dxa"/>
                  <w:shd w:val="clear" w:color="auto" w:fill="425470"/>
                  <w:vAlign w:val="center"/>
                  <w:hideMark/>
                </w:tcPr>
                <w:p w:rsidR="00B23899" w:rsidRPr="00420361" w:rsidRDefault="00B23899">
                  <w:pPr>
                    <w:spacing w:line="240" w:lineRule="auto"/>
                    <w:rPr>
                      <w:rFonts w:cs="Times New Roman"/>
                      <w:szCs w:val="24"/>
                      <w:lang w:eastAsia="en-US"/>
                    </w:rPr>
                  </w:pPr>
                  <w:r w:rsidRPr="00420361">
                    <w:rPr>
                      <w:rFonts w:cs="Times New Roman"/>
                      <w:noProof/>
                      <w:szCs w:val="24"/>
                    </w:rPr>
                    <w:drawing>
                      <wp:inline distT="0" distB="0" distL="0" distR="0" wp14:anchorId="76D8D618" wp14:editId="0A6D3CC4">
                        <wp:extent cx="6096000" cy="861060"/>
                        <wp:effectExtent l="0" t="0" r="0" b="0"/>
                        <wp:docPr id="10" name="Immagine 10" descr="cid:image001.jpg@01D3C5E1.0234B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1.jpg@01D3C5E1.0234BB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096000" cy="861060"/>
                                </a:xfrm>
                                <a:prstGeom prst="rect">
                                  <a:avLst/>
                                </a:prstGeom>
                                <a:noFill/>
                                <a:ln>
                                  <a:noFill/>
                                </a:ln>
                              </pic:spPr>
                            </pic:pic>
                          </a:graphicData>
                        </a:graphic>
                      </wp:inline>
                    </w:drawing>
                  </w:r>
                  <w:r w:rsidRPr="00420361">
                    <w:rPr>
                      <w:rFonts w:cs="Times New Roman"/>
                      <w:szCs w:val="24"/>
                      <w:lang w:eastAsia="en-US"/>
                    </w:rPr>
                    <w:t>     </w:t>
                  </w:r>
                </w:p>
              </w:tc>
            </w:tr>
            <w:tr w:rsidR="006527C1" w:rsidRPr="00A01E20">
              <w:trPr>
                <w:trHeight w:val="450"/>
                <w:jc w:val="center"/>
              </w:trPr>
              <w:tc>
                <w:tcPr>
                  <w:tcW w:w="9638" w:type="dxa"/>
                  <w:shd w:val="clear" w:color="auto" w:fill="FFFFFF" w:themeFill="background1"/>
                  <w:vAlign w:val="center"/>
                </w:tcPr>
                <w:p w:rsidR="00B23899" w:rsidRPr="00420361" w:rsidRDefault="00B23899">
                  <w:pPr>
                    <w:shd w:val="clear" w:color="auto" w:fill="FFFFFF"/>
                    <w:spacing w:line="240" w:lineRule="auto"/>
                    <w:jc w:val="center"/>
                    <w:rPr>
                      <w:rFonts w:eastAsia="Times New Roman"/>
                      <w:b/>
                      <w:bCs/>
                      <w:szCs w:val="24"/>
                      <w:bdr w:val="none" w:sz="0" w:space="0" w:color="auto" w:frame="1"/>
                      <w:lang w:eastAsia="en-US"/>
                    </w:rPr>
                  </w:pPr>
                </w:p>
                <w:tbl>
                  <w:tblPr>
                    <w:tblW w:w="9124" w:type="dxa"/>
                    <w:tblInd w:w="227" w:type="dxa"/>
                    <w:tblCellMar>
                      <w:left w:w="0" w:type="dxa"/>
                      <w:right w:w="0" w:type="dxa"/>
                    </w:tblCellMar>
                    <w:tblLook w:val="04A0" w:firstRow="1" w:lastRow="0" w:firstColumn="1" w:lastColumn="0" w:noHBand="0" w:noVBand="1"/>
                  </w:tblPr>
                  <w:tblGrid>
                    <w:gridCol w:w="9124"/>
                  </w:tblGrid>
                  <w:tr w:rsidR="00420361" w:rsidRPr="00420361" w:rsidTr="00E93E4E">
                    <w:tc>
                      <w:tcPr>
                        <w:tcW w:w="9124" w:type="dxa"/>
                        <w:vAlign w:val="center"/>
                        <w:hideMark/>
                      </w:tcPr>
                      <w:p w:rsidR="007B765B" w:rsidRPr="00420361" w:rsidRDefault="007B765B" w:rsidP="003F3B23">
                        <w:pPr>
                          <w:pStyle w:val="xmsonormal"/>
                          <w:shd w:val="clear" w:color="auto" w:fill="FFFFFF"/>
                          <w:ind w:left="1701" w:hanging="567"/>
                        </w:pPr>
                      </w:p>
                      <w:p w:rsidR="007B765B" w:rsidRPr="00420361" w:rsidRDefault="00637A33" w:rsidP="00637A33">
                        <w:pPr>
                          <w:shd w:val="clear" w:color="auto" w:fill="FFFFFF"/>
                          <w:ind w:left="1701" w:hanging="567"/>
                          <w:rPr>
                            <w:rFonts w:eastAsia="Times New Roman"/>
                            <w:b/>
                            <w:bCs/>
                            <w:color w:val="C45911" w:themeColor="accent2" w:themeShade="BF"/>
                            <w:szCs w:val="24"/>
                            <w:bdr w:val="none" w:sz="0" w:space="0" w:color="auto" w:frame="1"/>
                          </w:rPr>
                        </w:pPr>
                        <w:r w:rsidRPr="00420361">
                          <w:rPr>
                            <w:rFonts w:eastAsia="Times New Roman"/>
                            <w:b/>
                            <w:bCs/>
                            <w:szCs w:val="24"/>
                            <w:bdr w:val="none" w:sz="0" w:space="0" w:color="auto" w:frame="1"/>
                          </w:rPr>
                          <w:t xml:space="preserve">                           </w:t>
                        </w:r>
                        <w:r w:rsidR="00D34AFC" w:rsidRPr="00420361">
                          <w:rPr>
                            <w:rFonts w:eastAsia="Times New Roman"/>
                            <w:b/>
                            <w:bCs/>
                            <w:color w:val="C45911" w:themeColor="accent2" w:themeShade="BF"/>
                            <w:szCs w:val="24"/>
                            <w:bdr w:val="none" w:sz="0" w:space="0" w:color="auto" w:frame="1"/>
                          </w:rPr>
                          <w:t>New</w:t>
                        </w:r>
                        <w:r w:rsidR="00C43F0E" w:rsidRPr="00420361">
                          <w:rPr>
                            <w:rFonts w:eastAsia="Times New Roman"/>
                            <w:b/>
                            <w:bCs/>
                            <w:color w:val="C45911" w:themeColor="accent2" w:themeShade="BF"/>
                            <w:szCs w:val="24"/>
                            <w:bdr w:val="none" w:sz="0" w:space="0" w:color="auto" w:frame="1"/>
                          </w:rPr>
                          <w:t>s</w:t>
                        </w:r>
                        <w:r w:rsidR="00D34AFC" w:rsidRPr="00420361">
                          <w:rPr>
                            <w:rFonts w:eastAsia="Times New Roman"/>
                            <w:b/>
                            <w:bCs/>
                            <w:color w:val="C45911" w:themeColor="accent2" w:themeShade="BF"/>
                            <w:szCs w:val="24"/>
                            <w:bdr w:val="none" w:sz="0" w:space="0" w:color="auto" w:frame="1"/>
                          </w:rPr>
                          <w:t xml:space="preserve"> n.  </w:t>
                        </w:r>
                        <w:r w:rsidRPr="00420361">
                          <w:rPr>
                            <w:rFonts w:eastAsia="Times New Roman"/>
                            <w:b/>
                            <w:bCs/>
                            <w:color w:val="C45911" w:themeColor="accent2" w:themeShade="BF"/>
                            <w:szCs w:val="24"/>
                            <w:bdr w:val="none" w:sz="0" w:space="0" w:color="auto" w:frame="1"/>
                          </w:rPr>
                          <w:t>26</w:t>
                        </w:r>
                        <w:r w:rsidR="00C43F0E" w:rsidRPr="00420361">
                          <w:rPr>
                            <w:rFonts w:eastAsia="Times New Roman"/>
                            <w:b/>
                            <w:bCs/>
                            <w:color w:val="C45911" w:themeColor="accent2" w:themeShade="BF"/>
                            <w:szCs w:val="24"/>
                            <w:bdr w:val="none" w:sz="0" w:space="0" w:color="auto" w:frame="1"/>
                          </w:rPr>
                          <w:t xml:space="preserve"> </w:t>
                        </w:r>
                        <w:r w:rsidR="00D34AFC" w:rsidRPr="00420361">
                          <w:rPr>
                            <w:rFonts w:eastAsia="Times New Roman"/>
                            <w:b/>
                            <w:bCs/>
                            <w:color w:val="C45911" w:themeColor="accent2" w:themeShade="BF"/>
                            <w:szCs w:val="24"/>
                            <w:bdr w:val="none" w:sz="0" w:space="0" w:color="auto" w:frame="1"/>
                          </w:rPr>
                          <w:t xml:space="preserve"> </w:t>
                        </w:r>
                        <w:r w:rsidR="007B765B" w:rsidRPr="00420361">
                          <w:rPr>
                            <w:rFonts w:eastAsia="Times New Roman"/>
                            <w:b/>
                            <w:bCs/>
                            <w:color w:val="C45911" w:themeColor="accent2" w:themeShade="BF"/>
                            <w:szCs w:val="24"/>
                            <w:bdr w:val="none" w:sz="0" w:space="0" w:color="auto" w:frame="1"/>
                          </w:rPr>
                          <w:t xml:space="preserve">del </w:t>
                        </w:r>
                        <w:r w:rsidR="00A01E20" w:rsidRPr="00420361">
                          <w:rPr>
                            <w:rFonts w:eastAsia="Times New Roman"/>
                            <w:b/>
                            <w:bCs/>
                            <w:color w:val="C45911" w:themeColor="accent2" w:themeShade="BF"/>
                            <w:szCs w:val="24"/>
                            <w:bdr w:val="none" w:sz="0" w:space="0" w:color="auto" w:frame="1"/>
                          </w:rPr>
                          <w:t xml:space="preserve"> </w:t>
                        </w:r>
                        <w:r w:rsidR="00E16E30" w:rsidRPr="00420361">
                          <w:rPr>
                            <w:rFonts w:eastAsia="Times New Roman"/>
                            <w:b/>
                            <w:bCs/>
                            <w:color w:val="C45911" w:themeColor="accent2" w:themeShade="BF"/>
                            <w:szCs w:val="24"/>
                            <w:bdr w:val="none" w:sz="0" w:space="0" w:color="auto" w:frame="1"/>
                          </w:rPr>
                          <w:t>22</w:t>
                        </w:r>
                        <w:r w:rsidR="001C5A87" w:rsidRPr="00420361">
                          <w:rPr>
                            <w:rFonts w:eastAsia="Times New Roman"/>
                            <w:b/>
                            <w:bCs/>
                            <w:color w:val="C45911" w:themeColor="accent2" w:themeShade="BF"/>
                            <w:szCs w:val="24"/>
                            <w:bdr w:val="none" w:sz="0" w:space="0" w:color="auto" w:frame="1"/>
                          </w:rPr>
                          <w:t xml:space="preserve">  </w:t>
                        </w:r>
                        <w:r w:rsidR="00D34AFC" w:rsidRPr="00420361">
                          <w:rPr>
                            <w:rFonts w:eastAsia="Times New Roman"/>
                            <w:b/>
                            <w:bCs/>
                            <w:color w:val="C45911" w:themeColor="accent2" w:themeShade="BF"/>
                            <w:szCs w:val="24"/>
                            <w:bdr w:val="none" w:sz="0" w:space="0" w:color="auto" w:frame="1"/>
                          </w:rPr>
                          <w:t>febbraio</w:t>
                        </w:r>
                        <w:r w:rsidR="007B765B" w:rsidRPr="00420361">
                          <w:rPr>
                            <w:rFonts w:eastAsia="Times New Roman"/>
                            <w:b/>
                            <w:bCs/>
                            <w:color w:val="C45911" w:themeColor="accent2" w:themeShade="BF"/>
                            <w:szCs w:val="24"/>
                            <w:bdr w:val="none" w:sz="0" w:space="0" w:color="auto" w:frame="1"/>
                          </w:rPr>
                          <w:t xml:space="preserve"> 2023</w:t>
                        </w:r>
                      </w:p>
                      <w:p w:rsidR="007B765B" w:rsidRPr="00420361" w:rsidRDefault="000A2343" w:rsidP="00637A33">
                        <w:pPr>
                          <w:shd w:val="clear" w:color="auto" w:fill="FFFFFF"/>
                          <w:ind w:left="1701" w:hanging="567"/>
                          <w:rPr>
                            <w:rFonts w:eastAsia="Times New Roman"/>
                            <w:b/>
                            <w:bCs/>
                            <w:color w:val="C45911" w:themeColor="accent2" w:themeShade="BF"/>
                            <w:szCs w:val="24"/>
                            <w:bdr w:val="none" w:sz="0" w:space="0" w:color="auto" w:frame="1"/>
                          </w:rPr>
                        </w:pPr>
                        <w:r>
                          <w:rPr>
                            <w:rFonts w:eastAsia="Times New Roman"/>
                            <w:b/>
                            <w:bCs/>
                            <w:color w:val="C45911" w:themeColor="accent2" w:themeShade="BF"/>
                            <w:szCs w:val="24"/>
                            <w:bdr w:val="none" w:sz="0" w:space="0" w:color="auto" w:frame="1"/>
                          </w:rPr>
                          <w:t xml:space="preserve">                           </w:t>
                        </w:r>
                        <w:r w:rsidR="007B765B" w:rsidRPr="00420361">
                          <w:rPr>
                            <w:rFonts w:eastAsia="Times New Roman"/>
                            <w:b/>
                            <w:bCs/>
                            <w:color w:val="C45911" w:themeColor="accent2" w:themeShade="BF"/>
                            <w:szCs w:val="24"/>
                            <w:bdr w:val="none" w:sz="0" w:space="0" w:color="auto" w:frame="1"/>
                          </w:rPr>
                          <w:t>a cura dell’Ufficio del massimario</w:t>
                        </w:r>
                      </w:p>
                      <w:p w:rsidR="009F3BF9" w:rsidRPr="00420361" w:rsidRDefault="009F3BF9" w:rsidP="003F3B23">
                        <w:pPr>
                          <w:shd w:val="clear" w:color="auto" w:fill="FFFFFF"/>
                          <w:spacing w:line="230" w:lineRule="atLeast"/>
                          <w:ind w:left="1701" w:hanging="567"/>
                          <w:rPr>
                            <w:rFonts w:eastAsia="Times New Roman"/>
                            <w:szCs w:val="24"/>
                          </w:rPr>
                        </w:pPr>
                        <w:r w:rsidRPr="00420361">
                          <w:rPr>
                            <w:rFonts w:eastAsia="Times New Roman"/>
                            <w:b/>
                            <w:bCs/>
                            <w:szCs w:val="24"/>
                            <w:bdr w:val="none" w:sz="0" w:space="0" w:color="auto" w:frame="1"/>
                          </w:rPr>
                          <w:t> </w:t>
                        </w:r>
                      </w:p>
                      <w:p w:rsidR="00637A33" w:rsidRPr="00420361" w:rsidRDefault="00637A33" w:rsidP="00E16E30">
                        <w:pPr>
                          <w:shd w:val="clear" w:color="auto" w:fill="FFFFFF"/>
                          <w:spacing w:line="240" w:lineRule="auto"/>
                          <w:jc w:val="left"/>
                          <w:rPr>
                            <w:rFonts w:eastAsia="Times New Roman"/>
                            <w:szCs w:val="24"/>
                          </w:rPr>
                        </w:pPr>
                        <w:r w:rsidRPr="00420361">
                          <w:rPr>
                            <w:rFonts w:eastAsia="Times New Roman"/>
                            <w:b/>
                            <w:bCs/>
                            <w:szCs w:val="24"/>
                            <w:bdr w:val="none" w:sz="0" w:space="0" w:color="auto" w:frame="1"/>
                            <w:shd w:val="clear" w:color="auto" w:fill="FFFFFF"/>
                          </w:rPr>
                          <w:t> </w:t>
                        </w:r>
                        <w:r w:rsidRPr="00420361">
                          <w:rPr>
                            <w:rFonts w:eastAsia="Times New Roman"/>
                            <w:szCs w:val="24"/>
                            <w:bdr w:val="none" w:sz="0" w:space="0" w:color="auto" w:frame="1"/>
                            <w:shd w:val="clear" w:color="auto" w:fill="FFFFFF"/>
                          </w:rPr>
                          <w:t xml:space="preserve">Con la sentenza in esame, il </w:t>
                        </w:r>
                        <w:proofErr w:type="spellStart"/>
                        <w:r w:rsidRPr="00420361">
                          <w:rPr>
                            <w:rFonts w:eastAsia="Times New Roman"/>
                            <w:szCs w:val="24"/>
                            <w:bdr w:val="none" w:sz="0" w:space="0" w:color="auto" w:frame="1"/>
                            <w:shd w:val="clear" w:color="auto" w:fill="FFFFFF"/>
                          </w:rPr>
                          <w:t>T.a.r</w:t>
                        </w:r>
                        <w:proofErr w:type="spellEnd"/>
                        <w:r w:rsidRPr="00420361">
                          <w:rPr>
                            <w:rFonts w:eastAsia="Times New Roman"/>
                            <w:szCs w:val="24"/>
                            <w:bdr w:val="none" w:sz="0" w:space="0" w:color="auto" w:frame="1"/>
                            <w:shd w:val="clear" w:color="auto" w:fill="FFFFFF"/>
                          </w:rPr>
                          <w:t>. per il Lazio – premessa la giurisdizione del giudice amministrativo – reputa non manifestamente infondata la questione di legittimità costituzionale dell’art. 2 del decreto-legge 7 luglio 2022, n. 85 (disciplina trasfusa, poi, nell’art. 7-</w:t>
                        </w:r>
                        <w:r w:rsidRPr="00420361">
                          <w:rPr>
                            <w:rFonts w:eastAsia="Times New Roman"/>
                            <w:i/>
                            <w:iCs/>
                            <w:szCs w:val="24"/>
                            <w:bdr w:val="none" w:sz="0" w:space="0" w:color="auto" w:frame="1"/>
                            <w:shd w:val="clear" w:color="auto" w:fill="FFFFFF"/>
                          </w:rPr>
                          <w:t>ter</w:t>
                        </w:r>
                        <w:r w:rsidRPr="00420361">
                          <w:rPr>
                            <w:rFonts w:eastAsia="Times New Roman"/>
                            <w:szCs w:val="24"/>
                            <w:bdr w:val="none" w:sz="0" w:space="0" w:color="auto" w:frame="1"/>
                            <w:shd w:val="clear" w:color="auto" w:fill="FFFFFF"/>
                          </w:rPr>
                          <w:t xml:space="preserve"> del decreto-legge 16 giugno 2022, n. 68, convertito, con modificazioni, in legge 5 agosto 2022, n. 108), in relazione agli artt. 77 e 3, 24, 25, 101, 102, 103, 111 e 113 della Costituzione, nella parte in cui </w:t>
                        </w:r>
                        <w:proofErr w:type="spellStart"/>
                        <w:r w:rsidRPr="00420361">
                          <w:rPr>
                            <w:rFonts w:eastAsia="Times New Roman"/>
                            <w:szCs w:val="24"/>
                            <w:bdr w:val="none" w:sz="0" w:space="0" w:color="auto" w:frame="1"/>
                            <w:shd w:val="clear" w:color="auto" w:fill="FFFFFF"/>
                          </w:rPr>
                          <w:t>legifica</w:t>
                        </w:r>
                        <w:proofErr w:type="spellEnd"/>
                        <w:r w:rsidRPr="00420361">
                          <w:rPr>
                            <w:rFonts w:eastAsia="Times New Roman"/>
                            <w:szCs w:val="24"/>
                            <w:bdr w:val="none" w:sz="0" w:space="0" w:color="auto" w:frame="1"/>
                            <w:shd w:val="clear" w:color="auto" w:fill="FFFFFF"/>
                          </w:rPr>
                          <w:t xml:space="preserve"> una determinazione amministrativa (nella specie, si tratta della risoluzione di una concessione autostradale), sottraendola così al regime d’impugnazione previsto dagli art. 103 e 113 </w:t>
                        </w:r>
                        <w:proofErr w:type="spellStart"/>
                        <w:r w:rsidRPr="00420361">
                          <w:rPr>
                            <w:rFonts w:eastAsia="Times New Roman"/>
                            <w:szCs w:val="24"/>
                            <w:bdr w:val="none" w:sz="0" w:space="0" w:color="auto" w:frame="1"/>
                            <w:shd w:val="clear" w:color="auto" w:fill="FFFFFF"/>
                          </w:rPr>
                          <w:t>Cost</w:t>
                        </w:r>
                        <w:proofErr w:type="spellEnd"/>
                        <w:r w:rsidRPr="00420361">
                          <w:rPr>
                            <w:rFonts w:eastAsia="Times New Roman"/>
                            <w:szCs w:val="24"/>
                            <w:bdr w:val="none" w:sz="0" w:space="0" w:color="auto" w:frame="1"/>
                            <w:shd w:val="clear" w:color="auto" w:fill="FFFFFF"/>
                          </w:rPr>
                          <w:t>.</w:t>
                        </w:r>
                      </w:p>
                      <w:p w:rsidR="00637A33" w:rsidRPr="00420361" w:rsidRDefault="00637A33" w:rsidP="00637A33">
                        <w:pPr>
                          <w:shd w:val="clear" w:color="auto" w:fill="FFFFFF"/>
                          <w:spacing w:line="240" w:lineRule="auto"/>
                          <w:ind w:firstLine="708"/>
                          <w:rPr>
                            <w:rFonts w:eastAsia="Times New Roman"/>
                            <w:szCs w:val="24"/>
                          </w:rPr>
                        </w:pPr>
                        <w:r w:rsidRPr="00420361">
                          <w:rPr>
                            <w:rFonts w:eastAsia="Times New Roman"/>
                            <w:szCs w:val="24"/>
                            <w:bdr w:val="none" w:sz="0" w:space="0" w:color="auto" w:frame="1"/>
                            <w:shd w:val="clear" w:color="auto" w:fill="FFFFFF"/>
                          </w:rPr>
                          <w:t> </w:t>
                        </w:r>
                      </w:p>
                      <w:p w:rsidR="00637A33" w:rsidRPr="00420361" w:rsidRDefault="00A56268" w:rsidP="00637A33">
                        <w:pPr>
                          <w:shd w:val="clear" w:color="auto" w:fill="FFFFFF"/>
                          <w:spacing w:line="240" w:lineRule="auto"/>
                          <w:rPr>
                            <w:rFonts w:eastAsia="Times New Roman"/>
                            <w:szCs w:val="24"/>
                          </w:rPr>
                        </w:pPr>
                        <w:hyperlink r:id="rId7" w:history="1">
                          <w:proofErr w:type="spellStart"/>
                          <w:r w:rsidR="00637A33" w:rsidRPr="00420361">
                            <w:rPr>
                              <w:rStyle w:val="Collegamentoipertestuale"/>
                              <w:rFonts w:eastAsia="Times New Roman"/>
                              <w:b/>
                              <w:bCs/>
                              <w:color w:val="auto"/>
                              <w:szCs w:val="24"/>
                              <w:bdr w:val="none" w:sz="0" w:space="0" w:color="auto" w:frame="1"/>
                              <w:shd w:val="clear" w:color="auto" w:fill="FFFFFF"/>
                            </w:rPr>
                            <w:t>T.a.r</w:t>
                          </w:r>
                          <w:proofErr w:type="spellEnd"/>
                          <w:r w:rsidR="00637A33" w:rsidRPr="00420361">
                            <w:rPr>
                              <w:rStyle w:val="Collegamentoipertestuale"/>
                              <w:rFonts w:eastAsia="Times New Roman"/>
                              <w:b/>
                              <w:bCs/>
                              <w:color w:val="auto"/>
                              <w:szCs w:val="24"/>
                              <w:bdr w:val="none" w:sz="0" w:space="0" w:color="auto" w:frame="1"/>
                              <w:shd w:val="clear" w:color="auto" w:fill="FFFFFF"/>
                            </w:rPr>
                            <w:t xml:space="preserve">. per il Lazio, sezione IV, sentenza non definitiva 29 dicembre 2022, n. 17819 – Pres. Politi, Est. </w:t>
                          </w:r>
                          <w:proofErr w:type="spellStart"/>
                          <w:r w:rsidR="00637A33" w:rsidRPr="00420361">
                            <w:rPr>
                              <w:rStyle w:val="Collegamentoipertestuale"/>
                              <w:rFonts w:eastAsia="Times New Roman"/>
                              <w:b/>
                              <w:bCs/>
                              <w:color w:val="auto"/>
                              <w:szCs w:val="24"/>
                              <w:bdr w:val="none" w:sz="0" w:space="0" w:color="auto" w:frame="1"/>
                              <w:shd w:val="clear" w:color="auto" w:fill="FFFFFF"/>
                            </w:rPr>
                            <w:t>Fanizza</w:t>
                          </w:r>
                          <w:proofErr w:type="spellEnd"/>
                        </w:hyperlink>
                        <w:r w:rsidR="00637A33" w:rsidRPr="00420361">
                          <w:rPr>
                            <w:rFonts w:eastAsia="Times New Roman"/>
                            <w:b/>
                            <w:bCs/>
                            <w:szCs w:val="24"/>
                            <w:u w:val="single"/>
                            <w:bdr w:val="none" w:sz="0" w:space="0" w:color="auto" w:frame="1"/>
                            <w:shd w:val="clear" w:color="auto" w:fill="FFFFFF"/>
                          </w:rPr>
                          <w:t>.</w:t>
                        </w:r>
                      </w:p>
                      <w:p w:rsidR="00637A33" w:rsidRPr="00420361" w:rsidRDefault="00637A33" w:rsidP="00637A33">
                        <w:pPr>
                          <w:shd w:val="clear" w:color="auto" w:fill="FFFFFF"/>
                          <w:spacing w:line="240" w:lineRule="auto"/>
                          <w:rPr>
                            <w:rFonts w:eastAsia="Times New Roman"/>
                            <w:b/>
                            <w:bCs/>
                            <w:szCs w:val="24"/>
                            <w:bdr w:val="none" w:sz="0" w:space="0" w:color="auto" w:frame="1"/>
                            <w:shd w:val="clear" w:color="auto" w:fill="FFFFFF"/>
                          </w:rPr>
                        </w:pPr>
                      </w:p>
                      <w:p w:rsidR="00637A33" w:rsidRPr="00420361" w:rsidRDefault="00637A33" w:rsidP="00637A33">
                        <w:pPr>
                          <w:shd w:val="clear" w:color="auto" w:fill="FFFFFF"/>
                          <w:spacing w:line="240" w:lineRule="auto"/>
                          <w:rPr>
                            <w:rFonts w:eastAsia="Times New Roman"/>
                            <w:szCs w:val="24"/>
                          </w:rPr>
                        </w:pPr>
                        <w:r w:rsidRPr="00420361">
                          <w:rPr>
                            <w:rFonts w:eastAsia="Times New Roman"/>
                            <w:b/>
                            <w:bCs/>
                            <w:szCs w:val="24"/>
                            <w:bdr w:val="none" w:sz="0" w:space="0" w:color="auto" w:frame="1"/>
                            <w:shd w:val="clear" w:color="auto" w:fill="FFFFFF"/>
                          </w:rPr>
                          <w:t>Concessioni amministrative – Concessioni autostradali – Risoluzione – Grave inadempimento – Legge-provvedimento – Impugnabilità –  Questioni rilevanti e non manifestamente infondate di costituzionalità.</w:t>
                        </w:r>
                      </w:p>
                      <w:p w:rsidR="00637A33" w:rsidRPr="00420361" w:rsidRDefault="00637A33" w:rsidP="00637A33">
                        <w:pPr>
                          <w:shd w:val="clear" w:color="auto" w:fill="FFFFFF"/>
                          <w:spacing w:line="240" w:lineRule="auto"/>
                          <w:rPr>
                            <w:rFonts w:eastAsia="Times New Roman"/>
                            <w:szCs w:val="24"/>
                          </w:rPr>
                        </w:pPr>
                        <w:r w:rsidRPr="00420361">
                          <w:rPr>
                            <w:rFonts w:eastAsia="Times New Roman"/>
                            <w:i/>
                            <w:iCs/>
                            <w:szCs w:val="24"/>
                            <w:bdr w:val="none" w:sz="0" w:space="0" w:color="auto" w:frame="1"/>
                            <w:shd w:val="clear" w:color="auto" w:fill="FFFFFF"/>
                          </w:rPr>
                          <w:t>Sono rilevanti e non manifestamente infondate le questioni di legittimità costituzionale dell’art. 2 del decreto-legge 7 luglio 2022, n. 85 (disciplina trasfusa, poi, nell’art. 7 ter del decreto legge 16 giugno 2022, n. 68, convertito, con modificazioni, in legge 5 agosto 2022, n. 108), in relazione agli artt. 77 e 3, 24, 25, 101, 102, 103, 111 e 113 della Costituzione. </w:t>
                        </w:r>
                        <w:r w:rsidRPr="00420361">
                          <w:rPr>
                            <w:rFonts w:eastAsia="Times New Roman"/>
                            <w:szCs w:val="24"/>
                            <w:bdr w:val="none" w:sz="0" w:space="0" w:color="auto" w:frame="1"/>
                            <w:shd w:val="clear" w:color="auto" w:fill="FFFFFF"/>
                          </w:rPr>
                          <w:t>(1)</w:t>
                        </w:r>
                        <w:r w:rsidRPr="00420361">
                          <w:rPr>
                            <w:rFonts w:eastAsia="Times New Roman"/>
                            <w:i/>
                            <w:iCs/>
                            <w:szCs w:val="24"/>
                            <w:bdr w:val="none" w:sz="0" w:space="0" w:color="auto" w:frame="1"/>
                            <w:shd w:val="clear" w:color="auto" w:fill="FFFFFF"/>
                          </w:rPr>
                          <w:t>.</w:t>
                        </w:r>
                      </w:p>
                      <w:p w:rsidR="00637A33" w:rsidRPr="00420361" w:rsidRDefault="00637A33" w:rsidP="00637A33">
                        <w:pPr>
                          <w:shd w:val="clear" w:color="auto" w:fill="FFFFFF"/>
                          <w:spacing w:line="240" w:lineRule="auto"/>
                          <w:jc w:val="left"/>
                          <w:rPr>
                            <w:rFonts w:eastAsia="Times New Roman"/>
                            <w:szCs w:val="24"/>
                          </w:rPr>
                        </w:pPr>
                        <w:r w:rsidRPr="00420361">
                          <w:rPr>
                            <w:rFonts w:eastAsia="Times New Roman"/>
                            <w:szCs w:val="24"/>
                            <w:bdr w:val="none" w:sz="0" w:space="0" w:color="auto" w:frame="1"/>
                            <w:shd w:val="clear" w:color="auto" w:fill="FFFFFF"/>
                          </w:rPr>
                          <w:t> </w:t>
                        </w:r>
                      </w:p>
                      <w:p w:rsidR="00637A33" w:rsidRPr="00420361" w:rsidRDefault="00637A33" w:rsidP="00637A33">
                        <w:pPr>
                          <w:shd w:val="clear" w:color="auto" w:fill="FFFFFF"/>
                          <w:spacing w:line="240" w:lineRule="auto"/>
                          <w:rPr>
                            <w:rFonts w:eastAsia="Times New Roman"/>
                            <w:szCs w:val="24"/>
                          </w:rPr>
                        </w:pPr>
                        <w:r w:rsidRPr="00420361">
                          <w:rPr>
                            <w:rFonts w:eastAsia="Times New Roman"/>
                            <w:szCs w:val="24"/>
                            <w:bdr w:val="none" w:sz="0" w:space="0" w:color="auto" w:frame="1"/>
                            <w:shd w:val="clear" w:color="auto" w:fill="FFFFFF"/>
                          </w:rPr>
                          <w:t xml:space="preserve">(1) I. – Con la sentenza non definitiva in rassegna, il </w:t>
                        </w:r>
                        <w:proofErr w:type="spellStart"/>
                        <w:r w:rsidRPr="00420361">
                          <w:rPr>
                            <w:rFonts w:eastAsia="Times New Roman"/>
                            <w:szCs w:val="24"/>
                            <w:bdr w:val="none" w:sz="0" w:space="0" w:color="auto" w:frame="1"/>
                            <w:shd w:val="clear" w:color="auto" w:fill="FFFFFF"/>
                          </w:rPr>
                          <w:t>T.a.r</w:t>
                        </w:r>
                        <w:proofErr w:type="spellEnd"/>
                        <w:r w:rsidRPr="00420361">
                          <w:rPr>
                            <w:rFonts w:eastAsia="Times New Roman"/>
                            <w:szCs w:val="24"/>
                            <w:bdr w:val="none" w:sz="0" w:space="0" w:color="auto" w:frame="1"/>
                            <w:shd w:val="clear" w:color="auto" w:fill="FFFFFF"/>
                          </w:rPr>
                          <w:t xml:space="preserve">. per il Lazio dubita della legittimità costituzionale – in relazione ai parametri di cui agli artt. 77 e 3, 24, 25, 101, 102, 103, 111 e 113 </w:t>
                        </w:r>
                        <w:proofErr w:type="spellStart"/>
                        <w:r w:rsidRPr="00420361">
                          <w:rPr>
                            <w:rFonts w:eastAsia="Times New Roman"/>
                            <w:szCs w:val="24"/>
                            <w:bdr w:val="none" w:sz="0" w:space="0" w:color="auto" w:frame="1"/>
                            <w:shd w:val="clear" w:color="auto" w:fill="FFFFFF"/>
                          </w:rPr>
                          <w:t>Cost</w:t>
                        </w:r>
                        <w:proofErr w:type="spellEnd"/>
                        <w:r w:rsidRPr="00420361">
                          <w:rPr>
                            <w:rFonts w:eastAsia="Times New Roman"/>
                            <w:szCs w:val="24"/>
                            <w:bdr w:val="none" w:sz="0" w:space="0" w:color="auto" w:frame="1"/>
                            <w:shd w:val="clear" w:color="auto" w:fill="FFFFFF"/>
                          </w:rPr>
                          <w:t>. – dell’art. 2 del decreto legge 7 luglio 2022, n. 85 (disciplina trasfusa, poi, nell’art. 7-</w:t>
                        </w:r>
                        <w:r w:rsidRPr="00420361">
                          <w:rPr>
                            <w:rFonts w:eastAsia="Times New Roman"/>
                            <w:i/>
                            <w:iCs/>
                            <w:szCs w:val="24"/>
                            <w:bdr w:val="none" w:sz="0" w:space="0" w:color="auto" w:frame="1"/>
                            <w:shd w:val="clear" w:color="auto" w:fill="FFFFFF"/>
                          </w:rPr>
                          <w:t>ter</w:t>
                        </w:r>
                        <w:r w:rsidRPr="00420361">
                          <w:rPr>
                            <w:rFonts w:eastAsia="Times New Roman"/>
                            <w:szCs w:val="24"/>
                            <w:bdr w:val="none" w:sz="0" w:space="0" w:color="auto" w:frame="1"/>
                            <w:shd w:val="clear" w:color="auto" w:fill="FFFFFF"/>
                          </w:rPr>
                          <w:t> del decreto-legge 16 giugno 2022, n. 68, convertito, con modificazioni, in legge 5 agosto 2022, n. 108), nella parte in cui “</w:t>
                        </w:r>
                        <w:proofErr w:type="spellStart"/>
                        <w:r w:rsidRPr="00420361">
                          <w:rPr>
                            <w:rFonts w:eastAsia="Times New Roman"/>
                            <w:szCs w:val="24"/>
                            <w:bdr w:val="none" w:sz="0" w:space="0" w:color="auto" w:frame="1"/>
                            <w:shd w:val="clear" w:color="auto" w:fill="FFFFFF"/>
                          </w:rPr>
                          <w:t>legifica</w:t>
                        </w:r>
                        <w:proofErr w:type="spellEnd"/>
                        <w:r w:rsidRPr="00420361">
                          <w:rPr>
                            <w:rFonts w:eastAsia="Times New Roman"/>
                            <w:szCs w:val="24"/>
                            <w:bdr w:val="none" w:sz="0" w:space="0" w:color="auto" w:frame="1"/>
                            <w:shd w:val="clear" w:color="auto" w:fill="FFFFFF"/>
                          </w:rPr>
                          <w:t>” le motivazioni di un precedente provvedimento amministrativo, cui attribuisce immediata efficacia, così da precluderne il sindacato di legittimità da parte del giudice ledendo il diritto di difesa.</w:t>
                        </w:r>
                      </w:p>
                      <w:p w:rsidR="00637A33" w:rsidRPr="00420361" w:rsidRDefault="00637A33" w:rsidP="00637A33">
                        <w:pPr>
                          <w:shd w:val="clear" w:color="auto" w:fill="FFFFFF"/>
                          <w:spacing w:line="240" w:lineRule="auto"/>
                          <w:rPr>
                            <w:rFonts w:eastAsia="Times New Roman"/>
                            <w:szCs w:val="24"/>
                          </w:rPr>
                        </w:pPr>
                        <w:r w:rsidRPr="00420361">
                          <w:rPr>
                            <w:rFonts w:eastAsia="Times New Roman"/>
                            <w:szCs w:val="24"/>
                            <w:bdr w:val="none" w:sz="0" w:space="0" w:color="auto" w:frame="1"/>
                            <w:shd w:val="clear" w:color="auto" w:fill="FFFFFF"/>
                          </w:rPr>
                          <w:lastRenderedPageBreak/>
                          <w:t xml:space="preserve">II. – La vicenda contenziosa – invero particolarmente articolata – nella quale si innesta la </w:t>
                        </w:r>
                        <w:proofErr w:type="spellStart"/>
                        <w:r w:rsidRPr="00420361">
                          <w:rPr>
                            <w:rFonts w:eastAsia="Times New Roman"/>
                            <w:szCs w:val="24"/>
                            <w:bdr w:val="none" w:sz="0" w:space="0" w:color="auto" w:frame="1"/>
                            <w:shd w:val="clear" w:color="auto" w:fill="FFFFFF"/>
                          </w:rPr>
                          <w:t>q.l.c</w:t>
                        </w:r>
                        <w:proofErr w:type="spellEnd"/>
                        <w:r w:rsidRPr="00420361">
                          <w:rPr>
                            <w:rFonts w:eastAsia="Times New Roman"/>
                            <w:szCs w:val="24"/>
                            <w:bdr w:val="none" w:sz="0" w:space="0" w:color="auto" w:frame="1"/>
                            <w:shd w:val="clear" w:color="auto" w:fill="FFFFFF"/>
                          </w:rPr>
                          <w:t>. si può così riassumere:</w:t>
                        </w:r>
                      </w:p>
                      <w:p w:rsidR="00637A33" w:rsidRPr="00420361" w:rsidRDefault="00637A33" w:rsidP="006A0BE8">
                        <w:pPr>
                          <w:shd w:val="clear" w:color="auto" w:fill="FFFFFF"/>
                          <w:spacing w:line="240" w:lineRule="auto"/>
                          <w:ind w:left="1037" w:hanging="357"/>
                          <w:rPr>
                            <w:rFonts w:eastAsia="Times New Roman"/>
                            <w:szCs w:val="24"/>
                          </w:rPr>
                        </w:pPr>
                        <w:r w:rsidRPr="00420361">
                          <w:rPr>
                            <w:rFonts w:eastAsia="Times New Roman"/>
                            <w:szCs w:val="24"/>
                            <w:bdr w:val="none" w:sz="0" w:space="0" w:color="auto" w:frame="1"/>
                            <w:shd w:val="clear" w:color="auto" w:fill="FFFFFF"/>
                          </w:rPr>
                          <w:t>a) con un primo ricorso, integrato con successivi motivi aggiunti, la Strada dei Parchi S.P.A. – concessionaria della tratta autostradale a pedaggio Roma, l’Aquila, Teramo-diramazione per Torano, Pescara (A24/A25)</w:t>
                        </w:r>
                        <w:r w:rsidRPr="00420361">
                          <w:rPr>
                            <w:rFonts w:eastAsia="Times New Roman"/>
                            <w:szCs w:val="24"/>
                          </w:rPr>
                          <w:t> </w:t>
                        </w:r>
                        <w:r w:rsidRPr="00420361">
                          <w:rPr>
                            <w:rFonts w:eastAsia="Times New Roman"/>
                            <w:szCs w:val="24"/>
                            <w:bdr w:val="none" w:sz="0" w:space="0" w:color="auto" w:frame="1"/>
                            <w:shd w:val="clear" w:color="auto" w:fill="FFFFFF"/>
                          </w:rPr>
                          <w:t xml:space="preserve">ottenuta a seguito di procedura in applicazione della disciplina di cui all’art. 2, commi 82 e seguenti, del decreto legge 3 ottobre 2006, convertito, con modificazioni, dalla legge 24 novembre 2006, n. 286 – ha impugnato dinnanzi al </w:t>
                        </w:r>
                        <w:proofErr w:type="spellStart"/>
                        <w:r w:rsidRPr="00420361">
                          <w:rPr>
                            <w:rFonts w:eastAsia="Times New Roman"/>
                            <w:szCs w:val="24"/>
                            <w:bdr w:val="none" w:sz="0" w:space="0" w:color="auto" w:frame="1"/>
                            <w:shd w:val="clear" w:color="auto" w:fill="FFFFFF"/>
                          </w:rPr>
                          <w:t>T.a.r</w:t>
                        </w:r>
                        <w:proofErr w:type="spellEnd"/>
                        <w:r w:rsidRPr="00420361">
                          <w:rPr>
                            <w:rFonts w:eastAsia="Times New Roman"/>
                            <w:szCs w:val="24"/>
                            <w:bdr w:val="none" w:sz="0" w:space="0" w:color="auto" w:frame="1"/>
                            <w:shd w:val="clear" w:color="auto" w:fill="FFFFFF"/>
                          </w:rPr>
                          <w:t xml:space="preserve">. per il Lazio il procedimento e i provvedimenti con cui il Ministero delle infrastrutture e della mobilità sostenibile ebbe a contestare gravi inadempimenti afferenti al rapporto </w:t>
                        </w:r>
                        <w:proofErr w:type="spellStart"/>
                        <w:r w:rsidRPr="00420361">
                          <w:rPr>
                            <w:rFonts w:eastAsia="Times New Roman"/>
                            <w:szCs w:val="24"/>
                            <w:bdr w:val="none" w:sz="0" w:space="0" w:color="auto" w:frame="1"/>
                            <w:shd w:val="clear" w:color="auto" w:fill="FFFFFF"/>
                          </w:rPr>
                          <w:t>concessorio</w:t>
                        </w:r>
                        <w:proofErr w:type="spellEnd"/>
                        <w:r w:rsidRPr="00420361">
                          <w:rPr>
                            <w:rFonts w:eastAsia="Times New Roman"/>
                            <w:szCs w:val="24"/>
                            <w:bdr w:val="none" w:sz="0" w:space="0" w:color="auto" w:frame="1"/>
                            <w:shd w:val="clear" w:color="auto" w:fill="FFFFFF"/>
                          </w:rPr>
                          <w:t xml:space="preserve"> sopraindicato;</w:t>
                        </w:r>
                      </w:p>
                      <w:p w:rsidR="00637A33" w:rsidRPr="00420361" w:rsidRDefault="00637A33" w:rsidP="006A0BE8">
                        <w:pPr>
                          <w:shd w:val="clear" w:color="auto" w:fill="FFFFFF"/>
                          <w:spacing w:line="240" w:lineRule="auto"/>
                          <w:ind w:left="1037" w:hanging="357"/>
                          <w:rPr>
                            <w:rFonts w:eastAsia="Times New Roman"/>
                            <w:szCs w:val="24"/>
                          </w:rPr>
                        </w:pPr>
                        <w:r w:rsidRPr="00420361">
                          <w:rPr>
                            <w:rFonts w:eastAsia="Times New Roman"/>
                            <w:szCs w:val="24"/>
                            <w:bdr w:val="none" w:sz="0" w:space="0" w:color="auto" w:frame="1"/>
                            <w:shd w:val="clear" w:color="auto" w:fill="FFFFFF"/>
                          </w:rPr>
                          <w:t>b) instaurando un secondo giudizio, la predetta società concessionaria ha contestualmente impugnato:</w:t>
                        </w:r>
                      </w:p>
                      <w:p w:rsidR="00637A33" w:rsidRPr="00420361" w:rsidRDefault="00637A33" w:rsidP="006A0BE8">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xml:space="preserve">     b1) il decreto del Ministro delle infrastrutture e della mobilità sostenibili (M.I.M.S), adottato di concerto con il Ministro dell’economia e delle finanze in data 7 luglio 2022, recante approvazione del decreto (adottato dal direttore generale per le strade e autostrade, l’alta sorveglianza sulle infrastrutture stradali e la vigilanza sui rapporti concessori autostradali del citato M.I.M.S.) n. 29, del 14 giugno 2022, di risoluzione della concessione nonché di progettazione e costruzione della seconda carreggiata di un tratto della suindicata autostrada adottato all’esito di un procedimento avviato dall’autorità ministeriale con nota </w:t>
                        </w:r>
                        <w:proofErr w:type="spellStart"/>
                        <w:r w:rsidRPr="00420361">
                          <w:rPr>
                            <w:rFonts w:eastAsia="Times New Roman"/>
                            <w:szCs w:val="24"/>
                            <w:bdr w:val="none" w:sz="0" w:space="0" w:color="auto" w:frame="1"/>
                            <w:shd w:val="clear" w:color="auto" w:fill="FFFFFF"/>
                          </w:rPr>
                          <w:t>prot</w:t>
                        </w:r>
                        <w:proofErr w:type="spellEnd"/>
                        <w:r w:rsidRPr="00420361">
                          <w:rPr>
                            <w:rFonts w:eastAsia="Times New Roman"/>
                            <w:szCs w:val="24"/>
                            <w:bdr w:val="none" w:sz="0" w:space="0" w:color="auto" w:frame="1"/>
                            <w:shd w:val="clear" w:color="auto" w:fill="FFFFFF"/>
                          </w:rPr>
                          <w:t>. 33797 del 28 dicembre 2021;</w:t>
                        </w:r>
                      </w:p>
                      <w:p w:rsidR="00637A33" w:rsidRPr="00420361" w:rsidRDefault="00637A33" w:rsidP="006A0BE8">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xml:space="preserve">     b2) l’art. 2, comma 1, del </w:t>
                        </w:r>
                        <w:proofErr w:type="spellStart"/>
                        <w:r w:rsidRPr="00420361">
                          <w:rPr>
                            <w:rFonts w:eastAsia="Times New Roman"/>
                            <w:szCs w:val="24"/>
                            <w:bdr w:val="none" w:sz="0" w:space="0" w:color="auto" w:frame="1"/>
                            <w:shd w:val="clear" w:color="auto" w:fill="FFFFFF"/>
                          </w:rPr>
                          <w:t>d.l.</w:t>
                        </w:r>
                        <w:proofErr w:type="spellEnd"/>
                        <w:r w:rsidRPr="00420361">
                          <w:rPr>
                            <w:rFonts w:eastAsia="Times New Roman"/>
                            <w:szCs w:val="24"/>
                            <w:bdr w:val="none" w:sz="0" w:space="0" w:color="auto" w:frame="1"/>
                            <w:shd w:val="clear" w:color="auto" w:fill="FFFFFF"/>
                          </w:rPr>
                          <w:t xml:space="preserve"> n. 85 del 2022 – con cui è stata “</w:t>
                        </w:r>
                        <w:proofErr w:type="spellStart"/>
                        <w:r w:rsidRPr="00420361">
                          <w:rPr>
                            <w:rFonts w:eastAsia="Times New Roman"/>
                            <w:szCs w:val="24"/>
                            <w:bdr w:val="none" w:sz="0" w:space="0" w:color="auto" w:frame="1"/>
                            <w:shd w:val="clear" w:color="auto" w:fill="FFFFFF"/>
                          </w:rPr>
                          <w:t>legificata</w:t>
                        </w:r>
                        <w:proofErr w:type="spellEnd"/>
                        <w:r w:rsidRPr="00420361">
                          <w:rPr>
                            <w:rFonts w:eastAsia="Times New Roman"/>
                            <w:szCs w:val="24"/>
                            <w:bdr w:val="none" w:sz="0" w:space="0" w:color="auto" w:frame="1"/>
                            <w:shd w:val="clear" w:color="auto" w:fill="FFFFFF"/>
                          </w:rPr>
                          <w:t>” la risoluzione per grave inadempimento della concessione autostradale così come disposta dai provvedimenti di cui al punto b1) – avente il seguente tenore: “</w:t>
                        </w:r>
                        <w:r w:rsidRPr="00420361">
                          <w:rPr>
                            <w:rFonts w:eastAsia="Times New Roman"/>
                            <w:i/>
                            <w:iCs/>
                            <w:szCs w:val="24"/>
                            <w:bdr w:val="none" w:sz="0" w:space="0" w:color="auto" w:frame="1"/>
                            <w:shd w:val="clear" w:color="auto" w:fill="FFFFFF"/>
                          </w:rPr>
                          <w:t xml:space="preserve">La Convenzione unica del 18 novembre 2009 sottoscritta tra ANAS </w:t>
                        </w:r>
                        <w:proofErr w:type="spellStart"/>
                        <w:r w:rsidRPr="00420361">
                          <w:rPr>
                            <w:rFonts w:eastAsia="Times New Roman"/>
                            <w:i/>
                            <w:iCs/>
                            <w:szCs w:val="24"/>
                            <w:bdr w:val="none" w:sz="0" w:space="0" w:color="auto" w:frame="1"/>
                            <w:shd w:val="clear" w:color="auto" w:fill="FFFFFF"/>
                          </w:rPr>
                          <w:t>s.p.a.</w:t>
                        </w:r>
                        <w:proofErr w:type="spellEnd"/>
                        <w:r w:rsidRPr="00420361">
                          <w:rPr>
                            <w:rFonts w:eastAsia="Times New Roman"/>
                            <w:i/>
                            <w:iCs/>
                            <w:szCs w:val="24"/>
                            <w:bdr w:val="none" w:sz="0" w:space="0" w:color="auto" w:frame="1"/>
                            <w:shd w:val="clear" w:color="auto" w:fill="FFFFFF"/>
                          </w:rPr>
                          <w:t xml:space="preserve"> e Strada dei Parchi </w:t>
                        </w:r>
                        <w:proofErr w:type="spellStart"/>
                        <w:r w:rsidRPr="00420361">
                          <w:rPr>
                            <w:rFonts w:eastAsia="Times New Roman"/>
                            <w:i/>
                            <w:iCs/>
                            <w:szCs w:val="24"/>
                            <w:bdr w:val="none" w:sz="0" w:space="0" w:color="auto" w:frame="1"/>
                            <w:shd w:val="clear" w:color="auto" w:fill="FFFFFF"/>
                          </w:rPr>
                          <w:t>s.p.a.</w:t>
                        </w:r>
                        <w:proofErr w:type="spellEnd"/>
                        <w:r w:rsidRPr="00420361">
                          <w:rPr>
                            <w:rFonts w:eastAsia="Times New Roman"/>
                            <w:i/>
                            <w:iCs/>
                            <w:szCs w:val="24"/>
                            <w:bdr w:val="none" w:sz="0" w:space="0" w:color="auto" w:frame="1"/>
                            <w:shd w:val="clear" w:color="auto" w:fill="FFFFFF"/>
                          </w:rPr>
                          <w:t xml:space="preserve"> per la gestione in concessione della rete autostradale costituita dalle autostrade A24 e A25 è risolta per grave inadempimento del concessionario, Strada dei Parchi </w:t>
                        </w:r>
                        <w:proofErr w:type="spellStart"/>
                        <w:r w:rsidRPr="00420361">
                          <w:rPr>
                            <w:rFonts w:eastAsia="Times New Roman"/>
                            <w:i/>
                            <w:iCs/>
                            <w:szCs w:val="24"/>
                            <w:bdr w:val="none" w:sz="0" w:space="0" w:color="auto" w:frame="1"/>
                            <w:shd w:val="clear" w:color="auto" w:fill="FFFFFF"/>
                          </w:rPr>
                          <w:t>s.p.a.</w:t>
                        </w:r>
                        <w:proofErr w:type="spellEnd"/>
                        <w:r w:rsidRPr="00420361">
                          <w:rPr>
                            <w:rFonts w:eastAsia="Times New Roman"/>
                            <w:i/>
                            <w:iCs/>
                            <w:szCs w:val="24"/>
                            <w:bdr w:val="none" w:sz="0" w:space="0" w:color="auto" w:frame="1"/>
                            <w:shd w:val="clear" w:color="auto" w:fill="FFFFFF"/>
                          </w:rPr>
                          <w:t>, sulla base delle motivazioni del decreto della Direzione generale per le strade e le autostrade, l’alta sorveglianza sulle infrastrutture stradali e la vigilanza sui contratti concessori autostradali del Ministero delle infrastrutture e della mobilità sostenibili n. 29 del 14 giugno 2022, approvato con decreto del Ministro delle infrastrutture e della mobilità sostenibili adottato, di concerto con il Ministro dell’economia e delle finanze, in data 7 luglio 2022. Con la presente disposizione, il citato decreto del Ministro delle infrastrutture e della mobilità sostenibile di concerto con il Ministro dell’economia e delle finanze è reso immediatamente e definitivamente efficace</w:t>
                        </w:r>
                        <w:r w:rsidRPr="00420361">
                          <w:rPr>
                            <w:rFonts w:eastAsia="Times New Roman"/>
                            <w:szCs w:val="24"/>
                            <w:bdr w:val="none" w:sz="0" w:space="0" w:color="auto" w:frame="1"/>
                            <w:shd w:val="clear" w:color="auto" w:fill="FFFFFF"/>
                          </w:rPr>
                          <w:t>”;</w:t>
                        </w:r>
                      </w:p>
                      <w:p w:rsidR="00637A33" w:rsidRPr="00420361" w:rsidRDefault="00637A33" w:rsidP="006A0BE8">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xml:space="preserve">    b3) l’art. 2, comma 2, del </w:t>
                        </w:r>
                        <w:proofErr w:type="spellStart"/>
                        <w:r w:rsidRPr="00420361">
                          <w:rPr>
                            <w:rFonts w:eastAsia="Times New Roman"/>
                            <w:szCs w:val="24"/>
                            <w:bdr w:val="none" w:sz="0" w:space="0" w:color="auto" w:frame="1"/>
                            <w:shd w:val="clear" w:color="auto" w:fill="FFFFFF"/>
                          </w:rPr>
                          <w:t>d.l.</w:t>
                        </w:r>
                        <w:proofErr w:type="spellEnd"/>
                        <w:r w:rsidRPr="00420361">
                          <w:rPr>
                            <w:rFonts w:eastAsia="Times New Roman"/>
                            <w:szCs w:val="24"/>
                            <w:bdr w:val="none" w:sz="0" w:space="0" w:color="auto" w:frame="1"/>
                            <w:shd w:val="clear" w:color="auto" w:fill="FFFFFF"/>
                          </w:rPr>
                          <w:t xml:space="preserve"> n. 85 del 2022 nella parte in cui statuisce che “</w:t>
                        </w:r>
                        <w:r w:rsidRPr="00420361">
                          <w:rPr>
                            <w:rFonts w:eastAsia="Times New Roman"/>
                            <w:i/>
                            <w:iCs/>
                            <w:szCs w:val="24"/>
                            <w:bdr w:val="none" w:sz="0" w:space="0" w:color="auto" w:frame="1"/>
                            <w:shd w:val="clear" w:color="auto" w:fill="FFFFFF"/>
                          </w:rPr>
                          <w:t>in considerazione della retrocessione al Ministero delle infrastrutture e della mobilità sostenibili in qualità di concedente della rete autostradale, costituita alle autostrade A24 e A25 e nelle more del trasferimento della titolarità della concessione di detta rete autostradale, alla società </w:t>
                        </w:r>
                        <w:r w:rsidRPr="00420361">
                          <w:rPr>
                            <w:rFonts w:eastAsia="Times New Roman"/>
                            <w:szCs w:val="24"/>
                            <w:bdr w:val="none" w:sz="0" w:space="0" w:color="auto" w:frame="1"/>
                            <w:shd w:val="clear" w:color="auto" w:fill="FFFFFF"/>
                          </w:rPr>
                          <w:t>in-</w:t>
                        </w:r>
                        <w:proofErr w:type="spellStart"/>
                        <w:r w:rsidRPr="00420361">
                          <w:rPr>
                            <w:rFonts w:eastAsia="Times New Roman"/>
                            <w:szCs w:val="24"/>
                            <w:bdr w:val="none" w:sz="0" w:space="0" w:color="auto" w:frame="1"/>
                            <w:shd w:val="clear" w:color="auto" w:fill="FFFFFF"/>
                          </w:rPr>
                          <w:t>house</w:t>
                        </w:r>
                        <w:proofErr w:type="spellEnd"/>
                        <w:r w:rsidRPr="00420361">
                          <w:rPr>
                            <w:rFonts w:eastAsia="Times New Roman"/>
                            <w:i/>
                            <w:iCs/>
                            <w:szCs w:val="24"/>
                            <w:bdr w:val="none" w:sz="0" w:space="0" w:color="auto" w:frame="1"/>
                            <w:shd w:val="clear" w:color="auto" w:fill="FFFFFF"/>
                          </w:rPr>
                          <w:t xml:space="preserve"> di cui all’articolo </w:t>
                        </w:r>
                        <w:r w:rsidRPr="00420361">
                          <w:rPr>
                            <w:rFonts w:eastAsia="Times New Roman"/>
                            <w:i/>
                            <w:iCs/>
                            <w:szCs w:val="24"/>
                            <w:bdr w:val="none" w:sz="0" w:space="0" w:color="auto" w:frame="1"/>
                            <w:shd w:val="clear" w:color="auto" w:fill="FFFFFF"/>
                          </w:rPr>
                          <w:lastRenderedPageBreak/>
                          <w:t>2, comma 2-</w:t>
                        </w:r>
                        <w:r w:rsidRPr="00420361">
                          <w:rPr>
                            <w:rFonts w:eastAsia="Times New Roman"/>
                            <w:szCs w:val="24"/>
                            <w:bdr w:val="none" w:sz="0" w:space="0" w:color="auto" w:frame="1"/>
                            <w:shd w:val="clear" w:color="auto" w:fill="FFFFFF"/>
                          </w:rPr>
                          <w:t>sexies</w:t>
                        </w:r>
                        <w:r w:rsidRPr="00420361">
                          <w:rPr>
                            <w:rFonts w:eastAsia="Times New Roman"/>
                            <w:i/>
                            <w:iCs/>
                            <w:szCs w:val="24"/>
                            <w:bdr w:val="none" w:sz="0" w:space="0" w:color="auto" w:frame="1"/>
                            <w:shd w:val="clear" w:color="auto" w:fill="FFFFFF"/>
                          </w:rPr>
                          <w:t xml:space="preserve">, del decreto-legge 10 settembre 2021, n. 121, convertito, con modificazioni, dalla legge 9 novembre 2021, n. 156, e, comunque, non oltre la data del 31 dicembre 2023, ANAS </w:t>
                        </w:r>
                        <w:proofErr w:type="spellStart"/>
                        <w:r w:rsidRPr="00420361">
                          <w:rPr>
                            <w:rFonts w:eastAsia="Times New Roman"/>
                            <w:i/>
                            <w:iCs/>
                            <w:szCs w:val="24"/>
                            <w:bdr w:val="none" w:sz="0" w:space="0" w:color="auto" w:frame="1"/>
                            <w:shd w:val="clear" w:color="auto" w:fill="FFFFFF"/>
                          </w:rPr>
                          <w:t>s.p.a.</w:t>
                        </w:r>
                        <w:proofErr w:type="spellEnd"/>
                        <w:r w:rsidRPr="00420361">
                          <w:rPr>
                            <w:rFonts w:eastAsia="Times New Roman"/>
                            <w:i/>
                            <w:iCs/>
                            <w:szCs w:val="24"/>
                            <w:bdr w:val="none" w:sz="0" w:space="0" w:color="auto" w:frame="1"/>
                            <w:shd w:val="clear" w:color="auto" w:fill="FFFFFF"/>
                          </w:rPr>
                          <w:t xml:space="preserve"> assume, a decorrere dalla data di entrata in vigore del presente decreto e al fine di assicurare la continuità della circolazione in condizione di sicurezza, la gestione delle autostrade A24 e A25</w:t>
                        </w:r>
                        <w:r w:rsidRPr="00420361">
                          <w:rPr>
                            <w:rFonts w:eastAsia="Times New Roman"/>
                            <w:szCs w:val="24"/>
                            <w:bdr w:val="none" w:sz="0" w:space="0" w:color="auto" w:frame="1"/>
                            <w:shd w:val="clear" w:color="auto" w:fill="FFFFFF"/>
                          </w:rPr>
                          <w:t>”;</w:t>
                        </w:r>
                      </w:p>
                      <w:p w:rsidR="00637A33" w:rsidRPr="00420361" w:rsidRDefault="00637A33" w:rsidP="00E16E30">
                        <w:pPr>
                          <w:shd w:val="clear" w:color="auto" w:fill="FFFFFF"/>
                          <w:spacing w:line="240" w:lineRule="auto"/>
                          <w:ind w:left="1037" w:hanging="357"/>
                          <w:rPr>
                            <w:rFonts w:eastAsia="Times New Roman"/>
                            <w:szCs w:val="24"/>
                          </w:rPr>
                        </w:pPr>
                        <w:r w:rsidRPr="00420361">
                          <w:rPr>
                            <w:rFonts w:eastAsia="Times New Roman"/>
                            <w:szCs w:val="24"/>
                            <w:bdr w:val="none" w:sz="0" w:space="0" w:color="auto" w:frame="1"/>
                            <w:shd w:val="clear" w:color="auto" w:fill="FFFFFF"/>
                          </w:rPr>
                          <w:t xml:space="preserve">  c) in tale secondo giudizio, la società ricorrente ha prospettato </w:t>
                        </w:r>
                        <w:r w:rsidR="00252EC7" w:rsidRPr="00420361">
                          <w:rPr>
                            <w:rFonts w:eastAsia="Times New Roman"/>
                            <w:szCs w:val="24"/>
                            <w:bdr w:val="none" w:sz="0" w:space="0" w:color="auto" w:frame="1"/>
                            <w:shd w:val="clear" w:color="auto" w:fill="FFFFFF"/>
                          </w:rPr>
                          <w:t xml:space="preserve">  </w:t>
                        </w:r>
                        <w:r w:rsidRPr="00420361">
                          <w:rPr>
                            <w:rFonts w:eastAsia="Times New Roman"/>
                            <w:szCs w:val="24"/>
                            <w:bdr w:val="none" w:sz="0" w:space="0" w:color="auto" w:frame="1"/>
                            <w:shd w:val="clear" w:color="auto" w:fill="FFFFFF"/>
                          </w:rPr>
                          <w:t xml:space="preserve">l’illegittimità dei </w:t>
                        </w:r>
                        <w:r w:rsidR="00E16E30" w:rsidRPr="00420361">
                          <w:rPr>
                            <w:rFonts w:eastAsia="Times New Roman"/>
                            <w:szCs w:val="24"/>
                            <w:bdr w:val="none" w:sz="0" w:space="0" w:color="auto" w:frame="1"/>
                            <w:shd w:val="clear" w:color="auto" w:fill="FFFFFF"/>
                          </w:rPr>
                          <w:t xml:space="preserve">   </w:t>
                        </w:r>
                        <w:r w:rsidRPr="00420361">
                          <w:rPr>
                            <w:rFonts w:eastAsia="Times New Roman"/>
                            <w:szCs w:val="24"/>
                            <w:bdr w:val="none" w:sz="0" w:space="0" w:color="auto" w:frame="1"/>
                            <w:shd w:val="clear" w:color="auto" w:fill="FFFFFF"/>
                          </w:rPr>
                          <w:t>provvedimenti amministrativi e legislativi gravati:</w:t>
                        </w:r>
                      </w:p>
                      <w:p w:rsidR="00637A33" w:rsidRPr="00420361" w:rsidRDefault="008C67A5" w:rsidP="00252EC7">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w:t>
                        </w:r>
                        <w:r w:rsidR="00252EC7" w:rsidRPr="00420361">
                          <w:rPr>
                            <w:rFonts w:eastAsia="Times New Roman"/>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xml:space="preserve">c1) per violazione del diritto </w:t>
                        </w:r>
                        <w:proofErr w:type="spellStart"/>
                        <w:r w:rsidR="00637A33" w:rsidRPr="00420361">
                          <w:rPr>
                            <w:rFonts w:eastAsia="Times New Roman"/>
                            <w:szCs w:val="24"/>
                            <w:bdr w:val="none" w:sz="0" w:space="0" w:color="auto" w:frame="1"/>
                            <w:shd w:val="clear" w:color="auto" w:fill="FFFFFF"/>
                          </w:rPr>
                          <w:t>eurounitario</w:t>
                        </w:r>
                        <w:proofErr w:type="spellEnd"/>
                        <w:r w:rsidR="00637A33" w:rsidRPr="00420361">
                          <w:rPr>
                            <w:rFonts w:eastAsia="Times New Roman"/>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sub</w:t>
                        </w:r>
                        <w:r w:rsidR="00637A33" w:rsidRPr="00420361">
                          <w:rPr>
                            <w:rFonts w:eastAsia="Times New Roman"/>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specie</w:t>
                        </w:r>
                        <w:r w:rsidR="00637A33" w:rsidRPr="00420361">
                          <w:rPr>
                            <w:rFonts w:eastAsia="Times New Roman"/>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i</w:t>
                        </w:r>
                        <w:r w:rsidR="00637A33" w:rsidRPr="00420361">
                          <w:rPr>
                            <w:rFonts w:eastAsia="Times New Roman"/>
                            <w:szCs w:val="24"/>
                            <w:bdr w:val="none" w:sz="0" w:space="0" w:color="auto" w:frame="1"/>
                            <w:shd w:val="clear" w:color="auto" w:fill="FFFFFF"/>
                          </w:rPr>
                          <w:t>) dell’art. 2-</w:t>
                        </w:r>
                        <w:r w:rsidR="00637A33" w:rsidRPr="00420361">
                          <w:rPr>
                            <w:rFonts w:eastAsia="Times New Roman"/>
                            <w:i/>
                            <w:iCs/>
                            <w:szCs w:val="24"/>
                            <w:bdr w:val="none" w:sz="0" w:space="0" w:color="auto" w:frame="1"/>
                            <w:shd w:val="clear" w:color="auto" w:fill="FFFFFF"/>
                          </w:rPr>
                          <w:t>quinquies</w:t>
                        </w:r>
                        <w:r w:rsidR="00637A33" w:rsidRPr="00420361">
                          <w:rPr>
                            <w:rFonts w:eastAsia="Times New Roman"/>
                            <w:szCs w:val="24"/>
                            <w:bdr w:val="none" w:sz="0" w:space="0" w:color="auto" w:frame="1"/>
                            <w:shd w:val="clear" w:color="auto" w:fill="FFFFFF"/>
                          </w:rPr>
                          <w:t>, par.1, alinea, della Direttiva 92/13/CEE del Consiglio, del 25 febbraio 1992, per come modificata dalla Direttiva 2007/66/CE del Parlamento europeo e del Consiglio dell’11 dicembre 2007, che dispone che la privazione degli effetti di un contratto può essere disposta esclusivamente da “</w:t>
                        </w:r>
                        <w:r w:rsidR="00637A33" w:rsidRPr="00420361">
                          <w:rPr>
                            <w:rFonts w:eastAsia="Times New Roman"/>
                            <w:i/>
                            <w:iCs/>
                            <w:szCs w:val="24"/>
                            <w:bdr w:val="none" w:sz="0" w:space="0" w:color="auto" w:frame="1"/>
                            <w:shd w:val="clear" w:color="auto" w:fill="FFFFFF"/>
                          </w:rPr>
                          <w:t>un organo di ricorso indipendente dall’amministrazione aggiudicatrice</w:t>
                        </w:r>
                        <w:r w:rsidR="00637A33" w:rsidRPr="00420361">
                          <w:rPr>
                            <w:rFonts w:eastAsia="Times New Roman"/>
                            <w:szCs w:val="24"/>
                            <w:bdr w:val="none" w:sz="0" w:space="0" w:color="auto" w:frame="1"/>
                            <w:shd w:val="clear" w:color="auto" w:fill="FFFFFF"/>
                          </w:rPr>
                          <w:t>” (ovvero, da un Giudice terzo), mentre “</w:t>
                        </w:r>
                        <w:r w:rsidR="00637A33" w:rsidRPr="00420361">
                          <w:rPr>
                            <w:rFonts w:eastAsia="Times New Roman"/>
                            <w:i/>
                            <w:iCs/>
                            <w:szCs w:val="24"/>
                            <w:bdr w:val="none" w:sz="0" w:space="0" w:color="auto" w:frame="1"/>
                            <w:shd w:val="clear" w:color="auto" w:fill="FFFFFF"/>
                          </w:rPr>
                          <w:t xml:space="preserve">la privazione di effetti della Concessione ... per le Autostrade A24 e A25 è avvenuta a opera dell’art. 2 del </w:t>
                        </w:r>
                        <w:proofErr w:type="spellStart"/>
                        <w:r w:rsidR="00637A33" w:rsidRPr="00420361">
                          <w:rPr>
                            <w:rFonts w:eastAsia="Times New Roman"/>
                            <w:i/>
                            <w:iCs/>
                            <w:szCs w:val="24"/>
                            <w:bdr w:val="none" w:sz="0" w:space="0" w:color="auto" w:frame="1"/>
                            <w:shd w:val="clear" w:color="auto" w:fill="FFFFFF"/>
                          </w:rPr>
                          <w:t>d.l.</w:t>
                        </w:r>
                        <w:proofErr w:type="spellEnd"/>
                        <w:r w:rsidR="00637A33" w:rsidRPr="00420361">
                          <w:rPr>
                            <w:rFonts w:eastAsia="Times New Roman"/>
                            <w:i/>
                            <w:iCs/>
                            <w:szCs w:val="24"/>
                            <w:bdr w:val="none" w:sz="0" w:space="0" w:color="auto" w:frame="1"/>
                            <w:shd w:val="clear" w:color="auto" w:fill="FFFFFF"/>
                          </w:rPr>
                          <w:t xml:space="preserve"> n. 85 del 2022, e perciò non per decisione di un organo ‘indipendente dall’amministrazione aggiudicatrice’ ma addirittura del legislatore</w:t>
                        </w:r>
                        <w:r w:rsidR="00637A33" w:rsidRPr="00420361">
                          <w:rPr>
                            <w:rFonts w:eastAsia="Times New Roman"/>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ii</w:t>
                        </w:r>
                        <w:r w:rsidR="00637A33" w:rsidRPr="00420361">
                          <w:rPr>
                            <w:rFonts w:eastAsia="Times New Roman"/>
                            <w:szCs w:val="24"/>
                            <w:bdr w:val="none" w:sz="0" w:space="0" w:color="auto" w:frame="1"/>
                            <w:shd w:val="clear" w:color="auto" w:fill="FFFFFF"/>
                          </w:rPr>
                          <w:t>) del principio comunitario che impone l’obbligo di motivazione, stante la sua assoluta carenza nella legge-provvedimento adottata; </w:t>
                        </w:r>
                        <w:r w:rsidR="00637A33" w:rsidRPr="00420361">
                          <w:rPr>
                            <w:rFonts w:eastAsia="Times New Roman"/>
                            <w:i/>
                            <w:iCs/>
                            <w:szCs w:val="24"/>
                            <w:bdr w:val="none" w:sz="0" w:space="0" w:color="auto" w:frame="1"/>
                            <w:shd w:val="clear" w:color="auto" w:fill="FFFFFF"/>
                          </w:rPr>
                          <w:t>iii</w:t>
                        </w:r>
                        <w:r w:rsidR="00637A33" w:rsidRPr="00420361">
                          <w:rPr>
                            <w:rFonts w:eastAsia="Times New Roman"/>
                            <w:szCs w:val="24"/>
                            <w:bdr w:val="none" w:sz="0" w:space="0" w:color="auto" w:frame="1"/>
                            <w:shd w:val="clear" w:color="auto" w:fill="FFFFFF"/>
                          </w:rPr>
                          <w:t xml:space="preserve">) degli artt. 3 e 31 della Direttiva 2014/23/UE del Parlamento europeo e del Consiglio del 26 febbraio 2014, sull’aggiudicazione delle concessioni, perché l’art. 2 del </w:t>
                        </w:r>
                        <w:proofErr w:type="spellStart"/>
                        <w:r w:rsidR="00637A33" w:rsidRPr="00420361">
                          <w:rPr>
                            <w:rFonts w:eastAsia="Times New Roman"/>
                            <w:szCs w:val="24"/>
                            <w:bdr w:val="none" w:sz="0" w:space="0" w:color="auto" w:frame="1"/>
                            <w:shd w:val="clear" w:color="auto" w:fill="FFFFFF"/>
                          </w:rPr>
                          <w:t>d.l.</w:t>
                        </w:r>
                        <w:proofErr w:type="spellEnd"/>
                        <w:r w:rsidR="00637A33" w:rsidRPr="00420361">
                          <w:rPr>
                            <w:rFonts w:eastAsia="Times New Roman"/>
                            <w:szCs w:val="24"/>
                            <w:bdr w:val="none" w:sz="0" w:space="0" w:color="auto" w:frame="1"/>
                            <w:shd w:val="clear" w:color="auto" w:fill="FFFFFF"/>
                          </w:rPr>
                          <w:t xml:space="preserve"> n. 85 del 2022 attribuisce direttamente ad A.N.A.S. – soggetto che svolge un’attività imprenditoriale in concorrenza con gli altri operatori del settore – la gestione (ancorché provvisoria) dell’infrastruttura con la conseguente attribuzione alla stessa di un illegittimo vantaggio economico acquisito in difetto delle condizioni di parità, trasparenza e non discriminazione;</w:t>
                        </w:r>
                      </w:p>
                      <w:p w:rsidR="00637A33" w:rsidRPr="00420361" w:rsidRDefault="00637A33" w:rsidP="00252EC7">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xml:space="preserve"> c2) per violazione e/o falsa applicazione degli artt. 9, 9-</w:t>
                        </w:r>
                        <w:r w:rsidRPr="00420361">
                          <w:rPr>
                            <w:rFonts w:eastAsia="Times New Roman"/>
                            <w:i/>
                            <w:iCs/>
                            <w:szCs w:val="24"/>
                            <w:bdr w:val="none" w:sz="0" w:space="0" w:color="auto" w:frame="1"/>
                            <w:shd w:val="clear" w:color="auto" w:fill="FFFFFF"/>
                          </w:rPr>
                          <w:t>bis</w:t>
                        </w:r>
                        <w:r w:rsidRPr="00420361">
                          <w:rPr>
                            <w:rFonts w:eastAsia="Times New Roman"/>
                            <w:szCs w:val="24"/>
                            <w:bdr w:val="none" w:sz="0" w:space="0" w:color="auto" w:frame="1"/>
                            <w:shd w:val="clear" w:color="auto" w:fill="FFFFFF"/>
                          </w:rPr>
                          <w:t> e 11 della Convenzione unica del 18 novembre 2009 e dell’art. 176 del d.lgs. 18 aprile 2016, n. 50, stante il carattere pretestuoso della contestazione relativa alla violazione degli obblighi relativi all’affidamento a terzi di lavori, servizi e forniture e degli altri obblighi convenzionali;</w:t>
                        </w:r>
                      </w:p>
                      <w:p w:rsidR="00637A33" w:rsidRPr="00420361" w:rsidRDefault="00A56268" w:rsidP="00252EC7">
                        <w:pPr>
                          <w:shd w:val="clear" w:color="auto" w:fill="FFFFFF"/>
                          <w:spacing w:line="240" w:lineRule="auto"/>
                          <w:ind w:left="1701" w:hanging="567"/>
                          <w:rPr>
                            <w:rFonts w:eastAsia="Times New Roman"/>
                            <w:szCs w:val="24"/>
                          </w:rPr>
                        </w:pPr>
                        <w:r>
                          <w:rPr>
                            <w:rFonts w:eastAsia="Times New Roman"/>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c3) per assenza del grave inadempimento necessario presupposto per disporre risoluzione;</w:t>
                        </w:r>
                      </w:p>
                      <w:p w:rsidR="00637A33" w:rsidRPr="00420361" w:rsidRDefault="008C67A5" w:rsidP="00252EC7">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xml:space="preserve"> c4) per l’incostituzionalità del decreto legge n. 85 del 2022, per contrasto con gli artt. 3, 4, 10, 24, 25, 28, 36, 41, 42, 43, 77, 97, 100, 102, 103, 111, 113, 117, comma 1, </w:t>
                        </w:r>
                        <w:proofErr w:type="spellStart"/>
                        <w:r w:rsidR="00637A33" w:rsidRPr="00420361">
                          <w:rPr>
                            <w:rFonts w:eastAsia="Times New Roman"/>
                            <w:szCs w:val="24"/>
                            <w:bdr w:val="none" w:sz="0" w:space="0" w:color="auto" w:frame="1"/>
                            <w:shd w:val="clear" w:color="auto" w:fill="FFFFFF"/>
                          </w:rPr>
                          <w:t>Cost</w:t>
                        </w:r>
                        <w:proofErr w:type="spellEnd"/>
                        <w:r w:rsidR="00637A33" w:rsidRPr="00420361">
                          <w:rPr>
                            <w:rFonts w:eastAsia="Times New Roman"/>
                            <w:szCs w:val="24"/>
                            <w:bdr w:val="none" w:sz="0" w:space="0" w:color="auto" w:frame="1"/>
                            <w:shd w:val="clear" w:color="auto" w:fill="FFFFFF"/>
                          </w:rPr>
                          <w:t>., per violazione: </w:t>
                        </w:r>
                        <w:r w:rsidR="00637A33" w:rsidRPr="00420361">
                          <w:rPr>
                            <w:rFonts w:eastAsia="Times New Roman"/>
                            <w:i/>
                            <w:iCs/>
                            <w:szCs w:val="24"/>
                            <w:bdr w:val="none" w:sz="0" w:space="0" w:color="auto" w:frame="1"/>
                            <w:shd w:val="clear" w:color="auto" w:fill="FFFFFF"/>
                          </w:rPr>
                          <w:t>i</w:t>
                        </w:r>
                        <w:r w:rsidR="00637A33" w:rsidRPr="00420361">
                          <w:rPr>
                            <w:rFonts w:eastAsia="Times New Roman"/>
                            <w:szCs w:val="24"/>
                            <w:bdr w:val="none" w:sz="0" w:space="0" w:color="auto" w:frame="1"/>
                            <w:shd w:val="clear" w:color="auto" w:fill="FFFFFF"/>
                          </w:rPr>
                          <w:t xml:space="preserve">) dell’art. 77 </w:t>
                        </w:r>
                        <w:proofErr w:type="spellStart"/>
                        <w:r w:rsidR="00637A33" w:rsidRPr="00420361">
                          <w:rPr>
                            <w:rFonts w:eastAsia="Times New Roman"/>
                            <w:szCs w:val="24"/>
                            <w:bdr w:val="none" w:sz="0" w:space="0" w:color="auto" w:frame="1"/>
                            <w:shd w:val="clear" w:color="auto" w:fill="FFFFFF"/>
                          </w:rPr>
                          <w:t>Cost</w:t>
                        </w:r>
                        <w:proofErr w:type="spellEnd"/>
                        <w:r w:rsidR="00637A33" w:rsidRPr="00420361">
                          <w:rPr>
                            <w:rFonts w:eastAsia="Times New Roman"/>
                            <w:szCs w:val="24"/>
                            <w:bdr w:val="none" w:sz="0" w:space="0" w:color="auto" w:frame="1"/>
                            <w:shd w:val="clear" w:color="auto" w:fill="FFFFFF"/>
                          </w:rPr>
                          <w:t>., per mancanza dei presupposti di straordinaria necessità e di urgenza in quanto nella fattispecie l’urgenza si configurerebbe come “</w:t>
                        </w:r>
                        <w:r w:rsidR="00637A33" w:rsidRPr="00420361">
                          <w:rPr>
                            <w:rFonts w:eastAsia="Times New Roman"/>
                            <w:i/>
                            <w:iCs/>
                            <w:szCs w:val="24"/>
                            <w:bdr w:val="none" w:sz="0" w:space="0" w:color="auto" w:frame="1"/>
                            <w:shd w:val="clear" w:color="auto" w:fill="FFFFFF"/>
                          </w:rPr>
                          <w:t>auto procurata, giacché è il concedente che, del tutto pretestuosamente e in assenza dei doverosi presupposti, ha risolto la convenzione</w:t>
                        </w:r>
                        <w:r w:rsidR="00637A33" w:rsidRPr="00420361">
                          <w:rPr>
                            <w:rFonts w:eastAsia="Times New Roman"/>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ii</w:t>
                        </w:r>
                        <w:r w:rsidR="00637A33" w:rsidRPr="00420361">
                          <w:rPr>
                            <w:rFonts w:eastAsia="Times New Roman"/>
                            <w:szCs w:val="24"/>
                            <w:bdr w:val="none" w:sz="0" w:space="0" w:color="auto" w:frame="1"/>
                            <w:shd w:val="clear" w:color="auto" w:fill="FFFFFF"/>
                          </w:rPr>
                          <w:t xml:space="preserve">) degli artt. 3, 24, 25, </w:t>
                        </w:r>
                        <w:bookmarkStart w:id="0" w:name="_GoBack"/>
                        <w:bookmarkEnd w:id="0"/>
                        <w:r w:rsidR="00637A33" w:rsidRPr="00420361">
                          <w:rPr>
                            <w:rFonts w:eastAsia="Times New Roman"/>
                            <w:szCs w:val="24"/>
                            <w:bdr w:val="none" w:sz="0" w:space="0" w:color="auto" w:frame="1"/>
                            <w:shd w:val="clear" w:color="auto" w:fill="FFFFFF"/>
                          </w:rPr>
                          <w:t xml:space="preserve">102, 103, 111 e 113, con riferimento all’art. 47 della CDFUE, e dell’art. 117, comma 1, </w:t>
                        </w:r>
                        <w:proofErr w:type="spellStart"/>
                        <w:r w:rsidR="00637A33" w:rsidRPr="00420361">
                          <w:rPr>
                            <w:rFonts w:eastAsia="Times New Roman"/>
                            <w:szCs w:val="24"/>
                            <w:bdr w:val="none" w:sz="0" w:space="0" w:color="auto" w:frame="1"/>
                            <w:shd w:val="clear" w:color="auto" w:fill="FFFFFF"/>
                          </w:rPr>
                          <w:t>Cost</w:t>
                        </w:r>
                        <w:proofErr w:type="spellEnd"/>
                        <w:r w:rsidR="00637A33" w:rsidRPr="00420361">
                          <w:rPr>
                            <w:rFonts w:eastAsia="Times New Roman"/>
                            <w:szCs w:val="24"/>
                            <w:bdr w:val="none" w:sz="0" w:space="0" w:color="auto" w:frame="1"/>
                            <w:shd w:val="clear" w:color="auto" w:fill="FFFFFF"/>
                          </w:rPr>
                          <w:t xml:space="preserve">., con riferimento agli artt. 6 e 13 della CEDU, in </w:t>
                        </w:r>
                        <w:r w:rsidR="00637A33" w:rsidRPr="00420361">
                          <w:rPr>
                            <w:rFonts w:eastAsia="Times New Roman"/>
                            <w:szCs w:val="24"/>
                            <w:bdr w:val="none" w:sz="0" w:space="0" w:color="auto" w:frame="1"/>
                            <w:shd w:val="clear" w:color="auto" w:fill="FFFFFF"/>
                          </w:rPr>
                          <w:lastRenderedPageBreak/>
                          <w:t>quanto il decreto legge avrebbe “</w:t>
                        </w:r>
                        <w:r w:rsidR="00637A33" w:rsidRPr="00420361">
                          <w:rPr>
                            <w:rFonts w:eastAsia="Times New Roman"/>
                            <w:i/>
                            <w:iCs/>
                            <w:szCs w:val="24"/>
                            <w:bdr w:val="none" w:sz="0" w:space="0" w:color="auto" w:frame="1"/>
                            <w:shd w:val="clear" w:color="auto" w:fill="FFFFFF"/>
                          </w:rPr>
                          <w:t>vanificato</w:t>
                        </w:r>
                        <w:r w:rsidR="00637A33" w:rsidRPr="00420361">
                          <w:rPr>
                            <w:rFonts w:eastAsia="Times New Roman"/>
                            <w:szCs w:val="24"/>
                            <w:bdr w:val="none" w:sz="0" w:space="0" w:color="auto" w:frame="1"/>
                            <w:shd w:val="clear" w:color="auto" w:fill="FFFFFF"/>
                          </w:rPr>
                          <w:t>” le azioni giudiziarie proposte dalla ricorrente; </w:t>
                        </w:r>
                        <w:r w:rsidR="00637A33" w:rsidRPr="00420361">
                          <w:rPr>
                            <w:rFonts w:eastAsia="Times New Roman"/>
                            <w:i/>
                            <w:iCs/>
                            <w:szCs w:val="24"/>
                            <w:bdr w:val="none" w:sz="0" w:space="0" w:color="auto" w:frame="1"/>
                            <w:shd w:val="clear" w:color="auto" w:fill="FFFFFF"/>
                          </w:rPr>
                          <w:t>iii</w:t>
                        </w:r>
                        <w:r w:rsidR="00637A33" w:rsidRPr="00420361">
                          <w:rPr>
                            <w:rFonts w:eastAsia="Times New Roman"/>
                            <w:szCs w:val="24"/>
                            <w:bdr w:val="none" w:sz="0" w:space="0" w:color="auto" w:frame="1"/>
                            <w:shd w:val="clear" w:color="auto" w:fill="FFFFFF"/>
                          </w:rPr>
                          <w:t xml:space="preserve">) dell’art. 3 </w:t>
                        </w:r>
                        <w:proofErr w:type="spellStart"/>
                        <w:r w:rsidR="00637A33" w:rsidRPr="00420361">
                          <w:rPr>
                            <w:rFonts w:eastAsia="Times New Roman"/>
                            <w:szCs w:val="24"/>
                            <w:bdr w:val="none" w:sz="0" w:space="0" w:color="auto" w:frame="1"/>
                            <w:shd w:val="clear" w:color="auto" w:fill="FFFFFF"/>
                          </w:rPr>
                          <w:t>Cost</w:t>
                        </w:r>
                        <w:proofErr w:type="spellEnd"/>
                        <w:r w:rsidR="00637A33" w:rsidRPr="00420361">
                          <w:rPr>
                            <w:rFonts w:eastAsia="Times New Roman"/>
                            <w:szCs w:val="24"/>
                            <w:bdr w:val="none" w:sz="0" w:space="0" w:color="auto" w:frame="1"/>
                            <w:shd w:val="clear" w:color="auto" w:fill="FFFFFF"/>
                          </w:rPr>
                          <w:t xml:space="preserve">., giacché la norma primaria  –  </w:t>
                        </w:r>
                        <w:proofErr w:type="spellStart"/>
                        <w:r w:rsidR="00637A33" w:rsidRPr="00420361">
                          <w:rPr>
                            <w:rFonts w:eastAsia="Times New Roman"/>
                            <w:szCs w:val="24"/>
                            <w:bdr w:val="none" w:sz="0" w:space="0" w:color="auto" w:frame="1"/>
                            <w:shd w:val="clear" w:color="auto" w:fill="FFFFFF"/>
                          </w:rPr>
                          <w:t>legificando</w:t>
                        </w:r>
                        <w:proofErr w:type="spellEnd"/>
                        <w:r w:rsidR="00637A33" w:rsidRPr="00420361">
                          <w:rPr>
                            <w:rFonts w:eastAsia="Times New Roman"/>
                            <w:szCs w:val="24"/>
                            <w:bdr w:val="none" w:sz="0" w:space="0" w:color="auto" w:frame="1"/>
                            <w:shd w:val="clear" w:color="auto" w:fill="FFFFFF"/>
                          </w:rPr>
                          <w:t xml:space="preserve"> i provvedimenti amministrativi – ha operato una disparità di trattamento fra parte pubblica e parte privata; </w:t>
                        </w:r>
                        <w:r w:rsidR="00637A33" w:rsidRPr="00420361">
                          <w:rPr>
                            <w:rFonts w:eastAsia="Times New Roman"/>
                            <w:i/>
                            <w:iCs/>
                            <w:szCs w:val="24"/>
                            <w:bdr w:val="none" w:sz="0" w:space="0" w:color="auto" w:frame="1"/>
                            <w:shd w:val="clear" w:color="auto" w:fill="FFFFFF"/>
                          </w:rPr>
                          <w:t>iv</w:t>
                        </w:r>
                        <w:r w:rsidR="00637A33" w:rsidRPr="00420361">
                          <w:rPr>
                            <w:rFonts w:eastAsia="Times New Roman"/>
                            <w:szCs w:val="24"/>
                            <w:bdr w:val="none" w:sz="0" w:space="0" w:color="auto" w:frame="1"/>
                            <w:shd w:val="clear" w:color="auto" w:fill="FFFFFF"/>
                          </w:rPr>
                          <w:t xml:space="preserve">) degli artt. 24, 101 e 111, </w:t>
                        </w:r>
                        <w:proofErr w:type="spellStart"/>
                        <w:r w:rsidR="00637A33" w:rsidRPr="00420361">
                          <w:rPr>
                            <w:rFonts w:eastAsia="Times New Roman"/>
                            <w:szCs w:val="24"/>
                            <w:bdr w:val="none" w:sz="0" w:space="0" w:color="auto" w:frame="1"/>
                            <w:shd w:val="clear" w:color="auto" w:fill="FFFFFF"/>
                          </w:rPr>
                          <w:t>Cost</w:t>
                        </w:r>
                        <w:proofErr w:type="spellEnd"/>
                        <w:r w:rsidR="00637A33" w:rsidRPr="00420361">
                          <w:rPr>
                            <w:rFonts w:eastAsia="Times New Roman"/>
                            <w:szCs w:val="24"/>
                            <w:bdr w:val="none" w:sz="0" w:space="0" w:color="auto" w:frame="1"/>
                            <w:shd w:val="clear" w:color="auto" w:fill="FFFFFF"/>
                          </w:rPr>
                          <w:t>., stante l’interferenza con la funzione giurisdizionale; </w:t>
                        </w:r>
                        <w:r w:rsidR="00637A33" w:rsidRPr="00420361">
                          <w:rPr>
                            <w:rFonts w:eastAsia="Times New Roman"/>
                            <w:i/>
                            <w:iCs/>
                            <w:szCs w:val="24"/>
                            <w:bdr w:val="none" w:sz="0" w:space="0" w:color="auto" w:frame="1"/>
                            <w:shd w:val="clear" w:color="auto" w:fill="FFFFFF"/>
                          </w:rPr>
                          <w:t>v</w:t>
                        </w:r>
                        <w:r w:rsidR="00637A33" w:rsidRPr="00420361">
                          <w:rPr>
                            <w:rFonts w:eastAsia="Times New Roman"/>
                            <w:szCs w:val="24"/>
                            <w:bdr w:val="none" w:sz="0" w:space="0" w:color="auto" w:frame="1"/>
                            <w:shd w:val="clear" w:color="auto" w:fill="FFFFFF"/>
                          </w:rPr>
                          <w:t>) del principio del legittimo affidamento </w:t>
                        </w:r>
                        <w:r w:rsidR="00637A33" w:rsidRPr="00420361">
                          <w:rPr>
                            <w:rFonts w:eastAsia="Times New Roman"/>
                            <w:i/>
                            <w:iCs/>
                            <w:szCs w:val="24"/>
                            <w:bdr w:val="none" w:sz="0" w:space="0" w:color="auto" w:frame="1"/>
                            <w:shd w:val="clear" w:color="auto" w:fill="FFFFFF"/>
                          </w:rPr>
                          <w:t>ex</w:t>
                        </w:r>
                        <w:r w:rsidR="00637A33" w:rsidRPr="00420361">
                          <w:rPr>
                            <w:rFonts w:eastAsia="Times New Roman"/>
                            <w:szCs w:val="24"/>
                            <w:bdr w:val="none" w:sz="0" w:space="0" w:color="auto" w:frame="1"/>
                            <w:shd w:val="clear" w:color="auto" w:fill="FFFFFF"/>
                          </w:rPr>
                          <w:t xml:space="preserve"> art. 3 </w:t>
                        </w:r>
                        <w:proofErr w:type="spellStart"/>
                        <w:r w:rsidR="00637A33" w:rsidRPr="00420361">
                          <w:rPr>
                            <w:rFonts w:eastAsia="Times New Roman"/>
                            <w:szCs w:val="24"/>
                            <w:bdr w:val="none" w:sz="0" w:space="0" w:color="auto" w:frame="1"/>
                            <w:shd w:val="clear" w:color="auto" w:fill="FFFFFF"/>
                          </w:rPr>
                          <w:t>Cost</w:t>
                        </w:r>
                        <w:proofErr w:type="spellEnd"/>
                        <w:r w:rsidR="00637A33" w:rsidRPr="00420361">
                          <w:rPr>
                            <w:rFonts w:eastAsia="Times New Roman"/>
                            <w:szCs w:val="24"/>
                            <w:bdr w:val="none" w:sz="0" w:space="0" w:color="auto" w:frame="1"/>
                            <w:shd w:val="clear" w:color="auto" w:fill="FFFFFF"/>
                          </w:rPr>
                          <w:t>., perché “</w:t>
                        </w:r>
                        <w:r w:rsidR="00637A33" w:rsidRPr="00420361">
                          <w:rPr>
                            <w:rFonts w:eastAsia="Times New Roman"/>
                            <w:i/>
                            <w:iCs/>
                            <w:szCs w:val="24"/>
                            <w:bdr w:val="none" w:sz="0" w:space="0" w:color="auto" w:frame="1"/>
                            <w:shd w:val="clear" w:color="auto" w:fill="FFFFFF"/>
                          </w:rPr>
                          <w:t>la Convenzione Unica del 2009 prevedeva una disciplina </w:t>
                        </w:r>
                        <w:r w:rsidR="00637A33" w:rsidRPr="00420361">
                          <w:rPr>
                            <w:rFonts w:eastAsia="Times New Roman"/>
                            <w:szCs w:val="24"/>
                            <w:bdr w:val="none" w:sz="0" w:space="0" w:color="auto" w:frame="1"/>
                            <w:shd w:val="clear" w:color="auto" w:fill="FFFFFF"/>
                          </w:rPr>
                          <w:t>ad hoc</w:t>
                        </w:r>
                        <w:r w:rsidR="00637A33" w:rsidRPr="00420361">
                          <w:rPr>
                            <w:rFonts w:eastAsia="Times New Roman"/>
                            <w:i/>
                            <w:iCs/>
                            <w:szCs w:val="24"/>
                            <w:bdr w:val="none" w:sz="0" w:space="0" w:color="auto" w:frame="1"/>
                            <w:shd w:val="clear" w:color="auto" w:fill="FFFFFF"/>
                          </w:rPr>
                          <w:t> per l’ipotesi di grave inadempimento del concessionario, che individuava i presupposti, il procedimento di accertamento e le conseguenze giuridiche ed economiche dell’estinzione del rapporto che il grave inadempimento comportava (v. artt. 8- </w:t>
                        </w:r>
                        <w:r w:rsidR="00637A33" w:rsidRPr="00420361">
                          <w:rPr>
                            <w:rFonts w:eastAsia="Times New Roman"/>
                            <w:szCs w:val="24"/>
                            <w:bdr w:val="none" w:sz="0" w:space="0" w:color="auto" w:frame="1"/>
                            <w:shd w:val="clear" w:color="auto" w:fill="FFFFFF"/>
                          </w:rPr>
                          <w:t>bis</w:t>
                        </w:r>
                        <w:r w:rsidR="00637A33" w:rsidRPr="00420361">
                          <w:rPr>
                            <w:rFonts w:eastAsia="Times New Roman"/>
                            <w:i/>
                            <w:iCs/>
                            <w:szCs w:val="24"/>
                            <w:bdr w:val="none" w:sz="0" w:space="0" w:color="auto" w:frame="1"/>
                            <w:shd w:val="clear" w:color="auto" w:fill="FFFFFF"/>
                          </w:rPr>
                          <w:t> e 9)</w:t>
                        </w:r>
                        <w:r w:rsidR="00637A33" w:rsidRPr="00420361">
                          <w:rPr>
                            <w:rFonts w:eastAsia="Times New Roman"/>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vi</w:t>
                        </w:r>
                        <w:r w:rsidR="00637A33" w:rsidRPr="00420361">
                          <w:rPr>
                            <w:rFonts w:eastAsia="Times New Roman"/>
                            <w:szCs w:val="24"/>
                            <w:bdr w:val="none" w:sz="0" w:space="0" w:color="auto" w:frame="1"/>
                            <w:shd w:val="clear" w:color="auto" w:fill="FFFFFF"/>
                          </w:rPr>
                          <w:t xml:space="preserve">) degli artt. 3, 41, 42 e 97, nonché dell’art. 117, comma 1, </w:t>
                        </w:r>
                        <w:proofErr w:type="spellStart"/>
                        <w:r w:rsidR="00637A33" w:rsidRPr="00420361">
                          <w:rPr>
                            <w:rFonts w:eastAsia="Times New Roman"/>
                            <w:szCs w:val="24"/>
                            <w:bdr w:val="none" w:sz="0" w:space="0" w:color="auto" w:frame="1"/>
                            <w:shd w:val="clear" w:color="auto" w:fill="FFFFFF"/>
                          </w:rPr>
                          <w:t>Cost</w:t>
                        </w:r>
                        <w:proofErr w:type="spellEnd"/>
                        <w:r w:rsidR="00637A33" w:rsidRPr="00420361">
                          <w:rPr>
                            <w:rFonts w:eastAsia="Times New Roman"/>
                            <w:szCs w:val="24"/>
                            <w:bdr w:val="none" w:sz="0" w:space="0" w:color="auto" w:frame="1"/>
                            <w:shd w:val="clear" w:color="auto" w:fill="FFFFFF"/>
                          </w:rPr>
                          <w:t xml:space="preserve">., in riferimento all’art. 1, </w:t>
                        </w:r>
                        <w:proofErr w:type="spellStart"/>
                        <w:r w:rsidR="00637A33" w:rsidRPr="00420361">
                          <w:rPr>
                            <w:rFonts w:eastAsia="Times New Roman"/>
                            <w:szCs w:val="24"/>
                            <w:bdr w:val="none" w:sz="0" w:space="0" w:color="auto" w:frame="1"/>
                            <w:shd w:val="clear" w:color="auto" w:fill="FFFFFF"/>
                          </w:rPr>
                          <w:t>prot</w:t>
                        </w:r>
                        <w:proofErr w:type="spellEnd"/>
                        <w:r w:rsidR="00637A33" w:rsidRPr="00420361">
                          <w:rPr>
                            <w:rFonts w:eastAsia="Times New Roman"/>
                            <w:szCs w:val="24"/>
                            <w:bdr w:val="none" w:sz="0" w:space="0" w:color="auto" w:frame="1"/>
                            <w:shd w:val="clear" w:color="auto" w:fill="FFFFFF"/>
                          </w:rPr>
                          <w:t>. 1, della C.E.D.U., a fronte dell’operato svuotamento della libertà d’impresa, dal momento che “</w:t>
                        </w:r>
                        <w:r w:rsidR="00637A33" w:rsidRPr="00420361">
                          <w:rPr>
                            <w:rFonts w:eastAsia="Times New Roman"/>
                            <w:i/>
                            <w:iCs/>
                            <w:szCs w:val="24"/>
                            <w:bdr w:val="none" w:sz="0" w:space="0" w:color="auto" w:frame="1"/>
                            <w:shd w:val="clear" w:color="auto" w:fill="FFFFFF"/>
                          </w:rPr>
                          <w:t xml:space="preserve">il legislatore non solo ha risolto (illegittimamente) la Convenzione unica per la gestione delle autostrade A24 e A25, ma si è anche appropriato del complesso aziendale di Strada dei Parchi S.p.A. e, addirittura, di altre imprese estranee al rapporto </w:t>
                        </w:r>
                        <w:proofErr w:type="spellStart"/>
                        <w:r w:rsidR="00637A33" w:rsidRPr="00420361">
                          <w:rPr>
                            <w:rFonts w:eastAsia="Times New Roman"/>
                            <w:i/>
                            <w:iCs/>
                            <w:szCs w:val="24"/>
                            <w:bdr w:val="none" w:sz="0" w:space="0" w:color="auto" w:frame="1"/>
                            <w:shd w:val="clear" w:color="auto" w:fill="FFFFFF"/>
                          </w:rPr>
                          <w:t>concessorio</w:t>
                        </w:r>
                        <w:proofErr w:type="spellEnd"/>
                        <w:r w:rsidR="00637A33" w:rsidRPr="00420361">
                          <w:rPr>
                            <w:rFonts w:eastAsia="Times New Roman"/>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vii</w:t>
                        </w:r>
                        <w:r w:rsidR="00637A33" w:rsidRPr="00420361">
                          <w:rPr>
                            <w:rFonts w:eastAsia="Times New Roman"/>
                            <w:szCs w:val="24"/>
                            <w:bdr w:val="none" w:sz="0" w:space="0" w:color="auto" w:frame="1"/>
                            <w:shd w:val="clear" w:color="auto" w:fill="FFFFFF"/>
                          </w:rPr>
                          <w:t xml:space="preserve">) degli artt. 3, 4, 36, 41 e 97, </w:t>
                        </w:r>
                        <w:proofErr w:type="spellStart"/>
                        <w:r w:rsidR="00637A33" w:rsidRPr="00420361">
                          <w:rPr>
                            <w:rFonts w:eastAsia="Times New Roman"/>
                            <w:szCs w:val="24"/>
                            <w:bdr w:val="none" w:sz="0" w:space="0" w:color="auto" w:frame="1"/>
                            <w:shd w:val="clear" w:color="auto" w:fill="FFFFFF"/>
                          </w:rPr>
                          <w:t>Cost</w:t>
                        </w:r>
                        <w:proofErr w:type="spellEnd"/>
                        <w:r w:rsidR="00637A33" w:rsidRPr="00420361">
                          <w:rPr>
                            <w:rFonts w:eastAsia="Times New Roman"/>
                            <w:szCs w:val="24"/>
                            <w:bdr w:val="none" w:sz="0" w:space="0" w:color="auto" w:frame="1"/>
                            <w:shd w:val="clear" w:color="auto" w:fill="FFFFFF"/>
                          </w:rPr>
                          <w:t xml:space="preserve">. nonché dell’art. 117, comma 1, in riferimento all’art. 4 della CEDU, atteso che l’art. 2, comma 3, </w:t>
                        </w:r>
                        <w:proofErr w:type="spellStart"/>
                        <w:r w:rsidR="00637A33" w:rsidRPr="00420361">
                          <w:rPr>
                            <w:rFonts w:eastAsia="Times New Roman"/>
                            <w:szCs w:val="24"/>
                            <w:bdr w:val="none" w:sz="0" w:space="0" w:color="auto" w:frame="1"/>
                            <w:shd w:val="clear" w:color="auto" w:fill="FFFFFF"/>
                          </w:rPr>
                          <w:t>lett</w:t>
                        </w:r>
                        <w:proofErr w:type="spellEnd"/>
                        <w:r w:rsidR="00637A33" w:rsidRPr="00420361">
                          <w:rPr>
                            <w:rFonts w:eastAsia="Times New Roman"/>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a)</w:t>
                        </w:r>
                        <w:r w:rsidR="00637A33" w:rsidRPr="00420361">
                          <w:rPr>
                            <w:rFonts w:eastAsia="Times New Roman"/>
                            <w:szCs w:val="24"/>
                            <w:bdr w:val="none" w:sz="0" w:space="0" w:color="auto" w:frame="1"/>
                            <w:shd w:val="clear" w:color="auto" w:fill="FFFFFF"/>
                          </w:rPr>
                          <w:t xml:space="preserve">, del </w:t>
                        </w:r>
                        <w:proofErr w:type="spellStart"/>
                        <w:r w:rsidR="00637A33" w:rsidRPr="00420361">
                          <w:rPr>
                            <w:rFonts w:eastAsia="Times New Roman"/>
                            <w:szCs w:val="24"/>
                            <w:bdr w:val="none" w:sz="0" w:space="0" w:color="auto" w:frame="1"/>
                            <w:shd w:val="clear" w:color="auto" w:fill="FFFFFF"/>
                          </w:rPr>
                          <w:t>d.l.</w:t>
                        </w:r>
                        <w:proofErr w:type="spellEnd"/>
                        <w:r w:rsidR="00637A33" w:rsidRPr="00420361">
                          <w:rPr>
                            <w:rFonts w:eastAsia="Times New Roman"/>
                            <w:szCs w:val="24"/>
                            <w:bdr w:val="none" w:sz="0" w:space="0" w:color="auto" w:frame="1"/>
                            <w:shd w:val="clear" w:color="auto" w:fill="FFFFFF"/>
                          </w:rPr>
                          <w:t xml:space="preserve"> n. 85 del 2022 (relativo alla possibilità per A.N.A.S. di avvalersi del personale della ex concessionaria e di altre due imprese che a questa forniscono beni e servizi), ha facoltizzato A.N.A.S. ad assumere (a regime) il personale già in forza alle tre società anzidette, altresì obbligando detto personale a prestare la sua opera al servizio di quest’ultima; </w:t>
                        </w:r>
                        <w:r w:rsidR="00637A33" w:rsidRPr="00420361">
                          <w:rPr>
                            <w:rFonts w:eastAsia="Times New Roman"/>
                            <w:i/>
                            <w:iCs/>
                            <w:szCs w:val="24"/>
                            <w:bdr w:val="none" w:sz="0" w:space="0" w:color="auto" w:frame="1"/>
                            <w:shd w:val="clear" w:color="auto" w:fill="FFFFFF"/>
                          </w:rPr>
                          <w:t>viii</w:t>
                        </w:r>
                        <w:r w:rsidR="00637A33" w:rsidRPr="00420361">
                          <w:rPr>
                            <w:rFonts w:eastAsia="Times New Roman"/>
                            <w:szCs w:val="24"/>
                            <w:bdr w:val="none" w:sz="0" w:space="0" w:color="auto" w:frame="1"/>
                            <w:shd w:val="clear" w:color="auto" w:fill="FFFFFF"/>
                          </w:rPr>
                          <w:t xml:space="preserve">) degli artt. 28, 100 e 103, </w:t>
                        </w:r>
                        <w:proofErr w:type="spellStart"/>
                        <w:r w:rsidR="00637A33" w:rsidRPr="00420361">
                          <w:rPr>
                            <w:rFonts w:eastAsia="Times New Roman"/>
                            <w:szCs w:val="24"/>
                            <w:bdr w:val="none" w:sz="0" w:space="0" w:color="auto" w:frame="1"/>
                            <w:shd w:val="clear" w:color="auto" w:fill="FFFFFF"/>
                          </w:rPr>
                          <w:t>Cost</w:t>
                        </w:r>
                        <w:proofErr w:type="spellEnd"/>
                        <w:r w:rsidR="00637A33" w:rsidRPr="00420361">
                          <w:rPr>
                            <w:rFonts w:eastAsia="Times New Roman"/>
                            <w:szCs w:val="24"/>
                            <w:bdr w:val="none" w:sz="0" w:space="0" w:color="auto" w:frame="1"/>
                            <w:shd w:val="clear" w:color="auto" w:fill="FFFFFF"/>
                          </w:rPr>
                          <w:t>. in quanto il legislatore governativo avrebbe previsto, in modo irragionevole, una forma tutela rafforzata riguardo alla responsabilità erariale dei soggetti coinvolti nella risoluzione della Convenzione relativa alle autostrade A24 e A25;</w:t>
                        </w:r>
                      </w:p>
                      <w:p w:rsidR="00637A33" w:rsidRPr="00420361" w:rsidRDefault="008C67A5" w:rsidP="00252EC7">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c5) per incostituzionalità dell’art. 35, comma 1, del decreto-legge 30 dicembre 2019, n. 162, convertito, con modificazioni, dalla legge 28 febbraio 2020, n. 8, atteso che tale normativa: </w:t>
                        </w:r>
                        <w:r w:rsidR="00637A33" w:rsidRPr="00420361">
                          <w:rPr>
                            <w:rFonts w:eastAsia="Times New Roman"/>
                            <w:i/>
                            <w:iCs/>
                            <w:szCs w:val="24"/>
                            <w:bdr w:val="none" w:sz="0" w:space="0" w:color="auto" w:frame="1"/>
                            <w:shd w:val="clear" w:color="auto" w:fill="FFFFFF"/>
                          </w:rPr>
                          <w:t>i</w:t>
                        </w:r>
                        <w:r w:rsidR="00637A33" w:rsidRPr="00420361">
                          <w:rPr>
                            <w:rFonts w:eastAsia="Times New Roman"/>
                            <w:szCs w:val="24"/>
                            <w:bdr w:val="none" w:sz="0" w:space="0" w:color="auto" w:frame="1"/>
                            <w:shd w:val="clear" w:color="auto" w:fill="FFFFFF"/>
                          </w:rPr>
                          <w:t>) sarebbe operativa soltanto “</w:t>
                        </w:r>
                        <w:r w:rsidR="00637A33" w:rsidRPr="00420361">
                          <w:rPr>
                            <w:rFonts w:eastAsia="Times New Roman"/>
                            <w:i/>
                            <w:iCs/>
                            <w:szCs w:val="24"/>
                            <w:bdr w:val="none" w:sz="0" w:space="0" w:color="auto" w:frame="1"/>
                            <w:shd w:val="clear" w:color="auto" w:fill="FFFFFF"/>
                          </w:rPr>
                          <w:t xml:space="preserve">qualora si verifichino presupposti assolutamente eccezionali, di entità almeno pari a quelli che secondo la Corte costituzionale hanno giustificato l’intervento normativo successivo al crollo del viadotto </w:t>
                        </w:r>
                        <w:proofErr w:type="spellStart"/>
                        <w:r w:rsidR="00637A33" w:rsidRPr="00420361">
                          <w:rPr>
                            <w:rFonts w:eastAsia="Times New Roman"/>
                            <w:i/>
                            <w:iCs/>
                            <w:szCs w:val="24"/>
                            <w:bdr w:val="none" w:sz="0" w:space="0" w:color="auto" w:frame="1"/>
                            <w:shd w:val="clear" w:color="auto" w:fill="FFFFFF"/>
                          </w:rPr>
                          <w:t>Polcevera</w:t>
                        </w:r>
                        <w:proofErr w:type="spellEnd"/>
                        <w:r w:rsidR="00637A33" w:rsidRPr="00420361">
                          <w:rPr>
                            <w:rFonts w:eastAsia="Times New Roman"/>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ii</w:t>
                        </w:r>
                        <w:r w:rsidR="00637A33" w:rsidRPr="00420361">
                          <w:rPr>
                            <w:rFonts w:eastAsia="Times New Roman"/>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 xml:space="preserve">favorisce A.N.A.S. rispetto agli altri operatori commerciali, con conseguente violazione del principio di tutela della concorrenza e di parità di trattamento, tutelati dagli artt. 3 e 41 </w:t>
                        </w:r>
                        <w:proofErr w:type="spellStart"/>
                        <w:r w:rsidR="00637A33" w:rsidRPr="00420361">
                          <w:rPr>
                            <w:rFonts w:eastAsia="Times New Roman"/>
                            <w:i/>
                            <w:iCs/>
                            <w:szCs w:val="24"/>
                            <w:bdr w:val="none" w:sz="0" w:space="0" w:color="auto" w:frame="1"/>
                            <w:shd w:val="clear" w:color="auto" w:fill="FFFFFF"/>
                          </w:rPr>
                          <w:t>Cost</w:t>
                        </w:r>
                        <w:proofErr w:type="spellEnd"/>
                        <w:r w:rsidR="00637A33" w:rsidRPr="00420361">
                          <w:rPr>
                            <w:rFonts w:eastAsia="Times New Roman"/>
                            <w:i/>
                            <w:iCs/>
                            <w:szCs w:val="24"/>
                            <w:bdr w:val="none" w:sz="0" w:space="0" w:color="auto" w:frame="1"/>
                            <w:shd w:val="clear" w:color="auto" w:fill="FFFFFF"/>
                          </w:rPr>
                          <w:t xml:space="preserve">. e dagli artt. 101 </w:t>
                        </w:r>
                        <w:proofErr w:type="spellStart"/>
                        <w:r w:rsidR="00637A33" w:rsidRPr="00420361">
                          <w:rPr>
                            <w:rFonts w:eastAsia="Times New Roman"/>
                            <w:i/>
                            <w:iCs/>
                            <w:szCs w:val="24"/>
                            <w:bdr w:val="none" w:sz="0" w:space="0" w:color="auto" w:frame="1"/>
                            <w:shd w:val="clear" w:color="auto" w:fill="FFFFFF"/>
                          </w:rPr>
                          <w:t>sgg</w:t>
                        </w:r>
                        <w:proofErr w:type="spellEnd"/>
                        <w:r w:rsidR="00637A33" w:rsidRPr="00420361">
                          <w:rPr>
                            <w:rFonts w:eastAsia="Times New Roman"/>
                            <w:i/>
                            <w:iCs/>
                            <w:szCs w:val="24"/>
                            <w:bdr w:val="none" w:sz="0" w:space="0" w:color="auto" w:frame="1"/>
                            <w:shd w:val="clear" w:color="auto" w:fill="FFFFFF"/>
                          </w:rPr>
                          <w:t>. TFUE</w:t>
                        </w:r>
                        <w:r w:rsidR="00637A33" w:rsidRPr="00420361">
                          <w:rPr>
                            <w:rFonts w:eastAsia="Times New Roman"/>
                            <w:szCs w:val="24"/>
                            <w:bdr w:val="none" w:sz="0" w:space="0" w:color="auto" w:frame="1"/>
                            <w:shd w:val="clear" w:color="auto" w:fill="FFFFFF"/>
                          </w:rPr>
                          <w:t>”.</w:t>
                        </w:r>
                      </w:p>
                      <w:p w:rsidR="00637A33" w:rsidRPr="00420361" w:rsidRDefault="00637A33" w:rsidP="008C67A5">
                        <w:pPr>
                          <w:shd w:val="clear" w:color="auto" w:fill="FFFFFF"/>
                          <w:spacing w:line="240" w:lineRule="auto"/>
                          <w:ind w:left="680"/>
                          <w:rPr>
                            <w:rFonts w:eastAsia="Times New Roman"/>
                            <w:szCs w:val="24"/>
                          </w:rPr>
                        </w:pPr>
                        <w:r w:rsidRPr="00420361">
                          <w:rPr>
                            <w:rFonts w:eastAsia="Times New Roman"/>
                            <w:szCs w:val="24"/>
                            <w:bdr w:val="none" w:sz="0" w:space="0" w:color="auto" w:frame="1"/>
                            <w:shd w:val="clear" w:color="auto" w:fill="FFFFFF"/>
                          </w:rPr>
                          <w:t> d) verificata la regolare costituzione dell’amministrazione resistente e delle associazioni dei consumatori quali intervenienti </w:t>
                        </w:r>
                        <w:r w:rsidRPr="00420361">
                          <w:rPr>
                            <w:rFonts w:eastAsia="Times New Roman"/>
                            <w:i/>
                            <w:iCs/>
                            <w:szCs w:val="24"/>
                            <w:bdr w:val="none" w:sz="0" w:space="0" w:color="auto" w:frame="1"/>
                            <w:shd w:val="clear" w:color="auto" w:fill="FFFFFF"/>
                          </w:rPr>
                          <w:t xml:space="preserve">ad </w:t>
                        </w:r>
                        <w:proofErr w:type="spellStart"/>
                        <w:r w:rsidRPr="00420361">
                          <w:rPr>
                            <w:rFonts w:eastAsia="Times New Roman"/>
                            <w:i/>
                            <w:iCs/>
                            <w:szCs w:val="24"/>
                            <w:bdr w:val="none" w:sz="0" w:space="0" w:color="auto" w:frame="1"/>
                            <w:shd w:val="clear" w:color="auto" w:fill="FFFFFF"/>
                          </w:rPr>
                          <w:t>opponendum</w:t>
                        </w:r>
                        <w:proofErr w:type="spellEnd"/>
                        <w:r w:rsidRPr="00420361">
                          <w:rPr>
                            <w:rFonts w:eastAsia="Times New Roman"/>
                            <w:szCs w:val="24"/>
                            <w:bdr w:val="none" w:sz="0" w:space="0" w:color="auto" w:frame="1"/>
                            <w:shd w:val="clear" w:color="auto" w:fill="FFFFFF"/>
                          </w:rPr>
                          <w:t xml:space="preserve">, il </w:t>
                        </w:r>
                        <w:proofErr w:type="spellStart"/>
                        <w:r w:rsidRPr="00420361">
                          <w:rPr>
                            <w:rFonts w:eastAsia="Times New Roman"/>
                            <w:szCs w:val="24"/>
                            <w:bdr w:val="none" w:sz="0" w:space="0" w:color="auto" w:frame="1"/>
                            <w:shd w:val="clear" w:color="auto" w:fill="FFFFFF"/>
                          </w:rPr>
                          <w:t>T.a.r</w:t>
                        </w:r>
                        <w:proofErr w:type="spellEnd"/>
                        <w:r w:rsidRPr="00420361">
                          <w:rPr>
                            <w:rFonts w:eastAsia="Times New Roman"/>
                            <w:szCs w:val="24"/>
                            <w:bdr w:val="none" w:sz="0" w:space="0" w:color="auto" w:frame="1"/>
                            <w:shd w:val="clear" w:color="auto" w:fill="FFFFFF"/>
                          </w:rPr>
                          <w:t>. ha accolto l’istanza cautelare avanzata dalla ricorrente con ordinanza 28 luglio 2022, n. 4809, successivamente riformata con ordinanza del 26 agosto 2022, n. 4086, della quinta sezione del Consiglio di Stato;</w:t>
                        </w:r>
                      </w:p>
                      <w:p w:rsidR="00637A33" w:rsidRPr="00420361" w:rsidRDefault="00637A33" w:rsidP="00F94534">
                        <w:pPr>
                          <w:shd w:val="clear" w:color="auto" w:fill="FFFFFF"/>
                          <w:spacing w:line="240" w:lineRule="auto"/>
                          <w:ind w:left="1037" w:hanging="357"/>
                          <w:rPr>
                            <w:rFonts w:eastAsia="Times New Roman"/>
                            <w:szCs w:val="24"/>
                          </w:rPr>
                        </w:pPr>
                        <w:r w:rsidRPr="00420361">
                          <w:rPr>
                            <w:rFonts w:eastAsia="Times New Roman"/>
                            <w:szCs w:val="24"/>
                            <w:bdr w:val="none" w:sz="0" w:space="0" w:color="auto" w:frame="1"/>
                            <w:shd w:val="clear" w:color="auto" w:fill="FFFFFF"/>
                          </w:rPr>
                          <w:t xml:space="preserve">e)   riuniti i predetti giudizi, il </w:t>
                        </w:r>
                        <w:proofErr w:type="spellStart"/>
                        <w:r w:rsidRPr="00420361">
                          <w:rPr>
                            <w:rFonts w:eastAsia="Times New Roman"/>
                            <w:szCs w:val="24"/>
                            <w:bdr w:val="none" w:sz="0" w:space="0" w:color="auto" w:frame="1"/>
                            <w:shd w:val="clear" w:color="auto" w:fill="FFFFFF"/>
                          </w:rPr>
                          <w:t>T.a.r</w:t>
                        </w:r>
                        <w:proofErr w:type="spellEnd"/>
                        <w:r w:rsidRPr="00420361">
                          <w:rPr>
                            <w:rFonts w:eastAsia="Times New Roman"/>
                            <w:szCs w:val="24"/>
                            <w:bdr w:val="none" w:sz="0" w:space="0" w:color="auto" w:frame="1"/>
                            <w:shd w:val="clear" w:color="auto" w:fill="FFFFFF"/>
                          </w:rPr>
                          <w:t>. ha pronunciato la sentenza in rassegna:</w:t>
                        </w:r>
                      </w:p>
                      <w:p w:rsidR="00637A33" w:rsidRPr="00420361" w:rsidRDefault="00637A33" w:rsidP="00F94534">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lastRenderedPageBreak/>
                          <w:t xml:space="preserve"> e1) affermando preliminarmente la sussistenza della giurisdizione esclusiva del giudice amministrativo – contestata dalla difesa erariale – ai sensi dell’art. 133, comma 1, </w:t>
                        </w:r>
                        <w:proofErr w:type="spellStart"/>
                        <w:r w:rsidRPr="00420361">
                          <w:rPr>
                            <w:rFonts w:eastAsia="Times New Roman"/>
                            <w:szCs w:val="24"/>
                            <w:bdr w:val="none" w:sz="0" w:space="0" w:color="auto" w:frame="1"/>
                            <w:shd w:val="clear" w:color="auto" w:fill="FFFFFF"/>
                          </w:rPr>
                          <w:t>lett</w:t>
                        </w:r>
                        <w:proofErr w:type="spellEnd"/>
                        <w:r w:rsidRPr="00420361">
                          <w:rPr>
                            <w:rFonts w:eastAsia="Times New Roman"/>
                            <w:szCs w:val="24"/>
                            <w:bdr w:val="none" w:sz="0" w:space="0" w:color="auto" w:frame="1"/>
                            <w:shd w:val="clear" w:color="auto" w:fill="FFFFFF"/>
                          </w:rPr>
                          <w:t>. </w:t>
                        </w:r>
                        <w:r w:rsidRPr="00420361">
                          <w:rPr>
                            <w:rFonts w:eastAsia="Times New Roman"/>
                            <w:i/>
                            <w:iCs/>
                            <w:szCs w:val="24"/>
                            <w:bdr w:val="none" w:sz="0" w:space="0" w:color="auto" w:frame="1"/>
                            <w:shd w:val="clear" w:color="auto" w:fill="FFFFFF"/>
                          </w:rPr>
                          <w:t>b)</w:t>
                        </w:r>
                        <w:r w:rsidRPr="00420361">
                          <w:rPr>
                            <w:rFonts w:eastAsia="Times New Roman"/>
                            <w:szCs w:val="24"/>
                            <w:bdr w:val="none" w:sz="0" w:space="0" w:color="auto" w:frame="1"/>
                            <w:shd w:val="clear" w:color="auto" w:fill="FFFFFF"/>
                          </w:rPr>
                          <w:t> e </w:t>
                        </w:r>
                        <w:r w:rsidRPr="00420361">
                          <w:rPr>
                            <w:rFonts w:eastAsia="Times New Roman"/>
                            <w:i/>
                            <w:iCs/>
                            <w:szCs w:val="24"/>
                            <w:bdr w:val="none" w:sz="0" w:space="0" w:color="auto" w:frame="1"/>
                            <w:shd w:val="clear" w:color="auto" w:fill="FFFFFF"/>
                          </w:rPr>
                          <w:t>c)</w:t>
                        </w:r>
                        <w:r w:rsidRPr="00420361">
                          <w:rPr>
                            <w:rFonts w:eastAsia="Times New Roman"/>
                            <w:szCs w:val="24"/>
                            <w:bdr w:val="none" w:sz="0" w:space="0" w:color="auto" w:frame="1"/>
                            <w:shd w:val="clear" w:color="auto" w:fill="FFFFFF"/>
                          </w:rPr>
                          <w:t xml:space="preserve">, cod. </w:t>
                        </w:r>
                        <w:proofErr w:type="spellStart"/>
                        <w:r w:rsidRPr="00420361">
                          <w:rPr>
                            <w:rFonts w:eastAsia="Times New Roman"/>
                            <w:szCs w:val="24"/>
                            <w:bdr w:val="none" w:sz="0" w:space="0" w:color="auto" w:frame="1"/>
                            <w:shd w:val="clear" w:color="auto" w:fill="FFFFFF"/>
                          </w:rPr>
                          <w:t>proc</w:t>
                        </w:r>
                        <w:proofErr w:type="spellEnd"/>
                        <w:r w:rsidRPr="00420361">
                          <w:rPr>
                            <w:rFonts w:eastAsia="Times New Roman"/>
                            <w:szCs w:val="24"/>
                            <w:bdr w:val="none" w:sz="0" w:space="0" w:color="auto" w:frame="1"/>
                            <w:shd w:val="clear" w:color="auto" w:fill="FFFFFF"/>
                          </w:rPr>
                          <w:t xml:space="preserve">. </w:t>
                        </w:r>
                        <w:proofErr w:type="spellStart"/>
                        <w:r w:rsidRPr="00420361">
                          <w:rPr>
                            <w:rFonts w:eastAsia="Times New Roman"/>
                            <w:szCs w:val="24"/>
                            <w:bdr w:val="none" w:sz="0" w:space="0" w:color="auto" w:frame="1"/>
                            <w:shd w:val="clear" w:color="auto" w:fill="FFFFFF"/>
                          </w:rPr>
                          <w:t>amm</w:t>
                        </w:r>
                        <w:proofErr w:type="spellEnd"/>
                        <w:r w:rsidRPr="00420361">
                          <w:rPr>
                            <w:rFonts w:eastAsia="Times New Roman"/>
                            <w:szCs w:val="24"/>
                            <w:bdr w:val="none" w:sz="0" w:space="0" w:color="auto" w:frame="1"/>
                            <w:shd w:val="clear" w:color="auto" w:fill="FFFFFF"/>
                          </w:rPr>
                          <w:t>. giacché la controversia: </w:t>
                        </w:r>
                        <w:r w:rsidRPr="00420361">
                          <w:rPr>
                            <w:rFonts w:eastAsia="Times New Roman"/>
                            <w:i/>
                            <w:iCs/>
                            <w:szCs w:val="24"/>
                            <w:bdr w:val="none" w:sz="0" w:space="0" w:color="auto" w:frame="1"/>
                            <w:shd w:val="clear" w:color="auto" w:fill="FFFFFF"/>
                          </w:rPr>
                          <w:t>i</w:t>
                        </w:r>
                        <w:r w:rsidRPr="00420361">
                          <w:rPr>
                            <w:rFonts w:eastAsia="Times New Roman"/>
                            <w:szCs w:val="24"/>
                            <w:bdr w:val="none" w:sz="0" w:space="0" w:color="auto" w:frame="1"/>
                            <w:shd w:val="clear" w:color="auto" w:fill="FFFFFF"/>
                          </w:rPr>
                          <w:t>) pur afferendo alla fase esecutiva del rapporto, si caratterizza per la spendita di poteri autoritativi incidenti direttamente sulla procedura di affidamento (</w:t>
                        </w:r>
                        <w:proofErr w:type="spellStart"/>
                        <w:r w:rsidR="00051B9A" w:rsidRPr="00420361">
                          <w:rPr>
                            <w:rFonts w:eastAsia="Times New Roman"/>
                            <w:szCs w:val="24"/>
                            <w:bdr w:val="none" w:sz="0" w:space="0" w:color="auto" w:frame="1"/>
                            <w:shd w:val="clear" w:color="auto" w:fill="FFFFFF"/>
                          </w:rPr>
                          <w:fldChar w:fldCharType="begin"/>
                        </w:r>
                        <w:r w:rsidR="00051B9A" w:rsidRPr="00420361">
                          <w:rPr>
                            <w:rFonts w:eastAsia="Times New Roman"/>
                            <w:szCs w:val="24"/>
                            <w:bdr w:val="none" w:sz="0" w:space="0" w:color="auto" w:frame="1"/>
                            <w:shd w:val="clear" w:color="auto" w:fill="FFFFFF"/>
                          </w:rPr>
                          <w:instrText xml:space="preserve"> HYPERLINK "https://www.giustizia-amministrativa.it/portale/pages/istituzionale/visualizza?nodeRef=&amp;schema=cds&amp;nrg=202008749&amp;nomeFile=202008100_23.html&amp;subDir=Provvedimenti" </w:instrText>
                        </w:r>
                        <w:r w:rsidR="00051B9A" w:rsidRPr="00420361">
                          <w:rPr>
                            <w:rFonts w:eastAsia="Times New Roman"/>
                            <w:szCs w:val="24"/>
                            <w:bdr w:val="none" w:sz="0" w:space="0" w:color="auto" w:frame="1"/>
                            <w:shd w:val="clear" w:color="auto" w:fill="FFFFFF"/>
                          </w:rPr>
                          <w:fldChar w:fldCharType="separate"/>
                        </w:r>
                        <w:r w:rsidRPr="00420361">
                          <w:rPr>
                            <w:rStyle w:val="Collegamentoipertestuale"/>
                            <w:rFonts w:eastAsia="Times New Roman"/>
                            <w:color w:val="auto"/>
                            <w:szCs w:val="24"/>
                            <w:bdr w:val="none" w:sz="0" w:space="0" w:color="auto" w:frame="1"/>
                            <w:shd w:val="clear" w:color="auto" w:fill="FFFFFF"/>
                          </w:rPr>
                          <w:t>Cons</w:t>
                        </w:r>
                        <w:proofErr w:type="spellEnd"/>
                        <w:r w:rsidRPr="00420361">
                          <w:rPr>
                            <w:rStyle w:val="Collegamentoipertestuale"/>
                            <w:rFonts w:eastAsia="Times New Roman"/>
                            <w:color w:val="auto"/>
                            <w:szCs w:val="24"/>
                            <w:bdr w:val="none" w:sz="0" w:space="0" w:color="auto" w:frame="1"/>
                            <w:shd w:val="clear" w:color="auto" w:fill="FFFFFF"/>
                          </w:rPr>
                          <w:t>. Stato, sez. V, 17 dicembre 2020, n. 8100;</w:t>
                        </w:r>
                        <w:r w:rsidR="00051B9A" w:rsidRPr="00420361">
                          <w:rPr>
                            <w:rFonts w:eastAsia="Times New Roman"/>
                            <w:szCs w:val="24"/>
                            <w:bdr w:val="none" w:sz="0" w:space="0" w:color="auto" w:frame="1"/>
                            <w:shd w:val="clear" w:color="auto" w:fill="FFFFFF"/>
                          </w:rPr>
                          <w:fldChar w:fldCharType="end"/>
                        </w:r>
                        <w:r w:rsidRPr="00420361">
                          <w:rPr>
                            <w:rFonts w:eastAsia="Times New Roman"/>
                            <w:szCs w:val="24"/>
                            <w:bdr w:val="none" w:sz="0" w:space="0" w:color="auto" w:frame="1"/>
                            <w:shd w:val="clear" w:color="auto" w:fill="FFFFFF"/>
                          </w:rPr>
                          <w:t xml:space="preserve"> </w:t>
                        </w:r>
                        <w:hyperlink r:id="rId8" w:history="1">
                          <w:r w:rsidRPr="00420361">
                            <w:rPr>
                              <w:rStyle w:val="Collegamentoipertestuale"/>
                              <w:rFonts w:eastAsia="Times New Roman"/>
                              <w:color w:val="auto"/>
                              <w:szCs w:val="24"/>
                              <w:bdr w:val="none" w:sz="0" w:space="0" w:color="auto" w:frame="1"/>
                              <w:shd w:val="clear" w:color="auto" w:fill="FFFFFF"/>
                            </w:rPr>
                            <w:t>sez. III, 13 ottobre 2020, n. 6181</w:t>
                          </w:r>
                        </w:hyperlink>
                        <w:r w:rsidRPr="00420361">
                          <w:rPr>
                            <w:rFonts w:eastAsia="Times New Roman"/>
                            <w:szCs w:val="24"/>
                            <w:bdr w:val="none" w:sz="0" w:space="0" w:color="auto" w:frame="1"/>
                            <w:shd w:val="clear" w:color="auto" w:fill="FFFFFF"/>
                          </w:rPr>
                          <w:t xml:space="preserve">; </w:t>
                        </w:r>
                        <w:hyperlink r:id="rId9" w:history="1">
                          <w:r w:rsidRPr="00420361">
                            <w:rPr>
                              <w:rStyle w:val="Collegamentoipertestuale"/>
                              <w:rFonts w:eastAsia="Times New Roman"/>
                              <w:color w:val="auto"/>
                              <w:szCs w:val="24"/>
                              <w:bdr w:val="none" w:sz="0" w:space="0" w:color="auto" w:frame="1"/>
                              <w:shd w:val="clear" w:color="auto" w:fill="FFFFFF"/>
                            </w:rPr>
                            <w:t>sez. V, 9 aprile 2020, n. 2348</w:t>
                          </w:r>
                        </w:hyperlink>
                        <w:r w:rsidRPr="00420361">
                          <w:rPr>
                            <w:rFonts w:eastAsia="Times New Roman"/>
                            <w:szCs w:val="24"/>
                            <w:bdr w:val="none" w:sz="0" w:space="0" w:color="auto" w:frame="1"/>
                            <w:shd w:val="clear" w:color="auto" w:fill="FFFFFF"/>
                          </w:rPr>
                          <w:t>) e non sulla mera determinazione di diritti ed obblighi scaturenti dalla fonte negoziale (</w:t>
                        </w:r>
                        <w:proofErr w:type="spellStart"/>
                        <w:r w:rsidRPr="00420361">
                          <w:rPr>
                            <w:rFonts w:eastAsia="Times New Roman"/>
                            <w:szCs w:val="24"/>
                            <w:bdr w:val="none" w:sz="0" w:space="0" w:color="auto" w:frame="1"/>
                            <w:shd w:val="clear" w:color="auto" w:fill="FFFFFF"/>
                          </w:rPr>
                          <w:t>Cass</w:t>
                        </w:r>
                        <w:proofErr w:type="spellEnd"/>
                        <w:r w:rsidRPr="00420361">
                          <w:rPr>
                            <w:rFonts w:eastAsia="Times New Roman"/>
                            <w:szCs w:val="24"/>
                            <w:bdr w:val="none" w:sz="0" w:space="0" w:color="auto" w:frame="1"/>
                            <w:shd w:val="clear" w:color="auto" w:fill="FFFFFF"/>
                          </w:rPr>
                          <w:t>. civ., sez. un., 8 luglio 2019, n. 18267; 18 dicembre 2018, n. 32728); </w:t>
                        </w:r>
                        <w:r w:rsidRPr="00420361">
                          <w:rPr>
                            <w:rFonts w:eastAsia="Times New Roman"/>
                            <w:i/>
                            <w:iCs/>
                            <w:szCs w:val="24"/>
                            <w:bdr w:val="none" w:sz="0" w:space="0" w:color="auto" w:frame="1"/>
                            <w:shd w:val="clear" w:color="auto" w:fill="FFFFFF"/>
                          </w:rPr>
                          <w:t>ii</w:t>
                        </w:r>
                        <w:r w:rsidRPr="00420361">
                          <w:rPr>
                            <w:rFonts w:eastAsia="Times New Roman"/>
                            <w:szCs w:val="24"/>
                            <w:bdr w:val="none" w:sz="0" w:space="0" w:color="auto" w:frame="1"/>
                            <w:shd w:val="clear" w:color="auto" w:fill="FFFFFF"/>
                          </w:rPr>
                          <w:t xml:space="preserve">) involge tematiche </w:t>
                        </w:r>
                        <w:hyperlink r:id="rId10" w:history="1">
                          <w:r w:rsidRPr="00420361">
                            <w:rPr>
                              <w:rStyle w:val="Collegamentoipertestuale"/>
                              <w:rFonts w:eastAsia="Times New Roman"/>
                              <w:color w:val="auto"/>
                              <w:szCs w:val="24"/>
                              <w:bdr w:val="none" w:sz="0" w:space="0" w:color="auto" w:frame="1"/>
                              <w:shd w:val="clear" w:color="auto" w:fill="FFFFFF"/>
                            </w:rPr>
                            <w:t>afferenti</w:t>
                          </w:r>
                        </w:hyperlink>
                        <w:r w:rsidRPr="00420361">
                          <w:rPr>
                            <w:rFonts w:eastAsia="Times New Roman"/>
                            <w:szCs w:val="24"/>
                            <w:bdr w:val="none" w:sz="0" w:space="0" w:color="auto" w:frame="1"/>
                            <w:shd w:val="clear" w:color="auto" w:fill="FFFFFF"/>
                          </w:rPr>
                          <w:t xml:space="preserve"> alla sostenibilità e al mantenimento dell’equilibrio economico-finanziario della convenzione che esulano dalla mera valutazione dell’inadempimento delle obbligazioni dedotte in contratto, implicando valutazioni sull’interesse pubblico sotteso (</w:t>
                        </w:r>
                        <w:proofErr w:type="spellStart"/>
                        <w:r w:rsidR="007464CD" w:rsidRPr="00420361">
                          <w:rPr>
                            <w:rFonts w:eastAsia="Times New Roman"/>
                            <w:szCs w:val="24"/>
                            <w:bdr w:val="none" w:sz="0" w:space="0" w:color="auto" w:frame="1"/>
                            <w:shd w:val="clear" w:color="auto" w:fill="FFFFFF"/>
                          </w:rPr>
                          <w:fldChar w:fldCharType="begin"/>
                        </w:r>
                        <w:r w:rsidR="007464CD" w:rsidRPr="00420361">
                          <w:rPr>
                            <w:rFonts w:eastAsia="Times New Roman"/>
                            <w:szCs w:val="24"/>
                            <w:bdr w:val="none" w:sz="0" w:space="0" w:color="auto" w:frame="1"/>
                            <w:shd w:val="clear" w:color="auto" w:fill="FFFFFF"/>
                          </w:rPr>
                          <w:instrText xml:space="preserve"> HYPERLINK "https://www.giustizia-amministrativa.it/portale/pages/istituzionale/visualizza?nodeRef=&amp;schema=cgagiur&amp;nrg=202000458&amp;nomeFile=202000935_11.html&amp;subDir=Provvedimenti" </w:instrText>
                        </w:r>
                        <w:r w:rsidR="007464CD" w:rsidRPr="00420361">
                          <w:rPr>
                            <w:rFonts w:eastAsia="Times New Roman"/>
                            <w:szCs w:val="24"/>
                            <w:bdr w:val="none" w:sz="0" w:space="0" w:color="auto" w:frame="1"/>
                            <w:shd w:val="clear" w:color="auto" w:fill="FFFFFF"/>
                          </w:rPr>
                          <w:fldChar w:fldCharType="separate"/>
                        </w:r>
                        <w:r w:rsidRPr="00420361">
                          <w:rPr>
                            <w:rStyle w:val="Collegamentoipertestuale"/>
                            <w:rFonts w:eastAsia="Times New Roman"/>
                            <w:color w:val="auto"/>
                            <w:szCs w:val="24"/>
                            <w:bdr w:val="none" w:sz="0" w:space="0" w:color="auto" w:frame="1"/>
                            <w:shd w:val="clear" w:color="auto" w:fill="FFFFFF"/>
                          </w:rPr>
                          <w:t>Cons</w:t>
                        </w:r>
                        <w:proofErr w:type="spellEnd"/>
                        <w:r w:rsidRPr="00420361">
                          <w:rPr>
                            <w:rStyle w:val="Collegamentoipertestuale"/>
                            <w:rFonts w:eastAsia="Times New Roman"/>
                            <w:color w:val="auto"/>
                            <w:szCs w:val="24"/>
                            <w:bdr w:val="none" w:sz="0" w:space="0" w:color="auto" w:frame="1"/>
                            <w:shd w:val="clear" w:color="auto" w:fill="FFFFFF"/>
                          </w:rPr>
                          <w:t xml:space="preserve">. </w:t>
                        </w:r>
                        <w:proofErr w:type="spellStart"/>
                        <w:r w:rsidRPr="00420361">
                          <w:rPr>
                            <w:rStyle w:val="Collegamentoipertestuale"/>
                            <w:rFonts w:eastAsia="Times New Roman"/>
                            <w:color w:val="auto"/>
                            <w:szCs w:val="24"/>
                            <w:bdr w:val="none" w:sz="0" w:space="0" w:color="auto" w:frame="1"/>
                            <w:shd w:val="clear" w:color="auto" w:fill="FFFFFF"/>
                          </w:rPr>
                          <w:t>giust</w:t>
                        </w:r>
                        <w:proofErr w:type="spellEnd"/>
                        <w:r w:rsidRPr="00420361">
                          <w:rPr>
                            <w:rStyle w:val="Collegamentoipertestuale"/>
                            <w:rFonts w:eastAsia="Times New Roman"/>
                            <w:color w:val="auto"/>
                            <w:szCs w:val="24"/>
                            <w:bdr w:val="none" w:sz="0" w:space="0" w:color="auto" w:frame="1"/>
                            <w:shd w:val="clear" w:color="auto" w:fill="FFFFFF"/>
                          </w:rPr>
                          <w:t xml:space="preserve">. </w:t>
                        </w:r>
                        <w:proofErr w:type="spellStart"/>
                        <w:r w:rsidRPr="00420361">
                          <w:rPr>
                            <w:rStyle w:val="Collegamentoipertestuale"/>
                            <w:rFonts w:eastAsia="Times New Roman"/>
                            <w:color w:val="auto"/>
                            <w:szCs w:val="24"/>
                            <w:bdr w:val="none" w:sz="0" w:space="0" w:color="auto" w:frame="1"/>
                            <w:shd w:val="clear" w:color="auto" w:fill="FFFFFF"/>
                          </w:rPr>
                          <w:t>amm</w:t>
                        </w:r>
                        <w:proofErr w:type="spellEnd"/>
                        <w:r w:rsidRPr="00420361">
                          <w:rPr>
                            <w:rStyle w:val="Collegamentoipertestuale"/>
                            <w:rFonts w:eastAsia="Times New Roman"/>
                            <w:color w:val="auto"/>
                            <w:szCs w:val="24"/>
                            <w:bdr w:val="none" w:sz="0" w:space="0" w:color="auto" w:frame="1"/>
                            <w:shd w:val="clear" w:color="auto" w:fill="FFFFFF"/>
                          </w:rPr>
                          <w:t>. sic., sez. giur., 16 ottobre 2020, n. 935</w:t>
                        </w:r>
                        <w:r w:rsidR="007464CD" w:rsidRPr="00420361">
                          <w:rPr>
                            <w:rFonts w:eastAsia="Times New Roman"/>
                            <w:szCs w:val="24"/>
                            <w:bdr w:val="none" w:sz="0" w:space="0" w:color="auto" w:frame="1"/>
                            <w:shd w:val="clear" w:color="auto" w:fill="FFFFFF"/>
                          </w:rPr>
                          <w:fldChar w:fldCharType="end"/>
                        </w:r>
                        <w:r w:rsidRPr="00420361">
                          <w:rPr>
                            <w:rFonts w:eastAsia="Times New Roman"/>
                            <w:szCs w:val="24"/>
                            <w:bdr w:val="none" w:sz="0" w:space="0" w:color="auto" w:frame="1"/>
                            <w:shd w:val="clear" w:color="auto" w:fill="FFFFFF"/>
                          </w:rPr>
                          <w:t>): </w:t>
                        </w:r>
                        <w:r w:rsidRPr="00420361">
                          <w:rPr>
                            <w:rFonts w:eastAsia="Times New Roman"/>
                            <w:i/>
                            <w:iCs/>
                            <w:szCs w:val="24"/>
                            <w:bdr w:val="none" w:sz="0" w:space="0" w:color="auto" w:frame="1"/>
                            <w:shd w:val="clear" w:color="auto" w:fill="FFFFFF"/>
                          </w:rPr>
                          <w:t>iii</w:t>
                        </w:r>
                        <w:r w:rsidRPr="00420361">
                          <w:rPr>
                            <w:rFonts w:eastAsia="Times New Roman"/>
                            <w:szCs w:val="24"/>
                            <w:bdr w:val="none" w:sz="0" w:space="0" w:color="auto" w:frame="1"/>
                            <w:shd w:val="clear" w:color="auto" w:fill="FFFFFF"/>
                          </w:rPr>
                          <w:t xml:space="preserve">) implica l’esercizio di poteri autoritativi e discrezionali della P.A. non predicabili nell’ambito di rapporti negoziali contraddistinti dalla parità delle </w:t>
                        </w:r>
                        <w:r w:rsidRPr="001A2CB5">
                          <w:rPr>
                            <w:rFonts w:eastAsia="Times New Roman"/>
                            <w:szCs w:val="24"/>
                            <w:bdr w:val="none" w:sz="0" w:space="0" w:color="auto" w:frame="1"/>
                            <w:shd w:val="clear" w:color="auto" w:fill="FFFFFF"/>
                          </w:rPr>
                          <w:t>parti (</w:t>
                        </w:r>
                        <w:proofErr w:type="spellStart"/>
                        <w:r w:rsidR="001A2CB5" w:rsidRPr="001A2CB5">
                          <w:rPr>
                            <w:rFonts w:eastAsia="Times New Roman"/>
                            <w:szCs w:val="24"/>
                            <w:bdr w:val="none" w:sz="0" w:space="0" w:color="auto" w:frame="1"/>
                            <w:shd w:val="clear" w:color="auto" w:fill="FFFFFF"/>
                          </w:rPr>
                          <w:fldChar w:fldCharType="begin"/>
                        </w:r>
                        <w:r w:rsidR="001A2CB5" w:rsidRPr="001A2CB5">
                          <w:rPr>
                            <w:rFonts w:eastAsia="Times New Roman"/>
                            <w:szCs w:val="24"/>
                            <w:bdr w:val="none" w:sz="0" w:space="0" w:color="auto" w:frame="1"/>
                            <w:shd w:val="clear" w:color="auto" w:fill="FFFFFF"/>
                          </w:rPr>
                          <w:instrText xml:space="preserve"> HYPERLINK "https://www.italgiure.giustizia.it/xway/application/nif/clean/hc.dll?verbo=attach&amp;db=snciv&amp;id=./20190110/snciv@sU0@a2019@n00489@tO.clean.pdf" </w:instrText>
                        </w:r>
                        <w:r w:rsidR="001A2CB5" w:rsidRPr="001A2CB5">
                          <w:rPr>
                            <w:rFonts w:eastAsia="Times New Roman"/>
                            <w:szCs w:val="24"/>
                            <w:bdr w:val="none" w:sz="0" w:space="0" w:color="auto" w:frame="1"/>
                            <w:shd w:val="clear" w:color="auto" w:fill="FFFFFF"/>
                          </w:rPr>
                        </w:r>
                        <w:r w:rsidR="001A2CB5" w:rsidRPr="001A2CB5">
                          <w:rPr>
                            <w:rFonts w:eastAsia="Times New Roman"/>
                            <w:szCs w:val="24"/>
                            <w:bdr w:val="none" w:sz="0" w:space="0" w:color="auto" w:frame="1"/>
                            <w:shd w:val="clear" w:color="auto" w:fill="FFFFFF"/>
                          </w:rPr>
                          <w:fldChar w:fldCharType="separate"/>
                        </w:r>
                        <w:r w:rsidRPr="001A2CB5">
                          <w:rPr>
                            <w:rStyle w:val="Collegamentoipertestuale"/>
                            <w:rFonts w:eastAsia="Times New Roman"/>
                            <w:color w:val="auto"/>
                            <w:szCs w:val="24"/>
                            <w:u w:val="none"/>
                            <w:bdr w:val="none" w:sz="0" w:space="0" w:color="auto" w:frame="1"/>
                            <w:shd w:val="clear" w:color="auto" w:fill="FFFFFF"/>
                          </w:rPr>
                          <w:t>Cass</w:t>
                        </w:r>
                        <w:proofErr w:type="spellEnd"/>
                        <w:r w:rsidRPr="001A2CB5">
                          <w:rPr>
                            <w:rStyle w:val="Collegamentoipertestuale"/>
                            <w:rFonts w:eastAsia="Times New Roman"/>
                            <w:color w:val="auto"/>
                            <w:szCs w:val="24"/>
                            <w:u w:val="none"/>
                            <w:bdr w:val="none" w:sz="0" w:space="0" w:color="auto" w:frame="1"/>
                            <w:shd w:val="clear" w:color="auto" w:fill="FFFFFF"/>
                          </w:rPr>
                          <w:t>. civ.</w:t>
                        </w:r>
                        <w:r w:rsidRPr="001A2CB5">
                          <w:rPr>
                            <w:rStyle w:val="Collegamentoipertestuale"/>
                            <w:rFonts w:eastAsia="Times New Roman"/>
                            <w:color w:val="auto"/>
                            <w:szCs w:val="24"/>
                            <w:u w:val="none"/>
                            <w:bdr w:val="none" w:sz="0" w:space="0" w:color="auto" w:frame="1"/>
                            <w:shd w:val="clear" w:color="auto" w:fill="FFFFFF"/>
                          </w:rPr>
                          <w:t>,</w:t>
                        </w:r>
                        <w:r w:rsidRPr="001A2CB5">
                          <w:rPr>
                            <w:rStyle w:val="Collegamentoipertestuale"/>
                            <w:rFonts w:eastAsia="Times New Roman"/>
                            <w:color w:val="auto"/>
                            <w:szCs w:val="24"/>
                            <w:u w:val="none"/>
                            <w:bdr w:val="none" w:sz="0" w:space="0" w:color="auto" w:frame="1"/>
                            <w:shd w:val="clear" w:color="auto" w:fill="FFFFFF"/>
                          </w:rPr>
                          <w:t xml:space="preserve"> sez. un., 10 gennaio 2019, n. 489).</w:t>
                        </w:r>
                        <w:r w:rsidR="001A2CB5" w:rsidRPr="001A2CB5">
                          <w:rPr>
                            <w:rFonts w:eastAsia="Times New Roman"/>
                            <w:szCs w:val="24"/>
                            <w:bdr w:val="none" w:sz="0" w:space="0" w:color="auto" w:frame="1"/>
                            <w:shd w:val="clear" w:color="auto" w:fill="FFFFFF"/>
                          </w:rPr>
                          <w:fldChar w:fldCharType="end"/>
                        </w:r>
                      </w:p>
                      <w:p w:rsidR="00637A33" w:rsidRPr="00420361" w:rsidRDefault="00637A33" w:rsidP="00637A33">
                        <w:pPr>
                          <w:shd w:val="clear" w:color="auto" w:fill="FFFFFF"/>
                          <w:spacing w:line="240" w:lineRule="auto"/>
                          <w:ind w:left="1134" w:hanging="1134"/>
                          <w:rPr>
                            <w:rFonts w:eastAsia="Times New Roman"/>
                            <w:szCs w:val="24"/>
                          </w:rPr>
                        </w:pPr>
                        <w:r w:rsidRPr="00420361">
                          <w:rPr>
                            <w:rFonts w:eastAsia="Times New Roman"/>
                            <w:szCs w:val="24"/>
                            <w:bdr w:val="none" w:sz="0" w:space="0" w:color="auto" w:frame="1"/>
                            <w:shd w:val="clear" w:color="auto" w:fill="FFFFFF"/>
                          </w:rPr>
                          <w:t xml:space="preserve">III. –  Ciò premesso, il </w:t>
                        </w:r>
                        <w:proofErr w:type="spellStart"/>
                        <w:r w:rsidRPr="00420361">
                          <w:rPr>
                            <w:rFonts w:eastAsia="Times New Roman"/>
                            <w:szCs w:val="24"/>
                            <w:bdr w:val="none" w:sz="0" w:space="0" w:color="auto" w:frame="1"/>
                            <w:shd w:val="clear" w:color="auto" w:fill="FFFFFF"/>
                          </w:rPr>
                          <w:t>T.a.r</w:t>
                        </w:r>
                        <w:proofErr w:type="spellEnd"/>
                        <w:r w:rsidRPr="00420361">
                          <w:rPr>
                            <w:rFonts w:eastAsia="Times New Roman"/>
                            <w:szCs w:val="24"/>
                            <w:bdr w:val="none" w:sz="0" w:space="0" w:color="auto" w:frame="1"/>
                            <w:shd w:val="clear" w:color="auto" w:fill="FFFFFF"/>
                          </w:rPr>
                          <w:t>.</w:t>
                        </w:r>
                      </w:p>
                      <w:p w:rsidR="00637A33" w:rsidRPr="00420361" w:rsidRDefault="00637A33" w:rsidP="002B2305">
                        <w:pPr>
                          <w:shd w:val="clear" w:color="auto" w:fill="FFFFFF"/>
                          <w:spacing w:line="240" w:lineRule="auto"/>
                          <w:ind w:left="1037" w:hanging="357"/>
                          <w:rPr>
                            <w:rFonts w:eastAsia="Times New Roman"/>
                            <w:szCs w:val="24"/>
                          </w:rPr>
                        </w:pPr>
                        <w:r w:rsidRPr="00420361">
                          <w:rPr>
                            <w:rFonts w:eastAsia="Times New Roman"/>
                            <w:szCs w:val="24"/>
                            <w:bdr w:val="none" w:sz="0" w:space="0" w:color="auto" w:frame="1"/>
                            <w:shd w:val="clear" w:color="auto" w:fill="FFFFFF"/>
                          </w:rPr>
                          <w:t xml:space="preserve">f) ha preliminarmente ricostruito il quadro normativo successivo alla </w:t>
                        </w:r>
                        <w:r w:rsidR="00D37A45" w:rsidRPr="00420361">
                          <w:rPr>
                            <w:rFonts w:eastAsia="Times New Roman"/>
                            <w:szCs w:val="24"/>
                            <w:bdr w:val="none" w:sz="0" w:space="0" w:color="auto" w:frame="1"/>
                            <w:shd w:val="clear" w:color="auto" w:fill="FFFFFF"/>
                          </w:rPr>
                          <w:t xml:space="preserve">     </w:t>
                        </w:r>
                        <w:r w:rsidRPr="00420361">
                          <w:rPr>
                            <w:rFonts w:eastAsia="Times New Roman"/>
                            <w:szCs w:val="24"/>
                            <w:bdr w:val="none" w:sz="0" w:space="0" w:color="auto" w:frame="1"/>
                            <w:shd w:val="clear" w:color="auto" w:fill="FFFFFF"/>
                          </w:rPr>
                          <w:t>proposizione dei ricorsi evidenziando:</w:t>
                        </w:r>
                      </w:p>
                      <w:p w:rsidR="00637A33" w:rsidRPr="00420361" w:rsidRDefault="00D37A45" w:rsidP="00D37A45">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w:t>
                        </w:r>
                        <w:r w:rsidR="008C67A5" w:rsidRPr="00420361">
                          <w:rPr>
                            <w:rFonts w:eastAsia="Times New Roman"/>
                            <w:szCs w:val="24"/>
                            <w:bdr w:val="none" w:sz="0" w:space="0" w:color="auto" w:frame="1"/>
                            <w:shd w:val="clear" w:color="auto" w:fill="FFFFFF"/>
                          </w:rPr>
                          <w:t xml:space="preserve"> </w:t>
                        </w:r>
                        <w:r w:rsidR="00637A33" w:rsidRPr="00420361">
                          <w:rPr>
                            <w:rFonts w:eastAsia="Times New Roman"/>
                            <w:szCs w:val="24"/>
                            <w:bdr w:val="none" w:sz="0" w:space="0" w:color="auto" w:frame="1"/>
                            <w:shd w:val="clear" w:color="auto" w:fill="FFFFFF"/>
                          </w:rPr>
                          <w:t xml:space="preserve">f1) come il citato art. 2 del </w:t>
                        </w:r>
                        <w:proofErr w:type="spellStart"/>
                        <w:r w:rsidR="00637A33" w:rsidRPr="00420361">
                          <w:rPr>
                            <w:rFonts w:eastAsia="Times New Roman"/>
                            <w:szCs w:val="24"/>
                            <w:bdr w:val="none" w:sz="0" w:space="0" w:color="auto" w:frame="1"/>
                            <w:shd w:val="clear" w:color="auto" w:fill="FFFFFF"/>
                          </w:rPr>
                          <w:t>d.l.</w:t>
                        </w:r>
                        <w:proofErr w:type="spellEnd"/>
                        <w:r w:rsidR="00637A33" w:rsidRPr="00420361">
                          <w:rPr>
                            <w:rFonts w:eastAsia="Times New Roman"/>
                            <w:szCs w:val="24"/>
                          </w:rPr>
                          <w:t> </w:t>
                        </w:r>
                        <w:r w:rsidR="00637A33" w:rsidRPr="00420361">
                          <w:rPr>
                            <w:rFonts w:eastAsia="Times New Roman"/>
                            <w:szCs w:val="24"/>
                            <w:bdr w:val="none" w:sz="0" w:space="0" w:color="auto" w:frame="1"/>
                            <w:shd w:val="clear" w:color="auto" w:fill="FFFFFF"/>
                          </w:rPr>
                          <w:t>7 luglio 2022, n. 85,</w:t>
                        </w:r>
                        <w:r w:rsidR="00637A33" w:rsidRPr="00420361">
                          <w:rPr>
                            <w:rFonts w:eastAsia="Times New Roman"/>
                            <w:szCs w:val="24"/>
                          </w:rPr>
                          <w:t> </w:t>
                        </w:r>
                        <w:r w:rsidR="00637A33" w:rsidRPr="00420361">
                          <w:rPr>
                            <w:rFonts w:eastAsia="Times New Roman"/>
                            <w:szCs w:val="24"/>
                            <w:bdr w:val="none" w:sz="0" w:space="0" w:color="auto" w:frame="1"/>
                            <w:shd w:val="clear" w:color="auto" w:fill="FFFFFF"/>
                          </w:rPr>
                          <w:t>sia stato abrogato dall'art. 1, comma 2, della legge 5 agosto 2022, n. 108, recante la legge di conversione del decreto legge 16 giugno 2022, n. 68, a decorrere dal 6 agosto 2022, a norma del quale sono stati peraltro mantenuti validi “</w:t>
                        </w:r>
                        <w:r w:rsidR="00637A33" w:rsidRPr="00420361">
                          <w:rPr>
                            <w:rFonts w:eastAsia="Times New Roman"/>
                            <w:i/>
                            <w:iCs/>
                            <w:szCs w:val="24"/>
                            <w:bdr w:val="none" w:sz="0" w:space="0" w:color="auto" w:frame="1"/>
                            <w:shd w:val="clear" w:color="auto" w:fill="FFFFFF"/>
                          </w:rPr>
                          <w:t>gli atti e i provvedimenti adottati e sono fatti salvi gli effetti prodottisi e i rapporti giuridici sorti sulla base del presente decreto</w:t>
                        </w:r>
                        <w:r w:rsidR="00637A33" w:rsidRPr="00420361">
                          <w:rPr>
                            <w:rFonts w:eastAsia="Times New Roman"/>
                            <w:szCs w:val="24"/>
                            <w:bdr w:val="none" w:sz="0" w:space="0" w:color="auto" w:frame="1"/>
                            <w:shd w:val="clear" w:color="auto" w:fill="FFFFFF"/>
                          </w:rPr>
                          <w:t>”;</w:t>
                        </w:r>
                      </w:p>
                      <w:p w:rsidR="00637A33" w:rsidRPr="00420361" w:rsidRDefault="008C67A5" w:rsidP="00D37A45">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xml:space="preserve"> f2) come le disposizioni introdotte dall’art. 2 del </w:t>
                        </w:r>
                        <w:proofErr w:type="spellStart"/>
                        <w:r w:rsidR="00637A33" w:rsidRPr="00420361">
                          <w:rPr>
                            <w:rFonts w:eastAsia="Times New Roman"/>
                            <w:szCs w:val="24"/>
                            <w:bdr w:val="none" w:sz="0" w:space="0" w:color="auto" w:frame="1"/>
                            <w:shd w:val="clear" w:color="auto" w:fill="FFFFFF"/>
                          </w:rPr>
                          <w:t>d.l.</w:t>
                        </w:r>
                        <w:proofErr w:type="spellEnd"/>
                        <w:r w:rsidR="00637A33" w:rsidRPr="00420361">
                          <w:rPr>
                            <w:rFonts w:eastAsia="Times New Roman"/>
                            <w:szCs w:val="24"/>
                            <w:bdr w:val="none" w:sz="0" w:space="0" w:color="auto" w:frame="1"/>
                            <w:shd w:val="clear" w:color="auto" w:fill="FFFFFF"/>
                          </w:rPr>
                          <w:t xml:space="preserve"> n. 85 del 2022 siano, poi, transitate nel testo nell’art. 7-</w:t>
                        </w:r>
                        <w:r w:rsidR="00637A33" w:rsidRPr="00420361">
                          <w:rPr>
                            <w:rFonts w:eastAsia="Times New Roman"/>
                            <w:i/>
                            <w:iCs/>
                            <w:szCs w:val="24"/>
                            <w:bdr w:val="none" w:sz="0" w:space="0" w:color="auto" w:frame="1"/>
                            <w:shd w:val="clear" w:color="auto" w:fill="FFFFFF"/>
                          </w:rPr>
                          <w:t>ter</w:t>
                        </w:r>
                        <w:r w:rsidR="00637A33" w:rsidRPr="00420361">
                          <w:rPr>
                            <w:rFonts w:eastAsia="Times New Roman"/>
                            <w:szCs w:val="24"/>
                            <w:bdr w:val="none" w:sz="0" w:space="0" w:color="auto" w:frame="1"/>
                            <w:shd w:val="clear" w:color="auto" w:fill="FFFFFF"/>
                          </w:rPr>
                          <w:t xml:space="preserve"> del </w:t>
                        </w:r>
                        <w:proofErr w:type="spellStart"/>
                        <w:r w:rsidR="00637A33" w:rsidRPr="00420361">
                          <w:rPr>
                            <w:rFonts w:eastAsia="Times New Roman"/>
                            <w:szCs w:val="24"/>
                            <w:bdr w:val="none" w:sz="0" w:space="0" w:color="auto" w:frame="1"/>
                            <w:shd w:val="clear" w:color="auto" w:fill="FFFFFF"/>
                          </w:rPr>
                          <w:t>d.l.</w:t>
                        </w:r>
                        <w:proofErr w:type="spellEnd"/>
                        <w:r w:rsidR="00637A33" w:rsidRPr="00420361">
                          <w:rPr>
                            <w:rFonts w:eastAsia="Times New Roman"/>
                            <w:szCs w:val="24"/>
                            <w:bdr w:val="none" w:sz="0" w:space="0" w:color="auto" w:frame="1"/>
                            <w:shd w:val="clear" w:color="auto" w:fill="FFFFFF"/>
                          </w:rPr>
                          <w:t xml:space="preserve"> 16 giugno 2022, n. 68, comma inserito dalla legge 5 agosto 2022, n. 108, di conversione del predetto decreto;</w:t>
                        </w:r>
                      </w:p>
                      <w:p w:rsidR="00637A33" w:rsidRPr="00420361" w:rsidRDefault="00637A33" w:rsidP="002B2305">
                        <w:pPr>
                          <w:shd w:val="clear" w:color="auto" w:fill="FFFFFF"/>
                          <w:spacing w:line="240" w:lineRule="auto"/>
                          <w:ind w:left="1037" w:hanging="357"/>
                          <w:rPr>
                            <w:rFonts w:eastAsia="Times New Roman"/>
                            <w:szCs w:val="24"/>
                          </w:rPr>
                        </w:pPr>
                        <w:r w:rsidRPr="00420361">
                          <w:rPr>
                            <w:rFonts w:eastAsia="Times New Roman"/>
                            <w:szCs w:val="24"/>
                            <w:bdr w:val="none" w:sz="0" w:space="0" w:color="auto" w:frame="1"/>
                            <w:shd w:val="clear" w:color="auto" w:fill="FFFFFF"/>
                          </w:rPr>
                          <w:t xml:space="preserve"> g) ha sottolineato come le suddette norme di matrice legislativa – da ricondursi senza </w:t>
                        </w:r>
                        <w:r w:rsidR="002B2305" w:rsidRPr="00420361">
                          <w:rPr>
                            <w:rFonts w:eastAsia="Times New Roman"/>
                            <w:szCs w:val="24"/>
                            <w:bdr w:val="none" w:sz="0" w:space="0" w:color="auto" w:frame="1"/>
                            <w:shd w:val="clear" w:color="auto" w:fill="FFFFFF"/>
                          </w:rPr>
                          <w:t xml:space="preserve">   </w:t>
                        </w:r>
                        <w:r w:rsidRPr="00420361">
                          <w:rPr>
                            <w:rFonts w:eastAsia="Times New Roman"/>
                            <w:szCs w:val="24"/>
                            <w:bdr w:val="none" w:sz="0" w:space="0" w:color="auto" w:frame="1"/>
                            <w:shd w:val="clear" w:color="auto" w:fill="FFFFFF"/>
                          </w:rPr>
                          <w:t>dubbio nella categoria delle c.d. “leggi-provvedimento” – suscitino plurimi dubbi di legittimità costituzionale giacché:</w:t>
                        </w:r>
                      </w:p>
                      <w:p w:rsidR="00637A33" w:rsidRPr="00420361" w:rsidRDefault="008C67A5" w:rsidP="00D37A45">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xml:space="preserve">  </w:t>
                        </w:r>
                        <w:r w:rsidR="00637A33" w:rsidRPr="00420361">
                          <w:rPr>
                            <w:rFonts w:eastAsia="Times New Roman"/>
                            <w:szCs w:val="24"/>
                            <w:bdr w:val="none" w:sz="0" w:space="0" w:color="auto" w:frame="1"/>
                            <w:shd w:val="clear" w:color="auto" w:fill="FFFFFF"/>
                          </w:rPr>
                          <w:t>g1) la sovrapposizione (</w:t>
                        </w:r>
                        <w:proofErr w:type="spellStart"/>
                        <w:r w:rsidR="00637A33" w:rsidRPr="00420361">
                          <w:rPr>
                            <w:rFonts w:eastAsia="Times New Roman"/>
                            <w:i/>
                            <w:iCs/>
                            <w:szCs w:val="24"/>
                            <w:bdr w:val="none" w:sz="0" w:space="0" w:color="auto" w:frame="1"/>
                            <w:shd w:val="clear" w:color="auto" w:fill="FFFFFF"/>
                          </w:rPr>
                          <w:t>rectius</w:t>
                        </w:r>
                        <w:proofErr w:type="spellEnd"/>
                        <w:r w:rsidR="00637A33" w:rsidRPr="00420361">
                          <w:rPr>
                            <w:rFonts w:eastAsia="Times New Roman"/>
                            <w:szCs w:val="24"/>
                            <w:bdr w:val="none" w:sz="0" w:space="0" w:color="auto" w:frame="1"/>
                            <w:shd w:val="clear" w:color="auto" w:fill="FFFFFF"/>
                          </w:rPr>
                          <w:t> sostituzione) di una determinazione amministrativa avente ad oggetto la risoluzione di un rapporto negoziale con una norma di rango legislativo rende </w:t>
                        </w:r>
                        <w:r w:rsidR="00637A33" w:rsidRPr="00420361">
                          <w:rPr>
                            <w:rFonts w:eastAsia="Times New Roman"/>
                            <w:i/>
                            <w:iCs/>
                            <w:szCs w:val="24"/>
                            <w:bdr w:val="none" w:sz="0" w:space="0" w:color="auto" w:frame="1"/>
                            <w:shd w:val="clear" w:color="auto" w:fill="FFFFFF"/>
                          </w:rPr>
                          <w:t xml:space="preserve">in </w:t>
                        </w:r>
                        <w:proofErr w:type="spellStart"/>
                        <w:r w:rsidR="00637A33" w:rsidRPr="00420361">
                          <w:rPr>
                            <w:rFonts w:eastAsia="Times New Roman"/>
                            <w:i/>
                            <w:iCs/>
                            <w:szCs w:val="24"/>
                            <w:bdr w:val="none" w:sz="0" w:space="0" w:color="auto" w:frame="1"/>
                            <w:shd w:val="clear" w:color="auto" w:fill="FFFFFF"/>
                          </w:rPr>
                          <w:t>nuce</w:t>
                        </w:r>
                        <w:proofErr w:type="spellEnd"/>
                        <w:r w:rsidR="00637A33" w:rsidRPr="00420361">
                          <w:rPr>
                            <w:rFonts w:eastAsia="Times New Roman"/>
                            <w:szCs w:val="24"/>
                            <w:bdr w:val="none" w:sz="0" w:space="0" w:color="auto" w:frame="1"/>
                            <w:shd w:val="clear" w:color="auto" w:fill="FFFFFF"/>
                          </w:rPr>
                          <w:t> sostanzialmente carente d’interesse l’impugnazione giurisdizionale della prima giacché anche un’eventuale sua caducazione non avrebbe alcuna incidenza sul predetto rapporto negoziale stante la permanente vigenza della norma di legge;</w:t>
                        </w:r>
                      </w:p>
                      <w:p w:rsidR="00637A33" w:rsidRPr="00420361" w:rsidRDefault="00CF77C4" w:rsidP="00D37A45">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xml:space="preserve">  </w:t>
                        </w:r>
                        <w:r w:rsidR="00637A33" w:rsidRPr="00420361">
                          <w:rPr>
                            <w:rFonts w:eastAsia="Times New Roman"/>
                            <w:szCs w:val="24"/>
                            <w:bdr w:val="none" w:sz="0" w:space="0" w:color="auto" w:frame="1"/>
                            <w:shd w:val="clear" w:color="auto" w:fill="FFFFFF"/>
                          </w:rPr>
                          <w:t>g2)</w:t>
                        </w:r>
                        <w:r w:rsidRPr="00420361">
                          <w:rPr>
                            <w:rFonts w:eastAsia="Times New Roman"/>
                            <w:szCs w:val="24"/>
                            <w:bdr w:val="none" w:sz="0" w:space="0" w:color="auto" w:frame="1"/>
                            <w:shd w:val="clear" w:color="auto" w:fill="FFFFFF"/>
                          </w:rPr>
                          <w:t xml:space="preserve"> </w:t>
                        </w:r>
                        <w:r w:rsidR="00637A33" w:rsidRPr="00420361">
                          <w:rPr>
                            <w:rFonts w:eastAsia="Times New Roman"/>
                            <w:szCs w:val="24"/>
                            <w:bdr w:val="none" w:sz="0" w:space="0" w:color="auto" w:frame="1"/>
                            <w:shd w:val="clear" w:color="auto" w:fill="FFFFFF"/>
                          </w:rPr>
                          <w:t>in altre parole, la capacità di resistenza a</w:t>
                        </w:r>
                        <w:r w:rsidRPr="00420361">
                          <w:rPr>
                            <w:rFonts w:eastAsia="Times New Roman"/>
                            <w:szCs w:val="24"/>
                            <w:bdr w:val="none" w:sz="0" w:space="0" w:color="auto" w:frame="1"/>
                            <w:shd w:val="clear" w:color="auto" w:fill="FFFFFF"/>
                          </w:rPr>
                          <w:t xml:space="preserve">ll’annullamento giurisdizionale </w:t>
                        </w:r>
                        <w:r w:rsidR="00637A33" w:rsidRPr="00420361">
                          <w:rPr>
                            <w:rFonts w:eastAsia="Times New Roman"/>
                            <w:szCs w:val="24"/>
                            <w:bdr w:val="none" w:sz="0" w:space="0" w:color="auto" w:frame="1"/>
                            <w:shd w:val="clear" w:color="auto" w:fill="FFFFFF"/>
                          </w:rPr>
                          <w:t>del provvedimento amministrativo tramite la sua “</w:t>
                        </w:r>
                        <w:proofErr w:type="spellStart"/>
                        <w:r w:rsidR="00637A33" w:rsidRPr="00420361">
                          <w:rPr>
                            <w:rFonts w:eastAsia="Times New Roman"/>
                            <w:szCs w:val="24"/>
                            <w:bdr w:val="none" w:sz="0" w:space="0" w:color="auto" w:frame="1"/>
                            <w:shd w:val="clear" w:color="auto" w:fill="FFFFFF"/>
                          </w:rPr>
                          <w:t>legificazione</w:t>
                        </w:r>
                        <w:proofErr w:type="spellEnd"/>
                        <w:r w:rsidR="00637A33" w:rsidRPr="00420361">
                          <w:rPr>
                            <w:rFonts w:eastAsia="Times New Roman"/>
                            <w:szCs w:val="24"/>
                            <w:bdr w:val="none" w:sz="0" w:space="0" w:color="auto" w:frame="1"/>
                            <w:shd w:val="clear" w:color="auto" w:fill="FFFFFF"/>
                          </w:rPr>
                          <w:t xml:space="preserve">” produce un “cortocircuito” processuale, per effetto del </w:t>
                        </w:r>
                        <w:r w:rsidR="00637A33" w:rsidRPr="00420361">
                          <w:rPr>
                            <w:rFonts w:eastAsia="Times New Roman"/>
                            <w:szCs w:val="24"/>
                            <w:bdr w:val="none" w:sz="0" w:space="0" w:color="auto" w:frame="1"/>
                            <w:shd w:val="clear" w:color="auto" w:fill="FFFFFF"/>
                          </w:rPr>
                          <w:lastRenderedPageBreak/>
                          <w:t xml:space="preserve">quale: se l’impugnazione dei soli provvedimenti amministrativi (di risoluzione del rapporto </w:t>
                        </w:r>
                        <w:proofErr w:type="spellStart"/>
                        <w:r w:rsidR="00637A33" w:rsidRPr="00420361">
                          <w:rPr>
                            <w:rFonts w:eastAsia="Times New Roman"/>
                            <w:szCs w:val="24"/>
                            <w:bdr w:val="none" w:sz="0" w:space="0" w:color="auto" w:frame="1"/>
                            <w:shd w:val="clear" w:color="auto" w:fill="FFFFFF"/>
                          </w:rPr>
                          <w:t>concessorio</w:t>
                        </w:r>
                        <w:proofErr w:type="spellEnd"/>
                        <w:r w:rsidR="00637A33" w:rsidRPr="00420361">
                          <w:rPr>
                            <w:rFonts w:eastAsia="Times New Roman"/>
                            <w:szCs w:val="24"/>
                            <w:bdr w:val="none" w:sz="0" w:space="0" w:color="auto" w:frame="1"/>
                            <w:shd w:val="clear" w:color="auto" w:fill="FFFFFF"/>
                          </w:rPr>
                          <w:t>) si rivela, </w:t>
                        </w:r>
                        <w:r w:rsidR="00637A33" w:rsidRPr="00420361">
                          <w:rPr>
                            <w:rFonts w:eastAsia="Times New Roman"/>
                            <w:i/>
                            <w:iCs/>
                            <w:szCs w:val="24"/>
                            <w:bdr w:val="none" w:sz="0" w:space="0" w:color="auto" w:frame="1"/>
                            <w:shd w:val="clear" w:color="auto" w:fill="FFFFFF"/>
                          </w:rPr>
                          <w:t>ex se</w:t>
                        </w:r>
                        <w:r w:rsidR="00637A33" w:rsidRPr="00420361">
                          <w:rPr>
                            <w:rFonts w:eastAsia="Times New Roman"/>
                            <w:szCs w:val="24"/>
                            <w:bdr w:val="none" w:sz="0" w:space="0" w:color="auto" w:frame="1"/>
                            <w:shd w:val="clear" w:color="auto" w:fill="FFFFFF"/>
                          </w:rPr>
                          <w:t> riguardata, priva di attuale ed immanente interesse, in difetto della verifica in ordine al sovrapponibile testo di legge, per altro verso, la diretta impugnazione di quest’ultimo in sede giurisdizionale di legittimità (così come l’esercizio, da parte del giudice amministrativo, di un sindacato, appunto, di legittimità) è evidentemente preclusa, attese le prerogative esercitabili dalla sola Corte costituzionale, all’interno (ed in conseguenza) della devoluzione ad esso di questione di non manifesta illegittimità costituzionale, laddove (evidentemente) presidiata dalla verifica della sussistenza ed immanenza dei relativi presupposti;</w:t>
                        </w:r>
                      </w:p>
                      <w:p w:rsidR="00637A33" w:rsidRPr="00420361" w:rsidRDefault="00637A33" w:rsidP="00D37A45">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w:t>
                        </w:r>
                        <w:r w:rsidR="00D37A45" w:rsidRPr="00420361">
                          <w:rPr>
                            <w:rFonts w:eastAsia="Times New Roman"/>
                            <w:szCs w:val="24"/>
                            <w:bdr w:val="none" w:sz="0" w:space="0" w:color="auto" w:frame="1"/>
                            <w:shd w:val="clear" w:color="auto" w:fill="FFFFFF"/>
                          </w:rPr>
                          <w:t xml:space="preserve"> </w:t>
                        </w:r>
                        <w:r w:rsidRPr="00420361">
                          <w:rPr>
                            <w:rFonts w:eastAsia="Times New Roman"/>
                            <w:szCs w:val="24"/>
                            <w:bdr w:val="none" w:sz="0" w:space="0" w:color="auto" w:frame="1"/>
                            <w:shd w:val="clear" w:color="auto" w:fill="FFFFFF"/>
                          </w:rPr>
                          <w:t xml:space="preserve">g3) l’esposto meccanismo di reciproca presupposizione che caratterizza (dapprima e </w:t>
                        </w:r>
                        <w:proofErr w:type="spellStart"/>
                        <w:r w:rsidRPr="00420361">
                          <w:rPr>
                            <w:rFonts w:eastAsia="Times New Roman"/>
                            <w:szCs w:val="24"/>
                            <w:bdr w:val="none" w:sz="0" w:space="0" w:color="auto" w:frame="1"/>
                            <w:shd w:val="clear" w:color="auto" w:fill="FFFFFF"/>
                          </w:rPr>
                          <w:t>coevamente</w:t>
                        </w:r>
                        <w:proofErr w:type="spellEnd"/>
                        <w:r w:rsidRPr="00420361">
                          <w:rPr>
                            <w:rFonts w:eastAsia="Times New Roman"/>
                            <w:szCs w:val="24"/>
                            <w:bdr w:val="none" w:sz="0" w:space="0" w:color="auto" w:frame="1"/>
                            <w:shd w:val="clear" w:color="auto" w:fill="FFFFFF"/>
                          </w:rPr>
                          <w:t xml:space="preserve">) l’adozione delle determinazioni amministrative (del 14 giugno e del 7 luglio) e dell’atto giurisdizionale, rivelato dalla presente controversia, appare suscettibile di depotenziare l’effettività della tutela giurisdizionale (con riveniente </w:t>
                        </w:r>
                        <w:proofErr w:type="spellStart"/>
                        <w:r w:rsidRPr="00420361">
                          <w:rPr>
                            <w:rFonts w:eastAsia="Times New Roman"/>
                            <w:szCs w:val="24"/>
                            <w:bdr w:val="none" w:sz="0" w:space="0" w:color="auto" w:frame="1"/>
                            <w:shd w:val="clear" w:color="auto" w:fill="FFFFFF"/>
                          </w:rPr>
                          <w:t>vulnerazione</w:t>
                        </w:r>
                        <w:proofErr w:type="spellEnd"/>
                        <w:r w:rsidRPr="00420361">
                          <w:rPr>
                            <w:rFonts w:eastAsia="Times New Roman"/>
                            <w:szCs w:val="24"/>
                            <w:bdr w:val="none" w:sz="0" w:space="0" w:color="auto" w:frame="1"/>
                            <w:shd w:val="clear" w:color="auto" w:fill="FFFFFF"/>
                          </w:rPr>
                          <w:t xml:space="preserve"> del cardine costituzionale di cui all’art. 24), in quanto: se la (mera) impugnazione degli atti amministrativi non è, isolatamente riguardata, idonea a garantire il soddisfacimento dell’interesse sostanziale della parte ricorrente, per altro verso, viene corrispondentemente preclusa la diretta impugnazione, dinanzi al giudice amministrativo, di atti aventi rango normativo primario, il cui controllo spetta alla sola Corte costituzionale;</w:t>
                        </w:r>
                      </w:p>
                      <w:p w:rsidR="00637A33" w:rsidRPr="00420361" w:rsidRDefault="00637A33" w:rsidP="00E16E30">
                        <w:pPr>
                          <w:shd w:val="clear" w:color="auto" w:fill="FFFFFF"/>
                          <w:spacing w:line="240" w:lineRule="auto"/>
                          <w:ind w:left="680"/>
                          <w:rPr>
                            <w:rFonts w:eastAsia="Times New Roman"/>
                            <w:szCs w:val="24"/>
                          </w:rPr>
                        </w:pPr>
                        <w:r w:rsidRPr="00420361">
                          <w:rPr>
                            <w:rFonts w:eastAsia="Times New Roman"/>
                            <w:szCs w:val="24"/>
                            <w:bdr w:val="none" w:sz="0" w:space="0" w:color="auto" w:frame="1"/>
                            <w:shd w:val="clear" w:color="auto" w:fill="FFFFFF"/>
                          </w:rPr>
                          <w:t xml:space="preserve">h) il </w:t>
                        </w:r>
                        <w:proofErr w:type="spellStart"/>
                        <w:r w:rsidRPr="00420361">
                          <w:rPr>
                            <w:rFonts w:eastAsia="Times New Roman"/>
                            <w:szCs w:val="24"/>
                            <w:bdr w:val="none" w:sz="0" w:space="0" w:color="auto" w:frame="1"/>
                            <w:shd w:val="clear" w:color="auto" w:fill="FFFFFF"/>
                          </w:rPr>
                          <w:t>T.a.r</w:t>
                        </w:r>
                        <w:proofErr w:type="spellEnd"/>
                        <w:r w:rsidRPr="00420361">
                          <w:rPr>
                            <w:rFonts w:eastAsia="Times New Roman"/>
                            <w:szCs w:val="24"/>
                            <w:bdr w:val="none" w:sz="0" w:space="0" w:color="auto" w:frame="1"/>
                            <w:shd w:val="clear" w:color="auto" w:fill="FFFFFF"/>
                          </w:rPr>
                          <w:t xml:space="preserve">., a questo punto, richiamando la sentenza della </w:t>
                        </w:r>
                        <w:hyperlink r:id="rId11" w:history="1">
                          <w:r w:rsidRPr="00420361">
                            <w:rPr>
                              <w:rStyle w:val="Collegamentoipertestuale"/>
                              <w:rFonts w:eastAsia="Times New Roman"/>
                              <w:color w:val="auto"/>
                              <w:szCs w:val="24"/>
                              <w:bdr w:val="none" w:sz="0" w:space="0" w:color="auto" w:frame="1"/>
                              <w:shd w:val="clear" w:color="auto" w:fill="FFFFFF"/>
                            </w:rPr>
                            <w:t>Corte costituzionale 23 giugno 2020, n. 116 (</w:t>
                          </w:r>
                        </w:hyperlink>
                        <w:r w:rsidRPr="00420361">
                          <w:rPr>
                            <w:rFonts w:eastAsia="Times New Roman"/>
                            <w:szCs w:val="24"/>
                            <w:bdr w:val="none" w:sz="0" w:space="0" w:color="auto" w:frame="1"/>
                            <w:shd w:val="clear" w:color="auto" w:fill="FFFFFF"/>
                          </w:rPr>
                          <w:t>in</w:t>
                        </w:r>
                        <w:r w:rsidRPr="00420361">
                          <w:rPr>
                            <w:rFonts w:eastAsia="Times New Roman"/>
                            <w:i/>
                            <w:iCs/>
                            <w:szCs w:val="24"/>
                            <w:bdr w:val="none" w:sz="0" w:space="0" w:color="auto" w:frame="1"/>
                            <w:shd w:val="clear" w:color="auto" w:fill="FFFFFF"/>
                          </w:rPr>
                          <w:t xml:space="preserve"> Foro </w:t>
                        </w:r>
                        <w:proofErr w:type="spellStart"/>
                        <w:r w:rsidRPr="00420361">
                          <w:rPr>
                            <w:rFonts w:eastAsia="Times New Roman"/>
                            <w:i/>
                            <w:iCs/>
                            <w:szCs w:val="24"/>
                            <w:bdr w:val="none" w:sz="0" w:space="0" w:color="auto" w:frame="1"/>
                            <w:shd w:val="clear" w:color="auto" w:fill="FFFFFF"/>
                          </w:rPr>
                          <w:t>it</w:t>
                        </w:r>
                        <w:proofErr w:type="spellEnd"/>
                        <w:r w:rsidRPr="00420361">
                          <w:rPr>
                            <w:rFonts w:eastAsia="Times New Roman"/>
                            <w:i/>
                            <w:iCs/>
                            <w:szCs w:val="24"/>
                            <w:bdr w:val="none" w:sz="0" w:space="0" w:color="auto" w:frame="1"/>
                            <w:shd w:val="clear" w:color="auto" w:fill="FFFFFF"/>
                          </w:rPr>
                          <w:t>.</w:t>
                        </w:r>
                        <w:r w:rsidRPr="00420361">
                          <w:rPr>
                            <w:rFonts w:eastAsia="Times New Roman"/>
                            <w:szCs w:val="24"/>
                            <w:bdr w:val="none" w:sz="0" w:space="0" w:color="auto" w:frame="1"/>
                            <w:shd w:val="clear" w:color="auto" w:fill="FFFFFF"/>
                          </w:rPr>
                          <w:t>, 2020, I, 3715, con nota D’AURIA, ed in </w:t>
                        </w:r>
                        <w:r w:rsidRPr="00420361">
                          <w:rPr>
                            <w:rFonts w:eastAsia="Times New Roman"/>
                            <w:i/>
                            <w:iCs/>
                            <w:szCs w:val="24"/>
                            <w:bdr w:val="none" w:sz="0" w:space="0" w:color="auto" w:frame="1"/>
                            <w:shd w:val="clear" w:color="auto" w:fill="FFFFFF"/>
                          </w:rPr>
                          <w:t xml:space="preserve">Giur. </w:t>
                        </w:r>
                        <w:proofErr w:type="spellStart"/>
                        <w:r w:rsidRPr="00420361">
                          <w:rPr>
                            <w:rFonts w:eastAsia="Times New Roman"/>
                            <w:i/>
                            <w:iCs/>
                            <w:szCs w:val="24"/>
                            <w:bdr w:val="none" w:sz="0" w:space="0" w:color="auto" w:frame="1"/>
                            <w:shd w:val="clear" w:color="auto" w:fill="FFFFFF"/>
                          </w:rPr>
                          <w:t>costit</w:t>
                        </w:r>
                        <w:proofErr w:type="spellEnd"/>
                        <w:r w:rsidRPr="00420361">
                          <w:rPr>
                            <w:rFonts w:eastAsia="Times New Roman"/>
                            <w:i/>
                            <w:iCs/>
                            <w:szCs w:val="24"/>
                            <w:bdr w:val="none" w:sz="0" w:space="0" w:color="auto" w:frame="1"/>
                            <w:shd w:val="clear" w:color="auto" w:fill="FFFFFF"/>
                          </w:rPr>
                          <w:t>.</w:t>
                        </w:r>
                        <w:r w:rsidRPr="00420361">
                          <w:rPr>
                            <w:rFonts w:eastAsia="Times New Roman"/>
                            <w:szCs w:val="24"/>
                            <w:bdr w:val="none" w:sz="0" w:space="0" w:color="auto" w:frame="1"/>
                            <w:shd w:val="clear" w:color="auto" w:fill="FFFFFF"/>
                          </w:rPr>
                          <w:t>, 2020, 1318 (m.), con nota di PINELLI, nonché oggetto della </w:t>
                        </w:r>
                        <w:r w:rsidRPr="00420361">
                          <w:rPr>
                            <w:rFonts w:eastAsia="Times New Roman"/>
                            <w:i/>
                            <w:iCs/>
                            <w:szCs w:val="24"/>
                            <w:bdr w:val="none" w:sz="0" w:space="0" w:color="auto" w:frame="1"/>
                            <w:shd w:val="clear" w:color="auto" w:fill="FFFFFF"/>
                          </w:rPr>
                          <w:t>News</w:t>
                        </w:r>
                        <w:r w:rsidRPr="00420361">
                          <w:rPr>
                            <w:rFonts w:eastAsia="Times New Roman"/>
                            <w:szCs w:val="24"/>
                            <w:bdr w:val="none" w:sz="0" w:space="0" w:color="auto" w:frame="1"/>
                            <w:shd w:val="clear" w:color="auto" w:fill="FFFFFF"/>
                          </w:rPr>
                          <w:t> US n. 80 del 23 luglio 2020, cui si rinvia per i riferimenti di dottrina e della giurisprudenza costituzionale sulle leggi provvedimento), ricorda come la “</w:t>
                        </w:r>
                        <w:r w:rsidRPr="00420361">
                          <w:rPr>
                            <w:rFonts w:eastAsia="Times New Roman"/>
                            <w:i/>
                            <w:iCs/>
                            <w:szCs w:val="24"/>
                            <w:bdr w:val="none" w:sz="0" w:space="0" w:color="auto" w:frame="1"/>
                            <w:shd w:val="clear" w:color="auto" w:fill="FFFFFF"/>
                          </w:rPr>
                          <w:t>legge-provvedimento</w:t>
                        </w:r>
                        <w:r w:rsidRPr="00420361">
                          <w:rPr>
                            <w:rFonts w:eastAsia="Times New Roman"/>
                            <w:szCs w:val="24"/>
                            <w:bdr w:val="none" w:sz="0" w:space="0" w:color="auto" w:frame="1"/>
                            <w:shd w:val="clear" w:color="auto" w:fill="FFFFFF"/>
                          </w:rPr>
                          <w:t>”, nell’elevare a livello legislativo una disciplina già oggetto di un atto amministrativo:</w:t>
                        </w:r>
                      </w:p>
                      <w:p w:rsidR="00637A33" w:rsidRPr="00420361" w:rsidRDefault="00E16E30" w:rsidP="00994826">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xml:space="preserve"> h1) non sia in astratto costituzionalmente illegittima in quanto non contraria, di per sé, con l’assetto dei poteri stabilito in Costituzione (</w:t>
                        </w:r>
                        <w:hyperlink r:id="rId12" w:history="1">
                          <w:r w:rsidR="00637A33" w:rsidRPr="00420361">
                            <w:rPr>
                              <w:rStyle w:val="Collegamentoipertestuale"/>
                              <w:rFonts w:eastAsia="Times New Roman"/>
                              <w:color w:val="auto"/>
                              <w:szCs w:val="24"/>
                              <w:bdr w:val="none" w:sz="0" w:space="0" w:color="auto" w:frame="1"/>
                              <w:shd w:val="clear" w:color="auto" w:fill="FFFFFF"/>
                            </w:rPr>
                            <w:t xml:space="preserve">Corte </w:t>
                          </w:r>
                          <w:proofErr w:type="spellStart"/>
                          <w:r w:rsidR="00637A33" w:rsidRPr="00420361">
                            <w:rPr>
                              <w:rStyle w:val="Collegamentoipertestuale"/>
                              <w:rFonts w:eastAsia="Times New Roman"/>
                              <w:color w:val="auto"/>
                              <w:szCs w:val="24"/>
                              <w:bdr w:val="none" w:sz="0" w:space="0" w:color="auto" w:frame="1"/>
                              <w:shd w:val="clear" w:color="auto" w:fill="FFFFFF"/>
                            </w:rPr>
                            <w:t>cost</w:t>
                          </w:r>
                          <w:proofErr w:type="spellEnd"/>
                          <w:r w:rsidR="00637A33" w:rsidRPr="00420361">
                            <w:rPr>
                              <w:rStyle w:val="Collegamentoipertestuale"/>
                              <w:rFonts w:eastAsia="Times New Roman"/>
                              <w:color w:val="auto"/>
                              <w:szCs w:val="24"/>
                              <w:bdr w:val="none" w:sz="0" w:space="0" w:color="auto" w:frame="1"/>
                              <w:shd w:val="clear" w:color="auto" w:fill="FFFFFF"/>
                            </w:rPr>
                            <w:t>., 16 luglio 2019, n. 181, i</w:t>
                          </w:r>
                        </w:hyperlink>
                        <w:r w:rsidR="00637A33" w:rsidRPr="00420361">
                          <w:rPr>
                            <w:rFonts w:eastAsia="Times New Roman"/>
                            <w:szCs w:val="24"/>
                            <w:bdr w:val="none" w:sz="0" w:space="0" w:color="auto" w:frame="1"/>
                            <w:shd w:val="clear" w:color="auto" w:fill="FFFFFF"/>
                          </w:rPr>
                          <w:t>n </w:t>
                        </w:r>
                        <w:r w:rsidR="00637A33" w:rsidRPr="00420361">
                          <w:rPr>
                            <w:rFonts w:eastAsia="Times New Roman"/>
                            <w:i/>
                            <w:iCs/>
                            <w:szCs w:val="24"/>
                            <w:bdr w:val="none" w:sz="0" w:space="0" w:color="auto" w:frame="1"/>
                            <w:shd w:val="clear" w:color="auto" w:fill="FFFFFF"/>
                          </w:rPr>
                          <w:t xml:space="preserve">Foro </w:t>
                        </w:r>
                        <w:proofErr w:type="spellStart"/>
                        <w:r w:rsidR="00637A33" w:rsidRPr="00420361">
                          <w:rPr>
                            <w:rFonts w:eastAsia="Times New Roman"/>
                            <w:i/>
                            <w:iCs/>
                            <w:szCs w:val="24"/>
                            <w:bdr w:val="none" w:sz="0" w:space="0" w:color="auto" w:frame="1"/>
                            <w:shd w:val="clear" w:color="auto" w:fill="FFFFFF"/>
                          </w:rPr>
                          <w:t>it</w:t>
                        </w:r>
                        <w:proofErr w:type="spellEnd"/>
                        <w:r w:rsidR="00637A33" w:rsidRPr="00420361">
                          <w:rPr>
                            <w:rFonts w:eastAsia="Times New Roman"/>
                            <w:i/>
                            <w:iCs/>
                            <w:szCs w:val="24"/>
                            <w:bdr w:val="none" w:sz="0" w:space="0" w:color="auto" w:frame="1"/>
                            <w:shd w:val="clear" w:color="auto" w:fill="FFFFFF"/>
                          </w:rPr>
                          <w:t>.</w:t>
                        </w:r>
                        <w:r w:rsidR="00637A33" w:rsidRPr="00420361">
                          <w:rPr>
                            <w:rFonts w:eastAsia="Times New Roman"/>
                            <w:szCs w:val="24"/>
                            <w:bdr w:val="none" w:sz="0" w:space="0" w:color="auto" w:frame="1"/>
                            <w:shd w:val="clear" w:color="auto" w:fill="FFFFFF"/>
                          </w:rPr>
                          <w:t>, 2019, I, 3769);</w:t>
                        </w:r>
                      </w:p>
                      <w:p w:rsidR="00637A33" w:rsidRPr="00420361" w:rsidRDefault="00994826" w:rsidP="00994826">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h2) non incida sul diritto di agire in giudizio </w:t>
                        </w:r>
                        <w:r w:rsidR="00637A33" w:rsidRPr="00420361">
                          <w:rPr>
                            <w:rFonts w:eastAsia="Times New Roman"/>
                            <w:i/>
                            <w:iCs/>
                            <w:szCs w:val="24"/>
                            <w:bdr w:val="none" w:sz="0" w:space="0" w:color="auto" w:frame="1"/>
                            <w:shd w:val="clear" w:color="auto" w:fill="FFFFFF"/>
                          </w:rPr>
                          <w:t>ex</w:t>
                        </w:r>
                        <w:r w:rsidR="00637A33" w:rsidRPr="00420361">
                          <w:rPr>
                            <w:rFonts w:eastAsia="Times New Roman"/>
                            <w:szCs w:val="24"/>
                            <w:bdr w:val="none" w:sz="0" w:space="0" w:color="auto" w:frame="1"/>
                            <w:shd w:val="clear" w:color="auto" w:fill="FFFFFF"/>
                          </w:rPr>
                          <w:t xml:space="preserve"> art. 24 </w:t>
                        </w:r>
                        <w:proofErr w:type="spellStart"/>
                        <w:r w:rsidR="00637A33" w:rsidRPr="00420361">
                          <w:rPr>
                            <w:rFonts w:eastAsia="Times New Roman"/>
                            <w:szCs w:val="24"/>
                            <w:bdr w:val="none" w:sz="0" w:space="0" w:color="auto" w:frame="1"/>
                            <w:shd w:val="clear" w:color="auto" w:fill="FFFFFF"/>
                          </w:rPr>
                          <w:t>Cost</w:t>
                        </w:r>
                        <w:proofErr w:type="spellEnd"/>
                        <w:r w:rsidR="00637A33" w:rsidRPr="00420361">
                          <w:rPr>
                            <w:rFonts w:eastAsia="Times New Roman"/>
                            <w:szCs w:val="24"/>
                            <w:bdr w:val="none" w:sz="0" w:space="0" w:color="auto" w:frame="1"/>
                            <w:shd w:val="clear" w:color="auto" w:fill="FFFFFF"/>
                          </w:rPr>
                          <w:t>. poiché «</w:t>
                        </w:r>
                        <w:r w:rsidR="00637A33" w:rsidRPr="00420361">
                          <w:rPr>
                            <w:rFonts w:eastAsia="Times New Roman"/>
                            <w:i/>
                            <w:iCs/>
                            <w:szCs w:val="24"/>
                            <w:bdr w:val="none" w:sz="0" w:space="0" w:color="auto" w:frame="1"/>
                            <w:shd w:val="clear" w:color="auto" w:fill="FFFFFF"/>
                          </w:rPr>
                          <w:t>la tutela giudiziaria non viene meno per il trasferimento del contenzioso alla giurisdizione costituzionale</w:t>
                        </w:r>
                        <w:hyperlink r:id="rId13" w:history="1">
                          <w:r w:rsidR="00637A33" w:rsidRPr="00420361">
                            <w:rPr>
                              <w:rStyle w:val="Collegamentoipertestuale"/>
                              <w:rFonts w:eastAsia="Times New Roman"/>
                              <w:color w:val="auto"/>
                              <w:szCs w:val="24"/>
                              <w:bdr w:val="none" w:sz="0" w:space="0" w:color="auto" w:frame="1"/>
                              <w:shd w:val="clear" w:color="auto" w:fill="FFFFFF"/>
                            </w:rPr>
                            <w:t xml:space="preserve">» (Corte </w:t>
                          </w:r>
                          <w:proofErr w:type="spellStart"/>
                          <w:r w:rsidR="00637A33" w:rsidRPr="00420361">
                            <w:rPr>
                              <w:rStyle w:val="Collegamentoipertestuale"/>
                              <w:rFonts w:eastAsia="Times New Roman"/>
                              <w:color w:val="auto"/>
                              <w:szCs w:val="24"/>
                              <w:bdr w:val="none" w:sz="0" w:space="0" w:color="auto" w:frame="1"/>
                              <w:shd w:val="clear" w:color="auto" w:fill="FFFFFF"/>
                            </w:rPr>
                            <w:t>cost</w:t>
                          </w:r>
                          <w:proofErr w:type="spellEnd"/>
                          <w:r w:rsidR="00637A33" w:rsidRPr="00420361">
                            <w:rPr>
                              <w:rStyle w:val="Collegamentoipertestuale"/>
                              <w:rFonts w:eastAsia="Times New Roman"/>
                              <w:color w:val="auto"/>
                              <w:szCs w:val="24"/>
                              <w:bdr w:val="none" w:sz="0" w:space="0" w:color="auto" w:frame="1"/>
                              <w:shd w:val="clear" w:color="auto" w:fill="FFFFFF"/>
                            </w:rPr>
                            <w:t>., 12 gennaio 2018, n. 2,</w:t>
                          </w:r>
                        </w:hyperlink>
                        <w:r w:rsidR="00637A33" w:rsidRPr="00420361">
                          <w:rPr>
                            <w:rFonts w:eastAsia="Times New Roman"/>
                            <w:szCs w:val="24"/>
                            <w:bdr w:val="none" w:sz="0" w:space="0" w:color="auto" w:frame="1"/>
                            <w:shd w:val="clear" w:color="auto" w:fill="FFFFFF"/>
                          </w:rPr>
                          <w:t xml:space="preserve"> in </w:t>
                        </w:r>
                        <w:r w:rsidR="00637A33" w:rsidRPr="00420361">
                          <w:rPr>
                            <w:rFonts w:eastAsia="Times New Roman"/>
                            <w:i/>
                            <w:iCs/>
                            <w:szCs w:val="24"/>
                            <w:bdr w:val="none" w:sz="0" w:space="0" w:color="auto" w:frame="1"/>
                            <w:shd w:val="clear" w:color="auto" w:fill="FFFFFF"/>
                          </w:rPr>
                          <w:t xml:space="preserve">Foro </w:t>
                        </w:r>
                        <w:proofErr w:type="spellStart"/>
                        <w:r w:rsidR="00637A33" w:rsidRPr="00420361">
                          <w:rPr>
                            <w:rFonts w:eastAsia="Times New Roman"/>
                            <w:i/>
                            <w:iCs/>
                            <w:szCs w:val="24"/>
                            <w:bdr w:val="none" w:sz="0" w:space="0" w:color="auto" w:frame="1"/>
                            <w:shd w:val="clear" w:color="auto" w:fill="FFFFFF"/>
                          </w:rPr>
                          <w:t>it</w:t>
                        </w:r>
                        <w:proofErr w:type="spellEnd"/>
                        <w:r w:rsidR="00637A33" w:rsidRPr="00420361">
                          <w:rPr>
                            <w:rFonts w:eastAsia="Times New Roman"/>
                            <w:i/>
                            <w:iCs/>
                            <w:szCs w:val="24"/>
                            <w:bdr w:val="none" w:sz="0" w:space="0" w:color="auto" w:frame="1"/>
                            <w:shd w:val="clear" w:color="auto" w:fill="FFFFFF"/>
                          </w:rPr>
                          <w:t>.</w:t>
                        </w:r>
                        <w:r w:rsidR="00637A33" w:rsidRPr="00420361">
                          <w:rPr>
                            <w:rFonts w:eastAsia="Times New Roman"/>
                            <w:szCs w:val="24"/>
                            <w:bdr w:val="none" w:sz="0" w:space="0" w:color="auto" w:frame="1"/>
                            <w:shd w:val="clear" w:color="auto" w:fill="FFFFFF"/>
                          </w:rPr>
                          <w:t>, 2019, I, 420, con nota di ROMBOLI, ed in </w:t>
                        </w:r>
                        <w:r w:rsidR="00637A33" w:rsidRPr="00420361">
                          <w:rPr>
                            <w:rFonts w:eastAsia="Times New Roman"/>
                            <w:i/>
                            <w:iCs/>
                            <w:szCs w:val="24"/>
                            <w:bdr w:val="none" w:sz="0" w:space="0" w:color="auto" w:frame="1"/>
                            <w:shd w:val="clear" w:color="auto" w:fill="FFFFFF"/>
                          </w:rPr>
                          <w:t xml:space="preserve">Giur. </w:t>
                        </w:r>
                        <w:proofErr w:type="spellStart"/>
                        <w:r w:rsidR="00637A33" w:rsidRPr="00420361">
                          <w:rPr>
                            <w:rFonts w:eastAsia="Times New Roman"/>
                            <w:i/>
                            <w:iCs/>
                            <w:szCs w:val="24"/>
                            <w:bdr w:val="none" w:sz="0" w:space="0" w:color="auto" w:frame="1"/>
                            <w:shd w:val="clear" w:color="auto" w:fill="FFFFFF"/>
                          </w:rPr>
                          <w:t>costit</w:t>
                        </w:r>
                        <w:proofErr w:type="spellEnd"/>
                        <w:r w:rsidR="00637A33" w:rsidRPr="00420361">
                          <w:rPr>
                            <w:rFonts w:eastAsia="Times New Roman"/>
                            <w:i/>
                            <w:iCs/>
                            <w:szCs w:val="24"/>
                            <w:bdr w:val="none" w:sz="0" w:space="0" w:color="auto" w:frame="1"/>
                            <w:shd w:val="clear" w:color="auto" w:fill="FFFFFF"/>
                          </w:rPr>
                          <w:t>.</w:t>
                        </w:r>
                        <w:r w:rsidR="00637A33" w:rsidRPr="00420361">
                          <w:rPr>
                            <w:rFonts w:eastAsia="Times New Roman"/>
                            <w:szCs w:val="24"/>
                            <w:bdr w:val="none" w:sz="0" w:space="0" w:color="auto" w:frame="1"/>
                            <w:shd w:val="clear" w:color="auto" w:fill="FFFFFF"/>
                          </w:rPr>
                          <w:t>, 2018, 2 (m), con nota di NOCILLA);</w:t>
                        </w:r>
                      </w:p>
                      <w:p w:rsidR="00637A33" w:rsidRPr="00420361" w:rsidRDefault="00637A33" w:rsidP="00994826">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xml:space="preserve">      h3) sia suscettibile di un controllo di legittimità costituzionale teso a valutarne, con riguardo al suo specifico contenuto, la non arbitrarietà e non irragionevolezza </w:t>
                        </w:r>
                        <w:hyperlink r:id="rId14" w:history="1">
                          <w:r w:rsidRPr="00420361">
                            <w:rPr>
                              <w:rStyle w:val="Collegamentoipertestuale"/>
                              <w:rFonts w:eastAsia="Times New Roman"/>
                              <w:color w:val="auto"/>
                              <w:szCs w:val="24"/>
                              <w:bdr w:val="none" w:sz="0" w:space="0" w:color="auto" w:frame="1"/>
                              <w:shd w:val="clear" w:color="auto" w:fill="FFFFFF"/>
                            </w:rPr>
                            <w:t xml:space="preserve">(Corte </w:t>
                          </w:r>
                          <w:proofErr w:type="spellStart"/>
                          <w:r w:rsidRPr="00420361">
                            <w:rPr>
                              <w:rStyle w:val="Collegamentoipertestuale"/>
                              <w:rFonts w:eastAsia="Times New Roman"/>
                              <w:color w:val="auto"/>
                              <w:szCs w:val="24"/>
                              <w:bdr w:val="none" w:sz="0" w:space="0" w:color="auto" w:frame="1"/>
                              <w:shd w:val="clear" w:color="auto" w:fill="FFFFFF"/>
                            </w:rPr>
                            <w:t>cost</w:t>
                          </w:r>
                          <w:proofErr w:type="spellEnd"/>
                          <w:r w:rsidRPr="00420361">
                            <w:rPr>
                              <w:rStyle w:val="Collegamentoipertestuale"/>
                              <w:rFonts w:eastAsia="Times New Roman"/>
                              <w:color w:val="auto"/>
                              <w:szCs w:val="24"/>
                              <w:bdr w:val="none" w:sz="0" w:space="0" w:color="auto" w:frame="1"/>
                              <w:shd w:val="clear" w:color="auto" w:fill="FFFFFF"/>
                            </w:rPr>
                            <w:t>., 12 gennaio 2008, n. 288</w:t>
                          </w:r>
                        </w:hyperlink>
                        <w:r w:rsidRPr="00420361">
                          <w:rPr>
                            <w:rFonts w:eastAsia="Times New Roman"/>
                            <w:szCs w:val="24"/>
                            <w:bdr w:val="none" w:sz="0" w:space="0" w:color="auto" w:frame="1"/>
                            <w:shd w:val="clear" w:color="auto" w:fill="FFFFFF"/>
                          </w:rPr>
                          <w:t>);</w:t>
                        </w:r>
                      </w:p>
                      <w:p w:rsidR="00637A33" w:rsidRPr="00420361" w:rsidRDefault="00994826" w:rsidP="00994826">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h4) comporti un’inevitabile perdita della naturale elasticità dell’azione amministrativa, che trova nel potere di autotutela una fisiologica risposta alle necessità di riesame del provvedimento (</w:t>
                        </w:r>
                        <w:hyperlink r:id="rId15" w:history="1">
                          <w:r w:rsidR="00637A33" w:rsidRPr="00420361">
                            <w:rPr>
                              <w:rStyle w:val="Collegamentoipertestuale"/>
                              <w:rFonts w:eastAsia="Times New Roman"/>
                              <w:color w:val="auto"/>
                              <w:szCs w:val="24"/>
                              <w:bdr w:val="none" w:sz="0" w:space="0" w:color="auto" w:frame="1"/>
                              <w:shd w:val="clear" w:color="auto" w:fill="FFFFFF"/>
                            </w:rPr>
                            <w:t xml:space="preserve">Corte </w:t>
                          </w:r>
                          <w:proofErr w:type="spellStart"/>
                          <w:r w:rsidR="00637A33" w:rsidRPr="00420361">
                            <w:rPr>
                              <w:rStyle w:val="Collegamentoipertestuale"/>
                              <w:rFonts w:eastAsia="Times New Roman"/>
                              <w:color w:val="auto"/>
                              <w:szCs w:val="24"/>
                              <w:bdr w:val="none" w:sz="0" w:space="0" w:color="auto" w:frame="1"/>
                              <w:shd w:val="clear" w:color="auto" w:fill="FFFFFF"/>
                            </w:rPr>
                            <w:t>cost</w:t>
                          </w:r>
                          <w:proofErr w:type="spellEnd"/>
                          <w:r w:rsidR="00637A33" w:rsidRPr="00420361">
                            <w:rPr>
                              <w:rStyle w:val="Collegamentoipertestuale"/>
                              <w:rFonts w:eastAsia="Times New Roman"/>
                              <w:color w:val="auto"/>
                              <w:szCs w:val="24"/>
                              <w:bdr w:val="none" w:sz="0" w:space="0" w:color="auto" w:frame="1"/>
                              <w:shd w:val="clear" w:color="auto" w:fill="FFFFFF"/>
                            </w:rPr>
                            <w:t xml:space="preserve">., 6 </w:t>
                          </w:r>
                          <w:r w:rsidR="00637A33" w:rsidRPr="00420361">
                            <w:rPr>
                              <w:rStyle w:val="Collegamentoipertestuale"/>
                              <w:rFonts w:eastAsia="Times New Roman"/>
                              <w:color w:val="auto"/>
                              <w:szCs w:val="24"/>
                              <w:bdr w:val="none" w:sz="0" w:space="0" w:color="auto" w:frame="1"/>
                              <w:shd w:val="clear" w:color="auto" w:fill="FFFFFF"/>
                            </w:rPr>
                            <w:lastRenderedPageBreak/>
                            <w:t>dicembre 2019, n. 258,</w:t>
                          </w:r>
                        </w:hyperlink>
                        <w:r w:rsidR="00637A33" w:rsidRPr="00420361">
                          <w:rPr>
                            <w:rFonts w:eastAsia="Times New Roman"/>
                            <w:szCs w:val="24"/>
                            <w:bdr w:val="none" w:sz="0" w:space="0" w:color="auto" w:frame="1"/>
                            <w:shd w:val="clear" w:color="auto" w:fill="FFFFFF"/>
                          </w:rPr>
                          <w:t xml:space="preserve"> in </w:t>
                        </w:r>
                        <w:r w:rsidR="00637A33" w:rsidRPr="00420361">
                          <w:rPr>
                            <w:rFonts w:eastAsia="Times New Roman"/>
                            <w:i/>
                            <w:iCs/>
                            <w:szCs w:val="24"/>
                            <w:bdr w:val="none" w:sz="0" w:space="0" w:color="auto" w:frame="1"/>
                            <w:shd w:val="clear" w:color="auto" w:fill="FFFFFF"/>
                          </w:rPr>
                          <w:t xml:space="preserve">Foro </w:t>
                        </w:r>
                        <w:proofErr w:type="spellStart"/>
                        <w:r w:rsidR="00637A33" w:rsidRPr="00420361">
                          <w:rPr>
                            <w:rFonts w:eastAsia="Times New Roman"/>
                            <w:i/>
                            <w:iCs/>
                            <w:szCs w:val="24"/>
                            <w:bdr w:val="none" w:sz="0" w:space="0" w:color="auto" w:frame="1"/>
                            <w:shd w:val="clear" w:color="auto" w:fill="FFFFFF"/>
                          </w:rPr>
                          <w:t>it</w:t>
                        </w:r>
                        <w:proofErr w:type="spellEnd"/>
                        <w:r w:rsidR="00637A33" w:rsidRPr="00420361">
                          <w:rPr>
                            <w:rFonts w:eastAsia="Times New Roman"/>
                            <w:i/>
                            <w:iCs/>
                            <w:szCs w:val="24"/>
                            <w:bdr w:val="none" w:sz="0" w:space="0" w:color="auto" w:frame="1"/>
                            <w:shd w:val="clear" w:color="auto" w:fill="FFFFFF"/>
                          </w:rPr>
                          <w:t>.</w:t>
                        </w:r>
                        <w:r w:rsidR="00637A33" w:rsidRPr="00420361">
                          <w:rPr>
                            <w:rFonts w:eastAsia="Times New Roman"/>
                            <w:szCs w:val="24"/>
                            <w:bdr w:val="none" w:sz="0" w:space="0" w:color="auto" w:frame="1"/>
                            <w:shd w:val="clear" w:color="auto" w:fill="FFFFFF"/>
                          </w:rPr>
                          <w:t>, 2020, I, 11; Id., 9 febbraio 2012, n. 20, in </w:t>
                        </w:r>
                        <w:r w:rsidR="00637A33" w:rsidRPr="00420361">
                          <w:rPr>
                            <w:rFonts w:eastAsia="Times New Roman"/>
                            <w:i/>
                            <w:iCs/>
                            <w:szCs w:val="24"/>
                            <w:bdr w:val="none" w:sz="0" w:space="0" w:color="auto" w:frame="1"/>
                            <w:shd w:val="clear" w:color="auto" w:fill="FFFFFF"/>
                          </w:rPr>
                          <w:t xml:space="preserve">Foro </w:t>
                        </w:r>
                        <w:proofErr w:type="spellStart"/>
                        <w:r w:rsidR="00637A33" w:rsidRPr="00420361">
                          <w:rPr>
                            <w:rFonts w:eastAsia="Times New Roman"/>
                            <w:i/>
                            <w:iCs/>
                            <w:szCs w:val="24"/>
                            <w:bdr w:val="none" w:sz="0" w:space="0" w:color="auto" w:frame="1"/>
                            <w:shd w:val="clear" w:color="auto" w:fill="FFFFFF"/>
                          </w:rPr>
                          <w:t>it</w:t>
                        </w:r>
                        <w:proofErr w:type="spellEnd"/>
                        <w:r w:rsidR="00637A33" w:rsidRPr="00420361">
                          <w:rPr>
                            <w:rFonts w:eastAsia="Times New Roman"/>
                            <w:i/>
                            <w:iCs/>
                            <w:szCs w:val="24"/>
                            <w:bdr w:val="none" w:sz="0" w:space="0" w:color="auto" w:frame="1"/>
                            <w:shd w:val="clear" w:color="auto" w:fill="FFFFFF"/>
                          </w:rPr>
                          <w:t>.</w:t>
                        </w:r>
                        <w:r w:rsidR="00637A33" w:rsidRPr="00420361">
                          <w:rPr>
                            <w:rFonts w:eastAsia="Times New Roman"/>
                            <w:szCs w:val="24"/>
                            <w:bdr w:val="none" w:sz="0" w:space="0" w:color="auto" w:frame="1"/>
                            <w:shd w:val="clear" w:color="auto" w:fill="FFFFFF"/>
                          </w:rPr>
                          <w:t>, 2012, I, 649, ed in </w:t>
                        </w:r>
                        <w:r w:rsidR="00637A33" w:rsidRPr="00420361">
                          <w:rPr>
                            <w:rFonts w:eastAsia="Times New Roman"/>
                            <w:i/>
                            <w:iCs/>
                            <w:szCs w:val="24"/>
                            <w:bdr w:val="none" w:sz="0" w:space="0" w:color="auto" w:frame="1"/>
                            <w:shd w:val="clear" w:color="auto" w:fill="FFFFFF"/>
                          </w:rPr>
                          <w:t xml:space="preserve">Giur. </w:t>
                        </w:r>
                        <w:proofErr w:type="spellStart"/>
                        <w:r w:rsidR="00637A33" w:rsidRPr="00420361">
                          <w:rPr>
                            <w:rFonts w:eastAsia="Times New Roman"/>
                            <w:i/>
                            <w:iCs/>
                            <w:szCs w:val="24"/>
                            <w:bdr w:val="none" w:sz="0" w:space="0" w:color="auto" w:frame="1"/>
                            <w:shd w:val="clear" w:color="auto" w:fill="FFFFFF"/>
                          </w:rPr>
                          <w:t>costit</w:t>
                        </w:r>
                        <w:proofErr w:type="spellEnd"/>
                        <w:r w:rsidR="00637A33" w:rsidRPr="00420361">
                          <w:rPr>
                            <w:rFonts w:eastAsia="Times New Roman"/>
                            <w:i/>
                            <w:iCs/>
                            <w:szCs w:val="24"/>
                            <w:bdr w:val="none" w:sz="0" w:space="0" w:color="auto" w:frame="1"/>
                            <w:shd w:val="clear" w:color="auto" w:fill="FFFFFF"/>
                          </w:rPr>
                          <w:t>.</w:t>
                        </w:r>
                        <w:r w:rsidR="00637A33" w:rsidRPr="00420361">
                          <w:rPr>
                            <w:rFonts w:eastAsia="Times New Roman"/>
                            <w:szCs w:val="24"/>
                            <w:bdr w:val="none" w:sz="0" w:space="0" w:color="auto" w:frame="1"/>
                            <w:shd w:val="clear" w:color="auto" w:fill="FFFFFF"/>
                          </w:rPr>
                          <w:t>, 2021, 200 (m), con nota di SAPUTELLI);</w:t>
                        </w:r>
                      </w:p>
                      <w:p w:rsidR="00637A33" w:rsidRPr="00420361" w:rsidRDefault="00E16E30" w:rsidP="00994826">
                        <w:pPr>
                          <w:shd w:val="clear" w:color="auto" w:fill="FFFFFF"/>
                          <w:spacing w:line="240" w:lineRule="auto"/>
                          <w:ind w:left="1037" w:hanging="357"/>
                          <w:rPr>
                            <w:rFonts w:eastAsia="Times New Roman"/>
                            <w:szCs w:val="24"/>
                          </w:rPr>
                        </w:pPr>
                        <w:r w:rsidRPr="00420361">
                          <w:rPr>
                            <w:rFonts w:eastAsia="Times New Roman"/>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xml:space="preserve"> i) tanto chiarito sotto il profilo dello statuto costituzionale della legge-provvedimento, il </w:t>
                        </w:r>
                        <w:proofErr w:type="spellStart"/>
                        <w:r w:rsidR="00637A33" w:rsidRPr="00420361">
                          <w:rPr>
                            <w:rFonts w:eastAsia="Times New Roman"/>
                            <w:szCs w:val="24"/>
                            <w:bdr w:val="none" w:sz="0" w:space="0" w:color="auto" w:frame="1"/>
                            <w:shd w:val="clear" w:color="auto" w:fill="FFFFFF"/>
                          </w:rPr>
                          <w:t>T.a.r</w:t>
                        </w:r>
                        <w:proofErr w:type="spellEnd"/>
                        <w:r w:rsidR="00637A33" w:rsidRPr="00420361">
                          <w:rPr>
                            <w:rFonts w:eastAsia="Times New Roman"/>
                            <w:szCs w:val="24"/>
                            <w:bdr w:val="none" w:sz="0" w:space="0" w:color="auto" w:frame="1"/>
                            <w:shd w:val="clear" w:color="auto" w:fill="FFFFFF"/>
                          </w:rPr>
                          <w:t>.:</w:t>
                        </w:r>
                      </w:p>
                      <w:p w:rsidR="00637A33" w:rsidRPr="00420361" w:rsidRDefault="00E16E30" w:rsidP="00994826">
                        <w:pPr>
                          <w:shd w:val="clear" w:color="auto" w:fill="FFFFFF"/>
                          <w:spacing w:line="240" w:lineRule="auto"/>
                          <w:ind w:left="1701" w:hanging="567"/>
                          <w:rPr>
                            <w:rFonts w:eastAsia="Times New Roman"/>
                            <w:szCs w:val="24"/>
                          </w:rPr>
                        </w:pPr>
                        <w:r w:rsidRPr="00420361">
                          <w:rPr>
                            <w:rFonts w:eastAsia="Times New Roman"/>
                            <w:i/>
                            <w:iCs/>
                            <w:szCs w:val="24"/>
                            <w:bdr w:val="none" w:sz="0" w:space="0" w:color="auto" w:frame="1"/>
                            <w:shd w:val="clear" w:color="auto" w:fill="FFFFFF"/>
                          </w:rPr>
                          <w:t xml:space="preserve">    </w:t>
                        </w:r>
                        <w:r w:rsidR="00637A33" w:rsidRPr="00420361">
                          <w:rPr>
                            <w:rFonts w:eastAsia="Times New Roman"/>
                            <w:i/>
                            <w:iCs/>
                            <w:szCs w:val="24"/>
                            <w:bdr w:val="none" w:sz="0" w:space="0" w:color="auto" w:frame="1"/>
                            <w:shd w:val="clear" w:color="auto" w:fill="FFFFFF"/>
                          </w:rPr>
                          <w:t>i1</w:t>
                        </w:r>
                        <w:r w:rsidR="00637A33" w:rsidRPr="00420361">
                          <w:rPr>
                            <w:rFonts w:eastAsia="Times New Roman"/>
                            <w:szCs w:val="24"/>
                            <w:bdr w:val="none" w:sz="0" w:space="0" w:color="auto" w:frame="1"/>
                            <w:shd w:val="clear" w:color="auto" w:fill="FFFFFF"/>
                          </w:rPr>
                          <w:t xml:space="preserve">) richiama la “pacifica” giurisprudenza amministrativa, secondo cui, di regola, l’oggetto del giudizio dinnanzi al giudice amministrativo non è mai la legge provvedimento, stante la natura fisiologicamente incidentale del giudizio di costituzionalità, ma gli atti amministrativi applicativi anche se di contenuto vincolato rispetto alla legge, deducendo l’incostituzionalità della stessa </w:t>
                        </w:r>
                        <w:hyperlink r:id="rId16" w:history="1">
                          <w:r w:rsidR="00637A33" w:rsidRPr="00420361">
                            <w:rPr>
                              <w:rStyle w:val="Collegamentoipertestuale"/>
                              <w:rFonts w:eastAsia="Times New Roman"/>
                              <w:color w:val="auto"/>
                              <w:szCs w:val="24"/>
                              <w:bdr w:val="none" w:sz="0" w:space="0" w:color="auto" w:frame="1"/>
                              <w:shd w:val="clear" w:color="auto" w:fill="FFFFFF"/>
                            </w:rPr>
                            <w:t>(</w:t>
                          </w:r>
                          <w:proofErr w:type="spellStart"/>
                          <w:r w:rsidR="00637A33" w:rsidRPr="00420361">
                            <w:rPr>
                              <w:rStyle w:val="Collegamentoipertestuale"/>
                              <w:rFonts w:eastAsia="Times New Roman"/>
                              <w:color w:val="auto"/>
                              <w:szCs w:val="24"/>
                              <w:bdr w:val="none" w:sz="0" w:space="0" w:color="auto" w:frame="1"/>
                              <w:shd w:val="clear" w:color="auto" w:fill="FFFFFF"/>
                            </w:rPr>
                            <w:t>Cons</w:t>
                          </w:r>
                          <w:proofErr w:type="spellEnd"/>
                          <w:r w:rsidR="00637A33" w:rsidRPr="00420361">
                            <w:rPr>
                              <w:rStyle w:val="Collegamentoipertestuale"/>
                              <w:rFonts w:eastAsia="Times New Roman"/>
                              <w:color w:val="auto"/>
                              <w:szCs w:val="24"/>
                              <w:bdr w:val="none" w:sz="0" w:space="0" w:color="auto" w:frame="1"/>
                              <w:shd w:val="clear" w:color="auto" w:fill="FFFFFF"/>
                            </w:rPr>
                            <w:t>. Stato, sez. IV, 22 marzo 2021, n. 2409);</w:t>
                          </w:r>
                        </w:hyperlink>
                      </w:p>
                      <w:p w:rsidR="00637A33" w:rsidRPr="00420361" w:rsidRDefault="00637A33" w:rsidP="00994826">
                        <w:pPr>
                          <w:shd w:val="clear" w:color="auto" w:fill="FFFFFF"/>
                          <w:spacing w:line="240" w:lineRule="auto"/>
                          <w:ind w:left="1701" w:hanging="567"/>
                          <w:rPr>
                            <w:rFonts w:eastAsia="Times New Roman"/>
                            <w:szCs w:val="24"/>
                          </w:rPr>
                        </w:pPr>
                        <w:r w:rsidRPr="00420361">
                          <w:rPr>
                            <w:rFonts w:eastAsia="Times New Roman"/>
                            <w:i/>
                            <w:iCs/>
                            <w:szCs w:val="24"/>
                            <w:bdr w:val="none" w:sz="0" w:space="0" w:color="auto" w:frame="1"/>
                            <w:shd w:val="clear" w:color="auto" w:fill="FFFFFF"/>
                          </w:rPr>
                          <w:t>   i2</w:t>
                        </w:r>
                        <w:r w:rsidRPr="00420361">
                          <w:rPr>
                            <w:rFonts w:eastAsia="Times New Roman"/>
                            <w:szCs w:val="24"/>
                            <w:bdr w:val="none" w:sz="0" w:space="0" w:color="auto" w:frame="1"/>
                            <w:shd w:val="clear" w:color="auto" w:fill="FFFFFF"/>
                          </w:rPr>
                          <w:t>) evidenzia la peculiarità della fattispecie in esame in cui non sono presenti atti   applicativi giacché l’intervento legislativo non si è solo limitato a “</w:t>
                        </w:r>
                        <w:proofErr w:type="spellStart"/>
                        <w:r w:rsidRPr="00420361">
                          <w:rPr>
                            <w:rFonts w:eastAsia="Times New Roman"/>
                            <w:i/>
                            <w:iCs/>
                            <w:szCs w:val="24"/>
                            <w:bdr w:val="none" w:sz="0" w:space="0" w:color="auto" w:frame="1"/>
                            <w:shd w:val="clear" w:color="auto" w:fill="FFFFFF"/>
                          </w:rPr>
                          <w:t>legificare</w:t>
                        </w:r>
                        <w:proofErr w:type="spellEnd"/>
                        <w:r w:rsidRPr="00420361">
                          <w:rPr>
                            <w:rFonts w:eastAsia="Times New Roman"/>
                            <w:szCs w:val="24"/>
                            <w:bdr w:val="none" w:sz="0" w:space="0" w:color="auto" w:frame="1"/>
                            <w:shd w:val="clear" w:color="auto" w:fill="FFFFFF"/>
                          </w:rPr>
                          <w:t>” una determinazione amministrativa, ma le ha attribuito immediata e definitiva efficacia così escludendo anche la fase amministrativa dell’integrazione dell’efficacia nonché dei relativi atti;</w:t>
                        </w:r>
                      </w:p>
                      <w:p w:rsidR="00637A33" w:rsidRPr="00420361" w:rsidRDefault="00994826" w:rsidP="00994826">
                        <w:pPr>
                          <w:shd w:val="clear" w:color="auto" w:fill="FFFFFF"/>
                          <w:spacing w:line="240" w:lineRule="auto"/>
                          <w:ind w:left="1701" w:hanging="567"/>
                          <w:rPr>
                            <w:rFonts w:eastAsia="Times New Roman"/>
                            <w:szCs w:val="24"/>
                          </w:rPr>
                        </w:pPr>
                        <w:r w:rsidRPr="00420361">
                          <w:rPr>
                            <w:rFonts w:eastAsia="Times New Roman"/>
                            <w:i/>
                            <w:iCs/>
                            <w:szCs w:val="24"/>
                            <w:bdr w:val="none" w:sz="0" w:space="0" w:color="auto" w:frame="1"/>
                            <w:shd w:val="clear" w:color="auto" w:fill="FFFFFF"/>
                          </w:rPr>
                          <w:t xml:space="preserve">     </w:t>
                        </w:r>
                        <w:r w:rsidR="00637A33" w:rsidRPr="00420361">
                          <w:rPr>
                            <w:rFonts w:eastAsia="Times New Roman"/>
                            <w:i/>
                            <w:iCs/>
                            <w:szCs w:val="24"/>
                            <w:bdr w:val="none" w:sz="0" w:space="0" w:color="auto" w:frame="1"/>
                            <w:shd w:val="clear" w:color="auto" w:fill="FFFFFF"/>
                          </w:rPr>
                          <w:t>i3</w:t>
                        </w:r>
                        <w:r w:rsidR="00637A33" w:rsidRPr="00420361">
                          <w:rPr>
                            <w:rFonts w:eastAsia="Times New Roman"/>
                            <w:szCs w:val="24"/>
                            <w:bdr w:val="none" w:sz="0" w:space="0" w:color="auto" w:frame="1"/>
                            <w:shd w:val="clear" w:color="auto" w:fill="FFFFFF"/>
                          </w:rPr>
                          <w:t>)</w:t>
                        </w:r>
                        <w:r w:rsidR="00637A33" w:rsidRPr="00420361">
                          <w:rPr>
                            <w:rFonts w:eastAsia="Times New Roman"/>
                            <w:i/>
                            <w:iCs/>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sottolinea come, in tale caso, il giudice costituzionale è chiamato a svolgere un giudizio tipico del giudice amministrativo con particolare riguardo all’esame del presupposto giustificativo/motivazionale del provvedimento legislativo gravato che non potrebbe avvantaggiarsi dell’ampio margine di discrezionalità politica riservata al legislatore;</w:t>
                        </w:r>
                      </w:p>
                      <w:p w:rsidR="00637A33" w:rsidRPr="00420361" w:rsidRDefault="00E16E30" w:rsidP="00D53B99">
                        <w:pPr>
                          <w:shd w:val="clear" w:color="auto" w:fill="FFFFFF"/>
                          <w:spacing w:line="240" w:lineRule="auto"/>
                          <w:ind w:left="1037" w:hanging="357"/>
                          <w:rPr>
                            <w:rFonts w:eastAsia="Times New Roman"/>
                            <w:szCs w:val="24"/>
                          </w:rPr>
                        </w:pPr>
                        <w:r w:rsidRPr="00420361">
                          <w:rPr>
                            <w:rFonts w:eastAsia="Times New Roman"/>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xml:space="preserve">  j)  tutto ciò premesso, sulle questioni di costituzionalità emerse nel giudizio, il </w:t>
                        </w:r>
                        <w:proofErr w:type="spellStart"/>
                        <w:r w:rsidR="00637A33" w:rsidRPr="00420361">
                          <w:rPr>
                            <w:rFonts w:eastAsia="Times New Roman"/>
                            <w:szCs w:val="24"/>
                            <w:bdr w:val="none" w:sz="0" w:space="0" w:color="auto" w:frame="1"/>
                            <w:shd w:val="clear" w:color="auto" w:fill="FFFFFF"/>
                          </w:rPr>
                          <w:t>T.a.r</w:t>
                        </w:r>
                        <w:proofErr w:type="spellEnd"/>
                        <w:r w:rsidR="00637A33" w:rsidRPr="00420361">
                          <w:rPr>
                            <w:rFonts w:eastAsia="Times New Roman"/>
                            <w:szCs w:val="24"/>
                            <w:bdr w:val="none" w:sz="0" w:space="0" w:color="auto" w:frame="1"/>
                            <w:shd w:val="clear" w:color="auto" w:fill="FFFFFF"/>
                          </w:rPr>
                          <w:t>.</w:t>
                        </w:r>
                        <w:r w:rsidR="00A01E20" w:rsidRPr="00420361">
                          <w:rPr>
                            <w:rFonts w:eastAsia="Times New Roman"/>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xml:space="preserve">– esaminando preliminarmente la sussistenza dei requisiti di generalità e astrattezza nonché dei presupposti di straordinaria necessità e urgenza legittimanti il potere di decretazione legislativa d’urgenza attribuito al Governo dall’art. 77 </w:t>
                        </w:r>
                        <w:proofErr w:type="spellStart"/>
                        <w:r w:rsidR="00637A33" w:rsidRPr="00420361">
                          <w:rPr>
                            <w:rFonts w:eastAsia="Times New Roman"/>
                            <w:szCs w:val="24"/>
                            <w:bdr w:val="none" w:sz="0" w:space="0" w:color="auto" w:frame="1"/>
                            <w:shd w:val="clear" w:color="auto" w:fill="FFFFFF"/>
                          </w:rPr>
                          <w:t>Cost</w:t>
                        </w:r>
                        <w:proofErr w:type="spellEnd"/>
                        <w:r w:rsidR="00637A33" w:rsidRPr="00420361">
                          <w:rPr>
                            <w:rFonts w:eastAsia="Times New Roman"/>
                            <w:szCs w:val="24"/>
                            <w:bdr w:val="none" w:sz="0" w:space="0" w:color="auto" w:frame="1"/>
                            <w:shd w:val="clear" w:color="auto" w:fill="FFFFFF"/>
                          </w:rPr>
                          <w:t>. per adottare l’art. 7-</w:t>
                        </w:r>
                        <w:r w:rsidR="00637A33" w:rsidRPr="00420361">
                          <w:rPr>
                            <w:rFonts w:eastAsia="Times New Roman"/>
                            <w:i/>
                            <w:iCs/>
                            <w:szCs w:val="24"/>
                            <w:bdr w:val="none" w:sz="0" w:space="0" w:color="auto" w:frame="1"/>
                            <w:shd w:val="clear" w:color="auto" w:fill="FFFFFF"/>
                          </w:rPr>
                          <w:t>ter</w:t>
                        </w:r>
                        <w:r w:rsidR="00637A33" w:rsidRPr="00420361">
                          <w:rPr>
                            <w:rFonts w:eastAsia="Times New Roman"/>
                            <w:szCs w:val="24"/>
                            <w:bdr w:val="none" w:sz="0" w:space="0" w:color="auto" w:frame="1"/>
                            <w:shd w:val="clear" w:color="auto" w:fill="FFFFFF"/>
                          </w:rPr>
                          <w:t xml:space="preserve">, comma 2, del </w:t>
                        </w:r>
                        <w:proofErr w:type="spellStart"/>
                        <w:r w:rsidR="00637A33" w:rsidRPr="00420361">
                          <w:rPr>
                            <w:rFonts w:eastAsia="Times New Roman"/>
                            <w:szCs w:val="24"/>
                            <w:bdr w:val="none" w:sz="0" w:space="0" w:color="auto" w:frame="1"/>
                            <w:shd w:val="clear" w:color="auto" w:fill="FFFFFF"/>
                          </w:rPr>
                          <w:t>d.l.</w:t>
                        </w:r>
                        <w:proofErr w:type="spellEnd"/>
                        <w:r w:rsidR="00637A33" w:rsidRPr="00420361">
                          <w:rPr>
                            <w:rFonts w:eastAsia="Times New Roman"/>
                            <w:szCs w:val="24"/>
                            <w:bdr w:val="none" w:sz="0" w:space="0" w:color="auto" w:frame="1"/>
                            <w:shd w:val="clear" w:color="auto" w:fill="FFFFFF"/>
                          </w:rPr>
                          <w:t xml:space="preserve"> n. 68 del 2022, </w:t>
                        </w:r>
                        <w:proofErr w:type="spellStart"/>
                        <w:r w:rsidR="00637A33" w:rsidRPr="00420361">
                          <w:rPr>
                            <w:rFonts w:eastAsia="Times New Roman"/>
                            <w:szCs w:val="24"/>
                            <w:bdr w:val="none" w:sz="0" w:space="0" w:color="auto" w:frame="1"/>
                            <w:shd w:val="clear" w:color="auto" w:fill="FFFFFF"/>
                          </w:rPr>
                          <w:t>conv</w:t>
                        </w:r>
                        <w:proofErr w:type="spellEnd"/>
                        <w:r w:rsidR="00637A33" w:rsidRPr="00420361">
                          <w:rPr>
                            <w:rFonts w:eastAsia="Times New Roman"/>
                            <w:szCs w:val="24"/>
                            <w:bdr w:val="none" w:sz="0" w:space="0" w:color="auto" w:frame="1"/>
                            <w:shd w:val="clear" w:color="auto" w:fill="FFFFFF"/>
                          </w:rPr>
                          <w:t xml:space="preserve">. in l. n. 108 del 2022, in cui è confluita la disciplina di cui al previgente art. 2, comma 2, </w:t>
                        </w:r>
                        <w:proofErr w:type="spellStart"/>
                        <w:r w:rsidR="00637A33" w:rsidRPr="00420361">
                          <w:rPr>
                            <w:rFonts w:eastAsia="Times New Roman"/>
                            <w:szCs w:val="24"/>
                            <w:bdr w:val="none" w:sz="0" w:space="0" w:color="auto" w:frame="1"/>
                            <w:shd w:val="clear" w:color="auto" w:fill="FFFFFF"/>
                          </w:rPr>
                          <w:t>d.l.</w:t>
                        </w:r>
                        <w:proofErr w:type="spellEnd"/>
                        <w:r w:rsidR="00637A33" w:rsidRPr="00420361">
                          <w:rPr>
                            <w:rFonts w:eastAsia="Times New Roman"/>
                            <w:szCs w:val="24"/>
                            <w:bdr w:val="none" w:sz="0" w:space="0" w:color="auto" w:frame="1"/>
                            <w:shd w:val="clear" w:color="auto" w:fill="FFFFFF"/>
                          </w:rPr>
                          <w:t xml:space="preserve"> 85 del 2022 – ha evidenziato:</w:t>
                        </w:r>
                      </w:p>
                      <w:p w:rsidR="00637A33" w:rsidRPr="00420361" w:rsidRDefault="00637A33" w:rsidP="00D53B99">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xml:space="preserve">    j1) che le norme censurate hanno cristallizzato nel diritto positivo la motivazione – peraltro notevolmente articolata – di un provvedimento amministrativo, cosicché l’effetto dispositivo rappresenta il riflesso della pregressa ponderazione degli interessi che ha condotto all’adozione del </w:t>
                        </w:r>
                        <w:proofErr w:type="spellStart"/>
                        <w:r w:rsidRPr="00420361">
                          <w:rPr>
                            <w:rFonts w:eastAsia="Times New Roman"/>
                            <w:szCs w:val="24"/>
                            <w:bdr w:val="none" w:sz="0" w:space="0" w:color="auto" w:frame="1"/>
                            <w:shd w:val="clear" w:color="auto" w:fill="FFFFFF"/>
                          </w:rPr>
                          <w:t>d.m.</w:t>
                        </w:r>
                        <w:proofErr w:type="spellEnd"/>
                        <w:r w:rsidRPr="00420361">
                          <w:rPr>
                            <w:rFonts w:eastAsia="Times New Roman"/>
                            <w:szCs w:val="24"/>
                            <w:bdr w:val="none" w:sz="0" w:space="0" w:color="auto" w:frame="1"/>
                            <w:shd w:val="clear" w:color="auto" w:fill="FFFFFF"/>
                          </w:rPr>
                          <w:t xml:space="preserve"> 14 giugno 2022, sarebbe a dire di un provvedimento che ha modificato unilateralmente la situazione giuridica soggettiva della società ricorrente;</w:t>
                        </w:r>
                      </w:p>
                      <w:p w:rsidR="00637A33" w:rsidRPr="00420361" w:rsidRDefault="00E16E30" w:rsidP="00D53B99">
                        <w:pPr>
                          <w:shd w:val="clear" w:color="auto" w:fill="FFFFFF"/>
                          <w:spacing w:line="240" w:lineRule="auto"/>
                          <w:ind w:left="1701" w:hanging="567"/>
                          <w:rPr>
                            <w:rFonts w:eastAsia="Times New Roman"/>
                            <w:szCs w:val="24"/>
                          </w:rPr>
                        </w:pPr>
                        <w:r w:rsidRPr="00420361">
                          <w:rPr>
                            <w:rFonts w:eastAsia="Times New Roman"/>
                            <w:i/>
                            <w:iCs/>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j2)</w:t>
                        </w:r>
                        <w:r w:rsidR="00637A33" w:rsidRPr="00420361">
                          <w:rPr>
                            <w:rFonts w:eastAsia="Times New Roman"/>
                            <w:i/>
                            <w:iCs/>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come la giurisprudenza costituzionale abbia negato l’esistenza di una riserva d’amministrazione in grado di impedire all’atto legislativo – normalmente caratterizzato dalla generalità e astrattezza – di provvedere in modo puntuale e concreto, restando, nondimeno, soggetto ad uno “</w:t>
                        </w:r>
                        <w:r w:rsidR="00637A33" w:rsidRPr="00420361">
                          <w:rPr>
                            <w:rFonts w:eastAsia="Times New Roman"/>
                            <w:i/>
                            <w:iCs/>
                            <w:szCs w:val="24"/>
                            <w:bdr w:val="none" w:sz="0" w:space="0" w:color="auto" w:frame="1"/>
                            <w:shd w:val="clear" w:color="auto" w:fill="FFFFFF"/>
                          </w:rPr>
                          <w:t>scrutinio stretto di costituzionalità</w:t>
                        </w:r>
                        <w:r w:rsidR="00637A33" w:rsidRPr="00420361">
                          <w:rPr>
                            <w:rFonts w:eastAsia="Times New Roman"/>
                            <w:szCs w:val="24"/>
                            <w:bdr w:val="none" w:sz="0" w:space="0" w:color="auto" w:frame="1"/>
                            <w:shd w:val="clear" w:color="auto" w:fill="FFFFFF"/>
                          </w:rPr>
                          <w:t xml:space="preserve">” così come delineato nella sentenza della </w:t>
                        </w:r>
                        <w:hyperlink r:id="rId17" w:history="1">
                          <w:r w:rsidR="00637A33" w:rsidRPr="00420361">
                            <w:rPr>
                              <w:rStyle w:val="Collegamentoipertestuale"/>
                              <w:rFonts w:eastAsia="Times New Roman"/>
                              <w:color w:val="auto"/>
                              <w:szCs w:val="24"/>
                              <w:bdr w:val="none" w:sz="0" w:space="0" w:color="auto" w:frame="1"/>
                              <w:shd w:val="clear" w:color="auto" w:fill="FFFFFF"/>
                            </w:rPr>
                            <w:t>Corte costituzionale del 27 luglio 2020, n. 168</w:t>
                          </w:r>
                        </w:hyperlink>
                        <w:r w:rsidR="00637A33" w:rsidRPr="00420361">
                          <w:rPr>
                            <w:rFonts w:eastAsia="Times New Roman"/>
                            <w:szCs w:val="24"/>
                            <w:bdr w:val="none" w:sz="0" w:space="0" w:color="auto" w:frame="1"/>
                            <w:shd w:val="clear" w:color="auto" w:fill="FFFFFF"/>
                          </w:rPr>
                          <w:t xml:space="preserve"> (in </w:t>
                        </w:r>
                        <w:r w:rsidR="00637A33" w:rsidRPr="00420361">
                          <w:rPr>
                            <w:rFonts w:eastAsia="Times New Roman"/>
                            <w:i/>
                            <w:iCs/>
                            <w:szCs w:val="24"/>
                            <w:bdr w:val="none" w:sz="0" w:space="0" w:color="auto" w:frame="1"/>
                            <w:shd w:val="clear" w:color="auto" w:fill="FFFFFF"/>
                          </w:rPr>
                          <w:t xml:space="preserve">Giur. </w:t>
                        </w:r>
                        <w:proofErr w:type="spellStart"/>
                        <w:r w:rsidR="00637A33" w:rsidRPr="00420361">
                          <w:rPr>
                            <w:rFonts w:eastAsia="Times New Roman"/>
                            <w:i/>
                            <w:iCs/>
                            <w:szCs w:val="24"/>
                            <w:bdr w:val="none" w:sz="0" w:space="0" w:color="auto" w:frame="1"/>
                            <w:shd w:val="clear" w:color="auto" w:fill="FFFFFF"/>
                          </w:rPr>
                          <w:t>costit</w:t>
                        </w:r>
                        <w:proofErr w:type="spellEnd"/>
                        <w:r w:rsidR="00637A33" w:rsidRPr="00420361">
                          <w:rPr>
                            <w:rFonts w:eastAsia="Times New Roman"/>
                            <w:i/>
                            <w:iCs/>
                            <w:szCs w:val="24"/>
                            <w:bdr w:val="none" w:sz="0" w:space="0" w:color="auto" w:frame="1"/>
                            <w:shd w:val="clear" w:color="auto" w:fill="FFFFFF"/>
                          </w:rPr>
                          <w:t>.</w:t>
                        </w:r>
                        <w:r w:rsidR="00637A33" w:rsidRPr="00420361">
                          <w:rPr>
                            <w:rFonts w:eastAsia="Times New Roman"/>
                            <w:szCs w:val="24"/>
                            <w:bdr w:val="none" w:sz="0" w:space="0" w:color="auto" w:frame="1"/>
                            <w:shd w:val="clear" w:color="auto" w:fill="FFFFFF"/>
                          </w:rPr>
                          <w:t xml:space="preserve">, 2020, 1863, con nota di ASTONE, ANZON DEMMIG, nonché oggetto della News US n. 97 del 9 settembre 2020), resa nel </w:t>
                        </w:r>
                        <w:r w:rsidR="00637A33" w:rsidRPr="00420361">
                          <w:rPr>
                            <w:rFonts w:eastAsia="Times New Roman"/>
                            <w:szCs w:val="24"/>
                            <w:bdr w:val="none" w:sz="0" w:space="0" w:color="auto" w:frame="1"/>
                            <w:shd w:val="clear" w:color="auto" w:fill="FFFFFF"/>
                          </w:rPr>
                          <w:lastRenderedPageBreak/>
                          <w:t>giudizio sulla legittimità costituzionale delle disposizioni (artt. 1, commi 3, 5, 6, 7, 8 e 8-</w:t>
                        </w:r>
                        <w:r w:rsidR="00637A33" w:rsidRPr="00420361">
                          <w:rPr>
                            <w:rFonts w:eastAsia="Times New Roman"/>
                            <w:i/>
                            <w:iCs/>
                            <w:szCs w:val="24"/>
                            <w:bdr w:val="none" w:sz="0" w:space="0" w:color="auto" w:frame="1"/>
                            <w:shd w:val="clear" w:color="auto" w:fill="FFFFFF"/>
                          </w:rPr>
                          <w:t>bis</w:t>
                        </w:r>
                        <w:r w:rsidR="00637A33" w:rsidRPr="00420361">
                          <w:rPr>
                            <w:rFonts w:eastAsia="Times New Roman"/>
                            <w:szCs w:val="24"/>
                            <w:bdr w:val="none" w:sz="0" w:space="0" w:color="auto" w:frame="1"/>
                            <w:shd w:val="clear" w:color="auto" w:fill="FFFFFF"/>
                          </w:rPr>
                          <w:t>, e 1-</w:t>
                        </w:r>
                        <w:r w:rsidR="00637A33" w:rsidRPr="00420361">
                          <w:rPr>
                            <w:rFonts w:eastAsia="Times New Roman"/>
                            <w:i/>
                            <w:iCs/>
                            <w:szCs w:val="24"/>
                            <w:bdr w:val="none" w:sz="0" w:space="0" w:color="auto" w:frame="1"/>
                            <w:shd w:val="clear" w:color="auto" w:fill="FFFFFF"/>
                          </w:rPr>
                          <w:t>ter</w:t>
                        </w:r>
                        <w:r w:rsidR="00637A33" w:rsidRPr="00420361">
                          <w:rPr>
                            <w:rFonts w:eastAsia="Times New Roman"/>
                            <w:szCs w:val="24"/>
                            <w:bdr w:val="none" w:sz="0" w:space="0" w:color="auto" w:frame="1"/>
                            <w:shd w:val="clear" w:color="auto" w:fill="FFFFFF"/>
                          </w:rPr>
                          <w:t>, comma 1, del decreto-legge 28 settembre 2018, n. 109, convertito, con modificazioni, nella legge 16 novembre 2018, n. 130) che hanno assegnato ad un commissario straordinario il compito di garantire tempestivamente l’avvio dei lavori di demolizione e ricostruzione del ponte “Morandi”;</w:t>
                        </w:r>
                      </w:p>
                      <w:p w:rsidR="00637A33" w:rsidRPr="00420361" w:rsidRDefault="00D53B99" w:rsidP="00D53B99">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j3)</w:t>
                        </w:r>
                        <w:r w:rsidR="00637A33" w:rsidRPr="00420361">
                          <w:rPr>
                            <w:rFonts w:eastAsia="Times New Roman"/>
                            <w:i/>
                            <w:iCs/>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come, in detta pronuncia, quanto all’obbligo di motivazione delle leggi-provvedimento e dei limiti del suo sindacato, la Corte si sia espressa nei seguenti termini: </w:t>
                        </w:r>
                        <w:r w:rsidR="00637A33" w:rsidRPr="00420361">
                          <w:rPr>
                            <w:rFonts w:eastAsia="Times New Roman"/>
                            <w:i/>
                            <w:iCs/>
                            <w:szCs w:val="24"/>
                            <w:bdr w:val="none" w:sz="0" w:space="0" w:color="auto" w:frame="1"/>
                            <w:shd w:val="clear" w:color="auto" w:fill="FFFFFF"/>
                          </w:rPr>
                          <w:t>i</w:t>
                        </w:r>
                        <w:r w:rsidR="00637A33" w:rsidRPr="00420361">
                          <w:rPr>
                            <w:rFonts w:eastAsia="Times New Roman"/>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in linea di principio, il legislatore non </w:t>
                        </w:r>
                        <w:r w:rsidR="00637A33" w:rsidRPr="00420361">
                          <w:rPr>
                            <w:rFonts w:eastAsia="Times New Roman"/>
                            <w:szCs w:val="24"/>
                            <w:bdr w:val="none" w:sz="0" w:space="0" w:color="auto" w:frame="1"/>
                            <w:shd w:val="clear" w:color="auto" w:fill="FFFFFF"/>
                          </w:rPr>
                          <w:t>[ha]</w:t>
                        </w:r>
                        <w:r w:rsidR="00637A33" w:rsidRPr="00420361">
                          <w:rPr>
                            <w:rFonts w:eastAsia="Times New Roman"/>
                            <w:i/>
                            <w:iCs/>
                            <w:szCs w:val="24"/>
                            <w:bdr w:val="none" w:sz="0" w:space="0" w:color="auto" w:frame="1"/>
                            <w:shd w:val="clear" w:color="auto" w:fill="FFFFFF"/>
                          </w:rPr>
                          <w:t xml:space="preserve"> l’obbligo di motivare le proprie scelte (sentenza n. 14 del 1964), ugualmente ciò non gli è affatto precluso (sentenza n. 379 del 2004), ed anzi, specie a fronte di un intervento normativo </w:t>
                        </w:r>
                        <w:proofErr w:type="spellStart"/>
                        <w:r w:rsidR="00637A33" w:rsidRPr="00420361">
                          <w:rPr>
                            <w:rFonts w:eastAsia="Times New Roman"/>
                            <w:i/>
                            <w:iCs/>
                            <w:szCs w:val="24"/>
                            <w:bdr w:val="none" w:sz="0" w:space="0" w:color="auto" w:frame="1"/>
                            <w:shd w:val="clear" w:color="auto" w:fill="FFFFFF"/>
                          </w:rPr>
                          <w:t>provvedimentale</w:t>
                        </w:r>
                        <w:proofErr w:type="spellEnd"/>
                        <w:r w:rsidR="00637A33" w:rsidRPr="00420361">
                          <w:rPr>
                            <w:rFonts w:eastAsia="Times New Roman"/>
                            <w:i/>
                            <w:iCs/>
                            <w:szCs w:val="24"/>
                            <w:bdr w:val="none" w:sz="0" w:space="0" w:color="auto" w:frame="1"/>
                            <w:shd w:val="clear" w:color="auto" w:fill="FFFFFF"/>
                          </w:rPr>
                          <w:t>, può proficuamente contribuire a porne in luce le ragioni giustificatrici, agevolando l’interprete e orientando, in prima battuta, il sindacato di legittimità costituzionale</w:t>
                        </w:r>
                        <w:r w:rsidR="00637A33" w:rsidRPr="00420361">
                          <w:rPr>
                            <w:rFonts w:eastAsia="Times New Roman"/>
                            <w:szCs w:val="24"/>
                            <w:bdr w:val="none" w:sz="0" w:space="0" w:color="auto" w:frame="1"/>
                            <w:shd w:val="clear" w:color="auto" w:fill="FFFFFF"/>
                          </w:rPr>
                          <w:t>»,</w:t>
                        </w:r>
                        <w:r w:rsidR="00637A33" w:rsidRPr="00420361">
                          <w:rPr>
                            <w:rFonts w:eastAsia="Times New Roman"/>
                            <w:i/>
                            <w:iCs/>
                            <w:szCs w:val="24"/>
                            <w:bdr w:val="none" w:sz="0" w:space="0" w:color="auto" w:frame="1"/>
                            <w:shd w:val="clear" w:color="auto" w:fill="FFFFFF"/>
                          </w:rPr>
                          <w:t> ii</w:t>
                        </w:r>
                        <w:r w:rsidR="00637A33" w:rsidRPr="00420361">
                          <w:rPr>
                            <w:rFonts w:eastAsia="Times New Roman"/>
                            <w:szCs w:val="24"/>
                            <w:bdr w:val="none" w:sz="0" w:space="0" w:color="auto" w:frame="1"/>
                            <w:shd w:val="clear" w:color="auto" w:fill="FFFFFF"/>
                          </w:rPr>
                          <w:t>) il quale </w:t>
                        </w:r>
                        <w:r w:rsidR="00637A33" w:rsidRPr="00420361">
                          <w:rPr>
                            <w:rFonts w:eastAsia="Times New Roman"/>
                            <w:i/>
                            <w:iCs/>
                            <w:szCs w:val="24"/>
                            <w:bdr w:val="none" w:sz="0" w:space="0" w:color="auto" w:frame="1"/>
                            <w:shd w:val="clear" w:color="auto" w:fill="FFFFFF"/>
                          </w:rPr>
                          <w:t>«non può limitarsi a verificare la validità o la congruità delle motivazioni» (sentenza n. 10 del 2000), ovvero del corredo lessicale con cui si esprime la ragione della scelta, ma deve piuttosto accertare se la norma esprima interessi affidati alla discrezionalità legislativa, e regolati in forma compatibile con la Costituzione</w:t>
                        </w:r>
                        <w:r w:rsidR="00637A33" w:rsidRPr="00420361">
                          <w:rPr>
                            <w:rFonts w:eastAsia="Times New Roman"/>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iii</w:t>
                        </w:r>
                        <w:r w:rsidR="00637A33" w:rsidRPr="00420361">
                          <w:rPr>
                            <w:rFonts w:eastAsia="Times New Roman"/>
                            <w:szCs w:val="24"/>
                            <w:bdr w:val="none" w:sz="0" w:space="0" w:color="auto" w:frame="1"/>
                            <w:shd w:val="clear" w:color="auto" w:fill="FFFFFF"/>
                          </w:rPr>
                          <w:t>) accertando «</w:t>
                        </w:r>
                        <w:r w:rsidR="00637A33" w:rsidRPr="00420361">
                          <w:rPr>
                            <w:rFonts w:eastAsia="Times New Roman"/>
                            <w:i/>
                            <w:iCs/>
                            <w:szCs w:val="24"/>
                            <w:bdr w:val="none" w:sz="0" w:space="0" w:color="auto" w:frame="1"/>
                            <w:shd w:val="clear" w:color="auto" w:fill="FFFFFF"/>
                          </w:rPr>
                          <w:t>in maniera stringente se siano identificabili interessi in grado di giustificare la legge, desumibili anche in via interpretativa (sentenza n. 270 del 2010), </w:t>
                        </w:r>
                        <w:r w:rsidR="00637A33" w:rsidRPr="00420361">
                          <w:rPr>
                            <w:rFonts w:eastAsia="Times New Roman"/>
                            <w:szCs w:val="24"/>
                            <w:bdr w:val="none" w:sz="0" w:space="0" w:color="auto" w:frame="1"/>
                            <w:shd w:val="clear" w:color="auto" w:fill="FFFFFF"/>
                          </w:rPr>
                          <w:t>[dovendo così emergere] </w:t>
                        </w:r>
                        <w:r w:rsidR="00637A33" w:rsidRPr="00420361">
                          <w:rPr>
                            <w:rFonts w:eastAsia="Times New Roman"/>
                            <w:i/>
                            <w:iCs/>
                            <w:szCs w:val="24"/>
                            <w:bdr w:val="none" w:sz="0" w:space="0" w:color="auto" w:frame="1"/>
                            <w:shd w:val="clear" w:color="auto" w:fill="FFFFFF"/>
                          </w:rPr>
                          <w:t>i criteri che ispirano le scelte realizzate, nonché le relative modalità di attuazione attraverso l’individuazione degli interessi oggetto di tutela (sentenze n. 182 del 2017 e n. 137 del 2009)»</w:t>
                        </w:r>
                        <w:r w:rsidR="00637A33" w:rsidRPr="00420361">
                          <w:rPr>
                            <w:rFonts w:eastAsia="Times New Roman"/>
                            <w:szCs w:val="24"/>
                            <w:bdr w:val="none" w:sz="0" w:space="0" w:color="auto" w:frame="1"/>
                            <w:shd w:val="clear" w:color="auto" w:fill="FFFFFF"/>
                          </w:rPr>
                          <w:t>;</w:t>
                        </w:r>
                      </w:p>
                      <w:p w:rsidR="00637A33" w:rsidRPr="00420361" w:rsidRDefault="00E16E30" w:rsidP="00D53B99">
                        <w:pPr>
                          <w:shd w:val="clear" w:color="auto" w:fill="FFFFFF"/>
                          <w:spacing w:line="240" w:lineRule="auto"/>
                          <w:ind w:left="1701" w:hanging="567"/>
                          <w:rPr>
                            <w:rFonts w:eastAsia="Times New Roman"/>
                            <w:szCs w:val="24"/>
                          </w:rPr>
                        </w:pPr>
                        <w:r w:rsidRPr="00420361">
                          <w:rPr>
                            <w:rFonts w:eastAsia="Times New Roman"/>
                            <w:i/>
                            <w:iCs/>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j4)</w:t>
                        </w:r>
                        <w:r w:rsidR="00637A33" w:rsidRPr="00420361">
                          <w:rPr>
                            <w:rFonts w:eastAsia="Times New Roman"/>
                            <w:i/>
                            <w:iCs/>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come nella sentenza appena citata – nel sottolineare la vincolatività delle previsioni convenzionali disciplinanti le modalità di scioglimento unilaterale, per scelta del concedente, del rapporto convenzionale o i presupposti per chiedere l’esatto adempimento degli obblighi o la risoluzione del negozio, a fronte di un grave inadempimento del concessionario  –  la Corte costituzionale abbia precisato che, nella controversia relativa ai lavori di ricostruzione del ponte “Morandi”, l’intervento del legislatore non abbia imposto al concedente la cessazione del vincolo convenzionale in uno dei modi previsti dalla disciplina negoziale, prevedendo esclusivamente che – ferma la concessione – il concedente dovesse necessariamente rivolgersi a terzi ai fini della ricostruzione del ponte, non potendo a tali fini utilizzate le prestazioni pretendibili dal concessionario in base alla convenzione;  </w:t>
                        </w:r>
                      </w:p>
                      <w:p w:rsidR="00637A33" w:rsidRPr="00420361" w:rsidRDefault="00637A33" w:rsidP="00D53B99">
                        <w:pPr>
                          <w:shd w:val="clear" w:color="auto" w:fill="FFFFFF"/>
                          <w:spacing w:line="240" w:lineRule="auto"/>
                          <w:ind w:left="1701" w:hanging="567"/>
                          <w:rPr>
                            <w:rFonts w:eastAsia="Times New Roman"/>
                            <w:szCs w:val="24"/>
                          </w:rPr>
                        </w:pPr>
                        <w:r w:rsidRPr="00420361">
                          <w:rPr>
                            <w:rFonts w:eastAsia="Times New Roman"/>
                            <w:i/>
                            <w:iCs/>
                            <w:szCs w:val="24"/>
                            <w:bdr w:val="none" w:sz="0" w:space="0" w:color="auto" w:frame="1"/>
                            <w:shd w:val="clear" w:color="auto" w:fill="FFFFFF"/>
                          </w:rPr>
                          <w:t> </w:t>
                        </w:r>
                        <w:r w:rsidR="00E16E30" w:rsidRPr="00420361">
                          <w:rPr>
                            <w:rFonts w:eastAsia="Times New Roman"/>
                            <w:i/>
                            <w:iCs/>
                            <w:szCs w:val="24"/>
                            <w:bdr w:val="none" w:sz="0" w:space="0" w:color="auto" w:frame="1"/>
                            <w:shd w:val="clear" w:color="auto" w:fill="FFFFFF"/>
                          </w:rPr>
                          <w:t>   </w:t>
                        </w:r>
                        <w:r w:rsidRPr="00420361">
                          <w:rPr>
                            <w:rFonts w:eastAsia="Times New Roman"/>
                            <w:i/>
                            <w:iCs/>
                            <w:szCs w:val="24"/>
                            <w:bdr w:val="none" w:sz="0" w:space="0" w:color="auto" w:frame="1"/>
                            <w:shd w:val="clear" w:color="auto" w:fill="FFFFFF"/>
                          </w:rPr>
                          <w:t> j5)</w:t>
                        </w:r>
                        <w:r w:rsidRPr="00420361">
                          <w:rPr>
                            <w:rFonts w:eastAsia="Times New Roman"/>
                            <w:szCs w:val="24"/>
                            <w:bdr w:val="none" w:sz="0" w:space="0" w:color="auto" w:frame="1"/>
                            <w:shd w:val="clear" w:color="auto" w:fill="FFFFFF"/>
                          </w:rPr>
                          <w:t xml:space="preserve"> come, nella fattispecie in esame relativa alla concessione autostradale di Strada dei Parchi </w:t>
                        </w:r>
                        <w:proofErr w:type="spellStart"/>
                        <w:r w:rsidRPr="00420361">
                          <w:rPr>
                            <w:rFonts w:eastAsia="Times New Roman"/>
                            <w:szCs w:val="24"/>
                            <w:bdr w:val="none" w:sz="0" w:space="0" w:color="auto" w:frame="1"/>
                            <w:shd w:val="clear" w:color="auto" w:fill="FFFFFF"/>
                          </w:rPr>
                          <w:t>s.p.a.</w:t>
                        </w:r>
                        <w:proofErr w:type="spellEnd"/>
                        <w:r w:rsidRPr="00420361">
                          <w:rPr>
                            <w:rFonts w:eastAsia="Times New Roman"/>
                            <w:szCs w:val="24"/>
                            <w:bdr w:val="none" w:sz="0" w:space="0" w:color="auto" w:frame="1"/>
                            <w:shd w:val="clear" w:color="auto" w:fill="FFFFFF"/>
                          </w:rPr>
                          <w:t xml:space="preserve">, la legge provvedimento – contrariamente a quanto verificatosi nel caso del “ponte Morandi”– abbia imposto e disposto la cessazione del rapporto </w:t>
                        </w:r>
                        <w:proofErr w:type="spellStart"/>
                        <w:r w:rsidRPr="00420361">
                          <w:rPr>
                            <w:rFonts w:eastAsia="Times New Roman"/>
                            <w:szCs w:val="24"/>
                            <w:bdr w:val="none" w:sz="0" w:space="0" w:color="auto" w:frame="1"/>
                            <w:shd w:val="clear" w:color="auto" w:fill="FFFFFF"/>
                          </w:rPr>
                          <w:t>concessorio</w:t>
                        </w:r>
                        <w:proofErr w:type="spellEnd"/>
                        <w:r w:rsidRPr="00420361">
                          <w:rPr>
                            <w:rFonts w:eastAsia="Times New Roman"/>
                            <w:szCs w:val="24"/>
                            <w:bdr w:val="none" w:sz="0" w:space="0" w:color="auto" w:frame="1"/>
                            <w:shd w:val="clear" w:color="auto" w:fill="FFFFFF"/>
                          </w:rPr>
                          <w:t xml:space="preserve"> (e ciò a causa “</w:t>
                        </w:r>
                        <w:r w:rsidRPr="00420361">
                          <w:rPr>
                            <w:rFonts w:eastAsia="Times New Roman"/>
                            <w:i/>
                            <w:iCs/>
                            <w:szCs w:val="24"/>
                            <w:bdr w:val="none" w:sz="0" w:space="0" w:color="auto" w:frame="1"/>
                            <w:shd w:val="clear" w:color="auto" w:fill="FFFFFF"/>
                          </w:rPr>
                          <w:t>dell’inadempimento del concessionario agli obblighi di manutenzione, di controllo tecnico dell’efficienza e degli altri obblighi</w:t>
                        </w:r>
                        <w:r w:rsidRPr="00420361">
                          <w:rPr>
                            <w:rFonts w:eastAsia="Times New Roman"/>
                            <w:szCs w:val="24"/>
                            <w:bdr w:val="none" w:sz="0" w:space="0" w:color="auto" w:frame="1"/>
                            <w:shd w:val="clear" w:color="auto" w:fill="FFFFFF"/>
                          </w:rPr>
                          <w:t xml:space="preserve">”, così come indicato nel </w:t>
                        </w:r>
                        <w:r w:rsidRPr="00420361">
                          <w:rPr>
                            <w:rFonts w:eastAsia="Times New Roman"/>
                            <w:szCs w:val="24"/>
                            <w:bdr w:val="none" w:sz="0" w:space="0" w:color="auto" w:frame="1"/>
                            <w:shd w:val="clear" w:color="auto" w:fill="FFFFFF"/>
                          </w:rPr>
                          <w:lastRenderedPageBreak/>
                          <w:t xml:space="preserve">preambolo del </w:t>
                        </w:r>
                        <w:proofErr w:type="spellStart"/>
                        <w:r w:rsidRPr="00420361">
                          <w:rPr>
                            <w:rFonts w:eastAsia="Times New Roman"/>
                            <w:szCs w:val="24"/>
                            <w:bdr w:val="none" w:sz="0" w:space="0" w:color="auto" w:frame="1"/>
                            <w:shd w:val="clear" w:color="auto" w:fill="FFFFFF"/>
                          </w:rPr>
                          <w:t>d.m.</w:t>
                        </w:r>
                        <w:proofErr w:type="spellEnd"/>
                        <w:r w:rsidRPr="00420361">
                          <w:rPr>
                            <w:rFonts w:eastAsia="Times New Roman"/>
                            <w:szCs w:val="24"/>
                            <w:bdr w:val="none" w:sz="0" w:space="0" w:color="auto" w:frame="1"/>
                            <w:shd w:val="clear" w:color="auto" w:fill="FFFFFF"/>
                          </w:rPr>
                          <w:t xml:space="preserve"> 14 giugno 2022) senza specificare le ragioni di straordinaria necessità e urgenza che avrebbero dovuto sorreggere il ricorso al decreto-legge e il cui difetto, qualora evidente, può formare oggetto di sindacato da parte della Corte costituzionale (</w:t>
                        </w:r>
                        <w:hyperlink r:id="rId18" w:history="1">
                          <w:r w:rsidRPr="00420361">
                            <w:rPr>
                              <w:rStyle w:val="Collegamentoipertestuale"/>
                              <w:rFonts w:eastAsia="Times New Roman"/>
                              <w:color w:val="auto"/>
                              <w:szCs w:val="24"/>
                              <w:bdr w:val="none" w:sz="0" w:space="0" w:color="auto" w:frame="1"/>
                              <w:shd w:val="clear" w:color="auto" w:fill="FFFFFF"/>
                            </w:rPr>
                            <w:t xml:space="preserve">Corte </w:t>
                          </w:r>
                          <w:proofErr w:type="spellStart"/>
                          <w:r w:rsidRPr="00420361">
                            <w:rPr>
                              <w:rStyle w:val="Collegamentoipertestuale"/>
                              <w:rFonts w:eastAsia="Times New Roman"/>
                              <w:color w:val="auto"/>
                              <w:szCs w:val="24"/>
                              <w:bdr w:val="none" w:sz="0" w:space="0" w:color="auto" w:frame="1"/>
                              <w:shd w:val="clear" w:color="auto" w:fill="FFFFFF"/>
                            </w:rPr>
                            <w:t>cost</w:t>
                          </w:r>
                          <w:proofErr w:type="spellEnd"/>
                          <w:r w:rsidRPr="00420361">
                            <w:rPr>
                              <w:rStyle w:val="Collegamentoipertestuale"/>
                              <w:rFonts w:eastAsia="Times New Roman"/>
                              <w:color w:val="auto"/>
                              <w:szCs w:val="24"/>
                              <w:bdr w:val="none" w:sz="0" w:space="0" w:color="auto" w:frame="1"/>
                              <w:shd w:val="clear" w:color="auto" w:fill="FFFFFF"/>
                            </w:rPr>
                            <w:t>., 23 maggio 2007, n. 171</w:t>
                          </w:r>
                        </w:hyperlink>
                        <w:r w:rsidRPr="00420361">
                          <w:rPr>
                            <w:rFonts w:eastAsia="Times New Roman"/>
                            <w:szCs w:val="24"/>
                            <w:bdr w:val="none" w:sz="0" w:space="0" w:color="auto" w:frame="1"/>
                            <w:shd w:val="clear" w:color="auto" w:fill="FFFFFF"/>
                          </w:rPr>
                          <w:t>, in </w:t>
                        </w:r>
                        <w:r w:rsidRPr="00420361">
                          <w:rPr>
                            <w:rFonts w:eastAsia="Times New Roman"/>
                            <w:i/>
                            <w:iCs/>
                            <w:szCs w:val="24"/>
                            <w:bdr w:val="none" w:sz="0" w:space="0" w:color="auto" w:frame="1"/>
                            <w:shd w:val="clear" w:color="auto" w:fill="FFFFFF"/>
                          </w:rPr>
                          <w:t xml:space="preserve">Foro </w:t>
                        </w:r>
                        <w:proofErr w:type="spellStart"/>
                        <w:r w:rsidRPr="00420361">
                          <w:rPr>
                            <w:rFonts w:eastAsia="Times New Roman"/>
                            <w:i/>
                            <w:iCs/>
                            <w:szCs w:val="24"/>
                            <w:bdr w:val="none" w:sz="0" w:space="0" w:color="auto" w:frame="1"/>
                            <w:shd w:val="clear" w:color="auto" w:fill="FFFFFF"/>
                          </w:rPr>
                          <w:t>it</w:t>
                        </w:r>
                        <w:proofErr w:type="spellEnd"/>
                        <w:r w:rsidRPr="00420361">
                          <w:rPr>
                            <w:rFonts w:eastAsia="Times New Roman"/>
                            <w:i/>
                            <w:iCs/>
                            <w:szCs w:val="24"/>
                            <w:bdr w:val="none" w:sz="0" w:space="0" w:color="auto" w:frame="1"/>
                            <w:shd w:val="clear" w:color="auto" w:fill="FFFFFF"/>
                          </w:rPr>
                          <w:t>.</w:t>
                        </w:r>
                        <w:r w:rsidRPr="00420361">
                          <w:rPr>
                            <w:rFonts w:eastAsia="Times New Roman"/>
                            <w:szCs w:val="24"/>
                            <w:bdr w:val="none" w:sz="0" w:space="0" w:color="auto" w:frame="1"/>
                            <w:shd w:val="clear" w:color="auto" w:fill="FFFFFF"/>
                          </w:rPr>
                          <w:t>, 2007, I, 1985, con note di ROMBOLI e RUGGERI, in </w:t>
                        </w:r>
                        <w:r w:rsidRPr="00420361">
                          <w:rPr>
                            <w:rFonts w:eastAsia="Times New Roman"/>
                            <w:i/>
                            <w:iCs/>
                            <w:szCs w:val="24"/>
                            <w:bdr w:val="none" w:sz="0" w:space="0" w:color="auto" w:frame="1"/>
                            <w:shd w:val="clear" w:color="auto" w:fill="FFFFFF"/>
                          </w:rPr>
                          <w:t xml:space="preserve">Giur. </w:t>
                        </w:r>
                        <w:proofErr w:type="spellStart"/>
                        <w:r w:rsidRPr="00420361">
                          <w:rPr>
                            <w:rFonts w:eastAsia="Times New Roman"/>
                            <w:i/>
                            <w:iCs/>
                            <w:szCs w:val="24"/>
                            <w:bdr w:val="none" w:sz="0" w:space="0" w:color="auto" w:frame="1"/>
                            <w:shd w:val="clear" w:color="auto" w:fill="FFFFFF"/>
                          </w:rPr>
                          <w:t>costit</w:t>
                        </w:r>
                        <w:proofErr w:type="spellEnd"/>
                        <w:r w:rsidRPr="00420361">
                          <w:rPr>
                            <w:rFonts w:eastAsia="Times New Roman"/>
                            <w:i/>
                            <w:iCs/>
                            <w:szCs w:val="24"/>
                            <w:bdr w:val="none" w:sz="0" w:space="0" w:color="auto" w:frame="1"/>
                            <w:shd w:val="clear" w:color="auto" w:fill="FFFFFF"/>
                          </w:rPr>
                          <w:t>.</w:t>
                        </w:r>
                        <w:r w:rsidRPr="00420361">
                          <w:rPr>
                            <w:rFonts w:eastAsia="Times New Roman"/>
                            <w:szCs w:val="24"/>
                            <w:bdr w:val="none" w:sz="0" w:space="0" w:color="auto" w:frame="1"/>
                            <w:shd w:val="clear" w:color="auto" w:fill="FFFFFF"/>
                          </w:rPr>
                          <w:t>, 2007, 1662 (m.), con nota di SORRENTINO, in </w:t>
                        </w:r>
                        <w:r w:rsidRPr="00420361">
                          <w:rPr>
                            <w:rFonts w:eastAsia="Times New Roman"/>
                            <w:i/>
                            <w:iCs/>
                            <w:szCs w:val="24"/>
                            <w:bdr w:val="none" w:sz="0" w:space="0" w:color="auto" w:frame="1"/>
                            <w:shd w:val="clear" w:color="auto" w:fill="FFFFFF"/>
                          </w:rPr>
                          <w:t xml:space="preserve">Foro </w:t>
                        </w:r>
                        <w:proofErr w:type="spellStart"/>
                        <w:r w:rsidRPr="00420361">
                          <w:rPr>
                            <w:rFonts w:eastAsia="Times New Roman"/>
                            <w:i/>
                            <w:iCs/>
                            <w:szCs w:val="24"/>
                            <w:bdr w:val="none" w:sz="0" w:space="0" w:color="auto" w:frame="1"/>
                            <w:shd w:val="clear" w:color="auto" w:fill="FFFFFF"/>
                          </w:rPr>
                          <w:t>amm</w:t>
                        </w:r>
                        <w:proofErr w:type="spellEnd"/>
                        <w:r w:rsidRPr="00420361">
                          <w:rPr>
                            <w:rFonts w:eastAsia="Times New Roman"/>
                            <w:i/>
                            <w:iCs/>
                            <w:szCs w:val="24"/>
                            <w:bdr w:val="none" w:sz="0" w:space="0" w:color="auto" w:frame="1"/>
                            <w:shd w:val="clear" w:color="auto" w:fill="FFFFFF"/>
                          </w:rPr>
                          <w:t>.-</w:t>
                        </w:r>
                        <w:proofErr w:type="spellStart"/>
                        <w:r w:rsidRPr="00420361">
                          <w:rPr>
                            <w:rFonts w:eastAsia="Times New Roman"/>
                            <w:i/>
                            <w:iCs/>
                            <w:szCs w:val="24"/>
                            <w:bdr w:val="none" w:sz="0" w:space="0" w:color="auto" w:frame="1"/>
                            <w:shd w:val="clear" w:color="auto" w:fill="FFFFFF"/>
                          </w:rPr>
                          <w:t>Cons</w:t>
                        </w:r>
                        <w:proofErr w:type="spellEnd"/>
                        <w:r w:rsidRPr="00420361">
                          <w:rPr>
                            <w:rFonts w:eastAsia="Times New Roman"/>
                            <w:i/>
                            <w:iCs/>
                            <w:szCs w:val="24"/>
                            <w:bdr w:val="none" w:sz="0" w:space="0" w:color="auto" w:frame="1"/>
                            <w:shd w:val="clear" w:color="auto" w:fill="FFFFFF"/>
                          </w:rPr>
                          <w:t>. Stato</w:t>
                        </w:r>
                        <w:r w:rsidRPr="00420361">
                          <w:rPr>
                            <w:rFonts w:eastAsia="Times New Roman"/>
                            <w:szCs w:val="24"/>
                            <w:bdr w:val="none" w:sz="0" w:space="0" w:color="auto" w:frame="1"/>
                            <w:shd w:val="clear" w:color="auto" w:fill="FFFFFF"/>
                          </w:rPr>
                          <w:t>, 2007, 2395 (m.), con nota di GENINATTI SATÈ, in </w:t>
                        </w:r>
                        <w:proofErr w:type="spellStart"/>
                        <w:r w:rsidRPr="00420361">
                          <w:rPr>
                            <w:rFonts w:eastAsia="Times New Roman"/>
                            <w:i/>
                            <w:iCs/>
                            <w:szCs w:val="24"/>
                            <w:bdr w:val="none" w:sz="0" w:space="0" w:color="auto" w:frame="1"/>
                            <w:shd w:val="clear" w:color="auto" w:fill="FFFFFF"/>
                          </w:rPr>
                          <w:t>Cass</w:t>
                        </w:r>
                        <w:proofErr w:type="spellEnd"/>
                        <w:r w:rsidRPr="00420361">
                          <w:rPr>
                            <w:rFonts w:eastAsia="Times New Roman"/>
                            <w:i/>
                            <w:iCs/>
                            <w:szCs w:val="24"/>
                            <w:bdr w:val="none" w:sz="0" w:space="0" w:color="auto" w:frame="1"/>
                            <w:shd w:val="clear" w:color="auto" w:fill="FFFFFF"/>
                          </w:rPr>
                          <w:t xml:space="preserve">. </w:t>
                        </w:r>
                        <w:proofErr w:type="spellStart"/>
                        <w:r w:rsidRPr="00420361">
                          <w:rPr>
                            <w:rFonts w:eastAsia="Times New Roman"/>
                            <w:i/>
                            <w:iCs/>
                            <w:szCs w:val="24"/>
                            <w:bdr w:val="none" w:sz="0" w:space="0" w:color="auto" w:frame="1"/>
                            <w:shd w:val="clear" w:color="auto" w:fill="FFFFFF"/>
                          </w:rPr>
                          <w:t>pen</w:t>
                        </w:r>
                        <w:proofErr w:type="spellEnd"/>
                        <w:r w:rsidRPr="00420361">
                          <w:rPr>
                            <w:rFonts w:eastAsia="Times New Roman"/>
                            <w:i/>
                            <w:iCs/>
                            <w:szCs w:val="24"/>
                            <w:bdr w:val="none" w:sz="0" w:space="0" w:color="auto" w:frame="1"/>
                            <w:shd w:val="clear" w:color="auto" w:fill="FFFFFF"/>
                          </w:rPr>
                          <w:t>.</w:t>
                        </w:r>
                        <w:r w:rsidRPr="00420361">
                          <w:rPr>
                            <w:rFonts w:eastAsia="Times New Roman"/>
                            <w:szCs w:val="24"/>
                            <w:bdr w:val="none" w:sz="0" w:space="0" w:color="auto" w:frame="1"/>
                            <w:shd w:val="clear" w:color="auto" w:fill="FFFFFF"/>
                          </w:rPr>
                          <w:t>, 2007, 3591 (m.), con nota di CELOTTO, ed in </w:t>
                        </w:r>
                        <w:r w:rsidRPr="00420361">
                          <w:rPr>
                            <w:rFonts w:eastAsia="Times New Roman"/>
                            <w:i/>
                            <w:iCs/>
                            <w:szCs w:val="24"/>
                            <w:bdr w:val="none" w:sz="0" w:space="0" w:color="auto" w:frame="1"/>
                            <w:shd w:val="clear" w:color="auto" w:fill="FFFFFF"/>
                          </w:rPr>
                          <w:t xml:space="preserve">Giur. </w:t>
                        </w:r>
                        <w:proofErr w:type="spellStart"/>
                        <w:r w:rsidRPr="00420361">
                          <w:rPr>
                            <w:rFonts w:eastAsia="Times New Roman"/>
                            <w:i/>
                            <w:iCs/>
                            <w:szCs w:val="24"/>
                            <w:bdr w:val="none" w:sz="0" w:space="0" w:color="auto" w:frame="1"/>
                            <w:shd w:val="clear" w:color="auto" w:fill="FFFFFF"/>
                          </w:rPr>
                          <w:t>it</w:t>
                        </w:r>
                        <w:proofErr w:type="spellEnd"/>
                        <w:r w:rsidRPr="00420361">
                          <w:rPr>
                            <w:rFonts w:eastAsia="Times New Roman"/>
                            <w:i/>
                            <w:iCs/>
                            <w:szCs w:val="24"/>
                            <w:bdr w:val="none" w:sz="0" w:space="0" w:color="auto" w:frame="1"/>
                            <w:shd w:val="clear" w:color="auto" w:fill="FFFFFF"/>
                          </w:rPr>
                          <w:t>.</w:t>
                        </w:r>
                        <w:r w:rsidRPr="00420361">
                          <w:rPr>
                            <w:rFonts w:eastAsia="Times New Roman"/>
                            <w:szCs w:val="24"/>
                            <w:bdr w:val="none" w:sz="0" w:space="0" w:color="auto" w:frame="1"/>
                            <w:shd w:val="clear" w:color="auto" w:fill="FFFFFF"/>
                          </w:rPr>
                          <w:t>, 2007, 2675, con nota di CARNEVALE), la quale, nel richiamare il proprio precedente, di cui alla sentenza 27 gennaio 1995, n. 29 (in </w:t>
                        </w:r>
                        <w:r w:rsidRPr="00420361">
                          <w:rPr>
                            <w:rFonts w:eastAsia="Times New Roman"/>
                            <w:i/>
                            <w:iCs/>
                            <w:szCs w:val="24"/>
                            <w:bdr w:val="none" w:sz="0" w:space="0" w:color="auto" w:frame="1"/>
                            <w:shd w:val="clear" w:color="auto" w:fill="FFFFFF"/>
                          </w:rPr>
                          <w:t xml:space="preserve">Foro </w:t>
                        </w:r>
                        <w:proofErr w:type="spellStart"/>
                        <w:r w:rsidRPr="00420361">
                          <w:rPr>
                            <w:rFonts w:eastAsia="Times New Roman"/>
                            <w:i/>
                            <w:iCs/>
                            <w:szCs w:val="24"/>
                            <w:bdr w:val="none" w:sz="0" w:space="0" w:color="auto" w:frame="1"/>
                            <w:shd w:val="clear" w:color="auto" w:fill="FFFFFF"/>
                          </w:rPr>
                          <w:t>it</w:t>
                        </w:r>
                        <w:proofErr w:type="spellEnd"/>
                        <w:r w:rsidRPr="00420361">
                          <w:rPr>
                            <w:rFonts w:eastAsia="Times New Roman"/>
                            <w:i/>
                            <w:iCs/>
                            <w:szCs w:val="24"/>
                            <w:bdr w:val="none" w:sz="0" w:space="0" w:color="auto" w:frame="1"/>
                            <w:shd w:val="clear" w:color="auto" w:fill="FFFFFF"/>
                          </w:rPr>
                          <w:t>.</w:t>
                        </w:r>
                        <w:r w:rsidRPr="00420361">
                          <w:rPr>
                            <w:rFonts w:eastAsia="Times New Roman"/>
                            <w:szCs w:val="24"/>
                            <w:bdr w:val="none" w:sz="0" w:space="0" w:color="auto" w:frame="1"/>
                            <w:shd w:val="clear" w:color="auto" w:fill="FFFFFF"/>
                          </w:rPr>
                          <w:t>, 1996, I, 1157, con nota di D’AURIA, in </w:t>
                        </w:r>
                        <w:r w:rsidRPr="00420361">
                          <w:rPr>
                            <w:rFonts w:eastAsia="Times New Roman"/>
                            <w:i/>
                            <w:iCs/>
                            <w:szCs w:val="24"/>
                            <w:bdr w:val="none" w:sz="0" w:space="0" w:color="auto" w:frame="1"/>
                            <w:shd w:val="clear" w:color="auto" w:fill="FFFFFF"/>
                          </w:rPr>
                          <w:t xml:space="preserve">Giur. </w:t>
                        </w:r>
                        <w:proofErr w:type="spellStart"/>
                        <w:r w:rsidRPr="00420361">
                          <w:rPr>
                            <w:rFonts w:eastAsia="Times New Roman"/>
                            <w:i/>
                            <w:iCs/>
                            <w:szCs w:val="24"/>
                            <w:bdr w:val="none" w:sz="0" w:space="0" w:color="auto" w:frame="1"/>
                            <w:shd w:val="clear" w:color="auto" w:fill="FFFFFF"/>
                          </w:rPr>
                          <w:t>costit</w:t>
                        </w:r>
                        <w:proofErr w:type="spellEnd"/>
                        <w:r w:rsidRPr="00420361">
                          <w:rPr>
                            <w:rFonts w:eastAsia="Times New Roman"/>
                            <w:i/>
                            <w:iCs/>
                            <w:szCs w:val="24"/>
                            <w:bdr w:val="none" w:sz="0" w:space="0" w:color="auto" w:frame="1"/>
                            <w:shd w:val="clear" w:color="auto" w:fill="FFFFFF"/>
                          </w:rPr>
                          <w:t>.</w:t>
                        </w:r>
                        <w:r w:rsidRPr="00420361">
                          <w:rPr>
                            <w:rFonts w:eastAsia="Times New Roman"/>
                            <w:szCs w:val="24"/>
                            <w:bdr w:val="none" w:sz="0" w:space="0" w:color="auto" w:frame="1"/>
                            <w:shd w:val="clear" w:color="auto" w:fill="FFFFFF"/>
                          </w:rPr>
                          <w:t>, 1995, 3677, con nota di NASI, in </w:t>
                        </w:r>
                        <w:proofErr w:type="spellStart"/>
                        <w:r w:rsidRPr="00420361">
                          <w:rPr>
                            <w:rFonts w:eastAsia="Times New Roman"/>
                            <w:i/>
                            <w:iCs/>
                            <w:szCs w:val="24"/>
                            <w:bdr w:val="none" w:sz="0" w:space="0" w:color="auto" w:frame="1"/>
                            <w:shd w:val="clear" w:color="auto" w:fill="FFFFFF"/>
                          </w:rPr>
                          <w:t>Riv</w:t>
                        </w:r>
                        <w:proofErr w:type="spellEnd"/>
                        <w:r w:rsidRPr="00420361">
                          <w:rPr>
                            <w:rFonts w:eastAsia="Times New Roman"/>
                            <w:i/>
                            <w:iCs/>
                            <w:szCs w:val="24"/>
                            <w:bdr w:val="none" w:sz="0" w:space="0" w:color="auto" w:frame="1"/>
                            <w:shd w:val="clear" w:color="auto" w:fill="FFFFFF"/>
                          </w:rPr>
                          <w:t xml:space="preserve">. </w:t>
                        </w:r>
                        <w:proofErr w:type="spellStart"/>
                        <w:r w:rsidRPr="00420361">
                          <w:rPr>
                            <w:rFonts w:eastAsia="Times New Roman"/>
                            <w:i/>
                            <w:iCs/>
                            <w:szCs w:val="24"/>
                            <w:bdr w:val="none" w:sz="0" w:space="0" w:color="auto" w:frame="1"/>
                            <w:shd w:val="clear" w:color="auto" w:fill="FFFFFF"/>
                          </w:rPr>
                          <w:t>amm</w:t>
                        </w:r>
                        <w:proofErr w:type="spellEnd"/>
                        <w:r w:rsidRPr="00420361">
                          <w:rPr>
                            <w:rFonts w:eastAsia="Times New Roman"/>
                            <w:i/>
                            <w:iCs/>
                            <w:szCs w:val="24"/>
                            <w:bdr w:val="none" w:sz="0" w:space="0" w:color="auto" w:frame="1"/>
                            <w:shd w:val="clear" w:color="auto" w:fill="FFFFFF"/>
                          </w:rPr>
                          <w:t>.</w:t>
                        </w:r>
                        <w:r w:rsidRPr="00420361">
                          <w:rPr>
                            <w:rFonts w:eastAsia="Times New Roman"/>
                            <w:szCs w:val="24"/>
                            <w:bdr w:val="none" w:sz="0" w:space="0" w:color="auto" w:frame="1"/>
                            <w:shd w:val="clear" w:color="auto" w:fill="FFFFFF"/>
                          </w:rPr>
                          <w:t> 1996, 257 (m), con nota di SORRENTINO, in </w:t>
                        </w:r>
                        <w:r w:rsidRPr="00420361">
                          <w:rPr>
                            <w:rFonts w:eastAsia="Times New Roman"/>
                            <w:i/>
                            <w:iCs/>
                            <w:szCs w:val="24"/>
                            <w:bdr w:val="none" w:sz="0" w:space="0" w:color="auto" w:frame="1"/>
                            <w:shd w:val="clear" w:color="auto" w:fill="FFFFFF"/>
                          </w:rPr>
                          <w:t>Le</w:t>
                        </w:r>
                        <w:r w:rsidRPr="00420361">
                          <w:rPr>
                            <w:rFonts w:eastAsia="Times New Roman"/>
                            <w:szCs w:val="24"/>
                            <w:bdr w:val="none" w:sz="0" w:space="0" w:color="auto" w:frame="1"/>
                            <w:shd w:val="clear" w:color="auto" w:fill="FFFFFF"/>
                          </w:rPr>
                          <w:t> </w:t>
                        </w:r>
                        <w:r w:rsidRPr="00420361">
                          <w:rPr>
                            <w:rFonts w:eastAsia="Times New Roman"/>
                            <w:i/>
                            <w:iCs/>
                            <w:szCs w:val="24"/>
                            <w:bdr w:val="none" w:sz="0" w:space="0" w:color="auto" w:frame="1"/>
                            <w:shd w:val="clear" w:color="auto" w:fill="FFFFFF"/>
                          </w:rPr>
                          <w:t>Regioni</w:t>
                        </w:r>
                        <w:r w:rsidRPr="00420361">
                          <w:rPr>
                            <w:rFonts w:eastAsia="Times New Roman"/>
                            <w:szCs w:val="24"/>
                            <w:bdr w:val="none" w:sz="0" w:space="0" w:color="auto" w:frame="1"/>
                            <w:shd w:val="clear" w:color="auto" w:fill="FFFFFF"/>
                          </w:rPr>
                          <w:t>, 1995, 1067, con nota di PASTORI, PITRUZZELLA), sottolinea come «</w:t>
                        </w:r>
                        <w:r w:rsidRPr="00420361">
                          <w:rPr>
                            <w:rFonts w:eastAsia="Times New Roman"/>
                            <w:i/>
                            <w:iCs/>
                            <w:szCs w:val="24"/>
                            <w:bdr w:val="none" w:sz="0" w:space="0" w:color="auto" w:frame="1"/>
                            <w:shd w:val="clear" w:color="auto" w:fill="FFFFFF"/>
                          </w:rPr>
                          <w:t>il principio secondo cui il difetto dei requisiti del «caso straordinario di necessità e d'urgenza», una volta intervenuta la conversione, si traduce in un vizio </w:t>
                        </w:r>
                        <w:r w:rsidRPr="00420361">
                          <w:rPr>
                            <w:rFonts w:eastAsia="Times New Roman"/>
                            <w:szCs w:val="24"/>
                            <w:bdr w:val="none" w:sz="0" w:space="0" w:color="auto" w:frame="1"/>
                            <w:shd w:val="clear" w:color="auto" w:fill="FFFFFF"/>
                          </w:rPr>
                          <w:t>in procedendo</w:t>
                        </w:r>
                        <w:r w:rsidRPr="00420361">
                          <w:rPr>
                            <w:rFonts w:eastAsia="Times New Roman"/>
                            <w:i/>
                            <w:iCs/>
                            <w:szCs w:val="24"/>
                            <w:bdr w:val="none" w:sz="0" w:space="0" w:color="auto" w:frame="1"/>
                            <w:shd w:val="clear" w:color="auto" w:fill="FFFFFF"/>
                          </w:rPr>
                          <w:t> della relativa legge</w:t>
                        </w:r>
                        <w:r w:rsidRPr="00420361">
                          <w:rPr>
                            <w:rFonts w:eastAsia="Times New Roman"/>
                            <w:szCs w:val="24"/>
                            <w:bdr w:val="none" w:sz="0" w:space="0" w:color="auto" w:frame="1"/>
                            <w:shd w:val="clear" w:color="auto" w:fill="FFFFFF"/>
                          </w:rPr>
                          <w:t>»;</w:t>
                        </w:r>
                      </w:p>
                      <w:p w:rsidR="00637A33" w:rsidRPr="00420361" w:rsidRDefault="00637A33" w:rsidP="00D53B99">
                        <w:pPr>
                          <w:shd w:val="clear" w:color="auto" w:fill="FFFFFF"/>
                          <w:spacing w:line="240" w:lineRule="auto"/>
                          <w:ind w:left="1701" w:hanging="567"/>
                          <w:rPr>
                            <w:rFonts w:eastAsia="Times New Roman"/>
                            <w:szCs w:val="24"/>
                          </w:rPr>
                        </w:pPr>
                        <w:r w:rsidRPr="00420361">
                          <w:rPr>
                            <w:rFonts w:eastAsia="Times New Roman"/>
                            <w:i/>
                            <w:iCs/>
                            <w:szCs w:val="24"/>
                            <w:bdr w:val="none" w:sz="0" w:space="0" w:color="auto" w:frame="1"/>
                            <w:shd w:val="clear" w:color="auto" w:fill="FFFFFF"/>
                          </w:rPr>
                          <w:t>   j6</w:t>
                        </w:r>
                        <w:r w:rsidRPr="00420361">
                          <w:rPr>
                            <w:rFonts w:eastAsia="Times New Roman"/>
                            <w:szCs w:val="24"/>
                            <w:bdr w:val="none" w:sz="0" w:space="0" w:color="auto" w:frame="1"/>
                            <w:shd w:val="clear" w:color="auto" w:fill="FFFFFF"/>
                          </w:rPr>
                          <w:t xml:space="preserve">) che, infatti, il </w:t>
                        </w:r>
                        <w:proofErr w:type="spellStart"/>
                        <w:r w:rsidRPr="00420361">
                          <w:rPr>
                            <w:rFonts w:eastAsia="Times New Roman"/>
                            <w:szCs w:val="24"/>
                            <w:bdr w:val="none" w:sz="0" w:space="0" w:color="auto" w:frame="1"/>
                            <w:shd w:val="clear" w:color="auto" w:fill="FFFFFF"/>
                          </w:rPr>
                          <w:t>d.l.</w:t>
                        </w:r>
                        <w:proofErr w:type="spellEnd"/>
                        <w:r w:rsidRPr="00420361">
                          <w:rPr>
                            <w:rFonts w:eastAsia="Times New Roman"/>
                            <w:szCs w:val="24"/>
                            <w:bdr w:val="none" w:sz="0" w:space="0" w:color="auto" w:frame="1"/>
                            <w:shd w:val="clear" w:color="auto" w:fill="FFFFFF"/>
                          </w:rPr>
                          <w:t xml:space="preserve"> n. 85 del 2022 – nel richiamare la “</w:t>
                        </w:r>
                        <w:r w:rsidRPr="00420361">
                          <w:rPr>
                            <w:rFonts w:eastAsia="Times New Roman"/>
                            <w:i/>
                            <w:iCs/>
                            <w:szCs w:val="24"/>
                            <w:bdr w:val="none" w:sz="0" w:space="0" w:color="auto" w:frame="1"/>
                            <w:shd w:val="clear" w:color="auto" w:fill="FFFFFF"/>
                          </w:rPr>
                          <w:t>straordinaria necessità e urgenza in ragione della strategicità delle infrastrutture autostradali, di definire, in caso di estinzione della concessione per inadempimento del concessionario e fermo il diritto del concedente al risarcimento dei danni cagionati da detto inadempimento, le modalità di determinazione dell'indennizzo</w:t>
                        </w:r>
                        <w:r w:rsidRPr="00420361">
                          <w:rPr>
                            <w:rFonts w:eastAsia="Times New Roman"/>
                            <w:szCs w:val="24"/>
                            <w:bdr w:val="none" w:sz="0" w:space="0" w:color="auto" w:frame="1"/>
                            <w:shd w:val="clear" w:color="auto" w:fill="FFFFFF"/>
                          </w:rPr>
                          <w:t>” ed ancora, la “</w:t>
                        </w:r>
                        <w:r w:rsidRPr="00420361">
                          <w:rPr>
                            <w:rFonts w:eastAsia="Times New Roman"/>
                            <w:i/>
                            <w:iCs/>
                            <w:szCs w:val="24"/>
                            <w:bdr w:val="none" w:sz="0" w:space="0" w:color="auto" w:frame="1"/>
                            <w:shd w:val="clear" w:color="auto" w:fill="FFFFFF"/>
                          </w:rPr>
                          <w:t xml:space="preserve">straordinaria necessità e urgenza, in ragione dell'intervenuta cessazione per grave inadempimento del concessionario della concessione relativa alle autostrade A24 e A25, della classificazione di dette autostrade quali opere strategiche per le finalità di protezione civile (…) e della necessità di assicurare la continuità della circolazione in condizioni di sicurezza, prevedere l'immediato subentro della società ANAS </w:t>
                        </w:r>
                        <w:proofErr w:type="spellStart"/>
                        <w:r w:rsidRPr="00420361">
                          <w:rPr>
                            <w:rFonts w:eastAsia="Times New Roman"/>
                            <w:i/>
                            <w:iCs/>
                            <w:szCs w:val="24"/>
                            <w:bdr w:val="none" w:sz="0" w:space="0" w:color="auto" w:frame="1"/>
                            <w:shd w:val="clear" w:color="auto" w:fill="FFFFFF"/>
                          </w:rPr>
                          <w:t>s.p.a.</w:t>
                        </w:r>
                        <w:proofErr w:type="spellEnd"/>
                        <w:r w:rsidRPr="00420361">
                          <w:rPr>
                            <w:rFonts w:eastAsia="Times New Roman"/>
                            <w:i/>
                            <w:iCs/>
                            <w:szCs w:val="24"/>
                            <w:bdr w:val="none" w:sz="0" w:space="0" w:color="auto" w:frame="1"/>
                            <w:shd w:val="clear" w:color="auto" w:fill="FFFFFF"/>
                          </w:rPr>
                          <w:t xml:space="preserve"> nella gestione delle autostrade A24 e A25</w:t>
                        </w:r>
                        <w:r w:rsidRPr="00420361">
                          <w:rPr>
                            <w:rFonts w:eastAsia="Times New Roman"/>
                            <w:szCs w:val="24"/>
                            <w:bdr w:val="none" w:sz="0" w:space="0" w:color="auto" w:frame="1"/>
                            <w:shd w:val="clear" w:color="auto" w:fill="FFFFFF"/>
                          </w:rPr>
                          <w:t xml:space="preserve">” – nonché il successivo </w:t>
                        </w:r>
                        <w:proofErr w:type="spellStart"/>
                        <w:r w:rsidRPr="00420361">
                          <w:rPr>
                            <w:rFonts w:eastAsia="Times New Roman"/>
                            <w:szCs w:val="24"/>
                            <w:bdr w:val="none" w:sz="0" w:space="0" w:color="auto" w:frame="1"/>
                            <w:shd w:val="clear" w:color="auto" w:fill="FFFFFF"/>
                          </w:rPr>
                          <w:t>d.l.</w:t>
                        </w:r>
                        <w:proofErr w:type="spellEnd"/>
                        <w:r w:rsidRPr="00420361">
                          <w:rPr>
                            <w:rFonts w:eastAsia="Times New Roman"/>
                            <w:szCs w:val="24"/>
                            <w:bdr w:val="none" w:sz="0" w:space="0" w:color="auto" w:frame="1"/>
                            <w:shd w:val="clear" w:color="auto" w:fill="FFFFFF"/>
                          </w:rPr>
                          <w:t xml:space="preserve"> n. 68 del 2022, convertito in legge n. 108 del 2022 (che ha abrogato il </w:t>
                        </w:r>
                        <w:proofErr w:type="spellStart"/>
                        <w:r w:rsidRPr="00420361">
                          <w:rPr>
                            <w:rFonts w:eastAsia="Times New Roman"/>
                            <w:szCs w:val="24"/>
                            <w:bdr w:val="none" w:sz="0" w:space="0" w:color="auto" w:frame="1"/>
                            <w:shd w:val="clear" w:color="auto" w:fill="FFFFFF"/>
                          </w:rPr>
                          <w:t>d.l.</w:t>
                        </w:r>
                        <w:proofErr w:type="spellEnd"/>
                        <w:r w:rsidRPr="00420361">
                          <w:rPr>
                            <w:rFonts w:eastAsia="Times New Roman"/>
                            <w:szCs w:val="24"/>
                            <w:bdr w:val="none" w:sz="0" w:space="0" w:color="auto" w:frame="1"/>
                            <w:shd w:val="clear" w:color="auto" w:fill="FFFFFF"/>
                          </w:rPr>
                          <w:t xml:space="preserve"> n. 85 del 2022 e che, di conseguenza, costituisce l’unica normativa da applicare al caso di specie) – nel richiamare una generale “</w:t>
                        </w:r>
                        <w:r w:rsidRPr="00420361">
                          <w:rPr>
                            <w:rFonts w:eastAsia="Times New Roman"/>
                            <w:i/>
                            <w:iCs/>
                            <w:szCs w:val="24"/>
                            <w:bdr w:val="none" w:sz="0" w:space="0" w:color="auto" w:frame="1"/>
                            <w:shd w:val="clear" w:color="auto" w:fill="FFFFFF"/>
                          </w:rPr>
                          <w:t>necessità ed urgenza di adottare disposizioni finalizzate al rilancio del settore dei trasporti aerei, terrestri e marittimi</w:t>
                        </w:r>
                        <w:r w:rsidRPr="00420361">
                          <w:rPr>
                            <w:rFonts w:eastAsia="Times New Roman"/>
                            <w:szCs w:val="24"/>
                            <w:bdr w:val="none" w:sz="0" w:space="0" w:color="auto" w:frame="1"/>
                            <w:shd w:val="clear" w:color="auto" w:fill="FFFFFF"/>
                          </w:rPr>
                          <w:t xml:space="preserve">” –  non hanno in alcun modo concretamente esplicitato una delle pluralità di situazioni (eventi naturali, comportamenti umani e anche atti e provvedimenti di pubblici poteri) legittimanti la decretazione d’urgenza; e ciò, a differenza della vicenda del ponte “Morandi”, in cui l’adozione del </w:t>
                        </w:r>
                        <w:proofErr w:type="spellStart"/>
                        <w:r w:rsidRPr="00420361">
                          <w:rPr>
                            <w:rFonts w:eastAsia="Times New Roman"/>
                            <w:szCs w:val="24"/>
                            <w:bdr w:val="none" w:sz="0" w:space="0" w:color="auto" w:frame="1"/>
                            <w:shd w:val="clear" w:color="auto" w:fill="FFFFFF"/>
                          </w:rPr>
                          <w:t>d.l.</w:t>
                        </w:r>
                        <w:proofErr w:type="spellEnd"/>
                        <w:r w:rsidRPr="00420361">
                          <w:rPr>
                            <w:rFonts w:eastAsia="Times New Roman"/>
                            <w:szCs w:val="24"/>
                            <w:bdr w:val="none" w:sz="0" w:space="0" w:color="auto" w:frame="1"/>
                            <w:shd w:val="clear" w:color="auto" w:fill="FFFFFF"/>
                          </w:rPr>
                          <w:t xml:space="preserve"> n. 109 del 2018 si fondava sulla “</w:t>
                        </w:r>
                        <w:r w:rsidRPr="00420361">
                          <w:rPr>
                            <w:rFonts w:eastAsia="Times New Roman"/>
                            <w:i/>
                            <w:iCs/>
                            <w:szCs w:val="24"/>
                            <w:bdr w:val="none" w:sz="0" w:space="0" w:color="auto" w:frame="1"/>
                            <w:shd w:val="clear" w:color="auto" w:fill="FFFFFF"/>
                          </w:rPr>
                          <w:t>straordinaria necessità ed urgenza di intraprendere ogni occorrente iniziativa volta al ripristino delle normali condizioni di vita della popolazione colpita dall'evento</w:t>
                        </w:r>
                        <w:r w:rsidRPr="00420361">
                          <w:rPr>
                            <w:rFonts w:eastAsia="Times New Roman"/>
                            <w:szCs w:val="24"/>
                            <w:bdr w:val="none" w:sz="0" w:space="0" w:color="auto" w:frame="1"/>
                            <w:shd w:val="clear" w:color="auto" w:fill="FFFFFF"/>
                          </w:rPr>
                          <w:t>”;</w:t>
                        </w:r>
                      </w:p>
                      <w:p w:rsidR="00637A33" w:rsidRPr="00420361" w:rsidRDefault="00D53B99" w:rsidP="00D53B99">
                        <w:pPr>
                          <w:shd w:val="clear" w:color="auto" w:fill="FFFFFF"/>
                          <w:spacing w:line="240" w:lineRule="auto"/>
                          <w:ind w:left="1701" w:hanging="567"/>
                          <w:rPr>
                            <w:rFonts w:eastAsia="Times New Roman"/>
                            <w:szCs w:val="24"/>
                          </w:rPr>
                        </w:pPr>
                        <w:r w:rsidRPr="00420361">
                          <w:rPr>
                            <w:rFonts w:eastAsia="Times New Roman"/>
                            <w:i/>
                            <w:iCs/>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xml:space="preserve">j7) che non sussistevano gli estremi della straordinarietà e urgenza, giacché i decreti legge in contestazione sono stati emessi all’esito di un procedimento amministrativo durato oltre sei mesi e ormai conclusosi con un provvedimento finale da parte della P.A. la cui sindacabilità da </w:t>
                        </w:r>
                        <w:r w:rsidR="00637A33" w:rsidRPr="00420361">
                          <w:rPr>
                            <w:rFonts w:eastAsia="Times New Roman"/>
                            <w:szCs w:val="24"/>
                            <w:bdr w:val="none" w:sz="0" w:space="0" w:color="auto" w:frame="1"/>
                            <w:shd w:val="clear" w:color="auto" w:fill="FFFFFF"/>
                          </w:rPr>
                          <w:lastRenderedPageBreak/>
                          <w:t>parte del giudice amministrativo è stata “scudata” dal provvedimento legislativo;</w:t>
                        </w:r>
                      </w:p>
                      <w:p w:rsidR="00637A33" w:rsidRPr="00420361" w:rsidRDefault="00637A33" w:rsidP="00E16E30">
                        <w:pPr>
                          <w:shd w:val="clear" w:color="auto" w:fill="FFFFFF"/>
                          <w:spacing w:line="240" w:lineRule="auto"/>
                          <w:ind w:left="680"/>
                          <w:rPr>
                            <w:rFonts w:eastAsia="Times New Roman"/>
                            <w:szCs w:val="24"/>
                          </w:rPr>
                        </w:pPr>
                        <w:r w:rsidRPr="00420361">
                          <w:rPr>
                            <w:rFonts w:eastAsia="Times New Roman"/>
                            <w:szCs w:val="24"/>
                            <w:bdr w:val="none" w:sz="0" w:space="0" w:color="auto" w:frame="1"/>
                            <w:shd w:val="clear" w:color="auto" w:fill="FFFFFF"/>
                          </w:rPr>
                          <w:t xml:space="preserve">k)  un ulteriore profilo di non manifesta infondatezza dell’illegittimità costituzionale dei decreti legge più volte citati, a parere del </w:t>
                        </w:r>
                        <w:proofErr w:type="spellStart"/>
                        <w:r w:rsidRPr="00420361">
                          <w:rPr>
                            <w:rFonts w:eastAsia="Times New Roman"/>
                            <w:szCs w:val="24"/>
                            <w:bdr w:val="none" w:sz="0" w:space="0" w:color="auto" w:frame="1"/>
                            <w:shd w:val="clear" w:color="auto" w:fill="FFFFFF"/>
                          </w:rPr>
                          <w:t>T.a.r</w:t>
                        </w:r>
                        <w:proofErr w:type="spellEnd"/>
                        <w:r w:rsidRPr="00420361">
                          <w:rPr>
                            <w:rFonts w:eastAsia="Times New Roman"/>
                            <w:szCs w:val="24"/>
                            <w:bdr w:val="none" w:sz="0" w:space="0" w:color="auto" w:frame="1"/>
                            <w:shd w:val="clear" w:color="auto" w:fill="FFFFFF"/>
                          </w:rPr>
                          <w:t>., si rinviene nella procurata interferenza di tali atti del potere legislativo nell’andamento di plurimi giudizi pendenti dinnanzi all’autorità giurisdizionale e nella intollerabile compressione del diritto di difesa, in quanto: </w:t>
                        </w:r>
                      </w:p>
                      <w:p w:rsidR="00637A33" w:rsidRPr="00420361" w:rsidRDefault="00E16E30" w:rsidP="00D53B99">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xml:space="preserve">  k1) il procedimento che ha condotto all’adozione del </w:t>
                        </w:r>
                        <w:proofErr w:type="spellStart"/>
                        <w:r w:rsidR="00637A33" w:rsidRPr="00420361">
                          <w:rPr>
                            <w:rFonts w:eastAsia="Times New Roman"/>
                            <w:szCs w:val="24"/>
                            <w:bdr w:val="none" w:sz="0" w:space="0" w:color="auto" w:frame="1"/>
                            <w:shd w:val="clear" w:color="auto" w:fill="FFFFFF"/>
                          </w:rPr>
                          <w:t>d.m.</w:t>
                        </w:r>
                        <w:proofErr w:type="spellEnd"/>
                        <w:r w:rsidR="00637A33" w:rsidRPr="00420361">
                          <w:rPr>
                            <w:rFonts w:eastAsia="Times New Roman"/>
                            <w:szCs w:val="24"/>
                            <w:bdr w:val="none" w:sz="0" w:space="0" w:color="auto" w:frame="1"/>
                            <w:shd w:val="clear" w:color="auto" w:fill="FFFFFF"/>
                          </w:rPr>
                          <w:t xml:space="preserve"> 14 giugno 2022, approvato con decreto interministeriale 7 luglio 2022, si è svolto ai sensi dell’art. 9 della convenzione intercorrente tra il Ministero e il concessionario tramite un contraddittorio procedimentalizzato ai sensi della legge 7 agosto 1990, n. 241, conclusosi – stante la contestazione al concessionario di “</w:t>
                        </w:r>
                        <w:r w:rsidR="00637A33" w:rsidRPr="00420361">
                          <w:rPr>
                            <w:rFonts w:eastAsia="Times New Roman"/>
                            <w:i/>
                            <w:iCs/>
                            <w:szCs w:val="24"/>
                            <w:bdr w:val="none" w:sz="0" w:space="0" w:color="auto" w:frame="1"/>
                            <w:shd w:val="clear" w:color="auto" w:fill="FFFFFF"/>
                          </w:rPr>
                          <w:t>grave e prolungato inadempimento agli obblighi convenzionali e normativi di mantenimento della funzionalità delle infrastrutture concesse</w:t>
                        </w:r>
                        <w:r w:rsidR="00637A33" w:rsidRPr="00420361">
                          <w:rPr>
                            <w:rFonts w:eastAsia="Times New Roman"/>
                            <w:szCs w:val="24"/>
                            <w:bdr w:val="none" w:sz="0" w:space="0" w:color="auto" w:frame="1"/>
                            <w:shd w:val="clear" w:color="auto" w:fill="FFFFFF"/>
                          </w:rPr>
                          <w:t>”, nonché di “</w:t>
                        </w:r>
                        <w:r w:rsidR="00637A33" w:rsidRPr="00420361">
                          <w:rPr>
                            <w:rFonts w:eastAsia="Times New Roman"/>
                            <w:i/>
                            <w:iCs/>
                            <w:szCs w:val="24"/>
                            <w:bdr w:val="none" w:sz="0" w:space="0" w:color="auto" w:frame="1"/>
                            <w:shd w:val="clear" w:color="auto" w:fill="FFFFFF"/>
                          </w:rPr>
                          <w:t>una complessiva condotta negligente tenuta dal concessionario nell’espletamento della propria attività di manutenzione e gestione dell’infrastruttura concessa, e dei propri obblighi di custodia</w:t>
                        </w:r>
                        <w:r w:rsidR="00637A33" w:rsidRPr="00420361">
                          <w:rPr>
                            <w:rFonts w:eastAsia="Times New Roman"/>
                            <w:szCs w:val="24"/>
                            <w:bdr w:val="none" w:sz="0" w:space="0" w:color="auto" w:frame="1"/>
                            <w:shd w:val="clear" w:color="auto" w:fill="FFFFFF"/>
                          </w:rPr>
                          <w:t>”, direttamente discendenti dall’art. 14 del d.lgs. 30 aprile 1992, n. 285 (nuovo Codice della Strada) – con l’affermazione della gravità, definitività e irrimediabilità dell’inadempimento, implicante la risoluzione della convenzione unica, così non trovando applicazione il relativo art. 9-</w:t>
                        </w:r>
                        <w:r w:rsidR="00637A33" w:rsidRPr="00420361">
                          <w:rPr>
                            <w:rFonts w:eastAsia="Times New Roman"/>
                            <w:i/>
                            <w:iCs/>
                            <w:szCs w:val="24"/>
                            <w:bdr w:val="none" w:sz="0" w:space="0" w:color="auto" w:frame="1"/>
                            <w:shd w:val="clear" w:color="auto" w:fill="FFFFFF"/>
                          </w:rPr>
                          <w:t>bis</w:t>
                        </w:r>
                        <w:r w:rsidR="00637A33" w:rsidRPr="00420361">
                          <w:rPr>
                            <w:rFonts w:eastAsia="Times New Roman"/>
                            <w:szCs w:val="24"/>
                            <w:bdr w:val="none" w:sz="0" w:space="0" w:color="auto" w:frame="1"/>
                            <w:shd w:val="clear" w:color="auto" w:fill="FFFFFF"/>
                          </w:rPr>
                          <w:t>.4 – disciplinante le altre forme di scioglimento unilaterale del vincolo da parte del concedente diverse dalla risoluzione per inadempimento –  secondo cui “</w:t>
                        </w:r>
                        <w:r w:rsidR="00637A33" w:rsidRPr="00420361">
                          <w:rPr>
                            <w:rFonts w:eastAsia="Times New Roman"/>
                            <w:i/>
                            <w:iCs/>
                            <w:szCs w:val="24"/>
                            <w:bdr w:val="none" w:sz="0" w:space="0" w:color="auto" w:frame="1"/>
                            <w:shd w:val="clear" w:color="auto" w:fill="FFFFFF"/>
                          </w:rPr>
                          <w:t>l’efficacia della revoca della concessione è sottoposta alla condizione del pagamento da parte del concedente di tutte le somme previste dallo stesso art. 9 bis, non venendo in rilievo, in questo caso, un’ipotesi di scioglimento della convenzione per inadempimento del concedente o per motivi di pubblico interesse</w:t>
                        </w:r>
                        <w:r w:rsidR="00637A33" w:rsidRPr="00420361">
                          <w:rPr>
                            <w:rFonts w:eastAsia="Times New Roman"/>
                            <w:szCs w:val="24"/>
                            <w:bdr w:val="none" w:sz="0" w:space="0" w:color="auto" w:frame="1"/>
                            <w:shd w:val="clear" w:color="auto" w:fill="FFFFFF"/>
                          </w:rPr>
                          <w:t>”;</w:t>
                        </w:r>
                      </w:p>
                      <w:p w:rsidR="00637A33" w:rsidRPr="00420361" w:rsidRDefault="00E16E30" w:rsidP="00D53B99">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xml:space="preserve">  k2) alla data di entrata in vigore dell’art. 2 del </w:t>
                        </w:r>
                        <w:proofErr w:type="spellStart"/>
                        <w:r w:rsidR="00637A33" w:rsidRPr="00420361">
                          <w:rPr>
                            <w:rFonts w:eastAsia="Times New Roman"/>
                            <w:szCs w:val="24"/>
                            <w:bdr w:val="none" w:sz="0" w:space="0" w:color="auto" w:frame="1"/>
                            <w:shd w:val="clear" w:color="auto" w:fill="FFFFFF"/>
                          </w:rPr>
                          <w:t>d.l.</w:t>
                        </w:r>
                        <w:proofErr w:type="spellEnd"/>
                        <w:r w:rsidR="00637A33" w:rsidRPr="00420361">
                          <w:rPr>
                            <w:rFonts w:eastAsia="Times New Roman"/>
                            <w:szCs w:val="24"/>
                            <w:bdr w:val="none" w:sz="0" w:space="0" w:color="auto" w:frame="1"/>
                            <w:shd w:val="clear" w:color="auto" w:fill="FFFFFF"/>
                          </w:rPr>
                          <w:t xml:space="preserve"> n. 85 del 2022 (8 luglio 2022) era stato (da tempo) depositato il ricorso iscritto al </w:t>
                        </w:r>
                        <w:proofErr w:type="spellStart"/>
                        <w:r w:rsidR="00637A33" w:rsidRPr="00420361">
                          <w:rPr>
                            <w:rFonts w:eastAsia="Times New Roman"/>
                            <w:szCs w:val="24"/>
                            <w:bdr w:val="none" w:sz="0" w:space="0" w:color="auto" w:frame="1"/>
                            <w:shd w:val="clear" w:color="auto" w:fill="FFFFFF"/>
                          </w:rPr>
                          <w:t>r.g</w:t>
                        </w:r>
                        <w:proofErr w:type="spellEnd"/>
                        <w:r w:rsidR="00637A33" w:rsidRPr="00420361">
                          <w:rPr>
                            <w:rFonts w:eastAsia="Times New Roman"/>
                            <w:szCs w:val="24"/>
                            <w:bdr w:val="none" w:sz="0" w:space="0" w:color="auto" w:frame="1"/>
                            <w:shd w:val="clear" w:color="auto" w:fill="FFFFFF"/>
                          </w:rPr>
                          <w:t xml:space="preserve">. 1453/2022 (11 febbraio 2022), con il quale (ci si riferisce al ricorso introduttivo ed ai motivi aggiunti successivamente proposti) erano stati impugnati i provvedimenti ministeriali di contestazione di gravi inadempimenti del rapporto </w:t>
                        </w:r>
                        <w:proofErr w:type="spellStart"/>
                        <w:r w:rsidR="00637A33" w:rsidRPr="00420361">
                          <w:rPr>
                            <w:rFonts w:eastAsia="Times New Roman"/>
                            <w:szCs w:val="24"/>
                            <w:bdr w:val="none" w:sz="0" w:space="0" w:color="auto" w:frame="1"/>
                            <w:shd w:val="clear" w:color="auto" w:fill="FFFFFF"/>
                          </w:rPr>
                          <w:t>concessorio</w:t>
                        </w:r>
                        <w:proofErr w:type="spellEnd"/>
                        <w:r w:rsidR="00637A33" w:rsidRPr="00420361">
                          <w:rPr>
                            <w:rFonts w:eastAsia="Times New Roman"/>
                            <w:szCs w:val="24"/>
                            <w:bdr w:val="none" w:sz="0" w:space="0" w:color="auto" w:frame="1"/>
                            <w:shd w:val="clear" w:color="auto" w:fill="FFFFFF"/>
                          </w:rPr>
                          <w:t xml:space="preserve">, tutti prodromici all’adozione del </w:t>
                        </w:r>
                        <w:proofErr w:type="spellStart"/>
                        <w:r w:rsidR="00637A33" w:rsidRPr="00420361">
                          <w:rPr>
                            <w:rFonts w:eastAsia="Times New Roman"/>
                            <w:szCs w:val="24"/>
                            <w:bdr w:val="none" w:sz="0" w:space="0" w:color="auto" w:frame="1"/>
                            <w:shd w:val="clear" w:color="auto" w:fill="FFFFFF"/>
                          </w:rPr>
                          <w:t>d.m.</w:t>
                        </w:r>
                        <w:proofErr w:type="spellEnd"/>
                        <w:r w:rsidR="00637A33" w:rsidRPr="00420361">
                          <w:rPr>
                            <w:rFonts w:eastAsia="Times New Roman"/>
                            <w:szCs w:val="24"/>
                            <w:bdr w:val="none" w:sz="0" w:space="0" w:color="auto" w:frame="1"/>
                            <w:shd w:val="clear" w:color="auto" w:fill="FFFFFF"/>
                          </w:rPr>
                          <w:t xml:space="preserve"> 14 giugno 2022, approvato con decreto interministeriale 7 luglio 2022, anch’essi poi gravati, unitamente alla proposizione della domanda di disapplicazione degli artt. 1 e 2 del </w:t>
                        </w:r>
                        <w:proofErr w:type="spellStart"/>
                        <w:r w:rsidR="00637A33" w:rsidRPr="00420361">
                          <w:rPr>
                            <w:rFonts w:eastAsia="Times New Roman"/>
                            <w:szCs w:val="24"/>
                            <w:bdr w:val="none" w:sz="0" w:space="0" w:color="auto" w:frame="1"/>
                            <w:shd w:val="clear" w:color="auto" w:fill="FFFFFF"/>
                          </w:rPr>
                          <w:t>d.l.</w:t>
                        </w:r>
                        <w:proofErr w:type="spellEnd"/>
                        <w:r w:rsidR="00637A33" w:rsidRPr="00420361">
                          <w:rPr>
                            <w:rFonts w:eastAsia="Times New Roman"/>
                            <w:szCs w:val="24"/>
                            <w:bdr w:val="none" w:sz="0" w:space="0" w:color="auto" w:frame="1"/>
                            <w:shd w:val="clear" w:color="auto" w:fill="FFFFFF"/>
                          </w:rPr>
                          <w:t xml:space="preserve"> n. 85 del 2022 (ovvero, previo promovimento della questione afferente alla loro legittimità costituzionale ed avente ad oggetto anche l’art. 35 del </w:t>
                        </w:r>
                        <w:proofErr w:type="spellStart"/>
                        <w:r w:rsidR="00637A33" w:rsidRPr="00420361">
                          <w:rPr>
                            <w:rFonts w:eastAsia="Times New Roman"/>
                            <w:szCs w:val="24"/>
                            <w:bdr w:val="none" w:sz="0" w:space="0" w:color="auto" w:frame="1"/>
                            <w:shd w:val="clear" w:color="auto" w:fill="FFFFFF"/>
                          </w:rPr>
                          <w:t>d.l.</w:t>
                        </w:r>
                        <w:proofErr w:type="spellEnd"/>
                        <w:r w:rsidR="00637A33" w:rsidRPr="00420361">
                          <w:rPr>
                            <w:rFonts w:eastAsia="Times New Roman"/>
                            <w:szCs w:val="24"/>
                            <w:bdr w:val="none" w:sz="0" w:space="0" w:color="auto" w:frame="1"/>
                            <w:shd w:val="clear" w:color="auto" w:fill="FFFFFF"/>
                          </w:rPr>
                          <w:t xml:space="preserve"> n. 162/2019), nel ricorso iscritto al R.G. 8175/2022, depositato l’11 luglio 2022;</w:t>
                        </w:r>
                      </w:p>
                      <w:p w:rsidR="00637A33" w:rsidRPr="00420361" w:rsidRDefault="00637A33" w:rsidP="00D53B99">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xml:space="preserve"> k3) l’intervenuta </w:t>
                        </w:r>
                        <w:proofErr w:type="spellStart"/>
                        <w:r w:rsidRPr="00420361">
                          <w:rPr>
                            <w:rFonts w:eastAsia="Times New Roman"/>
                            <w:szCs w:val="24"/>
                            <w:bdr w:val="none" w:sz="0" w:space="0" w:color="auto" w:frame="1"/>
                            <w:shd w:val="clear" w:color="auto" w:fill="FFFFFF"/>
                          </w:rPr>
                          <w:t>legificazione</w:t>
                        </w:r>
                        <w:proofErr w:type="spellEnd"/>
                        <w:r w:rsidRPr="00420361">
                          <w:rPr>
                            <w:rFonts w:eastAsia="Times New Roman"/>
                            <w:szCs w:val="24"/>
                            <w:bdr w:val="none" w:sz="0" w:space="0" w:color="auto" w:frame="1"/>
                            <w:shd w:val="clear" w:color="auto" w:fill="FFFFFF"/>
                          </w:rPr>
                          <w:t xml:space="preserve"> degli esiti di un procedimento amministrativo, già impugnati dinnanzi all’autorità giurisdizionale, secondo la giurisprudenza della </w:t>
                        </w:r>
                        <w:hyperlink r:id="rId19" w:history="1">
                          <w:r w:rsidRPr="00420361">
                            <w:rPr>
                              <w:rStyle w:val="Collegamentoipertestuale"/>
                              <w:rFonts w:eastAsia="Times New Roman"/>
                              <w:color w:val="auto"/>
                              <w:szCs w:val="24"/>
                              <w:bdr w:val="none" w:sz="0" w:space="0" w:color="auto" w:frame="1"/>
                              <w:shd w:val="clear" w:color="auto" w:fill="FFFFFF"/>
                            </w:rPr>
                            <w:t>C.E.D.U. (15 aprile 2014, ric. 21838/10, </w:t>
                          </w:r>
                          <w:proofErr w:type="spellStart"/>
                          <w:r w:rsidRPr="00420361">
                            <w:rPr>
                              <w:rStyle w:val="Collegamentoipertestuale"/>
                              <w:rFonts w:eastAsia="Times New Roman"/>
                              <w:i/>
                              <w:iCs/>
                              <w:color w:val="auto"/>
                              <w:szCs w:val="24"/>
                              <w:bdr w:val="none" w:sz="0" w:space="0" w:color="auto" w:frame="1"/>
                              <w:shd w:val="clear" w:color="auto" w:fill="FFFFFF"/>
                            </w:rPr>
                            <w:t>Stefanetti</w:t>
                          </w:r>
                          <w:proofErr w:type="spellEnd"/>
                          <w:r w:rsidRPr="00420361">
                            <w:rPr>
                              <w:rStyle w:val="Collegamentoipertestuale"/>
                              <w:rFonts w:eastAsia="Times New Roman"/>
                              <w:i/>
                              <w:iCs/>
                              <w:color w:val="auto"/>
                              <w:szCs w:val="24"/>
                              <w:bdr w:val="none" w:sz="0" w:space="0" w:color="auto" w:frame="1"/>
                              <w:shd w:val="clear" w:color="auto" w:fill="FFFFFF"/>
                            </w:rPr>
                            <w:t xml:space="preserve"> e altri c. Italia</w:t>
                          </w:r>
                          <w:r w:rsidRPr="00420361">
                            <w:rPr>
                              <w:rStyle w:val="Collegamentoipertestuale"/>
                              <w:rFonts w:eastAsia="Times New Roman"/>
                              <w:color w:val="auto"/>
                              <w:szCs w:val="24"/>
                              <w:bdr w:val="none" w:sz="0" w:space="0" w:color="auto" w:frame="1"/>
                              <w:shd w:val="clear" w:color="auto" w:fill="FFFFFF"/>
                            </w:rPr>
                            <w:t xml:space="preserve">,) </w:t>
                          </w:r>
                          <w:r w:rsidRPr="00420361">
                            <w:rPr>
                              <w:rStyle w:val="Collegamentoipertestuale"/>
                              <w:rFonts w:eastAsia="Times New Roman"/>
                              <w:color w:val="auto"/>
                              <w:szCs w:val="24"/>
                              <w:u w:val="none"/>
                              <w:bdr w:val="none" w:sz="0" w:space="0" w:color="auto" w:frame="1"/>
                              <w:shd w:val="clear" w:color="auto" w:fill="FFFFFF"/>
                            </w:rPr>
                            <w:t>può incidere sul principio</w:t>
                          </w:r>
                        </w:hyperlink>
                        <w:r w:rsidRPr="00420361">
                          <w:rPr>
                            <w:rFonts w:eastAsia="Times New Roman"/>
                            <w:szCs w:val="24"/>
                            <w:bdr w:val="none" w:sz="0" w:space="0" w:color="auto" w:frame="1"/>
                            <w:shd w:val="clear" w:color="auto" w:fill="FFFFFF"/>
                          </w:rPr>
                          <w:t xml:space="preserve"> dello stato </w:t>
                        </w:r>
                        <w:r w:rsidRPr="00420361">
                          <w:rPr>
                            <w:rFonts w:eastAsia="Times New Roman"/>
                            <w:szCs w:val="24"/>
                            <w:bdr w:val="none" w:sz="0" w:space="0" w:color="auto" w:frame="1"/>
                            <w:shd w:val="clear" w:color="auto" w:fill="FFFFFF"/>
                          </w:rPr>
                          <w:lastRenderedPageBreak/>
                          <w:t xml:space="preserve">di diritto e sulla nozione di equo processo sanciti dall’articolo 6 che precludono, tranne che per impellenti motivi di interesse generale, l’ingerenza del potere legislativo nell’amministrazione della giustizia con il proposito di influenzare la definizione giudiziaria di una controversia: si vedano, tra molti altri precedenti, anche le seguenti sentenze della </w:t>
                        </w:r>
                        <w:hyperlink r:id="rId20" w:history="1">
                          <w:r w:rsidRPr="00420361">
                            <w:rPr>
                              <w:rStyle w:val="Collegamentoipertestuale"/>
                              <w:rFonts w:eastAsia="Times New Roman"/>
                              <w:color w:val="auto"/>
                              <w:szCs w:val="24"/>
                              <w:bdr w:val="none" w:sz="0" w:space="0" w:color="auto" w:frame="1"/>
                              <w:shd w:val="clear" w:color="auto" w:fill="FFFFFF"/>
                            </w:rPr>
                            <w:t>Corte europea dei diritti dell’uomo: sez. II, 24 giugno 2014,</w:t>
                          </w:r>
                        </w:hyperlink>
                        <w:r w:rsidRPr="00420361">
                          <w:rPr>
                            <w:rFonts w:eastAsia="Times New Roman"/>
                            <w:szCs w:val="24"/>
                            <w:bdr w:val="none" w:sz="0" w:space="0" w:color="auto" w:frame="1"/>
                            <w:shd w:val="clear" w:color="auto" w:fill="FFFFFF"/>
                          </w:rPr>
                          <w:t xml:space="preserve"> ric. </w:t>
                        </w:r>
                        <w:proofErr w:type="spellStart"/>
                        <w:r w:rsidRPr="00420361">
                          <w:rPr>
                            <w:rFonts w:eastAsia="Times New Roman"/>
                            <w:szCs w:val="24"/>
                            <w:bdr w:val="none" w:sz="0" w:space="0" w:color="auto" w:frame="1"/>
                            <w:shd w:val="clear" w:color="auto" w:fill="FFFFFF"/>
                          </w:rPr>
                          <w:t>riun</w:t>
                        </w:r>
                        <w:proofErr w:type="spellEnd"/>
                        <w:r w:rsidRPr="00420361">
                          <w:rPr>
                            <w:rFonts w:eastAsia="Times New Roman"/>
                            <w:szCs w:val="24"/>
                            <w:bdr w:val="none" w:sz="0" w:space="0" w:color="auto" w:frame="1"/>
                            <w:shd w:val="clear" w:color="auto" w:fill="FFFFFF"/>
                          </w:rPr>
                          <w:t xml:space="preserve">. </w:t>
                        </w:r>
                        <w:proofErr w:type="spellStart"/>
                        <w:r w:rsidRPr="00420361">
                          <w:rPr>
                            <w:rFonts w:eastAsia="Times New Roman"/>
                            <w:szCs w:val="24"/>
                            <w:bdr w:val="none" w:sz="0" w:space="0" w:color="auto" w:frame="1"/>
                            <w:shd w:val="clear" w:color="auto" w:fill="FFFFFF"/>
                          </w:rPr>
                          <w:t>nn</w:t>
                        </w:r>
                        <w:proofErr w:type="spellEnd"/>
                        <w:r w:rsidRPr="00420361">
                          <w:rPr>
                            <w:rFonts w:eastAsia="Times New Roman"/>
                            <w:szCs w:val="24"/>
                            <w:bdr w:val="none" w:sz="0" w:space="0" w:color="auto" w:frame="1"/>
                            <w:shd w:val="clear" w:color="auto" w:fill="FFFFFF"/>
                          </w:rPr>
                          <w:t>. 48357/07, 52677/07, 52687/07 e 52701/07, </w:t>
                        </w:r>
                        <w:r w:rsidRPr="00420361">
                          <w:rPr>
                            <w:rFonts w:eastAsia="Times New Roman"/>
                            <w:i/>
                            <w:iCs/>
                            <w:szCs w:val="24"/>
                            <w:bdr w:val="none" w:sz="0" w:space="0" w:color="auto" w:frame="1"/>
                            <w:shd w:val="clear" w:color="auto" w:fill="FFFFFF"/>
                          </w:rPr>
                          <w:t xml:space="preserve">Azienda Agricola </w:t>
                        </w:r>
                        <w:proofErr w:type="spellStart"/>
                        <w:r w:rsidRPr="00420361">
                          <w:rPr>
                            <w:rFonts w:eastAsia="Times New Roman"/>
                            <w:i/>
                            <w:iCs/>
                            <w:szCs w:val="24"/>
                            <w:bdr w:val="none" w:sz="0" w:space="0" w:color="auto" w:frame="1"/>
                            <w:shd w:val="clear" w:color="auto" w:fill="FFFFFF"/>
                          </w:rPr>
                          <w:t>Silverfunghi</w:t>
                        </w:r>
                        <w:proofErr w:type="spellEnd"/>
                        <w:r w:rsidRPr="00420361">
                          <w:rPr>
                            <w:rFonts w:eastAsia="Times New Roman"/>
                            <w:i/>
                            <w:iCs/>
                            <w:szCs w:val="24"/>
                            <w:bdr w:val="none" w:sz="0" w:space="0" w:color="auto" w:frame="1"/>
                            <w:shd w:val="clear" w:color="auto" w:fill="FFFFFF"/>
                          </w:rPr>
                          <w:t xml:space="preserve"> e altri c. Italia</w:t>
                        </w:r>
                        <w:r w:rsidRPr="00420361">
                          <w:rPr>
                            <w:rFonts w:eastAsia="Times New Roman"/>
                            <w:szCs w:val="24"/>
                            <w:bdr w:val="none" w:sz="0" w:space="0" w:color="auto" w:frame="1"/>
                            <w:shd w:val="clear" w:color="auto" w:fill="FFFFFF"/>
                          </w:rPr>
                          <w:t xml:space="preserve">; 7 giugno 2011, ric. </w:t>
                        </w:r>
                        <w:proofErr w:type="spellStart"/>
                        <w:r w:rsidRPr="00420361">
                          <w:rPr>
                            <w:rFonts w:eastAsia="Times New Roman"/>
                            <w:szCs w:val="24"/>
                            <w:bdr w:val="none" w:sz="0" w:space="0" w:color="auto" w:frame="1"/>
                            <w:shd w:val="clear" w:color="auto" w:fill="FFFFFF"/>
                          </w:rPr>
                          <w:t>riun</w:t>
                        </w:r>
                        <w:proofErr w:type="spellEnd"/>
                        <w:r w:rsidRPr="00420361">
                          <w:rPr>
                            <w:rFonts w:eastAsia="Times New Roman"/>
                            <w:szCs w:val="24"/>
                            <w:bdr w:val="none" w:sz="0" w:space="0" w:color="auto" w:frame="1"/>
                            <w:shd w:val="clear" w:color="auto" w:fill="FFFFFF"/>
                          </w:rPr>
                          <w:t xml:space="preserve">. </w:t>
                        </w:r>
                        <w:proofErr w:type="spellStart"/>
                        <w:r w:rsidRPr="00420361">
                          <w:rPr>
                            <w:rFonts w:eastAsia="Times New Roman"/>
                            <w:szCs w:val="24"/>
                            <w:bdr w:val="none" w:sz="0" w:space="0" w:color="auto" w:frame="1"/>
                            <w:shd w:val="clear" w:color="auto" w:fill="FFFFFF"/>
                          </w:rPr>
                          <w:t>nn</w:t>
                        </w:r>
                        <w:proofErr w:type="spellEnd"/>
                        <w:r w:rsidRPr="00420361">
                          <w:rPr>
                            <w:rFonts w:eastAsia="Times New Roman"/>
                            <w:szCs w:val="24"/>
                            <w:bdr w:val="none" w:sz="0" w:space="0" w:color="auto" w:frame="1"/>
                            <w:shd w:val="clear" w:color="auto" w:fill="FFFFFF"/>
                          </w:rPr>
                          <w:t>. 43549/08, 6107/09 e 5087/09, </w:t>
                        </w:r>
                        <w:proofErr w:type="spellStart"/>
                        <w:r w:rsidRPr="00420361">
                          <w:rPr>
                            <w:rFonts w:eastAsia="Times New Roman"/>
                            <w:i/>
                            <w:iCs/>
                            <w:szCs w:val="24"/>
                            <w:bdr w:val="none" w:sz="0" w:space="0" w:color="auto" w:frame="1"/>
                            <w:shd w:val="clear" w:color="auto" w:fill="FFFFFF"/>
                          </w:rPr>
                          <w:t>Agrati</w:t>
                        </w:r>
                        <w:proofErr w:type="spellEnd"/>
                        <w:r w:rsidRPr="00420361">
                          <w:rPr>
                            <w:rFonts w:eastAsia="Times New Roman"/>
                            <w:i/>
                            <w:iCs/>
                            <w:szCs w:val="24"/>
                            <w:bdr w:val="none" w:sz="0" w:space="0" w:color="auto" w:frame="1"/>
                            <w:shd w:val="clear" w:color="auto" w:fill="FFFFFF"/>
                          </w:rPr>
                          <w:t xml:space="preserve"> ed altri c. Italia</w:t>
                        </w:r>
                        <w:r w:rsidRPr="00420361">
                          <w:rPr>
                            <w:rFonts w:eastAsia="Times New Roman"/>
                            <w:szCs w:val="24"/>
                            <w:bdr w:val="none" w:sz="0" w:space="0" w:color="auto" w:frame="1"/>
                            <w:shd w:val="clear" w:color="auto" w:fill="FFFFFF"/>
                          </w:rPr>
                          <w:t> (in </w:t>
                        </w:r>
                        <w:r w:rsidRPr="00420361">
                          <w:rPr>
                            <w:rFonts w:eastAsia="Times New Roman"/>
                            <w:i/>
                            <w:iCs/>
                            <w:szCs w:val="24"/>
                            <w:bdr w:val="none" w:sz="0" w:space="0" w:color="auto" w:frame="1"/>
                            <w:shd w:val="clear" w:color="auto" w:fill="FFFFFF"/>
                          </w:rPr>
                          <w:t xml:space="preserve">Foro </w:t>
                        </w:r>
                        <w:proofErr w:type="spellStart"/>
                        <w:r w:rsidRPr="00420361">
                          <w:rPr>
                            <w:rFonts w:eastAsia="Times New Roman"/>
                            <w:i/>
                            <w:iCs/>
                            <w:szCs w:val="24"/>
                            <w:bdr w:val="none" w:sz="0" w:space="0" w:color="auto" w:frame="1"/>
                            <w:shd w:val="clear" w:color="auto" w:fill="FFFFFF"/>
                          </w:rPr>
                          <w:t>it</w:t>
                        </w:r>
                        <w:proofErr w:type="spellEnd"/>
                        <w:r w:rsidRPr="00420361">
                          <w:rPr>
                            <w:rFonts w:eastAsia="Times New Roman"/>
                            <w:szCs w:val="24"/>
                            <w:bdr w:val="none" w:sz="0" w:space="0" w:color="auto" w:frame="1"/>
                            <w:shd w:val="clear" w:color="auto" w:fill="FFFFFF"/>
                          </w:rPr>
                          <w:t xml:space="preserve">., 2013, IV, 1, con nota di PALMIERI); 31 maggio 2011, ric. </w:t>
                        </w:r>
                        <w:proofErr w:type="spellStart"/>
                        <w:r w:rsidRPr="00420361">
                          <w:rPr>
                            <w:rFonts w:eastAsia="Times New Roman"/>
                            <w:szCs w:val="24"/>
                            <w:bdr w:val="none" w:sz="0" w:space="0" w:color="auto" w:frame="1"/>
                            <w:shd w:val="clear" w:color="auto" w:fill="FFFFFF"/>
                          </w:rPr>
                          <w:t>riun</w:t>
                        </w:r>
                        <w:proofErr w:type="spellEnd"/>
                        <w:r w:rsidRPr="00420361">
                          <w:rPr>
                            <w:rFonts w:eastAsia="Times New Roman"/>
                            <w:szCs w:val="24"/>
                            <w:bdr w:val="none" w:sz="0" w:space="0" w:color="auto" w:frame="1"/>
                            <w:shd w:val="clear" w:color="auto" w:fill="FFFFFF"/>
                          </w:rPr>
                          <w:t xml:space="preserve">. </w:t>
                        </w:r>
                        <w:proofErr w:type="spellStart"/>
                        <w:r w:rsidRPr="00420361">
                          <w:rPr>
                            <w:rFonts w:eastAsia="Times New Roman"/>
                            <w:szCs w:val="24"/>
                            <w:bdr w:val="none" w:sz="0" w:space="0" w:color="auto" w:frame="1"/>
                            <w:shd w:val="clear" w:color="auto" w:fill="FFFFFF"/>
                          </w:rPr>
                          <w:t>nn</w:t>
                        </w:r>
                        <w:proofErr w:type="spellEnd"/>
                        <w:r w:rsidRPr="00420361">
                          <w:rPr>
                            <w:rFonts w:eastAsia="Times New Roman"/>
                            <w:szCs w:val="24"/>
                            <w:bdr w:val="none" w:sz="0" w:space="0" w:color="auto" w:frame="1"/>
                            <w:shd w:val="clear" w:color="auto" w:fill="FFFFFF"/>
                          </w:rPr>
                          <w:t>. 46286/09, 52851/08, 53727/08, 54486/08 e 56001/08, </w:t>
                        </w:r>
                        <w:proofErr w:type="gramStart"/>
                        <w:r w:rsidRPr="00420361">
                          <w:rPr>
                            <w:rFonts w:eastAsia="Times New Roman"/>
                            <w:i/>
                            <w:iCs/>
                            <w:szCs w:val="24"/>
                            <w:bdr w:val="none" w:sz="0" w:space="0" w:color="auto" w:frame="1"/>
                            <w:shd w:val="clear" w:color="auto" w:fill="FFFFFF"/>
                          </w:rPr>
                          <w:t>Maggio</w:t>
                        </w:r>
                        <w:proofErr w:type="gramEnd"/>
                        <w:r w:rsidRPr="00420361">
                          <w:rPr>
                            <w:rFonts w:eastAsia="Times New Roman"/>
                            <w:i/>
                            <w:iCs/>
                            <w:szCs w:val="24"/>
                            <w:bdr w:val="none" w:sz="0" w:space="0" w:color="auto" w:frame="1"/>
                            <w:shd w:val="clear" w:color="auto" w:fill="FFFFFF"/>
                          </w:rPr>
                          <w:t xml:space="preserve"> c. Italia</w:t>
                        </w:r>
                        <w:r w:rsidRPr="00420361">
                          <w:rPr>
                            <w:rFonts w:eastAsia="Times New Roman"/>
                            <w:szCs w:val="24"/>
                            <w:bdr w:val="none" w:sz="0" w:space="0" w:color="auto" w:frame="1"/>
                            <w:shd w:val="clear" w:color="auto" w:fill="FFFFFF"/>
                          </w:rPr>
                          <w:t>; sez. V, 11 febbraio 2010, ric. </w:t>
                        </w:r>
                        <w:proofErr w:type="spellStart"/>
                        <w:r w:rsidRPr="00420361">
                          <w:rPr>
                            <w:rFonts w:eastAsia="Times New Roman"/>
                            <w:i/>
                            <w:iCs/>
                            <w:szCs w:val="24"/>
                            <w:bdr w:val="none" w:sz="0" w:space="0" w:color="auto" w:frame="1"/>
                            <w:shd w:val="clear" w:color="auto" w:fill="FFFFFF"/>
                          </w:rPr>
                          <w:t>Javaugue</w:t>
                        </w:r>
                        <w:proofErr w:type="spellEnd"/>
                        <w:r w:rsidRPr="00420361">
                          <w:rPr>
                            <w:rFonts w:eastAsia="Times New Roman"/>
                            <w:i/>
                            <w:iCs/>
                            <w:szCs w:val="24"/>
                            <w:bdr w:val="none" w:sz="0" w:space="0" w:color="auto" w:frame="1"/>
                            <w:shd w:val="clear" w:color="auto" w:fill="FFFFFF"/>
                          </w:rPr>
                          <w:t xml:space="preserve"> c. Francia</w:t>
                        </w:r>
                        <w:r w:rsidRPr="00420361">
                          <w:rPr>
                            <w:rFonts w:eastAsia="Times New Roman"/>
                            <w:szCs w:val="24"/>
                            <w:bdr w:val="none" w:sz="0" w:space="0" w:color="auto" w:frame="1"/>
                            <w:shd w:val="clear" w:color="auto" w:fill="FFFFFF"/>
                          </w:rPr>
                          <w:t>; sez. II, 10 giugno 2008, ric. 71399/10, </w:t>
                        </w:r>
                        <w:proofErr w:type="spellStart"/>
                        <w:r w:rsidRPr="00420361">
                          <w:rPr>
                            <w:rFonts w:eastAsia="Times New Roman"/>
                            <w:i/>
                            <w:iCs/>
                            <w:szCs w:val="24"/>
                            <w:bdr w:val="none" w:sz="0" w:space="0" w:color="auto" w:frame="1"/>
                            <w:shd w:val="clear" w:color="auto" w:fill="FFFFFF"/>
                          </w:rPr>
                          <w:t>Bortesi</w:t>
                        </w:r>
                        <w:proofErr w:type="spellEnd"/>
                        <w:r w:rsidRPr="00420361">
                          <w:rPr>
                            <w:rFonts w:eastAsia="Times New Roman"/>
                            <w:i/>
                            <w:iCs/>
                            <w:szCs w:val="24"/>
                            <w:bdr w:val="none" w:sz="0" w:space="0" w:color="auto" w:frame="1"/>
                            <w:shd w:val="clear" w:color="auto" w:fill="FFFFFF"/>
                          </w:rPr>
                          <w:t xml:space="preserve"> e altri c. Italia</w:t>
                        </w:r>
                        <w:r w:rsidRPr="00420361">
                          <w:rPr>
                            <w:rFonts w:eastAsia="Times New Roman"/>
                            <w:szCs w:val="24"/>
                            <w:bdr w:val="none" w:sz="0" w:space="0" w:color="auto" w:frame="1"/>
                            <w:shd w:val="clear" w:color="auto" w:fill="FFFFFF"/>
                          </w:rPr>
                          <w:t xml:space="preserve">; 23 ottobre 1997, ric. </w:t>
                        </w:r>
                        <w:proofErr w:type="spellStart"/>
                        <w:r w:rsidRPr="00420361">
                          <w:rPr>
                            <w:rFonts w:eastAsia="Times New Roman"/>
                            <w:szCs w:val="24"/>
                            <w:bdr w:val="none" w:sz="0" w:space="0" w:color="auto" w:frame="1"/>
                            <w:shd w:val="clear" w:color="auto" w:fill="FFFFFF"/>
                          </w:rPr>
                          <w:t>riun</w:t>
                        </w:r>
                        <w:proofErr w:type="spellEnd"/>
                        <w:r w:rsidRPr="00420361">
                          <w:rPr>
                            <w:rFonts w:eastAsia="Times New Roman"/>
                            <w:szCs w:val="24"/>
                            <w:bdr w:val="none" w:sz="0" w:space="0" w:color="auto" w:frame="1"/>
                            <w:shd w:val="clear" w:color="auto" w:fill="FFFFFF"/>
                          </w:rPr>
                          <w:t xml:space="preserve">. </w:t>
                        </w:r>
                        <w:proofErr w:type="spellStart"/>
                        <w:r w:rsidRPr="00420361">
                          <w:rPr>
                            <w:rFonts w:eastAsia="Times New Roman"/>
                            <w:szCs w:val="24"/>
                            <w:bdr w:val="none" w:sz="0" w:space="0" w:color="auto" w:frame="1"/>
                            <w:shd w:val="clear" w:color="auto" w:fill="FFFFFF"/>
                          </w:rPr>
                          <w:t>nn</w:t>
                        </w:r>
                        <w:proofErr w:type="spellEnd"/>
                        <w:r w:rsidRPr="00420361">
                          <w:rPr>
                            <w:rFonts w:eastAsia="Times New Roman"/>
                            <w:szCs w:val="24"/>
                            <w:bdr w:val="none" w:sz="0" w:space="0" w:color="auto" w:frame="1"/>
                            <w:shd w:val="clear" w:color="auto" w:fill="FFFFFF"/>
                          </w:rPr>
                          <w:t>. 24846/94, 34165/96, 34173/96,</w:t>
                        </w:r>
                        <w:r w:rsidRPr="00420361">
                          <w:rPr>
                            <w:rFonts w:eastAsia="Times New Roman"/>
                            <w:i/>
                            <w:iCs/>
                            <w:szCs w:val="24"/>
                            <w:bdr w:val="none" w:sz="0" w:space="0" w:color="auto" w:frame="1"/>
                            <w:shd w:val="clear" w:color="auto" w:fill="FFFFFF"/>
                          </w:rPr>
                          <w:t> </w:t>
                        </w:r>
                        <w:proofErr w:type="spellStart"/>
                        <w:r w:rsidRPr="00420361">
                          <w:rPr>
                            <w:rFonts w:eastAsia="Times New Roman"/>
                            <w:i/>
                            <w:iCs/>
                            <w:szCs w:val="24"/>
                            <w:bdr w:val="none" w:sz="0" w:space="0" w:color="auto" w:frame="1"/>
                            <w:shd w:val="clear" w:color="auto" w:fill="FFFFFF"/>
                          </w:rPr>
                          <w:t>Zielinski</w:t>
                        </w:r>
                        <w:proofErr w:type="spellEnd"/>
                        <w:r w:rsidRPr="00420361">
                          <w:rPr>
                            <w:rFonts w:eastAsia="Times New Roman"/>
                            <w:i/>
                            <w:iCs/>
                            <w:szCs w:val="24"/>
                            <w:bdr w:val="none" w:sz="0" w:space="0" w:color="auto" w:frame="1"/>
                            <w:shd w:val="clear" w:color="auto" w:fill="FFFFFF"/>
                          </w:rPr>
                          <w:t xml:space="preserve">, </w:t>
                        </w:r>
                        <w:proofErr w:type="spellStart"/>
                        <w:r w:rsidRPr="00420361">
                          <w:rPr>
                            <w:rFonts w:eastAsia="Times New Roman"/>
                            <w:i/>
                            <w:iCs/>
                            <w:szCs w:val="24"/>
                            <w:bdr w:val="none" w:sz="0" w:space="0" w:color="auto" w:frame="1"/>
                            <w:shd w:val="clear" w:color="auto" w:fill="FFFFFF"/>
                          </w:rPr>
                          <w:t>Pradal</w:t>
                        </w:r>
                        <w:proofErr w:type="spellEnd"/>
                        <w:r w:rsidRPr="00420361">
                          <w:rPr>
                            <w:rFonts w:eastAsia="Times New Roman"/>
                            <w:i/>
                            <w:iCs/>
                            <w:szCs w:val="24"/>
                            <w:bdr w:val="none" w:sz="0" w:space="0" w:color="auto" w:frame="1"/>
                            <w:shd w:val="clear" w:color="auto" w:fill="FFFFFF"/>
                          </w:rPr>
                          <w:t xml:space="preserve">, </w:t>
                        </w:r>
                        <w:proofErr w:type="spellStart"/>
                        <w:r w:rsidRPr="00420361">
                          <w:rPr>
                            <w:rFonts w:eastAsia="Times New Roman"/>
                            <w:i/>
                            <w:iCs/>
                            <w:szCs w:val="24"/>
                            <w:bdr w:val="none" w:sz="0" w:space="0" w:color="auto" w:frame="1"/>
                            <w:shd w:val="clear" w:color="auto" w:fill="FFFFFF"/>
                          </w:rPr>
                          <w:t>Gonzalez</w:t>
                        </w:r>
                        <w:proofErr w:type="spellEnd"/>
                        <w:r w:rsidRPr="00420361">
                          <w:rPr>
                            <w:rFonts w:eastAsia="Times New Roman"/>
                            <w:szCs w:val="24"/>
                            <w:bdr w:val="none" w:sz="0" w:space="0" w:color="auto" w:frame="1"/>
                            <w:shd w:val="clear" w:color="auto" w:fill="FFFFFF"/>
                          </w:rPr>
                          <w:t>, 9 dicembre 1994; ric. n. 13427/87, </w:t>
                        </w:r>
                        <w:proofErr w:type="spellStart"/>
                        <w:r w:rsidRPr="00420361">
                          <w:rPr>
                            <w:rFonts w:eastAsia="Times New Roman"/>
                            <w:i/>
                            <w:iCs/>
                            <w:szCs w:val="24"/>
                            <w:bdr w:val="none" w:sz="0" w:space="0" w:color="auto" w:frame="1"/>
                            <w:shd w:val="clear" w:color="auto" w:fill="FFFFFF"/>
                          </w:rPr>
                          <w:t>Stran</w:t>
                        </w:r>
                        <w:proofErr w:type="spellEnd"/>
                        <w:r w:rsidRPr="00420361">
                          <w:rPr>
                            <w:rFonts w:eastAsia="Times New Roman"/>
                            <w:i/>
                            <w:iCs/>
                            <w:szCs w:val="24"/>
                            <w:bdr w:val="none" w:sz="0" w:space="0" w:color="auto" w:frame="1"/>
                            <w:shd w:val="clear" w:color="auto" w:fill="FFFFFF"/>
                          </w:rPr>
                          <w:t xml:space="preserve"> </w:t>
                        </w:r>
                        <w:proofErr w:type="spellStart"/>
                        <w:r w:rsidRPr="00420361">
                          <w:rPr>
                            <w:rFonts w:eastAsia="Times New Roman"/>
                            <w:i/>
                            <w:iCs/>
                            <w:szCs w:val="24"/>
                            <w:bdr w:val="none" w:sz="0" w:space="0" w:color="auto" w:frame="1"/>
                            <w:shd w:val="clear" w:color="auto" w:fill="FFFFFF"/>
                          </w:rPr>
                          <w:t>Greek</w:t>
                        </w:r>
                        <w:proofErr w:type="spellEnd"/>
                        <w:r w:rsidRPr="00420361">
                          <w:rPr>
                            <w:rFonts w:eastAsia="Times New Roman"/>
                            <w:i/>
                            <w:iCs/>
                            <w:szCs w:val="24"/>
                            <w:bdr w:val="none" w:sz="0" w:space="0" w:color="auto" w:frame="1"/>
                            <w:shd w:val="clear" w:color="auto" w:fill="FFFFFF"/>
                          </w:rPr>
                          <w:t xml:space="preserve"> </w:t>
                        </w:r>
                        <w:proofErr w:type="spellStart"/>
                        <w:r w:rsidRPr="00420361">
                          <w:rPr>
                            <w:rFonts w:eastAsia="Times New Roman"/>
                            <w:i/>
                            <w:iCs/>
                            <w:szCs w:val="24"/>
                            <w:bdr w:val="none" w:sz="0" w:space="0" w:color="auto" w:frame="1"/>
                            <w:shd w:val="clear" w:color="auto" w:fill="FFFFFF"/>
                          </w:rPr>
                          <w:t>Refineries</w:t>
                        </w:r>
                        <w:proofErr w:type="spellEnd"/>
                        <w:r w:rsidRPr="00420361">
                          <w:rPr>
                            <w:rFonts w:eastAsia="Times New Roman"/>
                            <w:i/>
                            <w:iCs/>
                            <w:szCs w:val="24"/>
                            <w:bdr w:val="none" w:sz="0" w:space="0" w:color="auto" w:frame="1"/>
                            <w:shd w:val="clear" w:color="auto" w:fill="FFFFFF"/>
                          </w:rPr>
                          <w:t xml:space="preserve"> e </w:t>
                        </w:r>
                        <w:proofErr w:type="spellStart"/>
                        <w:r w:rsidRPr="00420361">
                          <w:rPr>
                            <w:rFonts w:eastAsia="Times New Roman"/>
                            <w:i/>
                            <w:iCs/>
                            <w:szCs w:val="24"/>
                            <w:bdr w:val="none" w:sz="0" w:space="0" w:color="auto" w:frame="1"/>
                            <w:shd w:val="clear" w:color="auto" w:fill="FFFFFF"/>
                          </w:rPr>
                          <w:t>Stratis</w:t>
                        </w:r>
                        <w:proofErr w:type="spellEnd"/>
                        <w:r w:rsidRPr="00420361">
                          <w:rPr>
                            <w:rFonts w:eastAsia="Times New Roman"/>
                            <w:i/>
                            <w:iCs/>
                            <w:szCs w:val="24"/>
                            <w:bdr w:val="none" w:sz="0" w:space="0" w:color="auto" w:frame="1"/>
                            <w:shd w:val="clear" w:color="auto" w:fill="FFFFFF"/>
                          </w:rPr>
                          <w:t xml:space="preserve"> </w:t>
                        </w:r>
                        <w:proofErr w:type="spellStart"/>
                        <w:r w:rsidRPr="00420361">
                          <w:rPr>
                            <w:rFonts w:eastAsia="Times New Roman"/>
                            <w:i/>
                            <w:iCs/>
                            <w:szCs w:val="24"/>
                            <w:bdr w:val="none" w:sz="0" w:space="0" w:color="auto" w:frame="1"/>
                            <w:shd w:val="clear" w:color="auto" w:fill="FFFFFF"/>
                          </w:rPr>
                          <w:t>Andreadis</w:t>
                        </w:r>
                        <w:proofErr w:type="spellEnd"/>
                        <w:r w:rsidRPr="00420361">
                          <w:rPr>
                            <w:rFonts w:eastAsia="Times New Roman"/>
                            <w:i/>
                            <w:iCs/>
                            <w:szCs w:val="24"/>
                            <w:bdr w:val="none" w:sz="0" w:space="0" w:color="auto" w:frame="1"/>
                            <w:shd w:val="clear" w:color="auto" w:fill="FFFFFF"/>
                          </w:rPr>
                          <w:t xml:space="preserve"> c. Grecia</w:t>
                        </w:r>
                        <w:r w:rsidRPr="00420361">
                          <w:rPr>
                            <w:rFonts w:eastAsia="Times New Roman"/>
                            <w:szCs w:val="24"/>
                            <w:bdr w:val="none" w:sz="0" w:space="0" w:color="auto" w:frame="1"/>
                            <w:shd w:val="clear" w:color="auto" w:fill="FFFFFF"/>
                          </w:rPr>
                          <w:t>);</w:t>
                        </w:r>
                      </w:p>
                      <w:p w:rsidR="00637A33" w:rsidRPr="00420361" w:rsidRDefault="00637A33" w:rsidP="00D53B99">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k4) a fronte di un atto amministrativo incorporato in una legge-provvedimento, l’esercizio del diritto di agire in giudizio </w:t>
                        </w:r>
                        <w:r w:rsidRPr="00420361">
                          <w:rPr>
                            <w:rFonts w:eastAsia="Times New Roman"/>
                            <w:i/>
                            <w:iCs/>
                            <w:szCs w:val="24"/>
                            <w:bdr w:val="none" w:sz="0" w:space="0" w:color="auto" w:frame="1"/>
                            <w:shd w:val="clear" w:color="auto" w:fill="FFFFFF"/>
                          </w:rPr>
                          <w:t>ex</w:t>
                        </w:r>
                        <w:r w:rsidRPr="00420361">
                          <w:rPr>
                            <w:rFonts w:eastAsia="Times New Roman"/>
                            <w:szCs w:val="24"/>
                            <w:bdr w:val="none" w:sz="0" w:space="0" w:color="auto" w:frame="1"/>
                            <w:shd w:val="clear" w:color="auto" w:fill="FFFFFF"/>
                          </w:rPr>
                          <w:t xml:space="preserve"> art. 24 </w:t>
                        </w:r>
                        <w:proofErr w:type="spellStart"/>
                        <w:r w:rsidRPr="00420361">
                          <w:rPr>
                            <w:rFonts w:eastAsia="Times New Roman"/>
                            <w:szCs w:val="24"/>
                            <w:bdr w:val="none" w:sz="0" w:space="0" w:color="auto" w:frame="1"/>
                            <w:shd w:val="clear" w:color="auto" w:fill="FFFFFF"/>
                          </w:rPr>
                          <w:t>Cost</w:t>
                        </w:r>
                        <w:proofErr w:type="spellEnd"/>
                        <w:r w:rsidRPr="00420361">
                          <w:rPr>
                            <w:rFonts w:eastAsia="Times New Roman"/>
                            <w:szCs w:val="24"/>
                            <w:bdr w:val="none" w:sz="0" w:space="0" w:color="auto" w:frame="1"/>
                            <w:shd w:val="clear" w:color="auto" w:fill="FFFFFF"/>
                          </w:rPr>
                          <w:t>. si delinea nei precisi e ristretti limiti del giudizio di legittimità costituzionale, impedendo così al giudice amministrativo di sindacare la correttezza e la validità delle attività istruttorie e valutative che ne hanno costituiti i presupposti; </w:t>
                        </w:r>
                      </w:p>
                      <w:p w:rsidR="00637A33" w:rsidRPr="00420361" w:rsidRDefault="00637A33" w:rsidP="00D53B99">
                        <w:pPr>
                          <w:shd w:val="clear" w:color="auto" w:fill="FFFFFF"/>
                          <w:spacing w:line="240" w:lineRule="auto"/>
                          <w:ind w:left="1037" w:hanging="357"/>
                          <w:rPr>
                            <w:rFonts w:eastAsia="Times New Roman"/>
                            <w:szCs w:val="24"/>
                          </w:rPr>
                        </w:pPr>
                        <w:r w:rsidRPr="00420361">
                          <w:rPr>
                            <w:rFonts w:eastAsia="Times New Roman"/>
                            <w:szCs w:val="24"/>
                            <w:bdr w:val="none" w:sz="0" w:space="0" w:color="auto" w:frame="1"/>
                            <w:shd w:val="clear" w:color="auto" w:fill="FFFFFF"/>
                          </w:rPr>
                          <w:t> l) il Collegio, invero, ha ritenuto che non presentassero i requisiti della non manifesta infondatezza le questioni relative:</w:t>
                        </w:r>
                      </w:p>
                      <w:p w:rsidR="00637A33" w:rsidRPr="00420361" w:rsidRDefault="00D53B99" w:rsidP="00D53B99">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xml:space="preserve">l1) alla violazione, da parte della disciplina fissata dagli artt. 1 e 2 del </w:t>
                        </w:r>
                        <w:proofErr w:type="spellStart"/>
                        <w:r w:rsidR="00637A33" w:rsidRPr="00420361">
                          <w:rPr>
                            <w:rFonts w:eastAsia="Times New Roman"/>
                            <w:szCs w:val="24"/>
                            <w:bdr w:val="none" w:sz="0" w:space="0" w:color="auto" w:frame="1"/>
                            <w:shd w:val="clear" w:color="auto" w:fill="FFFFFF"/>
                          </w:rPr>
                          <w:t>d.l.</w:t>
                        </w:r>
                        <w:proofErr w:type="spellEnd"/>
                        <w:r w:rsidR="00637A33" w:rsidRPr="00420361">
                          <w:rPr>
                            <w:rFonts w:eastAsia="Times New Roman"/>
                            <w:szCs w:val="24"/>
                            <w:bdr w:val="none" w:sz="0" w:space="0" w:color="auto" w:frame="1"/>
                            <w:shd w:val="clear" w:color="auto" w:fill="FFFFFF"/>
                          </w:rPr>
                          <w:t xml:space="preserve"> n. 85 del 2022, del principio del legittimo affidamento quantomeno sulla gestione provvisoria del servizio anche in caso di cessazione anticipata del rapporto, giacché tale conseguenza era già contemplata dalla Convenzione;</w:t>
                        </w:r>
                      </w:p>
                      <w:p w:rsidR="00637A33" w:rsidRPr="00420361" w:rsidRDefault="00E16E30" w:rsidP="00D53B99">
                        <w:pPr>
                          <w:shd w:val="clear" w:color="auto" w:fill="FFFFFF"/>
                          <w:spacing w:line="240" w:lineRule="auto"/>
                          <w:ind w:left="1701" w:hanging="567"/>
                          <w:rPr>
                            <w:rFonts w:eastAsia="Times New Roman"/>
                            <w:szCs w:val="24"/>
                          </w:rPr>
                        </w:pPr>
                        <w:r w:rsidRPr="00420361">
                          <w:rPr>
                            <w:rFonts w:eastAsia="Times New Roman"/>
                            <w:i/>
                            <w:iCs/>
                            <w:szCs w:val="24"/>
                            <w:bdr w:val="none" w:sz="0" w:space="0" w:color="auto" w:frame="1"/>
                            <w:shd w:val="clear" w:color="auto" w:fill="FFFFFF"/>
                          </w:rPr>
                          <w:t>  </w:t>
                        </w:r>
                        <w:r w:rsidR="00D53B99" w:rsidRPr="00420361">
                          <w:rPr>
                            <w:rFonts w:eastAsia="Times New Roman"/>
                            <w:i/>
                            <w:iCs/>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xml:space="preserve">l2) all’ipotizzata violazione della libertà d’impresa di cui all’art. 41 </w:t>
                        </w:r>
                        <w:proofErr w:type="spellStart"/>
                        <w:r w:rsidR="00637A33" w:rsidRPr="00420361">
                          <w:rPr>
                            <w:rFonts w:eastAsia="Times New Roman"/>
                            <w:szCs w:val="24"/>
                            <w:bdr w:val="none" w:sz="0" w:space="0" w:color="auto" w:frame="1"/>
                            <w:shd w:val="clear" w:color="auto" w:fill="FFFFFF"/>
                          </w:rPr>
                          <w:t>Cost</w:t>
                        </w:r>
                        <w:proofErr w:type="spellEnd"/>
                        <w:r w:rsidR="00637A33" w:rsidRPr="00420361">
                          <w:rPr>
                            <w:rFonts w:eastAsia="Times New Roman"/>
                            <w:szCs w:val="24"/>
                            <w:bdr w:val="none" w:sz="0" w:space="0" w:color="auto" w:frame="1"/>
                            <w:shd w:val="clear" w:color="auto" w:fill="FFFFFF"/>
                          </w:rPr>
                          <w:t xml:space="preserve">., avendo l’art. 2 del </w:t>
                        </w:r>
                        <w:proofErr w:type="spellStart"/>
                        <w:r w:rsidR="00637A33" w:rsidRPr="00420361">
                          <w:rPr>
                            <w:rFonts w:eastAsia="Times New Roman"/>
                            <w:szCs w:val="24"/>
                            <w:bdr w:val="none" w:sz="0" w:space="0" w:color="auto" w:frame="1"/>
                            <w:shd w:val="clear" w:color="auto" w:fill="FFFFFF"/>
                          </w:rPr>
                          <w:t>d.l.</w:t>
                        </w:r>
                        <w:proofErr w:type="spellEnd"/>
                        <w:r w:rsidR="00637A33" w:rsidRPr="00420361">
                          <w:rPr>
                            <w:rFonts w:eastAsia="Times New Roman"/>
                            <w:szCs w:val="24"/>
                            <w:bdr w:val="none" w:sz="0" w:space="0" w:color="auto" w:frame="1"/>
                            <w:shd w:val="clear" w:color="auto" w:fill="FFFFFF"/>
                          </w:rPr>
                          <w:t xml:space="preserve"> 85 del 2022 consentito ad A.N.A.S. di avvalersi dei dipendenti di Strada dei Parchi e di altre due società che forniscono alla ex concessionaria servizi connessi alla gestione dell’infrastruttura nonché dei mezzi e dei beni delle predette società, addirittura sotto la minaccia di un loro commissariamento in caso di mancata collaborazione, in quanto funzionali a garantire la stabilità occupazionale, non venendo in rilievo, pertanto, un’immediata lesione della struttura imprenditoriale;</w:t>
                        </w:r>
                      </w:p>
                      <w:p w:rsidR="00637A33" w:rsidRPr="00420361" w:rsidRDefault="00E16E30" w:rsidP="00D53B99">
                        <w:pPr>
                          <w:shd w:val="clear" w:color="auto" w:fill="FFFFFF"/>
                          <w:spacing w:line="240" w:lineRule="auto"/>
                          <w:ind w:left="1701" w:hanging="567"/>
                          <w:rPr>
                            <w:rFonts w:eastAsia="Times New Roman"/>
                            <w:szCs w:val="24"/>
                          </w:rPr>
                        </w:pPr>
                        <w:r w:rsidRPr="00420361">
                          <w:rPr>
                            <w:rFonts w:eastAsia="Times New Roman"/>
                            <w:i/>
                            <w:iCs/>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l3)</w:t>
                        </w:r>
                        <w:r w:rsidR="00637A33" w:rsidRPr="00420361">
                          <w:rPr>
                            <w:rFonts w:eastAsia="Times New Roman"/>
                            <w:i/>
                            <w:iCs/>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xml:space="preserve">alla dedotta genericità della formula utilizzata dal legislatore nell’autorizzare A.N.A.S. ad avvalersi non solo dei mezzi della concessionaria (ormai pretermessa), strettamente indispensabili all’esercizio della concessione, ma anche di quelli, dalla stessa acquistati per sua libera scelta imprenditoriale, in quanto il dettato legislativo già provvede alla puntuale preventiva regolarizzazione dei profili organizzativi e finanziari, così da escludere, altresì, il lamentato </w:t>
                        </w:r>
                        <w:r w:rsidR="00637A33" w:rsidRPr="00420361">
                          <w:rPr>
                            <w:rFonts w:eastAsia="Times New Roman"/>
                            <w:szCs w:val="24"/>
                            <w:bdr w:val="none" w:sz="0" w:space="0" w:color="auto" w:frame="1"/>
                            <w:shd w:val="clear" w:color="auto" w:fill="FFFFFF"/>
                          </w:rPr>
                          <w:lastRenderedPageBreak/>
                          <w:t>profilo di illegittimità della predetta normativa in ragione del prospettato </w:t>
                        </w:r>
                        <w:proofErr w:type="spellStart"/>
                        <w:r w:rsidR="00637A33" w:rsidRPr="00420361">
                          <w:rPr>
                            <w:rFonts w:eastAsia="Times New Roman"/>
                            <w:i/>
                            <w:iCs/>
                            <w:szCs w:val="24"/>
                            <w:bdr w:val="none" w:sz="0" w:space="0" w:color="auto" w:frame="1"/>
                            <w:shd w:val="clear" w:color="auto" w:fill="FFFFFF"/>
                          </w:rPr>
                          <w:t>favor</w:t>
                        </w:r>
                        <w:proofErr w:type="spellEnd"/>
                        <w:r w:rsidR="00637A33" w:rsidRPr="00420361">
                          <w:rPr>
                            <w:rFonts w:eastAsia="Times New Roman"/>
                            <w:szCs w:val="24"/>
                            <w:bdr w:val="none" w:sz="0" w:space="0" w:color="auto" w:frame="1"/>
                            <w:shd w:val="clear" w:color="auto" w:fill="FFFFFF"/>
                          </w:rPr>
                          <w:t> di AN.A.S. rispetto “</w:t>
                        </w:r>
                        <w:r w:rsidR="00637A33" w:rsidRPr="00420361">
                          <w:rPr>
                            <w:rFonts w:eastAsia="Times New Roman"/>
                            <w:i/>
                            <w:iCs/>
                            <w:szCs w:val="24"/>
                            <w:bdr w:val="none" w:sz="0" w:space="0" w:color="auto" w:frame="1"/>
                            <w:shd w:val="clear" w:color="auto" w:fill="FFFFFF"/>
                          </w:rPr>
                          <w:t xml:space="preserve">agli altri operatori commerciali, con conseguente violazione del principio di tutela della concorrenza e di parità di trattamento, tutelati dagli artt. 3 e 41 </w:t>
                        </w:r>
                        <w:proofErr w:type="spellStart"/>
                        <w:r w:rsidR="00637A33" w:rsidRPr="00420361">
                          <w:rPr>
                            <w:rFonts w:eastAsia="Times New Roman"/>
                            <w:i/>
                            <w:iCs/>
                            <w:szCs w:val="24"/>
                            <w:bdr w:val="none" w:sz="0" w:space="0" w:color="auto" w:frame="1"/>
                            <w:shd w:val="clear" w:color="auto" w:fill="FFFFFF"/>
                          </w:rPr>
                          <w:t>Cost</w:t>
                        </w:r>
                        <w:proofErr w:type="spellEnd"/>
                        <w:r w:rsidR="00637A33" w:rsidRPr="00420361">
                          <w:rPr>
                            <w:rFonts w:eastAsia="Times New Roman"/>
                            <w:i/>
                            <w:iCs/>
                            <w:szCs w:val="24"/>
                            <w:bdr w:val="none" w:sz="0" w:space="0" w:color="auto" w:frame="1"/>
                            <w:shd w:val="clear" w:color="auto" w:fill="FFFFFF"/>
                          </w:rPr>
                          <w:t xml:space="preserve">. e dagli artt. 101 </w:t>
                        </w:r>
                        <w:proofErr w:type="spellStart"/>
                        <w:r w:rsidR="00637A33" w:rsidRPr="00420361">
                          <w:rPr>
                            <w:rFonts w:eastAsia="Times New Roman"/>
                            <w:i/>
                            <w:iCs/>
                            <w:szCs w:val="24"/>
                            <w:bdr w:val="none" w:sz="0" w:space="0" w:color="auto" w:frame="1"/>
                            <w:shd w:val="clear" w:color="auto" w:fill="FFFFFF"/>
                          </w:rPr>
                          <w:t>sgg</w:t>
                        </w:r>
                        <w:proofErr w:type="spellEnd"/>
                        <w:r w:rsidR="00637A33" w:rsidRPr="00420361">
                          <w:rPr>
                            <w:rFonts w:eastAsia="Times New Roman"/>
                            <w:i/>
                            <w:iCs/>
                            <w:szCs w:val="24"/>
                            <w:bdr w:val="none" w:sz="0" w:space="0" w:color="auto" w:frame="1"/>
                            <w:shd w:val="clear" w:color="auto" w:fill="FFFFFF"/>
                          </w:rPr>
                          <w:t>. TFUE</w:t>
                        </w:r>
                        <w:r w:rsidR="00637A33" w:rsidRPr="00420361">
                          <w:rPr>
                            <w:rFonts w:eastAsia="Times New Roman"/>
                            <w:szCs w:val="24"/>
                            <w:bdr w:val="none" w:sz="0" w:space="0" w:color="auto" w:frame="1"/>
                            <w:shd w:val="clear" w:color="auto" w:fill="FFFFFF"/>
                          </w:rPr>
                          <w:t>”;</w:t>
                        </w:r>
                      </w:p>
                      <w:p w:rsidR="00637A33" w:rsidRPr="00420361" w:rsidRDefault="00D53B99" w:rsidP="00D53B99">
                        <w:pPr>
                          <w:shd w:val="clear" w:color="auto" w:fill="FFFFFF"/>
                          <w:spacing w:line="240" w:lineRule="auto"/>
                          <w:ind w:left="1701" w:hanging="567"/>
                          <w:rPr>
                            <w:rFonts w:eastAsia="Times New Roman"/>
                            <w:szCs w:val="24"/>
                          </w:rPr>
                        </w:pPr>
                        <w:r w:rsidRPr="00420361">
                          <w:rPr>
                            <w:rFonts w:eastAsia="Times New Roman"/>
                            <w:i/>
                            <w:iCs/>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l4</w:t>
                        </w:r>
                        <w:r w:rsidR="00637A33" w:rsidRPr="00420361">
                          <w:rPr>
                            <w:rFonts w:eastAsia="Times New Roman"/>
                            <w:i/>
                            <w:iCs/>
                            <w:szCs w:val="24"/>
                            <w:bdr w:val="none" w:sz="0" w:space="0" w:color="auto" w:frame="1"/>
                            <w:shd w:val="clear" w:color="auto" w:fill="FFFFFF"/>
                          </w:rPr>
                          <w:t>)</w:t>
                        </w:r>
                        <w:r w:rsidR="00637A33" w:rsidRPr="00420361">
                          <w:rPr>
                            <w:rFonts w:eastAsia="Times New Roman"/>
                            <w:szCs w:val="24"/>
                            <w:bdr w:val="none" w:sz="0" w:space="0" w:color="auto" w:frame="1"/>
                            <w:shd w:val="clear" w:color="auto" w:fill="FFFFFF"/>
                          </w:rPr>
                          <w:t> alla prospettata</w:t>
                        </w:r>
                        <w:r w:rsidR="00637A33" w:rsidRPr="00420361">
                          <w:rPr>
                            <w:rFonts w:eastAsia="Times New Roman"/>
                            <w:i/>
                            <w:iCs/>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xml:space="preserve">violazione degli artt. 28, 100 e 103 </w:t>
                        </w:r>
                        <w:proofErr w:type="spellStart"/>
                        <w:r w:rsidR="00637A33" w:rsidRPr="00420361">
                          <w:rPr>
                            <w:rFonts w:eastAsia="Times New Roman"/>
                            <w:szCs w:val="24"/>
                            <w:bdr w:val="none" w:sz="0" w:space="0" w:color="auto" w:frame="1"/>
                            <w:shd w:val="clear" w:color="auto" w:fill="FFFFFF"/>
                          </w:rPr>
                          <w:t>Cost</w:t>
                        </w:r>
                        <w:proofErr w:type="spellEnd"/>
                        <w:r w:rsidR="00637A33" w:rsidRPr="00420361">
                          <w:rPr>
                            <w:rFonts w:eastAsia="Times New Roman"/>
                            <w:szCs w:val="24"/>
                            <w:bdr w:val="none" w:sz="0" w:space="0" w:color="auto" w:frame="1"/>
                            <w:shd w:val="clear" w:color="auto" w:fill="FFFFFF"/>
                          </w:rPr>
                          <w:t xml:space="preserve">. da parte dell’art. 2, comma 1, terzo periodo, del </w:t>
                        </w:r>
                        <w:proofErr w:type="spellStart"/>
                        <w:r w:rsidR="00637A33" w:rsidRPr="00420361">
                          <w:rPr>
                            <w:rFonts w:eastAsia="Times New Roman"/>
                            <w:szCs w:val="24"/>
                            <w:bdr w:val="none" w:sz="0" w:space="0" w:color="auto" w:frame="1"/>
                            <w:shd w:val="clear" w:color="auto" w:fill="FFFFFF"/>
                          </w:rPr>
                          <w:t>d.l.</w:t>
                        </w:r>
                        <w:proofErr w:type="spellEnd"/>
                        <w:r w:rsidR="00637A33" w:rsidRPr="00420361">
                          <w:rPr>
                            <w:rFonts w:eastAsia="Times New Roman"/>
                            <w:szCs w:val="24"/>
                            <w:bdr w:val="none" w:sz="0" w:space="0" w:color="auto" w:frame="1"/>
                            <w:shd w:val="clear" w:color="auto" w:fill="FFFFFF"/>
                          </w:rPr>
                          <w:t xml:space="preserve"> n. 85 del 2022, ed identicamente dell’art. 7-</w:t>
                        </w:r>
                        <w:r w:rsidR="00637A33" w:rsidRPr="00420361">
                          <w:rPr>
                            <w:rFonts w:eastAsia="Times New Roman"/>
                            <w:i/>
                            <w:iCs/>
                            <w:szCs w:val="24"/>
                            <w:bdr w:val="none" w:sz="0" w:space="0" w:color="auto" w:frame="1"/>
                            <w:shd w:val="clear" w:color="auto" w:fill="FFFFFF"/>
                          </w:rPr>
                          <w:t>ter</w:t>
                        </w:r>
                        <w:r w:rsidR="00637A33" w:rsidRPr="00420361">
                          <w:rPr>
                            <w:rFonts w:eastAsia="Times New Roman"/>
                            <w:szCs w:val="24"/>
                            <w:bdr w:val="none" w:sz="0" w:space="0" w:color="auto" w:frame="1"/>
                            <w:shd w:val="clear" w:color="auto" w:fill="FFFFFF"/>
                          </w:rPr>
                          <w:t xml:space="preserve"> del </w:t>
                        </w:r>
                        <w:proofErr w:type="spellStart"/>
                        <w:r w:rsidR="00637A33" w:rsidRPr="00420361">
                          <w:rPr>
                            <w:rFonts w:eastAsia="Times New Roman"/>
                            <w:szCs w:val="24"/>
                            <w:bdr w:val="none" w:sz="0" w:space="0" w:color="auto" w:frame="1"/>
                            <w:shd w:val="clear" w:color="auto" w:fill="FFFFFF"/>
                          </w:rPr>
                          <w:t>d.l.</w:t>
                        </w:r>
                        <w:proofErr w:type="spellEnd"/>
                        <w:r w:rsidR="00637A33" w:rsidRPr="00420361">
                          <w:rPr>
                            <w:rFonts w:eastAsia="Times New Roman"/>
                            <w:szCs w:val="24"/>
                            <w:bdr w:val="none" w:sz="0" w:space="0" w:color="auto" w:frame="1"/>
                            <w:shd w:val="clear" w:color="auto" w:fill="FFFFFF"/>
                          </w:rPr>
                          <w:t xml:space="preserve"> n. 68 del 2022, convertito nella l. n. 108 del 2022, </w:t>
                        </w:r>
                        <w:r w:rsidR="00637A33" w:rsidRPr="00420361">
                          <w:rPr>
                            <w:rFonts w:eastAsia="Times New Roman"/>
                            <w:i/>
                            <w:iCs/>
                            <w:szCs w:val="24"/>
                            <w:bdr w:val="none" w:sz="0" w:space="0" w:color="auto" w:frame="1"/>
                            <w:shd w:val="clear" w:color="auto" w:fill="FFFFFF"/>
                          </w:rPr>
                          <w:t>in tema di limitazione della responsabilità erariale,</w:t>
                        </w:r>
                        <w:r w:rsidR="00637A33" w:rsidRPr="00420361">
                          <w:rPr>
                            <w:rFonts w:eastAsia="Times New Roman"/>
                            <w:szCs w:val="24"/>
                            <w:bdr w:val="none" w:sz="0" w:space="0" w:color="auto" w:frame="1"/>
                            <w:shd w:val="clear" w:color="auto" w:fill="FFFFFF"/>
                          </w:rPr>
                          <w:t> giacché profilo non pertinente e inerente al giudizio </w:t>
                        </w:r>
                        <w:r w:rsidR="00637A33" w:rsidRPr="00420361">
                          <w:rPr>
                            <w:rFonts w:eastAsia="Times New Roman"/>
                            <w:i/>
                            <w:iCs/>
                            <w:szCs w:val="24"/>
                            <w:bdr w:val="none" w:sz="0" w:space="0" w:color="auto" w:frame="1"/>
                            <w:shd w:val="clear" w:color="auto" w:fill="FFFFFF"/>
                          </w:rPr>
                          <w:t>a quo, </w:t>
                        </w:r>
                        <w:r w:rsidR="00637A33" w:rsidRPr="00420361">
                          <w:rPr>
                            <w:rFonts w:eastAsia="Times New Roman"/>
                            <w:szCs w:val="24"/>
                            <w:bdr w:val="none" w:sz="0" w:space="0" w:color="auto" w:frame="1"/>
                            <w:shd w:val="clear" w:color="auto" w:fill="FFFFFF"/>
                          </w:rPr>
                          <w:t>ma che investe i riflessi – in punto di responsabilità erariale dei soggetti coinvolti nella risoluzione della Convenzione – dell’applicazione delle norme sospettate di illegittimità costituzionale determinerebbe in capo alle autorità titolari dell’esercizio del potere;</w:t>
                        </w:r>
                      </w:p>
                      <w:p w:rsidR="00637A33" w:rsidRPr="00420361" w:rsidRDefault="00E16E30" w:rsidP="00D53B99">
                        <w:pPr>
                          <w:shd w:val="clear" w:color="auto" w:fill="FFFFFF"/>
                          <w:spacing w:line="240" w:lineRule="auto"/>
                          <w:ind w:left="1701" w:hanging="567"/>
                          <w:rPr>
                            <w:rFonts w:eastAsia="Times New Roman"/>
                            <w:szCs w:val="24"/>
                          </w:rPr>
                        </w:pPr>
                        <w:r w:rsidRPr="00420361">
                          <w:rPr>
                            <w:rFonts w:eastAsia="Times New Roman"/>
                            <w:i/>
                            <w:iCs/>
                            <w:szCs w:val="24"/>
                            <w:bdr w:val="none" w:sz="0" w:space="0" w:color="auto" w:frame="1"/>
                            <w:shd w:val="clear" w:color="auto" w:fill="FFFFFF"/>
                          </w:rPr>
                          <w:t>    </w:t>
                        </w:r>
                        <w:r w:rsidR="00637A33" w:rsidRPr="00420361">
                          <w:rPr>
                            <w:rFonts w:eastAsia="Times New Roman"/>
                            <w:i/>
                            <w:iCs/>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xml:space="preserve">l5) alla desunta illegittimità costituzionale dell’art. 35, comma 1, del </w:t>
                        </w:r>
                        <w:proofErr w:type="spellStart"/>
                        <w:r w:rsidR="00637A33" w:rsidRPr="00420361">
                          <w:rPr>
                            <w:rFonts w:eastAsia="Times New Roman"/>
                            <w:szCs w:val="24"/>
                            <w:bdr w:val="none" w:sz="0" w:space="0" w:color="auto" w:frame="1"/>
                            <w:shd w:val="clear" w:color="auto" w:fill="FFFFFF"/>
                          </w:rPr>
                          <w:t>d.l.</w:t>
                        </w:r>
                        <w:proofErr w:type="spellEnd"/>
                        <w:r w:rsidR="00637A33" w:rsidRPr="00420361">
                          <w:rPr>
                            <w:rFonts w:eastAsia="Times New Roman"/>
                            <w:szCs w:val="24"/>
                            <w:bdr w:val="none" w:sz="0" w:space="0" w:color="auto" w:frame="1"/>
                            <w:shd w:val="clear" w:color="auto" w:fill="FFFFFF"/>
                          </w:rPr>
                          <w:t xml:space="preserve"> 162 del 2019 – segnatamente nella parte in cui si è previsto che l’estinzione della concessione per inadempimento del concessionario non sia sottoposta alla condizione del pagamento da parte dell’amministrazione concedente delle somme previste dal citato articolo 176, comma 4, lettera </w:t>
                        </w:r>
                        <w:r w:rsidR="00637A33" w:rsidRPr="00420361">
                          <w:rPr>
                            <w:rFonts w:eastAsia="Times New Roman"/>
                            <w:i/>
                            <w:iCs/>
                            <w:szCs w:val="24"/>
                            <w:bdr w:val="none" w:sz="0" w:space="0" w:color="auto" w:frame="1"/>
                            <w:shd w:val="clear" w:color="auto" w:fill="FFFFFF"/>
                          </w:rPr>
                          <w:t>a)</w:t>
                        </w:r>
                        <w:r w:rsidR="00637A33" w:rsidRPr="00420361">
                          <w:rPr>
                            <w:rFonts w:eastAsia="Times New Roman"/>
                            <w:szCs w:val="24"/>
                            <w:bdr w:val="none" w:sz="0" w:space="0" w:color="auto" w:frame="1"/>
                            <w:shd w:val="clear" w:color="auto" w:fill="FFFFFF"/>
                          </w:rPr>
                          <w:t xml:space="preserve">, del d.lgs. 18 aprile 2016, n. 50 – in quanto profilo che non rileva nel presente giudizio volto chiaramente ad ottenere, da parte della ricorrente, la reintegrazione nella titolarità del rapporto </w:t>
                        </w:r>
                        <w:proofErr w:type="spellStart"/>
                        <w:r w:rsidR="00637A33" w:rsidRPr="00420361">
                          <w:rPr>
                            <w:rFonts w:eastAsia="Times New Roman"/>
                            <w:szCs w:val="24"/>
                            <w:bdr w:val="none" w:sz="0" w:space="0" w:color="auto" w:frame="1"/>
                            <w:shd w:val="clear" w:color="auto" w:fill="FFFFFF"/>
                          </w:rPr>
                          <w:t>concessorio</w:t>
                        </w:r>
                        <w:proofErr w:type="spellEnd"/>
                        <w:r w:rsidR="00637A33" w:rsidRPr="00420361">
                          <w:rPr>
                            <w:rFonts w:eastAsia="Times New Roman"/>
                            <w:szCs w:val="24"/>
                            <w:bdr w:val="none" w:sz="0" w:space="0" w:color="auto" w:frame="1"/>
                            <w:shd w:val="clear" w:color="auto" w:fill="FFFFFF"/>
                          </w:rPr>
                          <w:t xml:space="preserve"> e non, invece, il predetto ristoro che presuppone l’intervenuta acquiescenza allo scioglimento del rapporto.</w:t>
                        </w:r>
                      </w:p>
                      <w:p w:rsidR="00637A33" w:rsidRPr="00420361" w:rsidRDefault="00637A33" w:rsidP="00637A33">
                        <w:pPr>
                          <w:shd w:val="clear" w:color="auto" w:fill="FFFFFF"/>
                          <w:spacing w:line="240" w:lineRule="auto"/>
                          <w:jc w:val="left"/>
                          <w:rPr>
                            <w:rFonts w:eastAsia="Times New Roman"/>
                            <w:szCs w:val="24"/>
                          </w:rPr>
                        </w:pPr>
                        <w:r w:rsidRPr="00420361">
                          <w:rPr>
                            <w:rFonts w:eastAsia="Times New Roman"/>
                            <w:szCs w:val="24"/>
                            <w:bdr w:val="none" w:sz="0" w:space="0" w:color="auto" w:frame="1"/>
                            <w:shd w:val="clear" w:color="auto" w:fill="FFFFFF"/>
                          </w:rPr>
                          <w:t>IV – Per completezza, si segnala quanto segue:</w:t>
                        </w:r>
                      </w:p>
                      <w:p w:rsidR="00637A33" w:rsidRPr="00420361" w:rsidRDefault="00637A33" w:rsidP="00E16E30">
                        <w:pPr>
                          <w:shd w:val="clear" w:color="auto" w:fill="FFFFFF"/>
                          <w:spacing w:line="240" w:lineRule="auto"/>
                          <w:ind w:left="680"/>
                          <w:rPr>
                            <w:rFonts w:eastAsia="Times New Roman"/>
                            <w:szCs w:val="24"/>
                          </w:rPr>
                        </w:pPr>
                        <w:r w:rsidRPr="00420361">
                          <w:rPr>
                            <w:rFonts w:eastAsia="Times New Roman"/>
                            <w:szCs w:val="24"/>
                            <w:bdr w:val="none" w:sz="0" w:space="0" w:color="auto" w:frame="1"/>
                            <w:shd w:val="clear" w:color="auto" w:fill="FFFFFF"/>
                          </w:rPr>
                          <w:t xml:space="preserve">m) sui requisiti di straordinarietà e urgenza dei </w:t>
                        </w:r>
                        <w:proofErr w:type="spellStart"/>
                        <w:r w:rsidRPr="00420361">
                          <w:rPr>
                            <w:rFonts w:eastAsia="Times New Roman"/>
                            <w:szCs w:val="24"/>
                            <w:bdr w:val="none" w:sz="0" w:space="0" w:color="auto" w:frame="1"/>
                            <w:shd w:val="clear" w:color="auto" w:fill="FFFFFF"/>
                          </w:rPr>
                          <w:t>decreti-legge</w:t>
                        </w:r>
                        <w:proofErr w:type="spellEnd"/>
                        <w:r w:rsidRPr="00420361">
                          <w:rPr>
                            <w:rFonts w:eastAsia="Times New Roman"/>
                            <w:szCs w:val="24"/>
                            <w:bdr w:val="none" w:sz="0" w:space="0" w:color="auto" w:frame="1"/>
                            <w:shd w:val="clear" w:color="auto" w:fill="FFFFFF"/>
                          </w:rPr>
                          <w:t xml:space="preserve">: v. </w:t>
                        </w:r>
                        <w:hyperlink r:id="rId21" w:history="1">
                          <w:r w:rsidRPr="00420361">
                            <w:rPr>
                              <w:rStyle w:val="Collegamentoipertestuale"/>
                              <w:rFonts w:eastAsia="Times New Roman"/>
                              <w:color w:val="auto"/>
                              <w:szCs w:val="24"/>
                              <w:bdr w:val="none" w:sz="0" w:space="0" w:color="auto" w:frame="1"/>
                              <w:shd w:val="clear" w:color="auto" w:fill="FFFFFF"/>
                            </w:rPr>
                            <w:t xml:space="preserve">Corte </w:t>
                          </w:r>
                          <w:proofErr w:type="spellStart"/>
                          <w:r w:rsidRPr="00420361">
                            <w:rPr>
                              <w:rStyle w:val="Collegamentoipertestuale"/>
                              <w:rFonts w:eastAsia="Times New Roman"/>
                              <w:color w:val="auto"/>
                              <w:szCs w:val="24"/>
                              <w:bdr w:val="none" w:sz="0" w:space="0" w:color="auto" w:frame="1"/>
                              <w:shd w:val="clear" w:color="auto" w:fill="FFFFFF"/>
                            </w:rPr>
                            <w:t>cost</w:t>
                          </w:r>
                          <w:proofErr w:type="spellEnd"/>
                          <w:r w:rsidRPr="00420361">
                            <w:rPr>
                              <w:rStyle w:val="Collegamentoipertestuale"/>
                              <w:rFonts w:eastAsia="Times New Roman"/>
                              <w:color w:val="auto"/>
                              <w:szCs w:val="24"/>
                              <w:bdr w:val="none" w:sz="0" w:space="0" w:color="auto" w:frame="1"/>
                              <w:shd w:val="clear" w:color="auto" w:fill="FFFFFF"/>
                            </w:rPr>
                            <w:t>., sentenza 9 dicembre 2022, n. 245;</w:t>
                          </w:r>
                        </w:hyperlink>
                        <w:r w:rsidRPr="00420361">
                          <w:rPr>
                            <w:rFonts w:eastAsia="Times New Roman"/>
                            <w:szCs w:val="24"/>
                            <w:bdr w:val="none" w:sz="0" w:space="0" w:color="auto" w:frame="1"/>
                            <w:shd w:val="clear" w:color="auto" w:fill="FFFFFF"/>
                          </w:rPr>
                          <w:t xml:space="preserve"> </w:t>
                        </w:r>
                        <w:hyperlink r:id="rId22" w:history="1">
                          <w:r w:rsidRPr="00420361">
                            <w:rPr>
                              <w:rStyle w:val="Collegamentoipertestuale"/>
                              <w:rFonts w:eastAsia="Times New Roman"/>
                              <w:color w:val="auto"/>
                              <w:szCs w:val="24"/>
                              <w:bdr w:val="none" w:sz="0" w:space="0" w:color="auto" w:frame="1"/>
                              <w:shd w:val="clear" w:color="auto" w:fill="FFFFFF"/>
                            </w:rPr>
                            <w:t>sentenza 4 marzo 2019, n. 33 (</w:t>
                          </w:r>
                        </w:hyperlink>
                        <w:r w:rsidRPr="00420361">
                          <w:rPr>
                            <w:rFonts w:eastAsia="Times New Roman"/>
                            <w:szCs w:val="24"/>
                            <w:bdr w:val="none" w:sz="0" w:space="0" w:color="auto" w:frame="1"/>
                            <w:shd w:val="clear" w:color="auto" w:fill="FFFFFF"/>
                          </w:rPr>
                          <w:t>in </w:t>
                        </w:r>
                        <w:r w:rsidRPr="00420361">
                          <w:rPr>
                            <w:rFonts w:eastAsia="Times New Roman"/>
                            <w:i/>
                            <w:iCs/>
                            <w:szCs w:val="24"/>
                            <w:bdr w:val="none" w:sz="0" w:space="0" w:color="auto" w:frame="1"/>
                            <w:shd w:val="clear" w:color="auto" w:fill="FFFFFF"/>
                          </w:rPr>
                          <w:t xml:space="preserve">Giur. </w:t>
                        </w:r>
                        <w:proofErr w:type="spellStart"/>
                        <w:r w:rsidRPr="00420361">
                          <w:rPr>
                            <w:rFonts w:eastAsia="Times New Roman"/>
                            <w:i/>
                            <w:iCs/>
                            <w:szCs w:val="24"/>
                            <w:bdr w:val="none" w:sz="0" w:space="0" w:color="auto" w:frame="1"/>
                            <w:shd w:val="clear" w:color="auto" w:fill="FFFFFF"/>
                          </w:rPr>
                          <w:t>costit</w:t>
                        </w:r>
                        <w:proofErr w:type="spellEnd"/>
                        <w:r w:rsidRPr="00420361">
                          <w:rPr>
                            <w:rFonts w:eastAsia="Times New Roman"/>
                            <w:i/>
                            <w:iCs/>
                            <w:szCs w:val="24"/>
                            <w:bdr w:val="none" w:sz="0" w:space="0" w:color="auto" w:frame="1"/>
                            <w:shd w:val="clear" w:color="auto" w:fill="FFFFFF"/>
                          </w:rPr>
                          <w:t>.</w:t>
                        </w:r>
                        <w:r w:rsidRPr="00420361">
                          <w:rPr>
                            <w:rFonts w:eastAsia="Times New Roman"/>
                            <w:szCs w:val="24"/>
                            <w:bdr w:val="none" w:sz="0" w:space="0" w:color="auto" w:frame="1"/>
                            <w:shd w:val="clear" w:color="auto" w:fill="FFFFFF"/>
                          </w:rPr>
                          <w:t>, 2019, 636, con note di PIZZOLATO e PAGLIARIN, nonché oggetto della </w:t>
                        </w:r>
                        <w:r w:rsidRPr="00420361">
                          <w:rPr>
                            <w:rFonts w:eastAsia="Times New Roman"/>
                            <w:i/>
                            <w:iCs/>
                            <w:szCs w:val="24"/>
                            <w:bdr w:val="none" w:sz="0" w:space="0" w:color="auto" w:frame="1"/>
                            <w:shd w:val="clear" w:color="auto" w:fill="FFFFFF"/>
                          </w:rPr>
                          <w:t>News</w:t>
                        </w:r>
                        <w:r w:rsidRPr="00420361">
                          <w:rPr>
                            <w:rFonts w:eastAsia="Times New Roman"/>
                            <w:szCs w:val="24"/>
                            <w:bdr w:val="none" w:sz="0" w:space="0" w:color="auto" w:frame="1"/>
                            <w:shd w:val="clear" w:color="auto" w:fill="FFFFFF"/>
                          </w:rPr>
                          <w:t> US n. 31 del 20 marzo 2019);</w:t>
                        </w:r>
                      </w:p>
                      <w:p w:rsidR="00637A33" w:rsidRPr="00420361" w:rsidRDefault="00637A33" w:rsidP="00D53B99">
                        <w:pPr>
                          <w:shd w:val="clear" w:color="auto" w:fill="FFFFFF"/>
                          <w:spacing w:line="240" w:lineRule="auto"/>
                          <w:ind w:left="1037" w:hanging="357"/>
                          <w:rPr>
                            <w:rFonts w:eastAsia="Times New Roman"/>
                            <w:szCs w:val="24"/>
                          </w:rPr>
                        </w:pPr>
                        <w:r w:rsidRPr="00420361">
                          <w:rPr>
                            <w:rFonts w:eastAsia="Times New Roman"/>
                            <w:szCs w:val="24"/>
                            <w:bdr w:val="none" w:sz="0" w:space="0" w:color="auto" w:frame="1"/>
                            <w:shd w:val="clear" w:color="auto" w:fill="FFFFFF"/>
                          </w:rPr>
                          <w:t>n) sulle leggi-provvedimento:</w:t>
                        </w:r>
                      </w:p>
                      <w:p w:rsidR="00637A33" w:rsidRPr="00420361" w:rsidRDefault="00E16E30" w:rsidP="008C67A5">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w:t>
                        </w:r>
                        <w:r w:rsidR="00637A33" w:rsidRPr="00420361">
                          <w:rPr>
                            <w:rFonts w:eastAsia="Times New Roman"/>
                            <w:szCs w:val="24"/>
                            <w:bdr w:val="none" w:sz="0" w:space="0" w:color="auto" w:frame="1"/>
                            <w:shd w:val="clear" w:color="auto" w:fill="FFFFFF"/>
                          </w:rPr>
                          <w:t xml:space="preserve"> n1) in giurisprudenza v. </w:t>
                        </w:r>
                        <w:hyperlink r:id="rId23" w:history="1">
                          <w:r w:rsidR="00637A33" w:rsidRPr="00420361">
                            <w:rPr>
                              <w:rStyle w:val="Collegamentoipertestuale"/>
                              <w:rFonts w:eastAsia="Times New Roman"/>
                              <w:color w:val="auto"/>
                              <w:szCs w:val="24"/>
                              <w:bdr w:val="none" w:sz="0" w:space="0" w:color="auto" w:frame="1"/>
                              <w:shd w:val="clear" w:color="auto" w:fill="FFFFFF"/>
                            </w:rPr>
                            <w:t xml:space="preserve">Corte </w:t>
                          </w:r>
                          <w:proofErr w:type="spellStart"/>
                          <w:r w:rsidR="00637A33" w:rsidRPr="00420361">
                            <w:rPr>
                              <w:rStyle w:val="Collegamentoipertestuale"/>
                              <w:rFonts w:eastAsia="Times New Roman"/>
                              <w:color w:val="auto"/>
                              <w:szCs w:val="24"/>
                              <w:bdr w:val="none" w:sz="0" w:space="0" w:color="auto" w:frame="1"/>
                              <w:shd w:val="clear" w:color="auto" w:fill="FFFFFF"/>
                            </w:rPr>
                            <w:t>cost</w:t>
                          </w:r>
                          <w:proofErr w:type="spellEnd"/>
                          <w:r w:rsidR="00637A33" w:rsidRPr="00420361">
                            <w:rPr>
                              <w:rStyle w:val="Collegamentoipertestuale"/>
                              <w:rFonts w:eastAsia="Times New Roman"/>
                              <w:color w:val="auto"/>
                              <w:szCs w:val="24"/>
                              <w:bdr w:val="none" w:sz="0" w:space="0" w:color="auto" w:frame="1"/>
                              <w:shd w:val="clear" w:color="auto" w:fill="FFFFFF"/>
                            </w:rPr>
                            <w:t>., 25 luglio 2022, n. 186</w:t>
                          </w:r>
                        </w:hyperlink>
                        <w:r w:rsidR="00637A33" w:rsidRPr="00420361">
                          <w:rPr>
                            <w:rFonts w:eastAsia="Times New Roman"/>
                            <w:szCs w:val="24"/>
                            <w:bdr w:val="none" w:sz="0" w:space="0" w:color="auto" w:frame="1"/>
                            <w:shd w:val="clear" w:color="auto" w:fill="FFFFFF"/>
                          </w:rPr>
                          <w:t xml:space="preserve"> (in </w:t>
                        </w:r>
                        <w:r w:rsidR="00637A33" w:rsidRPr="00420361">
                          <w:rPr>
                            <w:rFonts w:eastAsia="Times New Roman"/>
                            <w:i/>
                            <w:iCs/>
                            <w:szCs w:val="24"/>
                            <w:bdr w:val="none" w:sz="0" w:space="0" w:color="auto" w:frame="1"/>
                            <w:shd w:val="clear" w:color="auto" w:fill="FFFFFF"/>
                          </w:rPr>
                          <w:t xml:space="preserve">Foro </w:t>
                        </w:r>
                        <w:proofErr w:type="spellStart"/>
                        <w:r w:rsidR="00637A33" w:rsidRPr="00420361">
                          <w:rPr>
                            <w:rFonts w:eastAsia="Times New Roman"/>
                            <w:i/>
                            <w:iCs/>
                            <w:szCs w:val="24"/>
                            <w:bdr w:val="none" w:sz="0" w:space="0" w:color="auto" w:frame="1"/>
                            <w:shd w:val="clear" w:color="auto" w:fill="FFFFFF"/>
                          </w:rPr>
                          <w:t>it</w:t>
                        </w:r>
                        <w:proofErr w:type="spellEnd"/>
                        <w:r w:rsidR="00637A33" w:rsidRPr="00420361">
                          <w:rPr>
                            <w:rFonts w:eastAsia="Times New Roman"/>
                            <w:i/>
                            <w:iCs/>
                            <w:szCs w:val="24"/>
                            <w:bdr w:val="none" w:sz="0" w:space="0" w:color="auto" w:frame="1"/>
                            <w:shd w:val="clear" w:color="auto" w:fill="FFFFFF"/>
                          </w:rPr>
                          <w:t>.</w:t>
                        </w:r>
                        <w:r w:rsidR="00637A33" w:rsidRPr="00420361">
                          <w:rPr>
                            <w:rFonts w:eastAsia="Times New Roman"/>
                            <w:szCs w:val="24"/>
                            <w:bdr w:val="none" w:sz="0" w:space="0" w:color="auto" w:frame="1"/>
                            <w:shd w:val="clear" w:color="auto" w:fill="FFFFFF"/>
                          </w:rPr>
                          <w:t>, 2022, I, 1145, nonché oggetto della </w:t>
                        </w:r>
                        <w:r w:rsidR="00637A33" w:rsidRPr="00420361">
                          <w:rPr>
                            <w:rFonts w:eastAsia="Times New Roman"/>
                            <w:i/>
                            <w:iCs/>
                            <w:szCs w:val="24"/>
                            <w:bdr w:val="none" w:sz="0" w:space="0" w:color="auto" w:frame="1"/>
                            <w:shd w:val="clear" w:color="auto" w:fill="FFFFFF"/>
                          </w:rPr>
                          <w:t>News</w:t>
                        </w:r>
                        <w:r w:rsidR="00637A33" w:rsidRPr="00420361">
                          <w:rPr>
                            <w:rFonts w:eastAsia="Times New Roman"/>
                            <w:szCs w:val="24"/>
                            <w:bdr w:val="none" w:sz="0" w:space="0" w:color="auto" w:frame="1"/>
                            <w:shd w:val="clear" w:color="auto" w:fill="FFFFFF"/>
                          </w:rPr>
                          <w:t> UM n. 94 del 13 settembre 2022);</w:t>
                        </w:r>
                      </w:p>
                      <w:p w:rsidR="00637A33" w:rsidRPr="00420361" w:rsidRDefault="00637A33" w:rsidP="008C67A5">
                        <w:pPr>
                          <w:shd w:val="clear" w:color="auto" w:fill="FFFFFF"/>
                          <w:spacing w:line="240" w:lineRule="auto"/>
                          <w:ind w:left="1701" w:hanging="567"/>
                          <w:rPr>
                            <w:rFonts w:eastAsia="Times New Roman"/>
                            <w:szCs w:val="24"/>
                          </w:rPr>
                        </w:pPr>
                        <w:r w:rsidRPr="00420361">
                          <w:rPr>
                            <w:rFonts w:eastAsia="Times New Roman"/>
                            <w:szCs w:val="24"/>
                            <w:bdr w:val="none" w:sz="0" w:space="0" w:color="auto" w:frame="1"/>
                            <w:shd w:val="clear" w:color="auto" w:fill="FFFFFF"/>
                          </w:rPr>
                          <w:t>   n2) in dottrina: </w:t>
                        </w:r>
                        <w:r w:rsidRPr="00420361">
                          <w:rPr>
                            <w:rFonts w:eastAsia="Times New Roman"/>
                            <w:i/>
                            <w:iCs/>
                            <w:szCs w:val="24"/>
                            <w:bdr w:val="none" w:sz="0" w:space="0" w:color="auto" w:frame="1"/>
                            <w:shd w:val="clear" w:color="auto" w:fill="FFFFFF"/>
                          </w:rPr>
                          <w:t>i</w:t>
                        </w:r>
                        <w:r w:rsidRPr="00420361">
                          <w:rPr>
                            <w:rFonts w:eastAsia="Times New Roman"/>
                            <w:szCs w:val="24"/>
                            <w:bdr w:val="none" w:sz="0" w:space="0" w:color="auto" w:frame="1"/>
                            <w:shd w:val="clear" w:color="auto" w:fill="FFFFFF"/>
                          </w:rPr>
                          <w:t>) per una ricostruzione generale: v. P. SCARLATTI, </w:t>
                        </w:r>
                        <w:r w:rsidRPr="00420361">
                          <w:rPr>
                            <w:rFonts w:eastAsia="Times New Roman"/>
                            <w:i/>
                            <w:iCs/>
                            <w:szCs w:val="24"/>
                            <w:bdr w:val="none" w:sz="0" w:space="0" w:color="auto" w:frame="1"/>
                            <w:shd w:val="clear" w:color="auto" w:fill="FFFFFF"/>
                          </w:rPr>
                          <w:t>Il regime delle leggi-provvedimento regionali nella trasformazione dell'ordinamento costituzionale italiano</w:t>
                        </w:r>
                        <w:r w:rsidRPr="00420361">
                          <w:rPr>
                            <w:rFonts w:eastAsia="Times New Roman"/>
                            <w:szCs w:val="24"/>
                            <w:bdr w:val="none" w:sz="0" w:space="0" w:color="auto" w:frame="1"/>
                            <w:shd w:val="clear" w:color="auto" w:fill="FFFFFF"/>
                          </w:rPr>
                          <w:t>, in </w:t>
                        </w:r>
                        <w:r w:rsidRPr="00420361">
                          <w:rPr>
                            <w:rFonts w:eastAsia="Times New Roman"/>
                            <w:i/>
                            <w:iCs/>
                            <w:szCs w:val="24"/>
                            <w:bdr w:val="none" w:sz="0" w:space="0" w:color="auto" w:frame="1"/>
                            <w:shd w:val="clear" w:color="auto" w:fill="FFFFFF"/>
                          </w:rPr>
                          <w:t xml:space="preserve">Giur. </w:t>
                        </w:r>
                        <w:proofErr w:type="spellStart"/>
                        <w:r w:rsidRPr="00420361">
                          <w:rPr>
                            <w:rFonts w:eastAsia="Times New Roman"/>
                            <w:i/>
                            <w:iCs/>
                            <w:szCs w:val="24"/>
                            <w:bdr w:val="none" w:sz="0" w:space="0" w:color="auto" w:frame="1"/>
                            <w:shd w:val="clear" w:color="auto" w:fill="FFFFFF"/>
                          </w:rPr>
                          <w:t>costit</w:t>
                        </w:r>
                        <w:proofErr w:type="spellEnd"/>
                        <w:r w:rsidRPr="00420361">
                          <w:rPr>
                            <w:rFonts w:eastAsia="Times New Roman"/>
                            <w:i/>
                            <w:iCs/>
                            <w:szCs w:val="24"/>
                            <w:bdr w:val="none" w:sz="0" w:space="0" w:color="auto" w:frame="1"/>
                            <w:shd w:val="clear" w:color="auto" w:fill="FFFFFF"/>
                          </w:rPr>
                          <w:t>.</w:t>
                        </w:r>
                        <w:r w:rsidRPr="00420361">
                          <w:rPr>
                            <w:rFonts w:eastAsia="Times New Roman"/>
                            <w:szCs w:val="24"/>
                            <w:bdr w:val="none" w:sz="0" w:space="0" w:color="auto" w:frame="1"/>
                            <w:shd w:val="clear" w:color="auto" w:fill="FFFFFF"/>
                          </w:rPr>
                          <w:t>, 2019; n. 559, L.R. PERFETTI, </w:t>
                        </w:r>
                        <w:r w:rsidRPr="00420361">
                          <w:rPr>
                            <w:rFonts w:eastAsia="Times New Roman"/>
                            <w:i/>
                            <w:iCs/>
                            <w:szCs w:val="24"/>
                            <w:bdr w:val="none" w:sz="0" w:space="0" w:color="auto" w:frame="1"/>
                            <w:shd w:val="clear" w:color="auto" w:fill="FFFFFF"/>
                          </w:rPr>
                          <w:t>Legge-provvedimento, Emergenza e giurisdizione</w:t>
                        </w:r>
                        <w:r w:rsidRPr="00420361">
                          <w:rPr>
                            <w:rFonts w:eastAsia="Times New Roman"/>
                            <w:szCs w:val="24"/>
                            <w:bdr w:val="none" w:sz="0" w:space="0" w:color="auto" w:frame="1"/>
                            <w:shd w:val="clear" w:color="auto" w:fill="FFFFFF"/>
                          </w:rPr>
                          <w:t>, in </w:t>
                        </w:r>
                        <w:r w:rsidRPr="00420361">
                          <w:rPr>
                            <w:rFonts w:eastAsia="Times New Roman"/>
                            <w:i/>
                            <w:iCs/>
                            <w:szCs w:val="24"/>
                            <w:bdr w:val="none" w:sz="0" w:space="0" w:color="auto" w:frame="1"/>
                            <w:shd w:val="clear" w:color="auto" w:fill="FFFFFF"/>
                          </w:rPr>
                          <w:t xml:space="preserve">Dir. </w:t>
                        </w:r>
                        <w:proofErr w:type="spellStart"/>
                        <w:r w:rsidRPr="00420361">
                          <w:rPr>
                            <w:rFonts w:eastAsia="Times New Roman"/>
                            <w:i/>
                            <w:iCs/>
                            <w:szCs w:val="24"/>
                            <w:bdr w:val="none" w:sz="0" w:space="0" w:color="auto" w:frame="1"/>
                            <w:shd w:val="clear" w:color="auto" w:fill="FFFFFF"/>
                          </w:rPr>
                          <w:t>proc</w:t>
                        </w:r>
                        <w:proofErr w:type="spellEnd"/>
                        <w:r w:rsidRPr="00420361">
                          <w:rPr>
                            <w:rFonts w:eastAsia="Times New Roman"/>
                            <w:i/>
                            <w:iCs/>
                            <w:szCs w:val="24"/>
                            <w:bdr w:val="none" w:sz="0" w:space="0" w:color="auto" w:frame="1"/>
                            <w:shd w:val="clear" w:color="auto" w:fill="FFFFFF"/>
                          </w:rPr>
                          <w:t xml:space="preserve">. </w:t>
                        </w:r>
                        <w:proofErr w:type="spellStart"/>
                        <w:r w:rsidRPr="00420361">
                          <w:rPr>
                            <w:rFonts w:eastAsia="Times New Roman"/>
                            <w:i/>
                            <w:iCs/>
                            <w:szCs w:val="24"/>
                            <w:bdr w:val="none" w:sz="0" w:space="0" w:color="auto" w:frame="1"/>
                            <w:shd w:val="clear" w:color="auto" w:fill="FFFFFF"/>
                          </w:rPr>
                          <w:t>amm</w:t>
                        </w:r>
                        <w:proofErr w:type="spellEnd"/>
                        <w:r w:rsidRPr="00420361">
                          <w:rPr>
                            <w:rFonts w:eastAsia="Times New Roman"/>
                            <w:i/>
                            <w:iCs/>
                            <w:szCs w:val="24"/>
                            <w:bdr w:val="none" w:sz="0" w:space="0" w:color="auto" w:frame="1"/>
                            <w:shd w:val="clear" w:color="auto" w:fill="FFFFFF"/>
                          </w:rPr>
                          <w:t>.</w:t>
                        </w:r>
                        <w:r w:rsidRPr="00420361">
                          <w:rPr>
                            <w:rFonts w:eastAsia="Times New Roman"/>
                            <w:szCs w:val="24"/>
                            <w:bdr w:val="none" w:sz="0" w:space="0" w:color="auto" w:frame="1"/>
                            <w:shd w:val="clear" w:color="auto" w:fill="FFFFFF"/>
                          </w:rPr>
                          <w:t>, 2019, 1021; </w:t>
                        </w:r>
                        <w:r w:rsidRPr="00420361">
                          <w:rPr>
                            <w:rFonts w:eastAsia="Times New Roman"/>
                            <w:i/>
                            <w:iCs/>
                            <w:szCs w:val="24"/>
                            <w:bdr w:val="none" w:sz="0" w:space="0" w:color="auto" w:frame="1"/>
                            <w:shd w:val="clear" w:color="auto" w:fill="FFFFFF"/>
                          </w:rPr>
                          <w:t>ii</w:t>
                        </w:r>
                        <w:r w:rsidRPr="00420361">
                          <w:rPr>
                            <w:rFonts w:eastAsia="Times New Roman"/>
                            <w:szCs w:val="24"/>
                            <w:bdr w:val="none" w:sz="0" w:space="0" w:color="auto" w:frame="1"/>
                            <w:shd w:val="clear" w:color="auto" w:fill="FFFFFF"/>
                          </w:rPr>
                          <w:t>) con particolare riferimento alla riserva di procedimento amministrativo v. C. CHAIRIELLO, </w:t>
                        </w:r>
                        <w:r w:rsidRPr="00420361">
                          <w:rPr>
                            <w:rFonts w:eastAsia="Times New Roman"/>
                            <w:i/>
                            <w:iCs/>
                            <w:szCs w:val="24"/>
                            <w:bdr w:val="none" w:sz="0" w:space="0" w:color="auto" w:frame="1"/>
                            <w:shd w:val="clear" w:color="auto" w:fill="FFFFFF"/>
                          </w:rPr>
                          <w:t>Una possibile apertura della Corte costituzionale alla riserva di procedimento amministrativo</w:t>
                        </w:r>
                        <w:r w:rsidRPr="00420361">
                          <w:rPr>
                            <w:rFonts w:eastAsia="Times New Roman"/>
                            <w:szCs w:val="24"/>
                            <w:bdr w:val="none" w:sz="0" w:space="0" w:color="auto" w:frame="1"/>
                            <w:shd w:val="clear" w:color="auto" w:fill="FFFFFF"/>
                          </w:rPr>
                          <w:t>, in </w:t>
                        </w:r>
                        <w:r w:rsidRPr="00420361">
                          <w:rPr>
                            <w:rFonts w:eastAsia="Times New Roman"/>
                            <w:i/>
                            <w:iCs/>
                            <w:szCs w:val="24"/>
                            <w:bdr w:val="none" w:sz="0" w:space="0" w:color="auto" w:frame="1"/>
                            <w:shd w:val="clear" w:color="auto" w:fill="FFFFFF"/>
                          </w:rPr>
                          <w:t xml:space="preserve">Giur. </w:t>
                        </w:r>
                        <w:proofErr w:type="spellStart"/>
                        <w:r w:rsidRPr="00420361">
                          <w:rPr>
                            <w:rFonts w:eastAsia="Times New Roman"/>
                            <w:i/>
                            <w:iCs/>
                            <w:szCs w:val="24"/>
                            <w:bdr w:val="none" w:sz="0" w:space="0" w:color="auto" w:frame="1"/>
                            <w:shd w:val="clear" w:color="auto" w:fill="FFFFFF"/>
                          </w:rPr>
                          <w:t>costit</w:t>
                        </w:r>
                        <w:proofErr w:type="spellEnd"/>
                        <w:r w:rsidRPr="00420361">
                          <w:rPr>
                            <w:rFonts w:eastAsia="Times New Roman"/>
                            <w:i/>
                            <w:iCs/>
                            <w:szCs w:val="24"/>
                            <w:bdr w:val="none" w:sz="0" w:space="0" w:color="auto" w:frame="1"/>
                            <w:shd w:val="clear" w:color="auto" w:fill="FFFFFF"/>
                          </w:rPr>
                          <w:t>.</w:t>
                        </w:r>
                        <w:r w:rsidRPr="00420361">
                          <w:rPr>
                            <w:rFonts w:eastAsia="Times New Roman"/>
                            <w:szCs w:val="24"/>
                            <w:bdr w:val="none" w:sz="0" w:space="0" w:color="auto" w:frame="1"/>
                            <w:shd w:val="clear" w:color="auto" w:fill="FFFFFF"/>
                          </w:rPr>
                          <w:t>, 2021, 2959 ss.; </w:t>
                        </w:r>
                        <w:r w:rsidRPr="00420361">
                          <w:rPr>
                            <w:rFonts w:eastAsia="Times New Roman"/>
                            <w:i/>
                            <w:iCs/>
                            <w:szCs w:val="24"/>
                            <w:bdr w:val="none" w:sz="0" w:space="0" w:color="auto" w:frame="1"/>
                            <w:shd w:val="clear" w:color="auto" w:fill="FFFFFF"/>
                          </w:rPr>
                          <w:t>iii</w:t>
                        </w:r>
                        <w:r w:rsidRPr="00420361">
                          <w:rPr>
                            <w:rFonts w:eastAsia="Times New Roman"/>
                            <w:szCs w:val="24"/>
                            <w:bdr w:val="none" w:sz="0" w:space="0" w:color="auto" w:frame="1"/>
                            <w:shd w:val="clear" w:color="auto" w:fill="FFFFFF"/>
                          </w:rPr>
                          <w:t xml:space="preserve">) con riguardo alla sentenza della Corte </w:t>
                        </w:r>
                        <w:proofErr w:type="spellStart"/>
                        <w:r w:rsidRPr="00420361">
                          <w:rPr>
                            <w:rFonts w:eastAsia="Times New Roman"/>
                            <w:szCs w:val="24"/>
                            <w:bdr w:val="none" w:sz="0" w:space="0" w:color="auto" w:frame="1"/>
                            <w:shd w:val="clear" w:color="auto" w:fill="FFFFFF"/>
                          </w:rPr>
                          <w:t>cost</w:t>
                        </w:r>
                        <w:proofErr w:type="spellEnd"/>
                        <w:r w:rsidRPr="00420361">
                          <w:rPr>
                            <w:rFonts w:eastAsia="Times New Roman"/>
                            <w:szCs w:val="24"/>
                            <w:bdr w:val="none" w:sz="0" w:space="0" w:color="auto" w:frame="1"/>
                            <w:shd w:val="clear" w:color="auto" w:fill="FFFFFF"/>
                          </w:rPr>
                          <w:t>. 27 luglio 2020, n. 168, v. F. ASTONE, </w:t>
                        </w:r>
                        <w:r w:rsidRPr="00420361">
                          <w:rPr>
                            <w:rFonts w:eastAsia="Times New Roman"/>
                            <w:i/>
                            <w:iCs/>
                            <w:szCs w:val="24"/>
                            <w:bdr w:val="none" w:sz="0" w:space="0" w:color="auto" w:frame="1"/>
                            <w:shd w:val="clear" w:color="auto" w:fill="FFFFFF"/>
                          </w:rPr>
                          <w:t>Leggi-provvedimento e Corte costituzionale, a proposito della ricostruzione del Ponte Morandi</w:t>
                        </w:r>
                        <w:r w:rsidRPr="00420361">
                          <w:rPr>
                            <w:rFonts w:eastAsia="Times New Roman"/>
                            <w:szCs w:val="24"/>
                            <w:bdr w:val="none" w:sz="0" w:space="0" w:color="auto" w:frame="1"/>
                            <w:shd w:val="clear" w:color="auto" w:fill="FFFFFF"/>
                          </w:rPr>
                          <w:t>, in </w:t>
                        </w:r>
                        <w:r w:rsidRPr="00420361">
                          <w:rPr>
                            <w:rFonts w:eastAsia="Times New Roman"/>
                            <w:i/>
                            <w:iCs/>
                            <w:szCs w:val="24"/>
                            <w:bdr w:val="none" w:sz="0" w:space="0" w:color="auto" w:frame="1"/>
                            <w:shd w:val="clear" w:color="auto" w:fill="FFFFFF"/>
                          </w:rPr>
                          <w:t xml:space="preserve">Giur. </w:t>
                        </w:r>
                        <w:proofErr w:type="spellStart"/>
                        <w:r w:rsidRPr="00420361">
                          <w:rPr>
                            <w:rFonts w:eastAsia="Times New Roman"/>
                            <w:i/>
                            <w:iCs/>
                            <w:szCs w:val="24"/>
                            <w:bdr w:val="none" w:sz="0" w:space="0" w:color="auto" w:frame="1"/>
                            <w:shd w:val="clear" w:color="auto" w:fill="FFFFFF"/>
                          </w:rPr>
                          <w:t>costit</w:t>
                        </w:r>
                        <w:proofErr w:type="spellEnd"/>
                        <w:r w:rsidRPr="00420361">
                          <w:rPr>
                            <w:rFonts w:eastAsia="Times New Roman"/>
                            <w:i/>
                            <w:iCs/>
                            <w:szCs w:val="24"/>
                            <w:bdr w:val="none" w:sz="0" w:space="0" w:color="auto" w:frame="1"/>
                            <w:shd w:val="clear" w:color="auto" w:fill="FFFFFF"/>
                          </w:rPr>
                          <w:t>.</w:t>
                        </w:r>
                        <w:r w:rsidRPr="00420361">
                          <w:rPr>
                            <w:rFonts w:eastAsia="Times New Roman"/>
                            <w:szCs w:val="24"/>
                            <w:bdr w:val="none" w:sz="0" w:space="0" w:color="auto" w:frame="1"/>
                            <w:shd w:val="clear" w:color="auto" w:fill="FFFFFF"/>
                          </w:rPr>
                          <w:t>, 2020, 1909 ss.;</w:t>
                        </w:r>
                      </w:p>
                      <w:p w:rsidR="00637A33" w:rsidRPr="00420361" w:rsidRDefault="00637A33" w:rsidP="008C67A5">
                        <w:pPr>
                          <w:shd w:val="clear" w:color="auto" w:fill="FFFFFF"/>
                          <w:spacing w:line="240" w:lineRule="auto"/>
                          <w:ind w:left="1037" w:hanging="357"/>
                          <w:rPr>
                            <w:rFonts w:eastAsia="Times New Roman"/>
                            <w:szCs w:val="24"/>
                          </w:rPr>
                        </w:pPr>
                        <w:r w:rsidRPr="00420361">
                          <w:rPr>
                            <w:rFonts w:eastAsia="Times New Roman"/>
                            <w:szCs w:val="24"/>
                            <w:bdr w:val="none" w:sz="0" w:space="0" w:color="auto" w:frame="1"/>
                            <w:shd w:val="clear" w:color="auto" w:fill="FFFFFF"/>
                          </w:rPr>
                          <w:t xml:space="preserve">o) sulla compatibilità con il diritto euro-unitario di una normativa nazionale che legittima la modificazione soggettiva ed oggettiva di una concessione </w:t>
                        </w:r>
                        <w:r w:rsidRPr="00420361">
                          <w:rPr>
                            <w:rFonts w:eastAsia="Times New Roman"/>
                            <w:szCs w:val="24"/>
                            <w:bdr w:val="none" w:sz="0" w:space="0" w:color="auto" w:frame="1"/>
                            <w:shd w:val="clear" w:color="auto" w:fill="FFFFFF"/>
                          </w:rPr>
                          <w:lastRenderedPageBreak/>
                          <w:t xml:space="preserve">autostradale in corso di validità, v. </w:t>
                        </w:r>
                        <w:hyperlink r:id="rId24" w:history="1">
                          <w:proofErr w:type="spellStart"/>
                          <w:r w:rsidRPr="00420361">
                            <w:rPr>
                              <w:rStyle w:val="Collegamentoipertestuale"/>
                              <w:rFonts w:eastAsia="Times New Roman"/>
                              <w:color w:val="auto"/>
                              <w:szCs w:val="24"/>
                              <w:bdr w:val="none" w:sz="0" w:space="0" w:color="auto" w:frame="1"/>
                              <w:shd w:val="clear" w:color="auto" w:fill="FFFFFF"/>
                            </w:rPr>
                            <w:t>T.a.r</w:t>
                          </w:r>
                          <w:proofErr w:type="spellEnd"/>
                          <w:r w:rsidRPr="00420361">
                            <w:rPr>
                              <w:rStyle w:val="Collegamentoipertestuale"/>
                              <w:rFonts w:eastAsia="Times New Roman"/>
                              <w:color w:val="auto"/>
                              <w:szCs w:val="24"/>
                              <w:bdr w:val="none" w:sz="0" w:space="0" w:color="auto" w:frame="1"/>
                              <w:shd w:val="clear" w:color="auto" w:fill="FFFFFF"/>
                            </w:rPr>
                            <w:t>. per il Lazio, sez. VI, sentenza non definitiva 19 ottobre 2022, n. 13434</w:t>
                          </w:r>
                        </w:hyperlink>
                        <w:r w:rsidRPr="00420361">
                          <w:rPr>
                            <w:rFonts w:eastAsia="Times New Roman"/>
                            <w:szCs w:val="24"/>
                            <w:bdr w:val="none" w:sz="0" w:space="0" w:color="auto" w:frame="1"/>
                            <w:shd w:val="clear" w:color="auto" w:fill="FFFFFF"/>
                          </w:rPr>
                          <w:t xml:space="preserve"> </w:t>
                        </w:r>
                        <w:hyperlink r:id="rId25" w:history="1">
                          <w:r w:rsidRPr="00420361">
                            <w:rPr>
                              <w:rStyle w:val="Collegamentoipertestuale"/>
                              <w:rFonts w:eastAsia="Times New Roman"/>
                              <w:color w:val="auto"/>
                              <w:szCs w:val="24"/>
                              <w:bdr w:val="none" w:sz="0" w:space="0" w:color="auto" w:frame="1"/>
                              <w:shd w:val="clear" w:color="auto" w:fill="FFFFFF"/>
                            </w:rPr>
                            <w:t>(oggetto della News UM n. 108 del 2022</w:t>
                          </w:r>
                        </w:hyperlink>
                        <w:r w:rsidRPr="00420361">
                          <w:rPr>
                            <w:rFonts w:eastAsia="Times New Roman"/>
                            <w:szCs w:val="24"/>
                            <w:bdr w:val="none" w:sz="0" w:space="0" w:color="auto" w:frame="1"/>
                            <w:shd w:val="clear" w:color="auto" w:fill="FFFFFF"/>
                          </w:rPr>
                          <w:t>).</w:t>
                        </w:r>
                      </w:p>
                      <w:p w:rsidR="00637A33" w:rsidRPr="00420361" w:rsidRDefault="00637A33" w:rsidP="00637A33">
                        <w:pPr>
                          <w:spacing w:after="160" w:line="259" w:lineRule="auto"/>
                          <w:jc w:val="left"/>
                          <w:rPr>
                            <w:rFonts w:eastAsiaTheme="minorHAnsi" w:cstheme="minorBidi"/>
                            <w:szCs w:val="24"/>
                            <w:lang w:eastAsia="en-US"/>
                          </w:rPr>
                        </w:pPr>
                      </w:p>
                      <w:p w:rsidR="001C5A87" w:rsidRPr="00420361" w:rsidRDefault="001C5A87" w:rsidP="00637A33">
                        <w:pPr>
                          <w:shd w:val="clear" w:color="auto" w:fill="FFFFFF"/>
                          <w:spacing w:line="276" w:lineRule="atLeast"/>
                          <w:rPr>
                            <w:rFonts w:eastAsiaTheme="minorHAnsi" w:cstheme="minorBidi"/>
                            <w:szCs w:val="24"/>
                            <w:lang w:eastAsia="en-US"/>
                          </w:rPr>
                        </w:pPr>
                      </w:p>
                      <w:p w:rsidR="001C5A87" w:rsidRPr="00420361" w:rsidRDefault="001C5A87" w:rsidP="001C5A87">
                        <w:pPr>
                          <w:shd w:val="clear" w:color="auto" w:fill="FFFFFF"/>
                          <w:spacing w:line="240" w:lineRule="auto"/>
                          <w:ind w:left="1701" w:hanging="567"/>
                          <w:rPr>
                            <w:rFonts w:eastAsia="Times New Roman" w:cs="Times New Roman"/>
                            <w:szCs w:val="24"/>
                            <w:bdr w:val="none" w:sz="0" w:space="0" w:color="auto" w:frame="1"/>
                          </w:rPr>
                        </w:pPr>
                      </w:p>
                      <w:p w:rsidR="001C5A87" w:rsidRPr="00420361" w:rsidRDefault="001C5A87" w:rsidP="001C5A87">
                        <w:pPr>
                          <w:shd w:val="clear" w:color="auto" w:fill="FFFFFF"/>
                          <w:spacing w:line="240" w:lineRule="auto"/>
                          <w:ind w:left="1701" w:hanging="567"/>
                          <w:rPr>
                            <w:szCs w:val="24"/>
                          </w:rPr>
                        </w:pPr>
                      </w:p>
                    </w:tc>
                  </w:tr>
                  <w:tr w:rsidR="00420361" w:rsidRPr="00420361" w:rsidTr="00E93E4E">
                    <w:tc>
                      <w:tcPr>
                        <w:tcW w:w="9124" w:type="dxa"/>
                        <w:vAlign w:val="center"/>
                      </w:tcPr>
                      <w:p w:rsidR="00F10FC2" w:rsidRPr="00420361" w:rsidRDefault="00F10FC2" w:rsidP="007B765B">
                        <w:pPr>
                          <w:pStyle w:val="xmsonormal"/>
                          <w:shd w:val="clear" w:color="auto" w:fill="FFFFFF"/>
                        </w:pPr>
                      </w:p>
                    </w:tc>
                  </w:tr>
                </w:tbl>
                <w:p w:rsidR="00B23899" w:rsidRPr="00420361" w:rsidRDefault="00B23899" w:rsidP="00753DF6">
                  <w:pPr>
                    <w:spacing w:after="160" w:line="240" w:lineRule="auto"/>
                    <w:jc w:val="left"/>
                    <w:rPr>
                      <w:rFonts w:cs="Segoe UI"/>
                      <w:szCs w:val="24"/>
                      <w:lang w:eastAsia="en-US"/>
                    </w:rPr>
                  </w:pPr>
                </w:p>
              </w:tc>
            </w:tr>
            <w:tr w:rsidR="006527C1" w:rsidRPr="00A01E20">
              <w:trPr>
                <w:jc w:val="center"/>
              </w:trPr>
              <w:tc>
                <w:tcPr>
                  <w:tcW w:w="9638" w:type="dxa"/>
                  <w:shd w:val="clear" w:color="auto" w:fill="FFFFFF" w:themeFill="background1"/>
                  <w:vAlign w:val="center"/>
                  <w:hideMark/>
                </w:tcPr>
                <w:tbl>
                  <w:tblPr>
                    <w:tblW w:w="9763" w:type="dxa"/>
                    <w:tblCellMar>
                      <w:left w:w="0" w:type="dxa"/>
                      <w:right w:w="0" w:type="dxa"/>
                    </w:tblCellMar>
                    <w:tblLook w:val="04A0" w:firstRow="1" w:lastRow="0" w:firstColumn="1" w:lastColumn="0" w:noHBand="0" w:noVBand="1"/>
                  </w:tblPr>
                  <w:tblGrid>
                    <w:gridCol w:w="127"/>
                    <w:gridCol w:w="9331"/>
                    <w:gridCol w:w="305"/>
                  </w:tblGrid>
                  <w:tr w:rsidR="00420361" w:rsidRPr="00420361">
                    <w:tc>
                      <w:tcPr>
                        <w:tcW w:w="193" w:type="dxa"/>
                        <w:vAlign w:val="center"/>
                      </w:tcPr>
                      <w:p w:rsidR="00B23899" w:rsidRPr="00420361" w:rsidRDefault="00B23899">
                        <w:pPr>
                          <w:spacing w:line="240" w:lineRule="auto"/>
                          <w:rPr>
                            <w:rFonts w:cs="Times New Roman"/>
                            <w:szCs w:val="24"/>
                            <w:lang w:eastAsia="en-US"/>
                          </w:rPr>
                        </w:pPr>
                      </w:p>
                    </w:tc>
                    <w:tc>
                      <w:tcPr>
                        <w:tcW w:w="9104" w:type="dxa"/>
                        <w:vAlign w:val="center"/>
                        <w:hideMark/>
                      </w:tcPr>
                      <w:tbl>
                        <w:tblPr>
                          <w:tblW w:w="9104" w:type="dxa"/>
                          <w:tblInd w:w="227" w:type="dxa"/>
                          <w:tblCellMar>
                            <w:left w:w="0" w:type="dxa"/>
                            <w:right w:w="0" w:type="dxa"/>
                          </w:tblCellMar>
                          <w:tblLook w:val="04A0" w:firstRow="1" w:lastRow="0" w:firstColumn="1" w:lastColumn="0" w:noHBand="0" w:noVBand="1"/>
                        </w:tblPr>
                        <w:tblGrid>
                          <w:gridCol w:w="9104"/>
                        </w:tblGrid>
                        <w:tr w:rsidR="00420361" w:rsidRPr="00420361">
                          <w:tc>
                            <w:tcPr>
                              <w:tcW w:w="9104" w:type="dxa"/>
                              <w:vAlign w:val="center"/>
                            </w:tcPr>
                            <w:p w:rsidR="00B23899" w:rsidRPr="00420361" w:rsidRDefault="00B23899" w:rsidP="009F3BF9">
                              <w:pPr>
                                <w:pStyle w:val="NormaleWeb"/>
                                <w:shd w:val="clear" w:color="auto" w:fill="FFFFFF"/>
                                <w:spacing w:before="0" w:beforeAutospacing="0" w:after="0" w:afterAutospacing="0" w:line="256" w:lineRule="auto"/>
                                <w:jc w:val="both"/>
                                <w:rPr>
                                  <w:rFonts w:ascii="Palatino Linotype" w:hAnsi="Palatino Linotype" w:cs="Calibri"/>
                                  <w:lang w:eastAsia="en-US"/>
                                </w:rPr>
                              </w:pPr>
                            </w:p>
                          </w:tc>
                        </w:tr>
                      </w:tbl>
                      <w:p w:rsidR="00B23899" w:rsidRPr="00420361" w:rsidRDefault="00B23899">
                        <w:pPr>
                          <w:spacing w:line="256" w:lineRule="auto"/>
                          <w:jc w:val="left"/>
                          <w:rPr>
                            <w:rFonts w:cs="Times New Roman"/>
                            <w:szCs w:val="24"/>
                            <w:lang w:eastAsia="en-US"/>
                          </w:rPr>
                        </w:pPr>
                      </w:p>
                    </w:tc>
                    <w:tc>
                      <w:tcPr>
                        <w:tcW w:w="466" w:type="dxa"/>
                        <w:vAlign w:val="center"/>
                      </w:tcPr>
                      <w:p w:rsidR="00B23899" w:rsidRPr="00420361" w:rsidRDefault="00B23899">
                        <w:pPr>
                          <w:spacing w:line="240" w:lineRule="auto"/>
                          <w:rPr>
                            <w:rFonts w:cs="Times New Roman"/>
                            <w:szCs w:val="24"/>
                            <w:lang w:eastAsia="en-US"/>
                          </w:rPr>
                        </w:pPr>
                      </w:p>
                    </w:tc>
                  </w:tr>
                </w:tbl>
                <w:p w:rsidR="00B23899" w:rsidRPr="00420361" w:rsidRDefault="00B23899">
                  <w:pPr>
                    <w:spacing w:line="256" w:lineRule="auto"/>
                    <w:jc w:val="left"/>
                    <w:rPr>
                      <w:rFonts w:cs="Times New Roman"/>
                      <w:szCs w:val="24"/>
                      <w:lang w:eastAsia="en-US"/>
                    </w:rPr>
                  </w:pPr>
                </w:p>
              </w:tc>
            </w:tr>
            <w:tr w:rsidR="006527C1" w:rsidRPr="00A01E20">
              <w:trPr>
                <w:jc w:val="center"/>
              </w:trPr>
              <w:tc>
                <w:tcPr>
                  <w:tcW w:w="9638" w:type="dxa"/>
                  <w:vAlign w:val="center"/>
                  <w:hideMark/>
                </w:tcPr>
                <w:tbl>
                  <w:tblPr>
                    <w:tblW w:w="9845" w:type="dxa"/>
                    <w:shd w:val="clear" w:color="auto" w:fill="425470"/>
                    <w:tblCellMar>
                      <w:left w:w="0" w:type="dxa"/>
                      <w:right w:w="0" w:type="dxa"/>
                    </w:tblCellMar>
                    <w:tblLook w:val="04A0" w:firstRow="1" w:lastRow="0" w:firstColumn="1" w:lastColumn="0" w:noHBand="0" w:noVBand="1"/>
                  </w:tblPr>
                  <w:tblGrid>
                    <w:gridCol w:w="450"/>
                    <w:gridCol w:w="5400"/>
                    <w:gridCol w:w="900"/>
                    <w:gridCol w:w="2400"/>
                    <w:gridCol w:w="695"/>
                  </w:tblGrid>
                  <w:tr w:rsidR="00420361" w:rsidRPr="00420361">
                    <w:trPr>
                      <w:trHeight w:val="330"/>
                    </w:trPr>
                    <w:tc>
                      <w:tcPr>
                        <w:tcW w:w="450" w:type="dxa"/>
                        <w:shd w:val="clear" w:color="auto" w:fill="425470"/>
                        <w:vAlign w:val="center"/>
                      </w:tcPr>
                      <w:p w:rsidR="00B23899" w:rsidRPr="00420361" w:rsidRDefault="00B23899">
                        <w:pPr>
                          <w:spacing w:line="240" w:lineRule="auto"/>
                          <w:rPr>
                            <w:rFonts w:cs="Times New Roman"/>
                            <w:szCs w:val="24"/>
                            <w:lang w:eastAsia="en-US"/>
                          </w:rPr>
                        </w:pPr>
                      </w:p>
                    </w:tc>
                    <w:tc>
                      <w:tcPr>
                        <w:tcW w:w="5400" w:type="dxa"/>
                        <w:shd w:val="clear" w:color="auto" w:fill="425470"/>
                        <w:vAlign w:val="center"/>
                      </w:tcPr>
                      <w:p w:rsidR="00B23899" w:rsidRPr="00420361" w:rsidRDefault="00B23899">
                        <w:pPr>
                          <w:spacing w:line="240" w:lineRule="auto"/>
                          <w:rPr>
                            <w:rFonts w:cs="Times New Roman"/>
                            <w:szCs w:val="24"/>
                            <w:lang w:eastAsia="en-US"/>
                          </w:rPr>
                        </w:pPr>
                      </w:p>
                    </w:tc>
                    <w:tc>
                      <w:tcPr>
                        <w:tcW w:w="900" w:type="dxa"/>
                        <w:shd w:val="clear" w:color="auto" w:fill="425470"/>
                        <w:vAlign w:val="center"/>
                      </w:tcPr>
                      <w:p w:rsidR="00B23899" w:rsidRPr="00420361" w:rsidRDefault="00B23899">
                        <w:pPr>
                          <w:spacing w:line="240" w:lineRule="auto"/>
                          <w:rPr>
                            <w:rFonts w:cs="Times New Roman"/>
                            <w:szCs w:val="24"/>
                            <w:lang w:eastAsia="en-US"/>
                          </w:rPr>
                        </w:pPr>
                      </w:p>
                    </w:tc>
                    <w:tc>
                      <w:tcPr>
                        <w:tcW w:w="2400" w:type="dxa"/>
                        <w:shd w:val="clear" w:color="auto" w:fill="425470"/>
                        <w:vAlign w:val="center"/>
                      </w:tcPr>
                      <w:p w:rsidR="00B23899" w:rsidRPr="00420361" w:rsidRDefault="00B23899">
                        <w:pPr>
                          <w:spacing w:line="240" w:lineRule="auto"/>
                          <w:rPr>
                            <w:rFonts w:cs="Times New Roman"/>
                            <w:szCs w:val="24"/>
                            <w:lang w:eastAsia="en-US"/>
                          </w:rPr>
                        </w:pPr>
                      </w:p>
                    </w:tc>
                    <w:tc>
                      <w:tcPr>
                        <w:tcW w:w="695" w:type="dxa"/>
                        <w:shd w:val="clear" w:color="auto" w:fill="425470"/>
                        <w:vAlign w:val="center"/>
                      </w:tcPr>
                      <w:p w:rsidR="00B23899" w:rsidRPr="00420361" w:rsidRDefault="00B23899">
                        <w:pPr>
                          <w:spacing w:line="240" w:lineRule="auto"/>
                          <w:rPr>
                            <w:rFonts w:cs="Times New Roman"/>
                            <w:szCs w:val="24"/>
                            <w:lang w:eastAsia="en-US"/>
                          </w:rPr>
                        </w:pPr>
                      </w:p>
                    </w:tc>
                  </w:tr>
                  <w:tr w:rsidR="00420361" w:rsidRPr="00420361">
                    <w:trPr>
                      <w:trHeight w:val="165"/>
                    </w:trPr>
                    <w:tc>
                      <w:tcPr>
                        <w:tcW w:w="450" w:type="dxa"/>
                        <w:shd w:val="clear" w:color="auto" w:fill="425470"/>
                        <w:vAlign w:val="center"/>
                      </w:tcPr>
                      <w:p w:rsidR="00B23899" w:rsidRPr="00420361" w:rsidRDefault="00B23899">
                        <w:pPr>
                          <w:spacing w:line="240" w:lineRule="auto"/>
                          <w:rPr>
                            <w:rFonts w:cs="Times New Roman"/>
                            <w:szCs w:val="24"/>
                            <w:lang w:eastAsia="en-US"/>
                          </w:rPr>
                        </w:pPr>
                      </w:p>
                    </w:tc>
                    <w:tc>
                      <w:tcPr>
                        <w:tcW w:w="5400" w:type="dxa"/>
                        <w:shd w:val="clear" w:color="auto" w:fill="425470"/>
                        <w:vAlign w:val="center"/>
                      </w:tcPr>
                      <w:p w:rsidR="00B23899" w:rsidRPr="00420361" w:rsidRDefault="00B23899">
                        <w:pPr>
                          <w:spacing w:line="240" w:lineRule="auto"/>
                          <w:rPr>
                            <w:rFonts w:cs="Times New Roman"/>
                            <w:szCs w:val="24"/>
                            <w:lang w:eastAsia="en-US"/>
                          </w:rPr>
                        </w:pPr>
                      </w:p>
                    </w:tc>
                    <w:tc>
                      <w:tcPr>
                        <w:tcW w:w="900" w:type="dxa"/>
                        <w:shd w:val="clear" w:color="auto" w:fill="425470"/>
                        <w:vAlign w:val="center"/>
                      </w:tcPr>
                      <w:p w:rsidR="00B23899" w:rsidRPr="00420361" w:rsidRDefault="00B23899">
                        <w:pPr>
                          <w:spacing w:line="240" w:lineRule="auto"/>
                          <w:rPr>
                            <w:rFonts w:cs="Times New Roman"/>
                            <w:szCs w:val="24"/>
                            <w:lang w:eastAsia="en-US"/>
                          </w:rPr>
                        </w:pPr>
                      </w:p>
                    </w:tc>
                    <w:tc>
                      <w:tcPr>
                        <w:tcW w:w="2400" w:type="dxa"/>
                        <w:shd w:val="clear" w:color="auto" w:fill="425470"/>
                        <w:vAlign w:val="center"/>
                      </w:tcPr>
                      <w:p w:rsidR="00B23899" w:rsidRPr="00420361" w:rsidRDefault="00B23899">
                        <w:pPr>
                          <w:spacing w:line="240" w:lineRule="auto"/>
                          <w:rPr>
                            <w:rFonts w:cs="Times New Roman"/>
                            <w:szCs w:val="24"/>
                            <w:lang w:eastAsia="en-US"/>
                          </w:rPr>
                        </w:pPr>
                      </w:p>
                    </w:tc>
                    <w:tc>
                      <w:tcPr>
                        <w:tcW w:w="695" w:type="dxa"/>
                        <w:shd w:val="clear" w:color="auto" w:fill="425470"/>
                        <w:vAlign w:val="center"/>
                      </w:tcPr>
                      <w:p w:rsidR="00B23899" w:rsidRPr="00420361" w:rsidRDefault="00B23899">
                        <w:pPr>
                          <w:spacing w:line="240" w:lineRule="auto"/>
                          <w:rPr>
                            <w:rFonts w:cs="Times New Roman"/>
                            <w:szCs w:val="24"/>
                            <w:lang w:eastAsia="en-US"/>
                          </w:rPr>
                        </w:pPr>
                      </w:p>
                    </w:tc>
                  </w:tr>
                </w:tbl>
                <w:p w:rsidR="00B23899" w:rsidRPr="00420361" w:rsidRDefault="00B23899">
                  <w:pPr>
                    <w:spacing w:line="256" w:lineRule="auto"/>
                    <w:jc w:val="left"/>
                    <w:rPr>
                      <w:rFonts w:cs="Times New Roman"/>
                      <w:szCs w:val="24"/>
                      <w:lang w:eastAsia="en-US"/>
                    </w:rPr>
                  </w:pPr>
                </w:p>
              </w:tc>
            </w:tr>
          </w:tbl>
          <w:p w:rsidR="00B23899" w:rsidRPr="00A01E20" w:rsidRDefault="00B23899">
            <w:pPr>
              <w:spacing w:after="160" w:line="256" w:lineRule="auto"/>
              <w:jc w:val="center"/>
              <w:rPr>
                <w:rFonts w:cs="Times New Roman"/>
                <w:szCs w:val="24"/>
                <w:lang w:eastAsia="en-US"/>
              </w:rPr>
            </w:pPr>
          </w:p>
        </w:tc>
      </w:tr>
    </w:tbl>
    <w:p w:rsidR="00B23899" w:rsidRPr="00A01E20" w:rsidRDefault="00B23899" w:rsidP="00B23899">
      <w:pPr>
        <w:spacing w:line="240" w:lineRule="auto"/>
        <w:rPr>
          <w:szCs w:val="24"/>
        </w:rPr>
      </w:pPr>
    </w:p>
    <w:p w:rsidR="00F71298" w:rsidRPr="00A01E20" w:rsidRDefault="00F71298">
      <w:pPr>
        <w:rPr>
          <w:szCs w:val="24"/>
        </w:rPr>
      </w:pPr>
    </w:p>
    <w:sectPr w:rsidR="00F71298" w:rsidRPr="00A01E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29"/>
    <w:rsid w:val="00001FD0"/>
    <w:rsid w:val="00051B9A"/>
    <w:rsid w:val="00065388"/>
    <w:rsid w:val="00093012"/>
    <w:rsid w:val="000A2343"/>
    <w:rsid w:val="000C24B3"/>
    <w:rsid w:val="00112EEE"/>
    <w:rsid w:val="0011650A"/>
    <w:rsid w:val="001622BC"/>
    <w:rsid w:val="0019565D"/>
    <w:rsid w:val="001A0EE2"/>
    <w:rsid w:val="001A2CB5"/>
    <w:rsid w:val="001B7EFB"/>
    <w:rsid w:val="001C5A87"/>
    <w:rsid w:val="001D24A2"/>
    <w:rsid w:val="002469F6"/>
    <w:rsid w:val="00246F29"/>
    <w:rsid w:val="00252EC7"/>
    <w:rsid w:val="002538B2"/>
    <w:rsid w:val="002A0F3A"/>
    <w:rsid w:val="002B2305"/>
    <w:rsid w:val="002B35DF"/>
    <w:rsid w:val="002C198B"/>
    <w:rsid w:val="002C69C3"/>
    <w:rsid w:val="00314840"/>
    <w:rsid w:val="0032209D"/>
    <w:rsid w:val="00322DDA"/>
    <w:rsid w:val="00340E16"/>
    <w:rsid w:val="00377395"/>
    <w:rsid w:val="00390525"/>
    <w:rsid w:val="003955DD"/>
    <w:rsid w:val="0039676F"/>
    <w:rsid w:val="003A0CC0"/>
    <w:rsid w:val="003B4889"/>
    <w:rsid w:val="003B53BC"/>
    <w:rsid w:val="003B57DB"/>
    <w:rsid w:val="003C2D93"/>
    <w:rsid w:val="003E22BF"/>
    <w:rsid w:val="003F3B23"/>
    <w:rsid w:val="003F3DDA"/>
    <w:rsid w:val="003F6CD7"/>
    <w:rsid w:val="0040453D"/>
    <w:rsid w:val="00404799"/>
    <w:rsid w:val="004104E7"/>
    <w:rsid w:val="004164FF"/>
    <w:rsid w:val="0042026F"/>
    <w:rsid w:val="00420361"/>
    <w:rsid w:val="00437712"/>
    <w:rsid w:val="004566B0"/>
    <w:rsid w:val="00475B3B"/>
    <w:rsid w:val="00485EEF"/>
    <w:rsid w:val="004A7880"/>
    <w:rsid w:val="004B43D6"/>
    <w:rsid w:val="004D7D4C"/>
    <w:rsid w:val="004E7451"/>
    <w:rsid w:val="004F14F7"/>
    <w:rsid w:val="00514A89"/>
    <w:rsid w:val="0052332F"/>
    <w:rsid w:val="005272BC"/>
    <w:rsid w:val="005441F7"/>
    <w:rsid w:val="00562E97"/>
    <w:rsid w:val="0056340F"/>
    <w:rsid w:val="0056681F"/>
    <w:rsid w:val="005851A9"/>
    <w:rsid w:val="00597B61"/>
    <w:rsid w:val="005A1D43"/>
    <w:rsid w:val="005A4B7F"/>
    <w:rsid w:val="005A73FC"/>
    <w:rsid w:val="005B0001"/>
    <w:rsid w:val="005C6320"/>
    <w:rsid w:val="005D3BF4"/>
    <w:rsid w:val="00606515"/>
    <w:rsid w:val="00637A33"/>
    <w:rsid w:val="006527C1"/>
    <w:rsid w:val="00685AB0"/>
    <w:rsid w:val="006974D0"/>
    <w:rsid w:val="006A0BE8"/>
    <w:rsid w:val="006B576F"/>
    <w:rsid w:val="006D0A11"/>
    <w:rsid w:val="006E4FB6"/>
    <w:rsid w:val="006E78EE"/>
    <w:rsid w:val="00715AB5"/>
    <w:rsid w:val="00727D60"/>
    <w:rsid w:val="007464CD"/>
    <w:rsid w:val="00753DF6"/>
    <w:rsid w:val="00764EAF"/>
    <w:rsid w:val="00772E9D"/>
    <w:rsid w:val="0077396C"/>
    <w:rsid w:val="007B765B"/>
    <w:rsid w:val="00817A12"/>
    <w:rsid w:val="00834FF4"/>
    <w:rsid w:val="00850091"/>
    <w:rsid w:val="008B53B5"/>
    <w:rsid w:val="008C67A5"/>
    <w:rsid w:val="00954ABD"/>
    <w:rsid w:val="00960EF9"/>
    <w:rsid w:val="00971234"/>
    <w:rsid w:val="00994826"/>
    <w:rsid w:val="009A2FCF"/>
    <w:rsid w:val="009B354B"/>
    <w:rsid w:val="009B3E58"/>
    <w:rsid w:val="009C6BE6"/>
    <w:rsid w:val="009C7675"/>
    <w:rsid w:val="009F3BF9"/>
    <w:rsid w:val="009F6ECB"/>
    <w:rsid w:val="00A01E20"/>
    <w:rsid w:val="00A56268"/>
    <w:rsid w:val="00A56E1A"/>
    <w:rsid w:val="00A745C6"/>
    <w:rsid w:val="00A8401C"/>
    <w:rsid w:val="00AD4A29"/>
    <w:rsid w:val="00AE0FA6"/>
    <w:rsid w:val="00AF5696"/>
    <w:rsid w:val="00B138A5"/>
    <w:rsid w:val="00B23899"/>
    <w:rsid w:val="00B24413"/>
    <w:rsid w:val="00B30F6F"/>
    <w:rsid w:val="00B57769"/>
    <w:rsid w:val="00B85C34"/>
    <w:rsid w:val="00B9748B"/>
    <w:rsid w:val="00BA3593"/>
    <w:rsid w:val="00BC797A"/>
    <w:rsid w:val="00BE4876"/>
    <w:rsid w:val="00C07812"/>
    <w:rsid w:val="00C12583"/>
    <w:rsid w:val="00C40750"/>
    <w:rsid w:val="00C42D7A"/>
    <w:rsid w:val="00C43F0E"/>
    <w:rsid w:val="00C653DF"/>
    <w:rsid w:val="00C85C66"/>
    <w:rsid w:val="00CE1014"/>
    <w:rsid w:val="00CF77C4"/>
    <w:rsid w:val="00D03585"/>
    <w:rsid w:val="00D34AFC"/>
    <w:rsid w:val="00D37A45"/>
    <w:rsid w:val="00D53B99"/>
    <w:rsid w:val="00D57C74"/>
    <w:rsid w:val="00D738A7"/>
    <w:rsid w:val="00D910B9"/>
    <w:rsid w:val="00DA25C1"/>
    <w:rsid w:val="00E11461"/>
    <w:rsid w:val="00E15426"/>
    <w:rsid w:val="00E16E30"/>
    <w:rsid w:val="00E17F56"/>
    <w:rsid w:val="00E262ED"/>
    <w:rsid w:val="00E771E2"/>
    <w:rsid w:val="00EA57FC"/>
    <w:rsid w:val="00ED172B"/>
    <w:rsid w:val="00F10FC2"/>
    <w:rsid w:val="00F37343"/>
    <w:rsid w:val="00F71298"/>
    <w:rsid w:val="00F94534"/>
    <w:rsid w:val="00FA6FDE"/>
    <w:rsid w:val="00FE0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74A1"/>
  <w15:chartTrackingRefBased/>
  <w15:docId w15:val="{30140FD5-BBCD-47B7-BB6B-CBC2838D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3899"/>
    <w:pPr>
      <w:spacing w:after="0" w:line="276" w:lineRule="auto"/>
      <w:jc w:val="both"/>
    </w:pPr>
    <w:rPr>
      <w:rFonts w:ascii="Palatino Linotype" w:eastAsia="Calibri" w:hAnsi="Palatino Linotype" w:cs="Calibri"/>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23899"/>
    <w:rPr>
      <w:color w:val="0563C1" w:themeColor="hyperlink"/>
      <w:u w:val="single"/>
    </w:rPr>
  </w:style>
  <w:style w:type="paragraph" w:styleId="NormaleWeb">
    <w:name w:val="Normal (Web)"/>
    <w:basedOn w:val="Normale"/>
    <w:uiPriority w:val="99"/>
    <w:semiHidden/>
    <w:unhideWhenUsed/>
    <w:rsid w:val="00B23899"/>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xxmsonormal">
    <w:name w:val="x_xmsonormal"/>
    <w:basedOn w:val="Normale"/>
    <w:uiPriority w:val="99"/>
    <w:rsid w:val="00B23899"/>
    <w:pPr>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xxmsohyperlink">
    <w:name w:val="x_xmsohyperlink"/>
    <w:basedOn w:val="Carpredefinitoparagrafo"/>
    <w:rsid w:val="00B23899"/>
  </w:style>
  <w:style w:type="character" w:styleId="Collegamentovisitato">
    <w:name w:val="FollowedHyperlink"/>
    <w:basedOn w:val="Carpredefinitoparagrafo"/>
    <w:uiPriority w:val="99"/>
    <w:semiHidden/>
    <w:unhideWhenUsed/>
    <w:rsid w:val="00E17F56"/>
    <w:rPr>
      <w:color w:val="954F72" w:themeColor="followedHyperlink"/>
      <w:u w:val="single"/>
    </w:rPr>
  </w:style>
  <w:style w:type="paragraph" w:customStyle="1" w:styleId="xmsonormal">
    <w:name w:val="x_msonormal"/>
    <w:basedOn w:val="Normale"/>
    <w:rsid w:val="007B765B"/>
    <w:rPr>
      <w:rFonts w:eastAsiaTheme="minorHAnsi" w:cs="Times New Roman"/>
      <w:szCs w:val="24"/>
    </w:rPr>
  </w:style>
  <w:style w:type="paragraph" w:customStyle="1" w:styleId="xmsolistparagraph">
    <w:name w:val="x_msolistparagraph"/>
    <w:basedOn w:val="Normale"/>
    <w:rsid w:val="007B765B"/>
    <w:pPr>
      <w:ind w:left="720"/>
    </w:pPr>
    <w:rPr>
      <w:rFonts w:eastAsiaTheme="minorHAnsi" w:cs="Times New Roman"/>
      <w:szCs w:val="24"/>
    </w:rPr>
  </w:style>
  <w:style w:type="paragraph" w:styleId="Testofumetto">
    <w:name w:val="Balloon Text"/>
    <w:basedOn w:val="Normale"/>
    <w:link w:val="TestofumettoCarattere"/>
    <w:uiPriority w:val="99"/>
    <w:semiHidden/>
    <w:unhideWhenUsed/>
    <w:rsid w:val="003F6CD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6CD7"/>
    <w:rPr>
      <w:rFonts w:ascii="Segoe UI" w:eastAsia="Calibr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1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ustizia-amministrativa.it/portale/pages/istituzionale/visualizza?nodeRef=&amp;schema=cds&amp;nrg=201907224&amp;nomeFile=202006181_11.html&amp;subDir=Provvedimenti" TargetMode="External"/><Relationship Id="rId13" Type="http://schemas.openxmlformats.org/officeDocument/2006/relationships/hyperlink" Target="https://www.cortecostituzionale.it/actionSchedaPronuncia.do?param_ecli=ECLI:IT:COST:2018:002" TargetMode="External"/><Relationship Id="rId18" Type="http://schemas.openxmlformats.org/officeDocument/2006/relationships/hyperlink" Target="https://www.cortecostituzionale.it/actionSchedaPronuncia.do?param_ecli=ECLI:IT:COST:2007:17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ortecostituzionale.it/actionSchedaPronuncia.do?param_ecli=ECLI:IT:COST:2022:245" TargetMode="External"/><Relationship Id="rId7" Type="http://schemas.openxmlformats.org/officeDocument/2006/relationships/hyperlink" Target="https://www.giustizia-amministrativa.it/portale/pages/istituzionale/visualizza?nodeRef=&amp;schema=tar_rm&amp;nrg=202201453&amp;nomeFile=202217819_01.html&amp;subDir=Provvedimenti" TargetMode="External"/><Relationship Id="rId12" Type="http://schemas.openxmlformats.org/officeDocument/2006/relationships/hyperlink" Target="https://www.cortecostituzionale.it/actionSchedaPronuncia.do?param_ecli=ECLI:IT:COST:2019:181" TargetMode="External"/><Relationship Id="rId17" Type="http://schemas.openxmlformats.org/officeDocument/2006/relationships/hyperlink" Target="https://www.cortecostituzionale.it/actionSchedaPronuncia.do?param_ecli=ECLI:IT:COST:2020:168" TargetMode="External"/><Relationship Id="rId25" Type="http://schemas.openxmlformats.org/officeDocument/2006/relationships/hyperlink" Target="https://www.giustizia-amministrativa.it/documents/20142/17439664/News+n.108+-+Tar+lazio+13434+.pdf/e648062a-98a8-82fe-3dab-e92a4166730e?t=1667558892721" TargetMode="External"/><Relationship Id="rId2" Type="http://schemas.openxmlformats.org/officeDocument/2006/relationships/styles" Target="styles.xml"/><Relationship Id="rId16" Type="http://schemas.openxmlformats.org/officeDocument/2006/relationships/hyperlink" Target="https://www.giustizia-amministrativa.it/portale/pages/istituzionale/visualizza?nodeRef=&amp;schema=cds&amp;nrg=202007058&amp;nomeFile=202102409_11.html&amp;subDir=Provvedimenti" TargetMode="External"/><Relationship Id="rId20" Type="http://schemas.openxmlformats.org/officeDocument/2006/relationships/hyperlink" Target="https://www.giustizia.it/giustizia/it/mg_1_20_1.page?facetNode_1=1_2%282014%29&amp;facetNode_2=0_8_1_11&amp;facetNode_3=1_2%28201406%29&amp;contentId=SDU1066839&amp;previsiousPage=mg_1_20" TargetMode="External"/><Relationship Id="rId1" Type="http://schemas.openxmlformats.org/officeDocument/2006/relationships/customXml" Target="../customXml/item1.xml"/><Relationship Id="rId6" Type="http://schemas.openxmlformats.org/officeDocument/2006/relationships/image" Target="cid:image001.jpg@01D3C5E1.0234BB00" TargetMode="External"/><Relationship Id="rId11" Type="http://schemas.openxmlformats.org/officeDocument/2006/relationships/hyperlink" Target="https://www.cortecostituzionale.it/actionSchedaPronuncia.do?param_ecli=ECLI:IT:COST:2020:116" TargetMode="External"/><Relationship Id="rId24" Type="http://schemas.openxmlformats.org/officeDocument/2006/relationships/hyperlink" Target="https://www.giustizia-amministrativa.it/portale/pages/istituzionale/visualizza?nodeRef=&amp;schema=tar_rm&amp;nrg=202206020&amp;nomeFile=202213434_01.html&amp;subDir=Provvedimenti" TargetMode="External"/><Relationship Id="rId5" Type="http://schemas.openxmlformats.org/officeDocument/2006/relationships/image" Target="media/image1.jpeg"/><Relationship Id="rId15" Type="http://schemas.openxmlformats.org/officeDocument/2006/relationships/hyperlink" Target="https://www.cortecostituzionale.it/actionSchedaPronuncia.do?param_ecli=ECLI:IT:COST:2019:019" TargetMode="External"/><Relationship Id="rId23" Type="http://schemas.openxmlformats.org/officeDocument/2006/relationships/hyperlink" Target="https://www.cortecostituzionale.it/actionSchedaPronuncia.do?param_ecli=ECLI:IT:COST:2022:186" TargetMode="External"/><Relationship Id="rId10" Type="http://schemas.openxmlformats.org/officeDocument/2006/relationships/hyperlink" Target="https://www.italgiure.giustizia.it/xway/application/nif/clean/hc.dll?verbo=attach&amp;db=snciv&amp;id=./20190708/snciv@sU0@a2019@n18267@tO.clean.pdf" TargetMode="External"/><Relationship Id="rId19" Type="http://schemas.openxmlformats.org/officeDocument/2006/relationships/hyperlink" Target="https://www.giustizia.it/giustizia/it/mg_1_20_1.page?facetNode_1=0_8_1_11&amp;facetNode_2=1_2%282017%29&amp;facetNode_3=1_2%28201706%29&amp;contentId=SDU56218&amp;previsiousPage=mg_1_20" TargetMode="External"/><Relationship Id="rId4" Type="http://schemas.openxmlformats.org/officeDocument/2006/relationships/webSettings" Target="webSettings.xml"/><Relationship Id="rId9" Type="http://schemas.openxmlformats.org/officeDocument/2006/relationships/hyperlink" Target="https://www.giustizia-amministrativa.it/portale/pages/istituzionale/visualizza?nodeRef=&amp;schema=cds&amp;nrg=201901545&amp;nomeFile=202002348_11.html&amp;subDir=Provvedimenti" TargetMode="External"/><Relationship Id="rId14" Type="http://schemas.openxmlformats.org/officeDocument/2006/relationships/hyperlink" Target="https://www.cortecostituzionale.it/actionSchedaPronuncia.do?param_ecli=ECLI:IT:COST:2008:288" TargetMode="External"/><Relationship Id="rId22" Type="http://schemas.openxmlformats.org/officeDocument/2006/relationships/hyperlink" Target="https://www.cortecostituzionale.it/actionSchedaPronuncia.do?param_ecli=ECLI:IT:COST:2019:33"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3D01A-45BC-4987-A9F1-8211607A1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13</Pages>
  <Words>5841</Words>
  <Characters>33294</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DONNARUMMA Paolo</dc:creator>
  <cp:keywords/>
  <dc:description/>
  <cp:lastModifiedBy>TORBIDONE Alessia</cp:lastModifiedBy>
  <cp:revision>26</cp:revision>
  <cp:lastPrinted>2023-02-21T11:16:00Z</cp:lastPrinted>
  <dcterms:created xsi:type="dcterms:W3CDTF">2023-02-21T10:06:00Z</dcterms:created>
  <dcterms:modified xsi:type="dcterms:W3CDTF">2023-02-22T07:42:00Z</dcterms:modified>
</cp:coreProperties>
</file>