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6BA40" w14:textId="77777777" w:rsidR="00042DB7" w:rsidRPr="001C6253" w:rsidRDefault="001C6253" w:rsidP="001C6253">
      <w:pPr>
        <w:jc w:val="center"/>
        <w:rPr>
          <w:rFonts w:ascii="Times New Roman" w:hAnsi="Times New Roman" w:cs="Times New Roman"/>
          <w:b/>
          <w:sz w:val="48"/>
          <w:szCs w:val="48"/>
        </w:rPr>
      </w:pPr>
      <w:r w:rsidRPr="001C6253">
        <w:rPr>
          <w:rFonts w:ascii="Times New Roman" w:hAnsi="Times New Roman" w:cs="Times New Roman"/>
          <w:b/>
          <w:sz w:val="48"/>
          <w:szCs w:val="48"/>
        </w:rPr>
        <w:t>Il linguaggio normativo della Grande Guerra</w:t>
      </w:r>
    </w:p>
    <w:p w14:paraId="4543D6F5" w14:textId="77777777" w:rsidR="001C6253" w:rsidRDefault="001C6253" w:rsidP="001C6253">
      <w:pPr>
        <w:jc w:val="right"/>
        <w:rPr>
          <w:rFonts w:ascii="Times New Roman" w:hAnsi="Times New Roman" w:cs="Times New Roman"/>
          <w:sz w:val="36"/>
          <w:szCs w:val="36"/>
        </w:rPr>
      </w:pPr>
    </w:p>
    <w:p w14:paraId="569A4733" w14:textId="77777777" w:rsidR="001C6253" w:rsidRDefault="001C6253" w:rsidP="001C6253">
      <w:pPr>
        <w:jc w:val="right"/>
        <w:rPr>
          <w:rFonts w:ascii="Times New Roman" w:hAnsi="Times New Roman" w:cs="Times New Roman"/>
          <w:sz w:val="36"/>
          <w:szCs w:val="36"/>
        </w:rPr>
      </w:pPr>
      <w:r w:rsidRPr="001C6253">
        <w:rPr>
          <w:rFonts w:ascii="Times New Roman" w:hAnsi="Times New Roman" w:cs="Times New Roman"/>
          <w:sz w:val="36"/>
          <w:szCs w:val="36"/>
        </w:rPr>
        <w:t>di Guido Melis</w:t>
      </w:r>
    </w:p>
    <w:p w14:paraId="77AA5354" w14:textId="77777777" w:rsidR="001C6253" w:rsidRDefault="001C6253" w:rsidP="001C6253">
      <w:pPr>
        <w:jc w:val="right"/>
        <w:rPr>
          <w:rFonts w:ascii="Times New Roman" w:hAnsi="Times New Roman" w:cs="Times New Roman"/>
          <w:sz w:val="36"/>
          <w:szCs w:val="36"/>
        </w:rPr>
      </w:pPr>
    </w:p>
    <w:p w14:paraId="5C4BBB9E" w14:textId="77777777" w:rsidR="001C6253" w:rsidRDefault="001C6253" w:rsidP="001C6253">
      <w:pPr>
        <w:jc w:val="right"/>
        <w:rPr>
          <w:rFonts w:ascii="Times New Roman" w:hAnsi="Times New Roman" w:cs="Times New Roman"/>
          <w:sz w:val="36"/>
          <w:szCs w:val="36"/>
        </w:rPr>
      </w:pPr>
    </w:p>
    <w:p w14:paraId="60699136" w14:textId="77777777" w:rsidR="001C6253" w:rsidRDefault="001C6253" w:rsidP="001C6253">
      <w:pPr>
        <w:jc w:val="right"/>
        <w:rPr>
          <w:rFonts w:ascii="Times New Roman" w:hAnsi="Times New Roman" w:cs="Times New Roman"/>
          <w:sz w:val="36"/>
          <w:szCs w:val="36"/>
        </w:rPr>
      </w:pPr>
    </w:p>
    <w:p w14:paraId="4CF4A546" w14:textId="1E83110C" w:rsidR="003357A8" w:rsidRPr="00AE3D47" w:rsidRDefault="003357A8" w:rsidP="001C6253">
      <w:pPr>
        <w:jc w:val="both"/>
        <w:rPr>
          <w:rFonts w:ascii="Times New Roman" w:hAnsi="Times New Roman" w:cs="Times New Roman"/>
          <w:b/>
          <w:sz w:val="36"/>
          <w:szCs w:val="36"/>
        </w:rPr>
      </w:pPr>
      <w:r w:rsidRPr="00AE3D47">
        <w:rPr>
          <w:rFonts w:ascii="Times New Roman" w:hAnsi="Times New Roman" w:cs="Times New Roman"/>
          <w:b/>
          <w:sz w:val="36"/>
          <w:szCs w:val="36"/>
        </w:rPr>
        <w:t>1.</w:t>
      </w:r>
      <w:r w:rsidR="00AE3D47" w:rsidRPr="00AE3D47">
        <w:rPr>
          <w:rFonts w:ascii="Times New Roman" w:hAnsi="Times New Roman" w:cs="Times New Roman"/>
          <w:b/>
          <w:sz w:val="36"/>
          <w:szCs w:val="36"/>
        </w:rPr>
        <w:t xml:space="preserve"> Le leggi come proiettili</w:t>
      </w:r>
      <w:r w:rsidR="00AE3D47">
        <w:rPr>
          <w:rFonts w:ascii="Times New Roman" w:hAnsi="Times New Roman" w:cs="Times New Roman"/>
          <w:b/>
          <w:sz w:val="36"/>
          <w:szCs w:val="36"/>
        </w:rPr>
        <w:t>.</w:t>
      </w:r>
    </w:p>
    <w:p w14:paraId="60755468" w14:textId="49C6A6A9" w:rsidR="001C6253" w:rsidRDefault="001C6253" w:rsidP="001C6253">
      <w:pPr>
        <w:jc w:val="both"/>
        <w:rPr>
          <w:rFonts w:ascii="Times New Roman" w:hAnsi="Times New Roman" w:cs="Times New Roman"/>
          <w:sz w:val="36"/>
          <w:szCs w:val="36"/>
        </w:rPr>
      </w:pPr>
      <w:r w:rsidRPr="001C6253">
        <w:rPr>
          <w:rFonts w:ascii="Times New Roman" w:hAnsi="Times New Roman" w:cs="Times New Roman"/>
          <w:sz w:val="36"/>
          <w:szCs w:val="36"/>
        </w:rPr>
        <w:t>Nell’affrontare tra i primi nel</w:t>
      </w:r>
      <w:r w:rsidR="003357A8">
        <w:rPr>
          <w:rFonts w:ascii="Times New Roman" w:hAnsi="Times New Roman" w:cs="Times New Roman"/>
          <w:sz w:val="36"/>
          <w:szCs w:val="36"/>
        </w:rPr>
        <w:t>l’anno</w:t>
      </w:r>
      <w:r w:rsidRPr="001C6253">
        <w:rPr>
          <w:rFonts w:ascii="Times New Roman" w:hAnsi="Times New Roman" w:cs="Times New Roman"/>
          <w:sz w:val="36"/>
          <w:szCs w:val="36"/>
        </w:rPr>
        <w:t xml:space="preserve"> 1919 quella che chiama</w:t>
      </w:r>
      <w:r w:rsidR="003357A8">
        <w:rPr>
          <w:rFonts w:ascii="Times New Roman" w:hAnsi="Times New Roman" w:cs="Times New Roman"/>
          <w:sz w:val="36"/>
          <w:szCs w:val="36"/>
        </w:rPr>
        <w:t>va</w:t>
      </w:r>
      <w:r w:rsidRPr="001C6253">
        <w:rPr>
          <w:rFonts w:ascii="Times New Roman" w:hAnsi="Times New Roman" w:cs="Times New Roman"/>
          <w:sz w:val="36"/>
          <w:szCs w:val="36"/>
        </w:rPr>
        <w:t xml:space="preserve"> “la legislazione di guerra” Filippo Vassalli, </w:t>
      </w:r>
      <w:r w:rsidR="00E67F83">
        <w:rPr>
          <w:rFonts w:ascii="Times New Roman" w:hAnsi="Times New Roman" w:cs="Times New Roman"/>
          <w:sz w:val="36"/>
          <w:szCs w:val="36"/>
        </w:rPr>
        <w:t xml:space="preserve">allora appena </w:t>
      </w:r>
      <w:r w:rsidRPr="001C6253">
        <w:rPr>
          <w:rFonts w:ascii="Times New Roman" w:hAnsi="Times New Roman" w:cs="Times New Roman"/>
          <w:sz w:val="36"/>
          <w:szCs w:val="36"/>
        </w:rPr>
        <w:t>trentaquattrenne, parlava di un “immane cataclisma”, “passato – aggiungeva – sugli spiriti e sulle forme del diritto privato”. Un cataclis</w:t>
      </w:r>
      <w:r w:rsidR="00E67F83">
        <w:rPr>
          <w:rFonts w:ascii="Times New Roman" w:hAnsi="Times New Roman" w:cs="Times New Roman"/>
          <w:sz w:val="36"/>
          <w:szCs w:val="36"/>
        </w:rPr>
        <w:t xml:space="preserve">ma – proseguiva – “che ha nome </w:t>
      </w:r>
      <w:r w:rsidRPr="001C6253">
        <w:rPr>
          <w:rFonts w:ascii="Times New Roman" w:hAnsi="Times New Roman" w:cs="Times New Roman"/>
          <w:sz w:val="36"/>
          <w:szCs w:val="36"/>
        </w:rPr>
        <w:t>legislazione di guerra, non meno per l’intensità che quasi assomiglia a quella della fabbricazione dei proiettili, che per la novità dei principi giuridici introdotti con travolgente audacia nella compagine del nostro ordinamento giuridico”</w:t>
      </w:r>
      <w:r>
        <w:rPr>
          <w:rStyle w:val="Rimandonotaapidipagina"/>
          <w:rFonts w:ascii="Times New Roman" w:hAnsi="Times New Roman" w:cs="Times New Roman"/>
          <w:sz w:val="36"/>
          <w:szCs w:val="36"/>
        </w:rPr>
        <w:footnoteReference w:id="1"/>
      </w:r>
      <w:r w:rsidRPr="001C6253">
        <w:rPr>
          <w:rFonts w:ascii="Times New Roman" w:hAnsi="Times New Roman" w:cs="Times New Roman"/>
          <w:sz w:val="36"/>
          <w:szCs w:val="36"/>
        </w:rPr>
        <w:t xml:space="preserve">. </w:t>
      </w:r>
    </w:p>
    <w:p w14:paraId="1033FBCA" w14:textId="2F119B23" w:rsidR="001C6253" w:rsidRDefault="001C6253" w:rsidP="001C6253">
      <w:pPr>
        <w:jc w:val="both"/>
        <w:rPr>
          <w:rFonts w:ascii="Times New Roman" w:hAnsi="Times New Roman" w:cs="Times New Roman"/>
          <w:sz w:val="36"/>
          <w:szCs w:val="36"/>
        </w:rPr>
      </w:pPr>
      <w:r>
        <w:rPr>
          <w:rFonts w:ascii="Times New Roman" w:hAnsi="Times New Roman" w:cs="Times New Roman"/>
          <w:sz w:val="36"/>
          <w:szCs w:val="36"/>
        </w:rPr>
        <w:t xml:space="preserve">“Nuove forme di protezione”, “crisi del diritto privato”: l’analisi riecheggiava lo smarrimento della cultura dei giuristi </w:t>
      </w:r>
      <w:r w:rsidR="00AE3D47">
        <w:rPr>
          <w:rFonts w:ascii="Times New Roman" w:hAnsi="Times New Roman" w:cs="Times New Roman"/>
          <w:sz w:val="36"/>
          <w:szCs w:val="36"/>
        </w:rPr>
        <w:t xml:space="preserve">del primo Novecento </w:t>
      </w:r>
      <w:r>
        <w:rPr>
          <w:rFonts w:ascii="Times New Roman" w:hAnsi="Times New Roman" w:cs="Times New Roman"/>
          <w:sz w:val="36"/>
          <w:szCs w:val="36"/>
        </w:rPr>
        <w:t xml:space="preserve">di fronte alle novità radicali introdotte dalla guerra. Un </w:t>
      </w:r>
      <w:r w:rsidR="00AE3D47">
        <w:rPr>
          <w:rFonts w:ascii="Times New Roman" w:hAnsi="Times New Roman" w:cs="Times New Roman"/>
          <w:sz w:val="36"/>
          <w:szCs w:val="36"/>
        </w:rPr>
        <w:t xml:space="preserve">privatista </w:t>
      </w:r>
      <w:r w:rsidR="00D042B3">
        <w:rPr>
          <w:rFonts w:ascii="Times New Roman" w:hAnsi="Times New Roman" w:cs="Times New Roman"/>
          <w:sz w:val="36"/>
          <w:szCs w:val="36"/>
        </w:rPr>
        <w:t>più anziano</w:t>
      </w:r>
      <w:r w:rsidR="001E56F0">
        <w:rPr>
          <w:rFonts w:ascii="Times New Roman" w:hAnsi="Times New Roman" w:cs="Times New Roman"/>
          <w:sz w:val="36"/>
          <w:szCs w:val="36"/>
        </w:rPr>
        <w:t xml:space="preserve"> di Vassalli</w:t>
      </w:r>
      <w:r w:rsidR="00D042B3">
        <w:rPr>
          <w:rFonts w:ascii="Times New Roman" w:hAnsi="Times New Roman" w:cs="Times New Roman"/>
          <w:sz w:val="36"/>
          <w:szCs w:val="36"/>
        </w:rPr>
        <w:t>, Gabriele Faggella</w:t>
      </w:r>
      <w:r w:rsidR="00E67F83">
        <w:rPr>
          <w:rFonts w:ascii="Times New Roman" w:hAnsi="Times New Roman" w:cs="Times New Roman"/>
          <w:sz w:val="36"/>
          <w:szCs w:val="36"/>
        </w:rPr>
        <w:t>,</w:t>
      </w:r>
      <w:r w:rsidR="00D042B3">
        <w:rPr>
          <w:rFonts w:ascii="Times New Roman" w:hAnsi="Times New Roman" w:cs="Times New Roman"/>
          <w:sz w:val="36"/>
          <w:szCs w:val="36"/>
        </w:rPr>
        <w:t xml:space="preserve"> aveva </w:t>
      </w:r>
      <w:r w:rsidR="00AE3D47">
        <w:rPr>
          <w:rFonts w:ascii="Times New Roman" w:hAnsi="Times New Roman" w:cs="Times New Roman"/>
          <w:sz w:val="36"/>
          <w:szCs w:val="36"/>
        </w:rPr>
        <w:t xml:space="preserve">del resto </w:t>
      </w:r>
      <w:r w:rsidR="00D042B3">
        <w:rPr>
          <w:rFonts w:ascii="Times New Roman" w:hAnsi="Times New Roman" w:cs="Times New Roman"/>
          <w:sz w:val="36"/>
          <w:szCs w:val="36"/>
        </w:rPr>
        <w:t>appena scritto sull</w:t>
      </w:r>
      <w:r w:rsidR="00AE3D47">
        <w:rPr>
          <w:rFonts w:ascii="Times New Roman" w:hAnsi="Times New Roman" w:cs="Times New Roman"/>
          <w:sz w:val="36"/>
          <w:szCs w:val="36"/>
        </w:rPr>
        <w:t>a “Rivista di diritto pubblico”</w:t>
      </w:r>
      <w:r w:rsidR="00D042B3">
        <w:rPr>
          <w:rFonts w:ascii="Times New Roman" w:hAnsi="Times New Roman" w:cs="Times New Roman"/>
          <w:sz w:val="36"/>
          <w:szCs w:val="36"/>
        </w:rPr>
        <w:t xml:space="preserve"> di “una vasta e complicata, non coordinata, massa di provvedimenti legislativi, i quali ormai costituiscono un nuovo diritto obiettivo inorganico, un vero e proprio </w:t>
      </w:r>
      <w:r w:rsidR="00D042B3">
        <w:rPr>
          <w:rFonts w:ascii="Times New Roman" w:hAnsi="Times New Roman" w:cs="Times New Roman"/>
          <w:i/>
          <w:sz w:val="36"/>
          <w:szCs w:val="36"/>
        </w:rPr>
        <w:t>ius militum</w:t>
      </w:r>
      <w:r w:rsidR="00D042B3">
        <w:rPr>
          <w:rFonts w:ascii="Times New Roman" w:hAnsi="Times New Roman" w:cs="Times New Roman"/>
          <w:sz w:val="36"/>
          <w:szCs w:val="36"/>
        </w:rPr>
        <w:t>”</w:t>
      </w:r>
      <w:r w:rsidR="00D042B3">
        <w:rPr>
          <w:rStyle w:val="Rimandonotaapidipagina"/>
          <w:rFonts w:ascii="Times New Roman" w:hAnsi="Times New Roman" w:cs="Times New Roman"/>
          <w:sz w:val="36"/>
          <w:szCs w:val="36"/>
        </w:rPr>
        <w:footnoteReference w:id="2"/>
      </w:r>
      <w:r w:rsidR="00D042B3">
        <w:rPr>
          <w:rFonts w:ascii="Times New Roman" w:hAnsi="Times New Roman" w:cs="Times New Roman"/>
          <w:sz w:val="36"/>
          <w:szCs w:val="36"/>
        </w:rPr>
        <w:t xml:space="preserve">. E </w:t>
      </w:r>
      <w:r w:rsidR="00AE3D47">
        <w:rPr>
          <w:rFonts w:ascii="Times New Roman" w:hAnsi="Times New Roman" w:cs="Times New Roman"/>
          <w:sz w:val="36"/>
          <w:szCs w:val="36"/>
        </w:rPr>
        <w:t>aveva proseguito</w:t>
      </w:r>
      <w:r w:rsidR="00D042B3">
        <w:rPr>
          <w:rFonts w:ascii="Times New Roman" w:hAnsi="Times New Roman" w:cs="Times New Roman"/>
          <w:sz w:val="36"/>
          <w:szCs w:val="36"/>
        </w:rPr>
        <w:t>:</w:t>
      </w:r>
    </w:p>
    <w:p w14:paraId="354F3E57" w14:textId="77777777" w:rsidR="00D042B3" w:rsidRDefault="00D042B3" w:rsidP="001C6253">
      <w:pPr>
        <w:jc w:val="both"/>
        <w:rPr>
          <w:rFonts w:ascii="Times New Roman" w:hAnsi="Times New Roman" w:cs="Times New Roman"/>
          <w:sz w:val="36"/>
          <w:szCs w:val="36"/>
        </w:rPr>
      </w:pPr>
      <w:r>
        <w:rPr>
          <w:rFonts w:ascii="Times New Roman" w:hAnsi="Times New Roman" w:cs="Times New Roman"/>
          <w:sz w:val="36"/>
          <w:szCs w:val="36"/>
        </w:rPr>
        <w:t xml:space="preserve">“Nel campo del diritto delle persone questa legislazione bellica ha creato diversi enti giuridici, attribuendo loro capacità più meno </w:t>
      </w:r>
      <w:r>
        <w:rPr>
          <w:rFonts w:ascii="Times New Roman" w:hAnsi="Times New Roman" w:cs="Times New Roman"/>
          <w:sz w:val="36"/>
          <w:szCs w:val="36"/>
        </w:rPr>
        <w:lastRenderedPageBreak/>
        <w:t>limitata a seconda degli scopi prefissati. Abbiamo così comitati di assistenza civile, enti autonomi dei consumi, commissioni provinciali di agricoltura, l’Opera Nazionale per l’assistenza e la protezione degli invalidi di guerra e istituti connessi, che possono essere elevati ad enti morali, il comitato nazionale e i comitati provinciali per gli orfani di guerra, l’Opera Nazionale per gli orfani dei contadini morti in guerra, consorzi agrari . Tutti questi comitati ed enti sono destinati a sop</w:t>
      </w:r>
      <w:r w:rsidR="00DB0866">
        <w:rPr>
          <w:rFonts w:ascii="Times New Roman" w:hAnsi="Times New Roman" w:cs="Times New Roman"/>
          <w:sz w:val="36"/>
          <w:szCs w:val="36"/>
        </w:rPr>
        <w:t>ravvivere nel nostro diritto”</w:t>
      </w:r>
      <w:r w:rsidR="00DB0866">
        <w:rPr>
          <w:rStyle w:val="Rimandonotaapidipagina"/>
          <w:rFonts w:ascii="Times New Roman" w:hAnsi="Times New Roman" w:cs="Times New Roman"/>
          <w:sz w:val="36"/>
          <w:szCs w:val="36"/>
        </w:rPr>
        <w:footnoteReference w:id="3"/>
      </w:r>
      <w:r w:rsidR="00DB0866">
        <w:rPr>
          <w:rFonts w:ascii="Times New Roman" w:hAnsi="Times New Roman" w:cs="Times New Roman"/>
          <w:sz w:val="36"/>
          <w:szCs w:val="36"/>
        </w:rPr>
        <w:t>.</w:t>
      </w:r>
      <w:r>
        <w:rPr>
          <w:rFonts w:ascii="Times New Roman" w:hAnsi="Times New Roman" w:cs="Times New Roman"/>
          <w:sz w:val="36"/>
          <w:szCs w:val="36"/>
        </w:rPr>
        <w:t xml:space="preserve"> </w:t>
      </w:r>
    </w:p>
    <w:p w14:paraId="3C174DCC" w14:textId="77777777" w:rsidR="00DB0866" w:rsidRDefault="00DB0866" w:rsidP="001C6253">
      <w:pPr>
        <w:jc w:val="both"/>
        <w:rPr>
          <w:rFonts w:ascii="Times New Roman" w:hAnsi="Times New Roman" w:cs="Times New Roman"/>
          <w:sz w:val="36"/>
          <w:szCs w:val="36"/>
        </w:rPr>
      </w:pPr>
      <w:r>
        <w:rPr>
          <w:rFonts w:ascii="Times New Roman" w:hAnsi="Times New Roman" w:cs="Times New Roman"/>
          <w:sz w:val="36"/>
          <w:szCs w:val="36"/>
        </w:rPr>
        <w:t xml:space="preserve">Veniva meno, nella caotica e “eversiva” produzione normativa, travolgente ogni ordine e sistema, la distinzione stessa tra diritto privato e diritto pubblico: </w:t>
      </w:r>
    </w:p>
    <w:p w14:paraId="65105BCE" w14:textId="77777777" w:rsidR="00425FA9" w:rsidRDefault="00DB0866" w:rsidP="001C6253">
      <w:pPr>
        <w:jc w:val="both"/>
        <w:rPr>
          <w:rFonts w:ascii="Times New Roman" w:hAnsi="Times New Roman" w:cs="Times New Roman"/>
          <w:sz w:val="36"/>
          <w:szCs w:val="36"/>
        </w:rPr>
      </w:pPr>
      <w:r>
        <w:rPr>
          <w:rFonts w:ascii="Times New Roman" w:hAnsi="Times New Roman" w:cs="Times New Roman"/>
          <w:sz w:val="36"/>
          <w:szCs w:val="36"/>
        </w:rPr>
        <w:t xml:space="preserve">“La legislazione di guerra – era di nuovo Vassalli a notarlo </w:t>
      </w:r>
      <w:r w:rsidR="00425FA9">
        <w:rPr>
          <w:rFonts w:ascii="Times New Roman" w:hAnsi="Times New Roman" w:cs="Times New Roman"/>
          <w:sz w:val="36"/>
          <w:szCs w:val="36"/>
        </w:rPr>
        <w:t>–</w:t>
      </w:r>
      <w:r>
        <w:rPr>
          <w:rFonts w:ascii="Times New Roman" w:hAnsi="Times New Roman" w:cs="Times New Roman"/>
          <w:sz w:val="36"/>
          <w:szCs w:val="36"/>
        </w:rPr>
        <w:t xml:space="preserve"> </w:t>
      </w:r>
      <w:r w:rsidR="00425FA9">
        <w:rPr>
          <w:rFonts w:ascii="Times New Roman" w:hAnsi="Times New Roman" w:cs="Times New Roman"/>
          <w:sz w:val="36"/>
          <w:szCs w:val="36"/>
        </w:rPr>
        <w:t>comincia a offrire i segni d’un più intenso interessamento dello Stato, nelle grandi aziende industriali e commerciali. La guerra, anche qui, ha affrettato la maturazione dei processi in corso, ha tramutato in pratica quel che di abbozzato o definito si agitava nel campo delle teorie”; insomma “la partecipazione dello Stato alle imprese industriali nella forma di partecipazione azionaria”</w:t>
      </w:r>
      <w:r w:rsidR="00425FA9">
        <w:rPr>
          <w:rStyle w:val="Rimandonotaapidipagina"/>
          <w:rFonts w:ascii="Times New Roman" w:hAnsi="Times New Roman" w:cs="Times New Roman"/>
          <w:sz w:val="36"/>
          <w:szCs w:val="36"/>
        </w:rPr>
        <w:footnoteReference w:id="4"/>
      </w:r>
      <w:r w:rsidR="00425FA9">
        <w:rPr>
          <w:rFonts w:ascii="Times New Roman" w:hAnsi="Times New Roman" w:cs="Times New Roman"/>
          <w:sz w:val="36"/>
          <w:szCs w:val="36"/>
        </w:rPr>
        <w:t xml:space="preserve">. </w:t>
      </w:r>
    </w:p>
    <w:p w14:paraId="4375E904" w14:textId="1C5CAC9C" w:rsidR="0053661B" w:rsidRDefault="00425FA9" w:rsidP="00425FA9">
      <w:pPr>
        <w:jc w:val="both"/>
        <w:rPr>
          <w:rFonts w:ascii="Times New Roman" w:hAnsi="Times New Roman"/>
          <w:sz w:val="36"/>
          <w:szCs w:val="36"/>
        </w:rPr>
      </w:pPr>
      <w:r>
        <w:rPr>
          <w:rFonts w:ascii="Times New Roman" w:hAnsi="Times New Roman" w:cs="Times New Roman"/>
          <w:sz w:val="36"/>
          <w:szCs w:val="36"/>
        </w:rPr>
        <w:t>Secondo un bilancio tracciato da un giovane ufficiale non ancora congedato, il futuro ministro delle Finanze del fascismo Alberto De Stefani</w:t>
      </w:r>
      <w:r w:rsidR="00E67F83">
        <w:rPr>
          <w:rStyle w:val="Rimandonotaapidipagina"/>
          <w:rFonts w:ascii="Times New Roman" w:hAnsi="Times New Roman" w:cs="Times New Roman"/>
          <w:sz w:val="36"/>
          <w:szCs w:val="36"/>
        </w:rPr>
        <w:footnoteReference w:id="5"/>
      </w:r>
      <w:r>
        <w:rPr>
          <w:rFonts w:ascii="Times New Roman" w:hAnsi="Times New Roman" w:cs="Times New Roman"/>
          <w:sz w:val="36"/>
          <w:szCs w:val="36"/>
        </w:rPr>
        <w:t xml:space="preserve">, furono in complesso </w:t>
      </w:r>
      <w:r w:rsidRPr="00425FA9">
        <w:rPr>
          <w:rFonts w:ascii="Times New Roman" w:hAnsi="Times New Roman"/>
          <w:sz w:val="36"/>
          <w:szCs w:val="36"/>
        </w:rPr>
        <w:t xml:space="preserve">2945 i decreti </w:t>
      </w:r>
      <w:r w:rsidR="00C24C97">
        <w:rPr>
          <w:rFonts w:ascii="Times New Roman" w:hAnsi="Times New Roman"/>
          <w:sz w:val="36"/>
          <w:szCs w:val="36"/>
        </w:rPr>
        <w:t xml:space="preserve">prodotti dopo il 1915 </w:t>
      </w:r>
      <w:r>
        <w:rPr>
          <w:rFonts w:ascii="Times New Roman" w:hAnsi="Times New Roman"/>
          <w:sz w:val="36"/>
          <w:szCs w:val="36"/>
        </w:rPr>
        <w:t>ancora in vigore nel 1921</w:t>
      </w:r>
      <w:r w:rsidR="00AE3D47">
        <w:rPr>
          <w:rFonts w:ascii="Times New Roman" w:hAnsi="Times New Roman"/>
          <w:sz w:val="36"/>
          <w:szCs w:val="36"/>
        </w:rPr>
        <w:t xml:space="preserve"> nel solo settore economico-finanziario</w:t>
      </w:r>
      <w:r>
        <w:rPr>
          <w:rFonts w:ascii="Times New Roman" w:hAnsi="Times New Roman"/>
          <w:sz w:val="36"/>
          <w:szCs w:val="36"/>
        </w:rPr>
        <w:t>:</w:t>
      </w:r>
      <w:r w:rsidRPr="00425FA9">
        <w:rPr>
          <w:rFonts w:ascii="Times New Roman" w:hAnsi="Times New Roman"/>
          <w:sz w:val="36"/>
          <w:szCs w:val="36"/>
        </w:rPr>
        <w:t xml:space="preserve"> interi campi della vita economica e sociale ignorati dallo Stato d’inizio secolo </w:t>
      </w:r>
      <w:r w:rsidR="00AE3D47">
        <w:rPr>
          <w:rFonts w:ascii="Times New Roman" w:hAnsi="Times New Roman"/>
          <w:sz w:val="36"/>
          <w:szCs w:val="36"/>
        </w:rPr>
        <w:t xml:space="preserve">erano stati </w:t>
      </w:r>
      <w:r>
        <w:rPr>
          <w:rFonts w:ascii="Times New Roman" w:hAnsi="Times New Roman"/>
          <w:sz w:val="36"/>
          <w:szCs w:val="36"/>
        </w:rPr>
        <w:t xml:space="preserve"> </w:t>
      </w:r>
      <w:r w:rsidRPr="00425FA9">
        <w:rPr>
          <w:rFonts w:ascii="Times New Roman" w:hAnsi="Times New Roman"/>
          <w:sz w:val="36"/>
          <w:szCs w:val="36"/>
        </w:rPr>
        <w:t xml:space="preserve">ora letteralmente “invasi” da norme.  </w:t>
      </w:r>
      <w:r w:rsidR="00F06CB0">
        <w:rPr>
          <w:rFonts w:ascii="Times New Roman" w:hAnsi="Times New Roman"/>
          <w:sz w:val="36"/>
          <w:szCs w:val="36"/>
        </w:rPr>
        <w:t>Quasi tremila leg</w:t>
      </w:r>
      <w:r w:rsidR="0053661B">
        <w:rPr>
          <w:rFonts w:ascii="Times New Roman" w:hAnsi="Times New Roman"/>
          <w:sz w:val="36"/>
          <w:szCs w:val="36"/>
        </w:rPr>
        <w:t>gi</w:t>
      </w:r>
      <w:r w:rsidR="00AE3D47">
        <w:rPr>
          <w:rFonts w:ascii="Times New Roman" w:hAnsi="Times New Roman"/>
          <w:sz w:val="36"/>
          <w:szCs w:val="36"/>
        </w:rPr>
        <w:t xml:space="preserve"> in quel solo settore</w:t>
      </w:r>
      <w:r w:rsidR="0053661B">
        <w:rPr>
          <w:rFonts w:ascii="Times New Roman" w:hAnsi="Times New Roman"/>
          <w:sz w:val="36"/>
          <w:szCs w:val="36"/>
        </w:rPr>
        <w:t>: se si calcola che nei primi anni</w:t>
      </w:r>
      <w:r w:rsidR="00F06CB0">
        <w:rPr>
          <w:rFonts w:ascii="Times New Roman" w:hAnsi="Times New Roman"/>
          <w:sz w:val="36"/>
          <w:szCs w:val="36"/>
        </w:rPr>
        <w:t xml:space="preserve"> Quaranta il “prodotto legislativo”</w:t>
      </w:r>
      <w:r w:rsidR="0053661B">
        <w:rPr>
          <w:rFonts w:ascii="Times New Roman" w:hAnsi="Times New Roman"/>
          <w:sz w:val="36"/>
          <w:szCs w:val="36"/>
        </w:rPr>
        <w:t xml:space="preserve"> </w:t>
      </w:r>
      <w:r w:rsidR="00AE3D47">
        <w:rPr>
          <w:rFonts w:ascii="Times New Roman" w:hAnsi="Times New Roman"/>
          <w:sz w:val="36"/>
          <w:szCs w:val="36"/>
        </w:rPr>
        <w:t xml:space="preserve">complessivo </w:t>
      </w:r>
      <w:r w:rsidR="00C24C97">
        <w:rPr>
          <w:rFonts w:ascii="Times New Roman" w:hAnsi="Times New Roman"/>
          <w:sz w:val="36"/>
          <w:szCs w:val="36"/>
        </w:rPr>
        <w:t xml:space="preserve">sarebbe </w:t>
      </w:r>
      <w:r w:rsidR="00AE3D47">
        <w:rPr>
          <w:rFonts w:ascii="Times New Roman" w:hAnsi="Times New Roman"/>
          <w:sz w:val="36"/>
          <w:szCs w:val="36"/>
        </w:rPr>
        <w:t>stato calcolato</w:t>
      </w:r>
      <w:r w:rsidR="0053661B">
        <w:rPr>
          <w:rFonts w:ascii="Times New Roman" w:hAnsi="Times New Roman"/>
          <w:sz w:val="36"/>
          <w:szCs w:val="36"/>
        </w:rPr>
        <w:t>,</w:t>
      </w:r>
      <w:r w:rsidR="00F06CB0">
        <w:rPr>
          <w:rFonts w:ascii="Times New Roman" w:hAnsi="Times New Roman"/>
          <w:sz w:val="36"/>
          <w:szCs w:val="36"/>
        </w:rPr>
        <w:t xml:space="preserve"> </w:t>
      </w:r>
      <w:r w:rsidR="0053661B">
        <w:rPr>
          <w:rFonts w:ascii="Times New Roman" w:hAnsi="Times New Roman"/>
          <w:sz w:val="36"/>
          <w:szCs w:val="36"/>
        </w:rPr>
        <w:t>secondo il gu</w:t>
      </w:r>
      <w:r w:rsidR="00AE3D47">
        <w:rPr>
          <w:rFonts w:ascii="Times New Roman" w:hAnsi="Times New Roman"/>
          <w:sz w:val="36"/>
          <w:szCs w:val="36"/>
        </w:rPr>
        <w:t>ardasigilli fascista Grandi, in</w:t>
      </w:r>
      <w:r w:rsidR="0053661B">
        <w:rPr>
          <w:rFonts w:ascii="Times New Roman" w:hAnsi="Times New Roman"/>
          <w:sz w:val="36"/>
          <w:szCs w:val="36"/>
        </w:rPr>
        <w:t xml:space="preserve"> </w:t>
      </w:r>
      <w:r w:rsidR="0053661B">
        <w:rPr>
          <w:rFonts w:ascii="Times New Roman" w:hAnsi="Times New Roman"/>
          <w:sz w:val="36"/>
          <w:szCs w:val="36"/>
        </w:rPr>
        <w:lastRenderedPageBreak/>
        <w:t>circa10 mila leggi, si</w:t>
      </w:r>
      <w:r w:rsidR="00AE3D47">
        <w:rPr>
          <w:rFonts w:ascii="Times New Roman" w:hAnsi="Times New Roman"/>
          <w:sz w:val="36"/>
          <w:szCs w:val="36"/>
        </w:rPr>
        <w:t xml:space="preserve"> può  comprendere quale rilevanza avesse avuto quella subitanea produzione bellica</w:t>
      </w:r>
      <w:r w:rsidR="0053661B">
        <w:rPr>
          <w:rFonts w:ascii="Times New Roman" w:hAnsi="Times New Roman"/>
          <w:sz w:val="36"/>
          <w:szCs w:val="36"/>
        </w:rPr>
        <w:t xml:space="preserve">. </w:t>
      </w:r>
    </w:p>
    <w:p w14:paraId="3F9EDFBA" w14:textId="6FF89F61" w:rsidR="00425FA9" w:rsidRPr="00425FA9" w:rsidRDefault="00425FA9" w:rsidP="00425FA9">
      <w:pPr>
        <w:jc w:val="both"/>
        <w:rPr>
          <w:rFonts w:ascii="Times New Roman" w:hAnsi="Times New Roman"/>
          <w:sz w:val="36"/>
          <w:szCs w:val="36"/>
        </w:rPr>
      </w:pPr>
      <w:r w:rsidRPr="00425FA9">
        <w:rPr>
          <w:rFonts w:ascii="Times New Roman" w:hAnsi="Times New Roman"/>
          <w:sz w:val="36"/>
          <w:szCs w:val="36"/>
        </w:rPr>
        <w:t>Norme controverse</w:t>
      </w:r>
      <w:r>
        <w:rPr>
          <w:rFonts w:ascii="Times New Roman" w:hAnsi="Times New Roman"/>
          <w:sz w:val="36"/>
          <w:szCs w:val="36"/>
        </w:rPr>
        <w:t xml:space="preserve"> peraltro</w:t>
      </w:r>
      <w:r w:rsidRPr="00425FA9">
        <w:rPr>
          <w:rFonts w:ascii="Times New Roman" w:hAnsi="Times New Roman"/>
          <w:sz w:val="36"/>
          <w:szCs w:val="36"/>
        </w:rPr>
        <w:t>; che spesso mescola</w:t>
      </w:r>
      <w:r>
        <w:rPr>
          <w:rFonts w:ascii="Times New Roman" w:hAnsi="Times New Roman"/>
          <w:sz w:val="36"/>
          <w:szCs w:val="36"/>
        </w:rPr>
        <w:t>va</w:t>
      </w:r>
      <w:r w:rsidRPr="00425FA9">
        <w:rPr>
          <w:rFonts w:ascii="Times New Roman" w:hAnsi="Times New Roman"/>
          <w:sz w:val="36"/>
          <w:szCs w:val="36"/>
        </w:rPr>
        <w:t>no ambiguamente l’inte</w:t>
      </w:r>
      <w:r w:rsidR="00AE3D47">
        <w:rPr>
          <w:rFonts w:ascii="Times New Roman" w:hAnsi="Times New Roman"/>
          <w:sz w:val="36"/>
          <w:szCs w:val="36"/>
        </w:rPr>
        <w:t>resse pubblico con</w:t>
      </w:r>
      <w:r w:rsidRPr="00425FA9">
        <w:rPr>
          <w:rFonts w:ascii="Times New Roman" w:hAnsi="Times New Roman"/>
          <w:sz w:val="36"/>
          <w:szCs w:val="36"/>
        </w:rPr>
        <w:t xml:space="preserve"> quello dei privat</w:t>
      </w:r>
      <w:r w:rsidR="00AE3D47">
        <w:rPr>
          <w:rFonts w:ascii="Times New Roman" w:hAnsi="Times New Roman"/>
          <w:sz w:val="36"/>
          <w:szCs w:val="36"/>
        </w:rPr>
        <w:t xml:space="preserve">i. Bardature di guerra, le avrebbe </w:t>
      </w:r>
      <w:r w:rsidRPr="00425FA9">
        <w:rPr>
          <w:rFonts w:ascii="Times New Roman" w:hAnsi="Times New Roman"/>
          <w:sz w:val="36"/>
          <w:szCs w:val="36"/>
        </w:rPr>
        <w:t xml:space="preserve">sprezzantemente </w:t>
      </w:r>
      <w:r w:rsidR="00AE3D47">
        <w:rPr>
          <w:rFonts w:ascii="Times New Roman" w:hAnsi="Times New Roman"/>
          <w:sz w:val="36"/>
          <w:szCs w:val="36"/>
        </w:rPr>
        <w:t xml:space="preserve">bollate </w:t>
      </w:r>
      <w:r w:rsidRPr="00425FA9">
        <w:rPr>
          <w:rFonts w:ascii="Times New Roman" w:hAnsi="Times New Roman"/>
          <w:sz w:val="36"/>
          <w:szCs w:val="36"/>
        </w:rPr>
        <w:t>il liberista Luigi Einaudi</w:t>
      </w:r>
      <w:r>
        <w:rPr>
          <w:rFonts w:ascii="Times New Roman" w:hAnsi="Times New Roman"/>
          <w:sz w:val="36"/>
          <w:szCs w:val="36"/>
        </w:rPr>
        <w:t>, feroc</w:t>
      </w:r>
      <w:r w:rsidR="003357A8">
        <w:rPr>
          <w:rFonts w:ascii="Times New Roman" w:hAnsi="Times New Roman"/>
          <w:sz w:val="36"/>
          <w:szCs w:val="36"/>
        </w:rPr>
        <w:t>e critico di quelle leggi e dei nuovi istituti che esse avevano creato</w:t>
      </w:r>
      <w:r w:rsidR="00AE3D47">
        <w:rPr>
          <w:rFonts w:ascii="Times New Roman" w:hAnsi="Times New Roman"/>
          <w:sz w:val="36"/>
          <w:szCs w:val="36"/>
        </w:rPr>
        <w:t>. O magari – chissà –</w:t>
      </w:r>
      <w:r w:rsidRPr="00425FA9">
        <w:rPr>
          <w:rFonts w:ascii="Times New Roman" w:hAnsi="Times New Roman"/>
          <w:sz w:val="36"/>
          <w:szCs w:val="36"/>
        </w:rPr>
        <w:t xml:space="preserve"> una nuova configurazione dei poteri pubblici in società divenute </w:t>
      </w:r>
      <w:r w:rsidR="00AE3D47">
        <w:rPr>
          <w:rFonts w:ascii="Times New Roman" w:hAnsi="Times New Roman"/>
          <w:sz w:val="36"/>
          <w:szCs w:val="36"/>
        </w:rPr>
        <w:t xml:space="preserve">più </w:t>
      </w:r>
      <w:r w:rsidRPr="00425FA9">
        <w:rPr>
          <w:rFonts w:ascii="Times New Roman" w:hAnsi="Times New Roman"/>
          <w:sz w:val="36"/>
          <w:szCs w:val="36"/>
        </w:rPr>
        <w:t>complesse, come gli obietta</w:t>
      </w:r>
      <w:r w:rsidR="003357A8">
        <w:rPr>
          <w:rFonts w:ascii="Times New Roman" w:hAnsi="Times New Roman"/>
          <w:sz w:val="36"/>
          <w:szCs w:val="36"/>
        </w:rPr>
        <w:t>va dalle colonne della socialriformista “Critica sociale”</w:t>
      </w:r>
      <w:r w:rsidRPr="00425FA9">
        <w:rPr>
          <w:rFonts w:ascii="Times New Roman" w:hAnsi="Times New Roman"/>
          <w:sz w:val="36"/>
          <w:szCs w:val="36"/>
        </w:rPr>
        <w:t xml:space="preserve"> il nittiano Vincenzo Giuffrida</w:t>
      </w:r>
      <w:r w:rsidR="00AE3D47">
        <w:rPr>
          <w:rFonts w:ascii="Times New Roman" w:hAnsi="Times New Roman"/>
          <w:sz w:val="36"/>
          <w:szCs w:val="36"/>
        </w:rPr>
        <w:t>, il primo prefatore italiano di un libro di Keynes</w:t>
      </w:r>
      <w:r w:rsidR="003357A8">
        <w:rPr>
          <w:rStyle w:val="Rimandonotaapidipagina"/>
          <w:rFonts w:ascii="Times New Roman" w:hAnsi="Times New Roman"/>
          <w:sz w:val="36"/>
          <w:szCs w:val="36"/>
        </w:rPr>
        <w:footnoteReference w:id="6"/>
      </w:r>
      <w:r w:rsidRPr="00425FA9">
        <w:rPr>
          <w:rFonts w:ascii="Times New Roman" w:hAnsi="Times New Roman"/>
          <w:sz w:val="36"/>
          <w:szCs w:val="36"/>
        </w:rPr>
        <w:t>.</w:t>
      </w:r>
    </w:p>
    <w:p w14:paraId="4CF9C001" w14:textId="77777777" w:rsidR="00DB0866" w:rsidRPr="00D042B3" w:rsidRDefault="00DB0866" w:rsidP="001C6253">
      <w:pPr>
        <w:jc w:val="both"/>
        <w:rPr>
          <w:rFonts w:ascii="Times New Roman" w:hAnsi="Times New Roman" w:cs="Times New Roman"/>
          <w:sz w:val="36"/>
          <w:szCs w:val="36"/>
        </w:rPr>
      </w:pPr>
      <w:r>
        <w:rPr>
          <w:rFonts w:ascii="Times New Roman" w:hAnsi="Times New Roman" w:cs="Times New Roman"/>
          <w:sz w:val="36"/>
          <w:szCs w:val="36"/>
        </w:rPr>
        <w:t xml:space="preserve"> </w:t>
      </w:r>
    </w:p>
    <w:p w14:paraId="2447D39C" w14:textId="1FC1A7FE" w:rsidR="003357A8" w:rsidRPr="004E1015" w:rsidRDefault="003357A8" w:rsidP="00C24C97">
      <w:pPr>
        <w:jc w:val="both"/>
        <w:rPr>
          <w:rFonts w:ascii="Times New Roman" w:hAnsi="Times New Roman" w:cs="Times New Roman"/>
          <w:b/>
          <w:sz w:val="36"/>
          <w:szCs w:val="36"/>
        </w:rPr>
      </w:pPr>
      <w:r w:rsidRPr="004E1015">
        <w:rPr>
          <w:rFonts w:ascii="Times New Roman" w:hAnsi="Times New Roman" w:cs="Times New Roman"/>
          <w:b/>
          <w:sz w:val="36"/>
          <w:szCs w:val="36"/>
        </w:rPr>
        <w:t>2.</w:t>
      </w:r>
      <w:r w:rsidR="004E1015" w:rsidRPr="004E1015">
        <w:rPr>
          <w:rFonts w:ascii="Times New Roman" w:hAnsi="Times New Roman" w:cs="Times New Roman"/>
          <w:b/>
          <w:sz w:val="36"/>
          <w:szCs w:val="36"/>
        </w:rPr>
        <w:t xml:space="preserve"> I caratteri tipici della legislazione di guerra.</w:t>
      </w:r>
    </w:p>
    <w:p w14:paraId="517CD4F2" w14:textId="1B4DF6CA" w:rsidR="00C24C97" w:rsidRDefault="003357A8" w:rsidP="00C24C97">
      <w:pPr>
        <w:jc w:val="both"/>
        <w:rPr>
          <w:rFonts w:ascii="Times New Roman" w:hAnsi="Times New Roman" w:cs="Times New Roman"/>
          <w:sz w:val="36"/>
          <w:szCs w:val="36"/>
        </w:rPr>
      </w:pPr>
      <w:r>
        <w:rPr>
          <w:rFonts w:ascii="Times New Roman" w:hAnsi="Times New Roman" w:cs="Times New Roman"/>
          <w:sz w:val="36"/>
          <w:szCs w:val="36"/>
        </w:rPr>
        <w:t xml:space="preserve">La legislazione di guerra, in effetti, ebbe caratteri che la distinsero dalla normativa del periodo precedente e che, sia pure in modo mediato, si </w:t>
      </w:r>
      <w:r w:rsidR="00AE3D47">
        <w:rPr>
          <w:rFonts w:ascii="Times New Roman" w:hAnsi="Times New Roman" w:cs="Times New Roman"/>
          <w:sz w:val="36"/>
          <w:szCs w:val="36"/>
        </w:rPr>
        <w:t xml:space="preserve">depositarono </w:t>
      </w:r>
      <w:r>
        <w:rPr>
          <w:rFonts w:ascii="Times New Roman" w:hAnsi="Times New Roman" w:cs="Times New Roman"/>
          <w:sz w:val="36"/>
          <w:szCs w:val="36"/>
        </w:rPr>
        <w:t xml:space="preserve">(verrebbe da scrivere si contagiarono) </w:t>
      </w:r>
      <w:r w:rsidR="00AE3D47">
        <w:rPr>
          <w:rFonts w:ascii="Times New Roman" w:hAnsi="Times New Roman" w:cs="Times New Roman"/>
          <w:sz w:val="36"/>
          <w:szCs w:val="36"/>
        </w:rPr>
        <w:t xml:space="preserve">nella legislazione </w:t>
      </w:r>
      <w:r>
        <w:rPr>
          <w:rFonts w:ascii="Times New Roman" w:hAnsi="Times New Roman" w:cs="Times New Roman"/>
          <w:sz w:val="36"/>
          <w:szCs w:val="36"/>
        </w:rPr>
        <w:t xml:space="preserve">del periodo successivo. </w:t>
      </w:r>
    </w:p>
    <w:p w14:paraId="589EBC4B" w14:textId="59835C7F" w:rsidR="006B30E1" w:rsidRDefault="00AE3D47" w:rsidP="00C24C97">
      <w:pPr>
        <w:jc w:val="both"/>
        <w:rPr>
          <w:rFonts w:ascii="Times New Roman" w:hAnsi="Times New Roman" w:cs="Times New Roman"/>
          <w:sz w:val="36"/>
          <w:szCs w:val="36"/>
        </w:rPr>
      </w:pPr>
      <w:r>
        <w:rPr>
          <w:rFonts w:ascii="Times New Roman" w:hAnsi="Times New Roman" w:cs="Times New Roman"/>
          <w:sz w:val="36"/>
          <w:szCs w:val="36"/>
        </w:rPr>
        <w:t>I</w:t>
      </w:r>
      <w:r w:rsidR="003357A8">
        <w:rPr>
          <w:rFonts w:ascii="Times New Roman" w:hAnsi="Times New Roman" w:cs="Times New Roman"/>
          <w:sz w:val="36"/>
          <w:szCs w:val="36"/>
        </w:rPr>
        <w:t>nnanzitutto fu</w:t>
      </w:r>
      <w:r>
        <w:rPr>
          <w:rFonts w:ascii="Times New Roman" w:hAnsi="Times New Roman" w:cs="Times New Roman"/>
          <w:sz w:val="36"/>
          <w:szCs w:val="36"/>
        </w:rPr>
        <w:t>,</w:t>
      </w:r>
      <w:r w:rsidR="003357A8">
        <w:rPr>
          <w:rFonts w:ascii="Times New Roman" w:hAnsi="Times New Roman" w:cs="Times New Roman"/>
          <w:sz w:val="36"/>
          <w:szCs w:val="36"/>
        </w:rPr>
        <w:t xml:space="preserve"> </w:t>
      </w:r>
      <w:r w:rsidR="00354B05">
        <w:rPr>
          <w:rFonts w:ascii="Times New Roman" w:hAnsi="Times New Roman" w:cs="Times New Roman"/>
          <w:sz w:val="36"/>
          <w:szCs w:val="36"/>
        </w:rPr>
        <w:t>in larghissima prevalenza</w:t>
      </w:r>
      <w:r>
        <w:rPr>
          <w:rFonts w:ascii="Times New Roman" w:hAnsi="Times New Roman" w:cs="Times New Roman"/>
          <w:sz w:val="36"/>
          <w:szCs w:val="36"/>
        </w:rPr>
        <w:t>,</w:t>
      </w:r>
      <w:r w:rsidR="00354B05">
        <w:rPr>
          <w:rFonts w:ascii="Times New Roman" w:hAnsi="Times New Roman" w:cs="Times New Roman"/>
          <w:sz w:val="36"/>
          <w:szCs w:val="36"/>
        </w:rPr>
        <w:t xml:space="preserve"> legislazione</w:t>
      </w:r>
      <w:r>
        <w:rPr>
          <w:rFonts w:ascii="Times New Roman" w:hAnsi="Times New Roman" w:cs="Times New Roman"/>
          <w:sz w:val="36"/>
          <w:szCs w:val="36"/>
        </w:rPr>
        <w:t xml:space="preserve"> di matrice governativa,</w:t>
      </w:r>
      <w:r w:rsidR="00C24C97">
        <w:rPr>
          <w:rFonts w:ascii="Times New Roman" w:hAnsi="Times New Roman" w:cs="Times New Roman"/>
          <w:sz w:val="36"/>
          <w:szCs w:val="36"/>
        </w:rPr>
        <w:t xml:space="preserve"> espressa</w:t>
      </w:r>
      <w:r w:rsidR="00354B05">
        <w:rPr>
          <w:rFonts w:ascii="Times New Roman" w:hAnsi="Times New Roman" w:cs="Times New Roman"/>
          <w:sz w:val="36"/>
          <w:szCs w:val="36"/>
        </w:rPr>
        <w:t xml:space="preserve"> tramite regi decreti</w:t>
      </w:r>
      <w:r w:rsidR="00821976">
        <w:rPr>
          <w:rFonts w:ascii="Times New Roman" w:hAnsi="Times New Roman" w:cs="Times New Roman"/>
          <w:sz w:val="36"/>
          <w:szCs w:val="36"/>
        </w:rPr>
        <w:t xml:space="preserve"> (o </w:t>
      </w:r>
      <w:r>
        <w:rPr>
          <w:rFonts w:ascii="Times New Roman" w:hAnsi="Times New Roman" w:cs="Times New Roman"/>
          <w:sz w:val="36"/>
          <w:szCs w:val="36"/>
        </w:rPr>
        <w:t xml:space="preserve">più spesso </w:t>
      </w:r>
      <w:r w:rsidR="00821976">
        <w:rPr>
          <w:rFonts w:ascii="Times New Roman" w:hAnsi="Times New Roman" w:cs="Times New Roman"/>
          <w:sz w:val="36"/>
          <w:szCs w:val="36"/>
        </w:rPr>
        <w:t>decreti luogotenenziali)</w:t>
      </w:r>
      <w:r w:rsidR="00354B05">
        <w:rPr>
          <w:rFonts w:ascii="Times New Roman" w:hAnsi="Times New Roman" w:cs="Times New Roman"/>
          <w:sz w:val="36"/>
          <w:szCs w:val="36"/>
        </w:rPr>
        <w:t>,</w:t>
      </w:r>
      <w:r w:rsidR="00B344B4">
        <w:rPr>
          <w:rFonts w:ascii="Times New Roman" w:hAnsi="Times New Roman" w:cs="Times New Roman"/>
          <w:sz w:val="36"/>
          <w:szCs w:val="36"/>
        </w:rPr>
        <w:t xml:space="preserve"> </w:t>
      </w:r>
      <w:r w:rsidR="00821976">
        <w:rPr>
          <w:rFonts w:ascii="Times New Roman" w:hAnsi="Times New Roman" w:cs="Times New Roman"/>
          <w:sz w:val="36"/>
          <w:szCs w:val="36"/>
        </w:rPr>
        <w:t xml:space="preserve">grazie al fatto che </w:t>
      </w:r>
      <w:r w:rsidR="00B344B4">
        <w:rPr>
          <w:rFonts w:ascii="Times New Roman" w:hAnsi="Times New Roman" w:cs="Times New Roman"/>
          <w:sz w:val="36"/>
          <w:szCs w:val="36"/>
        </w:rPr>
        <w:t>il Governo poté largam</w:t>
      </w:r>
      <w:r w:rsidR="00C24C97">
        <w:rPr>
          <w:rFonts w:ascii="Times New Roman" w:hAnsi="Times New Roman" w:cs="Times New Roman"/>
          <w:sz w:val="36"/>
          <w:szCs w:val="36"/>
        </w:rPr>
        <w:t>ente avvalersi dei pieni poteri;</w:t>
      </w:r>
      <w:r w:rsidR="00B344B4">
        <w:rPr>
          <w:rFonts w:ascii="Times New Roman" w:hAnsi="Times New Roman" w:cs="Times New Roman"/>
          <w:sz w:val="36"/>
          <w:szCs w:val="36"/>
        </w:rPr>
        <w:t xml:space="preserve"> furono stabilite consistenti deroghe ai regolamenti di contabilità dello Stato</w:t>
      </w:r>
      <w:r w:rsidR="00C24C97">
        <w:rPr>
          <w:rFonts w:ascii="Times New Roman" w:hAnsi="Times New Roman" w:cs="Times New Roman"/>
          <w:sz w:val="36"/>
          <w:szCs w:val="36"/>
        </w:rPr>
        <w:t>;</w:t>
      </w:r>
      <w:r w:rsidR="00B344B4">
        <w:rPr>
          <w:rFonts w:ascii="Times New Roman" w:hAnsi="Times New Roman" w:cs="Times New Roman"/>
          <w:sz w:val="36"/>
          <w:szCs w:val="36"/>
        </w:rPr>
        <w:t xml:space="preserve"> in alcuni casi</w:t>
      </w:r>
      <w:r w:rsidR="001C6253">
        <w:rPr>
          <w:rFonts w:ascii="Times New Roman" w:hAnsi="Times New Roman" w:cs="Times New Roman"/>
          <w:sz w:val="36"/>
          <w:szCs w:val="36"/>
        </w:rPr>
        <w:t xml:space="preserve"> </w:t>
      </w:r>
      <w:r w:rsidR="00B344B4">
        <w:rPr>
          <w:rFonts w:ascii="Times New Roman" w:hAnsi="Times New Roman" w:cs="Times New Roman"/>
          <w:sz w:val="36"/>
          <w:szCs w:val="36"/>
        </w:rPr>
        <w:t>rilevanti vennero a cadere i controlli esercitati dalla Corte dei conti</w:t>
      </w:r>
      <w:r w:rsidR="00B344B4">
        <w:rPr>
          <w:rStyle w:val="Rimandonotaapidipagina"/>
          <w:rFonts w:ascii="Times New Roman" w:hAnsi="Times New Roman" w:cs="Times New Roman"/>
          <w:sz w:val="36"/>
          <w:szCs w:val="36"/>
        </w:rPr>
        <w:footnoteReference w:id="7"/>
      </w:r>
      <w:r w:rsidR="00B344B4">
        <w:rPr>
          <w:rFonts w:ascii="Times New Roman" w:hAnsi="Times New Roman" w:cs="Times New Roman"/>
          <w:sz w:val="36"/>
          <w:szCs w:val="36"/>
        </w:rPr>
        <w:t>.</w:t>
      </w:r>
      <w:r w:rsidR="001C6253" w:rsidRPr="001C6253">
        <w:rPr>
          <w:rFonts w:ascii="Times New Roman" w:hAnsi="Times New Roman" w:cs="Times New Roman"/>
          <w:sz w:val="36"/>
          <w:szCs w:val="36"/>
        </w:rPr>
        <w:t xml:space="preserve"> </w:t>
      </w:r>
      <w:r>
        <w:rPr>
          <w:rFonts w:ascii="Times New Roman" w:hAnsi="Times New Roman" w:cs="Times New Roman"/>
          <w:sz w:val="36"/>
          <w:szCs w:val="36"/>
        </w:rPr>
        <w:t xml:space="preserve"> Inoltre </w:t>
      </w:r>
      <w:r w:rsidR="00C24C97">
        <w:rPr>
          <w:rFonts w:ascii="Times New Roman" w:hAnsi="Times New Roman" w:cs="Times New Roman"/>
          <w:sz w:val="36"/>
          <w:szCs w:val="36"/>
        </w:rPr>
        <w:t>l</w:t>
      </w:r>
      <w:r w:rsidR="006B30E1">
        <w:rPr>
          <w:rFonts w:ascii="Times New Roman" w:hAnsi="Times New Roman" w:cs="Times New Roman"/>
          <w:sz w:val="36"/>
          <w:szCs w:val="36"/>
        </w:rPr>
        <w:t>a concreta emanazione</w:t>
      </w:r>
      <w:r>
        <w:rPr>
          <w:rFonts w:ascii="Times New Roman" w:hAnsi="Times New Roman" w:cs="Times New Roman"/>
          <w:sz w:val="36"/>
          <w:szCs w:val="36"/>
        </w:rPr>
        <w:t>,</w:t>
      </w:r>
      <w:r w:rsidR="006B30E1">
        <w:rPr>
          <w:rFonts w:ascii="Times New Roman" w:hAnsi="Times New Roman" w:cs="Times New Roman"/>
          <w:sz w:val="36"/>
          <w:szCs w:val="36"/>
        </w:rPr>
        <w:t xml:space="preserve"> e prima ancora il processo di </w:t>
      </w:r>
      <w:r>
        <w:rPr>
          <w:rFonts w:ascii="Times New Roman" w:hAnsi="Times New Roman" w:cs="Times New Roman"/>
          <w:sz w:val="36"/>
          <w:szCs w:val="36"/>
        </w:rPr>
        <w:t xml:space="preserve">elaborazione </w:t>
      </w:r>
      <w:r w:rsidR="006B30E1">
        <w:rPr>
          <w:rFonts w:ascii="Times New Roman" w:hAnsi="Times New Roman" w:cs="Times New Roman"/>
          <w:sz w:val="36"/>
          <w:szCs w:val="36"/>
        </w:rPr>
        <w:t>di questo corpus normativo</w:t>
      </w:r>
      <w:r>
        <w:rPr>
          <w:rFonts w:ascii="Times New Roman" w:hAnsi="Times New Roman" w:cs="Times New Roman"/>
          <w:sz w:val="36"/>
          <w:szCs w:val="36"/>
        </w:rPr>
        <w:t>,</w:t>
      </w:r>
      <w:r w:rsidR="006B30E1">
        <w:rPr>
          <w:rFonts w:ascii="Times New Roman" w:hAnsi="Times New Roman" w:cs="Times New Roman"/>
          <w:sz w:val="36"/>
          <w:szCs w:val="36"/>
        </w:rPr>
        <w:t xml:space="preserve"> fu appannaggio (ma su questo tornerò) di una burocrazia ministeriale cui si aggiunsero esponenti della élite militare e anche, in determinati casi, rappresentanti degli interessi economici coinvolti nelle norme.</w:t>
      </w:r>
    </w:p>
    <w:p w14:paraId="77E7119F" w14:textId="25BB95BA" w:rsidR="00B9640E" w:rsidRDefault="00B9640E" w:rsidP="00B9640E">
      <w:pPr>
        <w:jc w:val="both"/>
        <w:rPr>
          <w:rFonts w:ascii="Times New Roman" w:hAnsi="Times New Roman" w:cs="Times New Roman"/>
          <w:sz w:val="36"/>
          <w:szCs w:val="36"/>
        </w:rPr>
      </w:pPr>
      <w:r>
        <w:rPr>
          <w:rFonts w:ascii="Times New Roman" w:hAnsi="Times New Roman" w:cs="Times New Roman"/>
          <w:sz w:val="36"/>
          <w:szCs w:val="36"/>
        </w:rPr>
        <w:lastRenderedPageBreak/>
        <w:t xml:space="preserve">Ciò coincise col carattere di “eccezionalità” assunto dal complesso della legislazione di guerra. Carlotta Latini ha indagato i gravi </w:t>
      </w:r>
      <w:r>
        <w:rPr>
          <w:rFonts w:ascii="Times New Roman" w:hAnsi="Times New Roman" w:cs="Times New Roman"/>
          <w:i/>
          <w:sz w:val="36"/>
          <w:szCs w:val="36"/>
        </w:rPr>
        <w:t>vulnera</w:t>
      </w:r>
      <w:r>
        <w:rPr>
          <w:rFonts w:ascii="Times New Roman" w:hAnsi="Times New Roman" w:cs="Times New Roman"/>
          <w:sz w:val="36"/>
          <w:szCs w:val="36"/>
        </w:rPr>
        <w:t xml:space="preserve"> in tema di diritti statutari. “</w:t>
      </w:r>
      <w:r w:rsidRPr="004949BA">
        <w:rPr>
          <w:rFonts w:ascii="Times New Roman" w:hAnsi="Times New Roman" w:cs="Times New Roman"/>
          <w:sz w:val="36"/>
          <w:szCs w:val="36"/>
        </w:rPr>
        <w:t xml:space="preserve">Quando il 25 maggio 1915 </w:t>
      </w:r>
      <w:r>
        <w:rPr>
          <w:rFonts w:ascii="Times New Roman" w:hAnsi="Times New Roman" w:cs="Times New Roman"/>
          <w:sz w:val="36"/>
          <w:szCs w:val="36"/>
        </w:rPr>
        <w:t xml:space="preserve">– ha scritto – </w:t>
      </w:r>
      <w:r w:rsidRPr="004949BA">
        <w:rPr>
          <w:rFonts w:ascii="Times New Roman" w:hAnsi="Times New Roman" w:cs="Times New Roman"/>
          <w:sz w:val="36"/>
          <w:szCs w:val="36"/>
        </w:rPr>
        <w:t>il governo del re dichiarò guerra all’Austria-Ungheria, iniziava il cosiddetto tempo di guerra (25 maggio 1915). Una sola parte del territorio veniva considerata in stato di guerra e cioè come zona di guerra, creandosi in tal modo una distinzione giuridicamente artificiosa e incongruente, produttrice di equivoci e di confusione, specialmente nei rapporti giurisdizionali.</w:t>
      </w:r>
      <w:r>
        <w:rPr>
          <w:rFonts w:ascii="Times New Roman" w:hAnsi="Times New Roman" w:cs="Times New Roman"/>
          <w:sz w:val="36"/>
          <w:szCs w:val="36"/>
        </w:rPr>
        <w:t xml:space="preserve"> </w:t>
      </w:r>
      <w:r w:rsidRPr="004949BA">
        <w:rPr>
          <w:rFonts w:ascii="Times New Roman" w:hAnsi="Times New Roman" w:cs="Times New Roman"/>
          <w:sz w:val="36"/>
          <w:szCs w:val="36"/>
        </w:rPr>
        <w:t>Col regio decreto 22 maggio 1915, n. 703, veniva dichiarato lo stato di guerra per il territorio delle province di Sondrio, Brescia, Verona, Vicenza, Belluno ecc., quindi col regio decreto del 15 luglio 1915 n. 1104, la zona di guerra veniva allargata e con r.d. 14 settembre 1917 si verificava un ulteriore allargamento del territorio considerato in stato di guerra. Dopo i tumulti di Torino dell’agosto del 1917 anche la provincia di Torino veniva dichiarata in stato di guerra. Infine, tale stato veniva esteso a tutto il territorio del nord Italia il 1° dicembre 1917</w:t>
      </w:r>
      <w:r>
        <w:rPr>
          <w:rFonts w:ascii="Times New Roman" w:hAnsi="Times New Roman" w:cs="Times New Roman"/>
          <w:sz w:val="36"/>
          <w:szCs w:val="36"/>
        </w:rPr>
        <w:t>”</w:t>
      </w:r>
      <w:r>
        <w:rPr>
          <w:rStyle w:val="Rimandonotaapidipagina"/>
          <w:rFonts w:ascii="Times New Roman" w:hAnsi="Times New Roman" w:cs="Times New Roman"/>
          <w:sz w:val="36"/>
          <w:szCs w:val="36"/>
        </w:rPr>
        <w:footnoteReference w:id="8"/>
      </w:r>
      <w:r w:rsidRPr="004949BA">
        <w:rPr>
          <w:rFonts w:ascii="Times New Roman" w:hAnsi="Times New Roman" w:cs="Times New Roman"/>
          <w:sz w:val="36"/>
          <w:szCs w:val="36"/>
        </w:rPr>
        <w:t>.</w:t>
      </w:r>
    </w:p>
    <w:p w14:paraId="769C0AB4" w14:textId="35968FE6" w:rsidR="00B9640E" w:rsidRPr="004949BA" w:rsidRDefault="00B57594" w:rsidP="00B9640E">
      <w:pPr>
        <w:jc w:val="both"/>
        <w:rPr>
          <w:rFonts w:ascii="Times New Roman" w:hAnsi="Times New Roman" w:cs="Times New Roman"/>
          <w:sz w:val="36"/>
          <w:szCs w:val="36"/>
        </w:rPr>
      </w:pPr>
      <w:r>
        <w:rPr>
          <w:rFonts w:ascii="Times New Roman" w:hAnsi="Times New Roman" w:cs="Times New Roman"/>
          <w:sz w:val="36"/>
          <w:szCs w:val="36"/>
        </w:rPr>
        <w:t>Non erano provvedimenti di</w:t>
      </w:r>
      <w:r w:rsidR="00B9640E">
        <w:rPr>
          <w:rFonts w:ascii="Times New Roman" w:hAnsi="Times New Roman" w:cs="Times New Roman"/>
          <w:sz w:val="36"/>
          <w:szCs w:val="36"/>
        </w:rPr>
        <w:t xml:space="preserve"> poco</w:t>
      </w:r>
      <w:r>
        <w:rPr>
          <w:rFonts w:ascii="Times New Roman" w:hAnsi="Times New Roman" w:cs="Times New Roman"/>
          <w:sz w:val="36"/>
          <w:szCs w:val="36"/>
        </w:rPr>
        <w:t xml:space="preserve"> conto</w:t>
      </w:r>
      <w:r w:rsidR="00B9640E">
        <w:rPr>
          <w:rFonts w:ascii="Times New Roman" w:hAnsi="Times New Roman" w:cs="Times New Roman"/>
          <w:sz w:val="36"/>
          <w:szCs w:val="36"/>
        </w:rPr>
        <w:t>. Ai comandanti militari “era riconosciuta una potestà legislativa”, con il potere di emanare bandi e ordinanze, nonché di stabilire regolamenti restrittivi delle libertà dei cittadini. Accanto a questa delega a carattere generale si aggiungeva poi sin dall’inizio della guerra “</w:t>
      </w:r>
      <w:r w:rsidR="00B9640E" w:rsidRPr="004949BA">
        <w:rPr>
          <w:rFonts w:ascii="Times New Roman" w:hAnsi="Times New Roman" w:cs="Times New Roman"/>
          <w:sz w:val="36"/>
          <w:szCs w:val="36"/>
        </w:rPr>
        <w:t xml:space="preserve">la delega legislativa attuata con l. 22 maggio 1915 n. 671, delega che si collocava nel solco della tradizione sardo-piemontese di trasferire i pieni poteri al governo nei momenti di emergenza, come in occasione delle guerre di indipendenza. Il 22 maggio 1915 veniva promulgata in Italia la legge n. 671 – detta appunto dei “pieni poteri” – la quale conferiva “al governo del Re poteri straordinari in caso di guerra”. Due mesi prima il parlamento italiano aveva approvato, ed il re promulgato, un’altra legge, quella del 21 marzo 1915, n. 273, “portante provvedimenti per la difesa economica e militare dello </w:t>
      </w:r>
      <w:r w:rsidR="00B9640E" w:rsidRPr="004949BA">
        <w:rPr>
          <w:rFonts w:ascii="Times New Roman" w:hAnsi="Times New Roman" w:cs="Times New Roman"/>
          <w:sz w:val="36"/>
          <w:szCs w:val="36"/>
        </w:rPr>
        <w:lastRenderedPageBreak/>
        <w:t>Stato” ma in realtà volta a reprimere lo spionaggio formulando nuove fattispecie di reato e stabilendo che per via di decreto delegato il governo potesse creare nuove sanzioni</w:t>
      </w:r>
      <w:r w:rsidR="00B9640E">
        <w:rPr>
          <w:rFonts w:ascii="Times New Roman" w:hAnsi="Times New Roman" w:cs="Times New Roman"/>
          <w:sz w:val="36"/>
          <w:szCs w:val="36"/>
        </w:rPr>
        <w:t>”</w:t>
      </w:r>
      <w:r w:rsidR="00B9640E" w:rsidRPr="004949BA">
        <w:rPr>
          <w:rFonts w:ascii="Times New Roman" w:hAnsi="Times New Roman" w:cs="Times New Roman"/>
          <w:sz w:val="36"/>
          <w:szCs w:val="36"/>
        </w:rPr>
        <w:t xml:space="preserve">. </w:t>
      </w:r>
      <w:r w:rsidR="00B9640E">
        <w:rPr>
          <w:rFonts w:ascii="Times New Roman" w:hAnsi="Times New Roman" w:cs="Times New Roman"/>
          <w:sz w:val="36"/>
          <w:szCs w:val="36"/>
        </w:rPr>
        <w:t>Commenta ancora Carlotta Latini: “</w:t>
      </w:r>
      <w:r w:rsidR="00B9640E" w:rsidRPr="004949BA">
        <w:rPr>
          <w:rFonts w:ascii="Times New Roman" w:hAnsi="Times New Roman" w:cs="Times New Roman"/>
          <w:sz w:val="36"/>
          <w:szCs w:val="36"/>
        </w:rPr>
        <w:t xml:space="preserve">Le due leggi, viste come un </w:t>
      </w:r>
      <w:r w:rsidR="00B9640E" w:rsidRPr="004949BA">
        <w:rPr>
          <w:rFonts w:ascii="Times New Roman" w:hAnsi="Times New Roman" w:cs="Times New Roman"/>
          <w:i/>
          <w:iCs/>
          <w:sz w:val="36"/>
          <w:szCs w:val="36"/>
        </w:rPr>
        <w:t>unicum</w:t>
      </w:r>
      <w:r w:rsidR="00B9640E" w:rsidRPr="004949BA">
        <w:rPr>
          <w:rFonts w:ascii="Times New Roman" w:hAnsi="Times New Roman" w:cs="Times New Roman"/>
          <w:sz w:val="36"/>
          <w:szCs w:val="36"/>
        </w:rPr>
        <w:t>, diedero al sistema dei “pieni poteri” quel complesso assetto giuridico-istituzionale che in molti discussero e commentarono e che caratterizzò l’esperienza giuridica, sotto il profilo pubblicistico, della Prima guerra mondiale e degli anni immediatamente successivi</w:t>
      </w:r>
      <w:r w:rsidR="00B9640E">
        <w:rPr>
          <w:rFonts w:ascii="Times New Roman" w:hAnsi="Times New Roman" w:cs="Times New Roman"/>
          <w:sz w:val="36"/>
          <w:szCs w:val="36"/>
        </w:rPr>
        <w:t>”</w:t>
      </w:r>
      <w:r w:rsidR="00B9640E">
        <w:rPr>
          <w:rStyle w:val="Rimandonotaapidipagina"/>
          <w:rFonts w:ascii="Times New Roman" w:hAnsi="Times New Roman" w:cs="Times New Roman"/>
          <w:sz w:val="36"/>
          <w:szCs w:val="36"/>
        </w:rPr>
        <w:footnoteReference w:id="9"/>
      </w:r>
      <w:r w:rsidR="00B9640E">
        <w:rPr>
          <w:rFonts w:ascii="Times New Roman" w:hAnsi="Times New Roman" w:cs="Times New Roman"/>
          <w:sz w:val="22"/>
          <w:szCs w:val="22"/>
        </w:rPr>
        <w:t>.</w:t>
      </w:r>
      <w:r w:rsidR="00B9640E" w:rsidRPr="004949BA">
        <w:rPr>
          <w:rFonts w:ascii="Times New Roman" w:hAnsi="Times New Roman" w:cs="Times New Roman"/>
          <w:sz w:val="36"/>
          <w:szCs w:val="36"/>
        </w:rPr>
        <w:t xml:space="preserve"> </w:t>
      </w:r>
    </w:p>
    <w:p w14:paraId="38E2D021" w14:textId="2D512DA9" w:rsidR="00B9640E" w:rsidRDefault="00B9640E" w:rsidP="00C24C97">
      <w:pPr>
        <w:jc w:val="both"/>
        <w:rPr>
          <w:rFonts w:ascii="Times New Roman" w:hAnsi="Times New Roman" w:cs="Times New Roman"/>
          <w:sz w:val="36"/>
          <w:szCs w:val="36"/>
        </w:rPr>
      </w:pPr>
      <w:r>
        <w:rPr>
          <w:rFonts w:ascii="Times New Roman" w:hAnsi="Times New Roman" w:cs="Times New Roman"/>
          <w:sz w:val="36"/>
          <w:szCs w:val="36"/>
        </w:rPr>
        <w:t>Dunque un carattere della legislazione di guerra, da porsi accanto a quello dell’eccezionalità, fu quello della sua vocazione autoritaria, nel senso di un indirizzo accentratore del potere di regolazione e sostanzialmente autoritario.</w:t>
      </w:r>
    </w:p>
    <w:p w14:paraId="337C1DDB" w14:textId="2B1E983E" w:rsidR="00AE3D47" w:rsidRDefault="00B9640E" w:rsidP="00C24C97">
      <w:pPr>
        <w:jc w:val="both"/>
        <w:rPr>
          <w:rFonts w:ascii="Times New Roman" w:hAnsi="Times New Roman" w:cs="Times New Roman"/>
          <w:sz w:val="36"/>
          <w:szCs w:val="36"/>
        </w:rPr>
      </w:pPr>
      <w:r>
        <w:rPr>
          <w:rFonts w:ascii="Times New Roman" w:hAnsi="Times New Roman" w:cs="Times New Roman"/>
          <w:sz w:val="36"/>
          <w:szCs w:val="36"/>
        </w:rPr>
        <w:t>In terz</w:t>
      </w:r>
      <w:r w:rsidR="006B30E1">
        <w:rPr>
          <w:rFonts w:ascii="Times New Roman" w:hAnsi="Times New Roman" w:cs="Times New Roman"/>
          <w:sz w:val="36"/>
          <w:szCs w:val="36"/>
        </w:rPr>
        <w:t xml:space="preserve">o luogo – come ha notato di recente Fabio Ecca </w:t>
      </w:r>
      <w:r w:rsidR="00C24C97">
        <w:rPr>
          <w:rFonts w:ascii="Times New Roman" w:hAnsi="Times New Roman" w:cs="Times New Roman"/>
          <w:sz w:val="36"/>
          <w:szCs w:val="36"/>
        </w:rPr>
        <w:t xml:space="preserve">in un volume sulle spese di guerra </w:t>
      </w:r>
      <w:r w:rsidR="001E56F0">
        <w:rPr>
          <w:rFonts w:ascii="Times New Roman" w:hAnsi="Times New Roman" w:cs="Times New Roman"/>
          <w:sz w:val="36"/>
          <w:szCs w:val="36"/>
        </w:rPr>
        <w:t xml:space="preserve">(Ecca si occupa della commissione del 1920 sui “pescecani di guerra”) </w:t>
      </w:r>
      <w:r w:rsidR="006B30E1">
        <w:rPr>
          <w:rFonts w:ascii="Times New Roman" w:hAnsi="Times New Roman" w:cs="Times New Roman"/>
          <w:sz w:val="36"/>
          <w:szCs w:val="36"/>
        </w:rPr>
        <w:t>–</w:t>
      </w:r>
      <w:r w:rsidR="00C24C97">
        <w:rPr>
          <w:rFonts w:ascii="Times New Roman" w:hAnsi="Times New Roman" w:cs="Times New Roman"/>
          <w:sz w:val="36"/>
          <w:szCs w:val="36"/>
        </w:rPr>
        <w:t xml:space="preserve"> questa</w:t>
      </w:r>
      <w:r w:rsidR="006B30E1">
        <w:rPr>
          <w:rFonts w:ascii="Times New Roman" w:hAnsi="Times New Roman" w:cs="Times New Roman"/>
          <w:sz w:val="36"/>
          <w:szCs w:val="36"/>
        </w:rPr>
        <w:t xml:space="preserve"> legislazione fu caratterizzata “da un alto livello di disordine”</w:t>
      </w:r>
      <w:r w:rsidR="00AE3D47">
        <w:rPr>
          <w:rFonts w:ascii="Times New Roman" w:hAnsi="Times New Roman" w:cs="Times New Roman"/>
          <w:sz w:val="36"/>
          <w:szCs w:val="36"/>
        </w:rPr>
        <w:t>, da un’</w:t>
      </w:r>
      <w:r w:rsidR="00C24C97">
        <w:rPr>
          <w:rFonts w:ascii="Times New Roman" w:hAnsi="Times New Roman" w:cs="Times New Roman"/>
          <w:sz w:val="36"/>
          <w:szCs w:val="36"/>
        </w:rPr>
        <w:t>elevata frammentazione</w:t>
      </w:r>
      <w:r w:rsidR="001B7856">
        <w:rPr>
          <w:rFonts w:ascii="Times New Roman" w:hAnsi="Times New Roman" w:cs="Times New Roman"/>
          <w:sz w:val="36"/>
          <w:szCs w:val="36"/>
        </w:rPr>
        <w:t xml:space="preserve"> (furono, lo si è detto, decreti, ma anche decreti brevi, di un solo articolo o di due-tre al massimo)</w:t>
      </w:r>
      <w:r w:rsidR="00C24C97">
        <w:rPr>
          <w:rFonts w:ascii="Times New Roman" w:hAnsi="Times New Roman" w:cs="Times New Roman"/>
          <w:sz w:val="36"/>
          <w:szCs w:val="36"/>
        </w:rPr>
        <w:t xml:space="preserve"> e</w:t>
      </w:r>
      <w:r w:rsidR="006B30E1">
        <w:rPr>
          <w:rFonts w:ascii="Times New Roman" w:hAnsi="Times New Roman" w:cs="Times New Roman"/>
          <w:sz w:val="36"/>
          <w:szCs w:val="36"/>
        </w:rPr>
        <w:t xml:space="preserve"> da gravi deficienze</w:t>
      </w:r>
      <w:r w:rsidR="00C24C97">
        <w:rPr>
          <w:rFonts w:ascii="Times New Roman" w:hAnsi="Times New Roman" w:cs="Times New Roman"/>
          <w:sz w:val="36"/>
          <w:szCs w:val="36"/>
        </w:rPr>
        <w:t xml:space="preserve"> tecniche</w:t>
      </w:r>
      <w:r w:rsidR="006B30E1">
        <w:rPr>
          <w:rFonts w:ascii="Times New Roman" w:hAnsi="Times New Roman" w:cs="Times New Roman"/>
          <w:sz w:val="36"/>
          <w:szCs w:val="36"/>
        </w:rPr>
        <w:t xml:space="preserve"> nella scrittura stessa delle norme</w:t>
      </w:r>
      <w:r w:rsidR="00F06CB0">
        <w:rPr>
          <w:rStyle w:val="Rimandonotaapidipagina"/>
          <w:rFonts w:ascii="Times New Roman" w:hAnsi="Times New Roman" w:cs="Times New Roman"/>
          <w:sz w:val="36"/>
          <w:szCs w:val="36"/>
        </w:rPr>
        <w:footnoteReference w:id="10"/>
      </w:r>
      <w:r w:rsidR="006B30E1">
        <w:rPr>
          <w:rFonts w:ascii="Times New Roman" w:hAnsi="Times New Roman" w:cs="Times New Roman"/>
          <w:sz w:val="36"/>
          <w:szCs w:val="36"/>
        </w:rPr>
        <w:t xml:space="preserve">. </w:t>
      </w:r>
    </w:p>
    <w:p w14:paraId="64E5D692" w14:textId="602E51C1" w:rsidR="00C24C97" w:rsidRDefault="006B30E1" w:rsidP="00C24C97">
      <w:pPr>
        <w:jc w:val="both"/>
        <w:rPr>
          <w:rFonts w:ascii="Times New Roman" w:hAnsi="Times New Roman" w:cs="Times New Roman"/>
          <w:sz w:val="36"/>
          <w:szCs w:val="36"/>
        </w:rPr>
      </w:pPr>
      <w:r>
        <w:rPr>
          <w:rFonts w:ascii="Times New Roman" w:hAnsi="Times New Roman" w:cs="Times New Roman"/>
          <w:sz w:val="36"/>
          <w:szCs w:val="36"/>
        </w:rPr>
        <w:t xml:space="preserve">Ecca </w:t>
      </w:r>
      <w:r w:rsidR="00C24C97">
        <w:rPr>
          <w:rFonts w:ascii="Times New Roman" w:hAnsi="Times New Roman" w:cs="Times New Roman"/>
          <w:sz w:val="36"/>
          <w:szCs w:val="36"/>
        </w:rPr>
        <w:t>fa qualche esempio. A</w:t>
      </w:r>
      <w:r>
        <w:rPr>
          <w:rFonts w:ascii="Times New Roman" w:hAnsi="Times New Roman" w:cs="Times New Roman"/>
          <w:sz w:val="36"/>
          <w:szCs w:val="36"/>
        </w:rPr>
        <w:t>nalizza in particolare il decreto legge 27 maggio 1915, n. 239, su cui si basò tutta la mobilitazione industriale, per osservare l’insufficienza della stessa definizione giuridica della guerra</w:t>
      </w:r>
      <w:r w:rsidR="00C24C97">
        <w:rPr>
          <w:rFonts w:ascii="Times New Roman" w:hAnsi="Times New Roman" w:cs="Times New Roman"/>
          <w:sz w:val="36"/>
          <w:szCs w:val="36"/>
        </w:rPr>
        <w:t xml:space="preserve"> contenuta in quel testo</w:t>
      </w:r>
      <w:r w:rsidR="00376CA8">
        <w:rPr>
          <w:rFonts w:ascii="Times New Roman" w:hAnsi="Times New Roman" w:cs="Times New Roman"/>
          <w:sz w:val="36"/>
          <w:szCs w:val="36"/>
        </w:rPr>
        <w:t xml:space="preserve">: </w:t>
      </w:r>
      <w:r w:rsidR="00C24C97">
        <w:rPr>
          <w:rFonts w:ascii="Times New Roman" w:hAnsi="Times New Roman" w:cs="Times New Roman"/>
          <w:sz w:val="36"/>
          <w:szCs w:val="36"/>
        </w:rPr>
        <w:t xml:space="preserve">la guerra, </w:t>
      </w:r>
      <w:r>
        <w:rPr>
          <w:rFonts w:ascii="Times New Roman" w:hAnsi="Times New Roman" w:cs="Times New Roman"/>
          <w:sz w:val="36"/>
          <w:szCs w:val="36"/>
        </w:rPr>
        <w:t>annota</w:t>
      </w:r>
      <w:r w:rsidR="003A558F">
        <w:rPr>
          <w:rFonts w:ascii="Times New Roman" w:hAnsi="Times New Roman" w:cs="Times New Roman"/>
          <w:sz w:val="36"/>
          <w:szCs w:val="36"/>
        </w:rPr>
        <w:t>, vi è considerata</w:t>
      </w:r>
      <w:r>
        <w:rPr>
          <w:rFonts w:ascii="Times New Roman" w:hAnsi="Times New Roman" w:cs="Times New Roman"/>
          <w:sz w:val="36"/>
          <w:szCs w:val="36"/>
        </w:rPr>
        <w:t xml:space="preserve"> “come caso di forza maggiore non solo quando renda impossibile la</w:t>
      </w:r>
      <w:r w:rsidR="00376CA8">
        <w:rPr>
          <w:rFonts w:ascii="Times New Roman" w:hAnsi="Times New Roman" w:cs="Times New Roman"/>
          <w:sz w:val="36"/>
          <w:szCs w:val="36"/>
        </w:rPr>
        <w:t xml:space="preserve"> prestazione, ma anche quando la renda eccessivamente gravosa, purché l’obbligazione sia stata assunta prima della data del decreto di mobilitazione generale”. </w:t>
      </w:r>
      <w:r w:rsidR="00C24C97">
        <w:rPr>
          <w:rFonts w:ascii="Times New Roman" w:hAnsi="Times New Roman" w:cs="Times New Roman"/>
          <w:sz w:val="36"/>
          <w:szCs w:val="36"/>
        </w:rPr>
        <w:t>D</w:t>
      </w:r>
      <w:r w:rsidR="00376CA8">
        <w:rPr>
          <w:rFonts w:ascii="Times New Roman" w:hAnsi="Times New Roman" w:cs="Times New Roman"/>
          <w:sz w:val="36"/>
          <w:szCs w:val="36"/>
        </w:rPr>
        <w:t>isposizione –</w:t>
      </w:r>
      <w:r w:rsidR="003A558F">
        <w:rPr>
          <w:rFonts w:ascii="Times New Roman" w:hAnsi="Times New Roman" w:cs="Times New Roman"/>
          <w:sz w:val="36"/>
          <w:szCs w:val="36"/>
        </w:rPr>
        <w:t xml:space="preserve"> </w:t>
      </w:r>
      <w:r w:rsidR="00376CA8">
        <w:rPr>
          <w:rFonts w:ascii="Times New Roman" w:hAnsi="Times New Roman" w:cs="Times New Roman"/>
          <w:sz w:val="36"/>
          <w:szCs w:val="36"/>
        </w:rPr>
        <w:t xml:space="preserve">osserva giustamente </w:t>
      </w:r>
      <w:r w:rsidR="00C24C97">
        <w:rPr>
          <w:rFonts w:ascii="Times New Roman" w:hAnsi="Times New Roman" w:cs="Times New Roman"/>
          <w:sz w:val="36"/>
          <w:szCs w:val="36"/>
        </w:rPr>
        <w:t xml:space="preserve">lo studioso </w:t>
      </w:r>
      <w:r w:rsidR="00376CA8">
        <w:rPr>
          <w:rFonts w:ascii="Times New Roman" w:hAnsi="Times New Roman" w:cs="Times New Roman"/>
          <w:sz w:val="36"/>
          <w:szCs w:val="36"/>
        </w:rPr>
        <w:t>–</w:t>
      </w:r>
      <w:r w:rsidR="00C24C97">
        <w:rPr>
          <w:rFonts w:ascii="Times New Roman" w:hAnsi="Times New Roman" w:cs="Times New Roman"/>
          <w:sz w:val="36"/>
          <w:szCs w:val="36"/>
        </w:rPr>
        <w:t xml:space="preserve"> “</w:t>
      </w:r>
      <w:r w:rsidR="00376CA8">
        <w:rPr>
          <w:rFonts w:ascii="Times New Roman" w:hAnsi="Times New Roman" w:cs="Times New Roman"/>
          <w:sz w:val="36"/>
          <w:szCs w:val="36"/>
        </w:rPr>
        <w:t xml:space="preserve">inutile nella sua prima parte, in quanto si limitava a ribadire una disposizione del codice già esistente; interpretativa nella sua seconda asserzione </w:t>
      </w:r>
      <w:r w:rsidR="00376CA8">
        <w:rPr>
          <w:rFonts w:ascii="Times New Roman" w:hAnsi="Times New Roman" w:cs="Times New Roman"/>
          <w:sz w:val="36"/>
          <w:szCs w:val="36"/>
        </w:rPr>
        <w:lastRenderedPageBreak/>
        <w:t>perché equiparava l’eccessiva onerosità all’impossibilità di fornire la prestazione produttiva richiesta; assurda (se applicata alla lettera) nella sua terza parte, in quanto non si poteva non ritenere che anche dopo la pubblicazione del decreto di mobilitazione generale potessero accadere nuovi fatti, imprevedibili e inevitabili, che comportassero nuove spese”</w:t>
      </w:r>
      <w:r w:rsidR="003A558F">
        <w:rPr>
          <w:rStyle w:val="Rimandonotaapidipagina"/>
          <w:rFonts w:ascii="Times New Roman" w:hAnsi="Times New Roman" w:cs="Times New Roman"/>
          <w:sz w:val="36"/>
          <w:szCs w:val="36"/>
        </w:rPr>
        <w:footnoteReference w:id="11"/>
      </w:r>
      <w:r w:rsidR="00376CA8">
        <w:rPr>
          <w:rFonts w:ascii="Times New Roman" w:hAnsi="Times New Roman" w:cs="Times New Roman"/>
          <w:sz w:val="36"/>
          <w:szCs w:val="36"/>
        </w:rPr>
        <w:t xml:space="preserve">. </w:t>
      </w:r>
    </w:p>
    <w:p w14:paraId="7229196F" w14:textId="6E8E6ECA" w:rsidR="00C24C97" w:rsidRDefault="00376CA8" w:rsidP="00C24C97">
      <w:pPr>
        <w:jc w:val="both"/>
        <w:rPr>
          <w:rFonts w:ascii="Times New Roman" w:hAnsi="Times New Roman" w:cs="Times New Roman"/>
          <w:sz w:val="36"/>
          <w:szCs w:val="36"/>
        </w:rPr>
      </w:pPr>
      <w:r>
        <w:rPr>
          <w:rFonts w:ascii="Times New Roman" w:hAnsi="Times New Roman" w:cs="Times New Roman"/>
          <w:sz w:val="36"/>
          <w:szCs w:val="36"/>
        </w:rPr>
        <w:t>Lo stesso concetto di “effettiva onerosità”</w:t>
      </w:r>
      <w:r w:rsidR="00C24C97">
        <w:rPr>
          <w:rFonts w:ascii="Times New Roman" w:hAnsi="Times New Roman" w:cs="Times New Roman"/>
          <w:sz w:val="36"/>
          <w:szCs w:val="36"/>
        </w:rPr>
        <w:t>, perno logico del provvedimento,</w:t>
      </w:r>
      <w:r>
        <w:rPr>
          <w:rFonts w:ascii="Times New Roman" w:hAnsi="Times New Roman" w:cs="Times New Roman"/>
          <w:sz w:val="36"/>
          <w:szCs w:val="36"/>
        </w:rPr>
        <w:t xml:space="preserve"> era per così dire lasciato nel vago, senza che il legislatore offrisse alcun ausilio all’interprete per identificarlo come requisito </w:t>
      </w:r>
      <w:r w:rsidR="00C24C97">
        <w:rPr>
          <w:rFonts w:ascii="Times New Roman" w:hAnsi="Times New Roman" w:cs="Times New Roman"/>
          <w:sz w:val="36"/>
          <w:szCs w:val="36"/>
        </w:rPr>
        <w:t xml:space="preserve">necessario alla successiva </w:t>
      </w:r>
      <w:r>
        <w:rPr>
          <w:rFonts w:ascii="Times New Roman" w:hAnsi="Times New Roman" w:cs="Times New Roman"/>
          <w:sz w:val="36"/>
          <w:szCs w:val="36"/>
        </w:rPr>
        <w:t>correzione del prezzo della prestazione.</w:t>
      </w:r>
      <w:r w:rsidR="003A558F">
        <w:rPr>
          <w:rFonts w:ascii="Times New Roman" w:hAnsi="Times New Roman" w:cs="Times New Roman"/>
          <w:sz w:val="36"/>
          <w:szCs w:val="36"/>
        </w:rPr>
        <w:t xml:space="preserve"> Non era difficile intuire quali margini lasciasse quella genericità alla penetrazione di interessi illeciti, tanto più che la magistratura era impossibilitata ad intervenire dall’eccezionalità della situazione e l’amministrazione, contraente, era al tempo stesso giudice del contratto</w:t>
      </w:r>
      <w:r w:rsidR="00F06CB0">
        <w:rPr>
          <w:rStyle w:val="Rimandonotaapidipagina"/>
          <w:rFonts w:ascii="Times New Roman" w:hAnsi="Times New Roman" w:cs="Times New Roman"/>
          <w:sz w:val="36"/>
          <w:szCs w:val="36"/>
        </w:rPr>
        <w:footnoteReference w:id="12"/>
      </w:r>
      <w:r w:rsidR="003A558F">
        <w:rPr>
          <w:rFonts w:ascii="Times New Roman" w:hAnsi="Times New Roman" w:cs="Times New Roman"/>
          <w:sz w:val="36"/>
          <w:szCs w:val="36"/>
        </w:rPr>
        <w:t>.</w:t>
      </w:r>
    </w:p>
    <w:p w14:paraId="7F89F2EB" w14:textId="7460D545" w:rsidR="00790A6F" w:rsidRDefault="00376CA8" w:rsidP="00C24C97">
      <w:pPr>
        <w:jc w:val="both"/>
        <w:rPr>
          <w:rFonts w:ascii="Times New Roman" w:hAnsi="Times New Roman" w:cs="Times New Roman"/>
          <w:sz w:val="36"/>
          <w:szCs w:val="36"/>
        </w:rPr>
      </w:pPr>
      <w:r>
        <w:rPr>
          <w:rFonts w:ascii="Times New Roman" w:hAnsi="Times New Roman" w:cs="Times New Roman"/>
          <w:sz w:val="36"/>
          <w:szCs w:val="36"/>
        </w:rPr>
        <w:t xml:space="preserve">Per certi versi la legislazione di guerra, specie in materia di forniture e rapporti con i fornitori, appariva </w:t>
      </w:r>
      <w:r w:rsidR="003A558F">
        <w:rPr>
          <w:rFonts w:ascii="Times New Roman" w:hAnsi="Times New Roman" w:cs="Times New Roman"/>
          <w:sz w:val="36"/>
          <w:szCs w:val="36"/>
        </w:rPr>
        <w:t>infatti</w:t>
      </w:r>
      <w:r w:rsidR="00C24C97">
        <w:rPr>
          <w:rFonts w:ascii="Times New Roman" w:hAnsi="Times New Roman" w:cs="Times New Roman"/>
          <w:sz w:val="36"/>
          <w:szCs w:val="36"/>
        </w:rPr>
        <w:t xml:space="preserve"> </w:t>
      </w:r>
      <w:r w:rsidR="00536BE6">
        <w:rPr>
          <w:rFonts w:ascii="Times New Roman" w:hAnsi="Times New Roman" w:cs="Times New Roman"/>
          <w:sz w:val="36"/>
          <w:szCs w:val="36"/>
        </w:rPr>
        <w:t>francamente autoritaria.</w:t>
      </w:r>
      <w:r>
        <w:rPr>
          <w:rFonts w:ascii="Times New Roman" w:hAnsi="Times New Roman" w:cs="Times New Roman"/>
          <w:sz w:val="36"/>
          <w:szCs w:val="36"/>
        </w:rPr>
        <w:t xml:space="preserve"> Ecca cita i</w:t>
      </w:r>
      <w:r w:rsidR="00536BE6">
        <w:rPr>
          <w:rFonts w:ascii="Times New Roman" w:hAnsi="Times New Roman" w:cs="Times New Roman"/>
          <w:sz w:val="36"/>
          <w:szCs w:val="36"/>
        </w:rPr>
        <w:t>l decreto legge n. 890 del 1915, nel quale</w:t>
      </w:r>
      <w:r>
        <w:rPr>
          <w:rFonts w:ascii="Times New Roman" w:hAnsi="Times New Roman" w:cs="Times New Roman"/>
          <w:sz w:val="36"/>
          <w:szCs w:val="36"/>
        </w:rPr>
        <w:t xml:space="preserve"> “si dichiarava che per pubblici servizi ed opere pubbliche [dovessero] essere sempre osservate le rispettive leggi e capitolati”, ma poi subito si aggiungeva “che la Pubblica Amministrazione aveva la facoltà di sostituire o aggiungere nuove clausole, eliminando quelle che considerava non più eseguibili”</w:t>
      </w:r>
      <w:r w:rsidR="003A558F">
        <w:rPr>
          <w:rStyle w:val="Rimandonotaapidipagina"/>
          <w:rFonts w:ascii="Times New Roman" w:hAnsi="Times New Roman" w:cs="Times New Roman"/>
          <w:sz w:val="36"/>
          <w:szCs w:val="36"/>
        </w:rPr>
        <w:footnoteReference w:id="13"/>
      </w:r>
      <w:r>
        <w:rPr>
          <w:rFonts w:ascii="Times New Roman" w:hAnsi="Times New Roman" w:cs="Times New Roman"/>
          <w:sz w:val="36"/>
          <w:szCs w:val="36"/>
        </w:rPr>
        <w:t xml:space="preserve">. </w:t>
      </w:r>
      <w:r w:rsidR="00536BE6">
        <w:rPr>
          <w:rFonts w:ascii="Times New Roman" w:hAnsi="Times New Roman" w:cs="Times New Roman"/>
          <w:sz w:val="36"/>
          <w:szCs w:val="36"/>
        </w:rPr>
        <w:t>Spesso</w:t>
      </w:r>
      <w:r>
        <w:rPr>
          <w:rFonts w:ascii="Times New Roman" w:hAnsi="Times New Roman" w:cs="Times New Roman"/>
          <w:sz w:val="36"/>
          <w:szCs w:val="36"/>
        </w:rPr>
        <w:t>, proprio in questo potere arbitrario dell’amministrazione risiedeva (come poi fu largamente appurato dalla commissione d’inchiesta sulle spese di guerra)</w:t>
      </w:r>
      <w:r w:rsidR="003A558F">
        <w:rPr>
          <w:rFonts w:ascii="Times New Roman" w:hAnsi="Times New Roman" w:cs="Times New Roman"/>
          <w:sz w:val="36"/>
          <w:szCs w:val="36"/>
        </w:rPr>
        <w:t xml:space="preserve"> il rischio concreto della sua possibile corruzione</w:t>
      </w:r>
      <w:r w:rsidR="00536BE6">
        <w:rPr>
          <w:rFonts w:ascii="Times New Roman" w:hAnsi="Times New Roman" w:cs="Times New Roman"/>
          <w:sz w:val="36"/>
          <w:szCs w:val="36"/>
        </w:rPr>
        <w:t xml:space="preserve">. </w:t>
      </w:r>
      <w:r w:rsidR="003A558F">
        <w:rPr>
          <w:rFonts w:ascii="Times New Roman" w:hAnsi="Times New Roman" w:cs="Times New Roman"/>
          <w:sz w:val="36"/>
          <w:szCs w:val="36"/>
        </w:rPr>
        <w:t>G</w:t>
      </w:r>
      <w:r w:rsidR="00536BE6">
        <w:rPr>
          <w:rFonts w:ascii="Times New Roman" w:hAnsi="Times New Roman" w:cs="Times New Roman"/>
          <w:sz w:val="36"/>
          <w:szCs w:val="36"/>
        </w:rPr>
        <w:t>li uffici</w:t>
      </w:r>
      <w:r w:rsidR="003A558F">
        <w:rPr>
          <w:rFonts w:ascii="Times New Roman" w:hAnsi="Times New Roman" w:cs="Times New Roman"/>
          <w:sz w:val="36"/>
          <w:szCs w:val="36"/>
        </w:rPr>
        <w:t xml:space="preserve"> decidevano</w:t>
      </w:r>
      <w:r w:rsidR="00536BE6">
        <w:rPr>
          <w:rFonts w:ascii="Times New Roman" w:hAnsi="Times New Roman" w:cs="Times New Roman"/>
          <w:sz w:val="36"/>
          <w:szCs w:val="36"/>
        </w:rPr>
        <w:t>,</w:t>
      </w:r>
      <w:r w:rsidR="00790A6F">
        <w:rPr>
          <w:rFonts w:ascii="Times New Roman" w:hAnsi="Times New Roman" w:cs="Times New Roman"/>
          <w:sz w:val="36"/>
          <w:szCs w:val="36"/>
        </w:rPr>
        <w:t xml:space="preserve"> in base a una larga discrezionalità</w:t>
      </w:r>
      <w:r w:rsidR="003A558F">
        <w:rPr>
          <w:rFonts w:ascii="Times New Roman" w:hAnsi="Times New Roman" w:cs="Times New Roman"/>
          <w:sz w:val="36"/>
          <w:szCs w:val="36"/>
        </w:rPr>
        <w:t>,</w:t>
      </w:r>
      <w:r w:rsidR="00790A6F">
        <w:rPr>
          <w:rFonts w:ascii="Times New Roman" w:hAnsi="Times New Roman" w:cs="Times New Roman"/>
          <w:sz w:val="36"/>
          <w:szCs w:val="36"/>
        </w:rPr>
        <w:t xml:space="preserve"> senza più i vincoli normativi o derivanti</w:t>
      </w:r>
      <w:r w:rsidR="00536BE6">
        <w:rPr>
          <w:rFonts w:ascii="Times New Roman" w:hAnsi="Times New Roman" w:cs="Times New Roman"/>
          <w:sz w:val="36"/>
          <w:szCs w:val="36"/>
        </w:rPr>
        <w:t xml:space="preserve"> da appalti regolarmente</w:t>
      </w:r>
      <w:r w:rsidR="003A558F">
        <w:rPr>
          <w:rFonts w:ascii="Times New Roman" w:hAnsi="Times New Roman" w:cs="Times New Roman"/>
          <w:sz w:val="36"/>
          <w:szCs w:val="36"/>
        </w:rPr>
        <w:t xml:space="preserve"> indetti e assegnati </w:t>
      </w:r>
      <w:r w:rsidR="00F06CB0">
        <w:rPr>
          <w:rStyle w:val="Rimandonotaapidipagina"/>
          <w:rFonts w:ascii="Times New Roman" w:hAnsi="Times New Roman" w:cs="Times New Roman"/>
          <w:sz w:val="36"/>
          <w:szCs w:val="36"/>
        </w:rPr>
        <w:footnoteReference w:id="14"/>
      </w:r>
      <w:r w:rsidR="00790A6F">
        <w:rPr>
          <w:rFonts w:ascii="Times New Roman" w:hAnsi="Times New Roman" w:cs="Times New Roman"/>
          <w:sz w:val="36"/>
          <w:szCs w:val="36"/>
        </w:rPr>
        <w:t>.</w:t>
      </w:r>
    </w:p>
    <w:p w14:paraId="2E921F1C" w14:textId="77777777" w:rsidR="004949BA" w:rsidRDefault="004949BA" w:rsidP="00C24C97">
      <w:pPr>
        <w:jc w:val="both"/>
        <w:rPr>
          <w:rFonts w:ascii="Times New Roman" w:hAnsi="Times New Roman" w:cs="Times New Roman"/>
          <w:sz w:val="36"/>
          <w:szCs w:val="36"/>
        </w:rPr>
      </w:pPr>
    </w:p>
    <w:p w14:paraId="7BB3617C" w14:textId="21372BBB" w:rsidR="00790A6F" w:rsidRDefault="00790A6F" w:rsidP="00536BE6">
      <w:pPr>
        <w:jc w:val="both"/>
        <w:rPr>
          <w:rFonts w:ascii="Times New Roman" w:hAnsi="Times New Roman" w:cs="Times New Roman"/>
          <w:sz w:val="36"/>
          <w:szCs w:val="36"/>
        </w:rPr>
      </w:pPr>
      <w:r>
        <w:rPr>
          <w:rFonts w:ascii="Times New Roman" w:hAnsi="Times New Roman" w:cs="Times New Roman"/>
          <w:sz w:val="36"/>
          <w:szCs w:val="36"/>
        </w:rPr>
        <w:lastRenderedPageBreak/>
        <w:t xml:space="preserve">Un </w:t>
      </w:r>
      <w:r w:rsidR="00B9640E">
        <w:rPr>
          <w:rFonts w:ascii="Times New Roman" w:hAnsi="Times New Roman" w:cs="Times New Roman"/>
          <w:sz w:val="36"/>
          <w:szCs w:val="36"/>
        </w:rPr>
        <w:t xml:space="preserve">quarto </w:t>
      </w:r>
      <w:r>
        <w:rPr>
          <w:rFonts w:ascii="Times New Roman" w:hAnsi="Times New Roman" w:cs="Times New Roman"/>
          <w:sz w:val="36"/>
          <w:szCs w:val="36"/>
        </w:rPr>
        <w:t>carattere della normativa emanata durante la guerra fu il definit</w:t>
      </w:r>
      <w:r w:rsidR="003A558F">
        <w:rPr>
          <w:rFonts w:ascii="Times New Roman" w:hAnsi="Times New Roman" w:cs="Times New Roman"/>
          <w:sz w:val="36"/>
          <w:szCs w:val="36"/>
        </w:rPr>
        <w:t>iv</w:t>
      </w:r>
      <w:r>
        <w:rPr>
          <w:rFonts w:ascii="Times New Roman" w:hAnsi="Times New Roman" w:cs="Times New Roman"/>
          <w:sz w:val="36"/>
          <w:szCs w:val="36"/>
        </w:rPr>
        <w:t>o abbandono</w:t>
      </w:r>
      <w:r w:rsidR="00523D60">
        <w:rPr>
          <w:rFonts w:ascii="Times New Roman" w:hAnsi="Times New Roman" w:cs="Times New Roman"/>
          <w:sz w:val="36"/>
          <w:szCs w:val="36"/>
        </w:rPr>
        <w:t xml:space="preserve"> del carattere di astrattezza e</w:t>
      </w:r>
      <w:r>
        <w:rPr>
          <w:rFonts w:ascii="Times New Roman" w:hAnsi="Times New Roman" w:cs="Times New Roman"/>
          <w:sz w:val="36"/>
          <w:szCs w:val="36"/>
        </w:rPr>
        <w:t xml:space="preserve"> generalità della legge a favore di provvedimenti finalizzati e particolari, spesso leggi quasi </w:t>
      </w:r>
      <w:r>
        <w:rPr>
          <w:rFonts w:ascii="Times New Roman" w:hAnsi="Times New Roman" w:cs="Times New Roman"/>
          <w:i/>
          <w:sz w:val="36"/>
          <w:szCs w:val="36"/>
        </w:rPr>
        <w:t>ad nomen</w:t>
      </w:r>
      <w:r>
        <w:rPr>
          <w:rFonts w:ascii="Times New Roman" w:hAnsi="Times New Roman" w:cs="Times New Roman"/>
          <w:sz w:val="36"/>
          <w:szCs w:val="36"/>
        </w:rPr>
        <w:t xml:space="preserve"> (</w:t>
      </w:r>
      <w:r w:rsidR="003A558F">
        <w:rPr>
          <w:rFonts w:ascii="Times New Roman" w:hAnsi="Times New Roman" w:cs="Times New Roman"/>
          <w:sz w:val="36"/>
          <w:szCs w:val="36"/>
        </w:rPr>
        <w:t xml:space="preserve">o </w:t>
      </w:r>
      <w:r>
        <w:rPr>
          <w:rFonts w:ascii="Times New Roman" w:hAnsi="Times New Roman" w:cs="Times New Roman"/>
          <w:sz w:val="36"/>
          <w:szCs w:val="36"/>
        </w:rPr>
        <w:t>almeno rivolte a specifiche categorie o a interessi determinati).</w:t>
      </w:r>
      <w:r w:rsidR="00821976">
        <w:rPr>
          <w:rFonts w:ascii="Times New Roman" w:hAnsi="Times New Roman" w:cs="Times New Roman"/>
          <w:sz w:val="36"/>
          <w:szCs w:val="36"/>
        </w:rPr>
        <w:t xml:space="preserve"> I provvedimenti emanati (</w:t>
      </w:r>
      <w:r w:rsidR="003A558F">
        <w:rPr>
          <w:rFonts w:ascii="Times New Roman" w:hAnsi="Times New Roman" w:cs="Times New Roman"/>
          <w:sz w:val="36"/>
          <w:szCs w:val="36"/>
        </w:rPr>
        <w:t xml:space="preserve">cito come </w:t>
      </w:r>
      <w:r w:rsidR="00821976">
        <w:rPr>
          <w:rFonts w:ascii="Times New Roman" w:hAnsi="Times New Roman" w:cs="Times New Roman"/>
          <w:sz w:val="36"/>
          <w:szCs w:val="36"/>
        </w:rPr>
        <w:t>fonte NORMATTIVA</w:t>
      </w:r>
      <w:r w:rsidR="001E56F0">
        <w:rPr>
          <w:rFonts w:ascii="Times New Roman" w:hAnsi="Times New Roman" w:cs="Times New Roman"/>
          <w:sz w:val="36"/>
          <w:szCs w:val="36"/>
        </w:rPr>
        <w:t>: che però raccoglie per ora i dati apparsi in “Gazzetta ufficiale” a partire dal 1916: e si tenga conto che spesso trascorreva un intero anno tra l’emanazione del decreto e la sua pubblicazione in “Gazzetta”</w:t>
      </w:r>
      <w:r w:rsidR="00821976">
        <w:rPr>
          <w:rFonts w:ascii="Times New Roman" w:hAnsi="Times New Roman" w:cs="Times New Roman"/>
          <w:sz w:val="36"/>
          <w:szCs w:val="36"/>
        </w:rPr>
        <w:t xml:space="preserve">) furono 1889 nel 1916, 2165 nel 1917, 2133 nel 1918. </w:t>
      </w:r>
      <w:r w:rsidR="003A558F">
        <w:rPr>
          <w:rFonts w:ascii="Times New Roman" w:hAnsi="Times New Roman" w:cs="Times New Roman"/>
          <w:sz w:val="36"/>
          <w:szCs w:val="36"/>
        </w:rPr>
        <w:t>Poco più di 6.000, se si sottraggono quelli del periodo successivo alla fine della guerra (novembre-dicembre 1918)</w:t>
      </w:r>
      <w:r w:rsidR="001E56F0">
        <w:rPr>
          <w:rFonts w:ascii="Times New Roman" w:hAnsi="Times New Roman" w:cs="Times New Roman"/>
          <w:sz w:val="36"/>
          <w:szCs w:val="36"/>
        </w:rPr>
        <w:t xml:space="preserve"> che però spesso erano stati emanati nel corso del conflitto</w:t>
      </w:r>
      <w:r w:rsidR="003A558F">
        <w:rPr>
          <w:rFonts w:ascii="Times New Roman" w:hAnsi="Times New Roman" w:cs="Times New Roman"/>
          <w:sz w:val="36"/>
          <w:szCs w:val="36"/>
        </w:rPr>
        <w:t>. E f</w:t>
      </w:r>
      <w:r w:rsidR="00821976">
        <w:rPr>
          <w:rFonts w:ascii="Times New Roman" w:hAnsi="Times New Roman" w:cs="Times New Roman"/>
          <w:sz w:val="36"/>
          <w:szCs w:val="36"/>
        </w:rPr>
        <w:t>u un</w:t>
      </w:r>
      <w:r w:rsidR="003411FC">
        <w:rPr>
          <w:rFonts w:ascii="Times New Roman" w:hAnsi="Times New Roman" w:cs="Times New Roman"/>
          <w:sz w:val="36"/>
          <w:szCs w:val="36"/>
        </w:rPr>
        <w:t xml:space="preserve"> procedere “alluvionale”, spesso incoerente. Talvolta le materie nuove oggetto di regolazione furono affrontate senza prima fissare i capisaldi, procedendo a partire dai contorni (molto spesso secondari) piuttosto che dal centro, per poi estendere a macchia d’olio e con successive normazioni emulative istituti, soluzioni tecnico-legislative e obiettivi.</w:t>
      </w:r>
      <w:r w:rsidR="00E0740A">
        <w:rPr>
          <w:rFonts w:ascii="Times New Roman" w:hAnsi="Times New Roman" w:cs="Times New Roman"/>
          <w:sz w:val="36"/>
          <w:szCs w:val="36"/>
        </w:rPr>
        <w:t xml:space="preserve"> Di qui un effetto di disordine e di perdita della organicità dell’ordito legislativo.</w:t>
      </w:r>
    </w:p>
    <w:p w14:paraId="7D9F6275" w14:textId="6856E6D8" w:rsidR="00536BE6" w:rsidRDefault="00B9640E" w:rsidP="00536BE6">
      <w:pPr>
        <w:jc w:val="both"/>
        <w:rPr>
          <w:rFonts w:ascii="Times New Roman" w:hAnsi="Times New Roman" w:cs="Times New Roman"/>
          <w:sz w:val="36"/>
          <w:szCs w:val="36"/>
        </w:rPr>
      </w:pPr>
      <w:r>
        <w:rPr>
          <w:rFonts w:ascii="Times New Roman" w:hAnsi="Times New Roman" w:cs="Times New Roman"/>
          <w:sz w:val="36"/>
          <w:szCs w:val="36"/>
        </w:rPr>
        <w:t>Vi è infine un ultimo</w:t>
      </w:r>
      <w:r w:rsidR="00821976">
        <w:rPr>
          <w:rFonts w:ascii="Times New Roman" w:hAnsi="Times New Roman" w:cs="Times New Roman"/>
          <w:sz w:val="36"/>
          <w:szCs w:val="36"/>
        </w:rPr>
        <w:t xml:space="preserve"> </w:t>
      </w:r>
      <w:r w:rsidR="004E1015">
        <w:rPr>
          <w:rFonts w:ascii="Times New Roman" w:hAnsi="Times New Roman" w:cs="Times New Roman"/>
          <w:sz w:val="36"/>
          <w:szCs w:val="36"/>
        </w:rPr>
        <w:t>carattere</w:t>
      </w:r>
      <w:r>
        <w:rPr>
          <w:rFonts w:ascii="Times New Roman" w:hAnsi="Times New Roman" w:cs="Times New Roman"/>
          <w:sz w:val="36"/>
          <w:szCs w:val="36"/>
        </w:rPr>
        <w:t>, il quinto,</w:t>
      </w:r>
      <w:r w:rsidR="004E1015">
        <w:rPr>
          <w:rFonts w:ascii="Times New Roman" w:hAnsi="Times New Roman" w:cs="Times New Roman"/>
          <w:sz w:val="36"/>
          <w:szCs w:val="36"/>
        </w:rPr>
        <w:t xml:space="preserve"> </w:t>
      </w:r>
      <w:r>
        <w:rPr>
          <w:rFonts w:ascii="Times New Roman" w:hAnsi="Times New Roman" w:cs="Times New Roman"/>
          <w:sz w:val="36"/>
          <w:szCs w:val="36"/>
        </w:rPr>
        <w:t>che va segnalato:</w:t>
      </w:r>
      <w:r w:rsidR="003A558F">
        <w:rPr>
          <w:rFonts w:ascii="Times New Roman" w:hAnsi="Times New Roman" w:cs="Times New Roman"/>
          <w:sz w:val="36"/>
          <w:szCs w:val="36"/>
        </w:rPr>
        <w:t xml:space="preserve"> </w:t>
      </w:r>
      <w:r w:rsidR="003411FC">
        <w:rPr>
          <w:rFonts w:ascii="Times New Roman" w:hAnsi="Times New Roman" w:cs="Times New Roman"/>
          <w:sz w:val="36"/>
          <w:szCs w:val="36"/>
        </w:rPr>
        <w:t>la lingua di questa legislazione</w:t>
      </w:r>
      <w:r w:rsidR="00F06CB0">
        <w:rPr>
          <w:rFonts w:ascii="Times New Roman" w:hAnsi="Times New Roman" w:cs="Times New Roman"/>
          <w:sz w:val="36"/>
          <w:szCs w:val="36"/>
        </w:rPr>
        <w:t xml:space="preserve">, il suo complesso </w:t>
      </w:r>
      <w:r w:rsidR="00E0740A">
        <w:rPr>
          <w:rFonts w:ascii="Times New Roman" w:hAnsi="Times New Roman" w:cs="Times New Roman"/>
          <w:sz w:val="36"/>
          <w:szCs w:val="36"/>
        </w:rPr>
        <w:t xml:space="preserve">e poco armonico </w:t>
      </w:r>
      <w:r w:rsidR="00F06CB0">
        <w:rPr>
          <w:rFonts w:ascii="Times New Roman" w:hAnsi="Times New Roman" w:cs="Times New Roman"/>
          <w:sz w:val="36"/>
          <w:szCs w:val="36"/>
        </w:rPr>
        <w:t>vocabolario</w:t>
      </w:r>
      <w:r w:rsidR="003411FC">
        <w:rPr>
          <w:rFonts w:ascii="Times New Roman" w:hAnsi="Times New Roman" w:cs="Times New Roman"/>
          <w:sz w:val="36"/>
          <w:szCs w:val="36"/>
        </w:rPr>
        <w:t xml:space="preserve">. </w:t>
      </w:r>
      <w:r w:rsidR="00B57594">
        <w:rPr>
          <w:rFonts w:ascii="Times New Roman" w:hAnsi="Times New Roman" w:cs="Times New Roman"/>
          <w:sz w:val="36"/>
          <w:szCs w:val="36"/>
        </w:rPr>
        <w:t xml:space="preserve">E’ un campo meno studiato, nel quale mi muoverò </w:t>
      </w:r>
      <w:r w:rsidR="001E56F0">
        <w:rPr>
          <w:rFonts w:ascii="Times New Roman" w:hAnsi="Times New Roman" w:cs="Times New Roman"/>
          <w:sz w:val="36"/>
          <w:szCs w:val="36"/>
        </w:rPr>
        <w:t xml:space="preserve">quindi </w:t>
      </w:r>
      <w:r w:rsidR="00B57594">
        <w:rPr>
          <w:rFonts w:ascii="Times New Roman" w:hAnsi="Times New Roman" w:cs="Times New Roman"/>
          <w:sz w:val="36"/>
          <w:szCs w:val="36"/>
        </w:rPr>
        <w:t>con prudenza.</w:t>
      </w:r>
    </w:p>
    <w:p w14:paraId="4BBB3771" w14:textId="4230DE59" w:rsidR="004E1015" w:rsidRDefault="00B57594" w:rsidP="00536BE6">
      <w:pPr>
        <w:jc w:val="both"/>
        <w:rPr>
          <w:rFonts w:ascii="Times New Roman" w:hAnsi="Times New Roman" w:cs="Times New Roman"/>
          <w:sz w:val="36"/>
          <w:szCs w:val="36"/>
        </w:rPr>
      </w:pPr>
      <w:r>
        <w:rPr>
          <w:rFonts w:ascii="Times New Roman" w:hAnsi="Times New Roman" w:cs="Times New Roman"/>
          <w:sz w:val="36"/>
          <w:szCs w:val="36"/>
        </w:rPr>
        <w:t xml:space="preserve">Innanzitutto </w:t>
      </w:r>
      <w:r w:rsidR="003A558F">
        <w:rPr>
          <w:rFonts w:ascii="Times New Roman" w:hAnsi="Times New Roman" w:cs="Times New Roman"/>
          <w:sz w:val="36"/>
          <w:szCs w:val="36"/>
        </w:rPr>
        <w:t>va ammesso che già nell’età giolittiana, dopo i monumenti dell’età costituente e le grandi leggi crispine, qualcosa</w:t>
      </w:r>
      <w:r w:rsidR="001B261B">
        <w:rPr>
          <w:rFonts w:ascii="Times New Roman" w:hAnsi="Times New Roman" w:cs="Times New Roman"/>
          <w:sz w:val="36"/>
          <w:szCs w:val="36"/>
        </w:rPr>
        <w:t xml:space="preserve"> nell’impianto e nel lessico del legislatore</w:t>
      </w:r>
      <w:r w:rsidR="003A558F">
        <w:rPr>
          <w:rFonts w:ascii="Times New Roman" w:hAnsi="Times New Roman" w:cs="Times New Roman"/>
          <w:sz w:val="36"/>
          <w:szCs w:val="36"/>
        </w:rPr>
        <w:t xml:space="preserve"> </w:t>
      </w:r>
      <w:r w:rsidR="001B261B">
        <w:rPr>
          <w:rFonts w:ascii="Times New Roman" w:hAnsi="Times New Roman" w:cs="Times New Roman"/>
          <w:sz w:val="36"/>
          <w:szCs w:val="36"/>
        </w:rPr>
        <w:t>era andato</w:t>
      </w:r>
      <w:r w:rsidR="003A558F">
        <w:rPr>
          <w:rFonts w:ascii="Times New Roman" w:hAnsi="Times New Roman" w:cs="Times New Roman"/>
          <w:sz w:val="36"/>
          <w:szCs w:val="36"/>
        </w:rPr>
        <w:t xml:space="preserve"> deteriorandosi, man mano che la società di inizio Novecento assumeva un nuovo, più pluralistico respiro</w:t>
      </w:r>
      <w:r w:rsidR="004E1015">
        <w:rPr>
          <w:rFonts w:ascii="Times New Roman" w:hAnsi="Times New Roman" w:cs="Times New Roman"/>
          <w:sz w:val="36"/>
          <w:szCs w:val="36"/>
        </w:rPr>
        <w:t xml:space="preserve"> richiedendo </w:t>
      </w:r>
      <w:r w:rsidR="001B261B">
        <w:rPr>
          <w:rFonts w:ascii="Times New Roman" w:hAnsi="Times New Roman" w:cs="Times New Roman"/>
          <w:sz w:val="36"/>
          <w:szCs w:val="36"/>
        </w:rPr>
        <w:t xml:space="preserve">un di </w:t>
      </w:r>
      <w:r w:rsidR="004E1015">
        <w:rPr>
          <w:rFonts w:ascii="Times New Roman" w:hAnsi="Times New Roman" w:cs="Times New Roman"/>
          <w:sz w:val="36"/>
          <w:szCs w:val="36"/>
        </w:rPr>
        <w:t xml:space="preserve">più </w:t>
      </w:r>
      <w:r w:rsidR="001B261B">
        <w:rPr>
          <w:rFonts w:ascii="Times New Roman" w:hAnsi="Times New Roman" w:cs="Times New Roman"/>
          <w:sz w:val="36"/>
          <w:szCs w:val="36"/>
        </w:rPr>
        <w:t xml:space="preserve">di </w:t>
      </w:r>
      <w:r w:rsidR="004E1015">
        <w:rPr>
          <w:rFonts w:ascii="Times New Roman" w:hAnsi="Times New Roman" w:cs="Times New Roman"/>
          <w:sz w:val="36"/>
          <w:szCs w:val="36"/>
        </w:rPr>
        <w:t>mediazione e dunque, inevitabilmente,</w:t>
      </w:r>
      <w:r w:rsidR="001B261B">
        <w:rPr>
          <w:rFonts w:ascii="Times New Roman" w:hAnsi="Times New Roman" w:cs="Times New Roman"/>
          <w:sz w:val="36"/>
          <w:szCs w:val="36"/>
        </w:rPr>
        <w:t xml:space="preserve"> anche</w:t>
      </w:r>
      <w:r w:rsidR="004E1015">
        <w:rPr>
          <w:rFonts w:ascii="Times New Roman" w:hAnsi="Times New Roman" w:cs="Times New Roman"/>
          <w:sz w:val="36"/>
          <w:szCs w:val="36"/>
        </w:rPr>
        <w:t xml:space="preserve"> un “comando normativo” </w:t>
      </w:r>
      <w:r w:rsidR="001B261B">
        <w:rPr>
          <w:rFonts w:ascii="Times New Roman" w:hAnsi="Times New Roman" w:cs="Times New Roman"/>
          <w:sz w:val="36"/>
          <w:szCs w:val="36"/>
        </w:rPr>
        <w:t xml:space="preserve">meno unilaterale e – per così dire – </w:t>
      </w:r>
      <w:r w:rsidR="004E1015">
        <w:rPr>
          <w:rFonts w:ascii="Times New Roman" w:hAnsi="Times New Roman" w:cs="Times New Roman"/>
          <w:sz w:val="36"/>
          <w:szCs w:val="36"/>
        </w:rPr>
        <w:t>più “concertato”</w:t>
      </w:r>
      <w:r w:rsidR="003A558F">
        <w:rPr>
          <w:rFonts w:ascii="Times New Roman" w:hAnsi="Times New Roman" w:cs="Times New Roman"/>
          <w:sz w:val="36"/>
          <w:szCs w:val="36"/>
        </w:rPr>
        <w:t xml:space="preserve">. Ciò era </w:t>
      </w:r>
      <w:r w:rsidR="004E1015">
        <w:rPr>
          <w:rFonts w:ascii="Times New Roman" w:hAnsi="Times New Roman" w:cs="Times New Roman"/>
          <w:sz w:val="36"/>
          <w:szCs w:val="36"/>
        </w:rPr>
        <w:t xml:space="preserve">risultato </w:t>
      </w:r>
      <w:r w:rsidR="003A558F">
        <w:rPr>
          <w:rFonts w:ascii="Times New Roman" w:hAnsi="Times New Roman" w:cs="Times New Roman"/>
          <w:sz w:val="36"/>
          <w:szCs w:val="36"/>
        </w:rPr>
        <w:t>evidente,</w:t>
      </w:r>
      <w:r w:rsidR="003411FC">
        <w:rPr>
          <w:rFonts w:ascii="Times New Roman" w:hAnsi="Times New Roman" w:cs="Times New Roman"/>
          <w:sz w:val="36"/>
          <w:szCs w:val="36"/>
        </w:rPr>
        <w:t xml:space="preserve"> ad esempio</w:t>
      </w:r>
      <w:r w:rsidR="003A558F">
        <w:rPr>
          <w:rFonts w:ascii="Times New Roman" w:hAnsi="Times New Roman" w:cs="Times New Roman"/>
          <w:sz w:val="36"/>
          <w:szCs w:val="36"/>
        </w:rPr>
        <w:t>,</w:t>
      </w:r>
      <w:r w:rsidR="003411FC">
        <w:rPr>
          <w:rFonts w:ascii="Times New Roman" w:hAnsi="Times New Roman" w:cs="Times New Roman"/>
          <w:sz w:val="36"/>
          <w:szCs w:val="36"/>
        </w:rPr>
        <w:t xml:space="preserve"> in tutto l’intervento speciale giolittiano nelle aree depresse</w:t>
      </w:r>
      <w:r w:rsidR="003A558F">
        <w:rPr>
          <w:rFonts w:ascii="Times New Roman" w:hAnsi="Times New Roman" w:cs="Times New Roman"/>
          <w:sz w:val="36"/>
          <w:szCs w:val="36"/>
        </w:rPr>
        <w:t>,</w:t>
      </w:r>
      <w:r w:rsidR="003411FC">
        <w:rPr>
          <w:rFonts w:ascii="Times New Roman" w:hAnsi="Times New Roman" w:cs="Times New Roman"/>
          <w:sz w:val="36"/>
          <w:szCs w:val="36"/>
        </w:rPr>
        <w:t xml:space="preserve"> o in altre legislazioni “speciali” </w:t>
      </w:r>
      <w:r w:rsidR="00F06CB0">
        <w:rPr>
          <w:rFonts w:ascii="Times New Roman" w:hAnsi="Times New Roman" w:cs="Times New Roman"/>
          <w:sz w:val="36"/>
          <w:szCs w:val="36"/>
        </w:rPr>
        <w:t>e di settore</w:t>
      </w:r>
      <w:r w:rsidR="004E1015">
        <w:rPr>
          <w:rFonts w:ascii="Times New Roman" w:hAnsi="Times New Roman" w:cs="Times New Roman"/>
          <w:sz w:val="36"/>
          <w:szCs w:val="36"/>
        </w:rPr>
        <w:t xml:space="preserve"> del periodo della prima industrializzazione</w:t>
      </w:r>
      <w:r w:rsidR="00F06CB0">
        <w:rPr>
          <w:rFonts w:ascii="Times New Roman" w:hAnsi="Times New Roman" w:cs="Times New Roman"/>
          <w:sz w:val="36"/>
          <w:szCs w:val="36"/>
        </w:rPr>
        <w:t>. Si era notato sin</w:t>
      </w:r>
      <w:r w:rsidR="003411FC">
        <w:rPr>
          <w:rFonts w:ascii="Times New Roman" w:hAnsi="Times New Roman" w:cs="Times New Roman"/>
          <w:sz w:val="36"/>
          <w:szCs w:val="36"/>
        </w:rPr>
        <w:t xml:space="preserve"> da allora (si pensi alle critiche </w:t>
      </w:r>
      <w:r w:rsidR="00536BE6">
        <w:rPr>
          <w:rFonts w:ascii="Times New Roman" w:hAnsi="Times New Roman" w:cs="Times New Roman"/>
          <w:sz w:val="36"/>
          <w:szCs w:val="36"/>
        </w:rPr>
        <w:t xml:space="preserve">da più parti </w:t>
      </w:r>
      <w:r w:rsidR="003411FC">
        <w:rPr>
          <w:rFonts w:ascii="Times New Roman" w:hAnsi="Times New Roman" w:cs="Times New Roman"/>
          <w:sz w:val="36"/>
          <w:szCs w:val="36"/>
        </w:rPr>
        <w:t xml:space="preserve">rivolte </w:t>
      </w:r>
      <w:r w:rsidR="003411FC">
        <w:rPr>
          <w:rFonts w:ascii="Times New Roman" w:hAnsi="Times New Roman" w:cs="Times New Roman"/>
          <w:sz w:val="36"/>
          <w:szCs w:val="36"/>
        </w:rPr>
        <w:lastRenderedPageBreak/>
        <w:t>alla normazione sul terremoto di Messina  e Reggio) un certo ingresso nel lessico del legislatore di parole o espressioni estranee, derivanti piuttosto dai diversi destinatari dei provvedimenti legislativi, quasi che, intervenendo su oggetti particolari se ne dovessero assumere forzatamente i linguaggi</w:t>
      </w:r>
      <w:r w:rsidR="00536BE6">
        <w:rPr>
          <w:rFonts w:ascii="Times New Roman" w:hAnsi="Times New Roman" w:cs="Times New Roman"/>
          <w:sz w:val="36"/>
          <w:szCs w:val="36"/>
        </w:rPr>
        <w:t xml:space="preserve"> specialistici</w:t>
      </w:r>
      <w:r w:rsidR="003411FC">
        <w:rPr>
          <w:rFonts w:ascii="Times New Roman" w:hAnsi="Times New Roman" w:cs="Times New Roman"/>
          <w:sz w:val="36"/>
          <w:szCs w:val="36"/>
        </w:rPr>
        <w:t xml:space="preserve">. </w:t>
      </w:r>
      <w:r w:rsidR="003A558F">
        <w:rPr>
          <w:rFonts w:ascii="Times New Roman" w:hAnsi="Times New Roman" w:cs="Times New Roman"/>
          <w:sz w:val="36"/>
          <w:szCs w:val="36"/>
        </w:rPr>
        <w:t xml:space="preserve">E l’architettura stessa di certi provvedimenti era parsa distaccarsi della linearità delle leggi dell’Ottocento. </w:t>
      </w:r>
    </w:p>
    <w:p w14:paraId="1E75AAAB" w14:textId="0E45D751" w:rsidR="00536BE6" w:rsidRDefault="003411FC" w:rsidP="00536BE6">
      <w:pPr>
        <w:jc w:val="both"/>
        <w:rPr>
          <w:rFonts w:ascii="Times New Roman" w:hAnsi="Times New Roman" w:cs="Times New Roman"/>
          <w:sz w:val="36"/>
          <w:szCs w:val="36"/>
        </w:rPr>
      </w:pPr>
      <w:r>
        <w:rPr>
          <w:rFonts w:ascii="Times New Roman" w:hAnsi="Times New Roman" w:cs="Times New Roman"/>
          <w:sz w:val="36"/>
          <w:szCs w:val="36"/>
        </w:rPr>
        <w:t xml:space="preserve">Ma durante la guerra tutto ciò </w:t>
      </w:r>
      <w:r w:rsidR="00536BE6">
        <w:rPr>
          <w:rFonts w:ascii="Times New Roman" w:hAnsi="Times New Roman" w:cs="Times New Roman"/>
          <w:sz w:val="36"/>
          <w:szCs w:val="36"/>
        </w:rPr>
        <w:t>cono</w:t>
      </w:r>
      <w:r w:rsidR="001B261B">
        <w:rPr>
          <w:rFonts w:ascii="Times New Roman" w:hAnsi="Times New Roman" w:cs="Times New Roman"/>
          <w:sz w:val="36"/>
          <w:szCs w:val="36"/>
        </w:rPr>
        <w:t>bbe un’</w:t>
      </w:r>
      <w:r w:rsidR="00704284">
        <w:rPr>
          <w:rFonts w:ascii="Times New Roman" w:hAnsi="Times New Roman" w:cs="Times New Roman"/>
          <w:sz w:val="36"/>
          <w:szCs w:val="36"/>
        </w:rPr>
        <w:t>accelerazione così intensa e massiccia da marcare un</w:t>
      </w:r>
      <w:r w:rsidR="001B261B">
        <w:rPr>
          <w:rFonts w:ascii="Times New Roman" w:hAnsi="Times New Roman" w:cs="Times New Roman"/>
          <w:sz w:val="36"/>
          <w:szCs w:val="36"/>
        </w:rPr>
        <w:t>a vera e propria cesura ciol periodo precedente.</w:t>
      </w:r>
      <w:r w:rsidR="00704284">
        <w:rPr>
          <w:rFonts w:ascii="Times New Roman" w:hAnsi="Times New Roman" w:cs="Times New Roman"/>
          <w:sz w:val="36"/>
          <w:szCs w:val="36"/>
        </w:rPr>
        <w:t xml:space="preserve"> </w:t>
      </w:r>
      <w:r w:rsidR="00536BE6">
        <w:rPr>
          <w:rFonts w:ascii="Times New Roman" w:hAnsi="Times New Roman" w:cs="Times New Roman"/>
          <w:sz w:val="36"/>
          <w:szCs w:val="36"/>
        </w:rPr>
        <w:t>Fu anche</w:t>
      </w:r>
      <w:r w:rsidR="003A558F">
        <w:rPr>
          <w:rFonts w:ascii="Times New Roman" w:hAnsi="Times New Roman" w:cs="Times New Roman"/>
          <w:sz w:val="36"/>
          <w:szCs w:val="36"/>
        </w:rPr>
        <w:t xml:space="preserve"> l’effetto de</w:t>
      </w:r>
      <w:r w:rsidR="00536BE6">
        <w:rPr>
          <w:rFonts w:ascii="Times New Roman" w:hAnsi="Times New Roman" w:cs="Times New Roman"/>
          <w:sz w:val="36"/>
          <w:szCs w:val="36"/>
        </w:rPr>
        <w:t xml:space="preserve">ll’osmosi </w:t>
      </w:r>
      <w:r w:rsidR="003A558F">
        <w:rPr>
          <w:rFonts w:ascii="Times New Roman" w:hAnsi="Times New Roman" w:cs="Times New Roman"/>
          <w:sz w:val="36"/>
          <w:szCs w:val="36"/>
        </w:rPr>
        <w:t xml:space="preserve">che si verificò </w:t>
      </w:r>
      <w:r w:rsidR="00536BE6">
        <w:rPr>
          <w:rFonts w:ascii="Times New Roman" w:hAnsi="Times New Roman" w:cs="Times New Roman"/>
          <w:sz w:val="36"/>
          <w:szCs w:val="36"/>
        </w:rPr>
        <w:t xml:space="preserve">tra burocrazie </w:t>
      </w:r>
      <w:r w:rsidR="003A558F">
        <w:rPr>
          <w:rFonts w:ascii="Times New Roman" w:hAnsi="Times New Roman" w:cs="Times New Roman"/>
          <w:sz w:val="36"/>
          <w:szCs w:val="36"/>
        </w:rPr>
        <w:t xml:space="preserve">divenute adesso </w:t>
      </w:r>
      <w:r w:rsidR="001B261B">
        <w:rPr>
          <w:rFonts w:ascii="Times New Roman" w:hAnsi="Times New Roman" w:cs="Times New Roman"/>
          <w:sz w:val="36"/>
          <w:szCs w:val="36"/>
        </w:rPr>
        <w:t xml:space="preserve">immediatamente </w:t>
      </w:r>
      <w:r w:rsidR="00536BE6">
        <w:rPr>
          <w:rFonts w:ascii="Times New Roman" w:hAnsi="Times New Roman" w:cs="Times New Roman"/>
          <w:sz w:val="36"/>
          <w:szCs w:val="36"/>
        </w:rPr>
        <w:t>legislatrici</w:t>
      </w:r>
      <w:r w:rsidR="001B261B">
        <w:rPr>
          <w:rFonts w:ascii="Times New Roman" w:hAnsi="Times New Roman" w:cs="Times New Roman"/>
          <w:sz w:val="36"/>
          <w:szCs w:val="36"/>
        </w:rPr>
        <w:t>, senza o quasi il passaggio parlamentare,</w:t>
      </w:r>
      <w:r w:rsidR="00536BE6">
        <w:rPr>
          <w:rFonts w:ascii="Times New Roman" w:hAnsi="Times New Roman" w:cs="Times New Roman"/>
          <w:sz w:val="36"/>
          <w:szCs w:val="36"/>
        </w:rPr>
        <w:t xml:space="preserve"> e rappresentanti degli interessi</w:t>
      </w:r>
      <w:r w:rsidR="001B261B">
        <w:rPr>
          <w:rFonts w:ascii="Times New Roman" w:hAnsi="Times New Roman" w:cs="Times New Roman"/>
          <w:sz w:val="36"/>
          <w:szCs w:val="36"/>
        </w:rPr>
        <w:t xml:space="preserve"> ad essi collegati</w:t>
      </w:r>
      <w:r w:rsidR="00536BE6">
        <w:rPr>
          <w:rFonts w:ascii="Times New Roman" w:hAnsi="Times New Roman" w:cs="Times New Roman"/>
          <w:sz w:val="36"/>
          <w:szCs w:val="36"/>
        </w:rPr>
        <w:t xml:space="preserve">. Il luogo deputato di questa fusione </w:t>
      </w:r>
      <w:r w:rsidR="001B261B">
        <w:rPr>
          <w:rFonts w:ascii="Times New Roman" w:hAnsi="Times New Roman" w:cs="Times New Roman"/>
          <w:sz w:val="36"/>
          <w:szCs w:val="36"/>
        </w:rPr>
        <w:t xml:space="preserve">tra amministrazione legislatrice e interessi </w:t>
      </w:r>
      <w:r w:rsidR="00536BE6">
        <w:rPr>
          <w:rFonts w:ascii="Times New Roman" w:hAnsi="Times New Roman" w:cs="Times New Roman"/>
          <w:sz w:val="36"/>
          <w:szCs w:val="36"/>
        </w:rPr>
        <w:t xml:space="preserve">furono </w:t>
      </w:r>
      <w:r w:rsidR="003A558F">
        <w:rPr>
          <w:rFonts w:ascii="Times New Roman" w:hAnsi="Times New Roman" w:cs="Times New Roman"/>
          <w:sz w:val="36"/>
          <w:szCs w:val="36"/>
        </w:rPr>
        <w:t>gli uffici</w:t>
      </w:r>
      <w:r w:rsidR="001B261B">
        <w:rPr>
          <w:rFonts w:ascii="Times New Roman" w:hAnsi="Times New Roman" w:cs="Times New Roman"/>
          <w:sz w:val="36"/>
          <w:szCs w:val="36"/>
        </w:rPr>
        <w:t xml:space="preserve"> speciali</w:t>
      </w:r>
      <w:r w:rsidR="003A558F">
        <w:rPr>
          <w:rFonts w:ascii="Times New Roman" w:hAnsi="Times New Roman" w:cs="Times New Roman"/>
          <w:sz w:val="36"/>
          <w:szCs w:val="36"/>
        </w:rPr>
        <w:t xml:space="preserve"> dei ministeri ma soprattutto </w:t>
      </w:r>
      <w:r w:rsidR="00536BE6">
        <w:rPr>
          <w:rFonts w:ascii="Times New Roman" w:hAnsi="Times New Roman" w:cs="Times New Roman"/>
          <w:sz w:val="36"/>
          <w:szCs w:val="36"/>
        </w:rPr>
        <w:t>le commissioni miste, nelle quali industriali coinvolti nella produzione bellica, funzionari ministeriali, alti gradi militari svolsero quotidianamente un lavoro in comune spesso sfociato nella produzione di atti normativi</w:t>
      </w:r>
      <w:r w:rsidR="003A558F">
        <w:rPr>
          <w:rFonts w:ascii="Times New Roman" w:hAnsi="Times New Roman" w:cs="Times New Roman"/>
          <w:sz w:val="36"/>
          <w:szCs w:val="36"/>
        </w:rPr>
        <w:t xml:space="preserve"> nei quali interessi diversi trovarono una composizione e spesso un compromesso</w:t>
      </w:r>
      <w:r w:rsidR="00536BE6">
        <w:rPr>
          <w:rFonts w:ascii="Times New Roman" w:hAnsi="Times New Roman" w:cs="Times New Roman"/>
          <w:sz w:val="36"/>
          <w:szCs w:val="36"/>
        </w:rPr>
        <w:t xml:space="preserve">. </w:t>
      </w:r>
      <w:r w:rsidR="001B261B">
        <w:rPr>
          <w:rFonts w:ascii="Times New Roman" w:hAnsi="Times New Roman" w:cs="Times New Roman"/>
          <w:sz w:val="36"/>
          <w:szCs w:val="36"/>
        </w:rPr>
        <w:t xml:space="preserve">Da cui il </w:t>
      </w:r>
      <w:r w:rsidR="004E1015">
        <w:rPr>
          <w:rFonts w:ascii="Times New Roman" w:hAnsi="Times New Roman" w:cs="Times New Roman"/>
          <w:sz w:val="36"/>
          <w:szCs w:val="36"/>
        </w:rPr>
        <w:t>complicarsi del linguaggio</w:t>
      </w:r>
      <w:r w:rsidR="001B261B">
        <w:rPr>
          <w:rFonts w:ascii="Times New Roman" w:hAnsi="Times New Roman" w:cs="Times New Roman"/>
          <w:sz w:val="36"/>
          <w:szCs w:val="36"/>
        </w:rPr>
        <w:t>, il suo trasformarsi accogliendo parole e lemmi relativi alle materie speciali trattate dai provvedimenti</w:t>
      </w:r>
      <w:r w:rsidR="004E1015">
        <w:rPr>
          <w:rFonts w:ascii="Times New Roman" w:hAnsi="Times New Roman" w:cs="Times New Roman"/>
          <w:sz w:val="36"/>
          <w:szCs w:val="36"/>
        </w:rPr>
        <w:t>.</w:t>
      </w:r>
      <w:r w:rsidR="00536BE6">
        <w:rPr>
          <w:rFonts w:ascii="Times New Roman" w:hAnsi="Times New Roman" w:cs="Times New Roman"/>
          <w:sz w:val="36"/>
          <w:szCs w:val="36"/>
        </w:rPr>
        <w:t xml:space="preserve"> </w:t>
      </w:r>
    </w:p>
    <w:p w14:paraId="344B108A" w14:textId="6F14DBD7" w:rsidR="001B261B" w:rsidRDefault="001B261B" w:rsidP="00536BE6">
      <w:pPr>
        <w:jc w:val="both"/>
        <w:rPr>
          <w:rFonts w:ascii="Times New Roman" w:hAnsi="Times New Roman" w:cs="Times New Roman"/>
          <w:sz w:val="36"/>
          <w:szCs w:val="36"/>
        </w:rPr>
      </w:pPr>
      <w:r>
        <w:rPr>
          <w:rFonts w:ascii="Times New Roman" w:hAnsi="Times New Roman" w:cs="Times New Roman"/>
          <w:sz w:val="36"/>
          <w:szCs w:val="36"/>
        </w:rPr>
        <w:t>Vi fu poi u</w:t>
      </w:r>
      <w:r w:rsidR="00B9640E">
        <w:rPr>
          <w:rFonts w:ascii="Times New Roman" w:hAnsi="Times New Roman" w:cs="Times New Roman"/>
          <w:sz w:val="36"/>
          <w:szCs w:val="36"/>
        </w:rPr>
        <w:t xml:space="preserve">na matrice linguistica </w:t>
      </w:r>
      <w:r>
        <w:rPr>
          <w:rFonts w:ascii="Times New Roman" w:hAnsi="Times New Roman" w:cs="Times New Roman"/>
          <w:sz w:val="36"/>
          <w:szCs w:val="36"/>
        </w:rPr>
        <w:t xml:space="preserve">che </w:t>
      </w:r>
      <w:r w:rsidR="00B9640E">
        <w:rPr>
          <w:rFonts w:ascii="Times New Roman" w:hAnsi="Times New Roman" w:cs="Times New Roman"/>
          <w:sz w:val="36"/>
          <w:szCs w:val="36"/>
        </w:rPr>
        <w:t>sembrò</w:t>
      </w:r>
      <w:r>
        <w:rPr>
          <w:rFonts w:ascii="Times New Roman" w:hAnsi="Times New Roman" w:cs="Times New Roman"/>
          <w:sz w:val="36"/>
          <w:szCs w:val="36"/>
        </w:rPr>
        <w:t xml:space="preserve"> subito</w:t>
      </w:r>
      <w:r w:rsidR="00B9640E">
        <w:rPr>
          <w:rFonts w:ascii="Times New Roman" w:hAnsi="Times New Roman" w:cs="Times New Roman"/>
          <w:sz w:val="36"/>
          <w:szCs w:val="36"/>
        </w:rPr>
        <w:t xml:space="preserve"> dominante, quella militare. Essa </w:t>
      </w:r>
      <w:r w:rsidR="00704284">
        <w:rPr>
          <w:rFonts w:ascii="Times New Roman" w:hAnsi="Times New Roman" w:cs="Times New Roman"/>
          <w:sz w:val="36"/>
          <w:szCs w:val="36"/>
        </w:rPr>
        <w:t>non</w:t>
      </w:r>
      <w:r w:rsidR="00B57594">
        <w:rPr>
          <w:rFonts w:ascii="Times New Roman" w:hAnsi="Times New Roman" w:cs="Times New Roman"/>
          <w:sz w:val="36"/>
          <w:szCs w:val="36"/>
        </w:rPr>
        <w:t xml:space="preserve"> riguardò </w:t>
      </w:r>
      <w:r>
        <w:rPr>
          <w:rFonts w:ascii="Times New Roman" w:hAnsi="Times New Roman" w:cs="Times New Roman"/>
          <w:sz w:val="36"/>
          <w:szCs w:val="36"/>
        </w:rPr>
        <w:t xml:space="preserve">più </w:t>
      </w:r>
      <w:r w:rsidR="00B57594">
        <w:rPr>
          <w:rFonts w:ascii="Times New Roman" w:hAnsi="Times New Roman" w:cs="Times New Roman"/>
          <w:sz w:val="36"/>
          <w:szCs w:val="36"/>
        </w:rPr>
        <w:t>soltanto</w:t>
      </w:r>
      <w:r w:rsidR="00704284">
        <w:rPr>
          <w:rFonts w:ascii="Times New Roman" w:hAnsi="Times New Roman" w:cs="Times New Roman"/>
          <w:sz w:val="36"/>
          <w:szCs w:val="36"/>
        </w:rPr>
        <w:t xml:space="preserve"> la legislazione</w:t>
      </w:r>
      <w:r w:rsidR="00536BE6">
        <w:rPr>
          <w:rFonts w:ascii="Times New Roman" w:hAnsi="Times New Roman" w:cs="Times New Roman"/>
          <w:sz w:val="36"/>
          <w:szCs w:val="36"/>
        </w:rPr>
        <w:t xml:space="preserve"> sulle materie della guerra</w:t>
      </w:r>
      <w:r w:rsidR="00704284">
        <w:rPr>
          <w:rFonts w:ascii="Times New Roman" w:hAnsi="Times New Roman" w:cs="Times New Roman"/>
          <w:sz w:val="36"/>
          <w:szCs w:val="36"/>
        </w:rPr>
        <w:t xml:space="preserve"> ma </w:t>
      </w:r>
      <w:r w:rsidR="00B9640E">
        <w:rPr>
          <w:rFonts w:ascii="Times New Roman" w:hAnsi="Times New Roman" w:cs="Times New Roman"/>
          <w:sz w:val="36"/>
          <w:szCs w:val="36"/>
        </w:rPr>
        <w:t xml:space="preserve">“invase” per così dire </w:t>
      </w:r>
      <w:r w:rsidR="00536BE6">
        <w:rPr>
          <w:rFonts w:ascii="Times New Roman" w:hAnsi="Times New Roman" w:cs="Times New Roman"/>
          <w:sz w:val="36"/>
          <w:szCs w:val="36"/>
        </w:rPr>
        <w:t xml:space="preserve">l’intero arco </w:t>
      </w:r>
      <w:r w:rsidR="00B9640E">
        <w:rPr>
          <w:rFonts w:ascii="Times New Roman" w:hAnsi="Times New Roman" w:cs="Times New Roman"/>
          <w:sz w:val="36"/>
          <w:szCs w:val="36"/>
        </w:rPr>
        <w:t>della</w:t>
      </w:r>
      <w:r w:rsidR="004E1015">
        <w:rPr>
          <w:rFonts w:ascii="Times New Roman" w:hAnsi="Times New Roman" w:cs="Times New Roman"/>
          <w:sz w:val="36"/>
          <w:szCs w:val="36"/>
        </w:rPr>
        <w:t xml:space="preserve"> normazione, </w:t>
      </w:r>
      <w:r w:rsidR="00536BE6">
        <w:rPr>
          <w:rFonts w:ascii="Times New Roman" w:hAnsi="Times New Roman" w:cs="Times New Roman"/>
          <w:sz w:val="36"/>
          <w:szCs w:val="36"/>
        </w:rPr>
        <w:t>e</w:t>
      </w:r>
      <w:r w:rsidR="004E1015">
        <w:rPr>
          <w:rFonts w:ascii="Times New Roman" w:hAnsi="Times New Roman" w:cs="Times New Roman"/>
          <w:sz w:val="36"/>
          <w:szCs w:val="36"/>
        </w:rPr>
        <w:t>,</w:t>
      </w:r>
      <w:r w:rsidR="00536BE6">
        <w:rPr>
          <w:rFonts w:ascii="Times New Roman" w:hAnsi="Times New Roman" w:cs="Times New Roman"/>
          <w:sz w:val="36"/>
          <w:szCs w:val="36"/>
        </w:rPr>
        <w:t xml:space="preserve"> parallelamente</w:t>
      </w:r>
      <w:r w:rsidR="004E1015">
        <w:rPr>
          <w:rFonts w:ascii="Times New Roman" w:hAnsi="Times New Roman" w:cs="Times New Roman"/>
          <w:sz w:val="36"/>
          <w:szCs w:val="36"/>
        </w:rPr>
        <w:t>,</w:t>
      </w:r>
      <w:r w:rsidR="00536BE6">
        <w:rPr>
          <w:rFonts w:ascii="Times New Roman" w:hAnsi="Times New Roman" w:cs="Times New Roman"/>
          <w:sz w:val="36"/>
          <w:szCs w:val="36"/>
        </w:rPr>
        <w:t xml:space="preserve"> </w:t>
      </w:r>
      <w:r w:rsidR="00B9640E">
        <w:rPr>
          <w:rFonts w:ascii="Times New Roman" w:hAnsi="Times New Roman" w:cs="Times New Roman"/>
          <w:sz w:val="36"/>
          <w:szCs w:val="36"/>
        </w:rPr>
        <w:t xml:space="preserve">influenzò </w:t>
      </w:r>
      <w:r w:rsidR="00536BE6">
        <w:rPr>
          <w:rFonts w:ascii="Times New Roman" w:hAnsi="Times New Roman" w:cs="Times New Roman"/>
          <w:sz w:val="36"/>
          <w:szCs w:val="36"/>
        </w:rPr>
        <w:t xml:space="preserve">non solo la burocrazia ma molto settori </w:t>
      </w:r>
      <w:r w:rsidR="00704284">
        <w:rPr>
          <w:rFonts w:ascii="Times New Roman" w:hAnsi="Times New Roman" w:cs="Times New Roman"/>
          <w:sz w:val="36"/>
          <w:szCs w:val="36"/>
        </w:rPr>
        <w:t xml:space="preserve">della cultura </w:t>
      </w:r>
      <w:r w:rsidR="00536BE6">
        <w:rPr>
          <w:rFonts w:ascii="Times New Roman" w:hAnsi="Times New Roman" w:cs="Times New Roman"/>
          <w:sz w:val="36"/>
          <w:szCs w:val="36"/>
        </w:rPr>
        <w:t xml:space="preserve">pubblica </w:t>
      </w:r>
      <w:r w:rsidR="00704284">
        <w:rPr>
          <w:rFonts w:ascii="Times New Roman" w:hAnsi="Times New Roman" w:cs="Times New Roman"/>
          <w:sz w:val="36"/>
          <w:szCs w:val="36"/>
        </w:rPr>
        <w:t xml:space="preserve">di quegli anni: irruppe nel lessico del Parlamento, dominò il giornalismo, si affermò persino nell’analisi teorica più raffinata </w:t>
      </w:r>
      <w:r w:rsidR="00536BE6">
        <w:rPr>
          <w:rFonts w:ascii="Times New Roman" w:hAnsi="Times New Roman" w:cs="Times New Roman"/>
          <w:sz w:val="36"/>
          <w:szCs w:val="36"/>
        </w:rPr>
        <w:t xml:space="preserve">delle riviste, </w:t>
      </w:r>
      <w:r w:rsidR="00704284">
        <w:rPr>
          <w:rFonts w:ascii="Times New Roman" w:hAnsi="Times New Roman" w:cs="Times New Roman"/>
          <w:sz w:val="36"/>
          <w:szCs w:val="36"/>
        </w:rPr>
        <w:t>disseminando</w:t>
      </w:r>
      <w:r w:rsidR="00536BE6">
        <w:rPr>
          <w:rFonts w:ascii="Times New Roman" w:hAnsi="Times New Roman" w:cs="Times New Roman"/>
          <w:sz w:val="36"/>
          <w:szCs w:val="36"/>
        </w:rPr>
        <w:t xml:space="preserve"> i documenti del dopoguerra di</w:t>
      </w:r>
      <w:r w:rsidR="00704284">
        <w:rPr>
          <w:rFonts w:ascii="Times New Roman" w:hAnsi="Times New Roman" w:cs="Times New Roman"/>
          <w:sz w:val="36"/>
          <w:szCs w:val="36"/>
        </w:rPr>
        <w:t xml:space="preserve"> termini come “battaglia” e “guerra”, “avanguardia” e “retroguardia”, </w:t>
      </w:r>
      <w:r w:rsidR="00F06CB0">
        <w:rPr>
          <w:rFonts w:ascii="Times New Roman" w:hAnsi="Times New Roman" w:cs="Times New Roman"/>
          <w:sz w:val="36"/>
          <w:szCs w:val="36"/>
        </w:rPr>
        <w:t xml:space="preserve">“avanzata” e “ritirata”, </w:t>
      </w:r>
      <w:r w:rsidR="00536BE6">
        <w:rPr>
          <w:rFonts w:ascii="Times New Roman" w:hAnsi="Times New Roman" w:cs="Times New Roman"/>
          <w:sz w:val="36"/>
          <w:szCs w:val="36"/>
        </w:rPr>
        <w:t xml:space="preserve">“offensiva” e “controffensiva”, </w:t>
      </w:r>
      <w:r w:rsidR="00704284">
        <w:rPr>
          <w:rFonts w:ascii="Times New Roman" w:hAnsi="Times New Roman" w:cs="Times New Roman"/>
          <w:sz w:val="36"/>
          <w:szCs w:val="36"/>
        </w:rPr>
        <w:t>“fr</w:t>
      </w:r>
      <w:r w:rsidR="00536BE6">
        <w:rPr>
          <w:rFonts w:ascii="Times New Roman" w:hAnsi="Times New Roman" w:cs="Times New Roman"/>
          <w:sz w:val="36"/>
          <w:szCs w:val="36"/>
        </w:rPr>
        <w:t>onte”, “fortificazioni”</w:t>
      </w:r>
      <w:r w:rsidR="00704284">
        <w:rPr>
          <w:rFonts w:ascii="Times New Roman" w:hAnsi="Times New Roman" w:cs="Times New Roman"/>
          <w:sz w:val="36"/>
          <w:szCs w:val="36"/>
        </w:rPr>
        <w:t xml:space="preserve"> e molte altre parole</w:t>
      </w:r>
      <w:r w:rsidR="00536BE6">
        <w:rPr>
          <w:rFonts w:ascii="Times New Roman" w:hAnsi="Times New Roman" w:cs="Times New Roman"/>
          <w:sz w:val="36"/>
          <w:szCs w:val="36"/>
        </w:rPr>
        <w:t xml:space="preserve"> di pretta origine militare</w:t>
      </w:r>
      <w:r w:rsidR="00704284">
        <w:rPr>
          <w:rFonts w:ascii="Times New Roman" w:hAnsi="Times New Roman" w:cs="Times New Roman"/>
          <w:sz w:val="36"/>
          <w:szCs w:val="36"/>
        </w:rPr>
        <w:t xml:space="preserve">. </w:t>
      </w:r>
      <w:r>
        <w:rPr>
          <w:rFonts w:ascii="Times New Roman" w:hAnsi="Times New Roman" w:cs="Times New Roman"/>
          <w:sz w:val="36"/>
          <w:szCs w:val="36"/>
        </w:rPr>
        <w:t xml:space="preserve">Chi compisse un censimento accurato e minuto dei provvedimenti, magari inoltrandosi nelle </w:t>
      </w:r>
      <w:r>
        <w:rPr>
          <w:rFonts w:ascii="Times New Roman" w:hAnsi="Times New Roman" w:cs="Times New Roman"/>
          <w:sz w:val="36"/>
          <w:szCs w:val="36"/>
        </w:rPr>
        <w:lastRenderedPageBreak/>
        <w:t>leggi del periodo fascista, non potrebbe non registrare questa intima e quasi naturale trasformazione, segno anche del prestigio che l’élite militare traeva dalla guerra vinta e dal lungo periodo nel quale obiettivamente, aveva dovuto assumere la leadership del Paese anche in settori ad essa estranei come tutti quelli, economici e sociali, che erano stati coinvolti nella mobilitazione bellica.</w:t>
      </w:r>
    </w:p>
    <w:p w14:paraId="0E42C789" w14:textId="4B67D49A" w:rsidR="00D13B47" w:rsidRDefault="00D13B47" w:rsidP="00536BE6">
      <w:pPr>
        <w:jc w:val="both"/>
        <w:rPr>
          <w:rFonts w:ascii="Times New Roman" w:hAnsi="Times New Roman" w:cs="Times New Roman"/>
          <w:sz w:val="36"/>
          <w:szCs w:val="36"/>
        </w:rPr>
      </w:pPr>
    </w:p>
    <w:p w14:paraId="695403EA" w14:textId="1292495F" w:rsidR="00D13B47" w:rsidRDefault="00D13B47" w:rsidP="00536BE6">
      <w:pPr>
        <w:jc w:val="both"/>
        <w:rPr>
          <w:rFonts w:ascii="Times New Roman" w:hAnsi="Times New Roman" w:cs="Times New Roman"/>
          <w:b/>
          <w:sz w:val="36"/>
          <w:szCs w:val="36"/>
        </w:rPr>
      </w:pPr>
      <w:r w:rsidRPr="00D13B47">
        <w:rPr>
          <w:rFonts w:ascii="Times New Roman" w:hAnsi="Times New Roman" w:cs="Times New Roman"/>
          <w:b/>
          <w:sz w:val="36"/>
          <w:szCs w:val="36"/>
        </w:rPr>
        <w:t>3. Una conclusione.</w:t>
      </w:r>
    </w:p>
    <w:p w14:paraId="11157836" w14:textId="3B52137B" w:rsidR="00D13B47" w:rsidRDefault="00D13B47" w:rsidP="00536BE6">
      <w:pPr>
        <w:jc w:val="both"/>
        <w:rPr>
          <w:rFonts w:ascii="Times New Roman" w:hAnsi="Times New Roman" w:cs="Times New Roman"/>
          <w:sz w:val="36"/>
          <w:szCs w:val="36"/>
        </w:rPr>
      </w:pPr>
      <w:r>
        <w:rPr>
          <w:rFonts w:ascii="Times New Roman" w:hAnsi="Times New Roman" w:cs="Times New Roman"/>
          <w:sz w:val="36"/>
          <w:szCs w:val="36"/>
        </w:rPr>
        <w:t xml:space="preserve">L’analisi delle profonde trasformazioni indotte dalla guerra non deve tuttavia indurre a trascurare i segnali di continuità riscontrabili nella legislazione del dopoguerra rispetto al lascito del periodo precedente. Innanzitutto va appena rammentato come l’impianto codicistico e delle grandi leggi di unificazione rimanesse (e a lungo sarebbe rimasto persino con la dittatura fascista) quello del 1865. La legislazione di guerra semmai si depositò nei porti delle legislazioni speciali, quasi sempre perpetuandosi nel nuovo protagonismo dello Stato in settori di intervento economico ignoti all’Ottocento e al primo Novecento. Ma il torso della normazione rimase a lungo quello dell’età liberale. </w:t>
      </w:r>
      <w:r w:rsidR="00F33C9A">
        <w:rPr>
          <w:rFonts w:ascii="Times New Roman" w:hAnsi="Times New Roman" w:cs="Times New Roman"/>
          <w:sz w:val="36"/>
          <w:szCs w:val="36"/>
        </w:rPr>
        <w:t>Quando Dino Grandi, ministro della giustizia nel 1941, denunciava in un appunto riservato al duce la permanenza preponderante nel corpus normativo dell’</w:t>
      </w:r>
      <w:r w:rsidR="00242E27">
        <w:rPr>
          <w:rFonts w:ascii="Times New Roman" w:hAnsi="Times New Roman" w:cs="Times New Roman"/>
          <w:sz w:val="36"/>
          <w:szCs w:val="36"/>
        </w:rPr>
        <w:t>epoca delle leggi pre-fasciste, egli toccava un punto chiave non solo della storia stessa del fascismo e delle sue intime contraddizioni ma anche della impronta strutturalmente conservatrice che aveva assunto la legislazione italiana lungo tutto il Novecento. Quel conservatorismo aveva non solo resistito ai “proiettili” di guerra di cui parla Vassalli, ma si era anche perpetuato rispetto alle ancor più violente cannonate del fascismo.</w:t>
      </w:r>
    </w:p>
    <w:p w14:paraId="56C22256" w14:textId="47835055" w:rsidR="00242E27" w:rsidRDefault="00242E27" w:rsidP="00536BE6">
      <w:pPr>
        <w:jc w:val="both"/>
        <w:rPr>
          <w:rFonts w:ascii="Times New Roman" w:hAnsi="Times New Roman" w:cs="Times New Roman"/>
          <w:sz w:val="36"/>
          <w:szCs w:val="36"/>
        </w:rPr>
      </w:pPr>
      <w:r>
        <w:rPr>
          <w:rFonts w:ascii="Times New Roman" w:hAnsi="Times New Roman" w:cs="Times New Roman"/>
          <w:sz w:val="36"/>
          <w:szCs w:val="36"/>
        </w:rPr>
        <w:t xml:space="preserve">Due erano stati i baluardi di questa “resistenza”: il primo fu rappresentato dalla sostanziale continuità che finì per realizzarsi tra la cultura giuridica pre-fascista e quella del periodo fascista (continuità nel “metodo”, nei maestri, nell’organizzazione delle cattedre e del sapere giuridico, nell’azione delle riviste, nella </w:t>
      </w:r>
      <w:r>
        <w:rPr>
          <w:rFonts w:ascii="Times New Roman" w:hAnsi="Times New Roman" w:cs="Times New Roman"/>
          <w:sz w:val="36"/>
          <w:szCs w:val="36"/>
        </w:rPr>
        <w:lastRenderedPageBreak/>
        <w:t>padronanza del vocabolario del giurista, sia nel diritto civile che in quello penale, per non dire di quello amministrativo); il secondo baluardo fu quello rappresentato dalle magistrature e dalla loro azione di interpretazione e di mediazione del diritto. Dalla magistratura ordinaria e specialmente da quella amministrativa. E’ capitato altre volte di notare, e qui non posso che ribadire, che il meticoloso scrutinio e la sostanziale riscrittura dei testi unici del fascismo ad opera del Consiglio di Stato, ma ancor prima il continuo lavoro di rammendo compiuto nelle due funzioni consultiva e giurisdizionale tra vecchie e nuove leggi ebbero in questo senso una funzione decisiva.</w:t>
      </w:r>
    </w:p>
    <w:p w14:paraId="13AD9C3B" w14:textId="7724093C" w:rsidR="00242E27" w:rsidRPr="00D13B47" w:rsidRDefault="00242E27" w:rsidP="00536BE6">
      <w:pPr>
        <w:jc w:val="both"/>
        <w:rPr>
          <w:rFonts w:ascii="Times New Roman" w:hAnsi="Times New Roman" w:cs="Times New Roman"/>
          <w:sz w:val="36"/>
          <w:szCs w:val="36"/>
        </w:rPr>
      </w:pPr>
      <w:r>
        <w:rPr>
          <w:rFonts w:ascii="Times New Roman" w:hAnsi="Times New Roman" w:cs="Times New Roman"/>
          <w:sz w:val="36"/>
          <w:szCs w:val="36"/>
        </w:rPr>
        <w:t xml:space="preserve">Forse anche i “proiettili” di Vassalli, lo “ius militum” di Faggella, nell’ordito legislativo del dopoguerra trovarono i loro temperamenti. </w:t>
      </w:r>
      <w:bookmarkStart w:id="0" w:name="_GoBack"/>
      <w:bookmarkEnd w:id="0"/>
    </w:p>
    <w:p w14:paraId="5EA330B7" w14:textId="02669411" w:rsidR="00536BE6" w:rsidRDefault="001B261B" w:rsidP="00536BE6">
      <w:pPr>
        <w:jc w:val="both"/>
        <w:rPr>
          <w:rFonts w:ascii="Times New Roman" w:hAnsi="Times New Roman" w:cs="Times New Roman"/>
          <w:sz w:val="36"/>
          <w:szCs w:val="36"/>
        </w:rPr>
      </w:pPr>
      <w:r>
        <w:rPr>
          <w:rFonts w:ascii="Times New Roman" w:hAnsi="Times New Roman" w:cs="Times New Roman"/>
          <w:sz w:val="36"/>
          <w:szCs w:val="36"/>
        </w:rPr>
        <w:t xml:space="preserve">   </w:t>
      </w:r>
    </w:p>
    <w:p w14:paraId="3C6A79CD" w14:textId="31845768" w:rsidR="003411FC" w:rsidRPr="00790A6F" w:rsidRDefault="003411FC" w:rsidP="00536BE6">
      <w:pPr>
        <w:jc w:val="both"/>
        <w:rPr>
          <w:rFonts w:ascii="Times New Roman" w:hAnsi="Times New Roman" w:cs="Times New Roman"/>
          <w:sz w:val="36"/>
          <w:szCs w:val="36"/>
        </w:rPr>
      </w:pPr>
    </w:p>
    <w:sectPr w:rsidR="003411FC" w:rsidRPr="00790A6F" w:rsidSect="007C3790">
      <w:headerReference w:type="even" r:id="rId7"/>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CFC6E" w14:textId="77777777" w:rsidR="00D7586F" w:rsidRDefault="00D7586F" w:rsidP="001C6253">
      <w:r>
        <w:separator/>
      </w:r>
    </w:p>
  </w:endnote>
  <w:endnote w:type="continuationSeparator" w:id="0">
    <w:p w14:paraId="7CFD6007" w14:textId="77777777" w:rsidR="00D7586F" w:rsidRDefault="00D7586F" w:rsidP="001C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BF9D9" w14:textId="77777777" w:rsidR="00D7586F" w:rsidRDefault="00D7586F" w:rsidP="001C6253">
      <w:r>
        <w:separator/>
      </w:r>
    </w:p>
  </w:footnote>
  <w:footnote w:type="continuationSeparator" w:id="0">
    <w:p w14:paraId="0D49AD1C" w14:textId="77777777" w:rsidR="00D7586F" w:rsidRDefault="00D7586F" w:rsidP="001C6253">
      <w:r>
        <w:continuationSeparator/>
      </w:r>
    </w:p>
  </w:footnote>
  <w:footnote w:id="1">
    <w:p w14:paraId="656C3C09" w14:textId="77777777" w:rsidR="002C7BA7" w:rsidRPr="00DB0866" w:rsidRDefault="002C7BA7" w:rsidP="001C6253">
      <w:pPr>
        <w:pStyle w:val="Testonotaapidipagina"/>
        <w:jc w:val="both"/>
      </w:pPr>
      <w:r>
        <w:rPr>
          <w:rStyle w:val="Rimandonotaapidipagina"/>
        </w:rPr>
        <w:footnoteRef/>
      </w:r>
      <w:r>
        <w:t xml:space="preserve"> F. Vassalli, </w:t>
      </w:r>
      <w:r>
        <w:rPr>
          <w:i/>
        </w:rPr>
        <w:t xml:space="preserve">Della legislazione di guerra e dei nuovi confini del diritto privato, </w:t>
      </w:r>
      <w:r>
        <w:t>in “Rivista di diritto commerciale”, VII (1919), I, pp.1 ss. Ho già citato questa fonte, come altre qui richiamate di seguito nel mio</w:t>
      </w:r>
      <w:r>
        <w:rPr>
          <w:i/>
        </w:rPr>
        <w:t xml:space="preserve"> Due modelli di amministrazione tra liberalismo e fascismo. Burocrazie tradizionali e nuovi apparati, </w:t>
      </w:r>
      <w:r>
        <w:t xml:space="preserve">Roma, Ministero per i beni culturali e ambientali. Pubblicazioni degli Archivi di Stato, 1988, in particolare p. 235. Su Vassalli cfr. da ultimo G.B. Ferri nella voce scritta per il </w:t>
      </w:r>
      <w:r>
        <w:rPr>
          <w:i/>
        </w:rPr>
        <w:t xml:space="preserve">Dizionario dei giuristi italiani (XII-XX secolo), </w:t>
      </w:r>
      <w:r>
        <w:t>vol. II, Bologna, Il Mulino, 2013,pp. 2022 ss.</w:t>
      </w:r>
    </w:p>
  </w:footnote>
  <w:footnote w:id="2">
    <w:p w14:paraId="04482301" w14:textId="77777777" w:rsidR="002C7BA7" w:rsidRPr="00DB0866" w:rsidRDefault="002C7BA7" w:rsidP="00DB0866">
      <w:pPr>
        <w:pStyle w:val="Testonotaapidipagina"/>
        <w:jc w:val="both"/>
        <w:rPr>
          <w:i/>
        </w:rPr>
      </w:pPr>
      <w:r>
        <w:rPr>
          <w:rStyle w:val="Rimandonotaapidipagina"/>
        </w:rPr>
        <w:footnoteRef/>
      </w:r>
      <w:r>
        <w:t xml:space="preserve"> G. Faggella, </w:t>
      </w:r>
      <w:r>
        <w:rPr>
          <w:i/>
        </w:rPr>
        <w:t xml:space="preserve">La legislazione bellica in relazione al diritto pubblico preesistente e alle future riforme, </w:t>
      </w:r>
      <w:r>
        <w:t xml:space="preserve">in “Rivista di diritto pubblico”, X (1918), I, pp, 345 ss.  Su Faggella cfr. la bella voce di C. Bersani in </w:t>
      </w:r>
      <w:r>
        <w:rPr>
          <w:i/>
        </w:rPr>
        <w:t xml:space="preserve">Dizionario biografico degli italiani, </w:t>
      </w:r>
      <w:r>
        <w:t xml:space="preserve">Roma, Istituto dell’Enciclopedia italiana, 1994, vol. 44, </w:t>
      </w:r>
      <w:r>
        <w:rPr>
          <w:i/>
        </w:rPr>
        <w:t>ad vocem.</w:t>
      </w:r>
    </w:p>
  </w:footnote>
  <w:footnote w:id="3">
    <w:p w14:paraId="5E7388E5" w14:textId="77777777" w:rsidR="002C7BA7" w:rsidRPr="00DB0866" w:rsidRDefault="002C7BA7">
      <w:pPr>
        <w:pStyle w:val="Testonotaapidipagina"/>
        <w:rPr>
          <w:i/>
        </w:rPr>
      </w:pPr>
      <w:r>
        <w:rPr>
          <w:rStyle w:val="Rimandonotaapidipagina"/>
        </w:rPr>
        <w:footnoteRef/>
      </w:r>
      <w:r>
        <w:t xml:space="preserve"> </w:t>
      </w:r>
      <w:r>
        <w:rPr>
          <w:i/>
        </w:rPr>
        <w:t>Ibidem.</w:t>
      </w:r>
    </w:p>
  </w:footnote>
  <w:footnote w:id="4">
    <w:p w14:paraId="1157A77D" w14:textId="77777777" w:rsidR="002C7BA7" w:rsidRPr="00425FA9" w:rsidRDefault="002C7BA7">
      <w:pPr>
        <w:pStyle w:val="Testonotaapidipagina"/>
      </w:pPr>
      <w:r>
        <w:rPr>
          <w:rStyle w:val="Rimandonotaapidipagina"/>
        </w:rPr>
        <w:footnoteRef/>
      </w:r>
      <w:r>
        <w:t xml:space="preserve"> F. Vassalli, </w:t>
      </w:r>
      <w:r>
        <w:rPr>
          <w:i/>
        </w:rPr>
        <w:t xml:space="preserve">Della legislazione </w:t>
      </w:r>
      <w:r>
        <w:t>cit., p. 19.</w:t>
      </w:r>
    </w:p>
  </w:footnote>
  <w:footnote w:id="5">
    <w:p w14:paraId="782DEDC8" w14:textId="19A3E5F1" w:rsidR="002C7BA7" w:rsidRPr="00E67F83" w:rsidRDefault="002C7BA7" w:rsidP="00E67F83">
      <w:pPr>
        <w:pStyle w:val="Testonotaapidipagina"/>
        <w:jc w:val="both"/>
      </w:pPr>
      <w:r>
        <w:rPr>
          <w:rStyle w:val="Rimandonotaapidipagina"/>
        </w:rPr>
        <w:footnoteRef/>
      </w:r>
      <w:r>
        <w:t xml:space="preserve"> Commissariato generale per le armi e le munizioni. Ufficio storiografico della mobilitazione civile, </w:t>
      </w:r>
      <w:r>
        <w:rPr>
          <w:i/>
        </w:rPr>
        <w:t xml:space="preserve">La legislazione in materia economica e finanziaria dello Stato italiano durante il conflitto europeo (1 agosto 1914-31 luglio 1917), </w:t>
      </w:r>
      <w:r>
        <w:t>Milano, 1918. Cfr. poi, dello stesso De Stefani,</w:t>
      </w:r>
      <w:r w:rsidR="001E56F0">
        <w:t xml:space="preserve"> </w:t>
      </w:r>
      <w:r>
        <w:rPr>
          <w:i/>
        </w:rPr>
        <w:t xml:space="preserve">La legislazione economica di guerra, </w:t>
      </w:r>
      <w:r>
        <w:t>Bari, Laterza,1926 (che era la monografia dedicata all’Italia nella serie che la sezione di economia e storia della Fondazione Carnegie promosse su tutti i paesi belligeranti).</w:t>
      </w:r>
    </w:p>
  </w:footnote>
  <w:footnote w:id="6">
    <w:p w14:paraId="6AC12845" w14:textId="77777777" w:rsidR="002C7BA7" w:rsidRPr="003357A8" w:rsidRDefault="002C7BA7">
      <w:pPr>
        <w:pStyle w:val="Testonotaapidipagina"/>
      </w:pPr>
      <w:r>
        <w:rPr>
          <w:rStyle w:val="Rimandonotaapidipagina"/>
        </w:rPr>
        <w:footnoteRef/>
      </w:r>
      <w:r>
        <w:t xml:space="preserve"> Su questo contrasto mi sono soffermato più volte. La prima in </w:t>
      </w:r>
      <w:r>
        <w:rPr>
          <w:i/>
        </w:rPr>
        <w:t xml:space="preserve">Due modelli </w:t>
      </w:r>
      <w:r>
        <w:t xml:space="preserve"> cit., pp. 28 ss.</w:t>
      </w:r>
    </w:p>
  </w:footnote>
  <w:footnote w:id="7">
    <w:p w14:paraId="77A574CE" w14:textId="6DCFA92C" w:rsidR="002C7BA7" w:rsidRPr="00B344B4" w:rsidRDefault="002C7BA7" w:rsidP="00F06CB0">
      <w:pPr>
        <w:pStyle w:val="Testonotaapidipagina"/>
        <w:jc w:val="both"/>
      </w:pPr>
      <w:r>
        <w:rPr>
          <w:rStyle w:val="Rimandonotaapidipagina"/>
        </w:rPr>
        <w:footnoteRef/>
      </w:r>
      <w:r>
        <w:t xml:space="preserve"> Per un approfondimento con citazione delle fonti legislative cfr. G. Melis, </w:t>
      </w:r>
      <w:r>
        <w:rPr>
          <w:i/>
        </w:rPr>
        <w:t xml:space="preserve">Storia dell’amministrazione italiana. 1861-1993, </w:t>
      </w:r>
      <w:r>
        <w:t>Bologna, Il Mulino, 1996, pp. 269 ss. Ricordo solo ce con RD 4 agosto 1914, n. 770, furono autorizzati i ministeri militari a derogare alle norme e al regolamento di contabilità generale nella stipula di contratti e nei pagamenti. Nel corso della guerra il principio fu progressivamente esteso anche ad altri soggetti, sino a configurare la prassi delle “gestioni fuori bilancio”.</w:t>
      </w:r>
    </w:p>
  </w:footnote>
  <w:footnote w:id="8">
    <w:p w14:paraId="5B5384AA" w14:textId="77777777" w:rsidR="00B9640E" w:rsidRPr="002C7BA7" w:rsidRDefault="00B9640E" w:rsidP="00B9640E">
      <w:pPr>
        <w:pStyle w:val="Testonotaapidipagina"/>
        <w:jc w:val="both"/>
      </w:pPr>
      <w:r>
        <w:rPr>
          <w:rStyle w:val="Rimandonotaapidipagina"/>
        </w:rPr>
        <w:footnoteRef/>
      </w:r>
      <w:r>
        <w:t xml:space="preserve"> C. Latini, </w:t>
      </w:r>
      <w:r>
        <w:rPr>
          <w:i/>
        </w:rPr>
        <w:t xml:space="preserve">Governare l’emergenza. Delega legislativa e pieni poteri in Italia tra Otto e Novecento, </w:t>
      </w:r>
      <w:r>
        <w:t>Milano, Giuffrè, 2005, p…..</w:t>
      </w:r>
    </w:p>
  </w:footnote>
  <w:footnote w:id="9">
    <w:p w14:paraId="2E154F8A" w14:textId="77777777" w:rsidR="00B9640E" w:rsidRPr="004949BA" w:rsidRDefault="00B9640E" w:rsidP="00B9640E">
      <w:pPr>
        <w:pStyle w:val="Testonotaapidipagina"/>
        <w:rPr>
          <w:i/>
        </w:rPr>
      </w:pPr>
      <w:r>
        <w:rPr>
          <w:rStyle w:val="Rimandonotaapidipagina"/>
        </w:rPr>
        <w:footnoteRef/>
      </w:r>
      <w:r>
        <w:t xml:space="preserve"> </w:t>
      </w:r>
      <w:r>
        <w:rPr>
          <w:i/>
        </w:rPr>
        <w:t>Ibidem.</w:t>
      </w:r>
    </w:p>
  </w:footnote>
  <w:footnote w:id="10">
    <w:p w14:paraId="2C7000DF" w14:textId="2498C7F6" w:rsidR="002C7BA7" w:rsidRPr="00F06CB0" w:rsidRDefault="002C7BA7">
      <w:pPr>
        <w:pStyle w:val="Testonotaapidipagina"/>
      </w:pPr>
      <w:r>
        <w:rPr>
          <w:rStyle w:val="Rimandonotaapidipagina"/>
        </w:rPr>
        <w:footnoteRef/>
      </w:r>
      <w:r>
        <w:t xml:space="preserve"> F. Ecca, </w:t>
      </w:r>
      <w:r>
        <w:rPr>
          <w:i/>
        </w:rPr>
        <w:t xml:space="preserve">Lucri di guerra. Le forniture di armi e munizioni e i “pescecani industriali” in Italia (1914-1922), </w:t>
      </w:r>
      <w:r>
        <w:t>Roma, Viella, 2018, p. 39.</w:t>
      </w:r>
    </w:p>
  </w:footnote>
  <w:footnote w:id="11">
    <w:p w14:paraId="6C034023" w14:textId="25A4BDCC" w:rsidR="002C7BA7" w:rsidRPr="003A558F" w:rsidRDefault="002C7BA7">
      <w:pPr>
        <w:pStyle w:val="Testonotaapidipagina"/>
        <w:rPr>
          <w:i/>
        </w:rPr>
      </w:pPr>
      <w:r>
        <w:rPr>
          <w:rStyle w:val="Rimandonotaapidipagina"/>
        </w:rPr>
        <w:footnoteRef/>
      </w:r>
      <w:r>
        <w:t xml:space="preserve"> </w:t>
      </w:r>
      <w:r>
        <w:rPr>
          <w:i/>
        </w:rPr>
        <w:t>Ibidem.</w:t>
      </w:r>
    </w:p>
  </w:footnote>
  <w:footnote w:id="12">
    <w:p w14:paraId="6388D652" w14:textId="1231120C" w:rsidR="002C7BA7" w:rsidRDefault="002C7BA7">
      <w:pPr>
        <w:pStyle w:val="Testonotaapidipagina"/>
      </w:pPr>
      <w:r>
        <w:rPr>
          <w:rStyle w:val="Rimandonotaapidipagina"/>
        </w:rPr>
        <w:footnoteRef/>
      </w:r>
      <w:r>
        <w:t xml:space="preserve"> Ivi, pp. 39-40.</w:t>
      </w:r>
    </w:p>
  </w:footnote>
  <w:footnote w:id="13">
    <w:p w14:paraId="604162B1" w14:textId="721A1AE8" w:rsidR="002C7BA7" w:rsidRPr="003A558F" w:rsidRDefault="002C7BA7">
      <w:pPr>
        <w:pStyle w:val="Testonotaapidipagina"/>
        <w:rPr>
          <w:i/>
        </w:rPr>
      </w:pPr>
      <w:r>
        <w:rPr>
          <w:rStyle w:val="Rimandonotaapidipagina"/>
        </w:rPr>
        <w:footnoteRef/>
      </w:r>
      <w:r>
        <w:t xml:space="preserve"> </w:t>
      </w:r>
      <w:r>
        <w:rPr>
          <w:i/>
        </w:rPr>
        <w:t>Ibidem.</w:t>
      </w:r>
    </w:p>
  </w:footnote>
  <w:footnote w:id="14">
    <w:p w14:paraId="6D6DBBA3" w14:textId="38016DE6" w:rsidR="002C7BA7" w:rsidRDefault="002C7BA7">
      <w:pPr>
        <w:pStyle w:val="Testonotaapidipagina"/>
      </w:pPr>
      <w:r>
        <w:rPr>
          <w:rStyle w:val="Rimandonotaapidipagina"/>
        </w:rPr>
        <w:footnoteRef/>
      </w:r>
      <w:r>
        <w:t xml:space="preserve"> Ivi, p.  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8418" w14:textId="77777777" w:rsidR="002C7BA7" w:rsidRDefault="002C7BA7" w:rsidP="003411F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1D5D177" w14:textId="77777777" w:rsidR="002C7BA7" w:rsidRDefault="002C7BA7" w:rsidP="00790A6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1712" w14:textId="23D4FBF6" w:rsidR="002C7BA7" w:rsidRDefault="002C7BA7" w:rsidP="003411F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42E27">
      <w:rPr>
        <w:rStyle w:val="Numeropagina"/>
        <w:noProof/>
      </w:rPr>
      <w:t>10</w:t>
    </w:r>
    <w:r>
      <w:rPr>
        <w:rStyle w:val="Numeropagina"/>
      </w:rPr>
      <w:fldChar w:fldCharType="end"/>
    </w:r>
  </w:p>
  <w:p w14:paraId="600B03FE" w14:textId="77777777" w:rsidR="002C7BA7" w:rsidRDefault="002C7BA7" w:rsidP="00790A6F">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64BA5"/>
    <w:multiLevelType w:val="hybridMultilevel"/>
    <w:tmpl w:val="450EC13C"/>
    <w:lvl w:ilvl="0" w:tplc="9D963512">
      <w:start w:val="1"/>
      <w:numFmt w:val="decimal"/>
      <w:lvlText w:val="%1."/>
      <w:lvlJc w:val="left"/>
      <w:pPr>
        <w:ind w:left="980" w:hanging="6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53"/>
    <w:rsid w:val="00042DB7"/>
    <w:rsid w:val="001B261B"/>
    <w:rsid w:val="001B7856"/>
    <w:rsid w:val="001C6253"/>
    <w:rsid w:val="001E56F0"/>
    <w:rsid w:val="00242E27"/>
    <w:rsid w:val="002C7BA7"/>
    <w:rsid w:val="003357A8"/>
    <w:rsid w:val="003411FC"/>
    <w:rsid w:val="00354B05"/>
    <w:rsid w:val="00376CA8"/>
    <w:rsid w:val="003A558F"/>
    <w:rsid w:val="00425FA9"/>
    <w:rsid w:val="004949BA"/>
    <w:rsid w:val="004E1015"/>
    <w:rsid w:val="00523D60"/>
    <w:rsid w:val="0053661B"/>
    <w:rsid w:val="00536BE6"/>
    <w:rsid w:val="006B30E1"/>
    <w:rsid w:val="00704284"/>
    <w:rsid w:val="00790A6F"/>
    <w:rsid w:val="007C3790"/>
    <w:rsid w:val="00821976"/>
    <w:rsid w:val="00AE3D47"/>
    <w:rsid w:val="00B344B4"/>
    <w:rsid w:val="00B57594"/>
    <w:rsid w:val="00B9640E"/>
    <w:rsid w:val="00C24C97"/>
    <w:rsid w:val="00D042B3"/>
    <w:rsid w:val="00D13B47"/>
    <w:rsid w:val="00D7586F"/>
    <w:rsid w:val="00DB0866"/>
    <w:rsid w:val="00DC3482"/>
    <w:rsid w:val="00E0740A"/>
    <w:rsid w:val="00E67F83"/>
    <w:rsid w:val="00F06CB0"/>
    <w:rsid w:val="00F33C9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13BF7"/>
  <w14:defaultImageDpi w14:val="300"/>
  <w15:docId w15:val="{5CEFD949-EB2B-40A0-B1BC-320D72B4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1C6253"/>
  </w:style>
  <w:style w:type="character" w:customStyle="1" w:styleId="TestonotaapidipaginaCarattere">
    <w:name w:val="Testo nota a piè di pagina Carattere"/>
    <w:basedOn w:val="Carpredefinitoparagrafo"/>
    <w:link w:val="Testonotaapidipagina"/>
    <w:uiPriority w:val="99"/>
    <w:rsid w:val="001C6253"/>
  </w:style>
  <w:style w:type="character" w:styleId="Rimandonotaapidipagina">
    <w:name w:val="footnote reference"/>
    <w:basedOn w:val="Carpredefinitoparagrafo"/>
    <w:uiPriority w:val="99"/>
    <w:unhideWhenUsed/>
    <w:rsid w:val="001C6253"/>
    <w:rPr>
      <w:vertAlign w:val="superscript"/>
    </w:rPr>
  </w:style>
  <w:style w:type="paragraph" w:styleId="Paragrafoelenco">
    <w:name w:val="List Paragraph"/>
    <w:basedOn w:val="Normale"/>
    <w:uiPriority w:val="34"/>
    <w:qFormat/>
    <w:rsid w:val="001C6253"/>
    <w:pPr>
      <w:ind w:left="720"/>
      <w:contextualSpacing/>
    </w:pPr>
  </w:style>
  <w:style w:type="paragraph" w:styleId="Intestazione">
    <w:name w:val="header"/>
    <w:basedOn w:val="Normale"/>
    <w:link w:val="IntestazioneCarattere"/>
    <w:uiPriority w:val="99"/>
    <w:unhideWhenUsed/>
    <w:rsid w:val="00790A6F"/>
    <w:pPr>
      <w:tabs>
        <w:tab w:val="center" w:pos="4819"/>
        <w:tab w:val="right" w:pos="9638"/>
      </w:tabs>
    </w:pPr>
  </w:style>
  <w:style w:type="character" w:customStyle="1" w:styleId="IntestazioneCarattere">
    <w:name w:val="Intestazione Carattere"/>
    <w:basedOn w:val="Carpredefinitoparagrafo"/>
    <w:link w:val="Intestazione"/>
    <w:uiPriority w:val="99"/>
    <w:rsid w:val="00790A6F"/>
  </w:style>
  <w:style w:type="character" w:styleId="Numeropagina">
    <w:name w:val="page number"/>
    <w:basedOn w:val="Carpredefinitoparagrafo"/>
    <w:uiPriority w:val="99"/>
    <w:semiHidden/>
    <w:unhideWhenUsed/>
    <w:rsid w:val="00790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10</Pages>
  <Words>2628</Words>
  <Characters>14982</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Melis</dc:creator>
  <cp:keywords/>
  <dc:description/>
  <cp:lastModifiedBy>andrea.delre</cp:lastModifiedBy>
  <cp:revision>14</cp:revision>
  <dcterms:created xsi:type="dcterms:W3CDTF">2018-06-09T10:08:00Z</dcterms:created>
  <dcterms:modified xsi:type="dcterms:W3CDTF">2018-06-13T09:32:00Z</dcterms:modified>
</cp:coreProperties>
</file>