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321AA1" w:rsidRPr="006C4FD5" w:rsidRDefault="00E43C3A" w:rsidP="00F34777">
      <w:pPr>
        <w:jc w:val="both"/>
        <w:rPr>
          <w:rFonts w:ascii="Times New Roman" w:hAnsi="Times New Roman" w:cs="Times New Roman"/>
          <w:b/>
          <w:sz w:val="32"/>
          <w:szCs w:val="32"/>
        </w:rPr>
      </w:pPr>
      <w:r>
        <w:rPr>
          <w:rFonts w:ascii="Times New Roman" w:hAnsi="Times New Roman" w:cs="Times New Roman"/>
          <w:b/>
          <w:sz w:val="32"/>
          <w:szCs w:val="32"/>
        </w:rPr>
        <w:t>Il giudice nazionale t</w:t>
      </w:r>
      <w:r w:rsidR="002300AD" w:rsidRPr="006C4FD5">
        <w:rPr>
          <w:rFonts w:ascii="Times New Roman" w:hAnsi="Times New Roman" w:cs="Times New Roman"/>
          <w:b/>
          <w:sz w:val="32"/>
          <w:szCs w:val="32"/>
        </w:rPr>
        <w:t xml:space="preserve">ra rinvio pregiudiziale </w:t>
      </w:r>
      <w:r w:rsidR="00707ADD" w:rsidRPr="006C4FD5">
        <w:rPr>
          <w:rFonts w:ascii="Times New Roman" w:hAnsi="Times New Roman" w:cs="Times New Roman"/>
          <w:b/>
          <w:sz w:val="32"/>
          <w:szCs w:val="32"/>
        </w:rPr>
        <w:t xml:space="preserve">alla Corte di giustizia </w:t>
      </w:r>
      <w:r w:rsidR="003A4182">
        <w:rPr>
          <w:rFonts w:ascii="Times New Roman" w:hAnsi="Times New Roman" w:cs="Times New Roman"/>
          <w:b/>
          <w:sz w:val="32"/>
          <w:szCs w:val="32"/>
        </w:rPr>
        <w:t>dell’Unione europea</w:t>
      </w:r>
      <w:r w:rsidR="00707ADD" w:rsidRPr="006C4FD5">
        <w:rPr>
          <w:rFonts w:ascii="Times New Roman" w:hAnsi="Times New Roman" w:cs="Times New Roman"/>
          <w:b/>
          <w:sz w:val="32"/>
          <w:szCs w:val="32"/>
        </w:rPr>
        <w:t xml:space="preserve"> </w:t>
      </w:r>
      <w:r w:rsidR="002300AD" w:rsidRPr="006C4FD5">
        <w:rPr>
          <w:rFonts w:ascii="Times New Roman" w:hAnsi="Times New Roman" w:cs="Times New Roman"/>
          <w:b/>
          <w:sz w:val="32"/>
          <w:szCs w:val="32"/>
        </w:rPr>
        <w:t xml:space="preserve">e </w:t>
      </w:r>
      <w:r w:rsidR="003A4182">
        <w:rPr>
          <w:rFonts w:ascii="Times New Roman" w:hAnsi="Times New Roman" w:cs="Times New Roman"/>
          <w:b/>
          <w:sz w:val="32"/>
          <w:szCs w:val="32"/>
        </w:rPr>
        <w:t>rimessione alla Corte c</w:t>
      </w:r>
      <w:r w:rsidR="00707ADD" w:rsidRPr="006C4FD5">
        <w:rPr>
          <w:rFonts w:ascii="Times New Roman" w:hAnsi="Times New Roman" w:cs="Times New Roman"/>
          <w:b/>
          <w:sz w:val="32"/>
          <w:szCs w:val="32"/>
        </w:rPr>
        <w:t xml:space="preserve">ostituzionale, </w:t>
      </w:r>
      <w:r w:rsidR="00B34C31">
        <w:rPr>
          <w:rFonts w:ascii="Times New Roman" w:hAnsi="Times New Roman" w:cs="Times New Roman"/>
          <w:b/>
          <w:sz w:val="32"/>
          <w:szCs w:val="32"/>
        </w:rPr>
        <w:t>alla luce di due recenti sentenze dalla Corte costituzionale (</w:t>
      </w:r>
      <w:r>
        <w:rPr>
          <w:rFonts w:ascii="Times New Roman" w:hAnsi="Times New Roman" w:cs="Times New Roman"/>
          <w:b/>
          <w:sz w:val="32"/>
          <w:szCs w:val="32"/>
        </w:rPr>
        <w:t xml:space="preserve">sentenza 14 dicembre 2017, </w:t>
      </w:r>
      <w:r w:rsidR="00B34C31">
        <w:rPr>
          <w:rFonts w:ascii="Times New Roman" w:hAnsi="Times New Roman" w:cs="Times New Roman"/>
          <w:b/>
          <w:sz w:val="32"/>
          <w:szCs w:val="32"/>
        </w:rPr>
        <w:t>n. 269) e della Corte di giustizia dell’Unione europea (sentenza</w:t>
      </w:r>
      <w:r w:rsidR="00703815">
        <w:rPr>
          <w:rFonts w:ascii="Times New Roman" w:hAnsi="Times New Roman" w:cs="Times New Roman"/>
          <w:b/>
          <w:sz w:val="32"/>
          <w:szCs w:val="32"/>
        </w:rPr>
        <w:t xml:space="preserve"> 20 dicembre 2017, </w:t>
      </w:r>
      <w:r w:rsidR="00703815" w:rsidRPr="00703815">
        <w:rPr>
          <w:rFonts w:ascii="Times New Roman" w:hAnsi="Times New Roman" w:cs="Times New Roman"/>
          <w:b/>
          <w:sz w:val="32"/>
          <w:szCs w:val="32"/>
        </w:rPr>
        <w:t>causa C-322/16</w:t>
      </w:r>
      <w:r>
        <w:rPr>
          <w:rFonts w:ascii="Times New Roman" w:hAnsi="Times New Roman" w:cs="Times New Roman"/>
          <w:b/>
          <w:sz w:val="32"/>
          <w:szCs w:val="32"/>
        </w:rPr>
        <w:t xml:space="preserve">, </w:t>
      </w:r>
      <w:r w:rsidRPr="00E43C3A">
        <w:rPr>
          <w:rFonts w:ascii="Times New Roman" w:hAnsi="Times New Roman" w:cs="Times New Roman"/>
          <w:b/>
          <w:i/>
          <w:sz w:val="32"/>
          <w:szCs w:val="32"/>
        </w:rPr>
        <w:t xml:space="preserve">Global </w:t>
      </w:r>
      <w:proofErr w:type="spellStart"/>
      <w:r w:rsidRPr="00E43C3A">
        <w:rPr>
          <w:rFonts w:ascii="Times New Roman" w:hAnsi="Times New Roman" w:cs="Times New Roman"/>
          <w:b/>
          <w:i/>
          <w:sz w:val="32"/>
          <w:szCs w:val="32"/>
        </w:rPr>
        <w:t>Starned</w:t>
      </w:r>
      <w:proofErr w:type="spellEnd"/>
      <w:r w:rsidRPr="00E43C3A">
        <w:rPr>
          <w:rFonts w:ascii="Times New Roman" w:hAnsi="Times New Roman" w:cs="Times New Roman"/>
          <w:b/>
          <w:i/>
          <w:sz w:val="32"/>
          <w:szCs w:val="32"/>
        </w:rPr>
        <w:t xml:space="preserve"> Ltd</w:t>
      </w:r>
      <w:r w:rsidR="00703815" w:rsidRPr="00703815">
        <w:rPr>
          <w:rFonts w:ascii="Times New Roman" w:hAnsi="Times New Roman" w:cs="Times New Roman"/>
          <w:b/>
          <w:sz w:val="32"/>
          <w:szCs w:val="32"/>
        </w:rPr>
        <w:t>)</w:t>
      </w:r>
      <w:r w:rsidR="00707ADD" w:rsidRPr="006C4FD5">
        <w:rPr>
          <w:rFonts w:ascii="Times New Roman" w:hAnsi="Times New Roman" w:cs="Times New Roman"/>
          <w:b/>
          <w:sz w:val="32"/>
          <w:szCs w:val="32"/>
        </w:rPr>
        <w:t xml:space="preserve">. </w:t>
      </w:r>
    </w:p>
    <w:p w:rsidR="00707ADD" w:rsidRDefault="00707ADD" w:rsidP="00F34777">
      <w:pPr>
        <w:jc w:val="both"/>
        <w:rPr>
          <w:rFonts w:ascii="Times New Roman" w:hAnsi="Times New Roman" w:cs="Times New Roman"/>
          <w:sz w:val="32"/>
          <w:szCs w:val="32"/>
        </w:rPr>
      </w:pPr>
    </w:p>
    <w:p w:rsidR="003A4182" w:rsidRPr="00363ACB" w:rsidRDefault="003A4182" w:rsidP="00F34777">
      <w:pPr>
        <w:jc w:val="both"/>
        <w:rPr>
          <w:rFonts w:ascii="Times New Roman" w:hAnsi="Times New Roman" w:cs="Times New Roman"/>
          <w:b/>
          <w:sz w:val="32"/>
          <w:szCs w:val="32"/>
        </w:rPr>
      </w:pPr>
      <w:r w:rsidRPr="00363ACB">
        <w:rPr>
          <w:rFonts w:ascii="Times New Roman" w:hAnsi="Times New Roman" w:cs="Times New Roman"/>
          <w:b/>
          <w:sz w:val="32"/>
          <w:szCs w:val="32"/>
        </w:rPr>
        <w:t>1</w:t>
      </w:r>
      <w:r w:rsidR="001A3EA6" w:rsidRPr="00363ACB">
        <w:rPr>
          <w:rFonts w:ascii="Times New Roman" w:hAnsi="Times New Roman" w:cs="Times New Roman"/>
          <w:b/>
          <w:sz w:val="32"/>
          <w:szCs w:val="32"/>
        </w:rPr>
        <w:t xml:space="preserve">. </w:t>
      </w:r>
      <w:r w:rsidRPr="00363ACB">
        <w:rPr>
          <w:rFonts w:ascii="Times New Roman" w:hAnsi="Times New Roman" w:cs="Times New Roman"/>
          <w:b/>
          <w:sz w:val="32"/>
          <w:szCs w:val="32"/>
        </w:rPr>
        <w:t xml:space="preserve">Premesse. </w:t>
      </w:r>
    </w:p>
    <w:p w:rsidR="00784F62" w:rsidRDefault="002920E1" w:rsidP="00F34777">
      <w:pPr>
        <w:jc w:val="both"/>
        <w:rPr>
          <w:rFonts w:ascii="Times New Roman" w:hAnsi="Times New Roman" w:cs="Times New Roman"/>
          <w:sz w:val="32"/>
          <w:szCs w:val="32"/>
        </w:rPr>
      </w:pPr>
      <w:r>
        <w:rPr>
          <w:rFonts w:ascii="Times New Roman" w:hAnsi="Times New Roman" w:cs="Times New Roman"/>
          <w:sz w:val="32"/>
          <w:szCs w:val="32"/>
        </w:rPr>
        <w:t>Il presente</w:t>
      </w:r>
      <w:r w:rsidR="001A3EA6">
        <w:rPr>
          <w:rFonts w:ascii="Times New Roman" w:hAnsi="Times New Roman" w:cs="Times New Roman"/>
          <w:sz w:val="32"/>
          <w:szCs w:val="32"/>
        </w:rPr>
        <w:t xml:space="preserve"> contributo intende affrontare alcune problematiche applicative </w:t>
      </w:r>
      <w:r w:rsidR="00D74918">
        <w:rPr>
          <w:rFonts w:ascii="Times New Roman" w:hAnsi="Times New Roman" w:cs="Times New Roman"/>
          <w:sz w:val="32"/>
          <w:szCs w:val="32"/>
        </w:rPr>
        <w:t>inerenti a</w:t>
      </w:r>
      <w:r w:rsidR="005B7599">
        <w:rPr>
          <w:rFonts w:ascii="Times New Roman" w:hAnsi="Times New Roman" w:cs="Times New Roman"/>
          <w:sz w:val="32"/>
          <w:szCs w:val="32"/>
        </w:rPr>
        <w:t xml:space="preserve">l rapporto tra pregiudiziale comunitaria </w:t>
      </w:r>
      <w:r w:rsidR="003A4182">
        <w:rPr>
          <w:rFonts w:ascii="Times New Roman" w:hAnsi="Times New Roman" w:cs="Times New Roman"/>
          <w:sz w:val="32"/>
          <w:szCs w:val="32"/>
        </w:rPr>
        <w:t>(oggi, ‘euro-unitaria’, ‘</w:t>
      </w:r>
      <w:proofErr w:type="spellStart"/>
      <w:r w:rsidR="003A4182">
        <w:rPr>
          <w:rFonts w:ascii="Times New Roman" w:hAnsi="Times New Roman" w:cs="Times New Roman"/>
          <w:sz w:val="32"/>
          <w:szCs w:val="32"/>
        </w:rPr>
        <w:t>unionale</w:t>
      </w:r>
      <w:proofErr w:type="spellEnd"/>
      <w:r w:rsidR="003A4182">
        <w:rPr>
          <w:rFonts w:ascii="Times New Roman" w:hAnsi="Times New Roman" w:cs="Times New Roman"/>
          <w:sz w:val="32"/>
          <w:szCs w:val="32"/>
        </w:rPr>
        <w:t xml:space="preserve">’ o ‘europea’) </w:t>
      </w:r>
      <w:r w:rsidR="005B7599">
        <w:rPr>
          <w:rFonts w:ascii="Times New Roman" w:hAnsi="Times New Roman" w:cs="Times New Roman"/>
          <w:sz w:val="32"/>
          <w:szCs w:val="32"/>
        </w:rPr>
        <w:t xml:space="preserve">e pregiudiziale costituzionale, </w:t>
      </w:r>
      <w:r w:rsidR="001A3EA6">
        <w:rPr>
          <w:rFonts w:ascii="Times New Roman" w:hAnsi="Times New Roman" w:cs="Times New Roman"/>
          <w:sz w:val="32"/>
          <w:szCs w:val="32"/>
        </w:rPr>
        <w:t>che, in particolar modo, interessano il giudice nazionale</w:t>
      </w:r>
      <w:r w:rsidR="005B7599">
        <w:rPr>
          <w:rFonts w:ascii="Times New Roman" w:hAnsi="Times New Roman" w:cs="Times New Roman"/>
          <w:sz w:val="32"/>
          <w:szCs w:val="32"/>
        </w:rPr>
        <w:t xml:space="preserve"> di ultima istanza</w:t>
      </w:r>
      <w:r w:rsidR="00784F62">
        <w:rPr>
          <w:rFonts w:ascii="Times New Roman" w:hAnsi="Times New Roman" w:cs="Times New Roman"/>
          <w:sz w:val="32"/>
          <w:szCs w:val="32"/>
        </w:rPr>
        <w:t>,</w:t>
      </w:r>
      <w:r w:rsidR="00421201">
        <w:rPr>
          <w:rFonts w:ascii="Times New Roman" w:hAnsi="Times New Roman" w:cs="Times New Roman"/>
          <w:sz w:val="32"/>
          <w:szCs w:val="32"/>
        </w:rPr>
        <w:t xml:space="preserve"> </w:t>
      </w:r>
      <w:r w:rsidR="001A3EA6">
        <w:rPr>
          <w:rFonts w:ascii="Times New Roman" w:hAnsi="Times New Roman" w:cs="Times New Roman"/>
          <w:sz w:val="32"/>
          <w:szCs w:val="32"/>
        </w:rPr>
        <w:t xml:space="preserve">in ispecie quello </w:t>
      </w:r>
      <w:r w:rsidR="00421201">
        <w:rPr>
          <w:rFonts w:ascii="Times New Roman" w:hAnsi="Times New Roman" w:cs="Times New Roman"/>
          <w:sz w:val="32"/>
          <w:szCs w:val="32"/>
        </w:rPr>
        <w:t>amministrativ</w:t>
      </w:r>
      <w:r>
        <w:rPr>
          <w:rFonts w:ascii="Times New Roman" w:hAnsi="Times New Roman" w:cs="Times New Roman"/>
          <w:sz w:val="32"/>
          <w:szCs w:val="32"/>
        </w:rPr>
        <w:t>o</w:t>
      </w:r>
      <w:r w:rsidR="00421201">
        <w:rPr>
          <w:rFonts w:ascii="Times New Roman" w:hAnsi="Times New Roman" w:cs="Times New Roman"/>
          <w:sz w:val="32"/>
          <w:szCs w:val="32"/>
        </w:rPr>
        <w:t>,</w:t>
      </w:r>
      <w:r>
        <w:rPr>
          <w:rFonts w:ascii="Times New Roman" w:hAnsi="Times New Roman" w:cs="Times New Roman"/>
          <w:sz w:val="32"/>
          <w:szCs w:val="32"/>
        </w:rPr>
        <w:t xml:space="preserve"> atteso</w:t>
      </w:r>
      <w:r w:rsidR="005B7599">
        <w:rPr>
          <w:rFonts w:ascii="Times New Roman" w:hAnsi="Times New Roman" w:cs="Times New Roman"/>
          <w:sz w:val="32"/>
          <w:szCs w:val="32"/>
        </w:rPr>
        <w:t xml:space="preserve">, per un verso, l’obbligo del rinvio pregiudiziale sancito dall’art. 267, </w:t>
      </w:r>
      <w:r w:rsidR="00D60FEE">
        <w:rPr>
          <w:rFonts w:ascii="Times New Roman" w:hAnsi="Times New Roman" w:cs="Times New Roman"/>
          <w:sz w:val="32"/>
          <w:szCs w:val="32"/>
        </w:rPr>
        <w:t>paragrafo 3,</w:t>
      </w:r>
      <w:r w:rsidR="003A4182">
        <w:rPr>
          <w:rFonts w:ascii="Times New Roman" w:hAnsi="Times New Roman" w:cs="Times New Roman"/>
          <w:sz w:val="32"/>
          <w:szCs w:val="32"/>
        </w:rPr>
        <w:t xml:space="preserve"> </w:t>
      </w:r>
      <w:r w:rsidR="00D60FEE">
        <w:rPr>
          <w:rFonts w:ascii="Times New Roman" w:hAnsi="Times New Roman" w:cs="Times New Roman"/>
          <w:sz w:val="32"/>
          <w:szCs w:val="32"/>
        </w:rPr>
        <w:t>del Trattato sul funzionamento dell’Unione europea (</w:t>
      </w:r>
      <w:r w:rsidR="003A4182">
        <w:rPr>
          <w:rFonts w:ascii="Times New Roman" w:hAnsi="Times New Roman" w:cs="Times New Roman"/>
          <w:sz w:val="32"/>
          <w:szCs w:val="32"/>
        </w:rPr>
        <w:t>TFUE</w:t>
      </w:r>
      <w:r w:rsidR="00D60FEE">
        <w:rPr>
          <w:rFonts w:ascii="Times New Roman" w:hAnsi="Times New Roman" w:cs="Times New Roman"/>
          <w:sz w:val="32"/>
          <w:szCs w:val="32"/>
        </w:rPr>
        <w:t>)</w:t>
      </w:r>
      <w:r w:rsidR="003A4182">
        <w:rPr>
          <w:rFonts w:ascii="Times New Roman" w:hAnsi="Times New Roman" w:cs="Times New Roman"/>
          <w:sz w:val="32"/>
          <w:szCs w:val="32"/>
        </w:rPr>
        <w:t xml:space="preserve"> per </w:t>
      </w:r>
      <w:r w:rsidR="00D60FEE">
        <w:rPr>
          <w:rFonts w:ascii="Times New Roman" w:hAnsi="Times New Roman" w:cs="Times New Roman"/>
          <w:sz w:val="32"/>
          <w:szCs w:val="32"/>
        </w:rPr>
        <w:t>il giudice nazionale di ultima istanza</w:t>
      </w:r>
      <w:r w:rsidR="005B7599">
        <w:rPr>
          <w:rFonts w:ascii="Times New Roman" w:hAnsi="Times New Roman" w:cs="Times New Roman"/>
          <w:sz w:val="32"/>
          <w:szCs w:val="32"/>
        </w:rPr>
        <w:t>, e considerato, per altro verso,</w:t>
      </w:r>
      <w:r>
        <w:rPr>
          <w:rFonts w:ascii="Times New Roman" w:hAnsi="Times New Roman" w:cs="Times New Roman"/>
          <w:sz w:val="32"/>
          <w:szCs w:val="32"/>
        </w:rPr>
        <w:t xml:space="preserve"> il rilevante impatto (sotto il profilo quantitativo e qualitativo) della produzione normativa de</w:t>
      </w:r>
      <w:r w:rsidR="00784F62">
        <w:rPr>
          <w:rFonts w:ascii="Times New Roman" w:hAnsi="Times New Roman" w:cs="Times New Roman"/>
          <w:sz w:val="32"/>
          <w:szCs w:val="32"/>
        </w:rPr>
        <w:t>lle istituzioni</w:t>
      </w:r>
      <w:r>
        <w:rPr>
          <w:rFonts w:ascii="Times New Roman" w:hAnsi="Times New Roman" w:cs="Times New Roman"/>
          <w:sz w:val="32"/>
          <w:szCs w:val="32"/>
        </w:rPr>
        <w:t xml:space="preserve"> dell’U</w:t>
      </w:r>
      <w:r w:rsidR="00D60FEE">
        <w:rPr>
          <w:rFonts w:ascii="Times New Roman" w:hAnsi="Times New Roman" w:cs="Times New Roman"/>
          <w:sz w:val="32"/>
          <w:szCs w:val="32"/>
        </w:rPr>
        <w:t>nione europea</w:t>
      </w:r>
      <w:r w:rsidR="00784F62">
        <w:rPr>
          <w:rFonts w:ascii="Times New Roman" w:hAnsi="Times New Roman" w:cs="Times New Roman"/>
          <w:sz w:val="32"/>
          <w:szCs w:val="32"/>
        </w:rPr>
        <w:t xml:space="preserve"> </w:t>
      </w:r>
      <w:r w:rsidR="00C4794F">
        <w:rPr>
          <w:rFonts w:ascii="Times New Roman" w:hAnsi="Times New Roman" w:cs="Times New Roman"/>
          <w:sz w:val="32"/>
          <w:szCs w:val="32"/>
        </w:rPr>
        <w:t>– nell’esercizio</w:t>
      </w:r>
      <w:r w:rsidR="00784F62">
        <w:rPr>
          <w:rFonts w:ascii="Times New Roman" w:hAnsi="Times New Roman" w:cs="Times New Roman"/>
          <w:sz w:val="32"/>
          <w:szCs w:val="32"/>
        </w:rPr>
        <w:t xml:space="preserve"> delle competenze esclusive, concorrenti (o condivise) e </w:t>
      </w:r>
      <w:r w:rsidR="003A4182">
        <w:rPr>
          <w:rFonts w:ascii="Times New Roman" w:hAnsi="Times New Roman" w:cs="Times New Roman"/>
          <w:sz w:val="32"/>
          <w:szCs w:val="32"/>
        </w:rPr>
        <w:t>complementari (o parallele</w:t>
      </w:r>
      <w:r w:rsidR="005B7599">
        <w:rPr>
          <w:rFonts w:ascii="Times New Roman" w:hAnsi="Times New Roman" w:cs="Times New Roman"/>
          <w:sz w:val="32"/>
          <w:szCs w:val="32"/>
        </w:rPr>
        <w:t>)</w:t>
      </w:r>
      <w:r w:rsidR="00784F62">
        <w:rPr>
          <w:rFonts w:ascii="Times New Roman" w:hAnsi="Times New Roman" w:cs="Times New Roman"/>
          <w:sz w:val="32"/>
          <w:szCs w:val="32"/>
        </w:rPr>
        <w:t xml:space="preserve"> </w:t>
      </w:r>
      <w:r w:rsidR="007E1A64">
        <w:rPr>
          <w:rFonts w:ascii="Times New Roman" w:hAnsi="Times New Roman" w:cs="Times New Roman"/>
          <w:sz w:val="32"/>
          <w:szCs w:val="32"/>
        </w:rPr>
        <w:t>ad esse attribuite</w:t>
      </w:r>
      <w:r w:rsidR="003A4182">
        <w:rPr>
          <w:rFonts w:ascii="Times New Roman" w:hAnsi="Times New Roman" w:cs="Times New Roman"/>
          <w:sz w:val="32"/>
          <w:szCs w:val="32"/>
        </w:rPr>
        <w:t xml:space="preserve"> dai Trattati dell’Unione</w:t>
      </w:r>
      <w:r w:rsidR="007E1A64">
        <w:rPr>
          <w:rStyle w:val="Rimandonotaapidipagina"/>
          <w:rFonts w:ascii="Times New Roman" w:hAnsi="Times New Roman" w:cs="Times New Roman"/>
          <w:sz w:val="32"/>
          <w:szCs w:val="32"/>
        </w:rPr>
        <w:footnoteReference w:id="1"/>
      </w:r>
      <w:r w:rsidR="00C4794F">
        <w:rPr>
          <w:rFonts w:ascii="Times New Roman" w:hAnsi="Times New Roman" w:cs="Times New Roman"/>
          <w:sz w:val="32"/>
          <w:szCs w:val="32"/>
        </w:rPr>
        <w:t xml:space="preserve"> –</w:t>
      </w:r>
      <w:r w:rsidR="00784F62">
        <w:rPr>
          <w:rFonts w:ascii="Times New Roman" w:hAnsi="Times New Roman" w:cs="Times New Roman"/>
          <w:sz w:val="32"/>
          <w:szCs w:val="32"/>
        </w:rPr>
        <w:t>,</w:t>
      </w:r>
      <w:r>
        <w:rPr>
          <w:rFonts w:ascii="Times New Roman" w:hAnsi="Times New Roman" w:cs="Times New Roman"/>
          <w:sz w:val="32"/>
          <w:szCs w:val="32"/>
        </w:rPr>
        <w:t xml:space="preserve"> sul settore del diritto amministrativo e </w:t>
      </w:r>
      <w:r w:rsidR="00784F62">
        <w:rPr>
          <w:rFonts w:ascii="Times New Roman" w:hAnsi="Times New Roman" w:cs="Times New Roman"/>
          <w:sz w:val="32"/>
          <w:szCs w:val="32"/>
        </w:rPr>
        <w:t>su</w:t>
      </w:r>
      <w:r>
        <w:rPr>
          <w:rFonts w:ascii="Times New Roman" w:hAnsi="Times New Roman" w:cs="Times New Roman"/>
          <w:sz w:val="32"/>
          <w:szCs w:val="32"/>
        </w:rPr>
        <w:t>lle materie attribuite alla giurisdizione esclusiva del giudice amministrativo</w:t>
      </w:r>
      <w:r w:rsidR="00784F62">
        <w:rPr>
          <w:rFonts w:ascii="Times New Roman" w:hAnsi="Times New Roman" w:cs="Times New Roman"/>
          <w:sz w:val="32"/>
          <w:szCs w:val="32"/>
        </w:rPr>
        <w:t>.</w:t>
      </w:r>
      <w:r>
        <w:rPr>
          <w:rStyle w:val="Rimandonotaapidipagina"/>
          <w:rFonts w:ascii="Times New Roman" w:hAnsi="Times New Roman" w:cs="Times New Roman"/>
          <w:sz w:val="32"/>
          <w:szCs w:val="32"/>
        </w:rPr>
        <w:footnoteReference w:id="2"/>
      </w:r>
    </w:p>
    <w:p w:rsidR="00703815" w:rsidRDefault="00023A1D" w:rsidP="00F34777">
      <w:pPr>
        <w:jc w:val="both"/>
        <w:rPr>
          <w:rFonts w:ascii="Times New Roman" w:hAnsi="Times New Roman" w:cs="Times New Roman"/>
          <w:sz w:val="32"/>
          <w:szCs w:val="32"/>
        </w:rPr>
      </w:pPr>
      <w:r>
        <w:rPr>
          <w:rFonts w:ascii="Times New Roman" w:hAnsi="Times New Roman" w:cs="Times New Roman"/>
          <w:sz w:val="32"/>
          <w:szCs w:val="32"/>
        </w:rPr>
        <w:t xml:space="preserve">Le </w:t>
      </w:r>
      <w:r w:rsidR="00E965FB">
        <w:rPr>
          <w:rFonts w:ascii="Times New Roman" w:hAnsi="Times New Roman" w:cs="Times New Roman"/>
          <w:sz w:val="32"/>
          <w:szCs w:val="32"/>
        </w:rPr>
        <w:t xml:space="preserve">problematiche applicative </w:t>
      </w:r>
      <w:r>
        <w:rPr>
          <w:rFonts w:ascii="Times New Roman" w:hAnsi="Times New Roman" w:cs="Times New Roman"/>
          <w:sz w:val="32"/>
          <w:szCs w:val="32"/>
        </w:rPr>
        <w:t xml:space="preserve">oggetto d’esame </w:t>
      </w:r>
      <w:r w:rsidRPr="00023A1D">
        <w:rPr>
          <w:rFonts w:ascii="Times New Roman" w:hAnsi="Times New Roman" w:cs="Times New Roman"/>
          <w:sz w:val="32"/>
          <w:szCs w:val="32"/>
        </w:rPr>
        <w:t>prend</w:t>
      </w:r>
      <w:r>
        <w:rPr>
          <w:rFonts w:ascii="Times New Roman" w:hAnsi="Times New Roman" w:cs="Times New Roman"/>
          <w:sz w:val="32"/>
          <w:szCs w:val="32"/>
        </w:rPr>
        <w:t>ono</w:t>
      </w:r>
      <w:r w:rsidRPr="00023A1D">
        <w:rPr>
          <w:rFonts w:ascii="Times New Roman" w:hAnsi="Times New Roman" w:cs="Times New Roman"/>
          <w:sz w:val="32"/>
          <w:szCs w:val="32"/>
        </w:rPr>
        <w:t xml:space="preserve"> lo spunto da due recenti pronunce della </w:t>
      </w:r>
      <w:r w:rsidR="00B576AD">
        <w:rPr>
          <w:rFonts w:ascii="Times New Roman" w:hAnsi="Times New Roman" w:cs="Times New Roman"/>
          <w:sz w:val="32"/>
          <w:szCs w:val="32"/>
        </w:rPr>
        <w:t>Corte di giustizia dell’Unione e</w:t>
      </w:r>
      <w:r w:rsidRPr="00023A1D">
        <w:rPr>
          <w:rFonts w:ascii="Times New Roman" w:hAnsi="Times New Roman" w:cs="Times New Roman"/>
          <w:sz w:val="32"/>
          <w:szCs w:val="32"/>
        </w:rPr>
        <w:t xml:space="preserve">uropea e, </w:t>
      </w:r>
      <w:r w:rsidRPr="00023A1D">
        <w:rPr>
          <w:rFonts w:ascii="Times New Roman" w:hAnsi="Times New Roman" w:cs="Times New Roman"/>
          <w:sz w:val="32"/>
          <w:szCs w:val="32"/>
        </w:rPr>
        <w:lastRenderedPageBreak/>
        <w:t xml:space="preserve">rispettivamente, della Corte </w:t>
      </w:r>
      <w:r w:rsidR="005B7599">
        <w:rPr>
          <w:rFonts w:ascii="Times New Roman" w:hAnsi="Times New Roman" w:cs="Times New Roman"/>
          <w:sz w:val="32"/>
          <w:szCs w:val="32"/>
        </w:rPr>
        <w:t>c</w:t>
      </w:r>
      <w:r w:rsidRPr="00023A1D">
        <w:rPr>
          <w:rFonts w:ascii="Times New Roman" w:hAnsi="Times New Roman" w:cs="Times New Roman"/>
          <w:sz w:val="32"/>
          <w:szCs w:val="32"/>
        </w:rPr>
        <w:t xml:space="preserve">ostituzionale, intervenute in tema </w:t>
      </w:r>
      <w:r w:rsidR="00703815">
        <w:rPr>
          <w:rFonts w:ascii="Times New Roman" w:hAnsi="Times New Roman" w:cs="Times New Roman"/>
          <w:sz w:val="32"/>
          <w:szCs w:val="32"/>
        </w:rPr>
        <w:t>di c.d. doppia pregiudizialità, ossia</w:t>
      </w:r>
      <w:r w:rsidR="00776C8E">
        <w:rPr>
          <w:rFonts w:ascii="Times New Roman" w:hAnsi="Times New Roman" w:cs="Times New Roman"/>
          <w:sz w:val="32"/>
          <w:szCs w:val="32"/>
        </w:rPr>
        <w:t xml:space="preserve"> con riferimento a </w:t>
      </w:r>
      <w:r w:rsidR="00776C8E" w:rsidRPr="00776C8E">
        <w:rPr>
          <w:rFonts w:ascii="Times New Roman" w:hAnsi="Times New Roman" w:cs="Times New Roman"/>
          <w:sz w:val="32"/>
          <w:szCs w:val="32"/>
        </w:rPr>
        <w:t>controversie che possono dare luogo a questioni di illegittimità costituzionale e, simultaneamente, a questioni di compatibilità con il diritto dell’Unione</w:t>
      </w:r>
      <w:r w:rsidR="00703815">
        <w:rPr>
          <w:rFonts w:ascii="Times New Roman" w:hAnsi="Times New Roman" w:cs="Times New Roman"/>
          <w:sz w:val="32"/>
          <w:szCs w:val="32"/>
        </w:rPr>
        <w:t>.</w:t>
      </w:r>
      <w:r>
        <w:rPr>
          <w:rFonts w:ascii="Times New Roman" w:hAnsi="Times New Roman" w:cs="Times New Roman"/>
          <w:sz w:val="32"/>
          <w:szCs w:val="32"/>
        </w:rPr>
        <w:t xml:space="preserve"> </w:t>
      </w:r>
    </w:p>
    <w:p w:rsidR="003A4182" w:rsidRDefault="00703815" w:rsidP="00F34777">
      <w:pPr>
        <w:jc w:val="both"/>
        <w:rPr>
          <w:rFonts w:ascii="Times New Roman" w:hAnsi="Times New Roman" w:cs="Times New Roman"/>
          <w:sz w:val="32"/>
          <w:szCs w:val="32"/>
        </w:rPr>
      </w:pPr>
      <w:r>
        <w:rPr>
          <w:rFonts w:ascii="Times New Roman" w:hAnsi="Times New Roman" w:cs="Times New Roman"/>
          <w:sz w:val="32"/>
          <w:szCs w:val="32"/>
        </w:rPr>
        <w:t>L</w:t>
      </w:r>
      <w:r w:rsidR="003A4182">
        <w:rPr>
          <w:rFonts w:ascii="Times New Roman" w:hAnsi="Times New Roman" w:cs="Times New Roman"/>
          <w:sz w:val="32"/>
          <w:szCs w:val="32"/>
        </w:rPr>
        <w:t xml:space="preserve">e </w:t>
      </w:r>
      <w:r>
        <w:rPr>
          <w:rFonts w:ascii="Times New Roman" w:hAnsi="Times New Roman" w:cs="Times New Roman"/>
          <w:sz w:val="32"/>
          <w:szCs w:val="32"/>
        </w:rPr>
        <w:t>sentenze in esame</w:t>
      </w:r>
      <w:r w:rsidR="00023A1D">
        <w:rPr>
          <w:rFonts w:ascii="Times New Roman" w:hAnsi="Times New Roman" w:cs="Times New Roman"/>
          <w:sz w:val="32"/>
          <w:szCs w:val="32"/>
        </w:rPr>
        <w:t xml:space="preserve"> si inseriscono</w:t>
      </w:r>
      <w:r w:rsidR="001A3EA6">
        <w:rPr>
          <w:rFonts w:ascii="Times New Roman" w:hAnsi="Times New Roman" w:cs="Times New Roman"/>
          <w:sz w:val="32"/>
          <w:szCs w:val="32"/>
        </w:rPr>
        <w:t xml:space="preserve"> nel circuito </w:t>
      </w:r>
      <w:r w:rsidR="00023A1D">
        <w:rPr>
          <w:rFonts w:ascii="Times New Roman" w:hAnsi="Times New Roman" w:cs="Times New Roman"/>
          <w:sz w:val="32"/>
          <w:szCs w:val="32"/>
        </w:rPr>
        <w:t>di scambio e di</w:t>
      </w:r>
      <w:r w:rsidR="000B4B87">
        <w:rPr>
          <w:rFonts w:ascii="Times New Roman" w:hAnsi="Times New Roman" w:cs="Times New Roman"/>
          <w:sz w:val="32"/>
          <w:szCs w:val="32"/>
        </w:rPr>
        <w:t xml:space="preserve"> collaborazione </w:t>
      </w:r>
      <w:r w:rsidR="00E965FB">
        <w:rPr>
          <w:rFonts w:ascii="Times New Roman" w:hAnsi="Times New Roman" w:cs="Times New Roman"/>
          <w:sz w:val="32"/>
          <w:szCs w:val="32"/>
        </w:rPr>
        <w:t xml:space="preserve">instauratosi </w:t>
      </w:r>
      <w:r w:rsidR="001A3EA6">
        <w:rPr>
          <w:rFonts w:ascii="Times New Roman" w:hAnsi="Times New Roman" w:cs="Times New Roman"/>
          <w:sz w:val="32"/>
          <w:szCs w:val="32"/>
        </w:rPr>
        <w:t xml:space="preserve">tra </w:t>
      </w:r>
      <w:r w:rsidR="00E965FB">
        <w:rPr>
          <w:rFonts w:ascii="Times New Roman" w:hAnsi="Times New Roman" w:cs="Times New Roman"/>
          <w:sz w:val="32"/>
          <w:szCs w:val="32"/>
        </w:rPr>
        <w:t xml:space="preserve">gli </w:t>
      </w:r>
      <w:r w:rsidR="001A3EA6">
        <w:rPr>
          <w:rFonts w:ascii="Times New Roman" w:hAnsi="Times New Roman" w:cs="Times New Roman"/>
          <w:sz w:val="32"/>
          <w:szCs w:val="32"/>
        </w:rPr>
        <w:t>organi giurisdizionali nell’ordinamento integrato dell’Unione europea</w:t>
      </w:r>
      <w:r w:rsidR="00023A1D">
        <w:rPr>
          <w:rFonts w:ascii="Times New Roman" w:hAnsi="Times New Roman" w:cs="Times New Roman"/>
          <w:sz w:val="32"/>
          <w:szCs w:val="32"/>
        </w:rPr>
        <w:t>.</w:t>
      </w:r>
      <w:r w:rsidR="001A3EA6">
        <w:rPr>
          <w:rFonts w:ascii="Times New Roman" w:hAnsi="Times New Roman" w:cs="Times New Roman"/>
          <w:sz w:val="32"/>
          <w:szCs w:val="32"/>
        </w:rPr>
        <w:t xml:space="preserve"> </w:t>
      </w:r>
      <w:r w:rsidR="00A72869">
        <w:rPr>
          <w:rFonts w:ascii="Times New Roman" w:hAnsi="Times New Roman" w:cs="Times New Roman"/>
          <w:sz w:val="32"/>
          <w:szCs w:val="32"/>
        </w:rPr>
        <w:t>L</w:t>
      </w:r>
      <w:r w:rsidR="003A4182" w:rsidRPr="003A4182">
        <w:rPr>
          <w:rFonts w:ascii="Times New Roman" w:hAnsi="Times New Roman" w:cs="Times New Roman"/>
          <w:sz w:val="32"/>
          <w:szCs w:val="32"/>
        </w:rPr>
        <w:t xml:space="preserve">’art. 19, paragrafo 1, </w:t>
      </w:r>
      <w:r w:rsidR="00D60FEE">
        <w:rPr>
          <w:rFonts w:ascii="Times New Roman" w:hAnsi="Times New Roman" w:cs="Times New Roman"/>
          <w:sz w:val="32"/>
          <w:szCs w:val="32"/>
        </w:rPr>
        <w:t>del Trattato sull’Unione europea (</w:t>
      </w:r>
      <w:r w:rsidR="003A4182" w:rsidRPr="003A4182">
        <w:rPr>
          <w:rFonts w:ascii="Times New Roman" w:hAnsi="Times New Roman" w:cs="Times New Roman"/>
          <w:sz w:val="32"/>
          <w:szCs w:val="32"/>
        </w:rPr>
        <w:t>TUE</w:t>
      </w:r>
      <w:r w:rsidR="00D60FEE">
        <w:rPr>
          <w:rFonts w:ascii="Times New Roman" w:hAnsi="Times New Roman" w:cs="Times New Roman"/>
          <w:sz w:val="32"/>
          <w:szCs w:val="32"/>
        </w:rPr>
        <w:t>)</w:t>
      </w:r>
      <w:r w:rsidR="003A4182" w:rsidRPr="003A4182">
        <w:rPr>
          <w:rFonts w:ascii="Times New Roman" w:hAnsi="Times New Roman" w:cs="Times New Roman"/>
          <w:sz w:val="32"/>
          <w:szCs w:val="32"/>
        </w:rPr>
        <w:t xml:space="preserve"> attribuisce alla Corte di giustizia </w:t>
      </w:r>
      <w:r w:rsidR="00D60FEE">
        <w:rPr>
          <w:rFonts w:ascii="Times New Roman" w:hAnsi="Times New Roman" w:cs="Times New Roman"/>
          <w:sz w:val="32"/>
          <w:szCs w:val="32"/>
        </w:rPr>
        <w:t xml:space="preserve">dell’Unione </w:t>
      </w:r>
      <w:r w:rsidR="003A4182" w:rsidRPr="003A4182">
        <w:rPr>
          <w:rFonts w:ascii="Times New Roman" w:hAnsi="Times New Roman" w:cs="Times New Roman"/>
          <w:sz w:val="32"/>
          <w:szCs w:val="32"/>
        </w:rPr>
        <w:t>la funzione di «</w:t>
      </w:r>
      <w:r w:rsidR="003A4182" w:rsidRPr="00705690">
        <w:rPr>
          <w:rFonts w:ascii="Times New Roman" w:hAnsi="Times New Roman" w:cs="Times New Roman"/>
          <w:i/>
          <w:sz w:val="32"/>
          <w:szCs w:val="32"/>
        </w:rPr>
        <w:t>assicura</w:t>
      </w:r>
      <w:r w:rsidR="003A4182" w:rsidRPr="00705690">
        <w:rPr>
          <w:rFonts w:ascii="Times New Roman" w:hAnsi="Times New Roman" w:cs="Times New Roman"/>
          <w:sz w:val="32"/>
          <w:szCs w:val="32"/>
        </w:rPr>
        <w:t>[re]</w:t>
      </w:r>
      <w:r w:rsidR="003A4182" w:rsidRPr="00705690">
        <w:rPr>
          <w:rFonts w:ascii="Times New Roman" w:hAnsi="Times New Roman" w:cs="Times New Roman"/>
          <w:i/>
          <w:sz w:val="32"/>
          <w:szCs w:val="32"/>
        </w:rPr>
        <w:t xml:space="preserve"> il rispetto del diritto nell’interpretazione e nell’applicazione dei trattati</w:t>
      </w:r>
      <w:r w:rsidR="003A4182" w:rsidRPr="003A4182">
        <w:rPr>
          <w:rFonts w:ascii="Times New Roman" w:hAnsi="Times New Roman" w:cs="Times New Roman"/>
          <w:sz w:val="32"/>
          <w:szCs w:val="32"/>
        </w:rPr>
        <w:t>» e, al contempo, impone agli Stati membri di predisporre «</w:t>
      </w:r>
      <w:r w:rsidR="003A4182" w:rsidRPr="00705690">
        <w:rPr>
          <w:rFonts w:ascii="Times New Roman" w:hAnsi="Times New Roman" w:cs="Times New Roman"/>
          <w:i/>
          <w:sz w:val="32"/>
          <w:szCs w:val="32"/>
        </w:rPr>
        <w:t>i rimedi giurisdizionali necessari per assicurare una tutela giurisdizionale effettiva nei settori disciplinati dal diritto dell’Unione</w:t>
      </w:r>
      <w:r w:rsidR="003A4182" w:rsidRPr="003A4182">
        <w:rPr>
          <w:rFonts w:ascii="Times New Roman" w:hAnsi="Times New Roman" w:cs="Times New Roman"/>
          <w:sz w:val="32"/>
          <w:szCs w:val="32"/>
        </w:rPr>
        <w:t xml:space="preserve">». L’art. 267 TFUE disciplina lo strumento di coordinamento e di raccordo tra la Corte di giustizia e i giudici nazionali, in un sistema di reciproca e attiva collaborazione, nel quale i giudici nazionali, nei settori disciplinati dal diritto dell’Unione, assolvono alla funzione di </w:t>
      </w:r>
      <w:r w:rsidR="00C415B6">
        <w:rPr>
          <w:rFonts w:ascii="Times New Roman" w:hAnsi="Times New Roman" w:cs="Times New Roman"/>
          <w:sz w:val="32"/>
          <w:szCs w:val="32"/>
        </w:rPr>
        <w:t>‘</w:t>
      </w:r>
      <w:r w:rsidR="003A4182" w:rsidRPr="003A4182">
        <w:rPr>
          <w:rFonts w:ascii="Times New Roman" w:hAnsi="Times New Roman" w:cs="Times New Roman"/>
          <w:sz w:val="32"/>
          <w:szCs w:val="32"/>
        </w:rPr>
        <w:t>giudici comuni</w:t>
      </w:r>
      <w:r w:rsidR="00C415B6">
        <w:rPr>
          <w:rFonts w:ascii="Times New Roman" w:hAnsi="Times New Roman" w:cs="Times New Roman"/>
          <w:sz w:val="32"/>
          <w:szCs w:val="32"/>
        </w:rPr>
        <w:t>’</w:t>
      </w:r>
      <w:r w:rsidR="003A4182" w:rsidRPr="003A4182">
        <w:rPr>
          <w:rFonts w:ascii="Times New Roman" w:hAnsi="Times New Roman" w:cs="Times New Roman"/>
          <w:sz w:val="32"/>
          <w:szCs w:val="32"/>
        </w:rPr>
        <w:t xml:space="preserve"> del diritto dell’Unione, mentre alla Corte di giustizia, attraverso lo strumento del rinvio pregiudiziale, è assegnata la funzione nomofilattica nell’interpretazione del diritto euro-unitario.</w:t>
      </w:r>
    </w:p>
    <w:p w:rsidR="007D3882" w:rsidRDefault="003A4182" w:rsidP="00F34777">
      <w:pPr>
        <w:jc w:val="both"/>
        <w:rPr>
          <w:rFonts w:ascii="Times New Roman" w:hAnsi="Times New Roman" w:cs="Times New Roman"/>
          <w:sz w:val="32"/>
          <w:szCs w:val="32"/>
        </w:rPr>
      </w:pPr>
      <w:r w:rsidRPr="00321AA1">
        <w:rPr>
          <w:rFonts w:ascii="Times New Roman" w:hAnsi="Times New Roman" w:cs="Times New Roman"/>
          <w:b/>
          <w:sz w:val="32"/>
          <w:szCs w:val="32"/>
        </w:rPr>
        <w:t>1.</w:t>
      </w:r>
      <w:r w:rsidR="00023A1D" w:rsidRPr="00321AA1">
        <w:rPr>
          <w:rFonts w:ascii="Times New Roman" w:hAnsi="Times New Roman" w:cs="Times New Roman"/>
          <w:b/>
          <w:sz w:val="32"/>
          <w:szCs w:val="32"/>
        </w:rPr>
        <w:t>1.</w:t>
      </w:r>
      <w:r w:rsidR="00023A1D">
        <w:rPr>
          <w:rFonts w:ascii="Times New Roman" w:hAnsi="Times New Roman" w:cs="Times New Roman"/>
          <w:sz w:val="32"/>
          <w:szCs w:val="32"/>
        </w:rPr>
        <w:t xml:space="preserve"> </w:t>
      </w:r>
      <w:r w:rsidR="00BF36DB">
        <w:rPr>
          <w:rFonts w:ascii="Times New Roman" w:hAnsi="Times New Roman" w:cs="Times New Roman"/>
          <w:sz w:val="32"/>
          <w:szCs w:val="32"/>
        </w:rPr>
        <w:t>Quanto alla pronuncia della C</w:t>
      </w:r>
      <w:r w:rsidR="005B7599">
        <w:rPr>
          <w:rFonts w:ascii="Times New Roman" w:hAnsi="Times New Roman" w:cs="Times New Roman"/>
          <w:sz w:val="32"/>
          <w:szCs w:val="32"/>
        </w:rPr>
        <w:t>orte di giustizia</w:t>
      </w:r>
      <w:r w:rsidR="00BF36DB">
        <w:rPr>
          <w:rFonts w:ascii="Times New Roman" w:hAnsi="Times New Roman" w:cs="Times New Roman"/>
          <w:sz w:val="32"/>
          <w:szCs w:val="32"/>
        </w:rPr>
        <w:t xml:space="preserve">, si tratta della sentenza </w:t>
      </w:r>
      <w:r w:rsidR="00BF36DB" w:rsidRPr="00BF36DB">
        <w:rPr>
          <w:rFonts w:ascii="Times New Roman" w:hAnsi="Times New Roman" w:cs="Times New Roman"/>
          <w:sz w:val="32"/>
          <w:szCs w:val="32"/>
        </w:rPr>
        <w:t xml:space="preserve">20 dicembre 2017 </w:t>
      </w:r>
      <w:r w:rsidR="00BF36DB">
        <w:rPr>
          <w:rFonts w:ascii="Times New Roman" w:hAnsi="Times New Roman" w:cs="Times New Roman"/>
          <w:sz w:val="32"/>
          <w:szCs w:val="32"/>
        </w:rPr>
        <w:t>(causa C-</w:t>
      </w:r>
      <w:r w:rsidR="00BF36DB" w:rsidRPr="00BF36DB">
        <w:rPr>
          <w:rFonts w:ascii="Times New Roman" w:hAnsi="Times New Roman" w:cs="Times New Roman"/>
          <w:sz w:val="32"/>
          <w:szCs w:val="32"/>
        </w:rPr>
        <w:t>322/16</w:t>
      </w:r>
      <w:r w:rsidR="00700EF9">
        <w:rPr>
          <w:rFonts w:ascii="Times New Roman" w:hAnsi="Times New Roman" w:cs="Times New Roman"/>
          <w:sz w:val="32"/>
          <w:szCs w:val="32"/>
        </w:rPr>
        <w:t xml:space="preserve">, </w:t>
      </w:r>
      <w:r w:rsidR="00700EF9" w:rsidRPr="00700EF9">
        <w:rPr>
          <w:rFonts w:ascii="Times New Roman" w:hAnsi="Times New Roman" w:cs="Times New Roman"/>
          <w:i/>
          <w:sz w:val="32"/>
          <w:szCs w:val="32"/>
        </w:rPr>
        <w:t xml:space="preserve">Global </w:t>
      </w:r>
      <w:proofErr w:type="spellStart"/>
      <w:r w:rsidR="00700EF9" w:rsidRPr="00700EF9">
        <w:rPr>
          <w:rFonts w:ascii="Times New Roman" w:hAnsi="Times New Roman" w:cs="Times New Roman"/>
          <w:i/>
          <w:sz w:val="32"/>
          <w:szCs w:val="32"/>
        </w:rPr>
        <w:t>Starned</w:t>
      </w:r>
      <w:proofErr w:type="spellEnd"/>
      <w:r w:rsidR="00700EF9" w:rsidRPr="00700EF9">
        <w:rPr>
          <w:rFonts w:ascii="Times New Roman" w:hAnsi="Times New Roman" w:cs="Times New Roman"/>
          <w:i/>
          <w:sz w:val="32"/>
          <w:szCs w:val="32"/>
        </w:rPr>
        <w:t xml:space="preserve"> Ltd</w:t>
      </w:r>
      <w:r w:rsidR="00BF36DB">
        <w:rPr>
          <w:rFonts w:ascii="Times New Roman" w:hAnsi="Times New Roman" w:cs="Times New Roman"/>
          <w:sz w:val="32"/>
          <w:szCs w:val="32"/>
        </w:rPr>
        <w:t xml:space="preserve">) relativa a </w:t>
      </w:r>
      <w:r w:rsidR="004F2049">
        <w:rPr>
          <w:rFonts w:ascii="Times New Roman" w:hAnsi="Times New Roman" w:cs="Times New Roman"/>
          <w:sz w:val="32"/>
          <w:szCs w:val="32"/>
        </w:rPr>
        <w:t xml:space="preserve">due questioni </w:t>
      </w:r>
      <w:r w:rsidR="003C1383">
        <w:rPr>
          <w:rFonts w:ascii="Times New Roman" w:hAnsi="Times New Roman" w:cs="Times New Roman"/>
          <w:sz w:val="32"/>
          <w:szCs w:val="32"/>
        </w:rPr>
        <w:t>pregiudizial</w:t>
      </w:r>
      <w:r w:rsidR="004F2049">
        <w:rPr>
          <w:rFonts w:ascii="Times New Roman" w:hAnsi="Times New Roman" w:cs="Times New Roman"/>
          <w:sz w:val="32"/>
          <w:szCs w:val="32"/>
        </w:rPr>
        <w:t>i</w:t>
      </w:r>
      <w:r w:rsidR="003C1383">
        <w:rPr>
          <w:rFonts w:ascii="Times New Roman" w:hAnsi="Times New Roman" w:cs="Times New Roman"/>
          <w:sz w:val="32"/>
          <w:szCs w:val="32"/>
        </w:rPr>
        <w:t xml:space="preserve"> rimess</w:t>
      </w:r>
      <w:r w:rsidR="004F2049">
        <w:rPr>
          <w:rFonts w:ascii="Times New Roman" w:hAnsi="Times New Roman" w:cs="Times New Roman"/>
          <w:sz w:val="32"/>
          <w:szCs w:val="32"/>
        </w:rPr>
        <w:t>e</w:t>
      </w:r>
      <w:r w:rsidR="003C1383">
        <w:rPr>
          <w:rFonts w:ascii="Times New Roman" w:hAnsi="Times New Roman" w:cs="Times New Roman"/>
          <w:sz w:val="32"/>
          <w:szCs w:val="32"/>
        </w:rPr>
        <w:t xml:space="preserve"> </w:t>
      </w:r>
      <w:r w:rsidR="00503EF2">
        <w:rPr>
          <w:rFonts w:ascii="Times New Roman" w:hAnsi="Times New Roman" w:cs="Times New Roman"/>
          <w:sz w:val="32"/>
          <w:szCs w:val="32"/>
        </w:rPr>
        <w:t>dal Consigli</w:t>
      </w:r>
      <w:r w:rsidR="00700EF9">
        <w:rPr>
          <w:rFonts w:ascii="Times New Roman" w:hAnsi="Times New Roman" w:cs="Times New Roman"/>
          <w:sz w:val="32"/>
          <w:szCs w:val="32"/>
        </w:rPr>
        <w:t>o</w:t>
      </w:r>
      <w:r w:rsidR="00503EF2">
        <w:rPr>
          <w:rFonts w:ascii="Times New Roman" w:hAnsi="Times New Roman" w:cs="Times New Roman"/>
          <w:sz w:val="32"/>
          <w:szCs w:val="32"/>
        </w:rPr>
        <w:t xml:space="preserve"> </w:t>
      </w:r>
      <w:r w:rsidR="00BF36DB">
        <w:rPr>
          <w:rFonts w:ascii="Times New Roman" w:hAnsi="Times New Roman" w:cs="Times New Roman"/>
          <w:sz w:val="32"/>
          <w:szCs w:val="32"/>
        </w:rPr>
        <w:t>di Stato</w:t>
      </w:r>
      <w:r w:rsidR="00BF36DB">
        <w:rPr>
          <w:rStyle w:val="Rimandonotaapidipagina"/>
          <w:rFonts w:ascii="Times New Roman" w:hAnsi="Times New Roman" w:cs="Times New Roman"/>
          <w:sz w:val="32"/>
          <w:szCs w:val="32"/>
        </w:rPr>
        <w:footnoteReference w:id="3"/>
      </w:r>
      <w:r w:rsidR="003C1383">
        <w:rPr>
          <w:rFonts w:ascii="Times New Roman" w:hAnsi="Times New Roman" w:cs="Times New Roman"/>
          <w:sz w:val="32"/>
          <w:szCs w:val="32"/>
        </w:rPr>
        <w:t xml:space="preserve">, </w:t>
      </w:r>
      <w:r w:rsidR="006D65FD">
        <w:rPr>
          <w:rFonts w:ascii="Times New Roman" w:hAnsi="Times New Roman" w:cs="Times New Roman"/>
          <w:sz w:val="32"/>
          <w:szCs w:val="32"/>
        </w:rPr>
        <w:t xml:space="preserve">che vertono </w:t>
      </w:r>
      <w:r w:rsidR="00BF36DB" w:rsidRPr="00BF36DB">
        <w:rPr>
          <w:rFonts w:ascii="Times New Roman" w:hAnsi="Times New Roman" w:cs="Times New Roman"/>
          <w:sz w:val="32"/>
          <w:szCs w:val="32"/>
        </w:rPr>
        <w:t>sull’interpretazione degl</w:t>
      </w:r>
      <w:r w:rsidR="00BF36DB">
        <w:rPr>
          <w:rFonts w:ascii="Times New Roman" w:hAnsi="Times New Roman" w:cs="Times New Roman"/>
          <w:sz w:val="32"/>
          <w:szCs w:val="32"/>
        </w:rPr>
        <w:t>i articoli 26</w:t>
      </w:r>
      <w:r w:rsidR="00F37433">
        <w:rPr>
          <w:rFonts w:ascii="Times New Roman" w:hAnsi="Times New Roman" w:cs="Times New Roman"/>
          <w:sz w:val="32"/>
          <w:szCs w:val="32"/>
        </w:rPr>
        <w:t xml:space="preserve"> (m</w:t>
      </w:r>
      <w:r w:rsidR="005B7599">
        <w:rPr>
          <w:rFonts w:ascii="Times New Roman" w:hAnsi="Times New Roman" w:cs="Times New Roman"/>
          <w:sz w:val="32"/>
          <w:szCs w:val="32"/>
        </w:rPr>
        <w:t>ercato interno)</w:t>
      </w:r>
      <w:r w:rsidR="00BF36DB">
        <w:rPr>
          <w:rFonts w:ascii="Times New Roman" w:hAnsi="Times New Roman" w:cs="Times New Roman"/>
          <w:sz w:val="32"/>
          <w:szCs w:val="32"/>
        </w:rPr>
        <w:t>, 49</w:t>
      </w:r>
      <w:r w:rsidR="00F37433">
        <w:rPr>
          <w:rFonts w:ascii="Times New Roman" w:hAnsi="Times New Roman" w:cs="Times New Roman"/>
          <w:sz w:val="32"/>
          <w:szCs w:val="32"/>
        </w:rPr>
        <w:t xml:space="preserve"> (d</w:t>
      </w:r>
      <w:r w:rsidR="005B7599">
        <w:rPr>
          <w:rFonts w:ascii="Times New Roman" w:hAnsi="Times New Roman" w:cs="Times New Roman"/>
          <w:sz w:val="32"/>
          <w:szCs w:val="32"/>
        </w:rPr>
        <w:t>iritto di stabilimento)</w:t>
      </w:r>
      <w:r w:rsidR="00BF36DB">
        <w:rPr>
          <w:rFonts w:ascii="Times New Roman" w:hAnsi="Times New Roman" w:cs="Times New Roman"/>
          <w:sz w:val="32"/>
          <w:szCs w:val="32"/>
        </w:rPr>
        <w:t>, 56</w:t>
      </w:r>
      <w:r w:rsidR="00F37433">
        <w:rPr>
          <w:rFonts w:ascii="Times New Roman" w:hAnsi="Times New Roman" w:cs="Times New Roman"/>
          <w:sz w:val="32"/>
          <w:szCs w:val="32"/>
        </w:rPr>
        <w:t xml:space="preserve"> (l</w:t>
      </w:r>
      <w:r w:rsidR="005B7599">
        <w:rPr>
          <w:rFonts w:ascii="Times New Roman" w:hAnsi="Times New Roman" w:cs="Times New Roman"/>
          <w:sz w:val="32"/>
          <w:szCs w:val="32"/>
        </w:rPr>
        <w:t>ibertà di prestazione dei servizi)</w:t>
      </w:r>
      <w:r w:rsidR="00BF36DB">
        <w:rPr>
          <w:rFonts w:ascii="Times New Roman" w:hAnsi="Times New Roman" w:cs="Times New Roman"/>
          <w:sz w:val="32"/>
          <w:szCs w:val="32"/>
        </w:rPr>
        <w:t xml:space="preserve">, 63 </w:t>
      </w:r>
      <w:r w:rsidR="00F37433">
        <w:rPr>
          <w:rFonts w:ascii="Times New Roman" w:hAnsi="Times New Roman" w:cs="Times New Roman"/>
          <w:sz w:val="32"/>
          <w:szCs w:val="32"/>
        </w:rPr>
        <w:t>(l</w:t>
      </w:r>
      <w:r w:rsidR="005B7599">
        <w:rPr>
          <w:rFonts w:ascii="Times New Roman" w:hAnsi="Times New Roman" w:cs="Times New Roman"/>
          <w:sz w:val="32"/>
          <w:szCs w:val="32"/>
        </w:rPr>
        <w:t xml:space="preserve">ibertà di circolazione dei capitali) </w:t>
      </w:r>
      <w:r w:rsidR="00BF36DB">
        <w:rPr>
          <w:rFonts w:ascii="Times New Roman" w:hAnsi="Times New Roman" w:cs="Times New Roman"/>
          <w:sz w:val="32"/>
          <w:szCs w:val="32"/>
        </w:rPr>
        <w:t xml:space="preserve">e 267 </w:t>
      </w:r>
      <w:r w:rsidR="00BF36DB" w:rsidRPr="00BF36DB">
        <w:rPr>
          <w:rFonts w:ascii="Times New Roman" w:hAnsi="Times New Roman" w:cs="Times New Roman"/>
          <w:sz w:val="32"/>
          <w:szCs w:val="32"/>
        </w:rPr>
        <w:t xml:space="preserve">TFUE, dell’articolo 16 </w:t>
      </w:r>
      <w:r w:rsidR="00F37433">
        <w:rPr>
          <w:rFonts w:ascii="Times New Roman" w:hAnsi="Times New Roman" w:cs="Times New Roman"/>
          <w:sz w:val="32"/>
          <w:szCs w:val="32"/>
        </w:rPr>
        <w:t xml:space="preserve">(libertà d’impresa) </w:t>
      </w:r>
      <w:r w:rsidR="00BF36DB" w:rsidRPr="00BF36DB">
        <w:rPr>
          <w:rFonts w:ascii="Times New Roman" w:hAnsi="Times New Roman" w:cs="Times New Roman"/>
          <w:sz w:val="32"/>
          <w:szCs w:val="32"/>
        </w:rPr>
        <w:t>della Carta dei diritti fondamentali dell’Unione europea</w:t>
      </w:r>
      <w:r w:rsidR="003C1383">
        <w:rPr>
          <w:rFonts w:ascii="Times New Roman" w:hAnsi="Times New Roman" w:cs="Times New Roman"/>
          <w:sz w:val="32"/>
          <w:szCs w:val="32"/>
        </w:rPr>
        <w:t xml:space="preserve"> (CDFUE)</w:t>
      </w:r>
      <w:r w:rsidR="00BF36DB" w:rsidRPr="00BF36DB">
        <w:rPr>
          <w:rFonts w:ascii="Times New Roman" w:hAnsi="Times New Roman" w:cs="Times New Roman"/>
          <w:sz w:val="32"/>
          <w:szCs w:val="32"/>
        </w:rPr>
        <w:t>, nonché del principio generale della tutela del legittimo affidamento</w:t>
      </w:r>
      <w:r w:rsidR="003C1383">
        <w:rPr>
          <w:rFonts w:ascii="Times New Roman" w:hAnsi="Times New Roman" w:cs="Times New Roman"/>
          <w:sz w:val="32"/>
          <w:szCs w:val="32"/>
        </w:rPr>
        <w:t xml:space="preserve">. </w:t>
      </w:r>
    </w:p>
    <w:p w:rsidR="00BF36DB" w:rsidRDefault="003C1383" w:rsidP="00F34777">
      <w:pPr>
        <w:jc w:val="both"/>
        <w:rPr>
          <w:rFonts w:ascii="Times New Roman" w:hAnsi="Times New Roman" w:cs="Times New Roman"/>
          <w:sz w:val="32"/>
          <w:szCs w:val="32"/>
        </w:rPr>
      </w:pPr>
      <w:r>
        <w:rPr>
          <w:rFonts w:ascii="Times New Roman" w:hAnsi="Times New Roman" w:cs="Times New Roman"/>
          <w:sz w:val="32"/>
          <w:szCs w:val="32"/>
        </w:rPr>
        <w:t xml:space="preserve">La domanda di pronuncia pregiudiziale è stata </w:t>
      </w:r>
      <w:r w:rsidR="006D65FD">
        <w:rPr>
          <w:rFonts w:ascii="Times New Roman" w:hAnsi="Times New Roman" w:cs="Times New Roman"/>
          <w:sz w:val="32"/>
          <w:szCs w:val="32"/>
        </w:rPr>
        <w:t>formulata</w:t>
      </w:r>
      <w:r w:rsidR="00BF36DB" w:rsidRPr="00BF36DB">
        <w:rPr>
          <w:rFonts w:ascii="Times New Roman" w:hAnsi="Times New Roman" w:cs="Times New Roman"/>
          <w:sz w:val="32"/>
          <w:szCs w:val="32"/>
        </w:rPr>
        <w:t xml:space="preserve"> nell’ambito di una controversia che </w:t>
      </w:r>
      <w:r w:rsidR="00D53F0E">
        <w:rPr>
          <w:rFonts w:ascii="Times New Roman" w:hAnsi="Times New Roman" w:cs="Times New Roman"/>
          <w:sz w:val="32"/>
          <w:szCs w:val="32"/>
        </w:rPr>
        <w:t xml:space="preserve">ha </w:t>
      </w:r>
      <w:r w:rsidR="00BF36DB" w:rsidRPr="00BF36DB">
        <w:rPr>
          <w:rFonts w:ascii="Times New Roman" w:hAnsi="Times New Roman" w:cs="Times New Roman"/>
          <w:sz w:val="32"/>
          <w:szCs w:val="32"/>
        </w:rPr>
        <w:t>oppo</w:t>
      </w:r>
      <w:r w:rsidR="00D53F0E">
        <w:rPr>
          <w:rFonts w:ascii="Times New Roman" w:hAnsi="Times New Roman" w:cs="Times New Roman"/>
          <w:sz w:val="32"/>
          <w:szCs w:val="32"/>
        </w:rPr>
        <w:t>sto</w:t>
      </w:r>
      <w:r w:rsidR="00BF36DB" w:rsidRPr="00BF36DB">
        <w:rPr>
          <w:rFonts w:ascii="Times New Roman" w:hAnsi="Times New Roman" w:cs="Times New Roman"/>
          <w:sz w:val="32"/>
          <w:szCs w:val="32"/>
        </w:rPr>
        <w:t xml:space="preserve"> la </w:t>
      </w:r>
      <w:r w:rsidR="00BF36DB" w:rsidRPr="00A72869">
        <w:rPr>
          <w:rFonts w:ascii="Times New Roman" w:hAnsi="Times New Roman" w:cs="Times New Roman"/>
          <w:i/>
          <w:sz w:val="32"/>
          <w:szCs w:val="32"/>
        </w:rPr>
        <w:t xml:space="preserve">Global </w:t>
      </w:r>
      <w:proofErr w:type="spellStart"/>
      <w:r w:rsidR="00BF36DB" w:rsidRPr="00A72869">
        <w:rPr>
          <w:rFonts w:ascii="Times New Roman" w:hAnsi="Times New Roman" w:cs="Times New Roman"/>
          <w:i/>
          <w:sz w:val="32"/>
          <w:szCs w:val="32"/>
        </w:rPr>
        <w:t>Starnet</w:t>
      </w:r>
      <w:proofErr w:type="spellEnd"/>
      <w:r w:rsidR="00BF36DB" w:rsidRPr="00A72869">
        <w:rPr>
          <w:rFonts w:ascii="Times New Roman" w:hAnsi="Times New Roman" w:cs="Times New Roman"/>
          <w:i/>
          <w:sz w:val="32"/>
          <w:szCs w:val="32"/>
        </w:rPr>
        <w:t xml:space="preserve"> Ltd</w:t>
      </w:r>
      <w:r w:rsidR="00BF36DB" w:rsidRPr="00BF36DB">
        <w:rPr>
          <w:rFonts w:ascii="Times New Roman" w:hAnsi="Times New Roman" w:cs="Times New Roman"/>
          <w:sz w:val="32"/>
          <w:szCs w:val="32"/>
        </w:rPr>
        <w:t xml:space="preserve"> </w:t>
      </w:r>
      <w:r w:rsidR="00CC1C56" w:rsidRPr="00CC1C56">
        <w:rPr>
          <w:rFonts w:ascii="Times New Roman" w:hAnsi="Times New Roman" w:cs="Times New Roman"/>
          <w:sz w:val="32"/>
          <w:szCs w:val="32"/>
        </w:rPr>
        <w:t xml:space="preserve">(già </w:t>
      </w:r>
      <w:r w:rsidR="00CC1C56" w:rsidRPr="00A72869">
        <w:rPr>
          <w:rFonts w:ascii="Times New Roman" w:hAnsi="Times New Roman" w:cs="Times New Roman"/>
          <w:i/>
          <w:sz w:val="32"/>
          <w:szCs w:val="32"/>
        </w:rPr>
        <w:t xml:space="preserve">B Plus </w:t>
      </w:r>
      <w:proofErr w:type="spellStart"/>
      <w:r w:rsidR="00CC1C56" w:rsidRPr="00A72869">
        <w:rPr>
          <w:rFonts w:ascii="Times New Roman" w:hAnsi="Times New Roman" w:cs="Times New Roman"/>
          <w:i/>
          <w:sz w:val="32"/>
          <w:szCs w:val="32"/>
        </w:rPr>
        <w:t>Giocolegale</w:t>
      </w:r>
      <w:proofErr w:type="spellEnd"/>
      <w:r w:rsidR="00CC1C56" w:rsidRPr="00A72869">
        <w:rPr>
          <w:rFonts w:ascii="Times New Roman" w:hAnsi="Times New Roman" w:cs="Times New Roman"/>
          <w:i/>
          <w:sz w:val="32"/>
          <w:szCs w:val="32"/>
        </w:rPr>
        <w:t xml:space="preserve"> Ltd</w:t>
      </w:r>
      <w:r w:rsidR="00CC1C56" w:rsidRPr="00CC1C56">
        <w:rPr>
          <w:rFonts w:ascii="Times New Roman" w:hAnsi="Times New Roman" w:cs="Times New Roman"/>
          <w:sz w:val="32"/>
          <w:szCs w:val="32"/>
        </w:rPr>
        <w:t>)</w:t>
      </w:r>
      <w:r w:rsidR="00CC1C56">
        <w:rPr>
          <w:rFonts w:ascii="Times New Roman" w:hAnsi="Times New Roman" w:cs="Times New Roman"/>
          <w:sz w:val="32"/>
          <w:szCs w:val="32"/>
        </w:rPr>
        <w:t xml:space="preserve"> </w:t>
      </w:r>
      <w:r w:rsidR="00BF36DB" w:rsidRPr="00BF36DB">
        <w:rPr>
          <w:rFonts w:ascii="Times New Roman" w:hAnsi="Times New Roman" w:cs="Times New Roman"/>
          <w:sz w:val="32"/>
          <w:szCs w:val="32"/>
        </w:rPr>
        <w:t>al Ministero</w:t>
      </w:r>
      <w:r w:rsidR="004D4AC4">
        <w:rPr>
          <w:rFonts w:ascii="Times New Roman" w:hAnsi="Times New Roman" w:cs="Times New Roman"/>
          <w:sz w:val="32"/>
          <w:szCs w:val="32"/>
        </w:rPr>
        <w:t xml:space="preserve"> dell’Economia e delle Finanze</w:t>
      </w:r>
      <w:r w:rsidR="00BF36DB" w:rsidRPr="00BF36DB">
        <w:rPr>
          <w:rFonts w:ascii="Times New Roman" w:hAnsi="Times New Roman" w:cs="Times New Roman"/>
          <w:sz w:val="32"/>
          <w:szCs w:val="32"/>
        </w:rPr>
        <w:t xml:space="preserve"> e all’Amministrazione Autonoma Monopoli di Stato </w:t>
      </w:r>
      <w:r w:rsidR="007D3882">
        <w:rPr>
          <w:rFonts w:ascii="Times New Roman" w:hAnsi="Times New Roman" w:cs="Times New Roman"/>
          <w:sz w:val="32"/>
          <w:szCs w:val="32"/>
        </w:rPr>
        <w:t>(AAMS</w:t>
      </w:r>
      <w:r w:rsidR="00BF36DB" w:rsidRPr="00BF36DB">
        <w:rPr>
          <w:rFonts w:ascii="Times New Roman" w:hAnsi="Times New Roman" w:cs="Times New Roman"/>
          <w:sz w:val="32"/>
          <w:szCs w:val="32"/>
        </w:rPr>
        <w:t xml:space="preserve">), in merito alla determinazione dei requisiti per la gestione telematica del gioco lecito mediante apparecchi da divertimento e intrattenimento, nonché al bando di gara per l’affidamento in </w:t>
      </w:r>
      <w:r w:rsidR="00BF36DB" w:rsidRPr="00BF36DB">
        <w:rPr>
          <w:rFonts w:ascii="Times New Roman" w:hAnsi="Times New Roman" w:cs="Times New Roman"/>
          <w:sz w:val="32"/>
          <w:szCs w:val="32"/>
        </w:rPr>
        <w:lastRenderedPageBreak/>
        <w:t>concessione della realizzazione e conduzione della rete per la gestione telematica del gioco l</w:t>
      </w:r>
      <w:r>
        <w:rPr>
          <w:rFonts w:ascii="Times New Roman" w:hAnsi="Times New Roman" w:cs="Times New Roman"/>
          <w:sz w:val="32"/>
          <w:szCs w:val="32"/>
        </w:rPr>
        <w:t xml:space="preserve">ecito mediante detti apparecchi; requisiti, introdotti dall’articolo 1, comma 78, lettera b), </w:t>
      </w:r>
      <w:r w:rsidRPr="003C1383">
        <w:rPr>
          <w:rFonts w:ascii="Times New Roman" w:hAnsi="Times New Roman" w:cs="Times New Roman"/>
          <w:sz w:val="32"/>
          <w:szCs w:val="32"/>
        </w:rPr>
        <w:t>l</w:t>
      </w:r>
      <w:r w:rsidR="003A4182">
        <w:rPr>
          <w:rFonts w:ascii="Times New Roman" w:hAnsi="Times New Roman" w:cs="Times New Roman"/>
          <w:sz w:val="32"/>
          <w:szCs w:val="32"/>
        </w:rPr>
        <w:t>egge</w:t>
      </w:r>
      <w:r>
        <w:rPr>
          <w:rFonts w:ascii="Times New Roman" w:hAnsi="Times New Roman" w:cs="Times New Roman"/>
          <w:sz w:val="32"/>
          <w:szCs w:val="32"/>
        </w:rPr>
        <w:t xml:space="preserve"> 13 dicembre 2010, n. </w:t>
      </w:r>
      <w:r w:rsidRPr="003C1383">
        <w:rPr>
          <w:rFonts w:ascii="Times New Roman" w:hAnsi="Times New Roman" w:cs="Times New Roman"/>
          <w:sz w:val="32"/>
          <w:szCs w:val="32"/>
        </w:rPr>
        <w:t>220</w:t>
      </w:r>
      <w:r>
        <w:rPr>
          <w:rFonts w:ascii="Times New Roman" w:hAnsi="Times New Roman" w:cs="Times New Roman"/>
          <w:sz w:val="32"/>
          <w:szCs w:val="32"/>
        </w:rPr>
        <w:t xml:space="preserve"> </w:t>
      </w:r>
      <w:r w:rsidR="0074283E">
        <w:rPr>
          <w:rFonts w:ascii="Times New Roman" w:hAnsi="Times New Roman" w:cs="Times New Roman"/>
          <w:sz w:val="32"/>
          <w:szCs w:val="32"/>
        </w:rPr>
        <w:t>(</w:t>
      </w:r>
      <w:r w:rsidR="0074283E" w:rsidRPr="00AD079F">
        <w:rPr>
          <w:rFonts w:ascii="Times New Roman" w:hAnsi="Times New Roman" w:cs="Times New Roman"/>
          <w:i/>
          <w:sz w:val="32"/>
          <w:szCs w:val="32"/>
        </w:rPr>
        <w:t>Legge di stabilità 2011</w:t>
      </w:r>
      <w:r w:rsidR="0074283E">
        <w:rPr>
          <w:rFonts w:ascii="Times New Roman" w:hAnsi="Times New Roman" w:cs="Times New Roman"/>
          <w:sz w:val="32"/>
          <w:szCs w:val="32"/>
        </w:rPr>
        <w:t>)</w:t>
      </w:r>
      <w:r w:rsidR="007D3882">
        <w:rPr>
          <w:rFonts w:ascii="Times New Roman" w:hAnsi="Times New Roman" w:cs="Times New Roman"/>
          <w:sz w:val="32"/>
          <w:szCs w:val="32"/>
        </w:rPr>
        <w:t xml:space="preserve">. </w:t>
      </w:r>
    </w:p>
    <w:p w:rsidR="007D3882" w:rsidRDefault="007D3882" w:rsidP="00F34777">
      <w:pPr>
        <w:jc w:val="both"/>
        <w:rPr>
          <w:rFonts w:ascii="Times New Roman" w:hAnsi="Times New Roman" w:cs="Times New Roman"/>
          <w:sz w:val="32"/>
          <w:szCs w:val="32"/>
        </w:rPr>
      </w:pPr>
      <w:r w:rsidRPr="007D3882">
        <w:rPr>
          <w:rFonts w:ascii="Times New Roman" w:hAnsi="Times New Roman" w:cs="Times New Roman"/>
          <w:sz w:val="32"/>
          <w:szCs w:val="32"/>
        </w:rPr>
        <w:t xml:space="preserve">Nel caso di specie, </w:t>
      </w:r>
      <w:r w:rsidR="00AD079F">
        <w:rPr>
          <w:rFonts w:ascii="Times New Roman" w:hAnsi="Times New Roman" w:cs="Times New Roman"/>
          <w:sz w:val="32"/>
          <w:szCs w:val="32"/>
        </w:rPr>
        <w:t xml:space="preserve">con </w:t>
      </w:r>
      <w:r w:rsidRPr="007D3882">
        <w:rPr>
          <w:rFonts w:ascii="Times New Roman" w:hAnsi="Times New Roman" w:cs="Times New Roman"/>
          <w:sz w:val="32"/>
          <w:szCs w:val="32"/>
        </w:rPr>
        <w:t xml:space="preserve">l’articolo 1, </w:t>
      </w:r>
      <w:r w:rsidR="004D4AC4">
        <w:rPr>
          <w:rFonts w:ascii="Times New Roman" w:hAnsi="Times New Roman" w:cs="Times New Roman"/>
          <w:sz w:val="32"/>
          <w:szCs w:val="32"/>
        </w:rPr>
        <w:t>comma</w:t>
      </w:r>
      <w:r w:rsidRPr="007D3882">
        <w:rPr>
          <w:rFonts w:ascii="Times New Roman" w:hAnsi="Times New Roman" w:cs="Times New Roman"/>
          <w:sz w:val="32"/>
          <w:szCs w:val="32"/>
        </w:rPr>
        <w:t xml:space="preserve"> 78, lettera b), punti 4, 8,</w:t>
      </w:r>
      <w:r>
        <w:rPr>
          <w:rFonts w:ascii="Times New Roman" w:hAnsi="Times New Roman" w:cs="Times New Roman"/>
          <w:sz w:val="32"/>
          <w:szCs w:val="32"/>
        </w:rPr>
        <w:t xml:space="preserve"> 9, 17, 23 e 25, della legge n. </w:t>
      </w:r>
      <w:r w:rsidR="003A4182">
        <w:rPr>
          <w:rFonts w:ascii="Times New Roman" w:hAnsi="Times New Roman" w:cs="Times New Roman"/>
          <w:sz w:val="32"/>
          <w:szCs w:val="32"/>
        </w:rPr>
        <w:t xml:space="preserve">220 del </w:t>
      </w:r>
      <w:r w:rsidRPr="007D3882">
        <w:rPr>
          <w:rFonts w:ascii="Times New Roman" w:hAnsi="Times New Roman" w:cs="Times New Roman"/>
          <w:sz w:val="32"/>
          <w:szCs w:val="32"/>
        </w:rPr>
        <w:t xml:space="preserve">2010, sono state imposte ai concessionari esistenti sei nuove condizioni per l’esercizio della loro attività. Esse determinano, rispettivamente: l’obbligo di mantenere il rapporto di indebitamento entro un valore non superiore a quello stabilito mediante decreto; la sottoposizione ad autorizzazione preventiva dell’AAMS, a pena di decadenza dalla concessione, delle operazioni che implicano mutamenti soggettivi del concessionario; la sottoposizione ad autorizzazione preventiva dell’AAMS delle operazioni di trasferimento delle partecipazioni detenute dal concessionario suscettibili di comportare una riduzione dell’indice di solidità patrimoniale determinato con decreto, fermo l’obbligo del concessionario, in tali casi, di riequilibrare, a pena di decadenza, il predetto indice; la destinazione a scopi diversi da investimenti legati alle attività oggetto di concessione del surplus di profitti generato in virtù dell’esercizio di talune attività solo previa autorizzazione dell’AAMS; la previsione di sanzioni, a titolo di penali di entità graduata in funzione della gravità della violazione, nel rispetto dei principi di proporzionalità e di effettività, nei casi di inadempimento delle clausole della convenzione </w:t>
      </w:r>
      <w:proofErr w:type="spellStart"/>
      <w:r w:rsidRPr="007D3882">
        <w:rPr>
          <w:rFonts w:ascii="Times New Roman" w:hAnsi="Times New Roman" w:cs="Times New Roman"/>
          <w:sz w:val="32"/>
          <w:szCs w:val="32"/>
        </w:rPr>
        <w:t>accessiva</w:t>
      </w:r>
      <w:proofErr w:type="spellEnd"/>
      <w:r w:rsidRPr="007D3882">
        <w:rPr>
          <w:rFonts w:ascii="Times New Roman" w:hAnsi="Times New Roman" w:cs="Times New Roman"/>
          <w:sz w:val="32"/>
          <w:szCs w:val="32"/>
        </w:rPr>
        <w:t xml:space="preserve"> alla concessione imputabili al concessionario, anche a titolo di colpa; nonché l’obbligo per il concessionario uscente, alla scadenza del periodo di durata della concessione, di proseguire nell’ordinaria amministrazione delle attività di gestione ed esercizio delle attività di raccolta del gioco oggetto di concessione fino al trasferimento della gestione e dell’esercizio al nuovo concessionario</w:t>
      </w:r>
      <w:r>
        <w:rPr>
          <w:rFonts w:ascii="Times New Roman" w:hAnsi="Times New Roman" w:cs="Times New Roman"/>
          <w:sz w:val="32"/>
          <w:szCs w:val="32"/>
        </w:rPr>
        <w:t xml:space="preserve">. </w:t>
      </w:r>
    </w:p>
    <w:p w:rsidR="00812956" w:rsidRDefault="003A4182" w:rsidP="00F34777">
      <w:pPr>
        <w:jc w:val="both"/>
        <w:rPr>
          <w:rFonts w:ascii="Times New Roman" w:hAnsi="Times New Roman" w:cs="Times New Roman"/>
          <w:sz w:val="32"/>
          <w:szCs w:val="32"/>
        </w:rPr>
      </w:pPr>
      <w:r w:rsidRPr="00321AA1">
        <w:rPr>
          <w:rFonts w:ascii="Times New Roman" w:hAnsi="Times New Roman" w:cs="Times New Roman"/>
          <w:b/>
          <w:sz w:val="32"/>
          <w:szCs w:val="32"/>
        </w:rPr>
        <w:t>1</w:t>
      </w:r>
      <w:r w:rsidR="00812956" w:rsidRPr="00321AA1">
        <w:rPr>
          <w:rFonts w:ascii="Times New Roman" w:hAnsi="Times New Roman" w:cs="Times New Roman"/>
          <w:b/>
          <w:sz w:val="32"/>
          <w:szCs w:val="32"/>
        </w:rPr>
        <w:t>.</w:t>
      </w:r>
      <w:r w:rsidR="00363ACB" w:rsidRPr="00321AA1">
        <w:rPr>
          <w:rFonts w:ascii="Times New Roman" w:hAnsi="Times New Roman" w:cs="Times New Roman"/>
          <w:b/>
          <w:sz w:val="32"/>
          <w:szCs w:val="32"/>
        </w:rPr>
        <w:t>1</w:t>
      </w:r>
      <w:r w:rsidR="00812956" w:rsidRPr="00321AA1">
        <w:rPr>
          <w:rFonts w:ascii="Times New Roman" w:hAnsi="Times New Roman" w:cs="Times New Roman"/>
          <w:b/>
          <w:sz w:val="32"/>
          <w:szCs w:val="32"/>
        </w:rPr>
        <w:t>.</w:t>
      </w:r>
      <w:r w:rsidR="00363ACB" w:rsidRPr="00321AA1">
        <w:rPr>
          <w:rFonts w:ascii="Times New Roman" w:hAnsi="Times New Roman" w:cs="Times New Roman"/>
          <w:b/>
          <w:sz w:val="32"/>
          <w:szCs w:val="32"/>
        </w:rPr>
        <w:t>1.</w:t>
      </w:r>
      <w:r w:rsidR="00812956">
        <w:rPr>
          <w:rFonts w:ascii="Times New Roman" w:hAnsi="Times New Roman" w:cs="Times New Roman"/>
          <w:sz w:val="32"/>
          <w:szCs w:val="32"/>
        </w:rPr>
        <w:t xml:space="preserve"> Il giudice del rinvio, </w:t>
      </w:r>
      <w:r w:rsidR="00812956" w:rsidRPr="00812956">
        <w:rPr>
          <w:rFonts w:ascii="Times New Roman" w:hAnsi="Times New Roman" w:cs="Times New Roman"/>
          <w:sz w:val="32"/>
          <w:szCs w:val="32"/>
        </w:rPr>
        <w:t>prima di adire la C</w:t>
      </w:r>
      <w:r w:rsidR="004D4AC4">
        <w:rPr>
          <w:rFonts w:ascii="Times New Roman" w:hAnsi="Times New Roman" w:cs="Times New Roman"/>
          <w:sz w:val="32"/>
          <w:szCs w:val="32"/>
        </w:rPr>
        <w:t xml:space="preserve">orte di giustizia </w:t>
      </w:r>
      <w:r>
        <w:rPr>
          <w:rFonts w:ascii="Times New Roman" w:hAnsi="Times New Roman" w:cs="Times New Roman"/>
          <w:sz w:val="32"/>
          <w:szCs w:val="32"/>
        </w:rPr>
        <w:t>dell’Unione europea</w:t>
      </w:r>
      <w:r w:rsidR="00812956" w:rsidRPr="00812956">
        <w:rPr>
          <w:rFonts w:ascii="Times New Roman" w:hAnsi="Times New Roman" w:cs="Times New Roman"/>
          <w:sz w:val="32"/>
          <w:szCs w:val="32"/>
        </w:rPr>
        <w:t xml:space="preserve">, </w:t>
      </w:r>
      <w:r w:rsidR="00812956">
        <w:rPr>
          <w:rFonts w:ascii="Times New Roman" w:hAnsi="Times New Roman" w:cs="Times New Roman"/>
          <w:sz w:val="32"/>
          <w:szCs w:val="32"/>
        </w:rPr>
        <w:t xml:space="preserve">aveva </w:t>
      </w:r>
      <w:r w:rsidR="00812956" w:rsidRPr="00812956">
        <w:rPr>
          <w:rFonts w:ascii="Times New Roman" w:hAnsi="Times New Roman" w:cs="Times New Roman"/>
          <w:sz w:val="32"/>
          <w:szCs w:val="32"/>
        </w:rPr>
        <w:t xml:space="preserve">sollevato dinanzi alla Corte costituzionale una questione di </w:t>
      </w:r>
      <w:r w:rsidR="004D4AC4">
        <w:rPr>
          <w:rFonts w:ascii="Times New Roman" w:hAnsi="Times New Roman" w:cs="Times New Roman"/>
          <w:sz w:val="32"/>
          <w:szCs w:val="32"/>
        </w:rPr>
        <w:t xml:space="preserve">legittimità </w:t>
      </w:r>
      <w:r w:rsidR="00812956" w:rsidRPr="00812956">
        <w:rPr>
          <w:rFonts w:ascii="Times New Roman" w:hAnsi="Times New Roman" w:cs="Times New Roman"/>
          <w:sz w:val="32"/>
          <w:szCs w:val="32"/>
        </w:rPr>
        <w:t>costituzion</w:t>
      </w:r>
      <w:r w:rsidR="004D4AC4">
        <w:rPr>
          <w:rFonts w:ascii="Times New Roman" w:hAnsi="Times New Roman" w:cs="Times New Roman"/>
          <w:sz w:val="32"/>
          <w:szCs w:val="32"/>
        </w:rPr>
        <w:t>e</w:t>
      </w:r>
      <w:r w:rsidR="00812956" w:rsidRPr="00812956">
        <w:rPr>
          <w:rFonts w:ascii="Times New Roman" w:hAnsi="Times New Roman" w:cs="Times New Roman"/>
          <w:sz w:val="32"/>
          <w:szCs w:val="32"/>
        </w:rPr>
        <w:t xml:space="preserve"> delle </w:t>
      </w:r>
      <w:r w:rsidR="006D65FD">
        <w:rPr>
          <w:rFonts w:ascii="Times New Roman" w:hAnsi="Times New Roman" w:cs="Times New Roman"/>
          <w:sz w:val="32"/>
          <w:szCs w:val="32"/>
        </w:rPr>
        <w:t xml:space="preserve">citate </w:t>
      </w:r>
      <w:r w:rsidR="00812956" w:rsidRPr="00812956">
        <w:rPr>
          <w:rFonts w:ascii="Times New Roman" w:hAnsi="Times New Roman" w:cs="Times New Roman"/>
          <w:sz w:val="32"/>
          <w:szCs w:val="32"/>
        </w:rPr>
        <w:t>disposizioni di diritto nazionale</w:t>
      </w:r>
      <w:r w:rsidR="00D359BA">
        <w:rPr>
          <w:rFonts w:ascii="Times New Roman" w:hAnsi="Times New Roman" w:cs="Times New Roman"/>
          <w:sz w:val="32"/>
          <w:szCs w:val="32"/>
        </w:rPr>
        <w:t xml:space="preserve"> – </w:t>
      </w:r>
      <w:r w:rsidR="00D206F3" w:rsidRPr="00D206F3">
        <w:rPr>
          <w:rFonts w:ascii="Times New Roman" w:hAnsi="Times New Roman" w:cs="Times New Roman"/>
          <w:sz w:val="32"/>
          <w:szCs w:val="32"/>
        </w:rPr>
        <w:t xml:space="preserve">in riferimento agli artt. 3, 41, primo comma, e 42, terzo comma, della </w:t>
      </w:r>
      <w:r w:rsidR="00D206F3" w:rsidRPr="00D206F3">
        <w:rPr>
          <w:rFonts w:ascii="Times New Roman" w:hAnsi="Times New Roman" w:cs="Times New Roman"/>
          <w:sz w:val="32"/>
          <w:szCs w:val="32"/>
        </w:rPr>
        <w:lastRenderedPageBreak/>
        <w:t>Costituzione</w:t>
      </w:r>
      <w:r w:rsidR="00D359BA">
        <w:rPr>
          <w:rFonts w:ascii="Times New Roman" w:hAnsi="Times New Roman" w:cs="Times New Roman"/>
          <w:sz w:val="32"/>
          <w:szCs w:val="32"/>
        </w:rPr>
        <w:t xml:space="preserve"> –</w:t>
      </w:r>
      <w:r w:rsidR="006D65FD">
        <w:rPr>
          <w:rFonts w:ascii="Times New Roman" w:hAnsi="Times New Roman" w:cs="Times New Roman"/>
          <w:sz w:val="32"/>
          <w:szCs w:val="32"/>
        </w:rPr>
        <w:t>,</w:t>
      </w:r>
      <w:r w:rsidR="00812956" w:rsidRPr="00812956">
        <w:rPr>
          <w:rFonts w:ascii="Times New Roman" w:hAnsi="Times New Roman" w:cs="Times New Roman"/>
          <w:sz w:val="32"/>
          <w:szCs w:val="32"/>
        </w:rPr>
        <w:t xml:space="preserve"> che costituiscono altresì l’oggetto della seconda questione pregiudiziale</w:t>
      </w:r>
      <w:r w:rsidR="000C4677">
        <w:rPr>
          <w:rFonts w:ascii="Times New Roman" w:hAnsi="Times New Roman" w:cs="Times New Roman"/>
          <w:sz w:val="32"/>
          <w:szCs w:val="32"/>
        </w:rPr>
        <w:t xml:space="preserve"> rimessa alla Corte di giustizia</w:t>
      </w:r>
      <w:r w:rsidR="00D72C51">
        <w:rPr>
          <w:rStyle w:val="Rimandonotaapidipagina"/>
          <w:rFonts w:ascii="Times New Roman" w:hAnsi="Times New Roman" w:cs="Times New Roman"/>
          <w:sz w:val="32"/>
          <w:szCs w:val="32"/>
        </w:rPr>
        <w:footnoteReference w:id="4"/>
      </w:r>
      <w:r w:rsidR="00812956" w:rsidRPr="00812956">
        <w:rPr>
          <w:rFonts w:ascii="Times New Roman" w:hAnsi="Times New Roman" w:cs="Times New Roman"/>
          <w:sz w:val="32"/>
          <w:szCs w:val="32"/>
        </w:rPr>
        <w:t xml:space="preserve">. </w:t>
      </w:r>
    </w:p>
    <w:p w:rsidR="007D3882" w:rsidRPr="00BF36DB" w:rsidRDefault="00812956" w:rsidP="00F34777">
      <w:pPr>
        <w:jc w:val="both"/>
        <w:rPr>
          <w:rFonts w:ascii="Times New Roman" w:hAnsi="Times New Roman" w:cs="Times New Roman"/>
          <w:sz w:val="32"/>
          <w:szCs w:val="32"/>
        </w:rPr>
      </w:pPr>
      <w:r w:rsidRPr="00812956">
        <w:rPr>
          <w:rFonts w:ascii="Times New Roman" w:hAnsi="Times New Roman" w:cs="Times New Roman"/>
          <w:sz w:val="32"/>
          <w:szCs w:val="32"/>
        </w:rPr>
        <w:t>La Corte costituzionale</w:t>
      </w:r>
      <w:r w:rsidR="00C173F3">
        <w:rPr>
          <w:rStyle w:val="Rimandonotaapidipagina"/>
          <w:rFonts w:ascii="Times New Roman" w:hAnsi="Times New Roman" w:cs="Times New Roman"/>
          <w:sz w:val="32"/>
          <w:szCs w:val="32"/>
        </w:rPr>
        <w:footnoteReference w:id="5"/>
      </w:r>
      <w:r w:rsidRPr="00812956">
        <w:rPr>
          <w:rFonts w:ascii="Times New Roman" w:hAnsi="Times New Roman" w:cs="Times New Roman"/>
          <w:sz w:val="32"/>
          <w:szCs w:val="32"/>
        </w:rPr>
        <w:t xml:space="preserve"> si </w:t>
      </w:r>
      <w:r w:rsidR="006D65FD">
        <w:rPr>
          <w:rFonts w:ascii="Times New Roman" w:hAnsi="Times New Roman" w:cs="Times New Roman"/>
          <w:sz w:val="32"/>
          <w:szCs w:val="32"/>
        </w:rPr>
        <w:t>era</w:t>
      </w:r>
      <w:r w:rsidRPr="00812956">
        <w:rPr>
          <w:rFonts w:ascii="Times New Roman" w:hAnsi="Times New Roman" w:cs="Times New Roman"/>
          <w:sz w:val="32"/>
          <w:szCs w:val="32"/>
        </w:rPr>
        <w:t xml:space="preserve"> pronunciata sulla conformità di dette disposizioni non al diritto dell’Unione, bensì alle disposizioni della Costituzione italiana che il giudice del rinvio considera</w:t>
      </w:r>
      <w:r w:rsidR="00DF4A67">
        <w:rPr>
          <w:rFonts w:ascii="Times New Roman" w:hAnsi="Times New Roman" w:cs="Times New Roman"/>
          <w:sz w:val="32"/>
          <w:szCs w:val="32"/>
        </w:rPr>
        <w:t>va</w:t>
      </w:r>
      <w:r w:rsidRPr="00812956">
        <w:rPr>
          <w:rFonts w:ascii="Times New Roman" w:hAnsi="Times New Roman" w:cs="Times New Roman"/>
          <w:sz w:val="32"/>
          <w:szCs w:val="32"/>
        </w:rPr>
        <w:t>, in sostanza, come le norme di riferimento corrispondenti e identiche agli arti</w:t>
      </w:r>
      <w:r w:rsidR="00D60FEE">
        <w:rPr>
          <w:rFonts w:ascii="Times New Roman" w:hAnsi="Times New Roman" w:cs="Times New Roman"/>
          <w:sz w:val="32"/>
          <w:szCs w:val="32"/>
        </w:rPr>
        <w:t xml:space="preserve">coli 26, 49, 56 e 63 </w:t>
      </w:r>
      <w:r w:rsidRPr="00812956">
        <w:rPr>
          <w:rFonts w:ascii="Times New Roman" w:hAnsi="Times New Roman" w:cs="Times New Roman"/>
          <w:sz w:val="32"/>
          <w:szCs w:val="32"/>
        </w:rPr>
        <w:t xml:space="preserve">TFUE e all’articolo 16 </w:t>
      </w:r>
      <w:r w:rsidR="006D65FD">
        <w:rPr>
          <w:rFonts w:ascii="Times New Roman" w:hAnsi="Times New Roman" w:cs="Times New Roman"/>
          <w:sz w:val="32"/>
          <w:szCs w:val="32"/>
        </w:rPr>
        <w:t>CDFUE</w:t>
      </w:r>
      <w:r w:rsidRPr="00812956">
        <w:rPr>
          <w:rFonts w:ascii="Times New Roman" w:hAnsi="Times New Roman" w:cs="Times New Roman"/>
          <w:sz w:val="32"/>
          <w:szCs w:val="32"/>
        </w:rPr>
        <w:t>, nonché sulla loro conformità ai principi della certezza del diritto e della tutela del legittimo affidamento</w:t>
      </w:r>
      <w:r w:rsidR="004F2049">
        <w:rPr>
          <w:rFonts w:ascii="Times New Roman" w:hAnsi="Times New Roman" w:cs="Times New Roman"/>
          <w:sz w:val="32"/>
          <w:szCs w:val="32"/>
        </w:rPr>
        <w:t xml:space="preserve">. </w:t>
      </w:r>
    </w:p>
    <w:p w:rsidR="00CF6708" w:rsidRPr="00CF6708" w:rsidRDefault="003A4182" w:rsidP="00F34777">
      <w:pPr>
        <w:jc w:val="both"/>
        <w:rPr>
          <w:rFonts w:ascii="Times New Roman" w:hAnsi="Times New Roman" w:cs="Times New Roman"/>
          <w:sz w:val="32"/>
          <w:szCs w:val="32"/>
        </w:rPr>
      </w:pPr>
      <w:r w:rsidRPr="00321AA1">
        <w:rPr>
          <w:rFonts w:ascii="Times New Roman" w:hAnsi="Times New Roman" w:cs="Times New Roman"/>
          <w:b/>
          <w:sz w:val="32"/>
          <w:szCs w:val="32"/>
        </w:rPr>
        <w:t>1</w:t>
      </w:r>
      <w:r w:rsidR="006D65FD" w:rsidRPr="00321AA1">
        <w:rPr>
          <w:rFonts w:ascii="Times New Roman" w:hAnsi="Times New Roman" w:cs="Times New Roman"/>
          <w:b/>
          <w:sz w:val="32"/>
          <w:szCs w:val="32"/>
        </w:rPr>
        <w:t>.</w:t>
      </w:r>
      <w:r w:rsidR="00363ACB" w:rsidRPr="00321AA1">
        <w:rPr>
          <w:rFonts w:ascii="Times New Roman" w:hAnsi="Times New Roman" w:cs="Times New Roman"/>
          <w:b/>
          <w:sz w:val="32"/>
          <w:szCs w:val="32"/>
        </w:rPr>
        <w:t>1.2</w:t>
      </w:r>
      <w:r w:rsidR="006D65FD" w:rsidRPr="00321AA1">
        <w:rPr>
          <w:rFonts w:ascii="Times New Roman" w:hAnsi="Times New Roman" w:cs="Times New Roman"/>
          <w:b/>
          <w:sz w:val="32"/>
          <w:szCs w:val="32"/>
        </w:rPr>
        <w:t>.</w:t>
      </w:r>
      <w:r w:rsidR="006D65FD">
        <w:rPr>
          <w:rFonts w:ascii="Times New Roman" w:hAnsi="Times New Roman" w:cs="Times New Roman"/>
          <w:sz w:val="32"/>
          <w:szCs w:val="32"/>
        </w:rPr>
        <w:t xml:space="preserve"> </w:t>
      </w:r>
      <w:r w:rsidR="00CF6708" w:rsidRPr="00CF6708">
        <w:rPr>
          <w:rFonts w:ascii="Times New Roman" w:hAnsi="Times New Roman" w:cs="Times New Roman"/>
          <w:sz w:val="32"/>
          <w:szCs w:val="32"/>
        </w:rPr>
        <w:t>Con la prima questione</w:t>
      </w:r>
      <w:r w:rsidR="00CF6708">
        <w:rPr>
          <w:rFonts w:ascii="Times New Roman" w:hAnsi="Times New Roman" w:cs="Times New Roman"/>
          <w:sz w:val="32"/>
          <w:szCs w:val="32"/>
        </w:rPr>
        <w:t xml:space="preserve"> – che qui interessa –</w:t>
      </w:r>
      <w:r w:rsidR="00CF6708" w:rsidRPr="00CF6708">
        <w:rPr>
          <w:rFonts w:ascii="Times New Roman" w:hAnsi="Times New Roman" w:cs="Times New Roman"/>
          <w:sz w:val="32"/>
          <w:szCs w:val="32"/>
        </w:rPr>
        <w:t xml:space="preserve">, il giudice del rinvio </w:t>
      </w:r>
      <w:r w:rsidR="004D4AC4">
        <w:rPr>
          <w:rFonts w:ascii="Times New Roman" w:hAnsi="Times New Roman" w:cs="Times New Roman"/>
          <w:sz w:val="32"/>
          <w:szCs w:val="32"/>
        </w:rPr>
        <w:t>ha</w:t>
      </w:r>
      <w:r w:rsidR="00CF6708" w:rsidRPr="00CF6708">
        <w:rPr>
          <w:rFonts w:ascii="Times New Roman" w:hAnsi="Times New Roman" w:cs="Times New Roman"/>
          <w:sz w:val="32"/>
          <w:szCs w:val="32"/>
        </w:rPr>
        <w:t xml:space="preserve">, in sostanza, </w:t>
      </w:r>
      <w:r w:rsidR="004D4AC4">
        <w:rPr>
          <w:rFonts w:ascii="Times New Roman" w:hAnsi="Times New Roman" w:cs="Times New Roman"/>
          <w:sz w:val="32"/>
          <w:szCs w:val="32"/>
        </w:rPr>
        <w:t xml:space="preserve">chiesto </w:t>
      </w:r>
      <w:r w:rsidR="00CF6708" w:rsidRPr="00CF6708">
        <w:rPr>
          <w:rFonts w:ascii="Times New Roman" w:hAnsi="Times New Roman" w:cs="Times New Roman"/>
          <w:sz w:val="32"/>
          <w:szCs w:val="32"/>
        </w:rPr>
        <w:t xml:space="preserve">se l’articolo 267, </w:t>
      </w:r>
      <w:r w:rsidR="00D60FEE">
        <w:rPr>
          <w:rFonts w:ascii="Times New Roman" w:hAnsi="Times New Roman" w:cs="Times New Roman"/>
          <w:sz w:val="32"/>
          <w:szCs w:val="32"/>
        </w:rPr>
        <w:t>paragrafo 3</w:t>
      </w:r>
      <w:r w:rsidR="00CF6708" w:rsidRPr="00CF6708">
        <w:rPr>
          <w:rFonts w:ascii="Times New Roman" w:hAnsi="Times New Roman" w:cs="Times New Roman"/>
          <w:sz w:val="32"/>
          <w:szCs w:val="32"/>
        </w:rPr>
        <w:t>, TFUE debba essere interpretato nel senso che il giudice nazionale</w:t>
      </w:r>
      <w:r w:rsidR="00A31684">
        <w:rPr>
          <w:rFonts w:ascii="Times New Roman" w:hAnsi="Times New Roman" w:cs="Times New Roman"/>
          <w:sz w:val="32"/>
          <w:szCs w:val="32"/>
        </w:rPr>
        <w:t>,</w:t>
      </w:r>
      <w:r w:rsidR="00CF6708" w:rsidRPr="00CF6708">
        <w:rPr>
          <w:rFonts w:ascii="Times New Roman" w:hAnsi="Times New Roman" w:cs="Times New Roman"/>
          <w:sz w:val="32"/>
          <w:szCs w:val="32"/>
        </w:rPr>
        <w:t xml:space="preserve"> le cui decisioni non sono impugnabili con un ricorso giurisdizionale</w:t>
      </w:r>
      <w:r w:rsidR="00A31684">
        <w:rPr>
          <w:rFonts w:ascii="Times New Roman" w:hAnsi="Times New Roman" w:cs="Times New Roman"/>
          <w:sz w:val="32"/>
          <w:szCs w:val="32"/>
        </w:rPr>
        <w:t>,</w:t>
      </w:r>
      <w:r w:rsidR="00CF6708" w:rsidRPr="00CF6708">
        <w:rPr>
          <w:rFonts w:ascii="Times New Roman" w:hAnsi="Times New Roman" w:cs="Times New Roman"/>
          <w:sz w:val="32"/>
          <w:szCs w:val="32"/>
        </w:rPr>
        <w:t xml:space="preserve"> non </w:t>
      </w:r>
      <w:r w:rsidR="00A31684">
        <w:rPr>
          <w:rFonts w:ascii="Times New Roman" w:hAnsi="Times New Roman" w:cs="Times New Roman"/>
          <w:sz w:val="32"/>
          <w:szCs w:val="32"/>
        </w:rPr>
        <w:t>sia</w:t>
      </w:r>
      <w:r w:rsidR="00CF6708" w:rsidRPr="00CF6708">
        <w:rPr>
          <w:rFonts w:ascii="Times New Roman" w:hAnsi="Times New Roman" w:cs="Times New Roman"/>
          <w:sz w:val="32"/>
          <w:szCs w:val="32"/>
        </w:rPr>
        <w:t xml:space="preserve"> tenuto a procedere al rinvio pregiudiziale di una questione di interpretazione del diritto dell’Unione nel caso in cui, nell’ambito del medesimo procedimento nazionale, la Corte costituzionale dello Stato membro di cui trattasi abbia valutato la costituzionalità delle norme nazionali alla luce delle norme di riferimento aventi un contenuto </w:t>
      </w:r>
      <w:r w:rsidR="00993343">
        <w:rPr>
          <w:rFonts w:ascii="Times New Roman" w:hAnsi="Times New Roman" w:cs="Times New Roman"/>
          <w:sz w:val="32"/>
          <w:szCs w:val="32"/>
        </w:rPr>
        <w:t>omo</w:t>
      </w:r>
      <w:r w:rsidR="00CF6708" w:rsidRPr="00CF6708">
        <w:rPr>
          <w:rFonts w:ascii="Times New Roman" w:hAnsi="Times New Roman" w:cs="Times New Roman"/>
          <w:sz w:val="32"/>
          <w:szCs w:val="32"/>
        </w:rPr>
        <w:t>logo a quello delle norme de</w:t>
      </w:r>
      <w:r w:rsidR="00D206F3">
        <w:rPr>
          <w:rFonts w:ascii="Times New Roman" w:hAnsi="Times New Roman" w:cs="Times New Roman"/>
          <w:sz w:val="32"/>
          <w:szCs w:val="32"/>
        </w:rPr>
        <w:t>1</w:t>
      </w:r>
      <w:r w:rsidR="00CF6708" w:rsidRPr="00CF6708">
        <w:rPr>
          <w:rFonts w:ascii="Times New Roman" w:hAnsi="Times New Roman" w:cs="Times New Roman"/>
          <w:sz w:val="32"/>
          <w:szCs w:val="32"/>
        </w:rPr>
        <w:t xml:space="preserve"> diritto dell’Unione</w:t>
      </w:r>
      <w:r w:rsidR="005F2E59">
        <w:rPr>
          <w:rStyle w:val="Rimandonotaapidipagina"/>
          <w:rFonts w:ascii="Times New Roman" w:hAnsi="Times New Roman" w:cs="Times New Roman"/>
          <w:sz w:val="32"/>
          <w:szCs w:val="32"/>
        </w:rPr>
        <w:footnoteReference w:id="6"/>
      </w:r>
      <w:r w:rsidR="00CF6708" w:rsidRPr="00CF6708">
        <w:rPr>
          <w:rFonts w:ascii="Times New Roman" w:hAnsi="Times New Roman" w:cs="Times New Roman"/>
          <w:sz w:val="32"/>
          <w:szCs w:val="32"/>
        </w:rPr>
        <w:t>.</w:t>
      </w:r>
    </w:p>
    <w:p w:rsidR="00A17604" w:rsidRDefault="00E34C95" w:rsidP="00F34777">
      <w:pPr>
        <w:jc w:val="both"/>
        <w:rPr>
          <w:rFonts w:ascii="Times New Roman" w:hAnsi="Times New Roman" w:cs="Times New Roman"/>
          <w:sz w:val="32"/>
          <w:szCs w:val="32"/>
        </w:rPr>
      </w:pPr>
      <w:r w:rsidRPr="00321AA1">
        <w:rPr>
          <w:rFonts w:ascii="Times New Roman" w:hAnsi="Times New Roman" w:cs="Times New Roman"/>
          <w:b/>
          <w:sz w:val="32"/>
          <w:szCs w:val="32"/>
        </w:rPr>
        <w:lastRenderedPageBreak/>
        <w:t>1</w:t>
      </w:r>
      <w:r w:rsidR="00A17604" w:rsidRPr="00321AA1">
        <w:rPr>
          <w:rFonts w:ascii="Times New Roman" w:hAnsi="Times New Roman" w:cs="Times New Roman"/>
          <w:b/>
          <w:sz w:val="32"/>
          <w:szCs w:val="32"/>
        </w:rPr>
        <w:t>.</w:t>
      </w:r>
      <w:r w:rsidR="00363ACB" w:rsidRPr="00321AA1">
        <w:rPr>
          <w:rFonts w:ascii="Times New Roman" w:hAnsi="Times New Roman" w:cs="Times New Roman"/>
          <w:b/>
          <w:sz w:val="32"/>
          <w:szCs w:val="32"/>
        </w:rPr>
        <w:t>1.3</w:t>
      </w:r>
      <w:r w:rsidR="00A17604" w:rsidRPr="00321AA1">
        <w:rPr>
          <w:rFonts w:ascii="Times New Roman" w:hAnsi="Times New Roman" w:cs="Times New Roman"/>
          <w:b/>
          <w:sz w:val="32"/>
          <w:szCs w:val="32"/>
        </w:rPr>
        <w:t>.</w:t>
      </w:r>
      <w:r w:rsidR="00A17604">
        <w:rPr>
          <w:rFonts w:ascii="Times New Roman" w:hAnsi="Times New Roman" w:cs="Times New Roman"/>
          <w:sz w:val="32"/>
          <w:szCs w:val="32"/>
        </w:rPr>
        <w:t xml:space="preserve"> La C</w:t>
      </w:r>
      <w:r w:rsidR="003A4182">
        <w:rPr>
          <w:rFonts w:ascii="Times New Roman" w:hAnsi="Times New Roman" w:cs="Times New Roman"/>
          <w:sz w:val="32"/>
          <w:szCs w:val="32"/>
        </w:rPr>
        <w:t>orte di giustizia</w:t>
      </w:r>
      <w:r w:rsidR="00A17604">
        <w:rPr>
          <w:rFonts w:ascii="Times New Roman" w:hAnsi="Times New Roman" w:cs="Times New Roman"/>
          <w:sz w:val="32"/>
          <w:szCs w:val="32"/>
        </w:rPr>
        <w:t xml:space="preserve"> ha risposto al quesito, dichiarando che «</w:t>
      </w:r>
      <w:r w:rsidR="00A17604" w:rsidRPr="00A17604">
        <w:rPr>
          <w:rFonts w:ascii="Times New Roman" w:hAnsi="Times New Roman" w:cs="Times New Roman"/>
          <w:i/>
          <w:sz w:val="32"/>
          <w:szCs w:val="32"/>
        </w:rPr>
        <w:t>l’articolo 267, paragrafo 3, TFUE deve essere interpretato nel senso che il giudice nazionale le cui decisioni non sono impugnabili con un ricorso giurisdizionale è tenuto, in linea di principio, a procedere al rinvio pregiudiziale di una questione di interpretazione del diritto dell’Unione anche nel caso in cui, nell’ambito del medesimo procedimento nazionale, la Corte costituzionale dello Stato membro di cui trattasi abbia valutato la costituzionalità delle norme nazionali alla luce delle norme di riferimento aventi un contenuto analogo a quello delle norme del diritto dell’Unione</w:t>
      </w:r>
      <w:r w:rsidR="00A17604">
        <w:rPr>
          <w:rFonts w:ascii="Times New Roman" w:hAnsi="Times New Roman" w:cs="Times New Roman"/>
          <w:sz w:val="32"/>
          <w:szCs w:val="32"/>
        </w:rPr>
        <w:t xml:space="preserve">». </w:t>
      </w:r>
    </w:p>
    <w:p w:rsidR="00A17604" w:rsidRDefault="00A17604" w:rsidP="00F34777">
      <w:pPr>
        <w:jc w:val="both"/>
        <w:rPr>
          <w:rFonts w:ascii="Times New Roman" w:hAnsi="Times New Roman" w:cs="Times New Roman"/>
          <w:sz w:val="32"/>
          <w:szCs w:val="32"/>
        </w:rPr>
      </w:pPr>
      <w:r>
        <w:rPr>
          <w:rFonts w:ascii="Times New Roman" w:hAnsi="Times New Roman" w:cs="Times New Roman"/>
          <w:sz w:val="32"/>
          <w:szCs w:val="32"/>
        </w:rPr>
        <w:t xml:space="preserve">Il responso della Corte </w:t>
      </w:r>
      <w:r w:rsidR="004D4AC4">
        <w:rPr>
          <w:rFonts w:ascii="Times New Roman" w:hAnsi="Times New Roman" w:cs="Times New Roman"/>
          <w:sz w:val="32"/>
          <w:szCs w:val="32"/>
        </w:rPr>
        <w:t xml:space="preserve">di giustizia </w:t>
      </w:r>
      <w:r>
        <w:rPr>
          <w:rFonts w:ascii="Times New Roman" w:hAnsi="Times New Roman" w:cs="Times New Roman"/>
          <w:sz w:val="32"/>
          <w:szCs w:val="32"/>
        </w:rPr>
        <w:t xml:space="preserve">si basa sul seguente </w:t>
      </w:r>
      <w:r w:rsidRPr="008B424D">
        <w:rPr>
          <w:rFonts w:ascii="Times New Roman" w:hAnsi="Times New Roman" w:cs="Times New Roman"/>
          <w:i/>
          <w:sz w:val="32"/>
          <w:szCs w:val="32"/>
        </w:rPr>
        <w:t>iter</w:t>
      </w:r>
      <w:r>
        <w:rPr>
          <w:rFonts w:ascii="Times New Roman" w:hAnsi="Times New Roman" w:cs="Times New Roman"/>
          <w:sz w:val="32"/>
          <w:szCs w:val="32"/>
        </w:rPr>
        <w:t xml:space="preserve"> argomentativo</w:t>
      </w:r>
      <w:r w:rsidR="008B424D">
        <w:rPr>
          <w:rFonts w:ascii="Times New Roman" w:hAnsi="Times New Roman" w:cs="Times New Roman"/>
          <w:sz w:val="32"/>
          <w:szCs w:val="32"/>
        </w:rPr>
        <w:t xml:space="preserve"> che, per la sua chiarezza</w:t>
      </w:r>
      <w:r w:rsidR="009F5897">
        <w:rPr>
          <w:rFonts w:ascii="Times New Roman" w:hAnsi="Times New Roman" w:cs="Times New Roman"/>
          <w:sz w:val="32"/>
          <w:szCs w:val="32"/>
        </w:rPr>
        <w:t xml:space="preserve"> e linearità</w:t>
      </w:r>
      <w:r w:rsidR="00993343">
        <w:rPr>
          <w:rFonts w:ascii="Times New Roman" w:hAnsi="Times New Roman" w:cs="Times New Roman"/>
          <w:sz w:val="32"/>
          <w:szCs w:val="32"/>
        </w:rPr>
        <w:t>, nonché</w:t>
      </w:r>
      <w:r w:rsidR="00DF4A67">
        <w:rPr>
          <w:rFonts w:ascii="Times New Roman" w:hAnsi="Times New Roman" w:cs="Times New Roman"/>
          <w:sz w:val="32"/>
          <w:szCs w:val="32"/>
        </w:rPr>
        <w:t xml:space="preserve"> per i richiami ai propri precedenti giurisprudenziali</w:t>
      </w:r>
      <w:r w:rsidR="008B424D">
        <w:rPr>
          <w:rFonts w:ascii="Times New Roman" w:hAnsi="Times New Roman" w:cs="Times New Roman"/>
          <w:sz w:val="32"/>
          <w:szCs w:val="32"/>
        </w:rPr>
        <w:t>, merita di essere riportat</w:t>
      </w:r>
      <w:r w:rsidR="009F5897">
        <w:rPr>
          <w:rFonts w:ascii="Times New Roman" w:hAnsi="Times New Roman" w:cs="Times New Roman"/>
          <w:sz w:val="32"/>
          <w:szCs w:val="32"/>
        </w:rPr>
        <w:t>o</w:t>
      </w:r>
      <w:r w:rsidR="008B424D">
        <w:rPr>
          <w:rFonts w:ascii="Times New Roman" w:hAnsi="Times New Roman" w:cs="Times New Roman"/>
          <w:sz w:val="32"/>
          <w:szCs w:val="32"/>
        </w:rPr>
        <w:t xml:space="preserve"> testualmente</w:t>
      </w:r>
      <w:r>
        <w:rPr>
          <w:rFonts w:ascii="Times New Roman" w:hAnsi="Times New Roman" w:cs="Times New Roman"/>
          <w:sz w:val="32"/>
          <w:szCs w:val="32"/>
        </w:rPr>
        <w:t xml:space="preserve">: </w:t>
      </w:r>
    </w:p>
    <w:p w:rsidR="00A17604" w:rsidRPr="008B424D" w:rsidRDefault="00A17604" w:rsidP="00F34777">
      <w:pPr>
        <w:jc w:val="both"/>
        <w:rPr>
          <w:rFonts w:ascii="Times New Roman" w:hAnsi="Times New Roman" w:cs="Times New Roman"/>
          <w:i/>
          <w:sz w:val="32"/>
          <w:szCs w:val="32"/>
        </w:rPr>
      </w:pPr>
      <w:r>
        <w:rPr>
          <w:rFonts w:ascii="Times New Roman" w:hAnsi="Times New Roman" w:cs="Times New Roman"/>
          <w:sz w:val="32"/>
          <w:szCs w:val="32"/>
        </w:rPr>
        <w:t>«</w:t>
      </w:r>
      <w:bookmarkStart w:id="0" w:name="point21"/>
      <w:r w:rsidRPr="008B424D">
        <w:rPr>
          <w:rFonts w:ascii="Times New Roman" w:hAnsi="Times New Roman" w:cs="Times New Roman"/>
          <w:i/>
          <w:sz w:val="32"/>
          <w:szCs w:val="32"/>
        </w:rPr>
        <w:t>21</w:t>
      </w:r>
      <w:bookmarkEnd w:id="0"/>
      <w:r w:rsidRPr="008B424D">
        <w:rPr>
          <w:rFonts w:ascii="Times New Roman" w:hAnsi="Times New Roman" w:cs="Times New Roman"/>
          <w:i/>
          <w:sz w:val="32"/>
          <w:szCs w:val="32"/>
        </w:rPr>
        <w:t>. Occorre ricordare che un giudice nazionale investito di una controversia concernente il diritto dell’Unione, il quale ritenga che una norma nazionale sia non soltanto contraria a tale diritto, ma anche inficiata da vizi di costituzionalità, non è privato della facoltà</w:t>
      </w:r>
      <w:r w:rsidR="004D4AC4">
        <w:rPr>
          <w:rStyle w:val="Rimandonotaapidipagina"/>
          <w:rFonts w:ascii="Times New Roman" w:hAnsi="Times New Roman" w:cs="Times New Roman"/>
          <w:i/>
          <w:sz w:val="32"/>
          <w:szCs w:val="32"/>
        </w:rPr>
        <w:footnoteReference w:id="7"/>
      </w:r>
      <w:r w:rsidRPr="008B424D">
        <w:rPr>
          <w:rFonts w:ascii="Times New Roman" w:hAnsi="Times New Roman" w:cs="Times New Roman"/>
          <w:i/>
          <w:sz w:val="32"/>
          <w:szCs w:val="32"/>
        </w:rPr>
        <w:t xml:space="preserve"> o dispensato dall’obbligo</w:t>
      </w:r>
      <w:r w:rsidR="004D4AC4">
        <w:rPr>
          <w:rStyle w:val="Rimandonotaapidipagina"/>
          <w:rFonts w:ascii="Times New Roman" w:hAnsi="Times New Roman" w:cs="Times New Roman"/>
          <w:i/>
          <w:sz w:val="32"/>
          <w:szCs w:val="32"/>
        </w:rPr>
        <w:footnoteReference w:id="8"/>
      </w:r>
      <w:r w:rsidRPr="008B424D">
        <w:rPr>
          <w:rFonts w:ascii="Times New Roman" w:hAnsi="Times New Roman" w:cs="Times New Roman"/>
          <w:i/>
          <w:sz w:val="32"/>
          <w:szCs w:val="32"/>
        </w:rPr>
        <w:t xml:space="preserve">, previsti dall’articolo 267 TFUE, di sottoporre alla Corte questioni relative all’interpretazione o alla validità del diritto dell’Unione per il fatto che la constatazione dell’incostituzionalità di una norma di diritto nazionale è subordinata ad un ricorso obbligatorio dinanzi ad una corte costituzionale. Infatti, l’efficacia del diritto dell’Unione rischierebbe di essere compromessa se l’esistenza di un ricorso obbligatorio dinanzi ad una corte costituzionale potesse impedire al giudice nazionale, investito di una controversia disciplinata dal suddetto diritto, di esercitare la facoltà, </w:t>
      </w:r>
      <w:r w:rsidR="009F5897">
        <w:rPr>
          <w:rFonts w:ascii="Times New Roman" w:hAnsi="Times New Roman" w:cs="Times New Roman"/>
          <w:i/>
          <w:sz w:val="32"/>
          <w:szCs w:val="32"/>
        </w:rPr>
        <w:t xml:space="preserve">attribuitagli dall’articolo 267 </w:t>
      </w:r>
      <w:r w:rsidRPr="008B424D">
        <w:rPr>
          <w:rFonts w:ascii="Times New Roman" w:hAnsi="Times New Roman" w:cs="Times New Roman"/>
          <w:i/>
          <w:sz w:val="32"/>
          <w:szCs w:val="32"/>
        </w:rPr>
        <w:t xml:space="preserve">TFUE, di sottoporre alla Corte le questioni vertenti sull’interpretazione o sulla validità del diritto dell’Unione, al fine di permettergli di stabilire se una norma nazionale sia compatibile o no con quest’ultimo (sentenza del 4 giugno 2015, </w:t>
      </w:r>
      <w:proofErr w:type="spellStart"/>
      <w:r w:rsidRPr="008B424D">
        <w:rPr>
          <w:rFonts w:ascii="Times New Roman" w:hAnsi="Times New Roman" w:cs="Times New Roman"/>
          <w:i/>
          <w:sz w:val="32"/>
          <w:szCs w:val="32"/>
        </w:rPr>
        <w:t>Kernkraftwerke</w:t>
      </w:r>
      <w:proofErr w:type="spellEnd"/>
      <w:r w:rsidRPr="008B424D">
        <w:rPr>
          <w:rFonts w:ascii="Times New Roman" w:hAnsi="Times New Roman" w:cs="Times New Roman"/>
          <w:i/>
          <w:sz w:val="32"/>
          <w:szCs w:val="32"/>
        </w:rPr>
        <w:t xml:space="preserve"> Lippe</w:t>
      </w:r>
      <w:r w:rsidRPr="008B424D">
        <w:rPr>
          <w:rFonts w:ascii="Times New Roman" w:hAnsi="Times New Roman" w:cs="Times New Roman"/>
          <w:i/>
          <w:sz w:val="32"/>
          <w:szCs w:val="32"/>
        </w:rPr>
        <w:noBreakHyphen/>
      </w:r>
      <w:proofErr w:type="spellStart"/>
      <w:r w:rsidRPr="008B424D">
        <w:rPr>
          <w:rFonts w:ascii="Times New Roman" w:hAnsi="Times New Roman" w:cs="Times New Roman"/>
          <w:i/>
          <w:sz w:val="32"/>
          <w:szCs w:val="32"/>
        </w:rPr>
        <w:t>Ems</w:t>
      </w:r>
      <w:proofErr w:type="spellEnd"/>
      <w:r w:rsidRPr="008B424D">
        <w:rPr>
          <w:rFonts w:ascii="Times New Roman" w:hAnsi="Times New Roman" w:cs="Times New Roman"/>
          <w:i/>
          <w:sz w:val="32"/>
          <w:szCs w:val="32"/>
        </w:rPr>
        <w:t>, C</w:t>
      </w:r>
      <w:r w:rsidR="009F5897">
        <w:rPr>
          <w:rFonts w:ascii="Times New Roman" w:hAnsi="Times New Roman" w:cs="Times New Roman"/>
          <w:i/>
          <w:sz w:val="32"/>
          <w:szCs w:val="32"/>
        </w:rPr>
        <w:t>-</w:t>
      </w:r>
      <w:r w:rsidRPr="008B424D">
        <w:rPr>
          <w:rFonts w:ascii="Times New Roman" w:hAnsi="Times New Roman" w:cs="Times New Roman"/>
          <w:i/>
          <w:sz w:val="32"/>
          <w:szCs w:val="32"/>
        </w:rPr>
        <w:t>5/14, EU:C:2015:354, punto 34 e la giurisprudenza ivi citata).</w:t>
      </w:r>
    </w:p>
    <w:p w:rsidR="00A17604" w:rsidRPr="008B424D" w:rsidRDefault="00A17604" w:rsidP="00F34777">
      <w:pPr>
        <w:jc w:val="both"/>
        <w:rPr>
          <w:rFonts w:ascii="Times New Roman" w:hAnsi="Times New Roman" w:cs="Times New Roman"/>
          <w:i/>
          <w:sz w:val="32"/>
          <w:szCs w:val="32"/>
        </w:rPr>
      </w:pPr>
      <w:bookmarkStart w:id="1" w:name="point22"/>
      <w:r w:rsidRPr="008B424D">
        <w:rPr>
          <w:rFonts w:ascii="Times New Roman" w:hAnsi="Times New Roman" w:cs="Times New Roman"/>
          <w:i/>
          <w:sz w:val="32"/>
          <w:szCs w:val="32"/>
        </w:rPr>
        <w:t>22</w:t>
      </w:r>
      <w:bookmarkEnd w:id="1"/>
      <w:r w:rsidRPr="008B424D">
        <w:rPr>
          <w:rFonts w:ascii="Times New Roman" w:hAnsi="Times New Roman" w:cs="Times New Roman"/>
          <w:i/>
          <w:sz w:val="32"/>
          <w:szCs w:val="32"/>
        </w:rPr>
        <w:t>. Dall’insieme di tali considerazioni la Corte ha tratto la conclusione che il funzionamento del sistema di cooperazione tra essa e i giudici naziona</w:t>
      </w:r>
      <w:r w:rsidR="009F5897">
        <w:rPr>
          <w:rFonts w:ascii="Times New Roman" w:hAnsi="Times New Roman" w:cs="Times New Roman"/>
          <w:i/>
          <w:sz w:val="32"/>
          <w:szCs w:val="32"/>
        </w:rPr>
        <w:t xml:space="preserve">li, istituito dall’articolo 267 </w:t>
      </w:r>
      <w:r w:rsidRPr="008B424D">
        <w:rPr>
          <w:rFonts w:ascii="Times New Roman" w:hAnsi="Times New Roman" w:cs="Times New Roman"/>
          <w:i/>
          <w:sz w:val="32"/>
          <w:szCs w:val="32"/>
        </w:rPr>
        <w:t xml:space="preserve">TFUE, e il principio del primato del diritto </w:t>
      </w:r>
      <w:r w:rsidRPr="008B424D">
        <w:rPr>
          <w:rFonts w:ascii="Times New Roman" w:hAnsi="Times New Roman" w:cs="Times New Roman"/>
          <w:i/>
          <w:sz w:val="32"/>
          <w:szCs w:val="32"/>
        </w:rPr>
        <w:lastRenderedPageBreak/>
        <w:t xml:space="preserve">dell’Unione esigono che il giudice nazionale sia libero di sottoporre alla Corte, in qualsiasi fase del procedimento che reputi appropriata, ed anche al termine di un procedimento incidentale di controllo di costituzionalità, qualsiasi questione pregiudiziale che esso consideri necessaria (sentenza del 4 giugno 2015, </w:t>
      </w:r>
      <w:proofErr w:type="spellStart"/>
      <w:r w:rsidRPr="008B424D">
        <w:rPr>
          <w:rFonts w:ascii="Times New Roman" w:hAnsi="Times New Roman" w:cs="Times New Roman"/>
          <w:i/>
          <w:sz w:val="32"/>
          <w:szCs w:val="32"/>
        </w:rPr>
        <w:t>Kernkraftwerke</w:t>
      </w:r>
      <w:proofErr w:type="spellEnd"/>
      <w:r w:rsidRPr="008B424D">
        <w:rPr>
          <w:rFonts w:ascii="Times New Roman" w:hAnsi="Times New Roman" w:cs="Times New Roman"/>
          <w:i/>
          <w:sz w:val="32"/>
          <w:szCs w:val="32"/>
        </w:rPr>
        <w:t xml:space="preserve"> Lippe</w:t>
      </w:r>
      <w:r w:rsidRPr="008B424D">
        <w:rPr>
          <w:rFonts w:ascii="Times New Roman" w:hAnsi="Times New Roman" w:cs="Times New Roman"/>
          <w:i/>
          <w:sz w:val="32"/>
          <w:szCs w:val="32"/>
        </w:rPr>
        <w:noBreakHyphen/>
      </w:r>
      <w:proofErr w:type="spellStart"/>
      <w:r w:rsidRPr="008B424D">
        <w:rPr>
          <w:rFonts w:ascii="Times New Roman" w:hAnsi="Times New Roman" w:cs="Times New Roman"/>
          <w:i/>
          <w:sz w:val="32"/>
          <w:szCs w:val="32"/>
        </w:rPr>
        <w:t>Ems</w:t>
      </w:r>
      <w:proofErr w:type="spellEnd"/>
      <w:r w:rsidRPr="008B424D">
        <w:rPr>
          <w:rFonts w:ascii="Times New Roman" w:hAnsi="Times New Roman" w:cs="Times New Roman"/>
          <w:i/>
          <w:sz w:val="32"/>
          <w:szCs w:val="32"/>
        </w:rPr>
        <w:t>, C</w:t>
      </w:r>
      <w:r w:rsidR="00DF4A67">
        <w:rPr>
          <w:rFonts w:ascii="Times New Roman" w:hAnsi="Times New Roman" w:cs="Times New Roman"/>
          <w:i/>
          <w:sz w:val="32"/>
          <w:szCs w:val="32"/>
        </w:rPr>
        <w:t>-</w:t>
      </w:r>
      <w:r w:rsidRPr="008B424D">
        <w:rPr>
          <w:rFonts w:ascii="Times New Roman" w:hAnsi="Times New Roman" w:cs="Times New Roman"/>
          <w:i/>
          <w:sz w:val="32"/>
          <w:szCs w:val="32"/>
        </w:rPr>
        <w:t>5/14, EU:C:2015:354, punto 35 e la giurisprudenza ivi citata).</w:t>
      </w:r>
    </w:p>
    <w:p w:rsidR="00A17604" w:rsidRPr="008B424D" w:rsidRDefault="00A17604" w:rsidP="00F34777">
      <w:pPr>
        <w:jc w:val="both"/>
        <w:rPr>
          <w:rFonts w:ascii="Times New Roman" w:hAnsi="Times New Roman" w:cs="Times New Roman"/>
          <w:i/>
          <w:sz w:val="32"/>
          <w:szCs w:val="32"/>
        </w:rPr>
      </w:pPr>
      <w:bookmarkStart w:id="2" w:name="point23"/>
      <w:r w:rsidRPr="008B424D">
        <w:rPr>
          <w:rFonts w:ascii="Times New Roman" w:hAnsi="Times New Roman" w:cs="Times New Roman"/>
          <w:i/>
          <w:sz w:val="32"/>
          <w:szCs w:val="32"/>
        </w:rPr>
        <w:t>23</w:t>
      </w:r>
      <w:bookmarkEnd w:id="2"/>
      <w:r w:rsidRPr="008B424D">
        <w:rPr>
          <w:rFonts w:ascii="Times New Roman" w:hAnsi="Times New Roman" w:cs="Times New Roman"/>
          <w:i/>
          <w:sz w:val="32"/>
          <w:szCs w:val="32"/>
        </w:rPr>
        <w:t>. Orbene, risulta dalle considerazioni di cui sopra che l’efficacia del diritto dell’Unione rischierebbe di essere compromessa e l’e</w:t>
      </w:r>
      <w:r w:rsidR="00181DFF">
        <w:rPr>
          <w:rFonts w:ascii="Times New Roman" w:hAnsi="Times New Roman" w:cs="Times New Roman"/>
          <w:i/>
          <w:sz w:val="32"/>
          <w:szCs w:val="32"/>
        </w:rPr>
        <w:t xml:space="preserve">ffetto utile dell’articolo 267 </w:t>
      </w:r>
      <w:r w:rsidRPr="008B424D">
        <w:rPr>
          <w:rFonts w:ascii="Times New Roman" w:hAnsi="Times New Roman" w:cs="Times New Roman"/>
          <w:i/>
          <w:sz w:val="32"/>
          <w:szCs w:val="32"/>
        </w:rPr>
        <w:t xml:space="preserve">TFUE risulterebbe sminuito se, a motivo dell’esistenza di un procedimento di controllo di costituzionalità, al giudice nazionale fosse impedito di sottoporre questioni pregiudiziali alla Corte e di dare immediatamente al diritto dell’Unione un’applicazione conforme alla decisione o alla giurisprudenza della Corte (v., in tal senso, sentenza del 4 giugno 2015, </w:t>
      </w:r>
      <w:proofErr w:type="spellStart"/>
      <w:r w:rsidRPr="008B424D">
        <w:rPr>
          <w:rFonts w:ascii="Times New Roman" w:hAnsi="Times New Roman" w:cs="Times New Roman"/>
          <w:i/>
          <w:sz w:val="32"/>
          <w:szCs w:val="32"/>
        </w:rPr>
        <w:t>Kernkraftwerke</w:t>
      </w:r>
      <w:proofErr w:type="spellEnd"/>
      <w:r w:rsidRPr="008B424D">
        <w:rPr>
          <w:rFonts w:ascii="Times New Roman" w:hAnsi="Times New Roman" w:cs="Times New Roman"/>
          <w:i/>
          <w:sz w:val="32"/>
          <w:szCs w:val="32"/>
        </w:rPr>
        <w:t xml:space="preserve"> Lippe</w:t>
      </w:r>
      <w:r w:rsidRPr="008B424D">
        <w:rPr>
          <w:rFonts w:ascii="Times New Roman" w:hAnsi="Times New Roman" w:cs="Times New Roman"/>
          <w:i/>
          <w:sz w:val="32"/>
          <w:szCs w:val="32"/>
        </w:rPr>
        <w:noBreakHyphen/>
      </w:r>
      <w:proofErr w:type="spellStart"/>
      <w:r w:rsidRPr="008B424D">
        <w:rPr>
          <w:rFonts w:ascii="Times New Roman" w:hAnsi="Times New Roman" w:cs="Times New Roman"/>
          <w:i/>
          <w:sz w:val="32"/>
          <w:szCs w:val="32"/>
        </w:rPr>
        <w:t>Ems</w:t>
      </w:r>
      <w:proofErr w:type="spellEnd"/>
      <w:r w:rsidRPr="008B424D">
        <w:rPr>
          <w:rFonts w:ascii="Times New Roman" w:hAnsi="Times New Roman" w:cs="Times New Roman"/>
          <w:i/>
          <w:sz w:val="32"/>
          <w:szCs w:val="32"/>
        </w:rPr>
        <w:t>, C</w:t>
      </w:r>
      <w:r w:rsidR="00DF4A67">
        <w:rPr>
          <w:rFonts w:ascii="Times New Roman" w:hAnsi="Times New Roman" w:cs="Times New Roman"/>
          <w:i/>
          <w:sz w:val="32"/>
          <w:szCs w:val="32"/>
        </w:rPr>
        <w:t>-</w:t>
      </w:r>
      <w:r w:rsidRPr="008B424D">
        <w:rPr>
          <w:rFonts w:ascii="Times New Roman" w:hAnsi="Times New Roman" w:cs="Times New Roman"/>
          <w:i/>
          <w:sz w:val="32"/>
          <w:szCs w:val="32"/>
        </w:rPr>
        <w:t>5/14, EU:C:2015:354, punto 36 e la giurisprudenza ivi citata).</w:t>
      </w:r>
    </w:p>
    <w:p w:rsidR="00A17604" w:rsidRPr="008B424D" w:rsidRDefault="00A17604" w:rsidP="00F34777">
      <w:pPr>
        <w:jc w:val="both"/>
        <w:rPr>
          <w:rFonts w:ascii="Times New Roman" w:hAnsi="Times New Roman" w:cs="Times New Roman"/>
          <w:i/>
          <w:sz w:val="32"/>
          <w:szCs w:val="32"/>
        </w:rPr>
      </w:pPr>
      <w:bookmarkStart w:id="3" w:name="point24"/>
      <w:r w:rsidRPr="008B424D">
        <w:rPr>
          <w:rFonts w:ascii="Times New Roman" w:hAnsi="Times New Roman" w:cs="Times New Roman"/>
          <w:i/>
          <w:sz w:val="32"/>
          <w:szCs w:val="32"/>
        </w:rPr>
        <w:t>24</w:t>
      </w:r>
      <w:bookmarkEnd w:id="3"/>
      <w:r w:rsidRPr="008B424D">
        <w:rPr>
          <w:rFonts w:ascii="Times New Roman" w:hAnsi="Times New Roman" w:cs="Times New Roman"/>
          <w:i/>
          <w:sz w:val="32"/>
          <w:szCs w:val="32"/>
        </w:rPr>
        <w:t>. Inoltre, se è vero che il procedimento istituito dall’articolo 267 TFUE costituisce uno strumento di cooperazione tra la Corte e i giudici nazionali, grazie al quale la prima fornisce ai secondi gli elementi di interpretazione del diritto dell’Unione necessari a questi ultimi per risolvere la controversia che sono chiamati a dirimere, ciò non toglie che, quando non sia esperibile alcun ricorso giurisdizionale di diritto interno avverso la decisione di un giudice nazionale, quest’ultimo è, in linea di principio, tenuto a rivolgersi alla Corte ai sensi dell’articolo 267, terzo comma, TFUE, qualora venga sollevata dinanzi ad esso una questione di interpretazione del diritto dell’Unione (v. sentenza del 9 settembre 20</w:t>
      </w:r>
      <w:r w:rsidR="009F5897">
        <w:rPr>
          <w:rFonts w:ascii="Times New Roman" w:hAnsi="Times New Roman" w:cs="Times New Roman"/>
          <w:i/>
          <w:sz w:val="32"/>
          <w:szCs w:val="32"/>
        </w:rPr>
        <w:t xml:space="preserve">15, Ferreira da Silva e </w:t>
      </w:r>
      <w:proofErr w:type="spellStart"/>
      <w:r w:rsidR="009F5897">
        <w:rPr>
          <w:rFonts w:ascii="Times New Roman" w:hAnsi="Times New Roman" w:cs="Times New Roman"/>
          <w:i/>
          <w:sz w:val="32"/>
          <w:szCs w:val="32"/>
        </w:rPr>
        <w:t>Brito</w:t>
      </w:r>
      <w:proofErr w:type="spellEnd"/>
      <w:r w:rsidR="009F5897">
        <w:rPr>
          <w:rFonts w:ascii="Times New Roman" w:hAnsi="Times New Roman" w:cs="Times New Roman"/>
          <w:i/>
          <w:sz w:val="32"/>
          <w:szCs w:val="32"/>
        </w:rPr>
        <w:t xml:space="preserve"> e </w:t>
      </w:r>
      <w:r w:rsidRPr="008B424D">
        <w:rPr>
          <w:rFonts w:ascii="Times New Roman" w:hAnsi="Times New Roman" w:cs="Times New Roman"/>
          <w:i/>
          <w:sz w:val="32"/>
          <w:szCs w:val="32"/>
        </w:rPr>
        <w:t>a., C</w:t>
      </w:r>
      <w:r w:rsidR="009F5897">
        <w:rPr>
          <w:rFonts w:ascii="Times New Roman" w:hAnsi="Times New Roman" w:cs="Times New Roman"/>
          <w:i/>
          <w:sz w:val="32"/>
          <w:szCs w:val="32"/>
        </w:rPr>
        <w:t>-</w:t>
      </w:r>
      <w:r w:rsidRPr="008B424D">
        <w:rPr>
          <w:rFonts w:ascii="Times New Roman" w:hAnsi="Times New Roman" w:cs="Times New Roman"/>
          <w:i/>
          <w:sz w:val="32"/>
          <w:szCs w:val="32"/>
        </w:rPr>
        <w:t>160/14, EU:C:2015:565, punto 37).</w:t>
      </w:r>
    </w:p>
    <w:p w:rsidR="00A17604" w:rsidRDefault="00A17604" w:rsidP="00F34777">
      <w:pPr>
        <w:jc w:val="both"/>
        <w:rPr>
          <w:rFonts w:ascii="Times New Roman" w:hAnsi="Times New Roman" w:cs="Times New Roman"/>
          <w:sz w:val="32"/>
          <w:szCs w:val="32"/>
        </w:rPr>
      </w:pPr>
      <w:bookmarkStart w:id="4" w:name="point25"/>
      <w:r w:rsidRPr="008B424D">
        <w:rPr>
          <w:rFonts w:ascii="Times New Roman" w:hAnsi="Times New Roman" w:cs="Times New Roman"/>
          <w:i/>
          <w:sz w:val="32"/>
          <w:szCs w:val="32"/>
        </w:rPr>
        <w:t>25</w:t>
      </w:r>
      <w:bookmarkEnd w:id="4"/>
      <w:r w:rsidRPr="008B424D">
        <w:rPr>
          <w:rFonts w:ascii="Times New Roman" w:hAnsi="Times New Roman" w:cs="Times New Roman"/>
          <w:i/>
          <w:sz w:val="32"/>
          <w:szCs w:val="32"/>
        </w:rPr>
        <w:t xml:space="preserve">. Il fatto che la Corte costituzionale italiana si sia pronunciata sulla conformità delle disposizioni del diritto nazionale, costituenti anche l’oggetto della seconda questione pregiudiziale, alle disposizioni della Costituzione italiana che il giudice del rinvio considera, in sostanza, come le norme di riferimento corrispondenti e identiche agli articoli 26, 49, 56 e 63 TFUE e all’articolo 16 della Carta dei diritti fondamentali, non ha alcuna incidenza sull’obbligo, previsto dall’articolo 267 TFUE, di </w:t>
      </w:r>
      <w:r w:rsidRPr="008B424D">
        <w:rPr>
          <w:rFonts w:ascii="Times New Roman" w:hAnsi="Times New Roman" w:cs="Times New Roman"/>
          <w:i/>
          <w:sz w:val="32"/>
          <w:szCs w:val="32"/>
        </w:rPr>
        <w:lastRenderedPageBreak/>
        <w:t>sottoporre alla Corte eventuali questioni riguardanti l’interpretazione del diritto dell’Unione</w:t>
      </w:r>
      <w:r>
        <w:rPr>
          <w:rFonts w:ascii="Times New Roman" w:hAnsi="Times New Roman" w:cs="Times New Roman"/>
          <w:sz w:val="32"/>
          <w:szCs w:val="32"/>
        </w:rPr>
        <w:t>»</w:t>
      </w:r>
      <w:r w:rsidR="0058259E">
        <w:rPr>
          <w:rFonts w:ascii="Times New Roman" w:hAnsi="Times New Roman" w:cs="Times New Roman"/>
          <w:sz w:val="32"/>
          <w:szCs w:val="32"/>
        </w:rPr>
        <w:t xml:space="preserve">. </w:t>
      </w:r>
    </w:p>
    <w:p w:rsidR="00181DFF" w:rsidRDefault="00FB2474" w:rsidP="00F34777">
      <w:pPr>
        <w:jc w:val="both"/>
        <w:rPr>
          <w:rFonts w:ascii="Times New Roman" w:hAnsi="Times New Roman" w:cs="Times New Roman"/>
          <w:sz w:val="32"/>
          <w:szCs w:val="32"/>
        </w:rPr>
      </w:pPr>
      <w:r>
        <w:rPr>
          <w:rFonts w:ascii="Times New Roman" w:hAnsi="Times New Roman" w:cs="Times New Roman"/>
          <w:sz w:val="32"/>
          <w:szCs w:val="32"/>
        </w:rPr>
        <w:t>Pertanto, s</w:t>
      </w:r>
      <w:r w:rsidR="00181DFF">
        <w:rPr>
          <w:rFonts w:ascii="Times New Roman" w:hAnsi="Times New Roman" w:cs="Times New Roman"/>
          <w:sz w:val="32"/>
          <w:szCs w:val="32"/>
        </w:rPr>
        <w:t>econdo la giurisprudenza della C</w:t>
      </w:r>
      <w:r w:rsidR="006E75F6">
        <w:rPr>
          <w:rFonts w:ascii="Times New Roman" w:hAnsi="Times New Roman" w:cs="Times New Roman"/>
          <w:sz w:val="32"/>
          <w:szCs w:val="32"/>
        </w:rPr>
        <w:t>orte di giustizia</w:t>
      </w:r>
      <w:r w:rsidR="00181DFF">
        <w:rPr>
          <w:rFonts w:ascii="Times New Roman" w:hAnsi="Times New Roman" w:cs="Times New Roman"/>
          <w:sz w:val="32"/>
          <w:szCs w:val="32"/>
        </w:rPr>
        <w:t xml:space="preserve">, il </w:t>
      </w:r>
      <w:r w:rsidR="00932DE6">
        <w:rPr>
          <w:rFonts w:ascii="Times New Roman" w:hAnsi="Times New Roman" w:cs="Times New Roman"/>
          <w:sz w:val="32"/>
          <w:szCs w:val="32"/>
        </w:rPr>
        <w:t xml:space="preserve">primato del diritto </w:t>
      </w:r>
      <w:r w:rsidR="00181DFF">
        <w:rPr>
          <w:rFonts w:ascii="Times New Roman" w:hAnsi="Times New Roman" w:cs="Times New Roman"/>
          <w:sz w:val="32"/>
          <w:szCs w:val="32"/>
        </w:rPr>
        <w:t xml:space="preserve">dell’Unione e </w:t>
      </w:r>
      <w:r w:rsidR="00181DFF" w:rsidRPr="00181DFF">
        <w:rPr>
          <w:rFonts w:ascii="Times New Roman" w:hAnsi="Times New Roman" w:cs="Times New Roman"/>
          <w:sz w:val="32"/>
          <w:szCs w:val="32"/>
        </w:rPr>
        <w:t>l’</w:t>
      </w:r>
      <w:r w:rsidR="00181DFF">
        <w:rPr>
          <w:rFonts w:ascii="Times New Roman" w:hAnsi="Times New Roman" w:cs="Times New Roman"/>
          <w:sz w:val="32"/>
          <w:szCs w:val="32"/>
        </w:rPr>
        <w:t>esigenza di preservare l’</w:t>
      </w:r>
      <w:r w:rsidR="00181DFF" w:rsidRPr="00181DFF">
        <w:rPr>
          <w:rFonts w:ascii="Times New Roman" w:hAnsi="Times New Roman" w:cs="Times New Roman"/>
          <w:sz w:val="32"/>
          <w:szCs w:val="32"/>
        </w:rPr>
        <w:t>effetto utile dell’articolo 267 TFUE</w:t>
      </w:r>
      <w:r w:rsidR="00181DFF">
        <w:rPr>
          <w:rFonts w:ascii="Times New Roman" w:hAnsi="Times New Roman" w:cs="Times New Roman"/>
          <w:sz w:val="32"/>
          <w:szCs w:val="32"/>
        </w:rPr>
        <w:t xml:space="preserve"> impediscono di attribuire ai procedimenti di legittimità costituzionale dinanzi alle Corti costituzionali nazionali un qualsiasi effetto preclusivo o impeditivo dell’obbligo del rinvio pregiudiziale gravante sui giudici nazionali di ultima istanza</w:t>
      </w:r>
      <w:r w:rsidR="00363ACB">
        <w:rPr>
          <w:rFonts w:ascii="Times New Roman" w:hAnsi="Times New Roman" w:cs="Times New Roman"/>
          <w:sz w:val="32"/>
          <w:szCs w:val="32"/>
        </w:rPr>
        <w:t xml:space="preserve"> e di dare immediatamente al diritto dell’Unione un’applicazione conforme alla </w:t>
      </w:r>
      <w:r w:rsidR="00363ACB" w:rsidRPr="00363ACB">
        <w:rPr>
          <w:rFonts w:ascii="Times New Roman" w:hAnsi="Times New Roman" w:cs="Times New Roman"/>
          <w:sz w:val="32"/>
          <w:szCs w:val="32"/>
        </w:rPr>
        <w:t>decisione o alla giurisprudenza della Corte</w:t>
      </w:r>
      <w:r w:rsidR="00181DFF">
        <w:rPr>
          <w:rFonts w:ascii="Times New Roman" w:hAnsi="Times New Roman" w:cs="Times New Roman"/>
          <w:sz w:val="32"/>
          <w:szCs w:val="32"/>
        </w:rPr>
        <w:t xml:space="preserve">. </w:t>
      </w:r>
    </w:p>
    <w:p w:rsidR="00CA18D8" w:rsidRDefault="00363ACB" w:rsidP="00F34777">
      <w:pPr>
        <w:jc w:val="both"/>
        <w:rPr>
          <w:rFonts w:ascii="Times New Roman" w:hAnsi="Times New Roman" w:cs="Times New Roman"/>
          <w:sz w:val="32"/>
          <w:szCs w:val="32"/>
        </w:rPr>
      </w:pPr>
      <w:r w:rsidRPr="00321AA1">
        <w:rPr>
          <w:rFonts w:ascii="Times New Roman" w:hAnsi="Times New Roman" w:cs="Times New Roman"/>
          <w:b/>
          <w:sz w:val="32"/>
          <w:szCs w:val="32"/>
        </w:rPr>
        <w:t>1.2</w:t>
      </w:r>
      <w:r w:rsidR="00FB2474" w:rsidRPr="00321AA1">
        <w:rPr>
          <w:rFonts w:ascii="Times New Roman" w:hAnsi="Times New Roman" w:cs="Times New Roman"/>
          <w:b/>
          <w:sz w:val="32"/>
          <w:szCs w:val="32"/>
        </w:rPr>
        <w:t>.</w:t>
      </w:r>
      <w:r w:rsidR="00FB2474">
        <w:rPr>
          <w:rFonts w:ascii="Times New Roman" w:hAnsi="Times New Roman" w:cs="Times New Roman"/>
          <w:sz w:val="32"/>
          <w:szCs w:val="32"/>
        </w:rPr>
        <w:t xml:space="preserve"> Qua</w:t>
      </w:r>
      <w:r w:rsidR="00DF4A67">
        <w:rPr>
          <w:rFonts w:ascii="Times New Roman" w:hAnsi="Times New Roman" w:cs="Times New Roman"/>
          <w:sz w:val="32"/>
          <w:szCs w:val="32"/>
        </w:rPr>
        <w:t>nto alla pronuncia della Corte c</w:t>
      </w:r>
      <w:r w:rsidR="00FB2474">
        <w:rPr>
          <w:rFonts w:ascii="Times New Roman" w:hAnsi="Times New Roman" w:cs="Times New Roman"/>
          <w:sz w:val="32"/>
          <w:szCs w:val="32"/>
        </w:rPr>
        <w:t>ostituzionale, si tratta della sentenza 14 dicembre 2017, n. 269</w:t>
      </w:r>
      <w:r w:rsidR="00DE0A52">
        <w:rPr>
          <w:rFonts w:ascii="Times New Roman" w:hAnsi="Times New Roman" w:cs="Times New Roman"/>
          <w:sz w:val="32"/>
          <w:szCs w:val="32"/>
        </w:rPr>
        <w:t xml:space="preserve"> (quindi di poco anteriore alla sopra riportata sentenza della Corte di giustizia)</w:t>
      </w:r>
      <w:r w:rsidR="00FB2474">
        <w:rPr>
          <w:rFonts w:ascii="Times New Roman" w:hAnsi="Times New Roman" w:cs="Times New Roman"/>
          <w:sz w:val="32"/>
          <w:szCs w:val="32"/>
        </w:rPr>
        <w:t xml:space="preserve">, </w:t>
      </w:r>
      <w:r w:rsidR="00D84040">
        <w:rPr>
          <w:rFonts w:ascii="Times New Roman" w:hAnsi="Times New Roman" w:cs="Times New Roman"/>
          <w:sz w:val="32"/>
          <w:szCs w:val="32"/>
        </w:rPr>
        <w:t xml:space="preserve">vertente sulle questioni di </w:t>
      </w:r>
      <w:r w:rsidR="00CA18D8">
        <w:rPr>
          <w:rFonts w:ascii="Times New Roman" w:hAnsi="Times New Roman" w:cs="Times New Roman"/>
          <w:sz w:val="32"/>
          <w:szCs w:val="32"/>
        </w:rPr>
        <w:t>legittimità costituzionale de</w:t>
      </w:r>
      <w:r w:rsidR="00CA18D8" w:rsidRPr="00CA18D8">
        <w:rPr>
          <w:rFonts w:ascii="Times New Roman" w:hAnsi="Times New Roman" w:cs="Times New Roman"/>
          <w:sz w:val="32"/>
          <w:szCs w:val="32"/>
        </w:rPr>
        <w:t>i commi 7-</w:t>
      </w:r>
      <w:r w:rsidR="00CA18D8" w:rsidRPr="00CA18D8">
        <w:rPr>
          <w:rFonts w:ascii="Times New Roman" w:hAnsi="Times New Roman" w:cs="Times New Roman"/>
          <w:i/>
          <w:sz w:val="32"/>
          <w:szCs w:val="32"/>
        </w:rPr>
        <w:t>ter</w:t>
      </w:r>
      <w:r w:rsidR="00CA18D8" w:rsidRPr="00CA18D8">
        <w:rPr>
          <w:rFonts w:ascii="Times New Roman" w:hAnsi="Times New Roman" w:cs="Times New Roman"/>
          <w:sz w:val="32"/>
          <w:szCs w:val="32"/>
        </w:rPr>
        <w:t xml:space="preserve"> e 7-</w:t>
      </w:r>
      <w:r w:rsidR="00CA18D8" w:rsidRPr="00CA18D8">
        <w:rPr>
          <w:rFonts w:ascii="Times New Roman" w:hAnsi="Times New Roman" w:cs="Times New Roman"/>
          <w:i/>
          <w:sz w:val="32"/>
          <w:szCs w:val="32"/>
        </w:rPr>
        <w:t>quater</w:t>
      </w:r>
      <w:r w:rsidR="00CA18D8" w:rsidRPr="00CA18D8">
        <w:rPr>
          <w:rFonts w:ascii="Times New Roman" w:hAnsi="Times New Roman" w:cs="Times New Roman"/>
          <w:sz w:val="32"/>
          <w:szCs w:val="32"/>
        </w:rPr>
        <w:t xml:space="preserve"> dell’art. 10 della legge n. 287 del 1990, aggiunti dall’art. 5-</w:t>
      </w:r>
      <w:r w:rsidR="00CA18D8" w:rsidRPr="00CE7D6A">
        <w:rPr>
          <w:rFonts w:ascii="Times New Roman" w:hAnsi="Times New Roman" w:cs="Times New Roman"/>
          <w:i/>
          <w:sz w:val="32"/>
          <w:szCs w:val="32"/>
        </w:rPr>
        <w:t>bis</w:t>
      </w:r>
      <w:r w:rsidR="00CA18D8" w:rsidRPr="00CA18D8">
        <w:rPr>
          <w:rFonts w:ascii="Times New Roman" w:hAnsi="Times New Roman" w:cs="Times New Roman"/>
          <w:sz w:val="32"/>
          <w:szCs w:val="32"/>
        </w:rPr>
        <w:t>, comma 1, del d</w:t>
      </w:r>
      <w:r w:rsidR="00CE7D6A">
        <w:rPr>
          <w:rFonts w:ascii="Times New Roman" w:hAnsi="Times New Roman" w:cs="Times New Roman"/>
          <w:sz w:val="32"/>
          <w:szCs w:val="32"/>
        </w:rPr>
        <w:t>ecreto-legge</w:t>
      </w:r>
      <w:r w:rsidR="00CA18D8" w:rsidRPr="00CA18D8">
        <w:rPr>
          <w:rFonts w:ascii="Times New Roman" w:hAnsi="Times New Roman" w:cs="Times New Roman"/>
          <w:sz w:val="32"/>
          <w:szCs w:val="32"/>
        </w:rPr>
        <w:t xml:space="preserve"> n. 1 del 2012, convertito, con modificazioni, dalla legge n. 27 del 2012</w:t>
      </w:r>
      <w:r w:rsidR="00C415B6">
        <w:rPr>
          <w:rFonts w:ascii="Times New Roman" w:hAnsi="Times New Roman" w:cs="Times New Roman"/>
          <w:sz w:val="32"/>
          <w:szCs w:val="32"/>
        </w:rPr>
        <w:t xml:space="preserve"> – </w:t>
      </w:r>
      <w:r w:rsidR="00CA18D8">
        <w:rPr>
          <w:rFonts w:ascii="Times New Roman" w:hAnsi="Times New Roman" w:cs="Times New Roman"/>
          <w:sz w:val="32"/>
          <w:szCs w:val="32"/>
        </w:rPr>
        <w:t>che</w:t>
      </w:r>
      <w:r w:rsidR="00CA18D8" w:rsidRPr="00CA18D8">
        <w:rPr>
          <w:rFonts w:ascii="Times New Roman" w:hAnsi="Times New Roman" w:cs="Times New Roman"/>
          <w:sz w:val="32"/>
          <w:szCs w:val="32"/>
        </w:rPr>
        <w:t>, al fine di a</w:t>
      </w:r>
      <w:r w:rsidR="00B85461">
        <w:rPr>
          <w:rFonts w:ascii="Times New Roman" w:hAnsi="Times New Roman" w:cs="Times New Roman"/>
          <w:sz w:val="32"/>
          <w:szCs w:val="32"/>
        </w:rPr>
        <w:t>ssicurare il funzionamento dell’</w:t>
      </w:r>
      <w:r w:rsidR="00B85461" w:rsidRPr="00B85461">
        <w:rPr>
          <w:rFonts w:ascii="Times New Roman" w:hAnsi="Times New Roman" w:cs="Times New Roman"/>
          <w:sz w:val="32"/>
          <w:szCs w:val="32"/>
        </w:rPr>
        <w:t>Autorità garante della concorrenza e del mercato (</w:t>
      </w:r>
      <w:r w:rsidR="00CA18D8" w:rsidRPr="00CA18D8">
        <w:rPr>
          <w:rFonts w:ascii="Times New Roman" w:hAnsi="Times New Roman" w:cs="Times New Roman"/>
          <w:sz w:val="32"/>
          <w:szCs w:val="32"/>
        </w:rPr>
        <w:t>AGCM</w:t>
      </w:r>
      <w:r w:rsidR="00CE7D6A">
        <w:rPr>
          <w:rFonts w:ascii="Times New Roman" w:hAnsi="Times New Roman" w:cs="Times New Roman"/>
          <w:sz w:val="32"/>
          <w:szCs w:val="32"/>
        </w:rPr>
        <w:t>)</w:t>
      </w:r>
      <w:r w:rsidR="00CA18D8" w:rsidRPr="00CA18D8">
        <w:rPr>
          <w:rFonts w:ascii="Times New Roman" w:hAnsi="Times New Roman" w:cs="Times New Roman"/>
          <w:sz w:val="32"/>
          <w:szCs w:val="32"/>
        </w:rPr>
        <w:t xml:space="preserve">, </w:t>
      </w:r>
      <w:r w:rsidR="00CA18D8">
        <w:rPr>
          <w:rFonts w:ascii="Times New Roman" w:hAnsi="Times New Roman" w:cs="Times New Roman"/>
          <w:sz w:val="32"/>
          <w:szCs w:val="32"/>
        </w:rPr>
        <w:t xml:space="preserve">prevedono </w:t>
      </w:r>
      <w:r w:rsidR="00CA18D8" w:rsidRPr="00CA18D8">
        <w:rPr>
          <w:rFonts w:ascii="Times New Roman" w:hAnsi="Times New Roman" w:cs="Times New Roman"/>
          <w:sz w:val="32"/>
          <w:szCs w:val="32"/>
        </w:rPr>
        <w:t>l’applicazione di contributi a carico dei soli imprenditori con fatturato superiore a 50 milioni di euro e un limite massimo per tale contributo (non superiore a cento volte la misura minima)</w:t>
      </w:r>
      <w:r w:rsidR="00C415B6">
        <w:rPr>
          <w:rFonts w:ascii="Times New Roman" w:hAnsi="Times New Roman" w:cs="Times New Roman"/>
          <w:sz w:val="32"/>
          <w:szCs w:val="32"/>
        </w:rPr>
        <w:t xml:space="preserve"> –</w:t>
      </w:r>
      <w:r w:rsidR="00CA18D8">
        <w:rPr>
          <w:rFonts w:ascii="Times New Roman" w:hAnsi="Times New Roman" w:cs="Times New Roman"/>
          <w:sz w:val="32"/>
          <w:szCs w:val="32"/>
        </w:rPr>
        <w:t xml:space="preserve">, </w:t>
      </w:r>
      <w:r w:rsidR="00D84040">
        <w:rPr>
          <w:rFonts w:ascii="Times New Roman" w:hAnsi="Times New Roman" w:cs="Times New Roman"/>
          <w:sz w:val="32"/>
          <w:szCs w:val="32"/>
        </w:rPr>
        <w:t xml:space="preserve">sollevate con due separate ordinanze dalla Commissione tributaria provinciale di Roma, </w:t>
      </w:r>
      <w:r w:rsidR="00CA18D8">
        <w:rPr>
          <w:rFonts w:ascii="Times New Roman" w:hAnsi="Times New Roman" w:cs="Times New Roman"/>
          <w:sz w:val="32"/>
          <w:szCs w:val="32"/>
        </w:rPr>
        <w:t>per violazione de</w:t>
      </w:r>
      <w:r w:rsidR="00CA18D8" w:rsidRPr="00CA18D8">
        <w:rPr>
          <w:rFonts w:ascii="Times New Roman" w:hAnsi="Times New Roman" w:cs="Times New Roman"/>
          <w:sz w:val="32"/>
          <w:szCs w:val="32"/>
        </w:rPr>
        <w:t xml:space="preserve">l principio di uguaglianza </w:t>
      </w:r>
      <w:r w:rsidR="00CA18D8" w:rsidRPr="00CA18D8">
        <w:rPr>
          <w:rFonts w:ascii="Times New Roman" w:hAnsi="Times New Roman" w:cs="Times New Roman"/>
          <w:i/>
          <w:sz w:val="32"/>
          <w:szCs w:val="32"/>
        </w:rPr>
        <w:t>ex</w:t>
      </w:r>
      <w:r w:rsidR="00CA18D8" w:rsidRPr="00CA18D8">
        <w:rPr>
          <w:rFonts w:ascii="Times New Roman" w:hAnsi="Times New Roman" w:cs="Times New Roman"/>
          <w:sz w:val="32"/>
          <w:szCs w:val="32"/>
        </w:rPr>
        <w:t xml:space="preserve"> art. 3 </w:t>
      </w:r>
      <w:proofErr w:type="spellStart"/>
      <w:r w:rsidR="00CA18D8" w:rsidRPr="00CA18D8">
        <w:rPr>
          <w:rFonts w:ascii="Times New Roman" w:hAnsi="Times New Roman" w:cs="Times New Roman"/>
          <w:sz w:val="32"/>
          <w:szCs w:val="32"/>
        </w:rPr>
        <w:t>Cost</w:t>
      </w:r>
      <w:proofErr w:type="spellEnd"/>
      <w:r w:rsidR="00CA18D8" w:rsidRPr="00CA18D8">
        <w:rPr>
          <w:rFonts w:ascii="Times New Roman" w:hAnsi="Times New Roman" w:cs="Times New Roman"/>
          <w:sz w:val="32"/>
          <w:szCs w:val="32"/>
        </w:rPr>
        <w:t>.</w:t>
      </w:r>
      <w:r w:rsidR="00CA18D8">
        <w:rPr>
          <w:rFonts w:ascii="Times New Roman" w:hAnsi="Times New Roman" w:cs="Times New Roman"/>
          <w:sz w:val="32"/>
          <w:szCs w:val="32"/>
        </w:rPr>
        <w:t xml:space="preserve"> </w:t>
      </w:r>
      <w:proofErr w:type="gramStart"/>
      <w:r w:rsidR="00CA18D8">
        <w:rPr>
          <w:rFonts w:ascii="Times New Roman" w:hAnsi="Times New Roman" w:cs="Times New Roman"/>
          <w:sz w:val="32"/>
          <w:szCs w:val="32"/>
        </w:rPr>
        <w:t>e</w:t>
      </w:r>
      <w:proofErr w:type="gramEnd"/>
      <w:r w:rsidR="00CA18D8">
        <w:rPr>
          <w:rFonts w:ascii="Times New Roman" w:hAnsi="Times New Roman" w:cs="Times New Roman"/>
          <w:sz w:val="32"/>
          <w:szCs w:val="32"/>
        </w:rPr>
        <w:t xml:space="preserve"> de</w:t>
      </w:r>
      <w:r w:rsidR="00CA18D8" w:rsidRPr="00CA18D8">
        <w:rPr>
          <w:rFonts w:ascii="Times New Roman" w:hAnsi="Times New Roman" w:cs="Times New Roman"/>
          <w:sz w:val="32"/>
          <w:szCs w:val="32"/>
        </w:rPr>
        <w:t xml:space="preserve">l generale obbligo di concorrere alle spese pubbliche in ragione della propria capacità contributiva </w:t>
      </w:r>
      <w:r w:rsidR="00CA18D8" w:rsidRPr="00CA18D8">
        <w:rPr>
          <w:rFonts w:ascii="Times New Roman" w:hAnsi="Times New Roman" w:cs="Times New Roman"/>
          <w:i/>
          <w:sz w:val="32"/>
          <w:szCs w:val="32"/>
        </w:rPr>
        <w:t>ex</w:t>
      </w:r>
      <w:r w:rsidR="00CA18D8">
        <w:rPr>
          <w:rFonts w:ascii="Times New Roman" w:hAnsi="Times New Roman" w:cs="Times New Roman"/>
          <w:sz w:val="32"/>
          <w:szCs w:val="32"/>
        </w:rPr>
        <w:t xml:space="preserve"> art. 53 </w:t>
      </w:r>
      <w:proofErr w:type="spellStart"/>
      <w:r w:rsidR="00CA18D8">
        <w:rPr>
          <w:rFonts w:ascii="Times New Roman" w:hAnsi="Times New Roman" w:cs="Times New Roman"/>
          <w:sz w:val="32"/>
          <w:szCs w:val="32"/>
        </w:rPr>
        <w:t>Cost</w:t>
      </w:r>
      <w:proofErr w:type="spellEnd"/>
      <w:r w:rsidR="00CA18D8">
        <w:rPr>
          <w:rFonts w:ascii="Times New Roman" w:hAnsi="Times New Roman" w:cs="Times New Roman"/>
          <w:sz w:val="32"/>
          <w:szCs w:val="32"/>
        </w:rPr>
        <w:t>.</w:t>
      </w:r>
      <w:r w:rsidR="00D84040">
        <w:rPr>
          <w:rFonts w:ascii="Times New Roman" w:hAnsi="Times New Roman" w:cs="Times New Roman"/>
          <w:sz w:val="32"/>
          <w:szCs w:val="32"/>
        </w:rPr>
        <w:t xml:space="preserve"> (</w:t>
      </w:r>
      <w:proofErr w:type="gramStart"/>
      <w:r w:rsidR="00D84040">
        <w:rPr>
          <w:rFonts w:ascii="Times New Roman" w:hAnsi="Times New Roman" w:cs="Times New Roman"/>
          <w:sz w:val="32"/>
          <w:szCs w:val="32"/>
        </w:rPr>
        <w:t>con</w:t>
      </w:r>
      <w:proofErr w:type="gramEnd"/>
      <w:r w:rsidR="00D84040">
        <w:rPr>
          <w:rFonts w:ascii="Times New Roman" w:hAnsi="Times New Roman" w:cs="Times New Roman"/>
          <w:sz w:val="32"/>
          <w:szCs w:val="32"/>
        </w:rPr>
        <w:t xml:space="preserve"> la prima ordinanza del 2 maggio 2016) e, rispettivamente, </w:t>
      </w:r>
      <w:r w:rsidR="00D84040" w:rsidRPr="00D84040">
        <w:rPr>
          <w:rFonts w:ascii="Times New Roman" w:hAnsi="Times New Roman" w:cs="Times New Roman"/>
          <w:sz w:val="32"/>
          <w:szCs w:val="32"/>
        </w:rPr>
        <w:t xml:space="preserve">in riferimento agli artt. 3 e 53, primo e secondo comma, e 23 della </w:t>
      </w:r>
      <w:proofErr w:type="spellStart"/>
      <w:r w:rsidR="00D84040" w:rsidRPr="00D84040">
        <w:rPr>
          <w:rFonts w:ascii="Times New Roman" w:hAnsi="Times New Roman" w:cs="Times New Roman"/>
          <w:sz w:val="32"/>
          <w:szCs w:val="32"/>
        </w:rPr>
        <w:t>Cost</w:t>
      </w:r>
      <w:proofErr w:type="spellEnd"/>
      <w:r w:rsidR="00D84040" w:rsidRPr="00D84040">
        <w:rPr>
          <w:rFonts w:ascii="Times New Roman" w:hAnsi="Times New Roman" w:cs="Times New Roman"/>
          <w:sz w:val="32"/>
          <w:szCs w:val="32"/>
        </w:rPr>
        <w:t>.</w:t>
      </w:r>
      <w:r w:rsidR="00D84040">
        <w:rPr>
          <w:rFonts w:ascii="Times New Roman" w:hAnsi="Times New Roman" w:cs="Times New Roman"/>
          <w:sz w:val="32"/>
          <w:szCs w:val="32"/>
        </w:rPr>
        <w:t xml:space="preserve"> (</w:t>
      </w:r>
      <w:proofErr w:type="gramStart"/>
      <w:r w:rsidR="00D84040">
        <w:rPr>
          <w:rFonts w:ascii="Times New Roman" w:hAnsi="Times New Roman" w:cs="Times New Roman"/>
          <w:sz w:val="32"/>
          <w:szCs w:val="32"/>
        </w:rPr>
        <w:t>con</w:t>
      </w:r>
      <w:proofErr w:type="gramEnd"/>
      <w:r w:rsidR="00D84040">
        <w:rPr>
          <w:rFonts w:ascii="Times New Roman" w:hAnsi="Times New Roman" w:cs="Times New Roman"/>
          <w:sz w:val="32"/>
          <w:szCs w:val="32"/>
        </w:rPr>
        <w:t xml:space="preserve"> la seconda ordinanza del 25 ottobre 2016)</w:t>
      </w:r>
      <w:r w:rsidR="00AD079F">
        <w:rPr>
          <w:rFonts w:ascii="Times New Roman" w:hAnsi="Times New Roman" w:cs="Times New Roman"/>
          <w:sz w:val="32"/>
          <w:szCs w:val="32"/>
        </w:rPr>
        <w:t>.</w:t>
      </w:r>
      <w:r w:rsidR="00CA18D8">
        <w:rPr>
          <w:rStyle w:val="Rimandonotaapidipagina"/>
          <w:rFonts w:ascii="Times New Roman" w:hAnsi="Times New Roman" w:cs="Times New Roman"/>
          <w:sz w:val="32"/>
          <w:szCs w:val="32"/>
        </w:rPr>
        <w:footnoteReference w:id="9"/>
      </w:r>
      <w:r w:rsidR="00CA18D8">
        <w:rPr>
          <w:rFonts w:ascii="Times New Roman" w:hAnsi="Times New Roman" w:cs="Times New Roman"/>
          <w:sz w:val="32"/>
          <w:szCs w:val="32"/>
        </w:rPr>
        <w:t xml:space="preserve"> </w:t>
      </w:r>
    </w:p>
    <w:p w:rsidR="006F0120" w:rsidRDefault="00C415B6" w:rsidP="00F34777">
      <w:pPr>
        <w:jc w:val="both"/>
        <w:rPr>
          <w:rFonts w:ascii="Times New Roman" w:hAnsi="Times New Roman" w:cs="Times New Roman"/>
          <w:sz w:val="32"/>
          <w:szCs w:val="32"/>
        </w:rPr>
      </w:pPr>
      <w:r w:rsidRPr="00321AA1">
        <w:rPr>
          <w:rFonts w:ascii="Times New Roman" w:hAnsi="Times New Roman" w:cs="Times New Roman"/>
          <w:b/>
          <w:sz w:val="32"/>
          <w:szCs w:val="32"/>
        </w:rPr>
        <w:t>1.2.1.</w:t>
      </w:r>
      <w:r>
        <w:rPr>
          <w:rFonts w:ascii="Times New Roman" w:hAnsi="Times New Roman" w:cs="Times New Roman"/>
          <w:sz w:val="32"/>
          <w:szCs w:val="32"/>
        </w:rPr>
        <w:t xml:space="preserve"> </w:t>
      </w:r>
      <w:r w:rsidR="006F0120">
        <w:rPr>
          <w:rFonts w:ascii="Times New Roman" w:hAnsi="Times New Roman" w:cs="Times New Roman"/>
          <w:sz w:val="32"/>
          <w:szCs w:val="32"/>
        </w:rPr>
        <w:t xml:space="preserve">Il giudice </w:t>
      </w:r>
      <w:r w:rsidR="00B85461">
        <w:rPr>
          <w:rFonts w:ascii="Times New Roman" w:hAnsi="Times New Roman" w:cs="Times New Roman"/>
          <w:sz w:val="32"/>
          <w:szCs w:val="32"/>
        </w:rPr>
        <w:t>rimettent</w:t>
      </w:r>
      <w:r w:rsidR="006F0120">
        <w:rPr>
          <w:rFonts w:ascii="Times New Roman" w:hAnsi="Times New Roman" w:cs="Times New Roman"/>
          <w:sz w:val="32"/>
          <w:szCs w:val="32"/>
        </w:rPr>
        <w:t>e</w:t>
      </w:r>
      <w:r w:rsidR="00D84040">
        <w:rPr>
          <w:rFonts w:ascii="Times New Roman" w:hAnsi="Times New Roman" w:cs="Times New Roman"/>
          <w:sz w:val="32"/>
          <w:szCs w:val="32"/>
        </w:rPr>
        <w:t xml:space="preserve">, </w:t>
      </w:r>
      <w:r w:rsidR="006F0120">
        <w:rPr>
          <w:rFonts w:ascii="Times New Roman" w:hAnsi="Times New Roman" w:cs="Times New Roman"/>
          <w:sz w:val="32"/>
          <w:szCs w:val="32"/>
        </w:rPr>
        <w:t>nel</w:t>
      </w:r>
      <w:r w:rsidR="00D84040">
        <w:rPr>
          <w:rFonts w:ascii="Times New Roman" w:hAnsi="Times New Roman" w:cs="Times New Roman"/>
          <w:sz w:val="32"/>
          <w:szCs w:val="32"/>
        </w:rPr>
        <w:t>la seconda ordinanza, ai fini della rilevanza della questione, ha delibato la questione del</w:t>
      </w:r>
      <w:r w:rsidR="00D84040" w:rsidRPr="00D84040">
        <w:rPr>
          <w:rFonts w:ascii="Times New Roman" w:hAnsi="Times New Roman" w:cs="Times New Roman"/>
          <w:sz w:val="32"/>
          <w:szCs w:val="32"/>
        </w:rPr>
        <w:t xml:space="preserve">l’asserita violazione del diritto dell’Unione europea dedotta </w:t>
      </w:r>
      <w:r w:rsidR="00D84040">
        <w:rPr>
          <w:rFonts w:ascii="Times New Roman" w:hAnsi="Times New Roman" w:cs="Times New Roman"/>
          <w:sz w:val="32"/>
          <w:szCs w:val="32"/>
        </w:rPr>
        <w:t xml:space="preserve">dalla parte ricorrente del giudizio </w:t>
      </w:r>
      <w:r w:rsidR="00D84040" w:rsidRPr="00D84040">
        <w:rPr>
          <w:rFonts w:ascii="Times New Roman" w:hAnsi="Times New Roman" w:cs="Times New Roman"/>
          <w:i/>
          <w:sz w:val="32"/>
          <w:szCs w:val="32"/>
        </w:rPr>
        <w:t>a quo</w:t>
      </w:r>
      <w:r w:rsidR="00D84040" w:rsidRPr="00D84040">
        <w:rPr>
          <w:rFonts w:ascii="Times New Roman" w:hAnsi="Times New Roman" w:cs="Times New Roman"/>
          <w:sz w:val="32"/>
          <w:szCs w:val="32"/>
        </w:rPr>
        <w:t xml:space="preserve"> – </w:t>
      </w:r>
      <w:r w:rsidR="00D84040" w:rsidRPr="00D84040">
        <w:rPr>
          <w:rFonts w:ascii="Times New Roman" w:hAnsi="Times New Roman" w:cs="Times New Roman"/>
          <w:sz w:val="32"/>
          <w:szCs w:val="32"/>
        </w:rPr>
        <w:lastRenderedPageBreak/>
        <w:t xml:space="preserve">secondo </w:t>
      </w:r>
      <w:r w:rsidR="00D84040">
        <w:rPr>
          <w:rFonts w:ascii="Times New Roman" w:hAnsi="Times New Roman" w:cs="Times New Roman"/>
          <w:sz w:val="32"/>
          <w:szCs w:val="32"/>
        </w:rPr>
        <w:t>cui</w:t>
      </w:r>
      <w:r w:rsidR="00D84040" w:rsidRPr="00D84040">
        <w:rPr>
          <w:rFonts w:ascii="Times New Roman" w:hAnsi="Times New Roman" w:cs="Times New Roman"/>
          <w:sz w:val="32"/>
          <w:szCs w:val="32"/>
        </w:rPr>
        <w:t xml:space="preserve"> l’art. 10, commi 7-</w:t>
      </w:r>
      <w:r w:rsidR="00D84040" w:rsidRPr="00D84040">
        <w:rPr>
          <w:rFonts w:ascii="Times New Roman" w:hAnsi="Times New Roman" w:cs="Times New Roman"/>
          <w:i/>
          <w:sz w:val="32"/>
          <w:szCs w:val="32"/>
        </w:rPr>
        <w:t>ter</w:t>
      </w:r>
      <w:r w:rsidR="00D84040" w:rsidRPr="00D84040">
        <w:rPr>
          <w:rFonts w:ascii="Times New Roman" w:hAnsi="Times New Roman" w:cs="Times New Roman"/>
          <w:sz w:val="32"/>
          <w:szCs w:val="32"/>
        </w:rPr>
        <w:t xml:space="preserve"> e 7-</w:t>
      </w:r>
      <w:r w:rsidR="00D84040" w:rsidRPr="00D84040">
        <w:rPr>
          <w:rFonts w:ascii="Times New Roman" w:hAnsi="Times New Roman" w:cs="Times New Roman"/>
          <w:i/>
          <w:sz w:val="32"/>
          <w:szCs w:val="32"/>
        </w:rPr>
        <w:t>quater</w:t>
      </w:r>
      <w:r w:rsidR="00D84040" w:rsidRPr="00D84040">
        <w:rPr>
          <w:rFonts w:ascii="Times New Roman" w:hAnsi="Times New Roman" w:cs="Times New Roman"/>
          <w:sz w:val="32"/>
          <w:szCs w:val="32"/>
        </w:rPr>
        <w:t xml:space="preserve">, </w:t>
      </w:r>
      <w:r w:rsidR="00F365F2">
        <w:rPr>
          <w:rFonts w:ascii="Times New Roman" w:hAnsi="Times New Roman" w:cs="Times New Roman"/>
          <w:sz w:val="32"/>
          <w:szCs w:val="32"/>
        </w:rPr>
        <w:t xml:space="preserve">l. n. 287 del 1990 </w:t>
      </w:r>
      <w:r w:rsidR="00D84040" w:rsidRPr="00D84040">
        <w:rPr>
          <w:rFonts w:ascii="Times New Roman" w:hAnsi="Times New Roman" w:cs="Times New Roman"/>
          <w:sz w:val="32"/>
          <w:szCs w:val="32"/>
        </w:rPr>
        <w:t>sarebbe in contrasto con il diritto di stabilimento nel mercato comune (art. 49 TFUE) e con il diritto alla libera prestazione di servizi nel mercato europeo (art. 56 TFUE) –</w:t>
      </w:r>
      <w:r w:rsidR="00D84040">
        <w:rPr>
          <w:rFonts w:ascii="Times New Roman" w:hAnsi="Times New Roman" w:cs="Times New Roman"/>
          <w:sz w:val="32"/>
          <w:szCs w:val="32"/>
        </w:rPr>
        <w:t xml:space="preserve">, pervenendo alla conclusione che </w:t>
      </w:r>
      <w:r w:rsidR="00D84040" w:rsidRPr="00D84040">
        <w:rPr>
          <w:rFonts w:ascii="Times New Roman" w:hAnsi="Times New Roman" w:cs="Times New Roman"/>
          <w:sz w:val="32"/>
          <w:szCs w:val="32"/>
        </w:rPr>
        <w:t>le norme del diritto del</w:t>
      </w:r>
      <w:r w:rsidR="00D84040">
        <w:rPr>
          <w:rFonts w:ascii="Times New Roman" w:hAnsi="Times New Roman" w:cs="Times New Roman"/>
          <w:sz w:val="32"/>
          <w:szCs w:val="32"/>
        </w:rPr>
        <w:t>l’Unione europea non sarebbero «</w:t>
      </w:r>
      <w:r w:rsidR="00D84040" w:rsidRPr="00B85461">
        <w:rPr>
          <w:rFonts w:ascii="Times New Roman" w:hAnsi="Times New Roman" w:cs="Times New Roman"/>
          <w:i/>
          <w:sz w:val="32"/>
          <w:szCs w:val="32"/>
        </w:rPr>
        <w:t>risolutive della controversia</w:t>
      </w:r>
      <w:r w:rsidR="00D84040">
        <w:rPr>
          <w:rFonts w:ascii="Times New Roman" w:hAnsi="Times New Roman" w:cs="Times New Roman"/>
          <w:sz w:val="32"/>
          <w:szCs w:val="32"/>
        </w:rPr>
        <w:t>»</w:t>
      </w:r>
      <w:r w:rsidR="006F0120">
        <w:rPr>
          <w:rFonts w:ascii="Times New Roman" w:hAnsi="Times New Roman" w:cs="Times New Roman"/>
          <w:sz w:val="32"/>
          <w:szCs w:val="32"/>
        </w:rPr>
        <w:t xml:space="preserve">. </w:t>
      </w:r>
    </w:p>
    <w:p w:rsidR="00D84040" w:rsidRDefault="00C415B6" w:rsidP="00F34777">
      <w:pPr>
        <w:jc w:val="both"/>
        <w:rPr>
          <w:rFonts w:ascii="Times New Roman" w:hAnsi="Times New Roman" w:cs="Times New Roman"/>
          <w:sz w:val="32"/>
          <w:szCs w:val="32"/>
        </w:rPr>
      </w:pPr>
      <w:r w:rsidRPr="00321AA1">
        <w:rPr>
          <w:rFonts w:ascii="Times New Roman" w:hAnsi="Times New Roman" w:cs="Times New Roman"/>
          <w:b/>
          <w:sz w:val="32"/>
          <w:szCs w:val="32"/>
        </w:rPr>
        <w:t>1.2.2.</w:t>
      </w:r>
      <w:r>
        <w:rPr>
          <w:rFonts w:ascii="Times New Roman" w:hAnsi="Times New Roman" w:cs="Times New Roman"/>
          <w:sz w:val="32"/>
          <w:szCs w:val="32"/>
        </w:rPr>
        <w:t xml:space="preserve"> </w:t>
      </w:r>
      <w:r w:rsidR="006F0120">
        <w:rPr>
          <w:rFonts w:ascii="Times New Roman" w:hAnsi="Times New Roman" w:cs="Times New Roman"/>
          <w:sz w:val="32"/>
          <w:szCs w:val="32"/>
        </w:rPr>
        <w:t xml:space="preserve">Nella </w:t>
      </w:r>
      <w:r w:rsidR="00B85461">
        <w:rPr>
          <w:rFonts w:ascii="Times New Roman" w:hAnsi="Times New Roman" w:cs="Times New Roman"/>
          <w:sz w:val="32"/>
          <w:szCs w:val="32"/>
        </w:rPr>
        <w:t xml:space="preserve">prima ordinanza, </w:t>
      </w:r>
      <w:r w:rsidR="006F0120">
        <w:rPr>
          <w:rFonts w:ascii="Times New Roman" w:hAnsi="Times New Roman" w:cs="Times New Roman"/>
          <w:sz w:val="32"/>
          <w:szCs w:val="32"/>
        </w:rPr>
        <w:t xml:space="preserve">lo stesso giudice rimettente, </w:t>
      </w:r>
      <w:r w:rsidR="006F0120" w:rsidRPr="006F0120">
        <w:rPr>
          <w:rFonts w:ascii="Times New Roman" w:hAnsi="Times New Roman" w:cs="Times New Roman"/>
          <w:sz w:val="32"/>
          <w:szCs w:val="32"/>
        </w:rPr>
        <w:t>ha</w:t>
      </w:r>
      <w:r w:rsidR="006F0120">
        <w:rPr>
          <w:rFonts w:ascii="Times New Roman" w:hAnsi="Times New Roman" w:cs="Times New Roman"/>
          <w:sz w:val="32"/>
          <w:szCs w:val="32"/>
        </w:rPr>
        <w:t>, invece,</w:t>
      </w:r>
      <w:r w:rsidR="006F0120" w:rsidRPr="006F0120">
        <w:rPr>
          <w:rFonts w:ascii="Times New Roman" w:hAnsi="Times New Roman" w:cs="Times New Roman"/>
          <w:sz w:val="32"/>
          <w:szCs w:val="32"/>
        </w:rPr>
        <w:t xml:space="preserve"> esplicitamente dichiarato di dover invertire l’ordine di esame delle questioni eccepite dal</w:t>
      </w:r>
      <w:r w:rsidR="006F0120">
        <w:rPr>
          <w:rFonts w:ascii="Times New Roman" w:hAnsi="Times New Roman" w:cs="Times New Roman"/>
          <w:sz w:val="32"/>
          <w:szCs w:val="32"/>
        </w:rPr>
        <w:t>la parte</w:t>
      </w:r>
      <w:r w:rsidR="006F0120" w:rsidRPr="006F0120">
        <w:rPr>
          <w:rFonts w:ascii="Times New Roman" w:hAnsi="Times New Roman" w:cs="Times New Roman"/>
          <w:sz w:val="32"/>
          <w:szCs w:val="32"/>
        </w:rPr>
        <w:t xml:space="preserve"> ricorrente – che in principalità aveva chiesto di disapplicare (</w:t>
      </w:r>
      <w:proofErr w:type="spellStart"/>
      <w:r w:rsidR="006F0120" w:rsidRPr="006F0120">
        <w:rPr>
          <w:rFonts w:ascii="Times New Roman" w:hAnsi="Times New Roman" w:cs="Times New Roman"/>
          <w:i/>
          <w:sz w:val="32"/>
          <w:szCs w:val="32"/>
        </w:rPr>
        <w:t>rectius</w:t>
      </w:r>
      <w:proofErr w:type="spellEnd"/>
      <w:r w:rsidR="006F0120" w:rsidRPr="006F0120">
        <w:rPr>
          <w:rFonts w:ascii="Times New Roman" w:hAnsi="Times New Roman" w:cs="Times New Roman"/>
          <w:sz w:val="32"/>
          <w:szCs w:val="32"/>
        </w:rPr>
        <w:t xml:space="preserve">: </w:t>
      </w:r>
      <w:r w:rsidR="00D60FEE">
        <w:rPr>
          <w:rFonts w:ascii="Times New Roman" w:hAnsi="Times New Roman" w:cs="Times New Roman"/>
          <w:sz w:val="32"/>
          <w:szCs w:val="32"/>
        </w:rPr>
        <w:t xml:space="preserve">di </w:t>
      </w:r>
      <w:r w:rsidR="006F0120" w:rsidRPr="006F0120">
        <w:rPr>
          <w:rFonts w:ascii="Times New Roman" w:hAnsi="Times New Roman" w:cs="Times New Roman"/>
          <w:sz w:val="32"/>
          <w:szCs w:val="32"/>
        </w:rPr>
        <w:t>non applicare) le norme impositive del contributo per contrasto con la normativa dell’Unione europea in materia – stimando «</w:t>
      </w:r>
      <w:r w:rsidR="006F0120" w:rsidRPr="006F0120">
        <w:rPr>
          <w:rFonts w:ascii="Times New Roman" w:hAnsi="Times New Roman" w:cs="Times New Roman"/>
          <w:i/>
          <w:sz w:val="32"/>
          <w:szCs w:val="32"/>
        </w:rPr>
        <w:t>più aderente al sistema giuridico complessivo</w:t>
      </w:r>
      <w:r w:rsidR="006F0120" w:rsidRPr="006F0120">
        <w:rPr>
          <w:rFonts w:ascii="Times New Roman" w:hAnsi="Times New Roman" w:cs="Times New Roman"/>
          <w:sz w:val="32"/>
          <w:szCs w:val="32"/>
        </w:rPr>
        <w:t>» scrutinare prioritariamente la conformità della disciplina ai principi costituzionali interni.</w:t>
      </w:r>
      <w:r w:rsidR="006F0120">
        <w:rPr>
          <w:rFonts w:ascii="Times New Roman" w:hAnsi="Times New Roman" w:cs="Times New Roman"/>
          <w:sz w:val="32"/>
          <w:szCs w:val="32"/>
        </w:rPr>
        <w:t xml:space="preserve"> </w:t>
      </w:r>
    </w:p>
    <w:p w:rsidR="006F0120" w:rsidRDefault="00C415B6" w:rsidP="00F34777">
      <w:pPr>
        <w:jc w:val="both"/>
        <w:rPr>
          <w:rFonts w:ascii="Times New Roman" w:hAnsi="Times New Roman" w:cs="Times New Roman"/>
          <w:sz w:val="32"/>
          <w:szCs w:val="32"/>
        </w:rPr>
      </w:pPr>
      <w:r w:rsidRPr="00321AA1">
        <w:rPr>
          <w:rFonts w:ascii="Times New Roman" w:hAnsi="Times New Roman" w:cs="Times New Roman"/>
          <w:b/>
          <w:sz w:val="32"/>
          <w:szCs w:val="32"/>
        </w:rPr>
        <w:t>1.2.3.</w:t>
      </w:r>
      <w:r>
        <w:rPr>
          <w:rFonts w:ascii="Times New Roman" w:hAnsi="Times New Roman" w:cs="Times New Roman"/>
          <w:sz w:val="32"/>
          <w:szCs w:val="32"/>
        </w:rPr>
        <w:t xml:space="preserve"> </w:t>
      </w:r>
      <w:r w:rsidR="00993343">
        <w:rPr>
          <w:rFonts w:ascii="Times New Roman" w:hAnsi="Times New Roman" w:cs="Times New Roman"/>
          <w:sz w:val="32"/>
          <w:szCs w:val="32"/>
        </w:rPr>
        <w:t>Esamin</w:t>
      </w:r>
      <w:r w:rsidR="006F0120">
        <w:rPr>
          <w:rFonts w:ascii="Times New Roman" w:hAnsi="Times New Roman" w:cs="Times New Roman"/>
          <w:sz w:val="32"/>
          <w:szCs w:val="32"/>
        </w:rPr>
        <w:t>a</w:t>
      </w:r>
      <w:r w:rsidR="00363ACB">
        <w:rPr>
          <w:rFonts w:ascii="Times New Roman" w:hAnsi="Times New Roman" w:cs="Times New Roman"/>
          <w:sz w:val="32"/>
          <w:szCs w:val="32"/>
        </w:rPr>
        <w:t>ndo</w:t>
      </w:r>
      <w:r w:rsidR="006F0120">
        <w:rPr>
          <w:rFonts w:ascii="Times New Roman" w:hAnsi="Times New Roman" w:cs="Times New Roman"/>
          <w:sz w:val="32"/>
          <w:szCs w:val="32"/>
        </w:rPr>
        <w:t xml:space="preserve"> le eccezioni di inammissibilità </w:t>
      </w:r>
      <w:r w:rsidR="00600D1C">
        <w:rPr>
          <w:rFonts w:ascii="Times New Roman" w:hAnsi="Times New Roman" w:cs="Times New Roman"/>
          <w:sz w:val="32"/>
          <w:szCs w:val="32"/>
        </w:rPr>
        <w:t>sollevate d</w:t>
      </w:r>
      <w:r w:rsidR="00363ACB">
        <w:rPr>
          <w:rFonts w:ascii="Times New Roman" w:hAnsi="Times New Roman" w:cs="Times New Roman"/>
          <w:sz w:val="32"/>
          <w:szCs w:val="32"/>
        </w:rPr>
        <w:t>alla difesa erariale, la Corte c</w:t>
      </w:r>
      <w:r w:rsidR="00600D1C">
        <w:rPr>
          <w:rFonts w:ascii="Times New Roman" w:hAnsi="Times New Roman" w:cs="Times New Roman"/>
          <w:sz w:val="32"/>
          <w:szCs w:val="32"/>
        </w:rPr>
        <w:t xml:space="preserve">ostituzionale </w:t>
      </w:r>
      <w:r w:rsidR="00363ACB">
        <w:rPr>
          <w:rFonts w:ascii="Times New Roman" w:hAnsi="Times New Roman" w:cs="Times New Roman"/>
          <w:sz w:val="32"/>
          <w:szCs w:val="32"/>
        </w:rPr>
        <w:t xml:space="preserve">ha </w:t>
      </w:r>
      <w:r w:rsidR="00D64A82">
        <w:rPr>
          <w:rFonts w:ascii="Times New Roman" w:hAnsi="Times New Roman" w:cs="Times New Roman"/>
          <w:sz w:val="32"/>
          <w:szCs w:val="32"/>
        </w:rPr>
        <w:t>osserva</w:t>
      </w:r>
      <w:r w:rsidR="00363ACB">
        <w:rPr>
          <w:rFonts w:ascii="Times New Roman" w:hAnsi="Times New Roman" w:cs="Times New Roman"/>
          <w:sz w:val="32"/>
          <w:szCs w:val="32"/>
        </w:rPr>
        <w:t>to</w:t>
      </w:r>
      <w:r w:rsidR="00600D1C">
        <w:rPr>
          <w:rFonts w:ascii="Times New Roman" w:hAnsi="Times New Roman" w:cs="Times New Roman"/>
          <w:sz w:val="32"/>
          <w:szCs w:val="32"/>
        </w:rPr>
        <w:t xml:space="preserve">: </w:t>
      </w:r>
    </w:p>
    <w:p w:rsidR="00C415B6" w:rsidRDefault="00600D1C" w:rsidP="00F34777">
      <w:pPr>
        <w:jc w:val="both"/>
        <w:rPr>
          <w:rFonts w:ascii="Times New Roman" w:hAnsi="Times New Roman" w:cs="Times New Roman"/>
          <w:sz w:val="32"/>
          <w:szCs w:val="32"/>
        </w:rPr>
      </w:pPr>
      <w:r>
        <w:rPr>
          <w:rFonts w:ascii="Times New Roman" w:hAnsi="Times New Roman" w:cs="Times New Roman"/>
          <w:sz w:val="32"/>
          <w:szCs w:val="32"/>
        </w:rPr>
        <w:t xml:space="preserve">- </w:t>
      </w:r>
      <w:r w:rsidRPr="00600D1C">
        <w:rPr>
          <w:rFonts w:ascii="Times New Roman" w:hAnsi="Times New Roman" w:cs="Times New Roman"/>
          <w:sz w:val="32"/>
          <w:szCs w:val="32"/>
        </w:rPr>
        <w:t xml:space="preserve">il contrasto con il diritto dell’Unione europea condiziona l’applicabilità della norma censurata nel giudizio </w:t>
      </w:r>
      <w:r w:rsidRPr="000E2AC7">
        <w:rPr>
          <w:rFonts w:ascii="Times New Roman" w:hAnsi="Times New Roman" w:cs="Times New Roman"/>
          <w:i/>
          <w:sz w:val="32"/>
          <w:szCs w:val="32"/>
        </w:rPr>
        <w:t>a quo</w:t>
      </w:r>
      <w:r w:rsidRPr="00600D1C">
        <w:rPr>
          <w:rFonts w:ascii="Times New Roman" w:hAnsi="Times New Roman" w:cs="Times New Roman"/>
          <w:sz w:val="32"/>
          <w:szCs w:val="32"/>
        </w:rPr>
        <w:t xml:space="preserve"> – e di conseguenza la rilevanza delle questioni di legittimità costituzionale che si int</w:t>
      </w:r>
      <w:r>
        <w:rPr>
          <w:rFonts w:ascii="Times New Roman" w:hAnsi="Times New Roman" w:cs="Times New Roman"/>
          <w:sz w:val="32"/>
          <w:szCs w:val="32"/>
        </w:rPr>
        <w:t>endano sollevare sulla medesima</w:t>
      </w:r>
      <w:r w:rsidR="00C415B6">
        <w:rPr>
          <w:rFonts w:ascii="Times New Roman" w:hAnsi="Times New Roman" w:cs="Times New Roman"/>
          <w:sz w:val="32"/>
          <w:szCs w:val="32"/>
        </w:rPr>
        <w:t xml:space="preserve"> –</w:t>
      </w:r>
      <w:r w:rsidRPr="00600D1C">
        <w:rPr>
          <w:rFonts w:ascii="Times New Roman" w:hAnsi="Times New Roman" w:cs="Times New Roman"/>
          <w:sz w:val="32"/>
          <w:szCs w:val="32"/>
        </w:rPr>
        <w:t xml:space="preserve"> soltanto quando la norma europea è dotata di effetto diretto</w:t>
      </w:r>
      <w:r>
        <w:rPr>
          <w:rStyle w:val="Rimandonotaapidipagina"/>
          <w:rFonts w:ascii="Times New Roman" w:hAnsi="Times New Roman" w:cs="Times New Roman"/>
          <w:sz w:val="32"/>
          <w:szCs w:val="32"/>
        </w:rPr>
        <w:footnoteReference w:id="10"/>
      </w:r>
      <w:r w:rsidR="00D64A82">
        <w:rPr>
          <w:rFonts w:ascii="Times New Roman" w:hAnsi="Times New Roman" w:cs="Times New Roman"/>
          <w:sz w:val="32"/>
          <w:szCs w:val="32"/>
        </w:rPr>
        <w:t xml:space="preserve">, nel senso che, </w:t>
      </w:r>
      <w:r w:rsidR="000E2AC7" w:rsidRPr="000E2AC7">
        <w:rPr>
          <w:rFonts w:ascii="Times New Roman" w:hAnsi="Times New Roman" w:cs="Times New Roman"/>
          <w:sz w:val="32"/>
          <w:szCs w:val="32"/>
        </w:rPr>
        <w:t xml:space="preserve">ove la legge interna collida con una norma dell’Unione europea, il giudice </w:t>
      </w:r>
      <w:r w:rsidR="00C415B6">
        <w:rPr>
          <w:rFonts w:ascii="Times New Roman" w:hAnsi="Times New Roman" w:cs="Times New Roman"/>
          <w:sz w:val="32"/>
          <w:szCs w:val="32"/>
        </w:rPr>
        <w:t>(</w:t>
      </w:r>
      <w:r w:rsidR="000E2AC7" w:rsidRPr="000E2AC7">
        <w:rPr>
          <w:rFonts w:ascii="Times New Roman" w:hAnsi="Times New Roman" w:cs="Times New Roman"/>
          <w:sz w:val="32"/>
          <w:szCs w:val="32"/>
        </w:rPr>
        <w:t xml:space="preserve">fallita qualsiasi ricomposizione del contrasto su base interpretativa, o, se del caso, attraverso </w:t>
      </w:r>
      <w:r w:rsidR="00993343">
        <w:rPr>
          <w:rFonts w:ascii="Times New Roman" w:hAnsi="Times New Roman" w:cs="Times New Roman"/>
          <w:sz w:val="32"/>
          <w:szCs w:val="32"/>
        </w:rPr>
        <w:t xml:space="preserve">un </w:t>
      </w:r>
      <w:r w:rsidR="000E2AC7" w:rsidRPr="000E2AC7">
        <w:rPr>
          <w:rFonts w:ascii="Times New Roman" w:hAnsi="Times New Roman" w:cs="Times New Roman"/>
          <w:sz w:val="32"/>
          <w:szCs w:val="32"/>
        </w:rPr>
        <w:t>rinvio preg</w:t>
      </w:r>
      <w:r w:rsidR="00C415B6">
        <w:rPr>
          <w:rFonts w:ascii="Times New Roman" w:hAnsi="Times New Roman" w:cs="Times New Roman"/>
          <w:sz w:val="32"/>
          <w:szCs w:val="32"/>
        </w:rPr>
        <w:t>iudiziale</w:t>
      </w:r>
      <w:r w:rsidR="00993343">
        <w:rPr>
          <w:rFonts w:ascii="Times New Roman" w:hAnsi="Times New Roman" w:cs="Times New Roman"/>
          <w:sz w:val="32"/>
          <w:szCs w:val="32"/>
        </w:rPr>
        <w:t xml:space="preserve"> alla Corte di giustizia</w:t>
      </w:r>
      <w:r w:rsidR="00C415B6">
        <w:rPr>
          <w:rFonts w:ascii="Times New Roman" w:hAnsi="Times New Roman" w:cs="Times New Roman"/>
          <w:sz w:val="32"/>
          <w:szCs w:val="32"/>
        </w:rPr>
        <w:t>)</w:t>
      </w:r>
      <w:r w:rsidR="000E2AC7" w:rsidRPr="000E2AC7">
        <w:rPr>
          <w:rFonts w:ascii="Times New Roman" w:hAnsi="Times New Roman" w:cs="Times New Roman"/>
          <w:sz w:val="32"/>
          <w:szCs w:val="32"/>
        </w:rPr>
        <w:t xml:space="preserve"> </w:t>
      </w:r>
      <w:r w:rsidR="000E2AC7">
        <w:rPr>
          <w:rFonts w:ascii="Times New Roman" w:hAnsi="Times New Roman" w:cs="Times New Roman"/>
          <w:sz w:val="32"/>
          <w:szCs w:val="32"/>
        </w:rPr>
        <w:t>è tenuto ad applicare</w:t>
      </w:r>
      <w:r w:rsidR="000E2AC7" w:rsidRPr="000E2AC7">
        <w:rPr>
          <w:rFonts w:ascii="Times New Roman" w:hAnsi="Times New Roman" w:cs="Times New Roman"/>
          <w:sz w:val="32"/>
          <w:szCs w:val="32"/>
        </w:rPr>
        <w:t xml:space="preserve"> direttamente la disposizione dell’Unione europea dotata di effetti diretti, soddisfacendo, ad un tempo, il primato del diritto dell’Unione e </w:t>
      </w:r>
      <w:r w:rsidR="00993343">
        <w:rPr>
          <w:rFonts w:ascii="Times New Roman" w:hAnsi="Times New Roman" w:cs="Times New Roman"/>
          <w:sz w:val="32"/>
          <w:szCs w:val="32"/>
        </w:rPr>
        <w:t>il</w:t>
      </w:r>
      <w:r w:rsidR="000E2AC7" w:rsidRPr="000E2AC7">
        <w:rPr>
          <w:rFonts w:ascii="Times New Roman" w:hAnsi="Times New Roman" w:cs="Times New Roman"/>
          <w:sz w:val="32"/>
          <w:szCs w:val="32"/>
        </w:rPr>
        <w:t xml:space="preserve"> principio di soggezione del giudice soltanto alla legge </w:t>
      </w:r>
      <w:r w:rsidR="000E2AC7" w:rsidRPr="000E2AC7">
        <w:rPr>
          <w:rFonts w:ascii="Times New Roman" w:hAnsi="Times New Roman" w:cs="Times New Roman"/>
          <w:sz w:val="32"/>
          <w:szCs w:val="32"/>
        </w:rPr>
        <w:lastRenderedPageBreak/>
        <w:t xml:space="preserve">(art. 101 </w:t>
      </w:r>
      <w:proofErr w:type="spellStart"/>
      <w:r w:rsidR="000E2AC7" w:rsidRPr="000E2AC7">
        <w:rPr>
          <w:rFonts w:ascii="Times New Roman" w:hAnsi="Times New Roman" w:cs="Times New Roman"/>
          <w:sz w:val="32"/>
          <w:szCs w:val="32"/>
        </w:rPr>
        <w:t>Cost</w:t>
      </w:r>
      <w:proofErr w:type="spellEnd"/>
      <w:r w:rsidR="000E2AC7" w:rsidRPr="000E2AC7">
        <w:rPr>
          <w:rFonts w:ascii="Times New Roman" w:hAnsi="Times New Roman" w:cs="Times New Roman"/>
          <w:sz w:val="32"/>
          <w:szCs w:val="32"/>
        </w:rPr>
        <w:t>.), dovendosi per tale intendere la disciplina del diritto che lo stesso sistema costituzionale gli impone di osservare ed applicare</w:t>
      </w:r>
      <w:r w:rsidR="00C415B6">
        <w:rPr>
          <w:rFonts w:ascii="Times New Roman" w:hAnsi="Times New Roman" w:cs="Times New Roman"/>
          <w:sz w:val="32"/>
          <w:szCs w:val="32"/>
        </w:rPr>
        <w:t xml:space="preserve">; </w:t>
      </w:r>
    </w:p>
    <w:p w:rsidR="00CA18D8" w:rsidRDefault="00C415B6" w:rsidP="00F34777">
      <w:pPr>
        <w:jc w:val="both"/>
        <w:rPr>
          <w:rFonts w:ascii="Times New Roman" w:hAnsi="Times New Roman" w:cs="Times New Roman"/>
          <w:sz w:val="32"/>
          <w:szCs w:val="32"/>
        </w:rPr>
      </w:pPr>
      <w:r>
        <w:rPr>
          <w:rFonts w:ascii="Times New Roman" w:hAnsi="Times New Roman" w:cs="Times New Roman"/>
          <w:sz w:val="32"/>
          <w:szCs w:val="32"/>
        </w:rPr>
        <w:t>-</w:t>
      </w:r>
      <w:r w:rsidR="000E2AC7" w:rsidRPr="000E2AC7">
        <w:rPr>
          <w:rFonts w:ascii="Times New Roman" w:hAnsi="Times New Roman" w:cs="Times New Roman"/>
          <w:sz w:val="32"/>
          <w:szCs w:val="32"/>
        </w:rPr>
        <w:t xml:space="preserve"> quando</w:t>
      </w:r>
      <w:r>
        <w:rPr>
          <w:rFonts w:ascii="Times New Roman" w:hAnsi="Times New Roman" w:cs="Times New Roman"/>
          <w:sz w:val="32"/>
          <w:szCs w:val="32"/>
        </w:rPr>
        <w:t>, invece,</w:t>
      </w:r>
      <w:r w:rsidR="000E2AC7" w:rsidRPr="000E2AC7">
        <w:rPr>
          <w:rFonts w:ascii="Times New Roman" w:hAnsi="Times New Roman" w:cs="Times New Roman"/>
          <w:sz w:val="32"/>
          <w:szCs w:val="32"/>
        </w:rPr>
        <w:t xml:space="preserve"> una disposizione di diritto interno diverge da norme dell’Unione europea prive di effetti diretti, occorre sollevare una questione di legittimità costituzionale, riservata alla esclusiva competenza </w:t>
      </w:r>
      <w:r w:rsidR="000E2AC7">
        <w:rPr>
          <w:rFonts w:ascii="Times New Roman" w:hAnsi="Times New Roman" w:cs="Times New Roman"/>
          <w:sz w:val="32"/>
          <w:szCs w:val="32"/>
        </w:rPr>
        <w:t xml:space="preserve">della stessa Corte </w:t>
      </w:r>
      <w:r w:rsidR="00E854EC">
        <w:rPr>
          <w:rFonts w:ascii="Times New Roman" w:hAnsi="Times New Roman" w:cs="Times New Roman"/>
          <w:sz w:val="32"/>
          <w:szCs w:val="32"/>
        </w:rPr>
        <w:t>c</w:t>
      </w:r>
      <w:r w:rsidR="000E2AC7">
        <w:rPr>
          <w:rFonts w:ascii="Times New Roman" w:hAnsi="Times New Roman" w:cs="Times New Roman"/>
          <w:sz w:val="32"/>
          <w:szCs w:val="32"/>
        </w:rPr>
        <w:t xml:space="preserve">ostituzionale, </w:t>
      </w:r>
      <w:r w:rsidR="000E2AC7" w:rsidRPr="000E2AC7">
        <w:rPr>
          <w:rFonts w:ascii="Times New Roman" w:hAnsi="Times New Roman" w:cs="Times New Roman"/>
          <w:sz w:val="32"/>
          <w:szCs w:val="32"/>
        </w:rPr>
        <w:t>senza delibare preventivamente i profili di incompatibilità con il diritto europeo</w:t>
      </w:r>
      <w:r w:rsidR="000E2AC7">
        <w:rPr>
          <w:rFonts w:ascii="Times New Roman" w:hAnsi="Times New Roman" w:cs="Times New Roman"/>
          <w:sz w:val="32"/>
          <w:szCs w:val="32"/>
        </w:rPr>
        <w:t>, spettando, in</w:t>
      </w:r>
      <w:r w:rsidR="000E2AC7" w:rsidRPr="000E2AC7">
        <w:rPr>
          <w:rFonts w:ascii="Times New Roman" w:hAnsi="Times New Roman" w:cs="Times New Roman"/>
          <w:sz w:val="32"/>
          <w:szCs w:val="32"/>
        </w:rPr>
        <w:t xml:space="preserve"> tali ipotesi</w:t>
      </w:r>
      <w:r w:rsidR="000E2AC7">
        <w:rPr>
          <w:rFonts w:ascii="Times New Roman" w:hAnsi="Times New Roman" w:cs="Times New Roman"/>
          <w:sz w:val="32"/>
          <w:szCs w:val="32"/>
        </w:rPr>
        <w:t>,</w:t>
      </w:r>
      <w:r w:rsidR="000E2AC7" w:rsidRPr="000E2AC7">
        <w:rPr>
          <w:rFonts w:ascii="Times New Roman" w:hAnsi="Times New Roman" w:cs="Times New Roman"/>
          <w:sz w:val="32"/>
          <w:szCs w:val="32"/>
        </w:rPr>
        <w:t xml:space="preserve"> </w:t>
      </w:r>
      <w:r w:rsidR="000E2AC7">
        <w:rPr>
          <w:rFonts w:ascii="Times New Roman" w:hAnsi="Times New Roman" w:cs="Times New Roman"/>
          <w:sz w:val="32"/>
          <w:szCs w:val="32"/>
        </w:rPr>
        <w:t>alla</w:t>
      </w:r>
      <w:r w:rsidR="000E2AC7" w:rsidRPr="000E2AC7">
        <w:rPr>
          <w:rFonts w:ascii="Times New Roman" w:hAnsi="Times New Roman" w:cs="Times New Roman"/>
          <w:sz w:val="32"/>
          <w:szCs w:val="32"/>
        </w:rPr>
        <w:t xml:space="preserve"> Corte </w:t>
      </w:r>
      <w:r w:rsidR="00E854EC">
        <w:rPr>
          <w:rFonts w:ascii="Times New Roman" w:hAnsi="Times New Roman" w:cs="Times New Roman"/>
          <w:sz w:val="32"/>
          <w:szCs w:val="32"/>
        </w:rPr>
        <w:t>c</w:t>
      </w:r>
      <w:r w:rsidR="000E2AC7">
        <w:rPr>
          <w:rFonts w:ascii="Times New Roman" w:hAnsi="Times New Roman" w:cs="Times New Roman"/>
          <w:sz w:val="32"/>
          <w:szCs w:val="32"/>
        </w:rPr>
        <w:t xml:space="preserve">ostituzionale </w:t>
      </w:r>
      <w:r w:rsidR="000E2AC7" w:rsidRPr="000E2AC7">
        <w:rPr>
          <w:rFonts w:ascii="Times New Roman" w:hAnsi="Times New Roman" w:cs="Times New Roman"/>
          <w:sz w:val="32"/>
          <w:szCs w:val="32"/>
        </w:rPr>
        <w:t xml:space="preserve">giudicare la legge, </w:t>
      </w:r>
      <w:r w:rsidR="000E2AC7">
        <w:rPr>
          <w:rFonts w:ascii="Times New Roman" w:hAnsi="Times New Roman" w:cs="Times New Roman"/>
          <w:sz w:val="32"/>
          <w:szCs w:val="32"/>
        </w:rPr>
        <w:t>anche</w:t>
      </w:r>
      <w:r w:rsidR="000E2AC7" w:rsidRPr="000E2AC7">
        <w:rPr>
          <w:rFonts w:ascii="Times New Roman" w:hAnsi="Times New Roman" w:cs="Times New Roman"/>
          <w:sz w:val="32"/>
          <w:szCs w:val="32"/>
        </w:rPr>
        <w:t xml:space="preserve"> in r</w:t>
      </w:r>
      <w:r w:rsidR="00993343">
        <w:rPr>
          <w:rFonts w:ascii="Times New Roman" w:hAnsi="Times New Roman" w:cs="Times New Roman"/>
          <w:sz w:val="32"/>
          <w:szCs w:val="32"/>
        </w:rPr>
        <w:t>iferimento ai parametri europei.</w:t>
      </w:r>
      <w:r w:rsidR="00F6351C">
        <w:rPr>
          <w:rFonts w:ascii="Times New Roman" w:hAnsi="Times New Roman" w:cs="Times New Roman"/>
          <w:sz w:val="32"/>
          <w:szCs w:val="32"/>
        </w:rPr>
        <w:t xml:space="preserve"> </w:t>
      </w:r>
    </w:p>
    <w:p w:rsidR="0017012B" w:rsidRDefault="00A70240" w:rsidP="00F34777">
      <w:pPr>
        <w:jc w:val="both"/>
        <w:rPr>
          <w:rFonts w:ascii="Times New Roman" w:hAnsi="Times New Roman" w:cs="Times New Roman"/>
          <w:sz w:val="32"/>
          <w:szCs w:val="32"/>
        </w:rPr>
      </w:pPr>
      <w:r>
        <w:rPr>
          <w:rFonts w:ascii="Times New Roman" w:hAnsi="Times New Roman" w:cs="Times New Roman"/>
          <w:b/>
          <w:sz w:val="32"/>
          <w:szCs w:val="32"/>
        </w:rPr>
        <w:t>1</w:t>
      </w:r>
      <w:r w:rsidR="00993343" w:rsidRPr="00993343">
        <w:rPr>
          <w:rFonts w:ascii="Times New Roman" w:hAnsi="Times New Roman" w:cs="Times New Roman"/>
          <w:b/>
          <w:sz w:val="32"/>
          <w:szCs w:val="32"/>
        </w:rPr>
        <w:t>.2.4.</w:t>
      </w:r>
      <w:r w:rsidR="00993343">
        <w:rPr>
          <w:rFonts w:ascii="Times New Roman" w:hAnsi="Times New Roman" w:cs="Times New Roman"/>
          <w:sz w:val="32"/>
          <w:szCs w:val="32"/>
        </w:rPr>
        <w:t xml:space="preserve"> Con un </w:t>
      </w:r>
      <w:proofErr w:type="spellStart"/>
      <w:r w:rsidR="00993343" w:rsidRPr="00993343">
        <w:rPr>
          <w:rFonts w:ascii="Times New Roman" w:hAnsi="Times New Roman" w:cs="Times New Roman"/>
          <w:i/>
          <w:sz w:val="32"/>
          <w:szCs w:val="32"/>
        </w:rPr>
        <w:t>obiter</w:t>
      </w:r>
      <w:proofErr w:type="spellEnd"/>
      <w:r w:rsidR="00993343">
        <w:rPr>
          <w:rFonts w:ascii="Times New Roman" w:hAnsi="Times New Roman" w:cs="Times New Roman"/>
          <w:sz w:val="32"/>
          <w:szCs w:val="32"/>
        </w:rPr>
        <w:t>, la Corte costituzionale</w:t>
      </w:r>
      <w:r w:rsidR="00F6351C">
        <w:rPr>
          <w:rFonts w:ascii="Times New Roman" w:hAnsi="Times New Roman" w:cs="Times New Roman"/>
          <w:sz w:val="32"/>
          <w:szCs w:val="32"/>
        </w:rPr>
        <w:t xml:space="preserve">, </w:t>
      </w:r>
      <w:r w:rsidR="00A32185">
        <w:rPr>
          <w:rFonts w:ascii="Times New Roman" w:hAnsi="Times New Roman" w:cs="Times New Roman"/>
          <w:sz w:val="32"/>
          <w:szCs w:val="32"/>
        </w:rPr>
        <w:t>con</w:t>
      </w:r>
      <w:r w:rsidR="00F6351C">
        <w:rPr>
          <w:rFonts w:ascii="Times New Roman" w:hAnsi="Times New Roman" w:cs="Times New Roman"/>
          <w:sz w:val="32"/>
          <w:szCs w:val="32"/>
        </w:rPr>
        <w:t xml:space="preserve"> riguardo </w:t>
      </w:r>
      <w:r w:rsidR="004209E6">
        <w:rPr>
          <w:rFonts w:ascii="Times New Roman" w:hAnsi="Times New Roman" w:cs="Times New Roman"/>
          <w:sz w:val="32"/>
          <w:szCs w:val="32"/>
        </w:rPr>
        <w:t>a</w:t>
      </w:r>
      <w:r w:rsidR="00F6351C" w:rsidRPr="00F6351C">
        <w:rPr>
          <w:rFonts w:ascii="Times New Roman" w:hAnsi="Times New Roman" w:cs="Times New Roman"/>
          <w:sz w:val="32"/>
          <w:szCs w:val="32"/>
        </w:rPr>
        <w:t xml:space="preserve">lle trasformazioni che hanno riguardato il diritto dell’Unione europea e il sistema dei rapporti con gli ordinamenti nazionali dopo </w:t>
      </w:r>
      <w:r w:rsidR="00F6351C">
        <w:rPr>
          <w:rFonts w:ascii="Times New Roman" w:hAnsi="Times New Roman" w:cs="Times New Roman"/>
          <w:sz w:val="32"/>
          <w:szCs w:val="32"/>
        </w:rPr>
        <w:t>l’attribuzione di</w:t>
      </w:r>
      <w:r w:rsidR="00F6351C" w:rsidRPr="00F6351C">
        <w:rPr>
          <w:rFonts w:ascii="Times New Roman" w:hAnsi="Times New Roman" w:cs="Times New Roman"/>
          <w:sz w:val="32"/>
          <w:szCs w:val="32"/>
        </w:rPr>
        <w:t xml:space="preserve"> effetti giuridici vincolanti alla CDFUE</w:t>
      </w:r>
      <w:r w:rsidR="00545151">
        <w:rPr>
          <w:rFonts w:ascii="Times New Roman" w:hAnsi="Times New Roman" w:cs="Times New Roman"/>
          <w:sz w:val="32"/>
          <w:szCs w:val="32"/>
        </w:rPr>
        <w:t xml:space="preserve"> e la sua equiparazione</w:t>
      </w:r>
      <w:r w:rsidR="00F6351C" w:rsidRPr="00F6351C">
        <w:rPr>
          <w:rFonts w:ascii="Times New Roman" w:hAnsi="Times New Roman" w:cs="Times New Roman"/>
          <w:sz w:val="32"/>
          <w:szCs w:val="32"/>
        </w:rPr>
        <w:t xml:space="preserve"> ai Trattati (art. 6, paragrafo 1, </w:t>
      </w:r>
      <w:r w:rsidR="00545151">
        <w:rPr>
          <w:rFonts w:ascii="Times New Roman" w:hAnsi="Times New Roman" w:cs="Times New Roman"/>
          <w:sz w:val="32"/>
          <w:szCs w:val="32"/>
        </w:rPr>
        <w:t>TUE</w:t>
      </w:r>
      <w:r w:rsidR="00D64A82">
        <w:rPr>
          <w:rFonts w:ascii="Times New Roman" w:hAnsi="Times New Roman" w:cs="Times New Roman"/>
          <w:sz w:val="32"/>
          <w:szCs w:val="32"/>
        </w:rPr>
        <w:t xml:space="preserve">), </w:t>
      </w:r>
      <w:r w:rsidR="00993343">
        <w:rPr>
          <w:rFonts w:ascii="Times New Roman" w:hAnsi="Times New Roman" w:cs="Times New Roman"/>
          <w:sz w:val="32"/>
          <w:szCs w:val="32"/>
        </w:rPr>
        <w:t>affermava</w:t>
      </w:r>
      <w:r w:rsidR="00D64A82" w:rsidRPr="00D64A82">
        <w:rPr>
          <w:rFonts w:ascii="Times New Roman" w:hAnsi="Times New Roman" w:cs="Times New Roman"/>
          <w:sz w:val="32"/>
          <w:szCs w:val="32"/>
        </w:rPr>
        <w:t xml:space="preserve"> che, laddove una legge sia oggetto di dubbi di illegittimità tanto in riferimento ai diritti protetti dalla Costituzione italiana, quanto in relazione a quelli garantiti dalla </w:t>
      </w:r>
      <w:r w:rsidR="003B44EA" w:rsidRPr="003B44EA">
        <w:rPr>
          <w:rFonts w:ascii="Times New Roman" w:hAnsi="Times New Roman" w:cs="Times New Roman"/>
          <w:sz w:val="32"/>
          <w:szCs w:val="32"/>
        </w:rPr>
        <w:t xml:space="preserve">CDFUE </w:t>
      </w:r>
      <w:r w:rsidR="00D64A82" w:rsidRPr="00D64A82">
        <w:rPr>
          <w:rFonts w:ascii="Times New Roman" w:hAnsi="Times New Roman" w:cs="Times New Roman"/>
          <w:sz w:val="32"/>
          <w:szCs w:val="32"/>
        </w:rPr>
        <w:t>in ambito di rilevanza comunitaria, d</w:t>
      </w:r>
      <w:r w:rsidR="00A12556">
        <w:rPr>
          <w:rFonts w:ascii="Times New Roman" w:hAnsi="Times New Roman" w:cs="Times New Roman"/>
          <w:sz w:val="32"/>
          <w:szCs w:val="32"/>
        </w:rPr>
        <w:t>eve</w:t>
      </w:r>
      <w:r w:rsidR="00D64A82" w:rsidRPr="00D64A82">
        <w:rPr>
          <w:rFonts w:ascii="Times New Roman" w:hAnsi="Times New Roman" w:cs="Times New Roman"/>
          <w:sz w:val="32"/>
          <w:szCs w:val="32"/>
        </w:rPr>
        <w:t xml:space="preserve"> essere sollevata la questione di legittimità costituzionale, </w:t>
      </w:r>
      <w:r w:rsidR="00927751">
        <w:rPr>
          <w:rFonts w:ascii="Times New Roman" w:hAnsi="Times New Roman" w:cs="Times New Roman"/>
          <w:sz w:val="32"/>
          <w:szCs w:val="32"/>
        </w:rPr>
        <w:t>«</w:t>
      </w:r>
      <w:r w:rsidR="00D64A82" w:rsidRPr="00927751">
        <w:rPr>
          <w:rFonts w:ascii="Times New Roman" w:hAnsi="Times New Roman" w:cs="Times New Roman"/>
          <w:i/>
          <w:sz w:val="32"/>
          <w:szCs w:val="32"/>
        </w:rPr>
        <w:t>fatto salvo il ricorso, al rinvio pregiudiziale per le questioni di interpretazione o di invalidità del diritto dell’Unione, ai sensi dell’art. 267 del TFUE</w:t>
      </w:r>
      <w:r w:rsidR="00927751">
        <w:rPr>
          <w:rFonts w:ascii="Times New Roman" w:hAnsi="Times New Roman" w:cs="Times New Roman"/>
          <w:sz w:val="32"/>
          <w:szCs w:val="32"/>
        </w:rPr>
        <w:t>»</w:t>
      </w:r>
      <w:r w:rsidR="0017012B">
        <w:rPr>
          <w:rFonts w:ascii="Times New Roman" w:hAnsi="Times New Roman" w:cs="Times New Roman"/>
          <w:sz w:val="32"/>
          <w:szCs w:val="32"/>
        </w:rPr>
        <w:t>.</w:t>
      </w:r>
      <w:r w:rsidR="00A768D7">
        <w:rPr>
          <w:rStyle w:val="Rimandonotaapidipagina"/>
          <w:rFonts w:ascii="Times New Roman" w:hAnsi="Times New Roman" w:cs="Times New Roman"/>
          <w:sz w:val="32"/>
          <w:szCs w:val="32"/>
        </w:rPr>
        <w:footnoteReference w:id="11"/>
      </w:r>
      <w:r w:rsidR="0017012B">
        <w:rPr>
          <w:rFonts w:ascii="Times New Roman" w:hAnsi="Times New Roman" w:cs="Times New Roman"/>
          <w:sz w:val="32"/>
          <w:szCs w:val="32"/>
        </w:rPr>
        <w:t xml:space="preserve"> </w:t>
      </w:r>
    </w:p>
    <w:p w:rsidR="00CA18D8" w:rsidRDefault="00A70240" w:rsidP="00F34777">
      <w:pPr>
        <w:jc w:val="both"/>
        <w:rPr>
          <w:rFonts w:ascii="Times New Roman" w:hAnsi="Times New Roman" w:cs="Times New Roman"/>
          <w:sz w:val="32"/>
          <w:szCs w:val="32"/>
        </w:rPr>
      </w:pPr>
      <w:r>
        <w:rPr>
          <w:rFonts w:ascii="Times New Roman" w:hAnsi="Times New Roman" w:cs="Times New Roman"/>
          <w:b/>
          <w:sz w:val="32"/>
          <w:szCs w:val="32"/>
        </w:rPr>
        <w:lastRenderedPageBreak/>
        <w:t>1.2.5</w:t>
      </w:r>
      <w:r w:rsidR="00C415B6" w:rsidRPr="00321AA1">
        <w:rPr>
          <w:rFonts w:ascii="Times New Roman" w:hAnsi="Times New Roman" w:cs="Times New Roman"/>
          <w:b/>
          <w:sz w:val="32"/>
          <w:szCs w:val="32"/>
        </w:rPr>
        <w:t>.</w:t>
      </w:r>
      <w:r w:rsidR="00C415B6">
        <w:rPr>
          <w:rFonts w:ascii="Times New Roman" w:hAnsi="Times New Roman" w:cs="Times New Roman"/>
          <w:sz w:val="32"/>
          <w:szCs w:val="32"/>
        </w:rPr>
        <w:t xml:space="preserve"> </w:t>
      </w:r>
      <w:r w:rsidR="00455F6E">
        <w:rPr>
          <w:rFonts w:ascii="Times New Roman" w:hAnsi="Times New Roman" w:cs="Times New Roman"/>
          <w:sz w:val="32"/>
          <w:szCs w:val="32"/>
        </w:rPr>
        <w:t xml:space="preserve">Sulla base </w:t>
      </w:r>
      <w:r>
        <w:rPr>
          <w:rFonts w:ascii="Times New Roman" w:hAnsi="Times New Roman" w:cs="Times New Roman"/>
          <w:sz w:val="32"/>
          <w:szCs w:val="32"/>
        </w:rPr>
        <w:t>delle</w:t>
      </w:r>
      <w:r w:rsidR="00455F6E">
        <w:rPr>
          <w:rFonts w:ascii="Times New Roman" w:hAnsi="Times New Roman" w:cs="Times New Roman"/>
          <w:sz w:val="32"/>
          <w:szCs w:val="32"/>
        </w:rPr>
        <w:t xml:space="preserve"> premesse</w:t>
      </w:r>
      <w:r>
        <w:rPr>
          <w:rFonts w:ascii="Times New Roman" w:hAnsi="Times New Roman" w:cs="Times New Roman"/>
          <w:sz w:val="32"/>
          <w:szCs w:val="32"/>
        </w:rPr>
        <w:t xml:space="preserve"> </w:t>
      </w:r>
      <w:r w:rsidRPr="00A70240">
        <w:rPr>
          <w:rFonts w:ascii="Times New Roman" w:hAnsi="Times New Roman" w:cs="Times New Roman"/>
          <w:i/>
          <w:sz w:val="32"/>
          <w:szCs w:val="32"/>
        </w:rPr>
        <w:t>sub</w:t>
      </w:r>
      <w:r>
        <w:rPr>
          <w:rFonts w:ascii="Times New Roman" w:hAnsi="Times New Roman" w:cs="Times New Roman"/>
          <w:sz w:val="32"/>
          <w:szCs w:val="32"/>
        </w:rPr>
        <w:t xml:space="preserve"> </w:t>
      </w:r>
      <w:r w:rsidRPr="00A70240">
        <w:rPr>
          <w:rFonts w:ascii="Times New Roman" w:hAnsi="Times New Roman" w:cs="Times New Roman"/>
          <w:b/>
          <w:sz w:val="32"/>
          <w:szCs w:val="32"/>
        </w:rPr>
        <w:t>1.2.3.</w:t>
      </w:r>
      <w:r w:rsidR="00455F6E">
        <w:rPr>
          <w:rFonts w:ascii="Times New Roman" w:hAnsi="Times New Roman" w:cs="Times New Roman"/>
          <w:sz w:val="32"/>
          <w:szCs w:val="32"/>
        </w:rPr>
        <w:t xml:space="preserve">, </w:t>
      </w:r>
      <w:r w:rsidR="00BC15F2">
        <w:rPr>
          <w:rFonts w:ascii="Times New Roman" w:hAnsi="Times New Roman" w:cs="Times New Roman"/>
          <w:sz w:val="32"/>
          <w:szCs w:val="32"/>
        </w:rPr>
        <w:t xml:space="preserve">la Corte costituzionale </w:t>
      </w:r>
      <w:r w:rsidR="00141809">
        <w:rPr>
          <w:rFonts w:ascii="Times New Roman" w:hAnsi="Times New Roman" w:cs="Times New Roman"/>
          <w:sz w:val="32"/>
          <w:szCs w:val="32"/>
        </w:rPr>
        <w:t>dichiarava l’inammissibilità, per difetto di rilevanza, delle questioni di legittimità costituzionale sollevat</w:t>
      </w:r>
      <w:r w:rsidR="00C415B6">
        <w:rPr>
          <w:rFonts w:ascii="Times New Roman" w:hAnsi="Times New Roman" w:cs="Times New Roman"/>
          <w:sz w:val="32"/>
          <w:szCs w:val="32"/>
        </w:rPr>
        <w:t>e</w:t>
      </w:r>
      <w:r w:rsidR="00141809">
        <w:rPr>
          <w:rFonts w:ascii="Times New Roman" w:hAnsi="Times New Roman" w:cs="Times New Roman"/>
          <w:sz w:val="32"/>
          <w:szCs w:val="32"/>
        </w:rPr>
        <w:t xml:space="preserve"> con la prima ordinanza del </w:t>
      </w:r>
      <w:r w:rsidR="00141809" w:rsidRPr="00141809">
        <w:rPr>
          <w:rFonts w:ascii="Times New Roman" w:hAnsi="Times New Roman" w:cs="Times New Roman"/>
          <w:sz w:val="32"/>
          <w:szCs w:val="32"/>
        </w:rPr>
        <w:t>2 maggio 2016</w:t>
      </w:r>
      <w:r w:rsidR="00141809">
        <w:rPr>
          <w:rFonts w:ascii="Times New Roman" w:hAnsi="Times New Roman" w:cs="Times New Roman"/>
          <w:sz w:val="32"/>
          <w:szCs w:val="32"/>
        </w:rPr>
        <w:t xml:space="preserve">, </w:t>
      </w:r>
      <w:r w:rsidR="00C415B6">
        <w:rPr>
          <w:rFonts w:ascii="Times New Roman" w:hAnsi="Times New Roman" w:cs="Times New Roman"/>
          <w:sz w:val="32"/>
          <w:szCs w:val="32"/>
        </w:rPr>
        <w:t>in cui</w:t>
      </w:r>
      <w:r w:rsidR="00141809">
        <w:rPr>
          <w:rFonts w:ascii="Times New Roman" w:hAnsi="Times New Roman" w:cs="Times New Roman"/>
          <w:sz w:val="32"/>
          <w:szCs w:val="32"/>
        </w:rPr>
        <w:t xml:space="preserve"> era stato precisato che </w:t>
      </w:r>
      <w:r w:rsidR="00141809" w:rsidRPr="00141809">
        <w:rPr>
          <w:rFonts w:ascii="Times New Roman" w:hAnsi="Times New Roman" w:cs="Times New Roman"/>
          <w:sz w:val="32"/>
          <w:szCs w:val="32"/>
        </w:rPr>
        <w:t xml:space="preserve">i ricorrenti </w:t>
      </w:r>
      <w:r w:rsidR="00141809">
        <w:rPr>
          <w:rFonts w:ascii="Times New Roman" w:hAnsi="Times New Roman" w:cs="Times New Roman"/>
          <w:sz w:val="32"/>
          <w:szCs w:val="32"/>
        </w:rPr>
        <w:t>aveva</w:t>
      </w:r>
      <w:r w:rsidR="00141809" w:rsidRPr="00141809">
        <w:rPr>
          <w:rFonts w:ascii="Times New Roman" w:hAnsi="Times New Roman" w:cs="Times New Roman"/>
          <w:sz w:val="32"/>
          <w:szCs w:val="32"/>
        </w:rPr>
        <w:t>no dedotto una violazione non di diritti fondamentali codificati nella CDFUE, ma della libertà di stabilimento e della libera prestazione dei servizi all’interno dell’Unione europea, previste dalle disposizioni dei Trattati (artt. 49 e 56 TFUE) delle quali è stat</w:t>
      </w:r>
      <w:r w:rsidR="00141809">
        <w:rPr>
          <w:rFonts w:ascii="Times New Roman" w:hAnsi="Times New Roman" w:cs="Times New Roman"/>
          <w:sz w:val="32"/>
          <w:szCs w:val="32"/>
        </w:rPr>
        <w:t>a invocata la diretta efficacia, con la conseguenza che «</w:t>
      </w:r>
      <w:r w:rsidR="00141809" w:rsidRPr="00141809">
        <w:rPr>
          <w:rFonts w:ascii="Times New Roman" w:hAnsi="Times New Roman" w:cs="Times New Roman"/>
          <w:i/>
          <w:sz w:val="32"/>
          <w:szCs w:val="32"/>
        </w:rPr>
        <w:t>non si versa, dunque, nei casi sopra indicati in cui la non applicazione trasmoda inevitabilmente in una sorta di inammissibile sindacato diffuso di costituzionalità della legge</w:t>
      </w:r>
      <w:r w:rsidR="00141809">
        <w:rPr>
          <w:rFonts w:ascii="Times New Roman" w:hAnsi="Times New Roman" w:cs="Times New Roman"/>
          <w:sz w:val="32"/>
          <w:szCs w:val="32"/>
        </w:rPr>
        <w:t>»</w:t>
      </w:r>
      <w:r w:rsidR="00141809" w:rsidRPr="00141809">
        <w:rPr>
          <w:rFonts w:ascii="Times New Roman" w:hAnsi="Times New Roman" w:cs="Times New Roman"/>
          <w:sz w:val="32"/>
          <w:szCs w:val="32"/>
        </w:rPr>
        <w:t xml:space="preserve">, </w:t>
      </w:r>
      <w:r w:rsidR="00141809">
        <w:rPr>
          <w:rFonts w:ascii="Times New Roman" w:hAnsi="Times New Roman" w:cs="Times New Roman"/>
          <w:sz w:val="32"/>
          <w:szCs w:val="32"/>
        </w:rPr>
        <w:t>sicché «</w:t>
      </w:r>
      <w:r w:rsidR="00141809" w:rsidRPr="00141809">
        <w:rPr>
          <w:rFonts w:ascii="Times New Roman" w:hAnsi="Times New Roman" w:cs="Times New Roman"/>
          <w:i/>
          <w:sz w:val="32"/>
          <w:szCs w:val="32"/>
        </w:rPr>
        <w:t>il rimettente aveva l’onere di delibare la questione per valutare l’applicabilità della legge interna nel giudizio posto al suo esame</w:t>
      </w:r>
      <w:r w:rsidR="00141809">
        <w:rPr>
          <w:rFonts w:ascii="Times New Roman" w:hAnsi="Times New Roman" w:cs="Times New Roman"/>
          <w:sz w:val="32"/>
          <w:szCs w:val="32"/>
        </w:rPr>
        <w:t>»</w:t>
      </w:r>
      <w:r w:rsidR="00B75E33">
        <w:rPr>
          <w:rFonts w:ascii="Times New Roman" w:hAnsi="Times New Roman" w:cs="Times New Roman"/>
          <w:sz w:val="32"/>
          <w:szCs w:val="32"/>
        </w:rPr>
        <w:t>.</w:t>
      </w:r>
      <w:r w:rsidR="0011064F">
        <w:rPr>
          <w:rStyle w:val="Rimandonotaapidipagina"/>
          <w:rFonts w:ascii="Times New Roman" w:hAnsi="Times New Roman" w:cs="Times New Roman"/>
          <w:sz w:val="32"/>
          <w:szCs w:val="32"/>
        </w:rPr>
        <w:footnoteReference w:id="12"/>
      </w:r>
    </w:p>
    <w:p w:rsidR="00357009" w:rsidRDefault="00357009" w:rsidP="00F34777">
      <w:pPr>
        <w:jc w:val="both"/>
        <w:rPr>
          <w:rFonts w:ascii="Times New Roman" w:hAnsi="Times New Roman" w:cs="Times New Roman"/>
          <w:sz w:val="32"/>
          <w:szCs w:val="32"/>
        </w:rPr>
      </w:pPr>
      <w:r>
        <w:rPr>
          <w:rFonts w:ascii="Times New Roman" w:hAnsi="Times New Roman" w:cs="Times New Roman"/>
          <w:sz w:val="32"/>
          <w:szCs w:val="32"/>
        </w:rPr>
        <w:t>Tale conclusione si basa sul consolidato orientamento della Corte costituzionale, per cui la questione di compatibilità con il diritto dell’Unione è considerato un ‘</w:t>
      </w:r>
      <w:proofErr w:type="spellStart"/>
      <w:r w:rsidRPr="00357009">
        <w:rPr>
          <w:rFonts w:ascii="Times New Roman" w:hAnsi="Times New Roman" w:cs="Times New Roman"/>
          <w:i/>
          <w:sz w:val="32"/>
          <w:szCs w:val="32"/>
        </w:rPr>
        <w:t>prius</w:t>
      </w:r>
      <w:proofErr w:type="spellEnd"/>
      <w:r>
        <w:rPr>
          <w:rFonts w:ascii="Times New Roman" w:hAnsi="Times New Roman" w:cs="Times New Roman"/>
          <w:sz w:val="32"/>
          <w:szCs w:val="32"/>
        </w:rPr>
        <w:t xml:space="preserve"> logico e giuridico’ rispetto alla questione di legittimità costituzionale, </w:t>
      </w:r>
      <w:r w:rsidR="00C415B6">
        <w:rPr>
          <w:rFonts w:ascii="Times New Roman" w:hAnsi="Times New Roman" w:cs="Times New Roman"/>
          <w:sz w:val="32"/>
          <w:szCs w:val="32"/>
        </w:rPr>
        <w:t>in quanto</w:t>
      </w:r>
      <w:r>
        <w:rPr>
          <w:rFonts w:ascii="Times New Roman" w:hAnsi="Times New Roman" w:cs="Times New Roman"/>
          <w:sz w:val="32"/>
          <w:szCs w:val="32"/>
        </w:rPr>
        <w:t xml:space="preserve">, investendo l’applicabilità della norma </w:t>
      </w:r>
      <w:r>
        <w:rPr>
          <w:rFonts w:ascii="Times New Roman" w:hAnsi="Times New Roman" w:cs="Times New Roman"/>
          <w:sz w:val="32"/>
          <w:szCs w:val="32"/>
        </w:rPr>
        <w:lastRenderedPageBreak/>
        <w:t xml:space="preserve">censurata nel giudizio principale, inficia la rilevanza della questione sollevata dal giudice </w:t>
      </w:r>
      <w:r w:rsidRPr="00C415B6">
        <w:rPr>
          <w:rFonts w:ascii="Times New Roman" w:hAnsi="Times New Roman" w:cs="Times New Roman"/>
          <w:i/>
          <w:sz w:val="32"/>
          <w:szCs w:val="32"/>
        </w:rPr>
        <w:t>a quo</w:t>
      </w:r>
      <w:r>
        <w:rPr>
          <w:rFonts w:ascii="Times New Roman" w:hAnsi="Times New Roman" w:cs="Times New Roman"/>
          <w:sz w:val="32"/>
          <w:szCs w:val="32"/>
        </w:rPr>
        <w:t xml:space="preserve"> e conduce alla declaratoria di inammissibilità della questione. </w:t>
      </w:r>
    </w:p>
    <w:p w:rsidR="00363ACB" w:rsidRDefault="00363ACB" w:rsidP="00F34777">
      <w:pPr>
        <w:jc w:val="both"/>
        <w:rPr>
          <w:rFonts w:ascii="Times New Roman" w:hAnsi="Times New Roman" w:cs="Times New Roman"/>
          <w:sz w:val="32"/>
          <w:szCs w:val="32"/>
        </w:rPr>
      </w:pPr>
    </w:p>
    <w:p w:rsidR="00363ACB" w:rsidRPr="00363ACB" w:rsidRDefault="00363ACB" w:rsidP="00F34777">
      <w:pPr>
        <w:jc w:val="both"/>
        <w:rPr>
          <w:rFonts w:ascii="Times New Roman" w:hAnsi="Times New Roman" w:cs="Times New Roman"/>
          <w:b/>
          <w:sz w:val="32"/>
          <w:szCs w:val="32"/>
        </w:rPr>
      </w:pPr>
      <w:r w:rsidRPr="00363ACB">
        <w:rPr>
          <w:rFonts w:ascii="Times New Roman" w:hAnsi="Times New Roman" w:cs="Times New Roman"/>
          <w:b/>
          <w:sz w:val="32"/>
          <w:szCs w:val="32"/>
        </w:rPr>
        <w:t>2</w:t>
      </w:r>
      <w:r w:rsidR="00FF0D0C" w:rsidRPr="00363ACB">
        <w:rPr>
          <w:rFonts w:ascii="Times New Roman" w:hAnsi="Times New Roman" w:cs="Times New Roman"/>
          <w:b/>
          <w:sz w:val="32"/>
          <w:szCs w:val="32"/>
        </w:rPr>
        <w:t xml:space="preserve">. </w:t>
      </w:r>
      <w:r w:rsidR="00DC2977" w:rsidRPr="00DC2977">
        <w:rPr>
          <w:rFonts w:ascii="Times New Roman" w:hAnsi="Times New Roman" w:cs="Times New Roman"/>
          <w:b/>
          <w:sz w:val="32"/>
          <w:szCs w:val="32"/>
        </w:rPr>
        <w:t>Brevi considerazioni generali sulla pregiudiziale europea e su quella costituzionale.</w:t>
      </w:r>
    </w:p>
    <w:p w:rsidR="001A3EA6" w:rsidRDefault="00EF7E73" w:rsidP="00F34777">
      <w:pPr>
        <w:spacing w:after="240"/>
        <w:jc w:val="both"/>
        <w:rPr>
          <w:rFonts w:ascii="Times New Roman" w:hAnsi="Times New Roman" w:cs="Times New Roman"/>
          <w:sz w:val="32"/>
          <w:szCs w:val="32"/>
        </w:rPr>
      </w:pPr>
      <w:r>
        <w:rPr>
          <w:rFonts w:ascii="Times New Roman" w:hAnsi="Times New Roman" w:cs="Times New Roman"/>
          <w:sz w:val="32"/>
          <w:szCs w:val="32"/>
        </w:rPr>
        <w:t xml:space="preserve">Prima di esaminare le </w:t>
      </w:r>
      <w:r w:rsidR="00776C8E">
        <w:rPr>
          <w:rFonts w:ascii="Times New Roman" w:hAnsi="Times New Roman" w:cs="Times New Roman"/>
          <w:sz w:val="32"/>
          <w:szCs w:val="32"/>
        </w:rPr>
        <w:t xml:space="preserve">possibili ricadute </w:t>
      </w:r>
      <w:r w:rsidR="00546F7E">
        <w:rPr>
          <w:rFonts w:ascii="Times New Roman" w:hAnsi="Times New Roman" w:cs="Times New Roman"/>
          <w:sz w:val="32"/>
          <w:szCs w:val="32"/>
        </w:rPr>
        <w:t>della sentenza della Corte costituzionale</w:t>
      </w:r>
      <w:r w:rsidR="00C415B6">
        <w:rPr>
          <w:rFonts w:ascii="Times New Roman" w:hAnsi="Times New Roman" w:cs="Times New Roman"/>
          <w:sz w:val="32"/>
          <w:szCs w:val="32"/>
        </w:rPr>
        <w:t xml:space="preserve"> n. 269/2017</w:t>
      </w:r>
      <w:r w:rsidR="00546F7E">
        <w:rPr>
          <w:rFonts w:ascii="Times New Roman" w:hAnsi="Times New Roman" w:cs="Times New Roman"/>
          <w:sz w:val="32"/>
          <w:szCs w:val="32"/>
        </w:rPr>
        <w:t xml:space="preserve"> sull’obbligo d</w:t>
      </w:r>
      <w:r w:rsidR="00411CC6">
        <w:rPr>
          <w:rFonts w:ascii="Times New Roman" w:hAnsi="Times New Roman" w:cs="Times New Roman"/>
          <w:sz w:val="32"/>
          <w:szCs w:val="32"/>
        </w:rPr>
        <w:t>el</w:t>
      </w:r>
      <w:r w:rsidR="00546F7E">
        <w:rPr>
          <w:rFonts w:ascii="Times New Roman" w:hAnsi="Times New Roman" w:cs="Times New Roman"/>
          <w:sz w:val="32"/>
          <w:szCs w:val="32"/>
        </w:rPr>
        <w:t xml:space="preserve"> rinvio pregiudiziale </w:t>
      </w:r>
      <w:r w:rsidR="00411CC6">
        <w:rPr>
          <w:rFonts w:ascii="Times New Roman" w:hAnsi="Times New Roman" w:cs="Times New Roman"/>
          <w:sz w:val="32"/>
          <w:szCs w:val="32"/>
        </w:rPr>
        <w:t>alla Corte di giustizia</w:t>
      </w:r>
      <w:r w:rsidR="00546F7E">
        <w:rPr>
          <w:rFonts w:ascii="Times New Roman" w:hAnsi="Times New Roman" w:cs="Times New Roman"/>
          <w:sz w:val="32"/>
          <w:szCs w:val="32"/>
        </w:rPr>
        <w:t xml:space="preserve"> gravante sul giudice nazionale di ultima istanza</w:t>
      </w:r>
      <w:r w:rsidR="006C1976">
        <w:rPr>
          <w:rFonts w:ascii="Times New Roman" w:hAnsi="Times New Roman" w:cs="Times New Roman"/>
          <w:sz w:val="32"/>
          <w:szCs w:val="32"/>
        </w:rPr>
        <w:t xml:space="preserve"> – </w:t>
      </w:r>
      <w:r w:rsidR="00E95056">
        <w:rPr>
          <w:rFonts w:ascii="Times New Roman" w:hAnsi="Times New Roman" w:cs="Times New Roman"/>
          <w:sz w:val="32"/>
          <w:szCs w:val="32"/>
        </w:rPr>
        <w:t>di</w:t>
      </w:r>
      <w:r w:rsidR="00A70240">
        <w:rPr>
          <w:rFonts w:ascii="Times New Roman" w:hAnsi="Times New Roman" w:cs="Times New Roman"/>
          <w:sz w:val="32"/>
          <w:szCs w:val="32"/>
        </w:rPr>
        <w:t>battut</w:t>
      </w:r>
      <w:r w:rsidR="00E95056">
        <w:rPr>
          <w:rFonts w:ascii="Times New Roman" w:hAnsi="Times New Roman" w:cs="Times New Roman"/>
          <w:sz w:val="32"/>
          <w:szCs w:val="32"/>
        </w:rPr>
        <w:t xml:space="preserve">e </w:t>
      </w:r>
      <w:r w:rsidR="006C1976">
        <w:rPr>
          <w:rFonts w:ascii="Times New Roman" w:hAnsi="Times New Roman" w:cs="Times New Roman"/>
          <w:sz w:val="32"/>
          <w:szCs w:val="32"/>
        </w:rPr>
        <w:t>sia a livello dottrinario</w:t>
      </w:r>
      <w:r w:rsidR="00225B2D">
        <w:rPr>
          <w:rStyle w:val="Rimandonotaapidipagina"/>
          <w:rFonts w:ascii="Times New Roman" w:hAnsi="Times New Roman" w:cs="Times New Roman"/>
          <w:sz w:val="32"/>
          <w:szCs w:val="32"/>
        </w:rPr>
        <w:footnoteReference w:id="13"/>
      </w:r>
      <w:r w:rsidR="00225B2D">
        <w:rPr>
          <w:rFonts w:ascii="Times New Roman" w:hAnsi="Times New Roman" w:cs="Times New Roman"/>
          <w:sz w:val="32"/>
          <w:szCs w:val="32"/>
        </w:rPr>
        <w:t xml:space="preserve"> </w:t>
      </w:r>
      <w:r w:rsidR="006C1976">
        <w:rPr>
          <w:rFonts w:ascii="Times New Roman" w:hAnsi="Times New Roman" w:cs="Times New Roman"/>
          <w:sz w:val="32"/>
          <w:szCs w:val="32"/>
        </w:rPr>
        <w:t>sia a livello giurisprudenziale</w:t>
      </w:r>
      <w:r w:rsidR="00572F9F">
        <w:rPr>
          <w:rStyle w:val="Rimandonotaapidipagina"/>
          <w:rFonts w:ascii="Times New Roman" w:hAnsi="Times New Roman" w:cs="Times New Roman"/>
          <w:sz w:val="32"/>
          <w:szCs w:val="32"/>
        </w:rPr>
        <w:footnoteReference w:id="14"/>
      </w:r>
      <w:r w:rsidR="006C1976">
        <w:rPr>
          <w:rFonts w:ascii="Times New Roman" w:hAnsi="Times New Roman" w:cs="Times New Roman"/>
          <w:sz w:val="32"/>
          <w:szCs w:val="32"/>
        </w:rPr>
        <w:t xml:space="preserve"> –</w:t>
      </w:r>
      <w:r w:rsidR="00E95056">
        <w:rPr>
          <w:rFonts w:ascii="Times New Roman" w:hAnsi="Times New Roman" w:cs="Times New Roman"/>
          <w:sz w:val="32"/>
          <w:szCs w:val="32"/>
        </w:rPr>
        <w:t>,</w:t>
      </w:r>
      <w:r w:rsidR="006C1976">
        <w:rPr>
          <w:rFonts w:ascii="Times New Roman" w:hAnsi="Times New Roman" w:cs="Times New Roman"/>
          <w:sz w:val="32"/>
          <w:szCs w:val="32"/>
        </w:rPr>
        <w:t xml:space="preserve"> </w:t>
      </w:r>
      <w:r w:rsidR="00983F96">
        <w:rPr>
          <w:rFonts w:ascii="Times New Roman" w:hAnsi="Times New Roman" w:cs="Times New Roman"/>
          <w:sz w:val="32"/>
          <w:szCs w:val="32"/>
        </w:rPr>
        <w:t>è</w:t>
      </w:r>
      <w:r w:rsidR="00225B2D">
        <w:rPr>
          <w:rFonts w:ascii="Times New Roman" w:hAnsi="Times New Roman" w:cs="Times New Roman"/>
          <w:sz w:val="32"/>
          <w:szCs w:val="32"/>
        </w:rPr>
        <w:t xml:space="preserve"> opportuno svolgere una breve ricognizione degli istituti della pregiudiziale europea e dell’incidente di legittimità costituzionale</w:t>
      </w:r>
      <w:r w:rsidR="00682DD7">
        <w:rPr>
          <w:rFonts w:ascii="Times New Roman" w:hAnsi="Times New Roman" w:cs="Times New Roman"/>
          <w:sz w:val="32"/>
          <w:szCs w:val="32"/>
        </w:rPr>
        <w:t xml:space="preserve">, che qui vengono in rilievo. </w:t>
      </w:r>
    </w:p>
    <w:p w:rsidR="00707ADD" w:rsidRPr="006C4FD5" w:rsidRDefault="00E95056" w:rsidP="00F34777">
      <w:pPr>
        <w:jc w:val="both"/>
        <w:rPr>
          <w:rFonts w:ascii="Times New Roman" w:hAnsi="Times New Roman" w:cs="Times New Roman"/>
          <w:sz w:val="32"/>
          <w:szCs w:val="32"/>
        </w:rPr>
      </w:pPr>
      <w:r w:rsidRPr="00321AA1">
        <w:rPr>
          <w:rFonts w:ascii="Times New Roman" w:hAnsi="Times New Roman" w:cs="Times New Roman"/>
          <w:b/>
          <w:sz w:val="32"/>
          <w:szCs w:val="32"/>
        </w:rPr>
        <w:t>2.</w:t>
      </w:r>
      <w:r w:rsidR="00D31D87" w:rsidRPr="00321AA1">
        <w:rPr>
          <w:rFonts w:ascii="Times New Roman" w:hAnsi="Times New Roman" w:cs="Times New Roman"/>
          <w:b/>
          <w:sz w:val="32"/>
          <w:szCs w:val="32"/>
        </w:rPr>
        <w:t>1.</w:t>
      </w:r>
      <w:r w:rsidR="00D31D87" w:rsidRPr="006C4FD5">
        <w:rPr>
          <w:rFonts w:ascii="Times New Roman" w:hAnsi="Times New Roman" w:cs="Times New Roman"/>
          <w:sz w:val="32"/>
          <w:szCs w:val="32"/>
        </w:rPr>
        <w:t xml:space="preserve"> </w:t>
      </w:r>
      <w:r w:rsidR="00C415B6">
        <w:rPr>
          <w:rFonts w:ascii="Times New Roman" w:hAnsi="Times New Roman" w:cs="Times New Roman"/>
          <w:sz w:val="32"/>
          <w:szCs w:val="32"/>
        </w:rPr>
        <w:t>L</w:t>
      </w:r>
      <w:r w:rsidR="0008553A" w:rsidRPr="0008553A">
        <w:rPr>
          <w:rFonts w:ascii="Times New Roman" w:hAnsi="Times New Roman" w:cs="Times New Roman"/>
          <w:sz w:val="32"/>
          <w:szCs w:val="32"/>
        </w:rPr>
        <w:t>’articolo 267 TFUE attribuisce alla Corte la competenza a pronunciarsi, in via pregiudiziale, tanto sull’interpretazione dei Trattati e degli atti compiuti dalle istituzioni, dagli organi o dagli organismi dell’Unione, quanto sulla validità di tali atti. Detto articolo dispone, al suo secondo comma, che un organo giurisdizionale nazionale può sottoporre alla Corte siffatte questioni qualora reputi necessaria, per emanare la sua sentenza, una decisione su tale punto, e, al suo terzo comma, che tale organo giurisdizionale è tenuto a farlo se avverso le sue decisioni non possa proporsi un ricorso giurisdizionale di diritto interno</w:t>
      </w:r>
      <w:r w:rsidR="00B2588D" w:rsidRPr="006C4FD5">
        <w:rPr>
          <w:rFonts w:ascii="Times New Roman" w:hAnsi="Times New Roman" w:cs="Times New Roman"/>
          <w:sz w:val="32"/>
          <w:szCs w:val="32"/>
        </w:rPr>
        <w:t xml:space="preserve">. </w:t>
      </w:r>
    </w:p>
    <w:p w:rsidR="00B2588D" w:rsidRDefault="00B2588D" w:rsidP="00F34777">
      <w:pPr>
        <w:jc w:val="both"/>
        <w:rPr>
          <w:rFonts w:ascii="Times New Roman" w:hAnsi="Times New Roman" w:cs="Times New Roman"/>
          <w:sz w:val="32"/>
          <w:szCs w:val="32"/>
        </w:rPr>
      </w:pPr>
      <w:r w:rsidRPr="006C4FD5">
        <w:rPr>
          <w:rFonts w:ascii="Times New Roman" w:hAnsi="Times New Roman" w:cs="Times New Roman"/>
          <w:sz w:val="32"/>
          <w:szCs w:val="32"/>
        </w:rPr>
        <w:t>La C</w:t>
      </w:r>
      <w:r w:rsidR="00BC15F2">
        <w:rPr>
          <w:rFonts w:ascii="Times New Roman" w:hAnsi="Times New Roman" w:cs="Times New Roman"/>
          <w:sz w:val="32"/>
          <w:szCs w:val="32"/>
        </w:rPr>
        <w:t xml:space="preserve">orte di giustizia </w:t>
      </w:r>
      <w:r w:rsidR="005732AB">
        <w:rPr>
          <w:rFonts w:ascii="Times New Roman" w:hAnsi="Times New Roman" w:cs="Times New Roman"/>
          <w:sz w:val="32"/>
          <w:szCs w:val="32"/>
        </w:rPr>
        <w:t>ha chiarito che l’art. 267 TFUE</w:t>
      </w:r>
      <w:r w:rsidRPr="006C4FD5">
        <w:rPr>
          <w:rFonts w:ascii="Times New Roman" w:hAnsi="Times New Roman" w:cs="Times New Roman"/>
          <w:sz w:val="32"/>
          <w:szCs w:val="32"/>
        </w:rPr>
        <w:t xml:space="preserve"> non costituisce un rimedio giuridico esperibile dalle parti di una controversia pendente dinanzi a un giudice nazionale. Ai fini dell’insorgenza del dovere del giudice di ultima istanza di sollevare la questione pregiudiziale</w:t>
      </w:r>
      <w:r w:rsidR="00C415B6">
        <w:rPr>
          <w:rFonts w:ascii="Times New Roman" w:hAnsi="Times New Roman" w:cs="Times New Roman"/>
          <w:sz w:val="32"/>
          <w:szCs w:val="32"/>
        </w:rPr>
        <w:t xml:space="preserve"> europea</w:t>
      </w:r>
      <w:r w:rsidRPr="006C4FD5">
        <w:rPr>
          <w:rFonts w:ascii="Times New Roman" w:hAnsi="Times New Roman" w:cs="Times New Roman"/>
          <w:sz w:val="32"/>
          <w:szCs w:val="32"/>
        </w:rPr>
        <w:t>, non è dunque sufficiente che una parte sostenga che la controversia ponga una questione di interpre</w:t>
      </w:r>
      <w:r w:rsidR="000C4083" w:rsidRPr="006C4FD5">
        <w:rPr>
          <w:rFonts w:ascii="Times New Roman" w:hAnsi="Times New Roman" w:cs="Times New Roman"/>
          <w:sz w:val="32"/>
          <w:szCs w:val="32"/>
        </w:rPr>
        <w:t xml:space="preserve">tazione del diritto </w:t>
      </w:r>
      <w:r w:rsidR="00BC15F2">
        <w:rPr>
          <w:rFonts w:ascii="Times New Roman" w:hAnsi="Times New Roman" w:cs="Times New Roman"/>
          <w:sz w:val="32"/>
          <w:szCs w:val="32"/>
        </w:rPr>
        <w:t>dell’Unione</w:t>
      </w:r>
      <w:r w:rsidR="000C4083" w:rsidRPr="006C4FD5">
        <w:rPr>
          <w:rFonts w:ascii="Times New Roman" w:hAnsi="Times New Roman" w:cs="Times New Roman"/>
          <w:sz w:val="32"/>
          <w:szCs w:val="32"/>
        </w:rPr>
        <w:t xml:space="preserve">, spettando invece </w:t>
      </w:r>
      <w:r w:rsidRPr="006C4FD5">
        <w:rPr>
          <w:rFonts w:ascii="Times New Roman" w:hAnsi="Times New Roman" w:cs="Times New Roman"/>
          <w:sz w:val="32"/>
          <w:szCs w:val="32"/>
        </w:rPr>
        <w:t>a detto giudice adire, se del caso</w:t>
      </w:r>
      <w:r w:rsidR="000C4083" w:rsidRPr="006C4FD5">
        <w:rPr>
          <w:rFonts w:ascii="Times New Roman" w:hAnsi="Times New Roman" w:cs="Times New Roman"/>
          <w:sz w:val="32"/>
          <w:szCs w:val="32"/>
        </w:rPr>
        <w:t xml:space="preserve"> anche </w:t>
      </w:r>
      <w:r w:rsidRPr="006C4FD5">
        <w:rPr>
          <w:rFonts w:ascii="Times New Roman" w:hAnsi="Times New Roman" w:cs="Times New Roman"/>
          <w:sz w:val="32"/>
          <w:szCs w:val="32"/>
        </w:rPr>
        <w:t>d’ufficio</w:t>
      </w:r>
      <w:r w:rsidR="000C4083" w:rsidRPr="006C4FD5">
        <w:rPr>
          <w:rFonts w:ascii="Times New Roman" w:hAnsi="Times New Roman" w:cs="Times New Roman"/>
          <w:sz w:val="32"/>
          <w:szCs w:val="32"/>
        </w:rPr>
        <w:t>,</w:t>
      </w:r>
      <w:r w:rsidRPr="006C4FD5">
        <w:rPr>
          <w:rFonts w:ascii="Times New Roman" w:hAnsi="Times New Roman" w:cs="Times New Roman"/>
          <w:sz w:val="32"/>
          <w:szCs w:val="32"/>
        </w:rPr>
        <w:t xml:space="preserve"> la Corte di giustizia</w:t>
      </w:r>
      <w:r w:rsidR="00C0639F">
        <w:rPr>
          <w:rFonts w:ascii="Times New Roman" w:hAnsi="Times New Roman" w:cs="Times New Roman"/>
          <w:sz w:val="32"/>
          <w:szCs w:val="32"/>
        </w:rPr>
        <w:t>.</w:t>
      </w:r>
      <w:r w:rsidR="000C4083" w:rsidRPr="006C4FD5">
        <w:rPr>
          <w:rStyle w:val="Rimandonotaapidipagina"/>
          <w:rFonts w:ascii="Times New Roman" w:hAnsi="Times New Roman" w:cs="Times New Roman"/>
          <w:sz w:val="32"/>
          <w:szCs w:val="32"/>
        </w:rPr>
        <w:footnoteReference w:id="15"/>
      </w:r>
    </w:p>
    <w:p w:rsidR="00894FA2" w:rsidRDefault="00FD7E2F" w:rsidP="00F34777">
      <w:pPr>
        <w:jc w:val="both"/>
        <w:rPr>
          <w:rFonts w:ascii="Times New Roman" w:hAnsi="Times New Roman" w:cs="Times New Roman"/>
          <w:sz w:val="32"/>
          <w:szCs w:val="32"/>
        </w:rPr>
      </w:pPr>
      <w:r>
        <w:rPr>
          <w:rFonts w:ascii="Times New Roman" w:hAnsi="Times New Roman" w:cs="Times New Roman"/>
          <w:sz w:val="32"/>
          <w:szCs w:val="32"/>
        </w:rPr>
        <w:t>Occorre, al riguardo, precisare, che l’</w:t>
      </w:r>
      <w:r w:rsidR="006C4FD5">
        <w:rPr>
          <w:rFonts w:ascii="Times New Roman" w:hAnsi="Times New Roman" w:cs="Times New Roman"/>
          <w:sz w:val="32"/>
          <w:szCs w:val="32"/>
        </w:rPr>
        <w:t xml:space="preserve">oggetto della </w:t>
      </w:r>
      <w:r>
        <w:rPr>
          <w:rFonts w:ascii="Times New Roman" w:hAnsi="Times New Roman" w:cs="Times New Roman"/>
          <w:sz w:val="32"/>
          <w:szCs w:val="32"/>
        </w:rPr>
        <w:t>questione</w:t>
      </w:r>
      <w:r w:rsidR="006C4FD5">
        <w:rPr>
          <w:rFonts w:ascii="Times New Roman" w:hAnsi="Times New Roman" w:cs="Times New Roman"/>
          <w:sz w:val="32"/>
          <w:szCs w:val="32"/>
        </w:rPr>
        <w:t xml:space="preserve"> pregiudiziale </w:t>
      </w:r>
      <w:r>
        <w:rPr>
          <w:rFonts w:ascii="Times New Roman" w:hAnsi="Times New Roman" w:cs="Times New Roman"/>
          <w:sz w:val="32"/>
          <w:szCs w:val="32"/>
        </w:rPr>
        <w:t xml:space="preserve">sollevata </w:t>
      </w:r>
      <w:r w:rsidR="006C4FD5">
        <w:rPr>
          <w:rFonts w:ascii="Times New Roman" w:hAnsi="Times New Roman" w:cs="Times New Roman"/>
          <w:sz w:val="32"/>
          <w:szCs w:val="32"/>
        </w:rPr>
        <w:t xml:space="preserve">dinanzi alla Corte di giustizia non è costituito dalla questione della </w:t>
      </w:r>
      <w:r w:rsidR="006C4FD5">
        <w:rPr>
          <w:rFonts w:ascii="Times New Roman" w:hAnsi="Times New Roman" w:cs="Times New Roman"/>
          <w:sz w:val="32"/>
          <w:szCs w:val="32"/>
        </w:rPr>
        <w:lastRenderedPageBreak/>
        <w:t>legittimità, o meno, della norma nazionale interna</w:t>
      </w:r>
      <w:r w:rsidR="00CC1683">
        <w:rPr>
          <w:rFonts w:ascii="Times New Roman" w:hAnsi="Times New Roman" w:cs="Times New Roman"/>
          <w:sz w:val="32"/>
          <w:szCs w:val="32"/>
        </w:rPr>
        <w:t xml:space="preserve"> in rapporto al diritto europeo</w:t>
      </w:r>
      <w:r w:rsidR="006C4FD5">
        <w:rPr>
          <w:rFonts w:ascii="Times New Roman" w:hAnsi="Times New Roman" w:cs="Times New Roman"/>
          <w:sz w:val="32"/>
          <w:szCs w:val="32"/>
        </w:rPr>
        <w:t>, ma dal</w:t>
      </w:r>
      <w:r w:rsidR="00C0639F">
        <w:rPr>
          <w:rFonts w:ascii="Times New Roman" w:hAnsi="Times New Roman" w:cs="Times New Roman"/>
          <w:sz w:val="32"/>
          <w:szCs w:val="32"/>
        </w:rPr>
        <w:t xml:space="preserve">la questione interpretativa </w:t>
      </w:r>
      <w:r w:rsidR="00CC1683">
        <w:rPr>
          <w:rFonts w:ascii="Times New Roman" w:hAnsi="Times New Roman" w:cs="Times New Roman"/>
          <w:sz w:val="32"/>
          <w:szCs w:val="32"/>
        </w:rPr>
        <w:t>vertente</w:t>
      </w:r>
      <w:r w:rsidR="00C0639F">
        <w:rPr>
          <w:rFonts w:ascii="Times New Roman" w:hAnsi="Times New Roman" w:cs="Times New Roman"/>
          <w:sz w:val="32"/>
          <w:szCs w:val="32"/>
        </w:rPr>
        <w:t xml:space="preserve"> sul significato e sulla portata da attribuire alla norma europea di riferimento.</w:t>
      </w:r>
      <w:r w:rsidR="003E2C4B">
        <w:rPr>
          <w:rStyle w:val="Rimandonotaapidipagina"/>
          <w:rFonts w:ascii="Times New Roman" w:hAnsi="Times New Roman" w:cs="Times New Roman"/>
          <w:sz w:val="32"/>
          <w:szCs w:val="32"/>
        </w:rPr>
        <w:footnoteReference w:id="16"/>
      </w:r>
      <w:r w:rsidR="00C0639F">
        <w:rPr>
          <w:rFonts w:ascii="Times New Roman" w:hAnsi="Times New Roman" w:cs="Times New Roman"/>
          <w:sz w:val="32"/>
          <w:szCs w:val="32"/>
        </w:rPr>
        <w:t xml:space="preserve"> La questione della </w:t>
      </w:r>
      <w:r w:rsidR="00C415B6">
        <w:rPr>
          <w:rFonts w:ascii="Times New Roman" w:hAnsi="Times New Roman" w:cs="Times New Roman"/>
          <w:sz w:val="32"/>
          <w:szCs w:val="32"/>
        </w:rPr>
        <w:t>compatibil</w:t>
      </w:r>
      <w:r w:rsidR="00C0639F">
        <w:rPr>
          <w:rFonts w:ascii="Times New Roman" w:hAnsi="Times New Roman" w:cs="Times New Roman"/>
          <w:sz w:val="32"/>
          <w:szCs w:val="32"/>
        </w:rPr>
        <w:t xml:space="preserve">ità, o meno, della norma nazionale </w:t>
      </w:r>
      <w:r w:rsidR="00C415B6">
        <w:rPr>
          <w:rFonts w:ascii="Times New Roman" w:hAnsi="Times New Roman" w:cs="Times New Roman"/>
          <w:sz w:val="32"/>
          <w:szCs w:val="32"/>
        </w:rPr>
        <w:t xml:space="preserve">con </w:t>
      </w:r>
      <w:r w:rsidR="00C0639F">
        <w:rPr>
          <w:rFonts w:ascii="Times New Roman" w:hAnsi="Times New Roman" w:cs="Times New Roman"/>
          <w:sz w:val="32"/>
          <w:szCs w:val="32"/>
        </w:rPr>
        <w:t>la norma europea deve</w:t>
      </w:r>
      <w:r>
        <w:rPr>
          <w:rFonts w:ascii="Times New Roman" w:hAnsi="Times New Roman" w:cs="Times New Roman"/>
          <w:sz w:val="32"/>
          <w:szCs w:val="32"/>
        </w:rPr>
        <w:t>,</w:t>
      </w:r>
      <w:r w:rsidR="00C0639F">
        <w:rPr>
          <w:rFonts w:ascii="Times New Roman" w:hAnsi="Times New Roman" w:cs="Times New Roman"/>
          <w:sz w:val="32"/>
          <w:szCs w:val="32"/>
        </w:rPr>
        <w:t xml:space="preserve"> invece</w:t>
      </w:r>
      <w:r>
        <w:rPr>
          <w:rFonts w:ascii="Times New Roman" w:hAnsi="Times New Roman" w:cs="Times New Roman"/>
          <w:sz w:val="32"/>
          <w:szCs w:val="32"/>
        </w:rPr>
        <w:t>,</w:t>
      </w:r>
      <w:r w:rsidR="00B720FD">
        <w:rPr>
          <w:rFonts w:ascii="Times New Roman" w:hAnsi="Times New Roman" w:cs="Times New Roman"/>
          <w:sz w:val="32"/>
          <w:szCs w:val="32"/>
        </w:rPr>
        <w:t xml:space="preserve"> essere risolta dal giudice rime</w:t>
      </w:r>
      <w:r w:rsidR="00C0639F">
        <w:rPr>
          <w:rFonts w:ascii="Times New Roman" w:hAnsi="Times New Roman" w:cs="Times New Roman"/>
          <w:sz w:val="32"/>
          <w:szCs w:val="32"/>
        </w:rPr>
        <w:t xml:space="preserve">ttente, sulla base delle conseguenze da trarre </w:t>
      </w:r>
      <w:r w:rsidR="0040104D">
        <w:rPr>
          <w:rFonts w:ascii="Times New Roman" w:hAnsi="Times New Roman" w:cs="Times New Roman"/>
          <w:sz w:val="32"/>
          <w:szCs w:val="32"/>
        </w:rPr>
        <w:t>per il diritto nazionale</w:t>
      </w:r>
      <w:r w:rsidR="00BC15F2">
        <w:rPr>
          <w:rFonts w:ascii="Times New Roman" w:hAnsi="Times New Roman" w:cs="Times New Roman"/>
          <w:sz w:val="32"/>
          <w:szCs w:val="32"/>
        </w:rPr>
        <w:t>, nella fattispecie concreta sottoposta alla sua decisione,</w:t>
      </w:r>
      <w:r w:rsidR="0040104D">
        <w:rPr>
          <w:rFonts w:ascii="Times New Roman" w:hAnsi="Times New Roman" w:cs="Times New Roman"/>
          <w:sz w:val="32"/>
          <w:szCs w:val="32"/>
        </w:rPr>
        <w:t xml:space="preserve"> </w:t>
      </w:r>
      <w:r>
        <w:rPr>
          <w:rFonts w:ascii="Times New Roman" w:hAnsi="Times New Roman" w:cs="Times New Roman"/>
          <w:sz w:val="32"/>
          <w:szCs w:val="32"/>
        </w:rPr>
        <w:t>dalla</w:t>
      </w:r>
      <w:r w:rsidR="00C0639F">
        <w:rPr>
          <w:rFonts w:ascii="Times New Roman" w:hAnsi="Times New Roman" w:cs="Times New Roman"/>
          <w:sz w:val="32"/>
          <w:szCs w:val="32"/>
        </w:rPr>
        <w:t xml:space="preserve"> pronuncia interpret</w:t>
      </w:r>
      <w:r w:rsidR="0040104D">
        <w:rPr>
          <w:rFonts w:ascii="Times New Roman" w:hAnsi="Times New Roman" w:cs="Times New Roman"/>
          <w:sz w:val="32"/>
          <w:szCs w:val="32"/>
        </w:rPr>
        <w:t xml:space="preserve">ativa della Corte di giustizia: </w:t>
      </w:r>
    </w:p>
    <w:p w:rsidR="00894FA2" w:rsidRDefault="00894FA2" w:rsidP="00F34777">
      <w:pPr>
        <w:jc w:val="both"/>
        <w:rPr>
          <w:rFonts w:ascii="Times New Roman" w:hAnsi="Times New Roman" w:cs="Times New Roman"/>
          <w:sz w:val="32"/>
          <w:szCs w:val="32"/>
        </w:rPr>
      </w:pPr>
      <w:r>
        <w:rPr>
          <w:rFonts w:ascii="Times New Roman" w:hAnsi="Times New Roman" w:cs="Times New Roman"/>
          <w:sz w:val="32"/>
          <w:szCs w:val="32"/>
        </w:rPr>
        <w:t xml:space="preserve">- </w:t>
      </w:r>
      <w:r w:rsidR="0040104D">
        <w:rPr>
          <w:rFonts w:ascii="Times New Roman" w:hAnsi="Times New Roman" w:cs="Times New Roman"/>
          <w:sz w:val="32"/>
          <w:szCs w:val="32"/>
        </w:rPr>
        <w:t xml:space="preserve">interpretando il diritto interno, </w:t>
      </w:r>
      <w:r>
        <w:rPr>
          <w:rFonts w:ascii="Times New Roman" w:hAnsi="Times New Roman" w:cs="Times New Roman"/>
          <w:sz w:val="32"/>
          <w:szCs w:val="32"/>
        </w:rPr>
        <w:t>ove</w:t>
      </w:r>
      <w:r w:rsidR="0040104D">
        <w:rPr>
          <w:rFonts w:ascii="Times New Roman" w:hAnsi="Times New Roman" w:cs="Times New Roman"/>
          <w:sz w:val="32"/>
          <w:szCs w:val="32"/>
        </w:rPr>
        <w:t xml:space="preserve"> possibile, in conformità al principio di diritto affermato dalla Corte</w:t>
      </w:r>
      <w:r>
        <w:rPr>
          <w:rFonts w:ascii="Times New Roman" w:hAnsi="Times New Roman" w:cs="Times New Roman"/>
          <w:sz w:val="32"/>
          <w:szCs w:val="32"/>
        </w:rPr>
        <w:t xml:space="preserve">; </w:t>
      </w:r>
    </w:p>
    <w:p w:rsidR="00C0639F" w:rsidRDefault="00894FA2" w:rsidP="00F34777">
      <w:pPr>
        <w:jc w:val="both"/>
        <w:rPr>
          <w:rFonts w:ascii="Times New Roman" w:hAnsi="Times New Roman" w:cs="Times New Roman"/>
          <w:sz w:val="32"/>
          <w:szCs w:val="32"/>
        </w:rPr>
      </w:pPr>
      <w:r>
        <w:rPr>
          <w:rFonts w:ascii="Times New Roman" w:hAnsi="Times New Roman" w:cs="Times New Roman"/>
          <w:sz w:val="32"/>
          <w:szCs w:val="32"/>
        </w:rPr>
        <w:t>- oppure</w:t>
      </w:r>
      <w:r w:rsidR="00BE5573">
        <w:rPr>
          <w:rFonts w:ascii="Times New Roman" w:hAnsi="Times New Roman" w:cs="Times New Roman"/>
          <w:sz w:val="32"/>
          <w:szCs w:val="32"/>
        </w:rPr>
        <w:t>, qualora sia</w:t>
      </w:r>
      <w:r w:rsidR="00BE5573" w:rsidRPr="00BE5573">
        <w:rPr>
          <w:rFonts w:ascii="Times New Roman" w:hAnsi="Times New Roman" w:cs="Times New Roman"/>
          <w:sz w:val="32"/>
          <w:szCs w:val="32"/>
        </w:rPr>
        <w:t xml:space="preserve"> impossibile un’interpretazione conforme</w:t>
      </w:r>
      <w:r w:rsidR="00BE5573">
        <w:rPr>
          <w:rFonts w:ascii="Times New Roman" w:hAnsi="Times New Roman" w:cs="Times New Roman"/>
          <w:sz w:val="32"/>
          <w:szCs w:val="32"/>
        </w:rPr>
        <w:t>,</w:t>
      </w:r>
      <w:r w:rsidR="00BE5573" w:rsidRPr="00BE5573">
        <w:rPr>
          <w:rFonts w:ascii="Times New Roman" w:hAnsi="Times New Roman" w:cs="Times New Roman"/>
          <w:sz w:val="32"/>
          <w:szCs w:val="32"/>
        </w:rPr>
        <w:t xml:space="preserve"> </w:t>
      </w:r>
      <w:r w:rsidR="00682DD7">
        <w:rPr>
          <w:rFonts w:ascii="Times New Roman" w:hAnsi="Times New Roman" w:cs="Times New Roman"/>
          <w:sz w:val="32"/>
          <w:szCs w:val="32"/>
        </w:rPr>
        <w:t xml:space="preserve">non </w:t>
      </w:r>
      <w:r w:rsidR="0040104D">
        <w:rPr>
          <w:rFonts w:ascii="Times New Roman" w:hAnsi="Times New Roman" w:cs="Times New Roman"/>
          <w:sz w:val="32"/>
          <w:szCs w:val="32"/>
        </w:rPr>
        <w:t>applicando</w:t>
      </w:r>
      <w:r>
        <w:rPr>
          <w:rFonts w:ascii="Times New Roman" w:hAnsi="Times New Roman" w:cs="Times New Roman"/>
          <w:sz w:val="32"/>
          <w:szCs w:val="32"/>
        </w:rPr>
        <w:t xml:space="preserve"> la norma di diritto interno</w:t>
      </w:r>
      <w:r w:rsidR="00BE5573">
        <w:rPr>
          <w:rFonts w:ascii="Times New Roman" w:hAnsi="Times New Roman" w:cs="Times New Roman"/>
          <w:sz w:val="32"/>
          <w:szCs w:val="32"/>
        </w:rPr>
        <w:t xml:space="preserve"> </w:t>
      </w:r>
      <w:r>
        <w:rPr>
          <w:rFonts w:ascii="Times New Roman" w:hAnsi="Times New Roman" w:cs="Times New Roman"/>
          <w:sz w:val="32"/>
          <w:szCs w:val="32"/>
        </w:rPr>
        <w:t xml:space="preserve">e applicando direttamente </w:t>
      </w:r>
      <w:r w:rsidR="00682DD7">
        <w:rPr>
          <w:rFonts w:ascii="Times New Roman" w:hAnsi="Times New Roman" w:cs="Times New Roman"/>
          <w:sz w:val="32"/>
          <w:szCs w:val="32"/>
        </w:rPr>
        <w:t>la norma di diritto europeo (purché quest’ultima</w:t>
      </w:r>
      <w:r>
        <w:rPr>
          <w:rFonts w:ascii="Times New Roman" w:hAnsi="Times New Roman" w:cs="Times New Roman"/>
          <w:sz w:val="32"/>
          <w:szCs w:val="32"/>
        </w:rPr>
        <w:t xml:space="preserve">, quale interpretata dalla Corte di giustizia, sia munita di effetto diretto). </w:t>
      </w:r>
    </w:p>
    <w:p w:rsidR="00894FA2" w:rsidRDefault="00F57709" w:rsidP="00F34777">
      <w:pPr>
        <w:jc w:val="both"/>
        <w:rPr>
          <w:rFonts w:ascii="Times New Roman" w:hAnsi="Times New Roman" w:cs="Times New Roman"/>
          <w:sz w:val="32"/>
          <w:szCs w:val="32"/>
        </w:rPr>
      </w:pPr>
      <w:r>
        <w:rPr>
          <w:rFonts w:ascii="Times New Roman" w:hAnsi="Times New Roman" w:cs="Times New Roman"/>
          <w:sz w:val="32"/>
          <w:szCs w:val="32"/>
        </w:rPr>
        <w:t>A tale ultimo riguardo</w:t>
      </w:r>
      <w:r w:rsidR="00894FA2">
        <w:rPr>
          <w:rFonts w:ascii="Times New Roman" w:hAnsi="Times New Roman" w:cs="Times New Roman"/>
          <w:sz w:val="32"/>
          <w:szCs w:val="32"/>
        </w:rPr>
        <w:t xml:space="preserve">, </w:t>
      </w:r>
      <w:r>
        <w:rPr>
          <w:rFonts w:ascii="Times New Roman" w:hAnsi="Times New Roman" w:cs="Times New Roman"/>
          <w:sz w:val="32"/>
          <w:szCs w:val="32"/>
        </w:rPr>
        <w:t xml:space="preserve">occorre precisare che </w:t>
      </w:r>
      <w:r w:rsidR="00A01479">
        <w:rPr>
          <w:rFonts w:ascii="Times New Roman" w:hAnsi="Times New Roman" w:cs="Times New Roman"/>
          <w:sz w:val="32"/>
          <w:szCs w:val="32"/>
        </w:rPr>
        <w:t>hanno</w:t>
      </w:r>
      <w:r w:rsidR="00894FA2">
        <w:rPr>
          <w:rFonts w:ascii="Times New Roman" w:hAnsi="Times New Roman" w:cs="Times New Roman"/>
          <w:sz w:val="32"/>
          <w:szCs w:val="32"/>
        </w:rPr>
        <w:t xml:space="preserve"> effetto diretto quelle norme europee (di diritto primario o di diritto derivato) che, per chiarezza, precisione, completezza e carattere incondizionato, creano per i singoli situazioni giuridiche soggettive che possano essere fatte valere davanti a un giudice nazionale</w:t>
      </w:r>
      <w:r w:rsidR="00682DD7">
        <w:rPr>
          <w:rFonts w:ascii="Times New Roman" w:hAnsi="Times New Roman" w:cs="Times New Roman"/>
          <w:sz w:val="32"/>
          <w:szCs w:val="32"/>
        </w:rPr>
        <w:t>.</w:t>
      </w:r>
      <w:r w:rsidR="00A01479">
        <w:rPr>
          <w:rFonts w:ascii="Times New Roman" w:hAnsi="Times New Roman" w:cs="Times New Roman"/>
          <w:sz w:val="32"/>
          <w:szCs w:val="32"/>
        </w:rPr>
        <w:t xml:space="preserve"> </w:t>
      </w:r>
      <w:r>
        <w:rPr>
          <w:rFonts w:ascii="Times New Roman" w:hAnsi="Times New Roman" w:cs="Times New Roman"/>
          <w:sz w:val="32"/>
          <w:szCs w:val="32"/>
        </w:rPr>
        <w:t>Con riferimento al contenuto precettivo</w:t>
      </w:r>
      <w:r w:rsidR="00A01479">
        <w:rPr>
          <w:rFonts w:ascii="Times New Roman" w:hAnsi="Times New Roman" w:cs="Times New Roman"/>
          <w:sz w:val="32"/>
          <w:szCs w:val="32"/>
        </w:rPr>
        <w:t>, sono individuabili due</w:t>
      </w:r>
      <w:r w:rsidR="00A01479" w:rsidRPr="00A01479">
        <w:rPr>
          <w:rFonts w:ascii="Times New Roman" w:hAnsi="Times New Roman" w:cs="Times New Roman"/>
          <w:sz w:val="32"/>
          <w:szCs w:val="32"/>
        </w:rPr>
        <w:t xml:space="preserve"> tipologie di </w:t>
      </w:r>
      <w:r w:rsidR="00A01479">
        <w:rPr>
          <w:rFonts w:ascii="Times New Roman" w:hAnsi="Times New Roman" w:cs="Times New Roman"/>
          <w:sz w:val="32"/>
          <w:szCs w:val="32"/>
        </w:rPr>
        <w:t>disposizioni normative</w:t>
      </w:r>
      <w:r w:rsidR="00A01479" w:rsidRPr="00A01479">
        <w:rPr>
          <w:rFonts w:ascii="Times New Roman" w:hAnsi="Times New Roman" w:cs="Times New Roman"/>
          <w:sz w:val="32"/>
          <w:szCs w:val="32"/>
        </w:rPr>
        <w:t>: le une (</w:t>
      </w:r>
      <w:r w:rsidR="00A01479">
        <w:rPr>
          <w:rFonts w:ascii="Times New Roman" w:hAnsi="Times New Roman" w:cs="Times New Roman"/>
          <w:sz w:val="32"/>
          <w:szCs w:val="32"/>
        </w:rPr>
        <w:t>norme</w:t>
      </w:r>
      <w:r w:rsidR="00A01479" w:rsidRPr="00A01479">
        <w:rPr>
          <w:rFonts w:ascii="Times New Roman" w:hAnsi="Times New Roman" w:cs="Times New Roman"/>
          <w:sz w:val="32"/>
          <w:szCs w:val="32"/>
        </w:rPr>
        <w:t>-regol</w:t>
      </w:r>
      <w:r w:rsidR="00A01479">
        <w:rPr>
          <w:rFonts w:ascii="Times New Roman" w:hAnsi="Times New Roman" w:cs="Times New Roman"/>
          <w:sz w:val="32"/>
          <w:szCs w:val="32"/>
        </w:rPr>
        <w:t>a</w:t>
      </w:r>
      <w:r w:rsidR="00A01479" w:rsidRPr="00A01479">
        <w:rPr>
          <w:rFonts w:ascii="Times New Roman" w:hAnsi="Times New Roman" w:cs="Times New Roman"/>
          <w:sz w:val="32"/>
          <w:szCs w:val="32"/>
        </w:rPr>
        <w:t>)</w:t>
      </w:r>
      <w:r w:rsidR="00A01479">
        <w:rPr>
          <w:rFonts w:ascii="Times New Roman" w:hAnsi="Times New Roman" w:cs="Times New Roman"/>
          <w:sz w:val="32"/>
          <w:szCs w:val="32"/>
        </w:rPr>
        <w:t xml:space="preserve"> </w:t>
      </w:r>
      <w:r w:rsidR="00A01479" w:rsidRPr="00A01479">
        <w:rPr>
          <w:rFonts w:ascii="Times New Roman" w:hAnsi="Times New Roman" w:cs="Times New Roman"/>
          <w:sz w:val="32"/>
          <w:szCs w:val="32"/>
        </w:rPr>
        <w:t>direttamente utilizzabili per la regolazione dei comportamenti dei consociati (e la soluzione delle</w:t>
      </w:r>
      <w:r w:rsidR="00A01479">
        <w:rPr>
          <w:rFonts w:ascii="Times New Roman" w:hAnsi="Times New Roman" w:cs="Times New Roman"/>
          <w:sz w:val="32"/>
          <w:szCs w:val="32"/>
        </w:rPr>
        <w:t xml:space="preserve"> </w:t>
      </w:r>
      <w:r w:rsidR="00A01479" w:rsidRPr="00A01479">
        <w:rPr>
          <w:rFonts w:ascii="Times New Roman" w:hAnsi="Times New Roman" w:cs="Times New Roman"/>
          <w:sz w:val="32"/>
          <w:szCs w:val="32"/>
        </w:rPr>
        <w:t>relative controversie); le altre (</w:t>
      </w:r>
      <w:r w:rsidR="00A01479">
        <w:rPr>
          <w:rFonts w:ascii="Times New Roman" w:hAnsi="Times New Roman" w:cs="Times New Roman"/>
          <w:sz w:val="32"/>
          <w:szCs w:val="32"/>
        </w:rPr>
        <w:t>norme</w:t>
      </w:r>
      <w:r w:rsidR="00A01479" w:rsidRPr="00A01479">
        <w:rPr>
          <w:rFonts w:ascii="Times New Roman" w:hAnsi="Times New Roman" w:cs="Times New Roman"/>
          <w:sz w:val="32"/>
          <w:szCs w:val="32"/>
        </w:rPr>
        <w:t>-principi</w:t>
      </w:r>
      <w:r w:rsidR="00A01479">
        <w:rPr>
          <w:rFonts w:ascii="Times New Roman" w:hAnsi="Times New Roman" w:cs="Times New Roman"/>
          <w:sz w:val="32"/>
          <w:szCs w:val="32"/>
        </w:rPr>
        <w:t>o</w:t>
      </w:r>
      <w:r w:rsidR="00A01479" w:rsidRPr="00A01479">
        <w:rPr>
          <w:rFonts w:ascii="Times New Roman" w:hAnsi="Times New Roman" w:cs="Times New Roman"/>
          <w:sz w:val="32"/>
          <w:szCs w:val="32"/>
        </w:rPr>
        <w:t>) che invece, per essere applicate, necessitano di una</w:t>
      </w:r>
      <w:r w:rsidR="00A01479">
        <w:rPr>
          <w:rFonts w:ascii="Times New Roman" w:hAnsi="Times New Roman" w:cs="Times New Roman"/>
          <w:sz w:val="32"/>
          <w:szCs w:val="32"/>
        </w:rPr>
        <w:t xml:space="preserve"> </w:t>
      </w:r>
      <w:r w:rsidR="00A01479" w:rsidRPr="00A01479">
        <w:rPr>
          <w:rFonts w:ascii="Times New Roman" w:hAnsi="Times New Roman" w:cs="Times New Roman"/>
          <w:sz w:val="32"/>
          <w:szCs w:val="32"/>
        </w:rPr>
        <w:t>previa attuazione da parte degli organi politici (europei o statali) competenti, chiamati ad effettuare una scelta tra una plu</w:t>
      </w:r>
      <w:r w:rsidR="00A01479">
        <w:rPr>
          <w:rFonts w:ascii="Times New Roman" w:hAnsi="Times New Roman" w:cs="Times New Roman"/>
          <w:sz w:val="32"/>
          <w:szCs w:val="32"/>
        </w:rPr>
        <w:t>ralità di alternative lasciate ‘aperte’</w:t>
      </w:r>
      <w:r w:rsidR="00A01479" w:rsidRPr="00A01479">
        <w:rPr>
          <w:rFonts w:ascii="Times New Roman" w:hAnsi="Times New Roman" w:cs="Times New Roman"/>
          <w:sz w:val="32"/>
          <w:szCs w:val="32"/>
        </w:rPr>
        <w:t xml:space="preserve"> da un precetto</w:t>
      </w:r>
      <w:r w:rsidR="00A01479">
        <w:rPr>
          <w:rFonts w:ascii="Times New Roman" w:hAnsi="Times New Roman" w:cs="Times New Roman"/>
          <w:sz w:val="32"/>
          <w:szCs w:val="32"/>
        </w:rPr>
        <w:t xml:space="preserve"> </w:t>
      </w:r>
      <w:r w:rsidR="00A01479" w:rsidRPr="00A01479">
        <w:rPr>
          <w:rFonts w:ascii="Times New Roman" w:hAnsi="Times New Roman" w:cs="Times New Roman"/>
          <w:sz w:val="32"/>
          <w:szCs w:val="32"/>
        </w:rPr>
        <w:t>volutamente indeterminato</w:t>
      </w:r>
      <w:r w:rsidR="00A01479">
        <w:rPr>
          <w:rFonts w:ascii="Times New Roman" w:hAnsi="Times New Roman" w:cs="Times New Roman"/>
          <w:sz w:val="32"/>
          <w:szCs w:val="32"/>
        </w:rPr>
        <w:t>.</w:t>
      </w:r>
      <w:r w:rsidR="003819E6">
        <w:rPr>
          <w:rStyle w:val="Rimandonotaapidipagina"/>
          <w:rFonts w:ascii="Times New Roman" w:hAnsi="Times New Roman" w:cs="Times New Roman"/>
          <w:sz w:val="32"/>
          <w:szCs w:val="32"/>
        </w:rPr>
        <w:footnoteReference w:id="17"/>
      </w:r>
      <w:r w:rsidR="00894FA2">
        <w:rPr>
          <w:rFonts w:ascii="Times New Roman" w:hAnsi="Times New Roman" w:cs="Times New Roman"/>
          <w:sz w:val="32"/>
          <w:szCs w:val="32"/>
        </w:rPr>
        <w:t xml:space="preserve"> </w:t>
      </w:r>
    </w:p>
    <w:p w:rsidR="00FD7E2F" w:rsidRDefault="00FD7E2F" w:rsidP="00F34777">
      <w:pPr>
        <w:jc w:val="both"/>
        <w:rPr>
          <w:rFonts w:ascii="Times New Roman" w:hAnsi="Times New Roman" w:cs="Times New Roman"/>
          <w:sz w:val="32"/>
          <w:szCs w:val="32"/>
        </w:rPr>
      </w:pPr>
      <w:r>
        <w:rPr>
          <w:rFonts w:ascii="Times New Roman" w:hAnsi="Times New Roman" w:cs="Times New Roman"/>
          <w:sz w:val="32"/>
          <w:szCs w:val="32"/>
        </w:rPr>
        <w:lastRenderedPageBreak/>
        <w:t xml:space="preserve">È, altresì, rimasto chiarito che non sussiste </w:t>
      </w:r>
      <w:r w:rsidR="007E2066">
        <w:rPr>
          <w:rFonts w:ascii="Times New Roman" w:hAnsi="Times New Roman" w:cs="Times New Roman"/>
          <w:sz w:val="32"/>
          <w:szCs w:val="32"/>
        </w:rPr>
        <w:t>l’obbligo – ferma restando la facoltà</w:t>
      </w:r>
      <w:r w:rsidR="003F4AE8">
        <w:rPr>
          <w:rStyle w:val="Rimandonotaapidipagina"/>
          <w:rFonts w:ascii="Times New Roman" w:hAnsi="Times New Roman" w:cs="Times New Roman"/>
          <w:sz w:val="32"/>
          <w:szCs w:val="32"/>
        </w:rPr>
        <w:footnoteReference w:id="18"/>
      </w:r>
      <w:r w:rsidR="00CC1683" w:rsidRPr="00CC1683">
        <w:rPr>
          <w:rFonts w:ascii="Times New Roman" w:hAnsi="Times New Roman" w:cs="Times New Roman"/>
          <w:sz w:val="32"/>
          <w:szCs w:val="32"/>
        </w:rPr>
        <w:t>–</w:t>
      </w:r>
      <w:r w:rsidR="00CC1683">
        <w:rPr>
          <w:rFonts w:ascii="Times New Roman" w:hAnsi="Times New Roman" w:cs="Times New Roman"/>
          <w:sz w:val="32"/>
          <w:szCs w:val="32"/>
        </w:rPr>
        <w:t>,</w:t>
      </w:r>
      <w:r w:rsidR="00CC1683" w:rsidRPr="00CC1683">
        <w:rPr>
          <w:rFonts w:ascii="Times New Roman" w:hAnsi="Times New Roman" w:cs="Times New Roman"/>
          <w:sz w:val="32"/>
          <w:szCs w:val="32"/>
        </w:rPr>
        <w:t xml:space="preserve"> </w:t>
      </w:r>
      <w:r w:rsidR="00CC1683">
        <w:rPr>
          <w:rFonts w:ascii="Times New Roman" w:hAnsi="Times New Roman" w:cs="Times New Roman"/>
          <w:sz w:val="32"/>
          <w:szCs w:val="32"/>
        </w:rPr>
        <w:t>in capo a</w:t>
      </w:r>
      <w:r>
        <w:rPr>
          <w:rFonts w:ascii="Times New Roman" w:hAnsi="Times New Roman" w:cs="Times New Roman"/>
          <w:sz w:val="32"/>
          <w:szCs w:val="32"/>
        </w:rPr>
        <w:t>l giudice nazionale di ultima istanza</w:t>
      </w:r>
      <w:r w:rsidR="00CC1683">
        <w:rPr>
          <w:rFonts w:ascii="Times New Roman" w:hAnsi="Times New Roman" w:cs="Times New Roman"/>
          <w:sz w:val="32"/>
          <w:szCs w:val="32"/>
        </w:rPr>
        <w:t>,</w:t>
      </w:r>
      <w:r>
        <w:rPr>
          <w:rFonts w:ascii="Times New Roman" w:hAnsi="Times New Roman" w:cs="Times New Roman"/>
          <w:sz w:val="32"/>
          <w:szCs w:val="32"/>
        </w:rPr>
        <w:t xml:space="preserve"> di </w:t>
      </w:r>
      <w:r w:rsidR="007E2066">
        <w:rPr>
          <w:rFonts w:ascii="Times New Roman" w:hAnsi="Times New Roman" w:cs="Times New Roman"/>
          <w:sz w:val="32"/>
          <w:szCs w:val="32"/>
        </w:rPr>
        <w:t xml:space="preserve">interpellare la Corte di giustizia, qualora ricorra una delle seguenti condizioni: </w:t>
      </w:r>
    </w:p>
    <w:p w:rsidR="007E2066" w:rsidRDefault="007E2066" w:rsidP="00F34777">
      <w:pPr>
        <w:jc w:val="both"/>
        <w:rPr>
          <w:rFonts w:ascii="Times New Roman" w:hAnsi="Times New Roman" w:cs="Times New Roman"/>
          <w:sz w:val="32"/>
          <w:szCs w:val="32"/>
        </w:rPr>
      </w:pPr>
      <w:r>
        <w:rPr>
          <w:rFonts w:ascii="Times New Roman" w:hAnsi="Times New Roman" w:cs="Times New Roman"/>
          <w:sz w:val="32"/>
          <w:szCs w:val="32"/>
        </w:rPr>
        <w:t xml:space="preserve">(i) se la questione interpretativa del diritto europeo </w:t>
      </w:r>
      <w:r w:rsidRPr="007E2066">
        <w:rPr>
          <w:rFonts w:ascii="Times New Roman" w:hAnsi="Times New Roman" w:cs="Times New Roman"/>
          <w:sz w:val="32"/>
          <w:szCs w:val="32"/>
        </w:rPr>
        <w:t xml:space="preserve">non </w:t>
      </w:r>
      <w:r>
        <w:rPr>
          <w:rFonts w:ascii="Times New Roman" w:hAnsi="Times New Roman" w:cs="Times New Roman"/>
          <w:sz w:val="32"/>
          <w:szCs w:val="32"/>
        </w:rPr>
        <w:t>sia</w:t>
      </w:r>
      <w:r w:rsidRPr="007E2066">
        <w:rPr>
          <w:rFonts w:ascii="Times New Roman" w:hAnsi="Times New Roman" w:cs="Times New Roman"/>
          <w:sz w:val="32"/>
          <w:szCs w:val="32"/>
        </w:rPr>
        <w:t xml:space="preserve"> pertinente, </w:t>
      </w:r>
      <w:r w:rsidR="00CC1683">
        <w:rPr>
          <w:rFonts w:ascii="Times New Roman" w:hAnsi="Times New Roman" w:cs="Times New Roman"/>
          <w:sz w:val="32"/>
          <w:szCs w:val="32"/>
        </w:rPr>
        <w:t>cioè</w:t>
      </w:r>
      <w:r w:rsidRPr="007E2066">
        <w:rPr>
          <w:rFonts w:ascii="Times New Roman" w:hAnsi="Times New Roman" w:cs="Times New Roman"/>
          <w:sz w:val="32"/>
          <w:szCs w:val="32"/>
        </w:rPr>
        <w:t xml:space="preserve"> non possa in alcun modo influire sull</w:t>
      </w:r>
      <w:r>
        <w:rPr>
          <w:rFonts w:ascii="Times New Roman" w:hAnsi="Times New Roman" w:cs="Times New Roman"/>
          <w:sz w:val="32"/>
          <w:szCs w:val="32"/>
        </w:rPr>
        <w:t xml:space="preserve">’esito del giudizio </w:t>
      </w:r>
      <w:r w:rsidRPr="007E2066">
        <w:rPr>
          <w:rFonts w:ascii="Times New Roman" w:hAnsi="Times New Roman" w:cs="Times New Roman"/>
          <w:i/>
          <w:sz w:val="32"/>
          <w:szCs w:val="32"/>
        </w:rPr>
        <w:t>a quo</w:t>
      </w:r>
      <w:r>
        <w:rPr>
          <w:rFonts w:ascii="Times New Roman" w:hAnsi="Times New Roman" w:cs="Times New Roman"/>
          <w:sz w:val="32"/>
          <w:szCs w:val="32"/>
        </w:rPr>
        <w:t xml:space="preserve">; </w:t>
      </w:r>
    </w:p>
    <w:p w:rsidR="007E2066" w:rsidRDefault="007E2066" w:rsidP="00F34777">
      <w:pPr>
        <w:jc w:val="both"/>
        <w:rPr>
          <w:rFonts w:ascii="Times New Roman" w:hAnsi="Times New Roman" w:cs="Times New Roman"/>
          <w:sz w:val="32"/>
          <w:szCs w:val="32"/>
        </w:rPr>
      </w:pPr>
      <w:r>
        <w:rPr>
          <w:rFonts w:ascii="Times New Roman" w:hAnsi="Times New Roman" w:cs="Times New Roman"/>
          <w:sz w:val="32"/>
          <w:szCs w:val="32"/>
        </w:rPr>
        <w:t xml:space="preserve">(ii) se </w:t>
      </w:r>
      <w:r w:rsidRPr="007E2066">
        <w:rPr>
          <w:rFonts w:ascii="Times New Roman" w:hAnsi="Times New Roman" w:cs="Times New Roman"/>
          <w:sz w:val="32"/>
          <w:szCs w:val="32"/>
        </w:rPr>
        <w:t>la questione sollevata sia materialmente identica ad altra questione, sollevata in relazione ad analoga fattispecie</w:t>
      </w:r>
      <w:r>
        <w:rPr>
          <w:rFonts w:ascii="Times New Roman" w:hAnsi="Times New Roman" w:cs="Times New Roman"/>
          <w:sz w:val="32"/>
          <w:szCs w:val="32"/>
        </w:rPr>
        <w:t xml:space="preserve"> già</w:t>
      </w:r>
      <w:r w:rsidRPr="007E2066">
        <w:rPr>
          <w:rFonts w:ascii="Times New Roman" w:hAnsi="Times New Roman" w:cs="Times New Roman"/>
          <w:sz w:val="32"/>
          <w:szCs w:val="32"/>
        </w:rPr>
        <w:t xml:space="preserve"> decisa in via pregiudiziale</w:t>
      </w:r>
      <w:r>
        <w:rPr>
          <w:rFonts w:ascii="Times New Roman" w:hAnsi="Times New Roman" w:cs="Times New Roman"/>
          <w:sz w:val="32"/>
          <w:szCs w:val="32"/>
        </w:rPr>
        <w:t xml:space="preserve"> della Corte</w:t>
      </w:r>
      <w:r w:rsidRPr="007E2066">
        <w:rPr>
          <w:rFonts w:ascii="Times New Roman" w:hAnsi="Times New Roman" w:cs="Times New Roman"/>
          <w:sz w:val="32"/>
          <w:szCs w:val="32"/>
        </w:rPr>
        <w:t xml:space="preserve">, o </w:t>
      </w:r>
      <w:r>
        <w:rPr>
          <w:rFonts w:ascii="Times New Roman" w:hAnsi="Times New Roman" w:cs="Times New Roman"/>
          <w:sz w:val="32"/>
          <w:szCs w:val="32"/>
        </w:rPr>
        <w:t>se</w:t>
      </w:r>
      <w:r w:rsidRPr="007E2066">
        <w:rPr>
          <w:rFonts w:ascii="Times New Roman" w:hAnsi="Times New Roman" w:cs="Times New Roman"/>
          <w:sz w:val="32"/>
          <w:szCs w:val="32"/>
        </w:rPr>
        <w:t xml:space="preserve"> la giurisprudenza costante della Corte risolva il punto di diritto </w:t>
      </w:r>
      <w:r>
        <w:rPr>
          <w:rFonts w:ascii="Times New Roman" w:hAnsi="Times New Roman" w:cs="Times New Roman"/>
          <w:sz w:val="32"/>
          <w:szCs w:val="32"/>
        </w:rPr>
        <w:t>controverso</w:t>
      </w:r>
      <w:r w:rsidRPr="007E2066">
        <w:rPr>
          <w:rFonts w:ascii="Times New Roman" w:hAnsi="Times New Roman" w:cs="Times New Roman"/>
          <w:sz w:val="32"/>
          <w:szCs w:val="32"/>
        </w:rPr>
        <w:t xml:space="preserve">, </w:t>
      </w:r>
      <w:r>
        <w:rPr>
          <w:rFonts w:ascii="Times New Roman" w:hAnsi="Times New Roman" w:cs="Times New Roman"/>
          <w:sz w:val="32"/>
          <w:szCs w:val="32"/>
        </w:rPr>
        <w:t>indipendentemente dalla natura del procedimento in cui tale giurisprudenza si sia formata (c.d. teoria dell’</w:t>
      </w:r>
      <w:proofErr w:type="spellStart"/>
      <w:r w:rsidRPr="007E2066">
        <w:rPr>
          <w:rFonts w:ascii="Times New Roman" w:hAnsi="Times New Roman" w:cs="Times New Roman"/>
          <w:i/>
          <w:sz w:val="32"/>
          <w:szCs w:val="32"/>
        </w:rPr>
        <w:t>acte</w:t>
      </w:r>
      <w:proofErr w:type="spellEnd"/>
      <w:r w:rsidRPr="007E2066">
        <w:rPr>
          <w:rFonts w:ascii="Times New Roman" w:hAnsi="Times New Roman" w:cs="Times New Roman"/>
          <w:i/>
          <w:sz w:val="32"/>
          <w:szCs w:val="32"/>
        </w:rPr>
        <w:t xml:space="preserve"> </w:t>
      </w:r>
      <w:proofErr w:type="spellStart"/>
      <w:r w:rsidRPr="007E2066">
        <w:rPr>
          <w:rFonts w:ascii="Times New Roman" w:hAnsi="Times New Roman" w:cs="Times New Roman"/>
          <w:i/>
          <w:sz w:val="32"/>
          <w:szCs w:val="32"/>
        </w:rPr>
        <w:t>éclairé</w:t>
      </w:r>
      <w:proofErr w:type="spellEnd"/>
      <w:r>
        <w:rPr>
          <w:rFonts w:ascii="Times New Roman" w:hAnsi="Times New Roman" w:cs="Times New Roman"/>
          <w:sz w:val="32"/>
          <w:szCs w:val="32"/>
        </w:rPr>
        <w:t xml:space="preserve">); </w:t>
      </w:r>
    </w:p>
    <w:p w:rsidR="007E2066" w:rsidRDefault="007E2066" w:rsidP="00F34777">
      <w:pPr>
        <w:jc w:val="both"/>
        <w:rPr>
          <w:rFonts w:ascii="Times New Roman" w:hAnsi="Times New Roman" w:cs="Times New Roman"/>
          <w:sz w:val="32"/>
          <w:szCs w:val="32"/>
        </w:rPr>
      </w:pPr>
      <w:r>
        <w:rPr>
          <w:rFonts w:ascii="Times New Roman" w:hAnsi="Times New Roman" w:cs="Times New Roman"/>
          <w:sz w:val="32"/>
          <w:szCs w:val="32"/>
        </w:rPr>
        <w:t xml:space="preserve">(iii) </w:t>
      </w:r>
      <w:r w:rsidR="00C64FE1" w:rsidRPr="00C64FE1">
        <w:rPr>
          <w:rFonts w:ascii="Times New Roman" w:hAnsi="Times New Roman" w:cs="Times New Roman"/>
          <w:sz w:val="32"/>
          <w:szCs w:val="32"/>
        </w:rPr>
        <w:t>la corretta applicazione del diritto comunitario si impon</w:t>
      </w:r>
      <w:r w:rsidR="00C64FE1">
        <w:rPr>
          <w:rFonts w:ascii="Times New Roman" w:hAnsi="Times New Roman" w:cs="Times New Roman"/>
          <w:sz w:val="32"/>
          <w:szCs w:val="32"/>
        </w:rPr>
        <w:t>ga</w:t>
      </w:r>
      <w:r w:rsidR="00C64FE1" w:rsidRPr="00C64FE1">
        <w:rPr>
          <w:rFonts w:ascii="Times New Roman" w:hAnsi="Times New Roman" w:cs="Times New Roman"/>
          <w:sz w:val="32"/>
          <w:szCs w:val="32"/>
        </w:rPr>
        <w:t xml:space="preserve"> con tale evidenza da non lasciar adito a</w:t>
      </w:r>
      <w:r w:rsidR="00C64FE1">
        <w:rPr>
          <w:rFonts w:ascii="Times New Roman" w:hAnsi="Times New Roman" w:cs="Times New Roman"/>
          <w:sz w:val="32"/>
          <w:szCs w:val="32"/>
        </w:rPr>
        <w:t>d</w:t>
      </w:r>
      <w:r w:rsidR="00C64FE1" w:rsidRPr="00C64FE1">
        <w:rPr>
          <w:rFonts w:ascii="Times New Roman" w:hAnsi="Times New Roman" w:cs="Times New Roman"/>
          <w:sz w:val="32"/>
          <w:szCs w:val="32"/>
        </w:rPr>
        <w:t xml:space="preserve"> </w:t>
      </w:r>
      <w:r w:rsidR="00C64FE1">
        <w:rPr>
          <w:rFonts w:ascii="Times New Roman" w:hAnsi="Times New Roman" w:cs="Times New Roman"/>
          <w:sz w:val="32"/>
          <w:szCs w:val="32"/>
        </w:rPr>
        <w:t>alcun ragionevole</w:t>
      </w:r>
      <w:r w:rsidR="00C64FE1" w:rsidRPr="00C64FE1">
        <w:rPr>
          <w:rFonts w:ascii="Times New Roman" w:hAnsi="Times New Roman" w:cs="Times New Roman"/>
          <w:sz w:val="32"/>
          <w:szCs w:val="32"/>
        </w:rPr>
        <w:t xml:space="preserve"> dubbi</w:t>
      </w:r>
      <w:r w:rsidR="00C64FE1">
        <w:rPr>
          <w:rFonts w:ascii="Times New Roman" w:hAnsi="Times New Roman" w:cs="Times New Roman"/>
          <w:sz w:val="32"/>
          <w:szCs w:val="32"/>
        </w:rPr>
        <w:t>o sulla questione da dare alla questione sollevata (c.d. teoria dell’</w:t>
      </w:r>
      <w:proofErr w:type="spellStart"/>
      <w:r w:rsidR="00C64FE1" w:rsidRPr="00C64FE1">
        <w:rPr>
          <w:rFonts w:ascii="Times New Roman" w:hAnsi="Times New Roman" w:cs="Times New Roman"/>
          <w:i/>
          <w:sz w:val="32"/>
          <w:szCs w:val="32"/>
        </w:rPr>
        <w:t>acte</w:t>
      </w:r>
      <w:proofErr w:type="spellEnd"/>
      <w:r w:rsidR="00C64FE1" w:rsidRPr="00C64FE1">
        <w:rPr>
          <w:rFonts w:ascii="Times New Roman" w:hAnsi="Times New Roman" w:cs="Times New Roman"/>
          <w:i/>
          <w:sz w:val="32"/>
          <w:szCs w:val="32"/>
        </w:rPr>
        <w:t xml:space="preserve"> </w:t>
      </w:r>
      <w:proofErr w:type="spellStart"/>
      <w:r w:rsidR="00C64FE1" w:rsidRPr="00C64FE1">
        <w:rPr>
          <w:rFonts w:ascii="Times New Roman" w:hAnsi="Times New Roman" w:cs="Times New Roman"/>
          <w:i/>
          <w:sz w:val="32"/>
          <w:szCs w:val="32"/>
        </w:rPr>
        <w:t>clair</w:t>
      </w:r>
      <w:proofErr w:type="spellEnd"/>
      <w:r w:rsidR="00C64FE1">
        <w:rPr>
          <w:rFonts w:ascii="Times New Roman" w:hAnsi="Times New Roman" w:cs="Times New Roman"/>
          <w:sz w:val="32"/>
          <w:szCs w:val="32"/>
        </w:rPr>
        <w:t xml:space="preserve">, in aderenza al principio </w:t>
      </w:r>
      <w:r w:rsidR="00C64FE1" w:rsidRPr="00C64FE1">
        <w:rPr>
          <w:rFonts w:ascii="Times New Roman" w:hAnsi="Times New Roman" w:cs="Times New Roman"/>
          <w:i/>
          <w:sz w:val="32"/>
          <w:szCs w:val="32"/>
        </w:rPr>
        <w:t xml:space="preserve">in </w:t>
      </w:r>
      <w:proofErr w:type="spellStart"/>
      <w:r w:rsidR="00C64FE1" w:rsidRPr="00C64FE1">
        <w:rPr>
          <w:rFonts w:ascii="Times New Roman" w:hAnsi="Times New Roman" w:cs="Times New Roman"/>
          <w:i/>
          <w:sz w:val="32"/>
          <w:szCs w:val="32"/>
        </w:rPr>
        <w:t>claris</w:t>
      </w:r>
      <w:proofErr w:type="spellEnd"/>
      <w:r w:rsidR="00C64FE1" w:rsidRPr="00C64FE1">
        <w:rPr>
          <w:rFonts w:ascii="Times New Roman" w:hAnsi="Times New Roman" w:cs="Times New Roman"/>
          <w:i/>
          <w:sz w:val="32"/>
          <w:szCs w:val="32"/>
        </w:rPr>
        <w:t xml:space="preserve"> non </w:t>
      </w:r>
      <w:proofErr w:type="spellStart"/>
      <w:r w:rsidR="00C64FE1" w:rsidRPr="00C64FE1">
        <w:rPr>
          <w:rFonts w:ascii="Times New Roman" w:hAnsi="Times New Roman" w:cs="Times New Roman"/>
          <w:i/>
          <w:sz w:val="32"/>
          <w:szCs w:val="32"/>
        </w:rPr>
        <w:t>fit</w:t>
      </w:r>
      <w:proofErr w:type="spellEnd"/>
      <w:r w:rsidR="00C64FE1" w:rsidRPr="00C64FE1">
        <w:rPr>
          <w:rFonts w:ascii="Times New Roman" w:hAnsi="Times New Roman" w:cs="Times New Roman"/>
          <w:i/>
          <w:sz w:val="32"/>
          <w:szCs w:val="32"/>
        </w:rPr>
        <w:t xml:space="preserve"> </w:t>
      </w:r>
      <w:proofErr w:type="spellStart"/>
      <w:r w:rsidR="00C64FE1" w:rsidRPr="00C64FE1">
        <w:rPr>
          <w:rFonts w:ascii="Times New Roman" w:hAnsi="Times New Roman" w:cs="Times New Roman"/>
          <w:i/>
          <w:sz w:val="32"/>
          <w:szCs w:val="32"/>
        </w:rPr>
        <w:t>interpretatio</w:t>
      </w:r>
      <w:proofErr w:type="spellEnd"/>
      <w:r w:rsidR="00C64FE1">
        <w:rPr>
          <w:rFonts w:ascii="Times New Roman" w:hAnsi="Times New Roman" w:cs="Times New Roman"/>
          <w:sz w:val="32"/>
          <w:szCs w:val="32"/>
        </w:rPr>
        <w:t>), secondo il criterio-guida per cui</w:t>
      </w:r>
      <w:r w:rsidR="00C64FE1" w:rsidRPr="00C64FE1">
        <w:rPr>
          <w:rFonts w:ascii="Times New Roman" w:hAnsi="Times New Roman" w:cs="Times New Roman"/>
          <w:sz w:val="32"/>
          <w:szCs w:val="32"/>
        </w:rPr>
        <w:t xml:space="preserve"> il giudice deve maturare il convincimento che la stessa evidenza si imporrebbe anche ai giudici degli altri Stati membri e alla Corte di giustizia</w:t>
      </w:r>
      <w:r w:rsidR="00C64FE1">
        <w:rPr>
          <w:rFonts w:ascii="Times New Roman" w:hAnsi="Times New Roman" w:cs="Times New Roman"/>
          <w:sz w:val="32"/>
          <w:szCs w:val="32"/>
        </w:rPr>
        <w:t xml:space="preserve">, nonché tenendo conto </w:t>
      </w:r>
      <w:r w:rsidR="00C64FE1" w:rsidRPr="00C64FE1">
        <w:rPr>
          <w:rFonts w:ascii="Times New Roman" w:hAnsi="Times New Roman" w:cs="Times New Roman"/>
          <w:sz w:val="32"/>
          <w:szCs w:val="32"/>
        </w:rPr>
        <w:t xml:space="preserve">delle caratteristiche proprie del diritto </w:t>
      </w:r>
      <w:proofErr w:type="spellStart"/>
      <w:r w:rsidR="00C64FE1">
        <w:rPr>
          <w:rFonts w:ascii="Times New Roman" w:hAnsi="Times New Roman" w:cs="Times New Roman"/>
          <w:sz w:val="32"/>
          <w:szCs w:val="32"/>
        </w:rPr>
        <w:t>eurounitario</w:t>
      </w:r>
      <w:proofErr w:type="spellEnd"/>
      <w:r w:rsidR="00C64FE1" w:rsidRPr="00C64FE1">
        <w:rPr>
          <w:rFonts w:ascii="Times New Roman" w:hAnsi="Times New Roman" w:cs="Times New Roman"/>
          <w:sz w:val="32"/>
          <w:szCs w:val="32"/>
        </w:rPr>
        <w:t xml:space="preserve">, delle </w:t>
      </w:r>
      <w:r w:rsidR="00C64FE1" w:rsidRPr="00C64FE1">
        <w:rPr>
          <w:rFonts w:ascii="Times New Roman" w:hAnsi="Times New Roman" w:cs="Times New Roman"/>
          <w:sz w:val="32"/>
          <w:szCs w:val="32"/>
        </w:rPr>
        <w:lastRenderedPageBreak/>
        <w:t>particolari difficoltà che la sua interpretazione presenta e del rischio di divergenze giurisprudenziali all’interno dell’Unione europea</w:t>
      </w:r>
      <w:r w:rsidR="003F4AE8">
        <w:rPr>
          <w:rFonts w:ascii="Times New Roman" w:hAnsi="Times New Roman" w:cs="Times New Roman"/>
          <w:sz w:val="32"/>
          <w:szCs w:val="32"/>
        </w:rPr>
        <w:t>.</w:t>
      </w:r>
      <w:r w:rsidR="007A6BD3">
        <w:rPr>
          <w:rStyle w:val="Rimandonotaapidipagina"/>
          <w:rFonts w:ascii="Times New Roman" w:hAnsi="Times New Roman" w:cs="Times New Roman"/>
          <w:sz w:val="32"/>
          <w:szCs w:val="32"/>
        </w:rPr>
        <w:footnoteReference w:id="19"/>
      </w:r>
    </w:p>
    <w:p w:rsidR="008F3301" w:rsidRDefault="00735B0B" w:rsidP="00F34777">
      <w:pPr>
        <w:jc w:val="both"/>
        <w:rPr>
          <w:rFonts w:ascii="Times New Roman" w:hAnsi="Times New Roman" w:cs="Times New Roman"/>
          <w:sz w:val="32"/>
          <w:szCs w:val="32"/>
        </w:rPr>
      </w:pPr>
      <w:r w:rsidRPr="00321AA1">
        <w:rPr>
          <w:rFonts w:ascii="Times New Roman" w:hAnsi="Times New Roman" w:cs="Times New Roman"/>
          <w:b/>
          <w:sz w:val="32"/>
          <w:szCs w:val="32"/>
        </w:rPr>
        <w:t>2.</w:t>
      </w:r>
      <w:r w:rsidR="008F3301" w:rsidRPr="00321AA1">
        <w:rPr>
          <w:rFonts w:ascii="Times New Roman" w:hAnsi="Times New Roman" w:cs="Times New Roman"/>
          <w:b/>
          <w:sz w:val="32"/>
          <w:szCs w:val="32"/>
        </w:rPr>
        <w:t>2.</w:t>
      </w:r>
      <w:r w:rsidR="008F3301">
        <w:rPr>
          <w:rFonts w:ascii="Times New Roman" w:hAnsi="Times New Roman" w:cs="Times New Roman"/>
          <w:sz w:val="32"/>
          <w:szCs w:val="32"/>
        </w:rPr>
        <w:t xml:space="preserve"> </w:t>
      </w:r>
      <w:r w:rsidR="005F4817">
        <w:rPr>
          <w:rFonts w:ascii="Times New Roman" w:hAnsi="Times New Roman" w:cs="Times New Roman"/>
          <w:sz w:val="32"/>
          <w:szCs w:val="32"/>
        </w:rPr>
        <w:t xml:space="preserve">Premesso che la nostra Costituzione prevede la sottoposizione del giudice </w:t>
      </w:r>
      <w:r w:rsidR="00C415B6">
        <w:rPr>
          <w:rFonts w:ascii="Times New Roman" w:hAnsi="Times New Roman" w:cs="Times New Roman"/>
          <w:sz w:val="32"/>
          <w:szCs w:val="32"/>
        </w:rPr>
        <w:t xml:space="preserve">soltanto </w:t>
      </w:r>
      <w:r w:rsidR="005F4817">
        <w:rPr>
          <w:rFonts w:ascii="Times New Roman" w:hAnsi="Times New Roman" w:cs="Times New Roman"/>
          <w:sz w:val="32"/>
          <w:szCs w:val="32"/>
        </w:rPr>
        <w:t>alla l</w:t>
      </w:r>
      <w:r w:rsidR="00E6499D">
        <w:rPr>
          <w:rFonts w:ascii="Times New Roman" w:hAnsi="Times New Roman" w:cs="Times New Roman"/>
          <w:sz w:val="32"/>
          <w:szCs w:val="32"/>
        </w:rPr>
        <w:t xml:space="preserve">egge (art. 101, comma 2, </w:t>
      </w:r>
      <w:proofErr w:type="spellStart"/>
      <w:r w:rsidR="00E6499D">
        <w:rPr>
          <w:rFonts w:ascii="Times New Roman" w:hAnsi="Times New Roman" w:cs="Times New Roman"/>
          <w:sz w:val="32"/>
          <w:szCs w:val="32"/>
        </w:rPr>
        <w:t>Cost</w:t>
      </w:r>
      <w:proofErr w:type="spellEnd"/>
      <w:r w:rsidR="00E6499D">
        <w:rPr>
          <w:rFonts w:ascii="Times New Roman" w:hAnsi="Times New Roman" w:cs="Times New Roman"/>
          <w:sz w:val="32"/>
          <w:szCs w:val="32"/>
        </w:rPr>
        <w:t>.)</w:t>
      </w:r>
      <w:r w:rsidR="005F4817">
        <w:rPr>
          <w:rFonts w:ascii="Times New Roman" w:hAnsi="Times New Roman" w:cs="Times New Roman"/>
          <w:sz w:val="32"/>
          <w:szCs w:val="32"/>
        </w:rPr>
        <w:t xml:space="preserve"> e rimette </w:t>
      </w:r>
      <w:r w:rsidR="002248C2">
        <w:rPr>
          <w:rFonts w:ascii="Times New Roman" w:hAnsi="Times New Roman" w:cs="Times New Roman"/>
          <w:sz w:val="32"/>
          <w:szCs w:val="32"/>
        </w:rPr>
        <w:t>il sindacato sulla l</w:t>
      </w:r>
      <w:r w:rsidR="00E6499D">
        <w:rPr>
          <w:rFonts w:ascii="Times New Roman" w:hAnsi="Times New Roman" w:cs="Times New Roman"/>
          <w:sz w:val="32"/>
          <w:szCs w:val="32"/>
        </w:rPr>
        <w:t>egge esclusivamente alla Corte c</w:t>
      </w:r>
      <w:r w:rsidR="002248C2">
        <w:rPr>
          <w:rFonts w:ascii="Times New Roman" w:hAnsi="Times New Roman" w:cs="Times New Roman"/>
          <w:sz w:val="32"/>
          <w:szCs w:val="32"/>
        </w:rPr>
        <w:t xml:space="preserve">ostituzionale, </w:t>
      </w:r>
      <w:r w:rsidR="0072000E">
        <w:rPr>
          <w:rFonts w:ascii="Times New Roman" w:hAnsi="Times New Roman" w:cs="Times New Roman"/>
          <w:sz w:val="32"/>
          <w:szCs w:val="32"/>
        </w:rPr>
        <w:t xml:space="preserve">escludendo un sistema di sindacato </w:t>
      </w:r>
      <w:r w:rsidR="004019DE">
        <w:rPr>
          <w:rFonts w:ascii="Times New Roman" w:hAnsi="Times New Roman" w:cs="Times New Roman"/>
          <w:sz w:val="32"/>
          <w:szCs w:val="32"/>
        </w:rPr>
        <w:t xml:space="preserve">diffuso </w:t>
      </w:r>
      <w:r w:rsidR="0072000E">
        <w:rPr>
          <w:rFonts w:ascii="Times New Roman" w:hAnsi="Times New Roman" w:cs="Times New Roman"/>
          <w:sz w:val="32"/>
          <w:szCs w:val="32"/>
        </w:rPr>
        <w:t xml:space="preserve">di legittimità </w:t>
      </w:r>
      <w:r w:rsidR="004019DE">
        <w:rPr>
          <w:rFonts w:ascii="Times New Roman" w:hAnsi="Times New Roman" w:cs="Times New Roman"/>
          <w:sz w:val="32"/>
          <w:szCs w:val="32"/>
        </w:rPr>
        <w:t>costituzionale</w:t>
      </w:r>
      <w:r w:rsidR="0072000E">
        <w:rPr>
          <w:rFonts w:ascii="Times New Roman" w:hAnsi="Times New Roman" w:cs="Times New Roman"/>
          <w:sz w:val="32"/>
          <w:szCs w:val="32"/>
        </w:rPr>
        <w:t xml:space="preserve">, </w:t>
      </w:r>
      <w:r w:rsidR="00C37E14">
        <w:rPr>
          <w:rFonts w:ascii="Times New Roman" w:hAnsi="Times New Roman" w:cs="Times New Roman"/>
          <w:sz w:val="32"/>
          <w:szCs w:val="32"/>
        </w:rPr>
        <w:t>per quanto qui interessa occorre rilevare</w:t>
      </w:r>
      <w:r w:rsidR="0072000E">
        <w:rPr>
          <w:rFonts w:ascii="Times New Roman" w:hAnsi="Times New Roman" w:cs="Times New Roman"/>
          <w:sz w:val="32"/>
          <w:szCs w:val="32"/>
        </w:rPr>
        <w:t xml:space="preserve"> </w:t>
      </w:r>
      <w:r w:rsidR="00C415B6">
        <w:rPr>
          <w:rFonts w:ascii="Times New Roman" w:hAnsi="Times New Roman" w:cs="Times New Roman"/>
          <w:sz w:val="32"/>
          <w:szCs w:val="32"/>
        </w:rPr>
        <w:t xml:space="preserve">che </w:t>
      </w:r>
      <w:r w:rsidR="0072000E">
        <w:rPr>
          <w:rFonts w:ascii="Times New Roman" w:hAnsi="Times New Roman" w:cs="Times New Roman"/>
          <w:sz w:val="32"/>
          <w:szCs w:val="32"/>
        </w:rPr>
        <w:t>la violazione della Costituzione può anche avvenire, qualora a integrare il parametro del giudizio di costituzionalità concorrano norme poste da fonti diverse da leggi costituzionali</w:t>
      </w:r>
      <w:r w:rsidR="005F4E36">
        <w:rPr>
          <w:rFonts w:ascii="Times New Roman" w:hAnsi="Times New Roman" w:cs="Times New Roman"/>
          <w:sz w:val="32"/>
          <w:szCs w:val="32"/>
        </w:rPr>
        <w:t xml:space="preserve">, quali specifiche condizioni di validità di determinate norme di legge (le c.d. norme interposte). Così, le norme di legge contrastanti con le norme del diritto internazionale generalmente riconosciute violano, insieme con queste norme, l’art. 10 </w:t>
      </w:r>
      <w:proofErr w:type="spellStart"/>
      <w:r w:rsidR="005F4E36">
        <w:rPr>
          <w:rFonts w:ascii="Times New Roman" w:hAnsi="Times New Roman" w:cs="Times New Roman"/>
          <w:sz w:val="32"/>
          <w:szCs w:val="32"/>
        </w:rPr>
        <w:t>Cost</w:t>
      </w:r>
      <w:proofErr w:type="spellEnd"/>
      <w:r w:rsidR="005F4E36">
        <w:rPr>
          <w:rFonts w:ascii="Times New Roman" w:hAnsi="Times New Roman" w:cs="Times New Roman"/>
          <w:sz w:val="32"/>
          <w:szCs w:val="32"/>
        </w:rPr>
        <w:t xml:space="preserve">. </w:t>
      </w:r>
      <w:proofErr w:type="gramStart"/>
      <w:r w:rsidR="005F4E36">
        <w:rPr>
          <w:rFonts w:ascii="Times New Roman" w:hAnsi="Times New Roman" w:cs="Times New Roman"/>
          <w:sz w:val="32"/>
          <w:szCs w:val="32"/>
        </w:rPr>
        <w:t>che</w:t>
      </w:r>
      <w:proofErr w:type="gramEnd"/>
      <w:r w:rsidR="005F4E36">
        <w:rPr>
          <w:rFonts w:ascii="Times New Roman" w:hAnsi="Times New Roman" w:cs="Times New Roman"/>
          <w:sz w:val="32"/>
          <w:szCs w:val="32"/>
        </w:rPr>
        <w:t xml:space="preserve"> le immette automaticamente nel nostro ordinamento; </w:t>
      </w:r>
      <w:r w:rsidR="00487677">
        <w:rPr>
          <w:rFonts w:ascii="Times New Roman" w:hAnsi="Times New Roman" w:cs="Times New Roman"/>
          <w:sz w:val="32"/>
          <w:szCs w:val="32"/>
        </w:rPr>
        <w:t xml:space="preserve">o </w:t>
      </w:r>
      <w:r w:rsidR="00487677" w:rsidRPr="00487677">
        <w:rPr>
          <w:rFonts w:ascii="Times New Roman" w:hAnsi="Times New Roman" w:cs="Times New Roman"/>
          <w:sz w:val="32"/>
          <w:szCs w:val="32"/>
        </w:rPr>
        <w:t xml:space="preserve">le norme di legge contrastanti </w:t>
      </w:r>
      <w:r w:rsidR="00487677">
        <w:rPr>
          <w:rFonts w:ascii="Times New Roman" w:hAnsi="Times New Roman" w:cs="Times New Roman"/>
          <w:sz w:val="32"/>
          <w:szCs w:val="32"/>
        </w:rPr>
        <w:t xml:space="preserve">con </w:t>
      </w:r>
      <w:r w:rsidR="005F4E36">
        <w:rPr>
          <w:rFonts w:ascii="Times New Roman" w:hAnsi="Times New Roman" w:cs="Times New Roman"/>
          <w:sz w:val="32"/>
          <w:szCs w:val="32"/>
        </w:rPr>
        <w:t xml:space="preserve">le norme della CEDU danno luogo a vizi di legittimità costituzionale </w:t>
      </w:r>
      <w:r w:rsidR="00487677">
        <w:rPr>
          <w:rFonts w:ascii="Times New Roman" w:hAnsi="Times New Roman" w:cs="Times New Roman"/>
          <w:sz w:val="32"/>
          <w:szCs w:val="32"/>
        </w:rPr>
        <w:t>per violazione de</w:t>
      </w:r>
      <w:r w:rsidR="00487677" w:rsidRPr="00487677">
        <w:rPr>
          <w:rFonts w:ascii="Times New Roman" w:hAnsi="Times New Roman" w:cs="Times New Roman"/>
          <w:sz w:val="32"/>
          <w:szCs w:val="32"/>
        </w:rPr>
        <w:t xml:space="preserve">gli artt. 10 e 117, comma 1, </w:t>
      </w:r>
      <w:proofErr w:type="spellStart"/>
      <w:r w:rsidR="00487677" w:rsidRPr="00487677">
        <w:rPr>
          <w:rFonts w:ascii="Times New Roman" w:hAnsi="Times New Roman" w:cs="Times New Roman"/>
          <w:sz w:val="32"/>
          <w:szCs w:val="32"/>
        </w:rPr>
        <w:t>Cost</w:t>
      </w:r>
      <w:proofErr w:type="spellEnd"/>
      <w:r w:rsidR="00487677" w:rsidRPr="00487677">
        <w:rPr>
          <w:rFonts w:ascii="Times New Roman" w:hAnsi="Times New Roman" w:cs="Times New Roman"/>
          <w:sz w:val="32"/>
          <w:szCs w:val="32"/>
        </w:rPr>
        <w:t>.</w:t>
      </w:r>
      <w:r w:rsidR="00AD217C">
        <w:rPr>
          <w:rFonts w:ascii="Times New Roman" w:hAnsi="Times New Roman" w:cs="Times New Roman"/>
          <w:sz w:val="32"/>
          <w:szCs w:val="32"/>
        </w:rPr>
        <w:t>.</w:t>
      </w:r>
      <w:r w:rsidR="005F4E36" w:rsidRPr="005F4E36">
        <w:rPr>
          <w:rFonts w:ascii="Times New Roman" w:hAnsi="Times New Roman" w:cs="Times New Roman"/>
          <w:sz w:val="32"/>
          <w:szCs w:val="32"/>
        </w:rPr>
        <w:t xml:space="preserve"> </w:t>
      </w:r>
      <w:r w:rsidR="00AD217C">
        <w:rPr>
          <w:rStyle w:val="Rimandonotaapidipagina"/>
          <w:rFonts w:ascii="Times New Roman" w:hAnsi="Times New Roman" w:cs="Times New Roman"/>
          <w:sz w:val="32"/>
          <w:szCs w:val="32"/>
        </w:rPr>
        <w:footnoteReference w:id="20"/>
      </w:r>
    </w:p>
    <w:p w:rsidR="008F3301" w:rsidRDefault="005F4E36" w:rsidP="00F34777">
      <w:pPr>
        <w:jc w:val="both"/>
        <w:rPr>
          <w:rFonts w:ascii="Times New Roman" w:hAnsi="Times New Roman" w:cs="Times New Roman"/>
          <w:sz w:val="32"/>
          <w:szCs w:val="32"/>
        </w:rPr>
      </w:pPr>
      <w:r>
        <w:rPr>
          <w:rFonts w:ascii="Times New Roman" w:hAnsi="Times New Roman" w:cs="Times New Roman"/>
          <w:sz w:val="32"/>
          <w:szCs w:val="32"/>
        </w:rPr>
        <w:t>Sono, quindi, norme interposte anche le norme del diritto dell’Unione prive di effetto diretto</w:t>
      </w:r>
      <w:r w:rsidR="001B19FC">
        <w:rPr>
          <w:rFonts w:ascii="Times New Roman" w:hAnsi="Times New Roman" w:cs="Times New Roman"/>
          <w:sz w:val="32"/>
          <w:szCs w:val="32"/>
        </w:rPr>
        <w:t xml:space="preserve">, poiché le norme interne contrastanti con tali norme del diritto dell’Unione </w:t>
      </w:r>
      <w:r w:rsidR="00AD2DFD">
        <w:rPr>
          <w:rFonts w:ascii="Times New Roman" w:hAnsi="Times New Roman" w:cs="Times New Roman"/>
          <w:sz w:val="32"/>
          <w:szCs w:val="32"/>
        </w:rPr>
        <w:t xml:space="preserve">nelle materie riservate alla competenza dell’Unione </w:t>
      </w:r>
      <w:r w:rsidR="001B19FC">
        <w:rPr>
          <w:rFonts w:ascii="Times New Roman" w:hAnsi="Times New Roman" w:cs="Times New Roman"/>
          <w:sz w:val="32"/>
          <w:szCs w:val="32"/>
        </w:rPr>
        <w:t xml:space="preserve">violano anche gli artt. 11 e 117, comma 1, </w:t>
      </w:r>
      <w:proofErr w:type="spellStart"/>
      <w:proofErr w:type="gramStart"/>
      <w:r w:rsidR="001B19FC">
        <w:rPr>
          <w:rFonts w:ascii="Times New Roman" w:hAnsi="Times New Roman" w:cs="Times New Roman"/>
          <w:sz w:val="32"/>
          <w:szCs w:val="32"/>
        </w:rPr>
        <w:t>C</w:t>
      </w:r>
      <w:r w:rsidR="00AD2DFD">
        <w:rPr>
          <w:rFonts w:ascii="Times New Roman" w:hAnsi="Times New Roman" w:cs="Times New Roman"/>
          <w:sz w:val="32"/>
          <w:szCs w:val="32"/>
        </w:rPr>
        <w:t>ost</w:t>
      </w:r>
      <w:proofErr w:type="spellEnd"/>
      <w:r w:rsidR="00AD2DFD">
        <w:rPr>
          <w:rFonts w:ascii="Times New Roman" w:hAnsi="Times New Roman" w:cs="Times New Roman"/>
          <w:sz w:val="32"/>
          <w:szCs w:val="32"/>
        </w:rPr>
        <w:t>.</w:t>
      </w:r>
      <w:r w:rsidR="00C415B6">
        <w:rPr>
          <w:rFonts w:ascii="Times New Roman" w:hAnsi="Times New Roman" w:cs="Times New Roman"/>
          <w:sz w:val="32"/>
          <w:szCs w:val="32"/>
        </w:rPr>
        <w:t>.</w:t>
      </w:r>
      <w:proofErr w:type="gramEnd"/>
      <w:r w:rsidR="00C415B6">
        <w:rPr>
          <w:rFonts w:ascii="Times New Roman" w:hAnsi="Times New Roman" w:cs="Times New Roman"/>
          <w:sz w:val="32"/>
          <w:szCs w:val="32"/>
        </w:rPr>
        <w:t xml:space="preserve"> Infatti, non </w:t>
      </w:r>
      <w:r w:rsidR="00AD2DFD">
        <w:rPr>
          <w:rFonts w:ascii="Times New Roman" w:hAnsi="Times New Roman" w:cs="Times New Roman"/>
          <w:sz w:val="32"/>
          <w:szCs w:val="32"/>
        </w:rPr>
        <w:t xml:space="preserve">essendo </w:t>
      </w:r>
      <w:r w:rsidR="00C415B6">
        <w:rPr>
          <w:rFonts w:ascii="Times New Roman" w:hAnsi="Times New Roman" w:cs="Times New Roman"/>
          <w:sz w:val="32"/>
          <w:szCs w:val="32"/>
        </w:rPr>
        <w:t xml:space="preserve">tali norme, in quanto prive di effetto diretto, </w:t>
      </w:r>
      <w:r w:rsidR="00AD2DFD">
        <w:rPr>
          <w:rFonts w:ascii="Times New Roman" w:hAnsi="Times New Roman" w:cs="Times New Roman"/>
          <w:sz w:val="32"/>
          <w:szCs w:val="32"/>
        </w:rPr>
        <w:t>ancora entrate in vigore nell’ordinamento interno per la mancanza di un atto di trasposizione e r</w:t>
      </w:r>
      <w:r w:rsidR="00C415B6">
        <w:rPr>
          <w:rFonts w:ascii="Times New Roman" w:hAnsi="Times New Roman" w:cs="Times New Roman"/>
          <w:sz w:val="32"/>
          <w:szCs w:val="32"/>
        </w:rPr>
        <w:t>imane</w:t>
      </w:r>
      <w:r w:rsidR="00AD2DFD">
        <w:rPr>
          <w:rFonts w:ascii="Times New Roman" w:hAnsi="Times New Roman" w:cs="Times New Roman"/>
          <w:sz w:val="32"/>
          <w:szCs w:val="32"/>
        </w:rPr>
        <w:t xml:space="preserve">ndo dunque la materia ancora regolata dalla norma nazionale, </w:t>
      </w:r>
      <w:r w:rsidR="00C415B6">
        <w:rPr>
          <w:rFonts w:ascii="Times New Roman" w:hAnsi="Times New Roman" w:cs="Times New Roman"/>
          <w:sz w:val="32"/>
          <w:szCs w:val="32"/>
        </w:rPr>
        <w:t>quest’ultima</w:t>
      </w:r>
      <w:r w:rsidR="00AD2DFD">
        <w:rPr>
          <w:rFonts w:ascii="Times New Roman" w:hAnsi="Times New Roman" w:cs="Times New Roman"/>
          <w:sz w:val="32"/>
          <w:szCs w:val="32"/>
        </w:rPr>
        <w:t xml:space="preserve">, per effetto del richiamo del diritto dell’Unione tramite gli artt. 11 e 117, comma 1 </w:t>
      </w:r>
      <w:proofErr w:type="spellStart"/>
      <w:proofErr w:type="gramStart"/>
      <w:r w:rsidR="00AD2DFD">
        <w:rPr>
          <w:rFonts w:ascii="Times New Roman" w:hAnsi="Times New Roman" w:cs="Times New Roman"/>
          <w:sz w:val="32"/>
          <w:szCs w:val="32"/>
        </w:rPr>
        <w:t>Cost</w:t>
      </w:r>
      <w:proofErr w:type="spellEnd"/>
      <w:r w:rsidR="00AD2DFD">
        <w:rPr>
          <w:rFonts w:ascii="Times New Roman" w:hAnsi="Times New Roman" w:cs="Times New Roman"/>
          <w:sz w:val="32"/>
          <w:szCs w:val="32"/>
        </w:rPr>
        <w:t>.,</w:t>
      </w:r>
      <w:proofErr w:type="gramEnd"/>
      <w:r w:rsidR="00AD2DFD">
        <w:rPr>
          <w:rFonts w:ascii="Times New Roman" w:hAnsi="Times New Roman" w:cs="Times New Roman"/>
          <w:sz w:val="32"/>
          <w:szCs w:val="32"/>
        </w:rPr>
        <w:t xml:space="preserve"> deve rispettare </w:t>
      </w:r>
      <w:r w:rsidR="00487677">
        <w:rPr>
          <w:rFonts w:ascii="Times New Roman" w:hAnsi="Times New Roman" w:cs="Times New Roman"/>
          <w:sz w:val="32"/>
          <w:szCs w:val="32"/>
        </w:rPr>
        <w:t>il diritto</w:t>
      </w:r>
      <w:r w:rsidR="00AD2DFD">
        <w:rPr>
          <w:rFonts w:ascii="Times New Roman" w:hAnsi="Times New Roman" w:cs="Times New Roman"/>
          <w:sz w:val="32"/>
          <w:szCs w:val="32"/>
        </w:rPr>
        <w:t xml:space="preserve"> dell’Unione e, in caso di contrasto, viola</w:t>
      </w:r>
      <w:r w:rsidR="003B54ED">
        <w:rPr>
          <w:rFonts w:ascii="Times New Roman" w:hAnsi="Times New Roman" w:cs="Times New Roman"/>
          <w:sz w:val="32"/>
          <w:szCs w:val="32"/>
        </w:rPr>
        <w:t>, oltre il diritto dell’Unione,</w:t>
      </w:r>
      <w:r w:rsidR="004019DE">
        <w:rPr>
          <w:rFonts w:ascii="Times New Roman" w:hAnsi="Times New Roman" w:cs="Times New Roman"/>
          <w:sz w:val="32"/>
          <w:szCs w:val="32"/>
        </w:rPr>
        <w:t xml:space="preserve"> anche gli artt. 11 e 117, comm</w:t>
      </w:r>
      <w:r w:rsidR="00AD2DFD">
        <w:rPr>
          <w:rFonts w:ascii="Times New Roman" w:hAnsi="Times New Roman" w:cs="Times New Roman"/>
          <w:sz w:val="32"/>
          <w:szCs w:val="32"/>
        </w:rPr>
        <w:t xml:space="preserve">a 1, </w:t>
      </w:r>
      <w:proofErr w:type="spellStart"/>
      <w:r w:rsidR="00AD2DFD">
        <w:rPr>
          <w:rFonts w:ascii="Times New Roman" w:hAnsi="Times New Roman" w:cs="Times New Roman"/>
          <w:sz w:val="32"/>
          <w:szCs w:val="32"/>
        </w:rPr>
        <w:t>Cost</w:t>
      </w:r>
      <w:proofErr w:type="spellEnd"/>
      <w:r w:rsidR="00AD2DFD">
        <w:rPr>
          <w:rFonts w:ascii="Times New Roman" w:hAnsi="Times New Roman" w:cs="Times New Roman"/>
          <w:sz w:val="32"/>
          <w:szCs w:val="32"/>
        </w:rPr>
        <w:t>.</w:t>
      </w:r>
      <w:r w:rsidR="004019DE">
        <w:rPr>
          <w:rFonts w:ascii="Times New Roman" w:hAnsi="Times New Roman" w:cs="Times New Roman"/>
          <w:sz w:val="32"/>
          <w:szCs w:val="32"/>
        </w:rPr>
        <w:t>.</w:t>
      </w:r>
      <w:r w:rsidR="00AD2DFD">
        <w:rPr>
          <w:rFonts w:ascii="Times New Roman" w:hAnsi="Times New Roman" w:cs="Times New Roman"/>
          <w:sz w:val="32"/>
          <w:szCs w:val="32"/>
        </w:rPr>
        <w:t xml:space="preserve"> </w:t>
      </w:r>
      <w:r w:rsidR="00C415B6">
        <w:rPr>
          <w:rFonts w:ascii="Times New Roman" w:hAnsi="Times New Roman" w:cs="Times New Roman"/>
          <w:sz w:val="32"/>
          <w:szCs w:val="32"/>
        </w:rPr>
        <w:t>Il diritto dell’Unione, con riguardo alle norme prive di effetto diretto, viene in rilievo come param</w:t>
      </w:r>
      <w:r w:rsidR="00931BB7">
        <w:rPr>
          <w:rFonts w:ascii="Times New Roman" w:hAnsi="Times New Roman" w:cs="Times New Roman"/>
          <w:sz w:val="32"/>
          <w:szCs w:val="32"/>
        </w:rPr>
        <w:t>e</w:t>
      </w:r>
      <w:r w:rsidR="00C415B6">
        <w:rPr>
          <w:rFonts w:ascii="Times New Roman" w:hAnsi="Times New Roman" w:cs="Times New Roman"/>
          <w:sz w:val="32"/>
          <w:szCs w:val="32"/>
        </w:rPr>
        <w:t>tro di legittimità</w:t>
      </w:r>
      <w:r w:rsidR="00931BB7">
        <w:rPr>
          <w:rFonts w:ascii="Times New Roman" w:hAnsi="Times New Roman" w:cs="Times New Roman"/>
          <w:sz w:val="32"/>
          <w:szCs w:val="32"/>
        </w:rPr>
        <w:t xml:space="preserve"> della norma interna e non come fonte di disciplina del caso concreto </w:t>
      </w:r>
      <w:r w:rsidR="00931BB7" w:rsidRPr="00A70240">
        <w:rPr>
          <w:rFonts w:ascii="Times New Roman" w:hAnsi="Times New Roman" w:cs="Times New Roman"/>
          <w:i/>
          <w:sz w:val="32"/>
          <w:szCs w:val="32"/>
        </w:rPr>
        <w:t xml:space="preserve">in </w:t>
      </w:r>
      <w:proofErr w:type="spellStart"/>
      <w:r w:rsidR="00931BB7" w:rsidRPr="00A70240">
        <w:rPr>
          <w:rFonts w:ascii="Times New Roman" w:hAnsi="Times New Roman" w:cs="Times New Roman"/>
          <w:i/>
          <w:sz w:val="32"/>
          <w:szCs w:val="32"/>
        </w:rPr>
        <w:t>t</w:t>
      </w:r>
      <w:r w:rsidR="00A70240" w:rsidRPr="00A70240">
        <w:rPr>
          <w:rFonts w:ascii="Times New Roman" w:hAnsi="Times New Roman" w:cs="Times New Roman"/>
          <w:i/>
          <w:sz w:val="32"/>
          <w:szCs w:val="32"/>
        </w:rPr>
        <w:t>h</w:t>
      </w:r>
      <w:r w:rsidR="00931BB7" w:rsidRPr="00A70240">
        <w:rPr>
          <w:rFonts w:ascii="Times New Roman" w:hAnsi="Times New Roman" w:cs="Times New Roman"/>
          <w:i/>
          <w:sz w:val="32"/>
          <w:szCs w:val="32"/>
        </w:rPr>
        <w:t>esi</w:t>
      </w:r>
      <w:proofErr w:type="spellEnd"/>
      <w:r w:rsidR="00931BB7">
        <w:rPr>
          <w:rFonts w:ascii="Times New Roman" w:hAnsi="Times New Roman" w:cs="Times New Roman"/>
          <w:sz w:val="32"/>
          <w:szCs w:val="32"/>
        </w:rPr>
        <w:t xml:space="preserve"> antinomica a quest’ultima. </w:t>
      </w:r>
    </w:p>
    <w:p w:rsidR="00C06273" w:rsidRDefault="00931BB7" w:rsidP="00F34777">
      <w:pPr>
        <w:jc w:val="both"/>
        <w:rPr>
          <w:rFonts w:ascii="Times New Roman" w:hAnsi="Times New Roman" w:cs="Times New Roman"/>
          <w:sz w:val="32"/>
          <w:szCs w:val="32"/>
        </w:rPr>
      </w:pPr>
      <w:r>
        <w:rPr>
          <w:rFonts w:ascii="Times New Roman" w:hAnsi="Times New Roman" w:cs="Times New Roman"/>
          <w:sz w:val="32"/>
          <w:szCs w:val="32"/>
        </w:rPr>
        <w:t>Per contro</w:t>
      </w:r>
      <w:r w:rsidR="003B54ED">
        <w:rPr>
          <w:rFonts w:ascii="Times New Roman" w:hAnsi="Times New Roman" w:cs="Times New Roman"/>
          <w:sz w:val="32"/>
          <w:szCs w:val="32"/>
        </w:rPr>
        <w:t xml:space="preserve">, </w:t>
      </w:r>
      <w:r w:rsidR="00735B0B">
        <w:rPr>
          <w:rFonts w:ascii="Times New Roman" w:hAnsi="Times New Roman" w:cs="Times New Roman"/>
          <w:sz w:val="32"/>
          <w:szCs w:val="32"/>
        </w:rPr>
        <w:t>in presenza di una</w:t>
      </w:r>
      <w:r w:rsidR="003B54ED">
        <w:rPr>
          <w:rFonts w:ascii="Times New Roman" w:hAnsi="Times New Roman" w:cs="Times New Roman"/>
          <w:sz w:val="32"/>
          <w:szCs w:val="32"/>
        </w:rPr>
        <w:t xml:space="preserve"> norma dell’Unione ad effetto diretto</w:t>
      </w:r>
      <w:r w:rsidR="00735B0B">
        <w:rPr>
          <w:rFonts w:ascii="Times New Roman" w:hAnsi="Times New Roman" w:cs="Times New Roman"/>
          <w:sz w:val="32"/>
          <w:szCs w:val="32"/>
        </w:rPr>
        <w:t xml:space="preserve"> (c.d. norma-regola, a contenuto precettivo puntuale)</w:t>
      </w:r>
      <w:r w:rsidR="003B54ED">
        <w:rPr>
          <w:rFonts w:ascii="Times New Roman" w:hAnsi="Times New Roman" w:cs="Times New Roman"/>
          <w:sz w:val="32"/>
          <w:szCs w:val="32"/>
        </w:rPr>
        <w:t>,</w:t>
      </w:r>
      <w:r w:rsidR="00CD48F3">
        <w:rPr>
          <w:rFonts w:ascii="Times New Roman" w:hAnsi="Times New Roman" w:cs="Times New Roman"/>
          <w:sz w:val="32"/>
          <w:szCs w:val="32"/>
        </w:rPr>
        <w:t xml:space="preserve"> il contrasto tra norma </w:t>
      </w:r>
      <w:r w:rsidR="00CD48F3">
        <w:rPr>
          <w:rFonts w:ascii="Times New Roman" w:hAnsi="Times New Roman" w:cs="Times New Roman"/>
          <w:sz w:val="32"/>
          <w:szCs w:val="32"/>
        </w:rPr>
        <w:lastRenderedPageBreak/>
        <w:t xml:space="preserve">interna disciplinante la fattispecie dedotta in giudizio </w:t>
      </w:r>
      <w:r w:rsidR="003B54ED">
        <w:rPr>
          <w:rFonts w:ascii="Times New Roman" w:hAnsi="Times New Roman" w:cs="Times New Roman"/>
          <w:sz w:val="32"/>
          <w:szCs w:val="32"/>
        </w:rPr>
        <w:t xml:space="preserve">e </w:t>
      </w:r>
      <w:r w:rsidR="00CD48F3">
        <w:rPr>
          <w:rFonts w:ascii="Times New Roman" w:hAnsi="Times New Roman" w:cs="Times New Roman"/>
          <w:sz w:val="32"/>
          <w:szCs w:val="32"/>
        </w:rPr>
        <w:t xml:space="preserve">norma-regola del </w:t>
      </w:r>
      <w:r w:rsidR="003B54ED">
        <w:rPr>
          <w:rFonts w:ascii="Times New Roman" w:hAnsi="Times New Roman" w:cs="Times New Roman"/>
          <w:sz w:val="32"/>
          <w:szCs w:val="32"/>
        </w:rPr>
        <w:t>diritto dell’Unione</w:t>
      </w:r>
      <w:r w:rsidR="00CD48F3">
        <w:rPr>
          <w:rFonts w:ascii="Times New Roman" w:hAnsi="Times New Roman" w:cs="Times New Roman"/>
          <w:sz w:val="32"/>
          <w:szCs w:val="32"/>
        </w:rPr>
        <w:t>, che pone la disciplina puntuale della stessa fattispecie,</w:t>
      </w:r>
      <w:r w:rsidR="003B54ED">
        <w:rPr>
          <w:rFonts w:ascii="Times New Roman" w:hAnsi="Times New Roman" w:cs="Times New Roman"/>
          <w:sz w:val="32"/>
          <w:szCs w:val="32"/>
        </w:rPr>
        <w:t xml:space="preserve"> non può dar luogo a una questione di legittimità costituzionale, per il semplice motivo che nelle materie riservate alla competenza dell’Unione le norme interne non sono applicabili. </w:t>
      </w:r>
      <w:r w:rsidR="00CD48F3">
        <w:rPr>
          <w:rFonts w:ascii="Times New Roman" w:hAnsi="Times New Roman" w:cs="Times New Roman"/>
          <w:sz w:val="32"/>
          <w:szCs w:val="32"/>
        </w:rPr>
        <w:t xml:space="preserve">Il rapporto tra le due norme, tra di loro antinomiche, non si risolve secondo i criteri della specialità o della successione delle leggi nel tempo, ma secondo il criterio attributivo delle competenze stabilito dai Trattati. </w:t>
      </w:r>
      <w:r w:rsidR="003B54ED">
        <w:rPr>
          <w:rFonts w:ascii="Times New Roman" w:hAnsi="Times New Roman" w:cs="Times New Roman"/>
          <w:sz w:val="32"/>
          <w:szCs w:val="32"/>
        </w:rPr>
        <w:t>Le norme dell’Unione ad effetto diretto, entrando immediatamente in vigore nell’ordinamento italiano, non caducano né abrogano, modificano o invalidano le disposizioni legislative interne con esse incompatibili, ma impediscono che il giudice nazionale possa applicare le norme interne per decidere le controversie relative a fattispecie dis</w:t>
      </w:r>
      <w:r w:rsidR="001240AF">
        <w:rPr>
          <w:rFonts w:ascii="Times New Roman" w:hAnsi="Times New Roman" w:cs="Times New Roman"/>
          <w:sz w:val="32"/>
          <w:szCs w:val="32"/>
        </w:rPr>
        <w:t>ci</w:t>
      </w:r>
      <w:r w:rsidR="003B54ED">
        <w:rPr>
          <w:rFonts w:ascii="Times New Roman" w:hAnsi="Times New Roman" w:cs="Times New Roman"/>
          <w:sz w:val="32"/>
          <w:szCs w:val="32"/>
        </w:rPr>
        <w:t xml:space="preserve">plinate dalle norme dell’Unione adottate nell’ambito della sfera di competenza attribuita </w:t>
      </w:r>
      <w:r w:rsidR="001240AF">
        <w:rPr>
          <w:rFonts w:ascii="Times New Roman" w:hAnsi="Times New Roman" w:cs="Times New Roman"/>
          <w:sz w:val="32"/>
          <w:szCs w:val="32"/>
        </w:rPr>
        <w:t>all’Unione. Quando cioè la norma europea può essere applicata per la disciplina di un determinato caso concreto, in quanto la relativa materia rientra nella competenza attribuita alle ist</w:t>
      </w:r>
      <w:r w:rsidR="00487677">
        <w:rPr>
          <w:rFonts w:ascii="Times New Roman" w:hAnsi="Times New Roman" w:cs="Times New Roman"/>
          <w:sz w:val="32"/>
          <w:szCs w:val="32"/>
        </w:rPr>
        <w:t>ituzioni dell’Unione, la norma intern</w:t>
      </w:r>
      <w:r w:rsidR="001240AF">
        <w:rPr>
          <w:rFonts w:ascii="Times New Roman" w:hAnsi="Times New Roman" w:cs="Times New Roman"/>
          <w:sz w:val="32"/>
          <w:szCs w:val="32"/>
        </w:rPr>
        <w:t xml:space="preserve">a, sia essa anteriore o successiva a quella europea, </w:t>
      </w:r>
      <w:r w:rsidR="008D0188">
        <w:rPr>
          <w:rFonts w:ascii="Times New Roman" w:hAnsi="Times New Roman" w:cs="Times New Roman"/>
          <w:sz w:val="32"/>
          <w:szCs w:val="32"/>
        </w:rPr>
        <w:t>‘</w:t>
      </w:r>
      <w:r w:rsidR="001240AF">
        <w:rPr>
          <w:rFonts w:ascii="Times New Roman" w:hAnsi="Times New Roman" w:cs="Times New Roman"/>
          <w:sz w:val="32"/>
          <w:szCs w:val="32"/>
        </w:rPr>
        <w:t>non è applicabile</w:t>
      </w:r>
      <w:r w:rsidR="00C06273">
        <w:rPr>
          <w:rFonts w:ascii="Times New Roman" w:hAnsi="Times New Roman" w:cs="Times New Roman"/>
          <w:sz w:val="32"/>
          <w:szCs w:val="32"/>
        </w:rPr>
        <w:t>’</w:t>
      </w:r>
      <w:r w:rsidR="001240AF">
        <w:rPr>
          <w:rFonts w:ascii="Times New Roman" w:hAnsi="Times New Roman" w:cs="Times New Roman"/>
          <w:sz w:val="32"/>
          <w:szCs w:val="32"/>
        </w:rPr>
        <w:t xml:space="preserve"> a quel caso</w:t>
      </w:r>
      <w:r w:rsidR="00C06273">
        <w:rPr>
          <w:rFonts w:ascii="Times New Roman" w:hAnsi="Times New Roman" w:cs="Times New Roman"/>
          <w:sz w:val="32"/>
          <w:szCs w:val="32"/>
        </w:rPr>
        <w:t>.</w:t>
      </w:r>
      <w:r w:rsidR="008A0891">
        <w:rPr>
          <w:rStyle w:val="Rimandonotaapidipagina"/>
          <w:rFonts w:ascii="Times New Roman" w:hAnsi="Times New Roman" w:cs="Times New Roman"/>
          <w:sz w:val="32"/>
          <w:szCs w:val="32"/>
        </w:rPr>
        <w:footnoteReference w:id="21"/>
      </w:r>
      <w:r w:rsidR="00C06273">
        <w:rPr>
          <w:rFonts w:ascii="Times New Roman" w:hAnsi="Times New Roman" w:cs="Times New Roman"/>
          <w:sz w:val="32"/>
          <w:szCs w:val="32"/>
        </w:rPr>
        <w:t xml:space="preserve"> </w:t>
      </w:r>
    </w:p>
    <w:p w:rsidR="00C06273" w:rsidRDefault="00C06273" w:rsidP="00F34777">
      <w:pPr>
        <w:jc w:val="both"/>
        <w:rPr>
          <w:rFonts w:ascii="Times New Roman" w:hAnsi="Times New Roman" w:cs="Times New Roman"/>
          <w:sz w:val="32"/>
          <w:szCs w:val="32"/>
        </w:rPr>
      </w:pPr>
      <w:r>
        <w:rPr>
          <w:rFonts w:ascii="Times New Roman" w:hAnsi="Times New Roman" w:cs="Times New Roman"/>
          <w:sz w:val="32"/>
          <w:szCs w:val="32"/>
        </w:rPr>
        <w:t>In</w:t>
      </w:r>
      <w:r w:rsidR="00931BB7">
        <w:rPr>
          <w:rFonts w:ascii="Times New Roman" w:hAnsi="Times New Roman" w:cs="Times New Roman"/>
          <w:sz w:val="32"/>
          <w:szCs w:val="32"/>
        </w:rPr>
        <w:t xml:space="preserve"> </w:t>
      </w:r>
      <w:r w:rsidR="0012186D" w:rsidRPr="00C06273">
        <w:rPr>
          <w:rFonts w:ascii="Times New Roman" w:hAnsi="Times New Roman" w:cs="Times New Roman"/>
          <w:sz w:val="32"/>
          <w:szCs w:val="32"/>
        </w:rPr>
        <w:t xml:space="preserve">forza della giurisprudenza </w:t>
      </w:r>
      <w:proofErr w:type="spellStart"/>
      <w:r w:rsidR="0012186D" w:rsidRPr="00C06273">
        <w:rPr>
          <w:rFonts w:ascii="Times New Roman" w:hAnsi="Times New Roman" w:cs="Times New Roman"/>
          <w:i/>
          <w:sz w:val="32"/>
          <w:szCs w:val="32"/>
        </w:rPr>
        <w:t>Granital</w:t>
      </w:r>
      <w:proofErr w:type="spellEnd"/>
      <w:r w:rsidR="0012186D" w:rsidRPr="00C06273">
        <w:rPr>
          <w:rFonts w:ascii="Times New Roman" w:hAnsi="Times New Roman" w:cs="Times New Roman"/>
          <w:sz w:val="32"/>
          <w:szCs w:val="32"/>
        </w:rPr>
        <w:t>,</w:t>
      </w:r>
      <w:r>
        <w:rPr>
          <w:rStyle w:val="Rimandonotaapidipagina"/>
          <w:rFonts w:ascii="Times New Roman" w:hAnsi="Times New Roman" w:cs="Times New Roman"/>
          <w:sz w:val="32"/>
          <w:szCs w:val="32"/>
        </w:rPr>
        <w:footnoteReference w:id="22"/>
      </w:r>
      <w:r w:rsidR="0012186D" w:rsidRPr="00C06273">
        <w:rPr>
          <w:rFonts w:ascii="Times New Roman" w:hAnsi="Times New Roman" w:cs="Times New Roman"/>
          <w:sz w:val="32"/>
          <w:szCs w:val="32"/>
        </w:rPr>
        <w:t xml:space="preserve"> ogni qualvolta la competenza normativa attribuita all’Unione sia stata esercitata con una norma compiuta e immediatamente applicabile (regolamenti; direttive dotate di effetti diretti; norme </w:t>
      </w:r>
      <w:r w:rsidR="00CD48F3">
        <w:rPr>
          <w:rFonts w:ascii="Times New Roman" w:hAnsi="Times New Roman" w:cs="Times New Roman"/>
          <w:sz w:val="32"/>
          <w:szCs w:val="32"/>
        </w:rPr>
        <w:t xml:space="preserve">auto-esecutive </w:t>
      </w:r>
      <w:r w:rsidR="0012186D" w:rsidRPr="00C06273">
        <w:rPr>
          <w:rFonts w:ascii="Times New Roman" w:hAnsi="Times New Roman" w:cs="Times New Roman"/>
          <w:sz w:val="32"/>
          <w:szCs w:val="32"/>
        </w:rPr>
        <w:t xml:space="preserve">dei Trattati; sentenze interpretative della Corte di giustizia), il giudice nazionale e gli altri organi dello Stato sono tenuti a non </w:t>
      </w:r>
      <w:r w:rsidR="0012186D" w:rsidRPr="00C06273">
        <w:rPr>
          <w:rFonts w:ascii="Times New Roman" w:hAnsi="Times New Roman" w:cs="Times New Roman"/>
          <w:sz w:val="32"/>
          <w:szCs w:val="32"/>
        </w:rPr>
        <w:lastRenderedPageBreak/>
        <w:t>applicare la legge nazionale contrastante e a dare applicazione alla norma dell’Unione (con l’unico limite dei c.d.</w:t>
      </w:r>
      <w:r w:rsidR="00EE3F08">
        <w:rPr>
          <w:rFonts w:ascii="Times New Roman" w:hAnsi="Times New Roman" w:cs="Times New Roman"/>
          <w:sz w:val="32"/>
          <w:szCs w:val="32"/>
        </w:rPr>
        <w:t xml:space="preserve"> contro-limiti, costituito da</w:t>
      </w:r>
      <w:r w:rsidR="00EE3F08" w:rsidRPr="00EE3F08">
        <w:rPr>
          <w:rFonts w:ascii="Times New Roman" w:hAnsi="Times New Roman" w:cs="Times New Roman"/>
          <w:sz w:val="32"/>
          <w:szCs w:val="32"/>
        </w:rPr>
        <w:t>l rispetto dei principi fondamentali dell’ordinamento costituzionale e dei diritti inalienabili della persona</w:t>
      </w:r>
      <w:r w:rsidR="0012186D" w:rsidRPr="00C06273">
        <w:rPr>
          <w:rFonts w:ascii="Times New Roman" w:hAnsi="Times New Roman" w:cs="Times New Roman"/>
          <w:sz w:val="32"/>
          <w:szCs w:val="32"/>
        </w:rPr>
        <w:t>).</w:t>
      </w:r>
      <w:r>
        <w:rPr>
          <w:rFonts w:ascii="Times New Roman" w:hAnsi="Times New Roman" w:cs="Times New Roman"/>
          <w:sz w:val="32"/>
          <w:szCs w:val="32"/>
        </w:rPr>
        <w:t xml:space="preserve"> </w:t>
      </w:r>
      <w:r w:rsidR="0012186D" w:rsidRPr="00C06273">
        <w:rPr>
          <w:rFonts w:ascii="Times New Roman" w:hAnsi="Times New Roman" w:cs="Times New Roman"/>
          <w:sz w:val="32"/>
          <w:szCs w:val="32"/>
        </w:rPr>
        <w:t xml:space="preserve">Con richiamo all’art. 11 </w:t>
      </w:r>
      <w:proofErr w:type="spellStart"/>
      <w:proofErr w:type="gramStart"/>
      <w:r w:rsidR="0012186D" w:rsidRPr="00C06273">
        <w:rPr>
          <w:rFonts w:ascii="Times New Roman" w:hAnsi="Times New Roman" w:cs="Times New Roman"/>
          <w:sz w:val="32"/>
          <w:szCs w:val="32"/>
        </w:rPr>
        <w:t>Cost</w:t>
      </w:r>
      <w:proofErr w:type="spellEnd"/>
      <w:r w:rsidR="0012186D" w:rsidRPr="00C06273">
        <w:rPr>
          <w:rFonts w:ascii="Times New Roman" w:hAnsi="Times New Roman" w:cs="Times New Roman"/>
          <w:sz w:val="32"/>
          <w:szCs w:val="32"/>
        </w:rPr>
        <w:t>.,</w:t>
      </w:r>
      <w:proofErr w:type="gramEnd"/>
      <w:r w:rsidR="0012186D" w:rsidRPr="00C06273">
        <w:rPr>
          <w:rFonts w:ascii="Times New Roman" w:hAnsi="Times New Roman" w:cs="Times New Roman"/>
          <w:sz w:val="32"/>
          <w:szCs w:val="32"/>
        </w:rPr>
        <w:t xml:space="preserve"> la Corte costituzionale ha affermato la preminenza del diritto dell’Unione e il potere-dovere dei giudici nazionali di dare immediata applicazione alle norme dell’Unione direttamente applicabili, in luogo delle norme nazionali che siano con esse in contrasto insanabile in via interpretativa, oppure di sollevare questione di legittimità costituzionale per violazione dell’art. 11 </w:t>
      </w:r>
      <w:proofErr w:type="spellStart"/>
      <w:r w:rsidR="0012186D" w:rsidRPr="00C06273">
        <w:rPr>
          <w:rFonts w:ascii="Times New Roman" w:hAnsi="Times New Roman" w:cs="Times New Roman"/>
          <w:sz w:val="32"/>
          <w:szCs w:val="32"/>
        </w:rPr>
        <w:t>Cost</w:t>
      </w:r>
      <w:proofErr w:type="spellEnd"/>
      <w:r w:rsidR="0012186D" w:rsidRPr="00C06273">
        <w:rPr>
          <w:rFonts w:ascii="Times New Roman" w:hAnsi="Times New Roman" w:cs="Times New Roman"/>
          <w:sz w:val="32"/>
          <w:szCs w:val="32"/>
        </w:rPr>
        <w:t>., quando il contrasto è con norme prive di effetto diretto</w:t>
      </w:r>
      <w:r>
        <w:rPr>
          <w:rFonts w:ascii="Times New Roman" w:hAnsi="Times New Roman" w:cs="Times New Roman"/>
          <w:sz w:val="32"/>
          <w:szCs w:val="32"/>
        </w:rPr>
        <w:t xml:space="preserve">. </w:t>
      </w:r>
    </w:p>
    <w:p w:rsidR="001240AF" w:rsidRDefault="00A70240" w:rsidP="00F34777">
      <w:pPr>
        <w:jc w:val="both"/>
        <w:rPr>
          <w:rFonts w:ascii="Times New Roman" w:hAnsi="Times New Roman" w:cs="Times New Roman"/>
          <w:sz w:val="32"/>
          <w:szCs w:val="32"/>
        </w:rPr>
      </w:pPr>
      <w:r>
        <w:rPr>
          <w:rFonts w:ascii="Times New Roman" w:hAnsi="Times New Roman" w:cs="Times New Roman"/>
          <w:sz w:val="32"/>
          <w:szCs w:val="32"/>
        </w:rPr>
        <w:t>Essendo</w:t>
      </w:r>
      <w:r w:rsidR="0012186D" w:rsidRPr="00C06273">
        <w:rPr>
          <w:rFonts w:ascii="Times New Roman" w:hAnsi="Times New Roman" w:cs="Times New Roman"/>
          <w:sz w:val="32"/>
          <w:szCs w:val="32"/>
        </w:rPr>
        <w:t xml:space="preserve"> la norma </w:t>
      </w:r>
      <w:r>
        <w:rPr>
          <w:rFonts w:ascii="Times New Roman" w:hAnsi="Times New Roman" w:cs="Times New Roman"/>
          <w:sz w:val="32"/>
          <w:szCs w:val="32"/>
        </w:rPr>
        <w:t>priva</w:t>
      </w:r>
      <w:r w:rsidR="0012186D" w:rsidRPr="00C06273">
        <w:rPr>
          <w:rFonts w:ascii="Times New Roman" w:hAnsi="Times New Roman" w:cs="Times New Roman"/>
          <w:sz w:val="32"/>
          <w:szCs w:val="32"/>
        </w:rPr>
        <w:t xml:space="preserve"> </w:t>
      </w:r>
      <w:proofErr w:type="spellStart"/>
      <w:r w:rsidR="0012186D" w:rsidRPr="00C06273">
        <w:rPr>
          <w:rFonts w:ascii="Times New Roman" w:hAnsi="Times New Roman" w:cs="Times New Roman"/>
          <w:sz w:val="32"/>
          <w:szCs w:val="32"/>
        </w:rPr>
        <w:t>priva</w:t>
      </w:r>
      <w:proofErr w:type="spellEnd"/>
      <w:r w:rsidR="0012186D" w:rsidRPr="00C06273">
        <w:rPr>
          <w:rFonts w:ascii="Times New Roman" w:hAnsi="Times New Roman" w:cs="Times New Roman"/>
          <w:sz w:val="32"/>
          <w:szCs w:val="32"/>
        </w:rPr>
        <w:t xml:space="preserve"> di effetto diretto </w:t>
      </w:r>
      <w:r w:rsidR="00EE3F08">
        <w:rPr>
          <w:rFonts w:ascii="Times New Roman" w:hAnsi="Times New Roman" w:cs="Times New Roman"/>
          <w:sz w:val="32"/>
          <w:szCs w:val="32"/>
        </w:rPr>
        <w:t>(norma non auto-esecutiva o nor</w:t>
      </w:r>
      <w:r>
        <w:rPr>
          <w:rFonts w:ascii="Times New Roman" w:hAnsi="Times New Roman" w:cs="Times New Roman"/>
          <w:sz w:val="32"/>
          <w:szCs w:val="32"/>
        </w:rPr>
        <w:t xml:space="preserve">ma-principio o norma-obiettivo) </w:t>
      </w:r>
      <w:r w:rsidR="0012186D" w:rsidRPr="00C06273">
        <w:rPr>
          <w:rFonts w:ascii="Times New Roman" w:hAnsi="Times New Roman" w:cs="Times New Roman"/>
          <w:sz w:val="32"/>
          <w:szCs w:val="32"/>
        </w:rPr>
        <w:t>insuscettibile di applicazione diretta da parte del giudice nazionale, riprende vigore la regola generale di cui a</w:t>
      </w:r>
      <w:r w:rsidR="00C06273">
        <w:rPr>
          <w:rFonts w:ascii="Times New Roman" w:hAnsi="Times New Roman" w:cs="Times New Roman"/>
          <w:sz w:val="32"/>
          <w:szCs w:val="32"/>
        </w:rPr>
        <w:t xml:space="preserve">gli </w:t>
      </w:r>
      <w:r w:rsidR="0012186D" w:rsidRPr="00C06273">
        <w:rPr>
          <w:rFonts w:ascii="Times New Roman" w:hAnsi="Times New Roman" w:cs="Times New Roman"/>
          <w:sz w:val="32"/>
          <w:szCs w:val="32"/>
        </w:rPr>
        <w:t>art</w:t>
      </w:r>
      <w:r w:rsidR="00C06273">
        <w:rPr>
          <w:rFonts w:ascii="Times New Roman" w:hAnsi="Times New Roman" w:cs="Times New Roman"/>
          <w:sz w:val="32"/>
          <w:szCs w:val="32"/>
        </w:rPr>
        <w:t>t</w:t>
      </w:r>
      <w:r w:rsidR="0012186D" w:rsidRPr="00C06273">
        <w:rPr>
          <w:rFonts w:ascii="Times New Roman" w:hAnsi="Times New Roman" w:cs="Times New Roman"/>
          <w:sz w:val="32"/>
          <w:szCs w:val="32"/>
        </w:rPr>
        <w:t>. 13</w:t>
      </w:r>
      <w:r w:rsidR="00C06273">
        <w:rPr>
          <w:rFonts w:ascii="Times New Roman" w:hAnsi="Times New Roman" w:cs="Times New Roman"/>
          <w:sz w:val="32"/>
          <w:szCs w:val="32"/>
        </w:rPr>
        <w:t>4 ss.</w:t>
      </w:r>
      <w:r w:rsidR="0012186D" w:rsidRPr="00C06273">
        <w:rPr>
          <w:rFonts w:ascii="Times New Roman" w:hAnsi="Times New Roman" w:cs="Times New Roman"/>
          <w:sz w:val="32"/>
          <w:szCs w:val="32"/>
        </w:rPr>
        <w:t xml:space="preserve"> </w:t>
      </w:r>
      <w:proofErr w:type="spellStart"/>
      <w:proofErr w:type="gramStart"/>
      <w:r w:rsidR="0012186D" w:rsidRPr="00C06273">
        <w:rPr>
          <w:rFonts w:ascii="Times New Roman" w:hAnsi="Times New Roman" w:cs="Times New Roman"/>
          <w:sz w:val="32"/>
          <w:szCs w:val="32"/>
        </w:rPr>
        <w:t>Cost</w:t>
      </w:r>
      <w:proofErr w:type="spellEnd"/>
      <w:r w:rsidR="0012186D" w:rsidRPr="00C06273">
        <w:rPr>
          <w:rFonts w:ascii="Times New Roman" w:hAnsi="Times New Roman" w:cs="Times New Roman"/>
          <w:sz w:val="32"/>
          <w:szCs w:val="32"/>
        </w:rPr>
        <w:t>.</w:t>
      </w:r>
      <w:r w:rsidR="00EE3F08">
        <w:rPr>
          <w:rFonts w:ascii="Times New Roman" w:hAnsi="Times New Roman" w:cs="Times New Roman"/>
          <w:sz w:val="32"/>
          <w:szCs w:val="32"/>
        </w:rPr>
        <w:t>,</w:t>
      </w:r>
      <w:proofErr w:type="gramEnd"/>
      <w:r w:rsidR="0012186D" w:rsidRPr="00C06273">
        <w:rPr>
          <w:rFonts w:ascii="Times New Roman" w:hAnsi="Times New Roman" w:cs="Times New Roman"/>
          <w:sz w:val="32"/>
          <w:szCs w:val="32"/>
        </w:rPr>
        <w:t xml:space="preserve"> per cui la norma </w:t>
      </w:r>
      <w:r w:rsidR="00931BB7">
        <w:rPr>
          <w:rFonts w:ascii="Times New Roman" w:hAnsi="Times New Roman" w:cs="Times New Roman"/>
          <w:sz w:val="32"/>
          <w:szCs w:val="32"/>
        </w:rPr>
        <w:t>interna</w:t>
      </w:r>
      <w:r w:rsidR="0012186D" w:rsidRPr="00C06273">
        <w:rPr>
          <w:rFonts w:ascii="Times New Roman" w:hAnsi="Times New Roman" w:cs="Times New Roman"/>
          <w:sz w:val="32"/>
          <w:szCs w:val="32"/>
        </w:rPr>
        <w:t xml:space="preserve">, illegittima per contrasto con l’art. 11 </w:t>
      </w:r>
      <w:proofErr w:type="spellStart"/>
      <w:r w:rsidR="0012186D" w:rsidRPr="00C06273">
        <w:rPr>
          <w:rFonts w:ascii="Times New Roman" w:hAnsi="Times New Roman" w:cs="Times New Roman"/>
          <w:sz w:val="32"/>
          <w:szCs w:val="32"/>
        </w:rPr>
        <w:t>Cost</w:t>
      </w:r>
      <w:proofErr w:type="spellEnd"/>
      <w:r w:rsidR="0012186D" w:rsidRPr="00C06273">
        <w:rPr>
          <w:rFonts w:ascii="Times New Roman" w:hAnsi="Times New Roman" w:cs="Times New Roman"/>
          <w:sz w:val="32"/>
          <w:szCs w:val="32"/>
        </w:rPr>
        <w:t xml:space="preserve">. </w:t>
      </w:r>
      <w:proofErr w:type="gramStart"/>
      <w:r w:rsidR="0012186D" w:rsidRPr="00C06273">
        <w:rPr>
          <w:rFonts w:ascii="Times New Roman" w:hAnsi="Times New Roman" w:cs="Times New Roman"/>
          <w:sz w:val="32"/>
          <w:szCs w:val="32"/>
        </w:rPr>
        <w:t>e</w:t>
      </w:r>
      <w:proofErr w:type="gramEnd"/>
      <w:r w:rsidR="0012186D" w:rsidRPr="00C06273">
        <w:rPr>
          <w:rFonts w:ascii="Times New Roman" w:hAnsi="Times New Roman" w:cs="Times New Roman"/>
          <w:sz w:val="32"/>
          <w:szCs w:val="32"/>
        </w:rPr>
        <w:t xml:space="preserve"> con la norma interposta europea, deve essere sottoposta al sindacato accentrato della Corte costituzionale.</w:t>
      </w:r>
      <w:r w:rsidR="00EE3F08">
        <w:rPr>
          <w:rStyle w:val="Rimandonotaapidipagina"/>
          <w:rFonts w:ascii="Times New Roman" w:hAnsi="Times New Roman" w:cs="Times New Roman"/>
          <w:sz w:val="32"/>
          <w:szCs w:val="32"/>
        </w:rPr>
        <w:footnoteReference w:id="23"/>
      </w:r>
      <w:r w:rsidR="00C74048" w:rsidRPr="00C74048">
        <w:rPr>
          <w:rFonts w:ascii="Times New Roman" w:hAnsi="Times New Roman" w:cs="Times New Roman"/>
          <w:sz w:val="32"/>
          <w:szCs w:val="32"/>
        </w:rPr>
        <w:t xml:space="preserve"> </w:t>
      </w:r>
      <w:r w:rsidR="00931BB7">
        <w:rPr>
          <w:rFonts w:ascii="Times New Roman" w:hAnsi="Times New Roman" w:cs="Times New Roman"/>
          <w:sz w:val="32"/>
          <w:szCs w:val="32"/>
        </w:rPr>
        <w:t>In questi casi</w:t>
      </w:r>
      <w:r w:rsidR="001240AF">
        <w:rPr>
          <w:rFonts w:ascii="Times New Roman" w:hAnsi="Times New Roman" w:cs="Times New Roman"/>
          <w:sz w:val="32"/>
          <w:szCs w:val="32"/>
        </w:rPr>
        <w:t xml:space="preserve"> il giudice nazionale</w:t>
      </w:r>
      <w:r w:rsidR="00931BB7">
        <w:rPr>
          <w:rFonts w:ascii="Times New Roman" w:hAnsi="Times New Roman" w:cs="Times New Roman"/>
          <w:sz w:val="32"/>
          <w:szCs w:val="32"/>
        </w:rPr>
        <w:t>,</w:t>
      </w:r>
      <w:r w:rsidR="001240AF">
        <w:rPr>
          <w:rFonts w:ascii="Times New Roman" w:hAnsi="Times New Roman" w:cs="Times New Roman"/>
          <w:sz w:val="32"/>
          <w:szCs w:val="32"/>
        </w:rPr>
        <w:t xml:space="preserve"> assoggettato alla legge </w:t>
      </w:r>
      <w:r w:rsidR="001240AF" w:rsidRPr="00487677">
        <w:rPr>
          <w:rFonts w:ascii="Times New Roman" w:hAnsi="Times New Roman" w:cs="Times New Roman"/>
          <w:i/>
          <w:sz w:val="32"/>
          <w:szCs w:val="32"/>
        </w:rPr>
        <w:t>ex</w:t>
      </w:r>
      <w:r w:rsidR="00487677">
        <w:rPr>
          <w:rFonts w:ascii="Times New Roman" w:hAnsi="Times New Roman" w:cs="Times New Roman"/>
          <w:sz w:val="32"/>
          <w:szCs w:val="32"/>
        </w:rPr>
        <w:t xml:space="preserve"> art. 101, comma 2, </w:t>
      </w:r>
      <w:proofErr w:type="spellStart"/>
      <w:proofErr w:type="gramStart"/>
      <w:r w:rsidR="00487677">
        <w:rPr>
          <w:rFonts w:ascii="Times New Roman" w:hAnsi="Times New Roman" w:cs="Times New Roman"/>
          <w:sz w:val="32"/>
          <w:szCs w:val="32"/>
        </w:rPr>
        <w:t>C</w:t>
      </w:r>
      <w:r w:rsidR="001240AF">
        <w:rPr>
          <w:rFonts w:ascii="Times New Roman" w:hAnsi="Times New Roman" w:cs="Times New Roman"/>
          <w:sz w:val="32"/>
          <w:szCs w:val="32"/>
        </w:rPr>
        <w:t>ost</w:t>
      </w:r>
      <w:proofErr w:type="spellEnd"/>
      <w:r w:rsidR="001240AF">
        <w:rPr>
          <w:rFonts w:ascii="Times New Roman" w:hAnsi="Times New Roman" w:cs="Times New Roman"/>
          <w:sz w:val="32"/>
          <w:szCs w:val="32"/>
        </w:rPr>
        <w:t>.,</w:t>
      </w:r>
      <w:proofErr w:type="gramEnd"/>
      <w:r w:rsidR="001240AF">
        <w:rPr>
          <w:rFonts w:ascii="Times New Roman" w:hAnsi="Times New Roman" w:cs="Times New Roman"/>
          <w:sz w:val="32"/>
          <w:szCs w:val="32"/>
        </w:rPr>
        <w:t xml:space="preserve"> </w:t>
      </w:r>
      <w:r w:rsidR="00931BB7">
        <w:rPr>
          <w:rFonts w:ascii="Times New Roman" w:hAnsi="Times New Roman" w:cs="Times New Roman"/>
          <w:sz w:val="32"/>
          <w:szCs w:val="32"/>
        </w:rPr>
        <w:t xml:space="preserve">è tenuto ad applicare – fino alla sua eventuale declaratoria di illegittimità costituzionale – </w:t>
      </w:r>
      <w:r w:rsidR="00E71DC0">
        <w:rPr>
          <w:rFonts w:ascii="Times New Roman" w:hAnsi="Times New Roman" w:cs="Times New Roman"/>
          <w:sz w:val="32"/>
          <w:szCs w:val="32"/>
        </w:rPr>
        <w:t xml:space="preserve">la norma </w:t>
      </w:r>
      <w:r w:rsidR="00931BB7">
        <w:rPr>
          <w:rFonts w:ascii="Times New Roman" w:hAnsi="Times New Roman" w:cs="Times New Roman"/>
          <w:sz w:val="32"/>
          <w:szCs w:val="32"/>
        </w:rPr>
        <w:t xml:space="preserve">interna disciplinante </w:t>
      </w:r>
      <w:r w:rsidR="00E71DC0">
        <w:rPr>
          <w:rFonts w:ascii="Times New Roman" w:hAnsi="Times New Roman" w:cs="Times New Roman"/>
          <w:sz w:val="32"/>
          <w:szCs w:val="32"/>
        </w:rPr>
        <w:t>l</w:t>
      </w:r>
      <w:r w:rsidR="00931BB7">
        <w:rPr>
          <w:rFonts w:ascii="Times New Roman" w:hAnsi="Times New Roman" w:cs="Times New Roman"/>
          <w:sz w:val="32"/>
          <w:szCs w:val="32"/>
        </w:rPr>
        <w:t>a</w:t>
      </w:r>
      <w:r w:rsidR="00E71DC0">
        <w:rPr>
          <w:rFonts w:ascii="Times New Roman" w:hAnsi="Times New Roman" w:cs="Times New Roman"/>
          <w:sz w:val="32"/>
          <w:szCs w:val="32"/>
        </w:rPr>
        <w:t xml:space="preserve"> fattispecie </w:t>
      </w:r>
      <w:r w:rsidR="00931BB7">
        <w:rPr>
          <w:rFonts w:ascii="Times New Roman" w:hAnsi="Times New Roman" w:cs="Times New Roman"/>
          <w:sz w:val="32"/>
          <w:szCs w:val="32"/>
        </w:rPr>
        <w:t>dedotta in giudizio</w:t>
      </w:r>
      <w:r w:rsidR="00487677">
        <w:rPr>
          <w:rFonts w:ascii="Times New Roman" w:hAnsi="Times New Roman" w:cs="Times New Roman"/>
          <w:sz w:val="32"/>
          <w:szCs w:val="32"/>
        </w:rPr>
        <w:t>. Il sindacato sul contrasto con</w:t>
      </w:r>
      <w:r w:rsidR="00042D90">
        <w:rPr>
          <w:rFonts w:ascii="Times New Roman" w:hAnsi="Times New Roman" w:cs="Times New Roman"/>
          <w:sz w:val="32"/>
          <w:szCs w:val="32"/>
        </w:rPr>
        <w:t xml:space="preserve"> le norme in</w:t>
      </w:r>
      <w:r w:rsidR="00487677">
        <w:rPr>
          <w:rFonts w:ascii="Times New Roman" w:hAnsi="Times New Roman" w:cs="Times New Roman"/>
          <w:sz w:val="32"/>
          <w:szCs w:val="32"/>
        </w:rPr>
        <w:t xml:space="preserve">terposte </w:t>
      </w:r>
      <w:r w:rsidR="00E71DC0">
        <w:rPr>
          <w:rFonts w:ascii="Times New Roman" w:hAnsi="Times New Roman" w:cs="Times New Roman"/>
          <w:sz w:val="32"/>
          <w:szCs w:val="32"/>
        </w:rPr>
        <w:t>prive di</w:t>
      </w:r>
      <w:r w:rsidR="00487677">
        <w:rPr>
          <w:rFonts w:ascii="Times New Roman" w:hAnsi="Times New Roman" w:cs="Times New Roman"/>
          <w:sz w:val="32"/>
          <w:szCs w:val="32"/>
        </w:rPr>
        <w:t xml:space="preserve"> effetto diretto</w:t>
      </w:r>
      <w:r w:rsidR="00042D90">
        <w:rPr>
          <w:rFonts w:ascii="Times New Roman" w:hAnsi="Times New Roman" w:cs="Times New Roman"/>
          <w:sz w:val="32"/>
          <w:szCs w:val="32"/>
        </w:rPr>
        <w:t xml:space="preserve"> resta</w:t>
      </w:r>
      <w:r w:rsidR="00487677">
        <w:rPr>
          <w:rFonts w:ascii="Times New Roman" w:hAnsi="Times New Roman" w:cs="Times New Roman"/>
          <w:sz w:val="32"/>
          <w:szCs w:val="32"/>
        </w:rPr>
        <w:t>, quindi,</w:t>
      </w:r>
      <w:r w:rsidR="00042D90">
        <w:rPr>
          <w:rFonts w:ascii="Times New Roman" w:hAnsi="Times New Roman" w:cs="Times New Roman"/>
          <w:sz w:val="32"/>
          <w:szCs w:val="32"/>
        </w:rPr>
        <w:t xml:space="preserve"> </w:t>
      </w:r>
      <w:r w:rsidR="005577B0">
        <w:rPr>
          <w:rFonts w:ascii="Times New Roman" w:hAnsi="Times New Roman" w:cs="Times New Roman"/>
          <w:sz w:val="32"/>
          <w:szCs w:val="32"/>
        </w:rPr>
        <w:t>riservat</w:t>
      </w:r>
      <w:r>
        <w:rPr>
          <w:rFonts w:ascii="Times New Roman" w:hAnsi="Times New Roman" w:cs="Times New Roman"/>
          <w:sz w:val="32"/>
          <w:szCs w:val="32"/>
        </w:rPr>
        <w:t>o a</w:t>
      </w:r>
      <w:r w:rsidR="005577B0">
        <w:rPr>
          <w:rFonts w:ascii="Times New Roman" w:hAnsi="Times New Roman" w:cs="Times New Roman"/>
          <w:sz w:val="32"/>
          <w:szCs w:val="32"/>
        </w:rPr>
        <w:t xml:space="preserve">lla Corte </w:t>
      </w:r>
      <w:r>
        <w:rPr>
          <w:rFonts w:ascii="Times New Roman" w:hAnsi="Times New Roman" w:cs="Times New Roman"/>
          <w:sz w:val="32"/>
          <w:szCs w:val="32"/>
        </w:rPr>
        <w:t>costituzionale. Rimane, naturalmente, salvo il potere/dovere</w:t>
      </w:r>
      <w:r w:rsidR="00487677">
        <w:rPr>
          <w:rFonts w:ascii="Times New Roman" w:hAnsi="Times New Roman" w:cs="Times New Roman"/>
          <w:sz w:val="32"/>
          <w:szCs w:val="32"/>
        </w:rPr>
        <w:t xml:space="preserve">, </w:t>
      </w:r>
      <w:r w:rsidRPr="00A70240">
        <w:rPr>
          <w:rFonts w:ascii="Times New Roman" w:hAnsi="Times New Roman" w:cs="Times New Roman"/>
          <w:sz w:val="32"/>
          <w:szCs w:val="32"/>
        </w:rPr>
        <w:t xml:space="preserve">sia </w:t>
      </w:r>
      <w:r>
        <w:rPr>
          <w:rFonts w:ascii="Times New Roman" w:hAnsi="Times New Roman" w:cs="Times New Roman"/>
          <w:sz w:val="32"/>
          <w:szCs w:val="32"/>
        </w:rPr>
        <w:t>in capo a</w:t>
      </w:r>
      <w:r w:rsidRPr="00A70240">
        <w:rPr>
          <w:rFonts w:ascii="Times New Roman" w:hAnsi="Times New Roman" w:cs="Times New Roman"/>
          <w:sz w:val="32"/>
          <w:szCs w:val="32"/>
        </w:rPr>
        <w:t xml:space="preserve">lla Corte costituzionale sia </w:t>
      </w:r>
      <w:r>
        <w:rPr>
          <w:rFonts w:ascii="Times New Roman" w:hAnsi="Times New Roman" w:cs="Times New Roman"/>
          <w:sz w:val="32"/>
          <w:szCs w:val="32"/>
        </w:rPr>
        <w:t>in capo a</w:t>
      </w:r>
      <w:r w:rsidRPr="00A70240">
        <w:rPr>
          <w:rFonts w:ascii="Times New Roman" w:hAnsi="Times New Roman" w:cs="Times New Roman"/>
          <w:sz w:val="32"/>
          <w:szCs w:val="32"/>
        </w:rPr>
        <w:t>l giudice investito della controversia</w:t>
      </w:r>
      <w:r>
        <w:rPr>
          <w:rFonts w:ascii="Times New Roman" w:hAnsi="Times New Roman" w:cs="Times New Roman"/>
          <w:sz w:val="32"/>
          <w:szCs w:val="32"/>
        </w:rPr>
        <w:t xml:space="preserve">, </w:t>
      </w:r>
      <w:r w:rsidR="000B2E7D">
        <w:rPr>
          <w:rFonts w:ascii="Times New Roman" w:hAnsi="Times New Roman" w:cs="Times New Roman"/>
          <w:sz w:val="32"/>
          <w:szCs w:val="32"/>
        </w:rPr>
        <w:t xml:space="preserve">di </w:t>
      </w:r>
      <w:r w:rsidR="00487677">
        <w:rPr>
          <w:rFonts w:ascii="Times New Roman" w:hAnsi="Times New Roman" w:cs="Times New Roman"/>
          <w:sz w:val="32"/>
          <w:szCs w:val="32"/>
        </w:rPr>
        <w:t>rime</w:t>
      </w:r>
      <w:r w:rsidR="000B2E7D">
        <w:rPr>
          <w:rFonts w:ascii="Times New Roman" w:hAnsi="Times New Roman" w:cs="Times New Roman"/>
          <w:sz w:val="32"/>
          <w:szCs w:val="32"/>
        </w:rPr>
        <w:t xml:space="preserve">ttere la questione di interpretazione del diritto europeo </w:t>
      </w:r>
      <w:r w:rsidRPr="00A70240">
        <w:rPr>
          <w:rFonts w:ascii="Times New Roman" w:hAnsi="Times New Roman" w:cs="Times New Roman"/>
          <w:sz w:val="32"/>
          <w:szCs w:val="32"/>
        </w:rPr>
        <w:t xml:space="preserve">alla Corte di </w:t>
      </w:r>
      <w:r>
        <w:rPr>
          <w:rFonts w:ascii="Times New Roman" w:hAnsi="Times New Roman" w:cs="Times New Roman"/>
          <w:sz w:val="32"/>
          <w:szCs w:val="32"/>
        </w:rPr>
        <w:t xml:space="preserve">giustizia </w:t>
      </w:r>
      <w:r w:rsidR="000B2E7D">
        <w:rPr>
          <w:rFonts w:ascii="Times New Roman" w:hAnsi="Times New Roman" w:cs="Times New Roman"/>
          <w:sz w:val="32"/>
          <w:szCs w:val="32"/>
        </w:rPr>
        <w:t>(anche sotto il profilo</w:t>
      </w:r>
      <w:r>
        <w:rPr>
          <w:rFonts w:ascii="Times New Roman" w:hAnsi="Times New Roman" w:cs="Times New Roman"/>
          <w:sz w:val="32"/>
          <w:szCs w:val="32"/>
        </w:rPr>
        <w:t>,</w:t>
      </w:r>
      <w:r w:rsidR="000B2E7D">
        <w:rPr>
          <w:rFonts w:ascii="Times New Roman" w:hAnsi="Times New Roman" w:cs="Times New Roman"/>
          <w:sz w:val="32"/>
          <w:szCs w:val="32"/>
        </w:rPr>
        <w:t xml:space="preserve"> </w:t>
      </w:r>
      <w:r>
        <w:rPr>
          <w:rFonts w:ascii="Times New Roman" w:hAnsi="Times New Roman" w:cs="Times New Roman"/>
          <w:sz w:val="32"/>
          <w:szCs w:val="32"/>
        </w:rPr>
        <w:t>s</w:t>
      </w:r>
      <w:r w:rsidR="000B2E7D">
        <w:rPr>
          <w:rFonts w:ascii="Times New Roman" w:hAnsi="Times New Roman" w:cs="Times New Roman"/>
          <w:sz w:val="32"/>
          <w:szCs w:val="32"/>
        </w:rPr>
        <w:t>e la relativa norma possa qualificarsi ad effetto diretto, o meno)</w:t>
      </w:r>
      <w:r w:rsidR="005577B0">
        <w:rPr>
          <w:rFonts w:ascii="Times New Roman" w:hAnsi="Times New Roman" w:cs="Times New Roman"/>
          <w:sz w:val="32"/>
          <w:szCs w:val="32"/>
        </w:rPr>
        <w:t>.</w:t>
      </w:r>
      <w:r w:rsidR="000B2E7D">
        <w:rPr>
          <w:rStyle w:val="Rimandonotaapidipagina"/>
          <w:rFonts w:ascii="Times New Roman" w:hAnsi="Times New Roman" w:cs="Times New Roman"/>
          <w:sz w:val="32"/>
          <w:szCs w:val="32"/>
        </w:rPr>
        <w:footnoteReference w:id="24"/>
      </w:r>
      <w:r w:rsidR="005577B0">
        <w:rPr>
          <w:rFonts w:ascii="Times New Roman" w:hAnsi="Times New Roman" w:cs="Times New Roman"/>
          <w:sz w:val="32"/>
          <w:szCs w:val="32"/>
        </w:rPr>
        <w:t xml:space="preserve"> </w:t>
      </w:r>
    </w:p>
    <w:p w:rsidR="00C06273" w:rsidRDefault="00C06273" w:rsidP="00F34777">
      <w:pPr>
        <w:jc w:val="both"/>
        <w:rPr>
          <w:rFonts w:ascii="Times New Roman" w:hAnsi="Times New Roman" w:cs="Times New Roman"/>
          <w:sz w:val="32"/>
          <w:szCs w:val="32"/>
        </w:rPr>
      </w:pPr>
      <w:r w:rsidRPr="00C06273">
        <w:rPr>
          <w:rFonts w:ascii="Times New Roman" w:hAnsi="Times New Roman" w:cs="Times New Roman"/>
          <w:sz w:val="32"/>
          <w:szCs w:val="32"/>
        </w:rPr>
        <w:lastRenderedPageBreak/>
        <w:t xml:space="preserve">Secondo la Corte costituzionale, l’art. 117, comma 1, </w:t>
      </w:r>
      <w:proofErr w:type="spellStart"/>
      <w:r w:rsidRPr="00C06273">
        <w:rPr>
          <w:rFonts w:ascii="Times New Roman" w:hAnsi="Times New Roman" w:cs="Times New Roman"/>
          <w:sz w:val="32"/>
          <w:szCs w:val="32"/>
        </w:rPr>
        <w:t>Cost</w:t>
      </w:r>
      <w:proofErr w:type="spellEnd"/>
      <w:r w:rsidRPr="00C06273">
        <w:rPr>
          <w:rFonts w:ascii="Times New Roman" w:hAnsi="Times New Roman" w:cs="Times New Roman"/>
          <w:sz w:val="32"/>
          <w:szCs w:val="32"/>
        </w:rPr>
        <w:t xml:space="preserve">. </w:t>
      </w:r>
      <w:proofErr w:type="gramStart"/>
      <w:r w:rsidRPr="00C06273">
        <w:rPr>
          <w:rFonts w:ascii="Times New Roman" w:hAnsi="Times New Roman" w:cs="Times New Roman"/>
          <w:sz w:val="32"/>
          <w:szCs w:val="32"/>
        </w:rPr>
        <w:t>ha</w:t>
      </w:r>
      <w:proofErr w:type="gramEnd"/>
      <w:r w:rsidRPr="00C06273">
        <w:rPr>
          <w:rFonts w:ascii="Times New Roman" w:hAnsi="Times New Roman" w:cs="Times New Roman"/>
          <w:sz w:val="32"/>
          <w:szCs w:val="32"/>
        </w:rPr>
        <w:t xml:space="preserve"> confermato l’obbligo, già stabilito dall’art. 11 </w:t>
      </w:r>
      <w:proofErr w:type="spellStart"/>
      <w:r w:rsidRPr="00C06273">
        <w:rPr>
          <w:rFonts w:ascii="Times New Roman" w:hAnsi="Times New Roman" w:cs="Times New Roman"/>
          <w:sz w:val="32"/>
          <w:szCs w:val="32"/>
        </w:rPr>
        <w:t>Cost</w:t>
      </w:r>
      <w:proofErr w:type="spellEnd"/>
      <w:r w:rsidRPr="00C06273">
        <w:rPr>
          <w:rFonts w:ascii="Times New Roman" w:hAnsi="Times New Roman" w:cs="Times New Roman"/>
          <w:sz w:val="32"/>
          <w:szCs w:val="32"/>
        </w:rPr>
        <w:t xml:space="preserve">., del legislatore statale e regionale di rispettare i vincoli derivanti dall’ordinamento dell’Unione europea, sicché l’art. 117, comma 1, </w:t>
      </w:r>
      <w:proofErr w:type="spellStart"/>
      <w:r w:rsidRPr="00C06273">
        <w:rPr>
          <w:rFonts w:ascii="Times New Roman" w:hAnsi="Times New Roman" w:cs="Times New Roman"/>
          <w:sz w:val="32"/>
          <w:szCs w:val="32"/>
        </w:rPr>
        <w:t>Cost</w:t>
      </w:r>
      <w:proofErr w:type="spellEnd"/>
      <w:r w:rsidRPr="00C06273">
        <w:rPr>
          <w:rFonts w:ascii="Times New Roman" w:hAnsi="Times New Roman" w:cs="Times New Roman"/>
          <w:sz w:val="32"/>
          <w:szCs w:val="32"/>
        </w:rPr>
        <w:t xml:space="preserve">. </w:t>
      </w:r>
      <w:proofErr w:type="gramStart"/>
      <w:r w:rsidRPr="00C06273">
        <w:rPr>
          <w:rFonts w:ascii="Times New Roman" w:hAnsi="Times New Roman" w:cs="Times New Roman"/>
          <w:sz w:val="32"/>
          <w:szCs w:val="32"/>
        </w:rPr>
        <w:t>integra</w:t>
      </w:r>
      <w:proofErr w:type="gramEnd"/>
      <w:r w:rsidRPr="00C06273">
        <w:rPr>
          <w:rFonts w:ascii="Times New Roman" w:hAnsi="Times New Roman" w:cs="Times New Roman"/>
          <w:sz w:val="32"/>
          <w:szCs w:val="32"/>
        </w:rPr>
        <w:t xml:space="preserve"> l’art. 11 </w:t>
      </w:r>
      <w:proofErr w:type="spellStart"/>
      <w:r w:rsidRPr="00C06273">
        <w:rPr>
          <w:rFonts w:ascii="Times New Roman" w:hAnsi="Times New Roman" w:cs="Times New Roman"/>
          <w:sz w:val="32"/>
          <w:szCs w:val="32"/>
        </w:rPr>
        <w:t>Cost</w:t>
      </w:r>
      <w:proofErr w:type="spellEnd"/>
      <w:r w:rsidRPr="00C06273">
        <w:rPr>
          <w:rFonts w:ascii="Times New Roman" w:hAnsi="Times New Roman" w:cs="Times New Roman"/>
          <w:sz w:val="32"/>
          <w:szCs w:val="32"/>
        </w:rPr>
        <w:t xml:space="preserve">. </w:t>
      </w:r>
      <w:proofErr w:type="gramStart"/>
      <w:r w:rsidRPr="00C06273">
        <w:rPr>
          <w:rFonts w:ascii="Times New Roman" w:hAnsi="Times New Roman" w:cs="Times New Roman"/>
          <w:sz w:val="32"/>
          <w:szCs w:val="32"/>
        </w:rPr>
        <w:t>quale</w:t>
      </w:r>
      <w:proofErr w:type="gramEnd"/>
      <w:r w:rsidRPr="00C06273">
        <w:rPr>
          <w:rFonts w:ascii="Times New Roman" w:hAnsi="Times New Roman" w:cs="Times New Roman"/>
          <w:sz w:val="32"/>
          <w:szCs w:val="32"/>
        </w:rPr>
        <w:t xml:space="preserve"> parametro di legittimità di norme di legge nazionali incompatibili con norme dell’Unione prive di effetto diretto.</w:t>
      </w:r>
      <w:r>
        <w:rPr>
          <w:rStyle w:val="Rimandonotaapidipagina"/>
          <w:rFonts w:ascii="Times New Roman" w:hAnsi="Times New Roman" w:cs="Times New Roman"/>
          <w:sz w:val="32"/>
          <w:szCs w:val="32"/>
        </w:rPr>
        <w:footnoteReference w:id="25"/>
      </w:r>
      <w:r w:rsidR="00317C1D">
        <w:rPr>
          <w:rFonts w:ascii="Times New Roman" w:hAnsi="Times New Roman" w:cs="Times New Roman"/>
          <w:sz w:val="32"/>
          <w:szCs w:val="32"/>
        </w:rPr>
        <w:t xml:space="preserve"> </w:t>
      </w:r>
      <w:r w:rsidR="00317C1D">
        <w:rPr>
          <w:rStyle w:val="Rimandonotaapidipagina"/>
          <w:rFonts w:ascii="Times New Roman" w:hAnsi="Times New Roman" w:cs="Times New Roman"/>
          <w:sz w:val="32"/>
          <w:szCs w:val="32"/>
        </w:rPr>
        <w:footnoteReference w:id="26"/>
      </w:r>
    </w:p>
    <w:p w:rsidR="007A04A3" w:rsidRDefault="007A04A3" w:rsidP="00F34777">
      <w:pPr>
        <w:jc w:val="both"/>
        <w:rPr>
          <w:rFonts w:ascii="Times New Roman" w:hAnsi="Times New Roman" w:cs="Times New Roman"/>
          <w:sz w:val="32"/>
          <w:szCs w:val="32"/>
        </w:rPr>
      </w:pPr>
    </w:p>
    <w:p w:rsidR="003B54ED" w:rsidRPr="007A04A3" w:rsidRDefault="007A04A3" w:rsidP="00F34777">
      <w:pPr>
        <w:jc w:val="both"/>
        <w:rPr>
          <w:rFonts w:ascii="Times New Roman" w:hAnsi="Times New Roman" w:cs="Times New Roman"/>
          <w:b/>
          <w:sz w:val="32"/>
          <w:szCs w:val="32"/>
        </w:rPr>
      </w:pPr>
      <w:r w:rsidRPr="007A04A3">
        <w:rPr>
          <w:rFonts w:ascii="Times New Roman" w:hAnsi="Times New Roman" w:cs="Times New Roman"/>
          <w:b/>
          <w:sz w:val="32"/>
          <w:szCs w:val="32"/>
        </w:rPr>
        <w:t>3</w:t>
      </w:r>
      <w:r w:rsidR="00411CC6" w:rsidRPr="007A04A3">
        <w:rPr>
          <w:rFonts w:ascii="Times New Roman" w:hAnsi="Times New Roman" w:cs="Times New Roman"/>
          <w:b/>
          <w:sz w:val="32"/>
          <w:szCs w:val="32"/>
        </w:rPr>
        <w:t>. La lettura della sentenza della Corte Costituzionale n. 269/2017 alla luce della sentenza della Corte di giustizia 20 dicembre 2017 (nella causa C-322/16</w:t>
      </w:r>
      <w:r w:rsidR="00A12556">
        <w:rPr>
          <w:rFonts w:ascii="Times New Roman" w:hAnsi="Times New Roman" w:cs="Times New Roman"/>
          <w:b/>
          <w:sz w:val="32"/>
          <w:szCs w:val="32"/>
        </w:rPr>
        <w:t xml:space="preserve">, </w:t>
      </w:r>
      <w:r w:rsidR="00A12556" w:rsidRPr="00A12556">
        <w:rPr>
          <w:rFonts w:ascii="Times New Roman" w:hAnsi="Times New Roman" w:cs="Times New Roman"/>
          <w:b/>
          <w:i/>
          <w:sz w:val="32"/>
          <w:szCs w:val="32"/>
        </w:rPr>
        <w:t xml:space="preserve">Global </w:t>
      </w:r>
      <w:proofErr w:type="spellStart"/>
      <w:r w:rsidR="00A12556" w:rsidRPr="00A12556">
        <w:rPr>
          <w:rFonts w:ascii="Times New Roman" w:hAnsi="Times New Roman" w:cs="Times New Roman"/>
          <w:b/>
          <w:i/>
          <w:sz w:val="32"/>
          <w:szCs w:val="32"/>
        </w:rPr>
        <w:t>Starned</w:t>
      </w:r>
      <w:proofErr w:type="spellEnd"/>
      <w:r w:rsidR="00A12556" w:rsidRPr="00A12556">
        <w:rPr>
          <w:rFonts w:ascii="Times New Roman" w:hAnsi="Times New Roman" w:cs="Times New Roman"/>
          <w:b/>
          <w:i/>
          <w:sz w:val="32"/>
          <w:szCs w:val="32"/>
        </w:rPr>
        <w:t xml:space="preserve"> Ltd</w:t>
      </w:r>
      <w:r w:rsidR="00A12556">
        <w:rPr>
          <w:rFonts w:ascii="Times New Roman" w:hAnsi="Times New Roman" w:cs="Times New Roman"/>
          <w:b/>
          <w:sz w:val="32"/>
          <w:szCs w:val="32"/>
        </w:rPr>
        <w:t>).</w:t>
      </w:r>
      <w:r w:rsidR="00411CC6" w:rsidRPr="007A04A3">
        <w:rPr>
          <w:rFonts w:ascii="Times New Roman" w:hAnsi="Times New Roman" w:cs="Times New Roman"/>
          <w:b/>
          <w:sz w:val="32"/>
          <w:szCs w:val="32"/>
        </w:rPr>
        <w:t xml:space="preserve"> </w:t>
      </w:r>
    </w:p>
    <w:p w:rsidR="00D64979" w:rsidRDefault="007A04A3" w:rsidP="00F34777">
      <w:pPr>
        <w:jc w:val="both"/>
        <w:rPr>
          <w:rFonts w:ascii="Times New Roman" w:hAnsi="Times New Roman" w:cs="Times New Roman"/>
          <w:sz w:val="32"/>
          <w:szCs w:val="32"/>
        </w:rPr>
      </w:pPr>
      <w:r w:rsidRPr="00321AA1">
        <w:rPr>
          <w:rFonts w:ascii="Times New Roman" w:hAnsi="Times New Roman" w:cs="Times New Roman"/>
          <w:b/>
          <w:sz w:val="32"/>
          <w:szCs w:val="32"/>
        </w:rPr>
        <w:t>3</w:t>
      </w:r>
      <w:r w:rsidR="00181D24" w:rsidRPr="00321AA1">
        <w:rPr>
          <w:rFonts w:ascii="Times New Roman" w:hAnsi="Times New Roman" w:cs="Times New Roman"/>
          <w:b/>
          <w:sz w:val="32"/>
          <w:szCs w:val="32"/>
        </w:rPr>
        <w:t>.1.</w:t>
      </w:r>
      <w:r w:rsidR="00181D24">
        <w:rPr>
          <w:rFonts w:ascii="Times New Roman" w:hAnsi="Times New Roman" w:cs="Times New Roman"/>
          <w:sz w:val="32"/>
          <w:szCs w:val="32"/>
        </w:rPr>
        <w:t xml:space="preserve"> </w:t>
      </w:r>
      <w:r w:rsidR="00897E79">
        <w:rPr>
          <w:rFonts w:ascii="Times New Roman" w:hAnsi="Times New Roman" w:cs="Times New Roman"/>
          <w:sz w:val="32"/>
          <w:szCs w:val="32"/>
        </w:rPr>
        <w:t xml:space="preserve">Una </w:t>
      </w:r>
      <w:r w:rsidR="002D6191">
        <w:rPr>
          <w:rFonts w:ascii="Times New Roman" w:hAnsi="Times New Roman" w:cs="Times New Roman"/>
          <w:sz w:val="32"/>
          <w:szCs w:val="32"/>
        </w:rPr>
        <w:t xml:space="preserve">prima questione </w:t>
      </w:r>
      <w:r w:rsidR="007870B1">
        <w:rPr>
          <w:rFonts w:ascii="Times New Roman" w:hAnsi="Times New Roman" w:cs="Times New Roman"/>
          <w:sz w:val="32"/>
          <w:szCs w:val="32"/>
        </w:rPr>
        <w:t xml:space="preserve">sollevata in relazione alla sentenza n. 269/2017 della Corte costituzionale </w:t>
      </w:r>
      <w:r w:rsidR="00897E79">
        <w:rPr>
          <w:rFonts w:ascii="Times New Roman" w:hAnsi="Times New Roman" w:cs="Times New Roman"/>
          <w:sz w:val="32"/>
          <w:szCs w:val="32"/>
        </w:rPr>
        <w:t>invest</w:t>
      </w:r>
      <w:r w:rsidR="007870B1">
        <w:rPr>
          <w:rFonts w:ascii="Times New Roman" w:hAnsi="Times New Roman" w:cs="Times New Roman"/>
          <w:sz w:val="32"/>
          <w:szCs w:val="32"/>
        </w:rPr>
        <w:t xml:space="preserve">e l’ivi contenuta affermazione, per cui il potere/dovere del giudice nazionale ‘comune’ di adire la Corte di giustizia sussisterebbe solo in caso di contrasto tra norme interne e norme dell’Unione munite di effetto diretto, mentre, qualora vengano in rilievo norme europee </w:t>
      </w:r>
      <w:r w:rsidR="006C6738">
        <w:rPr>
          <w:rFonts w:ascii="Times New Roman" w:hAnsi="Times New Roman" w:cs="Times New Roman"/>
          <w:sz w:val="32"/>
          <w:szCs w:val="32"/>
        </w:rPr>
        <w:t xml:space="preserve">prive di effetto </w:t>
      </w:r>
      <w:r w:rsidR="007870B1">
        <w:rPr>
          <w:rFonts w:ascii="Times New Roman" w:hAnsi="Times New Roman" w:cs="Times New Roman"/>
          <w:sz w:val="32"/>
          <w:szCs w:val="32"/>
        </w:rPr>
        <w:t>dirett</w:t>
      </w:r>
      <w:r w:rsidR="006C6738">
        <w:rPr>
          <w:rFonts w:ascii="Times New Roman" w:hAnsi="Times New Roman" w:cs="Times New Roman"/>
          <w:sz w:val="32"/>
          <w:szCs w:val="32"/>
        </w:rPr>
        <w:t>o</w:t>
      </w:r>
      <w:r w:rsidR="007870B1">
        <w:rPr>
          <w:rFonts w:ascii="Times New Roman" w:hAnsi="Times New Roman" w:cs="Times New Roman"/>
          <w:sz w:val="32"/>
          <w:szCs w:val="32"/>
        </w:rPr>
        <w:t xml:space="preserve">, </w:t>
      </w:r>
      <w:r w:rsidR="00F95DA8">
        <w:rPr>
          <w:rFonts w:ascii="Times New Roman" w:hAnsi="Times New Roman" w:cs="Times New Roman"/>
          <w:sz w:val="32"/>
          <w:szCs w:val="32"/>
        </w:rPr>
        <w:t xml:space="preserve">in caso di impossibilità di un’interpretazione conforme </w:t>
      </w:r>
      <w:r w:rsidR="007870B1">
        <w:rPr>
          <w:rFonts w:ascii="Times New Roman" w:hAnsi="Times New Roman" w:cs="Times New Roman"/>
          <w:sz w:val="32"/>
          <w:szCs w:val="32"/>
        </w:rPr>
        <w:t xml:space="preserve">dovrebbe essere necessariamente </w:t>
      </w:r>
      <w:proofErr w:type="spellStart"/>
      <w:r w:rsidR="007870B1">
        <w:rPr>
          <w:rFonts w:ascii="Times New Roman" w:hAnsi="Times New Roman" w:cs="Times New Roman"/>
          <w:sz w:val="32"/>
          <w:szCs w:val="32"/>
        </w:rPr>
        <w:t>adìta</w:t>
      </w:r>
      <w:proofErr w:type="spellEnd"/>
      <w:r w:rsidR="007870B1">
        <w:rPr>
          <w:rFonts w:ascii="Times New Roman" w:hAnsi="Times New Roman" w:cs="Times New Roman"/>
          <w:sz w:val="32"/>
          <w:szCs w:val="32"/>
        </w:rPr>
        <w:t xml:space="preserve"> la Corte costituzionale, ai fini di un sindacato </w:t>
      </w:r>
      <w:r w:rsidR="006C6738">
        <w:rPr>
          <w:rFonts w:ascii="Times New Roman" w:hAnsi="Times New Roman" w:cs="Times New Roman"/>
          <w:sz w:val="32"/>
          <w:szCs w:val="32"/>
        </w:rPr>
        <w:t>accentrato di legittimità costituzionale con</w:t>
      </w:r>
      <w:r w:rsidR="007870B1">
        <w:rPr>
          <w:rFonts w:ascii="Times New Roman" w:hAnsi="Times New Roman" w:cs="Times New Roman"/>
          <w:sz w:val="32"/>
          <w:szCs w:val="32"/>
        </w:rPr>
        <w:t xml:space="preserve"> eventuale esito </w:t>
      </w:r>
      <w:proofErr w:type="spellStart"/>
      <w:r w:rsidR="007870B1">
        <w:rPr>
          <w:rFonts w:ascii="Times New Roman" w:hAnsi="Times New Roman" w:cs="Times New Roman"/>
          <w:sz w:val="32"/>
          <w:szCs w:val="32"/>
        </w:rPr>
        <w:t>annullatorio</w:t>
      </w:r>
      <w:proofErr w:type="spellEnd"/>
      <w:r w:rsidR="007870B1">
        <w:rPr>
          <w:rFonts w:ascii="Times New Roman" w:hAnsi="Times New Roman" w:cs="Times New Roman"/>
          <w:sz w:val="32"/>
          <w:szCs w:val="32"/>
        </w:rPr>
        <w:t xml:space="preserve">, per contrasto con gli artt. 11 e 117 </w:t>
      </w:r>
      <w:proofErr w:type="spellStart"/>
      <w:r w:rsidR="007870B1">
        <w:rPr>
          <w:rFonts w:ascii="Times New Roman" w:hAnsi="Times New Roman" w:cs="Times New Roman"/>
          <w:sz w:val="32"/>
          <w:szCs w:val="32"/>
        </w:rPr>
        <w:t>Cost</w:t>
      </w:r>
      <w:proofErr w:type="spellEnd"/>
      <w:r w:rsidR="007870B1">
        <w:rPr>
          <w:rFonts w:ascii="Times New Roman" w:hAnsi="Times New Roman" w:cs="Times New Roman"/>
          <w:sz w:val="32"/>
          <w:szCs w:val="32"/>
        </w:rPr>
        <w:t xml:space="preserve">. </w:t>
      </w:r>
      <w:proofErr w:type="gramStart"/>
      <w:r w:rsidR="007870B1">
        <w:rPr>
          <w:rFonts w:ascii="Times New Roman" w:hAnsi="Times New Roman" w:cs="Times New Roman"/>
          <w:sz w:val="32"/>
          <w:szCs w:val="32"/>
        </w:rPr>
        <w:t>e</w:t>
      </w:r>
      <w:proofErr w:type="gramEnd"/>
      <w:r w:rsidR="007870B1">
        <w:rPr>
          <w:rFonts w:ascii="Times New Roman" w:hAnsi="Times New Roman" w:cs="Times New Roman"/>
          <w:sz w:val="32"/>
          <w:szCs w:val="32"/>
        </w:rPr>
        <w:t xml:space="preserve"> con l</w:t>
      </w:r>
      <w:r w:rsidR="006C6738">
        <w:rPr>
          <w:rFonts w:ascii="Times New Roman" w:hAnsi="Times New Roman" w:cs="Times New Roman"/>
          <w:sz w:val="32"/>
          <w:szCs w:val="32"/>
        </w:rPr>
        <w:t>’</w:t>
      </w:r>
      <w:r w:rsidR="006C6738" w:rsidRPr="006C6738">
        <w:rPr>
          <w:rFonts w:ascii="Times New Roman" w:hAnsi="Times New Roman" w:cs="Times New Roman"/>
          <w:sz w:val="32"/>
          <w:szCs w:val="32"/>
        </w:rPr>
        <w:t>interposta</w:t>
      </w:r>
      <w:r w:rsidR="007870B1">
        <w:rPr>
          <w:rFonts w:ascii="Times New Roman" w:hAnsi="Times New Roman" w:cs="Times New Roman"/>
          <w:sz w:val="32"/>
          <w:szCs w:val="32"/>
        </w:rPr>
        <w:t xml:space="preserve"> norma europea.</w:t>
      </w:r>
      <w:r w:rsidR="00D64979">
        <w:rPr>
          <w:rFonts w:ascii="Times New Roman" w:hAnsi="Times New Roman" w:cs="Times New Roman"/>
          <w:sz w:val="32"/>
          <w:szCs w:val="32"/>
        </w:rPr>
        <w:t xml:space="preserve"> </w:t>
      </w:r>
    </w:p>
    <w:p w:rsidR="00411CC6" w:rsidRDefault="00D64979" w:rsidP="00F34777">
      <w:pPr>
        <w:jc w:val="both"/>
        <w:rPr>
          <w:rFonts w:ascii="Times New Roman" w:hAnsi="Times New Roman" w:cs="Times New Roman"/>
          <w:sz w:val="32"/>
          <w:szCs w:val="32"/>
        </w:rPr>
      </w:pPr>
      <w:r>
        <w:rPr>
          <w:rFonts w:ascii="Times New Roman" w:hAnsi="Times New Roman" w:cs="Times New Roman"/>
          <w:sz w:val="32"/>
          <w:szCs w:val="32"/>
        </w:rPr>
        <w:t xml:space="preserve">In particolare, sono state sollevate delle perplessità sotto il profilo di un possibile contrasto con il principio del primato del diritto dell’Unione e con la preservazione dell’efficacia e dell’effetto utile dello strumento processuale della pregiudiziale europea </w:t>
      </w:r>
      <w:r w:rsidRPr="00D64979">
        <w:rPr>
          <w:rFonts w:ascii="Times New Roman" w:hAnsi="Times New Roman" w:cs="Times New Roman"/>
          <w:i/>
          <w:sz w:val="32"/>
          <w:szCs w:val="32"/>
        </w:rPr>
        <w:t>ex</w:t>
      </w:r>
      <w:r>
        <w:rPr>
          <w:rFonts w:ascii="Times New Roman" w:hAnsi="Times New Roman" w:cs="Times New Roman"/>
          <w:sz w:val="32"/>
          <w:szCs w:val="32"/>
        </w:rPr>
        <w:t xml:space="preserve"> art. 267 TFUE.</w:t>
      </w:r>
      <w:r w:rsidR="007870B1">
        <w:rPr>
          <w:rStyle w:val="Rimandonotaapidipagina"/>
          <w:rFonts w:ascii="Times New Roman" w:hAnsi="Times New Roman" w:cs="Times New Roman"/>
          <w:sz w:val="32"/>
          <w:szCs w:val="32"/>
        </w:rPr>
        <w:footnoteReference w:id="27"/>
      </w:r>
    </w:p>
    <w:p w:rsidR="00D64979" w:rsidRDefault="00D64979" w:rsidP="00F34777">
      <w:pPr>
        <w:jc w:val="both"/>
        <w:rPr>
          <w:rFonts w:ascii="Times New Roman" w:hAnsi="Times New Roman" w:cs="Times New Roman"/>
          <w:sz w:val="32"/>
          <w:szCs w:val="32"/>
        </w:rPr>
      </w:pPr>
      <w:r>
        <w:rPr>
          <w:rFonts w:ascii="Times New Roman" w:hAnsi="Times New Roman" w:cs="Times New Roman"/>
          <w:sz w:val="32"/>
          <w:szCs w:val="32"/>
        </w:rPr>
        <w:t xml:space="preserve">Tali obiezioni appaiono, tuttavia, superabili. </w:t>
      </w:r>
    </w:p>
    <w:p w:rsidR="00100B45" w:rsidRDefault="00923B5B" w:rsidP="00F34777">
      <w:pPr>
        <w:jc w:val="both"/>
        <w:rPr>
          <w:rFonts w:ascii="Times New Roman" w:hAnsi="Times New Roman" w:cs="Times New Roman"/>
          <w:sz w:val="32"/>
          <w:szCs w:val="32"/>
        </w:rPr>
      </w:pPr>
      <w:r>
        <w:rPr>
          <w:rFonts w:ascii="Times New Roman" w:hAnsi="Times New Roman" w:cs="Times New Roman"/>
          <w:sz w:val="32"/>
          <w:szCs w:val="32"/>
        </w:rPr>
        <w:t>In primo luogo</w:t>
      </w:r>
      <w:r w:rsidR="006C6738">
        <w:rPr>
          <w:rFonts w:ascii="Times New Roman" w:hAnsi="Times New Roman" w:cs="Times New Roman"/>
          <w:sz w:val="32"/>
          <w:szCs w:val="32"/>
        </w:rPr>
        <w:t>,</w:t>
      </w:r>
      <w:r w:rsidR="00F95DA8">
        <w:rPr>
          <w:rFonts w:ascii="Times New Roman" w:hAnsi="Times New Roman" w:cs="Times New Roman"/>
          <w:sz w:val="32"/>
          <w:szCs w:val="32"/>
        </w:rPr>
        <w:t xml:space="preserve"> la Corte costituzionale, nella sentenza all’</w:t>
      </w:r>
      <w:r w:rsidR="003D42A5">
        <w:rPr>
          <w:rFonts w:ascii="Times New Roman" w:hAnsi="Times New Roman" w:cs="Times New Roman"/>
          <w:sz w:val="32"/>
          <w:szCs w:val="32"/>
        </w:rPr>
        <w:t xml:space="preserve">esame, richiede che, </w:t>
      </w:r>
      <w:r w:rsidR="008350D9">
        <w:rPr>
          <w:rFonts w:ascii="Times New Roman" w:hAnsi="Times New Roman" w:cs="Times New Roman"/>
          <w:sz w:val="32"/>
          <w:szCs w:val="32"/>
        </w:rPr>
        <w:t>in sede di vagli</w:t>
      </w:r>
      <w:r w:rsidR="003D42A5">
        <w:rPr>
          <w:rFonts w:ascii="Times New Roman" w:hAnsi="Times New Roman" w:cs="Times New Roman"/>
          <w:sz w:val="32"/>
          <w:szCs w:val="32"/>
        </w:rPr>
        <w:t>o</w:t>
      </w:r>
      <w:r w:rsidR="008350D9">
        <w:rPr>
          <w:rFonts w:ascii="Times New Roman" w:hAnsi="Times New Roman" w:cs="Times New Roman"/>
          <w:sz w:val="32"/>
          <w:szCs w:val="32"/>
        </w:rPr>
        <w:t xml:space="preserve"> della compatibilità della norma interna con la norma dell’Unione priva di eff</w:t>
      </w:r>
      <w:r w:rsidR="00A12556">
        <w:rPr>
          <w:rFonts w:ascii="Times New Roman" w:hAnsi="Times New Roman" w:cs="Times New Roman"/>
          <w:sz w:val="32"/>
          <w:szCs w:val="32"/>
        </w:rPr>
        <w:t>etto</w:t>
      </w:r>
      <w:r w:rsidR="008350D9">
        <w:rPr>
          <w:rFonts w:ascii="Times New Roman" w:hAnsi="Times New Roman" w:cs="Times New Roman"/>
          <w:sz w:val="32"/>
          <w:szCs w:val="32"/>
        </w:rPr>
        <w:t xml:space="preserve"> </w:t>
      </w:r>
      <w:r w:rsidR="00A12556">
        <w:rPr>
          <w:rFonts w:ascii="Times New Roman" w:hAnsi="Times New Roman" w:cs="Times New Roman"/>
          <w:sz w:val="32"/>
          <w:szCs w:val="32"/>
        </w:rPr>
        <w:t>diretto</w:t>
      </w:r>
      <w:r>
        <w:rPr>
          <w:rFonts w:ascii="Times New Roman" w:hAnsi="Times New Roman" w:cs="Times New Roman"/>
          <w:sz w:val="32"/>
          <w:szCs w:val="32"/>
        </w:rPr>
        <w:t>, venga previamente</w:t>
      </w:r>
      <w:r w:rsidR="00A12556">
        <w:rPr>
          <w:rFonts w:ascii="Times New Roman" w:hAnsi="Times New Roman" w:cs="Times New Roman"/>
          <w:sz w:val="32"/>
          <w:szCs w:val="32"/>
        </w:rPr>
        <w:t xml:space="preserve"> vagliata la possibilità di un’</w:t>
      </w:r>
      <w:r>
        <w:rPr>
          <w:rFonts w:ascii="Times New Roman" w:hAnsi="Times New Roman" w:cs="Times New Roman"/>
          <w:sz w:val="32"/>
          <w:szCs w:val="32"/>
        </w:rPr>
        <w:t xml:space="preserve">interpretazione conforme al diritto dell’Unione, al fine di ricomporre il contrasto in via interpretativa, eventualmente mediante ricorso alla Corte di giustizia. Con ciò viene fatto salvo </w:t>
      </w:r>
      <w:r w:rsidR="006076F5">
        <w:rPr>
          <w:rFonts w:ascii="Times New Roman" w:hAnsi="Times New Roman" w:cs="Times New Roman"/>
          <w:sz w:val="32"/>
          <w:szCs w:val="32"/>
        </w:rPr>
        <w:t xml:space="preserve">il potere/dovere dei giudici comuni di </w:t>
      </w:r>
      <w:r w:rsidR="006076F5">
        <w:rPr>
          <w:rFonts w:ascii="Times New Roman" w:hAnsi="Times New Roman" w:cs="Times New Roman"/>
          <w:sz w:val="32"/>
          <w:szCs w:val="32"/>
        </w:rPr>
        <w:lastRenderedPageBreak/>
        <w:t xml:space="preserve">sollevare, in qualsiasi momento – sia prima che dopo l’eventuale l’incidente di legittimità costituzionale per violazione degli artt. 11 e 117 </w:t>
      </w:r>
      <w:proofErr w:type="spellStart"/>
      <w:r w:rsidR="006076F5">
        <w:rPr>
          <w:rFonts w:ascii="Times New Roman" w:hAnsi="Times New Roman" w:cs="Times New Roman"/>
          <w:sz w:val="32"/>
          <w:szCs w:val="32"/>
        </w:rPr>
        <w:t>Cost</w:t>
      </w:r>
      <w:proofErr w:type="spellEnd"/>
      <w:r w:rsidR="006076F5">
        <w:rPr>
          <w:rFonts w:ascii="Times New Roman" w:hAnsi="Times New Roman" w:cs="Times New Roman"/>
          <w:sz w:val="32"/>
          <w:szCs w:val="32"/>
        </w:rPr>
        <w:t xml:space="preserve">. </w:t>
      </w:r>
      <w:proofErr w:type="gramStart"/>
      <w:r w:rsidR="006076F5">
        <w:rPr>
          <w:rFonts w:ascii="Times New Roman" w:hAnsi="Times New Roman" w:cs="Times New Roman"/>
          <w:sz w:val="32"/>
          <w:szCs w:val="32"/>
        </w:rPr>
        <w:t>e</w:t>
      </w:r>
      <w:proofErr w:type="gramEnd"/>
      <w:r w:rsidR="006076F5">
        <w:rPr>
          <w:rFonts w:ascii="Times New Roman" w:hAnsi="Times New Roman" w:cs="Times New Roman"/>
          <w:sz w:val="32"/>
          <w:szCs w:val="32"/>
        </w:rPr>
        <w:t xml:space="preserve"> dell’interposta norma europea priva di effetto diretto (con esito di infondatezza, ché, diversamente, la questione sarebbe superata) –, dinanzi alla Corte di giustizia, questione pregiudiziale di interpretazione della norma europea, ivi compresa la questione, spesso di non facile soluzione, </w:t>
      </w:r>
      <w:r w:rsidR="00100B45">
        <w:rPr>
          <w:rFonts w:ascii="Times New Roman" w:hAnsi="Times New Roman" w:cs="Times New Roman"/>
          <w:sz w:val="32"/>
          <w:szCs w:val="32"/>
        </w:rPr>
        <w:t>della qualificazione della norma europea come norma-regola ad effetto diretto o come norma-princip</w:t>
      </w:r>
      <w:r w:rsidR="0058403F">
        <w:rPr>
          <w:rFonts w:ascii="Times New Roman" w:hAnsi="Times New Roman" w:cs="Times New Roman"/>
          <w:sz w:val="32"/>
          <w:szCs w:val="32"/>
        </w:rPr>
        <w:t xml:space="preserve">io priva di tale effetto. </w:t>
      </w:r>
    </w:p>
    <w:p w:rsidR="004E30B6" w:rsidRDefault="00100B45" w:rsidP="00F34777">
      <w:pPr>
        <w:jc w:val="both"/>
        <w:rPr>
          <w:rFonts w:ascii="Times New Roman" w:hAnsi="Times New Roman" w:cs="Times New Roman"/>
          <w:sz w:val="32"/>
          <w:szCs w:val="32"/>
        </w:rPr>
      </w:pPr>
      <w:r>
        <w:rPr>
          <w:rFonts w:ascii="Times New Roman" w:hAnsi="Times New Roman" w:cs="Times New Roman"/>
          <w:sz w:val="32"/>
          <w:szCs w:val="32"/>
        </w:rPr>
        <w:t xml:space="preserve">In secondo luogo, la Corte costituzionale, investita della questione di legittimità costituzionale </w:t>
      </w:r>
      <w:r w:rsidR="001A476F">
        <w:rPr>
          <w:rFonts w:ascii="Times New Roman" w:hAnsi="Times New Roman" w:cs="Times New Roman"/>
          <w:sz w:val="32"/>
          <w:szCs w:val="32"/>
        </w:rPr>
        <w:t xml:space="preserve">per contrasto della norma interna con gli artt. 11 e 117 </w:t>
      </w:r>
      <w:proofErr w:type="spellStart"/>
      <w:r w:rsidR="001A476F">
        <w:rPr>
          <w:rFonts w:ascii="Times New Roman" w:hAnsi="Times New Roman" w:cs="Times New Roman"/>
          <w:sz w:val="32"/>
          <w:szCs w:val="32"/>
        </w:rPr>
        <w:t>Cost</w:t>
      </w:r>
      <w:proofErr w:type="spellEnd"/>
      <w:r w:rsidR="001A476F">
        <w:rPr>
          <w:rFonts w:ascii="Times New Roman" w:hAnsi="Times New Roman" w:cs="Times New Roman"/>
          <w:sz w:val="32"/>
          <w:szCs w:val="32"/>
        </w:rPr>
        <w:t xml:space="preserve">. </w:t>
      </w:r>
      <w:proofErr w:type="gramStart"/>
      <w:r w:rsidR="001A476F">
        <w:rPr>
          <w:rFonts w:ascii="Times New Roman" w:hAnsi="Times New Roman" w:cs="Times New Roman"/>
          <w:sz w:val="32"/>
          <w:szCs w:val="32"/>
        </w:rPr>
        <w:t>e</w:t>
      </w:r>
      <w:proofErr w:type="gramEnd"/>
      <w:r w:rsidR="001A476F">
        <w:rPr>
          <w:rFonts w:ascii="Times New Roman" w:hAnsi="Times New Roman" w:cs="Times New Roman"/>
          <w:sz w:val="32"/>
          <w:szCs w:val="32"/>
        </w:rPr>
        <w:t xml:space="preserve"> con la norma interposta </w:t>
      </w:r>
      <w:r w:rsidR="00AA3C55">
        <w:rPr>
          <w:rFonts w:ascii="Times New Roman" w:hAnsi="Times New Roman" w:cs="Times New Roman"/>
          <w:sz w:val="32"/>
          <w:szCs w:val="32"/>
        </w:rPr>
        <w:t>europea priva di effetto diretto, è qualificabile come organo giurisdizionale nazionale avverso le cui decisioni non può essere interposto un ricorso giurisdizionale di diritto interno</w:t>
      </w:r>
      <w:r w:rsidR="004E30B6">
        <w:rPr>
          <w:rFonts w:ascii="Times New Roman" w:hAnsi="Times New Roman" w:cs="Times New Roman"/>
          <w:sz w:val="32"/>
          <w:szCs w:val="32"/>
        </w:rPr>
        <w:t xml:space="preserve">, in quanto tale obbligato, ai sensi dell’art. 267, </w:t>
      </w:r>
      <w:r w:rsidR="00A12556">
        <w:rPr>
          <w:rFonts w:ascii="Times New Roman" w:hAnsi="Times New Roman" w:cs="Times New Roman"/>
          <w:sz w:val="32"/>
          <w:szCs w:val="32"/>
        </w:rPr>
        <w:t>paragrafo 3</w:t>
      </w:r>
      <w:r w:rsidR="004E30B6">
        <w:rPr>
          <w:rFonts w:ascii="Times New Roman" w:hAnsi="Times New Roman" w:cs="Times New Roman"/>
          <w:sz w:val="32"/>
          <w:szCs w:val="32"/>
        </w:rPr>
        <w:t>, TFUE di sollevare le questioni sull’interpretazione e sulla validità delle norme del diritto europeo dinanzi alla Corte di giustizia.</w:t>
      </w:r>
      <w:r w:rsidR="004E30B6">
        <w:rPr>
          <w:rStyle w:val="Rimandonotaapidipagina"/>
          <w:rFonts w:ascii="Times New Roman" w:hAnsi="Times New Roman" w:cs="Times New Roman"/>
          <w:sz w:val="32"/>
          <w:szCs w:val="32"/>
        </w:rPr>
        <w:footnoteReference w:id="28"/>
      </w:r>
      <w:r w:rsidR="004E30B6">
        <w:rPr>
          <w:rFonts w:ascii="Times New Roman" w:hAnsi="Times New Roman" w:cs="Times New Roman"/>
          <w:sz w:val="32"/>
          <w:szCs w:val="32"/>
        </w:rPr>
        <w:t xml:space="preserve"> </w:t>
      </w:r>
    </w:p>
    <w:p w:rsidR="00100B45" w:rsidRDefault="004E30B6" w:rsidP="00F34777">
      <w:pPr>
        <w:jc w:val="both"/>
        <w:rPr>
          <w:rFonts w:ascii="Times New Roman" w:hAnsi="Times New Roman" w:cs="Times New Roman"/>
          <w:sz w:val="32"/>
          <w:szCs w:val="32"/>
        </w:rPr>
      </w:pPr>
      <w:r>
        <w:rPr>
          <w:rFonts w:ascii="Times New Roman" w:hAnsi="Times New Roman" w:cs="Times New Roman"/>
          <w:sz w:val="32"/>
          <w:szCs w:val="32"/>
        </w:rPr>
        <w:t>In terzo luogo, la sentenza si pone in continuità con la giurisprudenza costituzionale ed europea,</w:t>
      </w:r>
      <w:r>
        <w:rPr>
          <w:rStyle w:val="Rimandonotaapidipagina"/>
          <w:rFonts w:ascii="Times New Roman" w:hAnsi="Times New Roman" w:cs="Times New Roman"/>
          <w:sz w:val="32"/>
          <w:szCs w:val="32"/>
        </w:rPr>
        <w:footnoteReference w:id="29"/>
      </w:r>
      <w:r w:rsidR="00AA3C55">
        <w:rPr>
          <w:rFonts w:ascii="Times New Roman" w:hAnsi="Times New Roman" w:cs="Times New Roman"/>
          <w:sz w:val="32"/>
          <w:szCs w:val="32"/>
        </w:rPr>
        <w:t xml:space="preserve"> </w:t>
      </w:r>
      <w:r w:rsidR="0058403F">
        <w:rPr>
          <w:rFonts w:ascii="Times New Roman" w:hAnsi="Times New Roman" w:cs="Times New Roman"/>
          <w:sz w:val="32"/>
          <w:szCs w:val="32"/>
        </w:rPr>
        <w:t>per cui i giudici comuni (e gli altri organi dello Stato) sono tenuti a non applicare le norme interne che si pongano in antinomia con le norme europee, purché queste ultime siano «</w:t>
      </w:r>
      <w:r w:rsidR="0058403F" w:rsidRPr="0058403F">
        <w:rPr>
          <w:rFonts w:ascii="Times New Roman" w:hAnsi="Times New Roman" w:cs="Times New Roman"/>
          <w:i/>
          <w:sz w:val="32"/>
          <w:szCs w:val="32"/>
        </w:rPr>
        <w:t>altrettanto applicabili</w:t>
      </w:r>
      <w:r w:rsidR="0058403F">
        <w:rPr>
          <w:rFonts w:ascii="Times New Roman" w:hAnsi="Times New Roman" w:cs="Times New Roman"/>
          <w:sz w:val="32"/>
          <w:szCs w:val="32"/>
        </w:rPr>
        <w:t>» alla fattispecie dedotta in giudizio</w:t>
      </w:r>
      <w:r w:rsidR="00DE7FA2">
        <w:rPr>
          <w:rFonts w:ascii="Times New Roman" w:hAnsi="Times New Roman" w:cs="Times New Roman"/>
          <w:sz w:val="32"/>
          <w:szCs w:val="32"/>
        </w:rPr>
        <w:t>. T</w:t>
      </w:r>
      <w:r w:rsidR="0058403F">
        <w:rPr>
          <w:rFonts w:ascii="Times New Roman" w:hAnsi="Times New Roman" w:cs="Times New Roman"/>
          <w:sz w:val="32"/>
          <w:szCs w:val="32"/>
        </w:rPr>
        <w:t>ale giurisprudenza</w:t>
      </w:r>
      <w:r w:rsidR="00DE7FA2">
        <w:rPr>
          <w:rFonts w:ascii="Times New Roman" w:hAnsi="Times New Roman" w:cs="Times New Roman"/>
          <w:sz w:val="32"/>
          <w:szCs w:val="32"/>
        </w:rPr>
        <w:t xml:space="preserve"> si riferisce</w:t>
      </w:r>
      <w:r w:rsidR="0058403F">
        <w:rPr>
          <w:rFonts w:ascii="Times New Roman" w:hAnsi="Times New Roman" w:cs="Times New Roman"/>
          <w:sz w:val="32"/>
          <w:szCs w:val="32"/>
        </w:rPr>
        <w:t xml:space="preserve"> alle norme europe</w:t>
      </w:r>
      <w:r w:rsidR="00DE7FA2">
        <w:rPr>
          <w:rFonts w:ascii="Times New Roman" w:hAnsi="Times New Roman" w:cs="Times New Roman"/>
          <w:sz w:val="32"/>
          <w:szCs w:val="32"/>
        </w:rPr>
        <w:t>e</w:t>
      </w:r>
      <w:r w:rsidR="0058403F">
        <w:rPr>
          <w:rFonts w:ascii="Times New Roman" w:hAnsi="Times New Roman" w:cs="Times New Roman"/>
          <w:sz w:val="32"/>
          <w:szCs w:val="32"/>
        </w:rPr>
        <w:t xml:space="preserve"> a contenuto precettivo puntuale, suscettibile di immediata applicazione</w:t>
      </w:r>
      <w:r w:rsidR="00DE7FA2">
        <w:rPr>
          <w:rFonts w:ascii="Times New Roman" w:hAnsi="Times New Roman" w:cs="Times New Roman"/>
          <w:sz w:val="32"/>
          <w:szCs w:val="32"/>
        </w:rPr>
        <w:t>, e non anche alle norme europee prive di effetto diretto</w:t>
      </w:r>
      <w:r w:rsidR="0058403F">
        <w:rPr>
          <w:rFonts w:ascii="Times New Roman" w:hAnsi="Times New Roman" w:cs="Times New Roman"/>
          <w:sz w:val="32"/>
          <w:szCs w:val="32"/>
        </w:rPr>
        <w:t xml:space="preserve">. </w:t>
      </w:r>
    </w:p>
    <w:p w:rsidR="0058403F" w:rsidRDefault="0058403F" w:rsidP="00F34777">
      <w:pPr>
        <w:jc w:val="both"/>
        <w:rPr>
          <w:rFonts w:ascii="Times New Roman" w:hAnsi="Times New Roman" w:cs="Times New Roman"/>
          <w:sz w:val="32"/>
          <w:szCs w:val="32"/>
        </w:rPr>
      </w:pPr>
      <w:r>
        <w:rPr>
          <w:rFonts w:ascii="Times New Roman" w:hAnsi="Times New Roman" w:cs="Times New Roman"/>
          <w:sz w:val="32"/>
          <w:szCs w:val="32"/>
        </w:rPr>
        <w:t>In</w:t>
      </w:r>
      <w:r w:rsidR="00983F96">
        <w:rPr>
          <w:rFonts w:ascii="Times New Roman" w:hAnsi="Times New Roman" w:cs="Times New Roman"/>
          <w:sz w:val="32"/>
          <w:szCs w:val="32"/>
        </w:rPr>
        <w:t>fine</w:t>
      </w:r>
      <w:r>
        <w:rPr>
          <w:rFonts w:ascii="Times New Roman" w:hAnsi="Times New Roman" w:cs="Times New Roman"/>
          <w:sz w:val="32"/>
          <w:szCs w:val="32"/>
        </w:rPr>
        <w:t xml:space="preserve">, la valutazione </w:t>
      </w:r>
      <w:r w:rsidR="00FE4C3E">
        <w:rPr>
          <w:rFonts w:ascii="Times New Roman" w:hAnsi="Times New Roman" w:cs="Times New Roman"/>
          <w:sz w:val="32"/>
          <w:szCs w:val="32"/>
        </w:rPr>
        <w:t>della compatibilità di norme interne in apparente contrasto con norme di diritto europeo prive di effetto diretto implica un bilanciamento complesso con gli obiettivi e i principi che presiedono alla normativa europea e che sono aperti a una molteplicità di possibili applicazioni, come tali insuscettibili di un’applicazione diretta in sostituzione della norma interna ‘non applicata’</w:t>
      </w:r>
      <w:r w:rsidR="00DE7FA2" w:rsidRPr="00DE7FA2">
        <w:t xml:space="preserve"> </w:t>
      </w:r>
      <w:r w:rsidR="00DE7FA2" w:rsidRPr="00DE7FA2">
        <w:rPr>
          <w:rFonts w:ascii="Times New Roman" w:hAnsi="Times New Roman" w:cs="Times New Roman"/>
          <w:sz w:val="32"/>
          <w:szCs w:val="32"/>
        </w:rPr>
        <w:t>da parte dei giudici comuni</w:t>
      </w:r>
      <w:r w:rsidR="00FE4C3E">
        <w:rPr>
          <w:rFonts w:ascii="Times New Roman" w:hAnsi="Times New Roman" w:cs="Times New Roman"/>
          <w:sz w:val="32"/>
          <w:szCs w:val="32"/>
        </w:rPr>
        <w:t>, pena la violazione del principio costituzionale fondamentale dell’assoggettamento del giudice soltanto alla legge (divenendo lo stesso</w:t>
      </w:r>
      <w:r w:rsidR="00DE7FA2">
        <w:rPr>
          <w:rFonts w:ascii="Times New Roman" w:hAnsi="Times New Roman" w:cs="Times New Roman"/>
          <w:sz w:val="32"/>
          <w:szCs w:val="32"/>
        </w:rPr>
        <w:t xml:space="preserve">, </w:t>
      </w:r>
      <w:r w:rsidR="00DE7FA2">
        <w:rPr>
          <w:rFonts w:ascii="Times New Roman" w:hAnsi="Times New Roman" w:cs="Times New Roman"/>
          <w:sz w:val="32"/>
          <w:szCs w:val="32"/>
        </w:rPr>
        <w:lastRenderedPageBreak/>
        <w:t>diversamente,</w:t>
      </w:r>
      <w:r w:rsidR="00FE4C3E">
        <w:rPr>
          <w:rFonts w:ascii="Times New Roman" w:hAnsi="Times New Roman" w:cs="Times New Roman"/>
          <w:sz w:val="32"/>
          <w:szCs w:val="32"/>
        </w:rPr>
        <w:t xml:space="preserve"> </w:t>
      </w:r>
      <w:r w:rsidR="00E560D5">
        <w:rPr>
          <w:rFonts w:ascii="Times New Roman" w:hAnsi="Times New Roman" w:cs="Times New Roman"/>
          <w:sz w:val="32"/>
          <w:szCs w:val="32"/>
        </w:rPr>
        <w:t>‘</w:t>
      </w:r>
      <w:r w:rsidR="00FE4C3E">
        <w:rPr>
          <w:rFonts w:ascii="Times New Roman" w:hAnsi="Times New Roman" w:cs="Times New Roman"/>
          <w:sz w:val="32"/>
          <w:szCs w:val="32"/>
        </w:rPr>
        <w:t>giudice dell</w:t>
      </w:r>
      <w:r w:rsidR="00E560D5">
        <w:rPr>
          <w:rFonts w:ascii="Times New Roman" w:hAnsi="Times New Roman" w:cs="Times New Roman"/>
          <w:sz w:val="32"/>
          <w:szCs w:val="32"/>
        </w:rPr>
        <w:t xml:space="preserve">a legge’, la quale funzione è invece affidata </w:t>
      </w:r>
      <w:r w:rsidR="00DE7FA2">
        <w:rPr>
          <w:rFonts w:ascii="Times New Roman" w:hAnsi="Times New Roman" w:cs="Times New Roman"/>
          <w:sz w:val="32"/>
          <w:szCs w:val="32"/>
        </w:rPr>
        <w:t>a</w:t>
      </w:r>
      <w:r w:rsidR="00E560D5">
        <w:rPr>
          <w:rFonts w:ascii="Times New Roman" w:hAnsi="Times New Roman" w:cs="Times New Roman"/>
          <w:sz w:val="32"/>
          <w:szCs w:val="32"/>
        </w:rPr>
        <w:t xml:space="preserve">lla Corte costituzionale). Peraltro, l’eventuale annullamento </w:t>
      </w:r>
      <w:r w:rsidR="00E560D5" w:rsidRPr="00E560D5">
        <w:rPr>
          <w:rFonts w:ascii="Times New Roman" w:hAnsi="Times New Roman" w:cs="Times New Roman"/>
          <w:i/>
          <w:sz w:val="32"/>
          <w:szCs w:val="32"/>
        </w:rPr>
        <w:t xml:space="preserve">erga </w:t>
      </w:r>
      <w:proofErr w:type="spellStart"/>
      <w:r w:rsidR="00E560D5" w:rsidRPr="00E560D5">
        <w:rPr>
          <w:rFonts w:ascii="Times New Roman" w:hAnsi="Times New Roman" w:cs="Times New Roman"/>
          <w:i/>
          <w:sz w:val="32"/>
          <w:szCs w:val="32"/>
        </w:rPr>
        <w:t>omnes</w:t>
      </w:r>
      <w:proofErr w:type="spellEnd"/>
      <w:r w:rsidR="00E560D5">
        <w:rPr>
          <w:rFonts w:ascii="Times New Roman" w:hAnsi="Times New Roman" w:cs="Times New Roman"/>
          <w:sz w:val="32"/>
          <w:szCs w:val="32"/>
        </w:rPr>
        <w:t xml:space="preserve"> della normativa interna ritenuta incompatibile con la normativa europea priva di effetto di</w:t>
      </w:r>
      <w:r w:rsidR="00DE7FA2">
        <w:rPr>
          <w:rFonts w:ascii="Times New Roman" w:hAnsi="Times New Roman" w:cs="Times New Roman"/>
          <w:sz w:val="32"/>
          <w:szCs w:val="32"/>
        </w:rPr>
        <w:t>rett</w:t>
      </w:r>
      <w:r w:rsidR="00E560D5">
        <w:rPr>
          <w:rFonts w:ascii="Times New Roman" w:hAnsi="Times New Roman" w:cs="Times New Roman"/>
          <w:sz w:val="32"/>
          <w:szCs w:val="32"/>
        </w:rPr>
        <w:t xml:space="preserve">o, </w:t>
      </w:r>
      <w:r w:rsidR="00DE7FA2">
        <w:rPr>
          <w:rFonts w:ascii="Times New Roman" w:hAnsi="Times New Roman" w:cs="Times New Roman"/>
          <w:sz w:val="32"/>
          <w:szCs w:val="32"/>
        </w:rPr>
        <w:t xml:space="preserve">appare </w:t>
      </w:r>
      <w:r w:rsidR="00E560D5">
        <w:rPr>
          <w:rFonts w:ascii="Times New Roman" w:hAnsi="Times New Roman" w:cs="Times New Roman"/>
          <w:sz w:val="32"/>
          <w:szCs w:val="32"/>
        </w:rPr>
        <w:t>garanti</w:t>
      </w:r>
      <w:r w:rsidR="00897E79">
        <w:rPr>
          <w:rFonts w:ascii="Times New Roman" w:hAnsi="Times New Roman" w:cs="Times New Roman"/>
          <w:sz w:val="32"/>
          <w:szCs w:val="32"/>
        </w:rPr>
        <w:t>r</w:t>
      </w:r>
      <w:r w:rsidR="00E560D5">
        <w:rPr>
          <w:rFonts w:ascii="Times New Roman" w:hAnsi="Times New Roman" w:cs="Times New Roman"/>
          <w:sz w:val="32"/>
          <w:szCs w:val="32"/>
        </w:rPr>
        <w:t xml:space="preserve">e, con maggiore efficacia, </w:t>
      </w:r>
      <w:r w:rsidR="00897E79">
        <w:rPr>
          <w:rFonts w:ascii="Times New Roman" w:hAnsi="Times New Roman" w:cs="Times New Roman"/>
          <w:sz w:val="32"/>
          <w:szCs w:val="32"/>
        </w:rPr>
        <w:t>il primato del diritto dell’Unione</w:t>
      </w:r>
      <w:r w:rsidR="00E560D5">
        <w:rPr>
          <w:rFonts w:ascii="Times New Roman" w:hAnsi="Times New Roman" w:cs="Times New Roman"/>
          <w:sz w:val="32"/>
          <w:szCs w:val="32"/>
        </w:rPr>
        <w:t>, evitando nel futuro il rischio di decisioni dei giudici comuni che, in ipotesi, non opt</w:t>
      </w:r>
      <w:r w:rsidR="00897E79">
        <w:rPr>
          <w:rFonts w:ascii="Times New Roman" w:hAnsi="Times New Roman" w:cs="Times New Roman"/>
          <w:sz w:val="32"/>
          <w:szCs w:val="32"/>
        </w:rPr>
        <w:t>in</w:t>
      </w:r>
      <w:r w:rsidR="00E560D5">
        <w:rPr>
          <w:rFonts w:ascii="Times New Roman" w:hAnsi="Times New Roman" w:cs="Times New Roman"/>
          <w:sz w:val="32"/>
          <w:szCs w:val="32"/>
        </w:rPr>
        <w:t xml:space="preserve">o per la ‘disapplicazione’ della norma interna nel </w:t>
      </w:r>
      <w:r w:rsidR="00DE7FA2">
        <w:rPr>
          <w:rFonts w:ascii="Times New Roman" w:hAnsi="Times New Roman" w:cs="Times New Roman"/>
          <w:sz w:val="32"/>
          <w:szCs w:val="32"/>
        </w:rPr>
        <w:t>caso concreto ad essi sottoposto, e dunque la</w:t>
      </w:r>
      <w:r w:rsidR="00DE7FA2" w:rsidRPr="00DE7FA2">
        <w:rPr>
          <w:rFonts w:ascii="Times New Roman" w:hAnsi="Times New Roman" w:cs="Times New Roman"/>
          <w:sz w:val="32"/>
          <w:szCs w:val="32"/>
        </w:rPr>
        <w:t xml:space="preserve"> certezza </w:t>
      </w:r>
      <w:r w:rsidR="00A55634">
        <w:rPr>
          <w:rFonts w:ascii="Times New Roman" w:hAnsi="Times New Roman" w:cs="Times New Roman"/>
          <w:sz w:val="32"/>
          <w:szCs w:val="32"/>
        </w:rPr>
        <w:t>dei rapporti giuridici</w:t>
      </w:r>
      <w:r w:rsidR="00897E79">
        <w:rPr>
          <w:rFonts w:ascii="Times New Roman" w:hAnsi="Times New Roman" w:cs="Times New Roman"/>
          <w:sz w:val="32"/>
          <w:szCs w:val="32"/>
        </w:rPr>
        <w:t xml:space="preserve"> nei settori in cui trova applicazione il diritto dell’Unione</w:t>
      </w:r>
      <w:r w:rsidR="00E560D5">
        <w:rPr>
          <w:rFonts w:ascii="Times New Roman" w:hAnsi="Times New Roman" w:cs="Times New Roman"/>
          <w:sz w:val="32"/>
          <w:szCs w:val="32"/>
        </w:rPr>
        <w:t xml:space="preserve">. </w:t>
      </w:r>
    </w:p>
    <w:p w:rsidR="00897E79" w:rsidRDefault="00E560D5" w:rsidP="00F34777">
      <w:pPr>
        <w:jc w:val="both"/>
        <w:rPr>
          <w:rFonts w:ascii="Times New Roman" w:hAnsi="Times New Roman" w:cs="Times New Roman"/>
          <w:sz w:val="32"/>
          <w:szCs w:val="32"/>
        </w:rPr>
      </w:pPr>
      <w:r>
        <w:rPr>
          <w:rFonts w:ascii="Times New Roman" w:hAnsi="Times New Roman" w:cs="Times New Roman"/>
          <w:sz w:val="32"/>
          <w:szCs w:val="32"/>
        </w:rPr>
        <w:t xml:space="preserve">Il complesso delle considerazioni che precedono depongono nel senso di escludere che </w:t>
      </w:r>
      <w:r w:rsidR="00D05C6A">
        <w:rPr>
          <w:rFonts w:ascii="Times New Roman" w:hAnsi="Times New Roman" w:cs="Times New Roman"/>
          <w:sz w:val="32"/>
          <w:szCs w:val="32"/>
        </w:rPr>
        <w:t xml:space="preserve">le motivazioni sviluppate al punto 5.1. della sentenza n. 279/2017 della Corte costituzionale si pongano in contrasto con </w:t>
      </w:r>
      <w:r w:rsidR="00321AA1">
        <w:rPr>
          <w:rFonts w:ascii="Times New Roman" w:hAnsi="Times New Roman" w:cs="Times New Roman"/>
          <w:sz w:val="32"/>
          <w:szCs w:val="32"/>
        </w:rPr>
        <w:t>il principio giurisprudenziale ripetutamente affermato dalla Corte di giustizia e ribadito nell</w:t>
      </w:r>
      <w:r w:rsidR="00A12556">
        <w:rPr>
          <w:rFonts w:ascii="Times New Roman" w:hAnsi="Times New Roman" w:cs="Times New Roman"/>
          <w:sz w:val="32"/>
          <w:szCs w:val="32"/>
        </w:rPr>
        <w:t xml:space="preserve">a sentenza del 20 dicembre 2017, causa </w:t>
      </w:r>
      <w:r w:rsidR="00A12556" w:rsidRPr="00A12556">
        <w:rPr>
          <w:rFonts w:ascii="Times New Roman" w:hAnsi="Times New Roman" w:cs="Times New Roman"/>
          <w:sz w:val="32"/>
          <w:szCs w:val="32"/>
        </w:rPr>
        <w:t xml:space="preserve">C-322/16, </w:t>
      </w:r>
      <w:r w:rsidR="00A12556" w:rsidRPr="00A12556">
        <w:rPr>
          <w:rFonts w:ascii="Times New Roman" w:hAnsi="Times New Roman" w:cs="Times New Roman"/>
          <w:i/>
          <w:sz w:val="32"/>
          <w:szCs w:val="32"/>
        </w:rPr>
        <w:t xml:space="preserve">Global </w:t>
      </w:r>
      <w:proofErr w:type="spellStart"/>
      <w:r w:rsidR="00A12556" w:rsidRPr="00A12556">
        <w:rPr>
          <w:rFonts w:ascii="Times New Roman" w:hAnsi="Times New Roman" w:cs="Times New Roman"/>
          <w:i/>
          <w:sz w:val="32"/>
          <w:szCs w:val="32"/>
        </w:rPr>
        <w:t>Starned</w:t>
      </w:r>
      <w:proofErr w:type="spellEnd"/>
      <w:r w:rsidR="00A12556" w:rsidRPr="00A12556">
        <w:rPr>
          <w:rFonts w:ascii="Times New Roman" w:hAnsi="Times New Roman" w:cs="Times New Roman"/>
          <w:i/>
          <w:sz w:val="32"/>
          <w:szCs w:val="32"/>
        </w:rPr>
        <w:t xml:space="preserve"> Ltd</w:t>
      </w:r>
      <w:r w:rsidR="00321AA1">
        <w:rPr>
          <w:rFonts w:ascii="Times New Roman" w:hAnsi="Times New Roman" w:cs="Times New Roman"/>
          <w:sz w:val="32"/>
          <w:szCs w:val="32"/>
        </w:rPr>
        <w:t xml:space="preserve">, per cui </w:t>
      </w:r>
      <w:r w:rsidR="00321AA1" w:rsidRPr="00321AA1">
        <w:rPr>
          <w:rFonts w:ascii="Times New Roman" w:hAnsi="Times New Roman" w:cs="Times New Roman"/>
          <w:sz w:val="32"/>
          <w:szCs w:val="32"/>
        </w:rPr>
        <w:t xml:space="preserve">il funzionamento del sistema di cooperazione tra </w:t>
      </w:r>
      <w:r w:rsidR="00321AA1">
        <w:rPr>
          <w:rFonts w:ascii="Times New Roman" w:hAnsi="Times New Roman" w:cs="Times New Roman"/>
          <w:sz w:val="32"/>
          <w:szCs w:val="32"/>
        </w:rPr>
        <w:t>la Corte di giustizia</w:t>
      </w:r>
      <w:r w:rsidR="00321AA1" w:rsidRPr="00321AA1">
        <w:rPr>
          <w:rFonts w:ascii="Times New Roman" w:hAnsi="Times New Roman" w:cs="Times New Roman"/>
          <w:sz w:val="32"/>
          <w:szCs w:val="32"/>
        </w:rPr>
        <w:t xml:space="preserve"> e i giudici nazionali, istituito dall’articolo 267 TFUE, e il principio del primato del diritto dell’Unione esigono che il giudice nazionale sia libero di sottoporre alla Corte, in qualsiasi fase del procedimento che reputi appropriata, ed anche al termine di un procedimento incidentale di controllo di costituzionalità, qualsiasi questione pregiudiziale che esso consideri necessaria</w:t>
      </w:r>
      <w:r w:rsidR="00321AA1">
        <w:rPr>
          <w:rFonts w:ascii="Times New Roman" w:hAnsi="Times New Roman" w:cs="Times New Roman"/>
          <w:sz w:val="32"/>
          <w:szCs w:val="32"/>
        </w:rPr>
        <w:t>, a garanzia</w:t>
      </w:r>
      <w:r w:rsidR="00100B45">
        <w:rPr>
          <w:rFonts w:ascii="Times New Roman" w:hAnsi="Times New Roman" w:cs="Times New Roman"/>
          <w:sz w:val="32"/>
          <w:szCs w:val="32"/>
        </w:rPr>
        <w:t xml:space="preserve"> dell’efficacia </w:t>
      </w:r>
      <w:r w:rsidR="00321AA1">
        <w:rPr>
          <w:rFonts w:ascii="Times New Roman" w:hAnsi="Times New Roman" w:cs="Times New Roman"/>
          <w:sz w:val="32"/>
          <w:szCs w:val="32"/>
        </w:rPr>
        <w:t xml:space="preserve">del diritto dell’Unione </w:t>
      </w:r>
      <w:r w:rsidR="00100B45">
        <w:rPr>
          <w:rFonts w:ascii="Times New Roman" w:hAnsi="Times New Roman" w:cs="Times New Roman"/>
          <w:sz w:val="32"/>
          <w:szCs w:val="32"/>
        </w:rPr>
        <w:t>e dell’effetto utile dello strumento del rinvio pregiudiziale di cui all’art. 267 TFUE</w:t>
      </w:r>
      <w:r w:rsidR="00897E79">
        <w:rPr>
          <w:rFonts w:ascii="Times New Roman" w:hAnsi="Times New Roman" w:cs="Times New Roman"/>
          <w:sz w:val="32"/>
          <w:szCs w:val="32"/>
        </w:rPr>
        <w:t xml:space="preserve">. </w:t>
      </w:r>
    </w:p>
    <w:p w:rsidR="00D835EB" w:rsidRDefault="00897E79" w:rsidP="00F34777">
      <w:pPr>
        <w:jc w:val="both"/>
        <w:rPr>
          <w:rFonts w:ascii="Times New Roman" w:hAnsi="Times New Roman" w:cs="Times New Roman"/>
          <w:sz w:val="32"/>
          <w:szCs w:val="32"/>
        </w:rPr>
      </w:pPr>
      <w:r>
        <w:rPr>
          <w:rFonts w:ascii="Times New Roman" w:hAnsi="Times New Roman" w:cs="Times New Roman"/>
          <w:sz w:val="32"/>
          <w:szCs w:val="32"/>
        </w:rPr>
        <w:t>N</w:t>
      </w:r>
      <w:r w:rsidR="00D835EB">
        <w:rPr>
          <w:rFonts w:ascii="Times New Roman" w:hAnsi="Times New Roman" w:cs="Times New Roman"/>
          <w:sz w:val="32"/>
          <w:szCs w:val="32"/>
        </w:rPr>
        <w:t>é appare impedito o aggravato l’esercizio, dinanzi ai giudici comuni, dell’azione di risarcimento</w:t>
      </w:r>
      <w:r w:rsidR="006A66BB">
        <w:rPr>
          <w:rFonts w:ascii="Times New Roman" w:hAnsi="Times New Roman" w:cs="Times New Roman"/>
          <w:sz w:val="32"/>
          <w:szCs w:val="32"/>
        </w:rPr>
        <w:t xml:space="preserve"> dei danni nei confronti dello S</w:t>
      </w:r>
      <w:r w:rsidR="00D835EB">
        <w:rPr>
          <w:rFonts w:ascii="Times New Roman" w:hAnsi="Times New Roman" w:cs="Times New Roman"/>
          <w:sz w:val="32"/>
          <w:szCs w:val="32"/>
        </w:rPr>
        <w:t xml:space="preserve">tato per l’eventuale mancata trasposizione delle norme europee prive di efficacia diretta. </w:t>
      </w:r>
    </w:p>
    <w:p w:rsidR="00193D8B" w:rsidRDefault="007A04A3" w:rsidP="00F34777">
      <w:pPr>
        <w:jc w:val="both"/>
        <w:rPr>
          <w:rFonts w:ascii="Times New Roman" w:hAnsi="Times New Roman" w:cs="Times New Roman"/>
          <w:sz w:val="32"/>
          <w:szCs w:val="32"/>
        </w:rPr>
      </w:pPr>
      <w:r w:rsidRPr="00321AA1">
        <w:rPr>
          <w:rFonts w:ascii="Times New Roman" w:hAnsi="Times New Roman" w:cs="Times New Roman"/>
          <w:b/>
          <w:sz w:val="32"/>
          <w:szCs w:val="32"/>
        </w:rPr>
        <w:t>3</w:t>
      </w:r>
      <w:r w:rsidR="00C64C24" w:rsidRPr="00321AA1">
        <w:rPr>
          <w:rFonts w:ascii="Times New Roman" w:hAnsi="Times New Roman" w:cs="Times New Roman"/>
          <w:b/>
          <w:sz w:val="32"/>
          <w:szCs w:val="32"/>
        </w:rPr>
        <w:t>.2.</w:t>
      </w:r>
      <w:r w:rsidR="00C64C24">
        <w:rPr>
          <w:rFonts w:ascii="Times New Roman" w:hAnsi="Times New Roman" w:cs="Times New Roman"/>
          <w:sz w:val="32"/>
          <w:szCs w:val="32"/>
        </w:rPr>
        <w:t xml:space="preserve"> </w:t>
      </w:r>
      <w:r w:rsidR="00897E79">
        <w:rPr>
          <w:rFonts w:ascii="Times New Roman" w:hAnsi="Times New Roman" w:cs="Times New Roman"/>
          <w:sz w:val="32"/>
          <w:szCs w:val="32"/>
        </w:rPr>
        <w:t xml:space="preserve">Un secondo ordine di osservazioni </w:t>
      </w:r>
      <w:r w:rsidR="00907B86">
        <w:rPr>
          <w:rFonts w:ascii="Times New Roman" w:hAnsi="Times New Roman" w:cs="Times New Roman"/>
          <w:sz w:val="32"/>
          <w:szCs w:val="32"/>
        </w:rPr>
        <w:t xml:space="preserve">sono state sollevate </w:t>
      </w:r>
      <w:r w:rsidR="00A12556">
        <w:rPr>
          <w:rFonts w:ascii="Times New Roman" w:hAnsi="Times New Roman" w:cs="Times New Roman"/>
          <w:sz w:val="32"/>
          <w:szCs w:val="32"/>
        </w:rPr>
        <w:t>in riferimento a</w:t>
      </w:r>
      <w:r w:rsidR="00C94B49">
        <w:rPr>
          <w:rFonts w:ascii="Times New Roman" w:hAnsi="Times New Roman" w:cs="Times New Roman"/>
          <w:sz w:val="32"/>
          <w:szCs w:val="32"/>
        </w:rPr>
        <w:t>l</w:t>
      </w:r>
      <w:r w:rsidR="00907B86">
        <w:rPr>
          <w:rFonts w:ascii="Times New Roman" w:hAnsi="Times New Roman" w:cs="Times New Roman"/>
          <w:sz w:val="32"/>
          <w:szCs w:val="32"/>
        </w:rPr>
        <w:t>le affermazioni contenute</w:t>
      </w:r>
      <w:r w:rsidR="00193D8B">
        <w:rPr>
          <w:rFonts w:ascii="Times New Roman" w:hAnsi="Times New Roman" w:cs="Times New Roman"/>
          <w:sz w:val="32"/>
          <w:szCs w:val="32"/>
        </w:rPr>
        <w:t xml:space="preserve"> </w:t>
      </w:r>
      <w:r w:rsidR="003315AF">
        <w:rPr>
          <w:rFonts w:ascii="Times New Roman" w:hAnsi="Times New Roman" w:cs="Times New Roman"/>
          <w:sz w:val="32"/>
          <w:szCs w:val="32"/>
        </w:rPr>
        <w:t xml:space="preserve">nella sentenza della Corte costituzionale </w:t>
      </w:r>
      <w:r w:rsidR="00A12556">
        <w:rPr>
          <w:rFonts w:ascii="Times New Roman" w:hAnsi="Times New Roman" w:cs="Times New Roman"/>
          <w:sz w:val="32"/>
          <w:szCs w:val="32"/>
        </w:rPr>
        <w:t xml:space="preserve">n. 269/2017 </w:t>
      </w:r>
      <w:r w:rsidR="00907B86">
        <w:rPr>
          <w:rFonts w:ascii="Times New Roman" w:hAnsi="Times New Roman" w:cs="Times New Roman"/>
          <w:sz w:val="32"/>
          <w:szCs w:val="32"/>
        </w:rPr>
        <w:t>relative al</w:t>
      </w:r>
      <w:r w:rsidR="003315AF">
        <w:rPr>
          <w:rFonts w:ascii="Times New Roman" w:hAnsi="Times New Roman" w:cs="Times New Roman"/>
          <w:sz w:val="32"/>
          <w:szCs w:val="32"/>
        </w:rPr>
        <w:t xml:space="preserve"> ruolo dei giudici </w:t>
      </w:r>
      <w:r w:rsidR="006A66BB">
        <w:rPr>
          <w:rFonts w:ascii="Times New Roman" w:hAnsi="Times New Roman" w:cs="Times New Roman"/>
          <w:sz w:val="32"/>
          <w:szCs w:val="32"/>
        </w:rPr>
        <w:t xml:space="preserve">comuni in caso di contrasto </w:t>
      </w:r>
      <w:r w:rsidR="00A55634">
        <w:rPr>
          <w:rFonts w:ascii="Times New Roman" w:hAnsi="Times New Roman" w:cs="Times New Roman"/>
          <w:sz w:val="32"/>
          <w:szCs w:val="32"/>
        </w:rPr>
        <w:t xml:space="preserve">della norma di diritto interno con </w:t>
      </w:r>
      <w:r w:rsidR="00A55634" w:rsidRPr="00A55634">
        <w:rPr>
          <w:rFonts w:ascii="Times New Roman" w:hAnsi="Times New Roman" w:cs="Times New Roman"/>
          <w:sz w:val="32"/>
          <w:szCs w:val="32"/>
        </w:rPr>
        <w:t xml:space="preserve">le norme della CDFUE, </w:t>
      </w:r>
      <w:r w:rsidR="00A55634">
        <w:rPr>
          <w:rFonts w:ascii="Times New Roman" w:hAnsi="Times New Roman" w:cs="Times New Roman"/>
          <w:sz w:val="32"/>
          <w:szCs w:val="32"/>
        </w:rPr>
        <w:t xml:space="preserve">in particolare nei casi in cui vengano in rilievo diritti fondamentali dal contenuto </w:t>
      </w:r>
      <w:r w:rsidR="00907B86">
        <w:rPr>
          <w:rFonts w:ascii="Times New Roman" w:hAnsi="Times New Roman" w:cs="Times New Roman"/>
          <w:sz w:val="32"/>
          <w:szCs w:val="32"/>
        </w:rPr>
        <w:t>omologo a quelli garantiti dalla Costituzione</w:t>
      </w:r>
      <w:r w:rsidR="00C94B49">
        <w:rPr>
          <w:rFonts w:ascii="Times New Roman" w:hAnsi="Times New Roman" w:cs="Times New Roman"/>
          <w:sz w:val="32"/>
          <w:szCs w:val="32"/>
        </w:rPr>
        <w:t>, dove quindi</w:t>
      </w:r>
      <w:r w:rsidR="00907B86">
        <w:rPr>
          <w:rFonts w:ascii="Times New Roman" w:hAnsi="Times New Roman" w:cs="Times New Roman"/>
          <w:sz w:val="32"/>
          <w:szCs w:val="32"/>
        </w:rPr>
        <w:t xml:space="preserve"> si pone anche una questione di legittimità costituzionale. </w:t>
      </w:r>
    </w:p>
    <w:p w:rsidR="00C64C24" w:rsidRDefault="009E497E" w:rsidP="00F34777">
      <w:pPr>
        <w:jc w:val="both"/>
        <w:rPr>
          <w:rFonts w:ascii="Times New Roman" w:hAnsi="Times New Roman" w:cs="Times New Roman"/>
          <w:sz w:val="32"/>
          <w:szCs w:val="32"/>
        </w:rPr>
      </w:pPr>
      <w:r w:rsidRPr="009E497E">
        <w:rPr>
          <w:rFonts w:ascii="Times New Roman" w:hAnsi="Times New Roman" w:cs="Times New Roman"/>
          <w:b/>
          <w:sz w:val="32"/>
          <w:szCs w:val="32"/>
        </w:rPr>
        <w:t>3.2.1.</w:t>
      </w:r>
      <w:r>
        <w:rPr>
          <w:rFonts w:ascii="Times New Roman" w:hAnsi="Times New Roman" w:cs="Times New Roman"/>
          <w:sz w:val="32"/>
          <w:szCs w:val="32"/>
        </w:rPr>
        <w:t xml:space="preserve"> </w:t>
      </w:r>
      <w:r w:rsidR="00907B86">
        <w:rPr>
          <w:rFonts w:ascii="Times New Roman" w:hAnsi="Times New Roman" w:cs="Times New Roman"/>
          <w:sz w:val="32"/>
          <w:szCs w:val="32"/>
        </w:rPr>
        <w:t xml:space="preserve">In particolare, è stata </w:t>
      </w:r>
      <w:r w:rsidR="00C94B49">
        <w:rPr>
          <w:rFonts w:ascii="Times New Roman" w:hAnsi="Times New Roman" w:cs="Times New Roman"/>
          <w:sz w:val="32"/>
          <w:szCs w:val="32"/>
        </w:rPr>
        <w:t>solleva</w:t>
      </w:r>
      <w:r w:rsidR="00907B86">
        <w:rPr>
          <w:rFonts w:ascii="Times New Roman" w:hAnsi="Times New Roman" w:cs="Times New Roman"/>
          <w:sz w:val="32"/>
          <w:szCs w:val="32"/>
        </w:rPr>
        <w:t>ta la questione,</w:t>
      </w:r>
      <w:r w:rsidR="00C64C24">
        <w:rPr>
          <w:rFonts w:ascii="Times New Roman" w:hAnsi="Times New Roman" w:cs="Times New Roman"/>
          <w:sz w:val="32"/>
          <w:szCs w:val="32"/>
        </w:rPr>
        <w:t xml:space="preserve"> se</w:t>
      </w:r>
      <w:r w:rsidR="00766853">
        <w:rPr>
          <w:rFonts w:ascii="Times New Roman" w:hAnsi="Times New Roman" w:cs="Times New Roman"/>
          <w:sz w:val="32"/>
          <w:szCs w:val="32"/>
        </w:rPr>
        <w:t xml:space="preserve"> la sentenza della Corte costituzionale </w:t>
      </w:r>
      <w:r w:rsidR="00A16F46" w:rsidRPr="00A16F46">
        <w:rPr>
          <w:rFonts w:ascii="Times New Roman" w:hAnsi="Times New Roman" w:cs="Times New Roman"/>
          <w:sz w:val="32"/>
          <w:szCs w:val="32"/>
        </w:rPr>
        <w:t>n. 269/2017</w:t>
      </w:r>
      <w:r w:rsidR="00A16F46">
        <w:rPr>
          <w:rFonts w:ascii="Times New Roman" w:hAnsi="Times New Roman" w:cs="Times New Roman"/>
          <w:sz w:val="32"/>
          <w:szCs w:val="32"/>
        </w:rPr>
        <w:t xml:space="preserve"> </w:t>
      </w:r>
      <w:r w:rsidR="00766853">
        <w:rPr>
          <w:rFonts w:ascii="Times New Roman" w:hAnsi="Times New Roman" w:cs="Times New Roman"/>
          <w:sz w:val="32"/>
          <w:szCs w:val="32"/>
        </w:rPr>
        <w:t>limiti</w:t>
      </w:r>
      <w:r w:rsidR="00C64C24" w:rsidRPr="00C64C24">
        <w:rPr>
          <w:rFonts w:ascii="Times New Roman" w:hAnsi="Times New Roman" w:cs="Times New Roman"/>
          <w:sz w:val="32"/>
          <w:szCs w:val="32"/>
        </w:rPr>
        <w:t xml:space="preserve"> il potere del giudice comune di </w:t>
      </w:r>
      <w:r w:rsidR="00C94B49">
        <w:rPr>
          <w:rFonts w:ascii="Times New Roman" w:hAnsi="Times New Roman" w:cs="Times New Roman"/>
          <w:sz w:val="32"/>
          <w:szCs w:val="32"/>
        </w:rPr>
        <w:t xml:space="preserve">‘non </w:t>
      </w:r>
      <w:r w:rsidR="00C94B49">
        <w:rPr>
          <w:rFonts w:ascii="Times New Roman" w:hAnsi="Times New Roman" w:cs="Times New Roman"/>
          <w:sz w:val="32"/>
          <w:szCs w:val="32"/>
        </w:rPr>
        <w:lastRenderedPageBreak/>
        <w:t>applicare’</w:t>
      </w:r>
      <w:r w:rsidR="00C64C24" w:rsidRPr="00C64C24">
        <w:rPr>
          <w:rFonts w:ascii="Times New Roman" w:hAnsi="Times New Roman" w:cs="Times New Roman"/>
          <w:sz w:val="32"/>
          <w:szCs w:val="32"/>
        </w:rPr>
        <w:t xml:space="preserve"> una norma interna che abbia superato il vaglio di legittimità costituzionale (anche, eventualmente, sotto il profilo della conformità alla CDFUE quale norma interposta rispetto agli artt. 11 e 117 </w:t>
      </w:r>
      <w:proofErr w:type="spellStart"/>
      <w:r w:rsidR="00C64C24" w:rsidRPr="00C64C24">
        <w:rPr>
          <w:rFonts w:ascii="Times New Roman" w:hAnsi="Times New Roman" w:cs="Times New Roman"/>
          <w:sz w:val="32"/>
          <w:szCs w:val="32"/>
        </w:rPr>
        <w:t>Cost</w:t>
      </w:r>
      <w:proofErr w:type="spellEnd"/>
      <w:r w:rsidR="00C64C24" w:rsidRPr="00C64C24">
        <w:rPr>
          <w:rFonts w:ascii="Times New Roman" w:hAnsi="Times New Roman" w:cs="Times New Roman"/>
          <w:sz w:val="32"/>
          <w:szCs w:val="32"/>
        </w:rPr>
        <w:t>.)</w:t>
      </w:r>
      <w:r w:rsidR="00766853">
        <w:rPr>
          <w:rFonts w:ascii="Times New Roman" w:hAnsi="Times New Roman" w:cs="Times New Roman"/>
          <w:sz w:val="32"/>
          <w:szCs w:val="32"/>
        </w:rPr>
        <w:t>,</w:t>
      </w:r>
      <w:r w:rsidR="00C64C24" w:rsidRPr="00C64C24">
        <w:rPr>
          <w:rFonts w:ascii="Times New Roman" w:hAnsi="Times New Roman" w:cs="Times New Roman"/>
          <w:sz w:val="32"/>
          <w:szCs w:val="32"/>
        </w:rPr>
        <w:t xml:space="preserve"> </w:t>
      </w:r>
      <w:r w:rsidR="00907B86">
        <w:rPr>
          <w:rFonts w:ascii="Times New Roman" w:hAnsi="Times New Roman" w:cs="Times New Roman"/>
          <w:sz w:val="32"/>
          <w:szCs w:val="32"/>
        </w:rPr>
        <w:t xml:space="preserve">nel senso di </w:t>
      </w:r>
      <w:r w:rsidR="00C94B49">
        <w:rPr>
          <w:rFonts w:ascii="Times New Roman" w:hAnsi="Times New Roman" w:cs="Times New Roman"/>
          <w:sz w:val="32"/>
          <w:szCs w:val="32"/>
        </w:rPr>
        <w:t>confinare</w:t>
      </w:r>
      <w:r w:rsidR="00907B86">
        <w:rPr>
          <w:rFonts w:ascii="Times New Roman" w:hAnsi="Times New Roman" w:cs="Times New Roman"/>
          <w:sz w:val="32"/>
          <w:szCs w:val="32"/>
        </w:rPr>
        <w:t xml:space="preserve"> tale potere</w:t>
      </w:r>
      <w:r w:rsidR="00C64C24" w:rsidRPr="00C64C24">
        <w:rPr>
          <w:rFonts w:ascii="Times New Roman" w:hAnsi="Times New Roman" w:cs="Times New Roman"/>
          <w:sz w:val="32"/>
          <w:szCs w:val="32"/>
        </w:rPr>
        <w:t xml:space="preserve"> a profili diversi da quelli esaminati dalla Corte costituzionale </w:t>
      </w:r>
      <w:r w:rsidR="00766853">
        <w:rPr>
          <w:rFonts w:ascii="Times New Roman" w:hAnsi="Times New Roman" w:cs="Times New Roman"/>
          <w:sz w:val="32"/>
          <w:szCs w:val="32"/>
        </w:rPr>
        <w:t>e</w:t>
      </w:r>
      <w:r w:rsidR="00907B86">
        <w:rPr>
          <w:rFonts w:ascii="Times New Roman" w:hAnsi="Times New Roman" w:cs="Times New Roman"/>
          <w:sz w:val="32"/>
          <w:szCs w:val="32"/>
        </w:rPr>
        <w:t xml:space="preserve"> di escludere</w:t>
      </w:r>
      <w:r w:rsidR="00766853">
        <w:rPr>
          <w:rFonts w:ascii="Times New Roman" w:hAnsi="Times New Roman" w:cs="Times New Roman"/>
          <w:sz w:val="32"/>
          <w:szCs w:val="32"/>
        </w:rPr>
        <w:t xml:space="preserve"> </w:t>
      </w:r>
      <w:r w:rsidR="00A12556">
        <w:rPr>
          <w:rFonts w:ascii="Times New Roman" w:hAnsi="Times New Roman" w:cs="Times New Roman"/>
          <w:sz w:val="32"/>
          <w:szCs w:val="32"/>
        </w:rPr>
        <w:t xml:space="preserve">che </w:t>
      </w:r>
      <w:r w:rsidR="00766853">
        <w:rPr>
          <w:rFonts w:ascii="Times New Roman" w:hAnsi="Times New Roman" w:cs="Times New Roman"/>
          <w:sz w:val="32"/>
          <w:szCs w:val="32"/>
        </w:rPr>
        <w:t>esso</w:t>
      </w:r>
      <w:r w:rsidR="00C64C24" w:rsidRPr="00C64C24">
        <w:rPr>
          <w:rFonts w:ascii="Times New Roman" w:hAnsi="Times New Roman" w:cs="Times New Roman"/>
          <w:sz w:val="32"/>
          <w:szCs w:val="32"/>
        </w:rPr>
        <w:t xml:space="preserve"> </w:t>
      </w:r>
      <w:r w:rsidR="002D6191">
        <w:rPr>
          <w:rFonts w:ascii="Times New Roman" w:hAnsi="Times New Roman" w:cs="Times New Roman"/>
          <w:sz w:val="32"/>
          <w:szCs w:val="32"/>
        </w:rPr>
        <w:t>possa</w:t>
      </w:r>
      <w:r w:rsidR="00E14DDF">
        <w:rPr>
          <w:rFonts w:ascii="Times New Roman" w:hAnsi="Times New Roman" w:cs="Times New Roman"/>
          <w:sz w:val="32"/>
          <w:szCs w:val="32"/>
        </w:rPr>
        <w:t xml:space="preserve"> estend</w:t>
      </w:r>
      <w:r w:rsidR="002D6191">
        <w:rPr>
          <w:rFonts w:ascii="Times New Roman" w:hAnsi="Times New Roman" w:cs="Times New Roman"/>
          <w:sz w:val="32"/>
          <w:szCs w:val="32"/>
        </w:rPr>
        <w:t>ersi</w:t>
      </w:r>
      <w:r w:rsidR="00E14DDF">
        <w:rPr>
          <w:rFonts w:ascii="Times New Roman" w:hAnsi="Times New Roman" w:cs="Times New Roman"/>
          <w:sz w:val="32"/>
          <w:szCs w:val="32"/>
        </w:rPr>
        <w:t xml:space="preserve"> anche </w:t>
      </w:r>
      <w:r w:rsidR="00766853" w:rsidRPr="00766853">
        <w:rPr>
          <w:rFonts w:ascii="Times New Roman" w:hAnsi="Times New Roman" w:cs="Times New Roman"/>
          <w:sz w:val="32"/>
          <w:szCs w:val="32"/>
        </w:rPr>
        <w:t xml:space="preserve">ai medesimi profili che la Corte costituzionale abbia già esaminato senza </w:t>
      </w:r>
      <w:r w:rsidR="00A16F46">
        <w:rPr>
          <w:rFonts w:ascii="Times New Roman" w:hAnsi="Times New Roman" w:cs="Times New Roman"/>
          <w:sz w:val="32"/>
          <w:szCs w:val="32"/>
        </w:rPr>
        <w:t>attivare</w:t>
      </w:r>
      <w:r w:rsidR="00766853" w:rsidRPr="00766853">
        <w:rPr>
          <w:rFonts w:ascii="Times New Roman" w:hAnsi="Times New Roman" w:cs="Times New Roman"/>
          <w:sz w:val="32"/>
          <w:szCs w:val="32"/>
        </w:rPr>
        <w:t xml:space="preserve"> il rinvio pregiudiziale </w:t>
      </w:r>
      <w:r w:rsidR="00766853" w:rsidRPr="00A16F46">
        <w:rPr>
          <w:rFonts w:ascii="Times New Roman" w:hAnsi="Times New Roman" w:cs="Times New Roman"/>
          <w:i/>
          <w:sz w:val="32"/>
          <w:szCs w:val="32"/>
        </w:rPr>
        <w:t>ex</w:t>
      </w:r>
      <w:r w:rsidR="00A16F46">
        <w:rPr>
          <w:rFonts w:ascii="Times New Roman" w:hAnsi="Times New Roman" w:cs="Times New Roman"/>
          <w:sz w:val="32"/>
          <w:szCs w:val="32"/>
        </w:rPr>
        <w:t xml:space="preserve"> art. 267 TFUE</w:t>
      </w:r>
      <w:r w:rsidR="00C64C24">
        <w:rPr>
          <w:rFonts w:ascii="Times New Roman" w:hAnsi="Times New Roman" w:cs="Times New Roman"/>
          <w:sz w:val="32"/>
          <w:szCs w:val="32"/>
        </w:rPr>
        <w:t xml:space="preserve">. </w:t>
      </w:r>
    </w:p>
    <w:p w:rsidR="00A16F46" w:rsidRDefault="00931BB7" w:rsidP="00F34777">
      <w:pPr>
        <w:jc w:val="both"/>
        <w:rPr>
          <w:rFonts w:ascii="Times New Roman" w:hAnsi="Times New Roman" w:cs="Times New Roman"/>
          <w:sz w:val="32"/>
          <w:szCs w:val="32"/>
        </w:rPr>
      </w:pPr>
      <w:r>
        <w:rPr>
          <w:rFonts w:ascii="Times New Roman" w:hAnsi="Times New Roman" w:cs="Times New Roman"/>
          <w:sz w:val="32"/>
          <w:szCs w:val="32"/>
        </w:rPr>
        <w:t>T</w:t>
      </w:r>
      <w:r w:rsidR="00C64C24">
        <w:rPr>
          <w:rFonts w:ascii="Times New Roman" w:hAnsi="Times New Roman" w:cs="Times New Roman"/>
          <w:sz w:val="32"/>
          <w:szCs w:val="32"/>
        </w:rPr>
        <w:t xml:space="preserve">ale </w:t>
      </w:r>
      <w:r w:rsidR="00A12556">
        <w:rPr>
          <w:rFonts w:ascii="Times New Roman" w:hAnsi="Times New Roman" w:cs="Times New Roman"/>
          <w:sz w:val="32"/>
          <w:szCs w:val="32"/>
        </w:rPr>
        <w:t>problematica</w:t>
      </w:r>
      <w:r w:rsidR="00C64C24">
        <w:rPr>
          <w:rFonts w:ascii="Times New Roman" w:hAnsi="Times New Roman" w:cs="Times New Roman"/>
          <w:sz w:val="32"/>
          <w:szCs w:val="32"/>
        </w:rPr>
        <w:t xml:space="preserve"> </w:t>
      </w:r>
      <w:r w:rsidR="00766853">
        <w:rPr>
          <w:rFonts w:ascii="Times New Roman" w:hAnsi="Times New Roman" w:cs="Times New Roman"/>
          <w:sz w:val="32"/>
          <w:szCs w:val="32"/>
        </w:rPr>
        <w:t>emerge</w:t>
      </w:r>
      <w:r w:rsidR="00C64C24">
        <w:rPr>
          <w:rFonts w:ascii="Times New Roman" w:hAnsi="Times New Roman" w:cs="Times New Roman"/>
          <w:sz w:val="32"/>
          <w:szCs w:val="32"/>
        </w:rPr>
        <w:t xml:space="preserve"> </w:t>
      </w:r>
      <w:r w:rsidR="00A16F46">
        <w:rPr>
          <w:rFonts w:ascii="Times New Roman" w:hAnsi="Times New Roman" w:cs="Times New Roman"/>
          <w:sz w:val="32"/>
          <w:szCs w:val="32"/>
        </w:rPr>
        <w:t>da</w:t>
      </w:r>
      <w:r w:rsidR="006F442D">
        <w:rPr>
          <w:rFonts w:ascii="Times New Roman" w:hAnsi="Times New Roman" w:cs="Times New Roman"/>
          <w:sz w:val="32"/>
          <w:szCs w:val="32"/>
        </w:rPr>
        <w:t>i passaggi</w:t>
      </w:r>
      <w:r w:rsidR="00C64C24">
        <w:rPr>
          <w:rFonts w:ascii="Times New Roman" w:hAnsi="Times New Roman" w:cs="Times New Roman"/>
          <w:sz w:val="32"/>
          <w:szCs w:val="32"/>
        </w:rPr>
        <w:t xml:space="preserve"> della sentenza</w:t>
      </w:r>
      <w:r w:rsidR="00102EB8">
        <w:rPr>
          <w:rFonts w:ascii="Times New Roman" w:hAnsi="Times New Roman" w:cs="Times New Roman"/>
          <w:sz w:val="32"/>
          <w:szCs w:val="32"/>
        </w:rPr>
        <w:t>, nella quale</w:t>
      </w:r>
      <w:r w:rsidR="00C94B49">
        <w:rPr>
          <w:rFonts w:ascii="Times New Roman" w:hAnsi="Times New Roman" w:cs="Times New Roman"/>
          <w:sz w:val="32"/>
          <w:szCs w:val="32"/>
        </w:rPr>
        <w:t>, sul</w:t>
      </w:r>
      <w:r w:rsidR="00981CA3">
        <w:rPr>
          <w:rFonts w:ascii="Times New Roman" w:hAnsi="Times New Roman" w:cs="Times New Roman"/>
          <w:sz w:val="32"/>
          <w:szCs w:val="32"/>
        </w:rPr>
        <w:t>la premessa che «</w:t>
      </w:r>
      <w:r w:rsidR="00981CA3" w:rsidRPr="00981CA3">
        <w:rPr>
          <w:rFonts w:ascii="Times New Roman" w:hAnsi="Times New Roman" w:cs="Times New Roman"/>
          <w:i/>
          <w:sz w:val="32"/>
          <w:szCs w:val="32"/>
        </w:rPr>
        <w:t xml:space="preserve">i principi e i diritti enunciati nella Carta intersecano in gran misura i principi e i diritti garantiti dalla Costituzione </w:t>
      </w:r>
      <w:proofErr w:type="spellStart"/>
      <w:r w:rsidR="00981CA3" w:rsidRPr="00981CA3">
        <w:rPr>
          <w:rFonts w:ascii="Times New Roman" w:hAnsi="Times New Roman" w:cs="Times New Roman"/>
          <w:i/>
          <w:sz w:val="32"/>
          <w:szCs w:val="32"/>
        </w:rPr>
        <w:t>italina</w:t>
      </w:r>
      <w:proofErr w:type="spellEnd"/>
      <w:r w:rsidR="00981CA3" w:rsidRPr="00981CA3">
        <w:rPr>
          <w:rFonts w:ascii="Times New Roman" w:hAnsi="Times New Roman" w:cs="Times New Roman"/>
          <w:i/>
          <w:sz w:val="32"/>
          <w:szCs w:val="32"/>
        </w:rPr>
        <w:t xml:space="preserve"> (e dalle altre Costituzioni nazionali degli Stati membri). Sicché può darsi il caso che la violazione di un diritto della persona infranga, ad un tempo, sia le garanzie presidiate dalla Costituzione italiana, sia quelle codificate dalla Carta dei diritti dell’Unione</w:t>
      </w:r>
      <w:r w:rsidR="00981CA3">
        <w:rPr>
          <w:rFonts w:ascii="Times New Roman" w:hAnsi="Times New Roman" w:cs="Times New Roman"/>
          <w:sz w:val="32"/>
          <w:szCs w:val="32"/>
        </w:rPr>
        <w:t>»,</w:t>
      </w:r>
      <w:r w:rsidR="006F442D">
        <w:rPr>
          <w:rFonts w:ascii="Times New Roman" w:hAnsi="Times New Roman" w:cs="Times New Roman"/>
          <w:sz w:val="32"/>
          <w:szCs w:val="32"/>
        </w:rPr>
        <w:t xml:space="preserve"> si afferma che</w:t>
      </w:r>
      <w:r w:rsidR="00A16F46">
        <w:rPr>
          <w:rFonts w:ascii="Times New Roman" w:hAnsi="Times New Roman" w:cs="Times New Roman"/>
          <w:sz w:val="32"/>
          <w:szCs w:val="32"/>
        </w:rPr>
        <w:t xml:space="preserve">: </w:t>
      </w:r>
    </w:p>
    <w:p w:rsidR="00A16F46" w:rsidRDefault="00A16F46" w:rsidP="00F34777">
      <w:pPr>
        <w:jc w:val="both"/>
        <w:rPr>
          <w:rFonts w:ascii="Times New Roman" w:hAnsi="Times New Roman" w:cs="Times New Roman"/>
          <w:sz w:val="32"/>
          <w:szCs w:val="32"/>
        </w:rPr>
      </w:pPr>
      <w:r>
        <w:rPr>
          <w:rFonts w:ascii="Times New Roman" w:hAnsi="Times New Roman" w:cs="Times New Roman"/>
          <w:sz w:val="32"/>
          <w:szCs w:val="32"/>
        </w:rPr>
        <w:t>-</w:t>
      </w:r>
      <w:r w:rsidR="006F442D">
        <w:rPr>
          <w:rFonts w:ascii="Times New Roman" w:hAnsi="Times New Roman" w:cs="Times New Roman"/>
          <w:sz w:val="32"/>
          <w:szCs w:val="32"/>
        </w:rPr>
        <w:t xml:space="preserve"> </w:t>
      </w:r>
      <w:r w:rsidR="006F442D" w:rsidRPr="006F442D">
        <w:rPr>
          <w:rFonts w:ascii="Times New Roman" w:hAnsi="Times New Roman" w:cs="Times New Roman"/>
          <w:sz w:val="32"/>
          <w:szCs w:val="32"/>
        </w:rPr>
        <w:t xml:space="preserve">le violazioni dei diritti della persona postulano la necessità di un intervento </w:t>
      </w:r>
      <w:r w:rsidR="006F442D" w:rsidRPr="006F442D">
        <w:rPr>
          <w:rFonts w:ascii="Times New Roman" w:hAnsi="Times New Roman" w:cs="Times New Roman"/>
          <w:i/>
          <w:sz w:val="32"/>
          <w:szCs w:val="32"/>
        </w:rPr>
        <w:t xml:space="preserve">erga </w:t>
      </w:r>
      <w:proofErr w:type="spellStart"/>
      <w:r w:rsidR="006F442D" w:rsidRPr="006F442D">
        <w:rPr>
          <w:rFonts w:ascii="Times New Roman" w:hAnsi="Times New Roman" w:cs="Times New Roman"/>
          <w:i/>
          <w:sz w:val="32"/>
          <w:szCs w:val="32"/>
        </w:rPr>
        <w:t>omnes</w:t>
      </w:r>
      <w:proofErr w:type="spellEnd"/>
      <w:r w:rsidR="006F442D" w:rsidRPr="006F442D">
        <w:rPr>
          <w:rFonts w:ascii="Times New Roman" w:hAnsi="Times New Roman" w:cs="Times New Roman"/>
          <w:sz w:val="32"/>
          <w:szCs w:val="32"/>
        </w:rPr>
        <w:t xml:space="preserve"> </w:t>
      </w:r>
      <w:r w:rsidR="006F442D">
        <w:rPr>
          <w:rFonts w:ascii="Times New Roman" w:hAnsi="Times New Roman" w:cs="Times New Roman"/>
          <w:sz w:val="32"/>
          <w:szCs w:val="32"/>
        </w:rPr>
        <w:t xml:space="preserve">della </w:t>
      </w:r>
      <w:r w:rsidR="006F442D" w:rsidRPr="006F442D">
        <w:rPr>
          <w:rFonts w:ascii="Times New Roman" w:hAnsi="Times New Roman" w:cs="Times New Roman"/>
          <w:sz w:val="32"/>
          <w:szCs w:val="32"/>
        </w:rPr>
        <w:t>Corte</w:t>
      </w:r>
      <w:r w:rsidR="00C7548B">
        <w:rPr>
          <w:rFonts w:ascii="Times New Roman" w:hAnsi="Times New Roman" w:cs="Times New Roman"/>
          <w:sz w:val="32"/>
          <w:szCs w:val="32"/>
        </w:rPr>
        <w:t xml:space="preserve"> c</w:t>
      </w:r>
      <w:r w:rsidR="006F442D">
        <w:rPr>
          <w:rFonts w:ascii="Times New Roman" w:hAnsi="Times New Roman" w:cs="Times New Roman"/>
          <w:sz w:val="32"/>
          <w:szCs w:val="32"/>
        </w:rPr>
        <w:t>ostituzionale «</w:t>
      </w:r>
      <w:r w:rsidR="006F442D" w:rsidRPr="006F442D">
        <w:rPr>
          <w:rFonts w:ascii="Times New Roman" w:hAnsi="Times New Roman" w:cs="Times New Roman"/>
          <w:i/>
          <w:sz w:val="32"/>
          <w:szCs w:val="32"/>
        </w:rPr>
        <w:t xml:space="preserve">anche in virtù del principio che situa il sindacato accentrato di costituzionalità delle leggi a fondamento dell’architettura costituzionale (art. 134 </w:t>
      </w:r>
      <w:proofErr w:type="spellStart"/>
      <w:r w:rsidR="006F442D" w:rsidRPr="006F442D">
        <w:rPr>
          <w:rFonts w:ascii="Times New Roman" w:hAnsi="Times New Roman" w:cs="Times New Roman"/>
          <w:i/>
          <w:sz w:val="32"/>
          <w:szCs w:val="32"/>
        </w:rPr>
        <w:t>Cost</w:t>
      </w:r>
      <w:proofErr w:type="spellEnd"/>
      <w:r w:rsidR="006F442D" w:rsidRPr="006F442D">
        <w:rPr>
          <w:rFonts w:ascii="Times New Roman" w:hAnsi="Times New Roman" w:cs="Times New Roman"/>
          <w:i/>
          <w:sz w:val="32"/>
          <w:szCs w:val="32"/>
        </w:rPr>
        <w:t>.)</w:t>
      </w:r>
      <w:r w:rsidR="006F442D">
        <w:rPr>
          <w:rFonts w:ascii="Times New Roman" w:hAnsi="Times New Roman" w:cs="Times New Roman"/>
          <w:sz w:val="32"/>
          <w:szCs w:val="32"/>
        </w:rPr>
        <w:t>»</w:t>
      </w:r>
      <w:r>
        <w:rPr>
          <w:rFonts w:ascii="Times New Roman" w:hAnsi="Times New Roman" w:cs="Times New Roman"/>
          <w:sz w:val="32"/>
          <w:szCs w:val="32"/>
        </w:rPr>
        <w:t xml:space="preserve">; </w:t>
      </w:r>
    </w:p>
    <w:p w:rsidR="00A16F46" w:rsidRDefault="00A16F46" w:rsidP="00F34777">
      <w:pPr>
        <w:jc w:val="both"/>
        <w:rPr>
          <w:rFonts w:ascii="Times New Roman" w:hAnsi="Times New Roman" w:cs="Times New Roman"/>
          <w:sz w:val="32"/>
          <w:szCs w:val="32"/>
        </w:rPr>
      </w:pPr>
      <w:r>
        <w:rPr>
          <w:rFonts w:ascii="Times New Roman" w:hAnsi="Times New Roman" w:cs="Times New Roman"/>
          <w:sz w:val="32"/>
          <w:szCs w:val="32"/>
        </w:rPr>
        <w:t>-</w:t>
      </w:r>
      <w:r w:rsidR="006F442D">
        <w:rPr>
          <w:rFonts w:ascii="Times New Roman" w:hAnsi="Times New Roman" w:cs="Times New Roman"/>
          <w:sz w:val="32"/>
          <w:szCs w:val="32"/>
        </w:rPr>
        <w:t xml:space="preserve"> «</w:t>
      </w:r>
      <w:r w:rsidR="006F442D" w:rsidRPr="006F442D">
        <w:rPr>
          <w:rFonts w:ascii="Times New Roman" w:hAnsi="Times New Roman" w:cs="Times New Roman"/>
          <w:i/>
          <w:sz w:val="32"/>
          <w:szCs w:val="32"/>
        </w:rPr>
        <w:t xml:space="preserve">la Corte giudicherà alla luce dei parametri interni ed eventualmente di quelli europei (ex artt. 11 e 117 </w:t>
      </w:r>
      <w:proofErr w:type="spellStart"/>
      <w:r w:rsidR="006F442D" w:rsidRPr="006F442D">
        <w:rPr>
          <w:rFonts w:ascii="Times New Roman" w:hAnsi="Times New Roman" w:cs="Times New Roman"/>
          <w:i/>
          <w:sz w:val="32"/>
          <w:szCs w:val="32"/>
        </w:rPr>
        <w:t>Cost</w:t>
      </w:r>
      <w:proofErr w:type="spellEnd"/>
      <w:r w:rsidR="006F442D" w:rsidRPr="006F442D">
        <w:rPr>
          <w:rFonts w:ascii="Times New Roman" w:hAnsi="Times New Roman" w:cs="Times New Roman"/>
          <w:i/>
          <w:sz w:val="32"/>
          <w:szCs w:val="32"/>
        </w:rPr>
        <w:t>.), secondo l’ordine di volta in volta appropriato, anche al fine di assicurare che i diritti garantiti dalla citata Carta dei diritti siano interpretati in armonia con le tradizioni costituzionali, pure richiamate dall’art. 6 del Trattato sull’Unione europea e dall’art. 52, comma 4, della CDFUE come fonti rilevanti in tale ambito</w:t>
      </w:r>
      <w:r w:rsidR="006F442D">
        <w:rPr>
          <w:rFonts w:ascii="Times New Roman" w:hAnsi="Times New Roman" w:cs="Times New Roman"/>
          <w:sz w:val="32"/>
          <w:szCs w:val="32"/>
        </w:rPr>
        <w:t>»</w:t>
      </w:r>
      <w:r>
        <w:rPr>
          <w:rFonts w:ascii="Times New Roman" w:hAnsi="Times New Roman" w:cs="Times New Roman"/>
          <w:sz w:val="32"/>
          <w:szCs w:val="32"/>
        </w:rPr>
        <w:t xml:space="preserve">; </w:t>
      </w:r>
    </w:p>
    <w:p w:rsidR="00981CA3" w:rsidRDefault="00A16F46" w:rsidP="00F34777">
      <w:pPr>
        <w:jc w:val="both"/>
        <w:rPr>
          <w:rFonts w:ascii="Times New Roman" w:hAnsi="Times New Roman" w:cs="Times New Roman"/>
          <w:sz w:val="32"/>
          <w:szCs w:val="32"/>
        </w:rPr>
      </w:pPr>
      <w:r>
        <w:rPr>
          <w:rFonts w:ascii="Times New Roman" w:hAnsi="Times New Roman" w:cs="Times New Roman"/>
          <w:sz w:val="32"/>
          <w:szCs w:val="32"/>
        </w:rPr>
        <w:t>-</w:t>
      </w:r>
      <w:r w:rsidR="006F442D">
        <w:rPr>
          <w:rFonts w:ascii="Times New Roman" w:hAnsi="Times New Roman" w:cs="Times New Roman"/>
          <w:sz w:val="32"/>
          <w:szCs w:val="32"/>
        </w:rPr>
        <w:t xml:space="preserve"> </w:t>
      </w:r>
      <w:r w:rsidR="00981CA3">
        <w:rPr>
          <w:rFonts w:ascii="Times New Roman" w:hAnsi="Times New Roman" w:cs="Times New Roman"/>
          <w:sz w:val="32"/>
          <w:szCs w:val="32"/>
        </w:rPr>
        <w:t>resta fermo</w:t>
      </w:r>
      <w:r w:rsidR="001816D4">
        <w:rPr>
          <w:rFonts w:ascii="Times New Roman" w:hAnsi="Times New Roman" w:cs="Times New Roman"/>
          <w:sz w:val="32"/>
          <w:szCs w:val="32"/>
        </w:rPr>
        <w:t xml:space="preserve"> il potere del giudice comune «</w:t>
      </w:r>
      <w:r w:rsidR="001816D4" w:rsidRPr="001816D4">
        <w:rPr>
          <w:rFonts w:ascii="Times New Roman" w:hAnsi="Times New Roman" w:cs="Times New Roman"/>
          <w:i/>
          <w:sz w:val="32"/>
          <w:szCs w:val="32"/>
        </w:rPr>
        <w:t>di disapplicare, al termine del giudizio incidentale di legittimità costituzionale, la disposizione legislativa nazionale in questione che abbia superato il vaglio di costituzionalità, ove</w:t>
      </w:r>
      <w:r w:rsidR="001816D4" w:rsidRPr="00E14DDF">
        <w:rPr>
          <w:rFonts w:ascii="Times New Roman" w:hAnsi="Times New Roman" w:cs="Times New Roman"/>
          <w:i/>
          <w:sz w:val="32"/>
          <w:szCs w:val="32"/>
        </w:rPr>
        <w:t xml:space="preserve">, per altri profili, </w:t>
      </w:r>
      <w:r w:rsidR="001816D4" w:rsidRPr="001816D4">
        <w:rPr>
          <w:rFonts w:ascii="Times New Roman" w:hAnsi="Times New Roman" w:cs="Times New Roman"/>
          <w:i/>
          <w:sz w:val="32"/>
          <w:szCs w:val="32"/>
        </w:rPr>
        <w:t>la ritengano contraria al diritto dell’Unione</w:t>
      </w:r>
      <w:r w:rsidR="001816D4">
        <w:rPr>
          <w:rFonts w:ascii="Times New Roman" w:hAnsi="Times New Roman" w:cs="Times New Roman"/>
          <w:sz w:val="32"/>
          <w:szCs w:val="32"/>
        </w:rPr>
        <w:t>»</w:t>
      </w:r>
      <w:r w:rsidR="00981CA3">
        <w:rPr>
          <w:rFonts w:ascii="Times New Roman" w:hAnsi="Times New Roman" w:cs="Times New Roman"/>
          <w:sz w:val="32"/>
          <w:szCs w:val="32"/>
        </w:rPr>
        <w:t xml:space="preserve">, </w:t>
      </w:r>
    </w:p>
    <w:p w:rsidR="00A16F46" w:rsidRDefault="00981CA3" w:rsidP="00F34777">
      <w:pPr>
        <w:jc w:val="both"/>
        <w:rPr>
          <w:rFonts w:ascii="Times New Roman" w:hAnsi="Times New Roman" w:cs="Times New Roman"/>
          <w:sz w:val="32"/>
          <w:szCs w:val="32"/>
        </w:rPr>
      </w:pPr>
      <w:r>
        <w:rPr>
          <w:rFonts w:ascii="Times New Roman" w:hAnsi="Times New Roman" w:cs="Times New Roman"/>
          <w:sz w:val="32"/>
          <w:szCs w:val="32"/>
        </w:rPr>
        <w:t>- «</w:t>
      </w:r>
      <w:r w:rsidRPr="00981CA3">
        <w:rPr>
          <w:rFonts w:ascii="Times New Roman" w:hAnsi="Times New Roman" w:cs="Times New Roman"/>
          <w:i/>
          <w:sz w:val="32"/>
          <w:szCs w:val="32"/>
        </w:rPr>
        <w:t xml:space="preserve">laddove una legge sia oggetto di dubbi di illegittimità tanto in riferimento ai diritti protetti dalla Costituzione italiana, quanto in relazione a quelli garantiti dalla Carta dei diritti fondamentali dell’Unione europea in ambito di rilevanza comunitaria, debba essere sollevata la questione di legittimità costituzionale, fatto salvo il ricorso, al rinvio pregiudiziale per le questioni </w:t>
      </w:r>
      <w:r w:rsidRPr="00981CA3">
        <w:rPr>
          <w:rFonts w:ascii="Times New Roman" w:hAnsi="Times New Roman" w:cs="Times New Roman"/>
          <w:i/>
          <w:sz w:val="32"/>
          <w:szCs w:val="32"/>
        </w:rPr>
        <w:lastRenderedPageBreak/>
        <w:t>di interpretazione o di invalidità del diritto dell’Unione, ai sensi dell’art. 267 del TFUE</w:t>
      </w:r>
      <w:r>
        <w:rPr>
          <w:rFonts w:ascii="Times New Roman" w:hAnsi="Times New Roman" w:cs="Times New Roman"/>
          <w:sz w:val="32"/>
          <w:szCs w:val="32"/>
        </w:rPr>
        <w:t>»</w:t>
      </w:r>
      <w:r w:rsidR="00A16F46">
        <w:rPr>
          <w:rStyle w:val="Rimandonotaapidipagina"/>
          <w:rFonts w:ascii="Times New Roman" w:hAnsi="Times New Roman" w:cs="Times New Roman"/>
          <w:sz w:val="32"/>
          <w:szCs w:val="32"/>
        </w:rPr>
        <w:footnoteReference w:id="30"/>
      </w:r>
      <w:r w:rsidR="00931BB7">
        <w:rPr>
          <w:rFonts w:ascii="Times New Roman" w:hAnsi="Times New Roman" w:cs="Times New Roman"/>
          <w:sz w:val="32"/>
          <w:szCs w:val="32"/>
        </w:rPr>
        <w:t xml:space="preserve">. </w:t>
      </w:r>
    </w:p>
    <w:p w:rsidR="009503B3" w:rsidRDefault="00931BB7" w:rsidP="00F34777">
      <w:pPr>
        <w:jc w:val="both"/>
        <w:rPr>
          <w:rFonts w:ascii="Times New Roman" w:hAnsi="Times New Roman" w:cs="Times New Roman"/>
          <w:sz w:val="32"/>
          <w:szCs w:val="32"/>
        </w:rPr>
      </w:pPr>
      <w:r>
        <w:rPr>
          <w:rFonts w:ascii="Times New Roman" w:hAnsi="Times New Roman" w:cs="Times New Roman"/>
          <w:sz w:val="32"/>
          <w:szCs w:val="32"/>
        </w:rPr>
        <w:t>D</w:t>
      </w:r>
      <w:r w:rsidR="00E14DDF">
        <w:rPr>
          <w:rFonts w:ascii="Times New Roman" w:hAnsi="Times New Roman" w:cs="Times New Roman"/>
          <w:sz w:val="32"/>
          <w:szCs w:val="32"/>
        </w:rPr>
        <w:t>a</w:t>
      </w:r>
      <w:r w:rsidR="00A16F46">
        <w:rPr>
          <w:rFonts w:ascii="Times New Roman" w:hAnsi="Times New Roman" w:cs="Times New Roman"/>
          <w:sz w:val="32"/>
          <w:szCs w:val="32"/>
        </w:rPr>
        <w:t>i</w:t>
      </w:r>
      <w:r>
        <w:rPr>
          <w:rFonts w:ascii="Times New Roman" w:hAnsi="Times New Roman" w:cs="Times New Roman"/>
          <w:sz w:val="32"/>
          <w:szCs w:val="32"/>
        </w:rPr>
        <w:t xml:space="preserve"> citat</w:t>
      </w:r>
      <w:r w:rsidR="00A16F46">
        <w:rPr>
          <w:rFonts w:ascii="Times New Roman" w:hAnsi="Times New Roman" w:cs="Times New Roman"/>
          <w:sz w:val="32"/>
          <w:szCs w:val="32"/>
        </w:rPr>
        <w:t xml:space="preserve">i </w:t>
      </w:r>
      <w:r w:rsidR="00E14DDF">
        <w:rPr>
          <w:rFonts w:ascii="Times New Roman" w:hAnsi="Times New Roman" w:cs="Times New Roman"/>
          <w:sz w:val="32"/>
          <w:szCs w:val="32"/>
        </w:rPr>
        <w:t>passaggi</w:t>
      </w:r>
      <w:r w:rsidR="009503B3">
        <w:rPr>
          <w:rFonts w:ascii="Times New Roman" w:hAnsi="Times New Roman" w:cs="Times New Roman"/>
          <w:sz w:val="32"/>
          <w:szCs w:val="32"/>
        </w:rPr>
        <w:t xml:space="preserve"> appare desumibile che, in caso di </w:t>
      </w:r>
      <w:r w:rsidR="00A12556">
        <w:rPr>
          <w:rFonts w:ascii="Times New Roman" w:hAnsi="Times New Roman" w:cs="Times New Roman"/>
          <w:sz w:val="32"/>
          <w:szCs w:val="32"/>
        </w:rPr>
        <w:t>sostanziale coincidenza</w:t>
      </w:r>
      <w:r w:rsidR="009503B3">
        <w:rPr>
          <w:rFonts w:ascii="Times New Roman" w:hAnsi="Times New Roman" w:cs="Times New Roman"/>
          <w:sz w:val="32"/>
          <w:szCs w:val="32"/>
        </w:rPr>
        <w:t xml:space="preserve"> tra diritti garantiti dalla CDFUE e diritti garantiti dalla Costituzione italiana, sussista l’obbligo dei giudici comuni di adire previamente la Corte costituzionale</w:t>
      </w:r>
      <w:r w:rsidR="00C94B49">
        <w:rPr>
          <w:rFonts w:ascii="Times New Roman" w:hAnsi="Times New Roman" w:cs="Times New Roman"/>
          <w:sz w:val="32"/>
          <w:szCs w:val="32"/>
        </w:rPr>
        <w:t>,</w:t>
      </w:r>
      <w:r w:rsidR="009503B3">
        <w:rPr>
          <w:rFonts w:ascii="Times New Roman" w:hAnsi="Times New Roman" w:cs="Times New Roman"/>
          <w:sz w:val="32"/>
          <w:szCs w:val="32"/>
        </w:rPr>
        <w:t xml:space="preserve"> e che, all’esito del giudizio di costituzionalità</w:t>
      </w:r>
      <w:r w:rsidR="00A12556">
        <w:rPr>
          <w:rFonts w:ascii="Times New Roman" w:hAnsi="Times New Roman" w:cs="Times New Roman"/>
          <w:sz w:val="32"/>
          <w:szCs w:val="32"/>
        </w:rPr>
        <w:t>,</w:t>
      </w:r>
      <w:r w:rsidR="009503B3">
        <w:rPr>
          <w:rFonts w:ascii="Times New Roman" w:hAnsi="Times New Roman" w:cs="Times New Roman"/>
          <w:sz w:val="32"/>
          <w:szCs w:val="32"/>
        </w:rPr>
        <w:t xml:space="preserve"> il potere/dovere del giudice comune di non applicare la disposizione nazionale che abbia superato il vaglio di costituzionalità</w:t>
      </w:r>
      <w:r w:rsidR="00063A91">
        <w:rPr>
          <w:rFonts w:ascii="Times New Roman" w:hAnsi="Times New Roman" w:cs="Times New Roman"/>
          <w:sz w:val="32"/>
          <w:szCs w:val="32"/>
        </w:rPr>
        <w:t xml:space="preserve">, ma che, secondo la valutazione del giudice </w:t>
      </w:r>
      <w:r w:rsidR="00063A91" w:rsidRPr="00063A91">
        <w:rPr>
          <w:rFonts w:ascii="Times New Roman" w:hAnsi="Times New Roman" w:cs="Times New Roman"/>
          <w:i/>
          <w:sz w:val="32"/>
          <w:szCs w:val="32"/>
        </w:rPr>
        <w:t>a quo</w:t>
      </w:r>
      <w:r w:rsidR="00063A91">
        <w:rPr>
          <w:rFonts w:ascii="Times New Roman" w:hAnsi="Times New Roman" w:cs="Times New Roman"/>
          <w:sz w:val="32"/>
          <w:szCs w:val="32"/>
        </w:rPr>
        <w:t>, continui a presentare profili di contrasto con la norma della CDFUE in concreto applicabile</w:t>
      </w:r>
      <w:r w:rsidR="00454521">
        <w:rPr>
          <w:rFonts w:ascii="Times New Roman" w:hAnsi="Times New Roman" w:cs="Times New Roman"/>
          <w:sz w:val="32"/>
          <w:szCs w:val="32"/>
        </w:rPr>
        <w:t xml:space="preserve">, </w:t>
      </w:r>
      <w:r w:rsidR="009503B3">
        <w:rPr>
          <w:rFonts w:ascii="Times New Roman" w:hAnsi="Times New Roman" w:cs="Times New Roman"/>
          <w:sz w:val="32"/>
          <w:szCs w:val="32"/>
        </w:rPr>
        <w:t xml:space="preserve">sia limitato </w:t>
      </w:r>
      <w:r w:rsidR="00454521">
        <w:rPr>
          <w:rFonts w:ascii="Times New Roman" w:hAnsi="Times New Roman" w:cs="Times New Roman"/>
          <w:sz w:val="32"/>
          <w:szCs w:val="32"/>
        </w:rPr>
        <w:t xml:space="preserve">alla ipotesi che tale giudice ravvisi – eventualmente </w:t>
      </w:r>
      <w:r w:rsidR="00C94B49">
        <w:rPr>
          <w:rFonts w:ascii="Times New Roman" w:hAnsi="Times New Roman" w:cs="Times New Roman"/>
          <w:sz w:val="32"/>
          <w:szCs w:val="32"/>
        </w:rPr>
        <w:t>anche dopo</w:t>
      </w:r>
      <w:r w:rsidR="00454521">
        <w:rPr>
          <w:rFonts w:ascii="Times New Roman" w:hAnsi="Times New Roman" w:cs="Times New Roman"/>
          <w:sz w:val="32"/>
          <w:szCs w:val="32"/>
        </w:rPr>
        <w:t xml:space="preserve"> un rinvio pregiudiziale alla Corte di giustizia </w:t>
      </w:r>
      <w:r w:rsidR="00454521" w:rsidRPr="00C94B49">
        <w:rPr>
          <w:rFonts w:ascii="Times New Roman" w:hAnsi="Times New Roman" w:cs="Times New Roman"/>
          <w:i/>
          <w:sz w:val="32"/>
          <w:szCs w:val="32"/>
        </w:rPr>
        <w:t>ex</w:t>
      </w:r>
      <w:r w:rsidR="00454521">
        <w:rPr>
          <w:rFonts w:ascii="Times New Roman" w:hAnsi="Times New Roman" w:cs="Times New Roman"/>
          <w:sz w:val="32"/>
          <w:szCs w:val="32"/>
        </w:rPr>
        <w:t xml:space="preserve"> art. 267 TFUE – profili </w:t>
      </w:r>
      <w:r w:rsidR="00C94B49">
        <w:rPr>
          <w:rFonts w:ascii="Times New Roman" w:hAnsi="Times New Roman" w:cs="Times New Roman"/>
          <w:sz w:val="32"/>
          <w:szCs w:val="32"/>
        </w:rPr>
        <w:t xml:space="preserve">di contrasto </w:t>
      </w:r>
      <w:r w:rsidR="00454521">
        <w:rPr>
          <w:rFonts w:ascii="Times New Roman" w:hAnsi="Times New Roman" w:cs="Times New Roman"/>
          <w:sz w:val="32"/>
          <w:szCs w:val="32"/>
        </w:rPr>
        <w:t>diversi da quelli già esaminati dalla Corte costituzionale.</w:t>
      </w:r>
      <w:r w:rsidR="00454521">
        <w:rPr>
          <w:rStyle w:val="Rimandonotaapidipagina"/>
          <w:rFonts w:ascii="Times New Roman" w:hAnsi="Times New Roman" w:cs="Times New Roman"/>
          <w:sz w:val="32"/>
          <w:szCs w:val="32"/>
        </w:rPr>
        <w:footnoteReference w:id="31"/>
      </w:r>
      <w:r w:rsidR="00454521">
        <w:rPr>
          <w:rFonts w:ascii="Times New Roman" w:hAnsi="Times New Roman" w:cs="Times New Roman"/>
          <w:sz w:val="32"/>
          <w:szCs w:val="32"/>
        </w:rPr>
        <w:t xml:space="preserve"> </w:t>
      </w:r>
    </w:p>
    <w:p w:rsidR="001D45DF" w:rsidRDefault="009E497E" w:rsidP="00F34777">
      <w:pPr>
        <w:jc w:val="both"/>
        <w:rPr>
          <w:rFonts w:ascii="Times New Roman" w:hAnsi="Times New Roman" w:cs="Times New Roman"/>
          <w:sz w:val="32"/>
          <w:szCs w:val="32"/>
        </w:rPr>
      </w:pPr>
      <w:r>
        <w:rPr>
          <w:rFonts w:ascii="Times New Roman" w:hAnsi="Times New Roman" w:cs="Times New Roman"/>
          <w:b/>
          <w:sz w:val="32"/>
          <w:szCs w:val="32"/>
        </w:rPr>
        <w:t>3.2.2.</w:t>
      </w:r>
      <w:r>
        <w:rPr>
          <w:rFonts w:ascii="Times New Roman" w:hAnsi="Times New Roman" w:cs="Times New Roman"/>
          <w:sz w:val="32"/>
          <w:szCs w:val="32"/>
        </w:rPr>
        <w:t xml:space="preserve"> La problematica in esame trova la sua origine </w:t>
      </w:r>
      <w:r w:rsidR="00C94B49">
        <w:rPr>
          <w:rFonts w:ascii="Times New Roman" w:hAnsi="Times New Roman" w:cs="Times New Roman"/>
          <w:sz w:val="32"/>
          <w:szCs w:val="32"/>
        </w:rPr>
        <w:t>n</w:t>
      </w:r>
      <w:r w:rsidRPr="009E497E">
        <w:rPr>
          <w:rFonts w:ascii="Times New Roman" w:hAnsi="Times New Roman" w:cs="Times New Roman"/>
          <w:sz w:val="32"/>
          <w:szCs w:val="32"/>
        </w:rPr>
        <w:t>elle trasformazioni che hanno riguardato il diritto dell’Unione europea e il sistema dei rapporti con gli ordinamenti nazionali dopo l’entrata in vigore del Trattato di Lisbon</w:t>
      </w:r>
      <w:r w:rsidR="00C16D3B">
        <w:rPr>
          <w:rFonts w:ascii="Times New Roman" w:hAnsi="Times New Roman" w:cs="Times New Roman"/>
          <w:sz w:val="32"/>
          <w:szCs w:val="32"/>
        </w:rPr>
        <w:t>a</w:t>
      </w:r>
      <w:r w:rsidRPr="009E497E">
        <w:rPr>
          <w:rFonts w:ascii="Times New Roman" w:hAnsi="Times New Roman" w:cs="Times New Roman"/>
          <w:sz w:val="32"/>
          <w:szCs w:val="32"/>
        </w:rPr>
        <w:t xml:space="preserve"> che, tra l’altro, ha attribuito effetti giuridici vincolanti alla CDFUE equiparandola ai Trattati</w:t>
      </w:r>
      <w:r w:rsidR="004E27EB">
        <w:rPr>
          <w:rFonts w:ascii="Times New Roman" w:hAnsi="Times New Roman" w:cs="Times New Roman"/>
          <w:sz w:val="32"/>
          <w:szCs w:val="32"/>
        </w:rPr>
        <w:t>.</w:t>
      </w:r>
      <w:r w:rsidR="004E27EB">
        <w:rPr>
          <w:rStyle w:val="Rimandonotaapidipagina"/>
          <w:rFonts w:ascii="Times New Roman" w:hAnsi="Times New Roman" w:cs="Times New Roman"/>
          <w:sz w:val="32"/>
          <w:szCs w:val="32"/>
        </w:rPr>
        <w:footnoteReference w:id="32"/>
      </w:r>
    </w:p>
    <w:p w:rsidR="00C94B49" w:rsidRDefault="001D45DF" w:rsidP="00F34777">
      <w:pPr>
        <w:jc w:val="both"/>
        <w:rPr>
          <w:rFonts w:ascii="Times New Roman" w:hAnsi="Times New Roman" w:cs="Times New Roman"/>
          <w:sz w:val="32"/>
          <w:szCs w:val="32"/>
        </w:rPr>
      </w:pPr>
      <w:r>
        <w:rPr>
          <w:rFonts w:ascii="Times New Roman" w:hAnsi="Times New Roman" w:cs="Times New Roman"/>
          <w:sz w:val="32"/>
          <w:szCs w:val="32"/>
        </w:rPr>
        <w:t>O</w:t>
      </w:r>
      <w:r w:rsidRPr="001D45DF">
        <w:rPr>
          <w:rFonts w:ascii="Times New Roman" w:hAnsi="Times New Roman" w:cs="Times New Roman"/>
          <w:sz w:val="32"/>
          <w:szCs w:val="32"/>
        </w:rPr>
        <w:t>ccorre</w:t>
      </w:r>
      <w:r>
        <w:rPr>
          <w:rFonts w:ascii="Times New Roman" w:hAnsi="Times New Roman" w:cs="Times New Roman"/>
          <w:sz w:val="32"/>
          <w:szCs w:val="32"/>
        </w:rPr>
        <w:t>, al riguardo, precisare, c</w:t>
      </w:r>
      <w:r w:rsidRPr="001D45DF">
        <w:rPr>
          <w:rFonts w:ascii="Times New Roman" w:hAnsi="Times New Roman" w:cs="Times New Roman"/>
          <w:sz w:val="32"/>
          <w:szCs w:val="32"/>
        </w:rPr>
        <w:t xml:space="preserve">he l’ambito di applicazione della Carta, per quanto </w:t>
      </w:r>
      <w:r w:rsidR="00C94B49">
        <w:rPr>
          <w:rFonts w:ascii="Times New Roman" w:hAnsi="Times New Roman" w:cs="Times New Roman"/>
          <w:sz w:val="32"/>
          <w:szCs w:val="32"/>
        </w:rPr>
        <w:t>concerne</w:t>
      </w:r>
      <w:r w:rsidRPr="001D45DF">
        <w:rPr>
          <w:rFonts w:ascii="Times New Roman" w:hAnsi="Times New Roman" w:cs="Times New Roman"/>
          <w:sz w:val="32"/>
          <w:szCs w:val="32"/>
        </w:rPr>
        <w:t xml:space="preserve"> l’operato degli Stati membri, è definito all’articolo 51, paragrafo 1, </w:t>
      </w:r>
      <w:r>
        <w:rPr>
          <w:rFonts w:ascii="Times New Roman" w:hAnsi="Times New Roman" w:cs="Times New Roman"/>
          <w:sz w:val="32"/>
          <w:szCs w:val="32"/>
        </w:rPr>
        <w:t>CDFUE</w:t>
      </w:r>
      <w:r w:rsidRPr="001D45DF">
        <w:rPr>
          <w:rFonts w:ascii="Times New Roman" w:hAnsi="Times New Roman" w:cs="Times New Roman"/>
          <w:sz w:val="32"/>
          <w:szCs w:val="32"/>
        </w:rPr>
        <w:t>, ai sensi del quale le disposizioni della Carta si applicano agli Stati membri esclusivamente nell’attuazione del diritto dell’Unione</w:t>
      </w:r>
      <w:r w:rsidR="00DB3CE4">
        <w:rPr>
          <w:rFonts w:ascii="Times New Roman" w:hAnsi="Times New Roman" w:cs="Times New Roman"/>
          <w:sz w:val="32"/>
          <w:szCs w:val="32"/>
        </w:rPr>
        <w:t>.</w:t>
      </w:r>
      <w:r>
        <w:rPr>
          <w:rStyle w:val="Rimandonotaapidipagina"/>
          <w:rFonts w:ascii="Times New Roman" w:hAnsi="Times New Roman" w:cs="Times New Roman"/>
          <w:sz w:val="32"/>
          <w:szCs w:val="32"/>
        </w:rPr>
        <w:footnoteReference w:id="33"/>
      </w:r>
      <w:r w:rsidR="00C94B49">
        <w:rPr>
          <w:rFonts w:ascii="Times New Roman" w:hAnsi="Times New Roman" w:cs="Times New Roman"/>
          <w:sz w:val="32"/>
          <w:szCs w:val="32"/>
        </w:rPr>
        <w:t xml:space="preserve"> </w:t>
      </w:r>
    </w:p>
    <w:p w:rsidR="009E497E" w:rsidRDefault="00C94B49" w:rsidP="00F34777">
      <w:pPr>
        <w:jc w:val="both"/>
        <w:rPr>
          <w:rFonts w:ascii="Times New Roman" w:hAnsi="Times New Roman" w:cs="Times New Roman"/>
          <w:sz w:val="32"/>
          <w:szCs w:val="32"/>
        </w:rPr>
      </w:pPr>
      <w:r>
        <w:rPr>
          <w:rFonts w:ascii="Times New Roman" w:hAnsi="Times New Roman" w:cs="Times New Roman"/>
          <w:sz w:val="32"/>
          <w:szCs w:val="32"/>
        </w:rPr>
        <w:lastRenderedPageBreak/>
        <w:t>Pertanto, s</w:t>
      </w:r>
      <w:r w:rsidR="00DB3CE4">
        <w:rPr>
          <w:rFonts w:ascii="Times New Roman" w:hAnsi="Times New Roman" w:cs="Times New Roman"/>
          <w:sz w:val="32"/>
          <w:szCs w:val="32"/>
        </w:rPr>
        <w:t>econdo la</w:t>
      </w:r>
      <w:r w:rsidR="00DB3CE4" w:rsidRPr="00DB3CE4">
        <w:rPr>
          <w:rFonts w:ascii="Times New Roman" w:hAnsi="Times New Roman" w:cs="Times New Roman"/>
          <w:sz w:val="32"/>
          <w:szCs w:val="32"/>
        </w:rPr>
        <w:t xml:space="preserve"> costante giurisprudenza della Corte </w:t>
      </w:r>
      <w:r w:rsidR="00DB3CE4">
        <w:rPr>
          <w:rFonts w:ascii="Times New Roman" w:hAnsi="Times New Roman" w:cs="Times New Roman"/>
          <w:sz w:val="32"/>
          <w:szCs w:val="32"/>
        </w:rPr>
        <w:t>di giustizia,</w:t>
      </w:r>
      <w:r w:rsidR="00DB3CE4" w:rsidRPr="00DB3CE4">
        <w:rPr>
          <w:rFonts w:ascii="Times New Roman" w:hAnsi="Times New Roman" w:cs="Times New Roman"/>
          <w:sz w:val="32"/>
          <w:szCs w:val="32"/>
        </w:rPr>
        <w:t xml:space="preserve"> i diritti fondamentali garantiti nell’ordinamento giuridico dell’Unione si applicano </w:t>
      </w:r>
      <w:r>
        <w:rPr>
          <w:rFonts w:ascii="Times New Roman" w:hAnsi="Times New Roman" w:cs="Times New Roman"/>
          <w:sz w:val="32"/>
          <w:szCs w:val="32"/>
        </w:rPr>
        <w:t>a</w:t>
      </w:r>
      <w:r w:rsidR="00DB3CE4" w:rsidRPr="00DB3CE4">
        <w:rPr>
          <w:rFonts w:ascii="Times New Roman" w:hAnsi="Times New Roman" w:cs="Times New Roman"/>
          <w:sz w:val="32"/>
          <w:szCs w:val="32"/>
        </w:rPr>
        <w:t xml:space="preserve"> tutte le situazioni disciplinate dal diritto dell’Unione, ma non al di fuori di esse. A tal proposito la Corte ha ricordato che essa, per quanto riguarda </w:t>
      </w:r>
      <w:r>
        <w:rPr>
          <w:rFonts w:ascii="Times New Roman" w:hAnsi="Times New Roman" w:cs="Times New Roman"/>
          <w:sz w:val="32"/>
          <w:szCs w:val="32"/>
        </w:rPr>
        <w:t>il parametro costituito dalle norme dell</w:t>
      </w:r>
      <w:r w:rsidR="00DB3CE4" w:rsidRPr="00DB3CE4">
        <w:rPr>
          <w:rFonts w:ascii="Times New Roman" w:hAnsi="Times New Roman" w:cs="Times New Roman"/>
          <w:sz w:val="32"/>
          <w:szCs w:val="32"/>
        </w:rPr>
        <w:t>a Carta, non può valutare una normat</w:t>
      </w:r>
      <w:r>
        <w:rPr>
          <w:rFonts w:ascii="Times New Roman" w:hAnsi="Times New Roman" w:cs="Times New Roman"/>
          <w:sz w:val="32"/>
          <w:szCs w:val="32"/>
        </w:rPr>
        <w:t>iva nazionale che non si colloca</w:t>
      </w:r>
      <w:r w:rsidR="00DB3CE4" w:rsidRPr="00DB3CE4">
        <w:rPr>
          <w:rFonts w:ascii="Times New Roman" w:hAnsi="Times New Roman" w:cs="Times New Roman"/>
          <w:sz w:val="32"/>
          <w:szCs w:val="32"/>
        </w:rPr>
        <w:t xml:space="preserve"> nell’ambito del diritto dell’Unione. Per contro, una volta che una siffatta normativa rientra nell’ambito di applicazione d</w:t>
      </w:r>
      <w:r w:rsidR="009B79C7">
        <w:rPr>
          <w:rFonts w:ascii="Times New Roman" w:hAnsi="Times New Roman" w:cs="Times New Roman"/>
          <w:sz w:val="32"/>
          <w:szCs w:val="32"/>
        </w:rPr>
        <w:t>el</w:t>
      </w:r>
      <w:r w:rsidR="00DB3CE4" w:rsidRPr="00DB3CE4">
        <w:rPr>
          <w:rFonts w:ascii="Times New Roman" w:hAnsi="Times New Roman" w:cs="Times New Roman"/>
          <w:sz w:val="32"/>
          <w:szCs w:val="32"/>
        </w:rPr>
        <w:t xml:space="preserve"> diritto</w:t>
      </w:r>
      <w:r w:rsidR="009B79C7">
        <w:rPr>
          <w:rFonts w:ascii="Times New Roman" w:hAnsi="Times New Roman" w:cs="Times New Roman"/>
          <w:sz w:val="32"/>
          <w:szCs w:val="32"/>
        </w:rPr>
        <w:t xml:space="preserve"> dell’Unione</w:t>
      </w:r>
      <w:r w:rsidR="00DB3CE4" w:rsidRPr="00DB3CE4">
        <w:rPr>
          <w:rFonts w:ascii="Times New Roman" w:hAnsi="Times New Roman" w:cs="Times New Roman"/>
          <w:sz w:val="32"/>
          <w:szCs w:val="32"/>
        </w:rPr>
        <w:t>, la Corte, adita in via pregiudiziale, deve fornire tutti gli elementi di interpretazione necessari per la valutazione, da parte del giudice nazionale, della conformità di tale normativa con i diritti fondamentali di cui essa garantisce il rispetto</w:t>
      </w:r>
      <w:r w:rsidR="00DB3CE4">
        <w:rPr>
          <w:rFonts w:ascii="Times New Roman" w:hAnsi="Times New Roman" w:cs="Times New Roman"/>
          <w:sz w:val="32"/>
          <w:szCs w:val="32"/>
        </w:rPr>
        <w:t xml:space="preserve">. </w:t>
      </w:r>
      <w:r w:rsidR="009B79C7">
        <w:rPr>
          <w:rFonts w:ascii="Times New Roman" w:hAnsi="Times New Roman" w:cs="Times New Roman"/>
          <w:sz w:val="32"/>
          <w:szCs w:val="32"/>
        </w:rPr>
        <w:t>L</w:t>
      </w:r>
      <w:r w:rsidR="00DB3CE4" w:rsidRPr="00DB3CE4">
        <w:rPr>
          <w:rFonts w:ascii="Times New Roman" w:hAnsi="Times New Roman" w:cs="Times New Roman"/>
          <w:sz w:val="32"/>
          <w:szCs w:val="32"/>
        </w:rPr>
        <w:t xml:space="preserve">’obbligo di rispettare i diritti fondamentali definiti nell’ambito dell’Unione vale </w:t>
      </w:r>
      <w:r w:rsidR="009B79C7">
        <w:rPr>
          <w:rFonts w:ascii="Times New Roman" w:hAnsi="Times New Roman" w:cs="Times New Roman"/>
          <w:sz w:val="32"/>
          <w:szCs w:val="32"/>
        </w:rPr>
        <w:t xml:space="preserve">quindi </w:t>
      </w:r>
      <w:r w:rsidR="00DB3CE4" w:rsidRPr="00DB3CE4">
        <w:rPr>
          <w:rFonts w:ascii="Times New Roman" w:hAnsi="Times New Roman" w:cs="Times New Roman"/>
          <w:sz w:val="32"/>
          <w:szCs w:val="32"/>
        </w:rPr>
        <w:t xml:space="preserve">per gli Stati membri soltanto quando </w:t>
      </w:r>
      <w:proofErr w:type="spellStart"/>
      <w:r w:rsidR="00DB3CE4" w:rsidRPr="00DB3CE4">
        <w:rPr>
          <w:rFonts w:ascii="Times New Roman" w:hAnsi="Times New Roman" w:cs="Times New Roman"/>
          <w:sz w:val="32"/>
          <w:szCs w:val="32"/>
        </w:rPr>
        <w:t>agiscono</w:t>
      </w:r>
      <w:proofErr w:type="spellEnd"/>
      <w:r w:rsidR="00DB3CE4" w:rsidRPr="00DB3CE4">
        <w:rPr>
          <w:rFonts w:ascii="Times New Roman" w:hAnsi="Times New Roman" w:cs="Times New Roman"/>
          <w:sz w:val="32"/>
          <w:szCs w:val="32"/>
        </w:rPr>
        <w:t xml:space="preserve"> nell’ambito di applicazione del diritto dell’Unione</w:t>
      </w:r>
      <w:r w:rsidR="00DB3CE4">
        <w:rPr>
          <w:rFonts w:ascii="Times New Roman" w:hAnsi="Times New Roman" w:cs="Times New Roman"/>
          <w:sz w:val="32"/>
          <w:szCs w:val="32"/>
        </w:rPr>
        <w:t>.</w:t>
      </w:r>
      <w:r w:rsidR="009B79C7">
        <w:rPr>
          <w:rStyle w:val="Rimandonotaapidipagina"/>
          <w:rFonts w:ascii="Times New Roman" w:hAnsi="Times New Roman" w:cs="Times New Roman"/>
          <w:sz w:val="32"/>
          <w:szCs w:val="32"/>
        </w:rPr>
        <w:footnoteReference w:id="34"/>
      </w:r>
      <w:r w:rsidR="00DB3CE4">
        <w:rPr>
          <w:rFonts w:ascii="Times New Roman" w:hAnsi="Times New Roman" w:cs="Times New Roman"/>
          <w:sz w:val="32"/>
          <w:szCs w:val="32"/>
        </w:rPr>
        <w:t xml:space="preserve"> </w:t>
      </w:r>
    </w:p>
    <w:p w:rsidR="00DB3CE4" w:rsidRDefault="00DB3CE4" w:rsidP="00F34777">
      <w:pPr>
        <w:jc w:val="both"/>
        <w:rPr>
          <w:rFonts w:ascii="Times New Roman" w:hAnsi="Times New Roman" w:cs="Times New Roman"/>
          <w:sz w:val="32"/>
          <w:szCs w:val="32"/>
        </w:rPr>
      </w:pPr>
      <w:r>
        <w:rPr>
          <w:rFonts w:ascii="Times New Roman" w:hAnsi="Times New Roman" w:cs="Times New Roman"/>
          <w:sz w:val="32"/>
          <w:szCs w:val="32"/>
        </w:rPr>
        <w:t xml:space="preserve">La Corte di giustizia vi ha tratto i seguenti corollari: </w:t>
      </w:r>
    </w:p>
    <w:p w:rsidR="00DB3CE4" w:rsidRPr="00DB3CE4" w:rsidRDefault="00DB3CE4" w:rsidP="00F34777">
      <w:pPr>
        <w:jc w:val="both"/>
        <w:rPr>
          <w:rFonts w:ascii="Times New Roman" w:hAnsi="Times New Roman" w:cs="Times New Roman"/>
          <w:sz w:val="32"/>
          <w:szCs w:val="32"/>
        </w:rPr>
      </w:pPr>
      <w:r>
        <w:rPr>
          <w:rFonts w:ascii="Times New Roman" w:hAnsi="Times New Roman" w:cs="Times New Roman"/>
          <w:sz w:val="32"/>
          <w:szCs w:val="32"/>
        </w:rPr>
        <w:t xml:space="preserve">- </w:t>
      </w:r>
      <w:r w:rsidRPr="00DB3CE4">
        <w:rPr>
          <w:rFonts w:ascii="Times New Roman" w:hAnsi="Times New Roman" w:cs="Times New Roman"/>
          <w:sz w:val="32"/>
          <w:szCs w:val="32"/>
        </w:rPr>
        <w:t>dato che i diritti fondamentali garantiti dalla Carta devono essere rispettati quando una normativa nazionale rientra nell’ambito di applicazione del diritto dell’Unione, non possono esistere casi rientranti nel diritto dell’Unione senza che tali diritti fondamentali trovino applicazione</w:t>
      </w:r>
      <w:r>
        <w:rPr>
          <w:rFonts w:ascii="Times New Roman" w:hAnsi="Times New Roman" w:cs="Times New Roman"/>
          <w:sz w:val="32"/>
          <w:szCs w:val="32"/>
        </w:rPr>
        <w:t>, sicché l</w:t>
      </w:r>
      <w:r w:rsidRPr="00DB3CE4">
        <w:rPr>
          <w:rFonts w:ascii="Times New Roman" w:hAnsi="Times New Roman" w:cs="Times New Roman"/>
          <w:sz w:val="32"/>
          <w:szCs w:val="32"/>
        </w:rPr>
        <w:t>’applicabilità del diritto dell’Unione implica quella dei diritti fondamenta</w:t>
      </w:r>
      <w:r>
        <w:rPr>
          <w:rFonts w:ascii="Times New Roman" w:hAnsi="Times New Roman" w:cs="Times New Roman"/>
          <w:sz w:val="32"/>
          <w:szCs w:val="32"/>
        </w:rPr>
        <w:t xml:space="preserve">li garantiti dalla Carta; </w:t>
      </w:r>
    </w:p>
    <w:p w:rsidR="00DB3CE4" w:rsidRDefault="00DB3CE4" w:rsidP="00F34777">
      <w:pPr>
        <w:jc w:val="both"/>
        <w:rPr>
          <w:rFonts w:ascii="Times New Roman" w:hAnsi="Times New Roman" w:cs="Times New Roman"/>
          <w:sz w:val="32"/>
          <w:szCs w:val="32"/>
        </w:rPr>
      </w:pPr>
      <w:r>
        <w:rPr>
          <w:rFonts w:ascii="Times New Roman" w:hAnsi="Times New Roman" w:cs="Times New Roman"/>
          <w:sz w:val="32"/>
          <w:szCs w:val="32"/>
        </w:rPr>
        <w:t>- o</w:t>
      </w:r>
      <w:r w:rsidRPr="00DB3CE4">
        <w:rPr>
          <w:rFonts w:ascii="Times New Roman" w:hAnsi="Times New Roman" w:cs="Times New Roman"/>
          <w:sz w:val="32"/>
          <w:szCs w:val="32"/>
        </w:rPr>
        <w:t>ve, per contro, una situazione giuridica non rientri nella sfera d’applicazione del diritto dell’Unione, la Corte non è competente al riguardo e le disposizioni della Carta eventualmente richiamate non possono giustificare, di per sé, tale competenza</w:t>
      </w:r>
      <w:r>
        <w:rPr>
          <w:rFonts w:ascii="Times New Roman" w:hAnsi="Times New Roman" w:cs="Times New Roman"/>
          <w:sz w:val="32"/>
          <w:szCs w:val="32"/>
        </w:rPr>
        <w:t>.</w:t>
      </w:r>
      <w:r>
        <w:rPr>
          <w:rStyle w:val="Rimandonotaapidipagina"/>
          <w:rFonts w:ascii="Times New Roman" w:hAnsi="Times New Roman" w:cs="Times New Roman"/>
          <w:sz w:val="32"/>
          <w:szCs w:val="32"/>
        </w:rPr>
        <w:footnoteReference w:id="35"/>
      </w:r>
    </w:p>
    <w:p w:rsidR="00DB3CE4" w:rsidRDefault="00786D70" w:rsidP="00F34777">
      <w:pPr>
        <w:jc w:val="both"/>
        <w:rPr>
          <w:rFonts w:ascii="Times New Roman" w:hAnsi="Times New Roman" w:cs="Times New Roman"/>
          <w:sz w:val="32"/>
          <w:szCs w:val="32"/>
        </w:rPr>
      </w:pPr>
      <w:r>
        <w:rPr>
          <w:rFonts w:ascii="Times New Roman" w:hAnsi="Times New Roman" w:cs="Times New Roman"/>
          <w:b/>
          <w:sz w:val="32"/>
          <w:szCs w:val="32"/>
        </w:rPr>
        <w:t>3.2.3</w:t>
      </w:r>
      <w:r w:rsidRPr="00786D70">
        <w:rPr>
          <w:rFonts w:ascii="Times New Roman" w:hAnsi="Times New Roman" w:cs="Times New Roman"/>
          <w:b/>
          <w:sz w:val="32"/>
          <w:szCs w:val="32"/>
        </w:rPr>
        <w:t>.</w:t>
      </w:r>
      <w:r>
        <w:rPr>
          <w:rFonts w:ascii="Times New Roman" w:hAnsi="Times New Roman" w:cs="Times New Roman"/>
          <w:sz w:val="32"/>
          <w:szCs w:val="32"/>
        </w:rPr>
        <w:t xml:space="preserve"> La questione della c.d. doppia pregiudizialità si pone </w:t>
      </w:r>
      <w:r w:rsidR="0007435C">
        <w:rPr>
          <w:rFonts w:ascii="Times New Roman" w:hAnsi="Times New Roman" w:cs="Times New Roman"/>
          <w:sz w:val="32"/>
          <w:szCs w:val="32"/>
        </w:rPr>
        <w:t>quindi</w:t>
      </w:r>
      <w:r>
        <w:rPr>
          <w:rFonts w:ascii="Times New Roman" w:hAnsi="Times New Roman" w:cs="Times New Roman"/>
          <w:sz w:val="32"/>
          <w:szCs w:val="32"/>
        </w:rPr>
        <w:t xml:space="preserve"> nei casi in cui si verte in materia rientrante nel campo di applicazione del diritto dell’Unione e di contrasto tra norma interna e norma della CDFUE attributiva di un diritto incondizionato – dunque, suscettibile di applicazione </w:t>
      </w:r>
      <w:r>
        <w:rPr>
          <w:rFonts w:ascii="Times New Roman" w:hAnsi="Times New Roman" w:cs="Times New Roman"/>
          <w:sz w:val="32"/>
          <w:szCs w:val="32"/>
        </w:rPr>
        <w:lastRenderedPageBreak/>
        <w:t xml:space="preserve">diretta –, il cui contenuto sia omologo a un diritto fondamentale garantito dalla Costituzione nazionale. </w:t>
      </w:r>
    </w:p>
    <w:p w:rsidR="00786D70" w:rsidRDefault="00786D70" w:rsidP="00F34777">
      <w:pPr>
        <w:jc w:val="both"/>
        <w:rPr>
          <w:rFonts w:ascii="Times New Roman" w:hAnsi="Times New Roman" w:cs="Times New Roman"/>
          <w:sz w:val="32"/>
          <w:szCs w:val="32"/>
        </w:rPr>
      </w:pPr>
      <w:r>
        <w:rPr>
          <w:rFonts w:ascii="Times New Roman" w:hAnsi="Times New Roman" w:cs="Times New Roman"/>
          <w:sz w:val="32"/>
          <w:szCs w:val="32"/>
        </w:rPr>
        <w:t>In questi casi, il giudice comune come deve comportarsi?</w:t>
      </w:r>
    </w:p>
    <w:p w:rsidR="00B946F2" w:rsidRDefault="00DA1E3C" w:rsidP="00F34777">
      <w:pPr>
        <w:jc w:val="both"/>
        <w:rPr>
          <w:rFonts w:ascii="Times New Roman" w:hAnsi="Times New Roman" w:cs="Times New Roman"/>
          <w:sz w:val="32"/>
          <w:szCs w:val="32"/>
        </w:rPr>
      </w:pPr>
      <w:r w:rsidRPr="00DA1E3C">
        <w:rPr>
          <w:rFonts w:ascii="Times New Roman" w:hAnsi="Times New Roman" w:cs="Times New Roman"/>
          <w:b/>
          <w:sz w:val="32"/>
          <w:szCs w:val="32"/>
        </w:rPr>
        <w:t>3.2.3.1.</w:t>
      </w:r>
      <w:r>
        <w:rPr>
          <w:rFonts w:ascii="Times New Roman" w:hAnsi="Times New Roman" w:cs="Times New Roman"/>
          <w:sz w:val="32"/>
          <w:szCs w:val="32"/>
        </w:rPr>
        <w:t xml:space="preserve"> </w:t>
      </w:r>
      <w:r w:rsidR="00786D70">
        <w:rPr>
          <w:rFonts w:ascii="Times New Roman" w:hAnsi="Times New Roman" w:cs="Times New Roman"/>
          <w:sz w:val="32"/>
          <w:szCs w:val="32"/>
        </w:rPr>
        <w:t>Secondo la giurisprudenza della Corte costituzionale anteriore alla sentenza n. 269/2017,</w:t>
      </w:r>
      <w:r w:rsidR="00C85CB2">
        <w:rPr>
          <w:rStyle w:val="Rimandonotaapidipagina"/>
          <w:rFonts w:ascii="Times New Roman" w:hAnsi="Times New Roman" w:cs="Times New Roman"/>
          <w:sz w:val="32"/>
          <w:szCs w:val="32"/>
        </w:rPr>
        <w:footnoteReference w:id="36"/>
      </w:r>
      <w:r w:rsidR="00786D70">
        <w:rPr>
          <w:rFonts w:ascii="Times New Roman" w:hAnsi="Times New Roman" w:cs="Times New Roman"/>
          <w:sz w:val="32"/>
          <w:szCs w:val="32"/>
        </w:rPr>
        <w:t xml:space="preserve"> il giudice nazionale </w:t>
      </w:r>
      <w:r w:rsidR="00C94612">
        <w:rPr>
          <w:rFonts w:ascii="Times New Roman" w:hAnsi="Times New Roman" w:cs="Times New Roman"/>
          <w:sz w:val="32"/>
          <w:szCs w:val="32"/>
        </w:rPr>
        <w:t xml:space="preserve">era tenuto a </w:t>
      </w:r>
      <w:r w:rsidR="00C85CB2" w:rsidRPr="00C85CB2">
        <w:rPr>
          <w:rFonts w:ascii="Times New Roman" w:hAnsi="Times New Roman" w:cs="Times New Roman"/>
          <w:sz w:val="32"/>
          <w:szCs w:val="32"/>
        </w:rPr>
        <w:t>verifica</w:t>
      </w:r>
      <w:r w:rsidR="00C94612">
        <w:rPr>
          <w:rFonts w:ascii="Times New Roman" w:hAnsi="Times New Roman" w:cs="Times New Roman"/>
          <w:sz w:val="32"/>
          <w:szCs w:val="32"/>
        </w:rPr>
        <w:t>re</w:t>
      </w:r>
      <w:r w:rsidR="00C85CB2" w:rsidRPr="00C85CB2">
        <w:rPr>
          <w:rFonts w:ascii="Times New Roman" w:hAnsi="Times New Roman" w:cs="Times New Roman"/>
          <w:sz w:val="32"/>
          <w:szCs w:val="32"/>
        </w:rPr>
        <w:t xml:space="preserve"> la compatibilità </w:t>
      </w:r>
      <w:r w:rsidR="00C94612">
        <w:rPr>
          <w:rFonts w:ascii="Times New Roman" w:hAnsi="Times New Roman" w:cs="Times New Roman"/>
          <w:sz w:val="32"/>
          <w:szCs w:val="32"/>
        </w:rPr>
        <w:t>della norma interna con la norma della</w:t>
      </w:r>
      <w:r w:rsidR="00C85CB2" w:rsidRPr="00C85CB2">
        <w:rPr>
          <w:rFonts w:ascii="Times New Roman" w:hAnsi="Times New Roman" w:cs="Times New Roman"/>
          <w:sz w:val="32"/>
          <w:szCs w:val="32"/>
        </w:rPr>
        <w:t xml:space="preserve"> CDFUE</w:t>
      </w:r>
      <w:r w:rsidR="00C94612">
        <w:rPr>
          <w:rFonts w:ascii="Times New Roman" w:hAnsi="Times New Roman" w:cs="Times New Roman"/>
          <w:sz w:val="32"/>
          <w:szCs w:val="32"/>
        </w:rPr>
        <w:t xml:space="preserve"> che nel caso concreto sarebbe venuta in rilievo – eventualmente, dopo aver sollecitato l’</w:t>
      </w:r>
      <w:r w:rsidR="00C85CB2" w:rsidRPr="00C85CB2">
        <w:rPr>
          <w:rFonts w:ascii="Times New Roman" w:hAnsi="Times New Roman" w:cs="Times New Roman"/>
          <w:sz w:val="32"/>
          <w:szCs w:val="32"/>
        </w:rPr>
        <w:t>esatta interpretazione dell</w:t>
      </w:r>
      <w:r w:rsidR="00C94612">
        <w:rPr>
          <w:rFonts w:ascii="Times New Roman" w:hAnsi="Times New Roman" w:cs="Times New Roman"/>
          <w:sz w:val="32"/>
          <w:szCs w:val="32"/>
        </w:rPr>
        <w:t>a norma dell</w:t>
      </w:r>
      <w:r w:rsidR="00C85CB2" w:rsidRPr="00C85CB2">
        <w:rPr>
          <w:rFonts w:ascii="Times New Roman" w:hAnsi="Times New Roman" w:cs="Times New Roman"/>
          <w:sz w:val="32"/>
          <w:szCs w:val="32"/>
        </w:rPr>
        <w:t>a C</w:t>
      </w:r>
      <w:r w:rsidR="00C94612">
        <w:rPr>
          <w:rFonts w:ascii="Times New Roman" w:hAnsi="Times New Roman" w:cs="Times New Roman"/>
          <w:sz w:val="32"/>
          <w:szCs w:val="32"/>
        </w:rPr>
        <w:t>DFUE</w:t>
      </w:r>
      <w:r w:rsidR="00C85CB2" w:rsidRPr="00C85CB2">
        <w:rPr>
          <w:rFonts w:ascii="Times New Roman" w:hAnsi="Times New Roman" w:cs="Times New Roman"/>
          <w:sz w:val="32"/>
          <w:szCs w:val="32"/>
        </w:rPr>
        <w:t xml:space="preserve"> </w:t>
      </w:r>
      <w:r w:rsidR="00C94612">
        <w:rPr>
          <w:rFonts w:ascii="Times New Roman" w:hAnsi="Times New Roman" w:cs="Times New Roman"/>
          <w:sz w:val="32"/>
          <w:szCs w:val="32"/>
        </w:rPr>
        <w:t xml:space="preserve">attraverso </w:t>
      </w:r>
      <w:r w:rsidR="00C85CB2" w:rsidRPr="00C85CB2">
        <w:rPr>
          <w:rFonts w:ascii="Times New Roman" w:hAnsi="Times New Roman" w:cs="Times New Roman"/>
          <w:sz w:val="32"/>
          <w:szCs w:val="32"/>
        </w:rPr>
        <w:t xml:space="preserve">lo strumento del rinvio pregiudiziale </w:t>
      </w:r>
      <w:r w:rsidR="00C85CB2" w:rsidRPr="00C94612">
        <w:rPr>
          <w:rFonts w:ascii="Times New Roman" w:hAnsi="Times New Roman" w:cs="Times New Roman"/>
          <w:i/>
          <w:sz w:val="32"/>
          <w:szCs w:val="32"/>
        </w:rPr>
        <w:t>ex</w:t>
      </w:r>
      <w:r w:rsidR="00C85CB2" w:rsidRPr="00C85CB2">
        <w:rPr>
          <w:rFonts w:ascii="Times New Roman" w:hAnsi="Times New Roman" w:cs="Times New Roman"/>
          <w:sz w:val="32"/>
          <w:szCs w:val="32"/>
        </w:rPr>
        <w:t xml:space="preserve"> art. 267 TFUE </w:t>
      </w:r>
      <w:r w:rsidR="00C94612">
        <w:rPr>
          <w:rFonts w:ascii="Times New Roman" w:hAnsi="Times New Roman" w:cs="Times New Roman"/>
          <w:sz w:val="32"/>
          <w:szCs w:val="32"/>
        </w:rPr>
        <w:t>– e di procedere</w:t>
      </w:r>
      <w:r w:rsidR="00C85CB2" w:rsidRPr="00C85CB2">
        <w:rPr>
          <w:rFonts w:ascii="Times New Roman" w:hAnsi="Times New Roman" w:cs="Times New Roman"/>
          <w:sz w:val="32"/>
          <w:szCs w:val="32"/>
        </w:rPr>
        <w:t xml:space="preserve">, in caso di </w:t>
      </w:r>
      <w:r w:rsidR="00C94612">
        <w:rPr>
          <w:rFonts w:ascii="Times New Roman" w:hAnsi="Times New Roman" w:cs="Times New Roman"/>
          <w:sz w:val="32"/>
          <w:szCs w:val="32"/>
        </w:rPr>
        <w:t>accertato contrasto con la norma ad effetto diretto della CDFUE</w:t>
      </w:r>
      <w:r w:rsidR="00C85CB2" w:rsidRPr="00C85CB2">
        <w:rPr>
          <w:rFonts w:ascii="Times New Roman" w:hAnsi="Times New Roman" w:cs="Times New Roman"/>
          <w:sz w:val="32"/>
          <w:szCs w:val="32"/>
        </w:rPr>
        <w:t xml:space="preserve">, alla non applicazione, </w:t>
      </w:r>
      <w:r w:rsidR="00C85CB2" w:rsidRPr="00C94612">
        <w:rPr>
          <w:rFonts w:ascii="Times New Roman" w:hAnsi="Times New Roman" w:cs="Times New Roman"/>
          <w:i/>
          <w:sz w:val="32"/>
          <w:szCs w:val="32"/>
        </w:rPr>
        <w:t>in parte qua</w:t>
      </w:r>
      <w:r w:rsidR="00C85CB2" w:rsidRPr="00C85CB2">
        <w:rPr>
          <w:rFonts w:ascii="Times New Roman" w:hAnsi="Times New Roman" w:cs="Times New Roman"/>
          <w:sz w:val="32"/>
          <w:szCs w:val="32"/>
        </w:rPr>
        <w:t>, dell</w:t>
      </w:r>
      <w:r w:rsidR="00C94612">
        <w:rPr>
          <w:rFonts w:ascii="Times New Roman" w:hAnsi="Times New Roman" w:cs="Times New Roman"/>
          <w:sz w:val="32"/>
          <w:szCs w:val="32"/>
        </w:rPr>
        <w:t xml:space="preserve">a norma interna. </w:t>
      </w:r>
      <w:r w:rsidR="00B946F2">
        <w:rPr>
          <w:rFonts w:ascii="Times New Roman" w:hAnsi="Times New Roman" w:cs="Times New Roman"/>
          <w:sz w:val="32"/>
          <w:szCs w:val="32"/>
        </w:rPr>
        <w:t>Tale verifica era, peraltro, necessaria anche ai fini del giudizio di rilevanza di un’eventuale questione di costituzionalità</w:t>
      </w:r>
      <w:r w:rsidR="00035288">
        <w:rPr>
          <w:rFonts w:ascii="Times New Roman" w:hAnsi="Times New Roman" w:cs="Times New Roman"/>
          <w:sz w:val="32"/>
          <w:szCs w:val="32"/>
        </w:rPr>
        <w:t xml:space="preserve"> della norma interna.</w:t>
      </w:r>
      <w:r w:rsidR="00035288">
        <w:rPr>
          <w:rStyle w:val="Rimandonotaapidipagina"/>
          <w:rFonts w:ascii="Times New Roman" w:hAnsi="Times New Roman" w:cs="Times New Roman"/>
          <w:sz w:val="32"/>
          <w:szCs w:val="32"/>
        </w:rPr>
        <w:footnoteReference w:id="37"/>
      </w:r>
    </w:p>
    <w:p w:rsidR="00786D70" w:rsidRDefault="00DA1E3C" w:rsidP="00F34777">
      <w:pPr>
        <w:jc w:val="both"/>
        <w:rPr>
          <w:rFonts w:ascii="Times New Roman" w:hAnsi="Times New Roman" w:cs="Times New Roman"/>
          <w:sz w:val="32"/>
          <w:szCs w:val="32"/>
        </w:rPr>
      </w:pPr>
      <w:r>
        <w:rPr>
          <w:rFonts w:ascii="Times New Roman" w:hAnsi="Times New Roman" w:cs="Times New Roman"/>
          <w:sz w:val="32"/>
          <w:szCs w:val="32"/>
        </w:rPr>
        <w:t>I</w:t>
      </w:r>
      <w:r w:rsidR="00C94612">
        <w:rPr>
          <w:rFonts w:ascii="Times New Roman" w:hAnsi="Times New Roman" w:cs="Times New Roman"/>
          <w:sz w:val="32"/>
          <w:szCs w:val="32"/>
        </w:rPr>
        <w:t>n caso di esclusione di un contrasto tra norma interna e norma della CDFUE, restava aperta la s</w:t>
      </w:r>
      <w:r w:rsidR="00B946F2">
        <w:rPr>
          <w:rFonts w:ascii="Times New Roman" w:hAnsi="Times New Roman" w:cs="Times New Roman"/>
          <w:sz w:val="32"/>
          <w:szCs w:val="32"/>
        </w:rPr>
        <w:t xml:space="preserve">trada per sollevare una questione </w:t>
      </w:r>
      <w:r w:rsidR="00C85CB2" w:rsidRPr="00C85CB2">
        <w:rPr>
          <w:rFonts w:ascii="Times New Roman" w:hAnsi="Times New Roman" w:cs="Times New Roman"/>
          <w:sz w:val="32"/>
          <w:szCs w:val="32"/>
        </w:rPr>
        <w:t>incidentale di costituzionalità</w:t>
      </w:r>
      <w:r w:rsidR="00B946F2">
        <w:rPr>
          <w:rFonts w:ascii="Times New Roman" w:hAnsi="Times New Roman" w:cs="Times New Roman"/>
          <w:sz w:val="32"/>
          <w:szCs w:val="32"/>
        </w:rPr>
        <w:t>, ma</w:t>
      </w:r>
      <w:r w:rsidR="00C85CB2" w:rsidRPr="00C85CB2">
        <w:rPr>
          <w:rFonts w:ascii="Times New Roman" w:hAnsi="Times New Roman" w:cs="Times New Roman"/>
          <w:sz w:val="32"/>
          <w:szCs w:val="32"/>
        </w:rPr>
        <w:t xml:space="preserve"> in relazione ai parametri diversi da quello </w:t>
      </w:r>
      <w:r w:rsidR="00B946F2">
        <w:rPr>
          <w:rFonts w:ascii="Times New Roman" w:hAnsi="Times New Roman" w:cs="Times New Roman"/>
          <w:sz w:val="32"/>
          <w:szCs w:val="32"/>
        </w:rPr>
        <w:t>della violazione degli artt.</w:t>
      </w:r>
      <w:r w:rsidR="00C85CB2" w:rsidRPr="00C85CB2">
        <w:rPr>
          <w:rFonts w:ascii="Times New Roman" w:hAnsi="Times New Roman" w:cs="Times New Roman"/>
          <w:sz w:val="32"/>
          <w:szCs w:val="32"/>
        </w:rPr>
        <w:t xml:space="preserve"> 11 e 117 </w:t>
      </w:r>
      <w:proofErr w:type="spellStart"/>
      <w:r w:rsidR="00C85CB2" w:rsidRPr="00C85CB2">
        <w:rPr>
          <w:rFonts w:ascii="Times New Roman" w:hAnsi="Times New Roman" w:cs="Times New Roman"/>
          <w:sz w:val="32"/>
          <w:szCs w:val="32"/>
        </w:rPr>
        <w:t>Cost</w:t>
      </w:r>
      <w:proofErr w:type="spellEnd"/>
      <w:r w:rsidR="00B946F2">
        <w:rPr>
          <w:rFonts w:ascii="Times New Roman" w:hAnsi="Times New Roman" w:cs="Times New Roman"/>
          <w:sz w:val="32"/>
          <w:szCs w:val="32"/>
        </w:rPr>
        <w:t>.</w:t>
      </w:r>
      <w:r w:rsidR="00C85CB2" w:rsidRPr="00C85CB2">
        <w:rPr>
          <w:rFonts w:ascii="Times New Roman" w:hAnsi="Times New Roman" w:cs="Times New Roman"/>
          <w:sz w:val="32"/>
          <w:szCs w:val="32"/>
        </w:rPr>
        <w:t xml:space="preserve"> </w:t>
      </w:r>
      <w:proofErr w:type="gramStart"/>
      <w:r w:rsidR="00C85CB2" w:rsidRPr="00C85CB2">
        <w:rPr>
          <w:rFonts w:ascii="Times New Roman" w:hAnsi="Times New Roman" w:cs="Times New Roman"/>
          <w:sz w:val="32"/>
          <w:szCs w:val="32"/>
        </w:rPr>
        <w:t>in</w:t>
      </w:r>
      <w:proofErr w:type="gramEnd"/>
      <w:r w:rsidR="00C85CB2" w:rsidRPr="00C85CB2">
        <w:rPr>
          <w:rFonts w:ascii="Times New Roman" w:hAnsi="Times New Roman" w:cs="Times New Roman"/>
          <w:sz w:val="32"/>
          <w:szCs w:val="32"/>
        </w:rPr>
        <w:t xml:space="preserve"> relazione all</w:t>
      </w:r>
      <w:r w:rsidR="00B946F2">
        <w:rPr>
          <w:rFonts w:ascii="Times New Roman" w:hAnsi="Times New Roman" w:cs="Times New Roman"/>
          <w:sz w:val="32"/>
          <w:szCs w:val="32"/>
        </w:rPr>
        <w:t>a norma interposta della</w:t>
      </w:r>
      <w:r w:rsidR="00C85CB2" w:rsidRPr="00C85CB2">
        <w:rPr>
          <w:rFonts w:ascii="Times New Roman" w:hAnsi="Times New Roman" w:cs="Times New Roman"/>
          <w:sz w:val="32"/>
          <w:szCs w:val="32"/>
        </w:rPr>
        <w:t xml:space="preserve"> CDFUE</w:t>
      </w:r>
      <w:r w:rsidR="00B946F2">
        <w:rPr>
          <w:rFonts w:ascii="Times New Roman" w:hAnsi="Times New Roman" w:cs="Times New Roman"/>
          <w:sz w:val="32"/>
          <w:szCs w:val="32"/>
        </w:rPr>
        <w:t xml:space="preserve">. </w:t>
      </w:r>
    </w:p>
    <w:p w:rsidR="00DA1E3C" w:rsidRDefault="00DA1E3C" w:rsidP="00F34777">
      <w:pPr>
        <w:jc w:val="both"/>
        <w:rPr>
          <w:rFonts w:ascii="Times New Roman" w:hAnsi="Times New Roman" w:cs="Times New Roman"/>
          <w:sz w:val="32"/>
          <w:szCs w:val="32"/>
        </w:rPr>
      </w:pPr>
      <w:r w:rsidRPr="00DA1E3C">
        <w:rPr>
          <w:rFonts w:ascii="Times New Roman" w:hAnsi="Times New Roman" w:cs="Times New Roman"/>
          <w:b/>
          <w:sz w:val="32"/>
          <w:szCs w:val="32"/>
        </w:rPr>
        <w:t>3.2.3.2.</w:t>
      </w:r>
      <w:r>
        <w:rPr>
          <w:rFonts w:ascii="Times New Roman" w:hAnsi="Times New Roman" w:cs="Times New Roman"/>
          <w:sz w:val="32"/>
          <w:szCs w:val="32"/>
        </w:rPr>
        <w:t xml:space="preserve"> </w:t>
      </w:r>
      <w:r w:rsidR="004039E1">
        <w:rPr>
          <w:rFonts w:ascii="Times New Roman" w:hAnsi="Times New Roman" w:cs="Times New Roman"/>
          <w:sz w:val="32"/>
          <w:szCs w:val="32"/>
        </w:rPr>
        <w:t xml:space="preserve">Invece, secondo </w:t>
      </w:r>
      <w:r w:rsidR="00243CC7">
        <w:rPr>
          <w:rFonts w:ascii="Times New Roman" w:hAnsi="Times New Roman" w:cs="Times New Roman"/>
          <w:sz w:val="32"/>
          <w:szCs w:val="32"/>
        </w:rPr>
        <w:t xml:space="preserve">il </w:t>
      </w:r>
      <w:proofErr w:type="spellStart"/>
      <w:r w:rsidR="00243CC7" w:rsidRPr="00243CC7">
        <w:rPr>
          <w:rFonts w:ascii="Times New Roman" w:hAnsi="Times New Roman" w:cs="Times New Roman"/>
          <w:i/>
          <w:sz w:val="32"/>
          <w:szCs w:val="32"/>
        </w:rPr>
        <w:t>revirement</w:t>
      </w:r>
      <w:proofErr w:type="spellEnd"/>
      <w:r w:rsidR="00243CC7">
        <w:rPr>
          <w:rFonts w:ascii="Times New Roman" w:hAnsi="Times New Roman" w:cs="Times New Roman"/>
          <w:sz w:val="32"/>
          <w:szCs w:val="32"/>
        </w:rPr>
        <w:t xml:space="preserve"> operato dal</w:t>
      </w:r>
      <w:r w:rsidR="004039E1">
        <w:rPr>
          <w:rFonts w:ascii="Times New Roman" w:hAnsi="Times New Roman" w:cs="Times New Roman"/>
          <w:sz w:val="32"/>
          <w:szCs w:val="32"/>
        </w:rPr>
        <w:t xml:space="preserve">la </w:t>
      </w:r>
      <w:r w:rsidR="00243CC7">
        <w:rPr>
          <w:rFonts w:ascii="Times New Roman" w:hAnsi="Times New Roman" w:cs="Times New Roman"/>
          <w:sz w:val="32"/>
          <w:szCs w:val="32"/>
        </w:rPr>
        <w:t>sentenza n. 269/2017</w:t>
      </w:r>
      <w:r w:rsidR="00243CC7" w:rsidRPr="00243CC7">
        <w:rPr>
          <w:rFonts w:ascii="Times New Roman" w:hAnsi="Times New Roman" w:cs="Times New Roman"/>
          <w:sz w:val="32"/>
          <w:szCs w:val="32"/>
        </w:rPr>
        <w:t xml:space="preserve">, </w:t>
      </w:r>
      <w:r w:rsidR="00243CC7">
        <w:rPr>
          <w:rFonts w:ascii="Times New Roman" w:hAnsi="Times New Roman" w:cs="Times New Roman"/>
          <w:sz w:val="32"/>
          <w:szCs w:val="32"/>
        </w:rPr>
        <w:t xml:space="preserve">appare sussistere </w:t>
      </w:r>
      <w:r w:rsidR="00243CC7" w:rsidRPr="00243CC7">
        <w:rPr>
          <w:rFonts w:ascii="Times New Roman" w:hAnsi="Times New Roman" w:cs="Times New Roman"/>
          <w:sz w:val="32"/>
          <w:szCs w:val="32"/>
        </w:rPr>
        <w:t xml:space="preserve">l’obbligo dei giudici comuni di adire previamente la Corte costituzionale, e, all’esito del giudizio di costituzionalità il potere/dovere del giudice comune di </w:t>
      </w:r>
      <w:r w:rsidR="00243CC7">
        <w:rPr>
          <w:rFonts w:ascii="Times New Roman" w:hAnsi="Times New Roman" w:cs="Times New Roman"/>
          <w:sz w:val="32"/>
          <w:szCs w:val="32"/>
        </w:rPr>
        <w:t>‘</w:t>
      </w:r>
      <w:r w:rsidR="00243CC7" w:rsidRPr="00243CC7">
        <w:rPr>
          <w:rFonts w:ascii="Times New Roman" w:hAnsi="Times New Roman" w:cs="Times New Roman"/>
          <w:sz w:val="32"/>
          <w:szCs w:val="32"/>
        </w:rPr>
        <w:t>non applicare</w:t>
      </w:r>
      <w:r w:rsidR="00243CC7">
        <w:rPr>
          <w:rFonts w:ascii="Times New Roman" w:hAnsi="Times New Roman" w:cs="Times New Roman"/>
          <w:sz w:val="32"/>
          <w:szCs w:val="32"/>
        </w:rPr>
        <w:t>’</w:t>
      </w:r>
      <w:r w:rsidR="00243CC7" w:rsidRPr="00243CC7">
        <w:rPr>
          <w:rFonts w:ascii="Times New Roman" w:hAnsi="Times New Roman" w:cs="Times New Roman"/>
          <w:sz w:val="32"/>
          <w:szCs w:val="32"/>
        </w:rPr>
        <w:t xml:space="preserve"> la disposizione nazionale che abbia superato il vaglio di costituzionalità</w:t>
      </w:r>
      <w:r w:rsidR="00243CC7">
        <w:rPr>
          <w:rFonts w:ascii="Times New Roman" w:hAnsi="Times New Roman" w:cs="Times New Roman"/>
          <w:sz w:val="32"/>
          <w:szCs w:val="32"/>
        </w:rPr>
        <w:t xml:space="preserve"> – </w:t>
      </w:r>
      <w:r w:rsidR="00243CC7" w:rsidRPr="00243CC7">
        <w:rPr>
          <w:rFonts w:ascii="Times New Roman" w:hAnsi="Times New Roman" w:cs="Times New Roman"/>
          <w:sz w:val="32"/>
          <w:szCs w:val="32"/>
        </w:rPr>
        <w:t xml:space="preserve">ma che, secondo la valutazione del giudice </w:t>
      </w:r>
      <w:r w:rsidR="00243CC7" w:rsidRPr="00243CC7">
        <w:rPr>
          <w:rFonts w:ascii="Times New Roman" w:hAnsi="Times New Roman" w:cs="Times New Roman"/>
          <w:i/>
          <w:sz w:val="32"/>
          <w:szCs w:val="32"/>
        </w:rPr>
        <w:t>a quo</w:t>
      </w:r>
      <w:r w:rsidR="00243CC7" w:rsidRPr="00243CC7">
        <w:rPr>
          <w:rFonts w:ascii="Times New Roman" w:hAnsi="Times New Roman" w:cs="Times New Roman"/>
          <w:sz w:val="32"/>
          <w:szCs w:val="32"/>
        </w:rPr>
        <w:t>, continui a presentare profili di contrasto con la norma della CDFUE in concreto applicabile</w:t>
      </w:r>
      <w:r w:rsidR="00243CC7">
        <w:rPr>
          <w:rFonts w:ascii="Times New Roman" w:hAnsi="Times New Roman" w:cs="Times New Roman"/>
          <w:sz w:val="32"/>
          <w:szCs w:val="32"/>
        </w:rPr>
        <w:t xml:space="preserve"> –</w:t>
      </w:r>
      <w:r w:rsidR="00243CC7" w:rsidRPr="00243CC7">
        <w:rPr>
          <w:rFonts w:ascii="Times New Roman" w:hAnsi="Times New Roman" w:cs="Times New Roman"/>
          <w:sz w:val="32"/>
          <w:szCs w:val="32"/>
        </w:rPr>
        <w:t xml:space="preserve"> </w:t>
      </w:r>
      <w:r w:rsidR="00243CC7">
        <w:rPr>
          <w:rFonts w:ascii="Times New Roman" w:hAnsi="Times New Roman" w:cs="Times New Roman"/>
          <w:sz w:val="32"/>
          <w:szCs w:val="32"/>
        </w:rPr>
        <w:t>appare</w:t>
      </w:r>
      <w:r w:rsidR="00243CC7" w:rsidRPr="00243CC7">
        <w:rPr>
          <w:rFonts w:ascii="Times New Roman" w:hAnsi="Times New Roman" w:cs="Times New Roman"/>
          <w:sz w:val="32"/>
          <w:szCs w:val="32"/>
        </w:rPr>
        <w:t xml:space="preserve"> limitato alla ipotesi che tale giudice ravvisi </w:t>
      </w:r>
      <w:r w:rsidR="00243CC7">
        <w:rPr>
          <w:rFonts w:ascii="Times New Roman" w:hAnsi="Times New Roman" w:cs="Times New Roman"/>
          <w:sz w:val="32"/>
          <w:szCs w:val="32"/>
        </w:rPr>
        <w:t>(</w:t>
      </w:r>
      <w:r w:rsidR="00243CC7" w:rsidRPr="00243CC7">
        <w:rPr>
          <w:rFonts w:ascii="Times New Roman" w:hAnsi="Times New Roman" w:cs="Times New Roman"/>
          <w:sz w:val="32"/>
          <w:szCs w:val="32"/>
        </w:rPr>
        <w:t xml:space="preserve">eventualmente anche dopo un rinvio pregiudiziale alla Corte di giustizia </w:t>
      </w:r>
      <w:r w:rsidR="00243CC7" w:rsidRPr="00D60FEE">
        <w:rPr>
          <w:rFonts w:ascii="Times New Roman" w:hAnsi="Times New Roman" w:cs="Times New Roman"/>
          <w:i/>
          <w:sz w:val="32"/>
          <w:szCs w:val="32"/>
        </w:rPr>
        <w:t>ex</w:t>
      </w:r>
      <w:r w:rsidR="00243CC7" w:rsidRPr="00243CC7">
        <w:rPr>
          <w:rFonts w:ascii="Times New Roman" w:hAnsi="Times New Roman" w:cs="Times New Roman"/>
          <w:sz w:val="32"/>
          <w:szCs w:val="32"/>
        </w:rPr>
        <w:t xml:space="preserve"> art. 267 TFUE</w:t>
      </w:r>
      <w:r w:rsidR="00243CC7">
        <w:rPr>
          <w:rFonts w:ascii="Times New Roman" w:hAnsi="Times New Roman" w:cs="Times New Roman"/>
          <w:sz w:val="32"/>
          <w:szCs w:val="32"/>
        </w:rPr>
        <w:t>)</w:t>
      </w:r>
      <w:r w:rsidR="00243CC7" w:rsidRPr="00243CC7">
        <w:rPr>
          <w:rFonts w:ascii="Times New Roman" w:hAnsi="Times New Roman" w:cs="Times New Roman"/>
          <w:sz w:val="32"/>
          <w:szCs w:val="32"/>
        </w:rPr>
        <w:t xml:space="preserve"> profili di contrasto diversi da quelli già esaminati dalla Corte costituzionale.</w:t>
      </w:r>
      <w:r w:rsidR="00243CC7">
        <w:rPr>
          <w:rStyle w:val="Rimandonotaapidipagina"/>
          <w:rFonts w:ascii="Times New Roman" w:hAnsi="Times New Roman" w:cs="Times New Roman"/>
          <w:sz w:val="32"/>
          <w:szCs w:val="32"/>
        </w:rPr>
        <w:footnoteReference w:id="38"/>
      </w:r>
    </w:p>
    <w:p w:rsidR="00243CC7" w:rsidRDefault="00777420" w:rsidP="00F34777">
      <w:pPr>
        <w:jc w:val="both"/>
        <w:rPr>
          <w:rFonts w:ascii="Times New Roman" w:hAnsi="Times New Roman" w:cs="Times New Roman"/>
          <w:sz w:val="32"/>
          <w:szCs w:val="32"/>
        </w:rPr>
      </w:pPr>
      <w:r>
        <w:rPr>
          <w:rFonts w:ascii="Times New Roman" w:hAnsi="Times New Roman" w:cs="Times New Roman"/>
          <w:b/>
          <w:sz w:val="32"/>
          <w:szCs w:val="32"/>
        </w:rPr>
        <w:t>3.2.4.</w:t>
      </w:r>
      <w:r w:rsidRPr="00777420">
        <w:rPr>
          <w:rFonts w:ascii="Times New Roman" w:hAnsi="Times New Roman" w:cs="Times New Roman"/>
          <w:sz w:val="32"/>
          <w:szCs w:val="32"/>
        </w:rPr>
        <w:t xml:space="preserve"> Se </w:t>
      </w:r>
      <w:r>
        <w:rPr>
          <w:rFonts w:ascii="Times New Roman" w:hAnsi="Times New Roman" w:cs="Times New Roman"/>
          <w:sz w:val="32"/>
          <w:szCs w:val="32"/>
        </w:rPr>
        <w:t xml:space="preserve">la sentenza n. 269/2017 dovesse essere letta in questo senso, si porrebbe effettivamente un problema di compatibilità con l’istituto della </w:t>
      </w:r>
      <w:r>
        <w:rPr>
          <w:rFonts w:ascii="Times New Roman" w:hAnsi="Times New Roman" w:cs="Times New Roman"/>
          <w:sz w:val="32"/>
          <w:szCs w:val="32"/>
        </w:rPr>
        <w:lastRenderedPageBreak/>
        <w:t xml:space="preserve">pregiudiziale europea quale ricostruito dalla giurisprudenza della Corte di giustizia, da ultimo con la sentenza </w:t>
      </w:r>
      <w:r w:rsidRPr="00777420">
        <w:rPr>
          <w:rFonts w:ascii="Times New Roman" w:hAnsi="Times New Roman" w:cs="Times New Roman"/>
          <w:sz w:val="32"/>
          <w:szCs w:val="32"/>
        </w:rPr>
        <w:t>20 dicembre 2017, causa C-322/16</w:t>
      </w:r>
      <w:r>
        <w:rPr>
          <w:rFonts w:ascii="Times New Roman" w:hAnsi="Times New Roman" w:cs="Times New Roman"/>
          <w:sz w:val="32"/>
          <w:szCs w:val="32"/>
        </w:rPr>
        <w:t xml:space="preserve">, </w:t>
      </w:r>
      <w:r w:rsidRPr="00777420">
        <w:rPr>
          <w:rFonts w:ascii="Times New Roman" w:hAnsi="Times New Roman" w:cs="Times New Roman"/>
          <w:i/>
          <w:sz w:val="32"/>
          <w:szCs w:val="32"/>
        </w:rPr>
        <w:t xml:space="preserve">Global </w:t>
      </w:r>
      <w:proofErr w:type="spellStart"/>
      <w:r w:rsidRPr="00777420">
        <w:rPr>
          <w:rFonts w:ascii="Times New Roman" w:hAnsi="Times New Roman" w:cs="Times New Roman"/>
          <w:i/>
          <w:sz w:val="32"/>
          <w:szCs w:val="32"/>
        </w:rPr>
        <w:t>Starnet</w:t>
      </w:r>
      <w:proofErr w:type="spellEnd"/>
      <w:r w:rsidRPr="00777420">
        <w:rPr>
          <w:rFonts w:ascii="Times New Roman" w:hAnsi="Times New Roman" w:cs="Times New Roman"/>
          <w:i/>
          <w:sz w:val="32"/>
          <w:szCs w:val="32"/>
        </w:rPr>
        <w:t xml:space="preserve"> Ltd</w:t>
      </w:r>
      <w:r>
        <w:rPr>
          <w:rFonts w:ascii="Times New Roman" w:hAnsi="Times New Roman" w:cs="Times New Roman"/>
          <w:sz w:val="32"/>
          <w:szCs w:val="32"/>
        </w:rPr>
        <w:t>, in quanto</w:t>
      </w:r>
      <w:r w:rsidR="0062667A">
        <w:rPr>
          <w:rFonts w:ascii="Times New Roman" w:hAnsi="Times New Roman" w:cs="Times New Roman"/>
          <w:sz w:val="32"/>
          <w:szCs w:val="32"/>
        </w:rPr>
        <w:t>, secondo tale giurisprudenza</w:t>
      </w:r>
      <w:r>
        <w:rPr>
          <w:rFonts w:ascii="Times New Roman" w:hAnsi="Times New Roman" w:cs="Times New Roman"/>
          <w:sz w:val="32"/>
          <w:szCs w:val="32"/>
        </w:rPr>
        <w:t xml:space="preserve">: </w:t>
      </w:r>
    </w:p>
    <w:p w:rsidR="00777420" w:rsidRDefault="0062667A" w:rsidP="00F34777">
      <w:pPr>
        <w:jc w:val="both"/>
        <w:rPr>
          <w:rFonts w:ascii="Times New Roman" w:hAnsi="Times New Roman" w:cs="Times New Roman"/>
          <w:sz w:val="32"/>
          <w:szCs w:val="32"/>
        </w:rPr>
      </w:pPr>
      <w:r>
        <w:rPr>
          <w:rFonts w:ascii="Times New Roman" w:hAnsi="Times New Roman" w:cs="Times New Roman"/>
          <w:sz w:val="32"/>
          <w:szCs w:val="32"/>
        </w:rPr>
        <w:t xml:space="preserve">- </w:t>
      </w:r>
      <w:r w:rsidRPr="0062667A">
        <w:rPr>
          <w:rFonts w:ascii="Times New Roman" w:hAnsi="Times New Roman" w:cs="Times New Roman"/>
          <w:sz w:val="32"/>
          <w:szCs w:val="32"/>
        </w:rPr>
        <w:t xml:space="preserve">il funzionamento del sistema di cooperazione tra </w:t>
      </w:r>
      <w:r>
        <w:rPr>
          <w:rFonts w:ascii="Times New Roman" w:hAnsi="Times New Roman" w:cs="Times New Roman"/>
          <w:sz w:val="32"/>
          <w:szCs w:val="32"/>
        </w:rPr>
        <w:t>la Corte di giustizia</w:t>
      </w:r>
      <w:r w:rsidRPr="0062667A">
        <w:rPr>
          <w:rFonts w:ascii="Times New Roman" w:hAnsi="Times New Roman" w:cs="Times New Roman"/>
          <w:sz w:val="32"/>
          <w:szCs w:val="32"/>
        </w:rPr>
        <w:t xml:space="preserve"> e i giudici nazionali, istituito dall’articolo 267 TFUE, e il principio del primato del diritto dell’Unione esigono che il giudice nazionale sia libero di sottoporre alla Corte, in qualsiasi fase del procedimento che reputi appropriata, ed anche al termine di un procedimento incidentale di controllo di costituzionalità, qualsiasi questione pregiudiziale che esso consideri necessaria</w:t>
      </w:r>
      <w:r>
        <w:rPr>
          <w:rFonts w:ascii="Times New Roman" w:hAnsi="Times New Roman" w:cs="Times New Roman"/>
          <w:sz w:val="32"/>
          <w:szCs w:val="32"/>
        </w:rPr>
        <w:t xml:space="preserve">; </w:t>
      </w:r>
    </w:p>
    <w:p w:rsidR="0062667A" w:rsidRDefault="0062667A" w:rsidP="00F34777">
      <w:pPr>
        <w:jc w:val="both"/>
        <w:rPr>
          <w:rFonts w:ascii="Times New Roman" w:hAnsi="Times New Roman" w:cs="Times New Roman"/>
          <w:sz w:val="32"/>
          <w:szCs w:val="32"/>
        </w:rPr>
      </w:pPr>
      <w:r>
        <w:rPr>
          <w:rFonts w:ascii="Times New Roman" w:hAnsi="Times New Roman" w:cs="Times New Roman"/>
          <w:sz w:val="32"/>
          <w:szCs w:val="32"/>
        </w:rPr>
        <w:t xml:space="preserve">- </w:t>
      </w:r>
      <w:r w:rsidRPr="0062667A">
        <w:rPr>
          <w:rFonts w:ascii="Times New Roman" w:hAnsi="Times New Roman" w:cs="Times New Roman"/>
          <w:sz w:val="32"/>
          <w:szCs w:val="32"/>
        </w:rPr>
        <w:t>l’efficacia del diritto dell’Unione rischierebbe di essere compromessa e l’effetto utile dell’articolo 267 TFUE risulterebbe sminuito se, a motivo dell’esistenza di un procedimento di controllo di costituzionalità, al giudice nazionale fosse impedito di sottoporre questioni pregiudiziali alla Corte e di dare immediatamente al diritto dell’Unione un’applicazione conforme alla decisione o alla giurisprudenza della Corte</w:t>
      </w:r>
      <w:r>
        <w:rPr>
          <w:rFonts w:ascii="Times New Roman" w:hAnsi="Times New Roman" w:cs="Times New Roman"/>
          <w:sz w:val="32"/>
          <w:szCs w:val="32"/>
        </w:rPr>
        <w:t xml:space="preserve">; </w:t>
      </w:r>
    </w:p>
    <w:p w:rsidR="0062667A" w:rsidRDefault="0062667A" w:rsidP="00F34777">
      <w:pPr>
        <w:jc w:val="both"/>
        <w:rPr>
          <w:rFonts w:ascii="Times New Roman" w:hAnsi="Times New Roman" w:cs="Times New Roman"/>
          <w:sz w:val="32"/>
          <w:szCs w:val="32"/>
        </w:rPr>
      </w:pPr>
      <w:r>
        <w:rPr>
          <w:rFonts w:ascii="Times New Roman" w:hAnsi="Times New Roman" w:cs="Times New Roman"/>
          <w:sz w:val="32"/>
          <w:szCs w:val="32"/>
        </w:rPr>
        <w:t>- i</w:t>
      </w:r>
      <w:r w:rsidRPr="0062667A">
        <w:rPr>
          <w:rFonts w:ascii="Times New Roman" w:hAnsi="Times New Roman" w:cs="Times New Roman"/>
          <w:sz w:val="32"/>
          <w:szCs w:val="32"/>
        </w:rPr>
        <w:t xml:space="preserve">l fatto che la Corte costituzionale italiana si sia pronunciata sulla conformità delle disposizioni del diritto nazionale alle disposizioni della Costituzione italiana corrispondenti e identiche </w:t>
      </w:r>
      <w:r>
        <w:rPr>
          <w:rFonts w:ascii="Times New Roman" w:hAnsi="Times New Roman" w:cs="Times New Roman"/>
          <w:sz w:val="32"/>
          <w:szCs w:val="32"/>
        </w:rPr>
        <w:t>alle disposizioni</w:t>
      </w:r>
      <w:r w:rsidRPr="0062667A">
        <w:rPr>
          <w:rFonts w:ascii="Times New Roman" w:hAnsi="Times New Roman" w:cs="Times New Roman"/>
          <w:sz w:val="32"/>
          <w:szCs w:val="32"/>
        </w:rPr>
        <w:t xml:space="preserve"> della Carta dei diritti fondamentali, non ha alcuna incidenza sull’obbligo, previsto dall’articolo 267 TFUE, di sottoporre alla Corte </w:t>
      </w:r>
      <w:r>
        <w:rPr>
          <w:rFonts w:ascii="Times New Roman" w:hAnsi="Times New Roman" w:cs="Times New Roman"/>
          <w:sz w:val="32"/>
          <w:szCs w:val="32"/>
        </w:rPr>
        <w:t xml:space="preserve">di giustizia </w:t>
      </w:r>
      <w:r w:rsidRPr="0062667A">
        <w:rPr>
          <w:rFonts w:ascii="Times New Roman" w:hAnsi="Times New Roman" w:cs="Times New Roman"/>
          <w:sz w:val="32"/>
          <w:szCs w:val="32"/>
        </w:rPr>
        <w:t>eventuali questioni riguardanti l’interpretazione del diritto dell’Unione</w:t>
      </w:r>
      <w:r>
        <w:rPr>
          <w:rFonts w:ascii="Times New Roman" w:hAnsi="Times New Roman" w:cs="Times New Roman"/>
          <w:sz w:val="32"/>
          <w:szCs w:val="32"/>
        </w:rPr>
        <w:t xml:space="preserve">. </w:t>
      </w:r>
    </w:p>
    <w:p w:rsidR="0062667A" w:rsidRDefault="004A3C43" w:rsidP="00F34777">
      <w:pPr>
        <w:jc w:val="both"/>
        <w:rPr>
          <w:rFonts w:ascii="Times New Roman" w:hAnsi="Times New Roman" w:cs="Times New Roman"/>
          <w:sz w:val="32"/>
          <w:szCs w:val="32"/>
        </w:rPr>
      </w:pPr>
      <w:r>
        <w:rPr>
          <w:rFonts w:ascii="Times New Roman" w:hAnsi="Times New Roman" w:cs="Times New Roman"/>
          <w:b/>
          <w:sz w:val="32"/>
          <w:szCs w:val="32"/>
        </w:rPr>
        <w:t>3.3.</w:t>
      </w:r>
      <w:r w:rsidRPr="004A3C43">
        <w:rPr>
          <w:rFonts w:ascii="Times New Roman" w:hAnsi="Times New Roman" w:cs="Times New Roman"/>
          <w:sz w:val="32"/>
          <w:szCs w:val="32"/>
        </w:rPr>
        <w:t xml:space="preserve"> A fronte </w:t>
      </w:r>
      <w:r>
        <w:rPr>
          <w:rFonts w:ascii="Times New Roman" w:hAnsi="Times New Roman" w:cs="Times New Roman"/>
          <w:sz w:val="32"/>
          <w:szCs w:val="32"/>
        </w:rPr>
        <w:t xml:space="preserve">della delicatezza della questione – tenuto conto, per un verso, </w:t>
      </w:r>
      <w:r w:rsidR="0016529D">
        <w:rPr>
          <w:rFonts w:ascii="Times New Roman" w:hAnsi="Times New Roman" w:cs="Times New Roman"/>
          <w:sz w:val="32"/>
          <w:szCs w:val="32"/>
        </w:rPr>
        <w:t xml:space="preserve">dell’impatto sulle forme di tutela dei diritti fondamentali garantiti dalla Carta e dalla Costituzione e sui circuiti di diritto </w:t>
      </w:r>
      <w:proofErr w:type="spellStart"/>
      <w:r w:rsidR="0016529D">
        <w:rPr>
          <w:rFonts w:ascii="Times New Roman" w:hAnsi="Times New Roman" w:cs="Times New Roman"/>
          <w:sz w:val="32"/>
          <w:szCs w:val="32"/>
        </w:rPr>
        <w:t>unionale</w:t>
      </w:r>
      <w:proofErr w:type="spellEnd"/>
      <w:r w:rsidR="0016529D">
        <w:rPr>
          <w:rFonts w:ascii="Times New Roman" w:hAnsi="Times New Roman" w:cs="Times New Roman"/>
          <w:sz w:val="32"/>
          <w:szCs w:val="32"/>
        </w:rPr>
        <w:t xml:space="preserve"> e di diritto costituzionale scaturenti dalle discipline</w:t>
      </w:r>
      <w:r w:rsidR="00710790">
        <w:rPr>
          <w:rFonts w:ascii="Times New Roman" w:hAnsi="Times New Roman" w:cs="Times New Roman"/>
          <w:sz w:val="32"/>
          <w:szCs w:val="32"/>
        </w:rPr>
        <w:t xml:space="preserve"> degli istituti della rimessione pregiudiziale alle rispettive Corti</w:t>
      </w:r>
      <w:r w:rsidR="0016529D">
        <w:rPr>
          <w:rFonts w:ascii="Times New Roman" w:hAnsi="Times New Roman" w:cs="Times New Roman"/>
          <w:sz w:val="32"/>
          <w:szCs w:val="32"/>
        </w:rPr>
        <w:t xml:space="preserve">, e, per altro verso, </w:t>
      </w:r>
      <w:r>
        <w:rPr>
          <w:rFonts w:ascii="Times New Roman" w:hAnsi="Times New Roman" w:cs="Times New Roman"/>
          <w:sz w:val="32"/>
          <w:szCs w:val="32"/>
        </w:rPr>
        <w:t xml:space="preserve">delle conseguenze collegate ad un’eventuale violazione del diritto dell’Unione da parte del giudice nazionale di ultima istanza –, la stessa meriterebbe di essere chiarita </w:t>
      </w:r>
      <w:r w:rsidR="0016529D">
        <w:rPr>
          <w:rFonts w:ascii="Times New Roman" w:hAnsi="Times New Roman" w:cs="Times New Roman"/>
          <w:sz w:val="32"/>
          <w:szCs w:val="32"/>
        </w:rPr>
        <w:t>al più presto, nell’interesse della certezza del diritto.</w:t>
      </w:r>
      <w:r w:rsidR="0016529D">
        <w:rPr>
          <w:rStyle w:val="Rimandonotaapidipagina"/>
          <w:rFonts w:ascii="Times New Roman" w:hAnsi="Times New Roman" w:cs="Times New Roman"/>
          <w:sz w:val="32"/>
          <w:szCs w:val="32"/>
        </w:rPr>
        <w:footnoteReference w:id="39"/>
      </w:r>
    </w:p>
    <w:p w:rsidR="004B5867" w:rsidRDefault="004B5867" w:rsidP="00F34777">
      <w:pPr>
        <w:jc w:val="both"/>
        <w:rPr>
          <w:rFonts w:ascii="Times New Roman" w:hAnsi="Times New Roman" w:cs="Times New Roman"/>
          <w:sz w:val="32"/>
          <w:szCs w:val="32"/>
        </w:rPr>
      </w:pPr>
    </w:p>
    <w:p w:rsidR="004B5867" w:rsidRDefault="004B5867" w:rsidP="00A05A7C">
      <w:pPr>
        <w:jc w:val="right"/>
        <w:rPr>
          <w:rFonts w:ascii="Times New Roman" w:hAnsi="Times New Roman" w:cs="Times New Roman"/>
          <w:sz w:val="32"/>
          <w:szCs w:val="32"/>
        </w:rPr>
      </w:pPr>
      <w:r>
        <w:rPr>
          <w:rFonts w:ascii="Times New Roman" w:hAnsi="Times New Roman" w:cs="Times New Roman"/>
          <w:sz w:val="32"/>
          <w:szCs w:val="32"/>
        </w:rPr>
        <w:t xml:space="preserve">dott. Bernhard </w:t>
      </w:r>
      <w:proofErr w:type="spellStart"/>
      <w:r>
        <w:rPr>
          <w:rFonts w:ascii="Times New Roman" w:hAnsi="Times New Roman" w:cs="Times New Roman"/>
          <w:sz w:val="32"/>
          <w:szCs w:val="32"/>
        </w:rPr>
        <w:t>Lageder</w:t>
      </w:r>
      <w:proofErr w:type="spellEnd"/>
    </w:p>
    <w:p w:rsidR="004B5867" w:rsidRDefault="004B5867" w:rsidP="00A05A7C">
      <w:pPr>
        <w:jc w:val="right"/>
        <w:rPr>
          <w:rFonts w:ascii="Times New Roman" w:hAnsi="Times New Roman" w:cs="Times New Roman"/>
          <w:sz w:val="32"/>
          <w:szCs w:val="32"/>
        </w:rPr>
      </w:pPr>
      <w:r>
        <w:rPr>
          <w:rFonts w:ascii="Times New Roman" w:hAnsi="Times New Roman" w:cs="Times New Roman"/>
          <w:sz w:val="32"/>
          <w:szCs w:val="32"/>
        </w:rPr>
        <w:t>Consigliere di Stato</w:t>
      </w:r>
    </w:p>
    <w:p w:rsidR="00A05A7C" w:rsidRPr="004A3C43" w:rsidRDefault="00A05A7C" w:rsidP="00A05A7C">
      <w:pPr>
        <w:rPr>
          <w:rFonts w:ascii="Times New Roman" w:hAnsi="Times New Roman" w:cs="Times New Roman"/>
          <w:b/>
          <w:sz w:val="32"/>
          <w:szCs w:val="32"/>
        </w:rPr>
      </w:pPr>
      <w:bookmarkStart w:id="5" w:name="_GoBack"/>
      <w:bookmarkEnd w:id="5"/>
      <w:r>
        <w:rPr>
          <w:rFonts w:ascii="Times New Roman" w:hAnsi="Times New Roman" w:cs="Times New Roman"/>
          <w:sz w:val="32"/>
          <w:szCs w:val="32"/>
        </w:rPr>
        <w:t>26 maggio 2018</w:t>
      </w:r>
    </w:p>
    <w:sectPr w:rsidR="00A05A7C" w:rsidRPr="004A3C43" w:rsidSect="004B586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BF" w:rsidRDefault="008A0CBF" w:rsidP="000C4083">
      <w:pPr>
        <w:spacing w:after="0" w:line="240" w:lineRule="auto"/>
      </w:pPr>
      <w:r>
        <w:separator/>
      </w:r>
    </w:p>
  </w:endnote>
  <w:endnote w:type="continuationSeparator" w:id="0">
    <w:p w:rsidR="008A0CBF" w:rsidRDefault="008A0CBF" w:rsidP="000C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BF" w:rsidRDefault="008A0CBF" w:rsidP="000C4083">
      <w:pPr>
        <w:spacing w:after="0" w:line="240" w:lineRule="auto"/>
      </w:pPr>
      <w:r>
        <w:separator/>
      </w:r>
    </w:p>
  </w:footnote>
  <w:footnote w:type="continuationSeparator" w:id="0">
    <w:p w:rsidR="008A0CBF" w:rsidRDefault="008A0CBF" w:rsidP="000C4083">
      <w:pPr>
        <w:spacing w:after="0" w:line="240" w:lineRule="auto"/>
      </w:pPr>
      <w:r>
        <w:continuationSeparator/>
      </w:r>
    </w:p>
  </w:footnote>
  <w:footnote w:id="1">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Le categorie e i settori di competenza dell’Unione sono delineati nella Parte prima, Titolo I, del TFUE: </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sz w:val="22"/>
          <w:szCs w:val="22"/>
        </w:rPr>
        <w:t xml:space="preserve">- l’articolo 2 reca il quadro generale del regime delle varie tipologie di competenze attribuite all’Unione; </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sz w:val="22"/>
          <w:szCs w:val="22"/>
        </w:rPr>
        <w:t xml:space="preserve">- l’articolo 3 individua i settori di competenza esclusiva dell’Unione: unione doganale; definizione delle regole di concorrenza necessarie al funzionamento del mercato interno (artt. 101 ss. TFUE); politica monetaria per gli Stati membri la cui moneta è l'euro; conservazione delle risorse biologiche del mare nel quadro della politica comune della pesca; politica commerciale comune; conclusione di accordi internazionali; </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sz w:val="22"/>
          <w:szCs w:val="22"/>
        </w:rPr>
        <w:t xml:space="preserve">- l’articolo 4 elenca, a titolo indicativo, i principali settori attribuiti alla competenza concorrente dell’Unione, tra cui: mercato interno; politica sociale, per quanto riguarda gli aspetti definiti nel TFUE; coesione economica, sociale e territoriale; agricoltura e pesca, tranne la conservazione delle risorse biologiche del mare; ambiente; protezione dei consumatori; trasporti; reti </w:t>
      </w:r>
      <w:proofErr w:type="spellStart"/>
      <w:r w:rsidRPr="00673BB8">
        <w:rPr>
          <w:rFonts w:ascii="Times New Roman" w:hAnsi="Times New Roman" w:cs="Times New Roman"/>
          <w:sz w:val="22"/>
          <w:szCs w:val="22"/>
        </w:rPr>
        <w:t>transeuropee</w:t>
      </w:r>
      <w:proofErr w:type="spellEnd"/>
      <w:r w:rsidRPr="00673BB8">
        <w:rPr>
          <w:rFonts w:ascii="Times New Roman" w:hAnsi="Times New Roman" w:cs="Times New Roman"/>
          <w:sz w:val="22"/>
          <w:szCs w:val="22"/>
        </w:rPr>
        <w:t xml:space="preserve">; energia; spazio di libertà, sicurezza e giustizia; problemi comuni di sicurezza in materia di sanità pubblica, per quanto riguarda gli aspetti definiti nel TFUE (le competenze concorrenti – le quali assumono veste residuale, estendendosi a tutte le materie non rientranti in altre tipologie di competenze – costituiscono la categoria più numerosa); </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sz w:val="22"/>
          <w:szCs w:val="22"/>
        </w:rPr>
        <w:t xml:space="preserve">- gli articoli 5 e 6 trattano delle competenze complementari (o parallele). </w:t>
      </w:r>
    </w:p>
  </w:footnote>
  <w:footnote w:id="2">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È sufficiente la lettura dell’art. 133 del Codice del processo amministrativo, per rendersi conto che molte delle materie attribuite alla giurisdizione esclusiva del giudice amministrativo ineriscono ai settori attribuiti alla competenza delle istituzioni dell’Unione. </w:t>
      </w:r>
    </w:p>
  </w:footnote>
  <w:footnote w:id="3">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w:t>
      </w:r>
      <w:proofErr w:type="spellStart"/>
      <w:r w:rsidRPr="00673BB8">
        <w:rPr>
          <w:rFonts w:ascii="Times New Roman" w:hAnsi="Times New Roman" w:cs="Times New Roman"/>
          <w:sz w:val="22"/>
          <w:szCs w:val="22"/>
        </w:rPr>
        <w:t>Cons</w:t>
      </w:r>
      <w:proofErr w:type="spellEnd"/>
      <w:r w:rsidRPr="00673BB8">
        <w:rPr>
          <w:rFonts w:ascii="Times New Roman" w:hAnsi="Times New Roman" w:cs="Times New Roman"/>
          <w:sz w:val="22"/>
          <w:szCs w:val="22"/>
        </w:rPr>
        <w:t xml:space="preserve">. Stato, Sez. IV, ordinanza 4 febbraio 2016, n. 2334. </w:t>
      </w:r>
    </w:p>
  </w:footnote>
  <w:footnote w:id="4">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Con la seconda questione, di diritto sostanziale, il Consiglio di Stato aveva chiesto se gli articoli 26, 49, 56 e 63 TFUE, l’articolo 16 della Carta dei diritti fondamentali, nonché il principio della tutela del legittimo affidamento, debbano essere interpretati nel senso che essi ostano ad una normativa nazionale, come quella in discussione nel procedimento principale, la quale imponga a soggetti già concessionari nel settore della gestione telematica del gioco lecito nuove condizioni di esercizio della loro attività mediante un atto di integrazione della convenzione </w:t>
      </w:r>
      <w:proofErr w:type="spellStart"/>
      <w:r w:rsidRPr="00673BB8">
        <w:rPr>
          <w:rFonts w:ascii="Times New Roman" w:hAnsi="Times New Roman" w:cs="Times New Roman"/>
          <w:sz w:val="22"/>
          <w:szCs w:val="22"/>
        </w:rPr>
        <w:t>accessiva</w:t>
      </w:r>
      <w:proofErr w:type="spellEnd"/>
      <w:r w:rsidRPr="00673BB8">
        <w:rPr>
          <w:rFonts w:ascii="Times New Roman" w:hAnsi="Times New Roman" w:cs="Times New Roman"/>
          <w:sz w:val="22"/>
          <w:szCs w:val="22"/>
        </w:rPr>
        <w:t xml:space="preserve"> alla concessione esistente. La Corte di giustizia, in risposta a tale quesito interpretativo, ha statuito testualmente: «</w:t>
      </w:r>
      <w:r w:rsidRPr="00673BB8">
        <w:rPr>
          <w:rFonts w:ascii="Times New Roman" w:hAnsi="Times New Roman" w:cs="Times New Roman"/>
          <w:i/>
          <w:sz w:val="22"/>
          <w:szCs w:val="22"/>
        </w:rPr>
        <w:t xml:space="preserve">Gli articoli 49 e 56 TFUE nonché il principio del legittimo affidamento devono essere interpretati nel senso che essi non ostano ad una normativa nazionale, come quella in discussione nel procedimento principale, la quale imponga a soggetti già concessionari nel settore della gestione telematica del gioco lecito nuove condizioni per l’esercizio della loro attività mediante un atto di integrazione della convenzione </w:t>
      </w:r>
      <w:proofErr w:type="spellStart"/>
      <w:r w:rsidRPr="00673BB8">
        <w:rPr>
          <w:rFonts w:ascii="Times New Roman" w:hAnsi="Times New Roman" w:cs="Times New Roman"/>
          <w:i/>
          <w:sz w:val="22"/>
          <w:szCs w:val="22"/>
        </w:rPr>
        <w:t>accessiva</w:t>
      </w:r>
      <w:proofErr w:type="spellEnd"/>
      <w:r w:rsidRPr="00673BB8">
        <w:rPr>
          <w:rFonts w:ascii="Times New Roman" w:hAnsi="Times New Roman" w:cs="Times New Roman"/>
          <w:i/>
          <w:sz w:val="22"/>
          <w:szCs w:val="22"/>
        </w:rPr>
        <w:t xml:space="preserve"> alla concessione esistente, laddove il giudice del rinvio concluda che tale normativa può essere giustificata da motivi imperativi di interesse generale, è idonea a garantire la realizzazione degli obiettivi perseguiti e non eccede quanto è necessario per raggiungerli</w:t>
      </w:r>
      <w:r w:rsidRPr="00673BB8">
        <w:rPr>
          <w:rFonts w:ascii="Times New Roman" w:hAnsi="Times New Roman" w:cs="Times New Roman"/>
          <w:sz w:val="22"/>
          <w:szCs w:val="22"/>
        </w:rPr>
        <w:t xml:space="preserve">». </w:t>
      </w:r>
    </w:p>
  </w:footnote>
  <w:footnote w:id="5">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Con la sentenza 31 marzo 2015, n. 56/2015, con cui è stata dichiarata non fondata la questione di legittimità costituzionale dell’art. 1, comma 79, della legge 13 dicembre 2010, n. 220 (Disposizioni per la formazione del bilancio annuale e pluriennale dello Stato - legge di stabilità 2011) nonché dei precedenti commi 77 e 78, in quanto richiamati dal comma 79, sollevata dal Consiglio di Stato, in riferimento agli artt. 3, 41, primo comma, e 42, terzo comma, della Costituzione. </w:t>
      </w:r>
    </w:p>
  </w:footnote>
  <w:footnote w:id="6">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La formulazione letterale del quesito era il seguente: «</w:t>
      </w:r>
      <w:r w:rsidRPr="00673BB8">
        <w:rPr>
          <w:rFonts w:ascii="Times New Roman" w:hAnsi="Times New Roman" w:cs="Times New Roman"/>
          <w:i/>
          <w:sz w:val="22"/>
          <w:szCs w:val="22"/>
        </w:rPr>
        <w:t>Se l’artt. 267, par. 3, del Trattato FUE possa essere interpretato nel senso che non sussiste l’obbligo incondizionato del giudice di ultima istanza di rinvio pregiudiziale di una questione di interpretazione del diritto europeo qualora, nel corso del medesimo giudizio, la Corte costituzionale abbia valutato la legittimità costituzionale della disciplina nazionale, nella sostanza, utilizzando gli stessi parametri normativi di cui si chiede l’interpretazione alla Corte di giustizia, ancorché formalmente diversi perché rivenienti in norme della Costituzione e non dei Trattati europei</w:t>
      </w:r>
      <w:r w:rsidRPr="00673BB8">
        <w:rPr>
          <w:rFonts w:ascii="Times New Roman" w:hAnsi="Times New Roman" w:cs="Times New Roman"/>
          <w:sz w:val="22"/>
          <w:szCs w:val="22"/>
        </w:rPr>
        <w:t>»</w:t>
      </w:r>
      <w:r w:rsidR="00D57973" w:rsidRPr="00673BB8">
        <w:rPr>
          <w:rFonts w:ascii="Times New Roman" w:hAnsi="Times New Roman" w:cs="Times New Roman"/>
          <w:sz w:val="22"/>
          <w:szCs w:val="22"/>
        </w:rPr>
        <w:t xml:space="preserve">. </w:t>
      </w:r>
    </w:p>
  </w:footnote>
  <w:footnote w:id="7">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I</w:t>
      </w:r>
      <w:r w:rsidR="00A12556">
        <w:rPr>
          <w:rFonts w:ascii="Times New Roman" w:hAnsi="Times New Roman" w:cs="Times New Roman"/>
          <w:sz w:val="22"/>
          <w:szCs w:val="22"/>
        </w:rPr>
        <w:t>l giudice</w:t>
      </w:r>
      <w:r w:rsidRPr="00673BB8">
        <w:rPr>
          <w:rFonts w:ascii="Times New Roman" w:hAnsi="Times New Roman" w:cs="Times New Roman"/>
          <w:sz w:val="22"/>
          <w:szCs w:val="22"/>
        </w:rPr>
        <w:t xml:space="preserve"> nazionale non di ultima istanza (</w:t>
      </w:r>
      <w:proofErr w:type="spellStart"/>
      <w:r w:rsidRPr="00673BB8">
        <w:rPr>
          <w:rFonts w:ascii="Times New Roman" w:hAnsi="Times New Roman" w:cs="Times New Roman"/>
          <w:sz w:val="22"/>
          <w:szCs w:val="22"/>
        </w:rPr>
        <w:t>n.d.r.</w:t>
      </w:r>
      <w:proofErr w:type="spellEnd"/>
      <w:r w:rsidRPr="00673BB8">
        <w:rPr>
          <w:rFonts w:ascii="Times New Roman" w:hAnsi="Times New Roman" w:cs="Times New Roman"/>
          <w:sz w:val="22"/>
          <w:szCs w:val="22"/>
        </w:rPr>
        <w:t xml:space="preserve">). </w:t>
      </w:r>
    </w:p>
  </w:footnote>
  <w:footnote w:id="8">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Il giudice nazionale di ultima istanza (</w:t>
      </w:r>
      <w:proofErr w:type="spellStart"/>
      <w:r w:rsidRPr="00673BB8">
        <w:rPr>
          <w:rFonts w:ascii="Times New Roman" w:hAnsi="Times New Roman" w:cs="Times New Roman"/>
          <w:sz w:val="22"/>
          <w:szCs w:val="22"/>
        </w:rPr>
        <w:t>n.d.r.</w:t>
      </w:r>
      <w:proofErr w:type="spellEnd"/>
      <w:r w:rsidRPr="00673BB8">
        <w:rPr>
          <w:rFonts w:ascii="Times New Roman" w:hAnsi="Times New Roman" w:cs="Times New Roman"/>
          <w:sz w:val="22"/>
          <w:szCs w:val="22"/>
        </w:rPr>
        <w:t xml:space="preserve">). </w:t>
      </w:r>
    </w:p>
  </w:footnote>
  <w:footnote w:id="9">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Le questioni di legittimità costituzionale sono state sollevate nell’ambito di un giudizio di impugnazione del diniego opposto dall’AGCM ad una istanza di rimborso dei contributi versati dalle parti private ricorrenti in relazione agli anni 2013 e 2014. </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sz w:val="22"/>
          <w:szCs w:val="22"/>
        </w:rPr>
        <w:t xml:space="preserve">Quanto alle questioni di merito affrontate dalla Corte costituzionale – che, nel presente contesto, non sono di interesse –, la stessa ha ritenuto la ragionevolezza della disciplina del contributo in questione e la sua non contrarietà al principio della progressività delle imposte, dichiarando di conseguenza l’infondatezza della questione. </w:t>
      </w:r>
    </w:p>
  </w:footnote>
  <w:footnote w:id="10">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Richiamava, al riguardo, il proprio orientamento compendiato nell’ordinanza n. 207 del 2013, per cui «</w:t>
      </w:r>
      <w:r w:rsidRPr="00673BB8">
        <w:rPr>
          <w:rFonts w:ascii="Times New Roman" w:hAnsi="Times New Roman" w:cs="Times New Roman"/>
          <w:i/>
          <w:sz w:val="22"/>
          <w:szCs w:val="22"/>
        </w:rPr>
        <w:t>conformemente ai principi affermati dalla sentenza della Corte di giustizia 9 marzo 1978, in causa C-106/77 (</w:t>
      </w:r>
      <w:proofErr w:type="spellStart"/>
      <w:r w:rsidRPr="00673BB8">
        <w:rPr>
          <w:rFonts w:ascii="Times New Roman" w:hAnsi="Times New Roman" w:cs="Times New Roman"/>
          <w:i/>
          <w:sz w:val="22"/>
          <w:szCs w:val="22"/>
        </w:rPr>
        <w:t>Simmenthal</w:t>
      </w:r>
      <w:proofErr w:type="spellEnd"/>
      <w:r w:rsidRPr="00673BB8">
        <w:rPr>
          <w:rFonts w:ascii="Times New Roman" w:hAnsi="Times New Roman" w:cs="Times New Roman"/>
          <w:i/>
          <w:sz w:val="22"/>
          <w:szCs w:val="22"/>
        </w:rPr>
        <w:t>), e dalla successiva giurisprudenza di questa Corte, segnatamente con la sentenza n. 170 del 1984 (</w:t>
      </w:r>
      <w:proofErr w:type="spellStart"/>
      <w:r w:rsidRPr="00673BB8">
        <w:rPr>
          <w:rFonts w:ascii="Times New Roman" w:hAnsi="Times New Roman" w:cs="Times New Roman"/>
          <w:i/>
          <w:sz w:val="22"/>
          <w:szCs w:val="22"/>
        </w:rPr>
        <w:t>Granital</w:t>
      </w:r>
      <w:proofErr w:type="spellEnd"/>
      <w:r w:rsidRPr="00673BB8">
        <w:rPr>
          <w:rFonts w:ascii="Times New Roman" w:hAnsi="Times New Roman" w:cs="Times New Roman"/>
          <w:i/>
          <w:sz w:val="22"/>
          <w:szCs w:val="22"/>
        </w:rPr>
        <w:t>), qualora si tratti di disposizione del diritto dell’Unione europea direttamente efficace, spetta al giudice nazionale comune valutare la compatibilità comunitaria della normativa interna censurata, utilizzando – se del caso – il rinvio pregiudiziale alla Corte di giustizia, e nell’ipotesi di contrasto provvedere egli stesso all’applicazione della norma comunitaria in luogo della norma nazionale; mentre, in caso di contrasto con una norma comunitaria priva di efficacia diretta – contrasto accertato eventualmente mediante ricorso alla Corte di giustizia – e nell’impossibilità di risolvere il contrasto in via interpretativa, il giudice comune deve sollevare la questione di legittimità costituzionale, spettando poi a questa Corte valutare l’esistenza di un contrasto insanabile in via interpretativa e, eventualmente, annullare la legge incompatibile con il diritto comunitario (nello stesso senso sentenze n. 284 del 2007, n. 28 e n. 227 del 2010 e n. 75 del 2012)</w:t>
      </w:r>
      <w:r w:rsidRPr="00673BB8">
        <w:rPr>
          <w:rFonts w:ascii="Times New Roman" w:hAnsi="Times New Roman" w:cs="Times New Roman"/>
          <w:sz w:val="22"/>
          <w:szCs w:val="22"/>
        </w:rPr>
        <w:t>».</w:t>
      </w:r>
    </w:p>
  </w:footnote>
  <w:footnote w:id="11">
    <w:p w:rsidR="00321AA1" w:rsidRPr="00673BB8" w:rsidRDefault="00321AA1" w:rsidP="00F34777">
      <w:pPr>
        <w:pStyle w:val="Testonotaapidipagina"/>
        <w:jc w:val="both"/>
        <w:rPr>
          <w:rFonts w:ascii="Times New Roman" w:hAnsi="Times New Roman" w:cs="Times New Roman"/>
          <w:i/>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Tale </w:t>
      </w:r>
      <w:r w:rsidR="00A12556">
        <w:rPr>
          <w:rFonts w:ascii="Times New Roman" w:hAnsi="Times New Roman" w:cs="Times New Roman"/>
          <w:sz w:val="22"/>
          <w:szCs w:val="22"/>
        </w:rPr>
        <w:t xml:space="preserve">affermazione </w:t>
      </w:r>
      <w:r w:rsidRPr="00673BB8">
        <w:rPr>
          <w:rFonts w:ascii="Times New Roman" w:hAnsi="Times New Roman" w:cs="Times New Roman"/>
          <w:sz w:val="22"/>
          <w:szCs w:val="22"/>
        </w:rPr>
        <w:t xml:space="preserve">si basa sul seguente, testuale </w:t>
      </w:r>
      <w:r w:rsidRPr="00673BB8">
        <w:rPr>
          <w:rFonts w:ascii="Times New Roman" w:hAnsi="Times New Roman" w:cs="Times New Roman"/>
          <w:i/>
          <w:sz w:val="22"/>
          <w:szCs w:val="22"/>
        </w:rPr>
        <w:t>iter</w:t>
      </w:r>
      <w:r w:rsidRPr="00673BB8">
        <w:rPr>
          <w:rFonts w:ascii="Times New Roman" w:hAnsi="Times New Roman" w:cs="Times New Roman"/>
          <w:sz w:val="22"/>
          <w:szCs w:val="22"/>
        </w:rPr>
        <w:t xml:space="preserve"> motivazionale: «</w:t>
      </w:r>
      <w:r w:rsidRPr="00673BB8">
        <w:rPr>
          <w:rFonts w:ascii="Times New Roman" w:hAnsi="Times New Roman" w:cs="Times New Roman"/>
          <w:i/>
          <w:sz w:val="22"/>
          <w:szCs w:val="22"/>
        </w:rPr>
        <w:t xml:space="preserve">Una precisazione si impone alla luce delle trasformazioni che hanno riguardato il diritto dell’Unione europea e il sistema dei rapporti con gli ordinamenti nazionali dopo l’entrata in vigore del Trattato di Lisbona che modifica il Trattato sull'Unione europea e il Trattato che istituisce la Comunità europea e alcuni atti connessi, fatto a Lisbona il 13 dicembre 2007, ratificato ed eseguito dalla legge 2 agosto 2008, n. 130 (Ratifica ed esecuzione del Trattato di Lisbona che modifica il Trattato sull’Unione europea e il Trattato che istituisce la Comunità europea e alcuni atti connessi, con atto finale, protocolli e dichiarazioni, fatto a Lisbona il 13 dicembre 2007), che, tra l’altro, ha attribuito effetti giuridici vincolanti alla Carta dei diritti fondamentali dell’Unione europea, proclamata a Nizza il 7 dicembre 2000 e adattata a Strasburgo il 12 dicembre 2007 (da ora: CDFUE), equiparandola ai Trattati (art. 6, paragrafo 1, del Trattato sull’Unione europea). </w:t>
      </w:r>
    </w:p>
    <w:p w:rsidR="00321AA1" w:rsidRPr="00673BB8" w:rsidRDefault="00321AA1" w:rsidP="00F34777">
      <w:pPr>
        <w:pStyle w:val="Testonotaapidipagina"/>
        <w:jc w:val="both"/>
        <w:rPr>
          <w:rFonts w:ascii="Times New Roman" w:hAnsi="Times New Roman" w:cs="Times New Roman"/>
          <w:i/>
          <w:sz w:val="22"/>
          <w:szCs w:val="22"/>
        </w:rPr>
      </w:pPr>
      <w:r w:rsidRPr="00673BB8">
        <w:rPr>
          <w:rFonts w:ascii="Times New Roman" w:hAnsi="Times New Roman" w:cs="Times New Roman"/>
          <w:i/>
          <w:sz w:val="22"/>
          <w:szCs w:val="22"/>
        </w:rPr>
        <w:t xml:space="preserve">Fermi restando i principi del primato e dell’effetto diretto del diritto dell’Unione europea come sin qui consolidatisi nella giurisprudenza europea e costituzionale, occorre prendere atto che la citata Carta dei diritti costituisce parte del diritto dell’Unione dotata di caratteri peculiari in ragione del suo contenuto di impronta tipicamente costituzionale. I principi e i diritti enunciati nella Carta intersecano in larga misura i principi e i diritti garantiti dalla Costituzione italiana (e dalle altre Costituzioni nazionali degli Stati membri). Sicché può darsi il caso che la violazione di un diritto della persona infranga, ad un tempo, sia le garanzie presidiate dalla Costituzione italiana, sia quelle codificate dalla Carta dei diritti dell’Unione, come è accaduto da ultimo in riferimento al principio di legalità dei reati e delle pene (Corte di giustizia dell’Unione europea, grande sezione, sentenza 5 dicembre 2017, nella causa C-42/17, M.A.S, M.B.). </w:t>
      </w:r>
    </w:p>
    <w:p w:rsidR="00321AA1" w:rsidRPr="00673BB8" w:rsidRDefault="00321AA1" w:rsidP="00F34777">
      <w:pPr>
        <w:pStyle w:val="Testonotaapidipagina"/>
        <w:jc w:val="both"/>
        <w:rPr>
          <w:rFonts w:ascii="Times New Roman" w:hAnsi="Times New Roman" w:cs="Times New Roman"/>
          <w:i/>
          <w:sz w:val="22"/>
          <w:szCs w:val="22"/>
        </w:rPr>
      </w:pPr>
      <w:r w:rsidRPr="00673BB8">
        <w:rPr>
          <w:rFonts w:ascii="Times New Roman" w:hAnsi="Times New Roman" w:cs="Times New Roman"/>
          <w:i/>
          <w:sz w:val="22"/>
          <w:szCs w:val="22"/>
        </w:rPr>
        <w:t xml:space="preserve">Pertanto, le violazioni dei diritti della persona postulano la necessità di un intervento erga </w:t>
      </w:r>
      <w:proofErr w:type="spellStart"/>
      <w:r w:rsidRPr="00673BB8">
        <w:rPr>
          <w:rFonts w:ascii="Times New Roman" w:hAnsi="Times New Roman" w:cs="Times New Roman"/>
          <w:i/>
          <w:sz w:val="22"/>
          <w:szCs w:val="22"/>
        </w:rPr>
        <w:t>omnes</w:t>
      </w:r>
      <w:proofErr w:type="spellEnd"/>
      <w:r w:rsidRPr="00673BB8">
        <w:rPr>
          <w:rFonts w:ascii="Times New Roman" w:hAnsi="Times New Roman" w:cs="Times New Roman"/>
          <w:i/>
          <w:sz w:val="22"/>
          <w:szCs w:val="22"/>
        </w:rPr>
        <w:t xml:space="preserve"> di questa Corte, anche in virtù del principio che situa il sindacato accentrato di costituzionalità delle leggi a fondamento dell’architettura costituzionale (art. 134 </w:t>
      </w:r>
      <w:proofErr w:type="spellStart"/>
      <w:r w:rsidRPr="00673BB8">
        <w:rPr>
          <w:rFonts w:ascii="Times New Roman" w:hAnsi="Times New Roman" w:cs="Times New Roman"/>
          <w:i/>
          <w:sz w:val="22"/>
          <w:szCs w:val="22"/>
        </w:rPr>
        <w:t>Cost</w:t>
      </w:r>
      <w:proofErr w:type="spellEnd"/>
      <w:r w:rsidRPr="00673BB8">
        <w:rPr>
          <w:rFonts w:ascii="Times New Roman" w:hAnsi="Times New Roman" w:cs="Times New Roman"/>
          <w:i/>
          <w:sz w:val="22"/>
          <w:szCs w:val="22"/>
        </w:rPr>
        <w:t xml:space="preserve">.). La Corte giudicherà alla luce dei parametri interni ed eventualmente di quelli europei (ex artt. 11 e 117 </w:t>
      </w:r>
      <w:proofErr w:type="spellStart"/>
      <w:r w:rsidRPr="00673BB8">
        <w:rPr>
          <w:rFonts w:ascii="Times New Roman" w:hAnsi="Times New Roman" w:cs="Times New Roman"/>
          <w:i/>
          <w:sz w:val="22"/>
          <w:szCs w:val="22"/>
        </w:rPr>
        <w:t>Cost</w:t>
      </w:r>
      <w:proofErr w:type="spellEnd"/>
      <w:r w:rsidRPr="00673BB8">
        <w:rPr>
          <w:rFonts w:ascii="Times New Roman" w:hAnsi="Times New Roman" w:cs="Times New Roman"/>
          <w:i/>
          <w:sz w:val="22"/>
          <w:szCs w:val="22"/>
        </w:rPr>
        <w:t xml:space="preserve">.), secondo l’ordine di volta in volta appropriato, anche al fine di assicurare che i diritti garantiti dalla citata Carta dei diritti siano interpretati in armonia con le tradizioni costituzionali, pure richiamate dall’art. 6 del Trattato sull’Unione europea e dall’art. 52, comma 4, della CDFUE come fonti rilevanti in tale ambito. In senso analogo, del resto, si sono orientate altre Corti costituzionali nazionali di antica tradizione (si veda ad esempio Corte costituzionale austriaca, sentenza 14 marzo 2012, U 466/11-18; U 1836/11-13). </w:t>
      </w:r>
    </w:p>
    <w:p w:rsidR="00321AA1" w:rsidRPr="00673BB8" w:rsidRDefault="00321AA1" w:rsidP="00F34777">
      <w:pPr>
        <w:pStyle w:val="Testonotaapidipagina"/>
        <w:jc w:val="both"/>
        <w:rPr>
          <w:rFonts w:ascii="Times New Roman" w:hAnsi="Times New Roman" w:cs="Times New Roman"/>
          <w:i/>
          <w:sz w:val="22"/>
          <w:szCs w:val="22"/>
        </w:rPr>
      </w:pPr>
      <w:r w:rsidRPr="00673BB8">
        <w:rPr>
          <w:rFonts w:ascii="Times New Roman" w:hAnsi="Times New Roman" w:cs="Times New Roman"/>
          <w:i/>
          <w:sz w:val="22"/>
          <w:szCs w:val="22"/>
        </w:rPr>
        <w:t xml:space="preserve">Il tutto, peraltro, in un quadro di costruttiva e leale cooperazione fra i diversi sistemi di garanzia, nel quale le Corti costituzionali sono chiamate a valorizzare il dialogo con la Corte di giustizia (da ultimo, ordinanza n. 24 del 2017), affinché sia assicurata la massima salvaguardia dei diritti a livello sistemico (art. 53 della CDFUE). </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i/>
          <w:sz w:val="22"/>
          <w:szCs w:val="22"/>
        </w:rPr>
        <w:t xml:space="preserve">D’altra parte, la sopravvenienza delle garanzie approntate dalla CDFUE a quelle previste dalla Costituzione italiana può generare un concorso di rimedi giurisdizionali. A tale proposito, di fronte a casi di “doppia pregiudizialità” – vale a dire di controversie che possono dare luogo a questioni di illegittimità costituzionale e, simultaneamente, a questioni di compatibilità con il diritto dell’Unione –, la stessa Corte di giustizia ha a sua volta affermato che il diritto dell’Unione «non osta» al carattere prioritario del giudizio di costituzionalità di competenza delle Corti costituzionali nazionali, purché i giudici ordinari restino liberi di sottoporre alla Corte di giustizia, «in qualunque fase del procedimento ritengano appropriata e finanche al termine del procedimento incidentale di controllo generale delle leggi, qualsiasi questione pregiudiziale a loro giudizio necessaria»; di «adottare qualsiasi misura necessaria per garantire la tutela giurisdizionale provvisoria dei diritti conferiti dall’ordinamento giuridico dell’Unione»; di disapplicare, al termine del giudizio incidentale di legittimità costituzionale, la disposizione legislativa nazionale in questione che abbia superato il vaglio di costituzionalità, ove, per altri profili, la ritengano contraria al diritto dell’Unione (tra le altre, Corte di Giustizia dell’Unione Europea, quinta sezione, sentenza 11 settembre 2014, nella causa C-112/13 A contro B e altri; Corte di Giustizia dell’Unione Europea, grande sezione, sentenza 22 giugno 2010, nelle cause C-188/10, </w:t>
      </w:r>
      <w:proofErr w:type="spellStart"/>
      <w:r w:rsidRPr="00673BB8">
        <w:rPr>
          <w:rFonts w:ascii="Times New Roman" w:hAnsi="Times New Roman" w:cs="Times New Roman"/>
          <w:i/>
          <w:sz w:val="22"/>
          <w:szCs w:val="22"/>
        </w:rPr>
        <w:t>Melki</w:t>
      </w:r>
      <w:proofErr w:type="spellEnd"/>
      <w:r w:rsidRPr="00673BB8">
        <w:rPr>
          <w:rFonts w:ascii="Times New Roman" w:hAnsi="Times New Roman" w:cs="Times New Roman"/>
          <w:i/>
          <w:sz w:val="22"/>
          <w:szCs w:val="22"/>
        </w:rPr>
        <w:t xml:space="preserve"> e C-189/10, </w:t>
      </w:r>
      <w:proofErr w:type="spellStart"/>
      <w:r w:rsidRPr="00673BB8">
        <w:rPr>
          <w:rFonts w:ascii="Times New Roman" w:hAnsi="Times New Roman" w:cs="Times New Roman"/>
          <w:i/>
          <w:sz w:val="22"/>
          <w:szCs w:val="22"/>
        </w:rPr>
        <w:t>Abdeli</w:t>
      </w:r>
      <w:proofErr w:type="spellEnd"/>
      <w:r w:rsidRPr="00673BB8">
        <w:rPr>
          <w:rFonts w:ascii="Times New Roman" w:hAnsi="Times New Roman" w:cs="Times New Roman"/>
          <w:i/>
          <w:sz w:val="22"/>
          <w:szCs w:val="22"/>
        </w:rPr>
        <w:t>)</w:t>
      </w:r>
      <w:r w:rsidRPr="00673BB8">
        <w:rPr>
          <w:rFonts w:ascii="Times New Roman" w:hAnsi="Times New Roman" w:cs="Times New Roman"/>
          <w:sz w:val="22"/>
          <w:szCs w:val="22"/>
        </w:rPr>
        <w:t xml:space="preserve">». </w:t>
      </w:r>
    </w:p>
  </w:footnote>
  <w:footnote w:id="12">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Tale ragione di inammissibilità non è, invece, stata ravvisata per la seconda ordinanza di rimessione, nella quale la Commissione tributaria provinciale di Roma ha viceversa ritenuto necessario delibare preliminarmente la richiesta delle parti di non applicare le disposizioni oggetto di censura per supposto contrasto con la libertà di stabilimento (art. 49 TFUE) e con la libertà di prestazione di servizi (art. 56 TFUE).</w:t>
      </w:r>
    </w:p>
  </w:footnote>
  <w:footnote w:id="13">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L. S. Rossi, La sentenza 269/2017 della Corte costituzionale italiana: </w:t>
      </w:r>
      <w:proofErr w:type="spellStart"/>
      <w:r w:rsidRPr="00673BB8">
        <w:rPr>
          <w:rFonts w:ascii="Times New Roman" w:hAnsi="Times New Roman" w:cs="Times New Roman"/>
          <w:i/>
          <w:sz w:val="22"/>
          <w:szCs w:val="22"/>
        </w:rPr>
        <w:t>obiter</w:t>
      </w:r>
      <w:proofErr w:type="spellEnd"/>
      <w:r w:rsidRPr="00673BB8">
        <w:rPr>
          <w:rFonts w:ascii="Times New Roman" w:hAnsi="Times New Roman" w:cs="Times New Roman"/>
          <w:sz w:val="22"/>
          <w:szCs w:val="22"/>
        </w:rPr>
        <w:t xml:space="preserve"> “creativi” (o distruttivi?) sul ruolo dei giudici italiani di fronte</w:t>
      </w:r>
      <w:r w:rsidR="00D57973" w:rsidRPr="00673BB8">
        <w:rPr>
          <w:rFonts w:ascii="Times New Roman" w:hAnsi="Times New Roman" w:cs="Times New Roman"/>
          <w:sz w:val="22"/>
          <w:szCs w:val="22"/>
        </w:rPr>
        <w:t xml:space="preserve"> al diritto dell’Unione europea</w:t>
      </w:r>
      <w:r w:rsidRPr="00673BB8">
        <w:rPr>
          <w:rFonts w:ascii="Times New Roman" w:hAnsi="Times New Roman" w:cs="Times New Roman"/>
          <w:sz w:val="22"/>
          <w:szCs w:val="22"/>
        </w:rPr>
        <w:t xml:space="preserve">, in </w:t>
      </w:r>
      <w:proofErr w:type="gramStart"/>
      <w:r w:rsidRPr="00673BB8">
        <w:rPr>
          <w:rFonts w:ascii="Times New Roman" w:hAnsi="Times New Roman" w:cs="Times New Roman"/>
          <w:sz w:val="22"/>
          <w:szCs w:val="22"/>
        </w:rPr>
        <w:t>federalismi.it.,</w:t>
      </w:r>
      <w:proofErr w:type="gramEnd"/>
      <w:r w:rsidRPr="00673BB8">
        <w:rPr>
          <w:rFonts w:ascii="Times New Roman" w:hAnsi="Times New Roman" w:cs="Times New Roman"/>
          <w:sz w:val="22"/>
          <w:szCs w:val="22"/>
        </w:rPr>
        <w:t xml:space="preserve"> 31 gennaio 2018. </w:t>
      </w:r>
    </w:p>
  </w:footnote>
  <w:footnote w:id="14">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w:t>
      </w:r>
      <w:proofErr w:type="spellStart"/>
      <w:r w:rsidRPr="00673BB8">
        <w:rPr>
          <w:rFonts w:ascii="Times New Roman" w:hAnsi="Times New Roman" w:cs="Times New Roman"/>
          <w:sz w:val="22"/>
          <w:szCs w:val="22"/>
        </w:rPr>
        <w:t>Cass</w:t>
      </w:r>
      <w:proofErr w:type="spellEnd"/>
      <w:r w:rsidRPr="00673BB8">
        <w:rPr>
          <w:rFonts w:ascii="Times New Roman" w:hAnsi="Times New Roman" w:cs="Times New Roman"/>
          <w:sz w:val="22"/>
          <w:szCs w:val="22"/>
        </w:rPr>
        <w:t xml:space="preserve">. </w:t>
      </w:r>
      <w:proofErr w:type="gramStart"/>
      <w:r w:rsidRPr="00673BB8">
        <w:rPr>
          <w:rFonts w:ascii="Times New Roman" w:hAnsi="Times New Roman" w:cs="Times New Roman"/>
          <w:sz w:val="22"/>
          <w:szCs w:val="22"/>
        </w:rPr>
        <w:t>civ.,</w:t>
      </w:r>
      <w:proofErr w:type="gramEnd"/>
      <w:r w:rsidRPr="00673BB8">
        <w:rPr>
          <w:rFonts w:ascii="Times New Roman" w:hAnsi="Times New Roman" w:cs="Times New Roman"/>
          <w:sz w:val="22"/>
          <w:szCs w:val="22"/>
        </w:rPr>
        <w:t xml:space="preserve"> Sez. II, ordinanza 16 febbraio 2018, n. 3831.</w:t>
      </w:r>
    </w:p>
  </w:footnote>
  <w:footnote w:id="15">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r w:rsidRPr="00673BB8">
        <w:rPr>
          <w:rFonts w:ascii="Times New Roman" w:hAnsi="Times New Roman" w:cs="Times New Roman"/>
          <w:sz w:val="22"/>
          <w:szCs w:val="22"/>
        </w:rPr>
        <w:t>giust</w:t>
      </w:r>
      <w:proofErr w:type="spellEnd"/>
      <w:r w:rsidRPr="00673BB8">
        <w:rPr>
          <w:rFonts w:ascii="Times New Roman" w:hAnsi="Times New Roman" w:cs="Times New Roman"/>
          <w:sz w:val="22"/>
          <w:szCs w:val="22"/>
        </w:rPr>
        <w:t>. CE, sentenza 6 ottobre 1982, causa C-283/81</w:t>
      </w:r>
      <w:r w:rsidR="00D57973" w:rsidRPr="00673BB8">
        <w:rPr>
          <w:rFonts w:ascii="Times New Roman" w:hAnsi="Times New Roman" w:cs="Times New Roman"/>
          <w:sz w:val="22"/>
          <w:szCs w:val="22"/>
        </w:rPr>
        <w:t xml:space="preserve">, </w:t>
      </w:r>
      <w:proofErr w:type="spellStart"/>
      <w:r w:rsidR="00D57973" w:rsidRPr="00673BB8">
        <w:rPr>
          <w:rFonts w:ascii="Times New Roman" w:hAnsi="Times New Roman" w:cs="Times New Roman"/>
          <w:i/>
          <w:sz w:val="22"/>
          <w:szCs w:val="22"/>
        </w:rPr>
        <w:t>Cilfit</w:t>
      </w:r>
      <w:proofErr w:type="spellEnd"/>
      <w:r w:rsidRPr="00673BB8">
        <w:rPr>
          <w:rFonts w:ascii="Times New Roman" w:hAnsi="Times New Roman" w:cs="Times New Roman"/>
          <w:sz w:val="22"/>
          <w:szCs w:val="22"/>
        </w:rPr>
        <w:t xml:space="preserve">. </w:t>
      </w:r>
    </w:p>
  </w:footnote>
  <w:footnote w:id="16">
    <w:p w:rsidR="00321AA1" w:rsidRPr="00673BB8" w:rsidRDefault="00321AA1" w:rsidP="00F34777">
      <w:pPr>
        <w:pStyle w:val="Testonotaapidipagina"/>
        <w:jc w:val="both"/>
        <w:rPr>
          <w:rFonts w:ascii="Times New Roman" w:hAnsi="Times New Roman" w:cs="Times New Roman"/>
          <w:i/>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r w:rsidRPr="00673BB8">
        <w:rPr>
          <w:rFonts w:ascii="Times New Roman" w:hAnsi="Times New Roman" w:cs="Times New Roman"/>
          <w:sz w:val="22"/>
          <w:szCs w:val="22"/>
        </w:rPr>
        <w:t>giust</w:t>
      </w:r>
      <w:proofErr w:type="spellEnd"/>
      <w:r w:rsidRPr="00673BB8">
        <w:rPr>
          <w:rFonts w:ascii="Times New Roman" w:hAnsi="Times New Roman" w:cs="Times New Roman"/>
          <w:sz w:val="22"/>
          <w:szCs w:val="22"/>
        </w:rPr>
        <w:t>. UE 5 dicembre 2017, causa C 42/17</w:t>
      </w:r>
      <w:r w:rsidR="009E5967" w:rsidRPr="00673BB8">
        <w:rPr>
          <w:rFonts w:ascii="Times New Roman" w:hAnsi="Times New Roman" w:cs="Times New Roman"/>
          <w:sz w:val="22"/>
          <w:szCs w:val="22"/>
        </w:rPr>
        <w:t xml:space="preserve">, </w:t>
      </w:r>
      <w:r w:rsidR="009E5967" w:rsidRPr="00673BB8">
        <w:rPr>
          <w:rFonts w:ascii="Times New Roman" w:hAnsi="Times New Roman" w:cs="Times New Roman"/>
          <w:i/>
          <w:sz w:val="22"/>
          <w:szCs w:val="22"/>
        </w:rPr>
        <w:t>M.A.S. e M.B.</w:t>
      </w:r>
      <w:r w:rsidRPr="00673BB8">
        <w:rPr>
          <w:rFonts w:ascii="Times New Roman" w:hAnsi="Times New Roman" w:cs="Times New Roman"/>
          <w:sz w:val="22"/>
          <w:szCs w:val="22"/>
        </w:rPr>
        <w:t>: «</w:t>
      </w:r>
      <w:r w:rsidRPr="00673BB8">
        <w:rPr>
          <w:rFonts w:ascii="Times New Roman" w:hAnsi="Times New Roman" w:cs="Times New Roman"/>
          <w:i/>
          <w:sz w:val="22"/>
          <w:szCs w:val="22"/>
        </w:rPr>
        <w:t xml:space="preserve">22. Occorre anzitutto ricordare che il procedimento di rinvio pregiudiziale previsto dall’articolo 267 TFUE instaura un dialogo da giudice a giudice tra la Corte e i giudici degli Stati membri, il quale mira ad assicurare l’unità di interpretazione del diritto dell’Unione nonché la coerenza, la piena efficacia e l’autonomia di tale diritto [v., in tal senso, parere 2/13 (Adesione dell’Unione alla CEDU), del 18 dicembre 2014, </w:t>
      </w:r>
      <w:proofErr w:type="gramStart"/>
      <w:r w:rsidRPr="00673BB8">
        <w:rPr>
          <w:rFonts w:ascii="Times New Roman" w:hAnsi="Times New Roman" w:cs="Times New Roman"/>
          <w:i/>
          <w:sz w:val="22"/>
          <w:szCs w:val="22"/>
        </w:rPr>
        <w:t>EU:C</w:t>
      </w:r>
      <w:proofErr w:type="gramEnd"/>
      <w:r w:rsidRPr="00673BB8">
        <w:rPr>
          <w:rFonts w:ascii="Times New Roman" w:hAnsi="Times New Roman" w:cs="Times New Roman"/>
          <w:i/>
          <w:sz w:val="22"/>
          <w:szCs w:val="22"/>
        </w:rPr>
        <w:t>:2014:2454, punto 176].</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i/>
          <w:sz w:val="22"/>
          <w:szCs w:val="22"/>
        </w:rPr>
        <w:t xml:space="preserve">23. Il procedimento ex articolo 267 TFUE funge dunque da strumento di cooperazione tra la Corte e i giudici nazionali, per mezzo del quale la prima fornisce ai secondi gli elementi d’interpretazione del diritto dell’Unione loro necessari per risolvere la controversia che essi sono chiamati a dirimere (v., in tal senso, sentenza del 5 luglio 2016, </w:t>
      </w:r>
      <w:proofErr w:type="spellStart"/>
      <w:r w:rsidRPr="00673BB8">
        <w:rPr>
          <w:rFonts w:ascii="Times New Roman" w:hAnsi="Times New Roman" w:cs="Times New Roman"/>
          <w:i/>
          <w:sz w:val="22"/>
          <w:szCs w:val="22"/>
        </w:rPr>
        <w:t>Ognyanov</w:t>
      </w:r>
      <w:proofErr w:type="spellEnd"/>
      <w:r w:rsidRPr="00673BB8">
        <w:rPr>
          <w:rFonts w:ascii="Times New Roman" w:hAnsi="Times New Roman" w:cs="Times New Roman"/>
          <w:i/>
          <w:sz w:val="22"/>
          <w:szCs w:val="22"/>
        </w:rPr>
        <w:t xml:space="preserve">, C 614/14, </w:t>
      </w:r>
      <w:proofErr w:type="gramStart"/>
      <w:r w:rsidRPr="00673BB8">
        <w:rPr>
          <w:rFonts w:ascii="Times New Roman" w:hAnsi="Times New Roman" w:cs="Times New Roman"/>
          <w:i/>
          <w:sz w:val="22"/>
          <w:szCs w:val="22"/>
        </w:rPr>
        <w:t>EU:C</w:t>
      </w:r>
      <w:proofErr w:type="gramEnd"/>
      <w:r w:rsidRPr="00673BB8">
        <w:rPr>
          <w:rFonts w:ascii="Times New Roman" w:hAnsi="Times New Roman" w:cs="Times New Roman"/>
          <w:i/>
          <w:sz w:val="22"/>
          <w:szCs w:val="22"/>
        </w:rPr>
        <w:t>:2016:514, punto 16)</w:t>
      </w:r>
      <w:r w:rsidRPr="00673BB8">
        <w:rPr>
          <w:rFonts w:ascii="Times New Roman" w:hAnsi="Times New Roman" w:cs="Times New Roman"/>
          <w:sz w:val="22"/>
          <w:szCs w:val="22"/>
        </w:rPr>
        <w:t>».</w:t>
      </w:r>
    </w:p>
  </w:footnote>
  <w:footnote w:id="17">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Sul piano formale delle fonti di diritto secondario dell’Unione, rivestono importanza fondamentale gli atti tipici costituiti dai regolamenti e dalle direttive. </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sz w:val="22"/>
          <w:szCs w:val="22"/>
        </w:rPr>
        <w:t>a) I regolamenti sono atti che dettano una disciplina generale e astratta, e sono obbligatori in tutti i loro elementi, essendo con ciò idonei a disciplinare una determinata materia con una normativa completa, di natura generale e astratta. Essi vincolano nella loro interezza i soggetti dell’ordinamento dell’Unione, istituzioni, Stati membri, singoli. Gli stessi sono direttamente applicabili in tutti gli Stati membri, senza necessità di un atto di ricezione nel diritto interno. Ciò comporta per gli Stati membri di non a</w:t>
      </w:r>
      <w:r w:rsidR="00A12556">
        <w:rPr>
          <w:rFonts w:ascii="Times New Roman" w:hAnsi="Times New Roman" w:cs="Times New Roman"/>
          <w:sz w:val="22"/>
          <w:szCs w:val="22"/>
        </w:rPr>
        <w:t>dott</w:t>
      </w:r>
      <w:r w:rsidRPr="00673BB8">
        <w:rPr>
          <w:rFonts w:ascii="Times New Roman" w:hAnsi="Times New Roman" w:cs="Times New Roman"/>
          <w:sz w:val="22"/>
          <w:szCs w:val="22"/>
        </w:rPr>
        <w:t xml:space="preserve">are qualsiasi provvedimento legislativo, anche posteriore, che sia incompatibile con le disposizioni di un regolamento (Corte </w:t>
      </w:r>
      <w:proofErr w:type="spellStart"/>
      <w:r w:rsidRPr="00673BB8">
        <w:rPr>
          <w:rFonts w:ascii="Times New Roman" w:hAnsi="Times New Roman" w:cs="Times New Roman"/>
          <w:sz w:val="22"/>
          <w:szCs w:val="22"/>
        </w:rPr>
        <w:t>giust</w:t>
      </w:r>
      <w:proofErr w:type="spellEnd"/>
      <w:r w:rsidRPr="00673BB8">
        <w:rPr>
          <w:rFonts w:ascii="Times New Roman" w:hAnsi="Times New Roman" w:cs="Times New Roman"/>
          <w:sz w:val="22"/>
          <w:szCs w:val="22"/>
        </w:rPr>
        <w:t xml:space="preserve">. CE 30 novembre 1978, C-31/78). I regolamenti sono pertanto idonei ad essere fonte di situazioni giuridiche soggettive in capo ai singoli, che possono essere fatte valere sia nei confronti dello Stato sia nei confronti di altri singoli. La funzione del regolamento è quella di creare una disciplina giuridica omogenea dell’intera Unione (unificazione giuridica). </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sz w:val="22"/>
          <w:szCs w:val="22"/>
        </w:rPr>
        <w:t>b) Le direttive assolvono, invece, alla funzione di adeguare le norme giuridiche degli Stati membri a un livello minimo comune (armonizzazione giuridica). A differenza del regolamento, la direttiva non è vincolante in tutti i suoi elementi, ma soltanto con riguardo all’obiettivo da raggiungere entro un determinato termine. Le modalità di trasposizione negli ordinamenti interni sono rimesse ai singoli Stati membri. In linea di principio, le direttive, in quanto indirizzate agli Stati membri, diventano fonti di diritti in capo ai singoli solo con il recepimento. La loro efficacia nei confronti dei singoli è mediata dalle misure nazionali di trasposizione, da cui soltanto sorgono le situazioni giuridiche soggettive contemplate dalla direttiva. A determinate condizioni, le disposizioni contenute nelle direttive possono sprigionare effetto diretto nei confronti dello Stato (effetto diretto verticale) e non anche nei rapporti con altri soggetti privati (effetti diretti orizzontali). L’effetto diretto può scaturire solo dopo la scadenza del termine di recepimento che pone lo Stato in una situazione di inadempimento. Hanno effetto diretto quelle disposizioni contenute nelle direttive che, per chiarezza, precisione, completezza e carattere incondizionato, creano per i singoli situazioni giuridiche soggettive che possano essere fatte valere, nei confronti dello Stato, davanti a un giudice nazionale. La mancata e tempestiva adozione delle misure nazionali di trasposizione può dar l</w:t>
      </w:r>
      <w:r w:rsidR="00A66CEC">
        <w:rPr>
          <w:rFonts w:ascii="Times New Roman" w:hAnsi="Times New Roman" w:cs="Times New Roman"/>
          <w:sz w:val="22"/>
          <w:szCs w:val="22"/>
        </w:rPr>
        <w:t>uogo alla responsabilità dello S</w:t>
      </w:r>
      <w:r w:rsidRPr="00673BB8">
        <w:rPr>
          <w:rFonts w:ascii="Times New Roman" w:hAnsi="Times New Roman" w:cs="Times New Roman"/>
          <w:sz w:val="22"/>
          <w:szCs w:val="22"/>
        </w:rPr>
        <w:t xml:space="preserve">tato membro per danni causati ai singoli. </w:t>
      </w:r>
    </w:p>
  </w:footnote>
  <w:footnote w:id="18">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r w:rsidRPr="00673BB8">
        <w:rPr>
          <w:rFonts w:ascii="Times New Roman" w:hAnsi="Times New Roman" w:cs="Times New Roman"/>
          <w:sz w:val="22"/>
          <w:szCs w:val="22"/>
        </w:rPr>
        <w:t>giust</w:t>
      </w:r>
      <w:proofErr w:type="spellEnd"/>
      <w:r w:rsidRPr="00673BB8">
        <w:rPr>
          <w:rFonts w:ascii="Times New Roman" w:hAnsi="Times New Roman" w:cs="Times New Roman"/>
          <w:sz w:val="22"/>
          <w:szCs w:val="22"/>
        </w:rPr>
        <w:t>. CE 11 settembre 2008, cause riunite C-428/06 e C-434/06</w:t>
      </w:r>
      <w:r w:rsidR="00D57973" w:rsidRPr="00673BB8">
        <w:rPr>
          <w:rFonts w:ascii="Times New Roman" w:hAnsi="Times New Roman" w:cs="Times New Roman"/>
          <w:sz w:val="22"/>
          <w:szCs w:val="22"/>
        </w:rPr>
        <w:t xml:space="preserve">, </w:t>
      </w:r>
      <w:r w:rsidR="00D57973" w:rsidRPr="00673BB8">
        <w:rPr>
          <w:rFonts w:ascii="Times New Roman" w:hAnsi="Times New Roman" w:cs="Times New Roman"/>
          <w:i/>
          <w:sz w:val="22"/>
          <w:szCs w:val="22"/>
        </w:rPr>
        <w:t>UGT</w:t>
      </w:r>
      <w:r w:rsidR="00D57973" w:rsidRPr="00673BB8">
        <w:rPr>
          <w:rFonts w:ascii="MS Mincho" w:hAnsi="MS Mincho" w:cs="MS Mincho"/>
          <w:i/>
          <w:sz w:val="22"/>
          <w:szCs w:val="22"/>
        </w:rPr>
        <w:t>‑</w:t>
      </w:r>
      <w:proofErr w:type="spellStart"/>
      <w:r w:rsidR="00D57973" w:rsidRPr="00673BB8">
        <w:rPr>
          <w:rFonts w:ascii="Times New Roman" w:hAnsi="Times New Roman" w:cs="Times New Roman"/>
          <w:i/>
          <w:sz w:val="22"/>
          <w:szCs w:val="22"/>
        </w:rPr>
        <w:t>Rioja</w:t>
      </w:r>
      <w:proofErr w:type="spellEnd"/>
      <w:r w:rsidRPr="00673BB8">
        <w:rPr>
          <w:rFonts w:ascii="Times New Roman" w:hAnsi="Times New Roman" w:cs="Times New Roman"/>
          <w:sz w:val="22"/>
          <w:szCs w:val="22"/>
        </w:rPr>
        <w:t>.</w:t>
      </w:r>
    </w:p>
  </w:footnote>
  <w:footnote w:id="19">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r w:rsidRPr="00673BB8">
        <w:rPr>
          <w:rFonts w:ascii="Times New Roman" w:hAnsi="Times New Roman" w:cs="Times New Roman"/>
          <w:sz w:val="22"/>
          <w:szCs w:val="22"/>
        </w:rPr>
        <w:t>giust</w:t>
      </w:r>
      <w:proofErr w:type="spellEnd"/>
      <w:r w:rsidRPr="00673BB8">
        <w:rPr>
          <w:rFonts w:ascii="Times New Roman" w:hAnsi="Times New Roman" w:cs="Times New Roman"/>
          <w:sz w:val="22"/>
          <w:szCs w:val="22"/>
        </w:rPr>
        <w:t xml:space="preserve">. CE, sentenza 6 ottobre 1982, </w:t>
      </w:r>
      <w:r w:rsidR="004C4023" w:rsidRPr="00673BB8">
        <w:rPr>
          <w:rFonts w:ascii="Times New Roman" w:hAnsi="Times New Roman" w:cs="Times New Roman"/>
          <w:sz w:val="22"/>
          <w:szCs w:val="22"/>
        </w:rPr>
        <w:t xml:space="preserve">causa </w:t>
      </w:r>
      <w:r w:rsidRPr="00673BB8">
        <w:rPr>
          <w:rFonts w:ascii="Times New Roman" w:hAnsi="Times New Roman" w:cs="Times New Roman"/>
          <w:sz w:val="22"/>
          <w:szCs w:val="22"/>
        </w:rPr>
        <w:t>C-283/81</w:t>
      </w:r>
      <w:r w:rsidR="004C4023" w:rsidRPr="00673BB8">
        <w:rPr>
          <w:rFonts w:ascii="Times New Roman" w:hAnsi="Times New Roman" w:cs="Times New Roman"/>
          <w:sz w:val="22"/>
          <w:szCs w:val="22"/>
        </w:rPr>
        <w:t xml:space="preserve">, </w:t>
      </w:r>
      <w:proofErr w:type="spellStart"/>
      <w:r w:rsidR="004C4023" w:rsidRPr="00673BB8">
        <w:rPr>
          <w:rFonts w:ascii="Times New Roman" w:hAnsi="Times New Roman" w:cs="Times New Roman"/>
          <w:i/>
          <w:sz w:val="22"/>
          <w:szCs w:val="22"/>
        </w:rPr>
        <w:t>Cilfit</w:t>
      </w:r>
      <w:proofErr w:type="spellEnd"/>
      <w:r w:rsidRPr="00673BB8">
        <w:rPr>
          <w:rFonts w:ascii="Times New Roman" w:hAnsi="Times New Roman" w:cs="Times New Roman"/>
          <w:sz w:val="22"/>
          <w:szCs w:val="22"/>
        </w:rPr>
        <w:t xml:space="preserve">; Corte </w:t>
      </w:r>
      <w:proofErr w:type="spellStart"/>
      <w:r w:rsidRPr="00673BB8">
        <w:rPr>
          <w:rFonts w:ascii="Times New Roman" w:hAnsi="Times New Roman" w:cs="Times New Roman"/>
          <w:sz w:val="22"/>
          <w:szCs w:val="22"/>
        </w:rPr>
        <w:t>giust</w:t>
      </w:r>
      <w:proofErr w:type="spellEnd"/>
      <w:r w:rsidRPr="00673BB8">
        <w:rPr>
          <w:rFonts w:ascii="Times New Roman" w:hAnsi="Times New Roman" w:cs="Times New Roman"/>
          <w:sz w:val="22"/>
          <w:szCs w:val="22"/>
        </w:rPr>
        <w:t>. CE, 15 settembre 2005, C-495/03</w:t>
      </w:r>
      <w:r w:rsidR="00D57973" w:rsidRPr="00673BB8">
        <w:rPr>
          <w:rFonts w:ascii="Times New Roman" w:hAnsi="Times New Roman" w:cs="Times New Roman"/>
          <w:sz w:val="22"/>
          <w:szCs w:val="22"/>
        </w:rPr>
        <w:t xml:space="preserve">, </w:t>
      </w:r>
      <w:proofErr w:type="spellStart"/>
      <w:r w:rsidR="00D57973" w:rsidRPr="00673BB8">
        <w:rPr>
          <w:rFonts w:ascii="Times New Roman" w:hAnsi="Times New Roman" w:cs="Times New Roman"/>
          <w:i/>
          <w:sz w:val="22"/>
          <w:szCs w:val="22"/>
        </w:rPr>
        <w:t>Intermodal</w:t>
      </w:r>
      <w:proofErr w:type="spellEnd"/>
      <w:r w:rsidR="00D57973" w:rsidRPr="00673BB8">
        <w:rPr>
          <w:rFonts w:ascii="Times New Roman" w:hAnsi="Times New Roman" w:cs="Times New Roman"/>
          <w:i/>
          <w:sz w:val="22"/>
          <w:szCs w:val="22"/>
        </w:rPr>
        <w:t xml:space="preserve"> </w:t>
      </w:r>
      <w:proofErr w:type="spellStart"/>
      <w:r w:rsidR="00D57973" w:rsidRPr="00673BB8">
        <w:rPr>
          <w:rFonts w:ascii="Times New Roman" w:hAnsi="Times New Roman" w:cs="Times New Roman"/>
          <w:i/>
          <w:sz w:val="22"/>
          <w:szCs w:val="22"/>
        </w:rPr>
        <w:t>Transports</w:t>
      </w:r>
      <w:proofErr w:type="spellEnd"/>
      <w:r w:rsidR="00D57973" w:rsidRPr="00673BB8">
        <w:rPr>
          <w:rFonts w:ascii="Times New Roman" w:hAnsi="Times New Roman" w:cs="Times New Roman"/>
          <w:i/>
          <w:sz w:val="22"/>
          <w:szCs w:val="22"/>
        </w:rPr>
        <w:t xml:space="preserve"> BV</w:t>
      </w:r>
      <w:r w:rsidRPr="00673BB8">
        <w:rPr>
          <w:rFonts w:ascii="Times New Roman" w:hAnsi="Times New Roman" w:cs="Times New Roman"/>
          <w:sz w:val="22"/>
          <w:szCs w:val="22"/>
        </w:rPr>
        <w:t xml:space="preserve">. </w:t>
      </w:r>
    </w:p>
  </w:footnote>
  <w:footnote w:id="20">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r w:rsidRPr="00673BB8">
        <w:rPr>
          <w:rFonts w:ascii="Times New Roman" w:hAnsi="Times New Roman" w:cs="Times New Roman"/>
          <w:sz w:val="22"/>
          <w:szCs w:val="22"/>
        </w:rPr>
        <w:t>Cost</w:t>
      </w:r>
      <w:proofErr w:type="spellEnd"/>
      <w:r w:rsidRPr="00673BB8">
        <w:rPr>
          <w:rFonts w:ascii="Times New Roman" w:hAnsi="Times New Roman" w:cs="Times New Roman"/>
          <w:sz w:val="22"/>
          <w:szCs w:val="22"/>
        </w:rPr>
        <w:t xml:space="preserve">. </w:t>
      </w:r>
      <w:proofErr w:type="gramStart"/>
      <w:r w:rsidR="00A66CEC">
        <w:rPr>
          <w:rFonts w:ascii="Times New Roman" w:hAnsi="Times New Roman" w:cs="Times New Roman"/>
          <w:sz w:val="22"/>
          <w:szCs w:val="22"/>
        </w:rPr>
        <w:t>sentenze</w:t>
      </w:r>
      <w:proofErr w:type="gramEnd"/>
      <w:r w:rsidR="00A66CEC">
        <w:rPr>
          <w:rFonts w:ascii="Times New Roman" w:hAnsi="Times New Roman" w:cs="Times New Roman"/>
          <w:sz w:val="22"/>
          <w:szCs w:val="22"/>
        </w:rPr>
        <w:t xml:space="preserve"> </w:t>
      </w:r>
      <w:r w:rsidRPr="00673BB8">
        <w:rPr>
          <w:rFonts w:ascii="Times New Roman" w:hAnsi="Times New Roman" w:cs="Times New Roman"/>
          <w:sz w:val="22"/>
          <w:szCs w:val="22"/>
        </w:rPr>
        <w:t xml:space="preserve">n. 135/2014 e n. 122/2017. </w:t>
      </w:r>
    </w:p>
  </w:footnote>
  <w:footnote w:id="21">
    <w:p w:rsidR="00321AA1" w:rsidRPr="00673BB8" w:rsidRDefault="00321AA1" w:rsidP="00F34777">
      <w:pPr>
        <w:pStyle w:val="Testonotaapidipagina"/>
        <w:jc w:val="both"/>
        <w:rPr>
          <w:rFonts w:ascii="Times New Roman" w:hAnsi="Times New Roman" w:cs="Times New Roman"/>
          <w:i/>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di recente, Corte costituzionale, sentenza n. 111/2017: «</w:t>
      </w:r>
      <w:r w:rsidRPr="00673BB8">
        <w:rPr>
          <w:rFonts w:ascii="Times New Roman" w:hAnsi="Times New Roman" w:cs="Times New Roman"/>
          <w:i/>
          <w:sz w:val="22"/>
          <w:szCs w:val="22"/>
        </w:rPr>
        <w:t xml:space="preserve">Il giudice rimettente, ritenendo che la normativa censurata contrasti con l’art. 157 del TFUE, anche alla luce della citata giurisprudenza della Corte di giustizia che ha riconosciuto a tale norma efficacia diretta, avrebbe dovuto non applicare le disposizioni in conflitto con il principio di parità di trattamento, previo ricorso, se del caso, al rinvio pregiudiziale, ove ritenuto necessario, al fine di interrogare la medesima Corte di giustizia sulla corretta interpretazione delle pertinenti disposizioni del diritto dell’Unione e, quindi, dirimere eventuali residui dubbi in ordine all’esistenza del conflitto (sentenze n. 226 del 2014, n. 267 del 2013, n. 86 e n. 75 del 2012, n. 227 e n. 28 del 2010, n. 284 del 2007; ordinanze n. 48 del 2017 e n. 207 del 2013). Questo percorso, una volta imboccato, avrebbe reso superflua l’evocazione del contrasto con i parametri costituzionali in sede di incidente di legittimità costituzionale. L’art. 157 del TFUE, direttamente applicabile dal giudice nazionale, lo vincola all’osservanza del diritto europeo, rendendo inapplicabile nel giudizio principale la normativa censurata e, perciò, irrilevanti tutte le questioni sollevate. </w:t>
      </w:r>
    </w:p>
    <w:p w:rsidR="00321AA1" w:rsidRPr="00673BB8" w:rsidRDefault="00321AA1" w:rsidP="00F34777">
      <w:pPr>
        <w:pStyle w:val="Testonotaapidipagina"/>
        <w:jc w:val="both"/>
        <w:rPr>
          <w:rFonts w:ascii="Times New Roman" w:hAnsi="Times New Roman" w:cs="Times New Roman"/>
          <w:sz w:val="22"/>
          <w:szCs w:val="22"/>
        </w:rPr>
      </w:pPr>
      <w:r w:rsidRPr="00673BB8">
        <w:rPr>
          <w:rFonts w:ascii="Times New Roman" w:hAnsi="Times New Roman" w:cs="Times New Roman"/>
          <w:i/>
          <w:sz w:val="22"/>
          <w:szCs w:val="22"/>
        </w:rPr>
        <w:t>La non applicazione delle disposizioni di diritto interno, non equiparabile in alcun modo a ipotesi di abrogazione o di deroga, né a forme di caducazione o di annullamento per invalidità delle stesse (sentenza n. 389 del 1989), rientra, in effetti, tra gli obblighi del giudice nazionale, vincolato all’osservanza del diritto dell’Unione europea e alla garanzia dei diritti che lo stesso ha generato, con il solo limite del rispetto dei principi fondamentali dell’ordinamento costituzionale e dei diritti inalienabili della persona</w:t>
      </w:r>
      <w:r w:rsidRPr="00673BB8">
        <w:rPr>
          <w:rFonts w:ascii="Times New Roman" w:hAnsi="Times New Roman" w:cs="Times New Roman"/>
          <w:sz w:val="22"/>
          <w:szCs w:val="22"/>
        </w:rPr>
        <w:t>».</w:t>
      </w:r>
    </w:p>
  </w:footnote>
  <w:footnote w:id="22">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proofErr w:type="gramStart"/>
      <w:r w:rsidRPr="00673BB8">
        <w:rPr>
          <w:rFonts w:ascii="Times New Roman" w:hAnsi="Times New Roman" w:cs="Times New Roman"/>
          <w:sz w:val="22"/>
          <w:szCs w:val="22"/>
        </w:rPr>
        <w:t>cost</w:t>
      </w:r>
      <w:proofErr w:type="spellEnd"/>
      <w:r w:rsidRPr="00673BB8">
        <w:rPr>
          <w:rFonts w:ascii="Times New Roman" w:hAnsi="Times New Roman" w:cs="Times New Roman"/>
          <w:sz w:val="22"/>
          <w:szCs w:val="22"/>
        </w:rPr>
        <w:t>.</w:t>
      </w:r>
      <w:r w:rsidR="00A66CEC">
        <w:rPr>
          <w:rFonts w:ascii="Times New Roman" w:hAnsi="Times New Roman" w:cs="Times New Roman"/>
          <w:sz w:val="22"/>
          <w:szCs w:val="22"/>
        </w:rPr>
        <w:t>,</w:t>
      </w:r>
      <w:proofErr w:type="gramEnd"/>
      <w:r w:rsidR="00A66CEC">
        <w:rPr>
          <w:rFonts w:ascii="Times New Roman" w:hAnsi="Times New Roman" w:cs="Times New Roman"/>
          <w:sz w:val="22"/>
          <w:szCs w:val="22"/>
        </w:rPr>
        <w:t xml:space="preserve"> sentenza</w:t>
      </w:r>
      <w:r w:rsidRPr="00673BB8">
        <w:rPr>
          <w:rFonts w:ascii="Times New Roman" w:hAnsi="Times New Roman" w:cs="Times New Roman"/>
          <w:sz w:val="22"/>
          <w:szCs w:val="22"/>
        </w:rPr>
        <w:t xml:space="preserve"> n. 170/1984. </w:t>
      </w:r>
    </w:p>
  </w:footnote>
  <w:footnote w:id="23">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proofErr w:type="gramStart"/>
      <w:r w:rsidRPr="00673BB8">
        <w:rPr>
          <w:rFonts w:ascii="Times New Roman" w:hAnsi="Times New Roman" w:cs="Times New Roman"/>
          <w:sz w:val="22"/>
          <w:szCs w:val="22"/>
        </w:rPr>
        <w:t>Cost</w:t>
      </w:r>
      <w:proofErr w:type="spellEnd"/>
      <w:r w:rsidRPr="00673BB8">
        <w:rPr>
          <w:rFonts w:ascii="Times New Roman" w:hAnsi="Times New Roman" w:cs="Times New Roman"/>
          <w:sz w:val="22"/>
          <w:szCs w:val="22"/>
        </w:rPr>
        <w:t>.</w:t>
      </w:r>
      <w:r w:rsidR="00A66CEC">
        <w:rPr>
          <w:rFonts w:ascii="Times New Roman" w:hAnsi="Times New Roman" w:cs="Times New Roman"/>
          <w:sz w:val="22"/>
          <w:szCs w:val="22"/>
        </w:rPr>
        <w:t>,</w:t>
      </w:r>
      <w:proofErr w:type="gramEnd"/>
      <w:r w:rsidR="00A66CEC">
        <w:rPr>
          <w:rFonts w:ascii="Times New Roman" w:hAnsi="Times New Roman" w:cs="Times New Roman"/>
          <w:sz w:val="22"/>
          <w:szCs w:val="22"/>
        </w:rPr>
        <w:t xml:space="preserve"> sentenze</w:t>
      </w:r>
      <w:r w:rsidRPr="00673BB8">
        <w:rPr>
          <w:rFonts w:ascii="Times New Roman" w:hAnsi="Times New Roman" w:cs="Times New Roman"/>
          <w:sz w:val="22"/>
          <w:szCs w:val="22"/>
        </w:rPr>
        <w:t xml:space="preserve"> </w:t>
      </w:r>
      <w:r w:rsidR="004C4023" w:rsidRPr="00673BB8">
        <w:rPr>
          <w:rFonts w:ascii="Times New Roman" w:hAnsi="Times New Roman" w:cs="Times New Roman"/>
          <w:sz w:val="22"/>
          <w:szCs w:val="22"/>
        </w:rPr>
        <w:t>n. 170/1984, n. 48</w:t>
      </w:r>
      <w:r w:rsidR="00A66CEC">
        <w:rPr>
          <w:rFonts w:ascii="Times New Roman" w:hAnsi="Times New Roman" w:cs="Times New Roman"/>
          <w:sz w:val="22"/>
          <w:szCs w:val="22"/>
        </w:rPr>
        <w:t>/1985, n.</w:t>
      </w:r>
      <w:r w:rsidR="004C4023" w:rsidRPr="00673BB8">
        <w:rPr>
          <w:rFonts w:ascii="Times New Roman" w:hAnsi="Times New Roman" w:cs="Times New Roman"/>
          <w:sz w:val="22"/>
          <w:szCs w:val="22"/>
        </w:rPr>
        <w:t xml:space="preserve"> 113/1985 e</w:t>
      </w:r>
      <w:r w:rsidRPr="00673BB8">
        <w:rPr>
          <w:rFonts w:ascii="Times New Roman" w:hAnsi="Times New Roman" w:cs="Times New Roman"/>
          <w:sz w:val="22"/>
          <w:szCs w:val="22"/>
        </w:rPr>
        <w:t xml:space="preserve"> n. 275/1986. </w:t>
      </w:r>
    </w:p>
  </w:footnote>
  <w:footnote w:id="24">
    <w:p w:rsidR="00321AA1" w:rsidRPr="00673BB8" w:rsidRDefault="00321AA1" w:rsidP="00F34777">
      <w:pPr>
        <w:pStyle w:val="Testonotaapidipagina"/>
        <w:jc w:val="both"/>
        <w:rPr>
          <w:rFonts w:ascii="Times New Roman" w:hAnsi="Times New Roman" w:cs="Times New Roman"/>
          <w:i/>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Sull’obbligo </w:t>
      </w:r>
      <w:r w:rsidRPr="00A70240">
        <w:rPr>
          <w:rFonts w:ascii="Times New Roman" w:hAnsi="Times New Roman" w:cs="Times New Roman"/>
          <w:i/>
          <w:sz w:val="22"/>
          <w:szCs w:val="22"/>
        </w:rPr>
        <w:t>ex</w:t>
      </w:r>
      <w:r w:rsidRPr="00673BB8">
        <w:rPr>
          <w:rFonts w:ascii="Times New Roman" w:hAnsi="Times New Roman" w:cs="Times New Roman"/>
          <w:sz w:val="22"/>
          <w:szCs w:val="22"/>
        </w:rPr>
        <w:t xml:space="preserve"> art. 267, </w:t>
      </w:r>
      <w:r w:rsidR="00A70240">
        <w:rPr>
          <w:rFonts w:ascii="Times New Roman" w:hAnsi="Times New Roman" w:cs="Times New Roman"/>
          <w:sz w:val="22"/>
          <w:szCs w:val="22"/>
        </w:rPr>
        <w:t>paragrafo 3</w:t>
      </w:r>
      <w:r w:rsidRPr="00673BB8">
        <w:rPr>
          <w:rFonts w:ascii="Times New Roman" w:hAnsi="Times New Roman" w:cs="Times New Roman"/>
          <w:sz w:val="22"/>
          <w:szCs w:val="22"/>
        </w:rPr>
        <w:t>, TFUE della Corte costituzionale di adire la Corte di giustizia anche nei giudizi incidentali di legittimità costituzionale (e non solo in quelli principali), per questioni di interpretazione del diritto dell’Unione, v. Cor</w:t>
      </w:r>
      <w:r w:rsidR="00A70240">
        <w:rPr>
          <w:rFonts w:ascii="Times New Roman" w:hAnsi="Times New Roman" w:cs="Times New Roman"/>
          <w:sz w:val="22"/>
          <w:szCs w:val="22"/>
        </w:rPr>
        <w:t xml:space="preserve">te </w:t>
      </w:r>
      <w:proofErr w:type="spellStart"/>
      <w:r w:rsidR="00A70240">
        <w:rPr>
          <w:rFonts w:ascii="Times New Roman" w:hAnsi="Times New Roman" w:cs="Times New Roman"/>
          <w:sz w:val="22"/>
          <w:szCs w:val="22"/>
        </w:rPr>
        <w:t>Cost</w:t>
      </w:r>
      <w:proofErr w:type="spellEnd"/>
      <w:r w:rsidR="00A70240">
        <w:rPr>
          <w:rFonts w:ascii="Times New Roman" w:hAnsi="Times New Roman" w:cs="Times New Roman"/>
          <w:sz w:val="22"/>
          <w:szCs w:val="22"/>
        </w:rPr>
        <w:t>., ordinanza n. 207/2013</w:t>
      </w:r>
      <w:r w:rsidRPr="00673BB8">
        <w:rPr>
          <w:rFonts w:ascii="Times New Roman" w:hAnsi="Times New Roman" w:cs="Times New Roman"/>
          <w:sz w:val="22"/>
          <w:szCs w:val="22"/>
        </w:rPr>
        <w:t>: «</w:t>
      </w:r>
      <w:r w:rsidRPr="00673BB8">
        <w:rPr>
          <w:rFonts w:ascii="Times New Roman" w:hAnsi="Times New Roman" w:cs="Times New Roman"/>
          <w:i/>
          <w:sz w:val="22"/>
          <w:szCs w:val="22"/>
        </w:rPr>
        <w:t xml:space="preserve">Premesso che gli articoli 11 e 117, primo comma, della Costituzione italiana, stabiliscono rispettivamente che “L’Italia […] consente, in condizioni di parità con gli altri Stati, alle limitazioni di sovranità necessarie ad un ordinamento che assicuri la pace e la giustizia fra le Nazioni”; e che “La potestà legislativa è esercitata dallo Stato e dalle Regioni nel rispetto della Costituzione, nonché dei vincoli derivanti dall’ordinamento comunitario e dagli obblighi internazionali”; e che pertanto un sospettato contrasto tra legge nazionale e norma comunitaria si traduce in una questione di legittimità costituzionale rispetto ai parametri dell’art. 11 e dell’art. 117, primo comma, </w:t>
      </w:r>
      <w:proofErr w:type="spellStart"/>
      <w:r w:rsidRPr="00673BB8">
        <w:rPr>
          <w:rFonts w:ascii="Times New Roman" w:hAnsi="Times New Roman" w:cs="Times New Roman"/>
          <w:i/>
          <w:sz w:val="22"/>
          <w:szCs w:val="22"/>
        </w:rPr>
        <w:t>Cost</w:t>
      </w:r>
      <w:proofErr w:type="spellEnd"/>
      <w:r w:rsidRPr="00673BB8">
        <w:rPr>
          <w:rFonts w:ascii="Times New Roman" w:hAnsi="Times New Roman" w:cs="Times New Roman"/>
          <w:i/>
          <w:sz w:val="22"/>
          <w:szCs w:val="22"/>
        </w:rPr>
        <w:t xml:space="preserve">., integrati e resi operativi dalla norma comunitaria pertinente; </w:t>
      </w:r>
    </w:p>
    <w:p w:rsidR="00321AA1" w:rsidRPr="00673BB8" w:rsidRDefault="00321AA1" w:rsidP="00F34777">
      <w:pPr>
        <w:pStyle w:val="Testonotaapidipagina"/>
        <w:jc w:val="both"/>
        <w:rPr>
          <w:rFonts w:ascii="Times New Roman" w:hAnsi="Times New Roman" w:cs="Times New Roman"/>
          <w:i/>
          <w:sz w:val="22"/>
          <w:szCs w:val="22"/>
        </w:rPr>
      </w:pPr>
      <w:r w:rsidRPr="00673BB8">
        <w:rPr>
          <w:rFonts w:ascii="Times New Roman" w:hAnsi="Times New Roman" w:cs="Times New Roman"/>
          <w:i/>
          <w:sz w:val="22"/>
          <w:szCs w:val="22"/>
        </w:rPr>
        <w:t>[…] Considerato che, quanto alla competenza di questa Corte a valutare la conformità di una normativa nazionale al diritto dell’Unione europea, occorre ricordare che, conformemente ai principi affermati dalla sentenza della Corte di giustizia 9 marzo 1978, in causa C-106/77 (</w:t>
      </w:r>
      <w:proofErr w:type="spellStart"/>
      <w:r w:rsidRPr="00673BB8">
        <w:rPr>
          <w:rFonts w:ascii="Times New Roman" w:hAnsi="Times New Roman" w:cs="Times New Roman"/>
          <w:i/>
          <w:sz w:val="22"/>
          <w:szCs w:val="22"/>
        </w:rPr>
        <w:t>Simmenthal</w:t>
      </w:r>
      <w:proofErr w:type="spellEnd"/>
      <w:r w:rsidRPr="00673BB8">
        <w:rPr>
          <w:rFonts w:ascii="Times New Roman" w:hAnsi="Times New Roman" w:cs="Times New Roman"/>
          <w:i/>
          <w:sz w:val="22"/>
          <w:szCs w:val="22"/>
        </w:rPr>
        <w:t>), e dalla successiva giurisprudenza di questa Corte, segnatamente con la sentenza n. 170 del 1984 (</w:t>
      </w:r>
      <w:proofErr w:type="spellStart"/>
      <w:r w:rsidRPr="00673BB8">
        <w:rPr>
          <w:rFonts w:ascii="Times New Roman" w:hAnsi="Times New Roman" w:cs="Times New Roman"/>
          <w:i/>
          <w:sz w:val="22"/>
          <w:szCs w:val="22"/>
        </w:rPr>
        <w:t>Granital</w:t>
      </w:r>
      <w:proofErr w:type="spellEnd"/>
      <w:r w:rsidRPr="00673BB8">
        <w:rPr>
          <w:rFonts w:ascii="Times New Roman" w:hAnsi="Times New Roman" w:cs="Times New Roman"/>
          <w:i/>
          <w:sz w:val="22"/>
          <w:szCs w:val="22"/>
        </w:rPr>
        <w:t xml:space="preserve">), qualora si tratti di disposizione del diritto dell’Unione europea direttamente efficace, spetta al giudice nazionale comune valutare la compatibilità comunitaria della normativa interna censurata, utilizzando – se del caso – il rinvio pregiudiziale alla Corte di giustizia, e nell’ipotesi di contrasto provvedere egli stesso all’applicazione della norma comunitaria in luogo della norma nazionale; mentre, in caso di contrasto con una norma comunitaria priva di efficacia diretta – contrasto accertato eventualmente mediante ricorso alla Corte di giustizia – e nell’impossibilità di risolvere il contrasto in via interpretativa, il giudice comune deve sollevare la questione di legittimità costituzionale, spettando poi a questa Corte valutare l’esistenza di un contrasto insanabile in via interpretativa e, eventualmente, annullare la legge incompatibile con il diritto comunitario (nello stesso senso sentenze n. 284 del 2007, n. 28 e n. 227 del 2010 e n. 75 del 2012); </w:t>
      </w:r>
    </w:p>
    <w:p w:rsidR="00321AA1" w:rsidRPr="00673BB8" w:rsidRDefault="00321AA1" w:rsidP="00F34777">
      <w:pPr>
        <w:pStyle w:val="Testonotaapidipagina"/>
        <w:jc w:val="both"/>
        <w:rPr>
          <w:rFonts w:ascii="Times New Roman" w:hAnsi="Times New Roman" w:cs="Times New Roman"/>
          <w:i/>
          <w:sz w:val="22"/>
          <w:szCs w:val="22"/>
        </w:rPr>
      </w:pPr>
      <w:r w:rsidRPr="00673BB8">
        <w:rPr>
          <w:rFonts w:ascii="Times New Roman" w:hAnsi="Times New Roman" w:cs="Times New Roman"/>
          <w:sz w:val="22"/>
          <w:szCs w:val="22"/>
        </w:rPr>
        <w:t>[…]</w:t>
      </w:r>
      <w:r w:rsidRPr="00673BB8">
        <w:rPr>
          <w:rFonts w:ascii="Times New Roman" w:hAnsi="Times New Roman" w:cs="Times New Roman"/>
          <w:i/>
          <w:sz w:val="22"/>
          <w:szCs w:val="22"/>
        </w:rPr>
        <w:t xml:space="preserve"> che, di conseguenza, pur avendo la Corte di giustizia già pronunciato varie sentenze sull’argomento, appare necessario chiedere alla medesima Corte in via pregiudiziale l’interpretazione della clausola 5, punto 1, della direttiva n. 1999/70/CE, in rapporto alla questione sottoposta a questa Corte per il giudizio di legittimità costituzionale, poiché sussiste un dubbio circa la puntuale interpretazione di tale disposizione comunitaria e la conseguente compatibilità della normativa nazionale sin qui illustrata; </w:t>
      </w:r>
    </w:p>
    <w:p w:rsidR="00321AA1" w:rsidRPr="00673BB8" w:rsidRDefault="00321AA1" w:rsidP="00F34777">
      <w:pPr>
        <w:pStyle w:val="Testonotaapidipagina"/>
        <w:jc w:val="both"/>
        <w:rPr>
          <w:rFonts w:ascii="Times New Roman" w:hAnsi="Times New Roman" w:cs="Times New Roman"/>
          <w:i/>
          <w:sz w:val="22"/>
          <w:szCs w:val="22"/>
        </w:rPr>
      </w:pPr>
      <w:proofErr w:type="gramStart"/>
      <w:r w:rsidRPr="00673BB8">
        <w:rPr>
          <w:rFonts w:ascii="Times New Roman" w:hAnsi="Times New Roman" w:cs="Times New Roman"/>
          <w:i/>
          <w:sz w:val="22"/>
          <w:szCs w:val="22"/>
        </w:rPr>
        <w:t>che</w:t>
      </w:r>
      <w:proofErr w:type="gramEnd"/>
      <w:r w:rsidRPr="00673BB8">
        <w:rPr>
          <w:rFonts w:ascii="Times New Roman" w:hAnsi="Times New Roman" w:cs="Times New Roman"/>
          <w:i/>
          <w:sz w:val="22"/>
          <w:szCs w:val="22"/>
        </w:rPr>
        <w:t xml:space="preserve"> – come si è già rilevato nell’ordinanza n. 103 del 2008 – quando davanti a questa Corte pende un giudizio di legittimità costituzionale per incompatibilità con le norme comunitarie, queste ultime, se prive di effetto diretto, rendono concretamente operativi i parametri di cui agli artt. 11 e 117, primo comma, </w:t>
      </w:r>
      <w:proofErr w:type="spellStart"/>
      <w:r w:rsidRPr="00673BB8">
        <w:rPr>
          <w:rFonts w:ascii="Times New Roman" w:hAnsi="Times New Roman" w:cs="Times New Roman"/>
          <w:i/>
          <w:sz w:val="22"/>
          <w:szCs w:val="22"/>
        </w:rPr>
        <w:t>Cost</w:t>
      </w:r>
      <w:proofErr w:type="spellEnd"/>
      <w:r w:rsidRPr="00673BB8">
        <w:rPr>
          <w:rFonts w:ascii="Times New Roman" w:hAnsi="Times New Roman" w:cs="Times New Roman"/>
          <w:i/>
          <w:sz w:val="22"/>
          <w:szCs w:val="22"/>
        </w:rPr>
        <w:t xml:space="preserve">.; </w:t>
      </w:r>
    </w:p>
    <w:p w:rsidR="00321AA1" w:rsidRPr="00673BB8" w:rsidRDefault="00321AA1" w:rsidP="00F34777">
      <w:pPr>
        <w:pStyle w:val="Testonotaapidipagina"/>
        <w:jc w:val="both"/>
        <w:rPr>
          <w:rFonts w:ascii="Times New Roman" w:hAnsi="Times New Roman" w:cs="Times New Roman"/>
          <w:i/>
          <w:sz w:val="22"/>
          <w:szCs w:val="22"/>
        </w:rPr>
      </w:pPr>
      <w:proofErr w:type="gramStart"/>
      <w:r w:rsidRPr="00673BB8">
        <w:rPr>
          <w:rFonts w:ascii="Times New Roman" w:hAnsi="Times New Roman" w:cs="Times New Roman"/>
          <w:i/>
          <w:sz w:val="22"/>
          <w:szCs w:val="22"/>
        </w:rPr>
        <w:t>che</w:t>
      </w:r>
      <w:proofErr w:type="gramEnd"/>
      <w:r w:rsidRPr="00673BB8">
        <w:rPr>
          <w:rFonts w:ascii="Times New Roman" w:hAnsi="Times New Roman" w:cs="Times New Roman"/>
          <w:i/>
          <w:sz w:val="22"/>
          <w:szCs w:val="22"/>
        </w:rPr>
        <w:t xml:space="preserve"> la questione pregiudiziale posta alla Corte di giustizia è rilevante nel giudizio di legittimità costituzionale, poiché l’interpretazione richiesta a detta Corte appare necessaria a definire l’esatto significato della normativa comunitaria al fine del successivo giudizio di legittimità che questa Corte dovrà compiere rispetto al parametro costituzionale integrato dalla suddetta normativa comunitaria; </w:t>
      </w:r>
    </w:p>
    <w:p w:rsidR="00321AA1" w:rsidRPr="00673BB8" w:rsidRDefault="00321AA1" w:rsidP="00F34777">
      <w:pPr>
        <w:pStyle w:val="Testonotaapidipagina"/>
        <w:jc w:val="both"/>
        <w:rPr>
          <w:rFonts w:ascii="Times New Roman" w:hAnsi="Times New Roman" w:cs="Times New Roman"/>
          <w:sz w:val="22"/>
          <w:szCs w:val="22"/>
        </w:rPr>
      </w:pPr>
      <w:proofErr w:type="gramStart"/>
      <w:r w:rsidRPr="00673BB8">
        <w:rPr>
          <w:rFonts w:ascii="Times New Roman" w:hAnsi="Times New Roman" w:cs="Times New Roman"/>
          <w:i/>
          <w:sz w:val="22"/>
          <w:szCs w:val="22"/>
        </w:rPr>
        <w:t>che</w:t>
      </w:r>
      <w:proofErr w:type="gramEnd"/>
      <w:r w:rsidRPr="00673BB8">
        <w:rPr>
          <w:rFonts w:ascii="Times New Roman" w:hAnsi="Times New Roman" w:cs="Times New Roman"/>
          <w:i/>
          <w:sz w:val="22"/>
          <w:szCs w:val="22"/>
        </w:rPr>
        <w:t xml:space="preserve"> questa Corte – nella citata ordinanza n. 103 del 2008 – ha sollevato una questione pregiudiziale di interpretazione in un giudizio in via principale; che deve ritenersi che questa Corte abbia la natura di “giurisdizione nazionale” ai sensi dell’art. 267, terzo comma, del Trattato sul funzionamento dell’Unione europea anche nei giudizi in via incidentale</w:t>
      </w:r>
      <w:r w:rsidRPr="00673BB8">
        <w:rPr>
          <w:rFonts w:ascii="Times New Roman" w:hAnsi="Times New Roman" w:cs="Times New Roman"/>
          <w:sz w:val="22"/>
          <w:szCs w:val="22"/>
        </w:rPr>
        <w:t xml:space="preserve">». </w:t>
      </w:r>
    </w:p>
  </w:footnote>
  <w:footnote w:id="25">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proofErr w:type="gramStart"/>
      <w:r w:rsidRPr="00673BB8">
        <w:rPr>
          <w:rFonts w:ascii="Times New Roman" w:hAnsi="Times New Roman" w:cs="Times New Roman"/>
          <w:sz w:val="22"/>
          <w:szCs w:val="22"/>
        </w:rPr>
        <w:t>Cost</w:t>
      </w:r>
      <w:proofErr w:type="spellEnd"/>
      <w:r w:rsidRPr="00673BB8">
        <w:rPr>
          <w:rFonts w:ascii="Times New Roman" w:hAnsi="Times New Roman" w:cs="Times New Roman"/>
          <w:sz w:val="22"/>
          <w:szCs w:val="22"/>
        </w:rPr>
        <w:t>.</w:t>
      </w:r>
      <w:r w:rsidR="009E0A40">
        <w:rPr>
          <w:rFonts w:ascii="Times New Roman" w:hAnsi="Times New Roman" w:cs="Times New Roman"/>
          <w:sz w:val="22"/>
          <w:szCs w:val="22"/>
        </w:rPr>
        <w:t>,</w:t>
      </w:r>
      <w:proofErr w:type="gramEnd"/>
      <w:r w:rsidR="009E0A40">
        <w:rPr>
          <w:rFonts w:ascii="Times New Roman" w:hAnsi="Times New Roman" w:cs="Times New Roman"/>
          <w:sz w:val="22"/>
          <w:szCs w:val="22"/>
        </w:rPr>
        <w:t xml:space="preserve"> sentenza</w:t>
      </w:r>
      <w:r w:rsidRPr="00673BB8">
        <w:rPr>
          <w:rFonts w:ascii="Times New Roman" w:hAnsi="Times New Roman" w:cs="Times New Roman"/>
          <w:sz w:val="22"/>
          <w:szCs w:val="22"/>
        </w:rPr>
        <w:t xml:space="preserve"> n. 227/2010. </w:t>
      </w:r>
    </w:p>
  </w:footnote>
  <w:footnote w:id="26">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Quanto ad eventuali contro-limiti, costituiti dai principi fondamentali dell’ordinamento costituzionale e dei diritti inalienabili della persona, merita di essere richiamata la recente ordinanza della Corte costituzionale n. 24 del 26 gennaio 2017, con la quale alla Corte di giustizia è stata sottoposta – unitamente ad altre – la seguente questione: «</w:t>
      </w:r>
      <w:r w:rsidRPr="00673BB8">
        <w:rPr>
          <w:rFonts w:ascii="Times New Roman" w:hAnsi="Times New Roman" w:cs="Times New Roman"/>
          <w:i/>
          <w:sz w:val="22"/>
          <w:szCs w:val="22"/>
        </w:rPr>
        <w:t xml:space="preserve">Se la sentenza della Grande Sezione della Corte di giustizia dell’Unione europea 8 settembre 2015 in causa C-105/14, </w:t>
      </w:r>
      <w:proofErr w:type="spellStart"/>
      <w:r w:rsidRPr="00673BB8">
        <w:rPr>
          <w:rFonts w:ascii="Times New Roman" w:hAnsi="Times New Roman" w:cs="Times New Roman"/>
          <w:i/>
          <w:sz w:val="22"/>
          <w:szCs w:val="22"/>
        </w:rPr>
        <w:t>Taricco</w:t>
      </w:r>
      <w:proofErr w:type="spellEnd"/>
      <w:r w:rsidRPr="00673BB8">
        <w:rPr>
          <w:rFonts w:ascii="Times New Roman" w:hAnsi="Times New Roman" w:cs="Times New Roman"/>
          <w:i/>
          <w:sz w:val="22"/>
          <w:szCs w:val="22"/>
        </w:rPr>
        <w:t>, debba essere interpretata nel senso di imporre al giudice penale di non applicare una normativa nazionale sulla prescrizione che osta in un numero considerevole di casi alla repressione di gravi frodi in danno degli interessi finanziari dell’Unione europea, ovvero che prevede termini di prescrizione più brevi per frodi che ledono gli interessi finanziari dell’Unione europea di quelli previsti per le frodi lesive degli interessi finanziari dello Stato, anche quando tale omessa applicazione sia in contrasto con i principi supremi dell’ordine costituzionale dello Stato membro o con i diritti inalienabili della persona riconosciuti dalla Costituzione dello Stato membro</w:t>
      </w:r>
      <w:r w:rsidRPr="00673BB8">
        <w:rPr>
          <w:rFonts w:ascii="Times New Roman" w:hAnsi="Times New Roman" w:cs="Times New Roman"/>
          <w:sz w:val="22"/>
          <w:szCs w:val="22"/>
        </w:rPr>
        <w:t xml:space="preserve">». </w:t>
      </w:r>
    </w:p>
    <w:p w:rsidR="00321AA1" w:rsidRPr="00673BB8" w:rsidRDefault="00321AA1" w:rsidP="005A2200">
      <w:pPr>
        <w:pStyle w:val="Testonotaapidipagina"/>
        <w:jc w:val="both"/>
        <w:rPr>
          <w:rFonts w:ascii="Times New Roman" w:hAnsi="Times New Roman" w:cs="Times New Roman"/>
          <w:sz w:val="22"/>
          <w:szCs w:val="22"/>
        </w:rPr>
      </w:pPr>
      <w:r w:rsidRPr="00673BB8">
        <w:rPr>
          <w:rFonts w:ascii="Times New Roman" w:hAnsi="Times New Roman" w:cs="Times New Roman"/>
          <w:sz w:val="22"/>
          <w:szCs w:val="22"/>
        </w:rPr>
        <w:t>La Corte di giustizia, co</w:t>
      </w:r>
      <w:r w:rsidR="00D57973" w:rsidRPr="00673BB8">
        <w:rPr>
          <w:rFonts w:ascii="Times New Roman" w:hAnsi="Times New Roman" w:cs="Times New Roman"/>
          <w:sz w:val="22"/>
          <w:szCs w:val="22"/>
        </w:rPr>
        <w:t xml:space="preserve">n sentenza del 5 dicembre 2017, </w:t>
      </w:r>
      <w:r w:rsidRPr="00673BB8">
        <w:rPr>
          <w:rFonts w:ascii="Times New Roman" w:hAnsi="Times New Roman" w:cs="Times New Roman"/>
          <w:sz w:val="22"/>
          <w:szCs w:val="22"/>
        </w:rPr>
        <w:t>causa C 42/17</w:t>
      </w:r>
      <w:r w:rsidR="005A2200" w:rsidRPr="00673BB8">
        <w:rPr>
          <w:rFonts w:ascii="Times New Roman" w:hAnsi="Times New Roman" w:cs="Times New Roman"/>
          <w:sz w:val="22"/>
          <w:szCs w:val="22"/>
        </w:rPr>
        <w:t xml:space="preserve">, </w:t>
      </w:r>
      <w:r w:rsidR="005A2200" w:rsidRPr="00673BB8">
        <w:rPr>
          <w:rFonts w:ascii="Times New Roman" w:hAnsi="Times New Roman" w:cs="Times New Roman"/>
          <w:i/>
          <w:sz w:val="22"/>
          <w:szCs w:val="22"/>
        </w:rPr>
        <w:t>M.A.S. e M.B.</w:t>
      </w:r>
      <w:r w:rsidRPr="00673BB8">
        <w:rPr>
          <w:rFonts w:ascii="Times New Roman" w:hAnsi="Times New Roman" w:cs="Times New Roman"/>
          <w:sz w:val="22"/>
          <w:szCs w:val="22"/>
        </w:rPr>
        <w:t>, sulla premessa che resta consentito alle autorità e ai giudici nazionali applicare gli standard nazionali di tutela dei diritti fondamentali, a patto che tale applicazione non comprometta il livello di tutela previsto dalla Carta, come interpretata dalla Corte, né il primato, l’unità o l’effettività del diritto dell’Unione (con richiamo alla sentenza del 26 febbraio 2013, nella causa C 617/10), ha fornito il seguente responso: «</w:t>
      </w:r>
      <w:r w:rsidRPr="00673BB8">
        <w:rPr>
          <w:rFonts w:ascii="Times New Roman" w:hAnsi="Times New Roman" w:cs="Times New Roman"/>
          <w:i/>
          <w:sz w:val="22"/>
          <w:szCs w:val="22"/>
        </w:rPr>
        <w:t>L’articolo 325, paragrafi 1 e 2, TFUE dev’essere interpretato nel senso che esso impone al giudice nazionale di disapplicare, nell’ambito di un procedimento penale riguardante reati in materia di imposta sul valore aggiunto, disposizioni interne sulla prescrizione, rientranti nel diritto sostanziale nazionale, che ostino all’inflizione di sanzioni penali effettive e dissuasive in un numero considerevole di casi di frode grave che ledono gli interessi finanziari dell’Unione europea o che prevedano, per i casi di frode grave che ledono tali interessi, termini di prescrizione più brevi di quelli previsti per i casi che ledono gli interessi finanziari dello Stato membro interessato, a meno che una disapplicazione siffatta comporti una violazione del principio di legalità dei reati e delle pene a causa dell’insufficiente determinatezza della legge applicabile, o dell’applicazione retroattiva di una normativa che impone un regime di punibilità più severo di quello vigente al momento della commissione del reato», motivando al punto 61 come segue: «Se il giudice nazionale dovesse quindi essere indotto a ritenere che l’obbligo di disapplicare le disposizioni del codice penale in questione contrasti con il principio di legalità dei reati e delle pene, esso non sarebbe tenuto a conformarsi a tale obbligo, e ciò neppure qualora il rispetto del medesimo consentisse di rimediare a una situazione nazionale incompatibile con il diritto dell’Unione (v., per analogia, sentenza del 10 luglio 2014, Impresa Pizzarotti, C 213/13, EU:C:2014:2067, punti 58 e 59)</w:t>
      </w:r>
      <w:r w:rsidRPr="00673BB8">
        <w:rPr>
          <w:rFonts w:ascii="Times New Roman" w:hAnsi="Times New Roman" w:cs="Times New Roman"/>
          <w:sz w:val="22"/>
          <w:szCs w:val="22"/>
        </w:rPr>
        <w:t>».</w:t>
      </w:r>
    </w:p>
  </w:footnote>
  <w:footnote w:id="27">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w:t>
      </w:r>
      <w:r w:rsidR="006C6738" w:rsidRPr="00673BB8">
        <w:rPr>
          <w:rFonts w:ascii="Times New Roman" w:hAnsi="Times New Roman" w:cs="Times New Roman"/>
          <w:sz w:val="22"/>
          <w:szCs w:val="22"/>
        </w:rPr>
        <w:t xml:space="preserve">V. </w:t>
      </w:r>
      <w:r w:rsidR="00DE7FA2" w:rsidRPr="00673BB8">
        <w:rPr>
          <w:rFonts w:ascii="Times New Roman" w:hAnsi="Times New Roman" w:cs="Times New Roman"/>
          <w:sz w:val="22"/>
          <w:szCs w:val="22"/>
        </w:rPr>
        <w:t xml:space="preserve">L. S. Rossi, </w:t>
      </w:r>
      <w:r w:rsidR="006A66BB" w:rsidRPr="00673BB8">
        <w:rPr>
          <w:rFonts w:ascii="Times New Roman" w:hAnsi="Times New Roman" w:cs="Times New Roman"/>
          <w:sz w:val="22"/>
          <w:szCs w:val="22"/>
        </w:rPr>
        <w:t>cit. (nota 14)</w:t>
      </w:r>
      <w:r w:rsidR="00DE7FA2" w:rsidRPr="00673BB8">
        <w:rPr>
          <w:rFonts w:ascii="Times New Roman" w:hAnsi="Times New Roman" w:cs="Times New Roman"/>
          <w:sz w:val="22"/>
          <w:szCs w:val="22"/>
        </w:rPr>
        <w:t xml:space="preserve">, </w:t>
      </w:r>
      <w:r w:rsidR="006A66BB" w:rsidRPr="00673BB8">
        <w:rPr>
          <w:rFonts w:ascii="Times New Roman" w:hAnsi="Times New Roman" w:cs="Times New Roman"/>
          <w:sz w:val="22"/>
          <w:szCs w:val="22"/>
        </w:rPr>
        <w:t xml:space="preserve">p. 3, </w:t>
      </w:r>
      <w:r w:rsidR="00DE7FA2" w:rsidRPr="00673BB8">
        <w:rPr>
          <w:rFonts w:ascii="Times New Roman" w:hAnsi="Times New Roman" w:cs="Times New Roman"/>
          <w:sz w:val="22"/>
          <w:szCs w:val="22"/>
        </w:rPr>
        <w:t>lettera a)</w:t>
      </w:r>
      <w:r w:rsidR="006C6738" w:rsidRPr="00673BB8">
        <w:rPr>
          <w:rFonts w:ascii="Times New Roman" w:hAnsi="Times New Roman" w:cs="Times New Roman"/>
          <w:sz w:val="22"/>
          <w:szCs w:val="22"/>
        </w:rPr>
        <w:t xml:space="preserve">. </w:t>
      </w:r>
    </w:p>
  </w:footnote>
  <w:footnote w:id="28">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sopra, nota </w:t>
      </w:r>
      <w:r w:rsidR="009E0A40">
        <w:rPr>
          <w:rFonts w:ascii="Times New Roman" w:hAnsi="Times New Roman" w:cs="Times New Roman"/>
          <w:sz w:val="22"/>
          <w:szCs w:val="22"/>
        </w:rPr>
        <w:t>24</w:t>
      </w:r>
      <w:r w:rsidRPr="00673BB8">
        <w:rPr>
          <w:rFonts w:ascii="Times New Roman" w:hAnsi="Times New Roman" w:cs="Times New Roman"/>
          <w:sz w:val="22"/>
          <w:szCs w:val="22"/>
        </w:rPr>
        <w:t xml:space="preserve">. </w:t>
      </w:r>
    </w:p>
  </w:footnote>
  <w:footnote w:id="29">
    <w:p w:rsidR="00321AA1" w:rsidRPr="00673BB8" w:rsidRDefault="00321AA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sentenze </w:t>
      </w:r>
      <w:proofErr w:type="spellStart"/>
      <w:r w:rsidRPr="00673BB8">
        <w:rPr>
          <w:rFonts w:ascii="Times New Roman" w:hAnsi="Times New Roman" w:cs="Times New Roman"/>
          <w:sz w:val="22"/>
          <w:szCs w:val="22"/>
        </w:rPr>
        <w:t>Granital</w:t>
      </w:r>
      <w:proofErr w:type="spellEnd"/>
      <w:r w:rsidRPr="00673BB8">
        <w:rPr>
          <w:rFonts w:ascii="Times New Roman" w:hAnsi="Times New Roman" w:cs="Times New Roman"/>
          <w:sz w:val="22"/>
          <w:szCs w:val="22"/>
        </w:rPr>
        <w:t xml:space="preserve"> </w:t>
      </w:r>
      <w:r w:rsidR="009E0A40">
        <w:rPr>
          <w:rFonts w:ascii="Times New Roman" w:hAnsi="Times New Roman" w:cs="Times New Roman"/>
          <w:sz w:val="22"/>
          <w:szCs w:val="22"/>
        </w:rPr>
        <w:t xml:space="preserve">(Corte </w:t>
      </w:r>
      <w:proofErr w:type="spellStart"/>
      <w:r w:rsidR="009E0A40">
        <w:rPr>
          <w:rFonts w:ascii="Times New Roman" w:hAnsi="Times New Roman" w:cs="Times New Roman"/>
          <w:sz w:val="22"/>
          <w:szCs w:val="22"/>
        </w:rPr>
        <w:t>Cost</w:t>
      </w:r>
      <w:proofErr w:type="spellEnd"/>
      <w:r w:rsidR="009E0A40">
        <w:rPr>
          <w:rFonts w:ascii="Times New Roman" w:hAnsi="Times New Roman" w:cs="Times New Roman"/>
          <w:sz w:val="22"/>
          <w:szCs w:val="22"/>
        </w:rPr>
        <w:t xml:space="preserve">. n. 170/1985) </w:t>
      </w:r>
      <w:r w:rsidRPr="00673BB8">
        <w:rPr>
          <w:rFonts w:ascii="Times New Roman" w:hAnsi="Times New Roman" w:cs="Times New Roman"/>
          <w:sz w:val="22"/>
          <w:szCs w:val="22"/>
        </w:rPr>
        <w:t xml:space="preserve">e </w:t>
      </w:r>
      <w:proofErr w:type="spellStart"/>
      <w:r w:rsidRPr="00673BB8">
        <w:rPr>
          <w:rFonts w:ascii="Times New Roman" w:hAnsi="Times New Roman" w:cs="Times New Roman"/>
          <w:sz w:val="22"/>
          <w:szCs w:val="22"/>
        </w:rPr>
        <w:t>Simmenthal</w:t>
      </w:r>
      <w:proofErr w:type="spellEnd"/>
      <w:r w:rsidR="009E0A40">
        <w:rPr>
          <w:rFonts w:ascii="Times New Roman" w:hAnsi="Times New Roman" w:cs="Times New Roman"/>
          <w:sz w:val="22"/>
          <w:szCs w:val="22"/>
        </w:rPr>
        <w:t xml:space="preserve"> (Corte </w:t>
      </w:r>
      <w:proofErr w:type="spellStart"/>
      <w:r w:rsidR="009E0A40">
        <w:rPr>
          <w:rFonts w:ascii="Times New Roman" w:hAnsi="Times New Roman" w:cs="Times New Roman"/>
          <w:sz w:val="22"/>
          <w:szCs w:val="22"/>
        </w:rPr>
        <w:t>giust</w:t>
      </w:r>
      <w:proofErr w:type="spellEnd"/>
      <w:r w:rsidR="009E0A40">
        <w:rPr>
          <w:rFonts w:ascii="Times New Roman" w:hAnsi="Times New Roman" w:cs="Times New Roman"/>
          <w:sz w:val="22"/>
          <w:szCs w:val="22"/>
        </w:rPr>
        <w:t xml:space="preserve">. 9 marzo 1978, causa C-106/77; </w:t>
      </w:r>
    </w:p>
  </w:footnote>
  <w:footnote w:id="30">
    <w:p w:rsidR="00A16F46" w:rsidRPr="00673BB8" w:rsidRDefault="00A16F46"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punto 5.2. </w:t>
      </w:r>
      <w:proofErr w:type="gramStart"/>
      <w:r w:rsidRPr="00673BB8">
        <w:rPr>
          <w:rFonts w:ascii="Times New Roman" w:hAnsi="Times New Roman" w:cs="Times New Roman"/>
          <w:sz w:val="22"/>
          <w:szCs w:val="22"/>
        </w:rPr>
        <w:t>della</w:t>
      </w:r>
      <w:proofErr w:type="gramEnd"/>
      <w:r w:rsidRPr="00673BB8">
        <w:rPr>
          <w:rFonts w:ascii="Times New Roman" w:hAnsi="Times New Roman" w:cs="Times New Roman"/>
          <w:sz w:val="22"/>
          <w:szCs w:val="22"/>
        </w:rPr>
        <w:t xml:space="preserve"> sentenza. </w:t>
      </w:r>
    </w:p>
  </w:footnote>
  <w:footnote w:id="31">
    <w:p w:rsidR="00454521" w:rsidRPr="00673BB8" w:rsidRDefault="00454521"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w:t>
      </w:r>
      <w:proofErr w:type="spellStart"/>
      <w:r w:rsidRPr="00673BB8">
        <w:rPr>
          <w:rFonts w:ascii="Times New Roman" w:hAnsi="Times New Roman" w:cs="Times New Roman"/>
          <w:sz w:val="22"/>
          <w:szCs w:val="22"/>
        </w:rPr>
        <w:t>Cass</w:t>
      </w:r>
      <w:proofErr w:type="spellEnd"/>
      <w:r w:rsidRPr="00673BB8">
        <w:rPr>
          <w:rFonts w:ascii="Times New Roman" w:hAnsi="Times New Roman" w:cs="Times New Roman"/>
          <w:sz w:val="22"/>
          <w:szCs w:val="22"/>
        </w:rPr>
        <w:t xml:space="preserve">. </w:t>
      </w:r>
      <w:proofErr w:type="gramStart"/>
      <w:r w:rsidRPr="00673BB8">
        <w:rPr>
          <w:rFonts w:ascii="Times New Roman" w:hAnsi="Times New Roman" w:cs="Times New Roman"/>
          <w:sz w:val="22"/>
          <w:szCs w:val="22"/>
        </w:rPr>
        <w:t>civ.,</w:t>
      </w:r>
      <w:proofErr w:type="gramEnd"/>
      <w:r w:rsidRPr="00673BB8">
        <w:rPr>
          <w:rFonts w:ascii="Times New Roman" w:hAnsi="Times New Roman" w:cs="Times New Roman"/>
          <w:sz w:val="22"/>
          <w:szCs w:val="22"/>
        </w:rPr>
        <w:t xml:space="preserve"> Sez. II, ordinanza 16 febbraio 2018, n. 3831, punto 11.3.6.8.</w:t>
      </w:r>
    </w:p>
  </w:footnote>
  <w:footnote w:id="32">
    <w:p w:rsidR="004E27EB" w:rsidRPr="00673BB8" w:rsidRDefault="004E27EB" w:rsidP="00F34777">
      <w:pPr>
        <w:pStyle w:val="Testonotaapidipagina"/>
        <w:jc w:val="both"/>
        <w:rPr>
          <w:rFonts w:ascii="Times New Roman" w:hAnsi="Times New Roman" w:cs="Times New Roman"/>
          <w:i/>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art. 6, paragrafo 1, TUE, che testualmente recita: «</w:t>
      </w:r>
      <w:r w:rsidRPr="00673BB8">
        <w:rPr>
          <w:rFonts w:ascii="Times New Roman" w:hAnsi="Times New Roman" w:cs="Times New Roman"/>
          <w:i/>
          <w:sz w:val="22"/>
          <w:szCs w:val="22"/>
        </w:rPr>
        <w:t xml:space="preserve">1. L'Unione riconosce i diritti, le libertà e i principi sanciti nella Carta dei diritti fondamentali dell'Unione europea del 7 dicembre 2000, adattata il 12 dicembre 2007 a Strasburgo, che ha lo stesso valore giuridico dei trattati. </w:t>
      </w:r>
    </w:p>
    <w:p w:rsidR="004E27EB" w:rsidRPr="00673BB8" w:rsidRDefault="004E27EB" w:rsidP="00F34777">
      <w:pPr>
        <w:pStyle w:val="Testonotaapidipagina"/>
        <w:jc w:val="both"/>
        <w:rPr>
          <w:rFonts w:ascii="Times New Roman" w:hAnsi="Times New Roman" w:cs="Times New Roman"/>
          <w:i/>
          <w:sz w:val="22"/>
          <w:szCs w:val="22"/>
        </w:rPr>
      </w:pPr>
      <w:r w:rsidRPr="00673BB8">
        <w:rPr>
          <w:rFonts w:ascii="Times New Roman" w:hAnsi="Times New Roman" w:cs="Times New Roman"/>
          <w:i/>
          <w:sz w:val="22"/>
          <w:szCs w:val="22"/>
        </w:rPr>
        <w:t>Le disposizioni della Carta non estendono in alcun modo le competenze dell'Unione definite nei trattati.</w:t>
      </w:r>
    </w:p>
    <w:p w:rsidR="003C412E" w:rsidRPr="00673BB8" w:rsidRDefault="004E27EB" w:rsidP="00F34777">
      <w:pPr>
        <w:pStyle w:val="Testonotaapidipagina"/>
        <w:jc w:val="both"/>
        <w:rPr>
          <w:rFonts w:ascii="Times New Roman" w:hAnsi="Times New Roman" w:cs="Times New Roman"/>
          <w:sz w:val="22"/>
          <w:szCs w:val="22"/>
        </w:rPr>
      </w:pPr>
      <w:r w:rsidRPr="00673BB8">
        <w:rPr>
          <w:rFonts w:ascii="Times New Roman" w:hAnsi="Times New Roman" w:cs="Times New Roman"/>
          <w:i/>
          <w:sz w:val="22"/>
          <w:szCs w:val="22"/>
        </w:rPr>
        <w:t>I diritti, le libertà e i principi della Carta sono interpretati in conformità delle disposizioni generali del titolo VII della Carta che disciplinano la sua interpretazione e applicazione e tenendo in debito conto le spiegazioni cui si fa riferimento nella Carta, che indicano le fonti di tali disposizioni</w:t>
      </w:r>
      <w:r w:rsidRPr="00673BB8">
        <w:rPr>
          <w:rFonts w:ascii="Times New Roman" w:hAnsi="Times New Roman" w:cs="Times New Roman"/>
          <w:sz w:val="22"/>
          <w:szCs w:val="22"/>
        </w:rPr>
        <w:t xml:space="preserve">». </w:t>
      </w:r>
    </w:p>
  </w:footnote>
  <w:footnote w:id="33">
    <w:p w:rsidR="001D45DF" w:rsidRPr="00673BB8" w:rsidRDefault="001D45DF"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L’articolo 51 della Carta ne definisce nei seguenti termini l’ambito di applicazione:</w:t>
      </w:r>
    </w:p>
    <w:p w:rsidR="001D45DF" w:rsidRPr="00673BB8" w:rsidRDefault="001D45DF" w:rsidP="00F34777">
      <w:pPr>
        <w:pStyle w:val="Testonotaapidipagina"/>
        <w:jc w:val="both"/>
        <w:rPr>
          <w:rFonts w:ascii="Times New Roman" w:hAnsi="Times New Roman" w:cs="Times New Roman"/>
          <w:i/>
          <w:sz w:val="22"/>
          <w:szCs w:val="22"/>
        </w:rPr>
      </w:pPr>
      <w:r w:rsidRPr="00673BB8">
        <w:rPr>
          <w:rFonts w:ascii="Times New Roman" w:hAnsi="Times New Roman" w:cs="Times New Roman"/>
          <w:sz w:val="22"/>
          <w:szCs w:val="22"/>
        </w:rPr>
        <w:t>«</w:t>
      </w:r>
      <w:r w:rsidRPr="00673BB8">
        <w:rPr>
          <w:rFonts w:ascii="Times New Roman" w:hAnsi="Times New Roman" w:cs="Times New Roman"/>
          <w:i/>
          <w:sz w:val="22"/>
          <w:szCs w:val="22"/>
        </w:rPr>
        <w:t>1. Le disposizioni della presente Carta si applicano alle istituzioni, organi e organismi dell’Unione nel rispetto del principio di sussidiarietà, come pure agli Stati membri esclusivamente nell’attuazione del diritto dell’Unione. Pertanto, i suddetti soggetti rispettano i diritti, osservano i principi e ne promuovono l’applicazione secondo le rispettive competenze e nel rispetto dei limiti delle competenze conferite all’Unione nei trattati.</w:t>
      </w:r>
    </w:p>
    <w:p w:rsidR="001D45DF" w:rsidRPr="00673BB8" w:rsidRDefault="001D45DF" w:rsidP="00F34777">
      <w:pPr>
        <w:pStyle w:val="Testonotaapidipagina"/>
        <w:jc w:val="both"/>
        <w:rPr>
          <w:rFonts w:ascii="Times New Roman" w:hAnsi="Times New Roman" w:cs="Times New Roman"/>
          <w:sz w:val="22"/>
          <w:szCs w:val="22"/>
        </w:rPr>
      </w:pPr>
      <w:r w:rsidRPr="00673BB8">
        <w:rPr>
          <w:rFonts w:ascii="Times New Roman" w:hAnsi="Times New Roman" w:cs="Times New Roman"/>
          <w:i/>
          <w:sz w:val="22"/>
          <w:szCs w:val="22"/>
        </w:rPr>
        <w:t>2. La presente Carta non estende l’ambito di applicazione del diritto dell’Unione al di là delle competenze dell’Unione, né introduce competenze nuove o compiti nuovi per l’Unione, né modifica le competenze e i compiti definiti nei trattati</w:t>
      </w:r>
      <w:r w:rsidRPr="00673BB8">
        <w:rPr>
          <w:rFonts w:ascii="Times New Roman" w:hAnsi="Times New Roman" w:cs="Times New Roman"/>
          <w:sz w:val="22"/>
          <w:szCs w:val="22"/>
        </w:rPr>
        <w:t xml:space="preserve">». </w:t>
      </w:r>
    </w:p>
  </w:footnote>
  <w:footnote w:id="34">
    <w:p w:rsidR="009B79C7" w:rsidRPr="00673BB8" w:rsidRDefault="009B79C7"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r w:rsidRPr="00673BB8">
        <w:rPr>
          <w:rFonts w:ascii="Times New Roman" w:hAnsi="Times New Roman" w:cs="Times New Roman"/>
          <w:sz w:val="22"/>
          <w:szCs w:val="22"/>
        </w:rPr>
        <w:t>giust</w:t>
      </w:r>
      <w:proofErr w:type="spellEnd"/>
      <w:r w:rsidRPr="00673BB8">
        <w:rPr>
          <w:rFonts w:ascii="Times New Roman" w:hAnsi="Times New Roman" w:cs="Times New Roman"/>
          <w:sz w:val="22"/>
          <w:szCs w:val="22"/>
        </w:rPr>
        <w:t xml:space="preserve">. UE, sentenza 26 febbraio 2013, causa C-617/10, </w:t>
      </w:r>
      <w:proofErr w:type="spellStart"/>
      <w:r w:rsidRPr="00673BB8">
        <w:rPr>
          <w:rFonts w:ascii="Times New Roman" w:hAnsi="Times New Roman" w:cs="Times New Roman"/>
          <w:i/>
          <w:sz w:val="22"/>
          <w:szCs w:val="22"/>
        </w:rPr>
        <w:t>Åklagaren</w:t>
      </w:r>
      <w:proofErr w:type="spellEnd"/>
      <w:r w:rsidRPr="00673BB8">
        <w:rPr>
          <w:rFonts w:ascii="Times New Roman" w:hAnsi="Times New Roman" w:cs="Times New Roman"/>
          <w:sz w:val="22"/>
          <w:szCs w:val="22"/>
        </w:rPr>
        <w:t>, con ulteriori richiami giurisprudenziali</w:t>
      </w:r>
    </w:p>
  </w:footnote>
  <w:footnote w:id="35">
    <w:p w:rsidR="00DB3CE4" w:rsidRPr="00673BB8" w:rsidRDefault="00DB3CE4"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Corte </w:t>
      </w:r>
      <w:proofErr w:type="spellStart"/>
      <w:r w:rsidRPr="00673BB8">
        <w:rPr>
          <w:rFonts w:ascii="Times New Roman" w:hAnsi="Times New Roman" w:cs="Times New Roman"/>
          <w:sz w:val="22"/>
          <w:szCs w:val="22"/>
        </w:rPr>
        <w:t>giust</w:t>
      </w:r>
      <w:proofErr w:type="spellEnd"/>
      <w:r w:rsidRPr="00673BB8">
        <w:rPr>
          <w:rFonts w:ascii="Times New Roman" w:hAnsi="Times New Roman" w:cs="Times New Roman"/>
          <w:sz w:val="22"/>
          <w:szCs w:val="22"/>
        </w:rPr>
        <w:t>. UE</w:t>
      </w:r>
      <w:r w:rsidR="009B79C7" w:rsidRPr="00673BB8">
        <w:rPr>
          <w:rFonts w:ascii="Times New Roman" w:hAnsi="Times New Roman" w:cs="Times New Roman"/>
          <w:sz w:val="22"/>
          <w:szCs w:val="22"/>
        </w:rPr>
        <w:t xml:space="preserve">, </w:t>
      </w:r>
      <w:r w:rsidR="009B79C7" w:rsidRPr="00673BB8">
        <w:rPr>
          <w:rFonts w:ascii="Times New Roman" w:hAnsi="Times New Roman" w:cs="Times New Roman"/>
          <w:i/>
          <w:sz w:val="22"/>
          <w:szCs w:val="22"/>
        </w:rPr>
        <w:t>ibidem</w:t>
      </w:r>
      <w:r w:rsidRPr="00673BB8">
        <w:rPr>
          <w:rFonts w:ascii="Times New Roman" w:hAnsi="Times New Roman" w:cs="Times New Roman"/>
          <w:sz w:val="22"/>
          <w:szCs w:val="22"/>
        </w:rPr>
        <w:t xml:space="preserve">. </w:t>
      </w:r>
    </w:p>
  </w:footnote>
  <w:footnote w:id="36">
    <w:p w:rsidR="00C85CB2" w:rsidRPr="00673BB8" w:rsidRDefault="00C85CB2"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A partire dalla sentenza </w:t>
      </w:r>
      <w:proofErr w:type="spellStart"/>
      <w:r w:rsidRPr="00673BB8">
        <w:rPr>
          <w:rFonts w:ascii="Times New Roman" w:hAnsi="Times New Roman" w:cs="Times New Roman"/>
          <w:i/>
          <w:sz w:val="22"/>
          <w:szCs w:val="22"/>
        </w:rPr>
        <w:t>Granital</w:t>
      </w:r>
      <w:proofErr w:type="spellEnd"/>
      <w:r w:rsidRPr="00673BB8">
        <w:rPr>
          <w:rFonts w:ascii="Times New Roman" w:hAnsi="Times New Roman" w:cs="Times New Roman"/>
          <w:sz w:val="22"/>
          <w:szCs w:val="22"/>
        </w:rPr>
        <w:t xml:space="preserve">; per la giurisprudenza più recente, v. sentenza n. 111/2017 e ordinanze n. 48/2017 e n. 207/2013. </w:t>
      </w:r>
    </w:p>
  </w:footnote>
  <w:footnote w:id="37">
    <w:p w:rsidR="00035288" w:rsidRPr="00673BB8" w:rsidRDefault="00035288"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sopra </w:t>
      </w:r>
      <w:r w:rsidRPr="00673BB8">
        <w:rPr>
          <w:rFonts w:ascii="Times New Roman" w:hAnsi="Times New Roman" w:cs="Times New Roman"/>
          <w:i/>
          <w:sz w:val="22"/>
          <w:szCs w:val="22"/>
        </w:rPr>
        <w:t>sub</w:t>
      </w:r>
      <w:r w:rsidRPr="00673BB8">
        <w:rPr>
          <w:rFonts w:ascii="Times New Roman" w:hAnsi="Times New Roman" w:cs="Times New Roman"/>
          <w:sz w:val="22"/>
          <w:szCs w:val="22"/>
        </w:rPr>
        <w:t xml:space="preserve"> 1.2.4.</w:t>
      </w:r>
    </w:p>
  </w:footnote>
  <w:footnote w:id="38">
    <w:p w:rsidR="00243CC7" w:rsidRPr="00673BB8" w:rsidRDefault="00243CC7"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V. sopra sub 3.2.1.</w:t>
      </w:r>
    </w:p>
  </w:footnote>
  <w:footnote w:id="39">
    <w:p w:rsidR="0016529D" w:rsidRPr="00673BB8" w:rsidRDefault="0016529D" w:rsidP="00F34777">
      <w:pPr>
        <w:pStyle w:val="Testonotaapidipagina"/>
        <w:jc w:val="both"/>
        <w:rPr>
          <w:rFonts w:ascii="Times New Roman" w:hAnsi="Times New Roman" w:cs="Times New Roman"/>
          <w:sz w:val="22"/>
          <w:szCs w:val="22"/>
        </w:rPr>
      </w:pPr>
      <w:r w:rsidRPr="00673BB8">
        <w:rPr>
          <w:rStyle w:val="Rimandonotaapidipagina"/>
          <w:rFonts w:ascii="Times New Roman" w:hAnsi="Times New Roman" w:cs="Times New Roman"/>
          <w:sz w:val="22"/>
          <w:szCs w:val="22"/>
        </w:rPr>
        <w:footnoteRef/>
      </w:r>
      <w:r w:rsidRPr="00673BB8">
        <w:rPr>
          <w:rFonts w:ascii="Times New Roman" w:hAnsi="Times New Roman" w:cs="Times New Roman"/>
          <w:sz w:val="22"/>
          <w:szCs w:val="22"/>
        </w:rPr>
        <w:t xml:space="preserve"> </w:t>
      </w:r>
      <w:r w:rsidR="00710790" w:rsidRPr="00673BB8">
        <w:rPr>
          <w:rFonts w:ascii="Times New Roman" w:hAnsi="Times New Roman" w:cs="Times New Roman"/>
          <w:sz w:val="22"/>
          <w:szCs w:val="22"/>
        </w:rPr>
        <w:t>Infatti, la Corte di cassazione, con la sopra citata ordinanza n. 3831</w:t>
      </w:r>
      <w:r w:rsidR="00F34777" w:rsidRPr="00673BB8">
        <w:rPr>
          <w:rFonts w:ascii="Times New Roman" w:hAnsi="Times New Roman" w:cs="Times New Roman"/>
          <w:sz w:val="22"/>
          <w:szCs w:val="22"/>
        </w:rPr>
        <w:t>/2018</w:t>
      </w:r>
      <w:r w:rsidR="00710790" w:rsidRPr="00673BB8">
        <w:rPr>
          <w:rFonts w:ascii="Times New Roman" w:hAnsi="Times New Roman" w:cs="Times New Roman"/>
          <w:sz w:val="22"/>
          <w:szCs w:val="22"/>
        </w:rPr>
        <w:t>, chiede un chiarimento alla Corte costituzionale sulla base del testuale rilievo che, «</w:t>
      </w:r>
      <w:r w:rsidR="00F34777" w:rsidRPr="00673BB8">
        <w:rPr>
          <w:rFonts w:ascii="Times New Roman" w:hAnsi="Times New Roman" w:cs="Times New Roman"/>
          <w:sz w:val="22"/>
          <w:szCs w:val="22"/>
        </w:rPr>
        <w:t xml:space="preserve">[…] </w:t>
      </w:r>
      <w:r w:rsidR="00710790" w:rsidRPr="00673BB8">
        <w:rPr>
          <w:rFonts w:ascii="Times New Roman" w:hAnsi="Times New Roman" w:cs="Times New Roman"/>
          <w:i/>
          <w:sz w:val="22"/>
          <w:szCs w:val="22"/>
        </w:rPr>
        <w:t>– qualora la disposizione sospettata di illegittimità costituzionale superasse il vaglio della Corte costituzionale – la Corte di cassazione dovrebbe misurarsi con il dovere, sulla stessa gravante ai sensi dell'art. 267 TFUE, comma 3 di attivare il rinvio pregiudiziale ex art. 267 TFUE (ove già non attivato dalla stessa Corte costituzionale nel giudizio incidentale) e di dare al diritto dell'Unione un'applicazione conforme alla decisione conseguentemente adottata dalla Corte di Giustizia</w:t>
      </w:r>
      <w:r w:rsidR="00710790" w:rsidRPr="00673BB8">
        <w:rPr>
          <w:rFonts w:ascii="Times New Roman" w:hAnsi="Times New Roman" w:cs="Times New Roman"/>
          <w:sz w:val="22"/>
          <w:szCs w:val="22"/>
        </w:rPr>
        <w:t>»</w:t>
      </w:r>
      <w:r w:rsidR="00F34777" w:rsidRPr="00673BB8">
        <w:rPr>
          <w:rFonts w:ascii="Times New Roman" w:hAnsi="Times New Roman" w:cs="Times New Roman"/>
          <w:sz w:val="22"/>
          <w:szCs w:val="22"/>
        </w:rPr>
        <w:t xml:space="preserve">, con ciò esplicitando il dilemma decisionale del giudice nazionale di ultima istanza nei casi di doppia pregiudizialità, riferita alla condizione in cui esso si trova allorché – specie nel caso di parametri solo formalmente diversi ma sostanzialmente coincidenti – può sollevare sia la questione di legittimità costituzionale dinanzi alla Corte costituzionale, sia quella euro-unitaria dinanzi alla Corte di giustizia.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53BEF"/>
    <w:multiLevelType w:val="hybridMultilevel"/>
    <w:tmpl w:val="B8CACC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820862"/>
    <w:multiLevelType w:val="hybridMultilevel"/>
    <w:tmpl w:val="91F62302"/>
    <w:lvl w:ilvl="0" w:tplc="5484AF7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1A418F"/>
    <w:multiLevelType w:val="hybridMultilevel"/>
    <w:tmpl w:val="95289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00"/>
    <w:rsid w:val="00011859"/>
    <w:rsid w:val="00022688"/>
    <w:rsid w:val="00023A1D"/>
    <w:rsid w:val="000245BC"/>
    <w:rsid w:val="00035288"/>
    <w:rsid w:val="00042381"/>
    <w:rsid w:val="00042D90"/>
    <w:rsid w:val="00063A91"/>
    <w:rsid w:val="0007435C"/>
    <w:rsid w:val="0008553A"/>
    <w:rsid w:val="00092229"/>
    <w:rsid w:val="000B2E7D"/>
    <w:rsid w:val="000B4B87"/>
    <w:rsid w:val="000C13F0"/>
    <w:rsid w:val="000C4083"/>
    <w:rsid w:val="000C4677"/>
    <w:rsid w:val="000E2AC7"/>
    <w:rsid w:val="000E565B"/>
    <w:rsid w:val="00100B45"/>
    <w:rsid w:val="00102EB8"/>
    <w:rsid w:val="00102ED1"/>
    <w:rsid w:val="0011064F"/>
    <w:rsid w:val="0012186D"/>
    <w:rsid w:val="001240AF"/>
    <w:rsid w:val="00135240"/>
    <w:rsid w:val="001378BA"/>
    <w:rsid w:val="00141809"/>
    <w:rsid w:val="0016529D"/>
    <w:rsid w:val="0017012B"/>
    <w:rsid w:val="001816D4"/>
    <w:rsid w:val="00181D24"/>
    <w:rsid w:val="00181DFF"/>
    <w:rsid w:val="00193D8B"/>
    <w:rsid w:val="001A3EA6"/>
    <w:rsid w:val="001A476F"/>
    <w:rsid w:val="001B19FC"/>
    <w:rsid w:val="001D17FA"/>
    <w:rsid w:val="001D45DF"/>
    <w:rsid w:val="002001E5"/>
    <w:rsid w:val="00200E01"/>
    <w:rsid w:val="0020390B"/>
    <w:rsid w:val="002248C2"/>
    <w:rsid w:val="00225B2D"/>
    <w:rsid w:val="002300AD"/>
    <w:rsid w:val="00243CC7"/>
    <w:rsid w:val="002920E1"/>
    <w:rsid w:val="002C68AB"/>
    <w:rsid w:val="002D4142"/>
    <w:rsid w:val="002D6191"/>
    <w:rsid w:val="002E13EE"/>
    <w:rsid w:val="00304108"/>
    <w:rsid w:val="00317C1D"/>
    <w:rsid w:val="00321AA1"/>
    <w:rsid w:val="003315AF"/>
    <w:rsid w:val="00357009"/>
    <w:rsid w:val="00363ACB"/>
    <w:rsid w:val="00373857"/>
    <w:rsid w:val="003819E6"/>
    <w:rsid w:val="003823E0"/>
    <w:rsid w:val="0038250A"/>
    <w:rsid w:val="0039482D"/>
    <w:rsid w:val="003A4182"/>
    <w:rsid w:val="003A441D"/>
    <w:rsid w:val="003B44EA"/>
    <w:rsid w:val="003B54ED"/>
    <w:rsid w:val="003C1383"/>
    <w:rsid w:val="003C412E"/>
    <w:rsid w:val="003C6806"/>
    <w:rsid w:val="003D01E4"/>
    <w:rsid w:val="003D42A5"/>
    <w:rsid w:val="003E2C4B"/>
    <w:rsid w:val="003E4FA3"/>
    <w:rsid w:val="003E6B77"/>
    <w:rsid w:val="003F09D0"/>
    <w:rsid w:val="003F4AE8"/>
    <w:rsid w:val="003F5F68"/>
    <w:rsid w:val="0040104D"/>
    <w:rsid w:val="0040108F"/>
    <w:rsid w:val="004019DE"/>
    <w:rsid w:val="004039E1"/>
    <w:rsid w:val="00411CC6"/>
    <w:rsid w:val="004209E6"/>
    <w:rsid w:val="00421201"/>
    <w:rsid w:val="0043339B"/>
    <w:rsid w:val="00436154"/>
    <w:rsid w:val="00454521"/>
    <w:rsid w:val="00455F6E"/>
    <w:rsid w:val="00484963"/>
    <w:rsid w:val="00487677"/>
    <w:rsid w:val="004927EB"/>
    <w:rsid w:val="004A3C43"/>
    <w:rsid w:val="004B5867"/>
    <w:rsid w:val="004C4023"/>
    <w:rsid w:val="004C5BC8"/>
    <w:rsid w:val="004D4AC4"/>
    <w:rsid w:val="004E27EB"/>
    <w:rsid w:val="004E30B6"/>
    <w:rsid w:val="004F2049"/>
    <w:rsid w:val="00503EF2"/>
    <w:rsid w:val="00506F33"/>
    <w:rsid w:val="0052595A"/>
    <w:rsid w:val="0053466E"/>
    <w:rsid w:val="0054045F"/>
    <w:rsid w:val="00545151"/>
    <w:rsid w:val="00546F7E"/>
    <w:rsid w:val="005577B0"/>
    <w:rsid w:val="0057295D"/>
    <w:rsid w:val="00572F9F"/>
    <w:rsid w:val="005732AB"/>
    <w:rsid w:val="00573DD5"/>
    <w:rsid w:val="0058259E"/>
    <w:rsid w:val="0058403F"/>
    <w:rsid w:val="005913DE"/>
    <w:rsid w:val="005A2200"/>
    <w:rsid w:val="005A3744"/>
    <w:rsid w:val="005A5DC1"/>
    <w:rsid w:val="005B11C6"/>
    <w:rsid w:val="005B7599"/>
    <w:rsid w:val="005D1F21"/>
    <w:rsid w:val="005F13E3"/>
    <w:rsid w:val="005F2E59"/>
    <w:rsid w:val="005F4817"/>
    <w:rsid w:val="005F4E36"/>
    <w:rsid w:val="00600D1C"/>
    <w:rsid w:val="00602679"/>
    <w:rsid w:val="00603116"/>
    <w:rsid w:val="006076F5"/>
    <w:rsid w:val="00610D3D"/>
    <w:rsid w:val="00617CD8"/>
    <w:rsid w:val="00623202"/>
    <w:rsid w:val="0062667A"/>
    <w:rsid w:val="006340B3"/>
    <w:rsid w:val="006467D9"/>
    <w:rsid w:val="00673BB8"/>
    <w:rsid w:val="00682DD7"/>
    <w:rsid w:val="00691F14"/>
    <w:rsid w:val="00693F90"/>
    <w:rsid w:val="006A2435"/>
    <w:rsid w:val="006A2CD7"/>
    <w:rsid w:val="006A66BB"/>
    <w:rsid w:val="006B17E9"/>
    <w:rsid w:val="006C1976"/>
    <w:rsid w:val="006C4FD5"/>
    <w:rsid w:val="006C6738"/>
    <w:rsid w:val="006D65FD"/>
    <w:rsid w:val="006E75F6"/>
    <w:rsid w:val="006F0120"/>
    <w:rsid w:val="006F023F"/>
    <w:rsid w:val="006F442D"/>
    <w:rsid w:val="00700EF9"/>
    <w:rsid w:val="00703815"/>
    <w:rsid w:val="00704F89"/>
    <w:rsid w:val="00705690"/>
    <w:rsid w:val="00707ADD"/>
    <w:rsid w:val="00710790"/>
    <w:rsid w:val="00714758"/>
    <w:rsid w:val="0072000E"/>
    <w:rsid w:val="007238DB"/>
    <w:rsid w:val="00735B0B"/>
    <w:rsid w:val="0074283E"/>
    <w:rsid w:val="00766853"/>
    <w:rsid w:val="00767EAF"/>
    <w:rsid w:val="0077686A"/>
    <w:rsid w:val="00776C8E"/>
    <w:rsid w:val="00777420"/>
    <w:rsid w:val="00784F62"/>
    <w:rsid w:val="00786D70"/>
    <w:rsid w:val="007870B1"/>
    <w:rsid w:val="00787ECB"/>
    <w:rsid w:val="007A04A3"/>
    <w:rsid w:val="007A6BD3"/>
    <w:rsid w:val="007B7A7C"/>
    <w:rsid w:val="007D3882"/>
    <w:rsid w:val="007E1A64"/>
    <w:rsid w:val="007E2066"/>
    <w:rsid w:val="008026EA"/>
    <w:rsid w:val="00812956"/>
    <w:rsid w:val="00820AAF"/>
    <w:rsid w:val="00822E1E"/>
    <w:rsid w:val="008249A3"/>
    <w:rsid w:val="008350D9"/>
    <w:rsid w:val="0084504D"/>
    <w:rsid w:val="00847B15"/>
    <w:rsid w:val="008557A8"/>
    <w:rsid w:val="00862A8E"/>
    <w:rsid w:val="00877F11"/>
    <w:rsid w:val="00894FA2"/>
    <w:rsid w:val="00897E79"/>
    <w:rsid w:val="008A0891"/>
    <w:rsid w:val="008A0CBF"/>
    <w:rsid w:val="008B30E0"/>
    <w:rsid w:val="008B424D"/>
    <w:rsid w:val="008C018A"/>
    <w:rsid w:val="008C5E5F"/>
    <w:rsid w:val="008D0188"/>
    <w:rsid w:val="008F3301"/>
    <w:rsid w:val="00903091"/>
    <w:rsid w:val="00903C72"/>
    <w:rsid w:val="00905A90"/>
    <w:rsid w:val="00907B86"/>
    <w:rsid w:val="00923B5B"/>
    <w:rsid w:val="00927751"/>
    <w:rsid w:val="00931BB7"/>
    <w:rsid w:val="00932DE6"/>
    <w:rsid w:val="009503B3"/>
    <w:rsid w:val="00953111"/>
    <w:rsid w:val="00981CA3"/>
    <w:rsid w:val="00983F96"/>
    <w:rsid w:val="00993343"/>
    <w:rsid w:val="009B79C7"/>
    <w:rsid w:val="009C28D9"/>
    <w:rsid w:val="009C7A51"/>
    <w:rsid w:val="009E0A40"/>
    <w:rsid w:val="009E3EF4"/>
    <w:rsid w:val="009E497E"/>
    <w:rsid w:val="009E5967"/>
    <w:rsid w:val="009E64AB"/>
    <w:rsid w:val="009F36FF"/>
    <w:rsid w:val="009F5897"/>
    <w:rsid w:val="00A01479"/>
    <w:rsid w:val="00A0246E"/>
    <w:rsid w:val="00A05A7C"/>
    <w:rsid w:val="00A10FFA"/>
    <w:rsid w:val="00A12556"/>
    <w:rsid w:val="00A16F46"/>
    <w:rsid w:val="00A17604"/>
    <w:rsid w:val="00A27E13"/>
    <w:rsid w:val="00A31684"/>
    <w:rsid w:val="00A32185"/>
    <w:rsid w:val="00A55634"/>
    <w:rsid w:val="00A61898"/>
    <w:rsid w:val="00A66CEC"/>
    <w:rsid w:val="00A70240"/>
    <w:rsid w:val="00A712D7"/>
    <w:rsid w:val="00A71FDD"/>
    <w:rsid w:val="00A72869"/>
    <w:rsid w:val="00A768D7"/>
    <w:rsid w:val="00AA3C55"/>
    <w:rsid w:val="00AD079F"/>
    <w:rsid w:val="00AD217C"/>
    <w:rsid w:val="00AD2300"/>
    <w:rsid w:val="00AD2DFD"/>
    <w:rsid w:val="00AE0F9A"/>
    <w:rsid w:val="00B2588D"/>
    <w:rsid w:val="00B26D25"/>
    <w:rsid w:val="00B34C31"/>
    <w:rsid w:val="00B576AD"/>
    <w:rsid w:val="00B60839"/>
    <w:rsid w:val="00B720FD"/>
    <w:rsid w:val="00B75E33"/>
    <w:rsid w:val="00B77E3D"/>
    <w:rsid w:val="00B81C59"/>
    <w:rsid w:val="00B85461"/>
    <w:rsid w:val="00B946F2"/>
    <w:rsid w:val="00BA5FAA"/>
    <w:rsid w:val="00BB21DD"/>
    <w:rsid w:val="00BB5FBC"/>
    <w:rsid w:val="00BB61F3"/>
    <w:rsid w:val="00BC1364"/>
    <w:rsid w:val="00BC15F2"/>
    <w:rsid w:val="00BD48FB"/>
    <w:rsid w:val="00BE007B"/>
    <w:rsid w:val="00BE10E5"/>
    <w:rsid w:val="00BE5573"/>
    <w:rsid w:val="00BE6F68"/>
    <w:rsid w:val="00BF04FD"/>
    <w:rsid w:val="00BF36DB"/>
    <w:rsid w:val="00C0056A"/>
    <w:rsid w:val="00C06273"/>
    <w:rsid w:val="00C0639F"/>
    <w:rsid w:val="00C16D3B"/>
    <w:rsid w:val="00C173F3"/>
    <w:rsid w:val="00C37E14"/>
    <w:rsid w:val="00C415B6"/>
    <w:rsid w:val="00C4794F"/>
    <w:rsid w:val="00C51190"/>
    <w:rsid w:val="00C64C24"/>
    <w:rsid w:val="00C64FE1"/>
    <w:rsid w:val="00C678A5"/>
    <w:rsid w:val="00C74048"/>
    <w:rsid w:val="00C7548B"/>
    <w:rsid w:val="00C85CB2"/>
    <w:rsid w:val="00C94612"/>
    <w:rsid w:val="00C94B49"/>
    <w:rsid w:val="00CA18D8"/>
    <w:rsid w:val="00CC1683"/>
    <w:rsid w:val="00CC1C56"/>
    <w:rsid w:val="00CD22CB"/>
    <w:rsid w:val="00CD48F3"/>
    <w:rsid w:val="00CE05D5"/>
    <w:rsid w:val="00CE7D6A"/>
    <w:rsid w:val="00CF6708"/>
    <w:rsid w:val="00D05C6A"/>
    <w:rsid w:val="00D206F3"/>
    <w:rsid w:val="00D31D87"/>
    <w:rsid w:val="00D359BA"/>
    <w:rsid w:val="00D520D9"/>
    <w:rsid w:val="00D53F0E"/>
    <w:rsid w:val="00D57973"/>
    <w:rsid w:val="00D60FEE"/>
    <w:rsid w:val="00D64979"/>
    <w:rsid w:val="00D64A82"/>
    <w:rsid w:val="00D64AFF"/>
    <w:rsid w:val="00D67907"/>
    <w:rsid w:val="00D72C51"/>
    <w:rsid w:val="00D74918"/>
    <w:rsid w:val="00D835EB"/>
    <w:rsid w:val="00D84040"/>
    <w:rsid w:val="00D85477"/>
    <w:rsid w:val="00D9176E"/>
    <w:rsid w:val="00DA0BF3"/>
    <w:rsid w:val="00DA1E3C"/>
    <w:rsid w:val="00DA42BB"/>
    <w:rsid w:val="00DB3CE4"/>
    <w:rsid w:val="00DB69AC"/>
    <w:rsid w:val="00DC2977"/>
    <w:rsid w:val="00DE0A52"/>
    <w:rsid w:val="00DE7FA2"/>
    <w:rsid w:val="00DF4A67"/>
    <w:rsid w:val="00E14DDF"/>
    <w:rsid w:val="00E32F17"/>
    <w:rsid w:val="00E34C95"/>
    <w:rsid w:val="00E43C3A"/>
    <w:rsid w:val="00E560D5"/>
    <w:rsid w:val="00E6499D"/>
    <w:rsid w:val="00E71DC0"/>
    <w:rsid w:val="00E74688"/>
    <w:rsid w:val="00E854EC"/>
    <w:rsid w:val="00E95056"/>
    <w:rsid w:val="00E965FB"/>
    <w:rsid w:val="00EA035C"/>
    <w:rsid w:val="00EB181D"/>
    <w:rsid w:val="00EE3F08"/>
    <w:rsid w:val="00EF0579"/>
    <w:rsid w:val="00EF7E73"/>
    <w:rsid w:val="00F16BA0"/>
    <w:rsid w:val="00F30C99"/>
    <w:rsid w:val="00F34777"/>
    <w:rsid w:val="00F365F2"/>
    <w:rsid w:val="00F37433"/>
    <w:rsid w:val="00F53962"/>
    <w:rsid w:val="00F57709"/>
    <w:rsid w:val="00F6351C"/>
    <w:rsid w:val="00F7391D"/>
    <w:rsid w:val="00F810AF"/>
    <w:rsid w:val="00F840FC"/>
    <w:rsid w:val="00F95DA8"/>
    <w:rsid w:val="00FB2474"/>
    <w:rsid w:val="00FB668E"/>
    <w:rsid w:val="00FD7E2F"/>
    <w:rsid w:val="00FE3045"/>
    <w:rsid w:val="00FE414B"/>
    <w:rsid w:val="00FE4C3E"/>
    <w:rsid w:val="00FF0D0C"/>
    <w:rsid w:val="00FF6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E31E9-A0ED-403F-B410-8CED6F0A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1D87"/>
    <w:pPr>
      <w:ind w:left="720"/>
      <w:contextualSpacing/>
    </w:pPr>
  </w:style>
  <w:style w:type="paragraph" w:styleId="Testonotaapidipagina">
    <w:name w:val="footnote text"/>
    <w:basedOn w:val="Normale"/>
    <w:link w:val="TestonotaapidipaginaCarattere"/>
    <w:uiPriority w:val="99"/>
    <w:unhideWhenUsed/>
    <w:rsid w:val="000C40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C4083"/>
    <w:rPr>
      <w:sz w:val="20"/>
      <w:szCs w:val="20"/>
    </w:rPr>
  </w:style>
  <w:style w:type="character" w:styleId="Rimandonotaapidipagina">
    <w:name w:val="footnote reference"/>
    <w:basedOn w:val="Carpredefinitoparagrafo"/>
    <w:uiPriority w:val="99"/>
    <w:semiHidden/>
    <w:unhideWhenUsed/>
    <w:rsid w:val="000C4083"/>
    <w:rPr>
      <w:vertAlign w:val="superscript"/>
    </w:rPr>
  </w:style>
  <w:style w:type="paragraph" w:styleId="Testofumetto">
    <w:name w:val="Balloon Text"/>
    <w:basedOn w:val="Normale"/>
    <w:link w:val="TestofumettoCarattere"/>
    <w:uiPriority w:val="99"/>
    <w:semiHidden/>
    <w:unhideWhenUsed/>
    <w:rsid w:val="00411C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1CC6"/>
    <w:rPr>
      <w:rFonts w:ascii="Segoe UI" w:hAnsi="Segoe UI" w:cs="Segoe UI"/>
      <w:sz w:val="18"/>
      <w:szCs w:val="18"/>
    </w:rPr>
  </w:style>
  <w:style w:type="paragraph" w:styleId="Nessunaspaziatura">
    <w:name w:val="No Spacing"/>
    <w:link w:val="NessunaspaziaturaCarattere"/>
    <w:uiPriority w:val="1"/>
    <w:qFormat/>
    <w:rsid w:val="004B586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B5867"/>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7586-69E2-4D79-981A-FDB238E1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2532</TotalTime>
  <Pages>26</Pages>
  <Words>6910</Words>
  <Characters>39391</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LAGEDER Bernhard</dc:creator>
  <cp:keywords/>
  <dc:description/>
  <cp:lastModifiedBy>VOLPE Nicola</cp:lastModifiedBy>
  <cp:revision>259</cp:revision>
  <cp:lastPrinted>2018-05-01T17:21:00Z</cp:lastPrinted>
  <dcterms:created xsi:type="dcterms:W3CDTF">2018-04-24T10:53:00Z</dcterms:created>
  <dcterms:modified xsi:type="dcterms:W3CDTF">2018-09-19T07:30:00Z</dcterms:modified>
</cp:coreProperties>
</file>