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979" w:rsidRPr="00A37E49" w:rsidRDefault="006E5979" w:rsidP="00A06DA9">
      <w:pPr>
        <w:spacing w:after="0"/>
        <w:jc w:val="center"/>
        <w:rPr>
          <w:rFonts w:ascii="Bookman Old Style" w:hAnsi="Bookman Old Style"/>
          <w:b/>
          <w:sz w:val="24"/>
          <w:szCs w:val="24"/>
        </w:rPr>
      </w:pPr>
      <w:bookmarkStart w:id="0" w:name="_GoBack"/>
      <w:bookmarkEnd w:id="0"/>
      <w:r w:rsidRPr="00A37E49">
        <w:rPr>
          <w:rFonts w:ascii="Bookman Old Style" w:hAnsi="Bookman Old Style"/>
          <w:b/>
          <w:sz w:val="24"/>
          <w:szCs w:val="24"/>
        </w:rPr>
        <w:t>IL COSTO DEI DIRITTI E DELLA LORO TUTELA</w:t>
      </w:r>
    </w:p>
    <w:p w:rsidR="006E5979" w:rsidRPr="003E089B" w:rsidRDefault="006E5979" w:rsidP="00A06DA9">
      <w:pPr>
        <w:spacing w:after="0"/>
        <w:jc w:val="center"/>
        <w:rPr>
          <w:rFonts w:ascii="Bookman Old Style" w:hAnsi="Bookman Old Style"/>
          <w:b/>
          <w:sz w:val="24"/>
          <w:szCs w:val="24"/>
        </w:rPr>
      </w:pPr>
      <w:r w:rsidRPr="00A37E49">
        <w:rPr>
          <w:rFonts w:ascii="Bookman Old Style" w:hAnsi="Bookman Old Style"/>
          <w:b/>
          <w:sz w:val="24"/>
          <w:szCs w:val="24"/>
        </w:rPr>
        <w:t>TRA UNIONE EUROPEA E AUTONOMIE TERRITORIALI</w:t>
      </w:r>
    </w:p>
    <w:p w:rsidR="00A06DA9" w:rsidRDefault="00A06DA9" w:rsidP="003F7DEC">
      <w:pPr>
        <w:ind w:firstLine="709"/>
        <w:jc w:val="both"/>
        <w:rPr>
          <w:rFonts w:ascii="Bookman Old Style" w:hAnsi="Bookman Old Style"/>
          <w:sz w:val="24"/>
          <w:szCs w:val="24"/>
        </w:rPr>
      </w:pPr>
    </w:p>
    <w:p w:rsidR="003F7DEC" w:rsidRDefault="003F7DEC" w:rsidP="003F7DEC">
      <w:pPr>
        <w:ind w:firstLine="709"/>
        <w:jc w:val="both"/>
        <w:rPr>
          <w:rFonts w:ascii="Bookman Old Style" w:hAnsi="Bookman Old Style"/>
          <w:sz w:val="24"/>
          <w:szCs w:val="24"/>
        </w:rPr>
      </w:pPr>
      <w:r>
        <w:rPr>
          <w:rFonts w:ascii="Bookman Old Style" w:hAnsi="Bookman Old Style"/>
          <w:sz w:val="24"/>
          <w:szCs w:val="24"/>
        </w:rPr>
        <w:t xml:space="preserve">1. PREMESSA. La nascita e lo sviluppo di un nucleo sempre più vasto </w:t>
      </w:r>
      <w:r w:rsidR="00BA5FD8">
        <w:rPr>
          <w:rFonts w:ascii="Bookman Old Style" w:hAnsi="Bookman Old Style"/>
          <w:sz w:val="24"/>
          <w:szCs w:val="24"/>
        </w:rPr>
        <w:t xml:space="preserve">ed articolato </w:t>
      </w:r>
      <w:r>
        <w:rPr>
          <w:rFonts w:ascii="Bookman Old Style" w:hAnsi="Bookman Old Style"/>
          <w:sz w:val="24"/>
          <w:szCs w:val="24"/>
        </w:rPr>
        <w:t xml:space="preserve">di </w:t>
      </w:r>
      <w:r w:rsidRPr="003F7DEC">
        <w:rPr>
          <w:rFonts w:ascii="Bookman Old Style" w:hAnsi="Bookman Old Style"/>
          <w:sz w:val="24"/>
          <w:szCs w:val="24"/>
        </w:rPr>
        <w:t xml:space="preserve">diritti </w:t>
      </w:r>
      <w:r w:rsidR="006E5979">
        <w:rPr>
          <w:rFonts w:ascii="Bookman Old Style" w:hAnsi="Bookman Old Style"/>
          <w:sz w:val="24"/>
          <w:szCs w:val="24"/>
        </w:rPr>
        <w:t>fondamentali</w:t>
      </w:r>
      <w:r w:rsidR="00BA5FD8">
        <w:rPr>
          <w:rFonts w:ascii="Bookman Old Style" w:hAnsi="Bookman Old Style"/>
          <w:sz w:val="24"/>
          <w:szCs w:val="24"/>
        </w:rPr>
        <w:t>,</w:t>
      </w:r>
      <w:r w:rsidRPr="003F7DEC">
        <w:rPr>
          <w:rFonts w:ascii="Bookman Old Style" w:hAnsi="Bookman Old Style"/>
          <w:sz w:val="24"/>
          <w:szCs w:val="24"/>
        </w:rPr>
        <w:t xml:space="preserve"> il </w:t>
      </w:r>
      <w:r w:rsidR="006E5979">
        <w:rPr>
          <w:rFonts w:ascii="Bookman Old Style" w:hAnsi="Bookman Old Style"/>
          <w:sz w:val="24"/>
          <w:szCs w:val="24"/>
        </w:rPr>
        <w:t xml:space="preserve">cui </w:t>
      </w:r>
      <w:r w:rsidRPr="003F7DEC">
        <w:rPr>
          <w:rFonts w:ascii="Bookman Old Style" w:hAnsi="Bookman Old Style"/>
          <w:sz w:val="24"/>
          <w:szCs w:val="24"/>
        </w:rPr>
        <w:t>soddisfacimento esig</w:t>
      </w:r>
      <w:r w:rsidR="006E5979">
        <w:rPr>
          <w:rFonts w:ascii="Bookman Old Style" w:hAnsi="Bookman Old Style"/>
          <w:sz w:val="24"/>
          <w:szCs w:val="24"/>
        </w:rPr>
        <w:t xml:space="preserve">e in diversa misura </w:t>
      </w:r>
      <w:r w:rsidR="00BA5FD8">
        <w:rPr>
          <w:rFonts w:ascii="Bookman Old Style" w:hAnsi="Bookman Old Style"/>
          <w:sz w:val="24"/>
          <w:szCs w:val="24"/>
        </w:rPr>
        <w:t>l’</w:t>
      </w:r>
      <w:r w:rsidRPr="003F7DEC">
        <w:rPr>
          <w:rFonts w:ascii="Bookman Old Style" w:hAnsi="Bookman Old Style"/>
          <w:sz w:val="24"/>
          <w:szCs w:val="24"/>
        </w:rPr>
        <w:t>intervento pubblico</w:t>
      </w:r>
      <w:bookmarkStart w:id="1" w:name="_ftnref2"/>
      <w:r w:rsidR="00BA5FD8">
        <w:rPr>
          <w:rFonts w:ascii="Bookman Old Style" w:hAnsi="Bookman Old Style"/>
          <w:sz w:val="24"/>
          <w:szCs w:val="24"/>
        </w:rPr>
        <w:t>,</w:t>
      </w:r>
      <w:hyperlink r:id="rId8" w:anchor="_ftn2" w:history="1"/>
      <w:bookmarkEnd w:id="1"/>
      <w:r>
        <w:rPr>
          <w:rFonts w:ascii="Bookman Old Style" w:hAnsi="Bookman Old Style"/>
          <w:sz w:val="24"/>
          <w:szCs w:val="24"/>
        </w:rPr>
        <w:t xml:space="preserve"> ha da sempre chiamato in causa il tema della loro effettività intesa come </w:t>
      </w:r>
      <w:r w:rsidR="00BA5FD8">
        <w:rPr>
          <w:rFonts w:ascii="Bookman Old Style" w:hAnsi="Bookman Old Style"/>
          <w:sz w:val="24"/>
          <w:szCs w:val="24"/>
        </w:rPr>
        <w:t xml:space="preserve">concreta ed immediata </w:t>
      </w:r>
      <w:r>
        <w:rPr>
          <w:rFonts w:ascii="Bookman Old Style" w:hAnsi="Bookman Old Style"/>
          <w:sz w:val="24"/>
          <w:szCs w:val="24"/>
        </w:rPr>
        <w:t xml:space="preserve">esigibilità e </w:t>
      </w:r>
      <w:r w:rsidR="00BA5FD8">
        <w:rPr>
          <w:rFonts w:ascii="Bookman Old Style" w:hAnsi="Bookman Old Style"/>
          <w:sz w:val="24"/>
          <w:szCs w:val="24"/>
        </w:rPr>
        <w:t xml:space="preserve">relativa </w:t>
      </w:r>
      <w:r>
        <w:rPr>
          <w:rFonts w:ascii="Bookman Old Style" w:hAnsi="Bookman Old Style"/>
          <w:sz w:val="24"/>
          <w:szCs w:val="24"/>
        </w:rPr>
        <w:t>tutela</w:t>
      </w:r>
      <w:r w:rsidRPr="003F7DEC">
        <w:rPr>
          <w:rFonts w:ascii="Bookman Old Style" w:hAnsi="Bookman Old Style"/>
          <w:sz w:val="24"/>
          <w:szCs w:val="24"/>
        </w:rPr>
        <w:t>.</w:t>
      </w:r>
    </w:p>
    <w:p w:rsidR="003F7DEC" w:rsidRDefault="00BA5FD8" w:rsidP="003F7DEC">
      <w:pPr>
        <w:ind w:firstLine="709"/>
        <w:jc w:val="both"/>
        <w:rPr>
          <w:rFonts w:ascii="Bookman Old Style" w:hAnsi="Bookman Old Style"/>
          <w:sz w:val="24"/>
          <w:szCs w:val="24"/>
        </w:rPr>
      </w:pPr>
      <w:r>
        <w:rPr>
          <w:rFonts w:ascii="Bookman Old Style" w:hAnsi="Bookman Old Style"/>
          <w:sz w:val="24"/>
          <w:szCs w:val="24"/>
        </w:rPr>
        <w:t>Peraltro, i</w:t>
      </w:r>
      <w:r w:rsidR="003F7DEC">
        <w:rPr>
          <w:rFonts w:ascii="Bookman Old Style" w:hAnsi="Bookman Old Style"/>
          <w:sz w:val="24"/>
          <w:szCs w:val="24"/>
        </w:rPr>
        <w:t xml:space="preserve">l loro nesso genetico con </w:t>
      </w:r>
      <w:r>
        <w:rPr>
          <w:rFonts w:ascii="Bookman Old Style" w:hAnsi="Bookman Old Style"/>
          <w:sz w:val="24"/>
          <w:szCs w:val="24"/>
        </w:rPr>
        <w:t xml:space="preserve">gli ordinamenti costituzionali </w:t>
      </w:r>
      <w:r w:rsidR="006E5979">
        <w:rPr>
          <w:rFonts w:ascii="Bookman Old Style" w:hAnsi="Bookman Old Style"/>
          <w:sz w:val="24"/>
          <w:szCs w:val="24"/>
        </w:rPr>
        <w:t xml:space="preserve">moderni </w:t>
      </w:r>
      <w:r>
        <w:rPr>
          <w:rFonts w:ascii="Bookman Old Style" w:hAnsi="Bookman Old Style"/>
          <w:sz w:val="24"/>
          <w:szCs w:val="24"/>
        </w:rPr>
        <w:t>e con l’idea di Stato che essi</w:t>
      </w:r>
      <w:r w:rsidR="003F7DEC">
        <w:rPr>
          <w:rFonts w:ascii="Bookman Old Style" w:hAnsi="Bookman Old Style"/>
          <w:sz w:val="24"/>
          <w:szCs w:val="24"/>
        </w:rPr>
        <w:t xml:space="preserve"> incarna</w:t>
      </w:r>
      <w:r>
        <w:rPr>
          <w:rFonts w:ascii="Bookman Old Style" w:hAnsi="Bookman Old Style"/>
          <w:sz w:val="24"/>
          <w:szCs w:val="24"/>
        </w:rPr>
        <w:t>no – inteso come Stato sociale -</w:t>
      </w:r>
      <w:r w:rsidR="003F7DEC">
        <w:rPr>
          <w:rFonts w:ascii="Bookman Old Style" w:hAnsi="Bookman Old Style"/>
          <w:sz w:val="24"/>
          <w:szCs w:val="24"/>
        </w:rPr>
        <w:t xml:space="preserve"> ha trascinato i temi della </w:t>
      </w:r>
      <w:r w:rsidR="006E5979">
        <w:rPr>
          <w:rFonts w:ascii="Bookman Old Style" w:hAnsi="Bookman Old Style"/>
          <w:sz w:val="24"/>
          <w:szCs w:val="24"/>
        </w:rPr>
        <w:t xml:space="preserve">loro </w:t>
      </w:r>
      <w:r w:rsidR="003F7DEC">
        <w:rPr>
          <w:rFonts w:ascii="Bookman Old Style" w:hAnsi="Bookman Old Style"/>
          <w:sz w:val="24"/>
          <w:szCs w:val="24"/>
        </w:rPr>
        <w:t>tutela e</w:t>
      </w:r>
      <w:r w:rsidR="006E5979">
        <w:rPr>
          <w:rFonts w:ascii="Bookman Old Style" w:hAnsi="Bookman Old Style"/>
          <w:sz w:val="24"/>
          <w:szCs w:val="24"/>
        </w:rPr>
        <w:t xml:space="preserve">d </w:t>
      </w:r>
      <w:r w:rsidR="003F7DEC">
        <w:rPr>
          <w:rFonts w:ascii="Bookman Old Style" w:hAnsi="Bookman Old Style"/>
          <w:sz w:val="24"/>
          <w:szCs w:val="24"/>
        </w:rPr>
        <w:t xml:space="preserve">esigibilità nel più vasto dibattito </w:t>
      </w:r>
      <w:r>
        <w:rPr>
          <w:rFonts w:ascii="Bookman Old Style" w:hAnsi="Bookman Old Style"/>
          <w:sz w:val="24"/>
          <w:szCs w:val="24"/>
        </w:rPr>
        <w:t>conseguente allo sfaldamento del modello centralista dello Stato ed al sorgere di un sistema normativo e politico multilivello, contraddistinto da</w:t>
      </w:r>
      <w:r w:rsidR="006E5979">
        <w:rPr>
          <w:rFonts w:ascii="Bookman Old Style" w:hAnsi="Bookman Old Style"/>
          <w:sz w:val="24"/>
          <w:szCs w:val="24"/>
        </w:rPr>
        <w:t xml:space="preserve">ll’affermarsi di </w:t>
      </w:r>
      <w:r>
        <w:rPr>
          <w:rFonts w:ascii="Bookman Old Style" w:hAnsi="Bookman Old Style"/>
          <w:sz w:val="24"/>
          <w:szCs w:val="24"/>
        </w:rPr>
        <w:t xml:space="preserve">un vasto </w:t>
      </w:r>
      <w:r w:rsidR="006E5979">
        <w:rPr>
          <w:rFonts w:ascii="Bookman Old Style" w:hAnsi="Bookman Old Style"/>
          <w:sz w:val="24"/>
          <w:szCs w:val="24"/>
        </w:rPr>
        <w:t xml:space="preserve">novero </w:t>
      </w:r>
      <w:r>
        <w:rPr>
          <w:rFonts w:ascii="Bookman Old Style" w:hAnsi="Bookman Old Style"/>
          <w:sz w:val="24"/>
          <w:szCs w:val="24"/>
        </w:rPr>
        <w:t>di poteri e responsabilità dal livello europeo fino a quello degli enti locali.</w:t>
      </w:r>
    </w:p>
    <w:p w:rsidR="003F7DEC" w:rsidRDefault="003F7DEC" w:rsidP="003F7DEC">
      <w:pPr>
        <w:ind w:firstLine="709"/>
        <w:jc w:val="both"/>
        <w:rPr>
          <w:rFonts w:ascii="Bookman Old Style" w:hAnsi="Bookman Old Style"/>
          <w:sz w:val="24"/>
          <w:szCs w:val="24"/>
        </w:rPr>
      </w:pPr>
      <w:r>
        <w:rPr>
          <w:rFonts w:ascii="Bookman Old Style" w:hAnsi="Bookman Old Style"/>
          <w:sz w:val="24"/>
          <w:szCs w:val="24"/>
        </w:rPr>
        <w:t xml:space="preserve">In tale processo, un peso sempre più rilevante </w:t>
      </w:r>
      <w:r w:rsidR="002D27CB">
        <w:rPr>
          <w:rFonts w:ascii="Bookman Old Style" w:hAnsi="Bookman Old Style"/>
          <w:sz w:val="24"/>
          <w:szCs w:val="24"/>
        </w:rPr>
        <w:t xml:space="preserve">sull’esigibilità dei diritti fondamentali </w:t>
      </w:r>
      <w:r>
        <w:rPr>
          <w:rFonts w:ascii="Bookman Old Style" w:hAnsi="Bookman Old Style"/>
          <w:sz w:val="24"/>
          <w:szCs w:val="24"/>
        </w:rPr>
        <w:t xml:space="preserve">lo hanno giocato le recenti disposizioni </w:t>
      </w:r>
      <w:r w:rsidRPr="003F7DEC">
        <w:rPr>
          <w:rFonts w:ascii="Bookman Old Style" w:hAnsi="Bookman Old Style"/>
          <w:sz w:val="24"/>
          <w:szCs w:val="24"/>
        </w:rPr>
        <w:t xml:space="preserve">di contrasto </w:t>
      </w:r>
      <w:r>
        <w:rPr>
          <w:rFonts w:ascii="Bookman Old Style" w:hAnsi="Bookman Old Style"/>
          <w:sz w:val="24"/>
          <w:szCs w:val="24"/>
        </w:rPr>
        <w:t xml:space="preserve">alla crisi economica </w:t>
      </w:r>
      <w:r w:rsidRPr="003F7DEC">
        <w:rPr>
          <w:rFonts w:ascii="Bookman Old Style" w:hAnsi="Bookman Old Style"/>
          <w:sz w:val="24"/>
          <w:szCs w:val="24"/>
        </w:rPr>
        <w:t>adottate in sede europea</w:t>
      </w:r>
      <w:r w:rsidR="002D27CB">
        <w:rPr>
          <w:rFonts w:ascii="Bookman Old Style" w:hAnsi="Bookman Old Style"/>
          <w:sz w:val="24"/>
          <w:szCs w:val="24"/>
        </w:rPr>
        <w:t xml:space="preserve"> e nazionale</w:t>
      </w:r>
      <w:r w:rsidRPr="003F7DEC">
        <w:rPr>
          <w:rFonts w:ascii="Bookman Old Style" w:hAnsi="Bookman Old Style"/>
          <w:sz w:val="24"/>
          <w:szCs w:val="24"/>
        </w:rPr>
        <w:t>,</w:t>
      </w:r>
      <w:r>
        <w:rPr>
          <w:rFonts w:ascii="Bookman Old Style" w:hAnsi="Bookman Old Style"/>
          <w:sz w:val="24"/>
          <w:szCs w:val="24"/>
        </w:rPr>
        <w:t xml:space="preserve"> </w:t>
      </w:r>
      <w:r w:rsidR="002D27CB">
        <w:rPr>
          <w:rFonts w:ascii="Bookman Old Style" w:hAnsi="Bookman Old Style"/>
          <w:sz w:val="24"/>
          <w:szCs w:val="24"/>
        </w:rPr>
        <w:t xml:space="preserve">la cui portata dispositiva agisce contemporaneamente </w:t>
      </w:r>
      <w:r>
        <w:rPr>
          <w:rFonts w:ascii="Bookman Old Style" w:hAnsi="Bookman Old Style"/>
          <w:sz w:val="24"/>
          <w:szCs w:val="24"/>
        </w:rPr>
        <w:t>su tutti i livelli decisionali.</w:t>
      </w:r>
    </w:p>
    <w:p w:rsidR="00CF0309" w:rsidRDefault="002D27CB" w:rsidP="003F7DEC">
      <w:pPr>
        <w:ind w:firstLine="709"/>
        <w:jc w:val="both"/>
        <w:rPr>
          <w:rFonts w:ascii="Bookman Old Style" w:hAnsi="Bookman Old Style"/>
          <w:sz w:val="24"/>
          <w:szCs w:val="24"/>
        </w:rPr>
      </w:pPr>
      <w:r>
        <w:rPr>
          <w:rFonts w:ascii="Bookman Old Style" w:hAnsi="Bookman Old Style"/>
          <w:sz w:val="24"/>
          <w:szCs w:val="24"/>
        </w:rPr>
        <w:t xml:space="preserve">In tale contesto, il compito di operare un bilanciamento tra </w:t>
      </w:r>
      <w:r w:rsidR="00CF0309">
        <w:rPr>
          <w:rFonts w:ascii="Bookman Old Style" w:hAnsi="Bookman Old Style"/>
          <w:sz w:val="24"/>
          <w:szCs w:val="24"/>
        </w:rPr>
        <w:t>esigenze di risanamento dei bilanci pubblici</w:t>
      </w:r>
      <w:r w:rsidR="00A06DA9">
        <w:rPr>
          <w:rFonts w:ascii="Bookman Old Style" w:hAnsi="Bookman Old Style"/>
          <w:sz w:val="24"/>
          <w:szCs w:val="24"/>
        </w:rPr>
        <w:t>,</w:t>
      </w:r>
      <w:r w:rsidR="00CF0309">
        <w:rPr>
          <w:rFonts w:ascii="Bookman Old Style" w:hAnsi="Bookman Old Style"/>
          <w:sz w:val="24"/>
          <w:szCs w:val="24"/>
        </w:rPr>
        <w:t xml:space="preserve"> da un lato</w:t>
      </w:r>
      <w:r w:rsidR="00A06DA9">
        <w:rPr>
          <w:rFonts w:ascii="Bookman Old Style" w:hAnsi="Bookman Old Style"/>
          <w:sz w:val="24"/>
          <w:szCs w:val="24"/>
        </w:rPr>
        <w:t>,</w:t>
      </w:r>
      <w:r w:rsidR="00CF0309">
        <w:rPr>
          <w:rFonts w:ascii="Bookman Old Style" w:hAnsi="Bookman Old Style"/>
          <w:sz w:val="24"/>
          <w:szCs w:val="24"/>
        </w:rPr>
        <w:t xml:space="preserve"> e di tutela dei diritti fondamentali</w:t>
      </w:r>
      <w:r w:rsidR="00A06DA9">
        <w:rPr>
          <w:rFonts w:ascii="Bookman Old Style" w:hAnsi="Bookman Old Style"/>
          <w:sz w:val="24"/>
          <w:szCs w:val="24"/>
        </w:rPr>
        <w:t>,</w:t>
      </w:r>
      <w:r w:rsidR="00CF0309">
        <w:rPr>
          <w:rFonts w:ascii="Bookman Old Style" w:hAnsi="Bookman Old Style"/>
          <w:sz w:val="24"/>
          <w:szCs w:val="24"/>
        </w:rPr>
        <w:t xml:space="preserve"> dall’altro</w:t>
      </w:r>
      <w:r w:rsidR="00A06DA9">
        <w:rPr>
          <w:rFonts w:ascii="Bookman Old Style" w:hAnsi="Bookman Old Style"/>
          <w:sz w:val="24"/>
          <w:szCs w:val="24"/>
        </w:rPr>
        <w:t>,</w:t>
      </w:r>
      <w:r w:rsidR="00CF0309">
        <w:rPr>
          <w:rFonts w:ascii="Bookman Old Style" w:hAnsi="Bookman Old Style"/>
          <w:sz w:val="24"/>
          <w:szCs w:val="24"/>
        </w:rPr>
        <w:t xml:space="preserve"> è stato </w:t>
      </w:r>
      <w:r>
        <w:rPr>
          <w:rFonts w:ascii="Bookman Old Style" w:hAnsi="Bookman Old Style"/>
          <w:sz w:val="24"/>
          <w:szCs w:val="24"/>
        </w:rPr>
        <w:t xml:space="preserve">sempre più </w:t>
      </w:r>
      <w:r w:rsidR="00CF0309">
        <w:rPr>
          <w:rFonts w:ascii="Bookman Old Style" w:hAnsi="Bookman Old Style"/>
          <w:sz w:val="24"/>
          <w:szCs w:val="24"/>
        </w:rPr>
        <w:t>assunto dalla Corte costituzionale.</w:t>
      </w:r>
    </w:p>
    <w:p w:rsidR="004942C8" w:rsidRPr="003F7DEC" w:rsidRDefault="00AA575A" w:rsidP="004942C8">
      <w:pPr>
        <w:ind w:firstLine="709"/>
        <w:jc w:val="both"/>
        <w:rPr>
          <w:rFonts w:ascii="Bookman Old Style" w:hAnsi="Bookman Old Style"/>
          <w:sz w:val="24"/>
          <w:szCs w:val="24"/>
        </w:rPr>
      </w:pPr>
      <w:r>
        <w:rPr>
          <w:rFonts w:ascii="Bookman Old Style" w:hAnsi="Bookman Old Style"/>
          <w:sz w:val="24"/>
          <w:szCs w:val="24"/>
        </w:rPr>
        <w:t>Il ruolo della Corte si è reso necessario anche in ragione di u</w:t>
      </w:r>
      <w:r w:rsidR="00CF0309">
        <w:rPr>
          <w:rFonts w:ascii="Bookman Old Style" w:hAnsi="Bookman Old Style"/>
          <w:sz w:val="24"/>
          <w:szCs w:val="24"/>
        </w:rPr>
        <w:t xml:space="preserve">n ulteriore elemento di complessità </w:t>
      </w:r>
      <w:r>
        <w:rPr>
          <w:rFonts w:ascii="Bookman Old Style" w:hAnsi="Bookman Old Style"/>
          <w:sz w:val="24"/>
          <w:szCs w:val="24"/>
        </w:rPr>
        <w:t xml:space="preserve">conseguente al </w:t>
      </w:r>
      <w:r w:rsidR="00CF0309">
        <w:rPr>
          <w:rFonts w:ascii="Bookman Old Style" w:hAnsi="Bookman Old Style"/>
          <w:sz w:val="24"/>
          <w:szCs w:val="24"/>
        </w:rPr>
        <w:t xml:space="preserve">ruolo fondamentale assegnato dal Titolo V della Costituzione </w:t>
      </w:r>
      <w:r w:rsidR="00CF0309" w:rsidRPr="003F7DEC">
        <w:rPr>
          <w:rFonts w:ascii="Bookman Old Style" w:hAnsi="Bookman Old Style"/>
          <w:sz w:val="24"/>
          <w:szCs w:val="24"/>
        </w:rPr>
        <w:t xml:space="preserve">agli </w:t>
      </w:r>
      <w:r w:rsidR="00A06DA9">
        <w:rPr>
          <w:rFonts w:ascii="Bookman Old Style" w:hAnsi="Bookman Old Style"/>
          <w:sz w:val="24"/>
          <w:szCs w:val="24"/>
        </w:rPr>
        <w:t>S</w:t>
      </w:r>
      <w:r w:rsidR="00CF0309" w:rsidRPr="003F7DEC">
        <w:rPr>
          <w:rFonts w:ascii="Bookman Old Style" w:hAnsi="Bookman Old Style"/>
          <w:sz w:val="24"/>
          <w:szCs w:val="24"/>
        </w:rPr>
        <w:t xml:space="preserve">tatuti e alla legislazione regionale in </w:t>
      </w:r>
      <w:r w:rsidR="00CF0309">
        <w:rPr>
          <w:rFonts w:ascii="Bookman Old Style" w:hAnsi="Bookman Old Style"/>
          <w:sz w:val="24"/>
          <w:szCs w:val="24"/>
        </w:rPr>
        <w:t>te</w:t>
      </w:r>
      <w:r w:rsidR="00CF0309" w:rsidRPr="003F7DEC">
        <w:rPr>
          <w:rFonts w:ascii="Bookman Old Style" w:hAnsi="Bookman Old Style"/>
          <w:sz w:val="24"/>
          <w:szCs w:val="24"/>
        </w:rPr>
        <w:t xml:space="preserve">ma di </w:t>
      </w:r>
      <w:r w:rsidR="00CF0309">
        <w:rPr>
          <w:rFonts w:ascii="Bookman Old Style" w:hAnsi="Bookman Old Style"/>
          <w:sz w:val="24"/>
          <w:szCs w:val="24"/>
        </w:rPr>
        <w:t xml:space="preserve">attuazione concreta dei diritti fondamentali dei cittadini; infatti, </w:t>
      </w:r>
      <w:r w:rsidR="004942C8">
        <w:rPr>
          <w:rFonts w:ascii="Bookman Old Style" w:hAnsi="Bookman Old Style"/>
          <w:sz w:val="24"/>
          <w:szCs w:val="24"/>
        </w:rPr>
        <w:t xml:space="preserve">le recenti </w:t>
      </w:r>
      <w:r w:rsidR="004942C8" w:rsidRPr="003F7DEC">
        <w:rPr>
          <w:rFonts w:ascii="Bookman Old Style" w:hAnsi="Bookman Old Style"/>
          <w:sz w:val="24"/>
          <w:szCs w:val="24"/>
        </w:rPr>
        <w:t>modific</w:t>
      </w:r>
      <w:r w:rsidR="004942C8">
        <w:rPr>
          <w:rFonts w:ascii="Bookman Old Style" w:hAnsi="Bookman Old Style"/>
          <w:sz w:val="24"/>
          <w:szCs w:val="24"/>
        </w:rPr>
        <w:t xml:space="preserve">he </w:t>
      </w:r>
      <w:r w:rsidR="004942C8" w:rsidRPr="003F7DEC">
        <w:rPr>
          <w:rFonts w:ascii="Bookman Old Style" w:hAnsi="Bookman Old Style"/>
          <w:sz w:val="24"/>
          <w:szCs w:val="24"/>
        </w:rPr>
        <w:t>dei parametri costituzionali in materia di autonomia e di coordinamento finanziario degli enti territoriali</w:t>
      </w:r>
      <w:r w:rsidR="004942C8">
        <w:rPr>
          <w:rFonts w:ascii="Bookman Old Style" w:hAnsi="Bookman Old Style"/>
          <w:sz w:val="24"/>
          <w:szCs w:val="24"/>
        </w:rPr>
        <w:t xml:space="preserve"> hanno pesantemente inciso sulla capacità </w:t>
      </w:r>
      <w:r>
        <w:rPr>
          <w:rFonts w:ascii="Bookman Old Style" w:hAnsi="Bookman Old Style"/>
          <w:sz w:val="24"/>
          <w:szCs w:val="24"/>
        </w:rPr>
        <w:t xml:space="preserve">finanziaria </w:t>
      </w:r>
      <w:r w:rsidR="004942C8">
        <w:rPr>
          <w:rFonts w:ascii="Bookman Old Style" w:hAnsi="Bookman Old Style"/>
          <w:sz w:val="24"/>
          <w:szCs w:val="24"/>
        </w:rPr>
        <w:t xml:space="preserve">degli enti locali </w:t>
      </w:r>
      <w:r>
        <w:rPr>
          <w:rFonts w:ascii="Bookman Old Style" w:hAnsi="Bookman Old Style"/>
          <w:sz w:val="24"/>
          <w:szCs w:val="24"/>
        </w:rPr>
        <w:t>necessaria a</w:t>
      </w:r>
      <w:r w:rsidR="004942C8">
        <w:rPr>
          <w:rFonts w:ascii="Bookman Old Style" w:hAnsi="Bookman Old Style"/>
          <w:sz w:val="24"/>
          <w:szCs w:val="24"/>
        </w:rPr>
        <w:t>d assicurare l’effettività dei diritti sociali</w:t>
      </w:r>
      <w:r w:rsidR="004942C8" w:rsidRPr="003F7DEC">
        <w:rPr>
          <w:rFonts w:ascii="Bookman Old Style" w:hAnsi="Bookman Old Style"/>
          <w:sz w:val="24"/>
          <w:szCs w:val="24"/>
        </w:rPr>
        <w:t>.</w:t>
      </w:r>
    </w:p>
    <w:p w:rsidR="00CF0309" w:rsidRDefault="00CF0309" w:rsidP="00CF0309">
      <w:pPr>
        <w:ind w:firstLine="709"/>
        <w:jc w:val="both"/>
        <w:rPr>
          <w:rFonts w:ascii="Bookman Old Style" w:hAnsi="Bookman Old Style"/>
          <w:sz w:val="24"/>
          <w:szCs w:val="24"/>
        </w:rPr>
      </w:pPr>
      <w:r>
        <w:rPr>
          <w:rFonts w:ascii="Bookman Old Style" w:hAnsi="Bookman Old Style"/>
          <w:sz w:val="24"/>
          <w:szCs w:val="24"/>
        </w:rPr>
        <w:t xml:space="preserve">È </w:t>
      </w:r>
      <w:r w:rsidRPr="003F7DEC">
        <w:rPr>
          <w:rFonts w:ascii="Bookman Old Style" w:hAnsi="Bookman Old Style"/>
          <w:sz w:val="24"/>
          <w:szCs w:val="24"/>
        </w:rPr>
        <w:t xml:space="preserve">incontrovertibile che il corretto riparto delle risorse a disposizione sia </w:t>
      </w:r>
      <w:r>
        <w:rPr>
          <w:rFonts w:ascii="Bookman Old Style" w:hAnsi="Bookman Old Style"/>
          <w:sz w:val="24"/>
          <w:szCs w:val="24"/>
        </w:rPr>
        <w:t xml:space="preserve">precipuo </w:t>
      </w:r>
      <w:r w:rsidRPr="003F7DEC">
        <w:rPr>
          <w:rFonts w:ascii="Bookman Old Style" w:hAnsi="Bookman Old Style"/>
          <w:sz w:val="24"/>
          <w:szCs w:val="24"/>
        </w:rPr>
        <w:t>compito della politica, la quale deve tradurre le proprie scelte economico-finanziarie in termini giuridici.</w:t>
      </w:r>
    </w:p>
    <w:p w:rsidR="004942C8" w:rsidRDefault="00CF0309" w:rsidP="00CF0309">
      <w:pPr>
        <w:ind w:firstLine="709"/>
        <w:jc w:val="both"/>
        <w:rPr>
          <w:rFonts w:ascii="Bookman Old Style" w:hAnsi="Bookman Old Style"/>
          <w:sz w:val="24"/>
          <w:szCs w:val="24"/>
        </w:rPr>
      </w:pPr>
      <w:r>
        <w:rPr>
          <w:rFonts w:ascii="Bookman Old Style" w:hAnsi="Bookman Old Style"/>
          <w:sz w:val="24"/>
          <w:szCs w:val="24"/>
        </w:rPr>
        <w:t xml:space="preserve">Proprio per tale ragione, </w:t>
      </w:r>
      <w:r w:rsidR="003F7DEC" w:rsidRPr="003F7DEC">
        <w:rPr>
          <w:rFonts w:ascii="Bookman Old Style" w:hAnsi="Bookman Old Style"/>
          <w:sz w:val="24"/>
          <w:szCs w:val="24"/>
        </w:rPr>
        <w:t xml:space="preserve">le funzioni di garanzia </w:t>
      </w:r>
      <w:r>
        <w:rPr>
          <w:rFonts w:ascii="Bookman Old Style" w:hAnsi="Bookman Old Style"/>
          <w:sz w:val="24"/>
          <w:szCs w:val="24"/>
        </w:rPr>
        <w:t xml:space="preserve">e tutela </w:t>
      </w:r>
      <w:r w:rsidR="003F7DEC" w:rsidRPr="003F7DEC">
        <w:rPr>
          <w:rFonts w:ascii="Bookman Old Style" w:hAnsi="Bookman Old Style"/>
          <w:sz w:val="24"/>
          <w:szCs w:val="24"/>
        </w:rPr>
        <w:t xml:space="preserve">delle situazioni soggettive hanno comportato una </w:t>
      </w:r>
      <w:r w:rsidR="004B4D91">
        <w:rPr>
          <w:rFonts w:ascii="Bookman Old Style" w:hAnsi="Bookman Old Style"/>
          <w:sz w:val="24"/>
          <w:szCs w:val="24"/>
        </w:rPr>
        <w:t xml:space="preserve">forte </w:t>
      </w:r>
      <w:r w:rsidR="003F7DEC" w:rsidRPr="003F7DEC">
        <w:rPr>
          <w:rFonts w:ascii="Bookman Old Style" w:hAnsi="Bookman Old Style"/>
          <w:sz w:val="24"/>
          <w:szCs w:val="24"/>
        </w:rPr>
        <w:t xml:space="preserve">esposizione politica </w:t>
      </w:r>
      <w:r w:rsidR="004B4D91">
        <w:rPr>
          <w:rFonts w:ascii="Bookman Old Style" w:hAnsi="Bookman Old Style"/>
          <w:sz w:val="24"/>
          <w:szCs w:val="24"/>
        </w:rPr>
        <w:t xml:space="preserve">della Corte costituzionale che </w:t>
      </w:r>
      <w:r w:rsidR="003F7DEC" w:rsidRPr="003F7DEC">
        <w:rPr>
          <w:rFonts w:ascii="Bookman Old Style" w:hAnsi="Bookman Old Style"/>
          <w:sz w:val="24"/>
          <w:szCs w:val="24"/>
        </w:rPr>
        <w:t xml:space="preserve">si è spesso trovata arbitro della legittimità delle scelte pubbliche di distribuzione e </w:t>
      </w:r>
      <w:r w:rsidR="004942C8">
        <w:rPr>
          <w:rFonts w:ascii="Bookman Old Style" w:hAnsi="Bookman Old Style"/>
          <w:sz w:val="24"/>
          <w:szCs w:val="24"/>
        </w:rPr>
        <w:t>di riallocazione delle risorse.</w:t>
      </w:r>
    </w:p>
    <w:p w:rsidR="003F7DEC" w:rsidRDefault="004942C8" w:rsidP="003F7DEC">
      <w:pPr>
        <w:ind w:firstLine="709"/>
        <w:jc w:val="both"/>
        <w:rPr>
          <w:rFonts w:ascii="Bookman Old Style" w:hAnsi="Bookman Old Style"/>
          <w:sz w:val="24"/>
          <w:szCs w:val="24"/>
        </w:rPr>
      </w:pPr>
      <w:r>
        <w:rPr>
          <w:rFonts w:ascii="Bookman Old Style" w:hAnsi="Bookman Old Style"/>
          <w:sz w:val="24"/>
          <w:szCs w:val="24"/>
        </w:rPr>
        <w:t>Quali sono i limiti de</w:t>
      </w:r>
      <w:r w:rsidR="003F7DEC" w:rsidRPr="003F7DEC">
        <w:rPr>
          <w:rFonts w:ascii="Bookman Old Style" w:hAnsi="Bookman Old Style"/>
          <w:sz w:val="24"/>
          <w:szCs w:val="24"/>
        </w:rPr>
        <w:t xml:space="preserve">l sindacato di costituzionalità </w:t>
      </w:r>
      <w:r>
        <w:rPr>
          <w:rFonts w:ascii="Bookman Old Style" w:hAnsi="Bookman Old Style"/>
          <w:sz w:val="24"/>
          <w:szCs w:val="24"/>
        </w:rPr>
        <w:t xml:space="preserve">e dell’azione giurisdizionale idonei ad evitare </w:t>
      </w:r>
      <w:r w:rsidR="003F7DEC" w:rsidRPr="003F7DEC">
        <w:rPr>
          <w:rFonts w:ascii="Bookman Old Style" w:hAnsi="Bookman Old Style"/>
          <w:sz w:val="24"/>
          <w:szCs w:val="24"/>
        </w:rPr>
        <w:t xml:space="preserve">una funzione creativa o “sostitutiva” che </w:t>
      </w:r>
      <w:r>
        <w:rPr>
          <w:rFonts w:ascii="Bookman Old Style" w:hAnsi="Bookman Old Style"/>
          <w:sz w:val="24"/>
          <w:szCs w:val="24"/>
        </w:rPr>
        <w:t xml:space="preserve">potrebbe </w:t>
      </w:r>
      <w:r w:rsidR="003F7DEC" w:rsidRPr="003F7DEC">
        <w:rPr>
          <w:rFonts w:ascii="Bookman Old Style" w:hAnsi="Bookman Old Style"/>
          <w:sz w:val="24"/>
          <w:szCs w:val="24"/>
        </w:rPr>
        <w:t>deborda</w:t>
      </w:r>
      <w:r>
        <w:rPr>
          <w:rFonts w:ascii="Bookman Old Style" w:hAnsi="Bookman Old Style"/>
          <w:sz w:val="24"/>
          <w:szCs w:val="24"/>
        </w:rPr>
        <w:t>re</w:t>
      </w:r>
      <w:r w:rsidR="003F7DEC" w:rsidRPr="003F7DEC">
        <w:rPr>
          <w:rFonts w:ascii="Bookman Old Style" w:hAnsi="Bookman Old Style"/>
          <w:sz w:val="24"/>
          <w:szCs w:val="24"/>
        </w:rPr>
        <w:t xml:space="preserve"> dal </w:t>
      </w:r>
      <w:r>
        <w:rPr>
          <w:rFonts w:ascii="Bookman Old Style" w:hAnsi="Bookman Old Style"/>
          <w:sz w:val="24"/>
          <w:szCs w:val="24"/>
        </w:rPr>
        <w:t>tipico ruolo arbitrale?</w:t>
      </w:r>
    </w:p>
    <w:p w:rsidR="00AA575A" w:rsidRPr="003F7DEC" w:rsidRDefault="00AA575A" w:rsidP="003F7DEC">
      <w:pPr>
        <w:ind w:firstLine="709"/>
        <w:jc w:val="both"/>
        <w:rPr>
          <w:rFonts w:ascii="Bookman Old Style" w:hAnsi="Bookman Old Style"/>
          <w:sz w:val="24"/>
          <w:szCs w:val="24"/>
        </w:rPr>
      </w:pPr>
      <w:r>
        <w:rPr>
          <w:rFonts w:ascii="Bookman Old Style" w:hAnsi="Bookman Old Style"/>
          <w:sz w:val="24"/>
          <w:szCs w:val="24"/>
        </w:rPr>
        <w:t>L’ordinamento conosce altre istituzioni che possono adiuvare la Corte costituzionale in tale difficile compito?</w:t>
      </w:r>
    </w:p>
    <w:p w:rsidR="008A6536" w:rsidRDefault="004942C8" w:rsidP="008A6536">
      <w:pPr>
        <w:ind w:firstLine="709"/>
        <w:jc w:val="both"/>
        <w:rPr>
          <w:rFonts w:ascii="Bookman Old Style" w:hAnsi="Bookman Old Style"/>
          <w:sz w:val="24"/>
          <w:szCs w:val="24"/>
        </w:rPr>
      </w:pPr>
      <w:r>
        <w:rPr>
          <w:rFonts w:ascii="Bookman Old Style" w:hAnsi="Bookman Old Style"/>
          <w:sz w:val="24"/>
          <w:szCs w:val="24"/>
        </w:rPr>
        <w:t>2</w:t>
      </w:r>
      <w:r w:rsidR="00573879">
        <w:rPr>
          <w:rFonts w:ascii="Bookman Old Style" w:hAnsi="Bookman Old Style"/>
          <w:sz w:val="24"/>
          <w:szCs w:val="24"/>
        </w:rPr>
        <w:t>.</w:t>
      </w:r>
      <w:r w:rsidR="008F3DE8">
        <w:rPr>
          <w:rFonts w:ascii="Bookman Old Style" w:hAnsi="Bookman Old Style"/>
          <w:sz w:val="24"/>
          <w:szCs w:val="24"/>
        </w:rPr>
        <w:t xml:space="preserve"> </w:t>
      </w:r>
      <w:r w:rsidR="00573879">
        <w:rPr>
          <w:rFonts w:ascii="Bookman Old Style" w:hAnsi="Bookman Old Style"/>
          <w:sz w:val="24"/>
          <w:szCs w:val="24"/>
        </w:rPr>
        <w:t>LA</w:t>
      </w:r>
      <w:r w:rsidR="008F3DE8">
        <w:rPr>
          <w:rFonts w:ascii="Bookman Old Style" w:hAnsi="Bookman Old Style"/>
          <w:sz w:val="24"/>
          <w:szCs w:val="24"/>
        </w:rPr>
        <w:t xml:space="preserve"> </w:t>
      </w:r>
      <w:r w:rsidR="00573879">
        <w:rPr>
          <w:rFonts w:ascii="Bookman Old Style" w:hAnsi="Bookman Old Style"/>
          <w:sz w:val="24"/>
          <w:szCs w:val="24"/>
        </w:rPr>
        <w:t>COSTITUZIONALIZZAZIONE</w:t>
      </w:r>
      <w:r w:rsidR="008F3DE8">
        <w:rPr>
          <w:rFonts w:ascii="Bookman Old Style" w:hAnsi="Bookman Old Style"/>
          <w:sz w:val="24"/>
          <w:szCs w:val="24"/>
        </w:rPr>
        <w:t xml:space="preserve"> </w:t>
      </w:r>
      <w:r w:rsidR="00573879">
        <w:rPr>
          <w:rFonts w:ascii="Bookman Old Style" w:hAnsi="Bookman Old Style"/>
          <w:sz w:val="24"/>
          <w:szCs w:val="24"/>
        </w:rPr>
        <w:t>DEI</w:t>
      </w:r>
      <w:r w:rsidR="008F3DE8">
        <w:rPr>
          <w:rFonts w:ascii="Bookman Old Style" w:hAnsi="Bookman Old Style"/>
          <w:sz w:val="24"/>
          <w:szCs w:val="24"/>
        </w:rPr>
        <w:t xml:space="preserve"> </w:t>
      </w:r>
      <w:r w:rsidR="00573879">
        <w:rPr>
          <w:rFonts w:ascii="Bookman Old Style" w:hAnsi="Bookman Old Style"/>
          <w:sz w:val="24"/>
          <w:szCs w:val="24"/>
        </w:rPr>
        <w:t>DIRITTI</w:t>
      </w:r>
      <w:r w:rsidR="008F3DE8">
        <w:rPr>
          <w:rFonts w:ascii="Bookman Old Style" w:hAnsi="Bookman Old Style"/>
          <w:sz w:val="24"/>
          <w:szCs w:val="24"/>
        </w:rPr>
        <w:t xml:space="preserve"> </w:t>
      </w:r>
      <w:r w:rsidR="00AA575A">
        <w:rPr>
          <w:rFonts w:ascii="Bookman Old Style" w:hAnsi="Bookman Old Style"/>
          <w:sz w:val="24"/>
          <w:szCs w:val="24"/>
        </w:rPr>
        <w:t>FONDAMENTALI</w:t>
      </w:r>
      <w:r w:rsidR="008A6536">
        <w:rPr>
          <w:rFonts w:ascii="Bookman Old Style" w:hAnsi="Bookman Old Style"/>
          <w:sz w:val="24"/>
          <w:szCs w:val="24"/>
        </w:rPr>
        <w:t>.</w:t>
      </w:r>
      <w:r w:rsidR="00C36DED">
        <w:rPr>
          <w:rFonts w:ascii="Bookman Old Style" w:hAnsi="Bookman Old Style"/>
          <w:sz w:val="24"/>
          <w:szCs w:val="24"/>
        </w:rPr>
        <w:t xml:space="preserve"> </w:t>
      </w:r>
      <w:r w:rsidR="008A6536">
        <w:rPr>
          <w:rFonts w:ascii="Bookman Old Style" w:hAnsi="Bookman Old Style"/>
          <w:sz w:val="24"/>
          <w:szCs w:val="24"/>
        </w:rPr>
        <w:t>L</w:t>
      </w:r>
      <w:r w:rsidR="003E089B">
        <w:rPr>
          <w:rFonts w:ascii="Bookman Old Style" w:hAnsi="Bookman Old Style"/>
          <w:sz w:val="24"/>
          <w:szCs w:val="24"/>
        </w:rPr>
        <w:t>a</w:t>
      </w:r>
      <w:r w:rsidR="008F3DE8">
        <w:rPr>
          <w:rFonts w:ascii="Bookman Old Style" w:hAnsi="Bookman Old Style"/>
          <w:sz w:val="24"/>
          <w:szCs w:val="24"/>
        </w:rPr>
        <w:t xml:space="preserve"> </w:t>
      </w:r>
      <w:r w:rsidR="003E089B">
        <w:rPr>
          <w:rFonts w:ascii="Bookman Old Style" w:hAnsi="Bookman Old Style"/>
          <w:sz w:val="24"/>
          <w:szCs w:val="24"/>
        </w:rPr>
        <w:t>costituzionalizzazione</w:t>
      </w:r>
      <w:r w:rsidR="008F3DE8">
        <w:rPr>
          <w:rFonts w:ascii="Bookman Old Style" w:hAnsi="Bookman Old Style"/>
          <w:sz w:val="24"/>
          <w:szCs w:val="24"/>
        </w:rPr>
        <w:t xml:space="preserve"> </w:t>
      </w:r>
      <w:r w:rsidR="008A6536">
        <w:rPr>
          <w:rFonts w:ascii="Bookman Old Style" w:hAnsi="Bookman Old Style"/>
          <w:sz w:val="24"/>
          <w:szCs w:val="24"/>
        </w:rPr>
        <w:t>di</w:t>
      </w:r>
      <w:r w:rsidR="008F3DE8">
        <w:rPr>
          <w:rFonts w:ascii="Bookman Old Style" w:hAnsi="Bookman Old Style"/>
          <w:sz w:val="24"/>
          <w:szCs w:val="24"/>
        </w:rPr>
        <w:t xml:space="preserve"> </w:t>
      </w:r>
      <w:r w:rsidR="008A6536">
        <w:rPr>
          <w:rFonts w:ascii="Bookman Old Style" w:hAnsi="Bookman Old Style"/>
          <w:sz w:val="24"/>
          <w:szCs w:val="24"/>
        </w:rPr>
        <w:t>un</w:t>
      </w:r>
      <w:r w:rsidR="008F3DE8">
        <w:rPr>
          <w:rFonts w:ascii="Bookman Old Style" w:hAnsi="Bookman Old Style"/>
          <w:sz w:val="24"/>
          <w:szCs w:val="24"/>
        </w:rPr>
        <w:t xml:space="preserve"> </w:t>
      </w:r>
      <w:r w:rsidR="008A6536">
        <w:rPr>
          <w:rFonts w:ascii="Bookman Old Style" w:hAnsi="Bookman Old Style"/>
          <w:sz w:val="24"/>
          <w:szCs w:val="24"/>
        </w:rPr>
        <w:t>nucleo</w:t>
      </w:r>
      <w:r w:rsidR="008F3DE8">
        <w:rPr>
          <w:rFonts w:ascii="Bookman Old Style" w:hAnsi="Bookman Old Style"/>
          <w:sz w:val="24"/>
          <w:szCs w:val="24"/>
        </w:rPr>
        <w:t xml:space="preserve"> </w:t>
      </w:r>
      <w:r w:rsidR="008A6536">
        <w:rPr>
          <w:rFonts w:ascii="Bookman Old Style" w:hAnsi="Bookman Old Style"/>
          <w:sz w:val="24"/>
          <w:szCs w:val="24"/>
        </w:rPr>
        <w:t>significativo</w:t>
      </w:r>
      <w:r w:rsidR="008F3DE8">
        <w:rPr>
          <w:rFonts w:ascii="Bookman Old Style" w:hAnsi="Bookman Old Style"/>
          <w:sz w:val="24"/>
          <w:szCs w:val="24"/>
        </w:rPr>
        <w:t xml:space="preserve"> </w:t>
      </w:r>
      <w:r w:rsidR="008A6536">
        <w:rPr>
          <w:rFonts w:ascii="Bookman Old Style" w:hAnsi="Bookman Old Style"/>
          <w:sz w:val="24"/>
          <w:szCs w:val="24"/>
        </w:rPr>
        <w:t>di</w:t>
      </w:r>
      <w:r w:rsidR="008F3DE8">
        <w:rPr>
          <w:rFonts w:ascii="Bookman Old Style" w:hAnsi="Bookman Old Style"/>
          <w:sz w:val="24"/>
          <w:szCs w:val="24"/>
        </w:rPr>
        <w:t xml:space="preserve"> </w:t>
      </w:r>
      <w:r w:rsidR="008A6536">
        <w:rPr>
          <w:rFonts w:ascii="Bookman Old Style" w:hAnsi="Bookman Old Style"/>
          <w:sz w:val="24"/>
          <w:szCs w:val="24"/>
        </w:rPr>
        <w:t>diritti</w:t>
      </w:r>
      <w:r w:rsidR="008F3DE8">
        <w:rPr>
          <w:rFonts w:ascii="Bookman Old Style" w:hAnsi="Bookman Old Style"/>
          <w:sz w:val="24"/>
          <w:szCs w:val="24"/>
        </w:rPr>
        <w:t xml:space="preserve"> </w:t>
      </w:r>
      <w:r w:rsidR="008A6536">
        <w:rPr>
          <w:rFonts w:ascii="Bookman Old Style" w:hAnsi="Bookman Old Style"/>
          <w:sz w:val="24"/>
          <w:szCs w:val="24"/>
        </w:rPr>
        <w:t>considerati</w:t>
      </w:r>
      <w:r w:rsidR="008F3DE8">
        <w:rPr>
          <w:rFonts w:ascii="Bookman Old Style" w:hAnsi="Bookman Old Style"/>
          <w:sz w:val="24"/>
          <w:szCs w:val="24"/>
        </w:rPr>
        <w:t xml:space="preserve"> </w:t>
      </w:r>
      <w:r w:rsidR="008A6536">
        <w:rPr>
          <w:rFonts w:ascii="Bookman Old Style" w:hAnsi="Bookman Old Style"/>
          <w:sz w:val="24"/>
          <w:szCs w:val="24"/>
        </w:rPr>
        <w:t>fondamentali</w:t>
      </w:r>
      <w:r w:rsidR="002F47CA">
        <w:rPr>
          <w:rFonts w:ascii="Bookman Old Style" w:hAnsi="Bookman Old Style"/>
          <w:sz w:val="24"/>
          <w:szCs w:val="24"/>
        </w:rPr>
        <w:t xml:space="preserve"> </w:t>
      </w:r>
      <w:r w:rsidR="00373D35" w:rsidRPr="00E464ED">
        <w:rPr>
          <w:rFonts w:ascii="Bookman Old Style" w:hAnsi="Bookman Old Style"/>
          <w:sz w:val="24"/>
          <w:szCs w:val="24"/>
        </w:rPr>
        <w:lastRenderedPageBreak/>
        <w:footnoteReference w:id="1"/>
      </w:r>
      <w:r w:rsidR="008F3DE8">
        <w:rPr>
          <w:rFonts w:ascii="Bookman Old Style" w:hAnsi="Bookman Old Style"/>
          <w:sz w:val="24"/>
          <w:szCs w:val="24"/>
        </w:rPr>
        <w:t xml:space="preserve"> </w:t>
      </w:r>
      <w:r w:rsidR="003E089B">
        <w:rPr>
          <w:rFonts w:ascii="Bookman Old Style" w:hAnsi="Bookman Old Style"/>
          <w:sz w:val="24"/>
          <w:szCs w:val="24"/>
        </w:rPr>
        <w:t>ed</w:t>
      </w:r>
      <w:r w:rsidR="008F3DE8">
        <w:rPr>
          <w:rFonts w:ascii="Bookman Old Style" w:hAnsi="Bookman Old Style"/>
          <w:sz w:val="24"/>
          <w:szCs w:val="24"/>
        </w:rPr>
        <w:t xml:space="preserve"> </w:t>
      </w:r>
      <w:r w:rsidR="003E089B">
        <w:rPr>
          <w:rFonts w:ascii="Bookman Old Style" w:hAnsi="Bookman Old Style"/>
          <w:sz w:val="24"/>
          <w:szCs w:val="24"/>
        </w:rPr>
        <w:t>incomprimibili</w:t>
      </w:r>
      <w:r w:rsidR="008A6536">
        <w:rPr>
          <w:rFonts w:ascii="Bookman Old Style" w:hAnsi="Bookman Old Style"/>
          <w:sz w:val="24"/>
          <w:szCs w:val="24"/>
        </w:rPr>
        <w:t>,</w:t>
      </w:r>
      <w:r w:rsidR="008F3DE8">
        <w:rPr>
          <w:rFonts w:ascii="Bookman Old Style" w:hAnsi="Bookman Old Style"/>
          <w:sz w:val="24"/>
          <w:szCs w:val="24"/>
        </w:rPr>
        <w:t xml:space="preserve"> </w:t>
      </w:r>
      <w:r w:rsidR="003E089B">
        <w:rPr>
          <w:rFonts w:ascii="Bookman Old Style" w:hAnsi="Bookman Old Style"/>
          <w:sz w:val="24"/>
          <w:szCs w:val="24"/>
        </w:rPr>
        <w:t>strettamente</w:t>
      </w:r>
      <w:r w:rsidR="008F3DE8">
        <w:rPr>
          <w:rFonts w:ascii="Bookman Old Style" w:hAnsi="Bookman Old Style"/>
          <w:sz w:val="24"/>
          <w:szCs w:val="24"/>
        </w:rPr>
        <w:t xml:space="preserve"> </w:t>
      </w:r>
      <w:r w:rsidR="008A6536">
        <w:rPr>
          <w:rFonts w:ascii="Bookman Old Style" w:hAnsi="Bookman Old Style"/>
          <w:sz w:val="24"/>
          <w:szCs w:val="24"/>
        </w:rPr>
        <w:t>inerenti</w:t>
      </w:r>
      <w:r w:rsidR="008F3DE8">
        <w:rPr>
          <w:rFonts w:ascii="Bookman Old Style" w:hAnsi="Bookman Old Style"/>
          <w:sz w:val="24"/>
          <w:szCs w:val="24"/>
        </w:rPr>
        <w:t xml:space="preserve"> </w:t>
      </w:r>
      <w:r w:rsidR="008A6536">
        <w:rPr>
          <w:rFonts w:ascii="Bookman Old Style" w:hAnsi="Bookman Old Style"/>
          <w:sz w:val="24"/>
          <w:szCs w:val="24"/>
        </w:rPr>
        <w:t>la</w:t>
      </w:r>
      <w:r w:rsidR="008F3DE8">
        <w:rPr>
          <w:rFonts w:ascii="Bookman Old Style" w:hAnsi="Bookman Old Style"/>
          <w:sz w:val="24"/>
          <w:szCs w:val="24"/>
        </w:rPr>
        <w:t xml:space="preserve"> </w:t>
      </w:r>
      <w:r w:rsidR="008A6536">
        <w:rPr>
          <w:rFonts w:ascii="Bookman Old Style" w:hAnsi="Bookman Old Style"/>
          <w:sz w:val="24"/>
          <w:szCs w:val="24"/>
        </w:rPr>
        <w:t>persona,</w:t>
      </w:r>
      <w:r w:rsidR="008F3DE8">
        <w:rPr>
          <w:rFonts w:ascii="Bookman Old Style" w:hAnsi="Bookman Old Style"/>
          <w:sz w:val="24"/>
          <w:szCs w:val="24"/>
        </w:rPr>
        <w:t xml:space="preserve"> </w:t>
      </w:r>
      <w:r w:rsidR="008A6536">
        <w:rPr>
          <w:rFonts w:ascii="Bookman Old Style" w:hAnsi="Bookman Old Style"/>
          <w:sz w:val="24"/>
          <w:szCs w:val="24"/>
        </w:rPr>
        <w:t>costituisce</w:t>
      </w:r>
      <w:r w:rsidR="008F3DE8">
        <w:rPr>
          <w:rFonts w:ascii="Bookman Old Style" w:hAnsi="Bookman Old Style"/>
          <w:sz w:val="24"/>
          <w:szCs w:val="24"/>
        </w:rPr>
        <w:t xml:space="preserve"> </w:t>
      </w:r>
      <w:r w:rsidR="008A6536">
        <w:rPr>
          <w:rFonts w:ascii="Bookman Old Style" w:hAnsi="Bookman Old Style"/>
          <w:sz w:val="24"/>
          <w:szCs w:val="24"/>
        </w:rPr>
        <w:t>uno</w:t>
      </w:r>
      <w:r w:rsidR="008F3DE8">
        <w:rPr>
          <w:rFonts w:ascii="Bookman Old Style" w:hAnsi="Bookman Old Style"/>
          <w:sz w:val="24"/>
          <w:szCs w:val="24"/>
        </w:rPr>
        <w:t xml:space="preserve"> </w:t>
      </w:r>
      <w:r w:rsidR="008A6536">
        <w:rPr>
          <w:rFonts w:ascii="Bookman Old Style" w:hAnsi="Bookman Old Style"/>
          <w:sz w:val="24"/>
          <w:szCs w:val="24"/>
        </w:rPr>
        <w:t>degli</w:t>
      </w:r>
      <w:r w:rsidR="008F3DE8">
        <w:rPr>
          <w:rFonts w:ascii="Bookman Old Style" w:hAnsi="Bookman Old Style"/>
          <w:sz w:val="24"/>
          <w:szCs w:val="24"/>
        </w:rPr>
        <w:t xml:space="preserve"> </w:t>
      </w:r>
      <w:r w:rsidR="008A6536">
        <w:rPr>
          <w:rFonts w:ascii="Bookman Old Style" w:hAnsi="Bookman Old Style"/>
          <w:sz w:val="24"/>
          <w:szCs w:val="24"/>
        </w:rPr>
        <w:t>elementi</w:t>
      </w:r>
      <w:r w:rsidR="008F3DE8">
        <w:rPr>
          <w:rFonts w:ascii="Bookman Old Style" w:hAnsi="Bookman Old Style"/>
          <w:sz w:val="24"/>
          <w:szCs w:val="24"/>
        </w:rPr>
        <w:t xml:space="preserve"> </w:t>
      </w:r>
      <w:r w:rsidR="008A6536">
        <w:rPr>
          <w:rFonts w:ascii="Bookman Old Style" w:hAnsi="Bookman Old Style"/>
          <w:sz w:val="24"/>
          <w:szCs w:val="24"/>
        </w:rPr>
        <w:t>maggiormente</w:t>
      </w:r>
      <w:r w:rsidR="008F3DE8">
        <w:rPr>
          <w:rFonts w:ascii="Bookman Old Style" w:hAnsi="Bookman Old Style"/>
          <w:sz w:val="24"/>
          <w:szCs w:val="24"/>
        </w:rPr>
        <w:t xml:space="preserve"> </w:t>
      </w:r>
      <w:r w:rsidR="008A6536">
        <w:rPr>
          <w:rFonts w:ascii="Bookman Old Style" w:hAnsi="Bookman Old Style"/>
          <w:sz w:val="24"/>
          <w:szCs w:val="24"/>
        </w:rPr>
        <w:t>qualificanti</w:t>
      </w:r>
      <w:r w:rsidR="008F3DE8">
        <w:rPr>
          <w:rFonts w:ascii="Bookman Old Style" w:hAnsi="Bookman Old Style"/>
          <w:sz w:val="24"/>
          <w:szCs w:val="24"/>
        </w:rPr>
        <w:t xml:space="preserve"> </w:t>
      </w:r>
      <w:r w:rsidR="008A6536">
        <w:rPr>
          <w:rFonts w:ascii="Bookman Old Style" w:hAnsi="Bookman Old Style"/>
          <w:sz w:val="24"/>
          <w:szCs w:val="24"/>
        </w:rPr>
        <w:t>delle</w:t>
      </w:r>
      <w:r w:rsidR="008F3DE8">
        <w:rPr>
          <w:rFonts w:ascii="Bookman Old Style" w:hAnsi="Bookman Old Style"/>
          <w:sz w:val="24"/>
          <w:szCs w:val="24"/>
        </w:rPr>
        <w:t xml:space="preserve"> </w:t>
      </w:r>
      <w:r w:rsidR="008A6536">
        <w:rPr>
          <w:rFonts w:ascii="Bookman Old Style" w:hAnsi="Bookman Old Style"/>
          <w:sz w:val="24"/>
          <w:szCs w:val="24"/>
        </w:rPr>
        <w:t>Costituzioni</w:t>
      </w:r>
      <w:r w:rsidR="008F3DE8">
        <w:rPr>
          <w:rFonts w:ascii="Bookman Old Style" w:hAnsi="Bookman Old Style"/>
          <w:sz w:val="24"/>
          <w:szCs w:val="24"/>
        </w:rPr>
        <w:t xml:space="preserve"> </w:t>
      </w:r>
      <w:r w:rsidR="008A6536">
        <w:rPr>
          <w:rFonts w:ascii="Bookman Old Style" w:hAnsi="Bookman Old Style"/>
          <w:sz w:val="24"/>
          <w:szCs w:val="24"/>
        </w:rPr>
        <w:t>elaborate</w:t>
      </w:r>
      <w:r w:rsidR="008F3DE8">
        <w:rPr>
          <w:rFonts w:ascii="Bookman Old Style" w:hAnsi="Bookman Old Style"/>
          <w:sz w:val="24"/>
          <w:szCs w:val="24"/>
        </w:rPr>
        <w:t xml:space="preserve"> </w:t>
      </w:r>
      <w:r w:rsidR="008A6536">
        <w:rPr>
          <w:rFonts w:ascii="Bookman Old Style" w:hAnsi="Bookman Old Style"/>
          <w:sz w:val="24"/>
          <w:szCs w:val="24"/>
        </w:rPr>
        <w:t>nel</w:t>
      </w:r>
      <w:r w:rsidR="008F3DE8">
        <w:rPr>
          <w:rFonts w:ascii="Bookman Old Style" w:hAnsi="Bookman Old Style"/>
          <w:sz w:val="24"/>
          <w:szCs w:val="24"/>
        </w:rPr>
        <w:t xml:space="preserve"> </w:t>
      </w:r>
      <w:r w:rsidR="008A6536">
        <w:rPr>
          <w:rFonts w:ascii="Bookman Old Style" w:hAnsi="Bookman Old Style"/>
          <w:sz w:val="24"/>
          <w:szCs w:val="24"/>
        </w:rPr>
        <w:t>secondo</w:t>
      </w:r>
      <w:r w:rsidR="008F3DE8">
        <w:rPr>
          <w:rFonts w:ascii="Bookman Old Style" w:hAnsi="Bookman Old Style"/>
          <w:sz w:val="24"/>
          <w:szCs w:val="24"/>
        </w:rPr>
        <w:t xml:space="preserve"> </w:t>
      </w:r>
      <w:r w:rsidR="008A6536">
        <w:rPr>
          <w:rFonts w:ascii="Bookman Old Style" w:hAnsi="Bookman Old Style"/>
          <w:sz w:val="24"/>
          <w:szCs w:val="24"/>
        </w:rPr>
        <w:t>dopoguerra</w:t>
      </w:r>
      <w:r w:rsidR="008F3DE8">
        <w:rPr>
          <w:rFonts w:ascii="Bookman Old Style" w:hAnsi="Bookman Old Style"/>
          <w:sz w:val="24"/>
          <w:szCs w:val="24"/>
        </w:rPr>
        <w:t xml:space="preserve"> </w:t>
      </w:r>
      <w:r w:rsidR="00573879">
        <w:rPr>
          <w:rFonts w:ascii="Bookman Old Style" w:hAnsi="Bookman Old Style"/>
          <w:sz w:val="24"/>
          <w:szCs w:val="24"/>
        </w:rPr>
        <w:t>(ivi</w:t>
      </w:r>
      <w:r w:rsidR="008F3DE8">
        <w:rPr>
          <w:rFonts w:ascii="Bookman Old Style" w:hAnsi="Bookman Old Style"/>
          <w:sz w:val="24"/>
          <w:szCs w:val="24"/>
        </w:rPr>
        <w:t xml:space="preserve"> </w:t>
      </w:r>
      <w:r w:rsidR="00573879">
        <w:rPr>
          <w:rFonts w:ascii="Bookman Old Style" w:hAnsi="Bookman Old Style"/>
          <w:sz w:val="24"/>
          <w:szCs w:val="24"/>
        </w:rPr>
        <w:t>compresa,</w:t>
      </w:r>
      <w:r w:rsidR="008F3DE8">
        <w:rPr>
          <w:rFonts w:ascii="Bookman Old Style" w:hAnsi="Bookman Old Style"/>
          <w:sz w:val="24"/>
          <w:szCs w:val="24"/>
        </w:rPr>
        <w:t xml:space="preserve"> </w:t>
      </w:r>
      <w:r w:rsidR="00573879">
        <w:rPr>
          <w:rFonts w:ascii="Bookman Old Style" w:hAnsi="Bookman Old Style"/>
          <w:sz w:val="24"/>
          <w:szCs w:val="24"/>
        </w:rPr>
        <w:t>dunque,</w:t>
      </w:r>
      <w:r w:rsidR="008F3DE8">
        <w:rPr>
          <w:rFonts w:ascii="Bookman Old Style" w:hAnsi="Bookman Old Style"/>
          <w:sz w:val="24"/>
          <w:szCs w:val="24"/>
        </w:rPr>
        <w:t xml:space="preserve"> </w:t>
      </w:r>
      <w:r w:rsidR="00573879">
        <w:rPr>
          <w:rFonts w:ascii="Bookman Old Style" w:hAnsi="Bookman Old Style"/>
          <w:sz w:val="24"/>
          <w:szCs w:val="24"/>
        </w:rPr>
        <w:t>quella</w:t>
      </w:r>
      <w:r w:rsidR="008F3DE8">
        <w:rPr>
          <w:rFonts w:ascii="Bookman Old Style" w:hAnsi="Bookman Old Style"/>
          <w:sz w:val="24"/>
          <w:szCs w:val="24"/>
        </w:rPr>
        <w:t xml:space="preserve"> </w:t>
      </w:r>
      <w:r w:rsidR="00573879">
        <w:rPr>
          <w:rFonts w:ascii="Bookman Old Style" w:hAnsi="Bookman Old Style"/>
          <w:sz w:val="24"/>
          <w:szCs w:val="24"/>
        </w:rPr>
        <w:t>italiana)</w:t>
      </w:r>
      <w:r w:rsidR="008A6536">
        <w:rPr>
          <w:rFonts w:ascii="Bookman Old Style" w:hAnsi="Bookman Old Style"/>
          <w:sz w:val="24"/>
          <w:szCs w:val="24"/>
        </w:rPr>
        <w:t>.</w:t>
      </w:r>
    </w:p>
    <w:p w:rsidR="005814C4" w:rsidRPr="00E464ED" w:rsidRDefault="005814C4" w:rsidP="00E464ED">
      <w:pPr>
        <w:ind w:firstLine="709"/>
        <w:jc w:val="both"/>
        <w:rPr>
          <w:rFonts w:ascii="Bookman Old Style" w:hAnsi="Bookman Old Style"/>
          <w:sz w:val="24"/>
          <w:szCs w:val="24"/>
        </w:rPr>
      </w:pPr>
      <w:r w:rsidRPr="00E464ED">
        <w:rPr>
          <w:rFonts w:ascii="Bookman Old Style" w:hAnsi="Bookman Old Style"/>
          <w:sz w:val="24"/>
          <w:szCs w:val="24"/>
        </w:rPr>
        <w:t>Esiste</w:t>
      </w:r>
      <w:r w:rsidR="008F3DE8">
        <w:rPr>
          <w:rFonts w:ascii="Bookman Old Style" w:hAnsi="Bookman Old Style"/>
          <w:sz w:val="24"/>
          <w:szCs w:val="24"/>
        </w:rPr>
        <w:t xml:space="preserve"> </w:t>
      </w:r>
      <w:r w:rsidRPr="00E464ED">
        <w:rPr>
          <w:rFonts w:ascii="Bookman Old Style" w:hAnsi="Bookman Old Style"/>
          <w:sz w:val="24"/>
          <w:szCs w:val="24"/>
        </w:rPr>
        <w:t>un</w:t>
      </w:r>
      <w:r w:rsidR="008F3DE8">
        <w:rPr>
          <w:rFonts w:ascii="Bookman Old Style" w:hAnsi="Bookman Old Style"/>
          <w:sz w:val="24"/>
          <w:szCs w:val="24"/>
        </w:rPr>
        <w:t xml:space="preserve"> </w:t>
      </w:r>
      <w:r w:rsidRPr="00E464ED">
        <w:rPr>
          <w:rFonts w:ascii="Bookman Old Style" w:hAnsi="Bookman Old Style"/>
          <w:sz w:val="24"/>
          <w:szCs w:val="24"/>
        </w:rPr>
        <w:t>filo</w:t>
      </w:r>
      <w:r w:rsidR="008F3DE8">
        <w:rPr>
          <w:rFonts w:ascii="Bookman Old Style" w:hAnsi="Bookman Old Style"/>
          <w:sz w:val="24"/>
          <w:szCs w:val="24"/>
        </w:rPr>
        <w:t xml:space="preserve"> </w:t>
      </w:r>
      <w:r w:rsidRPr="00E464ED">
        <w:rPr>
          <w:rFonts w:ascii="Bookman Old Style" w:hAnsi="Bookman Old Style"/>
          <w:sz w:val="24"/>
          <w:szCs w:val="24"/>
        </w:rPr>
        <w:t>logico</w:t>
      </w:r>
      <w:r w:rsidR="008F3DE8">
        <w:rPr>
          <w:rFonts w:ascii="Bookman Old Style" w:hAnsi="Bookman Old Style"/>
          <w:sz w:val="24"/>
          <w:szCs w:val="24"/>
        </w:rPr>
        <w:t xml:space="preserve"> </w:t>
      </w:r>
      <w:r w:rsidRPr="00E464ED">
        <w:rPr>
          <w:rFonts w:ascii="Bookman Old Style" w:hAnsi="Bookman Old Style"/>
          <w:sz w:val="24"/>
          <w:szCs w:val="24"/>
        </w:rPr>
        <w:t>indissolubile</w:t>
      </w:r>
      <w:r w:rsidR="008F3DE8">
        <w:rPr>
          <w:rFonts w:ascii="Bookman Old Style" w:hAnsi="Bookman Old Style"/>
          <w:sz w:val="24"/>
          <w:szCs w:val="24"/>
        </w:rPr>
        <w:t xml:space="preserve"> </w:t>
      </w:r>
      <w:r w:rsidRPr="00E464ED">
        <w:rPr>
          <w:rFonts w:ascii="Bookman Old Style" w:hAnsi="Bookman Old Style"/>
          <w:sz w:val="24"/>
          <w:szCs w:val="24"/>
        </w:rPr>
        <w:t>che</w:t>
      </w:r>
      <w:r w:rsidR="008F3DE8">
        <w:rPr>
          <w:rFonts w:ascii="Bookman Old Style" w:hAnsi="Bookman Old Style"/>
          <w:sz w:val="24"/>
          <w:szCs w:val="24"/>
        </w:rPr>
        <w:t xml:space="preserve"> </w:t>
      </w:r>
      <w:r w:rsidRPr="00E464ED">
        <w:rPr>
          <w:rFonts w:ascii="Bookman Old Style" w:hAnsi="Bookman Old Style"/>
          <w:sz w:val="24"/>
          <w:szCs w:val="24"/>
        </w:rPr>
        <w:t>lega</w:t>
      </w:r>
      <w:r w:rsidR="008F3DE8">
        <w:rPr>
          <w:rFonts w:ascii="Bookman Old Style" w:hAnsi="Bookman Old Style"/>
          <w:sz w:val="24"/>
          <w:szCs w:val="24"/>
        </w:rPr>
        <w:t xml:space="preserve"> </w:t>
      </w:r>
      <w:r w:rsidRPr="00E464ED">
        <w:rPr>
          <w:rFonts w:ascii="Bookman Old Style" w:hAnsi="Bookman Old Style"/>
          <w:sz w:val="24"/>
          <w:szCs w:val="24"/>
        </w:rPr>
        <w:t>l</w:t>
      </w:r>
      <w:r w:rsidR="00573879">
        <w:rPr>
          <w:rFonts w:ascii="Bookman Old Style" w:hAnsi="Bookman Old Style"/>
          <w:sz w:val="24"/>
          <w:szCs w:val="24"/>
        </w:rPr>
        <w:t>a</w:t>
      </w:r>
      <w:r w:rsidR="008F3DE8">
        <w:rPr>
          <w:rFonts w:ascii="Bookman Old Style" w:hAnsi="Bookman Old Style"/>
          <w:sz w:val="24"/>
          <w:szCs w:val="24"/>
        </w:rPr>
        <w:t xml:space="preserve"> </w:t>
      </w:r>
      <w:r w:rsidR="00573879">
        <w:rPr>
          <w:rFonts w:ascii="Bookman Old Style" w:hAnsi="Bookman Old Style"/>
          <w:sz w:val="24"/>
          <w:szCs w:val="24"/>
        </w:rPr>
        <w:t>genesi</w:t>
      </w:r>
      <w:r w:rsidR="008F3DE8">
        <w:rPr>
          <w:rFonts w:ascii="Bookman Old Style" w:hAnsi="Bookman Old Style"/>
          <w:sz w:val="24"/>
          <w:szCs w:val="24"/>
        </w:rPr>
        <w:t xml:space="preserve"> </w:t>
      </w:r>
      <w:r w:rsidRPr="00E464ED">
        <w:rPr>
          <w:rFonts w:ascii="Bookman Old Style" w:hAnsi="Bookman Old Style"/>
          <w:sz w:val="24"/>
          <w:szCs w:val="24"/>
        </w:rPr>
        <w:t>degli</w:t>
      </w:r>
      <w:r w:rsidR="008F3DE8">
        <w:rPr>
          <w:rFonts w:ascii="Bookman Old Style" w:hAnsi="Bookman Old Style"/>
          <w:sz w:val="24"/>
          <w:szCs w:val="24"/>
        </w:rPr>
        <w:t xml:space="preserve"> </w:t>
      </w:r>
      <w:r w:rsidRPr="00E464ED">
        <w:rPr>
          <w:rFonts w:ascii="Bookman Old Style" w:hAnsi="Bookman Old Style"/>
          <w:sz w:val="24"/>
          <w:szCs w:val="24"/>
        </w:rPr>
        <w:t>interessi</w:t>
      </w:r>
      <w:r w:rsidR="008F3DE8">
        <w:rPr>
          <w:rFonts w:ascii="Bookman Old Style" w:hAnsi="Bookman Old Style"/>
          <w:sz w:val="24"/>
          <w:szCs w:val="24"/>
        </w:rPr>
        <w:t xml:space="preserve"> </w:t>
      </w:r>
      <w:r w:rsidRPr="00E464ED">
        <w:rPr>
          <w:rFonts w:ascii="Bookman Old Style" w:hAnsi="Bookman Old Style"/>
          <w:sz w:val="24"/>
          <w:szCs w:val="24"/>
        </w:rPr>
        <w:t>costituzionalmente</w:t>
      </w:r>
      <w:r w:rsidR="008F3DE8">
        <w:rPr>
          <w:rFonts w:ascii="Bookman Old Style" w:hAnsi="Bookman Old Style"/>
          <w:sz w:val="24"/>
          <w:szCs w:val="24"/>
        </w:rPr>
        <w:t xml:space="preserve"> </w:t>
      </w:r>
      <w:r w:rsidRPr="00E464ED">
        <w:rPr>
          <w:rFonts w:ascii="Bookman Old Style" w:hAnsi="Bookman Old Style"/>
          <w:sz w:val="24"/>
          <w:szCs w:val="24"/>
        </w:rPr>
        <w:t>protetti</w:t>
      </w:r>
      <w:r w:rsidR="008F3DE8">
        <w:rPr>
          <w:rFonts w:ascii="Bookman Old Style" w:hAnsi="Bookman Old Style"/>
          <w:sz w:val="24"/>
          <w:szCs w:val="24"/>
        </w:rPr>
        <w:t xml:space="preserve"> </w:t>
      </w:r>
      <w:r w:rsidRPr="00E464ED">
        <w:rPr>
          <w:rFonts w:ascii="Bookman Old Style" w:hAnsi="Bookman Old Style"/>
          <w:sz w:val="24"/>
          <w:szCs w:val="24"/>
        </w:rPr>
        <w:t>all’evoluzione</w:t>
      </w:r>
      <w:r w:rsidR="008F3DE8">
        <w:rPr>
          <w:rFonts w:ascii="Bookman Old Style" w:hAnsi="Bookman Old Style"/>
          <w:sz w:val="24"/>
          <w:szCs w:val="24"/>
        </w:rPr>
        <w:t xml:space="preserve"> </w:t>
      </w:r>
      <w:r w:rsidRPr="00E464ED">
        <w:rPr>
          <w:rFonts w:ascii="Bookman Old Style" w:hAnsi="Bookman Old Style"/>
          <w:sz w:val="24"/>
          <w:szCs w:val="24"/>
        </w:rPr>
        <w:t>del</w:t>
      </w:r>
      <w:r w:rsidR="008F3DE8">
        <w:rPr>
          <w:rFonts w:ascii="Bookman Old Style" w:hAnsi="Bookman Old Style"/>
          <w:sz w:val="24"/>
          <w:szCs w:val="24"/>
        </w:rPr>
        <w:t xml:space="preserve"> </w:t>
      </w:r>
      <w:r w:rsidRPr="00E464ED">
        <w:rPr>
          <w:rFonts w:ascii="Bookman Old Style" w:hAnsi="Bookman Old Style"/>
          <w:sz w:val="24"/>
          <w:szCs w:val="24"/>
        </w:rPr>
        <w:t>costituzionalismo</w:t>
      </w:r>
      <w:r w:rsidR="008F3DE8">
        <w:rPr>
          <w:rFonts w:ascii="Bookman Old Style" w:hAnsi="Bookman Old Style"/>
          <w:sz w:val="24"/>
          <w:szCs w:val="24"/>
        </w:rPr>
        <w:t xml:space="preserve"> </w:t>
      </w:r>
      <w:r w:rsidRPr="00E464ED">
        <w:rPr>
          <w:rFonts w:ascii="Bookman Old Style" w:hAnsi="Bookman Old Style"/>
          <w:sz w:val="24"/>
          <w:szCs w:val="24"/>
        </w:rPr>
        <w:t>contemporaneo:</w:t>
      </w:r>
      <w:r w:rsidR="008F3DE8">
        <w:rPr>
          <w:rFonts w:ascii="Bookman Old Style" w:hAnsi="Bookman Old Style"/>
          <w:sz w:val="24"/>
          <w:szCs w:val="24"/>
        </w:rPr>
        <w:t xml:space="preserve"> </w:t>
      </w:r>
      <w:r w:rsidRPr="00E464ED">
        <w:rPr>
          <w:rFonts w:ascii="Bookman Old Style" w:hAnsi="Bookman Old Style"/>
          <w:sz w:val="24"/>
          <w:szCs w:val="24"/>
        </w:rPr>
        <w:t>l’analisi</w:t>
      </w:r>
      <w:r w:rsidR="008F3DE8">
        <w:rPr>
          <w:rFonts w:ascii="Bookman Old Style" w:hAnsi="Bookman Old Style"/>
          <w:sz w:val="24"/>
          <w:szCs w:val="24"/>
        </w:rPr>
        <w:t xml:space="preserve"> </w:t>
      </w:r>
      <w:r w:rsidRPr="00E464ED">
        <w:rPr>
          <w:rFonts w:ascii="Bookman Old Style" w:hAnsi="Bookman Old Style"/>
          <w:sz w:val="24"/>
          <w:szCs w:val="24"/>
        </w:rPr>
        <w:t>della</w:t>
      </w:r>
      <w:r w:rsidR="008F3DE8">
        <w:rPr>
          <w:rFonts w:ascii="Bookman Old Style" w:hAnsi="Bookman Old Style"/>
          <w:sz w:val="24"/>
          <w:szCs w:val="24"/>
        </w:rPr>
        <w:t xml:space="preserve"> </w:t>
      </w:r>
      <w:r w:rsidRPr="00E464ED">
        <w:rPr>
          <w:rFonts w:ascii="Bookman Old Style" w:hAnsi="Bookman Old Style"/>
          <w:sz w:val="24"/>
          <w:szCs w:val="24"/>
        </w:rPr>
        <w:t>problematica</w:t>
      </w:r>
      <w:r w:rsidR="008F3DE8">
        <w:rPr>
          <w:rFonts w:ascii="Bookman Old Style" w:hAnsi="Bookman Old Style"/>
          <w:sz w:val="24"/>
          <w:szCs w:val="24"/>
        </w:rPr>
        <w:t xml:space="preserve"> </w:t>
      </w:r>
      <w:r w:rsidRPr="00E464ED">
        <w:rPr>
          <w:rFonts w:ascii="Bookman Old Style" w:hAnsi="Bookman Old Style"/>
          <w:sz w:val="24"/>
          <w:szCs w:val="24"/>
        </w:rPr>
        <w:t>inerente</w:t>
      </w:r>
      <w:r w:rsidR="008F3DE8">
        <w:rPr>
          <w:rFonts w:ascii="Bookman Old Style" w:hAnsi="Bookman Old Style"/>
          <w:sz w:val="24"/>
          <w:szCs w:val="24"/>
        </w:rPr>
        <w:t xml:space="preserve"> </w:t>
      </w:r>
      <w:r w:rsidRPr="00E464ED">
        <w:rPr>
          <w:rFonts w:ascii="Bookman Old Style" w:hAnsi="Bookman Old Style"/>
          <w:sz w:val="24"/>
          <w:szCs w:val="24"/>
        </w:rPr>
        <w:t>la</w:t>
      </w:r>
      <w:r w:rsidR="008F3DE8">
        <w:rPr>
          <w:rFonts w:ascii="Bookman Old Style" w:hAnsi="Bookman Old Style"/>
          <w:sz w:val="24"/>
          <w:szCs w:val="24"/>
        </w:rPr>
        <w:t xml:space="preserve"> </w:t>
      </w:r>
      <w:r w:rsidRPr="00E464ED">
        <w:rPr>
          <w:rFonts w:ascii="Bookman Old Style" w:hAnsi="Bookman Old Style"/>
          <w:sz w:val="24"/>
          <w:szCs w:val="24"/>
        </w:rPr>
        <w:t>protezione</w:t>
      </w:r>
      <w:r w:rsidR="008F3DE8">
        <w:rPr>
          <w:rFonts w:ascii="Bookman Old Style" w:hAnsi="Bookman Old Style"/>
          <w:sz w:val="24"/>
          <w:szCs w:val="24"/>
        </w:rPr>
        <w:t xml:space="preserve"> </w:t>
      </w:r>
      <w:r w:rsidRPr="00E464ED">
        <w:rPr>
          <w:rFonts w:ascii="Bookman Old Style" w:hAnsi="Bookman Old Style"/>
          <w:sz w:val="24"/>
          <w:szCs w:val="24"/>
        </w:rPr>
        <w:t>della</w:t>
      </w:r>
      <w:r w:rsidR="008F3DE8">
        <w:rPr>
          <w:rFonts w:ascii="Bookman Old Style" w:hAnsi="Bookman Old Style"/>
          <w:sz w:val="24"/>
          <w:szCs w:val="24"/>
        </w:rPr>
        <w:t xml:space="preserve"> </w:t>
      </w:r>
      <w:r w:rsidRPr="00E464ED">
        <w:rPr>
          <w:rFonts w:ascii="Bookman Old Style" w:hAnsi="Bookman Old Style"/>
          <w:sz w:val="24"/>
          <w:szCs w:val="24"/>
        </w:rPr>
        <w:t>persona</w:t>
      </w:r>
      <w:r w:rsidR="008F3DE8">
        <w:rPr>
          <w:rFonts w:ascii="Bookman Old Style" w:hAnsi="Bookman Old Style"/>
          <w:sz w:val="24"/>
          <w:szCs w:val="24"/>
        </w:rPr>
        <w:t xml:space="preserve"> </w:t>
      </w:r>
      <w:r w:rsidRPr="00E464ED">
        <w:rPr>
          <w:rFonts w:ascii="Bookman Old Style" w:hAnsi="Bookman Old Style"/>
          <w:sz w:val="24"/>
          <w:szCs w:val="24"/>
        </w:rPr>
        <w:t>umana,</w:t>
      </w:r>
      <w:r w:rsidR="008F3DE8">
        <w:rPr>
          <w:rFonts w:ascii="Bookman Old Style" w:hAnsi="Bookman Old Style"/>
          <w:sz w:val="24"/>
          <w:szCs w:val="24"/>
        </w:rPr>
        <w:t xml:space="preserve"> </w:t>
      </w:r>
      <w:r w:rsidRPr="00E464ED">
        <w:rPr>
          <w:rFonts w:ascii="Bookman Old Style" w:hAnsi="Bookman Old Style"/>
          <w:sz w:val="24"/>
          <w:szCs w:val="24"/>
        </w:rPr>
        <w:t>infatti,</w:t>
      </w:r>
      <w:r w:rsidR="008F3DE8">
        <w:rPr>
          <w:rFonts w:ascii="Bookman Old Style" w:hAnsi="Bookman Old Style"/>
          <w:sz w:val="24"/>
          <w:szCs w:val="24"/>
        </w:rPr>
        <w:t xml:space="preserve"> </w:t>
      </w:r>
      <w:r w:rsidRPr="00E464ED">
        <w:rPr>
          <w:rFonts w:ascii="Bookman Old Style" w:hAnsi="Bookman Old Style"/>
          <w:sz w:val="24"/>
          <w:szCs w:val="24"/>
        </w:rPr>
        <w:t>implica</w:t>
      </w:r>
      <w:r w:rsidR="008F3DE8">
        <w:rPr>
          <w:rFonts w:ascii="Bookman Old Style" w:hAnsi="Bookman Old Style"/>
          <w:sz w:val="24"/>
          <w:szCs w:val="24"/>
        </w:rPr>
        <w:t xml:space="preserve"> </w:t>
      </w:r>
      <w:r w:rsidRPr="00E464ED">
        <w:rPr>
          <w:rFonts w:ascii="Bookman Old Style" w:hAnsi="Bookman Old Style"/>
          <w:sz w:val="24"/>
          <w:szCs w:val="24"/>
        </w:rPr>
        <w:t>necessariamente</w:t>
      </w:r>
      <w:r w:rsidR="008F3DE8">
        <w:rPr>
          <w:rFonts w:ascii="Bookman Old Style" w:hAnsi="Bookman Old Style"/>
          <w:sz w:val="24"/>
          <w:szCs w:val="24"/>
        </w:rPr>
        <w:t xml:space="preserve"> </w:t>
      </w:r>
      <w:r w:rsidRPr="00E464ED">
        <w:rPr>
          <w:rFonts w:ascii="Bookman Old Style" w:hAnsi="Bookman Old Style"/>
          <w:sz w:val="24"/>
          <w:szCs w:val="24"/>
        </w:rPr>
        <w:t>una</w:t>
      </w:r>
      <w:r w:rsidR="008F3DE8">
        <w:rPr>
          <w:rFonts w:ascii="Bookman Old Style" w:hAnsi="Bookman Old Style"/>
          <w:sz w:val="24"/>
          <w:szCs w:val="24"/>
        </w:rPr>
        <w:t xml:space="preserve"> </w:t>
      </w:r>
      <w:r w:rsidRPr="00E464ED">
        <w:rPr>
          <w:rFonts w:ascii="Bookman Old Style" w:hAnsi="Bookman Old Style"/>
          <w:sz w:val="24"/>
          <w:szCs w:val="24"/>
        </w:rPr>
        <w:t>contemporanea</w:t>
      </w:r>
      <w:r w:rsidR="008F3DE8">
        <w:rPr>
          <w:rFonts w:ascii="Bookman Old Style" w:hAnsi="Bookman Old Style"/>
          <w:sz w:val="24"/>
          <w:szCs w:val="24"/>
        </w:rPr>
        <w:t xml:space="preserve"> </w:t>
      </w:r>
      <w:r w:rsidRPr="00E464ED">
        <w:rPr>
          <w:rFonts w:ascii="Bookman Old Style" w:hAnsi="Bookman Old Style"/>
          <w:sz w:val="24"/>
          <w:szCs w:val="24"/>
        </w:rPr>
        <w:t>attenzione</w:t>
      </w:r>
      <w:r w:rsidR="008F3DE8">
        <w:rPr>
          <w:rFonts w:ascii="Bookman Old Style" w:hAnsi="Bookman Old Style"/>
          <w:sz w:val="24"/>
          <w:szCs w:val="24"/>
        </w:rPr>
        <w:t xml:space="preserve"> </w:t>
      </w:r>
      <w:r w:rsidRPr="00E464ED">
        <w:rPr>
          <w:rFonts w:ascii="Bookman Old Style" w:hAnsi="Bookman Old Style"/>
          <w:sz w:val="24"/>
          <w:szCs w:val="24"/>
        </w:rPr>
        <w:t>all</w:t>
      </w:r>
      <w:r w:rsidR="002F47CA">
        <w:rPr>
          <w:rFonts w:ascii="Bookman Old Style" w:hAnsi="Bookman Old Style"/>
          <w:sz w:val="24"/>
          <w:szCs w:val="24"/>
        </w:rPr>
        <w:t>’</w:t>
      </w:r>
      <w:r w:rsidRPr="00E464ED">
        <w:rPr>
          <w:rFonts w:ascii="Bookman Old Style" w:hAnsi="Bookman Old Style"/>
          <w:sz w:val="24"/>
          <w:szCs w:val="24"/>
        </w:rPr>
        <w:t>organizzazione</w:t>
      </w:r>
      <w:r w:rsidR="008F3DE8">
        <w:rPr>
          <w:rFonts w:ascii="Bookman Old Style" w:hAnsi="Bookman Old Style"/>
          <w:sz w:val="24"/>
          <w:szCs w:val="24"/>
        </w:rPr>
        <w:t xml:space="preserve"> </w:t>
      </w:r>
      <w:r w:rsidRPr="00E464ED">
        <w:rPr>
          <w:rFonts w:ascii="Bookman Old Style" w:hAnsi="Bookman Old Style"/>
          <w:sz w:val="24"/>
          <w:szCs w:val="24"/>
        </w:rPr>
        <w:t>sociale</w:t>
      </w:r>
      <w:r w:rsidR="008F3DE8">
        <w:rPr>
          <w:rFonts w:ascii="Bookman Old Style" w:hAnsi="Bookman Old Style"/>
          <w:sz w:val="24"/>
          <w:szCs w:val="24"/>
        </w:rPr>
        <w:t xml:space="preserve"> </w:t>
      </w:r>
      <w:r w:rsidRPr="00E464ED">
        <w:rPr>
          <w:rFonts w:ascii="Bookman Old Style" w:hAnsi="Bookman Old Style"/>
          <w:sz w:val="24"/>
          <w:szCs w:val="24"/>
        </w:rPr>
        <w:t>e</w:t>
      </w:r>
      <w:r w:rsidR="008F3DE8">
        <w:rPr>
          <w:rFonts w:ascii="Bookman Old Style" w:hAnsi="Bookman Old Style"/>
          <w:sz w:val="24"/>
          <w:szCs w:val="24"/>
        </w:rPr>
        <w:t xml:space="preserve"> </w:t>
      </w:r>
      <w:r w:rsidRPr="00E464ED">
        <w:rPr>
          <w:rFonts w:ascii="Bookman Old Style" w:hAnsi="Bookman Old Style"/>
          <w:sz w:val="24"/>
          <w:szCs w:val="24"/>
        </w:rPr>
        <w:t>politica</w:t>
      </w:r>
      <w:r w:rsidR="008F3DE8">
        <w:rPr>
          <w:rFonts w:ascii="Bookman Old Style" w:hAnsi="Bookman Old Style"/>
          <w:sz w:val="24"/>
          <w:szCs w:val="24"/>
        </w:rPr>
        <w:t xml:space="preserve"> </w:t>
      </w:r>
      <w:r w:rsidRPr="00E464ED">
        <w:rPr>
          <w:rFonts w:ascii="Bookman Old Style" w:hAnsi="Bookman Old Style"/>
          <w:sz w:val="24"/>
          <w:szCs w:val="24"/>
        </w:rPr>
        <w:t>nella</w:t>
      </w:r>
      <w:r w:rsidR="008F3DE8">
        <w:rPr>
          <w:rFonts w:ascii="Bookman Old Style" w:hAnsi="Bookman Old Style"/>
          <w:sz w:val="24"/>
          <w:szCs w:val="24"/>
        </w:rPr>
        <w:t xml:space="preserve"> </w:t>
      </w:r>
      <w:r w:rsidRPr="00E464ED">
        <w:rPr>
          <w:rFonts w:ascii="Bookman Old Style" w:hAnsi="Bookman Old Style"/>
          <w:sz w:val="24"/>
          <w:szCs w:val="24"/>
        </w:rPr>
        <w:t>quale</w:t>
      </w:r>
      <w:r w:rsidR="008F3DE8">
        <w:rPr>
          <w:rFonts w:ascii="Bookman Old Style" w:hAnsi="Bookman Old Style"/>
          <w:sz w:val="24"/>
          <w:szCs w:val="24"/>
        </w:rPr>
        <w:t xml:space="preserve"> </w:t>
      </w:r>
      <w:r w:rsidRPr="00E464ED">
        <w:rPr>
          <w:rFonts w:ascii="Bookman Old Style" w:hAnsi="Bookman Old Style"/>
          <w:sz w:val="24"/>
          <w:szCs w:val="24"/>
        </w:rPr>
        <w:t>essa</w:t>
      </w:r>
      <w:r w:rsidR="008F3DE8">
        <w:rPr>
          <w:rFonts w:ascii="Bookman Old Style" w:hAnsi="Bookman Old Style"/>
          <w:sz w:val="24"/>
          <w:szCs w:val="24"/>
        </w:rPr>
        <w:t xml:space="preserve"> </w:t>
      </w:r>
      <w:r w:rsidRPr="00E464ED">
        <w:rPr>
          <w:rFonts w:ascii="Bookman Old Style" w:hAnsi="Bookman Old Style"/>
          <w:sz w:val="24"/>
          <w:szCs w:val="24"/>
        </w:rPr>
        <w:t>nasce</w:t>
      </w:r>
      <w:r w:rsidR="008F3DE8">
        <w:rPr>
          <w:rFonts w:ascii="Bookman Old Style" w:hAnsi="Bookman Old Style"/>
          <w:sz w:val="24"/>
          <w:szCs w:val="24"/>
        </w:rPr>
        <w:t xml:space="preserve"> </w:t>
      </w:r>
      <w:r w:rsidRPr="00E464ED">
        <w:rPr>
          <w:rFonts w:ascii="Bookman Old Style" w:hAnsi="Bookman Old Style"/>
          <w:sz w:val="24"/>
          <w:szCs w:val="24"/>
        </w:rPr>
        <w:t>e</w:t>
      </w:r>
      <w:r w:rsidR="008F3DE8">
        <w:rPr>
          <w:rFonts w:ascii="Bookman Old Style" w:hAnsi="Bookman Old Style"/>
          <w:sz w:val="24"/>
          <w:szCs w:val="24"/>
        </w:rPr>
        <w:t xml:space="preserve"> </w:t>
      </w:r>
      <w:r w:rsidRPr="00E464ED">
        <w:rPr>
          <w:rFonts w:ascii="Bookman Old Style" w:hAnsi="Bookman Old Style"/>
          <w:sz w:val="24"/>
          <w:szCs w:val="24"/>
        </w:rPr>
        <w:t>si</w:t>
      </w:r>
      <w:r w:rsidR="008F3DE8">
        <w:rPr>
          <w:rFonts w:ascii="Bookman Old Style" w:hAnsi="Bookman Old Style"/>
          <w:sz w:val="24"/>
          <w:szCs w:val="24"/>
        </w:rPr>
        <w:t xml:space="preserve"> </w:t>
      </w:r>
      <w:r w:rsidRPr="00E464ED">
        <w:rPr>
          <w:rFonts w:ascii="Bookman Old Style" w:hAnsi="Bookman Old Style"/>
          <w:sz w:val="24"/>
          <w:szCs w:val="24"/>
        </w:rPr>
        <w:t>sviluppa</w:t>
      </w:r>
      <w:r w:rsidR="002F47CA">
        <w:rPr>
          <w:rFonts w:ascii="Bookman Old Style" w:hAnsi="Bookman Old Style"/>
          <w:sz w:val="24"/>
          <w:szCs w:val="24"/>
        </w:rPr>
        <w:t>;</w:t>
      </w:r>
      <w:r w:rsidR="008F3DE8">
        <w:rPr>
          <w:rFonts w:ascii="Bookman Old Style" w:hAnsi="Bookman Old Style"/>
          <w:sz w:val="24"/>
          <w:szCs w:val="24"/>
        </w:rPr>
        <w:t xml:space="preserve"> </w:t>
      </w:r>
      <w:r w:rsidRPr="00E464ED">
        <w:rPr>
          <w:rFonts w:ascii="Bookman Old Style" w:hAnsi="Bookman Old Style"/>
          <w:sz w:val="24"/>
          <w:szCs w:val="24"/>
        </w:rPr>
        <w:t>in</w:t>
      </w:r>
      <w:r w:rsidR="00AA575A">
        <w:rPr>
          <w:rFonts w:ascii="Bookman Old Style" w:hAnsi="Bookman Old Style"/>
          <w:sz w:val="24"/>
          <w:szCs w:val="24"/>
        </w:rPr>
        <w:t>f</w:t>
      </w:r>
      <w:r w:rsidR="002F47CA">
        <w:rPr>
          <w:rFonts w:ascii="Bookman Old Style" w:hAnsi="Bookman Old Style"/>
          <w:sz w:val="24"/>
          <w:szCs w:val="24"/>
        </w:rPr>
        <w:t>atti,</w:t>
      </w:r>
      <w:r w:rsidR="008F3DE8">
        <w:rPr>
          <w:rFonts w:ascii="Bookman Old Style" w:hAnsi="Bookman Old Style"/>
          <w:sz w:val="24"/>
          <w:szCs w:val="24"/>
        </w:rPr>
        <w:t xml:space="preserve"> </w:t>
      </w:r>
      <w:r w:rsidRPr="00E464ED">
        <w:rPr>
          <w:rFonts w:ascii="Bookman Old Style" w:hAnsi="Bookman Old Style"/>
          <w:sz w:val="24"/>
          <w:szCs w:val="24"/>
        </w:rPr>
        <w:t>l</w:t>
      </w:r>
      <w:r w:rsidR="00573879">
        <w:rPr>
          <w:rFonts w:ascii="Bookman Old Style" w:hAnsi="Bookman Old Style"/>
          <w:sz w:val="24"/>
          <w:szCs w:val="24"/>
        </w:rPr>
        <w:t>’individuazione</w:t>
      </w:r>
      <w:r w:rsidR="008F3DE8">
        <w:rPr>
          <w:rFonts w:ascii="Bookman Old Style" w:hAnsi="Bookman Old Style"/>
          <w:sz w:val="24"/>
          <w:szCs w:val="24"/>
        </w:rPr>
        <w:t xml:space="preserve"> </w:t>
      </w:r>
      <w:r w:rsidR="00573879">
        <w:rPr>
          <w:rFonts w:ascii="Bookman Old Style" w:hAnsi="Bookman Old Style"/>
          <w:sz w:val="24"/>
          <w:szCs w:val="24"/>
        </w:rPr>
        <w:t>dell’ambit</w:t>
      </w:r>
      <w:r w:rsidRPr="00E464ED">
        <w:rPr>
          <w:rFonts w:ascii="Bookman Old Style" w:hAnsi="Bookman Old Style"/>
          <w:sz w:val="24"/>
          <w:szCs w:val="24"/>
        </w:rPr>
        <w:t>o</w:t>
      </w:r>
      <w:r w:rsidR="008F3DE8">
        <w:rPr>
          <w:rFonts w:ascii="Bookman Old Style" w:hAnsi="Bookman Old Style"/>
          <w:sz w:val="24"/>
          <w:szCs w:val="24"/>
        </w:rPr>
        <w:t xml:space="preserve"> </w:t>
      </w:r>
      <w:r w:rsidRPr="00E464ED">
        <w:rPr>
          <w:rFonts w:ascii="Bookman Old Style" w:hAnsi="Bookman Old Style"/>
          <w:sz w:val="24"/>
          <w:szCs w:val="24"/>
        </w:rPr>
        <w:t>dei</w:t>
      </w:r>
      <w:r w:rsidR="008F3DE8">
        <w:rPr>
          <w:rFonts w:ascii="Bookman Old Style" w:hAnsi="Bookman Old Style"/>
          <w:sz w:val="24"/>
          <w:szCs w:val="24"/>
        </w:rPr>
        <w:t xml:space="preserve"> </w:t>
      </w:r>
      <w:r w:rsidRPr="00E464ED">
        <w:rPr>
          <w:rFonts w:ascii="Bookman Old Style" w:hAnsi="Bookman Old Style"/>
          <w:sz w:val="24"/>
          <w:szCs w:val="24"/>
        </w:rPr>
        <w:t>diritti</w:t>
      </w:r>
      <w:r w:rsidR="008F3DE8">
        <w:rPr>
          <w:rFonts w:ascii="Bookman Old Style" w:hAnsi="Bookman Old Style"/>
          <w:sz w:val="24"/>
          <w:szCs w:val="24"/>
        </w:rPr>
        <w:t xml:space="preserve"> </w:t>
      </w:r>
      <w:r w:rsidRPr="00E464ED">
        <w:rPr>
          <w:rFonts w:ascii="Bookman Old Style" w:hAnsi="Bookman Old Style"/>
          <w:sz w:val="24"/>
          <w:szCs w:val="24"/>
        </w:rPr>
        <w:t>fondamentali</w:t>
      </w:r>
      <w:r w:rsidR="008F3DE8">
        <w:rPr>
          <w:rFonts w:ascii="Bookman Old Style" w:hAnsi="Bookman Old Style"/>
          <w:sz w:val="24"/>
          <w:szCs w:val="24"/>
        </w:rPr>
        <w:t xml:space="preserve"> </w:t>
      </w:r>
      <w:r w:rsidRPr="00E464ED">
        <w:rPr>
          <w:rFonts w:ascii="Bookman Old Style" w:hAnsi="Bookman Old Style"/>
          <w:sz w:val="24"/>
          <w:szCs w:val="24"/>
        </w:rPr>
        <w:t>richiede</w:t>
      </w:r>
      <w:r w:rsidR="008F3DE8">
        <w:rPr>
          <w:rFonts w:ascii="Bookman Old Style" w:hAnsi="Bookman Old Style"/>
          <w:sz w:val="24"/>
          <w:szCs w:val="24"/>
        </w:rPr>
        <w:t xml:space="preserve"> </w:t>
      </w:r>
      <w:r w:rsidRPr="00E464ED">
        <w:rPr>
          <w:rFonts w:ascii="Bookman Old Style" w:hAnsi="Bookman Old Style"/>
          <w:sz w:val="24"/>
          <w:szCs w:val="24"/>
        </w:rPr>
        <w:t>il</w:t>
      </w:r>
      <w:r w:rsidR="008F3DE8">
        <w:rPr>
          <w:rFonts w:ascii="Bookman Old Style" w:hAnsi="Bookman Old Style"/>
          <w:sz w:val="24"/>
          <w:szCs w:val="24"/>
        </w:rPr>
        <w:t xml:space="preserve"> </w:t>
      </w:r>
      <w:r w:rsidRPr="00E464ED">
        <w:rPr>
          <w:rFonts w:ascii="Bookman Old Style" w:hAnsi="Bookman Old Style"/>
          <w:sz w:val="24"/>
          <w:szCs w:val="24"/>
        </w:rPr>
        <w:t>confronto</w:t>
      </w:r>
      <w:r w:rsidR="008F3DE8">
        <w:rPr>
          <w:rFonts w:ascii="Bookman Old Style" w:hAnsi="Bookman Old Style"/>
          <w:sz w:val="24"/>
          <w:szCs w:val="24"/>
        </w:rPr>
        <w:t xml:space="preserve"> </w:t>
      </w:r>
      <w:r w:rsidRPr="00E464ED">
        <w:rPr>
          <w:rFonts w:ascii="Bookman Old Style" w:hAnsi="Bookman Old Style"/>
          <w:sz w:val="24"/>
          <w:szCs w:val="24"/>
        </w:rPr>
        <w:t>con</w:t>
      </w:r>
      <w:r w:rsidR="008F3DE8">
        <w:rPr>
          <w:rFonts w:ascii="Bookman Old Style" w:hAnsi="Bookman Old Style"/>
          <w:sz w:val="24"/>
          <w:szCs w:val="24"/>
        </w:rPr>
        <w:t xml:space="preserve"> </w:t>
      </w:r>
      <w:r w:rsidRPr="00E464ED">
        <w:rPr>
          <w:rFonts w:ascii="Bookman Old Style" w:hAnsi="Bookman Old Style"/>
          <w:sz w:val="24"/>
          <w:szCs w:val="24"/>
        </w:rPr>
        <w:t>le</w:t>
      </w:r>
      <w:r w:rsidR="008F3DE8">
        <w:rPr>
          <w:rFonts w:ascii="Bookman Old Style" w:hAnsi="Bookman Old Style"/>
          <w:sz w:val="24"/>
          <w:szCs w:val="24"/>
        </w:rPr>
        <w:t xml:space="preserve"> </w:t>
      </w:r>
      <w:r w:rsidRPr="00E464ED">
        <w:rPr>
          <w:rFonts w:ascii="Bookman Old Style" w:hAnsi="Bookman Old Style"/>
          <w:sz w:val="24"/>
          <w:szCs w:val="24"/>
        </w:rPr>
        <w:t>forze</w:t>
      </w:r>
      <w:r w:rsidR="008F3DE8">
        <w:rPr>
          <w:rFonts w:ascii="Bookman Old Style" w:hAnsi="Bookman Old Style"/>
          <w:sz w:val="24"/>
          <w:szCs w:val="24"/>
        </w:rPr>
        <w:t xml:space="preserve"> </w:t>
      </w:r>
      <w:r w:rsidRPr="00E464ED">
        <w:rPr>
          <w:rFonts w:ascii="Bookman Old Style" w:hAnsi="Bookman Old Style"/>
          <w:sz w:val="24"/>
          <w:szCs w:val="24"/>
        </w:rPr>
        <w:t>politiche</w:t>
      </w:r>
      <w:r w:rsidR="008F3DE8">
        <w:rPr>
          <w:rFonts w:ascii="Bookman Old Style" w:hAnsi="Bookman Old Style"/>
          <w:sz w:val="24"/>
          <w:szCs w:val="24"/>
        </w:rPr>
        <w:t xml:space="preserve"> </w:t>
      </w:r>
      <w:r w:rsidRPr="00E464ED">
        <w:rPr>
          <w:rFonts w:ascii="Bookman Old Style" w:hAnsi="Bookman Old Style"/>
          <w:sz w:val="24"/>
          <w:szCs w:val="24"/>
        </w:rPr>
        <w:t>e</w:t>
      </w:r>
      <w:r w:rsidR="008F3DE8">
        <w:rPr>
          <w:rFonts w:ascii="Bookman Old Style" w:hAnsi="Bookman Old Style"/>
          <w:sz w:val="24"/>
          <w:szCs w:val="24"/>
        </w:rPr>
        <w:t xml:space="preserve"> </w:t>
      </w:r>
      <w:r w:rsidRPr="00E464ED">
        <w:rPr>
          <w:rFonts w:ascii="Bookman Old Style" w:hAnsi="Bookman Old Style"/>
          <w:sz w:val="24"/>
          <w:szCs w:val="24"/>
        </w:rPr>
        <w:t>sociali</w:t>
      </w:r>
      <w:r w:rsidR="008F3DE8">
        <w:rPr>
          <w:rFonts w:ascii="Bookman Old Style" w:hAnsi="Bookman Old Style"/>
          <w:sz w:val="24"/>
          <w:szCs w:val="24"/>
        </w:rPr>
        <w:t xml:space="preserve"> </w:t>
      </w:r>
      <w:r w:rsidR="00573879" w:rsidRPr="00E464ED">
        <w:rPr>
          <w:rFonts w:ascii="Bookman Old Style" w:hAnsi="Bookman Old Style"/>
          <w:sz w:val="24"/>
          <w:szCs w:val="24"/>
        </w:rPr>
        <w:footnoteReference w:id="2"/>
      </w:r>
      <w:r w:rsidR="008F3DE8">
        <w:rPr>
          <w:rFonts w:ascii="Bookman Old Style" w:hAnsi="Bookman Old Style"/>
          <w:sz w:val="24"/>
          <w:szCs w:val="24"/>
        </w:rPr>
        <w:t xml:space="preserve"> </w:t>
      </w:r>
      <w:r w:rsidR="003E089B">
        <w:rPr>
          <w:rFonts w:ascii="Bookman Old Style" w:hAnsi="Bookman Old Style"/>
          <w:sz w:val="24"/>
          <w:szCs w:val="24"/>
        </w:rPr>
        <w:t>che</w:t>
      </w:r>
      <w:r w:rsidR="008F3DE8">
        <w:rPr>
          <w:rFonts w:ascii="Bookman Old Style" w:hAnsi="Bookman Old Style"/>
          <w:sz w:val="24"/>
          <w:szCs w:val="24"/>
        </w:rPr>
        <w:t xml:space="preserve"> </w:t>
      </w:r>
      <w:r w:rsidR="003E089B">
        <w:rPr>
          <w:rFonts w:ascii="Bookman Old Style" w:hAnsi="Bookman Old Style"/>
          <w:sz w:val="24"/>
          <w:szCs w:val="24"/>
        </w:rPr>
        <w:t>del</w:t>
      </w:r>
      <w:r w:rsidR="008F3DE8">
        <w:rPr>
          <w:rFonts w:ascii="Bookman Old Style" w:hAnsi="Bookman Old Style"/>
          <w:sz w:val="24"/>
          <w:szCs w:val="24"/>
        </w:rPr>
        <w:t xml:space="preserve"> </w:t>
      </w:r>
      <w:r w:rsidR="003E089B">
        <w:rPr>
          <w:rFonts w:ascii="Bookman Old Style" w:hAnsi="Bookman Old Style"/>
          <w:sz w:val="24"/>
          <w:szCs w:val="24"/>
        </w:rPr>
        <w:t>relativo</w:t>
      </w:r>
      <w:r w:rsidR="008F3DE8">
        <w:rPr>
          <w:rFonts w:ascii="Bookman Old Style" w:hAnsi="Bookman Old Style"/>
          <w:sz w:val="24"/>
          <w:szCs w:val="24"/>
        </w:rPr>
        <w:t xml:space="preserve"> </w:t>
      </w:r>
      <w:r w:rsidR="003E089B">
        <w:rPr>
          <w:rFonts w:ascii="Bookman Old Style" w:hAnsi="Bookman Old Style"/>
          <w:sz w:val="24"/>
          <w:szCs w:val="24"/>
        </w:rPr>
        <w:t>sviluppo</w:t>
      </w:r>
      <w:r w:rsidR="008F3DE8">
        <w:rPr>
          <w:rFonts w:ascii="Bookman Old Style" w:hAnsi="Bookman Old Style"/>
          <w:sz w:val="24"/>
          <w:szCs w:val="24"/>
        </w:rPr>
        <w:t xml:space="preserve"> </w:t>
      </w:r>
      <w:r w:rsidR="003E089B">
        <w:rPr>
          <w:rFonts w:ascii="Bookman Old Style" w:hAnsi="Bookman Old Style"/>
          <w:sz w:val="24"/>
          <w:szCs w:val="24"/>
        </w:rPr>
        <w:t>e</w:t>
      </w:r>
      <w:r w:rsidR="008F3DE8">
        <w:rPr>
          <w:rFonts w:ascii="Bookman Old Style" w:hAnsi="Bookman Old Style"/>
          <w:sz w:val="24"/>
          <w:szCs w:val="24"/>
        </w:rPr>
        <w:t xml:space="preserve"> </w:t>
      </w:r>
      <w:r w:rsidR="003E089B">
        <w:rPr>
          <w:rFonts w:ascii="Bookman Old Style" w:hAnsi="Bookman Old Style"/>
          <w:sz w:val="24"/>
          <w:szCs w:val="24"/>
        </w:rPr>
        <w:t>tutela</w:t>
      </w:r>
      <w:r w:rsidR="008F3DE8">
        <w:rPr>
          <w:rFonts w:ascii="Bookman Old Style" w:hAnsi="Bookman Old Style"/>
          <w:sz w:val="24"/>
          <w:szCs w:val="24"/>
        </w:rPr>
        <w:t xml:space="preserve"> </w:t>
      </w:r>
      <w:r w:rsidR="003E089B">
        <w:rPr>
          <w:rFonts w:ascii="Bookman Old Style" w:hAnsi="Bookman Old Style"/>
          <w:sz w:val="24"/>
          <w:szCs w:val="24"/>
        </w:rPr>
        <w:t>sono</w:t>
      </w:r>
      <w:r w:rsidR="008F3DE8">
        <w:rPr>
          <w:rFonts w:ascii="Bookman Old Style" w:hAnsi="Bookman Old Style"/>
          <w:sz w:val="24"/>
          <w:szCs w:val="24"/>
        </w:rPr>
        <w:t xml:space="preserve"> </w:t>
      </w:r>
      <w:r w:rsidR="003E089B">
        <w:rPr>
          <w:rFonts w:ascii="Bookman Old Style" w:hAnsi="Bookman Old Style"/>
          <w:sz w:val="24"/>
          <w:szCs w:val="24"/>
        </w:rPr>
        <w:t>fautori</w:t>
      </w:r>
      <w:r w:rsidR="008F3DE8">
        <w:rPr>
          <w:rFonts w:ascii="Bookman Old Style" w:hAnsi="Bookman Old Style"/>
          <w:sz w:val="24"/>
          <w:szCs w:val="24"/>
        </w:rPr>
        <w:t xml:space="preserve"> </w:t>
      </w:r>
      <w:r w:rsidR="003E089B">
        <w:rPr>
          <w:rFonts w:ascii="Bookman Old Style" w:hAnsi="Bookman Old Style"/>
          <w:sz w:val="24"/>
          <w:szCs w:val="24"/>
        </w:rPr>
        <w:t>e</w:t>
      </w:r>
      <w:r w:rsidR="008F3DE8">
        <w:rPr>
          <w:rFonts w:ascii="Bookman Old Style" w:hAnsi="Bookman Old Style"/>
          <w:sz w:val="24"/>
          <w:szCs w:val="24"/>
        </w:rPr>
        <w:t xml:space="preserve"> </w:t>
      </w:r>
      <w:r w:rsidR="003E089B">
        <w:rPr>
          <w:rFonts w:ascii="Bookman Old Style" w:hAnsi="Bookman Old Style"/>
          <w:sz w:val="24"/>
          <w:szCs w:val="24"/>
        </w:rPr>
        <w:t>garanti</w:t>
      </w:r>
      <w:r w:rsidR="008F3DE8">
        <w:rPr>
          <w:rFonts w:ascii="Bookman Old Style" w:hAnsi="Bookman Old Style"/>
          <w:sz w:val="24"/>
          <w:szCs w:val="24"/>
        </w:rPr>
        <w:t xml:space="preserve"> </w:t>
      </w:r>
      <w:r w:rsidRPr="00E464ED">
        <w:rPr>
          <w:rFonts w:ascii="Bookman Old Style" w:hAnsi="Bookman Old Style"/>
          <w:sz w:val="24"/>
          <w:szCs w:val="24"/>
        </w:rPr>
        <w:t>e</w:t>
      </w:r>
      <w:r w:rsidR="008F3DE8">
        <w:rPr>
          <w:rFonts w:ascii="Bookman Old Style" w:hAnsi="Bookman Old Style"/>
          <w:sz w:val="24"/>
          <w:szCs w:val="24"/>
        </w:rPr>
        <w:t xml:space="preserve"> </w:t>
      </w:r>
      <w:r w:rsidR="00573879">
        <w:rPr>
          <w:rFonts w:ascii="Bookman Old Style" w:hAnsi="Bookman Old Style"/>
          <w:sz w:val="24"/>
          <w:szCs w:val="24"/>
        </w:rPr>
        <w:t>che</w:t>
      </w:r>
      <w:r w:rsidR="008F3DE8">
        <w:rPr>
          <w:rFonts w:ascii="Bookman Old Style" w:hAnsi="Bookman Old Style"/>
          <w:sz w:val="24"/>
          <w:szCs w:val="24"/>
        </w:rPr>
        <w:t xml:space="preserve"> </w:t>
      </w:r>
      <w:r w:rsidRPr="00E464ED">
        <w:rPr>
          <w:rFonts w:ascii="Bookman Old Style" w:hAnsi="Bookman Old Style"/>
          <w:sz w:val="24"/>
          <w:szCs w:val="24"/>
        </w:rPr>
        <w:t>ne</w:t>
      </w:r>
      <w:r w:rsidR="0075267D">
        <w:rPr>
          <w:rFonts w:ascii="Bookman Old Style" w:hAnsi="Bookman Old Style"/>
          <w:sz w:val="24"/>
          <w:szCs w:val="24"/>
        </w:rPr>
        <w:t xml:space="preserve"> </w:t>
      </w:r>
      <w:r w:rsidRPr="00E464ED">
        <w:rPr>
          <w:rFonts w:ascii="Bookman Old Style" w:hAnsi="Bookman Old Style"/>
          <w:sz w:val="24"/>
          <w:szCs w:val="24"/>
        </w:rPr>
        <w:t>condizionano</w:t>
      </w:r>
      <w:r w:rsidR="008F3DE8">
        <w:rPr>
          <w:rFonts w:ascii="Bookman Old Style" w:hAnsi="Bookman Old Style"/>
          <w:sz w:val="24"/>
          <w:szCs w:val="24"/>
        </w:rPr>
        <w:t xml:space="preserve"> </w:t>
      </w:r>
      <w:r w:rsidR="003E089B">
        <w:rPr>
          <w:rFonts w:ascii="Bookman Old Style" w:hAnsi="Bookman Old Style"/>
          <w:sz w:val="24"/>
          <w:szCs w:val="24"/>
        </w:rPr>
        <w:t>il</w:t>
      </w:r>
      <w:r w:rsidR="008F3DE8">
        <w:rPr>
          <w:rFonts w:ascii="Bookman Old Style" w:hAnsi="Bookman Old Style"/>
          <w:sz w:val="24"/>
          <w:szCs w:val="24"/>
        </w:rPr>
        <w:t xml:space="preserve"> </w:t>
      </w:r>
      <w:r w:rsidR="003E089B">
        <w:rPr>
          <w:rFonts w:ascii="Bookman Old Style" w:hAnsi="Bookman Old Style"/>
          <w:sz w:val="24"/>
          <w:szCs w:val="24"/>
        </w:rPr>
        <w:t>sorgere,</w:t>
      </w:r>
      <w:r w:rsidR="008F3DE8">
        <w:rPr>
          <w:rFonts w:ascii="Bookman Old Style" w:hAnsi="Bookman Old Style"/>
          <w:sz w:val="24"/>
          <w:szCs w:val="24"/>
        </w:rPr>
        <w:t xml:space="preserve"> </w:t>
      </w:r>
      <w:r w:rsidRPr="00E464ED">
        <w:rPr>
          <w:rFonts w:ascii="Bookman Old Style" w:hAnsi="Bookman Old Style"/>
          <w:sz w:val="24"/>
          <w:szCs w:val="24"/>
        </w:rPr>
        <w:t>l’esistere</w:t>
      </w:r>
      <w:r w:rsidR="008F3DE8">
        <w:rPr>
          <w:rFonts w:ascii="Bookman Old Style" w:hAnsi="Bookman Old Style"/>
          <w:sz w:val="24"/>
          <w:szCs w:val="24"/>
        </w:rPr>
        <w:t xml:space="preserve"> </w:t>
      </w:r>
      <w:r w:rsidRPr="00E464ED">
        <w:rPr>
          <w:rFonts w:ascii="Bookman Old Style" w:hAnsi="Bookman Old Style"/>
          <w:sz w:val="24"/>
          <w:szCs w:val="24"/>
        </w:rPr>
        <w:t>ed</w:t>
      </w:r>
      <w:r w:rsidR="008F3DE8">
        <w:rPr>
          <w:rFonts w:ascii="Bookman Old Style" w:hAnsi="Bookman Old Style"/>
          <w:sz w:val="24"/>
          <w:szCs w:val="24"/>
        </w:rPr>
        <w:t xml:space="preserve"> </w:t>
      </w:r>
      <w:r w:rsidRPr="00E464ED">
        <w:rPr>
          <w:rFonts w:ascii="Bookman Old Style" w:hAnsi="Bookman Old Style"/>
          <w:sz w:val="24"/>
          <w:szCs w:val="24"/>
        </w:rPr>
        <w:t>il</w:t>
      </w:r>
      <w:r w:rsidR="008F3DE8">
        <w:rPr>
          <w:rFonts w:ascii="Bookman Old Style" w:hAnsi="Bookman Old Style"/>
          <w:sz w:val="24"/>
          <w:szCs w:val="24"/>
        </w:rPr>
        <w:t xml:space="preserve"> </w:t>
      </w:r>
      <w:r w:rsidRPr="00E464ED">
        <w:rPr>
          <w:rFonts w:ascii="Bookman Old Style" w:hAnsi="Bookman Old Style"/>
          <w:sz w:val="24"/>
          <w:szCs w:val="24"/>
        </w:rPr>
        <w:t>modo</w:t>
      </w:r>
      <w:r w:rsidR="008F3DE8">
        <w:rPr>
          <w:rFonts w:ascii="Bookman Old Style" w:hAnsi="Bookman Old Style"/>
          <w:sz w:val="24"/>
          <w:szCs w:val="24"/>
        </w:rPr>
        <w:t xml:space="preserve"> </w:t>
      </w:r>
      <w:r w:rsidRPr="00E464ED">
        <w:rPr>
          <w:rFonts w:ascii="Bookman Old Style" w:hAnsi="Bookman Old Style"/>
          <w:sz w:val="24"/>
          <w:szCs w:val="24"/>
        </w:rPr>
        <w:t>di</w:t>
      </w:r>
      <w:r w:rsidR="008F3DE8">
        <w:rPr>
          <w:rFonts w:ascii="Bookman Old Style" w:hAnsi="Bookman Old Style"/>
          <w:sz w:val="24"/>
          <w:szCs w:val="24"/>
        </w:rPr>
        <w:t xml:space="preserve"> </w:t>
      </w:r>
      <w:r w:rsidRPr="00E464ED">
        <w:rPr>
          <w:rFonts w:ascii="Bookman Old Style" w:hAnsi="Bookman Old Style"/>
          <w:sz w:val="24"/>
          <w:szCs w:val="24"/>
        </w:rPr>
        <w:t>essere.</w:t>
      </w:r>
      <w:r w:rsidR="0075267D">
        <w:rPr>
          <w:rFonts w:ascii="Bookman Old Style" w:hAnsi="Bookman Old Style"/>
          <w:sz w:val="24"/>
          <w:szCs w:val="24"/>
        </w:rPr>
        <w:t xml:space="preserve"> </w:t>
      </w:r>
      <w:r w:rsidRPr="00E464ED">
        <w:rPr>
          <w:rFonts w:ascii="Bookman Old Style" w:hAnsi="Bookman Old Style"/>
          <w:sz w:val="24"/>
          <w:szCs w:val="24"/>
        </w:rPr>
        <w:t>In</w:t>
      </w:r>
      <w:r w:rsidR="008F3DE8">
        <w:rPr>
          <w:rFonts w:ascii="Bookman Old Style" w:hAnsi="Bookman Old Style"/>
          <w:sz w:val="24"/>
          <w:szCs w:val="24"/>
        </w:rPr>
        <w:t xml:space="preserve"> </w:t>
      </w:r>
      <w:r w:rsidRPr="00E464ED">
        <w:rPr>
          <w:rFonts w:ascii="Bookman Old Style" w:hAnsi="Bookman Old Style"/>
          <w:sz w:val="24"/>
          <w:szCs w:val="24"/>
        </w:rPr>
        <w:t>questo</w:t>
      </w:r>
      <w:r w:rsidR="008F3DE8">
        <w:rPr>
          <w:rFonts w:ascii="Bookman Old Style" w:hAnsi="Bookman Old Style"/>
          <w:sz w:val="24"/>
          <w:szCs w:val="24"/>
        </w:rPr>
        <w:t xml:space="preserve"> </w:t>
      </w:r>
      <w:r w:rsidRPr="00E464ED">
        <w:rPr>
          <w:rFonts w:ascii="Bookman Old Style" w:hAnsi="Bookman Old Style"/>
          <w:sz w:val="24"/>
          <w:szCs w:val="24"/>
        </w:rPr>
        <w:t>senso,</w:t>
      </w:r>
      <w:r w:rsidR="008F3DE8">
        <w:rPr>
          <w:rFonts w:ascii="Bookman Old Style" w:hAnsi="Bookman Old Style"/>
          <w:sz w:val="24"/>
          <w:szCs w:val="24"/>
        </w:rPr>
        <w:t xml:space="preserve"> </w:t>
      </w:r>
      <w:r w:rsidRPr="00E464ED">
        <w:rPr>
          <w:rFonts w:ascii="Bookman Old Style" w:hAnsi="Bookman Old Style"/>
          <w:sz w:val="24"/>
          <w:szCs w:val="24"/>
        </w:rPr>
        <w:t>i</w:t>
      </w:r>
      <w:r w:rsidR="008F3DE8">
        <w:rPr>
          <w:rFonts w:ascii="Bookman Old Style" w:hAnsi="Bookman Old Style"/>
          <w:sz w:val="24"/>
          <w:szCs w:val="24"/>
        </w:rPr>
        <w:t xml:space="preserve"> </w:t>
      </w:r>
      <w:r w:rsidRPr="00E464ED">
        <w:rPr>
          <w:rFonts w:ascii="Bookman Old Style" w:hAnsi="Bookman Old Style"/>
          <w:sz w:val="24"/>
          <w:szCs w:val="24"/>
        </w:rPr>
        <w:t>concetti</w:t>
      </w:r>
      <w:r w:rsidR="008F3DE8">
        <w:rPr>
          <w:rFonts w:ascii="Bookman Old Style" w:hAnsi="Bookman Old Style"/>
          <w:sz w:val="24"/>
          <w:szCs w:val="24"/>
        </w:rPr>
        <w:t xml:space="preserve"> </w:t>
      </w:r>
      <w:r w:rsidRPr="00E464ED">
        <w:rPr>
          <w:rFonts w:ascii="Bookman Old Style" w:hAnsi="Bookman Old Style"/>
          <w:sz w:val="24"/>
          <w:szCs w:val="24"/>
        </w:rPr>
        <w:t>di</w:t>
      </w:r>
      <w:r w:rsidR="008F3DE8">
        <w:rPr>
          <w:rFonts w:ascii="Bookman Old Style" w:hAnsi="Bookman Old Style"/>
          <w:sz w:val="24"/>
          <w:szCs w:val="24"/>
        </w:rPr>
        <w:t xml:space="preserve"> </w:t>
      </w:r>
      <w:r w:rsidRPr="00E464ED">
        <w:rPr>
          <w:rFonts w:ascii="Bookman Old Style" w:hAnsi="Bookman Old Style"/>
          <w:sz w:val="24"/>
          <w:szCs w:val="24"/>
        </w:rPr>
        <w:t>democrazia</w:t>
      </w:r>
      <w:r w:rsidR="008F3DE8">
        <w:rPr>
          <w:rFonts w:ascii="Bookman Old Style" w:hAnsi="Bookman Old Style"/>
          <w:sz w:val="24"/>
          <w:szCs w:val="24"/>
        </w:rPr>
        <w:t xml:space="preserve"> </w:t>
      </w:r>
      <w:r w:rsidRPr="00E464ED">
        <w:rPr>
          <w:rFonts w:ascii="Bookman Old Style" w:hAnsi="Bookman Old Style"/>
          <w:sz w:val="24"/>
          <w:szCs w:val="24"/>
        </w:rPr>
        <w:t>pluralistica,</w:t>
      </w:r>
      <w:r w:rsidR="008F3DE8">
        <w:rPr>
          <w:rFonts w:ascii="Bookman Old Style" w:hAnsi="Bookman Old Style"/>
          <w:sz w:val="24"/>
          <w:szCs w:val="24"/>
        </w:rPr>
        <w:t xml:space="preserve"> </w:t>
      </w:r>
      <w:r w:rsidRPr="00E464ED">
        <w:rPr>
          <w:rFonts w:ascii="Bookman Old Style" w:hAnsi="Bookman Old Style"/>
          <w:sz w:val="24"/>
          <w:szCs w:val="24"/>
        </w:rPr>
        <w:t>diritti</w:t>
      </w:r>
      <w:r w:rsidR="008F3DE8">
        <w:rPr>
          <w:rFonts w:ascii="Bookman Old Style" w:hAnsi="Bookman Old Style"/>
          <w:sz w:val="24"/>
          <w:szCs w:val="24"/>
        </w:rPr>
        <w:t xml:space="preserve"> </w:t>
      </w:r>
      <w:r w:rsidRPr="00E464ED">
        <w:rPr>
          <w:rFonts w:ascii="Bookman Old Style" w:hAnsi="Bookman Old Style"/>
          <w:sz w:val="24"/>
          <w:szCs w:val="24"/>
        </w:rPr>
        <w:t>fondamentali</w:t>
      </w:r>
      <w:r w:rsidR="008F3DE8">
        <w:rPr>
          <w:rFonts w:ascii="Bookman Old Style" w:hAnsi="Bookman Old Style"/>
          <w:sz w:val="24"/>
          <w:szCs w:val="24"/>
        </w:rPr>
        <w:t xml:space="preserve"> </w:t>
      </w:r>
      <w:r w:rsidRPr="00E464ED">
        <w:rPr>
          <w:rFonts w:ascii="Bookman Old Style" w:hAnsi="Bookman Old Style"/>
          <w:sz w:val="24"/>
          <w:szCs w:val="24"/>
        </w:rPr>
        <w:t>e</w:t>
      </w:r>
      <w:r w:rsidR="008F3DE8">
        <w:rPr>
          <w:rFonts w:ascii="Bookman Old Style" w:hAnsi="Bookman Old Style"/>
          <w:sz w:val="24"/>
          <w:szCs w:val="24"/>
        </w:rPr>
        <w:t xml:space="preserve"> </w:t>
      </w:r>
      <w:r w:rsidRPr="00E464ED">
        <w:rPr>
          <w:rFonts w:ascii="Bookman Old Style" w:hAnsi="Bookman Old Style"/>
          <w:sz w:val="24"/>
          <w:szCs w:val="24"/>
        </w:rPr>
        <w:t>Stato</w:t>
      </w:r>
      <w:r w:rsidR="008F3DE8">
        <w:rPr>
          <w:rFonts w:ascii="Bookman Old Style" w:hAnsi="Bookman Old Style"/>
          <w:sz w:val="24"/>
          <w:szCs w:val="24"/>
        </w:rPr>
        <w:t xml:space="preserve"> </w:t>
      </w:r>
      <w:r w:rsidRPr="00E464ED">
        <w:rPr>
          <w:rFonts w:ascii="Bookman Old Style" w:hAnsi="Bookman Old Style"/>
          <w:sz w:val="24"/>
          <w:szCs w:val="24"/>
        </w:rPr>
        <w:t>costituzionale</w:t>
      </w:r>
      <w:r w:rsidR="008F3DE8">
        <w:rPr>
          <w:rFonts w:ascii="Bookman Old Style" w:hAnsi="Bookman Old Style"/>
          <w:sz w:val="24"/>
          <w:szCs w:val="24"/>
        </w:rPr>
        <w:t xml:space="preserve"> </w:t>
      </w:r>
      <w:r w:rsidRPr="00E464ED">
        <w:rPr>
          <w:rFonts w:ascii="Bookman Old Style" w:hAnsi="Bookman Old Style"/>
          <w:sz w:val="24"/>
          <w:szCs w:val="24"/>
        </w:rPr>
        <w:t>moderno</w:t>
      </w:r>
      <w:r w:rsidR="008F3DE8">
        <w:rPr>
          <w:rFonts w:ascii="Bookman Old Style" w:hAnsi="Bookman Old Style"/>
          <w:sz w:val="24"/>
          <w:szCs w:val="24"/>
        </w:rPr>
        <w:t xml:space="preserve"> </w:t>
      </w:r>
      <w:r w:rsidRPr="00E464ED">
        <w:rPr>
          <w:rFonts w:ascii="Bookman Old Style" w:hAnsi="Bookman Old Style"/>
          <w:sz w:val="24"/>
          <w:szCs w:val="24"/>
        </w:rPr>
        <w:t>sono</w:t>
      </w:r>
      <w:r w:rsidR="008F3DE8">
        <w:rPr>
          <w:rFonts w:ascii="Bookman Old Style" w:hAnsi="Bookman Old Style"/>
          <w:sz w:val="24"/>
          <w:szCs w:val="24"/>
        </w:rPr>
        <w:t xml:space="preserve"> </w:t>
      </w:r>
      <w:r w:rsidRPr="00E464ED">
        <w:rPr>
          <w:rFonts w:ascii="Bookman Old Style" w:hAnsi="Bookman Old Style"/>
          <w:sz w:val="24"/>
          <w:szCs w:val="24"/>
        </w:rPr>
        <w:t>nozioni</w:t>
      </w:r>
      <w:r w:rsidR="008F3DE8">
        <w:rPr>
          <w:rFonts w:ascii="Bookman Old Style" w:hAnsi="Bookman Old Style"/>
          <w:sz w:val="24"/>
          <w:szCs w:val="24"/>
        </w:rPr>
        <w:t xml:space="preserve"> </w:t>
      </w:r>
      <w:r w:rsidRPr="00E464ED">
        <w:rPr>
          <w:rFonts w:ascii="Bookman Old Style" w:hAnsi="Bookman Old Style"/>
          <w:sz w:val="24"/>
          <w:szCs w:val="24"/>
        </w:rPr>
        <w:t>strettamente</w:t>
      </w:r>
      <w:r w:rsidR="008F3DE8">
        <w:rPr>
          <w:rFonts w:ascii="Bookman Old Style" w:hAnsi="Bookman Old Style"/>
          <w:sz w:val="24"/>
          <w:szCs w:val="24"/>
        </w:rPr>
        <w:t xml:space="preserve"> </w:t>
      </w:r>
      <w:r w:rsidR="00573879">
        <w:rPr>
          <w:rFonts w:ascii="Bookman Old Style" w:hAnsi="Bookman Old Style"/>
          <w:sz w:val="24"/>
          <w:szCs w:val="24"/>
        </w:rPr>
        <w:t>cor</w:t>
      </w:r>
      <w:r w:rsidRPr="00E464ED">
        <w:rPr>
          <w:rFonts w:ascii="Bookman Old Style" w:hAnsi="Bookman Old Style"/>
          <w:sz w:val="24"/>
          <w:szCs w:val="24"/>
        </w:rPr>
        <w:t>relate:</w:t>
      </w:r>
      <w:r w:rsidR="008F3DE8">
        <w:rPr>
          <w:rFonts w:ascii="Bookman Old Style" w:hAnsi="Bookman Old Style"/>
          <w:sz w:val="24"/>
          <w:szCs w:val="24"/>
        </w:rPr>
        <w:t xml:space="preserve"> </w:t>
      </w:r>
      <w:r w:rsidRPr="00E464ED">
        <w:rPr>
          <w:rFonts w:ascii="Bookman Old Style" w:hAnsi="Bookman Old Style"/>
          <w:sz w:val="24"/>
          <w:szCs w:val="24"/>
        </w:rPr>
        <w:t>i</w:t>
      </w:r>
      <w:r w:rsidR="008F3DE8">
        <w:rPr>
          <w:rFonts w:ascii="Bookman Old Style" w:hAnsi="Bookman Old Style"/>
          <w:sz w:val="24"/>
          <w:szCs w:val="24"/>
        </w:rPr>
        <w:t xml:space="preserve"> </w:t>
      </w:r>
      <w:r w:rsidRPr="00E464ED">
        <w:rPr>
          <w:rFonts w:ascii="Bookman Old Style" w:hAnsi="Bookman Old Style"/>
          <w:sz w:val="24"/>
          <w:szCs w:val="24"/>
        </w:rPr>
        <w:t>diritti</w:t>
      </w:r>
      <w:r w:rsidR="008F3DE8">
        <w:rPr>
          <w:rFonts w:ascii="Bookman Old Style" w:hAnsi="Bookman Old Style"/>
          <w:sz w:val="24"/>
          <w:szCs w:val="24"/>
        </w:rPr>
        <w:t xml:space="preserve"> </w:t>
      </w:r>
      <w:r w:rsidRPr="00E464ED">
        <w:rPr>
          <w:rFonts w:ascii="Bookman Old Style" w:hAnsi="Bookman Old Style"/>
          <w:sz w:val="24"/>
          <w:szCs w:val="24"/>
        </w:rPr>
        <w:t>costituzionalmente</w:t>
      </w:r>
      <w:r w:rsidR="008F3DE8">
        <w:rPr>
          <w:rFonts w:ascii="Bookman Old Style" w:hAnsi="Bookman Old Style"/>
          <w:sz w:val="24"/>
          <w:szCs w:val="24"/>
        </w:rPr>
        <w:t xml:space="preserve"> </w:t>
      </w:r>
      <w:r w:rsidRPr="00E464ED">
        <w:rPr>
          <w:rFonts w:ascii="Bookman Old Style" w:hAnsi="Bookman Old Style"/>
          <w:sz w:val="24"/>
          <w:szCs w:val="24"/>
        </w:rPr>
        <w:t>protetti</w:t>
      </w:r>
      <w:r w:rsidR="008F3DE8">
        <w:rPr>
          <w:rFonts w:ascii="Bookman Old Style" w:hAnsi="Bookman Old Style"/>
          <w:sz w:val="24"/>
          <w:szCs w:val="24"/>
        </w:rPr>
        <w:t xml:space="preserve"> </w:t>
      </w:r>
      <w:r w:rsidRPr="00E464ED">
        <w:rPr>
          <w:rFonts w:ascii="Bookman Old Style" w:hAnsi="Bookman Old Style"/>
          <w:sz w:val="24"/>
          <w:szCs w:val="24"/>
        </w:rPr>
        <w:t>assumono</w:t>
      </w:r>
      <w:r w:rsidR="008F3DE8">
        <w:rPr>
          <w:rFonts w:ascii="Bookman Old Style" w:hAnsi="Bookman Old Style"/>
          <w:sz w:val="24"/>
          <w:szCs w:val="24"/>
        </w:rPr>
        <w:t xml:space="preserve"> </w:t>
      </w:r>
      <w:r w:rsidRPr="00E464ED">
        <w:rPr>
          <w:rFonts w:ascii="Bookman Old Style" w:hAnsi="Bookman Old Style"/>
          <w:sz w:val="24"/>
          <w:szCs w:val="24"/>
        </w:rPr>
        <w:t>la</w:t>
      </w:r>
      <w:r w:rsidR="008F3DE8">
        <w:rPr>
          <w:rFonts w:ascii="Bookman Old Style" w:hAnsi="Bookman Old Style"/>
          <w:sz w:val="24"/>
          <w:szCs w:val="24"/>
        </w:rPr>
        <w:t xml:space="preserve"> </w:t>
      </w:r>
      <w:r w:rsidRPr="00E464ED">
        <w:rPr>
          <w:rFonts w:ascii="Bookman Old Style" w:hAnsi="Bookman Old Style"/>
          <w:sz w:val="24"/>
          <w:szCs w:val="24"/>
        </w:rPr>
        <w:t>valenza</w:t>
      </w:r>
      <w:r w:rsidR="008F3DE8">
        <w:rPr>
          <w:rFonts w:ascii="Bookman Old Style" w:hAnsi="Bookman Old Style"/>
          <w:sz w:val="24"/>
          <w:szCs w:val="24"/>
        </w:rPr>
        <w:t xml:space="preserve"> </w:t>
      </w:r>
      <w:r w:rsidRPr="00E464ED">
        <w:rPr>
          <w:rFonts w:ascii="Bookman Old Style" w:hAnsi="Bookman Old Style"/>
          <w:sz w:val="24"/>
          <w:szCs w:val="24"/>
        </w:rPr>
        <w:t>di</w:t>
      </w:r>
      <w:r w:rsidR="008F3DE8">
        <w:rPr>
          <w:rFonts w:ascii="Bookman Old Style" w:hAnsi="Bookman Old Style"/>
          <w:sz w:val="24"/>
          <w:szCs w:val="24"/>
        </w:rPr>
        <w:t xml:space="preserve"> </w:t>
      </w:r>
      <w:r w:rsidRPr="00E464ED">
        <w:rPr>
          <w:rFonts w:ascii="Bookman Old Style" w:hAnsi="Bookman Old Style"/>
          <w:sz w:val="24"/>
          <w:szCs w:val="24"/>
        </w:rPr>
        <w:t>diritti</w:t>
      </w:r>
      <w:r w:rsidR="008F3DE8">
        <w:rPr>
          <w:rFonts w:ascii="Bookman Old Style" w:hAnsi="Bookman Old Style"/>
          <w:sz w:val="24"/>
          <w:szCs w:val="24"/>
        </w:rPr>
        <w:t xml:space="preserve"> </w:t>
      </w:r>
      <w:r w:rsidRPr="00E464ED">
        <w:rPr>
          <w:rFonts w:ascii="Bookman Old Style" w:hAnsi="Bookman Old Style"/>
          <w:sz w:val="24"/>
          <w:szCs w:val="24"/>
        </w:rPr>
        <w:t>fondamentali</w:t>
      </w:r>
      <w:r w:rsidR="008F3DE8">
        <w:rPr>
          <w:rFonts w:ascii="Bookman Old Style" w:hAnsi="Bookman Old Style"/>
          <w:sz w:val="24"/>
          <w:szCs w:val="24"/>
        </w:rPr>
        <w:t xml:space="preserve"> </w:t>
      </w:r>
      <w:r w:rsidRPr="00E464ED">
        <w:rPr>
          <w:rFonts w:ascii="Bookman Old Style" w:hAnsi="Bookman Old Style"/>
          <w:sz w:val="24"/>
          <w:szCs w:val="24"/>
        </w:rPr>
        <w:t>in</w:t>
      </w:r>
      <w:r w:rsidR="008F3DE8">
        <w:rPr>
          <w:rFonts w:ascii="Bookman Old Style" w:hAnsi="Bookman Old Style"/>
          <w:sz w:val="24"/>
          <w:szCs w:val="24"/>
        </w:rPr>
        <w:t xml:space="preserve"> </w:t>
      </w:r>
      <w:r w:rsidRPr="00E464ED">
        <w:rPr>
          <w:rFonts w:ascii="Bookman Old Style" w:hAnsi="Bookman Old Style"/>
          <w:sz w:val="24"/>
          <w:szCs w:val="24"/>
        </w:rPr>
        <w:t>qu</w:t>
      </w:r>
      <w:r w:rsidR="00573879">
        <w:rPr>
          <w:rFonts w:ascii="Bookman Old Style" w:hAnsi="Bookman Old Style"/>
          <w:sz w:val="24"/>
          <w:szCs w:val="24"/>
        </w:rPr>
        <w:t>a</w:t>
      </w:r>
      <w:r w:rsidRPr="00E464ED">
        <w:rPr>
          <w:rFonts w:ascii="Bookman Old Style" w:hAnsi="Bookman Old Style"/>
          <w:sz w:val="24"/>
          <w:szCs w:val="24"/>
        </w:rPr>
        <w:t>nto</w:t>
      </w:r>
      <w:r w:rsidR="008F3DE8">
        <w:rPr>
          <w:rFonts w:ascii="Bookman Old Style" w:hAnsi="Bookman Old Style"/>
          <w:sz w:val="24"/>
          <w:szCs w:val="24"/>
        </w:rPr>
        <w:t xml:space="preserve"> </w:t>
      </w:r>
      <w:r w:rsidRPr="00E464ED">
        <w:rPr>
          <w:rFonts w:ascii="Bookman Old Style" w:hAnsi="Bookman Old Style"/>
          <w:sz w:val="24"/>
          <w:szCs w:val="24"/>
        </w:rPr>
        <w:t>“diritti</w:t>
      </w:r>
      <w:r w:rsidR="008F3DE8">
        <w:rPr>
          <w:rFonts w:ascii="Bookman Old Style" w:hAnsi="Bookman Old Style"/>
          <w:sz w:val="24"/>
          <w:szCs w:val="24"/>
        </w:rPr>
        <w:t xml:space="preserve"> </w:t>
      </w:r>
      <w:r w:rsidRPr="00E464ED">
        <w:rPr>
          <w:rFonts w:ascii="Bookman Old Style" w:hAnsi="Bookman Old Style"/>
          <w:sz w:val="24"/>
          <w:szCs w:val="24"/>
        </w:rPr>
        <w:t>basilari”,</w:t>
      </w:r>
      <w:r w:rsidR="008F3DE8">
        <w:rPr>
          <w:rFonts w:ascii="Bookman Old Style" w:hAnsi="Bookman Old Style"/>
          <w:sz w:val="24"/>
          <w:szCs w:val="24"/>
        </w:rPr>
        <w:t xml:space="preserve"> </w:t>
      </w:r>
      <w:r w:rsidRPr="00E464ED">
        <w:rPr>
          <w:rFonts w:ascii="Bookman Old Style" w:hAnsi="Bookman Old Style"/>
          <w:sz w:val="24"/>
          <w:szCs w:val="24"/>
        </w:rPr>
        <w:t>ossia</w:t>
      </w:r>
      <w:r w:rsidR="008F3DE8">
        <w:rPr>
          <w:rFonts w:ascii="Bookman Old Style" w:hAnsi="Bookman Old Style"/>
          <w:sz w:val="24"/>
          <w:szCs w:val="24"/>
        </w:rPr>
        <w:t xml:space="preserve"> </w:t>
      </w:r>
      <w:r w:rsidRPr="00E464ED">
        <w:rPr>
          <w:rFonts w:ascii="Bookman Old Style" w:hAnsi="Bookman Old Style"/>
          <w:sz w:val="24"/>
          <w:szCs w:val="24"/>
        </w:rPr>
        <w:t>diritti</w:t>
      </w:r>
      <w:r w:rsidR="008F3DE8">
        <w:rPr>
          <w:rFonts w:ascii="Bookman Old Style" w:hAnsi="Bookman Old Style"/>
          <w:sz w:val="24"/>
          <w:szCs w:val="24"/>
        </w:rPr>
        <w:t xml:space="preserve"> </w:t>
      </w:r>
      <w:r w:rsidRPr="00E464ED">
        <w:rPr>
          <w:rFonts w:ascii="Bookman Old Style" w:hAnsi="Bookman Old Style"/>
          <w:sz w:val="24"/>
          <w:szCs w:val="24"/>
        </w:rPr>
        <w:t>che</w:t>
      </w:r>
      <w:r w:rsidR="008F3DE8">
        <w:rPr>
          <w:rFonts w:ascii="Bookman Old Style" w:hAnsi="Bookman Old Style"/>
          <w:sz w:val="24"/>
          <w:szCs w:val="24"/>
        </w:rPr>
        <w:t xml:space="preserve"> </w:t>
      </w:r>
      <w:r w:rsidRPr="00E464ED">
        <w:rPr>
          <w:rFonts w:ascii="Bookman Old Style" w:hAnsi="Bookman Old Style"/>
          <w:sz w:val="24"/>
          <w:szCs w:val="24"/>
        </w:rPr>
        <w:t>costituiscono</w:t>
      </w:r>
      <w:r w:rsidR="008F3DE8">
        <w:rPr>
          <w:rFonts w:ascii="Bookman Old Style" w:hAnsi="Bookman Old Style"/>
          <w:sz w:val="24"/>
          <w:szCs w:val="24"/>
        </w:rPr>
        <w:t xml:space="preserve"> </w:t>
      </w:r>
      <w:r w:rsidRPr="00E464ED">
        <w:rPr>
          <w:rFonts w:ascii="Bookman Old Style" w:hAnsi="Bookman Old Style"/>
          <w:sz w:val="24"/>
          <w:szCs w:val="24"/>
        </w:rPr>
        <w:t>il</w:t>
      </w:r>
      <w:r w:rsidR="008F3DE8">
        <w:rPr>
          <w:rFonts w:ascii="Bookman Old Style" w:hAnsi="Bookman Old Style"/>
          <w:sz w:val="24"/>
          <w:szCs w:val="24"/>
        </w:rPr>
        <w:t xml:space="preserve"> </w:t>
      </w:r>
      <w:r w:rsidRPr="00E464ED">
        <w:rPr>
          <w:rFonts w:ascii="Bookman Old Style" w:hAnsi="Bookman Old Style"/>
          <w:sz w:val="24"/>
          <w:szCs w:val="24"/>
        </w:rPr>
        <w:t>fondamento,</w:t>
      </w:r>
      <w:r w:rsidR="008F3DE8">
        <w:rPr>
          <w:rFonts w:ascii="Bookman Old Style" w:hAnsi="Bookman Old Style"/>
          <w:sz w:val="24"/>
          <w:szCs w:val="24"/>
        </w:rPr>
        <w:t xml:space="preserve"> </w:t>
      </w:r>
      <w:r w:rsidRPr="00E464ED">
        <w:rPr>
          <w:rFonts w:ascii="Bookman Old Style" w:hAnsi="Bookman Old Style"/>
          <w:sz w:val="24"/>
          <w:szCs w:val="24"/>
        </w:rPr>
        <w:t>il</w:t>
      </w:r>
      <w:r w:rsidR="008F3DE8">
        <w:rPr>
          <w:rFonts w:ascii="Bookman Old Style" w:hAnsi="Bookman Old Style"/>
          <w:sz w:val="24"/>
          <w:szCs w:val="24"/>
        </w:rPr>
        <w:t xml:space="preserve"> </w:t>
      </w:r>
      <w:r w:rsidRPr="00E464ED">
        <w:rPr>
          <w:rFonts w:ascii="Bookman Old Style" w:hAnsi="Bookman Old Style"/>
          <w:sz w:val="24"/>
          <w:szCs w:val="24"/>
        </w:rPr>
        <w:t>pilastro</w:t>
      </w:r>
      <w:r w:rsidR="008F3DE8">
        <w:rPr>
          <w:rFonts w:ascii="Bookman Old Style" w:hAnsi="Bookman Old Style"/>
          <w:sz w:val="24"/>
          <w:szCs w:val="24"/>
        </w:rPr>
        <w:t xml:space="preserve"> </w:t>
      </w:r>
      <w:r w:rsidRPr="00E464ED">
        <w:rPr>
          <w:rFonts w:ascii="Bookman Old Style" w:hAnsi="Bookman Old Style"/>
          <w:sz w:val="24"/>
          <w:szCs w:val="24"/>
        </w:rPr>
        <w:t>portante</w:t>
      </w:r>
      <w:r w:rsidR="008F3DE8">
        <w:rPr>
          <w:rFonts w:ascii="Bookman Old Style" w:hAnsi="Bookman Old Style"/>
          <w:sz w:val="24"/>
          <w:szCs w:val="24"/>
        </w:rPr>
        <w:t xml:space="preserve"> </w:t>
      </w:r>
      <w:r w:rsidRPr="00E464ED">
        <w:rPr>
          <w:rFonts w:ascii="Bookman Old Style" w:hAnsi="Bookman Old Style"/>
          <w:sz w:val="24"/>
          <w:szCs w:val="24"/>
        </w:rPr>
        <w:t>di</w:t>
      </w:r>
      <w:r w:rsidR="008F3DE8">
        <w:rPr>
          <w:rFonts w:ascii="Bookman Old Style" w:hAnsi="Bookman Old Style"/>
          <w:sz w:val="24"/>
          <w:szCs w:val="24"/>
        </w:rPr>
        <w:t xml:space="preserve"> </w:t>
      </w:r>
      <w:r w:rsidRPr="00E464ED">
        <w:rPr>
          <w:rFonts w:ascii="Bookman Old Style" w:hAnsi="Bookman Old Style"/>
          <w:sz w:val="24"/>
          <w:szCs w:val="24"/>
        </w:rPr>
        <w:t>un</w:t>
      </w:r>
      <w:r w:rsidR="008F3DE8">
        <w:rPr>
          <w:rFonts w:ascii="Bookman Old Style" w:hAnsi="Bookman Old Style"/>
          <w:sz w:val="24"/>
          <w:szCs w:val="24"/>
        </w:rPr>
        <w:t xml:space="preserve"> </w:t>
      </w:r>
      <w:r w:rsidRPr="00E464ED">
        <w:rPr>
          <w:rFonts w:ascii="Bookman Old Style" w:hAnsi="Bookman Old Style"/>
          <w:sz w:val="24"/>
          <w:szCs w:val="24"/>
        </w:rPr>
        <w:t>ordinamento</w:t>
      </w:r>
      <w:r w:rsidR="008F3DE8">
        <w:rPr>
          <w:rFonts w:ascii="Bookman Old Style" w:hAnsi="Bookman Old Style"/>
          <w:sz w:val="24"/>
          <w:szCs w:val="24"/>
        </w:rPr>
        <w:t xml:space="preserve"> </w:t>
      </w:r>
      <w:r w:rsidRPr="00E464ED">
        <w:rPr>
          <w:rFonts w:ascii="Bookman Old Style" w:hAnsi="Bookman Old Style"/>
          <w:sz w:val="24"/>
          <w:szCs w:val="24"/>
        </w:rPr>
        <w:t>giuridico</w:t>
      </w:r>
      <w:r w:rsidR="008F3DE8">
        <w:rPr>
          <w:rFonts w:ascii="Bookman Old Style" w:hAnsi="Bookman Old Style"/>
          <w:sz w:val="24"/>
          <w:szCs w:val="24"/>
        </w:rPr>
        <w:t xml:space="preserve"> </w:t>
      </w:r>
      <w:r w:rsidRPr="00E464ED">
        <w:rPr>
          <w:rFonts w:ascii="Bookman Old Style" w:hAnsi="Bookman Old Style"/>
          <w:sz w:val="24"/>
          <w:szCs w:val="24"/>
        </w:rPr>
        <w:t>democratico</w:t>
      </w:r>
      <w:r w:rsidR="008F3DE8">
        <w:rPr>
          <w:rFonts w:ascii="Bookman Old Style" w:hAnsi="Bookman Old Style"/>
          <w:sz w:val="24"/>
          <w:szCs w:val="24"/>
        </w:rPr>
        <w:t xml:space="preserve"> </w:t>
      </w:r>
      <w:r w:rsidR="00573879">
        <w:rPr>
          <w:rFonts w:ascii="Bookman Old Style" w:hAnsi="Bookman Old Style"/>
          <w:sz w:val="24"/>
          <w:szCs w:val="24"/>
        </w:rPr>
        <w:t>che,</w:t>
      </w:r>
      <w:r w:rsidR="008F3DE8">
        <w:rPr>
          <w:rFonts w:ascii="Bookman Old Style" w:hAnsi="Bookman Old Style"/>
          <w:sz w:val="24"/>
          <w:szCs w:val="24"/>
        </w:rPr>
        <w:t xml:space="preserve"> </w:t>
      </w:r>
      <w:r w:rsidR="003E089B">
        <w:rPr>
          <w:rFonts w:ascii="Bookman Old Style" w:hAnsi="Bookman Old Style"/>
          <w:sz w:val="24"/>
          <w:szCs w:val="24"/>
        </w:rPr>
        <w:t>proprio</w:t>
      </w:r>
      <w:r w:rsidR="008F3DE8">
        <w:rPr>
          <w:rFonts w:ascii="Bookman Old Style" w:hAnsi="Bookman Old Style"/>
          <w:sz w:val="24"/>
          <w:szCs w:val="24"/>
        </w:rPr>
        <w:t xml:space="preserve"> </w:t>
      </w:r>
      <w:r w:rsidR="00573879">
        <w:rPr>
          <w:rFonts w:ascii="Bookman Old Style" w:hAnsi="Bookman Old Style"/>
          <w:sz w:val="24"/>
          <w:szCs w:val="24"/>
        </w:rPr>
        <w:t>in</w:t>
      </w:r>
      <w:r w:rsidR="008F3DE8">
        <w:rPr>
          <w:rFonts w:ascii="Bookman Old Style" w:hAnsi="Bookman Old Style"/>
          <w:sz w:val="24"/>
          <w:szCs w:val="24"/>
        </w:rPr>
        <w:t xml:space="preserve"> </w:t>
      </w:r>
      <w:r w:rsidR="00573879">
        <w:rPr>
          <w:rFonts w:ascii="Bookman Old Style" w:hAnsi="Bookman Old Style"/>
          <w:sz w:val="24"/>
          <w:szCs w:val="24"/>
        </w:rPr>
        <w:t>quanto</w:t>
      </w:r>
      <w:r w:rsidR="008F3DE8">
        <w:rPr>
          <w:rFonts w:ascii="Bookman Old Style" w:hAnsi="Bookman Old Style"/>
          <w:sz w:val="24"/>
          <w:szCs w:val="24"/>
        </w:rPr>
        <w:t xml:space="preserve"> </w:t>
      </w:r>
      <w:r w:rsidR="00573879">
        <w:rPr>
          <w:rFonts w:ascii="Bookman Old Style" w:hAnsi="Bookman Old Style"/>
          <w:sz w:val="24"/>
          <w:szCs w:val="24"/>
        </w:rPr>
        <w:t>pluralista</w:t>
      </w:r>
      <w:r w:rsidR="003E089B">
        <w:rPr>
          <w:rFonts w:ascii="Bookman Old Style" w:hAnsi="Bookman Old Style"/>
          <w:sz w:val="24"/>
          <w:szCs w:val="24"/>
        </w:rPr>
        <w:t>,</w:t>
      </w:r>
      <w:r w:rsidR="008F3DE8">
        <w:rPr>
          <w:rFonts w:ascii="Bookman Old Style" w:hAnsi="Bookman Old Style"/>
          <w:sz w:val="24"/>
          <w:szCs w:val="24"/>
        </w:rPr>
        <w:t xml:space="preserve"> </w:t>
      </w:r>
      <w:r w:rsidR="00573879">
        <w:rPr>
          <w:rFonts w:ascii="Bookman Old Style" w:hAnsi="Bookman Old Style"/>
          <w:sz w:val="24"/>
          <w:szCs w:val="24"/>
        </w:rPr>
        <w:t>esiste</w:t>
      </w:r>
      <w:r w:rsidR="008F3DE8">
        <w:rPr>
          <w:rFonts w:ascii="Bookman Old Style" w:hAnsi="Bookman Old Style"/>
          <w:sz w:val="24"/>
          <w:szCs w:val="24"/>
        </w:rPr>
        <w:t xml:space="preserve"> </w:t>
      </w:r>
      <w:r w:rsidR="00573879">
        <w:rPr>
          <w:rFonts w:ascii="Bookman Old Style" w:hAnsi="Bookman Old Style"/>
          <w:sz w:val="24"/>
          <w:szCs w:val="24"/>
        </w:rPr>
        <w:t>ed</w:t>
      </w:r>
      <w:r w:rsidR="008F3DE8">
        <w:rPr>
          <w:rFonts w:ascii="Bookman Old Style" w:hAnsi="Bookman Old Style"/>
          <w:sz w:val="24"/>
          <w:szCs w:val="24"/>
        </w:rPr>
        <w:t xml:space="preserve"> </w:t>
      </w:r>
      <w:r w:rsidR="00573879">
        <w:rPr>
          <w:rFonts w:ascii="Bookman Old Style" w:hAnsi="Bookman Old Style"/>
          <w:sz w:val="24"/>
          <w:szCs w:val="24"/>
        </w:rPr>
        <w:t>opera</w:t>
      </w:r>
      <w:r w:rsidR="008F3DE8">
        <w:rPr>
          <w:rFonts w:ascii="Bookman Old Style" w:hAnsi="Bookman Old Style"/>
          <w:sz w:val="24"/>
          <w:szCs w:val="24"/>
        </w:rPr>
        <w:t xml:space="preserve"> </w:t>
      </w:r>
      <w:r w:rsidR="00573879">
        <w:rPr>
          <w:rFonts w:ascii="Bookman Old Style" w:hAnsi="Bookman Old Style"/>
          <w:sz w:val="24"/>
          <w:szCs w:val="24"/>
        </w:rPr>
        <w:t>per</w:t>
      </w:r>
      <w:r w:rsidR="008F3DE8">
        <w:rPr>
          <w:rFonts w:ascii="Bookman Old Style" w:hAnsi="Bookman Old Style"/>
          <w:sz w:val="24"/>
          <w:szCs w:val="24"/>
        </w:rPr>
        <w:t xml:space="preserve"> </w:t>
      </w:r>
      <w:r w:rsidR="00573879">
        <w:rPr>
          <w:rFonts w:ascii="Bookman Old Style" w:hAnsi="Bookman Old Style"/>
          <w:sz w:val="24"/>
          <w:szCs w:val="24"/>
        </w:rPr>
        <w:t>il</w:t>
      </w:r>
      <w:r w:rsidR="008F3DE8">
        <w:rPr>
          <w:rFonts w:ascii="Bookman Old Style" w:hAnsi="Bookman Old Style"/>
          <w:sz w:val="24"/>
          <w:szCs w:val="24"/>
        </w:rPr>
        <w:t xml:space="preserve"> </w:t>
      </w:r>
      <w:r w:rsidR="00573879">
        <w:rPr>
          <w:rFonts w:ascii="Bookman Old Style" w:hAnsi="Bookman Old Style"/>
          <w:sz w:val="24"/>
          <w:szCs w:val="24"/>
        </w:rPr>
        <w:t>perseguimento</w:t>
      </w:r>
      <w:r w:rsidR="008F3DE8">
        <w:rPr>
          <w:rFonts w:ascii="Bookman Old Style" w:hAnsi="Bookman Old Style"/>
          <w:sz w:val="24"/>
          <w:szCs w:val="24"/>
        </w:rPr>
        <w:t xml:space="preserve"> </w:t>
      </w:r>
      <w:r w:rsidR="00573879">
        <w:rPr>
          <w:rFonts w:ascii="Bookman Old Style" w:hAnsi="Bookman Old Style"/>
          <w:sz w:val="24"/>
          <w:szCs w:val="24"/>
        </w:rPr>
        <w:t>e</w:t>
      </w:r>
      <w:r w:rsidR="008F3DE8">
        <w:rPr>
          <w:rFonts w:ascii="Bookman Old Style" w:hAnsi="Bookman Old Style"/>
          <w:sz w:val="24"/>
          <w:szCs w:val="24"/>
        </w:rPr>
        <w:t xml:space="preserve"> </w:t>
      </w:r>
      <w:r w:rsidR="00573879">
        <w:rPr>
          <w:rFonts w:ascii="Bookman Old Style" w:hAnsi="Bookman Old Style"/>
          <w:sz w:val="24"/>
          <w:szCs w:val="24"/>
        </w:rPr>
        <w:t>la</w:t>
      </w:r>
      <w:r w:rsidR="008F3DE8">
        <w:rPr>
          <w:rFonts w:ascii="Bookman Old Style" w:hAnsi="Bookman Old Style"/>
          <w:sz w:val="24"/>
          <w:szCs w:val="24"/>
        </w:rPr>
        <w:t xml:space="preserve"> </w:t>
      </w:r>
      <w:r w:rsidR="00573879">
        <w:rPr>
          <w:rFonts w:ascii="Bookman Old Style" w:hAnsi="Bookman Old Style"/>
          <w:sz w:val="24"/>
          <w:szCs w:val="24"/>
        </w:rPr>
        <w:t>tutela</w:t>
      </w:r>
      <w:r w:rsidR="008F3DE8">
        <w:rPr>
          <w:rFonts w:ascii="Bookman Old Style" w:hAnsi="Bookman Old Style"/>
          <w:sz w:val="24"/>
          <w:szCs w:val="24"/>
        </w:rPr>
        <w:t xml:space="preserve"> </w:t>
      </w:r>
      <w:r w:rsidR="00573879">
        <w:rPr>
          <w:rFonts w:ascii="Bookman Old Style" w:hAnsi="Bookman Old Style"/>
          <w:sz w:val="24"/>
          <w:szCs w:val="24"/>
        </w:rPr>
        <w:t>d</w:t>
      </w:r>
      <w:r w:rsidR="003E089B">
        <w:rPr>
          <w:rFonts w:ascii="Bookman Old Style" w:hAnsi="Bookman Old Style"/>
          <w:sz w:val="24"/>
          <w:szCs w:val="24"/>
        </w:rPr>
        <w:t>i</w:t>
      </w:r>
      <w:r w:rsidR="008F3DE8">
        <w:rPr>
          <w:rFonts w:ascii="Bookman Old Style" w:hAnsi="Bookman Old Style"/>
          <w:sz w:val="24"/>
          <w:szCs w:val="24"/>
        </w:rPr>
        <w:t xml:space="preserve"> </w:t>
      </w:r>
      <w:r w:rsidR="003E089B">
        <w:rPr>
          <w:rFonts w:ascii="Bookman Old Style" w:hAnsi="Bookman Old Style"/>
          <w:sz w:val="24"/>
          <w:szCs w:val="24"/>
        </w:rPr>
        <w:t>un</w:t>
      </w:r>
      <w:r w:rsidR="008F3DE8">
        <w:rPr>
          <w:rFonts w:ascii="Bookman Old Style" w:hAnsi="Bookman Old Style"/>
          <w:sz w:val="24"/>
          <w:szCs w:val="24"/>
        </w:rPr>
        <w:t xml:space="preserve"> </w:t>
      </w:r>
      <w:r w:rsidR="003E089B">
        <w:rPr>
          <w:rFonts w:ascii="Bookman Old Style" w:hAnsi="Bookman Old Style"/>
          <w:sz w:val="24"/>
          <w:szCs w:val="24"/>
        </w:rPr>
        <w:t>vasto</w:t>
      </w:r>
      <w:r w:rsidR="008F3DE8">
        <w:rPr>
          <w:rFonts w:ascii="Bookman Old Style" w:hAnsi="Bookman Old Style"/>
          <w:sz w:val="24"/>
          <w:szCs w:val="24"/>
        </w:rPr>
        <w:t xml:space="preserve"> </w:t>
      </w:r>
      <w:r w:rsidR="003E089B">
        <w:rPr>
          <w:rFonts w:ascii="Bookman Old Style" w:hAnsi="Bookman Old Style"/>
          <w:sz w:val="24"/>
          <w:szCs w:val="24"/>
        </w:rPr>
        <w:t>numero</w:t>
      </w:r>
      <w:r w:rsidR="008F3DE8">
        <w:rPr>
          <w:rFonts w:ascii="Bookman Old Style" w:hAnsi="Bookman Old Style"/>
          <w:sz w:val="24"/>
          <w:szCs w:val="24"/>
        </w:rPr>
        <w:t xml:space="preserve"> </w:t>
      </w:r>
      <w:r w:rsidR="003E089B">
        <w:rPr>
          <w:rFonts w:ascii="Bookman Old Style" w:hAnsi="Bookman Old Style"/>
          <w:sz w:val="24"/>
          <w:szCs w:val="24"/>
        </w:rPr>
        <w:t>d</w:t>
      </w:r>
      <w:r w:rsidR="00573879">
        <w:rPr>
          <w:rFonts w:ascii="Bookman Old Style" w:hAnsi="Bookman Old Style"/>
          <w:sz w:val="24"/>
          <w:szCs w:val="24"/>
        </w:rPr>
        <w:t>i</w:t>
      </w:r>
      <w:r w:rsidR="008F3DE8">
        <w:rPr>
          <w:rFonts w:ascii="Bookman Old Style" w:hAnsi="Bookman Old Style"/>
          <w:sz w:val="24"/>
          <w:szCs w:val="24"/>
        </w:rPr>
        <w:t xml:space="preserve"> </w:t>
      </w:r>
      <w:r w:rsidRPr="00E464ED">
        <w:rPr>
          <w:rFonts w:ascii="Bookman Old Style" w:hAnsi="Bookman Old Style"/>
          <w:sz w:val="24"/>
          <w:szCs w:val="24"/>
        </w:rPr>
        <w:t>diritti</w:t>
      </w:r>
      <w:r w:rsidR="008F3DE8">
        <w:rPr>
          <w:rFonts w:ascii="Bookman Old Style" w:hAnsi="Bookman Old Style"/>
          <w:sz w:val="24"/>
          <w:szCs w:val="24"/>
        </w:rPr>
        <w:t xml:space="preserve"> </w:t>
      </w:r>
      <w:r w:rsidRPr="00E464ED">
        <w:rPr>
          <w:rFonts w:ascii="Bookman Old Style" w:hAnsi="Bookman Old Style"/>
          <w:sz w:val="24"/>
          <w:szCs w:val="24"/>
        </w:rPr>
        <w:t>fondamentali.</w:t>
      </w:r>
    </w:p>
    <w:p w:rsidR="002F47CA" w:rsidRPr="00E464ED" w:rsidRDefault="005814C4" w:rsidP="002F47CA">
      <w:pPr>
        <w:ind w:firstLine="709"/>
        <w:jc w:val="both"/>
        <w:rPr>
          <w:rFonts w:ascii="Bookman Old Style" w:hAnsi="Bookman Old Style"/>
          <w:sz w:val="24"/>
          <w:szCs w:val="24"/>
        </w:rPr>
      </w:pPr>
      <w:r w:rsidRPr="00E464ED">
        <w:rPr>
          <w:rFonts w:ascii="Bookman Old Style" w:hAnsi="Bookman Old Style"/>
          <w:sz w:val="24"/>
          <w:szCs w:val="24"/>
        </w:rPr>
        <w:t>Le</w:t>
      </w:r>
      <w:r w:rsidR="008F3DE8">
        <w:rPr>
          <w:rFonts w:ascii="Bookman Old Style" w:hAnsi="Bookman Old Style"/>
          <w:sz w:val="24"/>
          <w:szCs w:val="24"/>
        </w:rPr>
        <w:t xml:space="preserve"> </w:t>
      </w:r>
      <w:r w:rsidRPr="00E464ED">
        <w:rPr>
          <w:rFonts w:ascii="Bookman Old Style" w:hAnsi="Bookman Old Style"/>
          <w:sz w:val="24"/>
          <w:szCs w:val="24"/>
        </w:rPr>
        <w:t>Costituzioni</w:t>
      </w:r>
      <w:r w:rsidR="008F3DE8">
        <w:rPr>
          <w:rFonts w:ascii="Bookman Old Style" w:hAnsi="Bookman Old Style"/>
          <w:sz w:val="24"/>
          <w:szCs w:val="24"/>
        </w:rPr>
        <w:t xml:space="preserve"> </w:t>
      </w:r>
      <w:r w:rsidR="00990A66" w:rsidRPr="00E464ED">
        <w:rPr>
          <w:rFonts w:ascii="Bookman Old Style" w:hAnsi="Bookman Old Style"/>
          <w:sz w:val="24"/>
          <w:szCs w:val="24"/>
        </w:rPr>
        <w:t>nate</w:t>
      </w:r>
      <w:r w:rsidR="008F3DE8">
        <w:rPr>
          <w:rFonts w:ascii="Bookman Old Style" w:hAnsi="Bookman Old Style"/>
          <w:sz w:val="24"/>
          <w:szCs w:val="24"/>
        </w:rPr>
        <w:t xml:space="preserve"> </w:t>
      </w:r>
      <w:r w:rsidR="00990A66" w:rsidRPr="00E464ED">
        <w:rPr>
          <w:rFonts w:ascii="Bookman Old Style" w:hAnsi="Bookman Old Style"/>
          <w:sz w:val="24"/>
          <w:szCs w:val="24"/>
        </w:rPr>
        <w:t>nel</w:t>
      </w:r>
      <w:r w:rsidR="008F3DE8">
        <w:rPr>
          <w:rFonts w:ascii="Bookman Old Style" w:hAnsi="Bookman Old Style"/>
          <w:sz w:val="24"/>
          <w:szCs w:val="24"/>
        </w:rPr>
        <w:t xml:space="preserve"> </w:t>
      </w:r>
      <w:r w:rsidR="00990A66" w:rsidRPr="00E464ED">
        <w:rPr>
          <w:rFonts w:ascii="Bookman Old Style" w:hAnsi="Bookman Old Style"/>
          <w:sz w:val="24"/>
          <w:szCs w:val="24"/>
        </w:rPr>
        <w:t>secondo</w:t>
      </w:r>
      <w:r w:rsidR="008F3DE8">
        <w:rPr>
          <w:rFonts w:ascii="Bookman Old Style" w:hAnsi="Bookman Old Style"/>
          <w:sz w:val="24"/>
          <w:szCs w:val="24"/>
        </w:rPr>
        <w:t xml:space="preserve"> </w:t>
      </w:r>
      <w:r w:rsidR="00990A66" w:rsidRPr="00E464ED">
        <w:rPr>
          <w:rFonts w:ascii="Bookman Old Style" w:hAnsi="Bookman Old Style"/>
          <w:sz w:val="24"/>
          <w:szCs w:val="24"/>
        </w:rPr>
        <w:t>dopoguerra</w:t>
      </w:r>
      <w:r w:rsidRPr="00E464ED">
        <w:rPr>
          <w:rFonts w:ascii="Bookman Old Style" w:hAnsi="Bookman Old Style"/>
          <w:sz w:val="24"/>
          <w:szCs w:val="24"/>
        </w:rPr>
        <w:t>,</w:t>
      </w:r>
      <w:r w:rsidR="008F3DE8">
        <w:rPr>
          <w:rFonts w:ascii="Bookman Old Style" w:hAnsi="Bookman Old Style"/>
          <w:sz w:val="24"/>
          <w:szCs w:val="24"/>
        </w:rPr>
        <w:t xml:space="preserve"> </w:t>
      </w:r>
      <w:r w:rsidRPr="00E464ED">
        <w:rPr>
          <w:rFonts w:ascii="Bookman Old Style" w:hAnsi="Bookman Old Style"/>
          <w:sz w:val="24"/>
          <w:szCs w:val="24"/>
        </w:rPr>
        <w:t>infatti,</w:t>
      </w:r>
      <w:r w:rsidR="008F3DE8">
        <w:rPr>
          <w:rFonts w:ascii="Bookman Old Style" w:hAnsi="Bookman Old Style"/>
          <w:sz w:val="24"/>
          <w:szCs w:val="24"/>
        </w:rPr>
        <w:t xml:space="preserve"> </w:t>
      </w:r>
      <w:r w:rsidRPr="00E464ED">
        <w:rPr>
          <w:rFonts w:ascii="Bookman Old Style" w:hAnsi="Bookman Old Style"/>
          <w:sz w:val="24"/>
          <w:szCs w:val="24"/>
        </w:rPr>
        <w:t>tendono</w:t>
      </w:r>
      <w:r w:rsidR="008F3DE8">
        <w:rPr>
          <w:rFonts w:ascii="Bookman Old Style" w:hAnsi="Bookman Old Style"/>
          <w:sz w:val="24"/>
          <w:szCs w:val="24"/>
        </w:rPr>
        <w:t xml:space="preserve"> </w:t>
      </w:r>
      <w:r w:rsidRPr="00E464ED">
        <w:rPr>
          <w:rFonts w:ascii="Bookman Old Style" w:hAnsi="Bookman Old Style"/>
          <w:sz w:val="24"/>
          <w:szCs w:val="24"/>
        </w:rPr>
        <w:t>ad</w:t>
      </w:r>
      <w:r w:rsidR="008F3DE8">
        <w:rPr>
          <w:rFonts w:ascii="Bookman Old Style" w:hAnsi="Bookman Old Style"/>
          <w:sz w:val="24"/>
          <w:szCs w:val="24"/>
        </w:rPr>
        <w:t xml:space="preserve"> </w:t>
      </w:r>
      <w:r w:rsidR="003E089B">
        <w:rPr>
          <w:rFonts w:ascii="Bookman Old Style" w:hAnsi="Bookman Old Style"/>
          <w:sz w:val="24"/>
          <w:szCs w:val="24"/>
        </w:rPr>
        <w:t>“</w:t>
      </w:r>
      <w:r w:rsidRPr="00E464ED">
        <w:rPr>
          <w:rFonts w:ascii="Bookman Old Style" w:hAnsi="Bookman Old Style"/>
          <w:sz w:val="24"/>
          <w:szCs w:val="24"/>
        </w:rPr>
        <w:t>eccedere</w:t>
      </w:r>
      <w:r w:rsidR="008F3DE8">
        <w:rPr>
          <w:rFonts w:ascii="Bookman Old Style" w:hAnsi="Bookman Old Style"/>
          <w:sz w:val="24"/>
          <w:szCs w:val="24"/>
        </w:rPr>
        <w:t xml:space="preserve"> </w:t>
      </w:r>
      <w:r w:rsidRPr="00E464ED">
        <w:rPr>
          <w:rFonts w:ascii="Bookman Old Style" w:hAnsi="Bookman Old Style"/>
          <w:sz w:val="24"/>
          <w:szCs w:val="24"/>
        </w:rPr>
        <w:t>rispetto</w:t>
      </w:r>
      <w:r w:rsidR="008F3DE8">
        <w:rPr>
          <w:rFonts w:ascii="Bookman Old Style" w:hAnsi="Bookman Old Style"/>
          <w:sz w:val="24"/>
          <w:szCs w:val="24"/>
        </w:rPr>
        <w:t xml:space="preserve"> </w:t>
      </w:r>
      <w:r w:rsidRPr="00E464ED">
        <w:rPr>
          <w:rFonts w:ascii="Bookman Old Style" w:hAnsi="Bookman Old Style"/>
          <w:sz w:val="24"/>
          <w:szCs w:val="24"/>
        </w:rPr>
        <w:t>la</w:t>
      </w:r>
      <w:r w:rsidR="008F3DE8">
        <w:rPr>
          <w:rFonts w:ascii="Bookman Old Style" w:hAnsi="Bookman Old Style"/>
          <w:sz w:val="24"/>
          <w:szCs w:val="24"/>
        </w:rPr>
        <w:t xml:space="preserve"> </w:t>
      </w:r>
      <w:r w:rsidRPr="00E464ED">
        <w:rPr>
          <w:rFonts w:ascii="Bookman Old Style" w:hAnsi="Bookman Old Style"/>
          <w:sz w:val="24"/>
          <w:szCs w:val="24"/>
        </w:rPr>
        <w:t>tradizionale</w:t>
      </w:r>
      <w:r w:rsidR="008F3DE8">
        <w:rPr>
          <w:rFonts w:ascii="Bookman Old Style" w:hAnsi="Bookman Old Style"/>
          <w:sz w:val="24"/>
          <w:szCs w:val="24"/>
        </w:rPr>
        <w:t xml:space="preserve"> </w:t>
      </w:r>
      <w:r w:rsidRPr="00E464ED">
        <w:rPr>
          <w:rFonts w:ascii="Bookman Old Style" w:hAnsi="Bookman Old Style"/>
          <w:sz w:val="24"/>
          <w:szCs w:val="24"/>
        </w:rPr>
        <w:t>funzione</w:t>
      </w:r>
      <w:r w:rsidR="008F3DE8">
        <w:rPr>
          <w:rFonts w:ascii="Bookman Old Style" w:hAnsi="Bookman Old Style"/>
          <w:sz w:val="24"/>
          <w:szCs w:val="24"/>
        </w:rPr>
        <w:t xml:space="preserve"> </w:t>
      </w:r>
      <w:proofErr w:type="spellStart"/>
      <w:r w:rsidRPr="00E464ED">
        <w:rPr>
          <w:rFonts w:ascii="Bookman Old Style" w:hAnsi="Bookman Old Style"/>
          <w:sz w:val="24"/>
          <w:szCs w:val="24"/>
        </w:rPr>
        <w:t>organizzatoria</w:t>
      </w:r>
      <w:proofErr w:type="spellEnd"/>
      <w:r w:rsidR="008F3DE8">
        <w:rPr>
          <w:rFonts w:ascii="Bookman Old Style" w:hAnsi="Bookman Old Style"/>
          <w:sz w:val="24"/>
          <w:szCs w:val="24"/>
        </w:rPr>
        <w:t xml:space="preserve"> </w:t>
      </w:r>
      <w:r w:rsidRPr="00E464ED">
        <w:rPr>
          <w:rFonts w:ascii="Bookman Old Style" w:hAnsi="Bookman Old Style"/>
          <w:sz w:val="24"/>
          <w:szCs w:val="24"/>
        </w:rPr>
        <w:t>e</w:t>
      </w:r>
      <w:r w:rsidR="008F3DE8">
        <w:rPr>
          <w:rFonts w:ascii="Bookman Old Style" w:hAnsi="Bookman Old Style"/>
          <w:sz w:val="24"/>
          <w:szCs w:val="24"/>
        </w:rPr>
        <w:t xml:space="preserve"> </w:t>
      </w:r>
      <w:r w:rsidRPr="00E464ED">
        <w:rPr>
          <w:rFonts w:ascii="Bookman Old Style" w:hAnsi="Bookman Old Style"/>
          <w:sz w:val="24"/>
          <w:szCs w:val="24"/>
        </w:rPr>
        <w:t>compositiva</w:t>
      </w:r>
      <w:r w:rsidR="008F3DE8">
        <w:rPr>
          <w:rFonts w:ascii="Bookman Old Style" w:hAnsi="Bookman Old Style"/>
          <w:sz w:val="24"/>
          <w:szCs w:val="24"/>
        </w:rPr>
        <w:t xml:space="preserve"> </w:t>
      </w:r>
      <w:r w:rsidRPr="00E464ED">
        <w:rPr>
          <w:rFonts w:ascii="Bookman Old Style" w:hAnsi="Bookman Old Style"/>
          <w:sz w:val="24"/>
          <w:szCs w:val="24"/>
        </w:rPr>
        <w:t>di</w:t>
      </w:r>
      <w:r w:rsidR="008F3DE8">
        <w:rPr>
          <w:rFonts w:ascii="Bookman Old Style" w:hAnsi="Bookman Old Style"/>
          <w:sz w:val="24"/>
          <w:szCs w:val="24"/>
        </w:rPr>
        <w:t xml:space="preserve"> </w:t>
      </w:r>
      <w:r w:rsidRPr="00E464ED">
        <w:rPr>
          <w:rFonts w:ascii="Bookman Old Style" w:hAnsi="Bookman Old Style"/>
          <w:sz w:val="24"/>
          <w:szCs w:val="24"/>
        </w:rPr>
        <w:t>poteri</w:t>
      </w:r>
      <w:r w:rsidR="008F3DE8">
        <w:rPr>
          <w:rFonts w:ascii="Bookman Old Style" w:hAnsi="Bookman Old Style"/>
          <w:sz w:val="24"/>
          <w:szCs w:val="24"/>
        </w:rPr>
        <w:t xml:space="preserve"> </w:t>
      </w:r>
      <w:r w:rsidRPr="00E464ED">
        <w:rPr>
          <w:rFonts w:ascii="Bookman Old Style" w:hAnsi="Bookman Old Style"/>
          <w:sz w:val="24"/>
          <w:szCs w:val="24"/>
        </w:rPr>
        <w:t>già</w:t>
      </w:r>
      <w:r w:rsidR="008F3DE8">
        <w:rPr>
          <w:rFonts w:ascii="Bookman Old Style" w:hAnsi="Bookman Old Style"/>
          <w:sz w:val="24"/>
          <w:szCs w:val="24"/>
        </w:rPr>
        <w:t xml:space="preserve"> </w:t>
      </w:r>
      <w:r w:rsidRPr="00E464ED">
        <w:rPr>
          <w:rFonts w:ascii="Bookman Old Style" w:hAnsi="Bookman Old Style"/>
          <w:sz w:val="24"/>
          <w:szCs w:val="24"/>
        </w:rPr>
        <w:t>esistenti</w:t>
      </w:r>
      <w:r w:rsidR="008F3DE8">
        <w:rPr>
          <w:rFonts w:ascii="Bookman Old Style" w:hAnsi="Bookman Old Style"/>
          <w:sz w:val="24"/>
          <w:szCs w:val="24"/>
        </w:rPr>
        <w:t xml:space="preserve"> </w:t>
      </w:r>
      <w:r w:rsidRPr="00E464ED">
        <w:rPr>
          <w:rFonts w:ascii="Bookman Old Style" w:hAnsi="Bookman Old Style"/>
          <w:sz w:val="24"/>
          <w:szCs w:val="24"/>
        </w:rPr>
        <w:t>e</w:t>
      </w:r>
      <w:r w:rsidR="008F3DE8">
        <w:rPr>
          <w:rFonts w:ascii="Bookman Old Style" w:hAnsi="Bookman Old Style"/>
          <w:sz w:val="24"/>
          <w:szCs w:val="24"/>
        </w:rPr>
        <w:t xml:space="preserve"> </w:t>
      </w:r>
      <w:r w:rsidRPr="00E464ED">
        <w:rPr>
          <w:rFonts w:ascii="Bookman Old Style" w:hAnsi="Bookman Old Style"/>
          <w:sz w:val="24"/>
          <w:szCs w:val="24"/>
        </w:rPr>
        <w:t>pretendono</w:t>
      </w:r>
      <w:r w:rsidR="008F3DE8">
        <w:rPr>
          <w:rFonts w:ascii="Bookman Old Style" w:hAnsi="Bookman Old Style"/>
          <w:sz w:val="24"/>
          <w:szCs w:val="24"/>
        </w:rPr>
        <w:t xml:space="preserve"> </w:t>
      </w:r>
      <w:r w:rsidRPr="00E464ED">
        <w:rPr>
          <w:rFonts w:ascii="Bookman Old Style" w:hAnsi="Bookman Old Style"/>
          <w:sz w:val="24"/>
          <w:szCs w:val="24"/>
        </w:rPr>
        <w:t>di</w:t>
      </w:r>
      <w:r w:rsidR="008F3DE8">
        <w:rPr>
          <w:rFonts w:ascii="Bookman Old Style" w:hAnsi="Bookman Old Style"/>
          <w:sz w:val="24"/>
          <w:szCs w:val="24"/>
        </w:rPr>
        <w:t xml:space="preserve"> </w:t>
      </w:r>
      <w:r w:rsidRPr="00E464ED">
        <w:rPr>
          <w:rFonts w:ascii="Bookman Old Style" w:hAnsi="Bookman Old Style"/>
          <w:sz w:val="24"/>
          <w:szCs w:val="24"/>
        </w:rPr>
        <w:t>divenire</w:t>
      </w:r>
      <w:r w:rsidR="008F3DE8">
        <w:rPr>
          <w:rFonts w:ascii="Bookman Old Style" w:hAnsi="Bookman Old Style"/>
          <w:sz w:val="24"/>
          <w:szCs w:val="24"/>
        </w:rPr>
        <w:t xml:space="preserve"> </w:t>
      </w:r>
      <w:r w:rsidRPr="00E464ED">
        <w:rPr>
          <w:rFonts w:ascii="Bookman Old Style" w:hAnsi="Bookman Old Style"/>
          <w:sz w:val="24"/>
          <w:szCs w:val="24"/>
        </w:rPr>
        <w:t>strumento</w:t>
      </w:r>
      <w:r w:rsidR="008F3DE8">
        <w:rPr>
          <w:rFonts w:ascii="Bookman Old Style" w:hAnsi="Bookman Old Style"/>
          <w:sz w:val="24"/>
          <w:szCs w:val="24"/>
        </w:rPr>
        <w:t xml:space="preserve"> </w:t>
      </w:r>
      <w:proofErr w:type="spellStart"/>
      <w:r w:rsidRPr="00E464ED">
        <w:rPr>
          <w:rFonts w:ascii="Bookman Old Style" w:hAnsi="Bookman Old Style"/>
          <w:sz w:val="24"/>
          <w:szCs w:val="24"/>
        </w:rPr>
        <w:t>instaurativo</w:t>
      </w:r>
      <w:proofErr w:type="spellEnd"/>
      <w:r w:rsidR="008F3DE8">
        <w:rPr>
          <w:rFonts w:ascii="Bookman Old Style" w:hAnsi="Bookman Old Style"/>
          <w:sz w:val="24"/>
          <w:szCs w:val="24"/>
        </w:rPr>
        <w:t xml:space="preserve"> </w:t>
      </w:r>
      <w:r w:rsidRPr="00E464ED">
        <w:rPr>
          <w:rFonts w:ascii="Bookman Old Style" w:hAnsi="Bookman Old Style"/>
          <w:sz w:val="24"/>
          <w:szCs w:val="24"/>
        </w:rPr>
        <w:t>di</w:t>
      </w:r>
      <w:r w:rsidR="008F3DE8">
        <w:rPr>
          <w:rFonts w:ascii="Bookman Old Style" w:hAnsi="Bookman Old Style"/>
          <w:sz w:val="24"/>
          <w:szCs w:val="24"/>
        </w:rPr>
        <w:t xml:space="preserve"> </w:t>
      </w:r>
      <w:r w:rsidRPr="00E464ED">
        <w:rPr>
          <w:rFonts w:ascii="Bookman Old Style" w:hAnsi="Bookman Old Style"/>
          <w:sz w:val="24"/>
          <w:szCs w:val="24"/>
        </w:rPr>
        <w:t>quei</w:t>
      </w:r>
      <w:r w:rsidR="008F3DE8">
        <w:rPr>
          <w:rFonts w:ascii="Bookman Old Style" w:hAnsi="Bookman Old Style"/>
          <w:sz w:val="24"/>
          <w:szCs w:val="24"/>
        </w:rPr>
        <w:t xml:space="preserve"> </w:t>
      </w:r>
      <w:r w:rsidRPr="00E464ED">
        <w:rPr>
          <w:rFonts w:ascii="Bookman Old Style" w:hAnsi="Bookman Old Style"/>
          <w:sz w:val="24"/>
          <w:szCs w:val="24"/>
        </w:rPr>
        <w:t>poteri.</w:t>
      </w:r>
      <w:r w:rsidR="008F3DE8">
        <w:rPr>
          <w:rFonts w:ascii="Bookman Old Style" w:hAnsi="Bookman Old Style"/>
          <w:sz w:val="24"/>
          <w:szCs w:val="24"/>
        </w:rPr>
        <w:t xml:space="preserve"> </w:t>
      </w:r>
      <w:r w:rsidRPr="00E464ED">
        <w:rPr>
          <w:rFonts w:ascii="Bookman Old Style" w:hAnsi="Bookman Old Style"/>
          <w:sz w:val="24"/>
          <w:szCs w:val="24"/>
        </w:rPr>
        <w:t>Per</w:t>
      </w:r>
      <w:r w:rsidR="008F3DE8">
        <w:rPr>
          <w:rFonts w:ascii="Bookman Old Style" w:hAnsi="Bookman Old Style"/>
          <w:sz w:val="24"/>
          <w:szCs w:val="24"/>
        </w:rPr>
        <w:t xml:space="preserve"> </w:t>
      </w:r>
      <w:r w:rsidRPr="00E464ED">
        <w:rPr>
          <w:rFonts w:ascii="Bookman Old Style" w:hAnsi="Bookman Old Style"/>
          <w:sz w:val="24"/>
          <w:szCs w:val="24"/>
        </w:rPr>
        <w:t>questo</w:t>
      </w:r>
      <w:r w:rsidR="008F3DE8">
        <w:rPr>
          <w:rFonts w:ascii="Bookman Old Style" w:hAnsi="Bookman Old Style"/>
          <w:sz w:val="24"/>
          <w:szCs w:val="24"/>
        </w:rPr>
        <w:t xml:space="preserve"> </w:t>
      </w:r>
      <w:r w:rsidRPr="00E464ED">
        <w:rPr>
          <w:rFonts w:ascii="Bookman Old Style" w:hAnsi="Bookman Old Style"/>
          <w:sz w:val="24"/>
          <w:szCs w:val="24"/>
        </w:rPr>
        <w:t>motivo</w:t>
      </w:r>
      <w:r w:rsidR="008F3DE8">
        <w:rPr>
          <w:rFonts w:ascii="Bookman Old Style" w:hAnsi="Bookman Old Style"/>
          <w:sz w:val="24"/>
          <w:szCs w:val="24"/>
        </w:rPr>
        <w:t xml:space="preserve"> </w:t>
      </w:r>
      <w:r w:rsidRPr="00E464ED">
        <w:rPr>
          <w:rFonts w:ascii="Bookman Old Style" w:hAnsi="Bookman Old Style"/>
          <w:sz w:val="24"/>
          <w:szCs w:val="24"/>
        </w:rPr>
        <w:t>que</w:t>
      </w:r>
      <w:r w:rsidR="001D6E6F">
        <w:rPr>
          <w:rFonts w:ascii="Bookman Old Style" w:hAnsi="Bookman Old Style"/>
          <w:sz w:val="24"/>
          <w:szCs w:val="24"/>
        </w:rPr>
        <w:t>ste</w:t>
      </w:r>
      <w:r w:rsidR="008F3DE8">
        <w:rPr>
          <w:rFonts w:ascii="Bookman Old Style" w:hAnsi="Bookman Old Style"/>
          <w:sz w:val="24"/>
          <w:szCs w:val="24"/>
        </w:rPr>
        <w:t xml:space="preserve"> </w:t>
      </w:r>
      <w:r w:rsidRPr="00E464ED">
        <w:rPr>
          <w:rFonts w:ascii="Bookman Old Style" w:hAnsi="Bookman Old Style"/>
          <w:sz w:val="24"/>
          <w:szCs w:val="24"/>
        </w:rPr>
        <w:t>Costituzioni</w:t>
      </w:r>
      <w:r w:rsidR="008F3DE8">
        <w:rPr>
          <w:rFonts w:ascii="Bookman Old Style" w:hAnsi="Bookman Old Style"/>
          <w:sz w:val="24"/>
          <w:szCs w:val="24"/>
        </w:rPr>
        <w:t xml:space="preserve"> </w:t>
      </w:r>
      <w:r w:rsidRPr="00E464ED">
        <w:rPr>
          <w:rFonts w:ascii="Bookman Old Style" w:hAnsi="Bookman Old Style"/>
          <w:sz w:val="24"/>
          <w:szCs w:val="24"/>
        </w:rPr>
        <w:t>hanno</w:t>
      </w:r>
      <w:r w:rsidR="008F3DE8">
        <w:rPr>
          <w:rFonts w:ascii="Bookman Old Style" w:hAnsi="Bookman Old Style"/>
          <w:sz w:val="24"/>
          <w:szCs w:val="24"/>
        </w:rPr>
        <w:t xml:space="preserve"> </w:t>
      </w:r>
      <w:r w:rsidRPr="00E464ED">
        <w:rPr>
          <w:rFonts w:ascii="Bookman Old Style" w:hAnsi="Bookman Old Style"/>
          <w:sz w:val="24"/>
          <w:szCs w:val="24"/>
        </w:rPr>
        <w:t>bisogno</w:t>
      </w:r>
      <w:r w:rsidR="008F3DE8">
        <w:rPr>
          <w:rFonts w:ascii="Bookman Old Style" w:hAnsi="Bookman Old Style"/>
          <w:sz w:val="24"/>
          <w:szCs w:val="24"/>
        </w:rPr>
        <w:t xml:space="preserve"> </w:t>
      </w:r>
      <w:r w:rsidRPr="00E464ED">
        <w:rPr>
          <w:rFonts w:ascii="Bookman Old Style" w:hAnsi="Bookman Old Style"/>
          <w:sz w:val="24"/>
          <w:szCs w:val="24"/>
        </w:rPr>
        <w:t>di</w:t>
      </w:r>
      <w:r w:rsidR="008F3DE8">
        <w:rPr>
          <w:rFonts w:ascii="Bookman Old Style" w:hAnsi="Bookman Old Style"/>
          <w:sz w:val="24"/>
          <w:szCs w:val="24"/>
        </w:rPr>
        <w:t xml:space="preserve"> </w:t>
      </w:r>
      <w:r w:rsidRPr="00E464ED">
        <w:rPr>
          <w:rFonts w:ascii="Bookman Old Style" w:hAnsi="Bookman Old Style"/>
          <w:sz w:val="24"/>
          <w:szCs w:val="24"/>
        </w:rPr>
        <w:t>dichiararsi</w:t>
      </w:r>
      <w:r w:rsidR="008F3DE8">
        <w:rPr>
          <w:rFonts w:ascii="Bookman Old Style" w:hAnsi="Bookman Old Style"/>
          <w:sz w:val="24"/>
          <w:szCs w:val="24"/>
        </w:rPr>
        <w:t xml:space="preserve"> </w:t>
      </w:r>
      <w:r w:rsidRPr="00E464ED">
        <w:rPr>
          <w:rFonts w:ascii="Bookman Old Style" w:hAnsi="Bookman Old Style"/>
          <w:sz w:val="24"/>
          <w:szCs w:val="24"/>
        </w:rPr>
        <w:t>politicamente,</w:t>
      </w:r>
      <w:r w:rsidR="008F3DE8">
        <w:rPr>
          <w:rFonts w:ascii="Bookman Old Style" w:hAnsi="Bookman Old Style"/>
          <w:sz w:val="24"/>
          <w:szCs w:val="24"/>
        </w:rPr>
        <w:t xml:space="preserve"> </w:t>
      </w:r>
      <w:r w:rsidRPr="00E464ED">
        <w:rPr>
          <w:rFonts w:ascii="Bookman Old Style" w:hAnsi="Bookman Old Style"/>
          <w:sz w:val="24"/>
          <w:szCs w:val="24"/>
        </w:rPr>
        <w:t>soprattutto</w:t>
      </w:r>
      <w:r w:rsidR="008F3DE8">
        <w:rPr>
          <w:rFonts w:ascii="Bookman Old Style" w:hAnsi="Bookman Old Style"/>
          <w:sz w:val="24"/>
          <w:szCs w:val="24"/>
        </w:rPr>
        <w:t xml:space="preserve"> </w:t>
      </w:r>
      <w:r w:rsidRPr="00E464ED">
        <w:rPr>
          <w:rFonts w:ascii="Bookman Old Style" w:hAnsi="Bookman Old Style"/>
          <w:sz w:val="24"/>
          <w:szCs w:val="24"/>
        </w:rPr>
        <w:t>attraverso</w:t>
      </w:r>
      <w:r w:rsidR="008F3DE8">
        <w:rPr>
          <w:rFonts w:ascii="Bookman Old Style" w:hAnsi="Bookman Old Style"/>
          <w:sz w:val="24"/>
          <w:szCs w:val="24"/>
        </w:rPr>
        <w:t xml:space="preserve"> </w:t>
      </w:r>
      <w:r w:rsidRPr="00E464ED">
        <w:rPr>
          <w:rFonts w:ascii="Bookman Old Style" w:hAnsi="Bookman Old Style"/>
          <w:sz w:val="24"/>
          <w:szCs w:val="24"/>
        </w:rPr>
        <w:t>il</w:t>
      </w:r>
      <w:r w:rsidR="008F3DE8">
        <w:rPr>
          <w:rFonts w:ascii="Bookman Old Style" w:hAnsi="Bookman Old Style"/>
          <w:sz w:val="24"/>
          <w:szCs w:val="24"/>
        </w:rPr>
        <w:t xml:space="preserve"> </w:t>
      </w:r>
      <w:r w:rsidRPr="00E464ED">
        <w:rPr>
          <w:rFonts w:ascii="Bookman Old Style" w:hAnsi="Bookman Old Style"/>
          <w:sz w:val="24"/>
          <w:szCs w:val="24"/>
        </w:rPr>
        <w:t>ricorso</w:t>
      </w:r>
      <w:r w:rsidR="008F3DE8">
        <w:rPr>
          <w:rFonts w:ascii="Bookman Old Style" w:hAnsi="Bookman Old Style"/>
          <w:sz w:val="24"/>
          <w:szCs w:val="24"/>
        </w:rPr>
        <w:t xml:space="preserve"> </w:t>
      </w:r>
      <w:r w:rsidRPr="00E464ED">
        <w:rPr>
          <w:rFonts w:ascii="Bookman Old Style" w:hAnsi="Bookman Old Style"/>
          <w:sz w:val="24"/>
          <w:szCs w:val="24"/>
        </w:rPr>
        <w:t>ad</w:t>
      </w:r>
      <w:r w:rsidR="008F3DE8">
        <w:rPr>
          <w:rFonts w:ascii="Bookman Old Style" w:hAnsi="Bookman Old Style"/>
          <w:sz w:val="24"/>
          <w:szCs w:val="24"/>
        </w:rPr>
        <w:t xml:space="preserve"> </w:t>
      </w:r>
      <w:r w:rsidRPr="00E464ED">
        <w:rPr>
          <w:rFonts w:ascii="Bookman Old Style" w:hAnsi="Bookman Old Style"/>
          <w:sz w:val="24"/>
          <w:szCs w:val="24"/>
        </w:rPr>
        <w:t>impegnative</w:t>
      </w:r>
      <w:r w:rsidR="008F3DE8">
        <w:rPr>
          <w:rFonts w:ascii="Bookman Old Style" w:hAnsi="Bookman Old Style"/>
          <w:sz w:val="24"/>
          <w:szCs w:val="24"/>
        </w:rPr>
        <w:t xml:space="preserve"> </w:t>
      </w:r>
      <w:r w:rsidRPr="00E464ED">
        <w:rPr>
          <w:rFonts w:ascii="Bookman Old Style" w:hAnsi="Bookman Old Style"/>
          <w:sz w:val="24"/>
          <w:szCs w:val="24"/>
        </w:rPr>
        <w:t>norme</w:t>
      </w:r>
      <w:r w:rsidR="008F3DE8">
        <w:rPr>
          <w:rFonts w:ascii="Bookman Old Style" w:hAnsi="Bookman Old Style"/>
          <w:sz w:val="24"/>
          <w:szCs w:val="24"/>
        </w:rPr>
        <w:t xml:space="preserve"> </w:t>
      </w:r>
      <w:r w:rsidRPr="00E464ED">
        <w:rPr>
          <w:rFonts w:ascii="Bookman Old Style" w:hAnsi="Bookman Old Style"/>
          <w:sz w:val="24"/>
          <w:szCs w:val="24"/>
        </w:rPr>
        <w:t>di</w:t>
      </w:r>
      <w:r w:rsidR="008F3DE8">
        <w:rPr>
          <w:rFonts w:ascii="Bookman Old Style" w:hAnsi="Bookman Old Style"/>
          <w:sz w:val="24"/>
          <w:szCs w:val="24"/>
        </w:rPr>
        <w:t xml:space="preserve"> </w:t>
      </w:r>
      <w:r w:rsidRPr="00E464ED">
        <w:rPr>
          <w:rFonts w:ascii="Bookman Old Style" w:hAnsi="Bookman Old Style"/>
          <w:sz w:val="24"/>
          <w:szCs w:val="24"/>
        </w:rPr>
        <w:t>principio</w:t>
      </w:r>
      <w:r w:rsidR="003E089B">
        <w:rPr>
          <w:rFonts w:ascii="Bookman Old Style" w:hAnsi="Bookman Old Style"/>
          <w:sz w:val="24"/>
          <w:szCs w:val="24"/>
        </w:rPr>
        <w:t>”</w:t>
      </w:r>
      <w:r w:rsidR="008F3DE8">
        <w:rPr>
          <w:rFonts w:ascii="Bookman Old Style" w:hAnsi="Bookman Old Style"/>
          <w:sz w:val="24"/>
          <w:szCs w:val="24"/>
        </w:rPr>
        <w:t xml:space="preserve"> </w:t>
      </w:r>
      <w:r w:rsidR="00990A66" w:rsidRPr="00E464ED">
        <w:rPr>
          <w:rFonts w:ascii="Bookman Old Style" w:hAnsi="Bookman Old Style"/>
          <w:sz w:val="24"/>
          <w:szCs w:val="24"/>
        </w:rPr>
        <w:footnoteReference w:id="3"/>
      </w:r>
      <w:r w:rsidR="00990A66" w:rsidRPr="00E464ED">
        <w:rPr>
          <w:rFonts w:ascii="Bookman Old Style" w:hAnsi="Bookman Old Style"/>
          <w:sz w:val="24"/>
          <w:szCs w:val="24"/>
        </w:rPr>
        <w:t>,</w:t>
      </w:r>
      <w:r w:rsidR="008F3DE8">
        <w:rPr>
          <w:rFonts w:ascii="Bookman Old Style" w:hAnsi="Bookman Old Style"/>
          <w:sz w:val="24"/>
          <w:szCs w:val="24"/>
        </w:rPr>
        <w:t xml:space="preserve"> </w:t>
      </w:r>
      <w:r w:rsidR="00990A66" w:rsidRPr="00E464ED">
        <w:rPr>
          <w:rFonts w:ascii="Bookman Old Style" w:hAnsi="Bookman Old Style"/>
          <w:sz w:val="24"/>
          <w:szCs w:val="24"/>
        </w:rPr>
        <w:t>finalizzate</w:t>
      </w:r>
      <w:r w:rsidR="008F3DE8">
        <w:rPr>
          <w:rFonts w:ascii="Bookman Old Style" w:hAnsi="Bookman Old Style"/>
          <w:sz w:val="24"/>
          <w:szCs w:val="24"/>
        </w:rPr>
        <w:t xml:space="preserve"> </w:t>
      </w:r>
      <w:r w:rsidR="00990A66" w:rsidRPr="00E464ED">
        <w:rPr>
          <w:rFonts w:ascii="Bookman Old Style" w:hAnsi="Bookman Old Style"/>
          <w:sz w:val="24"/>
          <w:szCs w:val="24"/>
        </w:rPr>
        <w:t>ad</w:t>
      </w:r>
      <w:r w:rsidR="008F3DE8">
        <w:rPr>
          <w:rFonts w:ascii="Bookman Old Style" w:hAnsi="Bookman Old Style"/>
          <w:sz w:val="24"/>
          <w:szCs w:val="24"/>
        </w:rPr>
        <w:t xml:space="preserve"> </w:t>
      </w:r>
      <w:r w:rsidRPr="00E464ED">
        <w:rPr>
          <w:rFonts w:ascii="Bookman Old Style" w:hAnsi="Bookman Old Style"/>
          <w:sz w:val="24"/>
          <w:szCs w:val="24"/>
        </w:rPr>
        <w:t>individuare</w:t>
      </w:r>
      <w:r w:rsidR="008F3DE8">
        <w:rPr>
          <w:rFonts w:ascii="Bookman Old Style" w:hAnsi="Bookman Old Style"/>
          <w:sz w:val="24"/>
          <w:szCs w:val="24"/>
        </w:rPr>
        <w:t xml:space="preserve"> </w:t>
      </w:r>
      <w:r w:rsidRPr="00E464ED">
        <w:rPr>
          <w:rFonts w:ascii="Bookman Old Style" w:hAnsi="Bookman Old Style"/>
          <w:sz w:val="24"/>
          <w:szCs w:val="24"/>
        </w:rPr>
        <w:t>gli</w:t>
      </w:r>
      <w:r w:rsidR="008F3DE8">
        <w:rPr>
          <w:rFonts w:ascii="Bookman Old Style" w:hAnsi="Bookman Old Style"/>
          <w:sz w:val="24"/>
          <w:szCs w:val="24"/>
        </w:rPr>
        <w:t xml:space="preserve"> </w:t>
      </w:r>
      <w:r w:rsidRPr="00E464ED">
        <w:rPr>
          <w:rFonts w:ascii="Bookman Old Style" w:hAnsi="Bookman Old Style"/>
          <w:sz w:val="24"/>
          <w:szCs w:val="24"/>
        </w:rPr>
        <w:t>elementi</w:t>
      </w:r>
      <w:r w:rsidR="008F3DE8">
        <w:rPr>
          <w:rFonts w:ascii="Bookman Old Style" w:hAnsi="Bookman Old Style"/>
          <w:sz w:val="24"/>
          <w:szCs w:val="24"/>
        </w:rPr>
        <w:t xml:space="preserve"> </w:t>
      </w:r>
      <w:r w:rsidRPr="00E464ED">
        <w:rPr>
          <w:rFonts w:ascii="Bookman Old Style" w:hAnsi="Bookman Old Style"/>
          <w:sz w:val="24"/>
          <w:szCs w:val="24"/>
        </w:rPr>
        <w:t>essenziali</w:t>
      </w:r>
      <w:r w:rsidR="008F3DE8">
        <w:rPr>
          <w:rFonts w:ascii="Bookman Old Style" w:hAnsi="Bookman Old Style"/>
          <w:sz w:val="24"/>
          <w:szCs w:val="24"/>
        </w:rPr>
        <w:t xml:space="preserve"> </w:t>
      </w:r>
      <w:r w:rsidRPr="00E464ED">
        <w:rPr>
          <w:rFonts w:ascii="Bookman Old Style" w:hAnsi="Bookman Old Style"/>
          <w:sz w:val="24"/>
          <w:szCs w:val="24"/>
        </w:rPr>
        <w:t>sui</w:t>
      </w:r>
      <w:r w:rsidR="008F3DE8">
        <w:rPr>
          <w:rFonts w:ascii="Bookman Old Style" w:hAnsi="Bookman Old Style"/>
          <w:sz w:val="24"/>
          <w:szCs w:val="24"/>
        </w:rPr>
        <w:t xml:space="preserve"> </w:t>
      </w:r>
      <w:r w:rsidRPr="00E464ED">
        <w:rPr>
          <w:rFonts w:ascii="Bookman Old Style" w:hAnsi="Bookman Old Style"/>
          <w:sz w:val="24"/>
          <w:szCs w:val="24"/>
        </w:rPr>
        <w:t>quali</w:t>
      </w:r>
      <w:r w:rsidR="008F3DE8">
        <w:rPr>
          <w:rFonts w:ascii="Bookman Old Style" w:hAnsi="Bookman Old Style"/>
          <w:sz w:val="24"/>
          <w:szCs w:val="24"/>
        </w:rPr>
        <w:t xml:space="preserve"> </w:t>
      </w:r>
      <w:r w:rsidRPr="00E464ED">
        <w:rPr>
          <w:rFonts w:ascii="Bookman Old Style" w:hAnsi="Bookman Old Style"/>
          <w:sz w:val="24"/>
          <w:szCs w:val="24"/>
        </w:rPr>
        <w:t>basare</w:t>
      </w:r>
      <w:r w:rsidR="008F3DE8">
        <w:rPr>
          <w:rFonts w:ascii="Bookman Old Style" w:hAnsi="Bookman Old Style"/>
          <w:sz w:val="24"/>
          <w:szCs w:val="24"/>
        </w:rPr>
        <w:t xml:space="preserve"> </w:t>
      </w:r>
      <w:r w:rsidRPr="00E464ED">
        <w:rPr>
          <w:rFonts w:ascii="Bookman Old Style" w:hAnsi="Bookman Old Style"/>
          <w:sz w:val="24"/>
          <w:szCs w:val="24"/>
        </w:rPr>
        <w:t>l’intera</w:t>
      </w:r>
      <w:r w:rsidR="008F3DE8">
        <w:rPr>
          <w:rFonts w:ascii="Bookman Old Style" w:hAnsi="Bookman Old Style"/>
          <w:sz w:val="24"/>
          <w:szCs w:val="24"/>
        </w:rPr>
        <w:t xml:space="preserve"> </w:t>
      </w:r>
      <w:r w:rsidRPr="00E464ED">
        <w:rPr>
          <w:rFonts w:ascii="Bookman Old Style" w:hAnsi="Bookman Old Style"/>
          <w:sz w:val="24"/>
          <w:szCs w:val="24"/>
        </w:rPr>
        <w:t>organizzazione</w:t>
      </w:r>
      <w:r w:rsidR="008F3DE8">
        <w:rPr>
          <w:rFonts w:ascii="Bookman Old Style" w:hAnsi="Bookman Old Style"/>
          <w:sz w:val="24"/>
          <w:szCs w:val="24"/>
        </w:rPr>
        <w:t xml:space="preserve"> </w:t>
      </w:r>
      <w:r w:rsidRPr="00E464ED">
        <w:rPr>
          <w:rFonts w:ascii="Bookman Old Style" w:hAnsi="Bookman Old Style"/>
          <w:sz w:val="24"/>
          <w:szCs w:val="24"/>
        </w:rPr>
        <w:t>statale,</w:t>
      </w:r>
      <w:r w:rsidR="008F3DE8">
        <w:rPr>
          <w:rFonts w:ascii="Bookman Old Style" w:hAnsi="Bookman Old Style"/>
          <w:sz w:val="24"/>
          <w:szCs w:val="24"/>
        </w:rPr>
        <w:t xml:space="preserve"> </w:t>
      </w:r>
      <w:r w:rsidRPr="00E464ED">
        <w:rPr>
          <w:rFonts w:ascii="Bookman Old Style" w:hAnsi="Bookman Old Style"/>
          <w:sz w:val="24"/>
          <w:szCs w:val="24"/>
        </w:rPr>
        <w:t>i</w:t>
      </w:r>
      <w:r w:rsidR="008F3DE8">
        <w:rPr>
          <w:rFonts w:ascii="Bookman Old Style" w:hAnsi="Bookman Old Style"/>
          <w:sz w:val="24"/>
          <w:szCs w:val="24"/>
        </w:rPr>
        <w:t xml:space="preserve"> </w:t>
      </w:r>
      <w:r w:rsidRPr="00E464ED">
        <w:rPr>
          <w:rFonts w:ascii="Bookman Old Style" w:hAnsi="Bookman Old Style"/>
          <w:sz w:val="24"/>
          <w:szCs w:val="24"/>
        </w:rPr>
        <w:t>valori</w:t>
      </w:r>
      <w:r w:rsidR="008F3DE8">
        <w:rPr>
          <w:rFonts w:ascii="Bookman Old Style" w:hAnsi="Bookman Old Style"/>
          <w:sz w:val="24"/>
          <w:szCs w:val="24"/>
        </w:rPr>
        <w:t xml:space="preserve"> </w:t>
      </w:r>
      <w:r w:rsidRPr="00E464ED">
        <w:rPr>
          <w:rFonts w:ascii="Bookman Old Style" w:hAnsi="Bookman Old Style"/>
          <w:sz w:val="24"/>
          <w:szCs w:val="24"/>
        </w:rPr>
        <w:t>che</w:t>
      </w:r>
      <w:r w:rsidR="008F3DE8">
        <w:rPr>
          <w:rFonts w:ascii="Bookman Old Style" w:hAnsi="Bookman Old Style"/>
          <w:sz w:val="24"/>
          <w:szCs w:val="24"/>
        </w:rPr>
        <w:t xml:space="preserve"> </w:t>
      </w:r>
      <w:r w:rsidRPr="00E464ED">
        <w:rPr>
          <w:rFonts w:ascii="Bookman Old Style" w:hAnsi="Bookman Old Style"/>
          <w:sz w:val="24"/>
          <w:szCs w:val="24"/>
        </w:rPr>
        <w:t>fondano</w:t>
      </w:r>
      <w:r w:rsidR="008F3DE8">
        <w:rPr>
          <w:rFonts w:ascii="Bookman Old Style" w:hAnsi="Bookman Old Style"/>
          <w:sz w:val="24"/>
          <w:szCs w:val="24"/>
        </w:rPr>
        <w:t xml:space="preserve"> </w:t>
      </w:r>
      <w:r w:rsidRPr="00E464ED">
        <w:rPr>
          <w:rFonts w:ascii="Bookman Old Style" w:hAnsi="Bookman Old Style"/>
          <w:sz w:val="24"/>
          <w:szCs w:val="24"/>
        </w:rPr>
        <w:t>il</w:t>
      </w:r>
      <w:r w:rsidR="008F3DE8">
        <w:rPr>
          <w:rFonts w:ascii="Bookman Old Style" w:hAnsi="Bookman Old Style"/>
          <w:sz w:val="24"/>
          <w:szCs w:val="24"/>
        </w:rPr>
        <w:t xml:space="preserve"> </w:t>
      </w:r>
      <w:r w:rsidRPr="00E464ED">
        <w:rPr>
          <w:rFonts w:ascii="Bookman Old Style" w:hAnsi="Bookman Old Style"/>
          <w:sz w:val="24"/>
          <w:szCs w:val="24"/>
        </w:rPr>
        <w:t>suo</w:t>
      </w:r>
      <w:r w:rsidR="008F3DE8">
        <w:rPr>
          <w:rFonts w:ascii="Bookman Old Style" w:hAnsi="Bookman Old Style"/>
          <w:sz w:val="24"/>
          <w:szCs w:val="24"/>
        </w:rPr>
        <w:t xml:space="preserve"> </w:t>
      </w:r>
      <w:r w:rsidRPr="00E464ED">
        <w:rPr>
          <w:rFonts w:ascii="Bookman Old Style" w:hAnsi="Bookman Old Style"/>
          <w:sz w:val="24"/>
          <w:szCs w:val="24"/>
        </w:rPr>
        <w:t>essere</w:t>
      </w:r>
      <w:r w:rsidR="008F3DE8">
        <w:rPr>
          <w:rFonts w:ascii="Bookman Old Style" w:hAnsi="Bookman Old Style"/>
          <w:sz w:val="24"/>
          <w:szCs w:val="24"/>
        </w:rPr>
        <w:t xml:space="preserve"> </w:t>
      </w:r>
      <w:r w:rsidRPr="00E464ED">
        <w:rPr>
          <w:rFonts w:ascii="Bookman Old Style" w:hAnsi="Bookman Old Style"/>
          <w:sz w:val="24"/>
          <w:szCs w:val="24"/>
        </w:rPr>
        <w:t>ed</w:t>
      </w:r>
      <w:r w:rsidR="008F3DE8">
        <w:rPr>
          <w:rFonts w:ascii="Bookman Old Style" w:hAnsi="Bookman Old Style"/>
          <w:sz w:val="24"/>
          <w:szCs w:val="24"/>
        </w:rPr>
        <w:t xml:space="preserve"> </w:t>
      </w:r>
      <w:r w:rsidRPr="00E464ED">
        <w:rPr>
          <w:rFonts w:ascii="Bookman Old Style" w:hAnsi="Bookman Old Style"/>
          <w:sz w:val="24"/>
          <w:szCs w:val="24"/>
        </w:rPr>
        <w:t>il</w:t>
      </w:r>
      <w:r w:rsidR="008F3DE8">
        <w:rPr>
          <w:rFonts w:ascii="Bookman Old Style" w:hAnsi="Bookman Old Style"/>
          <w:sz w:val="24"/>
          <w:szCs w:val="24"/>
        </w:rPr>
        <w:t xml:space="preserve"> </w:t>
      </w:r>
      <w:r w:rsidRPr="00E464ED">
        <w:rPr>
          <w:rFonts w:ascii="Bookman Old Style" w:hAnsi="Bookman Old Style"/>
          <w:sz w:val="24"/>
          <w:szCs w:val="24"/>
        </w:rPr>
        <w:t>suo</w:t>
      </w:r>
      <w:r w:rsidR="008F3DE8">
        <w:rPr>
          <w:rFonts w:ascii="Bookman Old Style" w:hAnsi="Bookman Old Style"/>
          <w:sz w:val="24"/>
          <w:szCs w:val="24"/>
        </w:rPr>
        <w:t xml:space="preserve"> </w:t>
      </w:r>
      <w:r w:rsidRPr="00E464ED">
        <w:rPr>
          <w:rFonts w:ascii="Bookman Old Style" w:hAnsi="Bookman Old Style"/>
          <w:sz w:val="24"/>
          <w:szCs w:val="24"/>
        </w:rPr>
        <w:t>operare;</w:t>
      </w:r>
      <w:r w:rsidR="008F3DE8">
        <w:rPr>
          <w:rFonts w:ascii="Bookman Old Style" w:hAnsi="Bookman Old Style"/>
          <w:sz w:val="24"/>
          <w:szCs w:val="24"/>
        </w:rPr>
        <w:t xml:space="preserve"> </w:t>
      </w:r>
      <w:r w:rsidRPr="00E464ED">
        <w:rPr>
          <w:rFonts w:ascii="Bookman Old Style" w:hAnsi="Bookman Old Style"/>
          <w:sz w:val="24"/>
          <w:szCs w:val="24"/>
        </w:rPr>
        <w:t>più</w:t>
      </w:r>
      <w:r w:rsidR="008F3DE8">
        <w:rPr>
          <w:rFonts w:ascii="Bookman Old Style" w:hAnsi="Bookman Old Style"/>
          <w:sz w:val="24"/>
          <w:szCs w:val="24"/>
        </w:rPr>
        <w:t xml:space="preserve"> </w:t>
      </w:r>
      <w:r w:rsidRPr="00E464ED">
        <w:rPr>
          <w:rFonts w:ascii="Bookman Old Style" w:hAnsi="Bookman Old Style"/>
          <w:sz w:val="24"/>
          <w:szCs w:val="24"/>
        </w:rPr>
        <w:t>precisamente,</w:t>
      </w:r>
      <w:r w:rsidR="008F3DE8">
        <w:rPr>
          <w:rFonts w:ascii="Bookman Old Style" w:hAnsi="Bookman Old Style"/>
          <w:sz w:val="24"/>
          <w:szCs w:val="24"/>
        </w:rPr>
        <w:t xml:space="preserve"> </w:t>
      </w:r>
      <w:r w:rsidR="001D6E6F">
        <w:rPr>
          <w:rFonts w:ascii="Bookman Old Style" w:hAnsi="Bookman Old Style"/>
          <w:sz w:val="24"/>
          <w:szCs w:val="24"/>
        </w:rPr>
        <w:t>esse</w:t>
      </w:r>
      <w:r w:rsidR="008F3DE8">
        <w:rPr>
          <w:rFonts w:ascii="Bookman Old Style" w:hAnsi="Bookman Old Style"/>
          <w:sz w:val="24"/>
          <w:szCs w:val="24"/>
        </w:rPr>
        <w:t xml:space="preserve"> </w:t>
      </w:r>
      <w:r w:rsidRPr="00E464ED">
        <w:rPr>
          <w:rFonts w:ascii="Bookman Old Style" w:hAnsi="Bookman Old Style"/>
          <w:sz w:val="24"/>
          <w:szCs w:val="24"/>
        </w:rPr>
        <w:t>tendono</w:t>
      </w:r>
      <w:r w:rsidR="008F3DE8">
        <w:rPr>
          <w:rFonts w:ascii="Bookman Old Style" w:hAnsi="Bookman Old Style"/>
          <w:sz w:val="24"/>
          <w:szCs w:val="24"/>
        </w:rPr>
        <w:t xml:space="preserve"> </w:t>
      </w:r>
      <w:r w:rsidRPr="00E464ED">
        <w:rPr>
          <w:rFonts w:ascii="Bookman Old Style" w:hAnsi="Bookman Old Style"/>
          <w:sz w:val="24"/>
          <w:szCs w:val="24"/>
        </w:rPr>
        <w:t>ad</w:t>
      </w:r>
      <w:r w:rsidR="008F3DE8">
        <w:rPr>
          <w:rFonts w:ascii="Bookman Old Style" w:hAnsi="Bookman Old Style"/>
          <w:sz w:val="24"/>
          <w:szCs w:val="24"/>
        </w:rPr>
        <w:t xml:space="preserve"> </w:t>
      </w:r>
      <w:r w:rsidRPr="00E464ED">
        <w:rPr>
          <w:rFonts w:ascii="Bookman Old Style" w:hAnsi="Bookman Old Style"/>
          <w:sz w:val="24"/>
          <w:szCs w:val="24"/>
        </w:rPr>
        <w:t>essere</w:t>
      </w:r>
      <w:r w:rsidR="008F3DE8">
        <w:rPr>
          <w:rFonts w:ascii="Bookman Old Style" w:hAnsi="Bookman Old Style"/>
          <w:sz w:val="24"/>
          <w:szCs w:val="24"/>
        </w:rPr>
        <w:t xml:space="preserve"> </w:t>
      </w:r>
      <w:r w:rsidRPr="00E464ED">
        <w:rPr>
          <w:rFonts w:ascii="Bookman Old Style" w:hAnsi="Bookman Old Style"/>
          <w:sz w:val="24"/>
          <w:szCs w:val="24"/>
        </w:rPr>
        <w:t>mezzo</w:t>
      </w:r>
      <w:r w:rsidR="008F3DE8">
        <w:rPr>
          <w:rFonts w:ascii="Bookman Old Style" w:hAnsi="Bookman Old Style"/>
          <w:sz w:val="24"/>
          <w:szCs w:val="24"/>
        </w:rPr>
        <w:t xml:space="preserve"> </w:t>
      </w:r>
      <w:r w:rsidR="003E089B">
        <w:rPr>
          <w:rFonts w:ascii="Bookman Old Style" w:hAnsi="Bookman Old Style"/>
          <w:sz w:val="24"/>
          <w:szCs w:val="24"/>
        </w:rPr>
        <w:t>“</w:t>
      </w:r>
      <w:r w:rsidRPr="00E464ED">
        <w:rPr>
          <w:rFonts w:ascii="Bookman Old Style" w:hAnsi="Bookman Old Style"/>
          <w:sz w:val="24"/>
          <w:szCs w:val="24"/>
        </w:rPr>
        <w:t>di</w:t>
      </w:r>
      <w:r w:rsidR="008F3DE8">
        <w:rPr>
          <w:rFonts w:ascii="Bookman Old Style" w:hAnsi="Bookman Old Style"/>
          <w:sz w:val="24"/>
          <w:szCs w:val="24"/>
        </w:rPr>
        <w:t xml:space="preserve"> </w:t>
      </w:r>
      <w:r w:rsidRPr="00E464ED">
        <w:rPr>
          <w:rFonts w:ascii="Bookman Old Style" w:hAnsi="Bookman Old Style"/>
          <w:sz w:val="24"/>
          <w:szCs w:val="24"/>
        </w:rPr>
        <w:t>regolamentazione</w:t>
      </w:r>
      <w:r w:rsidR="008F3DE8">
        <w:rPr>
          <w:rFonts w:ascii="Bookman Old Style" w:hAnsi="Bookman Old Style"/>
          <w:sz w:val="24"/>
          <w:szCs w:val="24"/>
        </w:rPr>
        <w:t xml:space="preserve"> </w:t>
      </w:r>
      <w:r w:rsidRPr="00E464ED">
        <w:rPr>
          <w:rFonts w:ascii="Bookman Old Style" w:hAnsi="Bookman Old Style"/>
          <w:sz w:val="24"/>
          <w:szCs w:val="24"/>
        </w:rPr>
        <w:t>di</w:t>
      </w:r>
      <w:r w:rsidR="008F3DE8">
        <w:rPr>
          <w:rFonts w:ascii="Bookman Old Style" w:hAnsi="Bookman Old Style"/>
          <w:sz w:val="24"/>
          <w:szCs w:val="24"/>
        </w:rPr>
        <w:t xml:space="preserve"> </w:t>
      </w:r>
      <w:r w:rsidRPr="00E464ED">
        <w:rPr>
          <w:rFonts w:ascii="Bookman Old Style" w:hAnsi="Bookman Old Style"/>
          <w:sz w:val="24"/>
          <w:szCs w:val="24"/>
        </w:rPr>
        <w:t>valori</w:t>
      </w:r>
      <w:r w:rsidR="008F3DE8">
        <w:rPr>
          <w:rFonts w:ascii="Bookman Old Style" w:hAnsi="Bookman Old Style"/>
          <w:sz w:val="24"/>
          <w:szCs w:val="24"/>
        </w:rPr>
        <w:t xml:space="preserve"> </w:t>
      </w:r>
      <w:r w:rsidRPr="00E464ED">
        <w:rPr>
          <w:rFonts w:ascii="Bookman Old Style" w:hAnsi="Bookman Old Style"/>
          <w:sz w:val="24"/>
          <w:szCs w:val="24"/>
        </w:rPr>
        <w:t>etici</w:t>
      </w:r>
      <w:r w:rsidR="008F3DE8">
        <w:rPr>
          <w:rFonts w:ascii="Bookman Old Style" w:hAnsi="Bookman Old Style"/>
          <w:sz w:val="24"/>
          <w:szCs w:val="24"/>
        </w:rPr>
        <w:t xml:space="preserve"> </w:t>
      </w:r>
      <w:r w:rsidRPr="00E464ED">
        <w:rPr>
          <w:rFonts w:ascii="Bookman Old Style" w:hAnsi="Bookman Old Style"/>
          <w:sz w:val="24"/>
          <w:szCs w:val="24"/>
        </w:rPr>
        <w:t>e</w:t>
      </w:r>
      <w:r w:rsidR="008F3DE8">
        <w:rPr>
          <w:rFonts w:ascii="Bookman Old Style" w:hAnsi="Bookman Old Style"/>
          <w:sz w:val="24"/>
          <w:szCs w:val="24"/>
        </w:rPr>
        <w:t xml:space="preserve"> </w:t>
      </w:r>
      <w:r w:rsidRPr="00E464ED">
        <w:rPr>
          <w:rFonts w:ascii="Bookman Old Style" w:hAnsi="Bookman Old Style"/>
          <w:sz w:val="24"/>
          <w:szCs w:val="24"/>
        </w:rPr>
        <w:t>sociali</w:t>
      </w:r>
      <w:r w:rsidR="008F3DE8">
        <w:rPr>
          <w:rFonts w:ascii="Bookman Old Style" w:hAnsi="Bookman Old Style"/>
          <w:sz w:val="24"/>
          <w:szCs w:val="24"/>
        </w:rPr>
        <w:t xml:space="preserve"> </w:t>
      </w:r>
      <w:r w:rsidRPr="00E464ED">
        <w:rPr>
          <w:rFonts w:ascii="Bookman Old Style" w:hAnsi="Bookman Old Style"/>
          <w:sz w:val="24"/>
          <w:szCs w:val="24"/>
        </w:rPr>
        <w:t>che</w:t>
      </w:r>
      <w:r w:rsidR="008F3DE8">
        <w:rPr>
          <w:rFonts w:ascii="Bookman Old Style" w:hAnsi="Bookman Old Style"/>
          <w:sz w:val="24"/>
          <w:szCs w:val="24"/>
        </w:rPr>
        <w:t xml:space="preserve"> </w:t>
      </w:r>
      <w:r w:rsidRPr="00E464ED">
        <w:rPr>
          <w:rFonts w:ascii="Bookman Old Style" w:hAnsi="Bookman Old Style"/>
          <w:sz w:val="24"/>
          <w:szCs w:val="24"/>
        </w:rPr>
        <w:t>devono</w:t>
      </w:r>
      <w:r w:rsidR="008F3DE8">
        <w:rPr>
          <w:rFonts w:ascii="Bookman Old Style" w:hAnsi="Bookman Old Style"/>
          <w:sz w:val="24"/>
          <w:szCs w:val="24"/>
        </w:rPr>
        <w:t xml:space="preserve"> </w:t>
      </w:r>
      <w:r w:rsidRPr="00E464ED">
        <w:rPr>
          <w:rFonts w:ascii="Bookman Old Style" w:hAnsi="Bookman Old Style"/>
          <w:sz w:val="24"/>
          <w:szCs w:val="24"/>
        </w:rPr>
        <w:t>vincolare</w:t>
      </w:r>
      <w:r w:rsidR="008F3DE8">
        <w:rPr>
          <w:rFonts w:ascii="Bookman Old Style" w:hAnsi="Bookman Old Style"/>
          <w:sz w:val="24"/>
          <w:szCs w:val="24"/>
        </w:rPr>
        <w:t xml:space="preserve"> </w:t>
      </w:r>
      <w:r w:rsidRPr="00E464ED">
        <w:rPr>
          <w:rFonts w:ascii="Bookman Old Style" w:hAnsi="Bookman Old Style"/>
          <w:sz w:val="24"/>
          <w:szCs w:val="24"/>
        </w:rPr>
        <w:t>il</w:t>
      </w:r>
      <w:r w:rsidR="008F3DE8">
        <w:rPr>
          <w:rFonts w:ascii="Bookman Old Style" w:hAnsi="Bookman Old Style"/>
          <w:sz w:val="24"/>
          <w:szCs w:val="24"/>
        </w:rPr>
        <w:t xml:space="preserve"> </w:t>
      </w:r>
      <w:r w:rsidRPr="00E464ED">
        <w:rPr>
          <w:rFonts w:ascii="Bookman Old Style" w:hAnsi="Bookman Old Style"/>
          <w:sz w:val="24"/>
          <w:szCs w:val="24"/>
        </w:rPr>
        <w:t>legislatore</w:t>
      </w:r>
      <w:r w:rsidR="003E089B">
        <w:rPr>
          <w:rFonts w:ascii="Bookman Old Style" w:hAnsi="Bookman Old Style"/>
          <w:sz w:val="24"/>
          <w:szCs w:val="24"/>
        </w:rPr>
        <w:t>”</w:t>
      </w:r>
      <w:r w:rsidR="00990A66" w:rsidRPr="00E464ED">
        <w:rPr>
          <w:rFonts w:ascii="Bookman Old Style" w:hAnsi="Bookman Old Style"/>
          <w:sz w:val="24"/>
          <w:szCs w:val="24"/>
        </w:rPr>
        <w:footnoteReference w:id="4"/>
      </w:r>
      <w:r w:rsidR="008F3DE8">
        <w:rPr>
          <w:rFonts w:ascii="Bookman Old Style" w:hAnsi="Bookman Old Style"/>
          <w:sz w:val="24"/>
          <w:szCs w:val="24"/>
        </w:rPr>
        <w:t xml:space="preserve"> </w:t>
      </w:r>
      <w:r w:rsidR="001D6E6F">
        <w:rPr>
          <w:rFonts w:ascii="Bookman Old Style" w:hAnsi="Bookman Old Style"/>
          <w:sz w:val="24"/>
          <w:szCs w:val="24"/>
        </w:rPr>
        <w:t>.</w:t>
      </w:r>
      <w:r w:rsidR="002F47CA" w:rsidRPr="002F47CA">
        <w:rPr>
          <w:rFonts w:ascii="Bookman Old Style" w:hAnsi="Bookman Old Style"/>
          <w:sz w:val="24"/>
          <w:szCs w:val="24"/>
        </w:rPr>
        <w:t xml:space="preserve"> </w:t>
      </w:r>
      <w:r w:rsidR="002F47CA">
        <w:rPr>
          <w:rFonts w:ascii="Bookman Old Style" w:hAnsi="Bookman Old Style"/>
          <w:sz w:val="24"/>
          <w:szCs w:val="24"/>
        </w:rPr>
        <w:t>I</w:t>
      </w:r>
      <w:r w:rsidR="002F47CA" w:rsidRPr="00E464ED">
        <w:rPr>
          <w:rFonts w:ascii="Bookman Old Style" w:hAnsi="Bookman Old Style"/>
          <w:sz w:val="24"/>
          <w:szCs w:val="24"/>
        </w:rPr>
        <w:t>l</w:t>
      </w:r>
      <w:r w:rsidR="002F47CA">
        <w:rPr>
          <w:rFonts w:ascii="Bookman Old Style" w:hAnsi="Bookman Old Style"/>
          <w:sz w:val="24"/>
          <w:szCs w:val="24"/>
        </w:rPr>
        <w:t xml:space="preserve"> </w:t>
      </w:r>
      <w:r w:rsidR="002F47CA" w:rsidRPr="00E464ED">
        <w:rPr>
          <w:rFonts w:ascii="Bookman Old Style" w:hAnsi="Bookman Old Style"/>
          <w:sz w:val="24"/>
          <w:szCs w:val="24"/>
        </w:rPr>
        <w:t>riconoscimento</w:t>
      </w:r>
      <w:r w:rsidR="002F47CA">
        <w:rPr>
          <w:rFonts w:ascii="Bookman Old Style" w:hAnsi="Bookman Old Style"/>
          <w:sz w:val="24"/>
          <w:szCs w:val="24"/>
        </w:rPr>
        <w:t xml:space="preserve"> </w:t>
      </w:r>
      <w:r w:rsidR="002F47CA" w:rsidRPr="00E464ED">
        <w:rPr>
          <w:rFonts w:ascii="Bookman Old Style" w:hAnsi="Bookman Old Style"/>
          <w:sz w:val="24"/>
          <w:szCs w:val="24"/>
        </w:rPr>
        <w:t>dei</w:t>
      </w:r>
      <w:r w:rsidR="002F47CA">
        <w:rPr>
          <w:rFonts w:ascii="Bookman Old Style" w:hAnsi="Bookman Old Style"/>
          <w:sz w:val="24"/>
          <w:szCs w:val="24"/>
        </w:rPr>
        <w:t xml:space="preserve"> </w:t>
      </w:r>
      <w:r w:rsidR="002F47CA" w:rsidRPr="00E464ED">
        <w:rPr>
          <w:rFonts w:ascii="Bookman Old Style" w:hAnsi="Bookman Old Style"/>
          <w:sz w:val="24"/>
          <w:szCs w:val="24"/>
        </w:rPr>
        <w:t>diritti</w:t>
      </w:r>
      <w:r w:rsidR="002F47CA">
        <w:rPr>
          <w:rFonts w:ascii="Bookman Old Style" w:hAnsi="Bookman Old Style"/>
          <w:sz w:val="24"/>
          <w:szCs w:val="24"/>
        </w:rPr>
        <w:t xml:space="preserve"> </w:t>
      </w:r>
      <w:r w:rsidR="002F47CA" w:rsidRPr="00E464ED">
        <w:rPr>
          <w:rFonts w:ascii="Bookman Old Style" w:hAnsi="Bookman Old Style"/>
          <w:sz w:val="24"/>
          <w:szCs w:val="24"/>
        </w:rPr>
        <w:t>della</w:t>
      </w:r>
      <w:r w:rsidR="002F47CA">
        <w:rPr>
          <w:rFonts w:ascii="Bookman Old Style" w:hAnsi="Bookman Old Style"/>
          <w:sz w:val="24"/>
          <w:szCs w:val="24"/>
        </w:rPr>
        <w:t xml:space="preserve"> </w:t>
      </w:r>
      <w:r w:rsidR="002F47CA" w:rsidRPr="00E464ED">
        <w:rPr>
          <w:rFonts w:ascii="Bookman Old Style" w:hAnsi="Bookman Old Style"/>
          <w:sz w:val="24"/>
          <w:szCs w:val="24"/>
        </w:rPr>
        <w:t>persona</w:t>
      </w:r>
      <w:r w:rsidR="002F47CA">
        <w:rPr>
          <w:rFonts w:ascii="Bookman Old Style" w:hAnsi="Bookman Old Style"/>
          <w:sz w:val="24"/>
          <w:szCs w:val="24"/>
        </w:rPr>
        <w:t xml:space="preserve"> </w:t>
      </w:r>
      <w:r w:rsidR="002F47CA" w:rsidRPr="00E464ED">
        <w:rPr>
          <w:rFonts w:ascii="Bookman Old Style" w:hAnsi="Bookman Old Style"/>
          <w:sz w:val="24"/>
          <w:szCs w:val="24"/>
        </w:rPr>
        <w:t>umana</w:t>
      </w:r>
      <w:r w:rsidR="002F47CA">
        <w:rPr>
          <w:rFonts w:ascii="Bookman Old Style" w:hAnsi="Bookman Old Style"/>
          <w:sz w:val="24"/>
          <w:szCs w:val="24"/>
        </w:rPr>
        <w:t xml:space="preserve"> </w:t>
      </w:r>
      <w:r w:rsidR="002F47CA" w:rsidRPr="00E464ED">
        <w:rPr>
          <w:rFonts w:ascii="Bookman Old Style" w:hAnsi="Bookman Old Style"/>
          <w:sz w:val="24"/>
          <w:szCs w:val="24"/>
        </w:rPr>
        <w:t>è</w:t>
      </w:r>
      <w:r w:rsidR="002F47CA">
        <w:rPr>
          <w:rFonts w:ascii="Bookman Old Style" w:hAnsi="Bookman Old Style"/>
          <w:sz w:val="24"/>
          <w:szCs w:val="24"/>
        </w:rPr>
        <w:t xml:space="preserve"> </w:t>
      </w:r>
      <w:r w:rsidR="002F47CA" w:rsidRPr="00E464ED">
        <w:rPr>
          <w:rFonts w:ascii="Bookman Old Style" w:hAnsi="Bookman Old Style"/>
          <w:sz w:val="24"/>
          <w:szCs w:val="24"/>
        </w:rPr>
        <w:t>la</w:t>
      </w:r>
      <w:r w:rsidR="002F47CA">
        <w:rPr>
          <w:rFonts w:ascii="Bookman Old Style" w:hAnsi="Bookman Old Style"/>
          <w:sz w:val="24"/>
          <w:szCs w:val="24"/>
        </w:rPr>
        <w:t xml:space="preserve"> </w:t>
      </w:r>
      <w:r w:rsidR="002F47CA" w:rsidRPr="00E464ED">
        <w:rPr>
          <w:rFonts w:ascii="Bookman Old Style" w:hAnsi="Bookman Old Style"/>
          <w:sz w:val="24"/>
          <w:szCs w:val="24"/>
        </w:rPr>
        <w:t>pietra</w:t>
      </w:r>
      <w:r w:rsidR="002F47CA">
        <w:rPr>
          <w:rFonts w:ascii="Bookman Old Style" w:hAnsi="Bookman Old Style"/>
          <w:sz w:val="24"/>
          <w:szCs w:val="24"/>
        </w:rPr>
        <w:t xml:space="preserve"> </w:t>
      </w:r>
      <w:r w:rsidR="002F47CA" w:rsidRPr="00E464ED">
        <w:rPr>
          <w:rFonts w:ascii="Bookman Old Style" w:hAnsi="Bookman Old Style"/>
          <w:sz w:val="24"/>
          <w:szCs w:val="24"/>
        </w:rPr>
        <w:t>angolare</w:t>
      </w:r>
      <w:r w:rsidR="002F47CA">
        <w:rPr>
          <w:rFonts w:ascii="Bookman Old Style" w:hAnsi="Bookman Old Style"/>
          <w:sz w:val="24"/>
          <w:szCs w:val="24"/>
        </w:rPr>
        <w:t xml:space="preserve"> </w:t>
      </w:r>
      <w:r w:rsidR="002F47CA" w:rsidRPr="00E464ED">
        <w:rPr>
          <w:rFonts w:ascii="Bookman Old Style" w:hAnsi="Bookman Old Style"/>
          <w:sz w:val="24"/>
          <w:szCs w:val="24"/>
        </w:rPr>
        <w:t>di</w:t>
      </w:r>
      <w:r w:rsidR="002F47CA">
        <w:rPr>
          <w:rFonts w:ascii="Bookman Old Style" w:hAnsi="Bookman Old Style"/>
          <w:sz w:val="24"/>
          <w:szCs w:val="24"/>
        </w:rPr>
        <w:t xml:space="preserve"> </w:t>
      </w:r>
      <w:r w:rsidR="002F47CA" w:rsidRPr="00E464ED">
        <w:rPr>
          <w:rFonts w:ascii="Bookman Old Style" w:hAnsi="Bookman Old Style"/>
          <w:sz w:val="24"/>
          <w:szCs w:val="24"/>
        </w:rPr>
        <w:t>un</w:t>
      </w:r>
      <w:r w:rsidR="002F47CA">
        <w:rPr>
          <w:rFonts w:ascii="Bookman Old Style" w:hAnsi="Bookman Old Style"/>
          <w:sz w:val="24"/>
          <w:szCs w:val="24"/>
        </w:rPr>
        <w:t xml:space="preserve"> </w:t>
      </w:r>
      <w:r w:rsidR="002F47CA" w:rsidRPr="00E464ED">
        <w:rPr>
          <w:rFonts w:ascii="Bookman Old Style" w:hAnsi="Bookman Old Style"/>
          <w:sz w:val="24"/>
          <w:szCs w:val="24"/>
        </w:rPr>
        <w:t>percorso</w:t>
      </w:r>
      <w:r w:rsidR="002F47CA">
        <w:rPr>
          <w:rFonts w:ascii="Bookman Old Style" w:hAnsi="Bookman Old Style"/>
          <w:sz w:val="24"/>
          <w:szCs w:val="24"/>
        </w:rPr>
        <w:t xml:space="preserve"> </w:t>
      </w:r>
      <w:r w:rsidR="002F47CA" w:rsidRPr="00E464ED">
        <w:rPr>
          <w:rFonts w:ascii="Bookman Old Style" w:hAnsi="Bookman Old Style"/>
          <w:sz w:val="24"/>
          <w:szCs w:val="24"/>
        </w:rPr>
        <w:t>di</w:t>
      </w:r>
      <w:r w:rsidR="002F47CA">
        <w:rPr>
          <w:rFonts w:ascii="Bookman Old Style" w:hAnsi="Bookman Old Style"/>
          <w:sz w:val="24"/>
          <w:szCs w:val="24"/>
        </w:rPr>
        <w:t xml:space="preserve"> </w:t>
      </w:r>
      <w:r w:rsidR="002F47CA" w:rsidRPr="00E464ED">
        <w:rPr>
          <w:rFonts w:ascii="Bookman Old Style" w:hAnsi="Bookman Old Style"/>
          <w:sz w:val="24"/>
          <w:szCs w:val="24"/>
        </w:rPr>
        <w:t>costruzione</w:t>
      </w:r>
      <w:r w:rsidR="002F47CA">
        <w:rPr>
          <w:rFonts w:ascii="Bookman Old Style" w:hAnsi="Bookman Old Style"/>
          <w:sz w:val="24"/>
          <w:szCs w:val="24"/>
        </w:rPr>
        <w:t xml:space="preserve"> </w:t>
      </w:r>
      <w:r w:rsidR="002F47CA" w:rsidRPr="00E464ED">
        <w:rPr>
          <w:rFonts w:ascii="Bookman Old Style" w:hAnsi="Bookman Old Style"/>
          <w:sz w:val="24"/>
          <w:szCs w:val="24"/>
        </w:rPr>
        <w:t>di</w:t>
      </w:r>
      <w:r w:rsidR="002F47CA">
        <w:rPr>
          <w:rFonts w:ascii="Bookman Old Style" w:hAnsi="Bookman Old Style"/>
          <w:sz w:val="24"/>
          <w:szCs w:val="24"/>
        </w:rPr>
        <w:t xml:space="preserve"> </w:t>
      </w:r>
      <w:r w:rsidR="002F47CA" w:rsidRPr="00E464ED">
        <w:rPr>
          <w:rFonts w:ascii="Bookman Old Style" w:hAnsi="Bookman Old Style"/>
          <w:sz w:val="24"/>
          <w:szCs w:val="24"/>
        </w:rPr>
        <w:t>un</w:t>
      </w:r>
      <w:r w:rsidR="002F47CA">
        <w:rPr>
          <w:rFonts w:ascii="Bookman Old Style" w:hAnsi="Bookman Old Style"/>
          <w:sz w:val="24"/>
          <w:szCs w:val="24"/>
        </w:rPr>
        <w:t xml:space="preserve"> </w:t>
      </w:r>
      <w:r w:rsidR="002F47CA" w:rsidRPr="00E464ED">
        <w:rPr>
          <w:rFonts w:ascii="Bookman Old Style" w:hAnsi="Bookman Old Style"/>
          <w:sz w:val="24"/>
          <w:szCs w:val="24"/>
        </w:rPr>
        <w:t>tipo</w:t>
      </w:r>
      <w:r w:rsidR="002F47CA">
        <w:rPr>
          <w:rFonts w:ascii="Bookman Old Style" w:hAnsi="Bookman Old Style"/>
          <w:sz w:val="24"/>
          <w:szCs w:val="24"/>
        </w:rPr>
        <w:t xml:space="preserve"> </w:t>
      </w:r>
      <w:r w:rsidR="002F47CA" w:rsidRPr="00E464ED">
        <w:rPr>
          <w:rFonts w:ascii="Bookman Old Style" w:hAnsi="Bookman Old Style"/>
          <w:sz w:val="24"/>
          <w:szCs w:val="24"/>
        </w:rPr>
        <w:t>ideale</w:t>
      </w:r>
      <w:r w:rsidR="002F47CA">
        <w:rPr>
          <w:rFonts w:ascii="Bookman Old Style" w:hAnsi="Bookman Old Style"/>
          <w:sz w:val="24"/>
          <w:szCs w:val="24"/>
        </w:rPr>
        <w:t xml:space="preserve"> </w:t>
      </w:r>
      <w:r w:rsidR="002F47CA" w:rsidRPr="00E464ED">
        <w:rPr>
          <w:rFonts w:ascii="Bookman Old Style" w:hAnsi="Bookman Old Style"/>
          <w:sz w:val="24"/>
          <w:szCs w:val="24"/>
        </w:rPr>
        <w:t>di</w:t>
      </w:r>
      <w:r w:rsidR="002F47CA">
        <w:rPr>
          <w:rFonts w:ascii="Bookman Old Style" w:hAnsi="Bookman Old Style"/>
          <w:sz w:val="24"/>
          <w:szCs w:val="24"/>
        </w:rPr>
        <w:t xml:space="preserve"> </w:t>
      </w:r>
      <w:r w:rsidR="002F47CA" w:rsidRPr="00E464ED">
        <w:rPr>
          <w:rFonts w:ascii="Bookman Old Style" w:hAnsi="Bookman Old Style"/>
          <w:sz w:val="24"/>
          <w:szCs w:val="24"/>
        </w:rPr>
        <w:t>società,</w:t>
      </w:r>
      <w:r w:rsidR="002F47CA">
        <w:rPr>
          <w:rFonts w:ascii="Bookman Old Style" w:hAnsi="Bookman Old Style"/>
          <w:sz w:val="24"/>
          <w:szCs w:val="24"/>
        </w:rPr>
        <w:t xml:space="preserve"> </w:t>
      </w:r>
      <w:r w:rsidR="002F47CA" w:rsidRPr="00E464ED">
        <w:rPr>
          <w:rFonts w:ascii="Bookman Old Style" w:hAnsi="Bookman Old Style"/>
          <w:sz w:val="24"/>
          <w:szCs w:val="24"/>
        </w:rPr>
        <w:t>di</w:t>
      </w:r>
      <w:r w:rsidR="002F47CA">
        <w:rPr>
          <w:rFonts w:ascii="Bookman Old Style" w:hAnsi="Bookman Old Style"/>
          <w:sz w:val="24"/>
          <w:szCs w:val="24"/>
        </w:rPr>
        <w:t xml:space="preserve"> </w:t>
      </w:r>
      <w:r w:rsidR="002F47CA" w:rsidRPr="00E464ED">
        <w:rPr>
          <w:rFonts w:ascii="Bookman Old Style" w:hAnsi="Bookman Old Style"/>
          <w:sz w:val="24"/>
          <w:szCs w:val="24"/>
        </w:rPr>
        <w:t>organizzazione</w:t>
      </w:r>
      <w:r w:rsidR="002F47CA">
        <w:rPr>
          <w:rFonts w:ascii="Bookman Old Style" w:hAnsi="Bookman Old Style"/>
          <w:sz w:val="24"/>
          <w:szCs w:val="24"/>
        </w:rPr>
        <w:t xml:space="preserve"> </w:t>
      </w:r>
      <w:r w:rsidR="002F47CA" w:rsidRPr="00E464ED">
        <w:rPr>
          <w:rFonts w:ascii="Bookman Old Style" w:hAnsi="Bookman Old Style"/>
          <w:sz w:val="24"/>
          <w:szCs w:val="24"/>
        </w:rPr>
        <w:t>dei</w:t>
      </w:r>
      <w:r w:rsidR="002F47CA">
        <w:rPr>
          <w:rFonts w:ascii="Bookman Old Style" w:hAnsi="Bookman Old Style"/>
          <w:sz w:val="24"/>
          <w:szCs w:val="24"/>
        </w:rPr>
        <w:t xml:space="preserve"> </w:t>
      </w:r>
      <w:r w:rsidR="002F47CA" w:rsidRPr="00E464ED">
        <w:rPr>
          <w:rFonts w:ascii="Bookman Old Style" w:hAnsi="Bookman Old Style"/>
          <w:sz w:val="24"/>
          <w:szCs w:val="24"/>
        </w:rPr>
        <w:t>rapporti</w:t>
      </w:r>
      <w:r w:rsidR="002F47CA">
        <w:rPr>
          <w:rFonts w:ascii="Bookman Old Style" w:hAnsi="Bookman Old Style"/>
          <w:sz w:val="24"/>
          <w:szCs w:val="24"/>
        </w:rPr>
        <w:t xml:space="preserve"> </w:t>
      </w:r>
      <w:r w:rsidR="002F47CA" w:rsidRPr="00E464ED">
        <w:rPr>
          <w:rFonts w:ascii="Bookman Old Style" w:hAnsi="Bookman Old Style"/>
          <w:sz w:val="24"/>
          <w:szCs w:val="24"/>
        </w:rPr>
        <w:t>tra</w:t>
      </w:r>
      <w:r w:rsidR="002F47CA">
        <w:rPr>
          <w:rFonts w:ascii="Bookman Old Style" w:hAnsi="Bookman Old Style"/>
          <w:sz w:val="24"/>
          <w:szCs w:val="24"/>
        </w:rPr>
        <w:t xml:space="preserve"> </w:t>
      </w:r>
      <w:r w:rsidR="002F47CA" w:rsidRPr="00E464ED">
        <w:rPr>
          <w:rFonts w:ascii="Bookman Old Style" w:hAnsi="Bookman Old Style"/>
          <w:sz w:val="24"/>
          <w:szCs w:val="24"/>
        </w:rPr>
        <w:t>individu</w:t>
      </w:r>
      <w:r w:rsidR="002F47CA">
        <w:rPr>
          <w:rFonts w:ascii="Bookman Old Style" w:hAnsi="Bookman Old Style"/>
          <w:sz w:val="24"/>
          <w:szCs w:val="24"/>
        </w:rPr>
        <w:t xml:space="preserve">i e tra questi e i </w:t>
      </w:r>
      <w:r w:rsidR="002F47CA" w:rsidRPr="00E464ED">
        <w:rPr>
          <w:rFonts w:ascii="Bookman Old Style" w:hAnsi="Bookman Old Style"/>
          <w:sz w:val="24"/>
          <w:szCs w:val="24"/>
        </w:rPr>
        <w:t>governanti:</w:t>
      </w:r>
      <w:r w:rsidR="002F47CA">
        <w:rPr>
          <w:rFonts w:ascii="Bookman Old Style" w:hAnsi="Bookman Old Style"/>
          <w:sz w:val="24"/>
          <w:szCs w:val="24"/>
        </w:rPr>
        <w:t xml:space="preserve"> tale percorso </w:t>
      </w:r>
      <w:r w:rsidR="002F47CA" w:rsidRPr="00E464ED">
        <w:rPr>
          <w:rFonts w:ascii="Bookman Old Style" w:hAnsi="Bookman Old Style"/>
          <w:sz w:val="24"/>
          <w:szCs w:val="24"/>
        </w:rPr>
        <w:t>trova</w:t>
      </w:r>
      <w:r w:rsidR="002F47CA">
        <w:rPr>
          <w:rFonts w:ascii="Bookman Old Style" w:hAnsi="Bookman Old Style"/>
          <w:sz w:val="24"/>
          <w:szCs w:val="24"/>
        </w:rPr>
        <w:t xml:space="preserve"> </w:t>
      </w:r>
      <w:r w:rsidR="002F47CA" w:rsidRPr="00E464ED">
        <w:rPr>
          <w:rFonts w:ascii="Bookman Old Style" w:hAnsi="Bookman Old Style"/>
          <w:sz w:val="24"/>
          <w:szCs w:val="24"/>
        </w:rPr>
        <w:t>nei</w:t>
      </w:r>
      <w:r w:rsidR="002F47CA">
        <w:rPr>
          <w:rFonts w:ascii="Bookman Old Style" w:hAnsi="Bookman Old Style"/>
          <w:sz w:val="24"/>
          <w:szCs w:val="24"/>
        </w:rPr>
        <w:t xml:space="preserve"> </w:t>
      </w:r>
      <w:r w:rsidR="002F47CA" w:rsidRPr="00E464ED">
        <w:rPr>
          <w:rFonts w:ascii="Bookman Old Style" w:hAnsi="Bookman Old Style"/>
          <w:sz w:val="24"/>
          <w:szCs w:val="24"/>
        </w:rPr>
        <w:t>testi</w:t>
      </w:r>
      <w:r w:rsidR="002F47CA">
        <w:rPr>
          <w:rFonts w:ascii="Bookman Old Style" w:hAnsi="Bookman Old Style"/>
          <w:sz w:val="24"/>
          <w:szCs w:val="24"/>
        </w:rPr>
        <w:t xml:space="preserve"> </w:t>
      </w:r>
      <w:r w:rsidR="002F47CA" w:rsidRPr="00E464ED">
        <w:rPr>
          <w:rFonts w:ascii="Bookman Old Style" w:hAnsi="Bookman Old Style"/>
          <w:sz w:val="24"/>
          <w:szCs w:val="24"/>
        </w:rPr>
        <w:t>costituzionali</w:t>
      </w:r>
      <w:r w:rsidR="002F47CA">
        <w:rPr>
          <w:rFonts w:ascii="Bookman Old Style" w:hAnsi="Bookman Old Style"/>
          <w:sz w:val="24"/>
          <w:szCs w:val="24"/>
        </w:rPr>
        <w:t xml:space="preserve"> </w:t>
      </w:r>
      <w:r w:rsidR="002F47CA" w:rsidRPr="00E464ED">
        <w:rPr>
          <w:rFonts w:ascii="Bookman Old Style" w:hAnsi="Bookman Old Style"/>
          <w:sz w:val="24"/>
          <w:szCs w:val="24"/>
        </w:rPr>
        <w:t>del</w:t>
      </w:r>
      <w:r w:rsidR="002F47CA">
        <w:rPr>
          <w:rFonts w:ascii="Bookman Old Style" w:hAnsi="Bookman Old Style"/>
          <w:sz w:val="24"/>
          <w:szCs w:val="24"/>
        </w:rPr>
        <w:t xml:space="preserve"> secondo </w:t>
      </w:r>
      <w:r w:rsidR="002F47CA" w:rsidRPr="00E464ED">
        <w:rPr>
          <w:rFonts w:ascii="Bookman Old Style" w:hAnsi="Bookman Old Style"/>
          <w:sz w:val="24"/>
          <w:szCs w:val="24"/>
        </w:rPr>
        <w:t>Novecento</w:t>
      </w:r>
      <w:r w:rsidR="002F47CA">
        <w:rPr>
          <w:rFonts w:ascii="Bookman Old Style" w:hAnsi="Bookman Old Style"/>
          <w:sz w:val="24"/>
          <w:szCs w:val="24"/>
        </w:rPr>
        <w:t xml:space="preserve"> </w:t>
      </w:r>
      <w:r w:rsidR="002F47CA" w:rsidRPr="00E464ED">
        <w:rPr>
          <w:rFonts w:ascii="Bookman Old Style" w:hAnsi="Bookman Old Style"/>
          <w:sz w:val="24"/>
          <w:szCs w:val="24"/>
        </w:rPr>
        <w:t>il</w:t>
      </w:r>
      <w:r w:rsidR="002F47CA">
        <w:rPr>
          <w:rFonts w:ascii="Bookman Old Style" w:hAnsi="Bookman Old Style"/>
          <w:sz w:val="24"/>
          <w:szCs w:val="24"/>
        </w:rPr>
        <w:t xml:space="preserve"> </w:t>
      </w:r>
      <w:r w:rsidR="002F47CA" w:rsidRPr="00E464ED">
        <w:rPr>
          <w:rFonts w:ascii="Bookman Old Style" w:hAnsi="Bookman Old Style"/>
          <w:sz w:val="24"/>
          <w:szCs w:val="24"/>
        </w:rPr>
        <w:t>suo</w:t>
      </w:r>
      <w:r w:rsidR="002F47CA">
        <w:rPr>
          <w:rFonts w:ascii="Bookman Old Style" w:hAnsi="Bookman Old Style"/>
          <w:sz w:val="24"/>
          <w:szCs w:val="24"/>
        </w:rPr>
        <w:t xml:space="preserve"> </w:t>
      </w:r>
      <w:r w:rsidR="002F47CA" w:rsidRPr="00E464ED">
        <w:rPr>
          <w:rFonts w:ascii="Bookman Old Style" w:hAnsi="Bookman Old Style"/>
          <w:sz w:val="24"/>
          <w:szCs w:val="24"/>
        </w:rPr>
        <w:t>approdo</w:t>
      </w:r>
      <w:r w:rsidR="002F47CA">
        <w:rPr>
          <w:rFonts w:ascii="Bookman Old Style" w:hAnsi="Bookman Old Style"/>
          <w:sz w:val="24"/>
          <w:szCs w:val="24"/>
        </w:rPr>
        <w:t xml:space="preserve"> </w:t>
      </w:r>
      <w:r w:rsidR="002F47CA" w:rsidRPr="00E464ED">
        <w:rPr>
          <w:rFonts w:ascii="Bookman Old Style" w:hAnsi="Bookman Old Style"/>
          <w:sz w:val="24"/>
          <w:szCs w:val="24"/>
        </w:rPr>
        <w:t>e</w:t>
      </w:r>
      <w:r w:rsidR="002F47CA">
        <w:rPr>
          <w:rFonts w:ascii="Bookman Old Style" w:hAnsi="Bookman Old Style"/>
          <w:sz w:val="24"/>
          <w:szCs w:val="24"/>
        </w:rPr>
        <w:t xml:space="preserve"> </w:t>
      </w:r>
      <w:r w:rsidR="002F47CA" w:rsidRPr="00E464ED">
        <w:rPr>
          <w:rFonts w:ascii="Bookman Old Style" w:hAnsi="Bookman Old Style"/>
          <w:sz w:val="24"/>
          <w:szCs w:val="24"/>
        </w:rPr>
        <w:t>la</w:t>
      </w:r>
      <w:r w:rsidR="002F47CA">
        <w:rPr>
          <w:rFonts w:ascii="Bookman Old Style" w:hAnsi="Bookman Old Style"/>
          <w:sz w:val="24"/>
          <w:szCs w:val="24"/>
        </w:rPr>
        <w:t xml:space="preserve"> </w:t>
      </w:r>
      <w:r w:rsidR="002F47CA" w:rsidRPr="00E464ED">
        <w:rPr>
          <w:rFonts w:ascii="Bookman Old Style" w:hAnsi="Bookman Old Style"/>
          <w:sz w:val="24"/>
          <w:szCs w:val="24"/>
        </w:rPr>
        <w:t>sua</w:t>
      </w:r>
      <w:r w:rsidR="002F47CA">
        <w:rPr>
          <w:rFonts w:ascii="Bookman Old Style" w:hAnsi="Bookman Old Style"/>
          <w:sz w:val="24"/>
          <w:szCs w:val="24"/>
        </w:rPr>
        <w:t xml:space="preserve"> </w:t>
      </w:r>
      <w:r w:rsidR="002F47CA" w:rsidRPr="00E464ED">
        <w:rPr>
          <w:rFonts w:ascii="Bookman Old Style" w:hAnsi="Bookman Old Style"/>
          <w:sz w:val="24"/>
          <w:szCs w:val="24"/>
        </w:rPr>
        <w:t>sintesi</w:t>
      </w:r>
      <w:r w:rsidR="002F47CA">
        <w:rPr>
          <w:rFonts w:ascii="Bookman Old Style" w:hAnsi="Bookman Old Style"/>
          <w:sz w:val="24"/>
          <w:szCs w:val="24"/>
        </w:rPr>
        <w:t xml:space="preserve"> </w:t>
      </w:r>
      <w:r w:rsidR="002F47CA" w:rsidRPr="00E464ED">
        <w:rPr>
          <w:rFonts w:ascii="Bookman Old Style" w:hAnsi="Bookman Old Style"/>
          <w:sz w:val="24"/>
          <w:szCs w:val="24"/>
        </w:rPr>
        <w:t>e</w:t>
      </w:r>
      <w:r w:rsidR="002F47CA">
        <w:rPr>
          <w:rFonts w:ascii="Bookman Old Style" w:hAnsi="Bookman Old Style"/>
          <w:sz w:val="24"/>
          <w:szCs w:val="24"/>
        </w:rPr>
        <w:t xml:space="preserve"> </w:t>
      </w:r>
      <w:r w:rsidR="002F47CA" w:rsidRPr="00E464ED">
        <w:rPr>
          <w:rFonts w:ascii="Bookman Old Style" w:hAnsi="Bookman Old Style"/>
          <w:sz w:val="24"/>
          <w:szCs w:val="24"/>
        </w:rPr>
        <w:t>ne</w:t>
      </w:r>
      <w:r w:rsidR="002F47CA">
        <w:rPr>
          <w:rFonts w:ascii="Bookman Old Style" w:hAnsi="Bookman Old Style"/>
          <w:sz w:val="24"/>
          <w:szCs w:val="24"/>
        </w:rPr>
        <w:t xml:space="preserve"> </w:t>
      </w:r>
      <w:r w:rsidR="002F47CA" w:rsidRPr="00E464ED">
        <w:rPr>
          <w:rFonts w:ascii="Bookman Old Style" w:hAnsi="Bookman Old Style"/>
          <w:sz w:val="24"/>
          <w:szCs w:val="24"/>
        </w:rPr>
        <w:t>marca,</w:t>
      </w:r>
      <w:r w:rsidR="002F47CA">
        <w:rPr>
          <w:rFonts w:ascii="Bookman Old Style" w:hAnsi="Bookman Old Style"/>
          <w:sz w:val="24"/>
          <w:szCs w:val="24"/>
        </w:rPr>
        <w:t xml:space="preserve"> </w:t>
      </w:r>
      <w:r w:rsidR="002F47CA" w:rsidRPr="00E464ED">
        <w:rPr>
          <w:rFonts w:ascii="Bookman Old Style" w:hAnsi="Bookman Old Style"/>
          <w:sz w:val="24"/>
          <w:szCs w:val="24"/>
        </w:rPr>
        <w:t>al</w:t>
      </w:r>
      <w:r w:rsidR="002F47CA">
        <w:rPr>
          <w:rFonts w:ascii="Bookman Old Style" w:hAnsi="Bookman Old Style"/>
          <w:sz w:val="24"/>
          <w:szCs w:val="24"/>
        </w:rPr>
        <w:t xml:space="preserve"> </w:t>
      </w:r>
      <w:r w:rsidR="002F47CA" w:rsidRPr="00E464ED">
        <w:rPr>
          <w:rFonts w:ascii="Bookman Old Style" w:hAnsi="Bookman Old Style"/>
          <w:sz w:val="24"/>
          <w:szCs w:val="24"/>
        </w:rPr>
        <w:t>contempo,</w:t>
      </w:r>
      <w:r w:rsidR="002F47CA">
        <w:rPr>
          <w:rFonts w:ascii="Bookman Old Style" w:hAnsi="Bookman Old Style"/>
          <w:sz w:val="24"/>
          <w:szCs w:val="24"/>
        </w:rPr>
        <w:t xml:space="preserve"> </w:t>
      </w:r>
      <w:r w:rsidR="002F47CA" w:rsidRPr="00E464ED">
        <w:rPr>
          <w:rFonts w:ascii="Bookman Old Style" w:hAnsi="Bookman Old Style"/>
          <w:sz w:val="24"/>
          <w:szCs w:val="24"/>
        </w:rPr>
        <w:t>la</w:t>
      </w:r>
      <w:r w:rsidR="002F47CA">
        <w:rPr>
          <w:rFonts w:ascii="Bookman Old Style" w:hAnsi="Bookman Old Style"/>
          <w:sz w:val="24"/>
          <w:szCs w:val="24"/>
        </w:rPr>
        <w:t xml:space="preserve"> </w:t>
      </w:r>
      <w:r w:rsidR="002F47CA" w:rsidRPr="00E464ED">
        <w:rPr>
          <w:rFonts w:ascii="Bookman Old Style" w:hAnsi="Bookman Old Style"/>
          <w:sz w:val="24"/>
          <w:szCs w:val="24"/>
        </w:rPr>
        <w:t>differenza</w:t>
      </w:r>
      <w:r w:rsidR="002F47CA">
        <w:rPr>
          <w:rFonts w:ascii="Bookman Old Style" w:hAnsi="Bookman Old Style"/>
          <w:sz w:val="24"/>
          <w:szCs w:val="24"/>
        </w:rPr>
        <w:t xml:space="preserve"> </w:t>
      </w:r>
      <w:r w:rsidR="002F47CA" w:rsidRPr="00E464ED">
        <w:rPr>
          <w:rFonts w:ascii="Bookman Old Style" w:hAnsi="Bookman Old Style"/>
          <w:sz w:val="24"/>
          <w:szCs w:val="24"/>
        </w:rPr>
        <w:t>con</w:t>
      </w:r>
      <w:r w:rsidR="002F47CA">
        <w:rPr>
          <w:rFonts w:ascii="Bookman Old Style" w:hAnsi="Bookman Old Style"/>
          <w:sz w:val="24"/>
          <w:szCs w:val="24"/>
        </w:rPr>
        <w:t xml:space="preserve"> </w:t>
      </w:r>
      <w:r w:rsidR="002F47CA" w:rsidRPr="00E464ED">
        <w:rPr>
          <w:rFonts w:ascii="Bookman Old Style" w:hAnsi="Bookman Old Style"/>
          <w:sz w:val="24"/>
          <w:szCs w:val="24"/>
        </w:rPr>
        <w:t>gli</w:t>
      </w:r>
      <w:r w:rsidR="002F47CA">
        <w:rPr>
          <w:rFonts w:ascii="Bookman Old Style" w:hAnsi="Bookman Old Style"/>
          <w:sz w:val="24"/>
          <w:szCs w:val="24"/>
        </w:rPr>
        <w:t xml:space="preserve"> </w:t>
      </w:r>
      <w:r w:rsidR="002F47CA" w:rsidRPr="00E464ED">
        <w:rPr>
          <w:rFonts w:ascii="Bookman Old Style" w:hAnsi="Bookman Old Style"/>
          <w:sz w:val="24"/>
          <w:szCs w:val="24"/>
        </w:rPr>
        <w:t>Statuti</w:t>
      </w:r>
      <w:r w:rsidR="002F47CA">
        <w:rPr>
          <w:rFonts w:ascii="Bookman Old Style" w:hAnsi="Bookman Old Style"/>
          <w:sz w:val="24"/>
          <w:szCs w:val="24"/>
        </w:rPr>
        <w:t xml:space="preserve"> </w:t>
      </w:r>
      <w:r w:rsidR="002F47CA" w:rsidRPr="00E464ED">
        <w:rPr>
          <w:rFonts w:ascii="Bookman Old Style" w:hAnsi="Bookman Old Style"/>
          <w:sz w:val="24"/>
          <w:szCs w:val="24"/>
        </w:rPr>
        <w:t>liberali</w:t>
      </w:r>
      <w:r w:rsidR="002F47CA">
        <w:rPr>
          <w:rFonts w:ascii="Bookman Old Style" w:hAnsi="Bookman Old Style"/>
          <w:sz w:val="24"/>
          <w:szCs w:val="24"/>
        </w:rPr>
        <w:t xml:space="preserve"> </w:t>
      </w:r>
      <w:r w:rsidR="002F47CA" w:rsidRPr="00E464ED">
        <w:rPr>
          <w:rFonts w:ascii="Bookman Old Style" w:hAnsi="Bookman Old Style"/>
          <w:sz w:val="24"/>
          <w:szCs w:val="24"/>
        </w:rPr>
        <w:t>ottocenteschi.</w:t>
      </w:r>
    </w:p>
    <w:p w:rsidR="005814C4" w:rsidRPr="00E464ED" w:rsidRDefault="003E089B" w:rsidP="00E464ED">
      <w:pPr>
        <w:ind w:firstLine="709"/>
        <w:jc w:val="both"/>
        <w:rPr>
          <w:rFonts w:ascii="Bookman Old Style" w:hAnsi="Bookman Old Style"/>
          <w:sz w:val="24"/>
          <w:szCs w:val="24"/>
        </w:rPr>
      </w:pPr>
      <w:r>
        <w:rPr>
          <w:rFonts w:ascii="Bookman Old Style" w:hAnsi="Bookman Old Style"/>
          <w:sz w:val="24"/>
          <w:szCs w:val="24"/>
        </w:rPr>
        <w:t>Nelle</w:t>
      </w:r>
      <w:r w:rsidR="008F3DE8">
        <w:rPr>
          <w:rFonts w:ascii="Bookman Old Style" w:hAnsi="Bookman Old Style"/>
          <w:sz w:val="24"/>
          <w:szCs w:val="24"/>
        </w:rPr>
        <w:t xml:space="preserve"> </w:t>
      </w:r>
      <w:r w:rsidR="00990A66" w:rsidRPr="00E464ED">
        <w:rPr>
          <w:rFonts w:ascii="Bookman Old Style" w:hAnsi="Bookman Old Style"/>
          <w:sz w:val="24"/>
          <w:szCs w:val="24"/>
        </w:rPr>
        <w:t>costituzioni</w:t>
      </w:r>
      <w:r w:rsidR="008F3DE8">
        <w:rPr>
          <w:rFonts w:ascii="Bookman Old Style" w:hAnsi="Bookman Old Style"/>
          <w:sz w:val="24"/>
          <w:szCs w:val="24"/>
        </w:rPr>
        <w:t xml:space="preserve"> </w:t>
      </w:r>
      <w:r w:rsidR="00990A66" w:rsidRPr="00E464ED">
        <w:rPr>
          <w:rFonts w:ascii="Bookman Old Style" w:hAnsi="Bookman Old Style"/>
          <w:sz w:val="24"/>
          <w:szCs w:val="24"/>
        </w:rPr>
        <w:t>liberali</w:t>
      </w:r>
      <w:r w:rsidR="008F3DE8">
        <w:rPr>
          <w:rFonts w:ascii="Bookman Old Style" w:hAnsi="Bookman Old Style"/>
          <w:sz w:val="24"/>
          <w:szCs w:val="24"/>
        </w:rPr>
        <w:t xml:space="preserve"> </w:t>
      </w:r>
      <w:r w:rsidR="00990A66" w:rsidRPr="00E464ED">
        <w:rPr>
          <w:rFonts w:ascii="Bookman Old Style" w:hAnsi="Bookman Old Style"/>
          <w:sz w:val="24"/>
          <w:szCs w:val="24"/>
        </w:rPr>
        <w:t>ottocentesche</w:t>
      </w:r>
      <w:r w:rsidR="008F3DE8">
        <w:rPr>
          <w:rFonts w:ascii="Bookman Old Style" w:hAnsi="Bookman Old Style"/>
          <w:sz w:val="24"/>
          <w:szCs w:val="24"/>
        </w:rPr>
        <w:t xml:space="preserve"> </w:t>
      </w:r>
      <w:r w:rsidR="00990A66" w:rsidRPr="00E464ED">
        <w:rPr>
          <w:rFonts w:ascii="Bookman Old Style" w:hAnsi="Bookman Old Style"/>
          <w:sz w:val="24"/>
          <w:szCs w:val="24"/>
        </w:rPr>
        <w:t>non</w:t>
      </w:r>
      <w:r w:rsidR="008F3DE8">
        <w:rPr>
          <w:rFonts w:ascii="Bookman Old Style" w:hAnsi="Bookman Old Style"/>
          <w:sz w:val="24"/>
          <w:szCs w:val="24"/>
        </w:rPr>
        <w:t xml:space="preserve"> </w:t>
      </w:r>
      <w:r w:rsidR="00990A66" w:rsidRPr="00E464ED">
        <w:rPr>
          <w:rFonts w:ascii="Bookman Old Style" w:hAnsi="Bookman Old Style"/>
          <w:sz w:val="24"/>
          <w:szCs w:val="24"/>
        </w:rPr>
        <w:t>vi</w:t>
      </w:r>
      <w:r w:rsidR="008F3DE8">
        <w:rPr>
          <w:rFonts w:ascii="Bookman Old Style" w:hAnsi="Bookman Old Style"/>
          <w:sz w:val="24"/>
          <w:szCs w:val="24"/>
        </w:rPr>
        <w:t xml:space="preserve"> </w:t>
      </w:r>
      <w:r w:rsidR="00990A66" w:rsidRPr="00E464ED">
        <w:rPr>
          <w:rFonts w:ascii="Bookman Old Style" w:hAnsi="Bookman Old Style"/>
          <w:sz w:val="24"/>
          <w:szCs w:val="24"/>
        </w:rPr>
        <w:t>era</w:t>
      </w:r>
      <w:r w:rsidR="008F3DE8">
        <w:rPr>
          <w:rFonts w:ascii="Bookman Old Style" w:hAnsi="Bookman Old Style"/>
          <w:sz w:val="24"/>
          <w:szCs w:val="24"/>
        </w:rPr>
        <w:t xml:space="preserve"> </w:t>
      </w:r>
      <w:r w:rsidR="00990A66" w:rsidRPr="00E464ED">
        <w:rPr>
          <w:rFonts w:ascii="Bookman Old Style" w:hAnsi="Bookman Old Style"/>
          <w:sz w:val="24"/>
          <w:szCs w:val="24"/>
        </w:rPr>
        <w:t>la</w:t>
      </w:r>
      <w:r w:rsidR="008F3DE8">
        <w:rPr>
          <w:rFonts w:ascii="Bookman Old Style" w:hAnsi="Bookman Old Style"/>
          <w:sz w:val="24"/>
          <w:szCs w:val="24"/>
        </w:rPr>
        <w:t xml:space="preserve"> </w:t>
      </w:r>
      <w:r w:rsidR="00990A66" w:rsidRPr="00E464ED">
        <w:rPr>
          <w:rFonts w:ascii="Bookman Old Style" w:hAnsi="Bookman Old Style"/>
          <w:sz w:val="24"/>
          <w:szCs w:val="24"/>
        </w:rPr>
        <w:t>presenza</w:t>
      </w:r>
      <w:r w:rsidR="008F3DE8">
        <w:rPr>
          <w:rFonts w:ascii="Bookman Old Style" w:hAnsi="Bookman Old Style"/>
          <w:sz w:val="24"/>
          <w:szCs w:val="24"/>
        </w:rPr>
        <w:t xml:space="preserve"> </w:t>
      </w:r>
      <w:r w:rsidR="00990A66" w:rsidRPr="00E464ED">
        <w:rPr>
          <w:rFonts w:ascii="Bookman Old Style" w:hAnsi="Bookman Old Style"/>
          <w:sz w:val="24"/>
          <w:szCs w:val="24"/>
        </w:rPr>
        <w:t>della</w:t>
      </w:r>
      <w:r w:rsidR="008F3DE8">
        <w:rPr>
          <w:rFonts w:ascii="Bookman Old Style" w:hAnsi="Bookman Old Style"/>
          <w:sz w:val="24"/>
          <w:szCs w:val="24"/>
        </w:rPr>
        <w:t xml:space="preserve"> </w:t>
      </w:r>
      <w:r w:rsidR="005814C4" w:rsidRPr="00E464ED">
        <w:rPr>
          <w:rFonts w:ascii="Bookman Old Style" w:hAnsi="Bookman Old Style"/>
          <w:sz w:val="24"/>
          <w:szCs w:val="24"/>
        </w:rPr>
        <w:t>società,</w:t>
      </w:r>
      <w:r w:rsidR="008F3DE8">
        <w:rPr>
          <w:rFonts w:ascii="Bookman Old Style" w:hAnsi="Bookman Old Style"/>
          <w:sz w:val="24"/>
          <w:szCs w:val="24"/>
        </w:rPr>
        <w:t xml:space="preserve"> </w:t>
      </w:r>
      <w:r w:rsidR="005814C4" w:rsidRPr="00E464ED">
        <w:rPr>
          <w:rFonts w:ascii="Bookman Old Style" w:hAnsi="Bookman Old Style"/>
          <w:sz w:val="24"/>
          <w:szCs w:val="24"/>
        </w:rPr>
        <w:t>ovvero</w:t>
      </w:r>
      <w:r w:rsidR="008F3DE8">
        <w:rPr>
          <w:rFonts w:ascii="Bookman Old Style" w:hAnsi="Bookman Old Style"/>
          <w:sz w:val="24"/>
          <w:szCs w:val="24"/>
        </w:rPr>
        <w:t xml:space="preserve"> </w:t>
      </w:r>
      <w:r w:rsidR="005814C4" w:rsidRPr="00E464ED">
        <w:rPr>
          <w:rFonts w:ascii="Bookman Old Style" w:hAnsi="Bookman Old Style"/>
          <w:sz w:val="24"/>
          <w:szCs w:val="24"/>
        </w:rPr>
        <w:t>il</w:t>
      </w:r>
      <w:r w:rsidR="008F3DE8">
        <w:rPr>
          <w:rFonts w:ascii="Bookman Old Style" w:hAnsi="Bookman Old Style"/>
          <w:sz w:val="24"/>
          <w:szCs w:val="24"/>
        </w:rPr>
        <w:t xml:space="preserve"> </w:t>
      </w:r>
      <w:r w:rsidR="005814C4" w:rsidRPr="00E464ED">
        <w:rPr>
          <w:rFonts w:ascii="Bookman Old Style" w:hAnsi="Bookman Old Style"/>
          <w:sz w:val="24"/>
          <w:szCs w:val="24"/>
        </w:rPr>
        <w:t>mondo</w:t>
      </w:r>
      <w:r w:rsidR="008F3DE8">
        <w:rPr>
          <w:rFonts w:ascii="Bookman Old Style" w:hAnsi="Bookman Old Style"/>
          <w:sz w:val="24"/>
          <w:szCs w:val="24"/>
        </w:rPr>
        <w:t xml:space="preserve"> </w:t>
      </w:r>
      <w:r w:rsidR="005814C4" w:rsidRPr="00E464ED">
        <w:rPr>
          <w:rFonts w:ascii="Bookman Old Style" w:hAnsi="Bookman Old Style"/>
          <w:sz w:val="24"/>
          <w:szCs w:val="24"/>
        </w:rPr>
        <w:t>relazionale</w:t>
      </w:r>
      <w:r w:rsidR="008F3DE8">
        <w:rPr>
          <w:rFonts w:ascii="Bookman Old Style" w:hAnsi="Bookman Old Style"/>
          <w:sz w:val="24"/>
          <w:szCs w:val="24"/>
        </w:rPr>
        <w:t xml:space="preserve"> </w:t>
      </w:r>
      <w:r w:rsidR="005814C4" w:rsidRPr="00E464ED">
        <w:rPr>
          <w:rFonts w:ascii="Bookman Old Style" w:hAnsi="Bookman Old Style"/>
          <w:sz w:val="24"/>
          <w:szCs w:val="24"/>
        </w:rPr>
        <w:t>dell’individuo,</w:t>
      </w:r>
      <w:r w:rsidR="008F3DE8">
        <w:rPr>
          <w:rFonts w:ascii="Bookman Old Style" w:hAnsi="Bookman Old Style"/>
          <w:sz w:val="24"/>
          <w:szCs w:val="24"/>
        </w:rPr>
        <w:t xml:space="preserve"> </w:t>
      </w:r>
      <w:r w:rsidR="005814C4" w:rsidRPr="00E464ED">
        <w:rPr>
          <w:rFonts w:ascii="Bookman Old Style" w:hAnsi="Bookman Old Style"/>
          <w:sz w:val="24"/>
          <w:szCs w:val="24"/>
        </w:rPr>
        <w:t>le</w:t>
      </w:r>
      <w:r w:rsidR="008F3DE8">
        <w:rPr>
          <w:rFonts w:ascii="Bookman Old Style" w:hAnsi="Bookman Old Style"/>
          <w:sz w:val="24"/>
          <w:szCs w:val="24"/>
        </w:rPr>
        <w:t xml:space="preserve"> </w:t>
      </w:r>
      <w:r w:rsidR="005814C4" w:rsidRPr="00E464ED">
        <w:rPr>
          <w:rFonts w:ascii="Bookman Old Style" w:hAnsi="Bookman Old Style"/>
          <w:sz w:val="24"/>
          <w:szCs w:val="24"/>
        </w:rPr>
        <w:t>istituzioni</w:t>
      </w:r>
      <w:r w:rsidR="008F3DE8">
        <w:rPr>
          <w:rFonts w:ascii="Bookman Old Style" w:hAnsi="Bookman Old Style"/>
          <w:sz w:val="24"/>
          <w:szCs w:val="24"/>
        </w:rPr>
        <w:t xml:space="preserve"> </w:t>
      </w:r>
      <w:r w:rsidR="005814C4" w:rsidRPr="00E464ED">
        <w:rPr>
          <w:rFonts w:ascii="Bookman Old Style" w:hAnsi="Bookman Old Style"/>
          <w:sz w:val="24"/>
          <w:szCs w:val="24"/>
        </w:rPr>
        <w:t>nelle</w:t>
      </w:r>
      <w:r w:rsidR="008F3DE8">
        <w:rPr>
          <w:rFonts w:ascii="Bookman Old Style" w:hAnsi="Bookman Old Style"/>
          <w:sz w:val="24"/>
          <w:szCs w:val="24"/>
        </w:rPr>
        <w:t xml:space="preserve"> </w:t>
      </w:r>
      <w:r w:rsidR="005814C4" w:rsidRPr="00E464ED">
        <w:rPr>
          <w:rFonts w:ascii="Bookman Old Style" w:hAnsi="Bookman Old Style"/>
          <w:sz w:val="24"/>
          <w:szCs w:val="24"/>
        </w:rPr>
        <w:t>quali</w:t>
      </w:r>
      <w:r w:rsidR="008F3DE8">
        <w:rPr>
          <w:rFonts w:ascii="Bookman Old Style" w:hAnsi="Bookman Old Style"/>
          <w:sz w:val="24"/>
          <w:szCs w:val="24"/>
        </w:rPr>
        <w:t xml:space="preserve"> </w:t>
      </w:r>
      <w:r w:rsidR="001D6E6F">
        <w:rPr>
          <w:rFonts w:ascii="Bookman Old Style" w:hAnsi="Bookman Old Style"/>
          <w:sz w:val="24"/>
          <w:szCs w:val="24"/>
        </w:rPr>
        <w:t>egli</w:t>
      </w:r>
      <w:r w:rsidR="008F3DE8">
        <w:rPr>
          <w:rFonts w:ascii="Bookman Old Style" w:hAnsi="Bookman Old Style"/>
          <w:sz w:val="24"/>
          <w:szCs w:val="24"/>
        </w:rPr>
        <w:t xml:space="preserve"> </w:t>
      </w:r>
      <w:r w:rsidR="005814C4" w:rsidRPr="00E464ED">
        <w:rPr>
          <w:rFonts w:ascii="Bookman Old Style" w:hAnsi="Bookman Old Style"/>
          <w:sz w:val="24"/>
          <w:szCs w:val="24"/>
        </w:rPr>
        <w:t>vive</w:t>
      </w:r>
      <w:r w:rsidR="008F3DE8">
        <w:rPr>
          <w:rFonts w:ascii="Bookman Old Style" w:hAnsi="Bookman Old Style"/>
          <w:sz w:val="24"/>
          <w:szCs w:val="24"/>
        </w:rPr>
        <w:t xml:space="preserve"> </w:t>
      </w:r>
      <w:r w:rsidR="005814C4" w:rsidRPr="00E464ED">
        <w:rPr>
          <w:rFonts w:ascii="Bookman Old Style" w:hAnsi="Bookman Old Style"/>
          <w:sz w:val="24"/>
          <w:szCs w:val="24"/>
        </w:rPr>
        <w:t>ed</w:t>
      </w:r>
      <w:r w:rsidR="008F3DE8">
        <w:rPr>
          <w:rFonts w:ascii="Bookman Old Style" w:hAnsi="Bookman Old Style"/>
          <w:sz w:val="24"/>
          <w:szCs w:val="24"/>
        </w:rPr>
        <w:t xml:space="preserve"> </w:t>
      </w:r>
      <w:r w:rsidR="005814C4" w:rsidRPr="00E464ED">
        <w:rPr>
          <w:rFonts w:ascii="Bookman Old Style" w:hAnsi="Bookman Old Style"/>
          <w:sz w:val="24"/>
          <w:szCs w:val="24"/>
        </w:rPr>
        <w:t>esprime</w:t>
      </w:r>
      <w:r w:rsidR="008F3DE8">
        <w:rPr>
          <w:rFonts w:ascii="Bookman Old Style" w:hAnsi="Bookman Old Style"/>
          <w:sz w:val="24"/>
          <w:szCs w:val="24"/>
        </w:rPr>
        <w:t xml:space="preserve"> </w:t>
      </w:r>
      <w:r w:rsidR="005814C4" w:rsidRPr="00E464ED">
        <w:rPr>
          <w:rFonts w:ascii="Bookman Old Style" w:hAnsi="Bookman Old Style"/>
          <w:sz w:val="24"/>
          <w:szCs w:val="24"/>
        </w:rPr>
        <w:t>la</w:t>
      </w:r>
      <w:r w:rsidR="008F3DE8">
        <w:rPr>
          <w:rFonts w:ascii="Bookman Old Style" w:hAnsi="Bookman Old Style"/>
          <w:sz w:val="24"/>
          <w:szCs w:val="24"/>
        </w:rPr>
        <w:t xml:space="preserve"> </w:t>
      </w:r>
      <w:r w:rsidR="005814C4" w:rsidRPr="00E464ED">
        <w:rPr>
          <w:rFonts w:ascii="Bookman Old Style" w:hAnsi="Bookman Old Style"/>
          <w:sz w:val="24"/>
          <w:szCs w:val="24"/>
        </w:rPr>
        <w:t>propria</w:t>
      </w:r>
      <w:r w:rsidR="008F3DE8">
        <w:rPr>
          <w:rFonts w:ascii="Bookman Old Style" w:hAnsi="Bookman Old Style"/>
          <w:sz w:val="24"/>
          <w:szCs w:val="24"/>
        </w:rPr>
        <w:t xml:space="preserve"> </w:t>
      </w:r>
      <w:r w:rsidR="005814C4" w:rsidRPr="00E464ED">
        <w:rPr>
          <w:rFonts w:ascii="Bookman Old Style" w:hAnsi="Bookman Old Style"/>
          <w:sz w:val="24"/>
          <w:szCs w:val="24"/>
        </w:rPr>
        <w:t>personalità</w:t>
      </w:r>
      <w:r w:rsidR="008F3DE8">
        <w:rPr>
          <w:rFonts w:ascii="Bookman Old Style" w:hAnsi="Bookman Old Style"/>
          <w:sz w:val="24"/>
          <w:szCs w:val="24"/>
        </w:rPr>
        <w:t xml:space="preserve"> </w:t>
      </w:r>
      <w:r w:rsidR="005814C4" w:rsidRPr="00E464ED">
        <w:rPr>
          <w:rFonts w:ascii="Bookman Old Style" w:hAnsi="Bookman Old Style"/>
          <w:sz w:val="24"/>
          <w:szCs w:val="24"/>
        </w:rPr>
        <w:t>(la</w:t>
      </w:r>
      <w:r w:rsidR="008F3DE8">
        <w:rPr>
          <w:rFonts w:ascii="Bookman Old Style" w:hAnsi="Bookman Old Style"/>
          <w:sz w:val="24"/>
          <w:szCs w:val="24"/>
        </w:rPr>
        <w:t xml:space="preserve"> </w:t>
      </w:r>
      <w:r w:rsidR="005814C4" w:rsidRPr="00E464ED">
        <w:rPr>
          <w:rFonts w:ascii="Bookman Old Style" w:hAnsi="Bookman Old Style"/>
          <w:sz w:val="24"/>
          <w:szCs w:val="24"/>
        </w:rPr>
        <w:t>famiglia,</w:t>
      </w:r>
      <w:r w:rsidR="008F3DE8">
        <w:rPr>
          <w:rFonts w:ascii="Bookman Old Style" w:hAnsi="Bookman Old Style"/>
          <w:sz w:val="24"/>
          <w:szCs w:val="24"/>
        </w:rPr>
        <w:t xml:space="preserve"> </w:t>
      </w:r>
      <w:r w:rsidR="005814C4" w:rsidRPr="00E464ED">
        <w:rPr>
          <w:rFonts w:ascii="Bookman Old Style" w:hAnsi="Bookman Old Style"/>
          <w:sz w:val="24"/>
          <w:szCs w:val="24"/>
        </w:rPr>
        <w:t>l’impresa,</w:t>
      </w:r>
      <w:r w:rsidR="008F3DE8">
        <w:rPr>
          <w:rFonts w:ascii="Bookman Old Style" w:hAnsi="Bookman Old Style"/>
          <w:sz w:val="24"/>
          <w:szCs w:val="24"/>
        </w:rPr>
        <w:t xml:space="preserve"> </w:t>
      </w:r>
      <w:r w:rsidR="005814C4" w:rsidRPr="00E464ED">
        <w:rPr>
          <w:rFonts w:ascii="Bookman Old Style" w:hAnsi="Bookman Old Style"/>
          <w:sz w:val="24"/>
          <w:szCs w:val="24"/>
        </w:rPr>
        <w:t>il</w:t>
      </w:r>
      <w:r w:rsidR="008F3DE8">
        <w:rPr>
          <w:rFonts w:ascii="Bookman Old Style" w:hAnsi="Bookman Old Style"/>
          <w:sz w:val="24"/>
          <w:szCs w:val="24"/>
        </w:rPr>
        <w:t xml:space="preserve"> </w:t>
      </w:r>
      <w:r w:rsidR="005814C4" w:rsidRPr="00E464ED">
        <w:rPr>
          <w:rFonts w:ascii="Bookman Old Style" w:hAnsi="Bookman Old Style"/>
          <w:sz w:val="24"/>
          <w:szCs w:val="24"/>
        </w:rPr>
        <w:t>mondo</w:t>
      </w:r>
      <w:r w:rsidR="008F3DE8">
        <w:rPr>
          <w:rFonts w:ascii="Bookman Old Style" w:hAnsi="Bookman Old Style"/>
          <w:sz w:val="24"/>
          <w:szCs w:val="24"/>
        </w:rPr>
        <w:t xml:space="preserve"> </w:t>
      </w:r>
      <w:r w:rsidR="005814C4" w:rsidRPr="00E464ED">
        <w:rPr>
          <w:rFonts w:ascii="Bookman Old Style" w:hAnsi="Bookman Old Style"/>
          <w:sz w:val="24"/>
          <w:szCs w:val="24"/>
        </w:rPr>
        <w:t>del</w:t>
      </w:r>
      <w:r w:rsidR="008F3DE8">
        <w:rPr>
          <w:rFonts w:ascii="Bookman Old Style" w:hAnsi="Bookman Old Style"/>
          <w:sz w:val="24"/>
          <w:szCs w:val="24"/>
        </w:rPr>
        <w:t xml:space="preserve"> </w:t>
      </w:r>
      <w:r w:rsidR="005814C4" w:rsidRPr="00E464ED">
        <w:rPr>
          <w:rFonts w:ascii="Bookman Old Style" w:hAnsi="Bookman Old Style"/>
          <w:sz w:val="24"/>
          <w:szCs w:val="24"/>
        </w:rPr>
        <w:t>lavoro,</w:t>
      </w:r>
      <w:r w:rsidR="008F3DE8">
        <w:rPr>
          <w:rFonts w:ascii="Bookman Old Style" w:hAnsi="Bookman Old Style"/>
          <w:sz w:val="24"/>
          <w:szCs w:val="24"/>
        </w:rPr>
        <w:t xml:space="preserve"> </w:t>
      </w:r>
      <w:r w:rsidR="005814C4" w:rsidRPr="00E464ED">
        <w:rPr>
          <w:rFonts w:ascii="Bookman Old Style" w:hAnsi="Bookman Old Style"/>
          <w:sz w:val="24"/>
          <w:szCs w:val="24"/>
        </w:rPr>
        <w:t>ecc.);</w:t>
      </w:r>
      <w:r w:rsidR="008F3DE8">
        <w:rPr>
          <w:rFonts w:ascii="Bookman Old Style" w:hAnsi="Bookman Old Style"/>
          <w:sz w:val="24"/>
          <w:szCs w:val="24"/>
        </w:rPr>
        <w:t xml:space="preserve"> </w:t>
      </w:r>
      <w:r w:rsidR="005814C4" w:rsidRPr="00E464ED">
        <w:rPr>
          <w:rFonts w:ascii="Bookman Old Style" w:hAnsi="Bookman Old Style"/>
          <w:sz w:val="24"/>
          <w:szCs w:val="24"/>
        </w:rPr>
        <w:t>tutto</w:t>
      </w:r>
      <w:r w:rsidR="008F3DE8">
        <w:rPr>
          <w:rFonts w:ascii="Bookman Old Style" w:hAnsi="Bookman Old Style"/>
          <w:sz w:val="24"/>
          <w:szCs w:val="24"/>
        </w:rPr>
        <w:t xml:space="preserve"> </w:t>
      </w:r>
      <w:r w:rsidR="005814C4" w:rsidRPr="00E464ED">
        <w:rPr>
          <w:rFonts w:ascii="Bookman Old Style" w:hAnsi="Bookman Old Style"/>
          <w:sz w:val="24"/>
          <w:szCs w:val="24"/>
        </w:rPr>
        <w:t>questo</w:t>
      </w:r>
      <w:r w:rsidR="008F3DE8">
        <w:rPr>
          <w:rFonts w:ascii="Bookman Old Style" w:hAnsi="Bookman Old Style"/>
          <w:sz w:val="24"/>
          <w:szCs w:val="24"/>
        </w:rPr>
        <w:t xml:space="preserve"> </w:t>
      </w:r>
      <w:r w:rsidR="005814C4" w:rsidRPr="00E464ED">
        <w:rPr>
          <w:rFonts w:ascii="Bookman Old Style" w:hAnsi="Bookman Old Style"/>
          <w:sz w:val="24"/>
          <w:szCs w:val="24"/>
        </w:rPr>
        <w:t>era</w:t>
      </w:r>
      <w:r w:rsidR="008F3DE8">
        <w:rPr>
          <w:rFonts w:ascii="Bookman Old Style" w:hAnsi="Bookman Old Style"/>
          <w:sz w:val="24"/>
          <w:szCs w:val="24"/>
        </w:rPr>
        <w:t xml:space="preserve"> </w:t>
      </w:r>
      <w:r w:rsidR="005814C4" w:rsidRPr="00E464ED">
        <w:rPr>
          <w:rFonts w:ascii="Bookman Old Style" w:hAnsi="Bookman Old Style"/>
          <w:sz w:val="24"/>
          <w:szCs w:val="24"/>
        </w:rPr>
        <w:t>semplicemente</w:t>
      </w:r>
      <w:r w:rsidR="008F3DE8">
        <w:rPr>
          <w:rFonts w:ascii="Bookman Old Style" w:hAnsi="Bookman Old Style"/>
          <w:sz w:val="24"/>
          <w:szCs w:val="24"/>
        </w:rPr>
        <w:t xml:space="preserve"> </w:t>
      </w:r>
      <w:r w:rsidR="005814C4" w:rsidRPr="00E464ED">
        <w:rPr>
          <w:rFonts w:ascii="Bookman Old Style" w:hAnsi="Bookman Old Style"/>
          <w:sz w:val="24"/>
          <w:szCs w:val="24"/>
        </w:rPr>
        <w:t>confinato</w:t>
      </w:r>
      <w:r w:rsidR="008F3DE8">
        <w:rPr>
          <w:rFonts w:ascii="Bookman Old Style" w:hAnsi="Bookman Old Style"/>
          <w:sz w:val="24"/>
          <w:szCs w:val="24"/>
        </w:rPr>
        <w:t xml:space="preserve"> </w:t>
      </w:r>
      <w:r w:rsidR="005814C4" w:rsidRPr="00E464ED">
        <w:rPr>
          <w:rFonts w:ascii="Bookman Old Style" w:hAnsi="Bookman Old Style"/>
          <w:sz w:val="24"/>
          <w:szCs w:val="24"/>
        </w:rPr>
        <w:t>nel</w:t>
      </w:r>
      <w:r w:rsidR="008F3DE8">
        <w:rPr>
          <w:rFonts w:ascii="Bookman Old Style" w:hAnsi="Bookman Old Style"/>
          <w:sz w:val="24"/>
          <w:szCs w:val="24"/>
        </w:rPr>
        <w:t xml:space="preserve"> </w:t>
      </w:r>
      <w:r w:rsidR="005814C4" w:rsidRPr="00E464ED">
        <w:rPr>
          <w:rFonts w:ascii="Bookman Old Style" w:hAnsi="Bookman Old Style"/>
          <w:sz w:val="24"/>
          <w:szCs w:val="24"/>
        </w:rPr>
        <w:t>dominio</w:t>
      </w:r>
      <w:r w:rsidR="008F3DE8">
        <w:rPr>
          <w:rFonts w:ascii="Bookman Old Style" w:hAnsi="Bookman Old Style"/>
          <w:sz w:val="24"/>
          <w:szCs w:val="24"/>
        </w:rPr>
        <w:t xml:space="preserve"> </w:t>
      </w:r>
      <w:r w:rsidR="005814C4" w:rsidRPr="00E464ED">
        <w:rPr>
          <w:rFonts w:ascii="Bookman Old Style" w:hAnsi="Bookman Old Style"/>
          <w:sz w:val="24"/>
          <w:szCs w:val="24"/>
        </w:rPr>
        <w:t>privato,</w:t>
      </w:r>
      <w:r w:rsidR="008F3DE8">
        <w:rPr>
          <w:rFonts w:ascii="Bookman Old Style" w:hAnsi="Bookman Old Style"/>
          <w:sz w:val="24"/>
          <w:szCs w:val="24"/>
        </w:rPr>
        <w:t xml:space="preserve"> </w:t>
      </w:r>
      <w:r w:rsidR="005814C4" w:rsidRPr="00E464ED">
        <w:rPr>
          <w:rFonts w:ascii="Bookman Old Style" w:hAnsi="Bookman Old Style"/>
          <w:sz w:val="24"/>
          <w:szCs w:val="24"/>
        </w:rPr>
        <w:t>in</w:t>
      </w:r>
      <w:r w:rsidR="008F3DE8">
        <w:rPr>
          <w:rFonts w:ascii="Bookman Old Style" w:hAnsi="Bookman Old Style"/>
          <w:sz w:val="24"/>
          <w:szCs w:val="24"/>
        </w:rPr>
        <w:t xml:space="preserve"> </w:t>
      </w:r>
      <w:r w:rsidR="005814C4" w:rsidRPr="00E464ED">
        <w:rPr>
          <w:rFonts w:ascii="Bookman Old Style" w:hAnsi="Bookman Old Style"/>
          <w:sz w:val="24"/>
          <w:szCs w:val="24"/>
        </w:rPr>
        <w:t>piena</w:t>
      </w:r>
      <w:r w:rsidR="008F3DE8">
        <w:rPr>
          <w:rFonts w:ascii="Bookman Old Style" w:hAnsi="Bookman Old Style"/>
          <w:sz w:val="24"/>
          <w:szCs w:val="24"/>
        </w:rPr>
        <w:t xml:space="preserve"> </w:t>
      </w:r>
      <w:r w:rsidR="005814C4" w:rsidRPr="00E464ED">
        <w:rPr>
          <w:rFonts w:ascii="Bookman Old Style" w:hAnsi="Bookman Old Style"/>
          <w:sz w:val="24"/>
          <w:szCs w:val="24"/>
        </w:rPr>
        <w:t>sintonia</w:t>
      </w:r>
      <w:r w:rsidR="008F3DE8">
        <w:rPr>
          <w:rFonts w:ascii="Bookman Old Style" w:hAnsi="Bookman Old Style"/>
          <w:sz w:val="24"/>
          <w:szCs w:val="24"/>
        </w:rPr>
        <w:t xml:space="preserve"> </w:t>
      </w:r>
      <w:r w:rsidR="005814C4" w:rsidRPr="00E464ED">
        <w:rPr>
          <w:rFonts w:ascii="Bookman Old Style" w:hAnsi="Bookman Old Style"/>
          <w:sz w:val="24"/>
          <w:szCs w:val="24"/>
        </w:rPr>
        <w:t>con</w:t>
      </w:r>
      <w:r w:rsidR="008F3DE8">
        <w:rPr>
          <w:rFonts w:ascii="Bookman Old Style" w:hAnsi="Bookman Old Style"/>
          <w:sz w:val="24"/>
          <w:szCs w:val="24"/>
        </w:rPr>
        <w:t xml:space="preserve"> </w:t>
      </w:r>
      <w:r w:rsidR="005814C4" w:rsidRPr="00E464ED">
        <w:rPr>
          <w:rFonts w:ascii="Bookman Old Style" w:hAnsi="Bookman Old Style"/>
          <w:sz w:val="24"/>
          <w:szCs w:val="24"/>
        </w:rPr>
        <w:t>la</w:t>
      </w:r>
      <w:r w:rsidR="008F3DE8">
        <w:rPr>
          <w:rFonts w:ascii="Bookman Old Style" w:hAnsi="Bookman Old Style"/>
          <w:sz w:val="24"/>
          <w:szCs w:val="24"/>
        </w:rPr>
        <w:t xml:space="preserve"> </w:t>
      </w:r>
      <w:r w:rsidR="005814C4" w:rsidRPr="00E464ED">
        <w:rPr>
          <w:rFonts w:ascii="Bookman Old Style" w:hAnsi="Bookman Old Style"/>
          <w:sz w:val="24"/>
          <w:szCs w:val="24"/>
        </w:rPr>
        <w:t>concezione</w:t>
      </w:r>
      <w:r w:rsidR="008F3DE8">
        <w:rPr>
          <w:rFonts w:ascii="Bookman Old Style" w:hAnsi="Bookman Old Style"/>
          <w:sz w:val="24"/>
          <w:szCs w:val="24"/>
        </w:rPr>
        <w:t xml:space="preserve"> </w:t>
      </w:r>
      <w:r w:rsidR="005814C4" w:rsidRPr="00E464ED">
        <w:rPr>
          <w:rFonts w:ascii="Bookman Old Style" w:hAnsi="Bookman Old Style"/>
          <w:sz w:val="24"/>
          <w:szCs w:val="24"/>
        </w:rPr>
        <w:t>che</w:t>
      </w:r>
      <w:r w:rsidR="008F3DE8">
        <w:rPr>
          <w:rFonts w:ascii="Bookman Old Style" w:hAnsi="Bookman Old Style"/>
          <w:sz w:val="24"/>
          <w:szCs w:val="24"/>
        </w:rPr>
        <w:t xml:space="preserve"> </w:t>
      </w:r>
      <w:r w:rsidR="005814C4" w:rsidRPr="00E464ED">
        <w:rPr>
          <w:rFonts w:ascii="Bookman Old Style" w:hAnsi="Bookman Old Style"/>
          <w:sz w:val="24"/>
          <w:szCs w:val="24"/>
        </w:rPr>
        <w:t>voleva</w:t>
      </w:r>
      <w:r w:rsidR="008F3DE8">
        <w:rPr>
          <w:rFonts w:ascii="Bookman Old Style" w:hAnsi="Bookman Old Style"/>
          <w:sz w:val="24"/>
          <w:szCs w:val="24"/>
        </w:rPr>
        <w:t xml:space="preserve"> </w:t>
      </w:r>
      <w:r w:rsidR="005814C4" w:rsidRPr="00E464ED">
        <w:rPr>
          <w:rFonts w:ascii="Bookman Old Style" w:hAnsi="Bookman Old Style"/>
          <w:sz w:val="24"/>
          <w:szCs w:val="24"/>
        </w:rPr>
        <w:t>una</w:t>
      </w:r>
      <w:r w:rsidR="008F3DE8">
        <w:rPr>
          <w:rFonts w:ascii="Bookman Old Style" w:hAnsi="Bookman Old Style"/>
          <w:sz w:val="24"/>
          <w:szCs w:val="24"/>
        </w:rPr>
        <w:t xml:space="preserve"> </w:t>
      </w:r>
      <w:r w:rsidR="005814C4" w:rsidRPr="00E464ED">
        <w:rPr>
          <w:rFonts w:ascii="Bookman Old Style" w:hAnsi="Bookman Old Style"/>
          <w:sz w:val="24"/>
          <w:szCs w:val="24"/>
        </w:rPr>
        <w:t>distinzione</w:t>
      </w:r>
      <w:r w:rsidR="008F3DE8">
        <w:rPr>
          <w:rFonts w:ascii="Bookman Old Style" w:hAnsi="Bookman Old Style"/>
          <w:sz w:val="24"/>
          <w:szCs w:val="24"/>
        </w:rPr>
        <w:t xml:space="preserve"> </w:t>
      </w:r>
      <w:r w:rsidR="005814C4" w:rsidRPr="00E464ED">
        <w:rPr>
          <w:rFonts w:ascii="Bookman Old Style" w:hAnsi="Bookman Old Style"/>
          <w:sz w:val="24"/>
          <w:szCs w:val="24"/>
        </w:rPr>
        <w:t>netta</w:t>
      </w:r>
      <w:r w:rsidR="008F3DE8">
        <w:rPr>
          <w:rFonts w:ascii="Bookman Old Style" w:hAnsi="Bookman Old Style"/>
          <w:sz w:val="24"/>
          <w:szCs w:val="24"/>
        </w:rPr>
        <w:t xml:space="preserve"> </w:t>
      </w:r>
      <w:r w:rsidR="005814C4" w:rsidRPr="00E464ED">
        <w:rPr>
          <w:rFonts w:ascii="Bookman Old Style" w:hAnsi="Bookman Old Style"/>
          <w:sz w:val="24"/>
          <w:szCs w:val="24"/>
        </w:rPr>
        <w:t>tra</w:t>
      </w:r>
      <w:r w:rsidR="008F3DE8">
        <w:rPr>
          <w:rFonts w:ascii="Bookman Old Style" w:hAnsi="Bookman Old Style"/>
          <w:sz w:val="24"/>
          <w:szCs w:val="24"/>
        </w:rPr>
        <w:t xml:space="preserve"> </w:t>
      </w:r>
      <w:r w:rsidR="005814C4" w:rsidRPr="00E464ED">
        <w:rPr>
          <w:rFonts w:ascii="Bookman Old Style" w:hAnsi="Bookman Old Style"/>
          <w:sz w:val="24"/>
          <w:szCs w:val="24"/>
        </w:rPr>
        <w:t>la</w:t>
      </w:r>
      <w:r w:rsidR="008F3DE8">
        <w:rPr>
          <w:rFonts w:ascii="Bookman Old Style" w:hAnsi="Bookman Old Style"/>
          <w:sz w:val="24"/>
          <w:szCs w:val="24"/>
        </w:rPr>
        <w:t xml:space="preserve"> </w:t>
      </w:r>
      <w:r w:rsidR="005814C4" w:rsidRPr="00E464ED">
        <w:rPr>
          <w:rFonts w:ascii="Bookman Old Style" w:hAnsi="Bookman Old Style"/>
          <w:sz w:val="24"/>
          <w:szCs w:val="24"/>
        </w:rPr>
        <w:t>sfera</w:t>
      </w:r>
      <w:r w:rsidR="008F3DE8">
        <w:rPr>
          <w:rFonts w:ascii="Bookman Old Style" w:hAnsi="Bookman Old Style"/>
          <w:sz w:val="24"/>
          <w:szCs w:val="24"/>
        </w:rPr>
        <w:t xml:space="preserve"> </w:t>
      </w:r>
      <w:r w:rsidR="005814C4" w:rsidRPr="00E464ED">
        <w:rPr>
          <w:rFonts w:ascii="Bookman Old Style" w:hAnsi="Bookman Old Style"/>
          <w:sz w:val="24"/>
          <w:szCs w:val="24"/>
        </w:rPr>
        <w:t>del</w:t>
      </w:r>
      <w:r w:rsidR="008F3DE8">
        <w:rPr>
          <w:rFonts w:ascii="Bookman Old Style" w:hAnsi="Bookman Old Style"/>
          <w:sz w:val="24"/>
          <w:szCs w:val="24"/>
        </w:rPr>
        <w:t xml:space="preserve"> </w:t>
      </w:r>
      <w:r w:rsidR="005814C4" w:rsidRPr="00E464ED">
        <w:rPr>
          <w:rFonts w:ascii="Bookman Old Style" w:hAnsi="Bookman Old Style"/>
          <w:sz w:val="24"/>
          <w:szCs w:val="24"/>
        </w:rPr>
        <w:t>pubblico</w:t>
      </w:r>
      <w:r w:rsidR="008F3DE8">
        <w:rPr>
          <w:rFonts w:ascii="Bookman Old Style" w:hAnsi="Bookman Old Style"/>
          <w:sz w:val="24"/>
          <w:szCs w:val="24"/>
        </w:rPr>
        <w:t xml:space="preserve"> </w:t>
      </w:r>
      <w:r w:rsidR="00AA575A">
        <w:rPr>
          <w:rFonts w:ascii="Bookman Old Style" w:hAnsi="Bookman Old Style"/>
          <w:sz w:val="24"/>
          <w:szCs w:val="24"/>
        </w:rPr>
        <w:t xml:space="preserve">e cioè </w:t>
      </w:r>
      <w:r w:rsidR="00AA575A">
        <w:rPr>
          <w:rFonts w:ascii="Bookman Old Style" w:hAnsi="Bookman Old Style"/>
          <w:sz w:val="24"/>
          <w:szCs w:val="24"/>
        </w:rPr>
        <w:lastRenderedPageBreak/>
        <w:t xml:space="preserve">dello Stato </w:t>
      </w:r>
      <w:r w:rsidR="005814C4" w:rsidRPr="00E464ED">
        <w:rPr>
          <w:rFonts w:ascii="Bookman Old Style" w:hAnsi="Bookman Old Style"/>
          <w:sz w:val="24"/>
          <w:szCs w:val="24"/>
        </w:rPr>
        <w:t>e</w:t>
      </w:r>
      <w:r w:rsidR="008F3DE8">
        <w:rPr>
          <w:rFonts w:ascii="Bookman Old Style" w:hAnsi="Bookman Old Style"/>
          <w:sz w:val="24"/>
          <w:szCs w:val="24"/>
        </w:rPr>
        <w:t xml:space="preserve"> </w:t>
      </w:r>
      <w:r w:rsidR="005814C4" w:rsidRPr="00E464ED">
        <w:rPr>
          <w:rFonts w:ascii="Bookman Old Style" w:hAnsi="Bookman Old Style"/>
          <w:sz w:val="24"/>
          <w:szCs w:val="24"/>
        </w:rPr>
        <w:t>la</w:t>
      </w:r>
      <w:r w:rsidR="008F3DE8">
        <w:rPr>
          <w:rFonts w:ascii="Bookman Old Style" w:hAnsi="Bookman Old Style"/>
          <w:sz w:val="24"/>
          <w:szCs w:val="24"/>
        </w:rPr>
        <w:t xml:space="preserve"> </w:t>
      </w:r>
      <w:r w:rsidR="005814C4" w:rsidRPr="00E464ED">
        <w:rPr>
          <w:rFonts w:ascii="Bookman Old Style" w:hAnsi="Bookman Old Style"/>
          <w:sz w:val="24"/>
          <w:szCs w:val="24"/>
        </w:rPr>
        <w:t>sfera</w:t>
      </w:r>
      <w:r w:rsidR="008F3DE8">
        <w:rPr>
          <w:rFonts w:ascii="Bookman Old Style" w:hAnsi="Bookman Old Style"/>
          <w:sz w:val="24"/>
          <w:szCs w:val="24"/>
        </w:rPr>
        <w:t xml:space="preserve"> </w:t>
      </w:r>
      <w:r w:rsidR="005814C4" w:rsidRPr="00E464ED">
        <w:rPr>
          <w:rFonts w:ascii="Bookman Old Style" w:hAnsi="Bookman Old Style"/>
          <w:sz w:val="24"/>
          <w:szCs w:val="24"/>
        </w:rPr>
        <w:t>del</w:t>
      </w:r>
      <w:r w:rsidR="008F3DE8">
        <w:rPr>
          <w:rFonts w:ascii="Bookman Old Style" w:hAnsi="Bookman Old Style"/>
          <w:sz w:val="24"/>
          <w:szCs w:val="24"/>
        </w:rPr>
        <w:t xml:space="preserve"> </w:t>
      </w:r>
      <w:r w:rsidR="005814C4" w:rsidRPr="00E464ED">
        <w:rPr>
          <w:rFonts w:ascii="Bookman Old Style" w:hAnsi="Bookman Old Style"/>
          <w:sz w:val="24"/>
          <w:szCs w:val="24"/>
        </w:rPr>
        <w:t>privato</w:t>
      </w:r>
      <w:r w:rsidR="00AA575A">
        <w:rPr>
          <w:rFonts w:ascii="Bookman Old Style" w:hAnsi="Bookman Old Style"/>
          <w:sz w:val="24"/>
          <w:szCs w:val="24"/>
        </w:rPr>
        <w:t xml:space="preserve"> e cioè </w:t>
      </w:r>
      <w:r w:rsidR="005814C4" w:rsidRPr="00E464ED">
        <w:rPr>
          <w:rFonts w:ascii="Bookman Old Style" w:hAnsi="Bookman Old Style"/>
          <w:sz w:val="24"/>
          <w:szCs w:val="24"/>
        </w:rPr>
        <w:t>dei</w:t>
      </w:r>
      <w:r w:rsidR="008F3DE8">
        <w:rPr>
          <w:rFonts w:ascii="Bookman Old Style" w:hAnsi="Bookman Old Style"/>
          <w:sz w:val="24"/>
          <w:szCs w:val="24"/>
        </w:rPr>
        <w:t xml:space="preserve"> </w:t>
      </w:r>
      <w:r w:rsidR="005814C4" w:rsidRPr="00E464ED">
        <w:rPr>
          <w:rFonts w:ascii="Bookman Old Style" w:hAnsi="Bookman Old Style"/>
          <w:sz w:val="24"/>
          <w:szCs w:val="24"/>
        </w:rPr>
        <w:t>diritti</w:t>
      </w:r>
      <w:r w:rsidR="008F3DE8">
        <w:rPr>
          <w:rFonts w:ascii="Bookman Old Style" w:hAnsi="Bookman Old Style"/>
          <w:sz w:val="24"/>
          <w:szCs w:val="24"/>
        </w:rPr>
        <w:t xml:space="preserve"> </w:t>
      </w:r>
      <w:r w:rsidR="002F47CA">
        <w:rPr>
          <w:rFonts w:ascii="Bookman Old Style" w:hAnsi="Bookman Old Style"/>
          <w:sz w:val="24"/>
          <w:szCs w:val="24"/>
        </w:rPr>
        <w:t>(</w:t>
      </w:r>
      <w:r w:rsidR="005814C4" w:rsidRPr="00E464ED">
        <w:rPr>
          <w:rFonts w:ascii="Bookman Old Style" w:hAnsi="Bookman Old Style"/>
          <w:sz w:val="24"/>
          <w:szCs w:val="24"/>
        </w:rPr>
        <w:t>questi</w:t>
      </w:r>
      <w:r w:rsidR="008F3DE8">
        <w:rPr>
          <w:rFonts w:ascii="Bookman Old Style" w:hAnsi="Bookman Old Style"/>
          <w:sz w:val="24"/>
          <w:szCs w:val="24"/>
        </w:rPr>
        <w:t xml:space="preserve"> </w:t>
      </w:r>
      <w:r w:rsidR="005814C4" w:rsidRPr="00E464ED">
        <w:rPr>
          <w:rFonts w:ascii="Bookman Old Style" w:hAnsi="Bookman Old Style"/>
          <w:sz w:val="24"/>
          <w:szCs w:val="24"/>
        </w:rPr>
        <w:t>ultimi</w:t>
      </w:r>
      <w:r w:rsidR="008F3DE8">
        <w:rPr>
          <w:rFonts w:ascii="Bookman Old Style" w:hAnsi="Bookman Old Style"/>
          <w:sz w:val="24"/>
          <w:szCs w:val="24"/>
        </w:rPr>
        <w:t xml:space="preserve"> </w:t>
      </w:r>
      <w:r w:rsidR="005814C4" w:rsidRPr="00E464ED">
        <w:rPr>
          <w:rFonts w:ascii="Bookman Old Style" w:hAnsi="Bookman Old Style"/>
          <w:sz w:val="24"/>
          <w:szCs w:val="24"/>
        </w:rPr>
        <w:t>soggetti</w:t>
      </w:r>
      <w:r w:rsidR="008F3DE8">
        <w:rPr>
          <w:rFonts w:ascii="Bookman Old Style" w:hAnsi="Bookman Old Style"/>
          <w:sz w:val="24"/>
          <w:szCs w:val="24"/>
        </w:rPr>
        <w:t xml:space="preserve"> </w:t>
      </w:r>
      <w:r w:rsidR="005814C4" w:rsidRPr="00E464ED">
        <w:rPr>
          <w:rFonts w:ascii="Bookman Old Style" w:hAnsi="Bookman Old Style"/>
          <w:sz w:val="24"/>
          <w:szCs w:val="24"/>
        </w:rPr>
        <w:t>a</w:t>
      </w:r>
      <w:r w:rsidR="008F3DE8">
        <w:rPr>
          <w:rFonts w:ascii="Bookman Old Style" w:hAnsi="Bookman Old Style"/>
          <w:sz w:val="24"/>
          <w:szCs w:val="24"/>
        </w:rPr>
        <w:t xml:space="preserve"> </w:t>
      </w:r>
      <w:r w:rsidR="005814C4" w:rsidRPr="00E464ED">
        <w:rPr>
          <w:rFonts w:ascii="Bookman Old Style" w:hAnsi="Bookman Old Style"/>
          <w:sz w:val="24"/>
          <w:szCs w:val="24"/>
        </w:rPr>
        <w:t>restrizioni</w:t>
      </w:r>
      <w:r w:rsidR="008F3DE8">
        <w:rPr>
          <w:rFonts w:ascii="Bookman Old Style" w:hAnsi="Bookman Old Style"/>
          <w:sz w:val="24"/>
          <w:szCs w:val="24"/>
        </w:rPr>
        <w:t xml:space="preserve"> </w:t>
      </w:r>
      <w:r w:rsidR="005814C4" w:rsidRPr="00E464ED">
        <w:rPr>
          <w:rFonts w:ascii="Bookman Old Style" w:hAnsi="Bookman Old Style"/>
          <w:sz w:val="24"/>
          <w:szCs w:val="24"/>
        </w:rPr>
        <w:t>nei</w:t>
      </w:r>
      <w:r w:rsidR="008F3DE8">
        <w:rPr>
          <w:rFonts w:ascii="Bookman Old Style" w:hAnsi="Bookman Old Style"/>
          <w:sz w:val="24"/>
          <w:szCs w:val="24"/>
        </w:rPr>
        <w:t xml:space="preserve"> </w:t>
      </w:r>
      <w:r w:rsidR="005814C4" w:rsidRPr="00E464ED">
        <w:rPr>
          <w:rFonts w:ascii="Bookman Old Style" w:hAnsi="Bookman Old Style"/>
          <w:sz w:val="24"/>
          <w:szCs w:val="24"/>
        </w:rPr>
        <w:t>limiti</w:t>
      </w:r>
      <w:r w:rsidR="008F3DE8">
        <w:rPr>
          <w:rFonts w:ascii="Bookman Old Style" w:hAnsi="Bookman Old Style"/>
          <w:sz w:val="24"/>
          <w:szCs w:val="24"/>
        </w:rPr>
        <w:t xml:space="preserve"> </w:t>
      </w:r>
      <w:r w:rsidR="005814C4" w:rsidRPr="00E464ED">
        <w:rPr>
          <w:rFonts w:ascii="Bookman Old Style" w:hAnsi="Bookman Old Style"/>
          <w:sz w:val="24"/>
          <w:szCs w:val="24"/>
        </w:rPr>
        <w:t>in</w:t>
      </w:r>
      <w:r w:rsidR="008F3DE8">
        <w:rPr>
          <w:rFonts w:ascii="Bookman Old Style" w:hAnsi="Bookman Old Style"/>
          <w:sz w:val="24"/>
          <w:szCs w:val="24"/>
        </w:rPr>
        <w:t xml:space="preserve"> </w:t>
      </w:r>
      <w:r w:rsidR="005814C4" w:rsidRPr="00E464ED">
        <w:rPr>
          <w:rFonts w:ascii="Bookman Old Style" w:hAnsi="Bookman Old Style"/>
          <w:sz w:val="24"/>
          <w:szCs w:val="24"/>
        </w:rPr>
        <w:t>cui</w:t>
      </w:r>
      <w:r w:rsidR="008F3DE8">
        <w:rPr>
          <w:rFonts w:ascii="Bookman Old Style" w:hAnsi="Bookman Old Style"/>
          <w:sz w:val="24"/>
          <w:szCs w:val="24"/>
        </w:rPr>
        <w:t xml:space="preserve"> </w:t>
      </w:r>
      <w:r w:rsidR="005814C4" w:rsidRPr="00E464ED">
        <w:rPr>
          <w:rFonts w:ascii="Bookman Old Style" w:hAnsi="Bookman Old Style"/>
          <w:sz w:val="24"/>
          <w:szCs w:val="24"/>
        </w:rPr>
        <w:t>ciò</w:t>
      </w:r>
      <w:r w:rsidR="008F3DE8">
        <w:rPr>
          <w:rFonts w:ascii="Bookman Old Style" w:hAnsi="Bookman Old Style"/>
          <w:sz w:val="24"/>
          <w:szCs w:val="24"/>
        </w:rPr>
        <w:t xml:space="preserve"> </w:t>
      </w:r>
      <w:r w:rsidR="005814C4" w:rsidRPr="00E464ED">
        <w:rPr>
          <w:rFonts w:ascii="Bookman Old Style" w:hAnsi="Bookman Old Style"/>
          <w:sz w:val="24"/>
          <w:szCs w:val="24"/>
        </w:rPr>
        <w:t>fosse</w:t>
      </w:r>
      <w:r w:rsidR="008F3DE8">
        <w:rPr>
          <w:rFonts w:ascii="Bookman Old Style" w:hAnsi="Bookman Old Style"/>
          <w:sz w:val="24"/>
          <w:szCs w:val="24"/>
        </w:rPr>
        <w:t xml:space="preserve"> </w:t>
      </w:r>
      <w:r w:rsidR="005814C4" w:rsidRPr="00E464ED">
        <w:rPr>
          <w:rFonts w:ascii="Bookman Old Style" w:hAnsi="Bookman Old Style"/>
          <w:sz w:val="24"/>
          <w:szCs w:val="24"/>
        </w:rPr>
        <w:t>stato</w:t>
      </w:r>
      <w:r w:rsidR="008F3DE8">
        <w:rPr>
          <w:rFonts w:ascii="Bookman Old Style" w:hAnsi="Bookman Old Style"/>
          <w:sz w:val="24"/>
          <w:szCs w:val="24"/>
        </w:rPr>
        <w:t xml:space="preserve"> </w:t>
      </w:r>
      <w:r w:rsidR="005814C4" w:rsidRPr="00E464ED">
        <w:rPr>
          <w:rFonts w:ascii="Bookman Old Style" w:hAnsi="Bookman Old Style"/>
          <w:sz w:val="24"/>
          <w:szCs w:val="24"/>
        </w:rPr>
        <w:t>ritenuto</w:t>
      </w:r>
      <w:r w:rsidR="008F3DE8">
        <w:rPr>
          <w:rFonts w:ascii="Bookman Old Style" w:hAnsi="Bookman Old Style"/>
          <w:sz w:val="24"/>
          <w:szCs w:val="24"/>
        </w:rPr>
        <w:t xml:space="preserve"> </w:t>
      </w:r>
      <w:r w:rsidR="005814C4" w:rsidRPr="00E464ED">
        <w:rPr>
          <w:rFonts w:ascii="Bookman Old Style" w:hAnsi="Bookman Old Style"/>
          <w:sz w:val="24"/>
          <w:szCs w:val="24"/>
        </w:rPr>
        <w:t>opportuno</w:t>
      </w:r>
      <w:r w:rsidR="008F3DE8">
        <w:rPr>
          <w:rFonts w:ascii="Bookman Old Style" w:hAnsi="Bookman Old Style"/>
          <w:sz w:val="24"/>
          <w:szCs w:val="24"/>
        </w:rPr>
        <w:t xml:space="preserve"> </w:t>
      </w:r>
      <w:r w:rsidR="005814C4" w:rsidRPr="00E464ED">
        <w:rPr>
          <w:rFonts w:ascii="Bookman Old Style" w:hAnsi="Bookman Old Style"/>
          <w:sz w:val="24"/>
          <w:szCs w:val="24"/>
        </w:rPr>
        <w:t>sulla</w:t>
      </w:r>
      <w:r w:rsidR="008F3DE8">
        <w:rPr>
          <w:rFonts w:ascii="Bookman Old Style" w:hAnsi="Bookman Old Style"/>
          <w:sz w:val="24"/>
          <w:szCs w:val="24"/>
        </w:rPr>
        <w:t xml:space="preserve"> </w:t>
      </w:r>
      <w:r w:rsidR="005814C4" w:rsidRPr="00E464ED">
        <w:rPr>
          <w:rFonts w:ascii="Bookman Old Style" w:hAnsi="Bookman Old Style"/>
          <w:sz w:val="24"/>
          <w:szCs w:val="24"/>
        </w:rPr>
        <w:t>base</w:t>
      </w:r>
      <w:r w:rsidR="008F3DE8">
        <w:rPr>
          <w:rFonts w:ascii="Bookman Old Style" w:hAnsi="Bookman Old Style"/>
          <w:sz w:val="24"/>
          <w:szCs w:val="24"/>
        </w:rPr>
        <w:t xml:space="preserve"> </w:t>
      </w:r>
      <w:r w:rsidR="005814C4" w:rsidRPr="00E464ED">
        <w:rPr>
          <w:rFonts w:ascii="Bookman Old Style" w:hAnsi="Bookman Old Style"/>
          <w:sz w:val="24"/>
          <w:szCs w:val="24"/>
        </w:rPr>
        <w:t>di</w:t>
      </w:r>
      <w:r w:rsidR="008F3DE8">
        <w:rPr>
          <w:rFonts w:ascii="Bookman Old Style" w:hAnsi="Bookman Old Style"/>
          <w:sz w:val="24"/>
          <w:szCs w:val="24"/>
        </w:rPr>
        <w:t xml:space="preserve"> </w:t>
      </w:r>
      <w:r w:rsidR="005814C4" w:rsidRPr="00E464ED">
        <w:rPr>
          <w:rFonts w:ascii="Bookman Old Style" w:hAnsi="Bookman Old Style"/>
          <w:sz w:val="24"/>
          <w:szCs w:val="24"/>
        </w:rPr>
        <w:t>motivi</w:t>
      </w:r>
      <w:r w:rsidR="008F3DE8">
        <w:rPr>
          <w:rFonts w:ascii="Bookman Old Style" w:hAnsi="Bookman Old Style"/>
          <w:sz w:val="24"/>
          <w:szCs w:val="24"/>
        </w:rPr>
        <w:t xml:space="preserve"> </w:t>
      </w:r>
      <w:r w:rsidR="005814C4" w:rsidRPr="00E464ED">
        <w:rPr>
          <w:rFonts w:ascii="Bookman Old Style" w:hAnsi="Bookman Old Style"/>
          <w:sz w:val="24"/>
          <w:szCs w:val="24"/>
        </w:rPr>
        <w:t>di</w:t>
      </w:r>
      <w:r w:rsidR="008F3DE8">
        <w:rPr>
          <w:rFonts w:ascii="Bookman Old Style" w:hAnsi="Bookman Old Style"/>
          <w:sz w:val="24"/>
          <w:szCs w:val="24"/>
        </w:rPr>
        <w:t xml:space="preserve"> </w:t>
      </w:r>
      <w:r w:rsidR="005814C4" w:rsidRPr="00E464ED">
        <w:rPr>
          <w:rFonts w:ascii="Bookman Old Style" w:hAnsi="Bookman Old Style"/>
          <w:sz w:val="24"/>
          <w:szCs w:val="24"/>
        </w:rPr>
        <w:t>interesse</w:t>
      </w:r>
      <w:r w:rsidR="008F3DE8">
        <w:rPr>
          <w:rFonts w:ascii="Bookman Old Style" w:hAnsi="Bookman Old Style"/>
          <w:sz w:val="24"/>
          <w:szCs w:val="24"/>
        </w:rPr>
        <w:t xml:space="preserve"> </w:t>
      </w:r>
      <w:r w:rsidR="005814C4" w:rsidRPr="00E464ED">
        <w:rPr>
          <w:rFonts w:ascii="Bookman Old Style" w:hAnsi="Bookman Old Style"/>
          <w:sz w:val="24"/>
          <w:szCs w:val="24"/>
        </w:rPr>
        <w:t>pubblico</w:t>
      </w:r>
      <w:r w:rsidR="002F47CA">
        <w:rPr>
          <w:rFonts w:ascii="Bookman Old Style" w:hAnsi="Bookman Old Style"/>
          <w:sz w:val="24"/>
          <w:szCs w:val="24"/>
        </w:rPr>
        <w:t>)</w:t>
      </w:r>
      <w:r w:rsidR="005814C4" w:rsidRPr="00E464ED">
        <w:rPr>
          <w:rFonts w:ascii="Bookman Old Style" w:hAnsi="Bookman Old Style"/>
          <w:sz w:val="24"/>
          <w:szCs w:val="24"/>
        </w:rPr>
        <w:t>.</w:t>
      </w:r>
    </w:p>
    <w:p w:rsidR="00373D35" w:rsidRDefault="005814C4" w:rsidP="00373D35">
      <w:pPr>
        <w:ind w:firstLine="709"/>
        <w:jc w:val="both"/>
        <w:rPr>
          <w:rFonts w:ascii="Bookman Old Style" w:hAnsi="Bookman Old Style"/>
          <w:sz w:val="24"/>
          <w:szCs w:val="24"/>
        </w:rPr>
      </w:pPr>
      <w:r w:rsidRPr="00E464ED">
        <w:rPr>
          <w:rFonts w:ascii="Bookman Old Style" w:hAnsi="Bookman Old Style"/>
          <w:sz w:val="24"/>
          <w:szCs w:val="24"/>
        </w:rPr>
        <w:t>Le</w:t>
      </w:r>
      <w:r w:rsidR="008F3DE8">
        <w:rPr>
          <w:rFonts w:ascii="Bookman Old Style" w:hAnsi="Bookman Old Style"/>
          <w:sz w:val="24"/>
          <w:szCs w:val="24"/>
        </w:rPr>
        <w:t xml:space="preserve"> </w:t>
      </w:r>
      <w:r w:rsidRPr="00E464ED">
        <w:rPr>
          <w:rFonts w:ascii="Bookman Old Style" w:hAnsi="Bookman Old Style"/>
          <w:sz w:val="24"/>
          <w:szCs w:val="24"/>
        </w:rPr>
        <w:t>Costituzioni</w:t>
      </w:r>
      <w:r w:rsidR="008F3DE8">
        <w:rPr>
          <w:rFonts w:ascii="Bookman Old Style" w:hAnsi="Bookman Old Style"/>
          <w:sz w:val="24"/>
          <w:szCs w:val="24"/>
        </w:rPr>
        <w:t xml:space="preserve"> </w:t>
      </w:r>
      <w:r w:rsidRPr="00E464ED">
        <w:rPr>
          <w:rFonts w:ascii="Bookman Old Style" w:hAnsi="Bookman Old Style"/>
          <w:sz w:val="24"/>
          <w:szCs w:val="24"/>
        </w:rPr>
        <w:t>contemporanee</w:t>
      </w:r>
      <w:r w:rsidR="008F3DE8">
        <w:rPr>
          <w:rFonts w:ascii="Bookman Old Style" w:hAnsi="Bookman Old Style"/>
          <w:sz w:val="24"/>
          <w:szCs w:val="24"/>
        </w:rPr>
        <w:t xml:space="preserve"> </w:t>
      </w:r>
      <w:r w:rsidR="001D6E6F">
        <w:rPr>
          <w:rFonts w:ascii="Bookman Old Style" w:hAnsi="Bookman Old Style"/>
          <w:sz w:val="24"/>
          <w:szCs w:val="24"/>
        </w:rPr>
        <w:t>hanno</w:t>
      </w:r>
      <w:r w:rsidR="008F3DE8">
        <w:rPr>
          <w:rFonts w:ascii="Bookman Old Style" w:hAnsi="Bookman Old Style"/>
          <w:sz w:val="24"/>
          <w:szCs w:val="24"/>
        </w:rPr>
        <w:t xml:space="preserve"> </w:t>
      </w:r>
      <w:r w:rsidR="001D6E6F">
        <w:rPr>
          <w:rFonts w:ascii="Bookman Old Style" w:hAnsi="Bookman Old Style"/>
          <w:sz w:val="24"/>
          <w:szCs w:val="24"/>
        </w:rPr>
        <w:t>avuto</w:t>
      </w:r>
      <w:r w:rsidRPr="00E464ED">
        <w:rPr>
          <w:rFonts w:ascii="Bookman Old Style" w:hAnsi="Bookman Old Style"/>
          <w:sz w:val="24"/>
          <w:szCs w:val="24"/>
        </w:rPr>
        <w:t>,</w:t>
      </w:r>
      <w:r w:rsidR="008F3DE8">
        <w:rPr>
          <w:rFonts w:ascii="Bookman Old Style" w:hAnsi="Bookman Old Style"/>
          <w:sz w:val="24"/>
          <w:szCs w:val="24"/>
        </w:rPr>
        <w:t xml:space="preserve"> </w:t>
      </w:r>
      <w:r w:rsidRPr="00E464ED">
        <w:rPr>
          <w:rFonts w:ascii="Bookman Old Style" w:hAnsi="Bookman Old Style"/>
          <w:sz w:val="24"/>
          <w:szCs w:val="24"/>
        </w:rPr>
        <w:t>invece,</w:t>
      </w:r>
      <w:r w:rsidR="008F3DE8">
        <w:rPr>
          <w:rFonts w:ascii="Bookman Old Style" w:hAnsi="Bookman Old Style"/>
          <w:sz w:val="24"/>
          <w:szCs w:val="24"/>
        </w:rPr>
        <w:t xml:space="preserve"> </w:t>
      </w:r>
      <w:r w:rsidRPr="00E464ED">
        <w:rPr>
          <w:rFonts w:ascii="Bookman Old Style" w:hAnsi="Bookman Old Style"/>
          <w:sz w:val="24"/>
          <w:szCs w:val="24"/>
        </w:rPr>
        <w:t>la</w:t>
      </w:r>
      <w:r w:rsidR="008F3DE8">
        <w:rPr>
          <w:rFonts w:ascii="Bookman Old Style" w:hAnsi="Bookman Old Style"/>
          <w:sz w:val="24"/>
          <w:szCs w:val="24"/>
        </w:rPr>
        <w:t xml:space="preserve"> </w:t>
      </w:r>
      <w:r w:rsidRPr="00E464ED">
        <w:rPr>
          <w:rFonts w:ascii="Bookman Old Style" w:hAnsi="Bookman Old Style"/>
          <w:sz w:val="24"/>
          <w:szCs w:val="24"/>
        </w:rPr>
        <w:t>necessità</w:t>
      </w:r>
      <w:r w:rsidR="008F3DE8">
        <w:rPr>
          <w:rFonts w:ascii="Bookman Old Style" w:hAnsi="Bookman Old Style"/>
          <w:sz w:val="24"/>
          <w:szCs w:val="24"/>
        </w:rPr>
        <w:t xml:space="preserve"> </w:t>
      </w:r>
      <w:r w:rsidRPr="00E464ED">
        <w:rPr>
          <w:rFonts w:ascii="Bookman Old Style" w:hAnsi="Bookman Old Style"/>
          <w:sz w:val="24"/>
          <w:szCs w:val="24"/>
        </w:rPr>
        <w:t>di</w:t>
      </w:r>
      <w:r w:rsidR="008F3DE8">
        <w:rPr>
          <w:rFonts w:ascii="Bookman Old Style" w:hAnsi="Bookman Old Style"/>
          <w:sz w:val="24"/>
          <w:szCs w:val="24"/>
        </w:rPr>
        <w:t xml:space="preserve"> </w:t>
      </w:r>
      <w:r w:rsidR="00373D35">
        <w:rPr>
          <w:rFonts w:ascii="Bookman Old Style" w:hAnsi="Bookman Old Style"/>
          <w:sz w:val="24"/>
          <w:szCs w:val="24"/>
        </w:rPr>
        <w:t>stabilire</w:t>
      </w:r>
      <w:r w:rsidR="008F3DE8">
        <w:rPr>
          <w:rFonts w:ascii="Bookman Old Style" w:hAnsi="Bookman Old Style"/>
          <w:sz w:val="24"/>
          <w:szCs w:val="24"/>
        </w:rPr>
        <w:t xml:space="preserve"> </w:t>
      </w:r>
      <w:r w:rsidR="00373D35">
        <w:rPr>
          <w:rFonts w:ascii="Bookman Old Style" w:hAnsi="Bookman Old Style"/>
          <w:sz w:val="24"/>
          <w:szCs w:val="24"/>
        </w:rPr>
        <w:t>un</w:t>
      </w:r>
      <w:r w:rsidR="008F3DE8">
        <w:rPr>
          <w:rFonts w:ascii="Bookman Old Style" w:hAnsi="Bookman Old Style"/>
          <w:sz w:val="24"/>
          <w:szCs w:val="24"/>
        </w:rPr>
        <w:t xml:space="preserve"> </w:t>
      </w:r>
      <w:r w:rsidR="00373D35">
        <w:rPr>
          <w:rFonts w:ascii="Bookman Old Style" w:hAnsi="Bookman Old Style"/>
          <w:sz w:val="24"/>
          <w:szCs w:val="24"/>
        </w:rPr>
        <w:t>chiaro</w:t>
      </w:r>
      <w:r w:rsidR="008F3DE8">
        <w:rPr>
          <w:rFonts w:ascii="Bookman Old Style" w:hAnsi="Bookman Old Style"/>
          <w:sz w:val="24"/>
          <w:szCs w:val="24"/>
        </w:rPr>
        <w:t xml:space="preserve"> </w:t>
      </w:r>
      <w:r w:rsidR="00373D35">
        <w:rPr>
          <w:rFonts w:ascii="Bookman Old Style" w:hAnsi="Bookman Old Style"/>
          <w:sz w:val="24"/>
          <w:szCs w:val="24"/>
        </w:rPr>
        <w:t>programma</w:t>
      </w:r>
      <w:r w:rsidR="008F3DE8">
        <w:rPr>
          <w:rFonts w:ascii="Bookman Old Style" w:hAnsi="Bookman Old Style"/>
          <w:sz w:val="24"/>
          <w:szCs w:val="24"/>
        </w:rPr>
        <w:t xml:space="preserve"> </w:t>
      </w:r>
      <w:r w:rsidR="00373D35">
        <w:rPr>
          <w:rFonts w:ascii="Bookman Old Style" w:hAnsi="Bookman Old Style"/>
          <w:sz w:val="24"/>
          <w:szCs w:val="24"/>
        </w:rPr>
        <w:t>politico</w:t>
      </w:r>
      <w:r w:rsidRPr="00E464ED">
        <w:rPr>
          <w:rFonts w:ascii="Bookman Old Style" w:hAnsi="Bookman Old Style"/>
          <w:sz w:val="24"/>
          <w:szCs w:val="24"/>
        </w:rPr>
        <w:t>,</w:t>
      </w:r>
      <w:r w:rsidR="008F3DE8">
        <w:rPr>
          <w:rFonts w:ascii="Bookman Old Style" w:hAnsi="Bookman Old Style"/>
          <w:sz w:val="24"/>
          <w:szCs w:val="24"/>
        </w:rPr>
        <w:t xml:space="preserve"> </w:t>
      </w:r>
      <w:r w:rsidRPr="00E464ED">
        <w:rPr>
          <w:rFonts w:ascii="Bookman Old Style" w:hAnsi="Bookman Old Style"/>
          <w:sz w:val="24"/>
          <w:szCs w:val="24"/>
        </w:rPr>
        <w:t>attraverso</w:t>
      </w:r>
      <w:r w:rsidR="008F3DE8">
        <w:rPr>
          <w:rFonts w:ascii="Bookman Old Style" w:hAnsi="Bookman Old Style"/>
          <w:sz w:val="24"/>
          <w:szCs w:val="24"/>
        </w:rPr>
        <w:t xml:space="preserve"> </w:t>
      </w:r>
      <w:r w:rsidRPr="00E464ED">
        <w:rPr>
          <w:rFonts w:ascii="Bookman Old Style" w:hAnsi="Bookman Old Style"/>
          <w:sz w:val="24"/>
          <w:szCs w:val="24"/>
        </w:rPr>
        <w:t>l’affermazione</w:t>
      </w:r>
      <w:r w:rsidR="008F3DE8">
        <w:rPr>
          <w:rFonts w:ascii="Bookman Old Style" w:hAnsi="Bookman Old Style"/>
          <w:sz w:val="24"/>
          <w:szCs w:val="24"/>
        </w:rPr>
        <w:t xml:space="preserve"> </w:t>
      </w:r>
      <w:r w:rsidRPr="00E464ED">
        <w:rPr>
          <w:rFonts w:ascii="Bookman Old Style" w:hAnsi="Bookman Old Style"/>
          <w:sz w:val="24"/>
          <w:szCs w:val="24"/>
        </w:rPr>
        <w:t>di</w:t>
      </w:r>
      <w:r w:rsidR="008F3DE8">
        <w:rPr>
          <w:rFonts w:ascii="Bookman Old Style" w:hAnsi="Bookman Old Style"/>
          <w:sz w:val="24"/>
          <w:szCs w:val="24"/>
        </w:rPr>
        <w:t xml:space="preserve"> </w:t>
      </w:r>
      <w:r w:rsidRPr="00E464ED">
        <w:rPr>
          <w:rFonts w:ascii="Bookman Old Style" w:hAnsi="Bookman Old Style"/>
          <w:sz w:val="24"/>
          <w:szCs w:val="24"/>
        </w:rPr>
        <w:t>vari</w:t>
      </w:r>
      <w:r w:rsidR="008F3DE8">
        <w:rPr>
          <w:rFonts w:ascii="Bookman Old Style" w:hAnsi="Bookman Old Style"/>
          <w:sz w:val="24"/>
          <w:szCs w:val="24"/>
        </w:rPr>
        <w:t xml:space="preserve"> </w:t>
      </w:r>
      <w:r w:rsidRPr="00E464ED">
        <w:rPr>
          <w:rFonts w:ascii="Bookman Old Style" w:hAnsi="Bookman Old Style"/>
          <w:sz w:val="24"/>
          <w:szCs w:val="24"/>
        </w:rPr>
        <w:t>principi</w:t>
      </w:r>
      <w:r w:rsidR="008F3DE8">
        <w:rPr>
          <w:rFonts w:ascii="Bookman Old Style" w:hAnsi="Bookman Old Style"/>
          <w:sz w:val="24"/>
          <w:szCs w:val="24"/>
        </w:rPr>
        <w:t xml:space="preserve"> </w:t>
      </w:r>
      <w:r w:rsidRPr="00E464ED">
        <w:rPr>
          <w:rFonts w:ascii="Bookman Old Style" w:hAnsi="Bookman Old Style"/>
          <w:sz w:val="24"/>
          <w:szCs w:val="24"/>
        </w:rPr>
        <w:t>(quali</w:t>
      </w:r>
      <w:r w:rsidR="008F3DE8">
        <w:rPr>
          <w:rFonts w:ascii="Bookman Old Style" w:hAnsi="Bookman Old Style"/>
          <w:sz w:val="24"/>
          <w:szCs w:val="24"/>
        </w:rPr>
        <w:t xml:space="preserve"> </w:t>
      </w:r>
      <w:r w:rsidRPr="00E464ED">
        <w:rPr>
          <w:rFonts w:ascii="Bookman Old Style" w:hAnsi="Bookman Old Style"/>
          <w:sz w:val="24"/>
          <w:szCs w:val="24"/>
        </w:rPr>
        <w:t>il</w:t>
      </w:r>
      <w:r w:rsidR="008F3DE8">
        <w:rPr>
          <w:rFonts w:ascii="Bookman Old Style" w:hAnsi="Bookman Old Style"/>
          <w:sz w:val="24"/>
          <w:szCs w:val="24"/>
        </w:rPr>
        <w:t xml:space="preserve"> </w:t>
      </w:r>
      <w:r w:rsidRPr="00E464ED">
        <w:rPr>
          <w:rFonts w:ascii="Bookman Old Style" w:hAnsi="Bookman Old Style"/>
          <w:sz w:val="24"/>
          <w:szCs w:val="24"/>
        </w:rPr>
        <w:t>principio</w:t>
      </w:r>
      <w:r w:rsidR="008F3DE8">
        <w:rPr>
          <w:rFonts w:ascii="Bookman Old Style" w:hAnsi="Bookman Old Style"/>
          <w:sz w:val="24"/>
          <w:szCs w:val="24"/>
        </w:rPr>
        <w:t xml:space="preserve"> </w:t>
      </w:r>
      <w:r w:rsidRPr="00E464ED">
        <w:rPr>
          <w:rFonts w:ascii="Bookman Old Style" w:hAnsi="Bookman Old Style"/>
          <w:sz w:val="24"/>
          <w:szCs w:val="24"/>
        </w:rPr>
        <w:t>democratico,</w:t>
      </w:r>
      <w:r w:rsidR="008F3DE8">
        <w:rPr>
          <w:rFonts w:ascii="Bookman Old Style" w:hAnsi="Bookman Old Style"/>
          <w:sz w:val="24"/>
          <w:szCs w:val="24"/>
        </w:rPr>
        <w:t xml:space="preserve"> </w:t>
      </w:r>
      <w:r w:rsidRPr="00E464ED">
        <w:rPr>
          <w:rFonts w:ascii="Bookman Old Style" w:hAnsi="Bookman Old Style"/>
          <w:sz w:val="24"/>
          <w:szCs w:val="24"/>
        </w:rPr>
        <w:t>il</w:t>
      </w:r>
      <w:r w:rsidR="008F3DE8">
        <w:rPr>
          <w:rFonts w:ascii="Bookman Old Style" w:hAnsi="Bookman Old Style"/>
          <w:sz w:val="24"/>
          <w:szCs w:val="24"/>
        </w:rPr>
        <w:t xml:space="preserve"> </w:t>
      </w:r>
      <w:r w:rsidRPr="00E464ED">
        <w:rPr>
          <w:rFonts w:ascii="Bookman Old Style" w:hAnsi="Bookman Old Style"/>
          <w:sz w:val="24"/>
          <w:szCs w:val="24"/>
        </w:rPr>
        <w:t>principio</w:t>
      </w:r>
      <w:r w:rsidR="008F3DE8">
        <w:rPr>
          <w:rFonts w:ascii="Bookman Old Style" w:hAnsi="Bookman Old Style"/>
          <w:sz w:val="24"/>
          <w:szCs w:val="24"/>
        </w:rPr>
        <w:t xml:space="preserve"> </w:t>
      </w:r>
      <w:r w:rsidRPr="00E464ED">
        <w:rPr>
          <w:rFonts w:ascii="Bookman Old Style" w:hAnsi="Bookman Old Style"/>
          <w:sz w:val="24"/>
          <w:szCs w:val="24"/>
        </w:rPr>
        <w:t>di</w:t>
      </w:r>
      <w:r w:rsidR="008F3DE8">
        <w:rPr>
          <w:rFonts w:ascii="Bookman Old Style" w:hAnsi="Bookman Old Style"/>
          <w:sz w:val="24"/>
          <w:szCs w:val="24"/>
        </w:rPr>
        <w:t xml:space="preserve"> </w:t>
      </w:r>
      <w:r w:rsidRPr="00E464ED">
        <w:rPr>
          <w:rFonts w:ascii="Bookman Old Style" w:hAnsi="Bookman Old Style"/>
          <w:sz w:val="24"/>
          <w:szCs w:val="24"/>
        </w:rPr>
        <w:t>d’inviolabilità</w:t>
      </w:r>
      <w:r w:rsidR="008F3DE8">
        <w:rPr>
          <w:rFonts w:ascii="Bookman Old Style" w:hAnsi="Bookman Old Style"/>
          <w:sz w:val="24"/>
          <w:szCs w:val="24"/>
        </w:rPr>
        <w:t xml:space="preserve"> </w:t>
      </w:r>
      <w:r w:rsidRPr="00E464ED">
        <w:rPr>
          <w:rFonts w:ascii="Bookman Old Style" w:hAnsi="Bookman Old Style"/>
          <w:sz w:val="24"/>
          <w:szCs w:val="24"/>
        </w:rPr>
        <w:t>dei</w:t>
      </w:r>
      <w:r w:rsidR="008F3DE8">
        <w:rPr>
          <w:rFonts w:ascii="Bookman Old Style" w:hAnsi="Bookman Old Style"/>
          <w:sz w:val="24"/>
          <w:szCs w:val="24"/>
        </w:rPr>
        <w:t xml:space="preserve"> </w:t>
      </w:r>
      <w:r w:rsidRPr="00E464ED">
        <w:rPr>
          <w:rFonts w:ascii="Bookman Old Style" w:hAnsi="Bookman Old Style"/>
          <w:sz w:val="24"/>
          <w:szCs w:val="24"/>
        </w:rPr>
        <w:t>diritti</w:t>
      </w:r>
      <w:r w:rsidR="008F3DE8">
        <w:rPr>
          <w:rFonts w:ascii="Bookman Old Style" w:hAnsi="Bookman Old Style"/>
          <w:sz w:val="24"/>
          <w:szCs w:val="24"/>
        </w:rPr>
        <w:t xml:space="preserve"> </w:t>
      </w:r>
      <w:r w:rsidRPr="00E464ED">
        <w:rPr>
          <w:rFonts w:ascii="Bookman Old Style" w:hAnsi="Bookman Old Style"/>
          <w:sz w:val="24"/>
          <w:szCs w:val="24"/>
        </w:rPr>
        <w:t>fondamentali,</w:t>
      </w:r>
      <w:r w:rsidR="008F3DE8">
        <w:rPr>
          <w:rFonts w:ascii="Bookman Old Style" w:hAnsi="Bookman Old Style"/>
          <w:sz w:val="24"/>
          <w:szCs w:val="24"/>
        </w:rPr>
        <w:t xml:space="preserve"> </w:t>
      </w:r>
      <w:r w:rsidRPr="00E464ED">
        <w:rPr>
          <w:rFonts w:ascii="Bookman Old Style" w:hAnsi="Bookman Old Style"/>
          <w:sz w:val="24"/>
          <w:szCs w:val="24"/>
        </w:rPr>
        <w:t>il</w:t>
      </w:r>
      <w:r w:rsidR="008F3DE8">
        <w:rPr>
          <w:rFonts w:ascii="Bookman Old Style" w:hAnsi="Bookman Old Style"/>
          <w:sz w:val="24"/>
          <w:szCs w:val="24"/>
        </w:rPr>
        <w:t xml:space="preserve"> </w:t>
      </w:r>
      <w:r w:rsidRPr="00E464ED">
        <w:rPr>
          <w:rFonts w:ascii="Bookman Old Style" w:hAnsi="Bookman Old Style"/>
          <w:sz w:val="24"/>
          <w:szCs w:val="24"/>
        </w:rPr>
        <w:t>principio</w:t>
      </w:r>
      <w:r w:rsidR="008F3DE8">
        <w:rPr>
          <w:rFonts w:ascii="Bookman Old Style" w:hAnsi="Bookman Old Style"/>
          <w:sz w:val="24"/>
          <w:szCs w:val="24"/>
        </w:rPr>
        <w:t xml:space="preserve"> </w:t>
      </w:r>
      <w:r w:rsidRPr="00E464ED">
        <w:rPr>
          <w:rFonts w:ascii="Bookman Old Style" w:hAnsi="Bookman Old Style"/>
          <w:sz w:val="24"/>
          <w:szCs w:val="24"/>
        </w:rPr>
        <w:t>di</w:t>
      </w:r>
      <w:r w:rsidR="008F3DE8">
        <w:rPr>
          <w:rFonts w:ascii="Bookman Old Style" w:hAnsi="Bookman Old Style"/>
          <w:sz w:val="24"/>
          <w:szCs w:val="24"/>
        </w:rPr>
        <w:t xml:space="preserve"> </w:t>
      </w:r>
      <w:r w:rsidRPr="00E464ED">
        <w:rPr>
          <w:rFonts w:ascii="Bookman Old Style" w:hAnsi="Bookman Old Style"/>
          <w:sz w:val="24"/>
          <w:szCs w:val="24"/>
        </w:rPr>
        <w:t>uguaglianza)</w:t>
      </w:r>
      <w:r w:rsidR="008F3DE8">
        <w:rPr>
          <w:rFonts w:ascii="Bookman Old Style" w:hAnsi="Bookman Old Style"/>
          <w:sz w:val="24"/>
          <w:szCs w:val="24"/>
        </w:rPr>
        <w:t xml:space="preserve"> </w:t>
      </w:r>
      <w:r w:rsidR="00373D35">
        <w:rPr>
          <w:rFonts w:ascii="Bookman Old Style" w:hAnsi="Bookman Old Style"/>
          <w:sz w:val="24"/>
          <w:szCs w:val="24"/>
        </w:rPr>
        <w:t>proprio</w:t>
      </w:r>
      <w:r w:rsidR="008F3DE8">
        <w:rPr>
          <w:rFonts w:ascii="Bookman Old Style" w:hAnsi="Bookman Old Style"/>
          <w:sz w:val="24"/>
          <w:szCs w:val="24"/>
        </w:rPr>
        <w:t xml:space="preserve"> </w:t>
      </w:r>
      <w:r w:rsidRPr="00E464ED">
        <w:rPr>
          <w:rFonts w:ascii="Bookman Old Style" w:hAnsi="Bookman Old Style"/>
          <w:sz w:val="24"/>
          <w:szCs w:val="24"/>
        </w:rPr>
        <w:t>perché</w:t>
      </w:r>
      <w:r w:rsidR="008F3DE8">
        <w:rPr>
          <w:rFonts w:ascii="Bookman Old Style" w:hAnsi="Bookman Old Style"/>
          <w:sz w:val="24"/>
          <w:szCs w:val="24"/>
        </w:rPr>
        <w:t xml:space="preserve"> </w:t>
      </w:r>
      <w:r w:rsidRPr="00E464ED">
        <w:rPr>
          <w:rFonts w:ascii="Bookman Old Style" w:hAnsi="Bookman Old Style"/>
          <w:sz w:val="24"/>
          <w:szCs w:val="24"/>
        </w:rPr>
        <w:t>esse</w:t>
      </w:r>
      <w:r w:rsidR="008F3DE8">
        <w:rPr>
          <w:rFonts w:ascii="Bookman Old Style" w:hAnsi="Bookman Old Style"/>
          <w:sz w:val="24"/>
          <w:szCs w:val="24"/>
        </w:rPr>
        <w:t xml:space="preserve"> </w:t>
      </w:r>
      <w:r w:rsidRPr="00E464ED">
        <w:rPr>
          <w:rFonts w:ascii="Bookman Old Style" w:hAnsi="Bookman Old Style"/>
          <w:sz w:val="24"/>
          <w:szCs w:val="24"/>
        </w:rPr>
        <w:t>stesse</w:t>
      </w:r>
      <w:r w:rsidR="008F3DE8">
        <w:rPr>
          <w:rFonts w:ascii="Bookman Old Style" w:hAnsi="Bookman Old Style"/>
          <w:sz w:val="24"/>
          <w:szCs w:val="24"/>
        </w:rPr>
        <w:t xml:space="preserve"> </w:t>
      </w:r>
      <w:r w:rsidRPr="00E464ED">
        <w:rPr>
          <w:rFonts w:ascii="Bookman Old Style" w:hAnsi="Bookman Old Style"/>
          <w:sz w:val="24"/>
          <w:szCs w:val="24"/>
        </w:rPr>
        <w:t>si</w:t>
      </w:r>
      <w:r w:rsidR="008F3DE8">
        <w:rPr>
          <w:rFonts w:ascii="Bookman Old Style" w:hAnsi="Bookman Old Style"/>
          <w:sz w:val="24"/>
          <w:szCs w:val="24"/>
        </w:rPr>
        <w:t xml:space="preserve"> </w:t>
      </w:r>
      <w:r w:rsidRPr="00E464ED">
        <w:rPr>
          <w:rFonts w:ascii="Bookman Old Style" w:hAnsi="Bookman Old Style"/>
          <w:sz w:val="24"/>
          <w:szCs w:val="24"/>
        </w:rPr>
        <w:t>pongono</w:t>
      </w:r>
      <w:r w:rsidR="008F3DE8">
        <w:rPr>
          <w:rFonts w:ascii="Bookman Old Style" w:hAnsi="Bookman Old Style"/>
          <w:sz w:val="24"/>
          <w:szCs w:val="24"/>
        </w:rPr>
        <w:t xml:space="preserve"> </w:t>
      </w:r>
      <w:r w:rsidRPr="00E464ED">
        <w:rPr>
          <w:rFonts w:ascii="Bookman Old Style" w:hAnsi="Bookman Old Style"/>
          <w:sz w:val="24"/>
          <w:szCs w:val="24"/>
        </w:rPr>
        <w:t>come</w:t>
      </w:r>
      <w:r w:rsidR="008F3DE8">
        <w:rPr>
          <w:rFonts w:ascii="Bookman Old Style" w:hAnsi="Bookman Old Style"/>
          <w:sz w:val="24"/>
          <w:szCs w:val="24"/>
        </w:rPr>
        <w:t xml:space="preserve"> </w:t>
      </w:r>
      <w:r w:rsidRPr="00E464ED">
        <w:rPr>
          <w:rFonts w:ascii="Bookman Old Style" w:hAnsi="Bookman Old Style"/>
          <w:sz w:val="24"/>
          <w:szCs w:val="24"/>
        </w:rPr>
        <w:t>momento</w:t>
      </w:r>
      <w:r w:rsidR="008F3DE8">
        <w:rPr>
          <w:rFonts w:ascii="Bookman Old Style" w:hAnsi="Bookman Old Style"/>
          <w:sz w:val="24"/>
          <w:szCs w:val="24"/>
        </w:rPr>
        <w:t xml:space="preserve"> </w:t>
      </w:r>
      <w:r w:rsidRPr="00E464ED">
        <w:rPr>
          <w:rFonts w:ascii="Bookman Old Style" w:hAnsi="Bookman Old Style"/>
          <w:sz w:val="24"/>
          <w:szCs w:val="24"/>
        </w:rPr>
        <w:t>fondante</w:t>
      </w:r>
      <w:r w:rsidR="008F3DE8">
        <w:rPr>
          <w:rFonts w:ascii="Bookman Old Style" w:hAnsi="Bookman Old Style"/>
          <w:sz w:val="24"/>
          <w:szCs w:val="24"/>
        </w:rPr>
        <w:t xml:space="preserve"> </w:t>
      </w:r>
      <w:r w:rsidRPr="00E464ED">
        <w:rPr>
          <w:rFonts w:ascii="Bookman Old Style" w:hAnsi="Bookman Old Style"/>
          <w:sz w:val="24"/>
          <w:szCs w:val="24"/>
        </w:rPr>
        <w:t>di</w:t>
      </w:r>
      <w:r w:rsidR="008F3DE8">
        <w:rPr>
          <w:rFonts w:ascii="Bookman Old Style" w:hAnsi="Bookman Old Style"/>
          <w:sz w:val="24"/>
          <w:szCs w:val="24"/>
        </w:rPr>
        <w:t xml:space="preserve"> </w:t>
      </w:r>
      <w:r w:rsidRPr="00E464ED">
        <w:rPr>
          <w:rFonts w:ascii="Bookman Old Style" w:hAnsi="Bookman Old Style"/>
          <w:sz w:val="24"/>
          <w:szCs w:val="24"/>
        </w:rPr>
        <w:t>una</w:t>
      </w:r>
      <w:r w:rsidR="008F3DE8">
        <w:rPr>
          <w:rFonts w:ascii="Bookman Old Style" w:hAnsi="Bookman Old Style"/>
          <w:sz w:val="24"/>
          <w:szCs w:val="24"/>
        </w:rPr>
        <w:t xml:space="preserve"> </w:t>
      </w:r>
      <w:r w:rsidRPr="00E464ED">
        <w:rPr>
          <w:rFonts w:ascii="Bookman Old Style" w:hAnsi="Bookman Old Style"/>
          <w:sz w:val="24"/>
          <w:szCs w:val="24"/>
        </w:rPr>
        <w:t>determinata</w:t>
      </w:r>
      <w:r w:rsidR="008F3DE8">
        <w:rPr>
          <w:rFonts w:ascii="Bookman Old Style" w:hAnsi="Bookman Old Style"/>
          <w:sz w:val="24"/>
          <w:szCs w:val="24"/>
        </w:rPr>
        <w:t xml:space="preserve"> </w:t>
      </w:r>
      <w:r w:rsidRPr="00E464ED">
        <w:rPr>
          <w:rFonts w:ascii="Bookman Old Style" w:hAnsi="Bookman Old Style"/>
          <w:sz w:val="24"/>
          <w:szCs w:val="24"/>
        </w:rPr>
        <w:t>organizzazione</w:t>
      </w:r>
      <w:r w:rsidR="008F3DE8">
        <w:rPr>
          <w:rFonts w:ascii="Bookman Old Style" w:hAnsi="Bookman Old Style"/>
          <w:sz w:val="24"/>
          <w:szCs w:val="24"/>
        </w:rPr>
        <w:t xml:space="preserve"> </w:t>
      </w:r>
      <w:r w:rsidRPr="00E464ED">
        <w:rPr>
          <w:rFonts w:ascii="Bookman Old Style" w:hAnsi="Bookman Old Style"/>
          <w:sz w:val="24"/>
          <w:szCs w:val="24"/>
        </w:rPr>
        <w:t>statale</w:t>
      </w:r>
      <w:r w:rsidR="008F3DE8">
        <w:rPr>
          <w:rFonts w:ascii="Bookman Old Style" w:hAnsi="Bookman Old Style"/>
          <w:sz w:val="24"/>
          <w:szCs w:val="24"/>
        </w:rPr>
        <w:t xml:space="preserve"> </w:t>
      </w:r>
      <w:r w:rsidR="001D6E6F">
        <w:rPr>
          <w:rFonts w:ascii="Bookman Old Style" w:hAnsi="Bookman Old Style"/>
          <w:sz w:val="24"/>
          <w:szCs w:val="24"/>
        </w:rPr>
        <w:t>della</w:t>
      </w:r>
      <w:r w:rsidR="008F3DE8">
        <w:rPr>
          <w:rFonts w:ascii="Bookman Old Style" w:hAnsi="Bookman Old Style"/>
          <w:sz w:val="24"/>
          <w:szCs w:val="24"/>
        </w:rPr>
        <w:t xml:space="preserve"> </w:t>
      </w:r>
      <w:r w:rsidR="001D6E6F">
        <w:rPr>
          <w:rFonts w:ascii="Bookman Old Style" w:hAnsi="Bookman Old Style"/>
          <w:sz w:val="24"/>
          <w:szCs w:val="24"/>
        </w:rPr>
        <w:t>cui</w:t>
      </w:r>
      <w:r w:rsidR="008F3DE8">
        <w:rPr>
          <w:rFonts w:ascii="Bookman Old Style" w:hAnsi="Bookman Old Style"/>
          <w:sz w:val="24"/>
          <w:szCs w:val="24"/>
        </w:rPr>
        <w:t xml:space="preserve"> </w:t>
      </w:r>
      <w:r w:rsidR="001D6E6F">
        <w:rPr>
          <w:rFonts w:ascii="Bookman Old Style" w:hAnsi="Bookman Old Style"/>
          <w:sz w:val="24"/>
          <w:szCs w:val="24"/>
        </w:rPr>
        <w:t>legittimazione</w:t>
      </w:r>
      <w:r w:rsidR="008F3DE8">
        <w:rPr>
          <w:rFonts w:ascii="Bookman Old Style" w:hAnsi="Bookman Old Style"/>
          <w:sz w:val="24"/>
          <w:szCs w:val="24"/>
        </w:rPr>
        <w:t xml:space="preserve"> </w:t>
      </w:r>
      <w:r w:rsidR="001D6E6F">
        <w:rPr>
          <w:rFonts w:ascii="Bookman Old Style" w:hAnsi="Bookman Old Style"/>
          <w:sz w:val="24"/>
          <w:szCs w:val="24"/>
        </w:rPr>
        <w:t>pongono</w:t>
      </w:r>
      <w:r w:rsidR="008F3DE8">
        <w:rPr>
          <w:rFonts w:ascii="Bookman Old Style" w:hAnsi="Bookman Old Style"/>
          <w:sz w:val="24"/>
          <w:szCs w:val="24"/>
        </w:rPr>
        <w:t xml:space="preserve"> </w:t>
      </w:r>
      <w:r w:rsidRPr="00E464ED">
        <w:rPr>
          <w:rFonts w:ascii="Bookman Old Style" w:hAnsi="Bookman Old Style"/>
          <w:sz w:val="24"/>
          <w:szCs w:val="24"/>
        </w:rPr>
        <w:t>le</w:t>
      </w:r>
      <w:r w:rsidR="008F3DE8">
        <w:rPr>
          <w:rFonts w:ascii="Bookman Old Style" w:hAnsi="Bookman Old Style"/>
          <w:sz w:val="24"/>
          <w:szCs w:val="24"/>
        </w:rPr>
        <w:t xml:space="preserve"> </w:t>
      </w:r>
      <w:r w:rsidRPr="00E464ED">
        <w:rPr>
          <w:rFonts w:ascii="Bookman Old Style" w:hAnsi="Bookman Old Style"/>
          <w:sz w:val="24"/>
          <w:szCs w:val="24"/>
        </w:rPr>
        <w:t>basi.</w:t>
      </w:r>
      <w:r w:rsidR="002F47CA">
        <w:rPr>
          <w:rFonts w:ascii="Bookman Old Style" w:hAnsi="Bookman Old Style"/>
          <w:sz w:val="24"/>
          <w:szCs w:val="24"/>
        </w:rPr>
        <w:t xml:space="preserve"> </w:t>
      </w:r>
      <w:r w:rsidRPr="00E464ED">
        <w:rPr>
          <w:rFonts w:ascii="Bookman Old Style" w:hAnsi="Bookman Old Style"/>
          <w:sz w:val="24"/>
          <w:szCs w:val="24"/>
        </w:rPr>
        <w:t>Questi</w:t>
      </w:r>
      <w:r w:rsidR="008F3DE8">
        <w:rPr>
          <w:rFonts w:ascii="Bookman Old Style" w:hAnsi="Bookman Old Style"/>
          <w:sz w:val="24"/>
          <w:szCs w:val="24"/>
        </w:rPr>
        <w:t xml:space="preserve"> </w:t>
      </w:r>
      <w:r w:rsidRPr="00E464ED">
        <w:rPr>
          <w:rFonts w:ascii="Bookman Old Style" w:hAnsi="Bookman Old Style"/>
          <w:sz w:val="24"/>
          <w:szCs w:val="24"/>
        </w:rPr>
        <w:t>principi</w:t>
      </w:r>
      <w:r w:rsidR="008F3DE8">
        <w:rPr>
          <w:rFonts w:ascii="Bookman Old Style" w:hAnsi="Bookman Old Style"/>
          <w:sz w:val="24"/>
          <w:szCs w:val="24"/>
        </w:rPr>
        <w:t xml:space="preserve"> </w:t>
      </w:r>
      <w:r w:rsidRPr="00E464ED">
        <w:rPr>
          <w:rFonts w:ascii="Bookman Old Style" w:hAnsi="Bookman Old Style"/>
          <w:sz w:val="24"/>
          <w:szCs w:val="24"/>
        </w:rPr>
        <w:t>divengono</w:t>
      </w:r>
      <w:r w:rsidR="008F3DE8">
        <w:rPr>
          <w:rFonts w:ascii="Bookman Old Style" w:hAnsi="Bookman Old Style"/>
          <w:sz w:val="24"/>
          <w:szCs w:val="24"/>
        </w:rPr>
        <w:t xml:space="preserve"> </w:t>
      </w:r>
      <w:r w:rsidRPr="00E464ED">
        <w:rPr>
          <w:rFonts w:ascii="Bookman Old Style" w:hAnsi="Bookman Old Style"/>
          <w:sz w:val="24"/>
          <w:szCs w:val="24"/>
        </w:rPr>
        <w:t>non</w:t>
      </w:r>
      <w:r w:rsidR="008F3DE8">
        <w:rPr>
          <w:rFonts w:ascii="Bookman Old Style" w:hAnsi="Bookman Old Style"/>
          <w:sz w:val="24"/>
          <w:szCs w:val="24"/>
        </w:rPr>
        <w:t xml:space="preserve"> </w:t>
      </w:r>
      <w:r w:rsidRPr="00E464ED">
        <w:rPr>
          <w:rFonts w:ascii="Bookman Old Style" w:hAnsi="Bookman Old Style"/>
          <w:sz w:val="24"/>
          <w:szCs w:val="24"/>
        </w:rPr>
        <w:t>solo</w:t>
      </w:r>
      <w:r w:rsidR="008F3DE8">
        <w:rPr>
          <w:rFonts w:ascii="Bookman Old Style" w:hAnsi="Bookman Old Style"/>
          <w:sz w:val="24"/>
          <w:szCs w:val="24"/>
        </w:rPr>
        <w:t xml:space="preserve"> </w:t>
      </w:r>
      <w:r w:rsidRPr="00E464ED">
        <w:rPr>
          <w:rFonts w:ascii="Bookman Old Style" w:hAnsi="Bookman Old Style"/>
          <w:sz w:val="24"/>
          <w:szCs w:val="24"/>
        </w:rPr>
        <w:t>l’origine,</w:t>
      </w:r>
      <w:r w:rsidR="008F3DE8">
        <w:rPr>
          <w:rFonts w:ascii="Bookman Old Style" w:hAnsi="Bookman Old Style"/>
          <w:sz w:val="24"/>
          <w:szCs w:val="24"/>
        </w:rPr>
        <w:t xml:space="preserve"> </w:t>
      </w:r>
      <w:r w:rsidRPr="00E464ED">
        <w:rPr>
          <w:rFonts w:ascii="Bookman Old Style" w:hAnsi="Bookman Old Style"/>
          <w:sz w:val="24"/>
          <w:szCs w:val="24"/>
        </w:rPr>
        <w:t>il</w:t>
      </w:r>
      <w:r w:rsidR="008F3DE8">
        <w:rPr>
          <w:rFonts w:ascii="Bookman Old Style" w:hAnsi="Bookman Old Style"/>
          <w:sz w:val="24"/>
          <w:szCs w:val="24"/>
        </w:rPr>
        <w:t xml:space="preserve"> </w:t>
      </w:r>
      <w:r w:rsidRPr="00E464ED">
        <w:rPr>
          <w:rFonts w:ascii="Bookman Old Style" w:hAnsi="Bookman Old Style"/>
          <w:sz w:val="24"/>
          <w:szCs w:val="24"/>
        </w:rPr>
        <w:t>momento</w:t>
      </w:r>
      <w:r w:rsidR="008F3DE8">
        <w:rPr>
          <w:rFonts w:ascii="Bookman Old Style" w:hAnsi="Bookman Old Style"/>
          <w:sz w:val="24"/>
          <w:szCs w:val="24"/>
        </w:rPr>
        <w:t xml:space="preserve"> </w:t>
      </w:r>
      <w:r w:rsidRPr="00E464ED">
        <w:rPr>
          <w:rFonts w:ascii="Bookman Old Style" w:hAnsi="Bookman Old Style"/>
          <w:sz w:val="24"/>
          <w:szCs w:val="24"/>
        </w:rPr>
        <w:t>formativo</w:t>
      </w:r>
      <w:r w:rsidR="008F3DE8">
        <w:rPr>
          <w:rFonts w:ascii="Bookman Old Style" w:hAnsi="Bookman Old Style"/>
          <w:sz w:val="24"/>
          <w:szCs w:val="24"/>
        </w:rPr>
        <w:t xml:space="preserve"> </w:t>
      </w:r>
      <w:r w:rsidRPr="00E464ED">
        <w:rPr>
          <w:rFonts w:ascii="Bookman Old Style" w:hAnsi="Bookman Old Style"/>
          <w:sz w:val="24"/>
          <w:szCs w:val="24"/>
        </w:rPr>
        <w:t>delle</w:t>
      </w:r>
      <w:r w:rsidR="008F3DE8">
        <w:rPr>
          <w:rFonts w:ascii="Bookman Old Style" w:hAnsi="Bookman Old Style"/>
          <w:sz w:val="24"/>
          <w:szCs w:val="24"/>
        </w:rPr>
        <w:t xml:space="preserve"> </w:t>
      </w:r>
      <w:r w:rsidRPr="00E464ED">
        <w:rPr>
          <w:rFonts w:ascii="Bookman Old Style" w:hAnsi="Bookman Old Style"/>
          <w:sz w:val="24"/>
          <w:szCs w:val="24"/>
        </w:rPr>
        <w:t>Costituzioni,</w:t>
      </w:r>
      <w:r w:rsidR="008F3DE8">
        <w:rPr>
          <w:rFonts w:ascii="Bookman Old Style" w:hAnsi="Bookman Old Style"/>
          <w:sz w:val="24"/>
          <w:szCs w:val="24"/>
        </w:rPr>
        <w:t xml:space="preserve"> </w:t>
      </w:r>
      <w:r w:rsidRPr="00E464ED">
        <w:rPr>
          <w:rFonts w:ascii="Bookman Old Style" w:hAnsi="Bookman Old Style"/>
          <w:sz w:val="24"/>
          <w:szCs w:val="24"/>
        </w:rPr>
        <w:t>ma</w:t>
      </w:r>
      <w:r w:rsidR="008F3DE8">
        <w:rPr>
          <w:rFonts w:ascii="Bookman Old Style" w:hAnsi="Bookman Old Style"/>
          <w:sz w:val="24"/>
          <w:szCs w:val="24"/>
        </w:rPr>
        <w:t xml:space="preserve"> </w:t>
      </w:r>
      <w:r w:rsidR="001D6E6F">
        <w:rPr>
          <w:rFonts w:ascii="Bookman Old Style" w:hAnsi="Bookman Old Style"/>
          <w:sz w:val="24"/>
          <w:szCs w:val="24"/>
        </w:rPr>
        <w:t>assumono</w:t>
      </w:r>
      <w:r w:rsidR="008F3DE8">
        <w:rPr>
          <w:rFonts w:ascii="Bookman Old Style" w:hAnsi="Bookman Old Style"/>
          <w:sz w:val="24"/>
          <w:szCs w:val="24"/>
        </w:rPr>
        <w:t xml:space="preserve"> </w:t>
      </w:r>
      <w:r w:rsidRPr="00E464ED">
        <w:rPr>
          <w:rFonts w:ascii="Bookman Old Style" w:hAnsi="Bookman Old Style"/>
          <w:sz w:val="24"/>
          <w:szCs w:val="24"/>
        </w:rPr>
        <w:t>un</w:t>
      </w:r>
      <w:r w:rsidR="001D6E6F">
        <w:rPr>
          <w:rFonts w:ascii="Bookman Old Style" w:hAnsi="Bookman Old Style"/>
          <w:sz w:val="24"/>
          <w:szCs w:val="24"/>
        </w:rPr>
        <w:t>a</w:t>
      </w:r>
      <w:r w:rsidR="008F3DE8">
        <w:rPr>
          <w:rFonts w:ascii="Bookman Old Style" w:hAnsi="Bookman Old Style"/>
          <w:sz w:val="24"/>
          <w:szCs w:val="24"/>
        </w:rPr>
        <w:t xml:space="preserve"> </w:t>
      </w:r>
      <w:r w:rsidRPr="00E464ED">
        <w:rPr>
          <w:rFonts w:ascii="Bookman Old Style" w:hAnsi="Bookman Old Style"/>
          <w:sz w:val="24"/>
          <w:szCs w:val="24"/>
        </w:rPr>
        <w:t>forza</w:t>
      </w:r>
      <w:r w:rsidR="008F3DE8">
        <w:rPr>
          <w:rFonts w:ascii="Bookman Old Style" w:hAnsi="Bookman Old Style"/>
          <w:sz w:val="24"/>
          <w:szCs w:val="24"/>
        </w:rPr>
        <w:t xml:space="preserve"> </w:t>
      </w:r>
      <w:r w:rsidRPr="00E464ED">
        <w:rPr>
          <w:rFonts w:ascii="Bookman Old Style" w:hAnsi="Bookman Old Style"/>
          <w:sz w:val="24"/>
          <w:szCs w:val="24"/>
        </w:rPr>
        <w:t>pervasiva</w:t>
      </w:r>
      <w:r w:rsidR="008F3DE8">
        <w:rPr>
          <w:rFonts w:ascii="Bookman Old Style" w:hAnsi="Bookman Old Style"/>
          <w:sz w:val="24"/>
          <w:szCs w:val="24"/>
        </w:rPr>
        <w:t xml:space="preserve"> </w:t>
      </w:r>
      <w:r w:rsidRPr="00E464ED">
        <w:rPr>
          <w:rFonts w:ascii="Bookman Old Style" w:hAnsi="Bookman Old Style"/>
          <w:sz w:val="24"/>
          <w:szCs w:val="24"/>
        </w:rPr>
        <w:t>tale</w:t>
      </w:r>
      <w:r w:rsidR="008F3DE8">
        <w:rPr>
          <w:rFonts w:ascii="Bookman Old Style" w:hAnsi="Bookman Old Style"/>
          <w:sz w:val="24"/>
          <w:szCs w:val="24"/>
        </w:rPr>
        <w:t xml:space="preserve"> </w:t>
      </w:r>
      <w:r w:rsidRPr="00E464ED">
        <w:rPr>
          <w:rFonts w:ascii="Bookman Old Style" w:hAnsi="Bookman Old Style"/>
          <w:sz w:val="24"/>
          <w:szCs w:val="24"/>
        </w:rPr>
        <w:t>da</w:t>
      </w:r>
      <w:r w:rsidR="008F3DE8">
        <w:rPr>
          <w:rFonts w:ascii="Bookman Old Style" w:hAnsi="Bookman Old Style"/>
          <w:sz w:val="24"/>
          <w:szCs w:val="24"/>
        </w:rPr>
        <w:t xml:space="preserve"> </w:t>
      </w:r>
      <w:r w:rsidRPr="00E464ED">
        <w:rPr>
          <w:rFonts w:ascii="Bookman Old Style" w:hAnsi="Bookman Old Style"/>
          <w:sz w:val="24"/>
          <w:szCs w:val="24"/>
        </w:rPr>
        <w:t>richiedere</w:t>
      </w:r>
      <w:r w:rsidR="008F3DE8">
        <w:rPr>
          <w:rFonts w:ascii="Bookman Old Style" w:hAnsi="Bookman Old Style"/>
          <w:sz w:val="24"/>
          <w:szCs w:val="24"/>
        </w:rPr>
        <w:t xml:space="preserve"> </w:t>
      </w:r>
      <w:r w:rsidRPr="00E464ED">
        <w:rPr>
          <w:rFonts w:ascii="Bookman Old Style" w:hAnsi="Bookman Old Style"/>
          <w:sz w:val="24"/>
          <w:szCs w:val="24"/>
        </w:rPr>
        <w:t>che</w:t>
      </w:r>
      <w:r w:rsidR="008F3DE8">
        <w:rPr>
          <w:rFonts w:ascii="Bookman Old Style" w:hAnsi="Bookman Old Style"/>
          <w:sz w:val="24"/>
          <w:szCs w:val="24"/>
        </w:rPr>
        <w:t xml:space="preserve"> </w:t>
      </w:r>
      <w:r w:rsidRPr="00E464ED">
        <w:rPr>
          <w:rFonts w:ascii="Bookman Old Style" w:hAnsi="Bookman Old Style"/>
          <w:sz w:val="24"/>
          <w:szCs w:val="24"/>
        </w:rPr>
        <w:t>l’organizzazione</w:t>
      </w:r>
      <w:r w:rsidR="008F3DE8">
        <w:rPr>
          <w:rFonts w:ascii="Bookman Old Style" w:hAnsi="Bookman Old Style"/>
          <w:sz w:val="24"/>
          <w:szCs w:val="24"/>
        </w:rPr>
        <w:t xml:space="preserve"> </w:t>
      </w:r>
      <w:r w:rsidRPr="00E464ED">
        <w:rPr>
          <w:rFonts w:ascii="Bookman Old Style" w:hAnsi="Bookman Old Style"/>
          <w:sz w:val="24"/>
          <w:szCs w:val="24"/>
        </w:rPr>
        <w:t>dei</w:t>
      </w:r>
      <w:r w:rsidR="008F3DE8">
        <w:rPr>
          <w:rFonts w:ascii="Bookman Old Style" w:hAnsi="Bookman Old Style"/>
          <w:sz w:val="24"/>
          <w:szCs w:val="24"/>
        </w:rPr>
        <w:t xml:space="preserve"> </w:t>
      </w:r>
      <w:r w:rsidRPr="00E464ED">
        <w:rPr>
          <w:rFonts w:ascii="Bookman Old Style" w:hAnsi="Bookman Old Style"/>
          <w:sz w:val="24"/>
          <w:szCs w:val="24"/>
        </w:rPr>
        <w:t>poteri</w:t>
      </w:r>
      <w:r w:rsidR="008F3DE8">
        <w:rPr>
          <w:rFonts w:ascii="Bookman Old Style" w:hAnsi="Bookman Old Style"/>
          <w:sz w:val="24"/>
          <w:szCs w:val="24"/>
        </w:rPr>
        <w:t xml:space="preserve"> </w:t>
      </w:r>
      <w:r w:rsidRPr="00E464ED">
        <w:rPr>
          <w:rFonts w:ascii="Bookman Old Style" w:hAnsi="Bookman Old Style"/>
          <w:sz w:val="24"/>
          <w:szCs w:val="24"/>
        </w:rPr>
        <w:t>pubblici</w:t>
      </w:r>
      <w:r w:rsidR="008F3DE8">
        <w:rPr>
          <w:rFonts w:ascii="Bookman Old Style" w:hAnsi="Bookman Old Style"/>
          <w:sz w:val="24"/>
          <w:szCs w:val="24"/>
        </w:rPr>
        <w:t xml:space="preserve"> </w:t>
      </w:r>
      <w:r w:rsidRPr="00E464ED">
        <w:rPr>
          <w:rFonts w:ascii="Bookman Old Style" w:hAnsi="Bookman Old Style"/>
          <w:sz w:val="24"/>
          <w:szCs w:val="24"/>
        </w:rPr>
        <w:t>non</w:t>
      </w:r>
      <w:r w:rsidR="008F3DE8">
        <w:rPr>
          <w:rFonts w:ascii="Bookman Old Style" w:hAnsi="Bookman Old Style"/>
          <w:sz w:val="24"/>
          <w:szCs w:val="24"/>
        </w:rPr>
        <w:t xml:space="preserve"> </w:t>
      </w:r>
      <w:r w:rsidRPr="00E464ED">
        <w:rPr>
          <w:rFonts w:ascii="Bookman Old Style" w:hAnsi="Bookman Old Style"/>
          <w:sz w:val="24"/>
          <w:szCs w:val="24"/>
        </w:rPr>
        <w:t>trovi</w:t>
      </w:r>
      <w:r w:rsidR="008F3DE8">
        <w:rPr>
          <w:rFonts w:ascii="Bookman Old Style" w:hAnsi="Bookman Old Style"/>
          <w:sz w:val="24"/>
          <w:szCs w:val="24"/>
        </w:rPr>
        <w:t xml:space="preserve"> </w:t>
      </w:r>
      <w:r w:rsidR="00373D35">
        <w:rPr>
          <w:rFonts w:ascii="Bookman Old Style" w:hAnsi="Bookman Old Style"/>
          <w:sz w:val="24"/>
          <w:szCs w:val="24"/>
        </w:rPr>
        <w:t>in</w:t>
      </w:r>
      <w:r w:rsidR="008F3DE8">
        <w:rPr>
          <w:rFonts w:ascii="Bookman Old Style" w:hAnsi="Bookman Old Style"/>
          <w:sz w:val="24"/>
          <w:szCs w:val="24"/>
        </w:rPr>
        <w:t xml:space="preserve"> </w:t>
      </w:r>
      <w:r w:rsidR="00373D35">
        <w:rPr>
          <w:rFonts w:ascii="Bookman Old Style" w:hAnsi="Bookman Old Style"/>
          <w:sz w:val="24"/>
          <w:szCs w:val="24"/>
        </w:rPr>
        <w:t>essi</w:t>
      </w:r>
      <w:r w:rsidR="008F3DE8">
        <w:rPr>
          <w:rFonts w:ascii="Bookman Old Style" w:hAnsi="Bookman Old Style"/>
          <w:sz w:val="24"/>
          <w:szCs w:val="24"/>
        </w:rPr>
        <w:t xml:space="preserve"> </w:t>
      </w:r>
      <w:r w:rsidRPr="00E464ED">
        <w:rPr>
          <w:rFonts w:ascii="Bookman Old Style" w:hAnsi="Bookman Old Style"/>
          <w:sz w:val="24"/>
          <w:szCs w:val="24"/>
        </w:rPr>
        <w:t>semplicemente</w:t>
      </w:r>
      <w:r w:rsidR="008F3DE8">
        <w:rPr>
          <w:rFonts w:ascii="Bookman Old Style" w:hAnsi="Bookman Old Style"/>
          <w:sz w:val="24"/>
          <w:szCs w:val="24"/>
        </w:rPr>
        <w:t xml:space="preserve"> </w:t>
      </w:r>
      <w:r w:rsidR="00373D35">
        <w:rPr>
          <w:rFonts w:ascii="Bookman Old Style" w:hAnsi="Bookman Old Style"/>
          <w:sz w:val="24"/>
          <w:szCs w:val="24"/>
        </w:rPr>
        <w:t>il</w:t>
      </w:r>
      <w:r w:rsidR="008F3DE8">
        <w:rPr>
          <w:rFonts w:ascii="Bookman Old Style" w:hAnsi="Bookman Old Style"/>
          <w:sz w:val="24"/>
          <w:szCs w:val="24"/>
        </w:rPr>
        <w:t xml:space="preserve"> </w:t>
      </w:r>
      <w:r w:rsidR="00373D35">
        <w:rPr>
          <w:rFonts w:ascii="Bookman Old Style" w:hAnsi="Bookman Old Style"/>
          <w:sz w:val="24"/>
          <w:szCs w:val="24"/>
        </w:rPr>
        <w:t>proprio</w:t>
      </w:r>
      <w:r w:rsidR="008F3DE8">
        <w:rPr>
          <w:rFonts w:ascii="Bookman Old Style" w:hAnsi="Bookman Old Style"/>
          <w:sz w:val="24"/>
          <w:szCs w:val="24"/>
        </w:rPr>
        <w:t xml:space="preserve"> </w:t>
      </w:r>
      <w:r w:rsidRPr="00E464ED">
        <w:rPr>
          <w:rFonts w:ascii="Bookman Old Style" w:hAnsi="Bookman Old Style"/>
          <w:sz w:val="24"/>
          <w:szCs w:val="24"/>
        </w:rPr>
        <w:t>fondamento</w:t>
      </w:r>
      <w:r w:rsidR="008F3DE8">
        <w:rPr>
          <w:rFonts w:ascii="Bookman Old Style" w:hAnsi="Bookman Old Style"/>
          <w:sz w:val="24"/>
          <w:szCs w:val="24"/>
        </w:rPr>
        <w:t xml:space="preserve"> </w:t>
      </w:r>
      <w:r w:rsidRPr="00E464ED">
        <w:rPr>
          <w:rFonts w:ascii="Bookman Old Style" w:hAnsi="Bookman Old Style"/>
          <w:sz w:val="24"/>
          <w:szCs w:val="24"/>
        </w:rPr>
        <w:t>ma</w:t>
      </w:r>
      <w:r w:rsidR="008F3DE8">
        <w:rPr>
          <w:rFonts w:ascii="Bookman Old Style" w:hAnsi="Bookman Old Style"/>
          <w:sz w:val="24"/>
          <w:szCs w:val="24"/>
        </w:rPr>
        <w:t xml:space="preserve"> </w:t>
      </w:r>
      <w:r w:rsidRPr="00E464ED">
        <w:rPr>
          <w:rFonts w:ascii="Bookman Old Style" w:hAnsi="Bookman Old Style"/>
          <w:sz w:val="24"/>
          <w:szCs w:val="24"/>
        </w:rPr>
        <w:t>si</w:t>
      </w:r>
      <w:r w:rsidR="008F3DE8">
        <w:rPr>
          <w:rFonts w:ascii="Bookman Old Style" w:hAnsi="Bookman Old Style"/>
          <w:sz w:val="24"/>
          <w:szCs w:val="24"/>
        </w:rPr>
        <w:t xml:space="preserve"> </w:t>
      </w:r>
      <w:r w:rsidR="00373D35">
        <w:rPr>
          <w:rFonts w:ascii="Bookman Old Style" w:hAnsi="Bookman Old Style"/>
          <w:sz w:val="24"/>
          <w:szCs w:val="24"/>
        </w:rPr>
        <w:t>ponga</w:t>
      </w:r>
      <w:r w:rsidR="008F3DE8">
        <w:rPr>
          <w:rFonts w:ascii="Bookman Old Style" w:hAnsi="Bookman Old Style"/>
          <w:sz w:val="24"/>
          <w:szCs w:val="24"/>
        </w:rPr>
        <w:t xml:space="preserve"> </w:t>
      </w:r>
      <w:r w:rsidR="00373D35">
        <w:rPr>
          <w:rFonts w:ascii="Bookman Old Style" w:hAnsi="Bookman Old Style"/>
          <w:sz w:val="24"/>
          <w:szCs w:val="24"/>
        </w:rPr>
        <w:t>come</w:t>
      </w:r>
      <w:r w:rsidR="008F3DE8">
        <w:rPr>
          <w:rFonts w:ascii="Bookman Old Style" w:hAnsi="Bookman Old Style"/>
          <w:sz w:val="24"/>
          <w:szCs w:val="24"/>
        </w:rPr>
        <w:t xml:space="preserve"> </w:t>
      </w:r>
      <w:r w:rsidRPr="00E464ED">
        <w:rPr>
          <w:rFonts w:ascii="Bookman Old Style" w:hAnsi="Bookman Old Style"/>
          <w:sz w:val="24"/>
          <w:szCs w:val="24"/>
        </w:rPr>
        <w:t>strumentale</w:t>
      </w:r>
      <w:r w:rsidR="008F3DE8">
        <w:rPr>
          <w:rFonts w:ascii="Bookman Old Style" w:hAnsi="Bookman Old Style"/>
          <w:sz w:val="24"/>
          <w:szCs w:val="24"/>
        </w:rPr>
        <w:t xml:space="preserve"> </w:t>
      </w:r>
      <w:r w:rsidRPr="00E464ED">
        <w:rPr>
          <w:rFonts w:ascii="Bookman Old Style" w:hAnsi="Bookman Old Style"/>
          <w:sz w:val="24"/>
          <w:szCs w:val="24"/>
        </w:rPr>
        <w:t>alla</w:t>
      </w:r>
      <w:r w:rsidR="008F3DE8">
        <w:rPr>
          <w:rFonts w:ascii="Bookman Old Style" w:hAnsi="Bookman Old Style"/>
          <w:sz w:val="24"/>
          <w:szCs w:val="24"/>
        </w:rPr>
        <w:t xml:space="preserve"> </w:t>
      </w:r>
      <w:r w:rsidRPr="00E464ED">
        <w:rPr>
          <w:rFonts w:ascii="Bookman Old Style" w:hAnsi="Bookman Old Style"/>
          <w:sz w:val="24"/>
          <w:szCs w:val="24"/>
        </w:rPr>
        <w:t>loro</w:t>
      </w:r>
      <w:r w:rsidR="008F3DE8">
        <w:rPr>
          <w:rFonts w:ascii="Bookman Old Style" w:hAnsi="Bookman Old Style"/>
          <w:sz w:val="24"/>
          <w:szCs w:val="24"/>
        </w:rPr>
        <w:t xml:space="preserve"> </w:t>
      </w:r>
      <w:r w:rsidRPr="00E464ED">
        <w:rPr>
          <w:rFonts w:ascii="Bookman Old Style" w:hAnsi="Bookman Old Style"/>
          <w:sz w:val="24"/>
          <w:szCs w:val="24"/>
        </w:rPr>
        <w:t>attuazione:</w:t>
      </w:r>
      <w:r w:rsidR="008F3DE8">
        <w:rPr>
          <w:rFonts w:ascii="Bookman Old Style" w:hAnsi="Bookman Old Style"/>
          <w:sz w:val="24"/>
          <w:szCs w:val="24"/>
        </w:rPr>
        <w:t xml:space="preserve"> </w:t>
      </w:r>
      <w:r w:rsidRPr="00E464ED">
        <w:rPr>
          <w:rFonts w:ascii="Bookman Old Style" w:hAnsi="Bookman Old Style"/>
          <w:sz w:val="24"/>
          <w:szCs w:val="24"/>
        </w:rPr>
        <w:t>in</w:t>
      </w:r>
      <w:r w:rsidR="008F3DE8">
        <w:rPr>
          <w:rFonts w:ascii="Bookman Old Style" w:hAnsi="Bookman Old Style"/>
          <w:sz w:val="24"/>
          <w:szCs w:val="24"/>
        </w:rPr>
        <w:t xml:space="preserve"> </w:t>
      </w:r>
      <w:r w:rsidRPr="00E464ED">
        <w:rPr>
          <w:rFonts w:ascii="Bookman Old Style" w:hAnsi="Bookman Old Style"/>
          <w:sz w:val="24"/>
          <w:szCs w:val="24"/>
        </w:rPr>
        <w:t>tal</w:t>
      </w:r>
      <w:r w:rsidR="008F3DE8">
        <w:rPr>
          <w:rFonts w:ascii="Bookman Old Style" w:hAnsi="Bookman Old Style"/>
          <w:sz w:val="24"/>
          <w:szCs w:val="24"/>
        </w:rPr>
        <w:t xml:space="preserve"> </w:t>
      </w:r>
      <w:r w:rsidRPr="00E464ED">
        <w:rPr>
          <w:rFonts w:ascii="Bookman Old Style" w:hAnsi="Bookman Old Style"/>
          <w:sz w:val="24"/>
          <w:szCs w:val="24"/>
        </w:rPr>
        <w:t>senso</w:t>
      </w:r>
      <w:r w:rsidR="00373D35">
        <w:rPr>
          <w:rFonts w:ascii="Bookman Old Style" w:hAnsi="Bookman Old Style"/>
          <w:sz w:val="24"/>
          <w:szCs w:val="24"/>
        </w:rPr>
        <w:t>,</w:t>
      </w:r>
      <w:r w:rsidR="008F3DE8">
        <w:rPr>
          <w:rFonts w:ascii="Bookman Old Style" w:hAnsi="Bookman Old Style"/>
          <w:sz w:val="24"/>
          <w:szCs w:val="24"/>
        </w:rPr>
        <w:t xml:space="preserve"> </w:t>
      </w:r>
      <w:r w:rsidRPr="00E464ED">
        <w:rPr>
          <w:rFonts w:ascii="Bookman Old Style" w:hAnsi="Bookman Old Style"/>
          <w:sz w:val="24"/>
          <w:szCs w:val="24"/>
        </w:rPr>
        <w:t>essi</w:t>
      </w:r>
      <w:r w:rsidR="008F3DE8">
        <w:rPr>
          <w:rFonts w:ascii="Bookman Old Style" w:hAnsi="Bookman Old Style"/>
          <w:sz w:val="24"/>
          <w:szCs w:val="24"/>
        </w:rPr>
        <w:t xml:space="preserve"> </w:t>
      </w:r>
      <w:r w:rsidRPr="00E464ED">
        <w:rPr>
          <w:rFonts w:ascii="Bookman Old Style" w:hAnsi="Bookman Old Style"/>
          <w:sz w:val="24"/>
          <w:szCs w:val="24"/>
        </w:rPr>
        <w:t>non</w:t>
      </w:r>
      <w:r w:rsidR="008F3DE8">
        <w:rPr>
          <w:rFonts w:ascii="Bookman Old Style" w:hAnsi="Bookman Old Style"/>
          <w:sz w:val="24"/>
          <w:szCs w:val="24"/>
        </w:rPr>
        <w:t xml:space="preserve"> </w:t>
      </w:r>
      <w:r w:rsidRPr="00E464ED">
        <w:rPr>
          <w:rFonts w:ascii="Bookman Old Style" w:hAnsi="Bookman Old Style"/>
          <w:sz w:val="24"/>
          <w:szCs w:val="24"/>
        </w:rPr>
        <w:t>costituiscono</w:t>
      </w:r>
      <w:r w:rsidR="008F3DE8">
        <w:rPr>
          <w:rFonts w:ascii="Bookman Old Style" w:hAnsi="Bookman Old Style"/>
          <w:sz w:val="24"/>
          <w:szCs w:val="24"/>
        </w:rPr>
        <w:t xml:space="preserve"> </w:t>
      </w:r>
      <w:r w:rsidRPr="00E464ED">
        <w:rPr>
          <w:rFonts w:ascii="Bookman Old Style" w:hAnsi="Bookman Old Style"/>
          <w:sz w:val="24"/>
          <w:szCs w:val="24"/>
        </w:rPr>
        <w:t>solo</w:t>
      </w:r>
      <w:r w:rsidR="008F3DE8">
        <w:rPr>
          <w:rFonts w:ascii="Bookman Old Style" w:hAnsi="Bookman Old Style"/>
          <w:sz w:val="24"/>
          <w:szCs w:val="24"/>
        </w:rPr>
        <w:t xml:space="preserve"> </w:t>
      </w:r>
      <w:r w:rsidRPr="00E464ED">
        <w:rPr>
          <w:rFonts w:ascii="Bookman Old Style" w:hAnsi="Bookman Old Style"/>
          <w:sz w:val="24"/>
          <w:szCs w:val="24"/>
        </w:rPr>
        <w:t>un</w:t>
      </w:r>
      <w:r w:rsidR="008F3DE8">
        <w:rPr>
          <w:rFonts w:ascii="Bookman Old Style" w:hAnsi="Bookman Old Style"/>
          <w:sz w:val="24"/>
          <w:szCs w:val="24"/>
        </w:rPr>
        <w:t xml:space="preserve"> </w:t>
      </w:r>
      <w:proofErr w:type="spellStart"/>
      <w:r w:rsidRPr="001D6E6F">
        <w:rPr>
          <w:rFonts w:ascii="Bookman Old Style" w:hAnsi="Bookman Old Style"/>
          <w:i/>
          <w:sz w:val="24"/>
          <w:szCs w:val="24"/>
        </w:rPr>
        <w:t>prius</w:t>
      </w:r>
      <w:proofErr w:type="spellEnd"/>
      <w:r w:rsidR="008F3DE8">
        <w:rPr>
          <w:rFonts w:ascii="Bookman Old Style" w:hAnsi="Bookman Old Style"/>
          <w:sz w:val="24"/>
          <w:szCs w:val="24"/>
        </w:rPr>
        <w:t xml:space="preserve"> </w:t>
      </w:r>
      <w:r w:rsidRPr="00E464ED">
        <w:rPr>
          <w:rFonts w:ascii="Bookman Old Style" w:hAnsi="Bookman Old Style"/>
          <w:sz w:val="24"/>
          <w:szCs w:val="24"/>
        </w:rPr>
        <w:t>logico</w:t>
      </w:r>
      <w:r w:rsidR="008F3DE8">
        <w:rPr>
          <w:rFonts w:ascii="Bookman Old Style" w:hAnsi="Bookman Old Style"/>
          <w:sz w:val="24"/>
          <w:szCs w:val="24"/>
        </w:rPr>
        <w:t xml:space="preserve"> </w:t>
      </w:r>
      <w:r w:rsidRPr="00E464ED">
        <w:rPr>
          <w:rFonts w:ascii="Bookman Old Style" w:hAnsi="Bookman Old Style"/>
          <w:sz w:val="24"/>
          <w:szCs w:val="24"/>
        </w:rPr>
        <w:t>da</w:t>
      </w:r>
      <w:r w:rsidR="008F3DE8">
        <w:rPr>
          <w:rFonts w:ascii="Bookman Old Style" w:hAnsi="Bookman Old Style"/>
          <w:sz w:val="24"/>
          <w:szCs w:val="24"/>
        </w:rPr>
        <w:t xml:space="preserve"> </w:t>
      </w:r>
      <w:r w:rsidRPr="00E464ED">
        <w:rPr>
          <w:rFonts w:ascii="Bookman Old Style" w:hAnsi="Bookman Old Style"/>
          <w:sz w:val="24"/>
          <w:szCs w:val="24"/>
        </w:rPr>
        <w:t>rispettare</w:t>
      </w:r>
      <w:r w:rsidR="008F3DE8">
        <w:rPr>
          <w:rFonts w:ascii="Bookman Old Style" w:hAnsi="Bookman Old Style"/>
          <w:sz w:val="24"/>
          <w:szCs w:val="24"/>
        </w:rPr>
        <w:t xml:space="preserve"> </w:t>
      </w:r>
      <w:r w:rsidRPr="00E464ED">
        <w:rPr>
          <w:rFonts w:ascii="Bookman Old Style" w:hAnsi="Bookman Old Style"/>
          <w:sz w:val="24"/>
          <w:szCs w:val="24"/>
        </w:rPr>
        <w:t>ma</w:t>
      </w:r>
      <w:r w:rsidR="008F3DE8">
        <w:rPr>
          <w:rFonts w:ascii="Bookman Old Style" w:hAnsi="Bookman Old Style"/>
          <w:sz w:val="24"/>
          <w:szCs w:val="24"/>
        </w:rPr>
        <w:t xml:space="preserve"> </w:t>
      </w:r>
      <w:r w:rsidRPr="00E464ED">
        <w:rPr>
          <w:rFonts w:ascii="Bookman Old Style" w:hAnsi="Bookman Old Style"/>
          <w:sz w:val="24"/>
          <w:szCs w:val="24"/>
        </w:rPr>
        <w:t>anche</w:t>
      </w:r>
      <w:r w:rsidR="008F3DE8">
        <w:rPr>
          <w:rFonts w:ascii="Bookman Old Style" w:hAnsi="Bookman Old Style"/>
          <w:sz w:val="24"/>
          <w:szCs w:val="24"/>
        </w:rPr>
        <w:t xml:space="preserve"> </w:t>
      </w:r>
      <w:r w:rsidRPr="00E464ED">
        <w:rPr>
          <w:rFonts w:ascii="Bookman Old Style" w:hAnsi="Bookman Old Style"/>
          <w:sz w:val="24"/>
          <w:szCs w:val="24"/>
        </w:rPr>
        <w:t>un</w:t>
      </w:r>
      <w:r w:rsidR="008F3DE8">
        <w:rPr>
          <w:rFonts w:ascii="Bookman Old Style" w:hAnsi="Bookman Old Style"/>
          <w:sz w:val="24"/>
          <w:szCs w:val="24"/>
        </w:rPr>
        <w:t xml:space="preserve"> </w:t>
      </w:r>
      <w:r w:rsidRPr="00E464ED">
        <w:rPr>
          <w:rFonts w:ascii="Bookman Old Style" w:hAnsi="Bookman Old Style"/>
          <w:sz w:val="24"/>
          <w:szCs w:val="24"/>
        </w:rPr>
        <w:t>progetto</w:t>
      </w:r>
      <w:r w:rsidR="008F3DE8">
        <w:rPr>
          <w:rFonts w:ascii="Bookman Old Style" w:hAnsi="Bookman Old Style"/>
          <w:sz w:val="24"/>
          <w:szCs w:val="24"/>
        </w:rPr>
        <w:t xml:space="preserve"> </w:t>
      </w:r>
      <w:r w:rsidRPr="00E464ED">
        <w:rPr>
          <w:rFonts w:ascii="Bookman Old Style" w:hAnsi="Bookman Old Style"/>
          <w:sz w:val="24"/>
          <w:szCs w:val="24"/>
        </w:rPr>
        <w:t>da</w:t>
      </w:r>
      <w:r w:rsidR="008F3DE8">
        <w:rPr>
          <w:rFonts w:ascii="Bookman Old Style" w:hAnsi="Bookman Old Style"/>
          <w:sz w:val="24"/>
          <w:szCs w:val="24"/>
        </w:rPr>
        <w:t xml:space="preserve"> </w:t>
      </w:r>
      <w:r w:rsidRPr="00E464ED">
        <w:rPr>
          <w:rFonts w:ascii="Bookman Old Style" w:hAnsi="Bookman Old Style"/>
          <w:sz w:val="24"/>
          <w:szCs w:val="24"/>
        </w:rPr>
        <w:t>realizzare</w:t>
      </w:r>
      <w:r w:rsidR="002F47CA">
        <w:rPr>
          <w:rFonts w:ascii="Bookman Old Style" w:hAnsi="Bookman Old Style"/>
          <w:sz w:val="24"/>
          <w:szCs w:val="24"/>
        </w:rPr>
        <w:t xml:space="preserve"> </w:t>
      </w:r>
      <w:r w:rsidR="00E464ED" w:rsidRPr="00E464ED">
        <w:rPr>
          <w:rFonts w:ascii="Bookman Old Style" w:hAnsi="Bookman Old Style"/>
          <w:sz w:val="24"/>
          <w:szCs w:val="24"/>
        </w:rPr>
        <w:footnoteReference w:id="5"/>
      </w:r>
      <w:r w:rsidRPr="00E464ED">
        <w:rPr>
          <w:rFonts w:ascii="Bookman Old Style" w:hAnsi="Bookman Old Style"/>
          <w:sz w:val="24"/>
          <w:szCs w:val="24"/>
        </w:rPr>
        <w:t>.</w:t>
      </w:r>
      <w:r w:rsidR="003F58BA">
        <w:rPr>
          <w:rFonts w:ascii="Bookman Old Style" w:hAnsi="Bookman Old Style"/>
          <w:sz w:val="24"/>
          <w:szCs w:val="24"/>
        </w:rPr>
        <w:t xml:space="preserve"> </w:t>
      </w:r>
      <w:r w:rsidR="000D62A9" w:rsidRPr="00373D35">
        <w:rPr>
          <w:rFonts w:ascii="Bookman Old Style" w:hAnsi="Bookman Old Style"/>
          <w:sz w:val="24"/>
          <w:szCs w:val="24"/>
        </w:rPr>
        <w:t>Il</w:t>
      </w:r>
      <w:r w:rsidR="008F3DE8">
        <w:rPr>
          <w:rFonts w:ascii="Bookman Old Style" w:hAnsi="Bookman Old Style"/>
          <w:sz w:val="24"/>
          <w:szCs w:val="24"/>
        </w:rPr>
        <w:t xml:space="preserve"> </w:t>
      </w:r>
      <w:r w:rsidR="000D62A9" w:rsidRPr="00373D35">
        <w:rPr>
          <w:rFonts w:ascii="Bookman Old Style" w:hAnsi="Bookman Old Style"/>
          <w:sz w:val="24"/>
          <w:szCs w:val="24"/>
        </w:rPr>
        <w:t>riconoscimento</w:t>
      </w:r>
      <w:r w:rsidR="008F3DE8">
        <w:rPr>
          <w:rFonts w:ascii="Bookman Old Style" w:hAnsi="Bookman Old Style"/>
          <w:sz w:val="24"/>
          <w:szCs w:val="24"/>
        </w:rPr>
        <w:t xml:space="preserve"> </w:t>
      </w:r>
      <w:r w:rsidR="000D62A9" w:rsidRPr="00373D35">
        <w:rPr>
          <w:rFonts w:ascii="Bookman Old Style" w:hAnsi="Bookman Old Style"/>
          <w:sz w:val="24"/>
          <w:szCs w:val="24"/>
        </w:rPr>
        <w:t>dei</w:t>
      </w:r>
      <w:r w:rsidR="008F3DE8">
        <w:rPr>
          <w:rFonts w:ascii="Bookman Old Style" w:hAnsi="Bookman Old Style"/>
          <w:sz w:val="24"/>
          <w:szCs w:val="24"/>
        </w:rPr>
        <w:t xml:space="preserve"> </w:t>
      </w:r>
      <w:r w:rsidR="000D62A9" w:rsidRPr="00373D35">
        <w:rPr>
          <w:rFonts w:ascii="Bookman Old Style" w:hAnsi="Bookman Old Style"/>
          <w:sz w:val="24"/>
          <w:szCs w:val="24"/>
        </w:rPr>
        <w:t>diritti</w:t>
      </w:r>
      <w:r w:rsidR="008F3DE8">
        <w:rPr>
          <w:rFonts w:ascii="Bookman Old Style" w:hAnsi="Bookman Old Style"/>
          <w:sz w:val="24"/>
          <w:szCs w:val="24"/>
        </w:rPr>
        <w:t xml:space="preserve"> </w:t>
      </w:r>
      <w:r w:rsidR="000D62A9" w:rsidRPr="00373D35">
        <w:rPr>
          <w:rFonts w:ascii="Bookman Old Style" w:hAnsi="Bookman Old Style"/>
          <w:sz w:val="24"/>
          <w:szCs w:val="24"/>
        </w:rPr>
        <w:t>fondamentali</w:t>
      </w:r>
      <w:r w:rsidR="008F3DE8">
        <w:rPr>
          <w:rFonts w:ascii="Bookman Old Style" w:hAnsi="Bookman Old Style"/>
          <w:sz w:val="24"/>
          <w:szCs w:val="24"/>
        </w:rPr>
        <w:t xml:space="preserve"> </w:t>
      </w:r>
      <w:r w:rsidR="000D62A9" w:rsidRPr="00373D35">
        <w:rPr>
          <w:rFonts w:ascii="Bookman Old Style" w:hAnsi="Bookman Old Style"/>
          <w:sz w:val="24"/>
          <w:szCs w:val="24"/>
        </w:rPr>
        <w:t>della</w:t>
      </w:r>
      <w:r w:rsidR="008F3DE8">
        <w:rPr>
          <w:rFonts w:ascii="Bookman Old Style" w:hAnsi="Bookman Old Style"/>
          <w:sz w:val="24"/>
          <w:szCs w:val="24"/>
        </w:rPr>
        <w:t xml:space="preserve"> </w:t>
      </w:r>
      <w:r w:rsidR="000D62A9" w:rsidRPr="00373D35">
        <w:rPr>
          <w:rFonts w:ascii="Bookman Old Style" w:hAnsi="Bookman Old Style"/>
          <w:sz w:val="24"/>
          <w:szCs w:val="24"/>
        </w:rPr>
        <w:t>Costituzione</w:t>
      </w:r>
      <w:r w:rsidR="008F3DE8">
        <w:rPr>
          <w:rFonts w:ascii="Bookman Old Style" w:hAnsi="Bookman Old Style"/>
          <w:sz w:val="24"/>
          <w:szCs w:val="24"/>
        </w:rPr>
        <w:t xml:space="preserve"> </w:t>
      </w:r>
      <w:r w:rsidR="000D62A9" w:rsidRPr="00373D35">
        <w:rPr>
          <w:rFonts w:ascii="Bookman Old Style" w:hAnsi="Bookman Old Style"/>
          <w:sz w:val="24"/>
          <w:szCs w:val="24"/>
        </w:rPr>
        <w:t>è,</w:t>
      </w:r>
      <w:r w:rsidR="008F3DE8">
        <w:rPr>
          <w:rFonts w:ascii="Bookman Old Style" w:hAnsi="Bookman Old Style"/>
          <w:sz w:val="24"/>
          <w:szCs w:val="24"/>
        </w:rPr>
        <w:t xml:space="preserve"> </w:t>
      </w:r>
      <w:r w:rsidR="000D62A9" w:rsidRPr="00373D35">
        <w:rPr>
          <w:rFonts w:ascii="Bookman Old Style" w:hAnsi="Bookman Old Style"/>
          <w:sz w:val="24"/>
          <w:szCs w:val="24"/>
        </w:rPr>
        <w:t>pertanto,</w:t>
      </w:r>
      <w:r w:rsidR="008F3DE8">
        <w:rPr>
          <w:rFonts w:ascii="Bookman Old Style" w:hAnsi="Bookman Old Style"/>
          <w:sz w:val="24"/>
          <w:szCs w:val="24"/>
        </w:rPr>
        <w:t xml:space="preserve"> </w:t>
      </w:r>
      <w:r w:rsidR="000D62A9" w:rsidRPr="00373D35">
        <w:rPr>
          <w:rFonts w:ascii="Bookman Old Style" w:hAnsi="Bookman Old Style"/>
          <w:sz w:val="24"/>
          <w:szCs w:val="24"/>
        </w:rPr>
        <w:t>uno</w:t>
      </w:r>
      <w:r w:rsidR="008F3DE8">
        <w:rPr>
          <w:rFonts w:ascii="Bookman Old Style" w:hAnsi="Bookman Old Style"/>
          <w:sz w:val="24"/>
          <w:szCs w:val="24"/>
        </w:rPr>
        <w:t xml:space="preserve"> </w:t>
      </w:r>
      <w:r w:rsidR="000D62A9" w:rsidRPr="00373D35">
        <w:rPr>
          <w:rFonts w:ascii="Bookman Old Style" w:hAnsi="Bookman Old Style"/>
          <w:sz w:val="24"/>
          <w:szCs w:val="24"/>
        </w:rPr>
        <w:t>degli</w:t>
      </w:r>
      <w:r w:rsidR="008F3DE8">
        <w:rPr>
          <w:rFonts w:ascii="Bookman Old Style" w:hAnsi="Bookman Old Style"/>
          <w:sz w:val="24"/>
          <w:szCs w:val="24"/>
        </w:rPr>
        <w:t xml:space="preserve"> </w:t>
      </w:r>
      <w:r w:rsidR="000D62A9" w:rsidRPr="00373D35">
        <w:rPr>
          <w:rFonts w:ascii="Bookman Old Style" w:hAnsi="Bookman Old Style"/>
          <w:sz w:val="24"/>
          <w:szCs w:val="24"/>
        </w:rPr>
        <w:t>elementi</w:t>
      </w:r>
      <w:r w:rsidR="008F3DE8">
        <w:rPr>
          <w:rFonts w:ascii="Bookman Old Style" w:hAnsi="Bookman Old Style"/>
          <w:sz w:val="24"/>
          <w:szCs w:val="24"/>
        </w:rPr>
        <w:t xml:space="preserve"> </w:t>
      </w:r>
      <w:r w:rsidR="000D62A9" w:rsidRPr="00373D35">
        <w:rPr>
          <w:rFonts w:ascii="Bookman Old Style" w:hAnsi="Bookman Old Style"/>
          <w:sz w:val="24"/>
          <w:szCs w:val="24"/>
        </w:rPr>
        <w:t>caratterizzanti</w:t>
      </w:r>
      <w:r w:rsidR="008F3DE8">
        <w:rPr>
          <w:rFonts w:ascii="Bookman Old Style" w:hAnsi="Bookman Old Style"/>
          <w:sz w:val="24"/>
          <w:szCs w:val="24"/>
        </w:rPr>
        <w:t xml:space="preserve"> </w:t>
      </w:r>
      <w:r w:rsidR="000D62A9" w:rsidRPr="00373D35">
        <w:rPr>
          <w:rFonts w:ascii="Bookman Old Style" w:hAnsi="Bookman Old Style"/>
          <w:sz w:val="24"/>
          <w:szCs w:val="24"/>
        </w:rPr>
        <w:t>lo</w:t>
      </w:r>
      <w:r w:rsidR="008F3DE8">
        <w:rPr>
          <w:rFonts w:ascii="Bookman Old Style" w:hAnsi="Bookman Old Style"/>
          <w:sz w:val="24"/>
          <w:szCs w:val="24"/>
        </w:rPr>
        <w:t xml:space="preserve"> </w:t>
      </w:r>
      <w:r w:rsidR="000D62A9" w:rsidRPr="00373D35">
        <w:rPr>
          <w:rFonts w:ascii="Bookman Old Style" w:hAnsi="Bookman Old Style"/>
          <w:sz w:val="24"/>
          <w:szCs w:val="24"/>
        </w:rPr>
        <w:t>Stato</w:t>
      </w:r>
      <w:r w:rsidR="008F3DE8">
        <w:rPr>
          <w:rFonts w:ascii="Bookman Old Style" w:hAnsi="Bookman Old Style"/>
          <w:sz w:val="24"/>
          <w:szCs w:val="24"/>
        </w:rPr>
        <w:t xml:space="preserve"> </w:t>
      </w:r>
      <w:r w:rsidR="000D62A9" w:rsidRPr="00373D35">
        <w:rPr>
          <w:rFonts w:ascii="Bookman Old Style" w:hAnsi="Bookman Old Style"/>
          <w:sz w:val="24"/>
          <w:szCs w:val="24"/>
        </w:rPr>
        <w:t>di</w:t>
      </w:r>
      <w:r w:rsidR="008F3DE8">
        <w:rPr>
          <w:rFonts w:ascii="Bookman Old Style" w:hAnsi="Bookman Old Style"/>
          <w:sz w:val="24"/>
          <w:szCs w:val="24"/>
        </w:rPr>
        <w:t xml:space="preserve"> </w:t>
      </w:r>
      <w:r w:rsidR="000D62A9" w:rsidRPr="00373D35">
        <w:rPr>
          <w:rFonts w:ascii="Bookman Old Style" w:hAnsi="Bookman Old Style"/>
          <w:sz w:val="24"/>
          <w:szCs w:val="24"/>
        </w:rPr>
        <w:t>diritto:</w:t>
      </w:r>
      <w:r w:rsidR="008F3DE8">
        <w:rPr>
          <w:rFonts w:ascii="Bookman Old Style" w:hAnsi="Bookman Old Style"/>
          <w:sz w:val="24"/>
          <w:szCs w:val="24"/>
        </w:rPr>
        <w:t xml:space="preserve"> </w:t>
      </w:r>
      <w:r w:rsidR="000D62A9" w:rsidRPr="00373D35">
        <w:rPr>
          <w:rFonts w:ascii="Bookman Old Style" w:hAnsi="Bookman Old Style"/>
          <w:sz w:val="24"/>
          <w:szCs w:val="24"/>
        </w:rPr>
        <w:t>essi</w:t>
      </w:r>
      <w:r w:rsidR="008F3DE8">
        <w:rPr>
          <w:rFonts w:ascii="Bookman Old Style" w:hAnsi="Bookman Old Style"/>
          <w:sz w:val="24"/>
          <w:szCs w:val="24"/>
        </w:rPr>
        <w:t xml:space="preserve"> </w:t>
      </w:r>
      <w:r w:rsidR="000D62A9" w:rsidRPr="00373D35">
        <w:rPr>
          <w:rFonts w:ascii="Bookman Old Style" w:hAnsi="Bookman Old Style"/>
          <w:sz w:val="24"/>
          <w:szCs w:val="24"/>
        </w:rPr>
        <w:t>trovano</w:t>
      </w:r>
      <w:r w:rsidR="008F3DE8">
        <w:rPr>
          <w:rFonts w:ascii="Bookman Old Style" w:hAnsi="Bookman Old Style"/>
          <w:sz w:val="24"/>
          <w:szCs w:val="24"/>
        </w:rPr>
        <w:t xml:space="preserve"> </w:t>
      </w:r>
      <w:r w:rsidR="000D62A9" w:rsidRPr="00373D35">
        <w:rPr>
          <w:rFonts w:ascii="Bookman Old Style" w:hAnsi="Bookman Old Style"/>
          <w:sz w:val="24"/>
          <w:szCs w:val="24"/>
        </w:rPr>
        <w:t>le</w:t>
      </w:r>
      <w:r w:rsidR="008F3DE8">
        <w:rPr>
          <w:rFonts w:ascii="Bookman Old Style" w:hAnsi="Bookman Old Style"/>
          <w:sz w:val="24"/>
          <w:szCs w:val="24"/>
        </w:rPr>
        <w:t xml:space="preserve"> </w:t>
      </w:r>
      <w:r w:rsidR="000D62A9" w:rsidRPr="00373D35">
        <w:rPr>
          <w:rFonts w:ascii="Bookman Old Style" w:hAnsi="Bookman Old Style"/>
          <w:sz w:val="24"/>
          <w:szCs w:val="24"/>
        </w:rPr>
        <w:t>loro</w:t>
      </w:r>
      <w:r w:rsidR="008F3DE8">
        <w:rPr>
          <w:rFonts w:ascii="Bookman Old Style" w:hAnsi="Bookman Old Style"/>
          <w:sz w:val="24"/>
          <w:szCs w:val="24"/>
        </w:rPr>
        <w:t xml:space="preserve"> </w:t>
      </w:r>
      <w:r w:rsidR="000D62A9" w:rsidRPr="00373D35">
        <w:rPr>
          <w:rFonts w:ascii="Bookman Old Style" w:hAnsi="Bookman Old Style"/>
          <w:sz w:val="24"/>
          <w:szCs w:val="24"/>
        </w:rPr>
        <w:t>guarentigie</w:t>
      </w:r>
      <w:r w:rsidR="008F3DE8">
        <w:rPr>
          <w:rFonts w:ascii="Bookman Old Style" w:hAnsi="Bookman Old Style"/>
          <w:sz w:val="24"/>
          <w:szCs w:val="24"/>
        </w:rPr>
        <w:t xml:space="preserve"> </w:t>
      </w:r>
      <w:r w:rsidR="000D62A9" w:rsidRPr="00373D35">
        <w:rPr>
          <w:rFonts w:ascii="Bookman Old Style" w:hAnsi="Bookman Old Style"/>
          <w:sz w:val="24"/>
          <w:szCs w:val="24"/>
        </w:rPr>
        <w:t>nella</w:t>
      </w:r>
      <w:r w:rsidR="008F3DE8">
        <w:rPr>
          <w:rFonts w:ascii="Bookman Old Style" w:hAnsi="Bookman Old Style"/>
          <w:sz w:val="24"/>
          <w:szCs w:val="24"/>
        </w:rPr>
        <w:t xml:space="preserve"> </w:t>
      </w:r>
      <w:r w:rsidR="000D62A9" w:rsidRPr="00373D35">
        <w:rPr>
          <w:rFonts w:ascii="Bookman Old Style" w:hAnsi="Bookman Old Style"/>
          <w:sz w:val="24"/>
          <w:szCs w:val="24"/>
        </w:rPr>
        <w:t>“rigidità”</w:t>
      </w:r>
      <w:r w:rsidR="008F3DE8">
        <w:rPr>
          <w:rFonts w:ascii="Bookman Old Style" w:hAnsi="Bookman Old Style"/>
          <w:sz w:val="24"/>
          <w:szCs w:val="24"/>
        </w:rPr>
        <w:t xml:space="preserve"> </w:t>
      </w:r>
      <w:r w:rsidR="000D62A9" w:rsidRPr="00373D35">
        <w:rPr>
          <w:rFonts w:ascii="Bookman Old Style" w:hAnsi="Bookman Old Style"/>
          <w:sz w:val="24"/>
          <w:szCs w:val="24"/>
        </w:rPr>
        <w:t>della</w:t>
      </w:r>
      <w:r w:rsidR="008F3DE8">
        <w:rPr>
          <w:rFonts w:ascii="Bookman Old Style" w:hAnsi="Bookman Old Style"/>
          <w:sz w:val="24"/>
          <w:szCs w:val="24"/>
        </w:rPr>
        <w:t xml:space="preserve"> </w:t>
      </w:r>
      <w:r w:rsidR="000D62A9" w:rsidRPr="00373D35">
        <w:rPr>
          <w:rFonts w:ascii="Bookman Old Style" w:hAnsi="Bookman Old Style"/>
          <w:sz w:val="24"/>
          <w:szCs w:val="24"/>
        </w:rPr>
        <w:t>Costituzione</w:t>
      </w:r>
      <w:r w:rsidR="008F3DE8">
        <w:rPr>
          <w:rFonts w:ascii="Bookman Old Style" w:hAnsi="Bookman Old Style"/>
          <w:sz w:val="24"/>
          <w:szCs w:val="24"/>
        </w:rPr>
        <w:t xml:space="preserve"> </w:t>
      </w:r>
      <w:r w:rsidR="000D62A9" w:rsidRPr="00373D35">
        <w:rPr>
          <w:rFonts w:ascii="Bookman Old Style" w:hAnsi="Bookman Old Style"/>
          <w:sz w:val="24"/>
          <w:szCs w:val="24"/>
        </w:rPr>
        <w:t>e</w:t>
      </w:r>
      <w:r w:rsidR="008F3DE8">
        <w:rPr>
          <w:rFonts w:ascii="Bookman Old Style" w:hAnsi="Bookman Old Style"/>
          <w:sz w:val="24"/>
          <w:szCs w:val="24"/>
        </w:rPr>
        <w:t xml:space="preserve"> </w:t>
      </w:r>
      <w:r w:rsidR="000D62A9" w:rsidRPr="00373D35">
        <w:rPr>
          <w:rFonts w:ascii="Bookman Old Style" w:hAnsi="Bookman Old Style"/>
          <w:sz w:val="24"/>
          <w:szCs w:val="24"/>
        </w:rPr>
        <w:t>nel</w:t>
      </w:r>
      <w:r w:rsidR="008F3DE8">
        <w:rPr>
          <w:rFonts w:ascii="Bookman Old Style" w:hAnsi="Bookman Old Style"/>
          <w:sz w:val="24"/>
          <w:szCs w:val="24"/>
        </w:rPr>
        <w:t xml:space="preserve"> </w:t>
      </w:r>
      <w:r w:rsidR="000D62A9" w:rsidRPr="00373D35">
        <w:rPr>
          <w:rFonts w:ascii="Bookman Old Style" w:hAnsi="Bookman Old Style"/>
          <w:sz w:val="24"/>
          <w:szCs w:val="24"/>
        </w:rPr>
        <w:t>controllo</w:t>
      </w:r>
      <w:r w:rsidR="008F3DE8">
        <w:rPr>
          <w:rFonts w:ascii="Bookman Old Style" w:hAnsi="Bookman Old Style"/>
          <w:sz w:val="24"/>
          <w:szCs w:val="24"/>
        </w:rPr>
        <w:t xml:space="preserve"> </w:t>
      </w:r>
      <w:r w:rsidR="000D62A9" w:rsidRPr="00373D35">
        <w:rPr>
          <w:rFonts w:ascii="Bookman Old Style" w:hAnsi="Bookman Old Style"/>
          <w:sz w:val="24"/>
          <w:szCs w:val="24"/>
        </w:rPr>
        <w:t>di</w:t>
      </w:r>
      <w:r w:rsidR="008F3DE8">
        <w:rPr>
          <w:rFonts w:ascii="Bookman Old Style" w:hAnsi="Bookman Old Style"/>
          <w:sz w:val="24"/>
          <w:szCs w:val="24"/>
        </w:rPr>
        <w:t xml:space="preserve"> </w:t>
      </w:r>
      <w:r w:rsidR="000D62A9" w:rsidRPr="00373D35">
        <w:rPr>
          <w:rFonts w:ascii="Bookman Old Style" w:hAnsi="Bookman Old Style"/>
          <w:sz w:val="24"/>
          <w:szCs w:val="24"/>
        </w:rPr>
        <w:t>costituzionalità</w:t>
      </w:r>
      <w:r w:rsidR="008F3DE8">
        <w:rPr>
          <w:rFonts w:ascii="Bookman Old Style" w:hAnsi="Bookman Old Style"/>
          <w:sz w:val="24"/>
          <w:szCs w:val="24"/>
        </w:rPr>
        <w:t xml:space="preserve"> </w:t>
      </w:r>
      <w:r w:rsidR="000D62A9" w:rsidRPr="00373D35">
        <w:rPr>
          <w:rFonts w:ascii="Bookman Old Style" w:hAnsi="Bookman Old Style"/>
          <w:sz w:val="24"/>
          <w:szCs w:val="24"/>
        </w:rPr>
        <w:t>delle</w:t>
      </w:r>
      <w:r w:rsidR="008F3DE8">
        <w:rPr>
          <w:rFonts w:ascii="Bookman Old Style" w:hAnsi="Bookman Old Style"/>
          <w:sz w:val="24"/>
          <w:szCs w:val="24"/>
        </w:rPr>
        <w:t xml:space="preserve"> </w:t>
      </w:r>
      <w:r w:rsidR="000D62A9" w:rsidRPr="00373D35">
        <w:rPr>
          <w:rFonts w:ascii="Bookman Old Style" w:hAnsi="Bookman Old Style"/>
          <w:sz w:val="24"/>
          <w:szCs w:val="24"/>
        </w:rPr>
        <w:t>leggi</w:t>
      </w:r>
      <w:r w:rsidR="008F3DE8">
        <w:rPr>
          <w:rFonts w:ascii="Bookman Old Style" w:hAnsi="Bookman Old Style"/>
          <w:sz w:val="24"/>
          <w:szCs w:val="24"/>
        </w:rPr>
        <w:t xml:space="preserve"> </w:t>
      </w:r>
      <w:r w:rsidR="000D62A9" w:rsidRPr="00373D35">
        <w:rPr>
          <w:rFonts w:ascii="Bookman Old Style" w:hAnsi="Bookman Old Style"/>
          <w:sz w:val="24"/>
          <w:szCs w:val="24"/>
        </w:rPr>
        <w:t>affi</w:t>
      </w:r>
      <w:r w:rsidR="00373D35">
        <w:rPr>
          <w:rFonts w:ascii="Bookman Old Style" w:hAnsi="Bookman Old Style"/>
          <w:sz w:val="24"/>
          <w:szCs w:val="24"/>
        </w:rPr>
        <w:t>dato</w:t>
      </w:r>
      <w:r w:rsidR="008F3DE8">
        <w:rPr>
          <w:rFonts w:ascii="Bookman Old Style" w:hAnsi="Bookman Old Style"/>
          <w:sz w:val="24"/>
          <w:szCs w:val="24"/>
        </w:rPr>
        <w:t xml:space="preserve"> </w:t>
      </w:r>
      <w:r w:rsidR="00373D35">
        <w:rPr>
          <w:rFonts w:ascii="Bookman Old Style" w:hAnsi="Bookman Old Style"/>
          <w:sz w:val="24"/>
          <w:szCs w:val="24"/>
        </w:rPr>
        <w:t>alla</w:t>
      </w:r>
      <w:r w:rsidR="008F3DE8">
        <w:rPr>
          <w:rFonts w:ascii="Bookman Old Style" w:hAnsi="Bookman Old Style"/>
          <w:sz w:val="24"/>
          <w:szCs w:val="24"/>
        </w:rPr>
        <w:t xml:space="preserve"> </w:t>
      </w:r>
      <w:r w:rsidR="00373D35">
        <w:rPr>
          <w:rFonts w:ascii="Bookman Old Style" w:hAnsi="Bookman Old Style"/>
          <w:sz w:val="24"/>
          <w:szCs w:val="24"/>
        </w:rPr>
        <w:t>Corte</w:t>
      </w:r>
      <w:r w:rsidR="008F3DE8">
        <w:rPr>
          <w:rFonts w:ascii="Bookman Old Style" w:hAnsi="Bookman Old Style"/>
          <w:sz w:val="24"/>
          <w:szCs w:val="24"/>
        </w:rPr>
        <w:t xml:space="preserve"> </w:t>
      </w:r>
      <w:r w:rsidR="00373D35">
        <w:rPr>
          <w:rFonts w:ascii="Bookman Old Style" w:hAnsi="Bookman Old Style"/>
          <w:sz w:val="24"/>
          <w:szCs w:val="24"/>
        </w:rPr>
        <w:t>costituzionale.</w:t>
      </w:r>
      <w:r w:rsidR="0075267D">
        <w:rPr>
          <w:rFonts w:ascii="Bookman Old Style" w:hAnsi="Bookman Old Style"/>
          <w:sz w:val="24"/>
          <w:szCs w:val="24"/>
        </w:rPr>
        <w:t xml:space="preserve"> </w:t>
      </w:r>
      <w:r w:rsidR="000D62A9" w:rsidRPr="00373D35">
        <w:rPr>
          <w:rFonts w:ascii="Bookman Old Style" w:hAnsi="Bookman Old Style"/>
          <w:sz w:val="24"/>
          <w:szCs w:val="24"/>
        </w:rPr>
        <w:t>Si</w:t>
      </w:r>
      <w:r w:rsidR="008F3DE8">
        <w:rPr>
          <w:rFonts w:ascii="Bookman Old Style" w:hAnsi="Bookman Old Style"/>
          <w:sz w:val="24"/>
          <w:szCs w:val="24"/>
        </w:rPr>
        <w:t xml:space="preserve"> </w:t>
      </w:r>
      <w:r w:rsidR="000D62A9" w:rsidRPr="00373D35">
        <w:rPr>
          <w:rFonts w:ascii="Bookman Old Style" w:hAnsi="Bookman Old Style"/>
          <w:sz w:val="24"/>
          <w:szCs w:val="24"/>
        </w:rPr>
        <w:t>evince</w:t>
      </w:r>
      <w:r w:rsidR="00A06DA9">
        <w:rPr>
          <w:rFonts w:ascii="Bookman Old Style" w:hAnsi="Bookman Old Style"/>
          <w:sz w:val="24"/>
          <w:szCs w:val="24"/>
        </w:rPr>
        <w:t>,</w:t>
      </w:r>
      <w:r w:rsidR="008F3DE8">
        <w:rPr>
          <w:rFonts w:ascii="Bookman Old Style" w:hAnsi="Bookman Old Style"/>
          <w:sz w:val="24"/>
          <w:szCs w:val="24"/>
        </w:rPr>
        <w:t xml:space="preserve"> </w:t>
      </w:r>
      <w:r w:rsidR="000D62A9" w:rsidRPr="00373D35">
        <w:rPr>
          <w:rFonts w:ascii="Bookman Old Style" w:hAnsi="Bookman Old Style"/>
          <w:sz w:val="24"/>
          <w:szCs w:val="24"/>
        </w:rPr>
        <w:t>del</w:t>
      </w:r>
      <w:r w:rsidR="008F3DE8">
        <w:rPr>
          <w:rFonts w:ascii="Bookman Old Style" w:hAnsi="Bookman Old Style"/>
          <w:sz w:val="24"/>
          <w:szCs w:val="24"/>
        </w:rPr>
        <w:t xml:space="preserve"> </w:t>
      </w:r>
      <w:r w:rsidR="000D62A9" w:rsidRPr="00373D35">
        <w:rPr>
          <w:rFonts w:ascii="Bookman Old Style" w:hAnsi="Bookman Old Style"/>
          <w:sz w:val="24"/>
          <w:szCs w:val="24"/>
        </w:rPr>
        <w:t>resto</w:t>
      </w:r>
      <w:r w:rsidR="00A06DA9">
        <w:rPr>
          <w:rFonts w:ascii="Bookman Old Style" w:hAnsi="Bookman Old Style"/>
          <w:sz w:val="24"/>
          <w:szCs w:val="24"/>
        </w:rPr>
        <w:t>,</w:t>
      </w:r>
      <w:r w:rsidR="008F3DE8">
        <w:rPr>
          <w:rFonts w:ascii="Bookman Old Style" w:hAnsi="Bookman Old Style"/>
          <w:sz w:val="24"/>
          <w:szCs w:val="24"/>
        </w:rPr>
        <w:t xml:space="preserve"> </w:t>
      </w:r>
      <w:r w:rsidR="000D62A9" w:rsidRPr="00373D35">
        <w:rPr>
          <w:rFonts w:ascii="Bookman Old Style" w:hAnsi="Bookman Old Style"/>
          <w:sz w:val="24"/>
          <w:szCs w:val="24"/>
        </w:rPr>
        <w:t>con</w:t>
      </w:r>
      <w:r w:rsidR="008F3DE8">
        <w:rPr>
          <w:rFonts w:ascii="Bookman Old Style" w:hAnsi="Bookman Old Style"/>
          <w:sz w:val="24"/>
          <w:szCs w:val="24"/>
        </w:rPr>
        <w:t xml:space="preserve"> </w:t>
      </w:r>
      <w:r w:rsidR="000D62A9" w:rsidRPr="00373D35">
        <w:rPr>
          <w:rFonts w:ascii="Bookman Old Style" w:hAnsi="Bookman Old Style"/>
          <w:sz w:val="24"/>
          <w:szCs w:val="24"/>
        </w:rPr>
        <w:t>evidenza</w:t>
      </w:r>
      <w:r w:rsidR="008F3DE8">
        <w:rPr>
          <w:rFonts w:ascii="Bookman Old Style" w:hAnsi="Bookman Old Style"/>
          <w:sz w:val="24"/>
          <w:szCs w:val="24"/>
        </w:rPr>
        <w:t xml:space="preserve"> </w:t>
      </w:r>
      <w:r w:rsidR="000D62A9" w:rsidRPr="00373D35">
        <w:rPr>
          <w:rFonts w:ascii="Bookman Old Style" w:hAnsi="Bookman Old Style"/>
          <w:sz w:val="24"/>
          <w:szCs w:val="24"/>
        </w:rPr>
        <w:t>che</w:t>
      </w:r>
      <w:r w:rsidR="008F3DE8">
        <w:rPr>
          <w:rFonts w:ascii="Bookman Old Style" w:hAnsi="Bookman Old Style"/>
          <w:sz w:val="24"/>
          <w:szCs w:val="24"/>
        </w:rPr>
        <w:t xml:space="preserve"> </w:t>
      </w:r>
      <w:r w:rsidR="000D62A9" w:rsidRPr="00373D35">
        <w:rPr>
          <w:rFonts w:ascii="Bookman Old Style" w:hAnsi="Bookman Old Style"/>
          <w:sz w:val="24"/>
          <w:szCs w:val="24"/>
        </w:rPr>
        <w:t>i</w:t>
      </w:r>
      <w:r w:rsidR="008F3DE8">
        <w:rPr>
          <w:rFonts w:ascii="Bookman Old Style" w:hAnsi="Bookman Old Style"/>
          <w:sz w:val="24"/>
          <w:szCs w:val="24"/>
        </w:rPr>
        <w:t xml:space="preserve"> </w:t>
      </w:r>
      <w:r w:rsidR="000D62A9" w:rsidRPr="00373D35">
        <w:rPr>
          <w:rFonts w:ascii="Bookman Old Style" w:hAnsi="Bookman Old Style"/>
          <w:sz w:val="24"/>
          <w:szCs w:val="24"/>
        </w:rPr>
        <w:t>diritti</w:t>
      </w:r>
      <w:r w:rsidR="008F3DE8">
        <w:rPr>
          <w:rFonts w:ascii="Bookman Old Style" w:hAnsi="Bookman Old Style"/>
          <w:sz w:val="24"/>
          <w:szCs w:val="24"/>
        </w:rPr>
        <w:t xml:space="preserve"> </w:t>
      </w:r>
      <w:r w:rsidR="000D62A9" w:rsidRPr="00373D35">
        <w:rPr>
          <w:rFonts w:ascii="Bookman Old Style" w:hAnsi="Bookman Old Style"/>
          <w:sz w:val="24"/>
          <w:szCs w:val="24"/>
        </w:rPr>
        <w:t>fondamentali</w:t>
      </w:r>
      <w:r w:rsidR="008F3DE8">
        <w:rPr>
          <w:rFonts w:ascii="Bookman Old Style" w:hAnsi="Bookman Old Style"/>
          <w:sz w:val="24"/>
          <w:szCs w:val="24"/>
        </w:rPr>
        <w:t xml:space="preserve"> </w:t>
      </w:r>
      <w:r w:rsidR="000D62A9" w:rsidRPr="00373D35">
        <w:rPr>
          <w:rFonts w:ascii="Bookman Old Style" w:hAnsi="Bookman Old Style"/>
          <w:sz w:val="24"/>
          <w:szCs w:val="24"/>
        </w:rPr>
        <w:t>non</w:t>
      </w:r>
      <w:r w:rsidR="008F3DE8">
        <w:rPr>
          <w:rFonts w:ascii="Bookman Old Style" w:hAnsi="Bookman Old Style"/>
          <w:sz w:val="24"/>
          <w:szCs w:val="24"/>
        </w:rPr>
        <w:t xml:space="preserve"> </w:t>
      </w:r>
      <w:r w:rsidR="000D62A9" w:rsidRPr="00373D35">
        <w:rPr>
          <w:rFonts w:ascii="Bookman Old Style" w:hAnsi="Bookman Old Style"/>
          <w:sz w:val="24"/>
          <w:szCs w:val="24"/>
        </w:rPr>
        <w:t>solo</w:t>
      </w:r>
      <w:r w:rsidR="008F3DE8">
        <w:rPr>
          <w:rFonts w:ascii="Bookman Old Style" w:hAnsi="Bookman Old Style"/>
          <w:sz w:val="24"/>
          <w:szCs w:val="24"/>
        </w:rPr>
        <w:t xml:space="preserve"> </w:t>
      </w:r>
      <w:r w:rsidR="000D62A9" w:rsidRPr="00373D35">
        <w:rPr>
          <w:rFonts w:ascii="Bookman Old Style" w:hAnsi="Bookman Old Style"/>
          <w:sz w:val="24"/>
          <w:szCs w:val="24"/>
        </w:rPr>
        <w:t>costituiscono</w:t>
      </w:r>
      <w:r w:rsidR="008F3DE8">
        <w:rPr>
          <w:rFonts w:ascii="Bookman Old Style" w:hAnsi="Bookman Old Style"/>
          <w:sz w:val="24"/>
          <w:szCs w:val="24"/>
        </w:rPr>
        <w:t xml:space="preserve"> </w:t>
      </w:r>
      <w:r w:rsidR="000D62A9" w:rsidRPr="00373D35">
        <w:rPr>
          <w:rFonts w:ascii="Bookman Old Style" w:hAnsi="Bookman Old Style"/>
          <w:sz w:val="24"/>
          <w:szCs w:val="24"/>
        </w:rPr>
        <w:t>i</w:t>
      </w:r>
      <w:r w:rsidR="008F3DE8">
        <w:rPr>
          <w:rFonts w:ascii="Bookman Old Style" w:hAnsi="Bookman Old Style"/>
          <w:sz w:val="24"/>
          <w:szCs w:val="24"/>
        </w:rPr>
        <w:t xml:space="preserve"> </w:t>
      </w:r>
      <w:r w:rsidR="000D62A9" w:rsidRPr="00373D35">
        <w:rPr>
          <w:rFonts w:ascii="Bookman Old Style" w:hAnsi="Bookman Old Style"/>
          <w:sz w:val="24"/>
          <w:szCs w:val="24"/>
        </w:rPr>
        <w:t>principi</w:t>
      </w:r>
      <w:r w:rsidR="008F3DE8">
        <w:rPr>
          <w:rFonts w:ascii="Bookman Old Style" w:hAnsi="Bookman Old Style"/>
          <w:sz w:val="24"/>
          <w:szCs w:val="24"/>
        </w:rPr>
        <w:t xml:space="preserve"> </w:t>
      </w:r>
      <w:r w:rsidR="000D62A9" w:rsidRPr="00373D35">
        <w:rPr>
          <w:rFonts w:ascii="Bookman Old Style" w:hAnsi="Bookman Old Style"/>
          <w:sz w:val="24"/>
          <w:szCs w:val="24"/>
        </w:rPr>
        <w:t>supremi</w:t>
      </w:r>
      <w:r w:rsidR="008F3DE8">
        <w:rPr>
          <w:rFonts w:ascii="Bookman Old Style" w:hAnsi="Bookman Old Style"/>
          <w:sz w:val="24"/>
          <w:szCs w:val="24"/>
        </w:rPr>
        <w:t xml:space="preserve"> </w:t>
      </w:r>
      <w:r w:rsidR="000D62A9" w:rsidRPr="00373D35">
        <w:rPr>
          <w:rFonts w:ascii="Bookman Old Style" w:hAnsi="Bookman Old Style"/>
          <w:sz w:val="24"/>
          <w:szCs w:val="24"/>
        </w:rPr>
        <w:t>dell</w:t>
      </w:r>
      <w:r w:rsidR="00373D35">
        <w:rPr>
          <w:rFonts w:ascii="Bookman Old Style" w:hAnsi="Bookman Old Style"/>
          <w:sz w:val="24"/>
          <w:szCs w:val="24"/>
        </w:rPr>
        <w:t>’</w:t>
      </w:r>
      <w:r w:rsidR="000D62A9" w:rsidRPr="00373D35">
        <w:rPr>
          <w:rFonts w:ascii="Bookman Old Style" w:hAnsi="Bookman Old Style"/>
          <w:sz w:val="24"/>
          <w:szCs w:val="24"/>
        </w:rPr>
        <w:t>ordinamento</w:t>
      </w:r>
      <w:r w:rsidR="008F3DE8">
        <w:rPr>
          <w:rFonts w:ascii="Bookman Old Style" w:hAnsi="Bookman Old Style"/>
          <w:sz w:val="24"/>
          <w:szCs w:val="24"/>
        </w:rPr>
        <w:t xml:space="preserve"> </w:t>
      </w:r>
      <w:r w:rsidR="000D62A9" w:rsidRPr="00373D35">
        <w:rPr>
          <w:rFonts w:ascii="Bookman Old Style" w:hAnsi="Bookman Old Style"/>
          <w:sz w:val="24"/>
          <w:szCs w:val="24"/>
        </w:rPr>
        <w:t>costituzionale,</w:t>
      </w:r>
      <w:r w:rsidR="008F3DE8">
        <w:rPr>
          <w:rFonts w:ascii="Bookman Old Style" w:hAnsi="Bookman Old Style"/>
          <w:sz w:val="24"/>
          <w:szCs w:val="24"/>
        </w:rPr>
        <w:t xml:space="preserve"> </w:t>
      </w:r>
      <w:r w:rsidR="000D62A9" w:rsidRPr="00373D35">
        <w:rPr>
          <w:rFonts w:ascii="Bookman Old Style" w:hAnsi="Bookman Old Style"/>
          <w:sz w:val="24"/>
          <w:szCs w:val="24"/>
        </w:rPr>
        <w:t>ma</w:t>
      </w:r>
      <w:r w:rsidR="008F3DE8">
        <w:rPr>
          <w:rFonts w:ascii="Bookman Old Style" w:hAnsi="Bookman Old Style"/>
          <w:sz w:val="24"/>
          <w:szCs w:val="24"/>
        </w:rPr>
        <w:t xml:space="preserve"> </w:t>
      </w:r>
      <w:r w:rsidR="000D62A9" w:rsidRPr="00373D35">
        <w:rPr>
          <w:rFonts w:ascii="Bookman Old Style" w:hAnsi="Bookman Old Style"/>
          <w:sz w:val="24"/>
          <w:szCs w:val="24"/>
        </w:rPr>
        <w:t>qualificano</w:t>
      </w:r>
      <w:r w:rsidR="008F3DE8">
        <w:rPr>
          <w:rFonts w:ascii="Bookman Old Style" w:hAnsi="Bookman Old Style"/>
          <w:sz w:val="24"/>
          <w:szCs w:val="24"/>
        </w:rPr>
        <w:t xml:space="preserve"> </w:t>
      </w:r>
      <w:r w:rsidR="000D62A9" w:rsidRPr="00373D35">
        <w:rPr>
          <w:rFonts w:ascii="Bookman Old Style" w:hAnsi="Bookman Old Style"/>
          <w:sz w:val="24"/>
          <w:szCs w:val="24"/>
        </w:rPr>
        <w:t>altresì</w:t>
      </w:r>
      <w:r w:rsidR="008F3DE8">
        <w:rPr>
          <w:rFonts w:ascii="Bookman Old Style" w:hAnsi="Bookman Old Style"/>
          <w:sz w:val="24"/>
          <w:szCs w:val="24"/>
        </w:rPr>
        <w:t xml:space="preserve"> </w:t>
      </w:r>
      <w:r w:rsidR="000D62A9" w:rsidRPr="00373D35">
        <w:rPr>
          <w:rFonts w:ascii="Bookman Old Style" w:hAnsi="Bookman Old Style"/>
          <w:sz w:val="24"/>
          <w:szCs w:val="24"/>
        </w:rPr>
        <w:t>la</w:t>
      </w:r>
      <w:r w:rsidR="008F3DE8">
        <w:rPr>
          <w:rFonts w:ascii="Bookman Old Style" w:hAnsi="Bookman Old Style"/>
          <w:sz w:val="24"/>
          <w:szCs w:val="24"/>
        </w:rPr>
        <w:t xml:space="preserve"> </w:t>
      </w:r>
      <w:r w:rsidR="000D62A9" w:rsidRPr="00373D35">
        <w:rPr>
          <w:rFonts w:ascii="Bookman Old Style" w:hAnsi="Bookman Old Style"/>
          <w:sz w:val="24"/>
          <w:szCs w:val="24"/>
        </w:rPr>
        <w:t>stessa</w:t>
      </w:r>
      <w:r w:rsidR="008F3DE8">
        <w:rPr>
          <w:rFonts w:ascii="Bookman Old Style" w:hAnsi="Bookman Old Style"/>
          <w:sz w:val="24"/>
          <w:szCs w:val="24"/>
        </w:rPr>
        <w:t xml:space="preserve"> </w:t>
      </w:r>
      <w:r w:rsidR="000D62A9" w:rsidRPr="00373D35">
        <w:rPr>
          <w:rFonts w:ascii="Bookman Old Style" w:hAnsi="Bookman Old Style"/>
          <w:sz w:val="24"/>
          <w:szCs w:val="24"/>
        </w:rPr>
        <w:t>struttura</w:t>
      </w:r>
      <w:r w:rsidR="008F3DE8">
        <w:rPr>
          <w:rFonts w:ascii="Bookman Old Style" w:hAnsi="Bookman Old Style"/>
          <w:sz w:val="24"/>
          <w:szCs w:val="24"/>
        </w:rPr>
        <w:t xml:space="preserve"> </w:t>
      </w:r>
      <w:r w:rsidR="000D62A9" w:rsidRPr="00373D35">
        <w:rPr>
          <w:rFonts w:ascii="Bookman Old Style" w:hAnsi="Bookman Old Style"/>
          <w:sz w:val="24"/>
          <w:szCs w:val="24"/>
        </w:rPr>
        <w:t>democratica</w:t>
      </w:r>
      <w:r w:rsidR="008F3DE8">
        <w:rPr>
          <w:rFonts w:ascii="Bookman Old Style" w:hAnsi="Bookman Old Style"/>
          <w:sz w:val="24"/>
          <w:szCs w:val="24"/>
        </w:rPr>
        <w:t xml:space="preserve"> </w:t>
      </w:r>
      <w:r w:rsidR="000D62A9" w:rsidRPr="00373D35">
        <w:rPr>
          <w:rFonts w:ascii="Bookman Old Style" w:hAnsi="Bookman Old Style"/>
          <w:sz w:val="24"/>
          <w:szCs w:val="24"/>
        </w:rPr>
        <w:t>dello</w:t>
      </w:r>
      <w:r w:rsidR="008F3DE8">
        <w:rPr>
          <w:rFonts w:ascii="Bookman Old Style" w:hAnsi="Bookman Old Style"/>
          <w:sz w:val="24"/>
          <w:szCs w:val="24"/>
        </w:rPr>
        <w:t xml:space="preserve"> </w:t>
      </w:r>
      <w:r w:rsidR="000D62A9" w:rsidRPr="00373D35">
        <w:rPr>
          <w:rFonts w:ascii="Bookman Old Style" w:hAnsi="Bookman Old Style"/>
          <w:sz w:val="24"/>
          <w:szCs w:val="24"/>
        </w:rPr>
        <w:t>Stato,</w:t>
      </w:r>
      <w:r w:rsidR="008F3DE8">
        <w:rPr>
          <w:rFonts w:ascii="Bookman Old Style" w:hAnsi="Bookman Old Style"/>
          <w:sz w:val="24"/>
          <w:szCs w:val="24"/>
        </w:rPr>
        <w:t xml:space="preserve"> </w:t>
      </w:r>
      <w:r w:rsidR="000D62A9" w:rsidRPr="00373D35">
        <w:rPr>
          <w:rFonts w:ascii="Bookman Old Style" w:hAnsi="Bookman Old Style"/>
          <w:sz w:val="24"/>
          <w:szCs w:val="24"/>
        </w:rPr>
        <w:t>la</w:t>
      </w:r>
      <w:r w:rsidR="008F3DE8">
        <w:rPr>
          <w:rFonts w:ascii="Bookman Old Style" w:hAnsi="Bookman Old Style"/>
          <w:sz w:val="24"/>
          <w:szCs w:val="24"/>
        </w:rPr>
        <w:t xml:space="preserve"> </w:t>
      </w:r>
      <w:r w:rsidR="000D62A9" w:rsidRPr="00373D35">
        <w:rPr>
          <w:rFonts w:ascii="Bookman Old Style" w:hAnsi="Bookman Old Style"/>
          <w:sz w:val="24"/>
          <w:szCs w:val="24"/>
        </w:rPr>
        <w:t>quale</w:t>
      </w:r>
      <w:r w:rsidR="008F3DE8">
        <w:rPr>
          <w:rFonts w:ascii="Bookman Old Style" w:hAnsi="Bookman Old Style"/>
          <w:sz w:val="24"/>
          <w:szCs w:val="24"/>
        </w:rPr>
        <w:t xml:space="preserve"> </w:t>
      </w:r>
      <w:r w:rsidR="000D62A9" w:rsidRPr="00373D35">
        <w:rPr>
          <w:rFonts w:ascii="Bookman Old Style" w:hAnsi="Bookman Old Style"/>
          <w:sz w:val="24"/>
          <w:szCs w:val="24"/>
        </w:rPr>
        <w:t>verrebbe</w:t>
      </w:r>
      <w:r w:rsidR="008F3DE8">
        <w:rPr>
          <w:rFonts w:ascii="Bookman Old Style" w:hAnsi="Bookman Old Style"/>
          <w:sz w:val="24"/>
          <w:szCs w:val="24"/>
        </w:rPr>
        <w:t xml:space="preserve"> </w:t>
      </w:r>
      <w:r w:rsidR="000D62A9" w:rsidRPr="00373D35">
        <w:rPr>
          <w:rFonts w:ascii="Bookman Old Style" w:hAnsi="Bookman Old Style"/>
          <w:sz w:val="24"/>
          <w:szCs w:val="24"/>
        </w:rPr>
        <w:t>sovvertita</w:t>
      </w:r>
      <w:r w:rsidR="008F3DE8">
        <w:rPr>
          <w:rFonts w:ascii="Bookman Old Style" w:hAnsi="Bookman Old Style"/>
          <w:sz w:val="24"/>
          <w:szCs w:val="24"/>
        </w:rPr>
        <w:t xml:space="preserve"> </w:t>
      </w:r>
      <w:r w:rsidR="000D62A9" w:rsidRPr="00373D35">
        <w:rPr>
          <w:rFonts w:ascii="Bookman Old Style" w:hAnsi="Bookman Old Style"/>
          <w:sz w:val="24"/>
          <w:szCs w:val="24"/>
        </w:rPr>
        <w:t>qualora</w:t>
      </w:r>
      <w:r w:rsidR="008F3DE8">
        <w:rPr>
          <w:rFonts w:ascii="Bookman Old Style" w:hAnsi="Bookman Old Style"/>
          <w:sz w:val="24"/>
          <w:szCs w:val="24"/>
        </w:rPr>
        <w:t xml:space="preserve"> </w:t>
      </w:r>
      <w:r w:rsidR="000D62A9" w:rsidRPr="00373D35">
        <w:rPr>
          <w:rFonts w:ascii="Bookman Old Style" w:hAnsi="Bookman Old Style"/>
          <w:sz w:val="24"/>
          <w:szCs w:val="24"/>
        </w:rPr>
        <w:t>questi</w:t>
      </w:r>
      <w:r w:rsidR="008F3DE8">
        <w:rPr>
          <w:rFonts w:ascii="Bookman Old Style" w:hAnsi="Bookman Old Style"/>
          <w:sz w:val="24"/>
          <w:szCs w:val="24"/>
        </w:rPr>
        <w:t xml:space="preserve"> </w:t>
      </w:r>
      <w:r w:rsidR="000D62A9" w:rsidRPr="00373D35">
        <w:rPr>
          <w:rFonts w:ascii="Bookman Old Style" w:hAnsi="Bookman Old Style"/>
          <w:sz w:val="24"/>
          <w:szCs w:val="24"/>
        </w:rPr>
        <w:t>fossero</w:t>
      </w:r>
      <w:r w:rsidR="008F3DE8">
        <w:rPr>
          <w:rFonts w:ascii="Bookman Old Style" w:hAnsi="Bookman Old Style"/>
          <w:sz w:val="24"/>
          <w:szCs w:val="24"/>
        </w:rPr>
        <w:t xml:space="preserve"> </w:t>
      </w:r>
      <w:r w:rsidR="000D62A9" w:rsidRPr="00373D35">
        <w:rPr>
          <w:rFonts w:ascii="Bookman Old Style" w:hAnsi="Bookman Old Style"/>
          <w:sz w:val="24"/>
          <w:szCs w:val="24"/>
        </w:rPr>
        <w:t>diminuiti,</w:t>
      </w:r>
      <w:r w:rsidR="008F3DE8">
        <w:rPr>
          <w:rFonts w:ascii="Bookman Old Style" w:hAnsi="Bookman Old Style"/>
          <w:sz w:val="24"/>
          <w:szCs w:val="24"/>
        </w:rPr>
        <w:t xml:space="preserve"> </w:t>
      </w:r>
      <w:r w:rsidR="00373D35">
        <w:rPr>
          <w:rFonts w:ascii="Bookman Old Style" w:hAnsi="Bookman Old Style"/>
          <w:sz w:val="24"/>
          <w:szCs w:val="24"/>
        </w:rPr>
        <w:t>decurtati</w:t>
      </w:r>
      <w:r w:rsidR="008F3DE8">
        <w:rPr>
          <w:rFonts w:ascii="Bookman Old Style" w:hAnsi="Bookman Old Style"/>
          <w:sz w:val="24"/>
          <w:szCs w:val="24"/>
        </w:rPr>
        <w:t xml:space="preserve"> </w:t>
      </w:r>
      <w:r w:rsidR="00373D35">
        <w:rPr>
          <w:rFonts w:ascii="Bookman Old Style" w:hAnsi="Bookman Old Style"/>
          <w:sz w:val="24"/>
          <w:szCs w:val="24"/>
        </w:rPr>
        <w:t>o</w:t>
      </w:r>
      <w:r w:rsidR="008F3DE8">
        <w:rPr>
          <w:rFonts w:ascii="Bookman Old Style" w:hAnsi="Bookman Old Style"/>
          <w:sz w:val="24"/>
          <w:szCs w:val="24"/>
        </w:rPr>
        <w:t xml:space="preserve"> </w:t>
      </w:r>
      <w:proofErr w:type="gramStart"/>
      <w:r w:rsidR="00373D35">
        <w:rPr>
          <w:rFonts w:ascii="Bookman Old Style" w:hAnsi="Bookman Old Style"/>
          <w:sz w:val="24"/>
          <w:szCs w:val="24"/>
        </w:rPr>
        <w:t>violati</w:t>
      </w:r>
      <w:r w:rsidR="00652D68">
        <w:rPr>
          <w:rFonts w:ascii="Bookman Old Style" w:hAnsi="Bookman Old Style"/>
          <w:sz w:val="24"/>
          <w:szCs w:val="24"/>
        </w:rPr>
        <w:t xml:space="preserve"> </w:t>
      </w:r>
      <w:r w:rsidR="00652D68">
        <w:rPr>
          <w:rStyle w:val="Rimandonotaapidipagina"/>
          <w:rFonts w:ascii="Bookman Old Style" w:hAnsi="Bookman Old Style"/>
          <w:sz w:val="24"/>
          <w:szCs w:val="24"/>
        </w:rPr>
        <w:footnoteReference w:id="6"/>
      </w:r>
      <w:r w:rsidR="00373D35">
        <w:rPr>
          <w:rFonts w:ascii="Bookman Old Style" w:hAnsi="Bookman Old Style"/>
          <w:sz w:val="24"/>
          <w:szCs w:val="24"/>
        </w:rPr>
        <w:t>.</w:t>
      </w:r>
      <w:proofErr w:type="gramEnd"/>
    </w:p>
    <w:p w:rsidR="00246418" w:rsidRDefault="004942C8" w:rsidP="00246418">
      <w:pPr>
        <w:ind w:firstLine="709"/>
        <w:jc w:val="both"/>
        <w:rPr>
          <w:rFonts w:ascii="Bookman Old Style" w:hAnsi="Bookman Old Style"/>
          <w:sz w:val="24"/>
          <w:szCs w:val="24"/>
        </w:rPr>
      </w:pPr>
      <w:r>
        <w:rPr>
          <w:rFonts w:ascii="Bookman Old Style" w:hAnsi="Bookman Old Style"/>
          <w:sz w:val="24"/>
          <w:szCs w:val="24"/>
        </w:rPr>
        <w:t>3</w:t>
      </w:r>
      <w:r w:rsidR="00C75729">
        <w:rPr>
          <w:rFonts w:ascii="Bookman Old Style" w:hAnsi="Bookman Old Style"/>
          <w:sz w:val="24"/>
          <w:szCs w:val="24"/>
        </w:rPr>
        <w:t>.</w:t>
      </w:r>
      <w:r w:rsidR="008F3DE8">
        <w:rPr>
          <w:rFonts w:ascii="Bookman Old Style" w:hAnsi="Bookman Old Style"/>
          <w:sz w:val="24"/>
          <w:szCs w:val="24"/>
        </w:rPr>
        <w:t xml:space="preserve"> </w:t>
      </w:r>
      <w:r w:rsidR="00C75729">
        <w:rPr>
          <w:rFonts w:ascii="Bookman Old Style" w:hAnsi="Bookman Old Style"/>
          <w:sz w:val="24"/>
          <w:szCs w:val="24"/>
        </w:rPr>
        <w:t>I</w:t>
      </w:r>
      <w:r w:rsidR="008F3DE8">
        <w:rPr>
          <w:rFonts w:ascii="Bookman Old Style" w:hAnsi="Bookman Old Style"/>
          <w:sz w:val="24"/>
          <w:szCs w:val="24"/>
        </w:rPr>
        <w:t xml:space="preserve"> </w:t>
      </w:r>
      <w:r w:rsidR="00C75729">
        <w:rPr>
          <w:rFonts w:ascii="Bookman Old Style" w:hAnsi="Bookman Old Style"/>
          <w:sz w:val="24"/>
          <w:szCs w:val="24"/>
        </w:rPr>
        <w:t>DIRITTI</w:t>
      </w:r>
      <w:r w:rsidR="008F3DE8">
        <w:rPr>
          <w:rFonts w:ascii="Bookman Old Style" w:hAnsi="Bookman Old Style"/>
          <w:sz w:val="24"/>
          <w:szCs w:val="24"/>
        </w:rPr>
        <w:t xml:space="preserve"> </w:t>
      </w:r>
      <w:r w:rsidR="00C75729">
        <w:rPr>
          <w:rFonts w:ascii="Bookman Old Style" w:hAnsi="Bookman Old Style"/>
          <w:sz w:val="24"/>
          <w:szCs w:val="24"/>
        </w:rPr>
        <w:t>FONDAMENTALI</w:t>
      </w:r>
      <w:r w:rsidR="008F3DE8">
        <w:rPr>
          <w:rFonts w:ascii="Bookman Old Style" w:hAnsi="Bookman Old Style"/>
          <w:sz w:val="24"/>
          <w:szCs w:val="24"/>
        </w:rPr>
        <w:t xml:space="preserve"> </w:t>
      </w:r>
      <w:r w:rsidR="00C75729">
        <w:rPr>
          <w:rFonts w:ascii="Bookman Old Style" w:hAnsi="Bookman Old Style"/>
          <w:sz w:val="24"/>
          <w:szCs w:val="24"/>
        </w:rPr>
        <w:t>IN</w:t>
      </w:r>
      <w:r w:rsidR="008F3DE8">
        <w:rPr>
          <w:rFonts w:ascii="Bookman Old Style" w:hAnsi="Bookman Old Style"/>
          <w:sz w:val="24"/>
          <w:szCs w:val="24"/>
        </w:rPr>
        <w:t xml:space="preserve"> </w:t>
      </w:r>
      <w:r w:rsidR="00C75729">
        <w:rPr>
          <w:rFonts w:ascii="Bookman Old Style" w:hAnsi="Bookman Old Style"/>
          <w:sz w:val="24"/>
          <w:szCs w:val="24"/>
        </w:rPr>
        <w:t>UN</w:t>
      </w:r>
      <w:r w:rsidR="008F3DE8">
        <w:rPr>
          <w:rFonts w:ascii="Bookman Old Style" w:hAnsi="Bookman Old Style"/>
          <w:sz w:val="24"/>
          <w:szCs w:val="24"/>
        </w:rPr>
        <w:t xml:space="preserve"> </w:t>
      </w:r>
      <w:r w:rsidR="00C75729">
        <w:rPr>
          <w:rFonts w:ascii="Bookman Old Style" w:hAnsi="Bookman Old Style"/>
          <w:sz w:val="24"/>
          <w:szCs w:val="24"/>
        </w:rPr>
        <w:t>ORDINAMENTO</w:t>
      </w:r>
      <w:r w:rsidR="008F3DE8">
        <w:rPr>
          <w:rFonts w:ascii="Bookman Old Style" w:hAnsi="Bookman Old Style"/>
          <w:sz w:val="24"/>
          <w:szCs w:val="24"/>
        </w:rPr>
        <w:t xml:space="preserve"> </w:t>
      </w:r>
      <w:r w:rsidR="00C75729">
        <w:rPr>
          <w:rFonts w:ascii="Bookman Old Style" w:hAnsi="Bookman Old Style"/>
          <w:sz w:val="24"/>
          <w:szCs w:val="24"/>
        </w:rPr>
        <w:t>GIURIDICO</w:t>
      </w:r>
      <w:r w:rsidR="008F3DE8">
        <w:rPr>
          <w:rFonts w:ascii="Bookman Old Style" w:hAnsi="Bookman Old Style"/>
          <w:sz w:val="24"/>
          <w:szCs w:val="24"/>
        </w:rPr>
        <w:t xml:space="preserve"> </w:t>
      </w:r>
      <w:r w:rsidR="00C75729">
        <w:rPr>
          <w:rFonts w:ascii="Bookman Old Style" w:hAnsi="Bookman Old Style"/>
          <w:sz w:val="24"/>
          <w:szCs w:val="24"/>
        </w:rPr>
        <w:t>MULTILIVELLO</w:t>
      </w:r>
      <w:r w:rsidR="00B125D7">
        <w:rPr>
          <w:rFonts w:ascii="Bookman Old Style" w:hAnsi="Bookman Old Style"/>
          <w:sz w:val="24"/>
          <w:szCs w:val="24"/>
        </w:rPr>
        <w:t>:</w:t>
      </w:r>
      <w:r w:rsidR="008F3DE8">
        <w:rPr>
          <w:rFonts w:ascii="Bookman Old Style" w:hAnsi="Bookman Old Style"/>
          <w:sz w:val="24"/>
          <w:szCs w:val="24"/>
        </w:rPr>
        <w:t xml:space="preserve"> </w:t>
      </w:r>
      <w:r w:rsidR="00B125D7">
        <w:rPr>
          <w:rFonts w:ascii="Bookman Old Style" w:hAnsi="Bookman Old Style"/>
          <w:sz w:val="24"/>
          <w:szCs w:val="24"/>
        </w:rPr>
        <w:t>LA</w:t>
      </w:r>
      <w:r w:rsidR="008F3DE8">
        <w:rPr>
          <w:rFonts w:ascii="Bookman Old Style" w:hAnsi="Bookman Old Style"/>
          <w:sz w:val="24"/>
          <w:szCs w:val="24"/>
        </w:rPr>
        <w:t xml:space="preserve"> </w:t>
      </w:r>
      <w:r w:rsidR="00B125D7">
        <w:rPr>
          <w:rFonts w:ascii="Bookman Old Style" w:hAnsi="Bookman Old Style"/>
          <w:sz w:val="24"/>
          <w:szCs w:val="24"/>
        </w:rPr>
        <w:t>DIMENSIONE</w:t>
      </w:r>
      <w:r w:rsidR="008F3DE8">
        <w:rPr>
          <w:rFonts w:ascii="Bookman Old Style" w:hAnsi="Bookman Old Style"/>
          <w:sz w:val="24"/>
          <w:szCs w:val="24"/>
        </w:rPr>
        <w:t xml:space="preserve"> </w:t>
      </w:r>
      <w:r w:rsidR="00B125D7">
        <w:rPr>
          <w:rFonts w:ascii="Bookman Old Style" w:hAnsi="Bookman Old Style"/>
          <w:sz w:val="24"/>
          <w:szCs w:val="24"/>
        </w:rPr>
        <w:t>REGIONALE</w:t>
      </w:r>
      <w:r w:rsidR="00C36DED">
        <w:rPr>
          <w:rFonts w:ascii="Bookman Old Style" w:hAnsi="Bookman Old Style"/>
          <w:sz w:val="24"/>
          <w:szCs w:val="24"/>
        </w:rPr>
        <w:t xml:space="preserve"> </w:t>
      </w:r>
      <w:r w:rsidR="00246418">
        <w:rPr>
          <w:rFonts w:ascii="Bookman Old Style" w:hAnsi="Bookman Old Style"/>
          <w:sz w:val="24"/>
          <w:szCs w:val="24"/>
        </w:rPr>
        <w:t>Lo</w:t>
      </w:r>
      <w:r w:rsidR="008F3DE8">
        <w:rPr>
          <w:rFonts w:ascii="Bookman Old Style" w:hAnsi="Bookman Old Style"/>
          <w:sz w:val="24"/>
          <w:szCs w:val="24"/>
        </w:rPr>
        <w:t xml:space="preserve"> </w:t>
      </w:r>
      <w:r w:rsidR="00246418">
        <w:rPr>
          <w:rFonts w:ascii="Bookman Old Style" w:hAnsi="Bookman Old Style"/>
          <w:sz w:val="24"/>
          <w:szCs w:val="24"/>
        </w:rPr>
        <w:t>stretto</w:t>
      </w:r>
      <w:r w:rsidR="008F3DE8">
        <w:rPr>
          <w:rFonts w:ascii="Bookman Old Style" w:hAnsi="Bookman Old Style"/>
          <w:sz w:val="24"/>
          <w:szCs w:val="24"/>
        </w:rPr>
        <w:t xml:space="preserve"> </w:t>
      </w:r>
      <w:r w:rsidR="00246418">
        <w:rPr>
          <w:rFonts w:ascii="Bookman Old Style" w:hAnsi="Bookman Old Style"/>
          <w:sz w:val="24"/>
          <w:szCs w:val="24"/>
        </w:rPr>
        <w:t>collegamento</w:t>
      </w:r>
      <w:r w:rsidR="008F3DE8">
        <w:rPr>
          <w:rFonts w:ascii="Bookman Old Style" w:hAnsi="Bookman Old Style"/>
          <w:sz w:val="24"/>
          <w:szCs w:val="24"/>
        </w:rPr>
        <w:t xml:space="preserve"> </w:t>
      </w:r>
      <w:r w:rsidR="00246418">
        <w:rPr>
          <w:rFonts w:ascii="Bookman Old Style" w:hAnsi="Bookman Old Style"/>
          <w:sz w:val="24"/>
          <w:szCs w:val="24"/>
        </w:rPr>
        <w:t>tr</w:t>
      </w:r>
      <w:r w:rsidR="00246418" w:rsidRPr="00373D35">
        <w:rPr>
          <w:rFonts w:ascii="Bookman Old Style" w:hAnsi="Bookman Old Style"/>
          <w:sz w:val="24"/>
          <w:szCs w:val="24"/>
        </w:rPr>
        <w:t>a</w:t>
      </w:r>
      <w:r w:rsidR="008F3DE8">
        <w:rPr>
          <w:rFonts w:ascii="Bookman Old Style" w:hAnsi="Bookman Old Style"/>
          <w:sz w:val="24"/>
          <w:szCs w:val="24"/>
        </w:rPr>
        <w:t xml:space="preserve"> </w:t>
      </w:r>
      <w:r w:rsidR="00246418">
        <w:rPr>
          <w:rFonts w:ascii="Bookman Old Style" w:hAnsi="Bookman Old Style"/>
          <w:sz w:val="24"/>
          <w:szCs w:val="24"/>
        </w:rPr>
        <w:t>la</w:t>
      </w:r>
      <w:r w:rsidR="008F3DE8">
        <w:rPr>
          <w:rFonts w:ascii="Bookman Old Style" w:hAnsi="Bookman Old Style"/>
          <w:sz w:val="24"/>
          <w:szCs w:val="24"/>
        </w:rPr>
        <w:t xml:space="preserve"> </w:t>
      </w:r>
      <w:r w:rsidR="00246418">
        <w:rPr>
          <w:rFonts w:ascii="Bookman Old Style" w:hAnsi="Bookman Old Style"/>
          <w:sz w:val="24"/>
          <w:szCs w:val="24"/>
        </w:rPr>
        <w:t>disciplina</w:t>
      </w:r>
      <w:r w:rsidR="008F3DE8">
        <w:rPr>
          <w:rFonts w:ascii="Bookman Old Style" w:hAnsi="Bookman Old Style"/>
          <w:sz w:val="24"/>
          <w:szCs w:val="24"/>
        </w:rPr>
        <w:t xml:space="preserve"> </w:t>
      </w:r>
      <w:r w:rsidR="00246418">
        <w:rPr>
          <w:rFonts w:ascii="Bookman Old Style" w:hAnsi="Bookman Old Style"/>
          <w:sz w:val="24"/>
          <w:szCs w:val="24"/>
        </w:rPr>
        <w:t>dei</w:t>
      </w:r>
      <w:r w:rsidR="008F3DE8">
        <w:rPr>
          <w:rFonts w:ascii="Bookman Old Style" w:hAnsi="Bookman Old Style"/>
          <w:sz w:val="24"/>
          <w:szCs w:val="24"/>
        </w:rPr>
        <w:t xml:space="preserve"> </w:t>
      </w:r>
      <w:r w:rsidR="00246418">
        <w:rPr>
          <w:rFonts w:ascii="Bookman Old Style" w:hAnsi="Bookman Old Style"/>
          <w:sz w:val="24"/>
          <w:szCs w:val="24"/>
        </w:rPr>
        <w:t>diritti</w:t>
      </w:r>
      <w:r w:rsidR="008F3DE8">
        <w:rPr>
          <w:rFonts w:ascii="Bookman Old Style" w:hAnsi="Bookman Old Style"/>
          <w:sz w:val="24"/>
          <w:szCs w:val="24"/>
        </w:rPr>
        <w:t xml:space="preserve"> </w:t>
      </w:r>
      <w:r w:rsidR="00246418">
        <w:rPr>
          <w:rFonts w:ascii="Bookman Old Style" w:hAnsi="Bookman Old Style"/>
          <w:sz w:val="24"/>
          <w:szCs w:val="24"/>
        </w:rPr>
        <w:t>fondamentali</w:t>
      </w:r>
      <w:r w:rsidR="008F3DE8">
        <w:rPr>
          <w:rFonts w:ascii="Bookman Old Style" w:hAnsi="Bookman Old Style"/>
          <w:sz w:val="24"/>
          <w:szCs w:val="24"/>
        </w:rPr>
        <w:t xml:space="preserve"> </w:t>
      </w:r>
      <w:r w:rsidR="00246418">
        <w:rPr>
          <w:rFonts w:ascii="Bookman Old Style" w:hAnsi="Bookman Old Style"/>
          <w:sz w:val="24"/>
          <w:szCs w:val="24"/>
        </w:rPr>
        <w:t>e</w:t>
      </w:r>
      <w:r w:rsidR="008F3DE8">
        <w:rPr>
          <w:rFonts w:ascii="Bookman Old Style" w:hAnsi="Bookman Old Style"/>
          <w:sz w:val="24"/>
          <w:szCs w:val="24"/>
        </w:rPr>
        <w:t xml:space="preserve"> </w:t>
      </w:r>
      <w:r w:rsidR="00246418">
        <w:rPr>
          <w:rFonts w:ascii="Bookman Old Style" w:hAnsi="Bookman Old Style"/>
          <w:sz w:val="24"/>
          <w:szCs w:val="24"/>
        </w:rPr>
        <w:t>la</w:t>
      </w:r>
      <w:r w:rsidR="0075267D">
        <w:rPr>
          <w:rFonts w:ascii="Bookman Old Style" w:hAnsi="Bookman Old Style"/>
          <w:sz w:val="24"/>
          <w:szCs w:val="24"/>
        </w:rPr>
        <w:t xml:space="preserve"> struttura politica e sociale dello </w:t>
      </w:r>
      <w:r w:rsidR="00246418">
        <w:rPr>
          <w:rFonts w:ascii="Bookman Old Style" w:hAnsi="Bookman Old Style"/>
          <w:sz w:val="24"/>
          <w:szCs w:val="24"/>
        </w:rPr>
        <w:t>Stato</w:t>
      </w:r>
      <w:r w:rsidR="008F3DE8">
        <w:rPr>
          <w:rFonts w:ascii="Bookman Old Style" w:hAnsi="Bookman Old Style"/>
          <w:sz w:val="24"/>
          <w:szCs w:val="24"/>
        </w:rPr>
        <w:t xml:space="preserve"> </w:t>
      </w:r>
      <w:r w:rsidR="00246418">
        <w:rPr>
          <w:rFonts w:ascii="Bookman Old Style" w:hAnsi="Bookman Old Style"/>
          <w:sz w:val="24"/>
          <w:szCs w:val="24"/>
        </w:rPr>
        <w:t>ha</w:t>
      </w:r>
      <w:r w:rsidR="008F3DE8">
        <w:rPr>
          <w:rFonts w:ascii="Bookman Old Style" w:hAnsi="Bookman Old Style"/>
          <w:sz w:val="24"/>
          <w:szCs w:val="24"/>
        </w:rPr>
        <w:t xml:space="preserve"> </w:t>
      </w:r>
      <w:r w:rsidR="00246418">
        <w:rPr>
          <w:rFonts w:ascii="Bookman Old Style" w:hAnsi="Bookman Old Style"/>
          <w:sz w:val="24"/>
          <w:szCs w:val="24"/>
        </w:rPr>
        <w:t>fatto</w:t>
      </w:r>
      <w:r w:rsidR="008F3DE8">
        <w:rPr>
          <w:rFonts w:ascii="Bookman Old Style" w:hAnsi="Bookman Old Style"/>
          <w:sz w:val="24"/>
          <w:szCs w:val="24"/>
        </w:rPr>
        <w:t xml:space="preserve"> </w:t>
      </w:r>
      <w:r w:rsidR="00246418">
        <w:rPr>
          <w:rFonts w:ascii="Bookman Old Style" w:hAnsi="Bookman Old Style"/>
          <w:sz w:val="24"/>
          <w:szCs w:val="24"/>
        </w:rPr>
        <w:t>sì</w:t>
      </w:r>
      <w:r w:rsidR="008F3DE8">
        <w:rPr>
          <w:rFonts w:ascii="Bookman Old Style" w:hAnsi="Bookman Old Style"/>
          <w:sz w:val="24"/>
          <w:szCs w:val="24"/>
        </w:rPr>
        <w:t xml:space="preserve"> </w:t>
      </w:r>
      <w:r w:rsidR="00246418">
        <w:rPr>
          <w:rFonts w:ascii="Bookman Old Style" w:hAnsi="Bookman Old Style"/>
          <w:sz w:val="24"/>
          <w:szCs w:val="24"/>
        </w:rPr>
        <w:t>che</w:t>
      </w:r>
      <w:r w:rsidR="008F3DE8">
        <w:rPr>
          <w:rFonts w:ascii="Bookman Old Style" w:hAnsi="Bookman Old Style"/>
          <w:sz w:val="24"/>
          <w:szCs w:val="24"/>
        </w:rPr>
        <w:t xml:space="preserve"> </w:t>
      </w:r>
      <w:r w:rsidR="00246418">
        <w:rPr>
          <w:rFonts w:ascii="Bookman Old Style" w:hAnsi="Bookman Old Style"/>
          <w:sz w:val="24"/>
          <w:szCs w:val="24"/>
        </w:rPr>
        <w:t>il</w:t>
      </w:r>
      <w:r w:rsidR="008F3DE8">
        <w:rPr>
          <w:rFonts w:ascii="Bookman Old Style" w:hAnsi="Bookman Old Style"/>
          <w:sz w:val="24"/>
          <w:szCs w:val="24"/>
        </w:rPr>
        <w:t xml:space="preserve"> </w:t>
      </w:r>
      <w:r w:rsidR="00246418">
        <w:rPr>
          <w:rFonts w:ascii="Bookman Old Style" w:hAnsi="Bookman Old Style"/>
          <w:sz w:val="24"/>
          <w:szCs w:val="24"/>
        </w:rPr>
        <w:t>processo</w:t>
      </w:r>
      <w:r w:rsidR="008F3DE8">
        <w:rPr>
          <w:rFonts w:ascii="Bookman Old Style" w:hAnsi="Bookman Old Style"/>
          <w:sz w:val="24"/>
          <w:szCs w:val="24"/>
        </w:rPr>
        <w:t xml:space="preserve"> </w:t>
      </w:r>
      <w:r w:rsidR="00246418">
        <w:rPr>
          <w:rFonts w:ascii="Bookman Old Style" w:hAnsi="Bookman Old Style"/>
          <w:sz w:val="24"/>
          <w:szCs w:val="24"/>
        </w:rPr>
        <w:t>di</w:t>
      </w:r>
      <w:r w:rsidR="008F3DE8">
        <w:rPr>
          <w:rFonts w:ascii="Bookman Old Style" w:hAnsi="Bookman Old Style"/>
          <w:sz w:val="24"/>
          <w:szCs w:val="24"/>
        </w:rPr>
        <w:t xml:space="preserve"> </w:t>
      </w:r>
      <w:r w:rsidR="00246418">
        <w:rPr>
          <w:rFonts w:ascii="Bookman Old Style" w:hAnsi="Bookman Old Style"/>
          <w:sz w:val="24"/>
          <w:szCs w:val="24"/>
        </w:rPr>
        <w:t>erosione</w:t>
      </w:r>
      <w:r w:rsidR="008F3DE8">
        <w:rPr>
          <w:rFonts w:ascii="Bookman Old Style" w:hAnsi="Bookman Old Style"/>
          <w:sz w:val="24"/>
          <w:szCs w:val="24"/>
        </w:rPr>
        <w:t xml:space="preserve"> </w:t>
      </w:r>
      <w:r w:rsidR="00246418">
        <w:rPr>
          <w:rFonts w:ascii="Bookman Old Style" w:hAnsi="Bookman Old Style"/>
          <w:sz w:val="24"/>
          <w:szCs w:val="24"/>
        </w:rPr>
        <w:t>subito</w:t>
      </w:r>
      <w:r w:rsidR="008F3DE8">
        <w:rPr>
          <w:rFonts w:ascii="Bookman Old Style" w:hAnsi="Bookman Old Style"/>
          <w:sz w:val="24"/>
          <w:szCs w:val="24"/>
        </w:rPr>
        <w:t xml:space="preserve"> </w:t>
      </w:r>
      <w:r w:rsidR="00246418">
        <w:rPr>
          <w:rFonts w:ascii="Bookman Old Style" w:hAnsi="Bookman Old Style"/>
          <w:sz w:val="24"/>
          <w:szCs w:val="24"/>
        </w:rPr>
        <w:t>da</w:t>
      </w:r>
      <w:r w:rsidR="008F3DE8">
        <w:rPr>
          <w:rFonts w:ascii="Bookman Old Style" w:hAnsi="Bookman Old Style"/>
          <w:sz w:val="24"/>
          <w:szCs w:val="24"/>
        </w:rPr>
        <w:t xml:space="preserve"> </w:t>
      </w:r>
      <w:r w:rsidR="00246418">
        <w:rPr>
          <w:rFonts w:ascii="Bookman Old Style" w:hAnsi="Bookman Old Style"/>
          <w:sz w:val="24"/>
          <w:szCs w:val="24"/>
        </w:rPr>
        <w:t>quest’ultimo</w:t>
      </w:r>
      <w:r w:rsidR="008F3DE8">
        <w:rPr>
          <w:rFonts w:ascii="Bookman Old Style" w:hAnsi="Bookman Old Style"/>
          <w:sz w:val="24"/>
          <w:szCs w:val="24"/>
        </w:rPr>
        <w:t xml:space="preserve"> </w:t>
      </w:r>
      <w:r w:rsidR="00246418">
        <w:rPr>
          <w:rFonts w:ascii="Bookman Old Style" w:hAnsi="Bookman Old Style"/>
          <w:sz w:val="24"/>
          <w:szCs w:val="24"/>
        </w:rPr>
        <w:t>in</w:t>
      </w:r>
      <w:r w:rsidR="008F3DE8">
        <w:rPr>
          <w:rFonts w:ascii="Bookman Old Style" w:hAnsi="Bookman Old Style"/>
          <w:sz w:val="24"/>
          <w:szCs w:val="24"/>
        </w:rPr>
        <w:t xml:space="preserve"> </w:t>
      </w:r>
      <w:r w:rsidR="00246418">
        <w:rPr>
          <w:rFonts w:ascii="Bookman Old Style" w:hAnsi="Bookman Old Style"/>
          <w:sz w:val="24"/>
          <w:szCs w:val="24"/>
        </w:rPr>
        <w:t>una</w:t>
      </w:r>
      <w:r w:rsidR="008F3DE8">
        <w:rPr>
          <w:rFonts w:ascii="Bookman Old Style" w:hAnsi="Bookman Old Style"/>
          <w:sz w:val="24"/>
          <w:szCs w:val="24"/>
        </w:rPr>
        <w:t xml:space="preserve"> </w:t>
      </w:r>
      <w:r w:rsidR="00246418">
        <w:rPr>
          <w:rFonts w:ascii="Bookman Old Style" w:hAnsi="Bookman Old Style"/>
          <w:sz w:val="24"/>
          <w:szCs w:val="24"/>
        </w:rPr>
        <w:t>duplice</w:t>
      </w:r>
      <w:r w:rsidR="008F3DE8">
        <w:rPr>
          <w:rFonts w:ascii="Bookman Old Style" w:hAnsi="Bookman Old Style"/>
          <w:sz w:val="24"/>
          <w:szCs w:val="24"/>
        </w:rPr>
        <w:t xml:space="preserve"> </w:t>
      </w:r>
      <w:r w:rsidR="00246418">
        <w:rPr>
          <w:rFonts w:ascii="Bookman Old Style" w:hAnsi="Bookman Old Style"/>
          <w:sz w:val="24"/>
          <w:szCs w:val="24"/>
        </w:rPr>
        <w:t>direzione,</w:t>
      </w:r>
      <w:r w:rsidR="008F3DE8">
        <w:rPr>
          <w:rFonts w:ascii="Bookman Old Style" w:hAnsi="Bookman Old Style"/>
          <w:sz w:val="24"/>
          <w:szCs w:val="24"/>
        </w:rPr>
        <w:t xml:space="preserve"> </w:t>
      </w:r>
      <w:r w:rsidR="00246418">
        <w:rPr>
          <w:rFonts w:ascii="Bookman Old Style" w:hAnsi="Bookman Old Style"/>
          <w:sz w:val="24"/>
          <w:szCs w:val="24"/>
        </w:rPr>
        <w:t>al</w:t>
      </w:r>
      <w:r w:rsidR="008F3DE8">
        <w:rPr>
          <w:rFonts w:ascii="Bookman Old Style" w:hAnsi="Bookman Old Style"/>
          <w:sz w:val="24"/>
          <w:szCs w:val="24"/>
        </w:rPr>
        <w:t xml:space="preserve"> </w:t>
      </w:r>
      <w:r w:rsidR="00246418">
        <w:rPr>
          <w:rFonts w:ascii="Bookman Old Style" w:hAnsi="Bookman Old Style"/>
          <w:sz w:val="24"/>
          <w:szCs w:val="24"/>
        </w:rPr>
        <w:t>proprio</w:t>
      </w:r>
      <w:r w:rsidR="008F3DE8">
        <w:rPr>
          <w:rFonts w:ascii="Bookman Old Style" w:hAnsi="Bookman Old Style"/>
          <w:sz w:val="24"/>
          <w:szCs w:val="24"/>
        </w:rPr>
        <w:t xml:space="preserve"> </w:t>
      </w:r>
      <w:r w:rsidR="00246418">
        <w:rPr>
          <w:rFonts w:ascii="Bookman Old Style" w:hAnsi="Bookman Old Style"/>
          <w:sz w:val="24"/>
          <w:szCs w:val="24"/>
        </w:rPr>
        <w:t>interno,</w:t>
      </w:r>
      <w:r w:rsidR="008F3DE8">
        <w:rPr>
          <w:rFonts w:ascii="Bookman Old Style" w:hAnsi="Bookman Old Style"/>
          <w:sz w:val="24"/>
          <w:szCs w:val="24"/>
        </w:rPr>
        <w:t xml:space="preserve"> </w:t>
      </w:r>
      <w:r w:rsidR="00246418">
        <w:rPr>
          <w:rFonts w:ascii="Bookman Old Style" w:hAnsi="Bookman Old Style"/>
          <w:sz w:val="24"/>
          <w:szCs w:val="24"/>
        </w:rPr>
        <w:t>a</w:t>
      </w:r>
      <w:r w:rsidR="008F3DE8">
        <w:rPr>
          <w:rFonts w:ascii="Bookman Old Style" w:hAnsi="Bookman Old Style"/>
          <w:sz w:val="24"/>
          <w:szCs w:val="24"/>
        </w:rPr>
        <w:t xml:space="preserve"> </w:t>
      </w:r>
      <w:r w:rsidR="00246418">
        <w:rPr>
          <w:rFonts w:ascii="Bookman Old Style" w:hAnsi="Bookman Old Style"/>
          <w:sz w:val="24"/>
          <w:szCs w:val="24"/>
        </w:rPr>
        <w:t>favore</w:t>
      </w:r>
      <w:r w:rsidR="008F3DE8">
        <w:rPr>
          <w:rFonts w:ascii="Bookman Old Style" w:hAnsi="Bookman Old Style"/>
          <w:sz w:val="24"/>
          <w:szCs w:val="24"/>
        </w:rPr>
        <w:t xml:space="preserve"> </w:t>
      </w:r>
      <w:r w:rsidR="00246418">
        <w:rPr>
          <w:rFonts w:ascii="Bookman Old Style" w:hAnsi="Bookman Old Style"/>
          <w:sz w:val="24"/>
          <w:szCs w:val="24"/>
        </w:rPr>
        <w:t>delle</w:t>
      </w:r>
      <w:r w:rsidR="008F3DE8">
        <w:rPr>
          <w:rFonts w:ascii="Bookman Old Style" w:hAnsi="Bookman Old Style"/>
          <w:sz w:val="24"/>
          <w:szCs w:val="24"/>
        </w:rPr>
        <w:t xml:space="preserve"> </w:t>
      </w:r>
      <w:r w:rsidR="00246418">
        <w:rPr>
          <w:rFonts w:ascii="Bookman Old Style" w:hAnsi="Bookman Old Style"/>
          <w:sz w:val="24"/>
          <w:szCs w:val="24"/>
        </w:rPr>
        <w:t>Regioni</w:t>
      </w:r>
      <w:r w:rsidR="008F3DE8">
        <w:rPr>
          <w:rFonts w:ascii="Bookman Old Style" w:hAnsi="Bookman Old Style"/>
          <w:sz w:val="24"/>
          <w:szCs w:val="24"/>
        </w:rPr>
        <w:t xml:space="preserve"> </w:t>
      </w:r>
      <w:r w:rsidR="00246418">
        <w:rPr>
          <w:rFonts w:ascii="Bookman Old Style" w:hAnsi="Bookman Old Style"/>
          <w:sz w:val="24"/>
          <w:szCs w:val="24"/>
        </w:rPr>
        <w:t>e</w:t>
      </w:r>
      <w:r w:rsidR="008F3DE8">
        <w:rPr>
          <w:rFonts w:ascii="Bookman Old Style" w:hAnsi="Bookman Old Style"/>
          <w:sz w:val="24"/>
          <w:szCs w:val="24"/>
        </w:rPr>
        <w:t xml:space="preserve"> </w:t>
      </w:r>
      <w:r w:rsidR="00246418">
        <w:rPr>
          <w:rFonts w:ascii="Bookman Old Style" w:hAnsi="Bookman Old Style"/>
          <w:sz w:val="24"/>
          <w:szCs w:val="24"/>
        </w:rPr>
        <w:t>degli</w:t>
      </w:r>
      <w:r w:rsidR="008F3DE8">
        <w:rPr>
          <w:rFonts w:ascii="Bookman Old Style" w:hAnsi="Bookman Old Style"/>
          <w:sz w:val="24"/>
          <w:szCs w:val="24"/>
        </w:rPr>
        <w:t xml:space="preserve"> </w:t>
      </w:r>
      <w:r w:rsidR="00246418">
        <w:rPr>
          <w:rFonts w:ascii="Bookman Old Style" w:hAnsi="Bookman Old Style"/>
          <w:sz w:val="24"/>
          <w:szCs w:val="24"/>
        </w:rPr>
        <w:t>Enti</w:t>
      </w:r>
      <w:r w:rsidR="008F3DE8">
        <w:rPr>
          <w:rFonts w:ascii="Bookman Old Style" w:hAnsi="Bookman Old Style"/>
          <w:sz w:val="24"/>
          <w:szCs w:val="24"/>
        </w:rPr>
        <w:t xml:space="preserve"> </w:t>
      </w:r>
      <w:r w:rsidR="00246418">
        <w:rPr>
          <w:rFonts w:ascii="Bookman Old Style" w:hAnsi="Bookman Old Style"/>
          <w:sz w:val="24"/>
          <w:szCs w:val="24"/>
        </w:rPr>
        <w:t>territoriali</w:t>
      </w:r>
      <w:r w:rsidR="008F3DE8">
        <w:rPr>
          <w:rFonts w:ascii="Bookman Old Style" w:hAnsi="Bookman Old Style"/>
          <w:sz w:val="24"/>
          <w:szCs w:val="24"/>
        </w:rPr>
        <w:t xml:space="preserve"> </w:t>
      </w:r>
      <w:r w:rsidR="00246418">
        <w:rPr>
          <w:rFonts w:ascii="Bookman Old Style" w:hAnsi="Bookman Old Style"/>
          <w:sz w:val="24"/>
          <w:szCs w:val="24"/>
        </w:rPr>
        <w:t>minori,</w:t>
      </w:r>
      <w:r w:rsidR="008F3DE8">
        <w:rPr>
          <w:rFonts w:ascii="Bookman Old Style" w:hAnsi="Bookman Old Style"/>
          <w:sz w:val="24"/>
          <w:szCs w:val="24"/>
        </w:rPr>
        <w:t xml:space="preserve"> </w:t>
      </w:r>
      <w:r w:rsidR="00246418">
        <w:rPr>
          <w:rFonts w:ascii="Bookman Old Style" w:hAnsi="Bookman Old Style"/>
          <w:sz w:val="24"/>
          <w:szCs w:val="24"/>
        </w:rPr>
        <w:t>e</w:t>
      </w:r>
      <w:r w:rsidR="008F3DE8">
        <w:rPr>
          <w:rFonts w:ascii="Bookman Old Style" w:hAnsi="Bookman Old Style"/>
          <w:sz w:val="24"/>
          <w:szCs w:val="24"/>
        </w:rPr>
        <w:t xml:space="preserve"> </w:t>
      </w:r>
      <w:r w:rsidR="00246418">
        <w:rPr>
          <w:rFonts w:ascii="Bookman Old Style" w:hAnsi="Bookman Old Style"/>
          <w:sz w:val="24"/>
          <w:szCs w:val="24"/>
        </w:rPr>
        <w:t>verso</w:t>
      </w:r>
      <w:r w:rsidR="008F3DE8">
        <w:rPr>
          <w:rFonts w:ascii="Bookman Old Style" w:hAnsi="Bookman Old Style"/>
          <w:sz w:val="24"/>
          <w:szCs w:val="24"/>
        </w:rPr>
        <w:t xml:space="preserve"> </w:t>
      </w:r>
      <w:r w:rsidR="00246418">
        <w:rPr>
          <w:rFonts w:ascii="Bookman Old Style" w:hAnsi="Bookman Old Style"/>
          <w:sz w:val="24"/>
          <w:szCs w:val="24"/>
        </w:rPr>
        <w:t>l’esterno,</w:t>
      </w:r>
      <w:r w:rsidR="008F3DE8">
        <w:rPr>
          <w:rFonts w:ascii="Bookman Old Style" w:hAnsi="Bookman Old Style"/>
          <w:sz w:val="24"/>
          <w:szCs w:val="24"/>
        </w:rPr>
        <w:t xml:space="preserve"> </w:t>
      </w:r>
      <w:r w:rsidR="00246418">
        <w:rPr>
          <w:rFonts w:ascii="Bookman Old Style" w:hAnsi="Bookman Old Style"/>
          <w:sz w:val="24"/>
          <w:szCs w:val="24"/>
        </w:rPr>
        <w:t>in</w:t>
      </w:r>
      <w:r w:rsidR="008F3DE8">
        <w:rPr>
          <w:rFonts w:ascii="Bookman Old Style" w:hAnsi="Bookman Old Style"/>
          <w:sz w:val="24"/>
          <w:szCs w:val="24"/>
        </w:rPr>
        <w:t xml:space="preserve"> </w:t>
      </w:r>
      <w:r w:rsidR="00246418">
        <w:rPr>
          <w:rFonts w:ascii="Bookman Old Style" w:hAnsi="Bookman Old Style"/>
          <w:sz w:val="24"/>
          <w:szCs w:val="24"/>
        </w:rPr>
        <w:t>favore</w:t>
      </w:r>
      <w:r w:rsidR="008F3DE8">
        <w:rPr>
          <w:rFonts w:ascii="Bookman Old Style" w:hAnsi="Bookman Old Style"/>
          <w:sz w:val="24"/>
          <w:szCs w:val="24"/>
        </w:rPr>
        <w:t xml:space="preserve"> </w:t>
      </w:r>
      <w:r w:rsidR="00246418">
        <w:rPr>
          <w:rFonts w:ascii="Bookman Old Style" w:hAnsi="Bookman Old Style"/>
          <w:sz w:val="24"/>
          <w:szCs w:val="24"/>
        </w:rPr>
        <w:t>delle</w:t>
      </w:r>
      <w:r w:rsidR="008F3DE8">
        <w:rPr>
          <w:rFonts w:ascii="Bookman Old Style" w:hAnsi="Bookman Old Style"/>
          <w:sz w:val="24"/>
          <w:szCs w:val="24"/>
        </w:rPr>
        <w:t xml:space="preserve"> </w:t>
      </w:r>
      <w:r w:rsidR="00246418">
        <w:rPr>
          <w:rFonts w:ascii="Bookman Old Style" w:hAnsi="Bookman Old Style"/>
          <w:sz w:val="24"/>
          <w:szCs w:val="24"/>
        </w:rPr>
        <w:t>organizzazioni</w:t>
      </w:r>
      <w:r w:rsidR="008F3DE8">
        <w:rPr>
          <w:rFonts w:ascii="Bookman Old Style" w:hAnsi="Bookman Old Style"/>
          <w:sz w:val="24"/>
          <w:szCs w:val="24"/>
        </w:rPr>
        <w:t xml:space="preserve"> </w:t>
      </w:r>
      <w:r w:rsidR="00246418">
        <w:rPr>
          <w:rFonts w:ascii="Bookman Old Style" w:hAnsi="Bookman Old Style"/>
          <w:sz w:val="24"/>
          <w:szCs w:val="24"/>
        </w:rPr>
        <w:t>internazionali</w:t>
      </w:r>
      <w:r w:rsidR="006844CC">
        <w:rPr>
          <w:rFonts w:ascii="Bookman Old Style" w:hAnsi="Bookman Old Style"/>
          <w:sz w:val="24"/>
          <w:szCs w:val="24"/>
        </w:rPr>
        <w:t xml:space="preserve"> ed europee</w:t>
      </w:r>
      <w:r w:rsidR="00246418">
        <w:rPr>
          <w:rFonts w:ascii="Bookman Old Style" w:hAnsi="Bookman Old Style"/>
          <w:sz w:val="24"/>
          <w:szCs w:val="24"/>
        </w:rPr>
        <w:t>,</w:t>
      </w:r>
      <w:r w:rsidR="008F3DE8">
        <w:rPr>
          <w:rFonts w:ascii="Bookman Old Style" w:hAnsi="Bookman Old Style"/>
          <w:sz w:val="24"/>
          <w:szCs w:val="24"/>
        </w:rPr>
        <w:t xml:space="preserve"> </w:t>
      </w:r>
      <w:r w:rsidR="00246418">
        <w:rPr>
          <w:rFonts w:ascii="Bookman Old Style" w:hAnsi="Bookman Old Style"/>
          <w:sz w:val="24"/>
          <w:szCs w:val="24"/>
        </w:rPr>
        <w:t>abbia</w:t>
      </w:r>
      <w:r w:rsidR="008F3DE8">
        <w:rPr>
          <w:rFonts w:ascii="Bookman Old Style" w:hAnsi="Bookman Old Style"/>
          <w:sz w:val="24"/>
          <w:szCs w:val="24"/>
        </w:rPr>
        <w:t xml:space="preserve"> </w:t>
      </w:r>
      <w:r w:rsidR="00246418">
        <w:rPr>
          <w:rFonts w:ascii="Bookman Old Style" w:hAnsi="Bookman Old Style"/>
          <w:sz w:val="24"/>
          <w:szCs w:val="24"/>
        </w:rPr>
        <w:t>avuto</w:t>
      </w:r>
      <w:r w:rsidR="008F3DE8">
        <w:rPr>
          <w:rFonts w:ascii="Bookman Old Style" w:hAnsi="Bookman Old Style"/>
          <w:sz w:val="24"/>
          <w:szCs w:val="24"/>
        </w:rPr>
        <w:t xml:space="preserve"> </w:t>
      </w:r>
      <w:r w:rsidR="00246418">
        <w:rPr>
          <w:rFonts w:ascii="Bookman Old Style" w:hAnsi="Bookman Old Style"/>
          <w:sz w:val="24"/>
          <w:szCs w:val="24"/>
        </w:rPr>
        <w:t>effetti</w:t>
      </w:r>
      <w:r w:rsidR="008F3DE8">
        <w:rPr>
          <w:rFonts w:ascii="Bookman Old Style" w:hAnsi="Bookman Old Style"/>
          <w:sz w:val="24"/>
          <w:szCs w:val="24"/>
        </w:rPr>
        <w:t xml:space="preserve"> </w:t>
      </w:r>
      <w:r w:rsidR="00246418">
        <w:rPr>
          <w:rFonts w:ascii="Bookman Old Style" w:hAnsi="Bookman Old Style"/>
          <w:sz w:val="24"/>
          <w:szCs w:val="24"/>
        </w:rPr>
        <w:t>rilevanti</w:t>
      </w:r>
      <w:r w:rsidR="008F3DE8">
        <w:rPr>
          <w:rFonts w:ascii="Bookman Old Style" w:hAnsi="Bookman Old Style"/>
          <w:sz w:val="24"/>
          <w:szCs w:val="24"/>
        </w:rPr>
        <w:t xml:space="preserve"> </w:t>
      </w:r>
      <w:r w:rsidR="00246418">
        <w:rPr>
          <w:rFonts w:ascii="Bookman Old Style" w:hAnsi="Bookman Old Style"/>
          <w:sz w:val="24"/>
          <w:szCs w:val="24"/>
        </w:rPr>
        <w:t>anche</w:t>
      </w:r>
      <w:r w:rsidR="008F3DE8">
        <w:rPr>
          <w:rFonts w:ascii="Bookman Old Style" w:hAnsi="Bookman Old Style"/>
          <w:sz w:val="24"/>
          <w:szCs w:val="24"/>
        </w:rPr>
        <w:t xml:space="preserve"> </w:t>
      </w:r>
      <w:r w:rsidR="00246418">
        <w:rPr>
          <w:rFonts w:ascii="Bookman Old Style" w:hAnsi="Bookman Old Style"/>
          <w:sz w:val="24"/>
          <w:szCs w:val="24"/>
        </w:rPr>
        <w:t>con</w:t>
      </w:r>
      <w:r w:rsidR="008F3DE8">
        <w:rPr>
          <w:rFonts w:ascii="Bookman Old Style" w:hAnsi="Bookman Old Style"/>
          <w:sz w:val="24"/>
          <w:szCs w:val="24"/>
        </w:rPr>
        <w:t xml:space="preserve"> </w:t>
      </w:r>
      <w:r w:rsidR="00246418">
        <w:rPr>
          <w:rFonts w:ascii="Bookman Old Style" w:hAnsi="Bookman Old Style"/>
          <w:sz w:val="24"/>
          <w:szCs w:val="24"/>
        </w:rPr>
        <w:t>riferimento</w:t>
      </w:r>
      <w:r w:rsidR="008F3DE8">
        <w:rPr>
          <w:rFonts w:ascii="Bookman Old Style" w:hAnsi="Bookman Old Style"/>
          <w:sz w:val="24"/>
          <w:szCs w:val="24"/>
        </w:rPr>
        <w:t xml:space="preserve"> </w:t>
      </w:r>
      <w:r w:rsidR="00246418">
        <w:rPr>
          <w:rFonts w:ascii="Bookman Old Style" w:hAnsi="Bookman Old Style"/>
          <w:sz w:val="24"/>
          <w:szCs w:val="24"/>
        </w:rPr>
        <w:t>alla</w:t>
      </w:r>
      <w:r w:rsidR="008F3DE8">
        <w:rPr>
          <w:rFonts w:ascii="Bookman Old Style" w:hAnsi="Bookman Old Style"/>
          <w:sz w:val="24"/>
          <w:szCs w:val="24"/>
        </w:rPr>
        <w:t xml:space="preserve"> </w:t>
      </w:r>
      <w:r w:rsidR="00246418">
        <w:rPr>
          <w:rFonts w:ascii="Bookman Old Style" w:hAnsi="Bookman Old Style"/>
          <w:sz w:val="24"/>
          <w:szCs w:val="24"/>
        </w:rPr>
        <w:t>disciplina</w:t>
      </w:r>
      <w:r w:rsidR="008F3DE8">
        <w:rPr>
          <w:rFonts w:ascii="Bookman Old Style" w:hAnsi="Bookman Old Style"/>
          <w:sz w:val="24"/>
          <w:szCs w:val="24"/>
        </w:rPr>
        <w:t xml:space="preserve"> </w:t>
      </w:r>
      <w:r w:rsidR="00246418">
        <w:rPr>
          <w:rFonts w:ascii="Bookman Old Style" w:hAnsi="Bookman Old Style"/>
          <w:sz w:val="24"/>
          <w:szCs w:val="24"/>
        </w:rPr>
        <w:t>di</w:t>
      </w:r>
      <w:r w:rsidR="008F3DE8">
        <w:rPr>
          <w:rFonts w:ascii="Bookman Old Style" w:hAnsi="Bookman Old Style"/>
          <w:sz w:val="24"/>
          <w:szCs w:val="24"/>
        </w:rPr>
        <w:t xml:space="preserve"> </w:t>
      </w:r>
      <w:r w:rsidR="00246418">
        <w:rPr>
          <w:rFonts w:ascii="Bookman Old Style" w:hAnsi="Bookman Old Style"/>
          <w:sz w:val="24"/>
          <w:szCs w:val="24"/>
        </w:rPr>
        <w:t>tale</w:t>
      </w:r>
      <w:r w:rsidR="008F3DE8">
        <w:rPr>
          <w:rFonts w:ascii="Bookman Old Style" w:hAnsi="Bookman Old Style"/>
          <w:sz w:val="24"/>
          <w:szCs w:val="24"/>
        </w:rPr>
        <w:t xml:space="preserve"> </w:t>
      </w:r>
      <w:r w:rsidR="00246418">
        <w:rPr>
          <w:rFonts w:ascii="Bookman Old Style" w:hAnsi="Bookman Old Style"/>
          <w:sz w:val="24"/>
          <w:szCs w:val="24"/>
        </w:rPr>
        <w:t>nucleo</w:t>
      </w:r>
      <w:r w:rsidR="008F3DE8">
        <w:rPr>
          <w:rFonts w:ascii="Bookman Old Style" w:hAnsi="Bookman Old Style"/>
          <w:sz w:val="24"/>
          <w:szCs w:val="24"/>
        </w:rPr>
        <w:t xml:space="preserve"> </w:t>
      </w:r>
      <w:r w:rsidR="00246418">
        <w:rPr>
          <w:rFonts w:ascii="Bookman Old Style" w:hAnsi="Bookman Old Style"/>
          <w:sz w:val="24"/>
          <w:szCs w:val="24"/>
        </w:rPr>
        <w:t>di</w:t>
      </w:r>
      <w:r w:rsidR="008F3DE8">
        <w:rPr>
          <w:rFonts w:ascii="Bookman Old Style" w:hAnsi="Bookman Old Style"/>
          <w:sz w:val="24"/>
          <w:szCs w:val="24"/>
        </w:rPr>
        <w:t xml:space="preserve"> </w:t>
      </w:r>
      <w:r w:rsidR="00246418">
        <w:rPr>
          <w:rFonts w:ascii="Bookman Old Style" w:hAnsi="Bookman Old Style"/>
          <w:sz w:val="24"/>
          <w:szCs w:val="24"/>
        </w:rPr>
        <w:t>diritti,</w:t>
      </w:r>
      <w:r w:rsidR="008F3DE8">
        <w:rPr>
          <w:rFonts w:ascii="Bookman Old Style" w:hAnsi="Bookman Old Style"/>
          <w:sz w:val="24"/>
          <w:szCs w:val="24"/>
        </w:rPr>
        <w:t xml:space="preserve"> </w:t>
      </w:r>
      <w:r w:rsidR="00246418">
        <w:rPr>
          <w:rFonts w:ascii="Bookman Old Style" w:hAnsi="Bookman Old Style"/>
          <w:sz w:val="24"/>
          <w:szCs w:val="24"/>
        </w:rPr>
        <w:t>moltiplicando</w:t>
      </w:r>
      <w:r w:rsidR="008F3DE8">
        <w:rPr>
          <w:rFonts w:ascii="Bookman Old Style" w:hAnsi="Bookman Old Style"/>
          <w:sz w:val="24"/>
          <w:szCs w:val="24"/>
        </w:rPr>
        <w:t xml:space="preserve"> </w:t>
      </w:r>
      <w:r w:rsidR="00246418">
        <w:rPr>
          <w:rFonts w:ascii="Bookman Old Style" w:hAnsi="Bookman Old Style"/>
          <w:sz w:val="24"/>
          <w:szCs w:val="24"/>
        </w:rPr>
        <w:t>i</w:t>
      </w:r>
      <w:r w:rsidR="008F3DE8">
        <w:rPr>
          <w:rFonts w:ascii="Bookman Old Style" w:hAnsi="Bookman Old Style"/>
          <w:sz w:val="24"/>
          <w:szCs w:val="24"/>
        </w:rPr>
        <w:t xml:space="preserve"> </w:t>
      </w:r>
      <w:r w:rsidR="00246418">
        <w:rPr>
          <w:rFonts w:ascii="Bookman Old Style" w:hAnsi="Bookman Old Style"/>
          <w:sz w:val="24"/>
          <w:szCs w:val="24"/>
        </w:rPr>
        <w:t>soggetti</w:t>
      </w:r>
      <w:r w:rsidR="008F3DE8">
        <w:rPr>
          <w:rFonts w:ascii="Bookman Old Style" w:hAnsi="Bookman Old Style"/>
          <w:sz w:val="24"/>
          <w:szCs w:val="24"/>
        </w:rPr>
        <w:t xml:space="preserve"> </w:t>
      </w:r>
      <w:r w:rsidR="00246418">
        <w:rPr>
          <w:rFonts w:ascii="Bookman Old Style" w:hAnsi="Bookman Old Style"/>
          <w:sz w:val="24"/>
          <w:szCs w:val="24"/>
        </w:rPr>
        <w:t>cui</w:t>
      </w:r>
      <w:r w:rsidR="008F3DE8">
        <w:rPr>
          <w:rFonts w:ascii="Bookman Old Style" w:hAnsi="Bookman Old Style"/>
          <w:sz w:val="24"/>
          <w:szCs w:val="24"/>
        </w:rPr>
        <w:t xml:space="preserve"> </w:t>
      </w:r>
      <w:r w:rsidR="00246418">
        <w:rPr>
          <w:rFonts w:ascii="Bookman Old Style" w:hAnsi="Bookman Old Style"/>
          <w:sz w:val="24"/>
          <w:szCs w:val="24"/>
        </w:rPr>
        <w:t>è</w:t>
      </w:r>
      <w:r w:rsidR="008F3DE8">
        <w:rPr>
          <w:rFonts w:ascii="Bookman Old Style" w:hAnsi="Bookman Old Style"/>
          <w:sz w:val="24"/>
          <w:szCs w:val="24"/>
        </w:rPr>
        <w:t xml:space="preserve"> </w:t>
      </w:r>
      <w:r w:rsidR="00246418">
        <w:rPr>
          <w:rFonts w:ascii="Bookman Old Style" w:hAnsi="Bookman Old Style"/>
          <w:sz w:val="24"/>
          <w:szCs w:val="24"/>
        </w:rPr>
        <w:t>devoluta</w:t>
      </w:r>
      <w:r w:rsidR="008F3DE8">
        <w:rPr>
          <w:rFonts w:ascii="Bookman Old Style" w:hAnsi="Bookman Old Style"/>
          <w:sz w:val="24"/>
          <w:szCs w:val="24"/>
        </w:rPr>
        <w:t xml:space="preserve"> </w:t>
      </w:r>
      <w:r w:rsidR="00246418">
        <w:rPr>
          <w:rFonts w:ascii="Bookman Old Style" w:hAnsi="Bookman Old Style"/>
          <w:sz w:val="24"/>
          <w:szCs w:val="24"/>
        </w:rPr>
        <w:t>la</w:t>
      </w:r>
      <w:r w:rsidR="008F3DE8">
        <w:rPr>
          <w:rFonts w:ascii="Bookman Old Style" w:hAnsi="Bookman Old Style"/>
          <w:sz w:val="24"/>
          <w:szCs w:val="24"/>
        </w:rPr>
        <w:t xml:space="preserve"> </w:t>
      </w:r>
      <w:r w:rsidR="0075267D">
        <w:rPr>
          <w:rFonts w:ascii="Bookman Old Style" w:hAnsi="Bookman Old Style"/>
          <w:sz w:val="24"/>
          <w:szCs w:val="24"/>
        </w:rPr>
        <w:t xml:space="preserve">relativa </w:t>
      </w:r>
      <w:r w:rsidR="00246418">
        <w:rPr>
          <w:rFonts w:ascii="Bookman Old Style" w:hAnsi="Bookman Old Style"/>
          <w:sz w:val="24"/>
          <w:szCs w:val="24"/>
        </w:rPr>
        <w:t>potestà</w:t>
      </w:r>
      <w:r w:rsidR="008F3DE8">
        <w:rPr>
          <w:rFonts w:ascii="Bookman Old Style" w:hAnsi="Bookman Old Style"/>
          <w:sz w:val="24"/>
          <w:szCs w:val="24"/>
        </w:rPr>
        <w:t xml:space="preserve"> </w:t>
      </w:r>
      <w:r w:rsidR="0075267D">
        <w:rPr>
          <w:rFonts w:ascii="Bookman Old Style" w:hAnsi="Bookman Old Style"/>
          <w:sz w:val="24"/>
          <w:szCs w:val="24"/>
        </w:rPr>
        <w:t xml:space="preserve">regolatoria </w:t>
      </w:r>
      <w:r w:rsidR="00246418">
        <w:rPr>
          <w:rFonts w:ascii="Bookman Old Style" w:hAnsi="Bookman Old Style"/>
          <w:sz w:val="24"/>
          <w:szCs w:val="24"/>
        </w:rPr>
        <w:t>e</w:t>
      </w:r>
      <w:r w:rsidR="008F3DE8">
        <w:rPr>
          <w:rFonts w:ascii="Bookman Old Style" w:hAnsi="Bookman Old Style"/>
          <w:sz w:val="24"/>
          <w:szCs w:val="24"/>
        </w:rPr>
        <w:t xml:space="preserve"> </w:t>
      </w:r>
      <w:r w:rsidR="0075267D">
        <w:rPr>
          <w:rFonts w:ascii="Bookman Old Style" w:hAnsi="Bookman Old Style"/>
          <w:sz w:val="24"/>
          <w:szCs w:val="24"/>
        </w:rPr>
        <w:t>la concreta attuazione</w:t>
      </w:r>
      <w:r w:rsidR="00246418">
        <w:rPr>
          <w:rFonts w:ascii="Bookman Old Style" w:hAnsi="Bookman Old Style"/>
          <w:sz w:val="24"/>
          <w:szCs w:val="24"/>
        </w:rPr>
        <w:t>.</w:t>
      </w:r>
    </w:p>
    <w:p w:rsidR="00246418" w:rsidRDefault="00246418" w:rsidP="00246418">
      <w:pPr>
        <w:ind w:firstLine="709"/>
        <w:jc w:val="both"/>
        <w:rPr>
          <w:rFonts w:ascii="Bookman Old Style" w:hAnsi="Bookman Old Style"/>
          <w:sz w:val="24"/>
          <w:szCs w:val="24"/>
        </w:rPr>
      </w:pPr>
      <w:r>
        <w:rPr>
          <w:rFonts w:ascii="Bookman Old Style" w:hAnsi="Bookman Old Style"/>
          <w:sz w:val="24"/>
          <w:szCs w:val="24"/>
        </w:rPr>
        <w:t>L’evoluzione</w:t>
      </w:r>
      <w:r w:rsidR="008F3DE8">
        <w:rPr>
          <w:rFonts w:ascii="Bookman Old Style" w:hAnsi="Bookman Old Style"/>
          <w:sz w:val="24"/>
          <w:szCs w:val="24"/>
        </w:rPr>
        <w:t xml:space="preserve"> </w:t>
      </w:r>
      <w:r w:rsidR="006844CC">
        <w:rPr>
          <w:rFonts w:ascii="Bookman Old Style" w:hAnsi="Bookman Old Style"/>
          <w:sz w:val="24"/>
          <w:szCs w:val="24"/>
        </w:rPr>
        <w:t xml:space="preserve">costituzionale </w:t>
      </w:r>
      <w:r>
        <w:rPr>
          <w:rFonts w:ascii="Bookman Old Style" w:hAnsi="Bookman Old Style"/>
          <w:sz w:val="24"/>
          <w:szCs w:val="24"/>
        </w:rPr>
        <w:t>che</w:t>
      </w:r>
      <w:r w:rsidR="008F3DE8">
        <w:rPr>
          <w:rFonts w:ascii="Bookman Old Style" w:hAnsi="Bookman Old Style"/>
          <w:sz w:val="24"/>
          <w:szCs w:val="24"/>
        </w:rPr>
        <w:t xml:space="preserve"> </w:t>
      </w:r>
      <w:r>
        <w:rPr>
          <w:rFonts w:ascii="Bookman Old Style" w:hAnsi="Bookman Old Style"/>
          <w:sz w:val="24"/>
          <w:szCs w:val="24"/>
        </w:rPr>
        <w:t>ha</w:t>
      </w:r>
      <w:r w:rsidR="008F3DE8">
        <w:rPr>
          <w:rFonts w:ascii="Bookman Old Style" w:hAnsi="Bookman Old Style"/>
          <w:sz w:val="24"/>
          <w:szCs w:val="24"/>
        </w:rPr>
        <w:t xml:space="preserve"> </w:t>
      </w:r>
      <w:r>
        <w:rPr>
          <w:rFonts w:ascii="Bookman Old Style" w:hAnsi="Bookman Old Style"/>
          <w:sz w:val="24"/>
          <w:szCs w:val="24"/>
        </w:rPr>
        <w:t>portato</w:t>
      </w:r>
      <w:r w:rsidR="008F3DE8">
        <w:rPr>
          <w:rFonts w:ascii="Bookman Old Style" w:hAnsi="Bookman Old Style"/>
          <w:sz w:val="24"/>
          <w:szCs w:val="24"/>
        </w:rPr>
        <w:t xml:space="preserve"> </w:t>
      </w:r>
      <w:r>
        <w:rPr>
          <w:rFonts w:ascii="Bookman Old Style" w:hAnsi="Bookman Old Style"/>
          <w:sz w:val="24"/>
          <w:szCs w:val="24"/>
        </w:rPr>
        <w:t>a</w:t>
      </w:r>
      <w:r w:rsidR="008F3DE8">
        <w:rPr>
          <w:rFonts w:ascii="Bookman Old Style" w:hAnsi="Bookman Old Style"/>
          <w:sz w:val="24"/>
          <w:szCs w:val="24"/>
        </w:rPr>
        <w:t xml:space="preserve"> </w:t>
      </w:r>
      <w:r>
        <w:rPr>
          <w:rFonts w:ascii="Bookman Old Style" w:hAnsi="Bookman Old Style"/>
          <w:sz w:val="24"/>
          <w:szCs w:val="24"/>
        </w:rPr>
        <w:t>modifiche</w:t>
      </w:r>
      <w:r w:rsidR="008F3DE8">
        <w:rPr>
          <w:rFonts w:ascii="Bookman Old Style" w:hAnsi="Bookman Old Style"/>
          <w:sz w:val="24"/>
          <w:szCs w:val="24"/>
        </w:rPr>
        <w:t xml:space="preserve"> </w:t>
      </w:r>
      <w:r>
        <w:rPr>
          <w:rFonts w:ascii="Bookman Old Style" w:hAnsi="Bookman Old Style"/>
          <w:sz w:val="24"/>
          <w:szCs w:val="24"/>
        </w:rPr>
        <w:t>prima</w:t>
      </w:r>
      <w:r w:rsidR="008F3DE8">
        <w:rPr>
          <w:rFonts w:ascii="Bookman Old Style" w:hAnsi="Bookman Old Style"/>
          <w:sz w:val="24"/>
          <w:szCs w:val="24"/>
        </w:rPr>
        <w:t xml:space="preserve"> </w:t>
      </w:r>
      <w:r>
        <w:rPr>
          <w:rFonts w:ascii="Bookman Old Style" w:hAnsi="Bookman Old Style"/>
          <w:sz w:val="24"/>
          <w:szCs w:val="24"/>
        </w:rPr>
        <w:t>legislative</w:t>
      </w:r>
      <w:r w:rsidR="008F3DE8">
        <w:rPr>
          <w:rFonts w:ascii="Bookman Old Style" w:hAnsi="Bookman Old Style"/>
          <w:sz w:val="24"/>
          <w:szCs w:val="24"/>
        </w:rPr>
        <w:t xml:space="preserve"> </w:t>
      </w:r>
      <w:r>
        <w:rPr>
          <w:rFonts w:ascii="Bookman Old Style" w:hAnsi="Bookman Old Style"/>
          <w:sz w:val="24"/>
          <w:szCs w:val="24"/>
        </w:rPr>
        <w:t>e</w:t>
      </w:r>
      <w:r w:rsidR="008F3DE8">
        <w:rPr>
          <w:rFonts w:ascii="Bookman Old Style" w:hAnsi="Bookman Old Style"/>
          <w:sz w:val="24"/>
          <w:szCs w:val="24"/>
        </w:rPr>
        <w:t xml:space="preserve"> </w:t>
      </w:r>
      <w:r>
        <w:rPr>
          <w:rFonts w:ascii="Bookman Old Style" w:hAnsi="Bookman Old Style"/>
          <w:sz w:val="24"/>
          <w:szCs w:val="24"/>
        </w:rPr>
        <w:t>poi</w:t>
      </w:r>
      <w:r w:rsidR="008F3DE8">
        <w:rPr>
          <w:rFonts w:ascii="Bookman Old Style" w:hAnsi="Bookman Old Style"/>
          <w:sz w:val="24"/>
          <w:szCs w:val="24"/>
        </w:rPr>
        <w:t xml:space="preserve"> </w:t>
      </w:r>
      <w:r>
        <w:rPr>
          <w:rFonts w:ascii="Bookman Old Style" w:hAnsi="Bookman Old Style"/>
          <w:sz w:val="24"/>
          <w:szCs w:val="24"/>
        </w:rPr>
        <w:t>costituzionali</w:t>
      </w:r>
      <w:r w:rsidR="008F3DE8">
        <w:rPr>
          <w:rFonts w:ascii="Bookman Old Style" w:hAnsi="Bookman Old Style"/>
          <w:sz w:val="24"/>
          <w:szCs w:val="24"/>
        </w:rPr>
        <w:t xml:space="preserve"> </w:t>
      </w:r>
      <w:r>
        <w:rPr>
          <w:rFonts w:ascii="Bookman Old Style" w:hAnsi="Bookman Old Style"/>
          <w:sz w:val="24"/>
          <w:szCs w:val="24"/>
        </w:rPr>
        <w:t>dell’assetto</w:t>
      </w:r>
      <w:r w:rsidR="008F3DE8">
        <w:rPr>
          <w:rFonts w:ascii="Bookman Old Style" w:hAnsi="Bookman Old Style"/>
          <w:sz w:val="24"/>
          <w:szCs w:val="24"/>
        </w:rPr>
        <w:t xml:space="preserve"> </w:t>
      </w:r>
      <w:r>
        <w:rPr>
          <w:rFonts w:ascii="Bookman Old Style" w:hAnsi="Bookman Old Style"/>
          <w:sz w:val="24"/>
          <w:szCs w:val="24"/>
        </w:rPr>
        <w:t>di</w:t>
      </w:r>
      <w:r w:rsidR="008F3DE8">
        <w:rPr>
          <w:rFonts w:ascii="Bookman Old Style" w:hAnsi="Bookman Old Style"/>
          <w:sz w:val="24"/>
          <w:szCs w:val="24"/>
        </w:rPr>
        <w:t xml:space="preserve"> </w:t>
      </w:r>
      <w:r>
        <w:rPr>
          <w:rFonts w:ascii="Bookman Old Style" w:hAnsi="Bookman Old Style"/>
          <w:sz w:val="24"/>
          <w:szCs w:val="24"/>
        </w:rPr>
        <w:t>poteri</w:t>
      </w:r>
      <w:r w:rsidR="008F3DE8">
        <w:rPr>
          <w:rFonts w:ascii="Bookman Old Style" w:hAnsi="Bookman Old Style"/>
          <w:sz w:val="24"/>
          <w:szCs w:val="24"/>
        </w:rPr>
        <w:t xml:space="preserve"> </w:t>
      </w:r>
      <w:r>
        <w:rPr>
          <w:rFonts w:ascii="Bookman Old Style" w:hAnsi="Bookman Old Style"/>
          <w:sz w:val="24"/>
          <w:szCs w:val="24"/>
        </w:rPr>
        <w:t>e</w:t>
      </w:r>
      <w:r w:rsidR="008F3DE8">
        <w:rPr>
          <w:rFonts w:ascii="Bookman Old Style" w:hAnsi="Bookman Old Style"/>
          <w:sz w:val="24"/>
          <w:szCs w:val="24"/>
        </w:rPr>
        <w:t xml:space="preserve"> </w:t>
      </w:r>
      <w:r>
        <w:rPr>
          <w:rFonts w:ascii="Bookman Old Style" w:hAnsi="Bookman Old Style"/>
          <w:sz w:val="24"/>
          <w:szCs w:val="24"/>
        </w:rPr>
        <w:t>competenze</w:t>
      </w:r>
      <w:r w:rsidR="008F3DE8">
        <w:rPr>
          <w:rFonts w:ascii="Bookman Old Style" w:hAnsi="Bookman Old Style"/>
          <w:sz w:val="24"/>
          <w:szCs w:val="24"/>
        </w:rPr>
        <w:t xml:space="preserve"> </w:t>
      </w:r>
      <w:r>
        <w:rPr>
          <w:rFonts w:ascii="Bookman Old Style" w:hAnsi="Bookman Old Style"/>
          <w:sz w:val="24"/>
          <w:szCs w:val="24"/>
        </w:rPr>
        <w:t>dello</w:t>
      </w:r>
      <w:r w:rsidR="008F3DE8">
        <w:rPr>
          <w:rFonts w:ascii="Bookman Old Style" w:hAnsi="Bookman Old Style"/>
          <w:sz w:val="24"/>
          <w:szCs w:val="24"/>
        </w:rPr>
        <w:t xml:space="preserve"> </w:t>
      </w:r>
      <w:r>
        <w:rPr>
          <w:rFonts w:ascii="Bookman Old Style" w:hAnsi="Bookman Old Style"/>
          <w:sz w:val="24"/>
          <w:szCs w:val="24"/>
        </w:rPr>
        <w:t>Stato</w:t>
      </w:r>
      <w:r w:rsidR="008F3DE8">
        <w:rPr>
          <w:rFonts w:ascii="Bookman Old Style" w:hAnsi="Bookman Old Style"/>
          <w:sz w:val="24"/>
          <w:szCs w:val="24"/>
        </w:rPr>
        <w:t xml:space="preserve"> </w:t>
      </w:r>
      <w:r>
        <w:rPr>
          <w:rFonts w:ascii="Bookman Old Style" w:hAnsi="Bookman Old Style"/>
          <w:sz w:val="24"/>
          <w:szCs w:val="24"/>
        </w:rPr>
        <w:t>italiano</w:t>
      </w:r>
      <w:r w:rsidR="008F3DE8">
        <w:rPr>
          <w:rFonts w:ascii="Bookman Old Style" w:hAnsi="Bookman Old Style"/>
          <w:sz w:val="24"/>
          <w:szCs w:val="24"/>
        </w:rPr>
        <w:t xml:space="preserve"> </w:t>
      </w:r>
      <w:r>
        <w:rPr>
          <w:rFonts w:ascii="Bookman Old Style" w:hAnsi="Bookman Old Style"/>
          <w:sz w:val="24"/>
          <w:szCs w:val="24"/>
        </w:rPr>
        <w:t>ha</w:t>
      </w:r>
      <w:r w:rsidR="008F3DE8">
        <w:rPr>
          <w:rFonts w:ascii="Bookman Old Style" w:hAnsi="Bookman Old Style"/>
          <w:sz w:val="24"/>
          <w:szCs w:val="24"/>
        </w:rPr>
        <w:t xml:space="preserve"> </w:t>
      </w:r>
      <w:r>
        <w:rPr>
          <w:rFonts w:ascii="Bookman Old Style" w:hAnsi="Bookman Old Style"/>
          <w:sz w:val="24"/>
          <w:szCs w:val="24"/>
        </w:rPr>
        <w:t>indubbiamente</w:t>
      </w:r>
      <w:r w:rsidR="008F3DE8">
        <w:rPr>
          <w:rFonts w:ascii="Bookman Old Style" w:hAnsi="Bookman Old Style"/>
          <w:sz w:val="24"/>
          <w:szCs w:val="24"/>
        </w:rPr>
        <w:t xml:space="preserve"> </w:t>
      </w:r>
      <w:r>
        <w:rPr>
          <w:rFonts w:ascii="Bookman Old Style" w:hAnsi="Bookman Old Style"/>
          <w:sz w:val="24"/>
          <w:szCs w:val="24"/>
        </w:rPr>
        <w:t>trovato</w:t>
      </w:r>
      <w:r w:rsidR="008F3DE8">
        <w:rPr>
          <w:rFonts w:ascii="Bookman Old Style" w:hAnsi="Bookman Old Style"/>
          <w:sz w:val="24"/>
          <w:szCs w:val="24"/>
        </w:rPr>
        <w:t xml:space="preserve"> </w:t>
      </w:r>
      <w:r w:rsidR="0075267D">
        <w:rPr>
          <w:rFonts w:ascii="Bookman Old Style" w:hAnsi="Bookman Old Style"/>
          <w:sz w:val="24"/>
          <w:szCs w:val="24"/>
        </w:rPr>
        <w:t xml:space="preserve">tra </w:t>
      </w:r>
      <w:r>
        <w:rPr>
          <w:rFonts w:ascii="Bookman Old Style" w:hAnsi="Bookman Old Style"/>
          <w:sz w:val="24"/>
          <w:szCs w:val="24"/>
        </w:rPr>
        <w:t>le</w:t>
      </w:r>
      <w:r w:rsidR="008F3DE8">
        <w:rPr>
          <w:rFonts w:ascii="Bookman Old Style" w:hAnsi="Bookman Old Style"/>
          <w:sz w:val="24"/>
          <w:szCs w:val="24"/>
        </w:rPr>
        <w:t xml:space="preserve"> </w:t>
      </w:r>
      <w:r>
        <w:rPr>
          <w:rFonts w:ascii="Bookman Old Style" w:hAnsi="Bookman Old Style"/>
          <w:sz w:val="24"/>
          <w:szCs w:val="24"/>
        </w:rPr>
        <w:t>proprie</w:t>
      </w:r>
      <w:r w:rsidR="008F3DE8">
        <w:rPr>
          <w:rFonts w:ascii="Bookman Old Style" w:hAnsi="Bookman Old Style"/>
          <w:sz w:val="24"/>
          <w:szCs w:val="24"/>
        </w:rPr>
        <w:t xml:space="preserve"> </w:t>
      </w:r>
      <w:r>
        <w:rPr>
          <w:rFonts w:ascii="Bookman Old Style" w:hAnsi="Bookman Old Style"/>
          <w:sz w:val="24"/>
          <w:szCs w:val="24"/>
        </w:rPr>
        <w:t>motivazioni</w:t>
      </w:r>
      <w:r w:rsidR="008F3DE8">
        <w:rPr>
          <w:rFonts w:ascii="Bookman Old Style" w:hAnsi="Bookman Old Style"/>
          <w:sz w:val="24"/>
          <w:szCs w:val="24"/>
        </w:rPr>
        <w:t xml:space="preserve"> </w:t>
      </w:r>
      <w:r>
        <w:rPr>
          <w:rFonts w:ascii="Bookman Old Style" w:hAnsi="Bookman Old Style"/>
          <w:sz w:val="24"/>
          <w:szCs w:val="24"/>
        </w:rPr>
        <w:t>la</w:t>
      </w:r>
      <w:r w:rsidR="008F3DE8">
        <w:rPr>
          <w:rFonts w:ascii="Bookman Old Style" w:hAnsi="Bookman Old Style"/>
          <w:sz w:val="24"/>
          <w:szCs w:val="24"/>
        </w:rPr>
        <w:t xml:space="preserve"> </w:t>
      </w:r>
      <w:r>
        <w:rPr>
          <w:rFonts w:ascii="Bookman Old Style" w:hAnsi="Bookman Old Style"/>
          <w:sz w:val="24"/>
          <w:szCs w:val="24"/>
        </w:rPr>
        <w:t>volontà</w:t>
      </w:r>
      <w:r w:rsidR="008F3DE8">
        <w:rPr>
          <w:rFonts w:ascii="Bookman Old Style" w:hAnsi="Bookman Old Style"/>
          <w:sz w:val="24"/>
          <w:szCs w:val="24"/>
        </w:rPr>
        <w:t xml:space="preserve"> </w:t>
      </w:r>
      <w:r>
        <w:rPr>
          <w:rFonts w:ascii="Bookman Old Style" w:hAnsi="Bookman Old Style"/>
          <w:sz w:val="24"/>
          <w:szCs w:val="24"/>
        </w:rPr>
        <w:t>di</w:t>
      </w:r>
      <w:r w:rsidR="008F3DE8">
        <w:rPr>
          <w:rFonts w:ascii="Bookman Old Style" w:hAnsi="Bookman Old Style"/>
          <w:sz w:val="24"/>
          <w:szCs w:val="24"/>
        </w:rPr>
        <w:t xml:space="preserve"> </w:t>
      </w:r>
      <w:r w:rsidRPr="00246418">
        <w:rPr>
          <w:rFonts w:ascii="Bookman Old Style" w:hAnsi="Bookman Old Style"/>
          <w:sz w:val="24"/>
          <w:szCs w:val="24"/>
        </w:rPr>
        <w:t>progettare</w:t>
      </w:r>
      <w:r w:rsidR="008F3DE8">
        <w:rPr>
          <w:rFonts w:ascii="Bookman Old Style" w:hAnsi="Bookman Old Style"/>
          <w:sz w:val="24"/>
          <w:szCs w:val="24"/>
        </w:rPr>
        <w:t xml:space="preserve"> </w:t>
      </w:r>
      <w:r w:rsidRPr="00246418">
        <w:rPr>
          <w:rFonts w:ascii="Bookman Old Style" w:hAnsi="Bookman Old Style"/>
          <w:sz w:val="24"/>
          <w:szCs w:val="24"/>
        </w:rPr>
        <w:t>una</w:t>
      </w:r>
      <w:r w:rsidR="008F3DE8">
        <w:rPr>
          <w:rFonts w:ascii="Bookman Old Style" w:hAnsi="Bookman Old Style"/>
          <w:sz w:val="24"/>
          <w:szCs w:val="24"/>
        </w:rPr>
        <w:t xml:space="preserve"> </w:t>
      </w:r>
      <w:r w:rsidRPr="00246418">
        <w:rPr>
          <w:rFonts w:ascii="Bookman Old Style" w:hAnsi="Bookman Old Style"/>
          <w:sz w:val="24"/>
          <w:szCs w:val="24"/>
        </w:rPr>
        <w:t>moderna</w:t>
      </w:r>
      <w:r w:rsidR="008F3DE8">
        <w:rPr>
          <w:rFonts w:ascii="Bookman Old Style" w:hAnsi="Bookman Old Style"/>
          <w:sz w:val="24"/>
          <w:szCs w:val="24"/>
        </w:rPr>
        <w:t xml:space="preserve"> </w:t>
      </w:r>
      <w:r w:rsidRPr="00246418">
        <w:rPr>
          <w:rFonts w:ascii="Bookman Old Style" w:hAnsi="Bookman Old Style"/>
          <w:sz w:val="24"/>
          <w:szCs w:val="24"/>
        </w:rPr>
        <w:t>organizzazione</w:t>
      </w:r>
      <w:r w:rsidR="008F3DE8">
        <w:rPr>
          <w:rFonts w:ascii="Bookman Old Style" w:hAnsi="Bookman Old Style"/>
          <w:sz w:val="24"/>
          <w:szCs w:val="24"/>
        </w:rPr>
        <w:t xml:space="preserve"> </w:t>
      </w:r>
      <w:r w:rsidRPr="00246418">
        <w:rPr>
          <w:rFonts w:ascii="Bookman Old Style" w:hAnsi="Bookman Old Style"/>
          <w:sz w:val="24"/>
          <w:szCs w:val="24"/>
        </w:rPr>
        <w:t>dei</w:t>
      </w:r>
      <w:r w:rsidR="008F3DE8">
        <w:rPr>
          <w:rFonts w:ascii="Bookman Old Style" w:hAnsi="Bookman Old Style"/>
          <w:sz w:val="24"/>
          <w:szCs w:val="24"/>
        </w:rPr>
        <w:t xml:space="preserve"> </w:t>
      </w:r>
      <w:r w:rsidRPr="00246418">
        <w:rPr>
          <w:rFonts w:ascii="Bookman Old Style" w:hAnsi="Bookman Old Style"/>
          <w:sz w:val="24"/>
          <w:szCs w:val="24"/>
        </w:rPr>
        <w:t>poteri</w:t>
      </w:r>
      <w:r w:rsidR="008F3DE8">
        <w:rPr>
          <w:rFonts w:ascii="Bookman Old Style" w:hAnsi="Bookman Old Style"/>
          <w:sz w:val="24"/>
          <w:szCs w:val="24"/>
        </w:rPr>
        <w:t xml:space="preserve"> </w:t>
      </w:r>
      <w:r w:rsidRPr="00246418">
        <w:rPr>
          <w:rFonts w:ascii="Bookman Old Style" w:hAnsi="Bookman Old Style"/>
          <w:sz w:val="24"/>
          <w:szCs w:val="24"/>
        </w:rPr>
        <w:t>pubblici</w:t>
      </w:r>
      <w:r w:rsidR="008F3DE8">
        <w:rPr>
          <w:rFonts w:ascii="Bookman Old Style" w:hAnsi="Bookman Old Style"/>
          <w:sz w:val="24"/>
          <w:szCs w:val="24"/>
        </w:rPr>
        <w:t xml:space="preserve"> </w:t>
      </w:r>
      <w:r w:rsidR="006844CC">
        <w:rPr>
          <w:rFonts w:ascii="Bookman Old Style" w:hAnsi="Bookman Old Style"/>
          <w:sz w:val="24"/>
          <w:szCs w:val="24"/>
        </w:rPr>
        <w:t>tale</w:t>
      </w:r>
      <w:r w:rsidR="008F3DE8">
        <w:rPr>
          <w:rFonts w:ascii="Bookman Old Style" w:hAnsi="Bookman Old Style"/>
          <w:sz w:val="24"/>
          <w:szCs w:val="24"/>
        </w:rPr>
        <w:t xml:space="preserve"> </w:t>
      </w:r>
      <w:r>
        <w:rPr>
          <w:rFonts w:ascii="Bookman Old Style" w:hAnsi="Bookman Old Style"/>
          <w:sz w:val="24"/>
          <w:szCs w:val="24"/>
        </w:rPr>
        <w:t>da</w:t>
      </w:r>
      <w:r w:rsidR="008F3DE8">
        <w:rPr>
          <w:rFonts w:ascii="Bookman Old Style" w:hAnsi="Bookman Old Style"/>
          <w:sz w:val="24"/>
          <w:szCs w:val="24"/>
        </w:rPr>
        <w:t xml:space="preserve"> </w:t>
      </w:r>
      <w:r w:rsidRPr="00246418">
        <w:rPr>
          <w:rFonts w:ascii="Bookman Old Style" w:hAnsi="Bookman Old Style"/>
          <w:sz w:val="24"/>
          <w:szCs w:val="24"/>
        </w:rPr>
        <w:t>assicurare</w:t>
      </w:r>
      <w:r w:rsidR="008F3DE8">
        <w:rPr>
          <w:rFonts w:ascii="Bookman Old Style" w:hAnsi="Bookman Old Style"/>
          <w:sz w:val="24"/>
          <w:szCs w:val="24"/>
        </w:rPr>
        <w:t xml:space="preserve"> </w:t>
      </w:r>
      <w:r w:rsidRPr="00246418">
        <w:rPr>
          <w:rFonts w:ascii="Bookman Old Style" w:hAnsi="Bookman Old Style"/>
          <w:sz w:val="24"/>
          <w:szCs w:val="24"/>
        </w:rPr>
        <w:t>migliori</w:t>
      </w:r>
      <w:r w:rsidR="008F3DE8">
        <w:rPr>
          <w:rFonts w:ascii="Bookman Old Style" w:hAnsi="Bookman Old Style"/>
          <w:sz w:val="24"/>
          <w:szCs w:val="24"/>
        </w:rPr>
        <w:t xml:space="preserve"> </w:t>
      </w:r>
      <w:r w:rsidRPr="00246418">
        <w:rPr>
          <w:rFonts w:ascii="Bookman Old Style" w:hAnsi="Bookman Old Style"/>
          <w:sz w:val="24"/>
          <w:szCs w:val="24"/>
        </w:rPr>
        <w:t>prestazioni,</w:t>
      </w:r>
      <w:r w:rsidR="008F3DE8">
        <w:rPr>
          <w:rFonts w:ascii="Bookman Old Style" w:hAnsi="Bookman Old Style"/>
          <w:sz w:val="24"/>
          <w:szCs w:val="24"/>
        </w:rPr>
        <w:t xml:space="preserve"> </w:t>
      </w:r>
      <w:r w:rsidRPr="00246418">
        <w:rPr>
          <w:rFonts w:ascii="Bookman Old Style" w:hAnsi="Bookman Old Style"/>
          <w:sz w:val="24"/>
          <w:szCs w:val="24"/>
        </w:rPr>
        <w:lastRenderedPageBreak/>
        <w:t>migliori</w:t>
      </w:r>
      <w:r w:rsidR="008F3DE8">
        <w:rPr>
          <w:rFonts w:ascii="Bookman Old Style" w:hAnsi="Bookman Old Style"/>
          <w:sz w:val="24"/>
          <w:szCs w:val="24"/>
        </w:rPr>
        <w:t xml:space="preserve"> </w:t>
      </w:r>
      <w:r w:rsidRPr="00246418">
        <w:rPr>
          <w:rFonts w:ascii="Bookman Old Style" w:hAnsi="Bookman Old Style"/>
          <w:sz w:val="24"/>
          <w:szCs w:val="24"/>
        </w:rPr>
        <w:t>servizi</w:t>
      </w:r>
      <w:r w:rsidR="008F3DE8">
        <w:rPr>
          <w:rFonts w:ascii="Bookman Old Style" w:hAnsi="Bookman Old Style"/>
          <w:sz w:val="24"/>
          <w:szCs w:val="24"/>
        </w:rPr>
        <w:t xml:space="preserve"> </w:t>
      </w:r>
      <w:r w:rsidRPr="00246418">
        <w:rPr>
          <w:rFonts w:ascii="Bookman Old Style" w:hAnsi="Bookman Old Style"/>
          <w:sz w:val="24"/>
          <w:szCs w:val="24"/>
        </w:rPr>
        <w:t>per</w:t>
      </w:r>
      <w:r w:rsidR="008F3DE8">
        <w:rPr>
          <w:rFonts w:ascii="Bookman Old Style" w:hAnsi="Bookman Old Style"/>
          <w:sz w:val="24"/>
          <w:szCs w:val="24"/>
        </w:rPr>
        <w:t xml:space="preserve"> </w:t>
      </w:r>
      <w:r w:rsidRPr="00246418">
        <w:rPr>
          <w:rFonts w:ascii="Bookman Old Style" w:hAnsi="Bookman Old Style"/>
          <w:sz w:val="24"/>
          <w:szCs w:val="24"/>
        </w:rPr>
        <w:t>realizzare</w:t>
      </w:r>
      <w:r w:rsidR="008F3DE8">
        <w:rPr>
          <w:rFonts w:ascii="Bookman Old Style" w:hAnsi="Bookman Old Style"/>
          <w:sz w:val="24"/>
          <w:szCs w:val="24"/>
        </w:rPr>
        <w:t xml:space="preserve"> </w:t>
      </w:r>
      <w:r w:rsidRPr="00246418">
        <w:rPr>
          <w:rFonts w:ascii="Bookman Old Style" w:hAnsi="Bookman Old Style"/>
          <w:sz w:val="24"/>
          <w:szCs w:val="24"/>
        </w:rPr>
        <w:t>i</w:t>
      </w:r>
      <w:r w:rsidR="008F3DE8">
        <w:rPr>
          <w:rFonts w:ascii="Bookman Old Style" w:hAnsi="Bookman Old Style"/>
          <w:sz w:val="24"/>
          <w:szCs w:val="24"/>
        </w:rPr>
        <w:t xml:space="preserve"> </w:t>
      </w:r>
      <w:r w:rsidRPr="00246418">
        <w:rPr>
          <w:rFonts w:ascii="Bookman Old Style" w:hAnsi="Bookman Old Style"/>
          <w:sz w:val="24"/>
          <w:szCs w:val="24"/>
        </w:rPr>
        <w:t>diritti</w:t>
      </w:r>
      <w:r w:rsidR="008F3DE8">
        <w:rPr>
          <w:rFonts w:ascii="Bookman Old Style" w:hAnsi="Bookman Old Style"/>
          <w:sz w:val="24"/>
          <w:szCs w:val="24"/>
        </w:rPr>
        <w:t xml:space="preserve"> </w:t>
      </w:r>
      <w:r w:rsidRPr="00246418">
        <w:rPr>
          <w:rFonts w:ascii="Bookman Old Style" w:hAnsi="Bookman Old Style"/>
          <w:sz w:val="24"/>
          <w:szCs w:val="24"/>
        </w:rPr>
        <w:t>dei</w:t>
      </w:r>
      <w:r w:rsidR="008F3DE8">
        <w:rPr>
          <w:rFonts w:ascii="Bookman Old Style" w:hAnsi="Bookman Old Style"/>
          <w:sz w:val="24"/>
          <w:szCs w:val="24"/>
        </w:rPr>
        <w:t xml:space="preserve"> </w:t>
      </w:r>
      <w:r w:rsidRPr="00246418">
        <w:rPr>
          <w:rFonts w:ascii="Bookman Old Style" w:hAnsi="Bookman Old Style"/>
          <w:sz w:val="24"/>
          <w:szCs w:val="24"/>
        </w:rPr>
        <w:t>cittadini,</w:t>
      </w:r>
      <w:r w:rsidR="008F3DE8">
        <w:rPr>
          <w:rFonts w:ascii="Bookman Old Style" w:hAnsi="Bookman Old Style"/>
          <w:sz w:val="24"/>
          <w:szCs w:val="24"/>
        </w:rPr>
        <w:t xml:space="preserve"> </w:t>
      </w:r>
      <w:r w:rsidRPr="00246418">
        <w:rPr>
          <w:rFonts w:ascii="Bookman Old Style" w:hAnsi="Bookman Old Style"/>
          <w:sz w:val="24"/>
          <w:szCs w:val="24"/>
        </w:rPr>
        <w:t>mediante</w:t>
      </w:r>
      <w:r w:rsidR="008F3DE8">
        <w:rPr>
          <w:rFonts w:ascii="Bookman Old Style" w:hAnsi="Bookman Old Style"/>
          <w:sz w:val="24"/>
          <w:szCs w:val="24"/>
        </w:rPr>
        <w:t xml:space="preserve"> </w:t>
      </w:r>
      <w:r w:rsidRPr="00246418">
        <w:rPr>
          <w:rFonts w:ascii="Bookman Old Style" w:hAnsi="Bookman Old Style"/>
          <w:sz w:val="24"/>
          <w:szCs w:val="24"/>
        </w:rPr>
        <w:t>un</w:t>
      </w:r>
      <w:r>
        <w:rPr>
          <w:rFonts w:ascii="Bookman Old Style" w:hAnsi="Bookman Old Style"/>
          <w:sz w:val="24"/>
          <w:szCs w:val="24"/>
        </w:rPr>
        <w:t>’</w:t>
      </w:r>
      <w:r w:rsidRPr="00246418">
        <w:rPr>
          <w:rFonts w:ascii="Bookman Old Style" w:hAnsi="Bookman Old Style"/>
          <w:sz w:val="24"/>
          <w:szCs w:val="24"/>
        </w:rPr>
        <w:t>intelligente</w:t>
      </w:r>
      <w:r w:rsidR="008F3DE8">
        <w:rPr>
          <w:rFonts w:ascii="Bookman Old Style" w:hAnsi="Bookman Old Style"/>
          <w:sz w:val="24"/>
          <w:szCs w:val="24"/>
        </w:rPr>
        <w:t xml:space="preserve"> </w:t>
      </w:r>
      <w:r w:rsidRPr="00246418">
        <w:rPr>
          <w:rFonts w:ascii="Bookman Old Style" w:hAnsi="Bookman Old Style"/>
          <w:sz w:val="24"/>
          <w:szCs w:val="24"/>
        </w:rPr>
        <w:t>e</w:t>
      </w:r>
      <w:r>
        <w:rPr>
          <w:rFonts w:ascii="Bookman Old Style" w:hAnsi="Bookman Old Style"/>
          <w:sz w:val="24"/>
          <w:szCs w:val="24"/>
        </w:rPr>
        <w:t>d</w:t>
      </w:r>
      <w:r w:rsidR="008F3DE8">
        <w:rPr>
          <w:rFonts w:ascii="Bookman Old Style" w:hAnsi="Bookman Old Style"/>
          <w:sz w:val="24"/>
          <w:szCs w:val="24"/>
        </w:rPr>
        <w:t xml:space="preserve"> </w:t>
      </w:r>
      <w:r w:rsidRPr="00246418">
        <w:rPr>
          <w:rFonts w:ascii="Bookman Old Style" w:hAnsi="Bookman Old Style"/>
          <w:sz w:val="24"/>
          <w:szCs w:val="24"/>
        </w:rPr>
        <w:t>efficace</w:t>
      </w:r>
      <w:r w:rsidR="008F3DE8">
        <w:rPr>
          <w:rFonts w:ascii="Bookman Old Style" w:hAnsi="Bookman Old Style"/>
          <w:sz w:val="24"/>
          <w:szCs w:val="24"/>
        </w:rPr>
        <w:t xml:space="preserve"> </w:t>
      </w:r>
      <w:r w:rsidRPr="00246418">
        <w:rPr>
          <w:rFonts w:ascii="Bookman Old Style" w:hAnsi="Bookman Old Style"/>
          <w:sz w:val="24"/>
          <w:szCs w:val="24"/>
        </w:rPr>
        <w:t>ripartizione</w:t>
      </w:r>
      <w:r w:rsidR="008F3DE8">
        <w:rPr>
          <w:rFonts w:ascii="Bookman Old Style" w:hAnsi="Bookman Old Style"/>
          <w:sz w:val="24"/>
          <w:szCs w:val="24"/>
        </w:rPr>
        <w:t xml:space="preserve"> </w:t>
      </w:r>
      <w:r w:rsidRPr="00246418">
        <w:rPr>
          <w:rFonts w:ascii="Bookman Old Style" w:hAnsi="Bookman Old Style"/>
          <w:sz w:val="24"/>
          <w:szCs w:val="24"/>
        </w:rPr>
        <w:t>dei</w:t>
      </w:r>
      <w:r w:rsidR="008F3DE8">
        <w:rPr>
          <w:rFonts w:ascii="Bookman Old Style" w:hAnsi="Bookman Old Style"/>
          <w:sz w:val="24"/>
          <w:szCs w:val="24"/>
        </w:rPr>
        <w:t xml:space="preserve"> </w:t>
      </w:r>
      <w:r w:rsidRPr="00246418">
        <w:rPr>
          <w:rFonts w:ascii="Bookman Old Style" w:hAnsi="Bookman Old Style"/>
          <w:sz w:val="24"/>
          <w:szCs w:val="24"/>
        </w:rPr>
        <w:t>compiti</w:t>
      </w:r>
      <w:r w:rsidR="008F3DE8">
        <w:rPr>
          <w:rFonts w:ascii="Bookman Old Style" w:hAnsi="Bookman Old Style"/>
          <w:sz w:val="24"/>
          <w:szCs w:val="24"/>
        </w:rPr>
        <w:t xml:space="preserve"> </w:t>
      </w:r>
      <w:r w:rsidRPr="00246418">
        <w:rPr>
          <w:rFonts w:ascii="Bookman Old Style" w:hAnsi="Bookman Old Style"/>
          <w:sz w:val="24"/>
          <w:szCs w:val="24"/>
        </w:rPr>
        <w:t>pubblici</w:t>
      </w:r>
      <w:r w:rsidR="008F3DE8">
        <w:rPr>
          <w:rFonts w:ascii="Bookman Old Style" w:hAnsi="Bookman Old Style"/>
          <w:sz w:val="24"/>
          <w:szCs w:val="24"/>
        </w:rPr>
        <w:t xml:space="preserve"> </w:t>
      </w:r>
      <w:r w:rsidRPr="00246418">
        <w:rPr>
          <w:rFonts w:ascii="Bookman Old Style" w:hAnsi="Bookman Old Style"/>
          <w:sz w:val="24"/>
          <w:szCs w:val="24"/>
        </w:rPr>
        <w:t>fra</w:t>
      </w:r>
      <w:r w:rsidR="008F3DE8">
        <w:rPr>
          <w:rFonts w:ascii="Bookman Old Style" w:hAnsi="Bookman Old Style"/>
          <w:sz w:val="24"/>
          <w:szCs w:val="24"/>
        </w:rPr>
        <w:t xml:space="preserve"> </w:t>
      </w:r>
      <w:r w:rsidRPr="00246418">
        <w:rPr>
          <w:rFonts w:ascii="Bookman Old Style" w:hAnsi="Bookman Old Style"/>
          <w:sz w:val="24"/>
          <w:szCs w:val="24"/>
        </w:rPr>
        <w:t>le</w:t>
      </w:r>
      <w:r w:rsidR="008F3DE8">
        <w:rPr>
          <w:rFonts w:ascii="Bookman Old Style" w:hAnsi="Bookman Old Style"/>
          <w:sz w:val="24"/>
          <w:szCs w:val="24"/>
        </w:rPr>
        <w:t xml:space="preserve"> </w:t>
      </w:r>
      <w:r w:rsidRPr="00246418">
        <w:rPr>
          <w:rFonts w:ascii="Bookman Old Style" w:hAnsi="Bookman Old Style"/>
          <w:sz w:val="24"/>
          <w:szCs w:val="24"/>
        </w:rPr>
        <w:t>diverse</w:t>
      </w:r>
      <w:r w:rsidR="008F3DE8">
        <w:rPr>
          <w:rFonts w:ascii="Bookman Old Style" w:hAnsi="Bookman Old Style"/>
          <w:sz w:val="24"/>
          <w:szCs w:val="24"/>
        </w:rPr>
        <w:t xml:space="preserve"> </w:t>
      </w:r>
      <w:proofErr w:type="gramStart"/>
      <w:r w:rsidRPr="00246418">
        <w:rPr>
          <w:rFonts w:ascii="Bookman Old Style" w:hAnsi="Bookman Old Style"/>
          <w:sz w:val="24"/>
          <w:szCs w:val="24"/>
        </w:rPr>
        <w:t>amministrazioni</w:t>
      </w:r>
      <w:r w:rsidR="0075267D">
        <w:rPr>
          <w:rFonts w:ascii="Bookman Old Style" w:hAnsi="Bookman Old Style"/>
          <w:sz w:val="24"/>
          <w:szCs w:val="24"/>
        </w:rPr>
        <w:t xml:space="preserve"> </w:t>
      </w:r>
      <w:r w:rsidRPr="00D11BEB">
        <w:footnoteReference w:id="7"/>
      </w:r>
      <w:r w:rsidRPr="00246418">
        <w:rPr>
          <w:rFonts w:ascii="Bookman Old Style" w:hAnsi="Bookman Old Style"/>
          <w:sz w:val="24"/>
          <w:szCs w:val="24"/>
        </w:rPr>
        <w:t>.</w:t>
      </w:r>
      <w:proofErr w:type="gramEnd"/>
    </w:p>
    <w:p w:rsidR="00246418" w:rsidRPr="00C75729" w:rsidRDefault="00DD34A2" w:rsidP="00246418">
      <w:pPr>
        <w:ind w:firstLine="709"/>
        <w:jc w:val="both"/>
        <w:rPr>
          <w:rFonts w:ascii="Bookman Old Style" w:hAnsi="Bookman Old Style"/>
          <w:sz w:val="24"/>
          <w:szCs w:val="24"/>
        </w:rPr>
      </w:pPr>
      <w:r>
        <w:rPr>
          <w:rFonts w:ascii="Bookman Old Style" w:hAnsi="Bookman Old Style"/>
          <w:sz w:val="24"/>
          <w:szCs w:val="24"/>
        </w:rPr>
        <w:t>A</w:t>
      </w:r>
      <w:r w:rsidR="008F3DE8">
        <w:rPr>
          <w:rFonts w:ascii="Bookman Old Style" w:hAnsi="Bookman Old Style"/>
          <w:sz w:val="24"/>
          <w:szCs w:val="24"/>
        </w:rPr>
        <w:t xml:space="preserve"> </w:t>
      </w:r>
      <w:r>
        <w:rPr>
          <w:rFonts w:ascii="Bookman Old Style" w:hAnsi="Bookman Old Style"/>
          <w:sz w:val="24"/>
          <w:szCs w:val="24"/>
        </w:rPr>
        <w:t>tal</w:t>
      </w:r>
      <w:r w:rsidR="008F3DE8">
        <w:rPr>
          <w:rFonts w:ascii="Bookman Old Style" w:hAnsi="Bookman Old Style"/>
          <w:sz w:val="24"/>
          <w:szCs w:val="24"/>
        </w:rPr>
        <w:t xml:space="preserve"> </w:t>
      </w:r>
      <w:r>
        <w:rPr>
          <w:rFonts w:ascii="Bookman Old Style" w:hAnsi="Bookman Old Style"/>
          <w:sz w:val="24"/>
          <w:szCs w:val="24"/>
        </w:rPr>
        <w:t>proposito,</w:t>
      </w:r>
      <w:r w:rsidR="008F3DE8">
        <w:rPr>
          <w:rFonts w:ascii="Bookman Old Style" w:hAnsi="Bookman Old Style"/>
          <w:sz w:val="24"/>
          <w:szCs w:val="24"/>
        </w:rPr>
        <w:t xml:space="preserve"> </w:t>
      </w:r>
      <w:r>
        <w:rPr>
          <w:rFonts w:ascii="Bookman Old Style" w:hAnsi="Bookman Old Style"/>
          <w:sz w:val="24"/>
          <w:szCs w:val="24"/>
        </w:rPr>
        <w:t>vale</w:t>
      </w:r>
      <w:r w:rsidR="008F3DE8">
        <w:rPr>
          <w:rFonts w:ascii="Bookman Old Style" w:hAnsi="Bookman Old Style"/>
          <w:sz w:val="24"/>
          <w:szCs w:val="24"/>
        </w:rPr>
        <w:t xml:space="preserve"> </w:t>
      </w:r>
      <w:r>
        <w:rPr>
          <w:rFonts w:ascii="Bookman Old Style" w:hAnsi="Bookman Old Style"/>
          <w:sz w:val="24"/>
          <w:szCs w:val="24"/>
        </w:rPr>
        <w:t>la</w:t>
      </w:r>
      <w:r w:rsidR="008F3DE8">
        <w:rPr>
          <w:rFonts w:ascii="Bookman Old Style" w:hAnsi="Bookman Old Style"/>
          <w:sz w:val="24"/>
          <w:szCs w:val="24"/>
        </w:rPr>
        <w:t xml:space="preserve"> </w:t>
      </w:r>
      <w:r>
        <w:rPr>
          <w:rFonts w:ascii="Bookman Old Style" w:hAnsi="Bookman Old Style"/>
          <w:sz w:val="24"/>
          <w:szCs w:val="24"/>
        </w:rPr>
        <w:t>pena</w:t>
      </w:r>
      <w:r w:rsidR="008F3DE8">
        <w:rPr>
          <w:rFonts w:ascii="Bookman Old Style" w:hAnsi="Bookman Old Style"/>
          <w:sz w:val="24"/>
          <w:szCs w:val="24"/>
        </w:rPr>
        <w:t xml:space="preserve"> </w:t>
      </w:r>
      <w:r>
        <w:rPr>
          <w:rFonts w:ascii="Bookman Old Style" w:hAnsi="Bookman Old Style"/>
          <w:sz w:val="24"/>
          <w:szCs w:val="24"/>
        </w:rPr>
        <w:t>di</w:t>
      </w:r>
      <w:r w:rsidR="008F3DE8">
        <w:rPr>
          <w:rFonts w:ascii="Bookman Old Style" w:hAnsi="Bookman Old Style"/>
          <w:sz w:val="24"/>
          <w:szCs w:val="24"/>
        </w:rPr>
        <w:t xml:space="preserve"> </w:t>
      </w:r>
      <w:r>
        <w:rPr>
          <w:rFonts w:ascii="Bookman Old Style" w:hAnsi="Bookman Old Style"/>
          <w:sz w:val="24"/>
          <w:szCs w:val="24"/>
        </w:rPr>
        <w:t>evidenziare</w:t>
      </w:r>
      <w:r w:rsidR="008F3DE8">
        <w:rPr>
          <w:rFonts w:ascii="Bookman Old Style" w:hAnsi="Bookman Old Style"/>
          <w:sz w:val="24"/>
          <w:szCs w:val="24"/>
        </w:rPr>
        <w:t xml:space="preserve"> </w:t>
      </w:r>
      <w:r>
        <w:rPr>
          <w:rFonts w:ascii="Bookman Old Style" w:hAnsi="Bookman Old Style"/>
          <w:sz w:val="24"/>
          <w:szCs w:val="24"/>
        </w:rPr>
        <w:t>come</w:t>
      </w:r>
      <w:r w:rsidR="008F3DE8">
        <w:rPr>
          <w:rFonts w:ascii="Bookman Old Style" w:hAnsi="Bookman Old Style"/>
          <w:sz w:val="24"/>
          <w:szCs w:val="24"/>
        </w:rPr>
        <w:t xml:space="preserve"> </w:t>
      </w:r>
      <w:r>
        <w:rPr>
          <w:rFonts w:ascii="Bookman Old Style" w:hAnsi="Bookman Old Style"/>
          <w:sz w:val="24"/>
          <w:szCs w:val="24"/>
        </w:rPr>
        <w:t>il</w:t>
      </w:r>
      <w:r w:rsidR="008F3DE8">
        <w:rPr>
          <w:rFonts w:ascii="Bookman Old Style" w:hAnsi="Bookman Old Style"/>
          <w:sz w:val="24"/>
          <w:szCs w:val="24"/>
        </w:rPr>
        <w:t xml:space="preserve"> </w:t>
      </w:r>
      <w:r>
        <w:rPr>
          <w:rFonts w:ascii="Bookman Old Style" w:hAnsi="Bookman Old Style"/>
          <w:sz w:val="24"/>
          <w:szCs w:val="24"/>
        </w:rPr>
        <w:t>catalogo</w:t>
      </w:r>
      <w:r w:rsidR="008F3DE8">
        <w:rPr>
          <w:rFonts w:ascii="Bookman Old Style" w:hAnsi="Bookman Old Style"/>
          <w:sz w:val="24"/>
          <w:szCs w:val="24"/>
        </w:rPr>
        <w:t xml:space="preserve"> </w:t>
      </w:r>
      <w:r>
        <w:rPr>
          <w:rFonts w:ascii="Bookman Old Style" w:hAnsi="Bookman Old Style"/>
          <w:sz w:val="24"/>
          <w:szCs w:val="24"/>
        </w:rPr>
        <w:t>dei</w:t>
      </w:r>
      <w:r w:rsidR="008F3DE8">
        <w:rPr>
          <w:rFonts w:ascii="Bookman Old Style" w:hAnsi="Bookman Old Style"/>
          <w:sz w:val="24"/>
          <w:szCs w:val="24"/>
        </w:rPr>
        <w:t xml:space="preserve"> </w:t>
      </w:r>
      <w:r>
        <w:rPr>
          <w:rFonts w:ascii="Bookman Old Style" w:hAnsi="Bookman Old Style"/>
          <w:sz w:val="24"/>
          <w:szCs w:val="24"/>
        </w:rPr>
        <w:t>diritti</w:t>
      </w:r>
      <w:r w:rsidR="008F3DE8">
        <w:rPr>
          <w:rFonts w:ascii="Bookman Old Style" w:hAnsi="Bookman Old Style"/>
          <w:sz w:val="24"/>
          <w:szCs w:val="24"/>
        </w:rPr>
        <w:t xml:space="preserve"> </w:t>
      </w:r>
      <w:r>
        <w:rPr>
          <w:rFonts w:ascii="Bookman Old Style" w:hAnsi="Bookman Old Style"/>
          <w:sz w:val="24"/>
          <w:szCs w:val="24"/>
        </w:rPr>
        <w:t>fondamentali</w:t>
      </w:r>
      <w:r w:rsidR="008F3DE8">
        <w:rPr>
          <w:rFonts w:ascii="Bookman Old Style" w:hAnsi="Bookman Old Style"/>
          <w:sz w:val="24"/>
          <w:szCs w:val="24"/>
        </w:rPr>
        <w:t xml:space="preserve"> </w:t>
      </w:r>
      <w:r>
        <w:rPr>
          <w:rFonts w:ascii="Bookman Old Style" w:hAnsi="Bookman Old Style"/>
          <w:sz w:val="24"/>
          <w:szCs w:val="24"/>
        </w:rPr>
        <w:t>sia</w:t>
      </w:r>
      <w:r w:rsidR="008F3DE8">
        <w:rPr>
          <w:rFonts w:ascii="Bookman Old Style" w:hAnsi="Bookman Old Style"/>
          <w:sz w:val="24"/>
          <w:szCs w:val="24"/>
        </w:rPr>
        <w:t xml:space="preserve"> </w:t>
      </w:r>
      <w:r>
        <w:rPr>
          <w:rFonts w:ascii="Bookman Old Style" w:hAnsi="Bookman Old Style"/>
          <w:sz w:val="24"/>
          <w:szCs w:val="24"/>
        </w:rPr>
        <w:t>cresciuto</w:t>
      </w:r>
      <w:r w:rsidR="008F3DE8">
        <w:rPr>
          <w:rFonts w:ascii="Bookman Old Style" w:hAnsi="Bookman Old Style"/>
          <w:sz w:val="24"/>
          <w:szCs w:val="24"/>
        </w:rPr>
        <w:t xml:space="preserve"> </w:t>
      </w:r>
      <w:r>
        <w:rPr>
          <w:rFonts w:ascii="Bookman Old Style" w:hAnsi="Bookman Old Style"/>
          <w:sz w:val="24"/>
          <w:szCs w:val="24"/>
        </w:rPr>
        <w:t>esponenzialmente</w:t>
      </w:r>
      <w:r w:rsidR="008F3DE8">
        <w:rPr>
          <w:rFonts w:ascii="Bookman Old Style" w:hAnsi="Bookman Old Style"/>
          <w:sz w:val="24"/>
          <w:szCs w:val="24"/>
        </w:rPr>
        <w:t xml:space="preserve"> </w:t>
      </w:r>
      <w:r>
        <w:rPr>
          <w:rFonts w:ascii="Bookman Old Style" w:hAnsi="Bookman Old Style"/>
          <w:sz w:val="24"/>
          <w:szCs w:val="24"/>
        </w:rPr>
        <w:t>negli</w:t>
      </w:r>
      <w:r w:rsidR="008F3DE8">
        <w:rPr>
          <w:rFonts w:ascii="Bookman Old Style" w:hAnsi="Bookman Old Style"/>
          <w:sz w:val="24"/>
          <w:szCs w:val="24"/>
        </w:rPr>
        <w:t xml:space="preserve"> </w:t>
      </w:r>
      <w:r>
        <w:rPr>
          <w:rFonts w:ascii="Bookman Old Style" w:hAnsi="Bookman Old Style"/>
          <w:sz w:val="24"/>
          <w:szCs w:val="24"/>
        </w:rPr>
        <w:t>ultimi</w:t>
      </w:r>
      <w:r w:rsidR="008F3DE8">
        <w:rPr>
          <w:rFonts w:ascii="Bookman Old Style" w:hAnsi="Bookman Old Style"/>
          <w:sz w:val="24"/>
          <w:szCs w:val="24"/>
        </w:rPr>
        <w:t xml:space="preserve"> </w:t>
      </w:r>
      <w:r>
        <w:rPr>
          <w:rFonts w:ascii="Bookman Old Style" w:hAnsi="Bookman Old Style"/>
          <w:sz w:val="24"/>
          <w:szCs w:val="24"/>
        </w:rPr>
        <w:t>anni,</w:t>
      </w:r>
      <w:r w:rsidR="008F3DE8">
        <w:rPr>
          <w:rFonts w:ascii="Bookman Old Style" w:hAnsi="Bookman Old Style"/>
          <w:sz w:val="24"/>
          <w:szCs w:val="24"/>
        </w:rPr>
        <w:t xml:space="preserve"> </w:t>
      </w:r>
      <w:r>
        <w:rPr>
          <w:rFonts w:ascii="Bookman Old Style" w:hAnsi="Bookman Old Style"/>
          <w:sz w:val="24"/>
          <w:szCs w:val="24"/>
        </w:rPr>
        <w:t>al</w:t>
      </w:r>
      <w:r w:rsidR="008F3DE8">
        <w:rPr>
          <w:rFonts w:ascii="Bookman Old Style" w:hAnsi="Bookman Old Style"/>
          <w:sz w:val="24"/>
          <w:szCs w:val="24"/>
        </w:rPr>
        <w:t xml:space="preserve"> </w:t>
      </w:r>
      <w:r>
        <w:rPr>
          <w:rFonts w:ascii="Bookman Old Style" w:hAnsi="Bookman Old Style"/>
          <w:sz w:val="24"/>
          <w:szCs w:val="24"/>
        </w:rPr>
        <w:t>punto</w:t>
      </w:r>
      <w:r w:rsidR="008F3DE8">
        <w:rPr>
          <w:rFonts w:ascii="Bookman Old Style" w:hAnsi="Bookman Old Style"/>
          <w:sz w:val="24"/>
          <w:szCs w:val="24"/>
        </w:rPr>
        <w:t xml:space="preserve"> </w:t>
      </w:r>
      <w:r>
        <w:rPr>
          <w:rFonts w:ascii="Bookman Old Style" w:hAnsi="Bookman Old Style"/>
          <w:sz w:val="24"/>
          <w:szCs w:val="24"/>
        </w:rPr>
        <w:t>che</w:t>
      </w:r>
      <w:r w:rsidR="008F3DE8">
        <w:rPr>
          <w:rFonts w:ascii="Bookman Old Style" w:hAnsi="Bookman Old Style"/>
          <w:sz w:val="24"/>
          <w:szCs w:val="24"/>
        </w:rPr>
        <w:t xml:space="preserve"> </w:t>
      </w:r>
      <w:r>
        <w:rPr>
          <w:rFonts w:ascii="Bookman Old Style" w:hAnsi="Bookman Old Style"/>
          <w:sz w:val="24"/>
          <w:szCs w:val="24"/>
        </w:rPr>
        <w:t>non</w:t>
      </w:r>
      <w:r w:rsidR="008F3DE8">
        <w:rPr>
          <w:rFonts w:ascii="Bookman Old Style" w:hAnsi="Bookman Old Style"/>
          <w:sz w:val="24"/>
          <w:szCs w:val="24"/>
        </w:rPr>
        <w:t xml:space="preserve"> </w:t>
      </w:r>
      <w:r>
        <w:rPr>
          <w:rFonts w:ascii="Bookman Old Style" w:hAnsi="Bookman Old Style"/>
          <w:sz w:val="24"/>
          <w:szCs w:val="24"/>
        </w:rPr>
        <w:t>solo</w:t>
      </w:r>
      <w:r w:rsidR="008F3DE8">
        <w:rPr>
          <w:rFonts w:ascii="Bookman Old Style" w:hAnsi="Bookman Old Style"/>
          <w:sz w:val="24"/>
          <w:szCs w:val="24"/>
        </w:rPr>
        <w:t xml:space="preserve"> </w:t>
      </w:r>
      <w:r>
        <w:rPr>
          <w:rFonts w:ascii="Bookman Old Style" w:hAnsi="Bookman Old Style"/>
          <w:sz w:val="24"/>
          <w:szCs w:val="24"/>
        </w:rPr>
        <w:t>un</w:t>
      </w:r>
      <w:r w:rsidR="008F3DE8">
        <w:rPr>
          <w:rFonts w:ascii="Bookman Old Style" w:hAnsi="Bookman Old Style"/>
          <w:sz w:val="24"/>
          <w:szCs w:val="24"/>
        </w:rPr>
        <w:t xml:space="preserve"> </w:t>
      </w:r>
      <w:r>
        <w:rPr>
          <w:rFonts w:ascii="Bookman Old Style" w:hAnsi="Bookman Old Style"/>
          <w:sz w:val="24"/>
          <w:szCs w:val="24"/>
        </w:rPr>
        <w:t>giurista</w:t>
      </w:r>
      <w:r w:rsidR="008F3DE8">
        <w:rPr>
          <w:rFonts w:ascii="Bookman Old Style" w:hAnsi="Bookman Old Style"/>
          <w:sz w:val="24"/>
          <w:szCs w:val="24"/>
        </w:rPr>
        <w:t xml:space="preserve"> </w:t>
      </w:r>
      <w:r>
        <w:rPr>
          <w:rFonts w:ascii="Bookman Old Style" w:hAnsi="Bookman Old Style"/>
          <w:sz w:val="24"/>
          <w:szCs w:val="24"/>
        </w:rPr>
        <w:t>dell’età</w:t>
      </w:r>
      <w:r w:rsidR="008F3DE8">
        <w:rPr>
          <w:rFonts w:ascii="Bookman Old Style" w:hAnsi="Bookman Old Style"/>
          <w:sz w:val="24"/>
          <w:szCs w:val="24"/>
        </w:rPr>
        <w:t xml:space="preserve"> </w:t>
      </w:r>
      <w:r>
        <w:rPr>
          <w:rFonts w:ascii="Bookman Old Style" w:hAnsi="Bookman Old Style"/>
          <w:sz w:val="24"/>
          <w:szCs w:val="24"/>
        </w:rPr>
        <w:t>imperiale</w:t>
      </w:r>
      <w:r w:rsidR="008F3DE8">
        <w:rPr>
          <w:rFonts w:ascii="Bookman Old Style" w:hAnsi="Bookman Old Style"/>
          <w:sz w:val="24"/>
          <w:szCs w:val="24"/>
        </w:rPr>
        <w:t xml:space="preserve"> </w:t>
      </w:r>
      <w:r>
        <w:rPr>
          <w:rFonts w:ascii="Bookman Old Style" w:hAnsi="Bookman Old Style"/>
          <w:sz w:val="24"/>
          <w:szCs w:val="24"/>
        </w:rPr>
        <w:t>ma</w:t>
      </w:r>
      <w:r w:rsidR="008F3DE8">
        <w:rPr>
          <w:rFonts w:ascii="Bookman Old Style" w:hAnsi="Bookman Old Style"/>
          <w:sz w:val="24"/>
          <w:szCs w:val="24"/>
        </w:rPr>
        <w:t xml:space="preserve"> </w:t>
      </w:r>
      <w:r>
        <w:rPr>
          <w:rFonts w:ascii="Bookman Old Style" w:hAnsi="Bookman Old Style"/>
          <w:sz w:val="24"/>
          <w:szCs w:val="24"/>
        </w:rPr>
        <w:t>finanche</w:t>
      </w:r>
      <w:r w:rsidR="008F3DE8">
        <w:rPr>
          <w:rFonts w:ascii="Bookman Old Style" w:hAnsi="Bookman Old Style"/>
          <w:sz w:val="24"/>
          <w:szCs w:val="24"/>
        </w:rPr>
        <w:t xml:space="preserve"> </w:t>
      </w:r>
      <w:r>
        <w:rPr>
          <w:rFonts w:ascii="Bookman Old Style" w:hAnsi="Bookman Old Style"/>
          <w:sz w:val="24"/>
          <w:szCs w:val="24"/>
        </w:rPr>
        <w:t>un</w:t>
      </w:r>
      <w:r w:rsidR="008F3DE8">
        <w:rPr>
          <w:rFonts w:ascii="Bookman Old Style" w:hAnsi="Bookman Old Style"/>
          <w:sz w:val="24"/>
          <w:szCs w:val="24"/>
        </w:rPr>
        <w:t xml:space="preserve"> </w:t>
      </w:r>
      <w:r>
        <w:rPr>
          <w:rFonts w:ascii="Bookman Old Style" w:hAnsi="Bookman Old Style"/>
          <w:sz w:val="24"/>
          <w:szCs w:val="24"/>
        </w:rPr>
        <w:t>suo</w:t>
      </w:r>
      <w:r w:rsidR="008F3DE8">
        <w:rPr>
          <w:rFonts w:ascii="Bookman Old Style" w:hAnsi="Bookman Old Style"/>
          <w:sz w:val="24"/>
          <w:szCs w:val="24"/>
        </w:rPr>
        <w:t xml:space="preserve"> </w:t>
      </w:r>
      <w:r>
        <w:rPr>
          <w:rFonts w:ascii="Bookman Old Style" w:hAnsi="Bookman Old Style"/>
          <w:sz w:val="24"/>
          <w:szCs w:val="24"/>
        </w:rPr>
        <w:t>collega</w:t>
      </w:r>
      <w:r w:rsidR="008F3DE8">
        <w:rPr>
          <w:rFonts w:ascii="Bookman Old Style" w:hAnsi="Bookman Old Style"/>
          <w:sz w:val="24"/>
          <w:szCs w:val="24"/>
        </w:rPr>
        <w:t xml:space="preserve"> </w:t>
      </w:r>
      <w:r>
        <w:rPr>
          <w:rFonts w:ascii="Bookman Old Style" w:hAnsi="Bookman Old Style"/>
          <w:sz w:val="24"/>
          <w:szCs w:val="24"/>
        </w:rPr>
        <w:t>dell’Ottocento</w:t>
      </w:r>
      <w:r w:rsidR="008F3DE8">
        <w:rPr>
          <w:rFonts w:ascii="Bookman Old Style" w:hAnsi="Bookman Old Style"/>
          <w:sz w:val="24"/>
          <w:szCs w:val="24"/>
        </w:rPr>
        <w:t xml:space="preserve"> </w:t>
      </w:r>
      <w:r>
        <w:rPr>
          <w:rFonts w:ascii="Bookman Old Style" w:hAnsi="Bookman Old Style"/>
          <w:sz w:val="24"/>
          <w:szCs w:val="24"/>
        </w:rPr>
        <w:t>faticherebbe</w:t>
      </w:r>
      <w:r w:rsidR="008F3DE8">
        <w:rPr>
          <w:rFonts w:ascii="Bookman Old Style" w:hAnsi="Bookman Old Style"/>
          <w:sz w:val="24"/>
          <w:szCs w:val="24"/>
        </w:rPr>
        <w:t xml:space="preserve"> </w:t>
      </w:r>
      <w:r>
        <w:rPr>
          <w:rFonts w:ascii="Bookman Old Style" w:hAnsi="Bookman Old Style"/>
          <w:sz w:val="24"/>
          <w:szCs w:val="24"/>
        </w:rPr>
        <w:t>a</w:t>
      </w:r>
      <w:r w:rsidR="008F3DE8">
        <w:rPr>
          <w:rFonts w:ascii="Bookman Old Style" w:hAnsi="Bookman Old Style"/>
          <w:sz w:val="24"/>
          <w:szCs w:val="24"/>
        </w:rPr>
        <w:t xml:space="preserve"> </w:t>
      </w:r>
      <w:r>
        <w:rPr>
          <w:rFonts w:ascii="Bookman Old Style" w:hAnsi="Bookman Old Style"/>
          <w:sz w:val="24"/>
          <w:szCs w:val="24"/>
        </w:rPr>
        <w:t>comprendere</w:t>
      </w:r>
      <w:r w:rsidR="008F3DE8">
        <w:rPr>
          <w:rFonts w:ascii="Bookman Old Style" w:hAnsi="Bookman Old Style"/>
          <w:sz w:val="24"/>
          <w:szCs w:val="24"/>
        </w:rPr>
        <w:t xml:space="preserve"> </w:t>
      </w:r>
      <w:r>
        <w:rPr>
          <w:rFonts w:ascii="Bookman Old Style" w:hAnsi="Bookman Old Style"/>
          <w:sz w:val="24"/>
          <w:szCs w:val="24"/>
        </w:rPr>
        <w:t>ed</w:t>
      </w:r>
      <w:r w:rsidR="008F3DE8">
        <w:rPr>
          <w:rFonts w:ascii="Bookman Old Style" w:hAnsi="Bookman Old Style"/>
          <w:sz w:val="24"/>
          <w:szCs w:val="24"/>
        </w:rPr>
        <w:t xml:space="preserve"> </w:t>
      </w:r>
      <w:r>
        <w:rPr>
          <w:rFonts w:ascii="Bookman Old Style" w:hAnsi="Bookman Old Style"/>
          <w:sz w:val="24"/>
          <w:szCs w:val="24"/>
        </w:rPr>
        <w:t>inquadrare</w:t>
      </w:r>
      <w:r w:rsidR="008F3DE8">
        <w:rPr>
          <w:rFonts w:ascii="Bookman Old Style" w:hAnsi="Bookman Old Style"/>
          <w:sz w:val="24"/>
          <w:szCs w:val="24"/>
        </w:rPr>
        <w:t xml:space="preserve"> </w:t>
      </w:r>
      <w:r>
        <w:rPr>
          <w:rFonts w:ascii="Bookman Old Style" w:hAnsi="Bookman Old Style"/>
          <w:sz w:val="24"/>
          <w:szCs w:val="24"/>
        </w:rPr>
        <w:t>correttamente</w:t>
      </w:r>
      <w:r w:rsidR="008F3DE8">
        <w:rPr>
          <w:rFonts w:ascii="Bookman Old Style" w:hAnsi="Bookman Old Style"/>
          <w:sz w:val="24"/>
          <w:szCs w:val="24"/>
        </w:rPr>
        <w:t xml:space="preserve"> </w:t>
      </w:r>
      <w:r>
        <w:rPr>
          <w:rFonts w:ascii="Bookman Old Style" w:hAnsi="Bookman Old Style"/>
          <w:sz w:val="24"/>
          <w:szCs w:val="24"/>
        </w:rPr>
        <w:t>talune</w:t>
      </w:r>
      <w:r w:rsidR="008F3DE8">
        <w:rPr>
          <w:rFonts w:ascii="Bookman Old Style" w:hAnsi="Bookman Old Style"/>
          <w:sz w:val="24"/>
          <w:szCs w:val="24"/>
        </w:rPr>
        <w:t xml:space="preserve"> </w:t>
      </w:r>
      <w:r>
        <w:rPr>
          <w:rFonts w:ascii="Bookman Old Style" w:hAnsi="Bookman Old Style"/>
          <w:sz w:val="24"/>
          <w:szCs w:val="24"/>
        </w:rPr>
        <w:t>tipologie</w:t>
      </w:r>
      <w:r w:rsidR="008F3DE8">
        <w:rPr>
          <w:rFonts w:ascii="Bookman Old Style" w:hAnsi="Bookman Old Style"/>
          <w:sz w:val="24"/>
          <w:szCs w:val="24"/>
        </w:rPr>
        <w:t xml:space="preserve"> </w:t>
      </w:r>
      <w:r>
        <w:rPr>
          <w:rFonts w:ascii="Bookman Old Style" w:hAnsi="Bookman Old Style"/>
          <w:sz w:val="24"/>
          <w:szCs w:val="24"/>
        </w:rPr>
        <w:t>di</w:t>
      </w:r>
      <w:r w:rsidR="008F3DE8">
        <w:rPr>
          <w:rFonts w:ascii="Bookman Old Style" w:hAnsi="Bookman Old Style"/>
          <w:sz w:val="24"/>
          <w:szCs w:val="24"/>
        </w:rPr>
        <w:t xml:space="preserve"> </w:t>
      </w:r>
      <w:r>
        <w:rPr>
          <w:rFonts w:ascii="Bookman Old Style" w:hAnsi="Bookman Old Style"/>
          <w:sz w:val="24"/>
          <w:szCs w:val="24"/>
        </w:rPr>
        <w:t>diritti</w:t>
      </w:r>
      <w:r w:rsidR="008F3DE8">
        <w:rPr>
          <w:rFonts w:ascii="Bookman Old Style" w:hAnsi="Bookman Old Style"/>
          <w:sz w:val="24"/>
          <w:szCs w:val="24"/>
        </w:rPr>
        <w:t xml:space="preserve"> </w:t>
      </w:r>
      <w:r>
        <w:rPr>
          <w:rFonts w:ascii="Bookman Old Style" w:hAnsi="Bookman Old Style"/>
          <w:sz w:val="24"/>
          <w:szCs w:val="24"/>
        </w:rPr>
        <w:t>(quali</w:t>
      </w:r>
      <w:r w:rsidR="008F3DE8">
        <w:rPr>
          <w:rFonts w:ascii="Bookman Old Style" w:hAnsi="Bookman Old Style"/>
          <w:sz w:val="24"/>
          <w:szCs w:val="24"/>
        </w:rPr>
        <w:t xml:space="preserve"> </w:t>
      </w:r>
      <w:r>
        <w:rPr>
          <w:rFonts w:ascii="Bookman Old Style" w:hAnsi="Bookman Old Style"/>
          <w:sz w:val="24"/>
          <w:szCs w:val="24"/>
        </w:rPr>
        <w:t>quelli</w:t>
      </w:r>
      <w:r w:rsidR="008F3DE8">
        <w:rPr>
          <w:rFonts w:ascii="Bookman Old Style" w:hAnsi="Bookman Old Style"/>
          <w:sz w:val="24"/>
          <w:szCs w:val="24"/>
        </w:rPr>
        <w:t xml:space="preserve"> </w:t>
      </w:r>
      <w:r>
        <w:rPr>
          <w:rFonts w:ascii="Bookman Old Style" w:hAnsi="Bookman Old Style"/>
          <w:sz w:val="24"/>
          <w:szCs w:val="24"/>
        </w:rPr>
        <w:t>alla</w:t>
      </w:r>
      <w:r w:rsidR="008F3DE8">
        <w:rPr>
          <w:rFonts w:ascii="Bookman Old Style" w:hAnsi="Bookman Old Style"/>
          <w:sz w:val="24"/>
          <w:szCs w:val="24"/>
        </w:rPr>
        <w:t xml:space="preserve"> </w:t>
      </w:r>
      <w:r>
        <w:rPr>
          <w:rFonts w:ascii="Bookman Old Style" w:hAnsi="Bookman Old Style"/>
          <w:sz w:val="24"/>
          <w:szCs w:val="24"/>
        </w:rPr>
        <w:t>privacy,</w:t>
      </w:r>
      <w:r w:rsidR="008F3DE8">
        <w:rPr>
          <w:rFonts w:ascii="Bookman Old Style" w:hAnsi="Bookman Old Style"/>
          <w:sz w:val="24"/>
          <w:szCs w:val="24"/>
        </w:rPr>
        <w:t xml:space="preserve"> </w:t>
      </w:r>
      <w:r>
        <w:rPr>
          <w:rFonts w:ascii="Bookman Old Style" w:hAnsi="Bookman Old Style"/>
          <w:sz w:val="24"/>
          <w:szCs w:val="24"/>
        </w:rPr>
        <w:t>all’ambiente</w:t>
      </w:r>
      <w:r w:rsidR="008F3DE8">
        <w:rPr>
          <w:rFonts w:ascii="Bookman Old Style" w:hAnsi="Bookman Old Style"/>
          <w:sz w:val="24"/>
          <w:szCs w:val="24"/>
        </w:rPr>
        <w:t xml:space="preserve"> </w:t>
      </w:r>
      <w:r>
        <w:rPr>
          <w:rFonts w:ascii="Bookman Old Style" w:hAnsi="Bookman Old Style"/>
          <w:sz w:val="24"/>
          <w:szCs w:val="24"/>
        </w:rPr>
        <w:t>ecc.</w:t>
      </w:r>
      <w:r w:rsidR="008F3DE8">
        <w:rPr>
          <w:rFonts w:ascii="Bookman Old Style" w:hAnsi="Bookman Old Style"/>
          <w:sz w:val="24"/>
          <w:szCs w:val="24"/>
        </w:rPr>
        <w:t xml:space="preserve"> </w:t>
      </w:r>
      <w:r>
        <w:rPr>
          <w:rFonts w:ascii="Bookman Old Style" w:hAnsi="Bookman Old Style"/>
          <w:sz w:val="24"/>
          <w:szCs w:val="24"/>
        </w:rPr>
        <w:t>ecc.)</w:t>
      </w:r>
      <w:r w:rsidR="008F3DE8">
        <w:rPr>
          <w:rFonts w:ascii="Bookman Old Style" w:hAnsi="Bookman Old Style"/>
          <w:sz w:val="24"/>
          <w:szCs w:val="24"/>
        </w:rPr>
        <w:t xml:space="preserve"> </w:t>
      </w:r>
      <w:r>
        <w:rPr>
          <w:rFonts w:ascii="Bookman Old Style" w:hAnsi="Bookman Old Style"/>
          <w:sz w:val="24"/>
          <w:szCs w:val="24"/>
        </w:rPr>
        <w:t>che</w:t>
      </w:r>
      <w:r w:rsidR="008F3DE8">
        <w:rPr>
          <w:rFonts w:ascii="Bookman Old Style" w:hAnsi="Bookman Old Style"/>
          <w:sz w:val="24"/>
          <w:szCs w:val="24"/>
        </w:rPr>
        <w:t xml:space="preserve"> </w:t>
      </w:r>
      <w:r>
        <w:rPr>
          <w:rFonts w:ascii="Bookman Old Style" w:hAnsi="Bookman Old Style"/>
          <w:sz w:val="24"/>
          <w:szCs w:val="24"/>
        </w:rPr>
        <w:t>costituiscono,</w:t>
      </w:r>
      <w:r w:rsidR="008F3DE8">
        <w:rPr>
          <w:rFonts w:ascii="Bookman Old Style" w:hAnsi="Bookman Old Style"/>
          <w:sz w:val="24"/>
          <w:szCs w:val="24"/>
        </w:rPr>
        <w:t xml:space="preserve"> </w:t>
      </w:r>
      <w:r>
        <w:rPr>
          <w:rFonts w:ascii="Bookman Old Style" w:hAnsi="Bookman Old Style"/>
          <w:sz w:val="24"/>
          <w:szCs w:val="24"/>
        </w:rPr>
        <w:t>invece,</w:t>
      </w:r>
      <w:r w:rsidR="008F3DE8">
        <w:rPr>
          <w:rFonts w:ascii="Bookman Old Style" w:hAnsi="Bookman Old Style"/>
          <w:sz w:val="24"/>
          <w:szCs w:val="24"/>
        </w:rPr>
        <w:t xml:space="preserve"> </w:t>
      </w:r>
      <w:r>
        <w:rPr>
          <w:rFonts w:ascii="Bookman Old Style" w:hAnsi="Bookman Old Style"/>
          <w:sz w:val="24"/>
          <w:szCs w:val="24"/>
        </w:rPr>
        <w:t>oggetto</w:t>
      </w:r>
      <w:r w:rsidR="008F3DE8">
        <w:rPr>
          <w:rFonts w:ascii="Bookman Old Style" w:hAnsi="Bookman Old Style"/>
          <w:sz w:val="24"/>
          <w:szCs w:val="24"/>
        </w:rPr>
        <w:t xml:space="preserve"> </w:t>
      </w:r>
      <w:r>
        <w:rPr>
          <w:rFonts w:ascii="Bookman Old Style" w:hAnsi="Bookman Old Style"/>
          <w:sz w:val="24"/>
          <w:szCs w:val="24"/>
        </w:rPr>
        <w:t>quotidiano</w:t>
      </w:r>
      <w:r w:rsidR="008F3DE8">
        <w:rPr>
          <w:rFonts w:ascii="Bookman Old Style" w:hAnsi="Bookman Old Style"/>
          <w:sz w:val="24"/>
          <w:szCs w:val="24"/>
        </w:rPr>
        <w:t xml:space="preserve"> </w:t>
      </w:r>
      <w:r>
        <w:rPr>
          <w:rFonts w:ascii="Bookman Old Style" w:hAnsi="Bookman Old Style"/>
          <w:sz w:val="24"/>
          <w:szCs w:val="24"/>
        </w:rPr>
        <w:t>non</w:t>
      </w:r>
      <w:r w:rsidR="008F3DE8">
        <w:rPr>
          <w:rFonts w:ascii="Bookman Old Style" w:hAnsi="Bookman Old Style"/>
          <w:sz w:val="24"/>
          <w:szCs w:val="24"/>
        </w:rPr>
        <w:t xml:space="preserve"> </w:t>
      </w:r>
      <w:r>
        <w:rPr>
          <w:rFonts w:ascii="Bookman Old Style" w:hAnsi="Bookman Old Style"/>
          <w:sz w:val="24"/>
          <w:szCs w:val="24"/>
        </w:rPr>
        <w:t>solo</w:t>
      </w:r>
      <w:r w:rsidR="008F3DE8">
        <w:rPr>
          <w:rFonts w:ascii="Bookman Old Style" w:hAnsi="Bookman Old Style"/>
          <w:sz w:val="24"/>
          <w:szCs w:val="24"/>
        </w:rPr>
        <w:t xml:space="preserve"> </w:t>
      </w:r>
      <w:r>
        <w:rPr>
          <w:rFonts w:ascii="Bookman Old Style" w:hAnsi="Bookman Old Style"/>
          <w:sz w:val="24"/>
          <w:szCs w:val="24"/>
        </w:rPr>
        <w:t>dell’analisi</w:t>
      </w:r>
      <w:r w:rsidR="008F3DE8">
        <w:rPr>
          <w:rFonts w:ascii="Bookman Old Style" w:hAnsi="Bookman Old Style"/>
          <w:sz w:val="24"/>
          <w:szCs w:val="24"/>
        </w:rPr>
        <w:t xml:space="preserve"> </w:t>
      </w:r>
      <w:r>
        <w:rPr>
          <w:rFonts w:ascii="Bookman Old Style" w:hAnsi="Bookman Old Style"/>
          <w:sz w:val="24"/>
          <w:szCs w:val="24"/>
        </w:rPr>
        <w:t>giuridica</w:t>
      </w:r>
      <w:r w:rsidR="008F3DE8">
        <w:rPr>
          <w:rFonts w:ascii="Bookman Old Style" w:hAnsi="Bookman Old Style"/>
          <w:sz w:val="24"/>
          <w:szCs w:val="24"/>
        </w:rPr>
        <w:t xml:space="preserve"> </w:t>
      </w:r>
      <w:r>
        <w:rPr>
          <w:rFonts w:ascii="Bookman Old Style" w:hAnsi="Bookman Old Style"/>
          <w:sz w:val="24"/>
          <w:szCs w:val="24"/>
        </w:rPr>
        <w:t>ma</w:t>
      </w:r>
      <w:r w:rsidR="008F3DE8">
        <w:rPr>
          <w:rFonts w:ascii="Bookman Old Style" w:hAnsi="Bookman Old Style"/>
          <w:sz w:val="24"/>
          <w:szCs w:val="24"/>
        </w:rPr>
        <w:t xml:space="preserve"> </w:t>
      </w:r>
      <w:r>
        <w:rPr>
          <w:rFonts w:ascii="Bookman Old Style" w:hAnsi="Bookman Old Style"/>
          <w:sz w:val="24"/>
          <w:szCs w:val="24"/>
        </w:rPr>
        <w:t>del</w:t>
      </w:r>
      <w:r w:rsidR="008F3DE8">
        <w:rPr>
          <w:rFonts w:ascii="Bookman Old Style" w:hAnsi="Bookman Old Style"/>
          <w:sz w:val="24"/>
          <w:szCs w:val="24"/>
        </w:rPr>
        <w:t xml:space="preserve"> </w:t>
      </w:r>
      <w:r>
        <w:rPr>
          <w:rFonts w:ascii="Bookman Old Style" w:hAnsi="Bookman Old Style"/>
          <w:sz w:val="24"/>
          <w:szCs w:val="24"/>
        </w:rPr>
        <w:t>concreto</w:t>
      </w:r>
      <w:r w:rsidR="008F3DE8">
        <w:rPr>
          <w:rFonts w:ascii="Bookman Old Style" w:hAnsi="Bookman Old Style"/>
          <w:sz w:val="24"/>
          <w:szCs w:val="24"/>
        </w:rPr>
        <w:t xml:space="preserve"> </w:t>
      </w:r>
      <w:r>
        <w:rPr>
          <w:rFonts w:ascii="Bookman Old Style" w:hAnsi="Bookman Old Style"/>
          <w:sz w:val="24"/>
          <w:szCs w:val="24"/>
        </w:rPr>
        <w:t>atteggiarsi</w:t>
      </w:r>
      <w:r w:rsidR="008F3DE8">
        <w:rPr>
          <w:rFonts w:ascii="Bookman Old Style" w:hAnsi="Bookman Old Style"/>
          <w:sz w:val="24"/>
          <w:szCs w:val="24"/>
        </w:rPr>
        <w:t xml:space="preserve"> </w:t>
      </w:r>
      <w:r>
        <w:rPr>
          <w:rFonts w:ascii="Bookman Old Style" w:hAnsi="Bookman Old Style"/>
          <w:sz w:val="24"/>
          <w:szCs w:val="24"/>
        </w:rPr>
        <w:t>dei</w:t>
      </w:r>
      <w:r w:rsidR="008F3DE8">
        <w:rPr>
          <w:rFonts w:ascii="Bookman Old Style" w:hAnsi="Bookman Old Style"/>
          <w:sz w:val="24"/>
          <w:szCs w:val="24"/>
        </w:rPr>
        <w:t xml:space="preserve"> </w:t>
      </w:r>
      <w:r>
        <w:rPr>
          <w:rFonts w:ascii="Bookman Old Style" w:hAnsi="Bookman Old Style"/>
          <w:sz w:val="24"/>
          <w:szCs w:val="24"/>
        </w:rPr>
        <w:t>rapporti</w:t>
      </w:r>
      <w:r w:rsidR="008F3DE8">
        <w:rPr>
          <w:rFonts w:ascii="Bookman Old Style" w:hAnsi="Bookman Old Style"/>
          <w:sz w:val="24"/>
          <w:szCs w:val="24"/>
        </w:rPr>
        <w:t xml:space="preserve"> </w:t>
      </w:r>
      <w:r>
        <w:rPr>
          <w:rFonts w:ascii="Bookman Old Style" w:hAnsi="Bookman Old Style"/>
          <w:sz w:val="24"/>
          <w:szCs w:val="24"/>
        </w:rPr>
        <w:t>tra</w:t>
      </w:r>
      <w:r w:rsidR="008F3DE8">
        <w:rPr>
          <w:rFonts w:ascii="Bookman Old Style" w:hAnsi="Bookman Old Style"/>
          <w:sz w:val="24"/>
          <w:szCs w:val="24"/>
        </w:rPr>
        <w:t xml:space="preserve"> </w:t>
      </w:r>
      <w:r>
        <w:rPr>
          <w:rFonts w:ascii="Bookman Old Style" w:hAnsi="Bookman Old Style"/>
          <w:sz w:val="24"/>
          <w:szCs w:val="24"/>
        </w:rPr>
        <w:t>i</w:t>
      </w:r>
      <w:r w:rsidR="008F3DE8">
        <w:rPr>
          <w:rFonts w:ascii="Bookman Old Style" w:hAnsi="Bookman Old Style"/>
          <w:sz w:val="24"/>
          <w:szCs w:val="24"/>
        </w:rPr>
        <w:t xml:space="preserve"> </w:t>
      </w:r>
      <w:r>
        <w:rPr>
          <w:rFonts w:ascii="Bookman Old Style" w:hAnsi="Bookman Old Style"/>
          <w:sz w:val="24"/>
          <w:szCs w:val="24"/>
        </w:rPr>
        <w:t>cittadini</w:t>
      </w:r>
      <w:r w:rsidR="008F3DE8">
        <w:rPr>
          <w:rFonts w:ascii="Bookman Old Style" w:hAnsi="Bookman Old Style"/>
          <w:sz w:val="24"/>
          <w:szCs w:val="24"/>
        </w:rPr>
        <w:t xml:space="preserve"> </w:t>
      </w:r>
      <w:r>
        <w:rPr>
          <w:rFonts w:ascii="Bookman Old Style" w:hAnsi="Bookman Old Style"/>
          <w:sz w:val="24"/>
          <w:szCs w:val="24"/>
        </w:rPr>
        <w:t>e</w:t>
      </w:r>
      <w:r w:rsidR="008F3DE8">
        <w:rPr>
          <w:rFonts w:ascii="Bookman Old Style" w:hAnsi="Bookman Old Style"/>
          <w:sz w:val="24"/>
          <w:szCs w:val="24"/>
        </w:rPr>
        <w:t xml:space="preserve"> </w:t>
      </w:r>
      <w:r>
        <w:rPr>
          <w:rFonts w:ascii="Bookman Old Style" w:hAnsi="Bookman Old Style"/>
          <w:sz w:val="24"/>
          <w:szCs w:val="24"/>
        </w:rPr>
        <w:t>tra</w:t>
      </w:r>
      <w:r w:rsidR="008F3DE8">
        <w:rPr>
          <w:rFonts w:ascii="Bookman Old Style" w:hAnsi="Bookman Old Style"/>
          <w:sz w:val="24"/>
          <w:szCs w:val="24"/>
        </w:rPr>
        <w:t xml:space="preserve"> </w:t>
      </w:r>
      <w:r>
        <w:rPr>
          <w:rFonts w:ascii="Bookman Old Style" w:hAnsi="Bookman Old Style"/>
          <w:sz w:val="24"/>
          <w:szCs w:val="24"/>
        </w:rPr>
        <w:t>questi</w:t>
      </w:r>
      <w:r w:rsidR="008F3DE8">
        <w:rPr>
          <w:rFonts w:ascii="Bookman Old Style" w:hAnsi="Bookman Old Style"/>
          <w:sz w:val="24"/>
          <w:szCs w:val="24"/>
        </w:rPr>
        <w:t xml:space="preserve"> </w:t>
      </w:r>
      <w:r>
        <w:rPr>
          <w:rFonts w:ascii="Bookman Old Style" w:hAnsi="Bookman Old Style"/>
          <w:sz w:val="24"/>
          <w:szCs w:val="24"/>
        </w:rPr>
        <w:t>ultimi</w:t>
      </w:r>
      <w:r w:rsidR="008F3DE8">
        <w:rPr>
          <w:rFonts w:ascii="Bookman Old Style" w:hAnsi="Bookman Old Style"/>
          <w:sz w:val="24"/>
          <w:szCs w:val="24"/>
        </w:rPr>
        <w:t xml:space="preserve"> </w:t>
      </w:r>
      <w:r>
        <w:rPr>
          <w:rFonts w:ascii="Bookman Old Style" w:hAnsi="Bookman Old Style"/>
          <w:sz w:val="24"/>
          <w:szCs w:val="24"/>
        </w:rPr>
        <w:t>e</w:t>
      </w:r>
      <w:r w:rsidR="008F3DE8">
        <w:rPr>
          <w:rFonts w:ascii="Bookman Old Style" w:hAnsi="Bookman Old Style"/>
          <w:sz w:val="24"/>
          <w:szCs w:val="24"/>
        </w:rPr>
        <w:t xml:space="preserve"> </w:t>
      </w:r>
      <w:r>
        <w:rPr>
          <w:rFonts w:ascii="Bookman Old Style" w:hAnsi="Bookman Old Style"/>
          <w:sz w:val="24"/>
          <w:szCs w:val="24"/>
        </w:rPr>
        <w:t>le</w:t>
      </w:r>
      <w:r w:rsidR="008F3DE8">
        <w:rPr>
          <w:rFonts w:ascii="Bookman Old Style" w:hAnsi="Bookman Old Style"/>
          <w:sz w:val="24"/>
          <w:szCs w:val="24"/>
        </w:rPr>
        <w:t xml:space="preserve"> </w:t>
      </w:r>
      <w:r>
        <w:rPr>
          <w:rFonts w:ascii="Bookman Old Style" w:hAnsi="Bookman Old Style"/>
          <w:sz w:val="24"/>
          <w:szCs w:val="24"/>
        </w:rPr>
        <w:t>istituzioni.</w:t>
      </w:r>
      <w:r w:rsidR="0075267D">
        <w:rPr>
          <w:rFonts w:ascii="Bookman Old Style" w:hAnsi="Bookman Old Style"/>
          <w:sz w:val="24"/>
          <w:szCs w:val="24"/>
        </w:rPr>
        <w:t xml:space="preserve"> </w:t>
      </w:r>
      <w:r w:rsidR="00246418">
        <w:rPr>
          <w:rFonts w:ascii="Bookman Old Style" w:hAnsi="Bookman Old Style"/>
          <w:sz w:val="24"/>
          <w:szCs w:val="24"/>
        </w:rPr>
        <w:t>La</w:t>
      </w:r>
      <w:r w:rsidR="008F3DE8">
        <w:rPr>
          <w:rFonts w:ascii="Bookman Old Style" w:hAnsi="Bookman Old Style"/>
          <w:sz w:val="24"/>
          <w:szCs w:val="24"/>
        </w:rPr>
        <w:t xml:space="preserve"> </w:t>
      </w:r>
      <w:r w:rsidR="00246418">
        <w:rPr>
          <w:rFonts w:ascii="Bookman Old Style" w:hAnsi="Bookman Old Style"/>
          <w:sz w:val="24"/>
          <w:szCs w:val="24"/>
        </w:rPr>
        <w:t>consapevolezza</w:t>
      </w:r>
      <w:r w:rsidR="008F3DE8">
        <w:rPr>
          <w:rFonts w:ascii="Bookman Old Style" w:hAnsi="Bookman Old Style"/>
          <w:sz w:val="24"/>
          <w:szCs w:val="24"/>
        </w:rPr>
        <w:t xml:space="preserve"> </w:t>
      </w:r>
      <w:r w:rsidR="00246418">
        <w:rPr>
          <w:rFonts w:ascii="Bookman Old Style" w:hAnsi="Bookman Old Style"/>
          <w:sz w:val="24"/>
          <w:szCs w:val="24"/>
        </w:rPr>
        <w:t>della</w:t>
      </w:r>
      <w:r w:rsidR="008F3DE8">
        <w:rPr>
          <w:rFonts w:ascii="Bookman Old Style" w:hAnsi="Bookman Old Style"/>
          <w:sz w:val="24"/>
          <w:szCs w:val="24"/>
        </w:rPr>
        <w:t xml:space="preserve"> </w:t>
      </w:r>
      <w:r w:rsidR="00246418">
        <w:rPr>
          <w:rFonts w:ascii="Bookman Old Style" w:hAnsi="Bookman Old Style"/>
          <w:sz w:val="24"/>
          <w:szCs w:val="24"/>
        </w:rPr>
        <w:t>continua</w:t>
      </w:r>
      <w:r w:rsidR="008F3DE8">
        <w:rPr>
          <w:rFonts w:ascii="Bookman Old Style" w:hAnsi="Bookman Old Style"/>
          <w:sz w:val="24"/>
          <w:szCs w:val="24"/>
        </w:rPr>
        <w:t xml:space="preserve"> </w:t>
      </w:r>
      <w:r w:rsidR="00246418">
        <w:rPr>
          <w:rFonts w:ascii="Bookman Old Style" w:hAnsi="Bookman Old Style"/>
          <w:sz w:val="24"/>
          <w:szCs w:val="24"/>
        </w:rPr>
        <w:t>crescita</w:t>
      </w:r>
      <w:r w:rsidR="00246418" w:rsidRPr="00246418">
        <w:rPr>
          <w:rFonts w:ascii="Bookman Old Style" w:hAnsi="Bookman Old Style"/>
          <w:sz w:val="24"/>
          <w:szCs w:val="24"/>
        </w:rPr>
        <w:t>,</w:t>
      </w:r>
      <w:r w:rsidR="008F3DE8">
        <w:rPr>
          <w:rFonts w:ascii="Bookman Old Style" w:hAnsi="Bookman Old Style"/>
          <w:sz w:val="24"/>
          <w:szCs w:val="24"/>
        </w:rPr>
        <w:t xml:space="preserve"> </w:t>
      </w:r>
      <w:r w:rsidR="00246418" w:rsidRPr="00246418">
        <w:rPr>
          <w:rFonts w:ascii="Bookman Old Style" w:hAnsi="Bookman Old Style"/>
          <w:sz w:val="24"/>
          <w:szCs w:val="24"/>
        </w:rPr>
        <w:t>nelle</w:t>
      </w:r>
      <w:r w:rsidR="008F3DE8">
        <w:rPr>
          <w:rFonts w:ascii="Bookman Old Style" w:hAnsi="Bookman Old Style"/>
          <w:sz w:val="24"/>
          <w:szCs w:val="24"/>
        </w:rPr>
        <w:t xml:space="preserve"> </w:t>
      </w:r>
      <w:r w:rsidR="00246418" w:rsidRPr="00246418">
        <w:rPr>
          <w:rFonts w:ascii="Bookman Old Style" w:hAnsi="Bookman Old Style"/>
          <w:sz w:val="24"/>
          <w:szCs w:val="24"/>
        </w:rPr>
        <w:t>moderne</w:t>
      </w:r>
      <w:r w:rsidR="008F3DE8">
        <w:rPr>
          <w:rFonts w:ascii="Bookman Old Style" w:hAnsi="Bookman Old Style"/>
          <w:sz w:val="24"/>
          <w:szCs w:val="24"/>
        </w:rPr>
        <w:t xml:space="preserve"> </w:t>
      </w:r>
      <w:r w:rsidR="00246418" w:rsidRPr="00246418">
        <w:rPr>
          <w:rFonts w:ascii="Bookman Old Style" w:hAnsi="Bookman Old Style"/>
          <w:sz w:val="24"/>
          <w:szCs w:val="24"/>
        </w:rPr>
        <w:t>società</w:t>
      </w:r>
      <w:r w:rsidR="008F3DE8">
        <w:rPr>
          <w:rFonts w:ascii="Bookman Old Style" w:hAnsi="Bookman Old Style"/>
          <w:sz w:val="24"/>
          <w:szCs w:val="24"/>
        </w:rPr>
        <w:t xml:space="preserve"> </w:t>
      </w:r>
      <w:r w:rsidR="00246418" w:rsidRPr="00246418">
        <w:rPr>
          <w:rFonts w:ascii="Bookman Old Style" w:hAnsi="Bookman Old Style"/>
          <w:sz w:val="24"/>
          <w:szCs w:val="24"/>
        </w:rPr>
        <w:t>contemporanee</w:t>
      </w:r>
      <w:r w:rsidR="006844CC">
        <w:rPr>
          <w:rFonts w:ascii="Bookman Old Style" w:hAnsi="Bookman Old Style"/>
          <w:sz w:val="24"/>
          <w:szCs w:val="24"/>
        </w:rPr>
        <w:t>,</w:t>
      </w:r>
      <w:r w:rsidR="008F3DE8">
        <w:rPr>
          <w:rFonts w:ascii="Bookman Old Style" w:hAnsi="Bookman Old Style"/>
          <w:sz w:val="24"/>
          <w:szCs w:val="24"/>
        </w:rPr>
        <w:t xml:space="preserve"> </w:t>
      </w:r>
      <w:r w:rsidR="00246418">
        <w:rPr>
          <w:rFonts w:ascii="Bookman Old Style" w:hAnsi="Bookman Old Style"/>
          <w:sz w:val="24"/>
          <w:szCs w:val="24"/>
        </w:rPr>
        <w:t>di</w:t>
      </w:r>
      <w:r w:rsidR="008F3DE8">
        <w:rPr>
          <w:rFonts w:ascii="Bookman Old Style" w:hAnsi="Bookman Old Style"/>
          <w:sz w:val="24"/>
          <w:szCs w:val="24"/>
        </w:rPr>
        <w:t xml:space="preserve"> </w:t>
      </w:r>
      <w:r w:rsidR="00246418" w:rsidRPr="00246418">
        <w:rPr>
          <w:rFonts w:ascii="Bookman Old Style" w:hAnsi="Bookman Old Style"/>
          <w:sz w:val="24"/>
          <w:szCs w:val="24"/>
        </w:rPr>
        <w:t>domande,</w:t>
      </w:r>
      <w:r w:rsidR="008F3DE8">
        <w:rPr>
          <w:rFonts w:ascii="Bookman Old Style" w:hAnsi="Bookman Old Style"/>
          <w:sz w:val="24"/>
          <w:szCs w:val="24"/>
        </w:rPr>
        <w:t xml:space="preserve"> </w:t>
      </w:r>
      <w:r w:rsidR="00246418" w:rsidRPr="00246418">
        <w:rPr>
          <w:rFonts w:ascii="Bookman Old Style" w:hAnsi="Bookman Old Style"/>
          <w:sz w:val="24"/>
          <w:szCs w:val="24"/>
        </w:rPr>
        <w:t>bisogni,</w:t>
      </w:r>
      <w:r w:rsidR="008F3DE8">
        <w:rPr>
          <w:rFonts w:ascii="Bookman Old Style" w:hAnsi="Bookman Old Style"/>
          <w:sz w:val="24"/>
          <w:szCs w:val="24"/>
        </w:rPr>
        <w:t xml:space="preserve"> </w:t>
      </w:r>
      <w:r w:rsidR="00246418" w:rsidRPr="00246418">
        <w:rPr>
          <w:rFonts w:ascii="Bookman Old Style" w:hAnsi="Bookman Old Style"/>
          <w:sz w:val="24"/>
          <w:szCs w:val="24"/>
        </w:rPr>
        <w:t>servizi</w:t>
      </w:r>
      <w:r w:rsidR="008F3DE8">
        <w:rPr>
          <w:rFonts w:ascii="Bookman Old Style" w:hAnsi="Bookman Old Style"/>
          <w:sz w:val="24"/>
          <w:szCs w:val="24"/>
        </w:rPr>
        <w:t xml:space="preserve"> </w:t>
      </w:r>
      <w:r w:rsidR="00246418" w:rsidRPr="00246418">
        <w:rPr>
          <w:rFonts w:ascii="Bookman Old Style" w:hAnsi="Bookman Old Style"/>
          <w:sz w:val="24"/>
          <w:szCs w:val="24"/>
        </w:rPr>
        <w:t>e</w:t>
      </w:r>
      <w:r w:rsidR="008F3DE8">
        <w:rPr>
          <w:rFonts w:ascii="Bookman Old Style" w:hAnsi="Bookman Old Style"/>
          <w:sz w:val="24"/>
          <w:szCs w:val="24"/>
        </w:rPr>
        <w:t xml:space="preserve"> </w:t>
      </w:r>
      <w:r w:rsidR="00246418">
        <w:rPr>
          <w:rFonts w:ascii="Bookman Old Style" w:hAnsi="Bookman Old Style"/>
          <w:sz w:val="24"/>
          <w:szCs w:val="24"/>
        </w:rPr>
        <w:t>del</w:t>
      </w:r>
      <w:r w:rsidR="00246418" w:rsidRPr="00246418">
        <w:rPr>
          <w:rFonts w:ascii="Bookman Old Style" w:hAnsi="Bookman Old Style"/>
          <w:sz w:val="24"/>
          <w:szCs w:val="24"/>
        </w:rPr>
        <w:t>le</w:t>
      </w:r>
      <w:r w:rsidR="008F3DE8">
        <w:rPr>
          <w:rFonts w:ascii="Bookman Old Style" w:hAnsi="Bookman Old Style"/>
          <w:sz w:val="24"/>
          <w:szCs w:val="24"/>
        </w:rPr>
        <w:t xml:space="preserve"> </w:t>
      </w:r>
      <w:r w:rsidR="00246418" w:rsidRPr="00246418">
        <w:rPr>
          <w:rFonts w:ascii="Bookman Old Style" w:hAnsi="Bookman Old Style"/>
          <w:sz w:val="24"/>
          <w:szCs w:val="24"/>
        </w:rPr>
        <w:t>prestazioni</w:t>
      </w:r>
      <w:r w:rsidR="008F3DE8">
        <w:rPr>
          <w:rFonts w:ascii="Bookman Old Style" w:hAnsi="Bookman Old Style"/>
          <w:sz w:val="24"/>
          <w:szCs w:val="24"/>
        </w:rPr>
        <w:t xml:space="preserve"> </w:t>
      </w:r>
      <w:r w:rsidR="00246418" w:rsidRPr="00246418">
        <w:rPr>
          <w:rFonts w:ascii="Bookman Old Style" w:hAnsi="Bookman Old Style"/>
          <w:sz w:val="24"/>
          <w:szCs w:val="24"/>
        </w:rPr>
        <w:t>che</w:t>
      </w:r>
      <w:r w:rsidR="008F3DE8">
        <w:rPr>
          <w:rFonts w:ascii="Bookman Old Style" w:hAnsi="Bookman Old Style"/>
          <w:sz w:val="24"/>
          <w:szCs w:val="24"/>
        </w:rPr>
        <w:t xml:space="preserve"> </w:t>
      </w:r>
      <w:r w:rsidR="00246418" w:rsidRPr="00246418">
        <w:rPr>
          <w:rFonts w:ascii="Bookman Old Style" w:hAnsi="Bookman Old Style"/>
          <w:sz w:val="24"/>
          <w:szCs w:val="24"/>
        </w:rPr>
        <w:t>servono</w:t>
      </w:r>
      <w:r w:rsidR="008F3DE8">
        <w:rPr>
          <w:rFonts w:ascii="Bookman Old Style" w:hAnsi="Bookman Old Style"/>
          <w:sz w:val="24"/>
          <w:szCs w:val="24"/>
        </w:rPr>
        <w:t xml:space="preserve"> </w:t>
      </w:r>
      <w:r w:rsidR="00246418" w:rsidRPr="00246418">
        <w:rPr>
          <w:rFonts w:ascii="Bookman Old Style" w:hAnsi="Bookman Old Style"/>
          <w:sz w:val="24"/>
          <w:szCs w:val="24"/>
        </w:rPr>
        <w:t>a</w:t>
      </w:r>
      <w:r w:rsidR="008F3DE8">
        <w:rPr>
          <w:rFonts w:ascii="Bookman Old Style" w:hAnsi="Bookman Old Style"/>
          <w:sz w:val="24"/>
          <w:szCs w:val="24"/>
        </w:rPr>
        <w:t xml:space="preserve"> </w:t>
      </w:r>
      <w:r w:rsidR="00246418" w:rsidRPr="00246418">
        <w:rPr>
          <w:rFonts w:ascii="Bookman Old Style" w:hAnsi="Bookman Old Style"/>
          <w:sz w:val="24"/>
          <w:szCs w:val="24"/>
        </w:rPr>
        <w:t>rendere</w:t>
      </w:r>
      <w:r w:rsidR="008F3DE8">
        <w:rPr>
          <w:rFonts w:ascii="Bookman Old Style" w:hAnsi="Bookman Old Style"/>
          <w:sz w:val="24"/>
          <w:szCs w:val="24"/>
        </w:rPr>
        <w:t xml:space="preserve"> </w:t>
      </w:r>
      <w:r w:rsidR="00246418" w:rsidRPr="00246418">
        <w:rPr>
          <w:rFonts w:ascii="Bookman Old Style" w:hAnsi="Bookman Old Style"/>
          <w:sz w:val="24"/>
          <w:szCs w:val="24"/>
        </w:rPr>
        <w:t>concreto</w:t>
      </w:r>
      <w:r w:rsidR="008F3DE8">
        <w:rPr>
          <w:rFonts w:ascii="Bookman Old Style" w:hAnsi="Bookman Old Style"/>
          <w:sz w:val="24"/>
          <w:szCs w:val="24"/>
        </w:rPr>
        <w:t xml:space="preserve"> </w:t>
      </w:r>
      <w:r w:rsidR="00246418" w:rsidRPr="00246418">
        <w:rPr>
          <w:rFonts w:ascii="Bookman Old Style" w:hAnsi="Bookman Old Style"/>
          <w:sz w:val="24"/>
          <w:szCs w:val="24"/>
        </w:rPr>
        <w:t>l’esercizio</w:t>
      </w:r>
      <w:r w:rsidR="008F3DE8">
        <w:rPr>
          <w:rFonts w:ascii="Bookman Old Style" w:hAnsi="Bookman Old Style"/>
          <w:sz w:val="24"/>
          <w:szCs w:val="24"/>
        </w:rPr>
        <w:t xml:space="preserve"> </w:t>
      </w:r>
      <w:r w:rsidR="00246418" w:rsidRPr="00246418">
        <w:rPr>
          <w:rFonts w:ascii="Bookman Old Style" w:hAnsi="Bookman Old Style"/>
          <w:sz w:val="24"/>
          <w:szCs w:val="24"/>
        </w:rPr>
        <w:t>dei</w:t>
      </w:r>
      <w:r w:rsidR="008F3DE8">
        <w:rPr>
          <w:rFonts w:ascii="Bookman Old Style" w:hAnsi="Bookman Old Style"/>
          <w:sz w:val="24"/>
          <w:szCs w:val="24"/>
        </w:rPr>
        <w:t xml:space="preserve"> </w:t>
      </w:r>
      <w:r w:rsidR="00246418" w:rsidRPr="00246418">
        <w:rPr>
          <w:rFonts w:ascii="Bookman Old Style" w:hAnsi="Bookman Old Style"/>
          <w:sz w:val="24"/>
          <w:szCs w:val="24"/>
        </w:rPr>
        <w:t>diritti</w:t>
      </w:r>
      <w:r w:rsidR="008F3DE8">
        <w:rPr>
          <w:rFonts w:ascii="Bookman Old Style" w:hAnsi="Bookman Old Style"/>
          <w:sz w:val="24"/>
          <w:szCs w:val="24"/>
        </w:rPr>
        <w:t xml:space="preserve"> </w:t>
      </w:r>
      <w:r w:rsidR="00246418" w:rsidRPr="00246418">
        <w:rPr>
          <w:rFonts w:ascii="Bookman Old Style" w:hAnsi="Bookman Old Style"/>
          <w:sz w:val="24"/>
          <w:szCs w:val="24"/>
        </w:rPr>
        <w:t>dei</w:t>
      </w:r>
      <w:r w:rsidR="008F3DE8">
        <w:rPr>
          <w:rFonts w:ascii="Bookman Old Style" w:hAnsi="Bookman Old Style"/>
          <w:sz w:val="24"/>
          <w:szCs w:val="24"/>
        </w:rPr>
        <w:t xml:space="preserve"> </w:t>
      </w:r>
      <w:r w:rsidR="00246418" w:rsidRPr="00246418">
        <w:rPr>
          <w:rFonts w:ascii="Bookman Old Style" w:hAnsi="Bookman Old Style"/>
          <w:sz w:val="24"/>
          <w:szCs w:val="24"/>
        </w:rPr>
        <w:t>cittadini,</w:t>
      </w:r>
      <w:r w:rsidR="008F3DE8">
        <w:rPr>
          <w:rFonts w:ascii="Bookman Old Style" w:hAnsi="Bookman Old Style"/>
          <w:sz w:val="24"/>
          <w:szCs w:val="24"/>
        </w:rPr>
        <w:t xml:space="preserve"> </w:t>
      </w:r>
      <w:r w:rsidR="00246418" w:rsidRPr="00246418">
        <w:rPr>
          <w:rFonts w:ascii="Bookman Old Style" w:hAnsi="Bookman Old Style"/>
          <w:sz w:val="24"/>
          <w:szCs w:val="24"/>
        </w:rPr>
        <w:t>moltiplicandosi</w:t>
      </w:r>
      <w:r w:rsidR="008F3DE8">
        <w:rPr>
          <w:rFonts w:ascii="Bookman Old Style" w:hAnsi="Bookman Old Style"/>
          <w:sz w:val="24"/>
          <w:szCs w:val="24"/>
        </w:rPr>
        <w:t xml:space="preserve"> </w:t>
      </w:r>
      <w:r w:rsidR="00246418">
        <w:rPr>
          <w:rFonts w:ascii="Bookman Old Style" w:hAnsi="Bookman Old Style"/>
          <w:sz w:val="24"/>
          <w:szCs w:val="24"/>
        </w:rPr>
        <w:t>e</w:t>
      </w:r>
      <w:r w:rsidR="008F3DE8">
        <w:rPr>
          <w:rFonts w:ascii="Bookman Old Style" w:hAnsi="Bookman Old Style"/>
          <w:sz w:val="24"/>
          <w:szCs w:val="24"/>
        </w:rPr>
        <w:t xml:space="preserve"> </w:t>
      </w:r>
      <w:r w:rsidR="00246418" w:rsidRPr="00246418">
        <w:rPr>
          <w:rFonts w:ascii="Bookman Old Style" w:hAnsi="Bookman Old Style"/>
          <w:sz w:val="24"/>
          <w:szCs w:val="24"/>
        </w:rPr>
        <w:t>diversificandosi</w:t>
      </w:r>
      <w:r w:rsidR="008F3DE8">
        <w:rPr>
          <w:rFonts w:ascii="Bookman Old Style" w:hAnsi="Bookman Old Style"/>
          <w:sz w:val="24"/>
          <w:szCs w:val="24"/>
        </w:rPr>
        <w:t xml:space="preserve"> </w:t>
      </w:r>
      <w:r w:rsidR="00246418" w:rsidRPr="00246418">
        <w:rPr>
          <w:rFonts w:ascii="Bookman Old Style" w:hAnsi="Bookman Old Style"/>
          <w:sz w:val="24"/>
          <w:szCs w:val="24"/>
        </w:rPr>
        <w:t>a</w:t>
      </w:r>
      <w:r w:rsidR="008F3DE8">
        <w:rPr>
          <w:rFonts w:ascii="Bookman Old Style" w:hAnsi="Bookman Old Style"/>
          <w:sz w:val="24"/>
          <w:szCs w:val="24"/>
        </w:rPr>
        <w:t xml:space="preserve"> </w:t>
      </w:r>
      <w:r w:rsidR="00246418" w:rsidRPr="00246418">
        <w:rPr>
          <w:rFonts w:ascii="Bookman Old Style" w:hAnsi="Bookman Old Style"/>
          <w:sz w:val="24"/>
          <w:szCs w:val="24"/>
        </w:rPr>
        <w:t>dismisura</w:t>
      </w:r>
      <w:r w:rsidR="00A06DA9">
        <w:rPr>
          <w:rFonts w:ascii="Bookman Old Style" w:hAnsi="Bookman Old Style"/>
          <w:sz w:val="24"/>
          <w:szCs w:val="24"/>
        </w:rPr>
        <w:t>,</w:t>
      </w:r>
      <w:r w:rsidR="008F3DE8">
        <w:rPr>
          <w:rFonts w:ascii="Bookman Old Style" w:hAnsi="Bookman Old Style"/>
          <w:sz w:val="24"/>
          <w:szCs w:val="24"/>
        </w:rPr>
        <w:t xml:space="preserve"> </w:t>
      </w:r>
      <w:r w:rsidR="00246418">
        <w:rPr>
          <w:rFonts w:ascii="Bookman Old Style" w:hAnsi="Bookman Old Style"/>
          <w:sz w:val="24"/>
          <w:szCs w:val="24"/>
        </w:rPr>
        <w:t>ha</w:t>
      </w:r>
      <w:r w:rsidR="008F3DE8">
        <w:rPr>
          <w:rFonts w:ascii="Bookman Old Style" w:hAnsi="Bookman Old Style"/>
          <w:sz w:val="24"/>
          <w:szCs w:val="24"/>
        </w:rPr>
        <w:t xml:space="preserve"> </w:t>
      </w:r>
      <w:r w:rsidR="00246418">
        <w:rPr>
          <w:rFonts w:ascii="Bookman Old Style" w:hAnsi="Bookman Old Style"/>
          <w:sz w:val="24"/>
          <w:szCs w:val="24"/>
        </w:rPr>
        <w:t>portato</w:t>
      </w:r>
      <w:r w:rsidR="008F3DE8">
        <w:rPr>
          <w:rFonts w:ascii="Bookman Old Style" w:hAnsi="Bookman Old Style"/>
          <w:sz w:val="24"/>
          <w:szCs w:val="24"/>
        </w:rPr>
        <w:t xml:space="preserve"> </w:t>
      </w:r>
      <w:r w:rsidR="00246418">
        <w:rPr>
          <w:rFonts w:ascii="Bookman Old Style" w:hAnsi="Bookman Old Style"/>
          <w:sz w:val="24"/>
          <w:szCs w:val="24"/>
        </w:rPr>
        <w:t>alla</w:t>
      </w:r>
      <w:r w:rsidR="008F3DE8">
        <w:rPr>
          <w:rFonts w:ascii="Bookman Old Style" w:hAnsi="Bookman Old Style"/>
          <w:sz w:val="24"/>
          <w:szCs w:val="24"/>
        </w:rPr>
        <w:t xml:space="preserve"> </w:t>
      </w:r>
      <w:r w:rsidR="00246418">
        <w:rPr>
          <w:rFonts w:ascii="Bookman Old Style" w:hAnsi="Bookman Old Style"/>
          <w:sz w:val="24"/>
          <w:szCs w:val="24"/>
        </w:rPr>
        <w:t>consapevolezza</w:t>
      </w:r>
      <w:r w:rsidR="008F3DE8">
        <w:rPr>
          <w:rFonts w:ascii="Bookman Old Style" w:hAnsi="Bookman Old Style"/>
          <w:sz w:val="24"/>
          <w:szCs w:val="24"/>
        </w:rPr>
        <w:t xml:space="preserve"> </w:t>
      </w:r>
      <w:r w:rsidR="00246418">
        <w:rPr>
          <w:rFonts w:ascii="Bookman Old Style" w:hAnsi="Bookman Old Style"/>
          <w:sz w:val="24"/>
          <w:szCs w:val="24"/>
        </w:rPr>
        <w:t>della</w:t>
      </w:r>
      <w:r w:rsidR="008F3DE8">
        <w:rPr>
          <w:rFonts w:ascii="Bookman Old Style" w:hAnsi="Bookman Old Style"/>
          <w:sz w:val="24"/>
          <w:szCs w:val="24"/>
        </w:rPr>
        <w:t xml:space="preserve"> </w:t>
      </w:r>
      <w:r w:rsidR="00246418">
        <w:rPr>
          <w:rFonts w:ascii="Bookman Old Style" w:hAnsi="Bookman Old Style"/>
          <w:sz w:val="24"/>
          <w:szCs w:val="24"/>
        </w:rPr>
        <w:t>necessità</w:t>
      </w:r>
      <w:r w:rsidR="008F3DE8">
        <w:rPr>
          <w:rFonts w:ascii="Bookman Old Style" w:hAnsi="Bookman Old Style"/>
          <w:sz w:val="24"/>
          <w:szCs w:val="24"/>
        </w:rPr>
        <w:t xml:space="preserve"> </w:t>
      </w:r>
      <w:r w:rsidR="00246418">
        <w:rPr>
          <w:rFonts w:ascii="Bookman Old Style" w:hAnsi="Bookman Old Style"/>
          <w:sz w:val="24"/>
          <w:szCs w:val="24"/>
        </w:rPr>
        <w:t>di</w:t>
      </w:r>
      <w:r w:rsidR="008F3DE8">
        <w:rPr>
          <w:rFonts w:ascii="Bookman Old Style" w:hAnsi="Bookman Old Style"/>
          <w:sz w:val="24"/>
          <w:szCs w:val="24"/>
        </w:rPr>
        <w:t xml:space="preserve"> </w:t>
      </w:r>
      <w:r w:rsidR="00246418" w:rsidRPr="00246418">
        <w:rPr>
          <w:rFonts w:ascii="Bookman Old Style" w:hAnsi="Bookman Old Style"/>
          <w:sz w:val="24"/>
          <w:szCs w:val="24"/>
        </w:rPr>
        <w:t>un</w:t>
      </w:r>
      <w:r w:rsidR="008F3DE8">
        <w:rPr>
          <w:rFonts w:ascii="Bookman Old Style" w:hAnsi="Bookman Old Style"/>
          <w:sz w:val="24"/>
          <w:szCs w:val="24"/>
        </w:rPr>
        <w:t xml:space="preserve"> </w:t>
      </w:r>
      <w:r w:rsidR="00246418" w:rsidRPr="00246418">
        <w:rPr>
          <w:rFonts w:ascii="Bookman Old Style" w:hAnsi="Bookman Old Style"/>
          <w:sz w:val="24"/>
          <w:szCs w:val="24"/>
        </w:rPr>
        <w:t>sistema</w:t>
      </w:r>
      <w:r w:rsidR="008F3DE8">
        <w:rPr>
          <w:rFonts w:ascii="Bookman Old Style" w:hAnsi="Bookman Old Style"/>
          <w:sz w:val="24"/>
          <w:szCs w:val="24"/>
        </w:rPr>
        <w:t xml:space="preserve"> </w:t>
      </w:r>
      <w:r w:rsidR="00246418" w:rsidRPr="00246418">
        <w:rPr>
          <w:rFonts w:ascii="Bookman Old Style" w:hAnsi="Bookman Old Style"/>
          <w:sz w:val="24"/>
          <w:szCs w:val="24"/>
        </w:rPr>
        <w:t>istituzionale-amministrativo</w:t>
      </w:r>
      <w:r w:rsidR="008F3DE8">
        <w:rPr>
          <w:rFonts w:ascii="Bookman Old Style" w:hAnsi="Bookman Old Style"/>
          <w:sz w:val="24"/>
          <w:szCs w:val="24"/>
        </w:rPr>
        <w:t xml:space="preserve"> </w:t>
      </w:r>
      <w:r w:rsidR="00246418" w:rsidRPr="00246418">
        <w:rPr>
          <w:rFonts w:ascii="Bookman Old Style" w:hAnsi="Bookman Old Style"/>
          <w:sz w:val="24"/>
          <w:szCs w:val="24"/>
        </w:rPr>
        <w:t>pluralistico</w:t>
      </w:r>
      <w:r w:rsidR="008F3DE8">
        <w:rPr>
          <w:rFonts w:ascii="Bookman Old Style" w:hAnsi="Bookman Old Style"/>
          <w:sz w:val="24"/>
          <w:szCs w:val="24"/>
        </w:rPr>
        <w:t xml:space="preserve"> </w:t>
      </w:r>
      <w:r w:rsidR="00246418" w:rsidRPr="00246418">
        <w:rPr>
          <w:rFonts w:ascii="Bookman Old Style" w:hAnsi="Bookman Old Style"/>
          <w:sz w:val="24"/>
          <w:szCs w:val="24"/>
        </w:rPr>
        <w:t>e</w:t>
      </w:r>
      <w:r w:rsidR="008F3DE8">
        <w:rPr>
          <w:rFonts w:ascii="Bookman Old Style" w:hAnsi="Bookman Old Style"/>
          <w:sz w:val="24"/>
          <w:szCs w:val="24"/>
        </w:rPr>
        <w:t xml:space="preserve"> </w:t>
      </w:r>
      <w:r w:rsidR="00246418" w:rsidRPr="00246418">
        <w:rPr>
          <w:rFonts w:ascii="Bookman Old Style" w:hAnsi="Bookman Old Style"/>
          <w:sz w:val="24"/>
          <w:szCs w:val="24"/>
        </w:rPr>
        <w:t>articolato,</w:t>
      </w:r>
      <w:r w:rsidR="008F3DE8">
        <w:rPr>
          <w:rFonts w:ascii="Bookman Old Style" w:hAnsi="Bookman Old Style"/>
          <w:sz w:val="24"/>
          <w:szCs w:val="24"/>
        </w:rPr>
        <w:t xml:space="preserve"> </w:t>
      </w:r>
      <w:r w:rsidR="00246418" w:rsidRPr="00246418">
        <w:rPr>
          <w:rFonts w:ascii="Bookman Old Style" w:hAnsi="Bookman Old Style"/>
          <w:sz w:val="24"/>
          <w:szCs w:val="24"/>
        </w:rPr>
        <w:t>nel</w:t>
      </w:r>
      <w:r w:rsidR="008F3DE8">
        <w:rPr>
          <w:rFonts w:ascii="Bookman Old Style" w:hAnsi="Bookman Old Style"/>
          <w:sz w:val="24"/>
          <w:szCs w:val="24"/>
        </w:rPr>
        <w:t xml:space="preserve"> </w:t>
      </w:r>
      <w:r w:rsidR="00246418" w:rsidRPr="00246418">
        <w:rPr>
          <w:rFonts w:ascii="Bookman Old Style" w:hAnsi="Bookman Old Style"/>
          <w:sz w:val="24"/>
          <w:szCs w:val="24"/>
        </w:rPr>
        <w:t>quale</w:t>
      </w:r>
      <w:r w:rsidR="008F3DE8">
        <w:rPr>
          <w:rFonts w:ascii="Bookman Old Style" w:hAnsi="Bookman Old Style"/>
          <w:sz w:val="24"/>
          <w:szCs w:val="24"/>
        </w:rPr>
        <w:t xml:space="preserve"> </w:t>
      </w:r>
      <w:r w:rsidR="00246418" w:rsidRPr="00246418">
        <w:rPr>
          <w:rFonts w:ascii="Bookman Old Style" w:hAnsi="Bookman Old Style"/>
          <w:sz w:val="24"/>
          <w:szCs w:val="24"/>
        </w:rPr>
        <w:t>le</w:t>
      </w:r>
      <w:r w:rsidR="008F3DE8">
        <w:rPr>
          <w:rFonts w:ascii="Bookman Old Style" w:hAnsi="Bookman Old Style"/>
          <w:sz w:val="24"/>
          <w:szCs w:val="24"/>
        </w:rPr>
        <w:t xml:space="preserve"> </w:t>
      </w:r>
      <w:r w:rsidR="00246418" w:rsidRPr="00246418">
        <w:rPr>
          <w:rFonts w:ascii="Bookman Old Style" w:hAnsi="Bookman Old Style"/>
          <w:sz w:val="24"/>
          <w:szCs w:val="24"/>
        </w:rPr>
        <w:t>responsabilità</w:t>
      </w:r>
      <w:r w:rsidR="008F3DE8">
        <w:rPr>
          <w:rFonts w:ascii="Bookman Old Style" w:hAnsi="Bookman Old Style"/>
          <w:sz w:val="24"/>
          <w:szCs w:val="24"/>
        </w:rPr>
        <w:t xml:space="preserve"> </w:t>
      </w:r>
      <w:r w:rsidR="00246418" w:rsidRPr="00246418">
        <w:rPr>
          <w:rFonts w:ascii="Bookman Old Style" w:hAnsi="Bookman Old Style"/>
          <w:sz w:val="24"/>
          <w:szCs w:val="24"/>
        </w:rPr>
        <w:t>della</w:t>
      </w:r>
      <w:r w:rsidR="008F3DE8">
        <w:rPr>
          <w:rFonts w:ascii="Bookman Old Style" w:hAnsi="Bookman Old Style"/>
          <w:sz w:val="24"/>
          <w:szCs w:val="24"/>
        </w:rPr>
        <w:t xml:space="preserve"> </w:t>
      </w:r>
      <w:r w:rsidR="00246418" w:rsidRPr="00246418">
        <w:rPr>
          <w:rFonts w:ascii="Bookman Old Style" w:hAnsi="Bookman Old Style"/>
          <w:sz w:val="24"/>
          <w:szCs w:val="24"/>
        </w:rPr>
        <w:t>gestione</w:t>
      </w:r>
      <w:r w:rsidR="008F3DE8">
        <w:rPr>
          <w:rFonts w:ascii="Bookman Old Style" w:hAnsi="Bookman Old Style"/>
          <w:sz w:val="24"/>
          <w:szCs w:val="24"/>
        </w:rPr>
        <w:t xml:space="preserve"> </w:t>
      </w:r>
      <w:r w:rsidR="00246418" w:rsidRPr="00246418">
        <w:rPr>
          <w:rFonts w:ascii="Bookman Old Style" w:hAnsi="Bookman Old Style"/>
          <w:sz w:val="24"/>
          <w:szCs w:val="24"/>
        </w:rPr>
        <w:t>dei</w:t>
      </w:r>
      <w:r w:rsidR="008F3DE8">
        <w:rPr>
          <w:rFonts w:ascii="Bookman Old Style" w:hAnsi="Bookman Old Style"/>
          <w:sz w:val="24"/>
          <w:szCs w:val="24"/>
        </w:rPr>
        <w:t xml:space="preserve"> </w:t>
      </w:r>
      <w:r w:rsidR="00246418" w:rsidRPr="00246418">
        <w:rPr>
          <w:rFonts w:ascii="Bookman Old Style" w:hAnsi="Bookman Old Style"/>
          <w:sz w:val="24"/>
          <w:szCs w:val="24"/>
        </w:rPr>
        <w:t>servizi</w:t>
      </w:r>
      <w:r w:rsidR="008F3DE8">
        <w:rPr>
          <w:rFonts w:ascii="Bookman Old Style" w:hAnsi="Bookman Old Style"/>
          <w:sz w:val="24"/>
          <w:szCs w:val="24"/>
        </w:rPr>
        <w:t xml:space="preserve"> </w:t>
      </w:r>
      <w:r w:rsidR="00246418" w:rsidRPr="00246418">
        <w:rPr>
          <w:rFonts w:ascii="Bookman Old Style" w:hAnsi="Bookman Old Style"/>
          <w:sz w:val="24"/>
          <w:szCs w:val="24"/>
        </w:rPr>
        <w:t>e</w:t>
      </w:r>
      <w:r w:rsidR="008F3DE8">
        <w:rPr>
          <w:rFonts w:ascii="Bookman Old Style" w:hAnsi="Bookman Old Style"/>
          <w:sz w:val="24"/>
          <w:szCs w:val="24"/>
        </w:rPr>
        <w:t xml:space="preserve"> </w:t>
      </w:r>
      <w:r w:rsidR="00246418" w:rsidRPr="00246418">
        <w:rPr>
          <w:rFonts w:ascii="Bookman Old Style" w:hAnsi="Bookman Old Style"/>
          <w:sz w:val="24"/>
          <w:szCs w:val="24"/>
        </w:rPr>
        <w:t>delle</w:t>
      </w:r>
      <w:r w:rsidR="008F3DE8">
        <w:rPr>
          <w:rFonts w:ascii="Bookman Old Style" w:hAnsi="Bookman Old Style"/>
          <w:sz w:val="24"/>
          <w:szCs w:val="24"/>
        </w:rPr>
        <w:t xml:space="preserve"> </w:t>
      </w:r>
      <w:r w:rsidR="00246418" w:rsidRPr="00246418">
        <w:rPr>
          <w:rFonts w:ascii="Bookman Old Style" w:hAnsi="Bookman Old Style"/>
          <w:sz w:val="24"/>
          <w:szCs w:val="24"/>
        </w:rPr>
        <w:t>prestazioni</w:t>
      </w:r>
      <w:r w:rsidR="008F3DE8">
        <w:rPr>
          <w:rFonts w:ascii="Bookman Old Style" w:hAnsi="Bookman Old Style"/>
          <w:sz w:val="24"/>
          <w:szCs w:val="24"/>
        </w:rPr>
        <w:t xml:space="preserve"> </w:t>
      </w:r>
      <w:r w:rsidR="00246418" w:rsidRPr="00246418">
        <w:rPr>
          <w:rFonts w:ascii="Bookman Old Style" w:hAnsi="Bookman Old Style"/>
          <w:sz w:val="24"/>
          <w:szCs w:val="24"/>
        </w:rPr>
        <w:t>siano</w:t>
      </w:r>
      <w:r w:rsidR="008F3DE8">
        <w:rPr>
          <w:rFonts w:ascii="Bookman Old Style" w:hAnsi="Bookman Old Style"/>
          <w:sz w:val="24"/>
          <w:szCs w:val="24"/>
        </w:rPr>
        <w:t xml:space="preserve"> </w:t>
      </w:r>
      <w:r w:rsidR="00246418" w:rsidRPr="00246418">
        <w:rPr>
          <w:rFonts w:ascii="Bookman Old Style" w:hAnsi="Bookman Old Style"/>
          <w:sz w:val="24"/>
          <w:szCs w:val="24"/>
        </w:rPr>
        <w:t>distribuite</w:t>
      </w:r>
      <w:r w:rsidR="008F3DE8">
        <w:rPr>
          <w:rFonts w:ascii="Bookman Old Style" w:hAnsi="Bookman Old Style"/>
          <w:sz w:val="24"/>
          <w:szCs w:val="24"/>
        </w:rPr>
        <w:t xml:space="preserve"> </w:t>
      </w:r>
      <w:r w:rsidR="00246418" w:rsidRPr="00246418">
        <w:rPr>
          <w:rFonts w:ascii="Bookman Old Style" w:hAnsi="Bookman Old Style"/>
          <w:sz w:val="24"/>
          <w:szCs w:val="24"/>
        </w:rPr>
        <w:t>razionalmente</w:t>
      </w:r>
      <w:r w:rsidR="008F3DE8">
        <w:rPr>
          <w:rFonts w:ascii="Bookman Old Style" w:hAnsi="Bookman Old Style"/>
          <w:sz w:val="24"/>
          <w:szCs w:val="24"/>
        </w:rPr>
        <w:t xml:space="preserve"> </w:t>
      </w:r>
      <w:r w:rsidR="00246418" w:rsidRPr="00246418">
        <w:rPr>
          <w:rFonts w:ascii="Bookman Old Style" w:hAnsi="Bookman Old Style"/>
          <w:sz w:val="24"/>
          <w:szCs w:val="24"/>
        </w:rPr>
        <w:t>fra</w:t>
      </w:r>
      <w:r w:rsidR="008F3DE8">
        <w:rPr>
          <w:rFonts w:ascii="Bookman Old Style" w:hAnsi="Bookman Old Style"/>
          <w:sz w:val="24"/>
          <w:szCs w:val="24"/>
        </w:rPr>
        <w:t xml:space="preserve"> </w:t>
      </w:r>
      <w:r w:rsidR="00246418" w:rsidRPr="00246418">
        <w:rPr>
          <w:rFonts w:ascii="Bookman Old Style" w:hAnsi="Bookman Old Style"/>
          <w:sz w:val="24"/>
          <w:szCs w:val="24"/>
        </w:rPr>
        <w:t>diversi</w:t>
      </w:r>
      <w:r w:rsidR="008F3DE8">
        <w:rPr>
          <w:rFonts w:ascii="Bookman Old Style" w:hAnsi="Bookman Old Style"/>
          <w:sz w:val="24"/>
          <w:szCs w:val="24"/>
        </w:rPr>
        <w:t xml:space="preserve"> </w:t>
      </w:r>
      <w:r w:rsidR="00246418" w:rsidRPr="00246418">
        <w:rPr>
          <w:rFonts w:ascii="Bookman Old Style" w:hAnsi="Bookman Old Style"/>
          <w:sz w:val="24"/>
          <w:szCs w:val="24"/>
        </w:rPr>
        <w:t>livelli</w:t>
      </w:r>
      <w:r w:rsidR="008F3DE8">
        <w:rPr>
          <w:rFonts w:ascii="Bookman Old Style" w:hAnsi="Bookman Old Style"/>
          <w:sz w:val="24"/>
          <w:szCs w:val="24"/>
        </w:rPr>
        <w:t xml:space="preserve"> </w:t>
      </w:r>
      <w:r w:rsidR="00246418" w:rsidRPr="00246418">
        <w:rPr>
          <w:rFonts w:ascii="Bookman Old Style" w:hAnsi="Bookman Old Style"/>
          <w:sz w:val="24"/>
          <w:szCs w:val="24"/>
        </w:rPr>
        <w:t>di</w:t>
      </w:r>
      <w:r w:rsidR="008F3DE8">
        <w:rPr>
          <w:rFonts w:ascii="Bookman Old Style" w:hAnsi="Bookman Old Style"/>
          <w:sz w:val="24"/>
          <w:szCs w:val="24"/>
        </w:rPr>
        <w:t xml:space="preserve"> </w:t>
      </w:r>
      <w:r w:rsidR="00246418" w:rsidRPr="00246418">
        <w:rPr>
          <w:rFonts w:ascii="Bookman Old Style" w:hAnsi="Bookman Old Style"/>
          <w:sz w:val="24"/>
          <w:szCs w:val="24"/>
        </w:rPr>
        <w:t>governo</w:t>
      </w:r>
      <w:r w:rsidR="008F3DE8">
        <w:rPr>
          <w:rFonts w:ascii="Bookman Old Style" w:hAnsi="Bookman Old Style"/>
          <w:sz w:val="24"/>
          <w:szCs w:val="24"/>
        </w:rPr>
        <w:t xml:space="preserve"> </w:t>
      </w:r>
      <w:r w:rsidR="00246418" w:rsidRPr="00246418">
        <w:rPr>
          <w:rFonts w:ascii="Bookman Old Style" w:hAnsi="Bookman Old Style"/>
          <w:sz w:val="24"/>
          <w:szCs w:val="24"/>
        </w:rPr>
        <w:t>(centri</w:t>
      </w:r>
      <w:r w:rsidR="008F3DE8">
        <w:rPr>
          <w:rFonts w:ascii="Bookman Old Style" w:hAnsi="Bookman Old Style"/>
          <w:sz w:val="24"/>
          <w:szCs w:val="24"/>
        </w:rPr>
        <w:t xml:space="preserve"> </w:t>
      </w:r>
      <w:r w:rsidR="00246418" w:rsidRPr="00246418">
        <w:rPr>
          <w:rFonts w:ascii="Bookman Old Style" w:hAnsi="Bookman Old Style"/>
          <w:sz w:val="24"/>
          <w:szCs w:val="24"/>
        </w:rPr>
        <w:t>di</w:t>
      </w:r>
      <w:r w:rsidR="008F3DE8">
        <w:rPr>
          <w:rFonts w:ascii="Bookman Old Style" w:hAnsi="Bookman Old Style"/>
          <w:sz w:val="24"/>
          <w:szCs w:val="24"/>
        </w:rPr>
        <w:t xml:space="preserve"> </w:t>
      </w:r>
      <w:r w:rsidR="00246418" w:rsidRPr="00246418">
        <w:rPr>
          <w:rFonts w:ascii="Bookman Old Style" w:hAnsi="Bookman Old Style"/>
          <w:sz w:val="24"/>
          <w:szCs w:val="24"/>
        </w:rPr>
        <w:t>produzione</w:t>
      </w:r>
      <w:r w:rsidR="008F3DE8">
        <w:rPr>
          <w:rFonts w:ascii="Bookman Old Style" w:hAnsi="Bookman Old Style"/>
          <w:sz w:val="24"/>
          <w:szCs w:val="24"/>
        </w:rPr>
        <w:t xml:space="preserve"> </w:t>
      </w:r>
      <w:r w:rsidR="00246418" w:rsidRPr="00246418">
        <w:rPr>
          <w:rFonts w:ascii="Bookman Old Style" w:hAnsi="Bookman Old Style"/>
          <w:sz w:val="24"/>
          <w:szCs w:val="24"/>
        </w:rPr>
        <w:t>di</w:t>
      </w:r>
      <w:r w:rsidR="008F3DE8">
        <w:rPr>
          <w:rFonts w:ascii="Bookman Old Style" w:hAnsi="Bookman Old Style"/>
          <w:sz w:val="24"/>
          <w:szCs w:val="24"/>
        </w:rPr>
        <w:t xml:space="preserve"> </w:t>
      </w:r>
      <w:r w:rsidR="00246418" w:rsidRPr="00246418">
        <w:rPr>
          <w:rFonts w:ascii="Bookman Old Style" w:hAnsi="Bookman Old Style"/>
          <w:sz w:val="24"/>
          <w:szCs w:val="24"/>
        </w:rPr>
        <w:t>prestazioni</w:t>
      </w:r>
      <w:r w:rsidR="008F3DE8">
        <w:rPr>
          <w:rFonts w:ascii="Bookman Old Style" w:hAnsi="Bookman Old Style"/>
          <w:sz w:val="24"/>
          <w:szCs w:val="24"/>
        </w:rPr>
        <w:t xml:space="preserve"> </w:t>
      </w:r>
      <w:r w:rsidR="00246418" w:rsidRPr="00246418">
        <w:rPr>
          <w:rFonts w:ascii="Bookman Old Style" w:hAnsi="Bookman Old Style"/>
          <w:sz w:val="24"/>
          <w:szCs w:val="24"/>
        </w:rPr>
        <w:t>e</w:t>
      </w:r>
      <w:r w:rsidR="008F3DE8">
        <w:rPr>
          <w:rFonts w:ascii="Bookman Old Style" w:hAnsi="Bookman Old Style"/>
          <w:sz w:val="24"/>
          <w:szCs w:val="24"/>
        </w:rPr>
        <w:t xml:space="preserve"> </w:t>
      </w:r>
      <w:r w:rsidR="00246418" w:rsidRPr="00246418">
        <w:rPr>
          <w:rFonts w:ascii="Bookman Old Style" w:hAnsi="Bookman Old Style"/>
          <w:sz w:val="24"/>
          <w:szCs w:val="24"/>
        </w:rPr>
        <w:t>servizi)</w:t>
      </w:r>
      <w:r w:rsidR="008F3DE8">
        <w:rPr>
          <w:rFonts w:ascii="Bookman Old Style" w:hAnsi="Bookman Old Style"/>
          <w:sz w:val="24"/>
          <w:szCs w:val="24"/>
        </w:rPr>
        <w:t xml:space="preserve"> </w:t>
      </w:r>
      <w:r w:rsidR="00246418" w:rsidRPr="00246418">
        <w:rPr>
          <w:rFonts w:ascii="Bookman Old Style" w:hAnsi="Bookman Old Style"/>
          <w:sz w:val="24"/>
          <w:szCs w:val="24"/>
        </w:rPr>
        <w:t>secondo</w:t>
      </w:r>
      <w:r w:rsidR="008F3DE8">
        <w:rPr>
          <w:rFonts w:ascii="Bookman Old Style" w:hAnsi="Bookman Old Style"/>
          <w:sz w:val="24"/>
          <w:szCs w:val="24"/>
        </w:rPr>
        <w:t xml:space="preserve"> </w:t>
      </w:r>
      <w:r w:rsidR="00246418" w:rsidRPr="00246418">
        <w:rPr>
          <w:rFonts w:ascii="Bookman Old Style" w:hAnsi="Bookman Old Style"/>
          <w:sz w:val="24"/>
          <w:szCs w:val="24"/>
        </w:rPr>
        <w:t>il</w:t>
      </w:r>
      <w:r w:rsidR="008F3DE8">
        <w:rPr>
          <w:rFonts w:ascii="Bookman Old Style" w:hAnsi="Bookman Old Style"/>
          <w:sz w:val="24"/>
          <w:szCs w:val="24"/>
        </w:rPr>
        <w:t xml:space="preserve"> </w:t>
      </w:r>
      <w:r w:rsidR="00246418" w:rsidRPr="00246418">
        <w:rPr>
          <w:rFonts w:ascii="Bookman Old Style" w:hAnsi="Bookman Old Style"/>
          <w:sz w:val="24"/>
          <w:szCs w:val="24"/>
        </w:rPr>
        <w:t>principio</w:t>
      </w:r>
      <w:r w:rsidR="008F3DE8">
        <w:rPr>
          <w:rFonts w:ascii="Bookman Old Style" w:hAnsi="Bookman Old Style"/>
          <w:sz w:val="24"/>
          <w:szCs w:val="24"/>
        </w:rPr>
        <w:t xml:space="preserve"> </w:t>
      </w:r>
      <w:r w:rsidR="00246418" w:rsidRPr="00246418">
        <w:rPr>
          <w:rFonts w:ascii="Bookman Old Style" w:hAnsi="Bookman Old Style"/>
          <w:sz w:val="24"/>
          <w:szCs w:val="24"/>
        </w:rPr>
        <w:t>di</w:t>
      </w:r>
      <w:r w:rsidR="008F3DE8">
        <w:rPr>
          <w:rFonts w:ascii="Bookman Old Style" w:hAnsi="Bookman Old Style"/>
          <w:sz w:val="24"/>
          <w:szCs w:val="24"/>
        </w:rPr>
        <w:t xml:space="preserve"> </w:t>
      </w:r>
      <w:r w:rsidR="00246418" w:rsidRPr="00246418">
        <w:rPr>
          <w:rFonts w:ascii="Bookman Old Style" w:hAnsi="Bookman Old Style"/>
          <w:sz w:val="24"/>
          <w:szCs w:val="24"/>
        </w:rPr>
        <w:t>sussidiarietà</w:t>
      </w:r>
      <w:r w:rsidR="0069388E">
        <w:rPr>
          <w:rFonts w:ascii="Bookman Old Style" w:hAnsi="Bookman Old Style"/>
          <w:sz w:val="24"/>
          <w:szCs w:val="24"/>
        </w:rPr>
        <w:t xml:space="preserve"> </w:t>
      </w:r>
      <w:r w:rsidR="0069388E">
        <w:rPr>
          <w:rStyle w:val="Rimandonotaapidipagina"/>
          <w:rFonts w:ascii="Bookman Old Style" w:hAnsi="Bookman Old Style"/>
          <w:sz w:val="24"/>
          <w:szCs w:val="24"/>
        </w:rPr>
        <w:footnoteReference w:id="8"/>
      </w:r>
      <w:r w:rsidR="00246418" w:rsidRPr="00246418">
        <w:rPr>
          <w:rFonts w:ascii="Bookman Old Style" w:hAnsi="Bookman Old Style"/>
          <w:sz w:val="24"/>
          <w:szCs w:val="24"/>
        </w:rPr>
        <w:t>.</w:t>
      </w:r>
      <w:r w:rsidR="008F3DE8">
        <w:rPr>
          <w:rFonts w:ascii="Bookman Old Style" w:hAnsi="Bookman Old Style"/>
          <w:sz w:val="24"/>
          <w:szCs w:val="24"/>
        </w:rPr>
        <w:t xml:space="preserve"> </w:t>
      </w:r>
    </w:p>
    <w:p w:rsidR="0075267D" w:rsidRDefault="0023566E" w:rsidP="00246418">
      <w:pPr>
        <w:ind w:firstLine="709"/>
        <w:jc w:val="both"/>
        <w:rPr>
          <w:rFonts w:ascii="Bookman Old Style" w:hAnsi="Bookman Old Style"/>
          <w:sz w:val="24"/>
          <w:szCs w:val="24"/>
        </w:rPr>
      </w:pPr>
      <w:r w:rsidRPr="00D11BEB">
        <w:rPr>
          <w:rFonts w:ascii="Bookman Old Style" w:hAnsi="Bookman Old Style"/>
          <w:sz w:val="24"/>
          <w:szCs w:val="24"/>
        </w:rPr>
        <w:t>Pur</w:t>
      </w:r>
      <w:r w:rsidR="008F3DE8">
        <w:rPr>
          <w:rFonts w:ascii="Bookman Old Style" w:hAnsi="Bookman Old Style"/>
          <w:sz w:val="24"/>
          <w:szCs w:val="24"/>
        </w:rPr>
        <w:t xml:space="preserve"> </w:t>
      </w:r>
      <w:r w:rsidRPr="00D11BEB">
        <w:rPr>
          <w:rFonts w:ascii="Bookman Old Style" w:hAnsi="Bookman Old Style"/>
          <w:sz w:val="24"/>
          <w:szCs w:val="24"/>
        </w:rPr>
        <w:t>tuttavia,</w:t>
      </w:r>
      <w:r w:rsidR="008F3DE8">
        <w:rPr>
          <w:rFonts w:ascii="Bookman Old Style" w:hAnsi="Bookman Old Style"/>
          <w:sz w:val="24"/>
          <w:szCs w:val="24"/>
        </w:rPr>
        <w:t xml:space="preserve"> </w:t>
      </w:r>
      <w:r w:rsidRPr="00D11BEB">
        <w:rPr>
          <w:rFonts w:ascii="Bookman Old Style" w:hAnsi="Bookman Old Style"/>
          <w:sz w:val="24"/>
          <w:szCs w:val="24"/>
        </w:rPr>
        <w:t>nel</w:t>
      </w:r>
      <w:r w:rsidR="008F3DE8">
        <w:rPr>
          <w:rFonts w:ascii="Bookman Old Style" w:hAnsi="Bookman Old Style"/>
          <w:sz w:val="24"/>
          <w:szCs w:val="24"/>
        </w:rPr>
        <w:t xml:space="preserve"> </w:t>
      </w:r>
      <w:r w:rsidRPr="00D11BEB">
        <w:rPr>
          <w:rFonts w:ascii="Bookman Old Style" w:hAnsi="Bookman Old Style"/>
          <w:sz w:val="24"/>
          <w:szCs w:val="24"/>
        </w:rPr>
        <w:t>realizzare</w:t>
      </w:r>
      <w:r w:rsidR="008F3DE8">
        <w:rPr>
          <w:rFonts w:ascii="Bookman Old Style" w:hAnsi="Bookman Old Style"/>
          <w:sz w:val="24"/>
          <w:szCs w:val="24"/>
        </w:rPr>
        <w:t xml:space="preserve"> </w:t>
      </w:r>
      <w:r w:rsidRPr="00D11BEB">
        <w:rPr>
          <w:rFonts w:ascii="Bookman Old Style" w:hAnsi="Bookman Old Style"/>
          <w:sz w:val="24"/>
          <w:szCs w:val="24"/>
        </w:rPr>
        <w:t>la</w:t>
      </w:r>
      <w:r w:rsidR="008F3DE8">
        <w:rPr>
          <w:rFonts w:ascii="Bookman Old Style" w:hAnsi="Bookman Old Style"/>
          <w:sz w:val="24"/>
          <w:szCs w:val="24"/>
        </w:rPr>
        <w:t xml:space="preserve"> </w:t>
      </w:r>
      <w:r w:rsidRPr="00D11BEB">
        <w:rPr>
          <w:rFonts w:ascii="Bookman Old Style" w:hAnsi="Bookman Old Style"/>
          <w:sz w:val="24"/>
          <w:szCs w:val="24"/>
        </w:rPr>
        <w:t>riforma</w:t>
      </w:r>
      <w:r w:rsidR="008F3DE8">
        <w:rPr>
          <w:rFonts w:ascii="Bookman Old Style" w:hAnsi="Bookman Old Style"/>
          <w:sz w:val="24"/>
          <w:szCs w:val="24"/>
        </w:rPr>
        <w:t xml:space="preserve"> </w:t>
      </w:r>
      <w:r w:rsidRPr="00D11BEB">
        <w:rPr>
          <w:rFonts w:ascii="Bookman Old Style" w:hAnsi="Bookman Old Style"/>
          <w:sz w:val="24"/>
          <w:szCs w:val="24"/>
        </w:rPr>
        <w:t>in</w:t>
      </w:r>
      <w:r w:rsidR="008F3DE8">
        <w:rPr>
          <w:rFonts w:ascii="Bookman Old Style" w:hAnsi="Bookman Old Style"/>
          <w:sz w:val="24"/>
          <w:szCs w:val="24"/>
        </w:rPr>
        <w:t xml:space="preserve"> </w:t>
      </w:r>
      <w:r w:rsidRPr="00D11BEB">
        <w:rPr>
          <w:rFonts w:ascii="Bookman Old Style" w:hAnsi="Bookman Old Style"/>
          <w:sz w:val="24"/>
          <w:szCs w:val="24"/>
        </w:rPr>
        <w:t>senso</w:t>
      </w:r>
      <w:r w:rsidR="008F3DE8">
        <w:rPr>
          <w:rFonts w:ascii="Bookman Old Style" w:hAnsi="Bookman Old Style"/>
          <w:sz w:val="24"/>
          <w:szCs w:val="24"/>
        </w:rPr>
        <w:t xml:space="preserve"> </w:t>
      </w:r>
      <w:r w:rsidRPr="00D11BEB">
        <w:rPr>
          <w:rFonts w:ascii="Bookman Old Style" w:hAnsi="Bookman Old Style"/>
          <w:sz w:val="24"/>
          <w:szCs w:val="24"/>
        </w:rPr>
        <w:t>federale</w:t>
      </w:r>
      <w:r w:rsidR="008F3DE8">
        <w:rPr>
          <w:rFonts w:ascii="Bookman Old Style" w:hAnsi="Bookman Old Style"/>
          <w:sz w:val="24"/>
          <w:szCs w:val="24"/>
        </w:rPr>
        <w:t xml:space="preserve"> </w:t>
      </w:r>
      <w:r w:rsidRPr="00D11BEB">
        <w:rPr>
          <w:rFonts w:ascii="Bookman Old Style" w:hAnsi="Bookman Old Style"/>
          <w:sz w:val="24"/>
          <w:szCs w:val="24"/>
        </w:rPr>
        <w:t>dell’ordinamento,</w:t>
      </w:r>
      <w:r w:rsidR="008F3DE8">
        <w:rPr>
          <w:rFonts w:ascii="Bookman Old Style" w:hAnsi="Bookman Old Style"/>
          <w:sz w:val="24"/>
          <w:szCs w:val="24"/>
        </w:rPr>
        <w:t xml:space="preserve"> </w:t>
      </w:r>
      <w:r w:rsidRPr="00D11BEB">
        <w:rPr>
          <w:rFonts w:ascii="Bookman Old Style" w:hAnsi="Bookman Old Style"/>
          <w:sz w:val="24"/>
          <w:szCs w:val="24"/>
        </w:rPr>
        <w:t>il</w:t>
      </w:r>
      <w:r w:rsidR="008F3DE8">
        <w:rPr>
          <w:rFonts w:ascii="Bookman Old Style" w:hAnsi="Bookman Old Style"/>
          <w:sz w:val="24"/>
          <w:szCs w:val="24"/>
        </w:rPr>
        <w:t xml:space="preserve"> </w:t>
      </w:r>
      <w:r w:rsidRPr="00D11BEB">
        <w:rPr>
          <w:rFonts w:ascii="Bookman Old Style" w:hAnsi="Bookman Old Style"/>
          <w:sz w:val="24"/>
          <w:szCs w:val="24"/>
        </w:rPr>
        <w:t>Legislatore</w:t>
      </w:r>
      <w:r w:rsidR="008F3DE8">
        <w:rPr>
          <w:rFonts w:ascii="Bookman Old Style" w:hAnsi="Bookman Old Style"/>
          <w:sz w:val="24"/>
          <w:szCs w:val="24"/>
        </w:rPr>
        <w:t xml:space="preserve"> </w:t>
      </w:r>
      <w:r w:rsidRPr="00D11BEB">
        <w:rPr>
          <w:rFonts w:ascii="Bookman Old Style" w:hAnsi="Bookman Old Style"/>
          <w:sz w:val="24"/>
          <w:szCs w:val="24"/>
        </w:rPr>
        <w:t>costituente</w:t>
      </w:r>
      <w:r w:rsidR="008F3DE8">
        <w:rPr>
          <w:rFonts w:ascii="Bookman Old Style" w:hAnsi="Bookman Old Style"/>
          <w:sz w:val="24"/>
          <w:szCs w:val="24"/>
        </w:rPr>
        <w:t xml:space="preserve"> </w:t>
      </w:r>
      <w:r w:rsidRPr="00D11BEB">
        <w:rPr>
          <w:rFonts w:ascii="Bookman Old Style" w:hAnsi="Bookman Old Style"/>
          <w:sz w:val="24"/>
          <w:szCs w:val="24"/>
        </w:rPr>
        <w:t>ha</w:t>
      </w:r>
      <w:r w:rsidR="008F3DE8">
        <w:rPr>
          <w:rFonts w:ascii="Bookman Old Style" w:hAnsi="Bookman Old Style"/>
          <w:sz w:val="24"/>
          <w:szCs w:val="24"/>
        </w:rPr>
        <w:t xml:space="preserve"> </w:t>
      </w:r>
      <w:r w:rsidRPr="00D11BEB">
        <w:rPr>
          <w:rFonts w:ascii="Bookman Old Style" w:hAnsi="Bookman Old Style"/>
          <w:sz w:val="24"/>
          <w:szCs w:val="24"/>
        </w:rPr>
        <w:t>sentito</w:t>
      </w:r>
      <w:r w:rsidR="008F3DE8">
        <w:rPr>
          <w:rFonts w:ascii="Bookman Old Style" w:hAnsi="Bookman Old Style"/>
          <w:sz w:val="24"/>
          <w:szCs w:val="24"/>
        </w:rPr>
        <w:t xml:space="preserve"> </w:t>
      </w:r>
      <w:r w:rsidRPr="00D11BEB">
        <w:rPr>
          <w:rFonts w:ascii="Bookman Old Style" w:hAnsi="Bookman Old Style"/>
          <w:sz w:val="24"/>
          <w:szCs w:val="24"/>
        </w:rPr>
        <w:t>l’esigenza</w:t>
      </w:r>
      <w:r w:rsidR="008F3DE8">
        <w:rPr>
          <w:rFonts w:ascii="Bookman Old Style" w:hAnsi="Bookman Old Style"/>
          <w:sz w:val="24"/>
          <w:szCs w:val="24"/>
        </w:rPr>
        <w:t xml:space="preserve"> </w:t>
      </w:r>
      <w:r w:rsidRPr="00D11BEB">
        <w:rPr>
          <w:rFonts w:ascii="Bookman Old Style" w:hAnsi="Bookman Old Style"/>
          <w:sz w:val="24"/>
          <w:szCs w:val="24"/>
        </w:rPr>
        <w:t>di</w:t>
      </w:r>
      <w:r w:rsidR="008F3DE8">
        <w:rPr>
          <w:rFonts w:ascii="Bookman Old Style" w:hAnsi="Bookman Old Style"/>
          <w:sz w:val="24"/>
          <w:szCs w:val="24"/>
        </w:rPr>
        <w:t xml:space="preserve"> </w:t>
      </w:r>
      <w:r w:rsidRPr="00D11BEB">
        <w:rPr>
          <w:rFonts w:ascii="Bookman Old Style" w:hAnsi="Bookman Old Style"/>
          <w:sz w:val="24"/>
          <w:szCs w:val="24"/>
        </w:rPr>
        <w:t>inserire</w:t>
      </w:r>
      <w:r w:rsidR="008F3DE8">
        <w:rPr>
          <w:rFonts w:ascii="Bookman Old Style" w:hAnsi="Bookman Old Style"/>
          <w:sz w:val="24"/>
          <w:szCs w:val="24"/>
        </w:rPr>
        <w:t xml:space="preserve"> </w:t>
      </w:r>
      <w:r w:rsidRPr="00D11BEB">
        <w:rPr>
          <w:rFonts w:ascii="Bookman Old Style" w:hAnsi="Bookman Old Style"/>
          <w:sz w:val="24"/>
          <w:szCs w:val="24"/>
        </w:rPr>
        <w:t>nell’elenco</w:t>
      </w:r>
      <w:r w:rsidR="008F3DE8">
        <w:rPr>
          <w:rFonts w:ascii="Bookman Old Style" w:hAnsi="Bookman Old Style"/>
          <w:sz w:val="24"/>
          <w:szCs w:val="24"/>
        </w:rPr>
        <w:t xml:space="preserve"> </w:t>
      </w:r>
      <w:r w:rsidRPr="00D11BEB">
        <w:rPr>
          <w:rFonts w:ascii="Bookman Old Style" w:hAnsi="Bookman Old Style"/>
          <w:sz w:val="24"/>
          <w:szCs w:val="24"/>
        </w:rPr>
        <w:t>delle</w:t>
      </w:r>
      <w:r w:rsidR="008F3DE8">
        <w:rPr>
          <w:rFonts w:ascii="Bookman Old Style" w:hAnsi="Bookman Old Style"/>
          <w:sz w:val="24"/>
          <w:szCs w:val="24"/>
        </w:rPr>
        <w:t xml:space="preserve"> </w:t>
      </w:r>
      <w:r w:rsidRPr="00D11BEB">
        <w:rPr>
          <w:rFonts w:ascii="Bookman Old Style" w:hAnsi="Bookman Old Style"/>
          <w:sz w:val="24"/>
          <w:szCs w:val="24"/>
        </w:rPr>
        <w:t>materie</w:t>
      </w:r>
      <w:r w:rsidR="008F3DE8">
        <w:rPr>
          <w:rFonts w:ascii="Bookman Old Style" w:hAnsi="Bookman Old Style"/>
          <w:sz w:val="24"/>
          <w:szCs w:val="24"/>
        </w:rPr>
        <w:t xml:space="preserve"> </w:t>
      </w:r>
      <w:r w:rsidRPr="00D11BEB">
        <w:rPr>
          <w:rFonts w:ascii="Bookman Old Style" w:hAnsi="Bookman Old Style"/>
          <w:sz w:val="24"/>
          <w:szCs w:val="24"/>
        </w:rPr>
        <w:t>in</w:t>
      </w:r>
      <w:r w:rsidR="008F3DE8">
        <w:rPr>
          <w:rFonts w:ascii="Bookman Old Style" w:hAnsi="Bookman Old Style"/>
          <w:sz w:val="24"/>
          <w:szCs w:val="24"/>
        </w:rPr>
        <w:t xml:space="preserve"> </w:t>
      </w:r>
      <w:r w:rsidRPr="00D11BEB">
        <w:rPr>
          <w:rFonts w:ascii="Bookman Old Style" w:hAnsi="Bookman Old Style"/>
          <w:sz w:val="24"/>
          <w:szCs w:val="24"/>
        </w:rPr>
        <w:t>cui</w:t>
      </w:r>
      <w:r w:rsidR="008F3DE8">
        <w:rPr>
          <w:rFonts w:ascii="Bookman Old Style" w:hAnsi="Bookman Old Style"/>
          <w:sz w:val="24"/>
          <w:szCs w:val="24"/>
        </w:rPr>
        <w:t xml:space="preserve"> </w:t>
      </w:r>
      <w:r w:rsidRPr="00D11BEB">
        <w:rPr>
          <w:rFonts w:ascii="Bookman Old Style" w:hAnsi="Bookman Old Style"/>
          <w:sz w:val="24"/>
          <w:szCs w:val="24"/>
        </w:rPr>
        <w:t>si</w:t>
      </w:r>
      <w:r w:rsidR="008F3DE8">
        <w:rPr>
          <w:rFonts w:ascii="Bookman Old Style" w:hAnsi="Bookman Old Style"/>
          <w:sz w:val="24"/>
          <w:szCs w:val="24"/>
        </w:rPr>
        <w:t xml:space="preserve"> </w:t>
      </w:r>
      <w:r w:rsidRPr="00D11BEB">
        <w:rPr>
          <w:rFonts w:ascii="Bookman Old Style" w:hAnsi="Bookman Old Style"/>
          <w:sz w:val="24"/>
          <w:szCs w:val="24"/>
        </w:rPr>
        <w:t>esplica</w:t>
      </w:r>
      <w:r w:rsidR="008F3DE8">
        <w:rPr>
          <w:rFonts w:ascii="Bookman Old Style" w:hAnsi="Bookman Old Style"/>
          <w:sz w:val="24"/>
          <w:szCs w:val="24"/>
        </w:rPr>
        <w:t xml:space="preserve"> </w:t>
      </w:r>
      <w:r w:rsidRPr="00D11BEB">
        <w:rPr>
          <w:rFonts w:ascii="Bookman Old Style" w:hAnsi="Bookman Old Style"/>
          <w:sz w:val="24"/>
          <w:szCs w:val="24"/>
        </w:rPr>
        <w:t>la</w:t>
      </w:r>
      <w:r w:rsidR="008F3DE8">
        <w:rPr>
          <w:rFonts w:ascii="Bookman Old Style" w:hAnsi="Bookman Old Style"/>
          <w:sz w:val="24"/>
          <w:szCs w:val="24"/>
        </w:rPr>
        <w:t xml:space="preserve"> </w:t>
      </w:r>
      <w:r w:rsidRPr="00D11BEB">
        <w:rPr>
          <w:rFonts w:ascii="Bookman Old Style" w:hAnsi="Bookman Old Style"/>
          <w:sz w:val="24"/>
          <w:szCs w:val="24"/>
        </w:rPr>
        <w:t>potestà</w:t>
      </w:r>
      <w:r w:rsidR="008F3DE8">
        <w:rPr>
          <w:rFonts w:ascii="Bookman Old Style" w:hAnsi="Bookman Old Style"/>
          <w:sz w:val="24"/>
          <w:szCs w:val="24"/>
        </w:rPr>
        <w:t xml:space="preserve"> </w:t>
      </w:r>
      <w:r w:rsidRPr="00D11BEB">
        <w:rPr>
          <w:rFonts w:ascii="Bookman Old Style" w:hAnsi="Bookman Old Style"/>
          <w:sz w:val="24"/>
          <w:szCs w:val="24"/>
        </w:rPr>
        <w:t>normativa</w:t>
      </w:r>
      <w:r w:rsidR="008F3DE8">
        <w:rPr>
          <w:rFonts w:ascii="Bookman Old Style" w:hAnsi="Bookman Old Style"/>
          <w:sz w:val="24"/>
          <w:szCs w:val="24"/>
        </w:rPr>
        <w:t xml:space="preserve"> </w:t>
      </w:r>
      <w:r w:rsidRPr="00D11BEB">
        <w:rPr>
          <w:rFonts w:ascii="Bookman Old Style" w:hAnsi="Bookman Old Style"/>
          <w:sz w:val="24"/>
          <w:szCs w:val="24"/>
        </w:rPr>
        <w:t>esclusiva</w:t>
      </w:r>
      <w:r w:rsidR="008F3DE8">
        <w:rPr>
          <w:rFonts w:ascii="Bookman Old Style" w:hAnsi="Bookman Old Style"/>
          <w:sz w:val="24"/>
          <w:szCs w:val="24"/>
        </w:rPr>
        <w:t xml:space="preserve"> </w:t>
      </w:r>
      <w:r w:rsidRPr="00D11BEB">
        <w:rPr>
          <w:rFonts w:ascii="Bookman Old Style" w:hAnsi="Bookman Old Style"/>
          <w:sz w:val="24"/>
          <w:szCs w:val="24"/>
        </w:rPr>
        <w:t>dello</w:t>
      </w:r>
      <w:r w:rsidR="008F3DE8">
        <w:rPr>
          <w:rFonts w:ascii="Bookman Old Style" w:hAnsi="Bookman Old Style"/>
          <w:sz w:val="24"/>
          <w:szCs w:val="24"/>
        </w:rPr>
        <w:t xml:space="preserve"> </w:t>
      </w:r>
      <w:r w:rsidRPr="00D11BEB">
        <w:rPr>
          <w:rFonts w:ascii="Bookman Old Style" w:hAnsi="Bookman Old Style"/>
          <w:sz w:val="24"/>
          <w:szCs w:val="24"/>
        </w:rPr>
        <w:t>Stato</w:t>
      </w:r>
      <w:r w:rsidR="008F3DE8">
        <w:rPr>
          <w:rFonts w:ascii="Bookman Old Style" w:hAnsi="Bookman Old Style"/>
          <w:sz w:val="24"/>
          <w:szCs w:val="24"/>
        </w:rPr>
        <w:t xml:space="preserve"> </w:t>
      </w:r>
      <w:r w:rsidRPr="00D11BEB">
        <w:rPr>
          <w:rFonts w:ascii="Bookman Old Style" w:hAnsi="Bookman Old Style"/>
          <w:sz w:val="24"/>
          <w:szCs w:val="24"/>
        </w:rPr>
        <w:t>la</w:t>
      </w:r>
      <w:r w:rsidR="008F3DE8">
        <w:rPr>
          <w:rFonts w:ascii="Bookman Old Style" w:hAnsi="Bookman Old Style"/>
          <w:sz w:val="24"/>
          <w:szCs w:val="24"/>
        </w:rPr>
        <w:t xml:space="preserve"> </w:t>
      </w:r>
      <w:r w:rsidRPr="00D11BEB">
        <w:rPr>
          <w:rFonts w:ascii="Bookman Old Style" w:hAnsi="Bookman Old Style"/>
          <w:sz w:val="24"/>
          <w:szCs w:val="24"/>
        </w:rPr>
        <w:t>“determinazione</w:t>
      </w:r>
      <w:r w:rsidR="008F3DE8">
        <w:rPr>
          <w:rFonts w:ascii="Bookman Old Style" w:hAnsi="Bookman Old Style"/>
          <w:sz w:val="24"/>
          <w:szCs w:val="24"/>
        </w:rPr>
        <w:t xml:space="preserve"> </w:t>
      </w:r>
      <w:r w:rsidRPr="00D11BEB">
        <w:rPr>
          <w:rFonts w:ascii="Bookman Old Style" w:hAnsi="Bookman Old Style"/>
          <w:sz w:val="24"/>
          <w:szCs w:val="24"/>
        </w:rPr>
        <w:t>dei</w:t>
      </w:r>
      <w:r w:rsidR="008F3DE8">
        <w:rPr>
          <w:rFonts w:ascii="Bookman Old Style" w:hAnsi="Bookman Old Style"/>
          <w:sz w:val="24"/>
          <w:szCs w:val="24"/>
        </w:rPr>
        <w:t xml:space="preserve"> </w:t>
      </w:r>
      <w:r w:rsidRPr="00D11BEB">
        <w:rPr>
          <w:rFonts w:ascii="Bookman Old Style" w:hAnsi="Bookman Old Style"/>
          <w:sz w:val="24"/>
          <w:szCs w:val="24"/>
        </w:rPr>
        <w:t>livelli</w:t>
      </w:r>
      <w:r w:rsidR="008F3DE8">
        <w:rPr>
          <w:rFonts w:ascii="Bookman Old Style" w:hAnsi="Bookman Old Style"/>
          <w:sz w:val="24"/>
          <w:szCs w:val="24"/>
        </w:rPr>
        <w:t xml:space="preserve"> </w:t>
      </w:r>
      <w:r w:rsidRPr="00D11BEB">
        <w:rPr>
          <w:rFonts w:ascii="Bookman Old Style" w:hAnsi="Bookman Old Style"/>
          <w:sz w:val="24"/>
          <w:szCs w:val="24"/>
        </w:rPr>
        <w:t>essenziali</w:t>
      </w:r>
      <w:r w:rsidR="008F3DE8">
        <w:rPr>
          <w:rFonts w:ascii="Bookman Old Style" w:hAnsi="Bookman Old Style"/>
          <w:sz w:val="24"/>
          <w:szCs w:val="24"/>
        </w:rPr>
        <w:t xml:space="preserve"> </w:t>
      </w:r>
      <w:r w:rsidRPr="00D11BEB">
        <w:rPr>
          <w:rFonts w:ascii="Bookman Old Style" w:hAnsi="Bookman Old Style"/>
          <w:sz w:val="24"/>
          <w:szCs w:val="24"/>
        </w:rPr>
        <w:t>delle</w:t>
      </w:r>
      <w:r w:rsidR="008F3DE8">
        <w:rPr>
          <w:rFonts w:ascii="Bookman Old Style" w:hAnsi="Bookman Old Style"/>
          <w:sz w:val="24"/>
          <w:szCs w:val="24"/>
        </w:rPr>
        <w:t xml:space="preserve"> </w:t>
      </w:r>
      <w:r w:rsidRPr="00D11BEB">
        <w:rPr>
          <w:rFonts w:ascii="Bookman Old Style" w:hAnsi="Bookman Old Style"/>
          <w:sz w:val="24"/>
          <w:szCs w:val="24"/>
        </w:rPr>
        <w:t>prestazioni</w:t>
      </w:r>
      <w:r w:rsidR="008F3DE8">
        <w:rPr>
          <w:rFonts w:ascii="Bookman Old Style" w:hAnsi="Bookman Old Style"/>
          <w:sz w:val="24"/>
          <w:szCs w:val="24"/>
        </w:rPr>
        <w:t xml:space="preserve"> </w:t>
      </w:r>
      <w:r w:rsidRPr="00D11BEB">
        <w:rPr>
          <w:rFonts w:ascii="Bookman Old Style" w:hAnsi="Bookman Old Style"/>
          <w:sz w:val="24"/>
          <w:szCs w:val="24"/>
        </w:rPr>
        <w:t>concernenti</w:t>
      </w:r>
      <w:r w:rsidR="008F3DE8">
        <w:rPr>
          <w:rFonts w:ascii="Bookman Old Style" w:hAnsi="Bookman Old Style"/>
          <w:sz w:val="24"/>
          <w:szCs w:val="24"/>
        </w:rPr>
        <w:t xml:space="preserve"> </w:t>
      </w:r>
      <w:r w:rsidRPr="00D11BEB">
        <w:rPr>
          <w:rFonts w:ascii="Bookman Old Style" w:hAnsi="Bookman Old Style"/>
          <w:sz w:val="24"/>
          <w:szCs w:val="24"/>
        </w:rPr>
        <w:t>i</w:t>
      </w:r>
      <w:r w:rsidR="008F3DE8">
        <w:rPr>
          <w:rFonts w:ascii="Bookman Old Style" w:hAnsi="Bookman Old Style"/>
          <w:sz w:val="24"/>
          <w:szCs w:val="24"/>
        </w:rPr>
        <w:t xml:space="preserve"> </w:t>
      </w:r>
      <w:r w:rsidRPr="00D11BEB">
        <w:rPr>
          <w:rFonts w:ascii="Bookman Old Style" w:hAnsi="Bookman Old Style"/>
          <w:sz w:val="24"/>
          <w:szCs w:val="24"/>
        </w:rPr>
        <w:t>diritti</w:t>
      </w:r>
      <w:r w:rsidR="008F3DE8">
        <w:rPr>
          <w:rFonts w:ascii="Bookman Old Style" w:hAnsi="Bookman Old Style"/>
          <w:sz w:val="24"/>
          <w:szCs w:val="24"/>
        </w:rPr>
        <w:t xml:space="preserve"> </w:t>
      </w:r>
      <w:r w:rsidRPr="00D11BEB">
        <w:rPr>
          <w:rFonts w:ascii="Bookman Old Style" w:hAnsi="Bookman Old Style"/>
          <w:sz w:val="24"/>
          <w:szCs w:val="24"/>
        </w:rPr>
        <w:t>civili</w:t>
      </w:r>
      <w:r w:rsidR="008F3DE8">
        <w:rPr>
          <w:rFonts w:ascii="Bookman Old Style" w:hAnsi="Bookman Old Style"/>
          <w:sz w:val="24"/>
          <w:szCs w:val="24"/>
        </w:rPr>
        <w:t xml:space="preserve"> </w:t>
      </w:r>
      <w:r w:rsidRPr="00D11BEB">
        <w:rPr>
          <w:rFonts w:ascii="Bookman Old Style" w:hAnsi="Bookman Old Style"/>
          <w:sz w:val="24"/>
          <w:szCs w:val="24"/>
        </w:rPr>
        <w:t>e</w:t>
      </w:r>
      <w:r w:rsidR="008F3DE8">
        <w:rPr>
          <w:rFonts w:ascii="Bookman Old Style" w:hAnsi="Bookman Old Style"/>
          <w:sz w:val="24"/>
          <w:szCs w:val="24"/>
        </w:rPr>
        <w:t xml:space="preserve"> </w:t>
      </w:r>
      <w:r w:rsidRPr="00D11BEB">
        <w:rPr>
          <w:rFonts w:ascii="Bookman Old Style" w:hAnsi="Bookman Old Style"/>
          <w:sz w:val="24"/>
          <w:szCs w:val="24"/>
        </w:rPr>
        <w:t>sociali</w:t>
      </w:r>
      <w:r w:rsidR="008F3DE8">
        <w:rPr>
          <w:rFonts w:ascii="Bookman Old Style" w:hAnsi="Bookman Old Style"/>
          <w:sz w:val="24"/>
          <w:szCs w:val="24"/>
        </w:rPr>
        <w:t xml:space="preserve"> </w:t>
      </w:r>
      <w:r w:rsidRPr="00D11BEB">
        <w:rPr>
          <w:rFonts w:ascii="Bookman Old Style" w:hAnsi="Bookman Old Style"/>
          <w:sz w:val="24"/>
          <w:szCs w:val="24"/>
        </w:rPr>
        <w:t>che</w:t>
      </w:r>
      <w:r w:rsidR="008F3DE8">
        <w:rPr>
          <w:rFonts w:ascii="Bookman Old Style" w:hAnsi="Bookman Old Style"/>
          <w:sz w:val="24"/>
          <w:szCs w:val="24"/>
        </w:rPr>
        <w:t xml:space="preserve"> </w:t>
      </w:r>
      <w:r w:rsidRPr="00D11BEB">
        <w:rPr>
          <w:rFonts w:ascii="Bookman Old Style" w:hAnsi="Bookman Old Style"/>
          <w:sz w:val="24"/>
          <w:szCs w:val="24"/>
        </w:rPr>
        <w:t>devono</w:t>
      </w:r>
      <w:r w:rsidR="008F3DE8">
        <w:rPr>
          <w:rFonts w:ascii="Bookman Old Style" w:hAnsi="Bookman Old Style"/>
          <w:sz w:val="24"/>
          <w:szCs w:val="24"/>
        </w:rPr>
        <w:t xml:space="preserve"> </w:t>
      </w:r>
      <w:r w:rsidRPr="00D11BEB">
        <w:rPr>
          <w:rFonts w:ascii="Bookman Old Style" w:hAnsi="Bookman Old Style"/>
          <w:sz w:val="24"/>
          <w:szCs w:val="24"/>
        </w:rPr>
        <w:t>essere</w:t>
      </w:r>
      <w:r w:rsidR="008F3DE8">
        <w:rPr>
          <w:rFonts w:ascii="Bookman Old Style" w:hAnsi="Bookman Old Style"/>
          <w:sz w:val="24"/>
          <w:szCs w:val="24"/>
        </w:rPr>
        <w:t xml:space="preserve"> </w:t>
      </w:r>
      <w:r w:rsidRPr="00D11BEB">
        <w:rPr>
          <w:rFonts w:ascii="Bookman Old Style" w:hAnsi="Bookman Old Style"/>
          <w:sz w:val="24"/>
          <w:szCs w:val="24"/>
        </w:rPr>
        <w:t>garantiti</w:t>
      </w:r>
      <w:r w:rsidR="008F3DE8">
        <w:rPr>
          <w:rFonts w:ascii="Bookman Old Style" w:hAnsi="Bookman Old Style"/>
          <w:sz w:val="24"/>
          <w:szCs w:val="24"/>
        </w:rPr>
        <w:t xml:space="preserve"> </w:t>
      </w:r>
      <w:r w:rsidRPr="00D11BEB">
        <w:rPr>
          <w:rFonts w:ascii="Bookman Old Style" w:hAnsi="Bookman Old Style"/>
          <w:sz w:val="24"/>
          <w:szCs w:val="24"/>
        </w:rPr>
        <w:t>su</w:t>
      </w:r>
      <w:r w:rsidR="008F3DE8">
        <w:rPr>
          <w:rFonts w:ascii="Bookman Old Style" w:hAnsi="Bookman Old Style"/>
          <w:sz w:val="24"/>
          <w:szCs w:val="24"/>
        </w:rPr>
        <w:t xml:space="preserve"> </w:t>
      </w:r>
      <w:r w:rsidRPr="00D11BEB">
        <w:rPr>
          <w:rFonts w:ascii="Bookman Old Style" w:hAnsi="Bookman Old Style"/>
          <w:sz w:val="24"/>
          <w:szCs w:val="24"/>
        </w:rPr>
        <w:t>tutto</w:t>
      </w:r>
      <w:r w:rsidR="008F3DE8">
        <w:rPr>
          <w:rFonts w:ascii="Bookman Old Style" w:hAnsi="Bookman Old Style"/>
          <w:sz w:val="24"/>
          <w:szCs w:val="24"/>
        </w:rPr>
        <w:t xml:space="preserve"> </w:t>
      </w:r>
      <w:r w:rsidRPr="00D11BEB">
        <w:rPr>
          <w:rFonts w:ascii="Bookman Old Style" w:hAnsi="Bookman Old Style"/>
          <w:sz w:val="24"/>
          <w:szCs w:val="24"/>
        </w:rPr>
        <w:t>il</w:t>
      </w:r>
      <w:r w:rsidR="008F3DE8">
        <w:rPr>
          <w:rFonts w:ascii="Bookman Old Style" w:hAnsi="Bookman Old Style"/>
          <w:sz w:val="24"/>
          <w:szCs w:val="24"/>
        </w:rPr>
        <w:t xml:space="preserve"> </w:t>
      </w:r>
      <w:r w:rsidRPr="00D11BEB">
        <w:rPr>
          <w:rFonts w:ascii="Bookman Old Style" w:hAnsi="Bookman Old Style"/>
          <w:sz w:val="24"/>
          <w:szCs w:val="24"/>
        </w:rPr>
        <w:t>territorio</w:t>
      </w:r>
      <w:r w:rsidR="008F3DE8">
        <w:rPr>
          <w:rFonts w:ascii="Bookman Old Style" w:hAnsi="Bookman Old Style"/>
          <w:sz w:val="24"/>
          <w:szCs w:val="24"/>
        </w:rPr>
        <w:t xml:space="preserve"> </w:t>
      </w:r>
      <w:r w:rsidRPr="00D11BEB">
        <w:rPr>
          <w:rFonts w:ascii="Bookman Old Style" w:hAnsi="Bookman Old Style"/>
          <w:sz w:val="24"/>
          <w:szCs w:val="24"/>
        </w:rPr>
        <w:t>nazionale”</w:t>
      </w:r>
      <w:r w:rsidR="008F3DE8">
        <w:rPr>
          <w:rFonts w:ascii="Bookman Old Style" w:hAnsi="Bookman Old Style"/>
          <w:sz w:val="24"/>
          <w:szCs w:val="24"/>
        </w:rPr>
        <w:t xml:space="preserve"> </w:t>
      </w:r>
      <w:r w:rsidRPr="00D11BEB">
        <w:rPr>
          <w:rFonts w:ascii="Bookman Old Style" w:hAnsi="Bookman Old Style"/>
          <w:sz w:val="24"/>
          <w:szCs w:val="24"/>
        </w:rPr>
        <w:t>(art.</w:t>
      </w:r>
      <w:r w:rsidR="008F3DE8">
        <w:rPr>
          <w:rFonts w:ascii="Bookman Old Style" w:hAnsi="Bookman Old Style"/>
          <w:sz w:val="24"/>
          <w:szCs w:val="24"/>
        </w:rPr>
        <w:t xml:space="preserve"> </w:t>
      </w:r>
      <w:r w:rsidRPr="00D11BEB">
        <w:rPr>
          <w:rFonts w:ascii="Bookman Old Style" w:hAnsi="Bookman Old Style"/>
          <w:sz w:val="24"/>
          <w:szCs w:val="24"/>
        </w:rPr>
        <w:t>117,</w:t>
      </w:r>
      <w:r w:rsidR="008F3DE8">
        <w:rPr>
          <w:rFonts w:ascii="Bookman Old Style" w:hAnsi="Bookman Old Style"/>
          <w:sz w:val="24"/>
          <w:szCs w:val="24"/>
        </w:rPr>
        <w:t xml:space="preserve"> </w:t>
      </w:r>
      <w:r w:rsidR="006844CC">
        <w:rPr>
          <w:rFonts w:ascii="Bookman Old Style" w:hAnsi="Bookman Old Style"/>
          <w:sz w:val="24"/>
          <w:szCs w:val="24"/>
        </w:rPr>
        <w:t xml:space="preserve">secondo </w:t>
      </w:r>
      <w:r w:rsidRPr="00D11BEB">
        <w:rPr>
          <w:rFonts w:ascii="Bookman Old Style" w:hAnsi="Bookman Old Style"/>
          <w:sz w:val="24"/>
          <w:szCs w:val="24"/>
        </w:rPr>
        <w:t>comma,</w:t>
      </w:r>
      <w:r w:rsidR="008F3DE8">
        <w:rPr>
          <w:rFonts w:ascii="Bookman Old Style" w:hAnsi="Bookman Old Style"/>
          <w:sz w:val="24"/>
          <w:szCs w:val="24"/>
        </w:rPr>
        <w:t xml:space="preserve"> </w:t>
      </w:r>
      <w:r w:rsidRPr="00D11BEB">
        <w:rPr>
          <w:rFonts w:ascii="Bookman Old Style" w:hAnsi="Bookman Old Style"/>
          <w:sz w:val="24"/>
          <w:szCs w:val="24"/>
        </w:rPr>
        <w:t>lett.</w:t>
      </w:r>
      <w:r w:rsidR="008F3DE8">
        <w:rPr>
          <w:rFonts w:ascii="Bookman Old Style" w:hAnsi="Bookman Old Style"/>
          <w:sz w:val="24"/>
          <w:szCs w:val="24"/>
        </w:rPr>
        <w:t xml:space="preserve"> </w:t>
      </w:r>
      <w:r w:rsidRPr="00D11BEB">
        <w:rPr>
          <w:rFonts w:ascii="Bookman Old Style" w:hAnsi="Bookman Old Style"/>
          <w:sz w:val="24"/>
          <w:szCs w:val="24"/>
        </w:rPr>
        <w:t>m)</w:t>
      </w:r>
      <w:r w:rsidR="008F3DE8">
        <w:rPr>
          <w:rFonts w:ascii="Bookman Old Style" w:hAnsi="Bookman Old Style"/>
          <w:sz w:val="24"/>
          <w:szCs w:val="24"/>
        </w:rPr>
        <w:t xml:space="preserve"> </w:t>
      </w:r>
      <w:r w:rsidRPr="00D11BEB">
        <w:rPr>
          <w:rFonts w:ascii="Bookman Old Style" w:hAnsi="Bookman Old Style"/>
          <w:sz w:val="24"/>
          <w:szCs w:val="24"/>
        </w:rPr>
        <w:t>Cost.)</w:t>
      </w:r>
      <w:r w:rsidR="006B5A9E">
        <w:rPr>
          <w:rFonts w:ascii="Bookman Old Style" w:hAnsi="Bookman Old Style"/>
          <w:sz w:val="24"/>
          <w:szCs w:val="24"/>
        </w:rPr>
        <w:t>; in tal modo</w:t>
      </w:r>
      <w:r w:rsidR="006844CC">
        <w:rPr>
          <w:rFonts w:ascii="Bookman Old Style" w:hAnsi="Bookman Old Style"/>
          <w:sz w:val="24"/>
          <w:szCs w:val="24"/>
        </w:rPr>
        <w:t>,</w:t>
      </w:r>
      <w:r w:rsidR="006B5A9E">
        <w:rPr>
          <w:rFonts w:ascii="Bookman Old Style" w:hAnsi="Bookman Old Style"/>
          <w:sz w:val="24"/>
          <w:szCs w:val="24"/>
        </w:rPr>
        <w:t xml:space="preserve"> </w:t>
      </w:r>
      <w:r w:rsidR="006B5A9E" w:rsidRPr="006B5A9E">
        <w:rPr>
          <w:rFonts w:ascii="Bookman Old Style" w:hAnsi="Bookman Old Style"/>
          <w:sz w:val="24"/>
          <w:szCs w:val="24"/>
        </w:rPr>
        <w:t xml:space="preserve">la tutela dei diritti </w:t>
      </w:r>
      <w:r w:rsidR="0075267D">
        <w:rPr>
          <w:rFonts w:ascii="Bookman Old Style" w:hAnsi="Bookman Old Style"/>
          <w:sz w:val="24"/>
          <w:szCs w:val="24"/>
        </w:rPr>
        <w:t xml:space="preserve">fondamentali </w:t>
      </w:r>
      <w:r w:rsidR="006B5A9E" w:rsidRPr="006B5A9E">
        <w:rPr>
          <w:rFonts w:ascii="Bookman Old Style" w:hAnsi="Bookman Old Style"/>
          <w:sz w:val="24"/>
          <w:szCs w:val="24"/>
        </w:rPr>
        <w:t>assume la funzione di elemento unificante dell’ordinamento</w:t>
      </w:r>
      <w:r w:rsidR="0075267D">
        <w:rPr>
          <w:rFonts w:ascii="Bookman Old Style" w:hAnsi="Bookman Old Style"/>
          <w:sz w:val="24"/>
          <w:szCs w:val="24"/>
        </w:rPr>
        <w:t xml:space="preserve"> </w:t>
      </w:r>
      <w:r w:rsidR="00EC5EA3">
        <w:rPr>
          <w:rStyle w:val="Rimandonotaapidipagina"/>
          <w:rFonts w:ascii="Bookman Old Style" w:hAnsi="Bookman Old Style"/>
          <w:sz w:val="24"/>
          <w:szCs w:val="24"/>
        </w:rPr>
        <w:footnoteReference w:id="9"/>
      </w:r>
      <w:r w:rsidR="006B5A9E" w:rsidRPr="006B5A9E">
        <w:rPr>
          <w:rFonts w:ascii="Bookman Old Style" w:hAnsi="Bookman Old Style"/>
          <w:sz w:val="24"/>
          <w:szCs w:val="24"/>
        </w:rPr>
        <w:t>.</w:t>
      </w:r>
    </w:p>
    <w:p w:rsidR="00E370EF" w:rsidRPr="002C2E8F" w:rsidRDefault="00D11BEB" w:rsidP="00E370EF">
      <w:pPr>
        <w:ind w:firstLine="709"/>
        <w:jc w:val="both"/>
        <w:rPr>
          <w:rFonts w:ascii="Bookman Old Style" w:hAnsi="Bookman Old Style"/>
          <w:sz w:val="24"/>
          <w:szCs w:val="24"/>
        </w:rPr>
      </w:pPr>
      <w:r w:rsidRPr="00D11BEB">
        <w:rPr>
          <w:rFonts w:ascii="Bookman Old Style" w:hAnsi="Bookman Old Style"/>
          <w:sz w:val="24"/>
          <w:szCs w:val="24"/>
        </w:rPr>
        <w:t>La</w:t>
      </w:r>
      <w:r w:rsidR="008F3DE8">
        <w:rPr>
          <w:rFonts w:ascii="Bookman Old Style" w:hAnsi="Bookman Old Style"/>
          <w:sz w:val="24"/>
          <w:szCs w:val="24"/>
        </w:rPr>
        <w:t xml:space="preserve"> </w:t>
      </w:r>
      <w:r w:rsidRPr="00D11BEB">
        <w:rPr>
          <w:rFonts w:ascii="Bookman Old Style" w:hAnsi="Bookman Old Style"/>
          <w:sz w:val="24"/>
          <w:szCs w:val="24"/>
        </w:rPr>
        <w:t>disposizione,</w:t>
      </w:r>
      <w:r w:rsidR="008F3DE8">
        <w:rPr>
          <w:rFonts w:ascii="Bookman Old Style" w:hAnsi="Bookman Old Style"/>
          <w:sz w:val="24"/>
          <w:szCs w:val="24"/>
        </w:rPr>
        <w:t xml:space="preserve"> </w:t>
      </w:r>
      <w:r w:rsidRPr="00D11BEB">
        <w:rPr>
          <w:rFonts w:ascii="Bookman Old Style" w:hAnsi="Bookman Old Style"/>
          <w:sz w:val="24"/>
          <w:szCs w:val="24"/>
        </w:rPr>
        <w:t>che</w:t>
      </w:r>
      <w:r w:rsidR="008F3DE8">
        <w:rPr>
          <w:rFonts w:ascii="Bookman Old Style" w:hAnsi="Bookman Old Style"/>
          <w:sz w:val="24"/>
          <w:szCs w:val="24"/>
        </w:rPr>
        <w:t xml:space="preserve"> </w:t>
      </w:r>
      <w:r w:rsidRPr="00D11BEB">
        <w:rPr>
          <w:rFonts w:ascii="Bookman Old Style" w:hAnsi="Bookman Old Style"/>
          <w:sz w:val="24"/>
          <w:szCs w:val="24"/>
        </w:rPr>
        <w:t>n</w:t>
      </w:r>
      <w:r w:rsidR="00490CD4" w:rsidRPr="00D11BEB">
        <w:rPr>
          <w:rFonts w:ascii="Bookman Old Style" w:hAnsi="Bookman Old Style"/>
          <w:sz w:val="24"/>
          <w:szCs w:val="24"/>
        </w:rPr>
        <w:t>ell’impianto</w:t>
      </w:r>
      <w:r w:rsidR="008F3DE8">
        <w:rPr>
          <w:rFonts w:ascii="Bookman Old Style" w:hAnsi="Bookman Old Style"/>
          <w:sz w:val="24"/>
          <w:szCs w:val="24"/>
        </w:rPr>
        <w:t xml:space="preserve"> </w:t>
      </w:r>
      <w:r w:rsidR="00490CD4" w:rsidRPr="00D11BEB">
        <w:rPr>
          <w:rFonts w:ascii="Bookman Old Style" w:hAnsi="Bookman Old Style"/>
          <w:sz w:val="24"/>
          <w:szCs w:val="24"/>
        </w:rPr>
        <w:t>innovativo</w:t>
      </w:r>
      <w:r w:rsidR="008F3DE8">
        <w:rPr>
          <w:rFonts w:ascii="Bookman Old Style" w:hAnsi="Bookman Old Style"/>
          <w:sz w:val="24"/>
          <w:szCs w:val="24"/>
        </w:rPr>
        <w:t xml:space="preserve"> </w:t>
      </w:r>
      <w:r w:rsidR="00490CD4" w:rsidRPr="00D11BEB">
        <w:rPr>
          <w:rFonts w:ascii="Bookman Old Style" w:hAnsi="Bookman Old Style"/>
          <w:sz w:val="24"/>
          <w:szCs w:val="24"/>
        </w:rPr>
        <w:t>del</w:t>
      </w:r>
      <w:r w:rsidR="008F3DE8">
        <w:rPr>
          <w:rFonts w:ascii="Bookman Old Style" w:hAnsi="Bookman Old Style"/>
          <w:sz w:val="24"/>
          <w:szCs w:val="24"/>
        </w:rPr>
        <w:t xml:space="preserve"> </w:t>
      </w:r>
      <w:r w:rsidR="00490CD4" w:rsidRPr="00D11BEB">
        <w:rPr>
          <w:rFonts w:ascii="Bookman Old Style" w:hAnsi="Bookman Old Style"/>
          <w:sz w:val="24"/>
          <w:szCs w:val="24"/>
        </w:rPr>
        <w:t>nuovo</w:t>
      </w:r>
      <w:r w:rsidR="008F3DE8">
        <w:rPr>
          <w:rFonts w:ascii="Bookman Old Style" w:hAnsi="Bookman Old Style"/>
          <w:sz w:val="24"/>
          <w:szCs w:val="24"/>
        </w:rPr>
        <w:t xml:space="preserve"> </w:t>
      </w:r>
      <w:r w:rsidR="00490CD4" w:rsidRPr="00D11BEB">
        <w:rPr>
          <w:rFonts w:ascii="Bookman Old Style" w:hAnsi="Bookman Old Style"/>
          <w:sz w:val="24"/>
          <w:szCs w:val="24"/>
        </w:rPr>
        <w:t>Titolo</w:t>
      </w:r>
      <w:r w:rsidR="008F3DE8">
        <w:rPr>
          <w:rFonts w:ascii="Bookman Old Style" w:hAnsi="Bookman Old Style"/>
          <w:sz w:val="24"/>
          <w:szCs w:val="24"/>
        </w:rPr>
        <w:t xml:space="preserve"> </w:t>
      </w:r>
      <w:r w:rsidR="00490CD4" w:rsidRPr="00D11BEB">
        <w:rPr>
          <w:rFonts w:ascii="Bookman Old Style" w:hAnsi="Bookman Old Style"/>
          <w:sz w:val="24"/>
          <w:szCs w:val="24"/>
        </w:rPr>
        <w:t>V</w:t>
      </w:r>
      <w:r w:rsidR="008F3DE8">
        <w:rPr>
          <w:rFonts w:ascii="Bookman Old Style" w:hAnsi="Bookman Old Style"/>
          <w:sz w:val="24"/>
          <w:szCs w:val="24"/>
        </w:rPr>
        <w:t xml:space="preserve"> </w:t>
      </w:r>
      <w:r w:rsidR="00490CD4" w:rsidRPr="00D11BEB">
        <w:rPr>
          <w:rFonts w:ascii="Bookman Old Style" w:hAnsi="Bookman Old Style"/>
          <w:sz w:val="24"/>
          <w:szCs w:val="24"/>
        </w:rPr>
        <w:t>parte</w:t>
      </w:r>
      <w:r w:rsidR="008F3DE8">
        <w:rPr>
          <w:rFonts w:ascii="Bookman Old Style" w:hAnsi="Bookman Old Style"/>
          <w:sz w:val="24"/>
          <w:szCs w:val="24"/>
        </w:rPr>
        <w:t xml:space="preserve"> </w:t>
      </w:r>
      <w:r w:rsidR="00490CD4" w:rsidRPr="00D11BEB">
        <w:rPr>
          <w:rFonts w:ascii="Bookman Old Style" w:hAnsi="Bookman Old Style"/>
          <w:sz w:val="24"/>
          <w:szCs w:val="24"/>
        </w:rPr>
        <w:t>II</w:t>
      </w:r>
      <w:r w:rsidR="008F3DE8">
        <w:rPr>
          <w:rFonts w:ascii="Bookman Old Style" w:hAnsi="Bookman Old Style"/>
          <w:sz w:val="24"/>
          <w:szCs w:val="24"/>
        </w:rPr>
        <w:t xml:space="preserve"> </w:t>
      </w:r>
      <w:r w:rsidR="00490CD4" w:rsidRPr="00D11BEB">
        <w:rPr>
          <w:rFonts w:ascii="Bookman Old Style" w:hAnsi="Bookman Old Style"/>
          <w:sz w:val="24"/>
          <w:szCs w:val="24"/>
        </w:rPr>
        <w:t>della</w:t>
      </w:r>
      <w:r w:rsidR="008F3DE8">
        <w:rPr>
          <w:rFonts w:ascii="Bookman Old Style" w:hAnsi="Bookman Old Style"/>
          <w:sz w:val="24"/>
          <w:szCs w:val="24"/>
        </w:rPr>
        <w:t xml:space="preserve"> </w:t>
      </w:r>
      <w:r w:rsidR="00490CD4" w:rsidRPr="00D11BEB">
        <w:rPr>
          <w:rFonts w:ascii="Bookman Old Style" w:hAnsi="Bookman Old Style"/>
          <w:sz w:val="24"/>
          <w:szCs w:val="24"/>
        </w:rPr>
        <w:t>Costituzione</w:t>
      </w:r>
      <w:r w:rsidR="008F3DE8">
        <w:rPr>
          <w:rFonts w:ascii="Bookman Old Style" w:hAnsi="Bookman Old Style"/>
          <w:sz w:val="24"/>
          <w:szCs w:val="24"/>
        </w:rPr>
        <w:t xml:space="preserve"> </w:t>
      </w:r>
      <w:r w:rsidR="00490CD4" w:rsidRPr="00D11BEB">
        <w:rPr>
          <w:rFonts w:ascii="Bookman Old Style" w:hAnsi="Bookman Old Style"/>
          <w:sz w:val="24"/>
          <w:szCs w:val="24"/>
        </w:rPr>
        <w:t>si</w:t>
      </w:r>
      <w:r w:rsidR="008F3DE8">
        <w:rPr>
          <w:rFonts w:ascii="Bookman Old Style" w:hAnsi="Bookman Old Style"/>
          <w:sz w:val="24"/>
          <w:szCs w:val="24"/>
        </w:rPr>
        <w:t xml:space="preserve"> </w:t>
      </w:r>
      <w:r w:rsidR="00490CD4" w:rsidRPr="00D11BEB">
        <w:rPr>
          <w:rFonts w:ascii="Bookman Old Style" w:hAnsi="Bookman Old Style"/>
          <w:sz w:val="24"/>
          <w:szCs w:val="24"/>
        </w:rPr>
        <w:t>distingu</w:t>
      </w:r>
      <w:r w:rsidRPr="00D11BEB">
        <w:rPr>
          <w:rFonts w:ascii="Bookman Old Style" w:hAnsi="Bookman Old Style"/>
          <w:sz w:val="24"/>
          <w:szCs w:val="24"/>
        </w:rPr>
        <w:t>e</w:t>
      </w:r>
      <w:r w:rsidR="008F3DE8">
        <w:rPr>
          <w:rFonts w:ascii="Bookman Old Style" w:hAnsi="Bookman Old Style"/>
          <w:sz w:val="24"/>
          <w:szCs w:val="24"/>
        </w:rPr>
        <w:t xml:space="preserve"> </w:t>
      </w:r>
      <w:r w:rsidR="00490CD4" w:rsidRPr="00D11BEB">
        <w:rPr>
          <w:rFonts w:ascii="Bookman Old Style" w:hAnsi="Bookman Old Style"/>
          <w:sz w:val="24"/>
          <w:szCs w:val="24"/>
        </w:rPr>
        <w:t>per</w:t>
      </w:r>
      <w:r w:rsidR="008F3DE8">
        <w:rPr>
          <w:rFonts w:ascii="Bookman Old Style" w:hAnsi="Bookman Old Style"/>
          <w:sz w:val="24"/>
          <w:szCs w:val="24"/>
        </w:rPr>
        <w:t xml:space="preserve"> </w:t>
      </w:r>
      <w:r w:rsidR="00490CD4" w:rsidRPr="00D11BEB">
        <w:rPr>
          <w:rFonts w:ascii="Bookman Old Style" w:hAnsi="Bookman Old Style"/>
          <w:sz w:val="24"/>
          <w:szCs w:val="24"/>
        </w:rPr>
        <w:t>la</w:t>
      </w:r>
      <w:r w:rsidR="008F3DE8">
        <w:rPr>
          <w:rFonts w:ascii="Bookman Old Style" w:hAnsi="Bookman Old Style"/>
          <w:sz w:val="24"/>
          <w:szCs w:val="24"/>
        </w:rPr>
        <w:t xml:space="preserve"> </w:t>
      </w:r>
      <w:r w:rsidR="00490CD4" w:rsidRPr="00D11BEB">
        <w:rPr>
          <w:rFonts w:ascii="Bookman Old Style" w:hAnsi="Bookman Old Style"/>
          <w:sz w:val="24"/>
          <w:szCs w:val="24"/>
        </w:rPr>
        <w:t>sua</w:t>
      </w:r>
      <w:r w:rsidR="008F3DE8">
        <w:rPr>
          <w:rFonts w:ascii="Bookman Old Style" w:hAnsi="Bookman Old Style"/>
          <w:sz w:val="24"/>
          <w:szCs w:val="24"/>
        </w:rPr>
        <w:t xml:space="preserve"> </w:t>
      </w:r>
      <w:r w:rsidR="00490CD4" w:rsidRPr="00D11BEB">
        <w:rPr>
          <w:rFonts w:ascii="Bookman Old Style" w:hAnsi="Bookman Old Style"/>
          <w:sz w:val="24"/>
          <w:szCs w:val="24"/>
        </w:rPr>
        <w:t>maggiore</w:t>
      </w:r>
      <w:r w:rsidR="008F3DE8">
        <w:rPr>
          <w:rFonts w:ascii="Bookman Old Style" w:hAnsi="Bookman Old Style"/>
          <w:sz w:val="24"/>
          <w:szCs w:val="24"/>
        </w:rPr>
        <w:t xml:space="preserve"> </w:t>
      </w:r>
      <w:r w:rsidR="00490CD4" w:rsidRPr="00D11BEB">
        <w:rPr>
          <w:rFonts w:ascii="Bookman Old Style" w:hAnsi="Bookman Old Style"/>
          <w:sz w:val="24"/>
          <w:szCs w:val="24"/>
        </w:rPr>
        <w:t>innovatività</w:t>
      </w:r>
      <w:r w:rsidR="008F3DE8">
        <w:rPr>
          <w:rFonts w:ascii="Bookman Old Style" w:hAnsi="Bookman Old Style"/>
          <w:sz w:val="24"/>
          <w:szCs w:val="24"/>
        </w:rPr>
        <w:t xml:space="preserve"> </w:t>
      </w:r>
      <w:r w:rsidR="00490CD4" w:rsidRPr="00D11BEB">
        <w:rPr>
          <w:rFonts w:ascii="Bookman Old Style" w:hAnsi="Bookman Old Style"/>
          <w:sz w:val="24"/>
          <w:szCs w:val="24"/>
        </w:rPr>
        <w:t>ed</w:t>
      </w:r>
      <w:r w:rsidR="008F3DE8">
        <w:rPr>
          <w:rFonts w:ascii="Bookman Old Style" w:hAnsi="Bookman Old Style"/>
          <w:sz w:val="24"/>
          <w:szCs w:val="24"/>
        </w:rPr>
        <w:t xml:space="preserve"> </w:t>
      </w:r>
      <w:r w:rsidR="00490CD4" w:rsidRPr="00D11BEB">
        <w:rPr>
          <w:rFonts w:ascii="Bookman Old Style" w:hAnsi="Bookman Old Style"/>
          <w:sz w:val="24"/>
          <w:szCs w:val="24"/>
        </w:rPr>
        <w:t>originalità</w:t>
      </w:r>
      <w:r w:rsidR="007B6925">
        <w:rPr>
          <w:rFonts w:ascii="Bookman Old Style" w:hAnsi="Bookman Old Style"/>
          <w:sz w:val="24"/>
          <w:szCs w:val="24"/>
        </w:rPr>
        <w:t>,</w:t>
      </w:r>
      <w:r w:rsidR="008F3DE8">
        <w:rPr>
          <w:rFonts w:ascii="Bookman Old Style" w:hAnsi="Bookman Old Style"/>
          <w:sz w:val="24"/>
          <w:szCs w:val="24"/>
        </w:rPr>
        <w:t xml:space="preserve"> </w:t>
      </w:r>
      <w:r w:rsidRPr="00D11BEB">
        <w:rPr>
          <w:rFonts w:ascii="Bookman Old Style" w:hAnsi="Bookman Old Style"/>
          <w:sz w:val="24"/>
          <w:szCs w:val="24"/>
        </w:rPr>
        <w:t>nasce</w:t>
      </w:r>
      <w:r w:rsidR="008F3DE8">
        <w:rPr>
          <w:rFonts w:ascii="Bookman Old Style" w:hAnsi="Bookman Old Style"/>
          <w:sz w:val="24"/>
          <w:szCs w:val="24"/>
        </w:rPr>
        <w:t xml:space="preserve"> </w:t>
      </w:r>
      <w:r w:rsidRPr="00D11BEB">
        <w:rPr>
          <w:rFonts w:ascii="Bookman Old Style" w:hAnsi="Bookman Old Style"/>
          <w:sz w:val="24"/>
          <w:szCs w:val="24"/>
        </w:rPr>
        <w:lastRenderedPageBreak/>
        <w:t>dall’esigenza</w:t>
      </w:r>
      <w:r w:rsidR="008F3DE8">
        <w:rPr>
          <w:rFonts w:ascii="Bookman Old Style" w:hAnsi="Bookman Old Style"/>
          <w:sz w:val="24"/>
          <w:szCs w:val="24"/>
        </w:rPr>
        <w:t xml:space="preserve"> </w:t>
      </w:r>
      <w:r w:rsidRPr="00D11BEB">
        <w:rPr>
          <w:rFonts w:ascii="Bookman Old Style" w:hAnsi="Bookman Old Style"/>
          <w:sz w:val="24"/>
          <w:szCs w:val="24"/>
        </w:rPr>
        <w:t>di</w:t>
      </w:r>
      <w:r w:rsidR="008F3DE8">
        <w:rPr>
          <w:rFonts w:ascii="Bookman Old Style" w:hAnsi="Bookman Old Style"/>
          <w:sz w:val="24"/>
          <w:szCs w:val="24"/>
        </w:rPr>
        <w:t xml:space="preserve"> </w:t>
      </w:r>
      <w:r w:rsidRPr="00D11BEB">
        <w:rPr>
          <w:rFonts w:ascii="Bookman Old Style" w:hAnsi="Bookman Old Style"/>
          <w:sz w:val="24"/>
          <w:szCs w:val="24"/>
        </w:rPr>
        <w:t>coniugare</w:t>
      </w:r>
      <w:r w:rsidR="008F3DE8">
        <w:rPr>
          <w:rFonts w:ascii="Bookman Old Style" w:hAnsi="Bookman Old Style"/>
          <w:sz w:val="24"/>
          <w:szCs w:val="24"/>
        </w:rPr>
        <w:t xml:space="preserve"> </w:t>
      </w:r>
      <w:r w:rsidRPr="00D11BEB">
        <w:rPr>
          <w:rFonts w:ascii="Bookman Old Style" w:hAnsi="Bookman Old Style"/>
          <w:sz w:val="24"/>
          <w:szCs w:val="24"/>
        </w:rPr>
        <w:t>fe</w:t>
      </w:r>
      <w:r>
        <w:rPr>
          <w:rFonts w:ascii="Bookman Old Style" w:hAnsi="Bookman Old Style"/>
          <w:sz w:val="24"/>
          <w:szCs w:val="24"/>
        </w:rPr>
        <w:t>deralismo</w:t>
      </w:r>
      <w:r w:rsidR="008F3DE8">
        <w:rPr>
          <w:rFonts w:ascii="Bookman Old Style" w:hAnsi="Bookman Old Style"/>
          <w:sz w:val="24"/>
          <w:szCs w:val="24"/>
        </w:rPr>
        <w:t xml:space="preserve"> </w:t>
      </w:r>
      <w:r>
        <w:rPr>
          <w:rFonts w:ascii="Bookman Old Style" w:hAnsi="Bookman Old Style"/>
          <w:sz w:val="24"/>
          <w:szCs w:val="24"/>
        </w:rPr>
        <w:t>fiscale</w:t>
      </w:r>
      <w:r w:rsidR="008F3DE8">
        <w:rPr>
          <w:rFonts w:ascii="Bookman Old Style" w:hAnsi="Bookman Old Style"/>
          <w:sz w:val="24"/>
          <w:szCs w:val="24"/>
        </w:rPr>
        <w:t xml:space="preserve"> </w:t>
      </w:r>
      <w:r>
        <w:rPr>
          <w:rFonts w:ascii="Bookman Old Style" w:hAnsi="Bookman Old Style"/>
          <w:sz w:val="24"/>
          <w:szCs w:val="24"/>
        </w:rPr>
        <w:t>e</w:t>
      </w:r>
      <w:r w:rsidR="008F3DE8">
        <w:rPr>
          <w:rFonts w:ascii="Bookman Old Style" w:hAnsi="Bookman Old Style"/>
          <w:sz w:val="24"/>
          <w:szCs w:val="24"/>
        </w:rPr>
        <w:t xml:space="preserve"> </w:t>
      </w:r>
      <w:r>
        <w:rPr>
          <w:rFonts w:ascii="Bookman Old Style" w:hAnsi="Bookman Old Style"/>
          <w:sz w:val="24"/>
          <w:szCs w:val="24"/>
        </w:rPr>
        <w:t>rispetto</w:t>
      </w:r>
      <w:r w:rsidR="008F3DE8">
        <w:rPr>
          <w:rFonts w:ascii="Bookman Old Style" w:hAnsi="Bookman Old Style"/>
          <w:sz w:val="24"/>
          <w:szCs w:val="24"/>
        </w:rPr>
        <w:t xml:space="preserve"> </w:t>
      </w:r>
      <w:r>
        <w:rPr>
          <w:rFonts w:ascii="Bookman Old Style" w:hAnsi="Bookman Old Style"/>
          <w:sz w:val="24"/>
          <w:szCs w:val="24"/>
        </w:rPr>
        <w:t>del</w:t>
      </w:r>
      <w:r w:rsidR="008F3DE8">
        <w:rPr>
          <w:rFonts w:ascii="Bookman Old Style" w:hAnsi="Bookman Old Style"/>
          <w:sz w:val="24"/>
          <w:szCs w:val="24"/>
        </w:rPr>
        <w:t xml:space="preserve"> </w:t>
      </w:r>
      <w:r w:rsidRPr="00D11BEB">
        <w:rPr>
          <w:rFonts w:ascii="Bookman Old Style" w:hAnsi="Bookman Old Style"/>
          <w:sz w:val="24"/>
          <w:szCs w:val="24"/>
        </w:rPr>
        <w:t>precetto</w:t>
      </w:r>
      <w:r w:rsidR="008F3DE8">
        <w:rPr>
          <w:rFonts w:ascii="Bookman Old Style" w:hAnsi="Bookman Old Style"/>
          <w:sz w:val="24"/>
          <w:szCs w:val="24"/>
        </w:rPr>
        <w:t xml:space="preserve"> </w:t>
      </w:r>
      <w:r w:rsidRPr="00D11BEB">
        <w:rPr>
          <w:rFonts w:ascii="Bookman Old Style" w:hAnsi="Bookman Old Style"/>
          <w:sz w:val="24"/>
          <w:szCs w:val="24"/>
        </w:rPr>
        <w:t>costituzionale</w:t>
      </w:r>
      <w:r w:rsidR="008F3DE8">
        <w:rPr>
          <w:rFonts w:ascii="Bookman Old Style" w:hAnsi="Bookman Old Style"/>
          <w:sz w:val="24"/>
          <w:szCs w:val="24"/>
        </w:rPr>
        <w:t xml:space="preserve"> </w:t>
      </w:r>
      <w:r w:rsidRPr="00D11BEB">
        <w:rPr>
          <w:rFonts w:ascii="Bookman Old Style" w:hAnsi="Bookman Old Style"/>
          <w:sz w:val="24"/>
          <w:szCs w:val="24"/>
        </w:rPr>
        <w:t>di</w:t>
      </w:r>
      <w:r w:rsidR="008F3DE8">
        <w:rPr>
          <w:rFonts w:ascii="Bookman Old Style" w:hAnsi="Bookman Old Style"/>
          <w:sz w:val="24"/>
          <w:szCs w:val="24"/>
        </w:rPr>
        <w:t xml:space="preserve"> </w:t>
      </w:r>
      <w:r w:rsidRPr="00D11BEB">
        <w:rPr>
          <w:rFonts w:ascii="Bookman Old Style" w:hAnsi="Bookman Old Style"/>
          <w:sz w:val="24"/>
          <w:szCs w:val="24"/>
        </w:rPr>
        <w:t>eguaglianza</w:t>
      </w:r>
      <w:r w:rsidR="007B6925">
        <w:rPr>
          <w:rFonts w:ascii="Bookman Old Style" w:hAnsi="Bookman Old Style"/>
          <w:sz w:val="24"/>
          <w:szCs w:val="24"/>
        </w:rPr>
        <w:t xml:space="preserve"> </w:t>
      </w:r>
      <w:r w:rsidR="0075267D">
        <w:rPr>
          <w:rStyle w:val="Rimandonotaapidipagina"/>
          <w:rFonts w:ascii="Bookman Old Style" w:hAnsi="Bookman Old Style"/>
          <w:sz w:val="24"/>
          <w:szCs w:val="24"/>
        </w:rPr>
        <w:footnoteReference w:id="10"/>
      </w:r>
      <w:r w:rsidRPr="00D11BEB">
        <w:rPr>
          <w:rFonts w:ascii="Bookman Old Style" w:hAnsi="Bookman Old Style"/>
          <w:sz w:val="24"/>
          <w:szCs w:val="24"/>
        </w:rPr>
        <w:t>.</w:t>
      </w:r>
      <w:r w:rsidR="0075267D">
        <w:rPr>
          <w:rFonts w:ascii="Bookman Old Style" w:hAnsi="Bookman Old Style"/>
          <w:sz w:val="24"/>
          <w:szCs w:val="24"/>
        </w:rPr>
        <w:t xml:space="preserve"> </w:t>
      </w:r>
      <w:r w:rsidR="00581216" w:rsidRPr="00581216">
        <w:rPr>
          <w:rFonts w:ascii="Bookman Old Style" w:hAnsi="Bookman Old Style"/>
          <w:sz w:val="24"/>
          <w:szCs w:val="24"/>
        </w:rPr>
        <w:t xml:space="preserve">L’art. 117, </w:t>
      </w:r>
      <w:r w:rsidR="007B6925">
        <w:rPr>
          <w:rFonts w:ascii="Bookman Old Style" w:hAnsi="Bookman Old Style"/>
          <w:sz w:val="24"/>
          <w:szCs w:val="24"/>
        </w:rPr>
        <w:t xml:space="preserve">secondo </w:t>
      </w:r>
      <w:r w:rsidR="00581216" w:rsidRPr="00581216">
        <w:rPr>
          <w:rFonts w:ascii="Bookman Old Style" w:hAnsi="Bookman Old Style"/>
          <w:sz w:val="24"/>
          <w:szCs w:val="24"/>
        </w:rPr>
        <w:t>co</w:t>
      </w:r>
      <w:r w:rsidR="007B6925">
        <w:rPr>
          <w:rFonts w:ascii="Bookman Old Style" w:hAnsi="Bookman Old Style"/>
          <w:sz w:val="24"/>
          <w:szCs w:val="24"/>
        </w:rPr>
        <w:t>mma</w:t>
      </w:r>
      <w:r w:rsidR="00581216" w:rsidRPr="00581216">
        <w:rPr>
          <w:rFonts w:ascii="Bookman Old Style" w:hAnsi="Bookman Old Style"/>
          <w:sz w:val="24"/>
          <w:szCs w:val="24"/>
        </w:rPr>
        <w:t xml:space="preserve">, lett. m), infatti, garantisce l’effettiva tutela dei diritti sociali e del principio di uguaglianza tra gli individui impedendo che la maggiore autonomia concessa alle regioni possa diventare una possibile fonte di disparità territoriali riguardo alle prestazioni sociali per il </w:t>
      </w:r>
      <w:r w:rsidR="0075267D">
        <w:rPr>
          <w:rFonts w:ascii="Bookman Old Style" w:hAnsi="Bookman Old Style"/>
          <w:sz w:val="24"/>
          <w:szCs w:val="24"/>
        </w:rPr>
        <w:t xml:space="preserve">relativo </w:t>
      </w:r>
      <w:r w:rsidR="00581216" w:rsidRPr="00581216">
        <w:rPr>
          <w:rFonts w:ascii="Bookman Old Style" w:hAnsi="Bookman Old Style"/>
          <w:sz w:val="24"/>
          <w:szCs w:val="24"/>
        </w:rPr>
        <w:t>divario economico e sociale</w:t>
      </w:r>
      <w:r w:rsidR="0075267D">
        <w:rPr>
          <w:rFonts w:ascii="Bookman Old Style" w:hAnsi="Bookman Old Style"/>
          <w:sz w:val="24"/>
          <w:szCs w:val="24"/>
        </w:rPr>
        <w:t>.</w:t>
      </w:r>
      <w:r w:rsidR="00581216" w:rsidRPr="00581216">
        <w:rPr>
          <w:rFonts w:ascii="Bookman Old Style" w:hAnsi="Bookman Old Style"/>
          <w:sz w:val="24"/>
          <w:szCs w:val="24"/>
        </w:rPr>
        <w:t xml:space="preserve"> In questo senso, e</w:t>
      </w:r>
      <w:r w:rsidR="00A06DA9">
        <w:rPr>
          <w:rFonts w:ascii="Bookman Old Style" w:hAnsi="Bookman Old Style"/>
          <w:sz w:val="24"/>
          <w:szCs w:val="24"/>
        </w:rPr>
        <w:t>,</w:t>
      </w:r>
      <w:r w:rsidR="00581216" w:rsidRPr="00581216">
        <w:rPr>
          <w:rFonts w:ascii="Bookman Old Style" w:hAnsi="Bookman Old Style"/>
          <w:sz w:val="24"/>
          <w:szCs w:val="24"/>
        </w:rPr>
        <w:t xml:space="preserve"> dunque</w:t>
      </w:r>
      <w:r w:rsidR="00A06DA9">
        <w:rPr>
          <w:rFonts w:ascii="Bookman Old Style" w:hAnsi="Bookman Old Style"/>
          <w:sz w:val="24"/>
          <w:szCs w:val="24"/>
        </w:rPr>
        <w:t>,</w:t>
      </w:r>
      <w:r w:rsidR="00581216" w:rsidRPr="00581216">
        <w:rPr>
          <w:rFonts w:ascii="Bookman Old Style" w:hAnsi="Bookman Old Style"/>
          <w:sz w:val="24"/>
          <w:szCs w:val="24"/>
        </w:rPr>
        <w:t xml:space="preserve"> rispetto ad una possibile diseguaglianza, </w:t>
      </w:r>
      <w:r w:rsidR="007B6925">
        <w:rPr>
          <w:rFonts w:ascii="Bookman Old Style" w:hAnsi="Bookman Old Style"/>
          <w:sz w:val="24"/>
          <w:szCs w:val="24"/>
        </w:rPr>
        <w:t>detta norma</w:t>
      </w:r>
      <w:r w:rsidR="00581216" w:rsidRPr="00581216">
        <w:rPr>
          <w:rFonts w:ascii="Bookman Old Style" w:hAnsi="Bookman Old Style"/>
          <w:sz w:val="24"/>
          <w:szCs w:val="24"/>
        </w:rPr>
        <w:t xml:space="preserve">, in combinato disposto dell’ulteriore limite costituito dai principi fondamentali riservati alla legislazione dello Stato, rappresenta una garanzia per il diritto di </w:t>
      </w:r>
      <w:r w:rsidR="007B6925">
        <w:rPr>
          <w:rFonts w:ascii="Bookman Old Style" w:hAnsi="Bookman Old Style"/>
          <w:sz w:val="24"/>
          <w:szCs w:val="24"/>
        </w:rPr>
        <w:t>“</w:t>
      </w:r>
      <w:r w:rsidR="00581216" w:rsidRPr="00581216">
        <w:rPr>
          <w:rFonts w:ascii="Bookman Old Style" w:hAnsi="Bookman Old Style"/>
          <w:sz w:val="24"/>
          <w:szCs w:val="24"/>
        </w:rPr>
        <w:t>cittadinanza sociale</w:t>
      </w:r>
      <w:proofErr w:type="gramStart"/>
      <w:r w:rsidR="007B6925">
        <w:rPr>
          <w:rFonts w:ascii="Bookman Old Style" w:hAnsi="Bookman Old Style"/>
          <w:sz w:val="24"/>
          <w:szCs w:val="24"/>
        </w:rPr>
        <w:t>”</w:t>
      </w:r>
      <w:r w:rsidR="0075267D">
        <w:rPr>
          <w:rFonts w:ascii="Bookman Old Style" w:hAnsi="Bookman Old Style"/>
          <w:sz w:val="24"/>
          <w:szCs w:val="24"/>
        </w:rPr>
        <w:t xml:space="preserve"> </w:t>
      </w:r>
      <w:r w:rsidR="00581216" w:rsidRPr="00581216">
        <w:rPr>
          <w:rFonts w:ascii="Bookman Old Style" w:hAnsi="Bookman Old Style"/>
        </w:rPr>
        <w:footnoteReference w:id="11"/>
      </w:r>
      <w:r w:rsidR="00581216" w:rsidRPr="00581216">
        <w:rPr>
          <w:rFonts w:ascii="Bookman Old Style" w:hAnsi="Bookman Old Style"/>
          <w:sz w:val="24"/>
          <w:szCs w:val="24"/>
        </w:rPr>
        <w:t>.</w:t>
      </w:r>
      <w:proofErr w:type="gramEnd"/>
      <w:r w:rsidR="00581216" w:rsidRPr="00581216">
        <w:rPr>
          <w:rFonts w:ascii="Bookman Old Style" w:hAnsi="Bookman Old Style"/>
          <w:sz w:val="24"/>
          <w:szCs w:val="24"/>
        </w:rPr>
        <w:t xml:space="preserve"> </w:t>
      </w:r>
      <w:r w:rsidR="00E370EF" w:rsidRPr="002C2E8F">
        <w:rPr>
          <w:rFonts w:ascii="Bookman Old Style" w:hAnsi="Bookman Old Style"/>
          <w:sz w:val="24"/>
          <w:szCs w:val="24"/>
        </w:rPr>
        <w:t>Sia pure in modo non del tutto esplicito, dalla giurisprudenza della nostra Corte si può arguire come essa ritenga che il parametro costituzionale del livello essenziale delle prestazioni (a</w:t>
      </w:r>
      <w:r w:rsidR="007B6925">
        <w:rPr>
          <w:rFonts w:ascii="Bookman Old Style" w:hAnsi="Bookman Old Style"/>
          <w:sz w:val="24"/>
          <w:szCs w:val="24"/>
        </w:rPr>
        <w:t xml:space="preserve">rt. 117, secondo comma, lett. </w:t>
      </w:r>
      <w:r w:rsidR="00E370EF" w:rsidRPr="002C2E8F">
        <w:rPr>
          <w:rFonts w:ascii="Bookman Old Style" w:hAnsi="Bookman Old Style"/>
          <w:sz w:val="24"/>
          <w:szCs w:val="24"/>
        </w:rPr>
        <w:t>m</w:t>
      </w:r>
      <w:r w:rsidR="007B6925">
        <w:rPr>
          <w:rFonts w:ascii="Bookman Old Style" w:hAnsi="Bookman Old Style"/>
          <w:sz w:val="24"/>
          <w:szCs w:val="24"/>
        </w:rPr>
        <w:t>)</w:t>
      </w:r>
      <w:r w:rsidR="00E370EF" w:rsidRPr="002C2E8F">
        <w:rPr>
          <w:rFonts w:ascii="Bookman Old Style" w:hAnsi="Bookman Old Style"/>
          <w:sz w:val="24"/>
          <w:szCs w:val="24"/>
        </w:rPr>
        <w:t>, Cost.) non debba essere inteso come una diminuzione delle potenzialità espansive del precetto di uguaglianza sostanziale contenuto nell’art. 3, secondo comma, Cost. bensì come presidio invalicabile del limite oltre il quale l’intervento legislativo non può comprimere l’erogazione delle prestazioni necessarie per il soddisfacimento dei diritti sociali</w:t>
      </w:r>
      <w:r w:rsidR="007B6925">
        <w:rPr>
          <w:rFonts w:ascii="Bookman Old Style" w:hAnsi="Bookman Old Style"/>
          <w:sz w:val="24"/>
          <w:szCs w:val="24"/>
        </w:rPr>
        <w:t xml:space="preserve"> </w:t>
      </w:r>
      <w:r w:rsidR="00E370EF">
        <w:rPr>
          <w:rStyle w:val="Rimandonotaapidipagina"/>
          <w:rFonts w:ascii="Bookman Old Style" w:hAnsi="Bookman Old Style"/>
          <w:sz w:val="24"/>
          <w:szCs w:val="24"/>
        </w:rPr>
        <w:footnoteReference w:id="12"/>
      </w:r>
      <w:r w:rsidR="00E370EF" w:rsidRPr="002C2E8F">
        <w:rPr>
          <w:rFonts w:ascii="Bookman Old Style" w:hAnsi="Bookman Old Style"/>
          <w:sz w:val="24"/>
          <w:szCs w:val="24"/>
        </w:rPr>
        <w:t>.</w:t>
      </w:r>
    </w:p>
    <w:p w:rsidR="008E6D0D" w:rsidRDefault="000042E4" w:rsidP="00246418">
      <w:pPr>
        <w:ind w:firstLine="709"/>
        <w:jc w:val="both"/>
        <w:rPr>
          <w:rFonts w:ascii="Bookman Old Style" w:hAnsi="Bookman Old Style"/>
          <w:sz w:val="24"/>
          <w:szCs w:val="24"/>
        </w:rPr>
      </w:pPr>
      <w:r>
        <w:rPr>
          <w:rFonts w:ascii="Bookman Old Style" w:hAnsi="Bookman Old Style"/>
          <w:sz w:val="24"/>
          <w:szCs w:val="24"/>
        </w:rPr>
        <w:t>L</w:t>
      </w:r>
      <w:r w:rsidR="008E6D0D" w:rsidRPr="008E6D0D">
        <w:rPr>
          <w:rFonts w:ascii="Bookman Old Style" w:hAnsi="Bookman Old Style"/>
          <w:sz w:val="24"/>
          <w:szCs w:val="24"/>
        </w:rPr>
        <w:t>a</w:t>
      </w:r>
      <w:r w:rsidR="008F3DE8">
        <w:rPr>
          <w:rFonts w:ascii="Bookman Old Style" w:hAnsi="Bookman Old Style"/>
          <w:sz w:val="24"/>
          <w:szCs w:val="24"/>
        </w:rPr>
        <w:t xml:space="preserve"> </w:t>
      </w:r>
      <w:r w:rsidR="008E6D0D" w:rsidRPr="008E6D0D">
        <w:rPr>
          <w:rFonts w:ascii="Bookman Old Style" w:hAnsi="Bookman Old Style"/>
          <w:sz w:val="24"/>
          <w:szCs w:val="24"/>
        </w:rPr>
        <w:t>scelta</w:t>
      </w:r>
      <w:r w:rsidR="008F3DE8">
        <w:rPr>
          <w:rFonts w:ascii="Bookman Old Style" w:hAnsi="Bookman Old Style"/>
          <w:sz w:val="24"/>
          <w:szCs w:val="24"/>
        </w:rPr>
        <w:t xml:space="preserve"> </w:t>
      </w:r>
      <w:r w:rsidR="008E6D0D" w:rsidRPr="008E6D0D">
        <w:rPr>
          <w:rFonts w:ascii="Bookman Old Style" w:hAnsi="Bookman Old Style"/>
          <w:sz w:val="24"/>
          <w:szCs w:val="24"/>
        </w:rPr>
        <w:t>di</w:t>
      </w:r>
      <w:r w:rsidR="008F3DE8">
        <w:rPr>
          <w:rFonts w:ascii="Bookman Old Style" w:hAnsi="Bookman Old Style"/>
          <w:sz w:val="24"/>
          <w:szCs w:val="24"/>
        </w:rPr>
        <w:t xml:space="preserve"> </w:t>
      </w:r>
      <w:r>
        <w:rPr>
          <w:rFonts w:ascii="Bookman Old Style" w:hAnsi="Bookman Old Style"/>
          <w:sz w:val="24"/>
          <w:szCs w:val="24"/>
        </w:rPr>
        <w:t xml:space="preserve">qualificare tali </w:t>
      </w:r>
      <w:r w:rsidR="008E6D0D" w:rsidRPr="008E6D0D">
        <w:rPr>
          <w:rFonts w:ascii="Bookman Old Style" w:hAnsi="Bookman Old Style"/>
          <w:sz w:val="24"/>
          <w:szCs w:val="24"/>
        </w:rPr>
        <w:t>prestazioni</w:t>
      </w:r>
      <w:r w:rsidR="008F3DE8">
        <w:rPr>
          <w:rFonts w:ascii="Bookman Old Style" w:hAnsi="Bookman Old Style"/>
          <w:sz w:val="24"/>
          <w:szCs w:val="24"/>
        </w:rPr>
        <w:t xml:space="preserve"> </w:t>
      </w:r>
      <w:r>
        <w:rPr>
          <w:rFonts w:ascii="Bookman Old Style" w:hAnsi="Bookman Old Style"/>
          <w:sz w:val="24"/>
          <w:szCs w:val="24"/>
        </w:rPr>
        <w:t>come “</w:t>
      </w:r>
      <w:r w:rsidR="008E6D0D" w:rsidRPr="008E6D0D">
        <w:rPr>
          <w:rFonts w:ascii="Bookman Old Style" w:hAnsi="Bookman Old Style"/>
          <w:sz w:val="24"/>
          <w:szCs w:val="24"/>
        </w:rPr>
        <w:t>essenziali</w:t>
      </w:r>
      <w:r>
        <w:rPr>
          <w:rFonts w:ascii="Bookman Old Style" w:hAnsi="Bookman Old Style"/>
          <w:sz w:val="24"/>
          <w:szCs w:val="24"/>
        </w:rPr>
        <w:t>” anziché “</w:t>
      </w:r>
      <w:r w:rsidR="008E6D0D" w:rsidRPr="008E6D0D">
        <w:rPr>
          <w:rFonts w:ascii="Bookman Old Style" w:hAnsi="Bookman Old Style"/>
          <w:sz w:val="24"/>
          <w:szCs w:val="24"/>
        </w:rPr>
        <w:t>minime</w:t>
      </w:r>
      <w:r>
        <w:rPr>
          <w:rFonts w:ascii="Bookman Old Style" w:hAnsi="Bookman Old Style"/>
          <w:sz w:val="24"/>
          <w:szCs w:val="24"/>
        </w:rPr>
        <w:t>”</w:t>
      </w:r>
      <w:r w:rsidR="008F3DE8">
        <w:rPr>
          <w:rFonts w:ascii="Bookman Old Style" w:hAnsi="Bookman Old Style"/>
          <w:sz w:val="24"/>
          <w:szCs w:val="24"/>
        </w:rPr>
        <w:t xml:space="preserve"> </w:t>
      </w:r>
      <w:r>
        <w:rPr>
          <w:rFonts w:ascii="Bookman Old Style" w:hAnsi="Bookman Old Style"/>
          <w:sz w:val="24"/>
          <w:szCs w:val="24"/>
        </w:rPr>
        <w:t xml:space="preserve">non è priva di conseguenze ermeneutiche. </w:t>
      </w:r>
      <w:r w:rsidR="008E6D0D">
        <w:rPr>
          <w:rFonts w:ascii="Bookman Old Style" w:hAnsi="Bookman Old Style"/>
          <w:sz w:val="24"/>
          <w:szCs w:val="24"/>
        </w:rPr>
        <w:t>La</w:t>
      </w:r>
      <w:r w:rsidR="008F3DE8">
        <w:rPr>
          <w:rFonts w:ascii="Bookman Old Style" w:hAnsi="Bookman Old Style"/>
          <w:sz w:val="24"/>
          <w:szCs w:val="24"/>
        </w:rPr>
        <w:t xml:space="preserve"> </w:t>
      </w:r>
      <w:r w:rsidR="008E6D0D">
        <w:rPr>
          <w:rFonts w:ascii="Bookman Old Style" w:hAnsi="Bookman Old Style"/>
          <w:sz w:val="24"/>
          <w:szCs w:val="24"/>
        </w:rPr>
        <w:t>definizione</w:t>
      </w:r>
      <w:r w:rsidR="008F3DE8">
        <w:rPr>
          <w:rFonts w:ascii="Bookman Old Style" w:hAnsi="Bookman Old Style"/>
          <w:sz w:val="24"/>
          <w:szCs w:val="24"/>
        </w:rPr>
        <w:t xml:space="preserve"> </w:t>
      </w:r>
      <w:r w:rsidR="008E6D0D">
        <w:rPr>
          <w:rFonts w:ascii="Bookman Old Style" w:hAnsi="Bookman Old Style"/>
          <w:sz w:val="24"/>
          <w:szCs w:val="24"/>
        </w:rPr>
        <w:t>di</w:t>
      </w:r>
      <w:r w:rsidR="008F3DE8">
        <w:rPr>
          <w:rFonts w:ascii="Bookman Old Style" w:hAnsi="Bookman Old Style"/>
          <w:sz w:val="24"/>
          <w:szCs w:val="24"/>
        </w:rPr>
        <w:t xml:space="preserve"> </w:t>
      </w:r>
      <w:r w:rsidR="008E6D0D">
        <w:rPr>
          <w:rFonts w:ascii="Bookman Old Style" w:hAnsi="Bookman Old Style"/>
          <w:sz w:val="24"/>
          <w:szCs w:val="24"/>
        </w:rPr>
        <w:t>livelli</w:t>
      </w:r>
      <w:r w:rsidR="008F3DE8">
        <w:rPr>
          <w:rFonts w:ascii="Bookman Old Style" w:hAnsi="Bookman Old Style"/>
          <w:sz w:val="24"/>
          <w:szCs w:val="24"/>
        </w:rPr>
        <w:t xml:space="preserve"> </w:t>
      </w:r>
      <w:r w:rsidR="008E6D0D" w:rsidRPr="008E6D0D">
        <w:rPr>
          <w:rFonts w:ascii="Bookman Old Style" w:hAnsi="Bookman Old Style"/>
          <w:sz w:val="24"/>
          <w:szCs w:val="24"/>
        </w:rPr>
        <w:t>minimi</w:t>
      </w:r>
      <w:r w:rsidR="008F3DE8">
        <w:rPr>
          <w:rFonts w:ascii="Bookman Old Style" w:hAnsi="Bookman Old Style"/>
          <w:sz w:val="24"/>
          <w:szCs w:val="24"/>
        </w:rPr>
        <w:t xml:space="preserve"> </w:t>
      </w:r>
      <w:r w:rsidR="008E6D0D">
        <w:rPr>
          <w:rFonts w:ascii="Bookman Old Style" w:hAnsi="Bookman Old Style"/>
          <w:sz w:val="24"/>
          <w:szCs w:val="24"/>
        </w:rPr>
        <w:t>sembra</w:t>
      </w:r>
      <w:r w:rsidR="008F3DE8">
        <w:rPr>
          <w:rFonts w:ascii="Bookman Old Style" w:hAnsi="Bookman Old Style"/>
          <w:sz w:val="24"/>
          <w:szCs w:val="24"/>
        </w:rPr>
        <w:t xml:space="preserve"> </w:t>
      </w:r>
      <w:r w:rsidR="008E6D0D">
        <w:rPr>
          <w:rFonts w:ascii="Bookman Old Style" w:hAnsi="Bookman Old Style"/>
          <w:sz w:val="24"/>
          <w:szCs w:val="24"/>
        </w:rPr>
        <w:t>maggiormente</w:t>
      </w:r>
      <w:r w:rsidR="008F3DE8">
        <w:rPr>
          <w:rFonts w:ascii="Bookman Old Style" w:hAnsi="Bookman Old Style"/>
          <w:sz w:val="24"/>
          <w:szCs w:val="24"/>
        </w:rPr>
        <w:t xml:space="preserve"> </w:t>
      </w:r>
      <w:r w:rsidR="008E6D0D">
        <w:rPr>
          <w:rFonts w:ascii="Bookman Old Style" w:hAnsi="Bookman Old Style"/>
          <w:sz w:val="24"/>
          <w:szCs w:val="24"/>
        </w:rPr>
        <w:t>attagliarsi</w:t>
      </w:r>
      <w:r w:rsidR="008F3DE8">
        <w:rPr>
          <w:rFonts w:ascii="Bookman Old Style" w:hAnsi="Bookman Old Style"/>
          <w:sz w:val="24"/>
          <w:szCs w:val="24"/>
        </w:rPr>
        <w:t xml:space="preserve"> </w:t>
      </w:r>
      <w:r w:rsidR="008E6D0D">
        <w:rPr>
          <w:rFonts w:ascii="Bookman Old Style" w:hAnsi="Bookman Old Style"/>
          <w:sz w:val="24"/>
          <w:szCs w:val="24"/>
        </w:rPr>
        <w:t>ai</w:t>
      </w:r>
      <w:r w:rsidR="008F3DE8">
        <w:rPr>
          <w:rFonts w:ascii="Bookman Old Style" w:hAnsi="Bookman Old Style"/>
          <w:sz w:val="24"/>
          <w:szCs w:val="24"/>
        </w:rPr>
        <w:t xml:space="preserve"> </w:t>
      </w:r>
      <w:r w:rsidR="008E6D0D" w:rsidRPr="008E6D0D">
        <w:rPr>
          <w:rFonts w:ascii="Bookman Old Style" w:hAnsi="Bookman Old Style"/>
          <w:sz w:val="24"/>
          <w:szCs w:val="24"/>
        </w:rPr>
        <w:t>livelli</w:t>
      </w:r>
      <w:r w:rsidR="008F3DE8">
        <w:rPr>
          <w:rFonts w:ascii="Bookman Old Style" w:hAnsi="Bookman Old Style"/>
          <w:sz w:val="24"/>
          <w:szCs w:val="24"/>
        </w:rPr>
        <w:t xml:space="preserve"> </w:t>
      </w:r>
      <w:r w:rsidR="008E6D0D" w:rsidRPr="008E6D0D">
        <w:rPr>
          <w:rFonts w:ascii="Bookman Old Style" w:hAnsi="Bookman Old Style"/>
          <w:sz w:val="24"/>
          <w:szCs w:val="24"/>
        </w:rPr>
        <w:t>che</w:t>
      </w:r>
      <w:r w:rsidR="008F3DE8">
        <w:rPr>
          <w:rFonts w:ascii="Bookman Old Style" w:hAnsi="Bookman Old Style"/>
          <w:sz w:val="24"/>
          <w:szCs w:val="24"/>
        </w:rPr>
        <w:t xml:space="preserve"> </w:t>
      </w:r>
      <w:r w:rsidR="008E6D0D" w:rsidRPr="008E6D0D">
        <w:rPr>
          <w:rFonts w:ascii="Bookman Old Style" w:hAnsi="Bookman Old Style"/>
          <w:sz w:val="24"/>
          <w:szCs w:val="24"/>
        </w:rPr>
        <w:t>il</w:t>
      </w:r>
      <w:r w:rsidR="008F3DE8">
        <w:rPr>
          <w:rFonts w:ascii="Bookman Old Style" w:hAnsi="Bookman Old Style"/>
          <w:sz w:val="24"/>
          <w:szCs w:val="24"/>
        </w:rPr>
        <w:t xml:space="preserve"> </w:t>
      </w:r>
      <w:r w:rsidR="008E6D0D" w:rsidRPr="008E6D0D">
        <w:rPr>
          <w:rFonts w:ascii="Bookman Old Style" w:hAnsi="Bookman Old Style"/>
          <w:sz w:val="24"/>
          <w:szCs w:val="24"/>
        </w:rPr>
        <w:t>sistema</w:t>
      </w:r>
      <w:r w:rsidR="008F3DE8">
        <w:rPr>
          <w:rFonts w:ascii="Bookman Old Style" w:hAnsi="Bookman Old Style"/>
          <w:sz w:val="24"/>
          <w:szCs w:val="24"/>
        </w:rPr>
        <w:t xml:space="preserve"> </w:t>
      </w:r>
      <w:r w:rsidR="008E6D0D" w:rsidRPr="008E6D0D">
        <w:rPr>
          <w:rFonts w:ascii="Bookman Old Style" w:hAnsi="Bookman Old Style"/>
          <w:sz w:val="24"/>
          <w:szCs w:val="24"/>
        </w:rPr>
        <w:t>pubblico</w:t>
      </w:r>
      <w:r w:rsidR="008F3DE8">
        <w:rPr>
          <w:rFonts w:ascii="Bookman Old Style" w:hAnsi="Bookman Old Style"/>
          <w:sz w:val="24"/>
          <w:szCs w:val="24"/>
        </w:rPr>
        <w:t xml:space="preserve"> </w:t>
      </w:r>
      <w:r w:rsidR="008E6D0D" w:rsidRPr="008E6D0D">
        <w:rPr>
          <w:rFonts w:ascii="Bookman Old Style" w:hAnsi="Bookman Old Style"/>
          <w:sz w:val="24"/>
          <w:szCs w:val="24"/>
        </w:rPr>
        <w:t>riesce</w:t>
      </w:r>
      <w:r w:rsidR="008F3DE8">
        <w:rPr>
          <w:rFonts w:ascii="Bookman Old Style" w:hAnsi="Bookman Old Style"/>
          <w:sz w:val="24"/>
          <w:szCs w:val="24"/>
        </w:rPr>
        <w:t xml:space="preserve"> </w:t>
      </w:r>
      <w:r w:rsidR="008E6D0D" w:rsidRPr="008E6D0D">
        <w:rPr>
          <w:rFonts w:ascii="Bookman Old Style" w:hAnsi="Bookman Old Style"/>
          <w:sz w:val="24"/>
          <w:szCs w:val="24"/>
        </w:rPr>
        <w:t>a</w:t>
      </w:r>
      <w:r w:rsidR="008F3DE8">
        <w:rPr>
          <w:rFonts w:ascii="Bookman Old Style" w:hAnsi="Bookman Old Style"/>
          <w:sz w:val="24"/>
          <w:szCs w:val="24"/>
        </w:rPr>
        <w:t xml:space="preserve"> </w:t>
      </w:r>
      <w:r w:rsidR="008E6D0D" w:rsidRPr="008E6D0D">
        <w:rPr>
          <w:rFonts w:ascii="Bookman Old Style" w:hAnsi="Bookman Old Style"/>
          <w:sz w:val="24"/>
          <w:szCs w:val="24"/>
        </w:rPr>
        <w:t>garantire</w:t>
      </w:r>
      <w:r w:rsidR="008F3DE8">
        <w:rPr>
          <w:rFonts w:ascii="Bookman Old Style" w:hAnsi="Bookman Old Style"/>
          <w:sz w:val="24"/>
          <w:szCs w:val="24"/>
        </w:rPr>
        <w:t xml:space="preserve"> </w:t>
      </w:r>
      <w:r w:rsidR="008E6D0D" w:rsidRPr="008E6D0D">
        <w:rPr>
          <w:rFonts w:ascii="Bookman Old Style" w:hAnsi="Bookman Old Style"/>
          <w:sz w:val="24"/>
          <w:szCs w:val="24"/>
        </w:rPr>
        <w:t>a</w:t>
      </w:r>
      <w:r w:rsidR="008F3DE8">
        <w:rPr>
          <w:rFonts w:ascii="Bookman Old Style" w:hAnsi="Bookman Old Style"/>
          <w:sz w:val="24"/>
          <w:szCs w:val="24"/>
        </w:rPr>
        <w:t xml:space="preserve"> </w:t>
      </w:r>
      <w:r w:rsidR="008E6D0D" w:rsidRPr="008E6D0D">
        <w:rPr>
          <w:rFonts w:ascii="Bookman Old Style" w:hAnsi="Bookman Old Style"/>
          <w:sz w:val="24"/>
          <w:szCs w:val="24"/>
        </w:rPr>
        <w:t>fronte</w:t>
      </w:r>
      <w:r w:rsidR="008F3DE8">
        <w:rPr>
          <w:rFonts w:ascii="Bookman Old Style" w:hAnsi="Bookman Old Style"/>
          <w:sz w:val="24"/>
          <w:szCs w:val="24"/>
        </w:rPr>
        <w:t xml:space="preserve"> </w:t>
      </w:r>
      <w:r w:rsidR="008E6D0D" w:rsidRPr="008E6D0D">
        <w:rPr>
          <w:rFonts w:ascii="Bookman Old Style" w:hAnsi="Bookman Old Style"/>
          <w:sz w:val="24"/>
          <w:szCs w:val="24"/>
        </w:rPr>
        <w:t>di</w:t>
      </w:r>
      <w:r w:rsidR="008F3DE8">
        <w:rPr>
          <w:rFonts w:ascii="Bookman Old Style" w:hAnsi="Bookman Old Style"/>
          <w:sz w:val="24"/>
          <w:szCs w:val="24"/>
        </w:rPr>
        <w:t xml:space="preserve"> </w:t>
      </w:r>
      <w:r w:rsidR="008E6D0D" w:rsidRPr="008E6D0D">
        <w:rPr>
          <w:rFonts w:ascii="Bookman Old Style" w:hAnsi="Bookman Old Style"/>
          <w:sz w:val="24"/>
          <w:szCs w:val="24"/>
        </w:rPr>
        <w:t>una</w:t>
      </w:r>
      <w:r w:rsidR="008F3DE8">
        <w:rPr>
          <w:rFonts w:ascii="Bookman Old Style" w:hAnsi="Bookman Old Style"/>
          <w:sz w:val="24"/>
          <w:szCs w:val="24"/>
        </w:rPr>
        <w:t xml:space="preserve"> </w:t>
      </w:r>
      <w:r w:rsidR="008E6D0D" w:rsidRPr="008E6D0D">
        <w:rPr>
          <w:rFonts w:ascii="Bookman Old Style" w:hAnsi="Bookman Old Style"/>
          <w:sz w:val="24"/>
          <w:szCs w:val="24"/>
        </w:rPr>
        <w:t>dotazione</w:t>
      </w:r>
      <w:r w:rsidR="008F3DE8">
        <w:rPr>
          <w:rFonts w:ascii="Bookman Old Style" w:hAnsi="Bookman Old Style"/>
          <w:sz w:val="24"/>
          <w:szCs w:val="24"/>
        </w:rPr>
        <w:t xml:space="preserve"> </w:t>
      </w:r>
      <w:r w:rsidR="008E6D0D" w:rsidRPr="008E6D0D">
        <w:rPr>
          <w:rFonts w:ascii="Bookman Old Style" w:hAnsi="Bookman Old Style"/>
          <w:sz w:val="24"/>
          <w:szCs w:val="24"/>
        </w:rPr>
        <w:t>vincolata</w:t>
      </w:r>
      <w:r w:rsidR="008F3DE8">
        <w:rPr>
          <w:rFonts w:ascii="Bookman Old Style" w:hAnsi="Bookman Old Style"/>
          <w:sz w:val="24"/>
          <w:szCs w:val="24"/>
        </w:rPr>
        <w:t xml:space="preserve"> </w:t>
      </w:r>
      <w:r w:rsidR="008E6D0D" w:rsidRPr="008E6D0D">
        <w:rPr>
          <w:rFonts w:ascii="Bookman Old Style" w:hAnsi="Bookman Old Style"/>
          <w:sz w:val="24"/>
          <w:szCs w:val="24"/>
        </w:rPr>
        <w:t>di</w:t>
      </w:r>
      <w:r w:rsidR="008F3DE8">
        <w:rPr>
          <w:rFonts w:ascii="Bookman Old Style" w:hAnsi="Bookman Old Style"/>
          <w:sz w:val="24"/>
          <w:szCs w:val="24"/>
        </w:rPr>
        <w:t xml:space="preserve"> </w:t>
      </w:r>
      <w:r w:rsidR="008E6D0D" w:rsidRPr="008E6D0D">
        <w:rPr>
          <w:rFonts w:ascii="Bookman Old Style" w:hAnsi="Bookman Old Style"/>
          <w:sz w:val="24"/>
          <w:szCs w:val="24"/>
        </w:rPr>
        <w:t>risorse,</w:t>
      </w:r>
      <w:r w:rsidR="008F3DE8">
        <w:rPr>
          <w:rFonts w:ascii="Bookman Old Style" w:hAnsi="Bookman Old Style"/>
          <w:sz w:val="24"/>
          <w:szCs w:val="24"/>
        </w:rPr>
        <w:t xml:space="preserve"> </w:t>
      </w:r>
      <w:r w:rsidR="008E6D0D" w:rsidRPr="008E6D0D">
        <w:rPr>
          <w:rFonts w:ascii="Bookman Old Style" w:hAnsi="Bookman Old Style"/>
          <w:sz w:val="24"/>
          <w:szCs w:val="24"/>
        </w:rPr>
        <w:t>a</w:t>
      </w:r>
      <w:r w:rsidR="008F3DE8">
        <w:rPr>
          <w:rFonts w:ascii="Bookman Old Style" w:hAnsi="Bookman Old Style"/>
          <w:sz w:val="24"/>
          <w:szCs w:val="24"/>
        </w:rPr>
        <w:t xml:space="preserve"> </w:t>
      </w:r>
      <w:r w:rsidR="008E6D0D" w:rsidRPr="008E6D0D">
        <w:rPr>
          <w:rFonts w:ascii="Bookman Old Style" w:hAnsi="Bookman Old Style"/>
          <w:sz w:val="24"/>
          <w:szCs w:val="24"/>
        </w:rPr>
        <w:t>prescindere</w:t>
      </w:r>
      <w:r w:rsidR="008F3DE8">
        <w:rPr>
          <w:rFonts w:ascii="Bookman Old Style" w:hAnsi="Bookman Old Style"/>
          <w:sz w:val="24"/>
          <w:szCs w:val="24"/>
        </w:rPr>
        <w:t xml:space="preserve"> </w:t>
      </w:r>
      <w:r w:rsidR="008E6D0D" w:rsidRPr="008E6D0D">
        <w:rPr>
          <w:rFonts w:ascii="Bookman Old Style" w:hAnsi="Bookman Old Style"/>
          <w:sz w:val="24"/>
          <w:szCs w:val="24"/>
        </w:rPr>
        <w:t>dai</w:t>
      </w:r>
      <w:r w:rsidR="008F3DE8">
        <w:rPr>
          <w:rFonts w:ascii="Bookman Old Style" w:hAnsi="Bookman Old Style"/>
          <w:sz w:val="24"/>
          <w:szCs w:val="24"/>
        </w:rPr>
        <w:t xml:space="preserve"> </w:t>
      </w:r>
      <w:r w:rsidR="008E6D0D" w:rsidRPr="008E6D0D">
        <w:rPr>
          <w:rFonts w:ascii="Bookman Old Style" w:hAnsi="Bookman Old Style"/>
          <w:sz w:val="24"/>
          <w:szCs w:val="24"/>
        </w:rPr>
        <w:t>principi</w:t>
      </w:r>
      <w:r w:rsidR="008F3DE8">
        <w:rPr>
          <w:rFonts w:ascii="Bookman Old Style" w:hAnsi="Bookman Old Style"/>
          <w:sz w:val="24"/>
          <w:szCs w:val="24"/>
        </w:rPr>
        <w:t xml:space="preserve"> </w:t>
      </w:r>
      <w:r w:rsidR="008E6D0D" w:rsidRPr="008E6D0D">
        <w:rPr>
          <w:rFonts w:ascii="Bookman Old Style" w:hAnsi="Bookman Old Style"/>
          <w:sz w:val="24"/>
          <w:szCs w:val="24"/>
        </w:rPr>
        <w:t>ispiratori</w:t>
      </w:r>
      <w:r w:rsidR="008F3DE8">
        <w:rPr>
          <w:rFonts w:ascii="Bookman Old Style" w:hAnsi="Bookman Old Style"/>
          <w:sz w:val="24"/>
          <w:szCs w:val="24"/>
        </w:rPr>
        <w:t xml:space="preserve"> </w:t>
      </w:r>
      <w:r w:rsidR="008E6D0D" w:rsidRPr="008E6D0D">
        <w:rPr>
          <w:rFonts w:ascii="Bookman Old Style" w:hAnsi="Bookman Old Style"/>
          <w:sz w:val="24"/>
          <w:szCs w:val="24"/>
        </w:rPr>
        <w:t>dello</w:t>
      </w:r>
      <w:r w:rsidR="008F3DE8">
        <w:rPr>
          <w:rFonts w:ascii="Bookman Old Style" w:hAnsi="Bookman Old Style"/>
          <w:sz w:val="24"/>
          <w:szCs w:val="24"/>
        </w:rPr>
        <w:t xml:space="preserve"> </w:t>
      </w:r>
      <w:r w:rsidR="008E6D0D" w:rsidRPr="008E6D0D">
        <w:rPr>
          <w:rFonts w:ascii="Bookman Old Style" w:hAnsi="Bookman Old Style"/>
          <w:sz w:val="24"/>
          <w:szCs w:val="24"/>
        </w:rPr>
        <w:t>stesso</w:t>
      </w:r>
      <w:r w:rsidR="008F3DE8">
        <w:rPr>
          <w:rFonts w:ascii="Bookman Old Style" w:hAnsi="Bookman Old Style"/>
          <w:sz w:val="24"/>
          <w:szCs w:val="24"/>
        </w:rPr>
        <w:t xml:space="preserve"> </w:t>
      </w:r>
      <w:r w:rsidR="008E6D0D" w:rsidRPr="008E6D0D">
        <w:rPr>
          <w:rFonts w:ascii="Bookman Old Style" w:hAnsi="Bookman Old Style"/>
          <w:sz w:val="24"/>
          <w:szCs w:val="24"/>
        </w:rPr>
        <w:t>sistema</w:t>
      </w:r>
      <w:r w:rsidR="008F3DE8">
        <w:rPr>
          <w:rFonts w:ascii="Bookman Old Style" w:hAnsi="Bookman Old Style"/>
          <w:sz w:val="24"/>
          <w:szCs w:val="24"/>
        </w:rPr>
        <w:t xml:space="preserve"> </w:t>
      </w:r>
      <w:r w:rsidR="008E6D0D" w:rsidRPr="008E6D0D">
        <w:rPr>
          <w:rFonts w:ascii="Bookman Old Style" w:hAnsi="Bookman Old Style"/>
          <w:sz w:val="24"/>
          <w:szCs w:val="24"/>
        </w:rPr>
        <w:t>di</w:t>
      </w:r>
      <w:r w:rsidR="008F3DE8">
        <w:rPr>
          <w:rFonts w:ascii="Bookman Old Style" w:hAnsi="Bookman Old Style"/>
          <w:sz w:val="24"/>
          <w:szCs w:val="24"/>
        </w:rPr>
        <w:t xml:space="preserve"> </w:t>
      </w:r>
      <w:r w:rsidR="008E6D0D" w:rsidRPr="008E6D0D">
        <w:rPr>
          <w:rFonts w:ascii="Bookman Old Style" w:hAnsi="Bookman Old Style"/>
          <w:sz w:val="24"/>
          <w:szCs w:val="24"/>
        </w:rPr>
        <w:t>erogazi</w:t>
      </w:r>
      <w:r w:rsidR="008E6D0D">
        <w:rPr>
          <w:rFonts w:ascii="Bookman Old Style" w:hAnsi="Bookman Old Style"/>
          <w:sz w:val="24"/>
          <w:szCs w:val="24"/>
        </w:rPr>
        <w:t>one.</w:t>
      </w:r>
      <w:r>
        <w:rPr>
          <w:rFonts w:ascii="Bookman Old Style" w:hAnsi="Bookman Old Style"/>
          <w:sz w:val="24"/>
          <w:szCs w:val="24"/>
        </w:rPr>
        <w:t xml:space="preserve"> </w:t>
      </w:r>
      <w:r w:rsidR="00A550FE">
        <w:rPr>
          <w:rFonts w:ascii="Bookman Old Style" w:hAnsi="Bookman Old Style"/>
          <w:sz w:val="24"/>
          <w:szCs w:val="24"/>
        </w:rPr>
        <w:t>Secondo</w:t>
      </w:r>
      <w:r w:rsidR="008F3DE8">
        <w:rPr>
          <w:rFonts w:ascii="Bookman Old Style" w:hAnsi="Bookman Old Style"/>
          <w:sz w:val="24"/>
          <w:szCs w:val="24"/>
        </w:rPr>
        <w:t xml:space="preserve"> </w:t>
      </w:r>
      <w:r w:rsidR="00A550FE">
        <w:rPr>
          <w:rFonts w:ascii="Bookman Old Style" w:hAnsi="Bookman Old Style"/>
          <w:sz w:val="24"/>
          <w:szCs w:val="24"/>
        </w:rPr>
        <w:t>tale</w:t>
      </w:r>
      <w:r w:rsidR="008F3DE8">
        <w:rPr>
          <w:rFonts w:ascii="Bookman Old Style" w:hAnsi="Bookman Old Style"/>
          <w:sz w:val="24"/>
          <w:szCs w:val="24"/>
        </w:rPr>
        <w:t xml:space="preserve"> </w:t>
      </w:r>
      <w:r w:rsidR="00A550FE">
        <w:rPr>
          <w:rFonts w:ascii="Bookman Old Style" w:hAnsi="Bookman Old Style"/>
          <w:sz w:val="24"/>
          <w:szCs w:val="24"/>
        </w:rPr>
        <w:t>interpretazione</w:t>
      </w:r>
      <w:r w:rsidR="008F3DE8">
        <w:rPr>
          <w:rFonts w:ascii="Bookman Old Style" w:hAnsi="Bookman Old Style"/>
          <w:sz w:val="24"/>
          <w:szCs w:val="24"/>
        </w:rPr>
        <w:t xml:space="preserve"> </w:t>
      </w:r>
      <w:r w:rsidR="00A550FE">
        <w:rPr>
          <w:rFonts w:ascii="Bookman Old Style" w:hAnsi="Bookman Old Style"/>
          <w:sz w:val="24"/>
          <w:szCs w:val="24"/>
        </w:rPr>
        <w:t>letterale</w:t>
      </w:r>
      <w:r w:rsidR="008F3DE8">
        <w:rPr>
          <w:rFonts w:ascii="Bookman Old Style" w:hAnsi="Bookman Old Style"/>
          <w:sz w:val="24"/>
          <w:szCs w:val="24"/>
        </w:rPr>
        <w:t xml:space="preserve"> </w:t>
      </w:r>
      <w:r w:rsidR="00A550FE">
        <w:rPr>
          <w:rFonts w:ascii="Bookman Old Style" w:hAnsi="Bookman Old Style"/>
          <w:sz w:val="24"/>
          <w:szCs w:val="24"/>
        </w:rPr>
        <w:t>della</w:t>
      </w:r>
      <w:r w:rsidR="008F3DE8">
        <w:rPr>
          <w:rFonts w:ascii="Bookman Old Style" w:hAnsi="Bookman Old Style"/>
          <w:sz w:val="24"/>
          <w:szCs w:val="24"/>
        </w:rPr>
        <w:t xml:space="preserve"> </w:t>
      </w:r>
      <w:r w:rsidR="00A550FE">
        <w:rPr>
          <w:rFonts w:ascii="Bookman Old Style" w:hAnsi="Bookman Old Style"/>
          <w:sz w:val="24"/>
          <w:szCs w:val="24"/>
        </w:rPr>
        <w:t>norma,</w:t>
      </w:r>
      <w:r w:rsidR="008F3DE8">
        <w:rPr>
          <w:rFonts w:ascii="Bookman Old Style" w:hAnsi="Bookman Old Style"/>
          <w:sz w:val="24"/>
          <w:szCs w:val="24"/>
        </w:rPr>
        <w:t xml:space="preserve"> </w:t>
      </w:r>
      <w:r w:rsidR="00A550FE">
        <w:rPr>
          <w:rFonts w:ascii="Bookman Old Style" w:hAnsi="Bookman Old Style"/>
          <w:sz w:val="24"/>
          <w:szCs w:val="24"/>
        </w:rPr>
        <w:t>l</w:t>
      </w:r>
      <w:r w:rsidR="008E6D0D" w:rsidRPr="008E6D0D">
        <w:rPr>
          <w:rFonts w:ascii="Bookman Old Style" w:hAnsi="Bookman Old Style"/>
          <w:sz w:val="24"/>
          <w:szCs w:val="24"/>
        </w:rPr>
        <w:t>a</w:t>
      </w:r>
      <w:r w:rsidR="008F3DE8">
        <w:rPr>
          <w:rFonts w:ascii="Bookman Old Style" w:hAnsi="Bookman Old Style"/>
          <w:sz w:val="24"/>
          <w:szCs w:val="24"/>
        </w:rPr>
        <w:t xml:space="preserve"> </w:t>
      </w:r>
      <w:r w:rsidR="008E6D0D" w:rsidRPr="008E6D0D">
        <w:rPr>
          <w:rFonts w:ascii="Bookman Old Style" w:hAnsi="Bookman Old Style"/>
          <w:sz w:val="24"/>
          <w:szCs w:val="24"/>
        </w:rPr>
        <w:t>valenza</w:t>
      </w:r>
      <w:r w:rsidR="008F3DE8">
        <w:rPr>
          <w:rFonts w:ascii="Bookman Old Style" w:hAnsi="Bookman Old Style"/>
          <w:sz w:val="24"/>
          <w:szCs w:val="24"/>
        </w:rPr>
        <w:t xml:space="preserve"> </w:t>
      </w:r>
      <w:r w:rsidR="008E6D0D" w:rsidRPr="008E6D0D">
        <w:rPr>
          <w:rFonts w:ascii="Bookman Old Style" w:hAnsi="Bookman Old Style"/>
          <w:sz w:val="24"/>
          <w:szCs w:val="24"/>
        </w:rPr>
        <w:t>di</w:t>
      </w:r>
      <w:r w:rsidR="008F3DE8">
        <w:rPr>
          <w:rFonts w:ascii="Bookman Old Style" w:hAnsi="Bookman Old Style"/>
          <w:sz w:val="24"/>
          <w:szCs w:val="24"/>
        </w:rPr>
        <w:t xml:space="preserve"> </w:t>
      </w:r>
      <w:r w:rsidR="008E6D0D" w:rsidRPr="008E6D0D">
        <w:rPr>
          <w:rFonts w:ascii="Bookman Old Style" w:hAnsi="Bookman Old Style"/>
          <w:sz w:val="24"/>
          <w:szCs w:val="24"/>
        </w:rPr>
        <w:t>“minimo”</w:t>
      </w:r>
      <w:r w:rsidR="008F3DE8">
        <w:rPr>
          <w:rFonts w:ascii="Bookman Old Style" w:hAnsi="Bookman Old Style"/>
          <w:sz w:val="24"/>
          <w:szCs w:val="24"/>
        </w:rPr>
        <w:t xml:space="preserve"> </w:t>
      </w:r>
      <w:r w:rsidR="008E6D0D" w:rsidRPr="008E6D0D">
        <w:rPr>
          <w:rFonts w:ascii="Bookman Old Style" w:hAnsi="Bookman Old Style"/>
          <w:sz w:val="24"/>
          <w:szCs w:val="24"/>
        </w:rPr>
        <w:t>sembrerebbe,</w:t>
      </w:r>
      <w:r w:rsidR="008F3DE8">
        <w:rPr>
          <w:rFonts w:ascii="Bookman Old Style" w:hAnsi="Bookman Old Style"/>
          <w:sz w:val="24"/>
          <w:szCs w:val="24"/>
        </w:rPr>
        <w:t xml:space="preserve"> </w:t>
      </w:r>
      <w:r w:rsidR="008E6D0D" w:rsidRPr="008E6D0D">
        <w:rPr>
          <w:rFonts w:ascii="Bookman Old Style" w:hAnsi="Bookman Old Style"/>
          <w:sz w:val="24"/>
          <w:szCs w:val="24"/>
        </w:rPr>
        <w:t>pertanto,</w:t>
      </w:r>
      <w:r w:rsidR="008F3DE8">
        <w:rPr>
          <w:rFonts w:ascii="Bookman Old Style" w:hAnsi="Bookman Old Style"/>
          <w:sz w:val="24"/>
          <w:szCs w:val="24"/>
        </w:rPr>
        <w:t xml:space="preserve"> </w:t>
      </w:r>
      <w:r w:rsidR="008E6D0D" w:rsidRPr="008E6D0D">
        <w:rPr>
          <w:rFonts w:ascii="Bookman Old Style" w:hAnsi="Bookman Old Style"/>
          <w:sz w:val="24"/>
          <w:szCs w:val="24"/>
        </w:rPr>
        <w:t>riferita</w:t>
      </w:r>
      <w:r w:rsidR="008F3DE8">
        <w:rPr>
          <w:rFonts w:ascii="Bookman Old Style" w:hAnsi="Bookman Old Style"/>
          <w:sz w:val="24"/>
          <w:szCs w:val="24"/>
        </w:rPr>
        <w:t xml:space="preserve"> </w:t>
      </w:r>
      <w:r w:rsidR="008E6D0D" w:rsidRPr="008E6D0D">
        <w:rPr>
          <w:rFonts w:ascii="Bookman Old Style" w:hAnsi="Bookman Old Style"/>
          <w:sz w:val="24"/>
          <w:szCs w:val="24"/>
        </w:rPr>
        <w:t>non</w:t>
      </w:r>
      <w:r w:rsidR="008F3DE8">
        <w:rPr>
          <w:rFonts w:ascii="Bookman Old Style" w:hAnsi="Bookman Old Style"/>
          <w:sz w:val="24"/>
          <w:szCs w:val="24"/>
        </w:rPr>
        <w:t xml:space="preserve"> </w:t>
      </w:r>
      <w:r w:rsidR="008E6D0D" w:rsidRPr="008E6D0D">
        <w:rPr>
          <w:rFonts w:ascii="Bookman Old Style" w:hAnsi="Bookman Old Style"/>
          <w:sz w:val="24"/>
          <w:szCs w:val="24"/>
        </w:rPr>
        <w:t>alla</w:t>
      </w:r>
      <w:r w:rsidR="008F3DE8">
        <w:rPr>
          <w:rFonts w:ascii="Bookman Old Style" w:hAnsi="Bookman Old Style"/>
          <w:sz w:val="24"/>
          <w:szCs w:val="24"/>
        </w:rPr>
        <w:t xml:space="preserve"> </w:t>
      </w:r>
      <w:r w:rsidR="008E6D0D" w:rsidRPr="008E6D0D">
        <w:rPr>
          <w:rFonts w:ascii="Bookman Old Style" w:hAnsi="Bookman Old Style"/>
          <w:sz w:val="24"/>
          <w:szCs w:val="24"/>
        </w:rPr>
        <w:t>situazione</w:t>
      </w:r>
      <w:r w:rsidR="008F3DE8">
        <w:rPr>
          <w:rFonts w:ascii="Bookman Old Style" w:hAnsi="Bookman Old Style"/>
          <w:sz w:val="24"/>
          <w:szCs w:val="24"/>
        </w:rPr>
        <w:t xml:space="preserve"> </w:t>
      </w:r>
      <w:r w:rsidR="008E6D0D" w:rsidRPr="008E6D0D">
        <w:rPr>
          <w:rFonts w:ascii="Bookman Old Style" w:hAnsi="Bookman Old Style"/>
          <w:sz w:val="24"/>
          <w:szCs w:val="24"/>
        </w:rPr>
        <w:t>di</w:t>
      </w:r>
      <w:r w:rsidR="008F3DE8">
        <w:rPr>
          <w:rFonts w:ascii="Bookman Old Style" w:hAnsi="Bookman Old Style"/>
          <w:sz w:val="24"/>
          <w:szCs w:val="24"/>
        </w:rPr>
        <w:t xml:space="preserve"> </w:t>
      </w:r>
      <w:r w:rsidR="008E6D0D" w:rsidRPr="008E6D0D">
        <w:rPr>
          <w:rFonts w:ascii="Bookman Old Style" w:hAnsi="Bookman Old Style"/>
          <w:sz w:val="24"/>
          <w:szCs w:val="24"/>
        </w:rPr>
        <w:t>bisogno</w:t>
      </w:r>
      <w:r w:rsidR="008F3DE8">
        <w:rPr>
          <w:rFonts w:ascii="Bookman Old Style" w:hAnsi="Bookman Old Style"/>
          <w:sz w:val="24"/>
          <w:szCs w:val="24"/>
        </w:rPr>
        <w:t xml:space="preserve"> </w:t>
      </w:r>
      <w:r w:rsidR="008E6D0D" w:rsidRPr="008E6D0D">
        <w:rPr>
          <w:rFonts w:ascii="Bookman Old Style" w:hAnsi="Bookman Old Style"/>
          <w:sz w:val="24"/>
          <w:szCs w:val="24"/>
        </w:rPr>
        <w:t>del</w:t>
      </w:r>
      <w:r w:rsidR="008F3DE8">
        <w:rPr>
          <w:rFonts w:ascii="Bookman Old Style" w:hAnsi="Bookman Old Style"/>
          <w:sz w:val="24"/>
          <w:szCs w:val="24"/>
        </w:rPr>
        <w:t xml:space="preserve"> </w:t>
      </w:r>
      <w:r w:rsidR="008E6D0D" w:rsidRPr="008E6D0D">
        <w:rPr>
          <w:rFonts w:ascii="Bookman Old Style" w:hAnsi="Bookman Old Style"/>
          <w:sz w:val="24"/>
          <w:szCs w:val="24"/>
        </w:rPr>
        <w:t>fruitore</w:t>
      </w:r>
      <w:r w:rsidR="008F3DE8">
        <w:rPr>
          <w:rFonts w:ascii="Bookman Old Style" w:hAnsi="Bookman Old Style"/>
          <w:sz w:val="24"/>
          <w:szCs w:val="24"/>
        </w:rPr>
        <w:t xml:space="preserve"> </w:t>
      </w:r>
      <w:r w:rsidR="008E6D0D" w:rsidRPr="008E6D0D">
        <w:rPr>
          <w:rFonts w:ascii="Bookman Old Style" w:hAnsi="Bookman Old Style"/>
          <w:sz w:val="24"/>
          <w:szCs w:val="24"/>
        </w:rPr>
        <w:t>del</w:t>
      </w:r>
      <w:r w:rsidR="008F3DE8">
        <w:rPr>
          <w:rFonts w:ascii="Bookman Old Style" w:hAnsi="Bookman Old Style"/>
          <w:sz w:val="24"/>
          <w:szCs w:val="24"/>
        </w:rPr>
        <w:t xml:space="preserve"> </w:t>
      </w:r>
      <w:r w:rsidR="008E6D0D" w:rsidRPr="008E6D0D">
        <w:rPr>
          <w:rFonts w:ascii="Bookman Old Style" w:hAnsi="Bookman Old Style"/>
          <w:sz w:val="24"/>
          <w:szCs w:val="24"/>
        </w:rPr>
        <w:t>servizio,</w:t>
      </w:r>
      <w:r w:rsidR="008F3DE8">
        <w:rPr>
          <w:rFonts w:ascii="Bookman Old Style" w:hAnsi="Bookman Old Style"/>
          <w:sz w:val="24"/>
          <w:szCs w:val="24"/>
        </w:rPr>
        <w:t xml:space="preserve"> </w:t>
      </w:r>
      <w:r w:rsidR="008E6D0D" w:rsidRPr="008E6D0D">
        <w:rPr>
          <w:rFonts w:ascii="Bookman Old Style" w:hAnsi="Bookman Old Style"/>
          <w:sz w:val="24"/>
          <w:szCs w:val="24"/>
        </w:rPr>
        <w:t>bensì</w:t>
      </w:r>
      <w:r w:rsidR="008F3DE8">
        <w:rPr>
          <w:rFonts w:ascii="Bookman Old Style" w:hAnsi="Bookman Old Style"/>
          <w:sz w:val="24"/>
          <w:szCs w:val="24"/>
        </w:rPr>
        <w:t xml:space="preserve"> </w:t>
      </w:r>
      <w:r w:rsidR="008E6D0D" w:rsidRPr="008E6D0D">
        <w:rPr>
          <w:rFonts w:ascii="Bookman Old Style" w:hAnsi="Bookman Old Style"/>
          <w:sz w:val="24"/>
          <w:szCs w:val="24"/>
        </w:rPr>
        <w:t>alla</w:t>
      </w:r>
      <w:r w:rsidR="008F3DE8">
        <w:rPr>
          <w:rFonts w:ascii="Bookman Old Style" w:hAnsi="Bookman Old Style"/>
          <w:sz w:val="24"/>
          <w:szCs w:val="24"/>
        </w:rPr>
        <w:t xml:space="preserve"> </w:t>
      </w:r>
      <w:r w:rsidR="008E6D0D" w:rsidRPr="008E6D0D">
        <w:rPr>
          <w:rFonts w:ascii="Bookman Old Style" w:hAnsi="Bookman Old Style"/>
          <w:sz w:val="24"/>
          <w:szCs w:val="24"/>
        </w:rPr>
        <w:t>capacità</w:t>
      </w:r>
      <w:r w:rsidR="008F3DE8">
        <w:rPr>
          <w:rFonts w:ascii="Bookman Old Style" w:hAnsi="Bookman Old Style"/>
          <w:sz w:val="24"/>
          <w:szCs w:val="24"/>
        </w:rPr>
        <w:t xml:space="preserve"> </w:t>
      </w:r>
      <w:r w:rsidR="008E6D0D" w:rsidRPr="008E6D0D">
        <w:rPr>
          <w:rFonts w:ascii="Bookman Old Style" w:hAnsi="Bookman Old Style"/>
          <w:sz w:val="24"/>
          <w:szCs w:val="24"/>
        </w:rPr>
        <w:t>finanziaria</w:t>
      </w:r>
      <w:r w:rsidR="008F3DE8">
        <w:rPr>
          <w:rFonts w:ascii="Bookman Old Style" w:hAnsi="Bookman Old Style"/>
          <w:sz w:val="24"/>
          <w:szCs w:val="24"/>
        </w:rPr>
        <w:t xml:space="preserve"> </w:t>
      </w:r>
      <w:r w:rsidR="008E6D0D" w:rsidRPr="008E6D0D">
        <w:rPr>
          <w:rFonts w:ascii="Bookman Old Style" w:hAnsi="Bookman Old Style"/>
          <w:sz w:val="24"/>
          <w:szCs w:val="24"/>
        </w:rPr>
        <w:t>del</w:t>
      </w:r>
      <w:r w:rsidR="008F3DE8">
        <w:rPr>
          <w:rFonts w:ascii="Bookman Old Style" w:hAnsi="Bookman Old Style"/>
          <w:sz w:val="24"/>
          <w:szCs w:val="24"/>
        </w:rPr>
        <w:t xml:space="preserve"> </w:t>
      </w:r>
      <w:r w:rsidR="008E6D0D" w:rsidRPr="008E6D0D">
        <w:rPr>
          <w:rFonts w:ascii="Bookman Old Style" w:hAnsi="Bookman Old Style"/>
          <w:sz w:val="24"/>
          <w:szCs w:val="24"/>
        </w:rPr>
        <w:t>sistema</w:t>
      </w:r>
      <w:r w:rsidR="008F3DE8">
        <w:rPr>
          <w:rFonts w:ascii="Bookman Old Style" w:hAnsi="Bookman Old Style"/>
          <w:sz w:val="24"/>
          <w:szCs w:val="24"/>
        </w:rPr>
        <w:t xml:space="preserve"> </w:t>
      </w:r>
      <w:r w:rsidR="008E6D0D" w:rsidRPr="008E6D0D">
        <w:rPr>
          <w:rFonts w:ascii="Bookman Old Style" w:hAnsi="Bookman Old Style"/>
          <w:sz w:val="24"/>
          <w:szCs w:val="24"/>
        </w:rPr>
        <w:t>di</w:t>
      </w:r>
      <w:r w:rsidR="008F3DE8">
        <w:rPr>
          <w:rFonts w:ascii="Bookman Old Style" w:hAnsi="Bookman Old Style"/>
          <w:sz w:val="24"/>
          <w:szCs w:val="24"/>
        </w:rPr>
        <w:t xml:space="preserve"> </w:t>
      </w:r>
      <w:r w:rsidR="008E6D0D" w:rsidRPr="008E6D0D">
        <w:rPr>
          <w:rFonts w:ascii="Bookman Old Style" w:hAnsi="Bookman Old Style"/>
          <w:sz w:val="24"/>
          <w:szCs w:val="24"/>
        </w:rPr>
        <w:t>erogazione</w:t>
      </w:r>
      <w:r w:rsidR="008F3DE8">
        <w:rPr>
          <w:rFonts w:ascii="Bookman Old Style" w:hAnsi="Bookman Old Style"/>
          <w:sz w:val="24"/>
          <w:szCs w:val="24"/>
        </w:rPr>
        <w:t xml:space="preserve"> </w:t>
      </w:r>
      <w:r w:rsidR="008E6D0D" w:rsidRPr="008E6D0D">
        <w:rPr>
          <w:rFonts w:ascii="Bookman Old Style" w:hAnsi="Bookman Old Style"/>
          <w:sz w:val="24"/>
          <w:szCs w:val="24"/>
        </w:rPr>
        <w:t>dei</w:t>
      </w:r>
      <w:r w:rsidR="008F3DE8">
        <w:rPr>
          <w:rFonts w:ascii="Bookman Old Style" w:hAnsi="Bookman Old Style"/>
          <w:sz w:val="24"/>
          <w:szCs w:val="24"/>
        </w:rPr>
        <w:t xml:space="preserve"> </w:t>
      </w:r>
      <w:r w:rsidR="008E6D0D" w:rsidRPr="008E6D0D">
        <w:rPr>
          <w:rFonts w:ascii="Bookman Old Style" w:hAnsi="Bookman Old Style"/>
          <w:sz w:val="24"/>
          <w:szCs w:val="24"/>
        </w:rPr>
        <w:t>servizi</w:t>
      </w:r>
      <w:r>
        <w:rPr>
          <w:rFonts w:ascii="Bookman Old Style" w:hAnsi="Bookman Old Style"/>
          <w:sz w:val="24"/>
          <w:szCs w:val="24"/>
        </w:rPr>
        <w:t xml:space="preserve"> </w:t>
      </w:r>
      <w:r w:rsidR="008E6D0D">
        <w:rPr>
          <w:rStyle w:val="Rimandonotaapidipagina"/>
          <w:rFonts w:ascii="Bookman Old Style" w:hAnsi="Bookman Old Style"/>
          <w:sz w:val="24"/>
          <w:szCs w:val="24"/>
        </w:rPr>
        <w:footnoteReference w:id="13"/>
      </w:r>
      <w:r w:rsidR="00A550FE">
        <w:rPr>
          <w:rFonts w:ascii="Bookman Old Style" w:hAnsi="Bookman Old Style"/>
          <w:sz w:val="24"/>
          <w:szCs w:val="24"/>
        </w:rPr>
        <w:t>.</w:t>
      </w:r>
      <w:r>
        <w:rPr>
          <w:rFonts w:ascii="Bookman Old Style" w:hAnsi="Bookman Old Style"/>
          <w:sz w:val="24"/>
          <w:szCs w:val="24"/>
        </w:rPr>
        <w:t xml:space="preserve"> </w:t>
      </w:r>
      <w:r w:rsidR="007B6925">
        <w:rPr>
          <w:rFonts w:ascii="Bookman Old Style" w:hAnsi="Bookman Old Style"/>
          <w:sz w:val="24"/>
          <w:szCs w:val="24"/>
        </w:rPr>
        <w:t>Al</w:t>
      </w:r>
      <w:r>
        <w:rPr>
          <w:rFonts w:ascii="Bookman Old Style" w:hAnsi="Bookman Old Style"/>
          <w:sz w:val="24"/>
          <w:szCs w:val="24"/>
        </w:rPr>
        <w:t xml:space="preserve"> contrario, u</w:t>
      </w:r>
      <w:r w:rsidR="008E6D0D" w:rsidRPr="008E6D0D">
        <w:rPr>
          <w:rFonts w:ascii="Bookman Old Style" w:hAnsi="Bookman Old Style"/>
          <w:sz w:val="24"/>
          <w:szCs w:val="24"/>
        </w:rPr>
        <w:t>na</w:t>
      </w:r>
      <w:r w:rsidR="008F3DE8">
        <w:rPr>
          <w:rFonts w:ascii="Bookman Old Style" w:hAnsi="Bookman Old Style"/>
          <w:sz w:val="24"/>
          <w:szCs w:val="24"/>
        </w:rPr>
        <w:t xml:space="preserve"> </w:t>
      </w:r>
      <w:r w:rsidR="008E6D0D" w:rsidRPr="008E6D0D">
        <w:rPr>
          <w:rFonts w:ascii="Bookman Old Style" w:hAnsi="Bookman Old Style"/>
          <w:sz w:val="24"/>
          <w:szCs w:val="24"/>
        </w:rPr>
        <w:t>volta</w:t>
      </w:r>
      <w:r w:rsidR="008F3DE8">
        <w:rPr>
          <w:rFonts w:ascii="Bookman Old Style" w:hAnsi="Bookman Old Style"/>
          <w:sz w:val="24"/>
          <w:szCs w:val="24"/>
        </w:rPr>
        <w:t xml:space="preserve"> </w:t>
      </w:r>
      <w:r w:rsidR="008E6D0D" w:rsidRPr="008E6D0D">
        <w:rPr>
          <w:rFonts w:ascii="Bookman Old Style" w:hAnsi="Bookman Old Style"/>
          <w:sz w:val="24"/>
          <w:szCs w:val="24"/>
        </w:rPr>
        <w:t>idealmente</w:t>
      </w:r>
      <w:r w:rsidR="008F3DE8">
        <w:rPr>
          <w:rFonts w:ascii="Bookman Old Style" w:hAnsi="Bookman Old Style"/>
          <w:sz w:val="24"/>
          <w:szCs w:val="24"/>
        </w:rPr>
        <w:t xml:space="preserve"> </w:t>
      </w:r>
      <w:r w:rsidR="008E6D0D" w:rsidRPr="008E6D0D">
        <w:rPr>
          <w:rFonts w:ascii="Bookman Old Style" w:hAnsi="Bookman Old Style"/>
          <w:sz w:val="24"/>
          <w:szCs w:val="24"/>
        </w:rPr>
        <w:t>individuate</w:t>
      </w:r>
      <w:r w:rsidR="008F3DE8">
        <w:rPr>
          <w:rFonts w:ascii="Bookman Old Style" w:hAnsi="Bookman Old Style"/>
          <w:sz w:val="24"/>
          <w:szCs w:val="24"/>
        </w:rPr>
        <w:t xml:space="preserve"> </w:t>
      </w:r>
      <w:r w:rsidR="008E6D0D" w:rsidRPr="008E6D0D">
        <w:rPr>
          <w:rFonts w:ascii="Bookman Old Style" w:hAnsi="Bookman Old Style"/>
          <w:sz w:val="24"/>
          <w:szCs w:val="24"/>
        </w:rPr>
        <w:t>come</w:t>
      </w:r>
      <w:r w:rsidR="008F3DE8">
        <w:rPr>
          <w:rFonts w:ascii="Bookman Old Style" w:hAnsi="Bookman Old Style"/>
          <w:sz w:val="24"/>
          <w:szCs w:val="24"/>
        </w:rPr>
        <w:t xml:space="preserve"> </w:t>
      </w:r>
      <w:r w:rsidR="008E6D0D" w:rsidRPr="008E6D0D">
        <w:rPr>
          <w:rFonts w:ascii="Bookman Old Style" w:hAnsi="Bookman Old Style"/>
          <w:sz w:val="24"/>
          <w:szCs w:val="24"/>
        </w:rPr>
        <w:t>essenziali</w:t>
      </w:r>
      <w:r w:rsidR="008F3DE8">
        <w:rPr>
          <w:rFonts w:ascii="Bookman Old Style" w:hAnsi="Bookman Old Style"/>
          <w:sz w:val="24"/>
          <w:szCs w:val="24"/>
        </w:rPr>
        <w:t xml:space="preserve"> </w:t>
      </w:r>
      <w:r w:rsidR="008E6D0D" w:rsidRPr="008E6D0D">
        <w:rPr>
          <w:rFonts w:ascii="Bookman Old Style" w:hAnsi="Bookman Old Style"/>
          <w:sz w:val="24"/>
          <w:szCs w:val="24"/>
        </w:rPr>
        <w:t>alcune</w:t>
      </w:r>
      <w:r w:rsidR="008F3DE8">
        <w:rPr>
          <w:rFonts w:ascii="Bookman Old Style" w:hAnsi="Bookman Old Style"/>
          <w:sz w:val="24"/>
          <w:szCs w:val="24"/>
        </w:rPr>
        <w:t xml:space="preserve"> </w:t>
      </w:r>
      <w:r w:rsidR="008E6D0D" w:rsidRPr="008E6D0D">
        <w:rPr>
          <w:rFonts w:ascii="Bookman Old Style" w:hAnsi="Bookman Old Style"/>
          <w:sz w:val="24"/>
          <w:szCs w:val="24"/>
        </w:rPr>
        <w:lastRenderedPageBreak/>
        <w:t>prestazioni,</w:t>
      </w:r>
      <w:r w:rsidR="008F3DE8">
        <w:rPr>
          <w:rFonts w:ascii="Bookman Old Style" w:hAnsi="Bookman Old Style"/>
          <w:sz w:val="24"/>
          <w:szCs w:val="24"/>
        </w:rPr>
        <w:t xml:space="preserve"> </w:t>
      </w:r>
      <w:r w:rsidR="008E6D0D" w:rsidRPr="008E6D0D">
        <w:rPr>
          <w:rFonts w:ascii="Bookman Old Style" w:hAnsi="Bookman Old Style"/>
          <w:sz w:val="24"/>
          <w:szCs w:val="24"/>
        </w:rPr>
        <w:t>la</w:t>
      </w:r>
      <w:r w:rsidR="008F3DE8">
        <w:rPr>
          <w:rFonts w:ascii="Bookman Old Style" w:hAnsi="Bookman Old Style"/>
          <w:sz w:val="24"/>
          <w:szCs w:val="24"/>
        </w:rPr>
        <w:t xml:space="preserve"> </w:t>
      </w:r>
      <w:r w:rsidR="008E6D0D" w:rsidRPr="008E6D0D">
        <w:rPr>
          <w:rFonts w:ascii="Bookman Old Style" w:hAnsi="Bookman Old Style"/>
          <w:sz w:val="24"/>
          <w:szCs w:val="24"/>
        </w:rPr>
        <w:t>politica</w:t>
      </w:r>
      <w:r w:rsidR="008F3DE8">
        <w:rPr>
          <w:rFonts w:ascii="Bookman Old Style" w:hAnsi="Bookman Old Style"/>
          <w:sz w:val="24"/>
          <w:szCs w:val="24"/>
        </w:rPr>
        <w:t xml:space="preserve"> </w:t>
      </w:r>
      <w:r w:rsidR="008E6D0D" w:rsidRPr="008E6D0D">
        <w:rPr>
          <w:rFonts w:ascii="Bookman Old Style" w:hAnsi="Bookman Old Style"/>
          <w:sz w:val="24"/>
          <w:szCs w:val="24"/>
        </w:rPr>
        <w:t>economica</w:t>
      </w:r>
      <w:r w:rsidR="008F3DE8">
        <w:rPr>
          <w:rFonts w:ascii="Bookman Old Style" w:hAnsi="Bookman Old Style"/>
          <w:sz w:val="24"/>
          <w:szCs w:val="24"/>
        </w:rPr>
        <w:t xml:space="preserve"> </w:t>
      </w:r>
      <w:r w:rsidR="008E6D0D" w:rsidRPr="008E6D0D">
        <w:rPr>
          <w:rFonts w:ascii="Bookman Old Style" w:hAnsi="Bookman Old Style"/>
          <w:sz w:val="24"/>
          <w:szCs w:val="24"/>
        </w:rPr>
        <w:t>e</w:t>
      </w:r>
      <w:r w:rsidR="008F3DE8">
        <w:rPr>
          <w:rFonts w:ascii="Bookman Old Style" w:hAnsi="Bookman Old Style"/>
          <w:sz w:val="24"/>
          <w:szCs w:val="24"/>
        </w:rPr>
        <w:t xml:space="preserve"> </w:t>
      </w:r>
      <w:r w:rsidR="008E6D0D" w:rsidRPr="008E6D0D">
        <w:rPr>
          <w:rFonts w:ascii="Bookman Old Style" w:hAnsi="Bookman Old Style"/>
          <w:sz w:val="24"/>
          <w:szCs w:val="24"/>
        </w:rPr>
        <w:t>finanziaria</w:t>
      </w:r>
      <w:r w:rsidR="008F3DE8">
        <w:rPr>
          <w:rFonts w:ascii="Bookman Old Style" w:hAnsi="Bookman Old Style"/>
          <w:sz w:val="24"/>
          <w:szCs w:val="24"/>
        </w:rPr>
        <w:t xml:space="preserve"> </w:t>
      </w:r>
      <w:r w:rsidR="008E6D0D" w:rsidRPr="008E6D0D">
        <w:rPr>
          <w:rFonts w:ascii="Bookman Old Style" w:hAnsi="Bookman Old Style"/>
          <w:sz w:val="24"/>
          <w:szCs w:val="24"/>
        </w:rPr>
        <w:t>dello</w:t>
      </w:r>
      <w:r w:rsidR="008F3DE8">
        <w:rPr>
          <w:rFonts w:ascii="Bookman Old Style" w:hAnsi="Bookman Old Style"/>
          <w:sz w:val="24"/>
          <w:szCs w:val="24"/>
        </w:rPr>
        <w:t xml:space="preserve"> </w:t>
      </w:r>
      <w:r w:rsidR="008E6D0D" w:rsidRPr="008E6D0D">
        <w:rPr>
          <w:rFonts w:ascii="Bookman Old Style" w:hAnsi="Bookman Old Style"/>
          <w:sz w:val="24"/>
          <w:szCs w:val="24"/>
        </w:rPr>
        <w:t>Stato</w:t>
      </w:r>
      <w:r w:rsidR="008F3DE8">
        <w:rPr>
          <w:rFonts w:ascii="Bookman Old Style" w:hAnsi="Bookman Old Style"/>
          <w:sz w:val="24"/>
          <w:szCs w:val="24"/>
        </w:rPr>
        <w:t xml:space="preserve"> </w:t>
      </w:r>
      <w:r w:rsidR="008E6D0D" w:rsidRPr="008E6D0D">
        <w:rPr>
          <w:rFonts w:ascii="Bookman Old Style" w:hAnsi="Bookman Old Style"/>
          <w:sz w:val="24"/>
          <w:szCs w:val="24"/>
        </w:rPr>
        <w:t>e</w:t>
      </w:r>
      <w:r w:rsidR="008F3DE8">
        <w:rPr>
          <w:rFonts w:ascii="Bookman Old Style" w:hAnsi="Bookman Old Style"/>
          <w:sz w:val="24"/>
          <w:szCs w:val="24"/>
        </w:rPr>
        <w:t xml:space="preserve"> </w:t>
      </w:r>
      <w:r w:rsidR="008E6D0D" w:rsidRPr="008E6D0D">
        <w:rPr>
          <w:rFonts w:ascii="Bookman Old Style" w:hAnsi="Bookman Old Style"/>
          <w:sz w:val="24"/>
          <w:szCs w:val="24"/>
        </w:rPr>
        <w:t>delle</w:t>
      </w:r>
      <w:r w:rsidR="008F3DE8">
        <w:rPr>
          <w:rFonts w:ascii="Bookman Old Style" w:hAnsi="Bookman Old Style"/>
          <w:sz w:val="24"/>
          <w:szCs w:val="24"/>
        </w:rPr>
        <w:t xml:space="preserve"> </w:t>
      </w:r>
      <w:r w:rsidR="008E6D0D" w:rsidRPr="008E6D0D">
        <w:rPr>
          <w:rFonts w:ascii="Bookman Old Style" w:hAnsi="Bookman Old Style"/>
          <w:sz w:val="24"/>
          <w:szCs w:val="24"/>
        </w:rPr>
        <w:t>Regioni</w:t>
      </w:r>
      <w:r w:rsidR="008F3DE8">
        <w:rPr>
          <w:rFonts w:ascii="Bookman Old Style" w:hAnsi="Bookman Old Style"/>
          <w:sz w:val="24"/>
          <w:szCs w:val="24"/>
        </w:rPr>
        <w:t xml:space="preserve"> </w:t>
      </w:r>
      <w:r w:rsidR="008E6D0D" w:rsidRPr="008E6D0D">
        <w:rPr>
          <w:rFonts w:ascii="Bookman Old Style" w:hAnsi="Bookman Old Style"/>
          <w:sz w:val="24"/>
          <w:szCs w:val="24"/>
        </w:rPr>
        <w:t>dovrebbe</w:t>
      </w:r>
      <w:r w:rsidR="008F3DE8">
        <w:rPr>
          <w:rFonts w:ascii="Bookman Old Style" w:hAnsi="Bookman Old Style"/>
          <w:sz w:val="24"/>
          <w:szCs w:val="24"/>
        </w:rPr>
        <w:t xml:space="preserve"> </w:t>
      </w:r>
      <w:r w:rsidR="008E6D0D" w:rsidRPr="008E6D0D">
        <w:rPr>
          <w:rFonts w:ascii="Bookman Old Style" w:hAnsi="Bookman Old Style"/>
          <w:sz w:val="24"/>
          <w:szCs w:val="24"/>
        </w:rPr>
        <w:t>essere</w:t>
      </w:r>
      <w:r w:rsidR="008F3DE8">
        <w:rPr>
          <w:rFonts w:ascii="Bookman Old Style" w:hAnsi="Bookman Old Style"/>
          <w:sz w:val="24"/>
          <w:szCs w:val="24"/>
        </w:rPr>
        <w:t xml:space="preserve"> </w:t>
      </w:r>
      <w:r w:rsidR="008E6D0D" w:rsidRPr="008E6D0D">
        <w:rPr>
          <w:rFonts w:ascii="Bookman Old Style" w:hAnsi="Bookman Old Style"/>
          <w:sz w:val="24"/>
          <w:szCs w:val="24"/>
        </w:rPr>
        <w:t>impostata</w:t>
      </w:r>
      <w:r w:rsidR="008F3DE8">
        <w:rPr>
          <w:rFonts w:ascii="Bookman Old Style" w:hAnsi="Bookman Old Style"/>
          <w:sz w:val="24"/>
          <w:szCs w:val="24"/>
        </w:rPr>
        <w:t xml:space="preserve"> </w:t>
      </w:r>
      <w:r w:rsidR="008E6D0D" w:rsidRPr="008E6D0D">
        <w:rPr>
          <w:rFonts w:ascii="Bookman Old Style" w:hAnsi="Bookman Old Style"/>
          <w:sz w:val="24"/>
          <w:szCs w:val="24"/>
        </w:rPr>
        <w:t>alla</w:t>
      </w:r>
      <w:r w:rsidR="008F3DE8">
        <w:rPr>
          <w:rFonts w:ascii="Bookman Old Style" w:hAnsi="Bookman Old Style"/>
          <w:sz w:val="24"/>
          <w:szCs w:val="24"/>
        </w:rPr>
        <w:t xml:space="preserve"> </w:t>
      </w:r>
      <w:r w:rsidR="008E6D0D" w:rsidRPr="008E6D0D">
        <w:rPr>
          <w:rFonts w:ascii="Bookman Old Style" w:hAnsi="Bookman Old Style"/>
          <w:sz w:val="24"/>
          <w:szCs w:val="24"/>
        </w:rPr>
        <w:t>loro</w:t>
      </w:r>
      <w:r w:rsidR="008F3DE8">
        <w:rPr>
          <w:rFonts w:ascii="Bookman Old Style" w:hAnsi="Bookman Old Style"/>
          <w:sz w:val="24"/>
          <w:szCs w:val="24"/>
        </w:rPr>
        <w:t xml:space="preserve"> </w:t>
      </w:r>
      <w:r w:rsidR="008E6D0D" w:rsidRPr="008E6D0D">
        <w:rPr>
          <w:rFonts w:ascii="Bookman Old Style" w:hAnsi="Bookman Old Style"/>
          <w:sz w:val="24"/>
          <w:szCs w:val="24"/>
        </w:rPr>
        <w:t>concreta</w:t>
      </w:r>
      <w:r w:rsidR="008F3DE8">
        <w:rPr>
          <w:rFonts w:ascii="Bookman Old Style" w:hAnsi="Bookman Old Style"/>
          <w:sz w:val="24"/>
          <w:szCs w:val="24"/>
        </w:rPr>
        <w:t xml:space="preserve"> </w:t>
      </w:r>
      <w:r w:rsidR="008E6D0D" w:rsidRPr="008E6D0D">
        <w:rPr>
          <w:rFonts w:ascii="Bookman Old Style" w:hAnsi="Bookman Old Style"/>
          <w:sz w:val="24"/>
          <w:szCs w:val="24"/>
        </w:rPr>
        <w:t>erogazione,</w:t>
      </w:r>
      <w:r w:rsidR="008F3DE8">
        <w:rPr>
          <w:rFonts w:ascii="Bookman Old Style" w:hAnsi="Bookman Old Style"/>
          <w:sz w:val="24"/>
          <w:szCs w:val="24"/>
        </w:rPr>
        <w:t xml:space="preserve"> </w:t>
      </w:r>
      <w:r w:rsidR="008E6D0D" w:rsidRPr="008E6D0D">
        <w:rPr>
          <w:rFonts w:ascii="Bookman Old Style" w:hAnsi="Bookman Old Style"/>
          <w:sz w:val="24"/>
          <w:szCs w:val="24"/>
        </w:rPr>
        <w:t>senza</w:t>
      </w:r>
      <w:r w:rsidR="008F3DE8">
        <w:rPr>
          <w:rFonts w:ascii="Bookman Old Style" w:hAnsi="Bookman Old Style"/>
          <w:sz w:val="24"/>
          <w:szCs w:val="24"/>
        </w:rPr>
        <w:t xml:space="preserve"> </w:t>
      </w:r>
      <w:r w:rsidR="008E6D0D" w:rsidRPr="008E6D0D">
        <w:rPr>
          <w:rFonts w:ascii="Bookman Old Style" w:hAnsi="Bookman Old Style"/>
          <w:sz w:val="24"/>
          <w:szCs w:val="24"/>
        </w:rPr>
        <w:t>mai</w:t>
      </w:r>
      <w:r w:rsidR="008F3DE8">
        <w:rPr>
          <w:rFonts w:ascii="Bookman Old Style" w:hAnsi="Bookman Old Style"/>
          <w:sz w:val="24"/>
          <w:szCs w:val="24"/>
        </w:rPr>
        <w:t xml:space="preserve"> </w:t>
      </w:r>
      <w:r w:rsidR="008E6D0D" w:rsidRPr="008E6D0D">
        <w:rPr>
          <w:rFonts w:ascii="Bookman Old Style" w:hAnsi="Bookman Old Style"/>
          <w:sz w:val="24"/>
          <w:szCs w:val="24"/>
        </w:rPr>
        <w:t>modellare</w:t>
      </w:r>
      <w:r w:rsidR="008F3DE8">
        <w:rPr>
          <w:rFonts w:ascii="Bookman Old Style" w:hAnsi="Bookman Old Style"/>
          <w:sz w:val="24"/>
          <w:szCs w:val="24"/>
        </w:rPr>
        <w:t xml:space="preserve"> </w:t>
      </w:r>
      <w:r w:rsidR="008E6D0D" w:rsidRPr="008E6D0D">
        <w:rPr>
          <w:rFonts w:ascii="Bookman Old Style" w:hAnsi="Bookman Old Style"/>
          <w:sz w:val="24"/>
          <w:szCs w:val="24"/>
        </w:rPr>
        <w:t>le</w:t>
      </w:r>
      <w:r w:rsidR="008F3DE8">
        <w:rPr>
          <w:rFonts w:ascii="Bookman Old Style" w:hAnsi="Bookman Old Style"/>
          <w:sz w:val="24"/>
          <w:szCs w:val="24"/>
        </w:rPr>
        <w:t xml:space="preserve"> </w:t>
      </w:r>
      <w:r w:rsidR="008E6D0D" w:rsidRPr="008E6D0D">
        <w:rPr>
          <w:rFonts w:ascii="Bookman Old Style" w:hAnsi="Bookman Old Style"/>
          <w:sz w:val="24"/>
          <w:szCs w:val="24"/>
        </w:rPr>
        <w:t>prestazioni</w:t>
      </w:r>
      <w:r w:rsidR="008F3DE8">
        <w:rPr>
          <w:rFonts w:ascii="Bookman Old Style" w:hAnsi="Bookman Old Style"/>
          <w:sz w:val="24"/>
          <w:szCs w:val="24"/>
        </w:rPr>
        <w:t xml:space="preserve"> </w:t>
      </w:r>
      <w:r w:rsidR="008E6D0D" w:rsidRPr="008E6D0D">
        <w:rPr>
          <w:rFonts w:ascii="Bookman Old Style" w:hAnsi="Bookman Old Style"/>
          <w:sz w:val="24"/>
          <w:szCs w:val="24"/>
        </w:rPr>
        <w:t>erogabili</w:t>
      </w:r>
      <w:r w:rsidR="008F3DE8">
        <w:rPr>
          <w:rFonts w:ascii="Bookman Old Style" w:hAnsi="Bookman Old Style"/>
          <w:sz w:val="24"/>
          <w:szCs w:val="24"/>
        </w:rPr>
        <w:t xml:space="preserve"> </w:t>
      </w:r>
      <w:r w:rsidR="008E6D0D" w:rsidRPr="008E6D0D">
        <w:rPr>
          <w:rFonts w:ascii="Bookman Old Style" w:hAnsi="Bookman Old Style"/>
          <w:sz w:val="24"/>
          <w:szCs w:val="24"/>
        </w:rPr>
        <w:t>in</w:t>
      </w:r>
      <w:r w:rsidR="008F3DE8">
        <w:rPr>
          <w:rFonts w:ascii="Bookman Old Style" w:hAnsi="Bookman Old Style"/>
          <w:sz w:val="24"/>
          <w:szCs w:val="24"/>
        </w:rPr>
        <w:t xml:space="preserve"> </w:t>
      </w:r>
      <w:r w:rsidR="008E6D0D" w:rsidRPr="008E6D0D">
        <w:rPr>
          <w:rFonts w:ascii="Bookman Old Style" w:hAnsi="Bookman Old Style"/>
          <w:sz w:val="24"/>
          <w:szCs w:val="24"/>
        </w:rPr>
        <w:t>relazione</w:t>
      </w:r>
      <w:r w:rsidR="008F3DE8">
        <w:rPr>
          <w:rFonts w:ascii="Bookman Old Style" w:hAnsi="Bookman Old Style"/>
          <w:sz w:val="24"/>
          <w:szCs w:val="24"/>
        </w:rPr>
        <w:t xml:space="preserve"> </w:t>
      </w:r>
      <w:r w:rsidR="008E6D0D" w:rsidRPr="008E6D0D">
        <w:rPr>
          <w:rFonts w:ascii="Bookman Old Style" w:hAnsi="Bookman Old Style"/>
          <w:sz w:val="24"/>
          <w:szCs w:val="24"/>
        </w:rPr>
        <w:t>alle</w:t>
      </w:r>
      <w:r w:rsidR="008F3DE8">
        <w:rPr>
          <w:rFonts w:ascii="Bookman Old Style" w:hAnsi="Bookman Old Style"/>
          <w:sz w:val="24"/>
          <w:szCs w:val="24"/>
        </w:rPr>
        <w:t xml:space="preserve"> </w:t>
      </w:r>
      <w:r w:rsidR="008E6D0D" w:rsidRPr="008E6D0D">
        <w:rPr>
          <w:rFonts w:ascii="Bookman Old Style" w:hAnsi="Bookman Old Style"/>
          <w:sz w:val="24"/>
          <w:szCs w:val="24"/>
        </w:rPr>
        <w:t>risorse</w:t>
      </w:r>
      <w:r w:rsidR="008F3DE8">
        <w:rPr>
          <w:rFonts w:ascii="Bookman Old Style" w:hAnsi="Bookman Old Style"/>
          <w:sz w:val="24"/>
          <w:szCs w:val="24"/>
        </w:rPr>
        <w:t xml:space="preserve"> </w:t>
      </w:r>
      <w:r w:rsidR="008E6D0D" w:rsidRPr="008E6D0D">
        <w:rPr>
          <w:rFonts w:ascii="Bookman Old Style" w:hAnsi="Bookman Old Style"/>
          <w:sz w:val="24"/>
          <w:szCs w:val="24"/>
        </w:rPr>
        <w:t>disponibili,</w:t>
      </w:r>
      <w:r w:rsidR="008F3DE8">
        <w:rPr>
          <w:rFonts w:ascii="Bookman Old Style" w:hAnsi="Bookman Old Style"/>
          <w:sz w:val="24"/>
          <w:szCs w:val="24"/>
        </w:rPr>
        <w:t xml:space="preserve"> </w:t>
      </w:r>
      <w:r w:rsidR="008E6D0D">
        <w:rPr>
          <w:rFonts w:ascii="Bookman Old Style" w:hAnsi="Bookman Old Style"/>
          <w:sz w:val="24"/>
          <w:szCs w:val="24"/>
        </w:rPr>
        <w:t>così</w:t>
      </w:r>
      <w:r w:rsidR="008F3DE8">
        <w:rPr>
          <w:rFonts w:ascii="Bookman Old Style" w:hAnsi="Bookman Old Style"/>
          <w:sz w:val="24"/>
          <w:szCs w:val="24"/>
        </w:rPr>
        <w:t xml:space="preserve"> </w:t>
      </w:r>
      <w:r w:rsidR="008E6D0D">
        <w:rPr>
          <w:rFonts w:ascii="Bookman Old Style" w:hAnsi="Bookman Old Style"/>
          <w:sz w:val="24"/>
          <w:szCs w:val="24"/>
        </w:rPr>
        <w:t>da</w:t>
      </w:r>
      <w:r w:rsidR="008F3DE8">
        <w:rPr>
          <w:rFonts w:ascii="Bookman Old Style" w:hAnsi="Bookman Old Style"/>
          <w:sz w:val="24"/>
          <w:szCs w:val="24"/>
        </w:rPr>
        <w:t xml:space="preserve"> </w:t>
      </w:r>
      <w:r w:rsidR="008E6D0D">
        <w:rPr>
          <w:rFonts w:ascii="Bookman Old Style" w:hAnsi="Bookman Old Style"/>
          <w:sz w:val="24"/>
          <w:szCs w:val="24"/>
        </w:rPr>
        <w:t>non</w:t>
      </w:r>
      <w:r w:rsidR="008F3DE8">
        <w:rPr>
          <w:rFonts w:ascii="Bookman Old Style" w:hAnsi="Bookman Old Style"/>
          <w:sz w:val="24"/>
          <w:szCs w:val="24"/>
        </w:rPr>
        <w:t xml:space="preserve"> </w:t>
      </w:r>
      <w:r w:rsidR="008E6D0D">
        <w:rPr>
          <w:rFonts w:ascii="Bookman Old Style" w:hAnsi="Bookman Old Style"/>
          <w:sz w:val="24"/>
          <w:szCs w:val="24"/>
        </w:rPr>
        <w:t>diminuire</w:t>
      </w:r>
      <w:r w:rsidR="008F3DE8">
        <w:rPr>
          <w:rFonts w:ascii="Bookman Old Style" w:hAnsi="Bookman Old Style"/>
          <w:sz w:val="24"/>
          <w:szCs w:val="24"/>
        </w:rPr>
        <w:t xml:space="preserve"> </w:t>
      </w:r>
      <w:r w:rsidR="008E6D0D">
        <w:rPr>
          <w:rFonts w:ascii="Bookman Old Style" w:hAnsi="Bookman Old Style"/>
          <w:sz w:val="24"/>
          <w:szCs w:val="24"/>
        </w:rPr>
        <w:t>in</w:t>
      </w:r>
      <w:r w:rsidR="008F3DE8">
        <w:rPr>
          <w:rFonts w:ascii="Bookman Old Style" w:hAnsi="Bookman Old Style"/>
          <w:sz w:val="24"/>
          <w:szCs w:val="24"/>
        </w:rPr>
        <w:t xml:space="preserve"> </w:t>
      </w:r>
      <w:r w:rsidR="008E6D0D">
        <w:rPr>
          <w:rFonts w:ascii="Bookman Old Style" w:hAnsi="Bookman Old Style"/>
          <w:sz w:val="24"/>
          <w:szCs w:val="24"/>
        </w:rPr>
        <w:t>alcun</w:t>
      </w:r>
      <w:r w:rsidR="008F3DE8">
        <w:rPr>
          <w:rFonts w:ascii="Bookman Old Style" w:hAnsi="Bookman Old Style"/>
          <w:sz w:val="24"/>
          <w:szCs w:val="24"/>
        </w:rPr>
        <w:t xml:space="preserve"> </w:t>
      </w:r>
      <w:r w:rsidR="008E6D0D">
        <w:rPr>
          <w:rFonts w:ascii="Bookman Old Style" w:hAnsi="Bookman Old Style"/>
          <w:sz w:val="24"/>
          <w:szCs w:val="24"/>
        </w:rPr>
        <w:t>modo</w:t>
      </w:r>
      <w:r w:rsidR="008F3DE8">
        <w:rPr>
          <w:rFonts w:ascii="Bookman Old Style" w:hAnsi="Bookman Old Style"/>
          <w:sz w:val="24"/>
          <w:szCs w:val="24"/>
        </w:rPr>
        <w:t xml:space="preserve"> </w:t>
      </w:r>
      <w:r w:rsidR="008E6D0D">
        <w:rPr>
          <w:rFonts w:ascii="Bookman Old Style" w:hAnsi="Bookman Old Style"/>
          <w:sz w:val="24"/>
          <w:szCs w:val="24"/>
        </w:rPr>
        <w:t>la</w:t>
      </w:r>
      <w:r w:rsidR="008F3DE8">
        <w:rPr>
          <w:rFonts w:ascii="Bookman Old Style" w:hAnsi="Bookman Old Style"/>
          <w:sz w:val="24"/>
          <w:szCs w:val="24"/>
        </w:rPr>
        <w:t xml:space="preserve"> </w:t>
      </w:r>
      <w:r w:rsidR="008E6D0D" w:rsidRPr="008E6D0D">
        <w:rPr>
          <w:rFonts w:ascii="Bookman Old Style" w:hAnsi="Bookman Old Style"/>
          <w:sz w:val="24"/>
          <w:szCs w:val="24"/>
        </w:rPr>
        <w:t>garanzia</w:t>
      </w:r>
      <w:r w:rsidR="008F3DE8">
        <w:rPr>
          <w:rFonts w:ascii="Bookman Old Style" w:hAnsi="Bookman Old Style"/>
          <w:sz w:val="24"/>
          <w:szCs w:val="24"/>
        </w:rPr>
        <w:t xml:space="preserve"> </w:t>
      </w:r>
      <w:r w:rsidR="008E6D0D" w:rsidRPr="008E6D0D">
        <w:rPr>
          <w:rFonts w:ascii="Bookman Old Style" w:hAnsi="Bookman Old Style"/>
          <w:sz w:val="24"/>
          <w:szCs w:val="24"/>
        </w:rPr>
        <w:t>della</w:t>
      </w:r>
      <w:r w:rsidR="008F3DE8">
        <w:rPr>
          <w:rFonts w:ascii="Bookman Old Style" w:hAnsi="Bookman Old Style"/>
          <w:sz w:val="24"/>
          <w:szCs w:val="24"/>
        </w:rPr>
        <w:t xml:space="preserve"> </w:t>
      </w:r>
      <w:r w:rsidR="008E6D0D" w:rsidRPr="008E6D0D">
        <w:rPr>
          <w:rFonts w:ascii="Bookman Old Style" w:hAnsi="Bookman Old Style"/>
          <w:sz w:val="24"/>
          <w:szCs w:val="24"/>
        </w:rPr>
        <w:t>tutela</w:t>
      </w:r>
      <w:r w:rsidR="008F3DE8">
        <w:rPr>
          <w:rFonts w:ascii="Bookman Old Style" w:hAnsi="Bookman Old Style"/>
          <w:sz w:val="24"/>
          <w:szCs w:val="24"/>
        </w:rPr>
        <w:t xml:space="preserve"> </w:t>
      </w:r>
      <w:r w:rsidR="008E6D0D" w:rsidRPr="008E6D0D">
        <w:rPr>
          <w:rFonts w:ascii="Bookman Old Style" w:hAnsi="Bookman Old Style"/>
          <w:sz w:val="24"/>
          <w:szCs w:val="24"/>
        </w:rPr>
        <w:t>dei</w:t>
      </w:r>
      <w:r w:rsidR="008F3DE8">
        <w:rPr>
          <w:rFonts w:ascii="Bookman Old Style" w:hAnsi="Bookman Old Style"/>
          <w:sz w:val="24"/>
          <w:szCs w:val="24"/>
        </w:rPr>
        <w:t xml:space="preserve"> </w:t>
      </w:r>
      <w:r w:rsidR="008E6D0D" w:rsidRPr="008E6D0D">
        <w:rPr>
          <w:rFonts w:ascii="Bookman Old Style" w:hAnsi="Bookman Old Style"/>
          <w:sz w:val="24"/>
          <w:szCs w:val="24"/>
        </w:rPr>
        <w:t>diritti</w:t>
      </w:r>
      <w:r w:rsidR="008F3DE8">
        <w:rPr>
          <w:rFonts w:ascii="Bookman Old Style" w:hAnsi="Bookman Old Style"/>
          <w:sz w:val="24"/>
          <w:szCs w:val="24"/>
        </w:rPr>
        <w:t xml:space="preserve"> </w:t>
      </w:r>
      <w:r w:rsidR="008E6D0D" w:rsidRPr="008E6D0D">
        <w:rPr>
          <w:rFonts w:ascii="Bookman Old Style" w:hAnsi="Bookman Old Style"/>
          <w:sz w:val="24"/>
          <w:szCs w:val="24"/>
        </w:rPr>
        <w:t>civili</w:t>
      </w:r>
      <w:r w:rsidR="008F3DE8">
        <w:rPr>
          <w:rFonts w:ascii="Bookman Old Style" w:hAnsi="Bookman Old Style"/>
          <w:sz w:val="24"/>
          <w:szCs w:val="24"/>
        </w:rPr>
        <w:t xml:space="preserve"> </w:t>
      </w:r>
      <w:r w:rsidR="008E6D0D" w:rsidRPr="008E6D0D">
        <w:rPr>
          <w:rFonts w:ascii="Bookman Old Style" w:hAnsi="Bookman Old Style"/>
          <w:sz w:val="24"/>
          <w:szCs w:val="24"/>
        </w:rPr>
        <w:t>e</w:t>
      </w:r>
      <w:r w:rsidR="008F3DE8">
        <w:rPr>
          <w:rFonts w:ascii="Bookman Old Style" w:hAnsi="Bookman Old Style"/>
          <w:sz w:val="24"/>
          <w:szCs w:val="24"/>
        </w:rPr>
        <w:t xml:space="preserve"> </w:t>
      </w:r>
      <w:r w:rsidR="008E6D0D" w:rsidRPr="008E6D0D">
        <w:rPr>
          <w:rFonts w:ascii="Bookman Old Style" w:hAnsi="Bookman Old Style"/>
          <w:sz w:val="24"/>
          <w:szCs w:val="24"/>
        </w:rPr>
        <w:t>sociali</w:t>
      </w:r>
      <w:r w:rsidR="008F3DE8">
        <w:rPr>
          <w:rFonts w:ascii="Bookman Old Style" w:hAnsi="Bookman Old Style"/>
          <w:sz w:val="24"/>
          <w:szCs w:val="24"/>
        </w:rPr>
        <w:t xml:space="preserve"> </w:t>
      </w:r>
      <w:r w:rsidR="008E6D0D" w:rsidRPr="008E6D0D">
        <w:rPr>
          <w:rFonts w:ascii="Bookman Old Style" w:hAnsi="Bookman Old Style"/>
          <w:sz w:val="24"/>
          <w:szCs w:val="24"/>
        </w:rPr>
        <w:t>delle</w:t>
      </w:r>
      <w:r w:rsidR="008F3DE8">
        <w:rPr>
          <w:rFonts w:ascii="Bookman Old Style" w:hAnsi="Bookman Old Style"/>
          <w:sz w:val="24"/>
          <w:szCs w:val="24"/>
        </w:rPr>
        <w:t xml:space="preserve"> </w:t>
      </w:r>
      <w:r w:rsidR="008E6D0D" w:rsidRPr="008E6D0D">
        <w:rPr>
          <w:rFonts w:ascii="Bookman Old Style" w:hAnsi="Bookman Old Style"/>
          <w:sz w:val="24"/>
          <w:szCs w:val="24"/>
        </w:rPr>
        <w:t>persone</w:t>
      </w:r>
      <w:r w:rsidR="00A550FE">
        <w:rPr>
          <w:rFonts w:ascii="Bookman Old Style" w:hAnsi="Bookman Old Style"/>
          <w:sz w:val="24"/>
          <w:szCs w:val="24"/>
        </w:rPr>
        <w:t>.</w:t>
      </w:r>
    </w:p>
    <w:p w:rsidR="00A550FE" w:rsidRPr="00A550FE" w:rsidRDefault="00A550FE" w:rsidP="00A550FE">
      <w:pPr>
        <w:ind w:firstLine="709"/>
        <w:jc w:val="both"/>
        <w:rPr>
          <w:rFonts w:ascii="Bookman Old Style" w:hAnsi="Bookman Old Style"/>
          <w:sz w:val="24"/>
          <w:szCs w:val="24"/>
        </w:rPr>
      </w:pPr>
      <w:r w:rsidRPr="00A550FE">
        <w:rPr>
          <w:rFonts w:ascii="Bookman Old Style" w:hAnsi="Bookman Old Style"/>
          <w:sz w:val="24"/>
          <w:szCs w:val="24"/>
        </w:rPr>
        <w:t>Una</w:t>
      </w:r>
      <w:r w:rsidR="008F3DE8">
        <w:rPr>
          <w:rFonts w:ascii="Bookman Old Style" w:hAnsi="Bookman Old Style"/>
          <w:sz w:val="24"/>
          <w:szCs w:val="24"/>
        </w:rPr>
        <w:t xml:space="preserve"> </w:t>
      </w:r>
      <w:r w:rsidRPr="00A550FE">
        <w:rPr>
          <w:rFonts w:ascii="Bookman Old Style" w:hAnsi="Bookman Old Style"/>
          <w:sz w:val="24"/>
          <w:szCs w:val="24"/>
        </w:rPr>
        <w:t>lettura</w:t>
      </w:r>
      <w:r w:rsidR="008F3DE8">
        <w:rPr>
          <w:rFonts w:ascii="Bookman Old Style" w:hAnsi="Bookman Old Style"/>
          <w:sz w:val="24"/>
          <w:szCs w:val="24"/>
        </w:rPr>
        <w:t xml:space="preserve"> </w:t>
      </w:r>
      <w:r w:rsidRPr="00A550FE">
        <w:rPr>
          <w:rFonts w:ascii="Bookman Old Style" w:hAnsi="Bookman Old Style"/>
          <w:sz w:val="24"/>
          <w:szCs w:val="24"/>
        </w:rPr>
        <w:t>sistematica</w:t>
      </w:r>
      <w:r w:rsidR="008F3DE8">
        <w:rPr>
          <w:rFonts w:ascii="Bookman Old Style" w:hAnsi="Bookman Old Style"/>
          <w:sz w:val="24"/>
          <w:szCs w:val="24"/>
        </w:rPr>
        <w:t xml:space="preserve"> </w:t>
      </w:r>
      <w:r w:rsidRPr="00A550FE">
        <w:rPr>
          <w:rFonts w:ascii="Bookman Old Style" w:hAnsi="Bookman Old Style"/>
          <w:sz w:val="24"/>
          <w:szCs w:val="24"/>
        </w:rPr>
        <w:t>dell’ordinamento,</w:t>
      </w:r>
      <w:r w:rsidR="008F3DE8">
        <w:rPr>
          <w:rFonts w:ascii="Bookman Old Style" w:hAnsi="Bookman Old Style"/>
          <w:sz w:val="24"/>
          <w:szCs w:val="24"/>
        </w:rPr>
        <w:t xml:space="preserve"> </w:t>
      </w:r>
      <w:r w:rsidRPr="00A550FE">
        <w:rPr>
          <w:rFonts w:ascii="Bookman Old Style" w:hAnsi="Bookman Old Style"/>
          <w:sz w:val="24"/>
          <w:szCs w:val="24"/>
        </w:rPr>
        <w:t>che</w:t>
      </w:r>
      <w:r w:rsidR="008F3DE8">
        <w:rPr>
          <w:rFonts w:ascii="Bookman Old Style" w:hAnsi="Bookman Old Style"/>
          <w:sz w:val="24"/>
          <w:szCs w:val="24"/>
        </w:rPr>
        <w:t xml:space="preserve"> </w:t>
      </w:r>
      <w:r w:rsidRPr="00A550FE">
        <w:rPr>
          <w:rFonts w:ascii="Bookman Old Style" w:hAnsi="Bookman Old Style"/>
          <w:sz w:val="24"/>
          <w:szCs w:val="24"/>
        </w:rPr>
        <w:t>tenga</w:t>
      </w:r>
      <w:r w:rsidR="008F3DE8">
        <w:rPr>
          <w:rFonts w:ascii="Bookman Old Style" w:hAnsi="Bookman Old Style"/>
          <w:sz w:val="24"/>
          <w:szCs w:val="24"/>
        </w:rPr>
        <w:t xml:space="preserve"> </w:t>
      </w:r>
      <w:r w:rsidRPr="00A550FE">
        <w:rPr>
          <w:rFonts w:ascii="Bookman Old Style" w:hAnsi="Bookman Old Style"/>
          <w:sz w:val="24"/>
          <w:szCs w:val="24"/>
        </w:rPr>
        <w:t>conto</w:t>
      </w:r>
      <w:r w:rsidR="008F3DE8">
        <w:rPr>
          <w:rFonts w:ascii="Bookman Old Style" w:hAnsi="Bookman Old Style"/>
          <w:sz w:val="24"/>
          <w:szCs w:val="24"/>
        </w:rPr>
        <w:t xml:space="preserve"> </w:t>
      </w:r>
      <w:r w:rsidRPr="00A550FE">
        <w:rPr>
          <w:rFonts w:ascii="Bookman Old Style" w:hAnsi="Bookman Old Style"/>
          <w:sz w:val="24"/>
          <w:szCs w:val="24"/>
        </w:rPr>
        <w:t>anche</w:t>
      </w:r>
      <w:r w:rsidR="008F3DE8">
        <w:rPr>
          <w:rFonts w:ascii="Bookman Old Style" w:hAnsi="Bookman Old Style"/>
          <w:sz w:val="24"/>
          <w:szCs w:val="24"/>
        </w:rPr>
        <w:t xml:space="preserve"> </w:t>
      </w:r>
      <w:r w:rsidRPr="00A550FE">
        <w:rPr>
          <w:rFonts w:ascii="Bookman Old Style" w:hAnsi="Bookman Old Style"/>
          <w:sz w:val="24"/>
          <w:szCs w:val="24"/>
        </w:rPr>
        <w:t>delle</w:t>
      </w:r>
      <w:r w:rsidR="008F3DE8">
        <w:rPr>
          <w:rFonts w:ascii="Bookman Old Style" w:hAnsi="Bookman Old Style"/>
          <w:sz w:val="24"/>
          <w:szCs w:val="24"/>
        </w:rPr>
        <w:t xml:space="preserve"> </w:t>
      </w:r>
      <w:r w:rsidRPr="00A550FE">
        <w:rPr>
          <w:rFonts w:ascii="Bookman Old Style" w:hAnsi="Bookman Old Style"/>
          <w:sz w:val="24"/>
          <w:szCs w:val="24"/>
        </w:rPr>
        <w:t>sopravvenute</w:t>
      </w:r>
      <w:r w:rsidR="008F3DE8">
        <w:rPr>
          <w:rFonts w:ascii="Bookman Old Style" w:hAnsi="Bookman Old Style"/>
          <w:sz w:val="24"/>
          <w:szCs w:val="24"/>
        </w:rPr>
        <w:t xml:space="preserve"> </w:t>
      </w:r>
      <w:r w:rsidRPr="00A550FE">
        <w:rPr>
          <w:rFonts w:ascii="Bookman Old Style" w:hAnsi="Bookman Old Style"/>
          <w:sz w:val="24"/>
          <w:szCs w:val="24"/>
        </w:rPr>
        <w:t>modifiche</w:t>
      </w:r>
      <w:r w:rsidR="008F3DE8">
        <w:rPr>
          <w:rFonts w:ascii="Bookman Old Style" w:hAnsi="Bookman Old Style"/>
          <w:sz w:val="24"/>
          <w:szCs w:val="24"/>
        </w:rPr>
        <w:t xml:space="preserve"> </w:t>
      </w:r>
      <w:r w:rsidRPr="00A550FE">
        <w:rPr>
          <w:rFonts w:ascii="Bookman Old Style" w:hAnsi="Bookman Old Style"/>
          <w:sz w:val="24"/>
          <w:szCs w:val="24"/>
        </w:rPr>
        <w:t>all’art.</w:t>
      </w:r>
      <w:r w:rsidR="008F3DE8">
        <w:rPr>
          <w:rFonts w:ascii="Bookman Old Style" w:hAnsi="Bookman Old Style"/>
          <w:sz w:val="24"/>
          <w:szCs w:val="24"/>
        </w:rPr>
        <w:t xml:space="preserve"> </w:t>
      </w:r>
      <w:r w:rsidRPr="00A550FE">
        <w:rPr>
          <w:rFonts w:ascii="Bookman Old Style" w:hAnsi="Bookman Old Style"/>
          <w:sz w:val="24"/>
          <w:szCs w:val="24"/>
        </w:rPr>
        <w:t>81</w:t>
      </w:r>
      <w:r w:rsidR="008F3DE8">
        <w:rPr>
          <w:rFonts w:ascii="Bookman Old Style" w:hAnsi="Bookman Old Style"/>
          <w:sz w:val="24"/>
          <w:szCs w:val="24"/>
        </w:rPr>
        <w:t xml:space="preserve"> </w:t>
      </w:r>
      <w:r w:rsidRPr="00A550FE">
        <w:rPr>
          <w:rFonts w:ascii="Bookman Old Style" w:hAnsi="Bookman Old Style"/>
          <w:sz w:val="24"/>
          <w:szCs w:val="24"/>
        </w:rPr>
        <w:t>Cost.,</w:t>
      </w:r>
      <w:r w:rsidR="008F3DE8">
        <w:rPr>
          <w:rFonts w:ascii="Bookman Old Style" w:hAnsi="Bookman Old Style"/>
          <w:sz w:val="24"/>
          <w:szCs w:val="24"/>
        </w:rPr>
        <w:t xml:space="preserve"> </w:t>
      </w:r>
      <w:r w:rsidRPr="00A550FE">
        <w:rPr>
          <w:rFonts w:ascii="Bookman Old Style" w:hAnsi="Bookman Old Style"/>
          <w:sz w:val="24"/>
          <w:szCs w:val="24"/>
        </w:rPr>
        <w:t>porta</w:t>
      </w:r>
      <w:r w:rsidR="008F3DE8">
        <w:rPr>
          <w:rFonts w:ascii="Bookman Old Style" w:hAnsi="Bookman Old Style"/>
          <w:sz w:val="24"/>
          <w:szCs w:val="24"/>
        </w:rPr>
        <w:t xml:space="preserve"> </w:t>
      </w:r>
      <w:r w:rsidRPr="00A550FE">
        <w:rPr>
          <w:rFonts w:ascii="Bookman Old Style" w:hAnsi="Bookman Old Style"/>
          <w:sz w:val="24"/>
          <w:szCs w:val="24"/>
        </w:rPr>
        <w:t>a</w:t>
      </w:r>
      <w:r w:rsidR="008F3DE8">
        <w:rPr>
          <w:rFonts w:ascii="Bookman Old Style" w:hAnsi="Bookman Old Style"/>
          <w:sz w:val="24"/>
          <w:szCs w:val="24"/>
        </w:rPr>
        <w:t xml:space="preserve"> </w:t>
      </w:r>
      <w:r w:rsidRPr="00A550FE">
        <w:rPr>
          <w:rFonts w:ascii="Bookman Old Style" w:hAnsi="Bookman Old Style"/>
          <w:sz w:val="24"/>
          <w:szCs w:val="24"/>
        </w:rPr>
        <w:t>mitigare</w:t>
      </w:r>
      <w:r w:rsidR="008F3DE8">
        <w:rPr>
          <w:rFonts w:ascii="Bookman Old Style" w:hAnsi="Bookman Old Style"/>
          <w:sz w:val="24"/>
          <w:szCs w:val="24"/>
        </w:rPr>
        <w:t xml:space="preserve"> </w:t>
      </w:r>
      <w:r w:rsidRPr="00A550FE">
        <w:rPr>
          <w:rFonts w:ascii="Bookman Old Style" w:hAnsi="Bookman Old Style"/>
          <w:sz w:val="24"/>
          <w:szCs w:val="24"/>
        </w:rPr>
        <w:t>l’assolutezza</w:t>
      </w:r>
      <w:r w:rsidR="008F3DE8">
        <w:rPr>
          <w:rFonts w:ascii="Bookman Old Style" w:hAnsi="Bookman Old Style"/>
          <w:sz w:val="24"/>
          <w:szCs w:val="24"/>
        </w:rPr>
        <w:t xml:space="preserve"> </w:t>
      </w:r>
      <w:r w:rsidRPr="00A550FE">
        <w:rPr>
          <w:rFonts w:ascii="Bookman Old Style" w:hAnsi="Bookman Old Style"/>
          <w:sz w:val="24"/>
          <w:szCs w:val="24"/>
        </w:rPr>
        <w:t>di</w:t>
      </w:r>
      <w:r w:rsidR="008F3DE8">
        <w:rPr>
          <w:rFonts w:ascii="Bookman Old Style" w:hAnsi="Bookman Old Style"/>
          <w:sz w:val="24"/>
          <w:szCs w:val="24"/>
        </w:rPr>
        <w:t xml:space="preserve"> </w:t>
      </w:r>
      <w:r w:rsidRPr="00A550FE">
        <w:rPr>
          <w:rFonts w:ascii="Bookman Old Style" w:hAnsi="Bookman Old Style"/>
          <w:sz w:val="24"/>
          <w:szCs w:val="24"/>
        </w:rPr>
        <w:t>questa</w:t>
      </w:r>
      <w:r w:rsidR="008F3DE8">
        <w:rPr>
          <w:rFonts w:ascii="Bookman Old Style" w:hAnsi="Bookman Old Style"/>
          <w:sz w:val="24"/>
          <w:szCs w:val="24"/>
        </w:rPr>
        <w:t xml:space="preserve"> </w:t>
      </w:r>
      <w:r w:rsidRPr="00A550FE">
        <w:rPr>
          <w:rFonts w:ascii="Bookman Old Style" w:hAnsi="Bookman Old Style"/>
          <w:sz w:val="24"/>
          <w:szCs w:val="24"/>
        </w:rPr>
        <w:t>affermazione.</w:t>
      </w:r>
      <w:r w:rsidR="000042E4">
        <w:rPr>
          <w:rFonts w:ascii="Bookman Old Style" w:hAnsi="Bookman Old Style"/>
          <w:sz w:val="24"/>
          <w:szCs w:val="24"/>
        </w:rPr>
        <w:t xml:space="preserve"> Alla luce d</w:t>
      </w:r>
      <w:r w:rsidR="00541EF8">
        <w:rPr>
          <w:rFonts w:ascii="Bookman Old Style" w:hAnsi="Bookman Old Style"/>
          <w:sz w:val="24"/>
          <w:szCs w:val="24"/>
        </w:rPr>
        <w:t>ell’attuale formulazione del citato articolo</w:t>
      </w:r>
      <w:r w:rsidR="000042E4">
        <w:rPr>
          <w:rFonts w:ascii="Bookman Old Style" w:hAnsi="Bookman Old Style"/>
          <w:sz w:val="24"/>
          <w:szCs w:val="24"/>
        </w:rPr>
        <w:t xml:space="preserve">, secondo parte dei commentatori, </w:t>
      </w:r>
      <w:r w:rsidRPr="00A550FE">
        <w:rPr>
          <w:rFonts w:ascii="Bookman Old Style" w:hAnsi="Bookman Old Style"/>
          <w:sz w:val="24"/>
          <w:szCs w:val="24"/>
        </w:rPr>
        <w:t>il</w:t>
      </w:r>
      <w:r w:rsidR="008F3DE8">
        <w:rPr>
          <w:rFonts w:ascii="Bookman Old Style" w:hAnsi="Bookman Old Style"/>
          <w:sz w:val="24"/>
          <w:szCs w:val="24"/>
        </w:rPr>
        <w:t xml:space="preserve"> </w:t>
      </w:r>
      <w:r w:rsidRPr="00A550FE">
        <w:rPr>
          <w:rFonts w:ascii="Bookman Old Style" w:hAnsi="Bookman Old Style"/>
          <w:sz w:val="24"/>
          <w:szCs w:val="24"/>
        </w:rPr>
        <w:t>parametro</w:t>
      </w:r>
      <w:r w:rsidR="008F3DE8">
        <w:rPr>
          <w:rFonts w:ascii="Bookman Old Style" w:hAnsi="Bookman Old Style"/>
          <w:sz w:val="24"/>
          <w:szCs w:val="24"/>
        </w:rPr>
        <w:t xml:space="preserve"> </w:t>
      </w:r>
      <w:r w:rsidRPr="00A550FE">
        <w:rPr>
          <w:rFonts w:ascii="Bookman Old Style" w:hAnsi="Bookman Old Style"/>
          <w:sz w:val="24"/>
          <w:szCs w:val="24"/>
        </w:rPr>
        <w:t>del</w:t>
      </w:r>
      <w:r w:rsidR="008F3DE8">
        <w:rPr>
          <w:rFonts w:ascii="Bookman Old Style" w:hAnsi="Bookman Old Style"/>
          <w:sz w:val="24"/>
          <w:szCs w:val="24"/>
        </w:rPr>
        <w:t xml:space="preserve"> </w:t>
      </w:r>
      <w:r w:rsidRPr="00A550FE">
        <w:rPr>
          <w:rFonts w:ascii="Bookman Old Style" w:hAnsi="Bookman Old Style"/>
          <w:sz w:val="24"/>
          <w:szCs w:val="24"/>
        </w:rPr>
        <w:t>bisogno</w:t>
      </w:r>
      <w:r w:rsidR="008F3DE8">
        <w:rPr>
          <w:rFonts w:ascii="Bookman Old Style" w:hAnsi="Bookman Old Style"/>
          <w:sz w:val="24"/>
          <w:szCs w:val="24"/>
        </w:rPr>
        <w:t xml:space="preserve"> </w:t>
      </w:r>
      <w:r w:rsidR="000042E4">
        <w:rPr>
          <w:rFonts w:ascii="Bookman Old Style" w:hAnsi="Bookman Old Style"/>
          <w:sz w:val="24"/>
          <w:szCs w:val="24"/>
        </w:rPr>
        <w:t xml:space="preserve">andrebbe </w:t>
      </w:r>
      <w:r w:rsidRPr="00A550FE">
        <w:rPr>
          <w:rFonts w:ascii="Bookman Old Style" w:hAnsi="Bookman Old Style"/>
          <w:sz w:val="24"/>
          <w:szCs w:val="24"/>
        </w:rPr>
        <w:t>ricostruito</w:t>
      </w:r>
      <w:r w:rsidR="008F3DE8">
        <w:rPr>
          <w:rFonts w:ascii="Bookman Old Style" w:hAnsi="Bookman Old Style"/>
          <w:sz w:val="24"/>
          <w:szCs w:val="24"/>
        </w:rPr>
        <w:t xml:space="preserve"> </w:t>
      </w:r>
      <w:r w:rsidRPr="00A550FE">
        <w:rPr>
          <w:rFonts w:ascii="Bookman Old Style" w:hAnsi="Bookman Old Style"/>
          <w:sz w:val="24"/>
          <w:szCs w:val="24"/>
        </w:rPr>
        <w:t>tenendo</w:t>
      </w:r>
      <w:r w:rsidR="008F3DE8">
        <w:rPr>
          <w:rFonts w:ascii="Bookman Old Style" w:hAnsi="Bookman Old Style"/>
          <w:sz w:val="24"/>
          <w:szCs w:val="24"/>
        </w:rPr>
        <w:t xml:space="preserve"> </w:t>
      </w:r>
      <w:r w:rsidRPr="00A550FE">
        <w:rPr>
          <w:rFonts w:ascii="Bookman Old Style" w:hAnsi="Bookman Old Style"/>
          <w:sz w:val="24"/>
          <w:szCs w:val="24"/>
        </w:rPr>
        <w:t>in</w:t>
      </w:r>
      <w:r w:rsidR="008F3DE8">
        <w:rPr>
          <w:rFonts w:ascii="Bookman Old Style" w:hAnsi="Bookman Old Style"/>
          <w:sz w:val="24"/>
          <w:szCs w:val="24"/>
        </w:rPr>
        <w:t xml:space="preserve"> </w:t>
      </w:r>
      <w:r w:rsidRPr="00A550FE">
        <w:rPr>
          <w:rFonts w:ascii="Bookman Old Style" w:hAnsi="Bookman Old Style"/>
          <w:sz w:val="24"/>
          <w:szCs w:val="24"/>
        </w:rPr>
        <w:t>considerazione</w:t>
      </w:r>
      <w:r w:rsidR="008F3DE8">
        <w:rPr>
          <w:rFonts w:ascii="Bookman Old Style" w:hAnsi="Bookman Old Style"/>
          <w:sz w:val="24"/>
          <w:szCs w:val="24"/>
        </w:rPr>
        <w:t xml:space="preserve"> </w:t>
      </w:r>
      <w:r w:rsidRPr="00A550FE">
        <w:rPr>
          <w:rFonts w:ascii="Bookman Old Style" w:hAnsi="Bookman Old Style"/>
          <w:sz w:val="24"/>
          <w:szCs w:val="24"/>
        </w:rPr>
        <w:t>le</w:t>
      </w:r>
      <w:r w:rsidR="008F3DE8">
        <w:rPr>
          <w:rFonts w:ascii="Bookman Old Style" w:hAnsi="Bookman Old Style"/>
          <w:sz w:val="24"/>
          <w:szCs w:val="24"/>
        </w:rPr>
        <w:t xml:space="preserve"> </w:t>
      </w:r>
      <w:r w:rsidRPr="00A550FE">
        <w:rPr>
          <w:rFonts w:ascii="Bookman Old Style" w:hAnsi="Bookman Old Style"/>
          <w:sz w:val="24"/>
          <w:szCs w:val="24"/>
        </w:rPr>
        <w:t>risorse</w:t>
      </w:r>
      <w:r w:rsidR="008F3DE8">
        <w:rPr>
          <w:rFonts w:ascii="Bookman Old Style" w:hAnsi="Bookman Old Style"/>
          <w:sz w:val="24"/>
          <w:szCs w:val="24"/>
        </w:rPr>
        <w:t xml:space="preserve"> </w:t>
      </w:r>
      <w:r w:rsidRPr="00A550FE">
        <w:rPr>
          <w:rFonts w:ascii="Bookman Old Style" w:hAnsi="Bookman Old Style"/>
          <w:sz w:val="24"/>
          <w:szCs w:val="24"/>
        </w:rPr>
        <w:t>disponibili,</w:t>
      </w:r>
      <w:r w:rsidR="008F3DE8">
        <w:rPr>
          <w:rFonts w:ascii="Bookman Old Style" w:hAnsi="Bookman Old Style"/>
          <w:sz w:val="24"/>
          <w:szCs w:val="24"/>
        </w:rPr>
        <w:t xml:space="preserve"> </w:t>
      </w:r>
      <w:r w:rsidRPr="00A550FE">
        <w:rPr>
          <w:rFonts w:ascii="Bookman Old Style" w:hAnsi="Bookman Old Style"/>
          <w:sz w:val="24"/>
          <w:szCs w:val="24"/>
        </w:rPr>
        <w:t>senza</w:t>
      </w:r>
      <w:r w:rsidR="008F3DE8">
        <w:rPr>
          <w:rFonts w:ascii="Bookman Old Style" w:hAnsi="Bookman Old Style"/>
          <w:sz w:val="24"/>
          <w:szCs w:val="24"/>
        </w:rPr>
        <w:t xml:space="preserve"> </w:t>
      </w:r>
      <w:r w:rsidRPr="00A550FE">
        <w:rPr>
          <w:rFonts w:ascii="Bookman Old Style" w:hAnsi="Bookman Old Style"/>
          <w:sz w:val="24"/>
          <w:szCs w:val="24"/>
        </w:rPr>
        <w:t>per</w:t>
      </w:r>
      <w:r w:rsidR="008F3DE8">
        <w:rPr>
          <w:rFonts w:ascii="Bookman Old Style" w:hAnsi="Bookman Old Style"/>
          <w:sz w:val="24"/>
          <w:szCs w:val="24"/>
        </w:rPr>
        <w:t xml:space="preserve"> </w:t>
      </w:r>
      <w:r w:rsidRPr="00A550FE">
        <w:rPr>
          <w:rFonts w:ascii="Bookman Old Style" w:hAnsi="Bookman Old Style"/>
          <w:sz w:val="24"/>
          <w:szCs w:val="24"/>
        </w:rPr>
        <w:t>questo,</w:t>
      </w:r>
      <w:r w:rsidR="008F3DE8">
        <w:rPr>
          <w:rFonts w:ascii="Bookman Old Style" w:hAnsi="Bookman Old Style"/>
          <w:sz w:val="24"/>
          <w:szCs w:val="24"/>
        </w:rPr>
        <w:t xml:space="preserve"> </w:t>
      </w:r>
      <w:r w:rsidRPr="00A550FE">
        <w:rPr>
          <w:rFonts w:ascii="Bookman Old Style" w:hAnsi="Bookman Old Style"/>
          <w:sz w:val="24"/>
          <w:szCs w:val="24"/>
        </w:rPr>
        <w:t>ovviamente,</w:t>
      </w:r>
      <w:r w:rsidR="008F3DE8">
        <w:rPr>
          <w:rFonts w:ascii="Bookman Old Style" w:hAnsi="Bookman Old Style"/>
          <w:sz w:val="24"/>
          <w:szCs w:val="24"/>
        </w:rPr>
        <w:t xml:space="preserve"> </w:t>
      </w:r>
      <w:r w:rsidRPr="00A550FE">
        <w:rPr>
          <w:rFonts w:ascii="Bookman Old Style" w:hAnsi="Bookman Old Style"/>
          <w:sz w:val="24"/>
          <w:szCs w:val="24"/>
        </w:rPr>
        <w:t>ripudiare</w:t>
      </w:r>
      <w:r w:rsidR="008F3DE8">
        <w:rPr>
          <w:rFonts w:ascii="Bookman Old Style" w:hAnsi="Bookman Old Style"/>
          <w:sz w:val="24"/>
          <w:szCs w:val="24"/>
        </w:rPr>
        <w:t xml:space="preserve"> </w:t>
      </w:r>
      <w:r w:rsidRPr="00A550FE">
        <w:rPr>
          <w:rFonts w:ascii="Bookman Old Style" w:hAnsi="Bookman Old Style"/>
          <w:sz w:val="24"/>
          <w:szCs w:val="24"/>
        </w:rPr>
        <w:t>le</w:t>
      </w:r>
      <w:r w:rsidR="008F3DE8">
        <w:rPr>
          <w:rFonts w:ascii="Bookman Old Style" w:hAnsi="Bookman Old Style"/>
          <w:sz w:val="24"/>
          <w:szCs w:val="24"/>
        </w:rPr>
        <w:t xml:space="preserve"> </w:t>
      </w:r>
      <w:r w:rsidRPr="00A550FE">
        <w:rPr>
          <w:rFonts w:ascii="Bookman Old Style" w:hAnsi="Bookman Old Style"/>
          <w:sz w:val="24"/>
          <w:szCs w:val="24"/>
        </w:rPr>
        <w:t>esigenze</w:t>
      </w:r>
      <w:r w:rsidR="008F3DE8">
        <w:rPr>
          <w:rFonts w:ascii="Bookman Old Style" w:hAnsi="Bookman Old Style"/>
          <w:sz w:val="24"/>
          <w:szCs w:val="24"/>
        </w:rPr>
        <w:t xml:space="preserve"> </w:t>
      </w:r>
      <w:r w:rsidRPr="00A550FE">
        <w:rPr>
          <w:rFonts w:ascii="Bookman Old Style" w:hAnsi="Bookman Old Style"/>
          <w:sz w:val="24"/>
          <w:szCs w:val="24"/>
        </w:rPr>
        <w:t>proprie</w:t>
      </w:r>
      <w:r w:rsidR="008F3DE8">
        <w:rPr>
          <w:rFonts w:ascii="Bookman Old Style" w:hAnsi="Bookman Old Style"/>
          <w:sz w:val="24"/>
          <w:szCs w:val="24"/>
        </w:rPr>
        <w:t xml:space="preserve"> </w:t>
      </w:r>
      <w:r w:rsidRPr="00A550FE">
        <w:rPr>
          <w:rFonts w:ascii="Bookman Old Style" w:hAnsi="Bookman Old Style"/>
          <w:sz w:val="24"/>
          <w:szCs w:val="24"/>
        </w:rPr>
        <w:t>dell’individuo.</w:t>
      </w:r>
      <w:r w:rsidR="000042E4">
        <w:rPr>
          <w:rFonts w:ascii="Bookman Old Style" w:hAnsi="Bookman Old Style"/>
          <w:sz w:val="24"/>
          <w:szCs w:val="24"/>
        </w:rPr>
        <w:t xml:space="preserve"> D’altro canto, la mancata valutazione delle esigenze di bilancio </w:t>
      </w:r>
      <w:r w:rsidRPr="00A550FE">
        <w:rPr>
          <w:rFonts w:ascii="Bookman Old Style" w:hAnsi="Bookman Old Style"/>
          <w:sz w:val="24"/>
          <w:szCs w:val="24"/>
        </w:rPr>
        <w:t>potrebbe</w:t>
      </w:r>
      <w:r w:rsidR="008F3DE8">
        <w:rPr>
          <w:rFonts w:ascii="Bookman Old Style" w:hAnsi="Bookman Old Style"/>
          <w:sz w:val="24"/>
          <w:szCs w:val="24"/>
        </w:rPr>
        <w:t xml:space="preserve"> </w:t>
      </w:r>
      <w:r w:rsidR="000042E4">
        <w:rPr>
          <w:rFonts w:ascii="Bookman Old Style" w:hAnsi="Bookman Old Style"/>
          <w:sz w:val="24"/>
          <w:szCs w:val="24"/>
        </w:rPr>
        <w:t xml:space="preserve">comportare la </w:t>
      </w:r>
      <w:r w:rsidRPr="00A550FE">
        <w:rPr>
          <w:rFonts w:ascii="Bookman Old Style" w:hAnsi="Bookman Old Style"/>
          <w:sz w:val="24"/>
          <w:szCs w:val="24"/>
        </w:rPr>
        <w:t>comprom</w:t>
      </w:r>
      <w:r w:rsidR="000042E4">
        <w:rPr>
          <w:rFonts w:ascii="Bookman Old Style" w:hAnsi="Bookman Old Style"/>
          <w:sz w:val="24"/>
          <w:szCs w:val="24"/>
        </w:rPr>
        <w:t xml:space="preserve">issione </w:t>
      </w:r>
      <w:r w:rsidRPr="00A550FE">
        <w:rPr>
          <w:rFonts w:ascii="Bookman Old Style" w:hAnsi="Bookman Old Style"/>
          <w:sz w:val="24"/>
          <w:szCs w:val="24"/>
        </w:rPr>
        <w:t>non</w:t>
      </w:r>
      <w:r w:rsidR="008F3DE8">
        <w:rPr>
          <w:rFonts w:ascii="Bookman Old Style" w:hAnsi="Bookman Old Style"/>
          <w:sz w:val="24"/>
          <w:szCs w:val="24"/>
        </w:rPr>
        <w:t xml:space="preserve"> </w:t>
      </w:r>
      <w:r w:rsidRPr="00A550FE">
        <w:rPr>
          <w:rFonts w:ascii="Bookman Old Style" w:hAnsi="Bookman Old Style"/>
          <w:sz w:val="24"/>
          <w:szCs w:val="24"/>
        </w:rPr>
        <w:t>solo</w:t>
      </w:r>
      <w:r w:rsidR="008F3DE8">
        <w:rPr>
          <w:rFonts w:ascii="Bookman Old Style" w:hAnsi="Bookman Old Style"/>
          <w:sz w:val="24"/>
          <w:szCs w:val="24"/>
        </w:rPr>
        <w:t xml:space="preserve"> </w:t>
      </w:r>
      <w:r w:rsidR="000042E4">
        <w:rPr>
          <w:rFonts w:ascii="Bookman Old Style" w:hAnsi="Bookman Old Style"/>
          <w:sz w:val="24"/>
          <w:szCs w:val="24"/>
        </w:rPr>
        <w:t>del</w:t>
      </w:r>
      <w:r w:rsidRPr="00A550FE">
        <w:rPr>
          <w:rFonts w:ascii="Bookman Old Style" w:hAnsi="Bookman Old Style"/>
          <w:sz w:val="24"/>
          <w:szCs w:val="24"/>
        </w:rPr>
        <w:t>l’equilibrio</w:t>
      </w:r>
      <w:r w:rsidR="008F3DE8">
        <w:rPr>
          <w:rFonts w:ascii="Bookman Old Style" w:hAnsi="Bookman Old Style"/>
          <w:sz w:val="24"/>
          <w:szCs w:val="24"/>
        </w:rPr>
        <w:t xml:space="preserve"> </w:t>
      </w:r>
      <w:r w:rsidRPr="00A550FE">
        <w:rPr>
          <w:rFonts w:ascii="Bookman Old Style" w:hAnsi="Bookman Old Style"/>
          <w:sz w:val="24"/>
          <w:szCs w:val="24"/>
        </w:rPr>
        <w:t>macroeconomico</w:t>
      </w:r>
      <w:r w:rsidR="008F3DE8">
        <w:rPr>
          <w:rFonts w:ascii="Bookman Old Style" w:hAnsi="Bookman Old Style"/>
          <w:sz w:val="24"/>
          <w:szCs w:val="24"/>
        </w:rPr>
        <w:t xml:space="preserve"> </w:t>
      </w:r>
      <w:r w:rsidR="00541EF8">
        <w:rPr>
          <w:rFonts w:ascii="Bookman Old Style" w:hAnsi="Bookman Old Style"/>
          <w:sz w:val="24"/>
          <w:szCs w:val="24"/>
        </w:rPr>
        <w:t xml:space="preserve">dello Stato </w:t>
      </w:r>
      <w:r w:rsidR="000042E4">
        <w:rPr>
          <w:rFonts w:ascii="Bookman Old Style" w:hAnsi="Bookman Old Style"/>
          <w:sz w:val="24"/>
          <w:szCs w:val="24"/>
        </w:rPr>
        <w:t>ma anche del</w:t>
      </w:r>
      <w:r w:rsidRPr="00A550FE">
        <w:rPr>
          <w:rFonts w:ascii="Bookman Old Style" w:hAnsi="Bookman Old Style"/>
          <w:sz w:val="24"/>
          <w:szCs w:val="24"/>
        </w:rPr>
        <w:t>la</w:t>
      </w:r>
      <w:r w:rsidR="008F3DE8">
        <w:rPr>
          <w:rFonts w:ascii="Bookman Old Style" w:hAnsi="Bookman Old Style"/>
          <w:sz w:val="24"/>
          <w:szCs w:val="24"/>
        </w:rPr>
        <w:t xml:space="preserve"> </w:t>
      </w:r>
      <w:r w:rsidRPr="00A550FE">
        <w:rPr>
          <w:rFonts w:ascii="Bookman Old Style" w:hAnsi="Bookman Old Style"/>
          <w:sz w:val="24"/>
          <w:szCs w:val="24"/>
        </w:rPr>
        <w:t>capacità</w:t>
      </w:r>
      <w:r w:rsidR="008F3DE8">
        <w:rPr>
          <w:rFonts w:ascii="Bookman Old Style" w:hAnsi="Bookman Old Style"/>
          <w:sz w:val="24"/>
          <w:szCs w:val="24"/>
        </w:rPr>
        <w:t xml:space="preserve"> </w:t>
      </w:r>
      <w:r w:rsidRPr="00A550FE">
        <w:rPr>
          <w:rFonts w:ascii="Bookman Old Style" w:hAnsi="Bookman Old Style"/>
          <w:sz w:val="24"/>
          <w:szCs w:val="24"/>
        </w:rPr>
        <w:t>competitiva</w:t>
      </w:r>
      <w:r w:rsidR="008F3DE8">
        <w:rPr>
          <w:rFonts w:ascii="Bookman Old Style" w:hAnsi="Bookman Old Style"/>
          <w:sz w:val="24"/>
          <w:szCs w:val="24"/>
        </w:rPr>
        <w:t xml:space="preserve"> </w:t>
      </w:r>
      <w:r w:rsidRPr="00A550FE">
        <w:rPr>
          <w:rFonts w:ascii="Bookman Old Style" w:hAnsi="Bookman Old Style"/>
          <w:sz w:val="24"/>
          <w:szCs w:val="24"/>
        </w:rPr>
        <w:t>del</w:t>
      </w:r>
      <w:r w:rsidR="008F3DE8">
        <w:rPr>
          <w:rFonts w:ascii="Bookman Old Style" w:hAnsi="Bookman Old Style"/>
          <w:sz w:val="24"/>
          <w:szCs w:val="24"/>
        </w:rPr>
        <w:t xml:space="preserve"> </w:t>
      </w:r>
      <w:r w:rsidRPr="00A550FE">
        <w:rPr>
          <w:rFonts w:ascii="Bookman Old Style" w:hAnsi="Bookman Old Style"/>
          <w:sz w:val="24"/>
          <w:szCs w:val="24"/>
        </w:rPr>
        <w:t>sistema</w:t>
      </w:r>
      <w:r w:rsidR="008F3DE8">
        <w:rPr>
          <w:rFonts w:ascii="Bookman Old Style" w:hAnsi="Bookman Old Style"/>
          <w:sz w:val="24"/>
          <w:szCs w:val="24"/>
        </w:rPr>
        <w:t xml:space="preserve"> </w:t>
      </w:r>
      <w:r w:rsidRPr="00A550FE">
        <w:rPr>
          <w:rFonts w:ascii="Bookman Old Style" w:hAnsi="Bookman Old Style"/>
          <w:sz w:val="24"/>
          <w:szCs w:val="24"/>
        </w:rPr>
        <w:t>paese</w:t>
      </w:r>
      <w:r w:rsidR="008F3DE8">
        <w:rPr>
          <w:rFonts w:ascii="Bookman Old Style" w:hAnsi="Bookman Old Style"/>
          <w:sz w:val="24"/>
          <w:szCs w:val="24"/>
        </w:rPr>
        <w:t xml:space="preserve"> </w:t>
      </w:r>
      <w:r w:rsidR="000042E4">
        <w:rPr>
          <w:rFonts w:ascii="Bookman Old Style" w:hAnsi="Bookman Old Style"/>
          <w:sz w:val="24"/>
          <w:szCs w:val="24"/>
        </w:rPr>
        <w:t xml:space="preserve">con l’impossibilità di soddisfare </w:t>
      </w:r>
      <w:r w:rsidRPr="00A550FE">
        <w:rPr>
          <w:rFonts w:ascii="Bookman Old Style" w:hAnsi="Bookman Old Style"/>
          <w:sz w:val="24"/>
          <w:szCs w:val="24"/>
        </w:rPr>
        <w:t>i</w:t>
      </w:r>
      <w:r w:rsidR="008F3DE8">
        <w:rPr>
          <w:rFonts w:ascii="Bookman Old Style" w:hAnsi="Bookman Old Style"/>
          <w:sz w:val="24"/>
          <w:szCs w:val="24"/>
        </w:rPr>
        <w:t xml:space="preserve"> </w:t>
      </w:r>
      <w:r w:rsidRPr="00A550FE">
        <w:rPr>
          <w:rFonts w:ascii="Bookman Old Style" w:hAnsi="Bookman Old Style"/>
          <w:sz w:val="24"/>
          <w:szCs w:val="24"/>
        </w:rPr>
        <w:t>bisogni</w:t>
      </w:r>
      <w:r w:rsidR="008F3DE8">
        <w:rPr>
          <w:rFonts w:ascii="Bookman Old Style" w:hAnsi="Bookman Old Style"/>
          <w:sz w:val="24"/>
          <w:szCs w:val="24"/>
        </w:rPr>
        <w:t xml:space="preserve"> </w:t>
      </w:r>
      <w:r w:rsidR="000042E4">
        <w:rPr>
          <w:rFonts w:ascii="Bookman Old Style" w:hAnsi="Bookman Old Style"/>
          <w:sz w:val="24"/>
          <w:szCs w:val="24"/>
        </w:rPr>
        <w:t xml:space="preserve">complessivi </w:t>
      </w:r>
      <w:r w:rsidRPr="00A550FE">
        <w:rPr>
          <w:rFonts w:ascii="Bookman Old Style" w:hAnsi="Bookman Old Style"/>
          <w:sz w:val="24"/>
          <w:szCs w:val="24"/>
        </w:rPr>
        <w:t>della</w:t>
      </w:r>
      <w:r w:rsidR="008F3DE8">
        <w:rPr>
          <w:rFonts w:ascii="Bookman Old Style" w:hAnsi="Bookman Old Style"/>
          <w:sz w:val="24"/>
          <w:szCs w:val="24"/>
        </w:rPr>
        <w:t xml:space="preserve"> </w:t>
      </w:r>
      <w:r w:rsidRPr="00A550FE">
        <w:rPr>
          <w:rFonts w:ascii="Bookman Old Style" w:hAnsi="Bookman Old Style"/>
          <w:sz w:val="24"/>
          <w:szCs w:val="24"/>
        </w:rPr>
        <w:t>collettività</w:t>
      </w:r>
      <w:r w:rsidR="000042E4">
        <w:rPr>
          <w:rFonts w:ascii="Bookman Old Style" w:hAnsi="Bookman Old Style"/>
          <w:sz w:val="24"/>
          <w:szCs w:val="24"/>
        </w:rPr>
        <w:t xml:space="preserve"> </w:t>
      </w:r>
      <w:r w:rsidRPr="00A550FE">
        <w:rPr>
          <w:rFonts w:ascii="Bookman Old Style" w:hAnsi="Bookman Old Style"/>
          <w:sz w:val="24"/>
          <w:szCs w:val="24"/>
        </w:rPr>
        <w:footnoteReference w:id="14"/>
      </w:r>
      <w:r w:rsidRPr="00A550FE">
        <w:rPr>
          <w:rFonts w:ascii="Bookman Old Style" w:hAnsi="Bookman Old Style"/>
          <w:sz w:val="24"/>
          <w:szCs w:val="24"/>
        </w:rPr>
        <w:t>.</w:t>
      </w:r>
    </w:p>
    <w:p w:rsidR="008F4ACB" w:rsidRDefault="00581216" w:rsidP="00B125D7">
      <w:pPr>
        <w:ind w:firstLine="709"/>
        <w:jc w:val="both"/>
        <w:rPr>
          <w:rFonts w:ascii="Bookman Old Style" w:hAnsi="Bookman Old Style"/>
          <w:sz w:val="24"/>
          <w:szCs w:val="24"/>
        </w:rPr>
      </w:pPr>
      <w:r w:rsidRPr="008F4ACB">
        <w:rPr>
          <w:rFonts w:ascii="Bookman Old Style" w:hAnsi="Bookman Old Style"/>
          <w:sz w:val="24"/>
          <w:szCs w:val="24"/>
        </w:rPr>
        <w:t xml:space="preserve">In ogni caso, non vi è dubbio che </w:t>
      </w:r>
      <w:r w:rsidR="00541EF8">
        <w:rPr>
          <w:rFonts w:ascii="Bookman Old Style" w:hAnsi="Bookman Old Style"/>
          <w:sz w:val="24"/>
          <w:szCs w:val="24"/>
        </w:rPr>
        <w:t xml:space="preserve">sulla questione abbia notevolmente pesato </w:t>
      </w:r>
      <w:r w:rsidR="008F4ACB">
        <w:rPr>
          <w:rFonts w:ascii="Bookman Old Style" w:hAnsi="Bookman Old Style"/>
          <w:sz w:val="24"/>
          <w:szCs w:val="24"/>
        </w:rPr>
        <w:t>i</w:t>
      </w:r>
      <w:r w:rsidR="008F4ACB" w:rsidRPr="008F4ACB">
        <w:rPr>
          <w:rFonts w:ascii="Bookman Old Style" w:hAnsi="Bookman Old Style"/>
          <w:sz w:val="24"/>
          <w:szCs w:val="24"/>
        </w:rPr>
        <w:t xml:space="preserve">l </w:t>
      </w:r>
      <w:r w:rsidR="00541EF8">
        <w:rPr>
          <w:rFonts w:ascii="Bookman Old Style" w:hAnsi="Bookman Old Style"/>
          <w:sz w:val="24"/>
          <w:szCs w:val="24"/>
        </w:rPr>
        <w:t xml:space="preserve">lungo e non ancora concluso </w:t>
      </w:r>
      <w:r w:rsidR="00541EF8" w:rsidRPr="00541EF8">
        <w:rPr>
          <w:rFonts w:ascii="Bookman Old Style" w:hAnsi="Bookman Old Style"/>
          <w:i/>
          <w:sz w:val="24"/>
          <w:szCs w:val="24"/>
        </w:rPr>
        <w:t>iter</w:t>
      </w:r>
      <w:r w:rsidR="00541EF8">
        <w:rPr>
          <w:rFonts w:ascii="Bookman Old Style" w:hAnsi="Bookman Old Style"/>
          <w:sz w:val="24"/>
          <w:szCs w:val="24"/>
        </w:rPr>
        <w:t xml:space="preserve"> attuativo di tale </w:t>
      </w:r>
      <w:r w:rsidR="008F4ACB" w:rsidRPr="008F4ACB">
        <w:rPr>
          <w:rFonts w:ascii="Bookman Old Style" w:hAnsi="Bookman Old Style"/>
          <w:sz w:val="24"/>
          <w:szCs w:val="24"/>
        </w:rPr>
        <w:t>disegno perequativo</w:t>
      </w:r>
      <w:r w:rsidR="00DA7135">
        <w:rPr>
          <w:rFonts w:ascii="Bookman Old Style" w:hAnsi="Bookman Old Style"/>
          <w:sz w:val="24"/>
          <w:szCs w:val="24"/>
        </w:rPr>
        <w:t xml:space="preserve"> </w:t>
      </w:r>
      <w:r w:rsidR="00DA7135">
        <w:rPr>
          <w:rStyle w:val="Rimandonotaapidipagina"/>
          <w:rFonts w:ascii="Bookman Old Style" w:hAnsi="Bookman Old Style"/>
          <w:sz w:val="24"/>
          <w:szCs w:val="24"/>
        </w:rPr>
        <w:footnoteReference w:id="15"/>
      </w:r>
      <w:r w:rsidR="008F4ACB" w:rsidRPr="008F4ACB">
        <w:rPr>
          <w:rFonts w:ascii="Bookman Old Style" w:hAnsi="Bookman Old Style"/>
          <w:sz w:val="24"/>
          <w:szCs w:val="24"/>
        </w:rPr>
        <w:t>.</w:t>
      </w:r>
    </w:p>
    <w:p w:rsidR="00816AB5" w:rsidRPr="008726D3" w:rsidRDefault="004942C8" w:rsidP="008726D3">
      <w:pPr>
        <w:ind w:firstLine="709"/>
        <w:jc w:val="both"/>
        <w:rPr>
          <w:rFonts w:ascii="Bookman Old Style" w:hAnsi="Bookman Old Style"/>
          <w:sz w:val="24"/>
          <w:szCs w:val="24"/>
        </w:rPr>
      </w:pPr>
      <w:r>
        <w:rPr>
          <w:rFonts w:ascii="Bookman Old Style" w:hAnsi="Bookman Old Style"/>
          <w:sz w:val="24"/>
          <w:szCs w:val="24"/>
        </w:rPr>
        <w:lastRenderedPageBreak/>
        <w:t>4</w:t>
      </w:r>
      <w:r w:rsidR="00B125D7">
        <w:rPr>
          <w:rFonts w:ascii="Bookman Old Style" w:hAnsi="Bookman Old Style"/>
          <w:sz w:val="24"/>
          <w:szCs w:val="24"/>
        </w:rPr>
        <w:t>.</w:t>
      </w:r>
      <w:r w:rsidR="008F3DE8">
        <w:rPr>
          <w:rFonts w:ascii="Bookman Old Style" w:hAnsi="Bookman Old Style"/>
          <w:sz w:val="24"/>
          <w:szCs w:val="24"/>
        </w:rPr>
        <w:t xml:space="preserve"> </w:t>
      </w:r>
      <w:r w:rsidR="00B125D7">
        <w:rPr>
          <w:rFonts w:ascii="Bookman Old Style" w:hAnsi="Bookman Old Style"/>
          <w:sz w:val="24"/>
          <w:szCs w:val="24"/>
        </w:rPr>
        <w:t>I</w:t>
      </w:r>
      <w:r w:rsidR="008F3DE8">
        <w:rPr>
          <w:rFonts w:ascii="Bookman Old Style" w:hAnsi="Bookman Old Style"/>
          <w:sz w:val="24"/>
          <w:szCs w:val="24"/>
        </w:rPr>
        <w:t xml:space="preserve"> </w:t>
      </w:r>
      <w:r w:rsidR="00B125D7">
        <w:rPr>
          <w:rFonts w:ascii="Bookman Old Style" w:hAnsi="Bookman Old Style"/>
          <w:sz w:val="24"/>
          <w:szCs w:val="24"/>
        </w:rPr>
        <w:t>DIRITTI</w:t>
      </w:r>
      <w:r w:rsidR="008F3DE8">
        <w:rPr>
          <w:rFonts w:ascii="Bookman Old Style" w:hAnsi="Bookman Old Style"/>
          <w:sz w:val="24"/>
          <w:szCs w:val="24"/>
        </w:rPr>
        <w:t xml:space="preserve"> </w:t>
      </w:r>
      <w:r w:rsidR="00B125D7">
        <w:rPr>
          <w:rFonts w:ascii="Bookman Old Style" w:hAnsi="Bookman Old Style"/>
          <w:sz w:val="24"/>
          <w:szCs w:val="24"/>
        </w:rPr>
        <w:t>FONDAMENTALI</w:t>
      </w:r>
      <w:r w:rsidR="008F3DE8">
        <w:rPr>
          <w:rFonts w:ascii="Bookman Old Style" w:hAnsi="Bookman Old Style"/>
          <w:sz w:val="24"/>
          <w:szCs w:val="24"/>
        </w:rPr>
        <w:t xml:space="preserve"> </w:t>
      </w:r>
      <w:r w:rsidR="00B125D7">
        <w:rPr>
          <w:rFonts w:ascii="Bookman Old Style" w:hAnsi="Bookman Old Style"/>
          <w:sz w:val="24"/>
          <w:szCs w:val="24"/>
        </w:rPr>
        <w:t>IN</w:t>
      </w:r>
      <w:r w:rsidR="008F3DE8">
        <w:rPr>
          <w:rFonts w:ascii="Bookman Old Style" w:hAnsi="Bookman Old Style"/>
          <w:sz w:val="24"/>
          <w:szCs w:val="24"/>
        </w:rPr>
        <w:t xml:space="preserve"> </w:t>
      </w:r>
      <w:r w:rsidR="00B125D7">
        <w:rPr>
          <w:rFonts w:ascii="Bookman Old Style" w:hAnsi="Bookman Old Style"/>
          <w:sz w:val="24"/>
          <w:szCs w:val="24"/>
        </w:rPr>
        <w:t>UN</w:t>
      </w:r>
      <w:r w:rsidR="008F3DE8">
        <w:rPr>
          <w:rFonts w:ascii="Bookman Old Style" w:hAnsi="Bookman Old Style"/>
          <w:sz w:val="24"/>
          <w:szCs w:val="24"/>
        </w:rPr>
        <w:t xml:space="preserve"> </w:t>
      </w:r>
      <w:r w:rsidR="00B125D7">
        <w:rPr>
          <w:rFonts w:ascii="Bookman Old Style" w:hAnsi="Bookman Old Style"/>
          <w:sz w:val="24"/>
          <w:szCs w:val="24"/>
        </w:rPr>
        <w:t>ORDINAMENTO</w:t>
      </w:r>
      <w:r w:rsidR="008F3DE8">
        <w:rPr>
          <w:rFonts w:ascii="Bookman Old Style" w:hAnsi="Bookman Old Style"/>
          <w:sz w:val="24"/>
          <w:szCs w:val="24"/>
        </w:rPr>
        <w:t xml:space="preserve"> </w:t>
      </w:r>
      <w:r w:rsidR="00B125D7">
        <w:rPr>
          <w:rFonts w:ascii="Bookman Old Style" w:hAnsi="Bookman Old Style"/>
          <w:sz w:val="24"/>
          <w:szCs w:val="24"/>
        </w:rPr>
        <w:t>GIURIDICO</w:t>
      </w:r>
      <w:r w:rsidR="008F3DE8">
        <w:rPr>
          <w:rFonts w:ascii="Bookman Old Style" w:hAnsi="Bookman Old Style"/>
          <w:sz w:val="24"/>
          <w:szCs w:val="24"/>
        </w:rPr>
        <w:t xml:space="preserve"> </w:t>
      </w:r>
      <w:r w:rsidR="00B125D7">
        <w:rPr>
          <w:rFonts w:ascii="Bookman Old Style" w:hAnsi="Bookman Old Style"/>
          <w:sz w:val="24"/>
          <w:szCs w:val="24"/>
        </w:rPr>
        <w:t>MULTILIVELLO:</w:t>
      </w:r>
      <w:r w:rsidR="008F3DE8">
        <w:rPr>
          <w:rFonts w:ascii="Bookman Old Style" w:hAnsi="Bookman Old Style"/>
          <w:sz w:val="24"/>
          <w:szCs w:val="24"/>
        </w:rPr>
        <w:t xml:space="preserve"> </w:t>
      </w:r>
      <w:r w:rsidR="00B125D7">
        <w:rPr>
          <w:rFonts w:ascii="Bookman Old Style" w:hAnsi="Bookman Old Style"/>
          <w:sz w:val="24"/>
          <w:szCs w:val="24"/>
        </w:rPr>
        <w:t>LA</w:t>
      </w:r>
      <w:r w:rsidR="008F3DE8">
        <w:rPr>
          <w:rFonts w:ascii="Bookman Old Style" w:hAnsi="Bookman Old Style"/>
          <w:sz w:val="24"/>
          <w:szCs w:val="24"/>
        </w:rPr>
        <w:t xml:space="preserve"> </w:t>
      </w:r>
      <w:r w:rsidR="00B125D7">
        <w:rPr>
          <w:rFonts w:ascii="Bookman Old Style" w:hAnsi="Bookman Old Style"/>
          <w:sz w:val="24"/>
          <w:szCs w:val="24"/>
        </w:rPr>
        <w:t>DIMENSIONE</w:t>
      </w:r>
      <w:r w:rsidR="008F3DE8">
        <w:rPr>
          <w:rFonts w:ascii="Bookman Old Style" w:hAnsi="Bookman Old Style"/>
          <w:sz w:val="24"/>
          <w:szCs w:val="24"/>
        </w:rPr>
        <w:t xml:space="preserve"> </w:t>
      </w:r>
      <w:r w:rsidR="00B125D7">
        <w:rPr>
          <w:rFonts w:ascii="Bookman Old Style" w:hAnsi="Bookman Old Style"/>
          <w:sz w:val="24"/>
          <w:szCs w:val="24"/>
        </w:rPr>
        <w:t>SOVRANAZIONALE</w:t>
      </w:r>
      <w:r w:rsidR="00C36DED">
        <w:rPr>
          <w:rFonts w:ascii="Bookman Old Style" w:hAnsi="Bookman Old Style"/>
          <w:sz w:val="24"/>
          <w:szCs w:val="24"/>
        </w:rPr>
        <w:t xml:space="preserve"> </w:t>
      </w:r>
      <w:r w:rsidR="008726D3">
        <w:rPr>
          <w:rFonts w:ascii="Bookman Old Style" w:hAnsi="Bookman Old Style"/>
          <w:sz w:val="24"/>
          <w:szCs w:val="24"/>
        </w:rPr>
        <w:t>Il</w:t>
      </w:r>
      <w:r w:rsidR="008F3DE8">
        <w:rPr>
          <w:rFonts w:ascii="Bookman Old Style" w:hAnsi="Bookman Old Style"/>
          <w:sz w:val="24"/>
          <w:szCs w:val="24"/>
        </w:rPr>
        <w:t xml:space="preserve"> </w:t>
      </w:r>
      <w:r w:rsidR="00816AB5" w:rsidRPr="008726D3">
        <w:rPr>
          <w:rFonts w:ascii="Bookman Old Style" w:hAnsi="Bookman Old Style"/>
          <w:sz w:val="24"/>
          <w:szCs w:val="24"/>
        </w:rPr>
        <w:t>secondo</w:t>
      </w:r>
      <w:r w:rsidR="008F3DE8">
        <w:rPr>
          <w:rFonts w:ascii="Bookman Old Style" w:hAnsi="Bookman Old Style"/>
          <w:sz w:val="24"/>
          <w:szCs w:val="24"/>
        </w:rPr>
        <w:t xml:space="preserve"> </w:t>
      </w:r>
      <w:r w:rsidR="00816AB5" w:rsidRPr="008726D3">
        <w:rPr>
          <w:rFonts w:ascii="Bookman Old Style" w:hAnsi="Bookman Old Style"/>
          <w:sz w:val="24"/>
          <w:szCs w:val="24"/>
        </w:rPr>
        <w:t>dopoguerra</w:t>
      </w:r>
      <w:r w:rsidR="008F3DE8">
        <w:rPr>
          <w:rFonts w:ascii="Bookman Old Style" w:hAnsi="Bookman Old Style"/>
          <w:sz w:val="24"/>
          <w:szCs w:val="24"/>
        </w:rPr>
        <w:t xml:space="preserve"> </w:t>
      </w:r>
      <w:r w:rsidR="00816AB5" w:rsidRPr="008726D3">
        <w:rPr>
          <w:rFonts w:ascii="Bookman Old Style" w:hAnsi="Bookman Old Style"/>
          <w:sz w:val="24"/>
          <w:szCs w:val="24"/>
        </w:rPr>
        <w:t>non</w:t>
      </w:r>
      <w:r w:rsidR="008F3DE8">
        <w:rPr>
          <w:rFonts w:ascii="Bookman Old Style" w:hAnsi="Bookman Old Style"/>
          <w:sz w:val="24"/>
          <w:szCs w:val="24"/>
        </w:rPr>
        <w:t xml:space="preserve"> </w:t>
      </w:r>
      <w:r w:rsidR="00816AB5" w:rsidRPr="008726D3">
        <w:rPr>
          <w:rFonts w:ascii="Bookman Old Style" w:hAnsi="Bookman Old Style"/>
          <w:sz w:val="24"/>
          <w:szCs w:val="24"/>
        </w:rPr>
        <w:t>è</w:t>
      </w:r>
      <w:r w:rsidR="008F3DE8">
        <w:rPr>
          <w:rFonts w:ascii="Bookman Old Style" w:hAnsi="Bookman Old Style"/>
          <w:sz w:val="24"/>
          <w:szCs w:val="24"/>
        </w:rPr>
        <w:t xml:space="preserve"> </w:t>
      </w:r>
      <w:r w:rsidR="00816AB5" w:rsidRPr="008726D3">
        <w:rPr>
          <w:rFonts w:ascii="Bookman Old Style" w:hAnsi="Bookman Old Style"/>
          <w:sz w:val="24"/>
          <w:szCs w:val="24"/>
        </w:rPr>
        <w:t>stato</w:t>
      </w:r>
      <w:r w:rsidR="008F3DE8">
        <w:rPr>
          <w:rFonts w:ascii="Bookman Old Style" w:hAnsi="Bookman Old Style"/>
          <w:sz w:val="24"/>
          <w:szCs w:val="24"/>
        </w:rPr>
        <w:t xml:space="preserve"> </w:t>
      </w:r>
      <w:r w:rsidR="00816AB5" w:rsidRPr="008726D3">
        <w:rPr>
          <w:rFonts w:ascii="Bookman Old Style" w:hAnsi="Bookman Old Style"/>
          <w:sz w:val="24"/>
          <w:szCs w:val="24"/>
        </w:rPr>
        <w:t>caratterizzato</w:t>
      </w:r>
      <w:r w:rsidR="008F3DE8">
        <w:rPr>
          <w:rFonts w:ascii="Bookman Old Style" w:hAnsi="Bookman Old Style"/>
          <w:sz w:val="24"/>
          <w:szCs w:val="24"/>
        </w:rPr>
        <w:t xml:space="preserve"> </w:t>
      </w:r>
      <w:r w:rsidR="00A06DA9" w:rsidRPr="008726D3">
        <w:rPr>
          <w:rFonts w:ascii="Bookman Old Style" w:hAnsi="Bookman Old Style"/>
          <w:sz w:val="24"/>
          <w:szCs w:val="24"/>
        </w:rPr>
        <w:t xml:space="preserve">solo </w:t>
      </w:r>
      <w:r w:rsidR="00816AB5" w:rsidRPr="008726D3">
        <w:rPr>
          <w:rFonts w:ascii="Bookman Old Style" w:hAnsi="Bookman Old Style"/>
          <w:sz w:val="24"/>
          <w:szCs w:val="24"/>
        </w:rPr>
        <w:t>dall’avvento</w:t>
      </w:r>
      <w:r w:rsidR="008F3DE8">
        <w:rPr>
          <w:rFonts w:ascii="Bookman Old Style" w:hAnsi="Bookman Old Style"/>
          <w:sz w:val="24"/>
          <w:szCs w:val="24"/>
        </w:rPr>
        <w:t xml:space="preserve"> </w:t>
      </w:r>
      <w:r w:rsidR="00816AB5" w:rsidRPr="008726D3">
        <w:rPr>
          <w:rFonts w:ascii="Bookman Old Style" w:hAnsi="Bookman Old Style"/>
          <w:sz w:val="24"/>
          <w:szCs w:val="24"/>
        </w:rPr>
        <w:t>delle</w:t>
      </w:r>
      <w:r w:rsidR="008F3DE8">
        <w:rPr>
          <w:rFonts w:ascii="Bookman Old Style" w:hAnsi="Bookman Old Style"/>
          <w:sz w:val="24"/>
          <w:szCs w:val="24"/>
        </w:rPr>
        <w:t xml:space="preserve"> </w:t>
      </w:r>
      <w:r w:rsidR="00816AB5" w:rsidRPr="008726D3">
        <w:rPr>
          <w:rFonts w:ascii="Bookman Old Style" w:hAnsi="Bookman Old Style"/>
          <w:sz w:val="24"/>
          <w:szCs w:val="24"/>
        </w:rPr>
        <w:t>Costituzioni</w:t>
      </w:r>
      <w:r w:rsidR="008F3DE8">
        <w:rPr>
          <w:rFonts w:ascii="Bookman Old Style" w:hAnsi="Bookman Old Style"/>
          <w:sz w:val="24"/>
          <w:szCs w:val="24"/>
        </w:rPr>
        <w:t xml:space="preserve"> </w:t>
      </w:r>
      <w:r w:rsidR="00816AB5" w:rsidRPr="008726D3">
        <w:rPr>
          <w:rFonts w:ascii="Bookman Old Style" w:hAnsi="Bookman Old Style"/>
          <w:sz w:val="24"/>
          <w:szCs w:val="24"/>
        </w:rPr>
        <w:t>democratiche,</w:t>
      </w:r>
      <w:r w:rsidR="008F3DE8">
        <w:rPr>
          <w:rFonts w:ascii="Bookman Old Style" w:hAnsi="Bookman Old Style"/>
          <w:sz w:val="24"/>
          <w:szCs w:val="24"/>
        </w:rPr>
        <w:t xml:space="preserve"> </w:t>
      </w:r>
      <w:r w:rsidR="00816AB5" w:rsidRPr="008726D3">
        <w:rPr>
          <w:rFonts w:ascii="Bookman Old Style" w:hAnsi="Bookman Old Style"/>
          <w:sz w:val="24"/>
          <w:szCs w:val="24"/>
        </w:rPr>
        <w:t>ma</w:t>
      </w:r>
      <w:r w:rsidR="008F3DE8">
        <w:rPr>
          <w:rFonts w:ascii="Bookman Old Style" w:hAnsi="Bookman Old Style"/>
          <w:sz w:val="24"/>
          <w:szCs w:val="24"/>
        </w:rPr>
        <w:t xml:space="preserve"> </w:t>
      </w:r>
      <w:r w:rsidR="00816AB5" w:rsidRPr="008726D3">
        <w:rPr>
          <w:rFonts w:ascii="Bookman Old Style" w:hAnsi="Bookman Old Style"/>
          <w:sz w:val="24"/>
          <w:szCs w:val="24"/>
        </w:rPr>
        <w:t>anche</w:t>
      </w:r>
      <w:r w:rsidR="008F3DE8">
        <w:rPr>
          <w:rFonts w:ascii="Bookman Old Style" w:hAnsi="Bookman Old Style"/>
          <w:sz w:val="24"/>
          <w:szCs w:val="24"/>
        </w:rPr>
        <w:t xml:space="preserve"> </w:t>
      </w:r>
      <w:r w:rsidR="00816AB5" w:rsidRPr="008726D3">
        <w:rPr>
          <w:rFonts w:ascii="Bookman Old Style" w:hAnsi="Bookman Old Style"/>
          <w:sz w:val="24"/>
          <w:szCs w:val="24"/>
        </w:rPr>
        <w:t>da</w:t>
      </w:r>
      <w:r w:rsidR="008F3DE8">
        <w:rPr>
          <w:rFonts w:ascii="Bookman Old Style" w:hAnsi="Bookman Old Style"/>
          <w:sz w:val="24"/>
          <w:szCs w:val="24"/>
        </w:rPr>
        <w:t xml:space="preserve"> </w:t>
      </w:r>
      <w:r w:rsidR="00816AB5" w:rsidRPr="008726D3">
        <w:rPr>
          <w:rFonts w:ascii="Bookman Old Style" w:hAnsi="Bookman Old Style"/>
          <w:sz w:val="24"/>
          <w:szCs w:val="24"/>
        </w:rPr>
        <w:t>un</w:t>
      </w:r>
      <w:r w:rsidR="008F3DE8">
        <w:rPr>
          <w:rFonts w:ascii="Bookman Old Style" w:hAnsi="Bookman Old Style"/>
          <w:sz w:val="24"/>
          <w:szCs w:val="24"/>
        </w:rPr>
        <w:t xml:space="preserve"> </w:t>
      </w:r>
      <w:r w:rsidR="00816AB5" w:rsidRPr="008726D3">
        <w:rPr>
          <w:rFonts w:ascii="Bookman Old Style" w:hAnsi="Bookman Old Style"/>
          <w:sz w:val="24"/>
          <w:szCs w:val="24"/>
        </w:rPr>
        <w:t>graduale</w:t>
      </w:r>
      <w:r w:rsidR="008F3DE8">
        <w:rPr>
          <w:rFonts w:ascii="Bookman Old Style" w:hAnsi="Bookman Old Style"/>
          <w:sz w:val="24"/>
          <w:szCs w:val="24"/>
        </w:rPr>
        <w:t xml:space="preserve"> </w:t>
      </w:r>
      <w:r w:rsidR="00816AB5" w:rsidRPr="008726D3">
        <w:rPr>
          <w:rFonts w:ascii="Bookman Old Style" w:hAnsi="Bookman Old Style"/>
          <w:sz w:val="24"/>
          <w:szCs w:val="24"/>
        </w:rPr>
        <w:t>ampliamento</w:t>
      </w:r>
      <w:r w:rsidR="008F3DE8">
        <w:rPr>
          <w:rFonts w:ascii="Bookman Old Style" w:hAnsi="Bookman Old Style"/>
          <w:sz w:val="24"/>
          <w:szCs w:val="24"/>
        </w:rPr>
        <w:t xml:space="preserve"> </w:t>
      </w:r>
      <w:r w:rsidR="00816AB5" w:rsidRPr="008726D3">
        <w:rPr>
          <w:rFonts w:ascii="Bookman Old Style" w:hAnsi="Bookman Old Style"/>
          <w:sz w:val="24"/>
          <w:szCs w:val="24"/>
        </w:rPr>
        <w:t>della</w:t>
      </w:r>
      <w:r w:rsidR="008F3DE8">
        <w:rPr>
          <w:rFonts w:ascii="Bookman Old Style" w:hAnsi="Bookman Old Style"/>
          <w:sz w:val="24"/>
          <w:szCs w:val="24"/>
        </w:rPr>
        <w:t xml:space="preserve"> </w:t>
      </w:r>
      <w:r w:rsidR="00816AB5" w:rsidRPr="008726D3">
        <w:rPr>
          <w:rFonts w:ascii="Bookman Old Style" w:hAnsi="Bookman Old Style"/>
          <w:sz w:val="24"/>
          <w:szCs w:val="24"/>
        </w:rPr>
        <w:t>problematica</w:t>
      </w:r>
      <w:r w:rsidR="008F3DE8">
        <w:rPr>
          <w:rFonts w:ascii="Bookman Old Style" w:hAnsi="Bookman Old Style"/>
          <w:sz w:val="24"/>
          <w:szCs w:val="24"/>
        </w:rPr>
        <w:t xml:space="preserve"> </w:t>
      </w:r>
      <w:r w:rsidR="00816AB5" w:rsidRPr="008726D3">
        <w:rPr>
          <w:rFonts w:ascii="Bookman Old Style" w:hAnsi="Bookman Old Style"/>
          <w:sz w:val="24"/>
          <w:szCs w:val="24"/>
        </w:rPr>
        <w:t>dei</w:t>
      </w:r>
      <w:r w:rsidR="008F3DE8">
        <w:rPr>
          <w:rFonts w:ascii="Bookman Old Style" w:hAnsi="Bookman Old Style"/>
          <w:sz w:val="24"/>
          <w:szCs w:val="24"/>
        </w:rPr>
        <w:t xml:space="preserve"> </w:t>
      </w:r>
      <w:r w:rsidR="00816AB5" w:rsidRPr="008726D3">
        <w:rPr>
          <w:rFonts w:ascii="Bookman Old Style" w:hAnsi="Bookman Old Style"/>
          <w:sz w:val="24"/>
          <w:szCs w:val="24"/>
        </w:rPr>
        <w:t>diritti</w:t>
      </w:r>
      <w:r w:rsidR="008F3DE8">
        <w:rPr>
          <w:rFonts w:ascii="Bookman Old Style" w:hAnsi="Bookman Old Style"/>
          <w:sz w:val="24"/>
          <w:szCs w:val="24"/>
        </w:rPr>
        <w:t xml:space="preserve"> </w:t>
      </w:r>
      <w:r w:rsidR="00816AB5" w:rsidRPr="008726D3">
        <w:rPr>
          <w:rFonts w:ascii="Bookman Old Style" w:hAnsi="Bookman Old Style"/>
          <w:sz w:val="24"/>
          <w:szCs w:val="24"/>
        </w:rPr>
        <w:t>dell’uomo,</w:t>
      </w:r>
      <w:r w:rsidR="008F3DE8">
        <w:rPr>
          <w:rFonts w:ascii="Bookman Old Style" w:hAnsi="Bookman Old Style"/>
          <w:sz w:val="24"/>
          <w:szCs w:val="24"/>
        </w:rPr>
        <w:t xml:space="preserve"> </w:t>
      </w:r>
      <w:r w:rsidR="00816AB5" w:rsidRPr="008726D3">
        <w:rPr>
          <w:rFonts w:ascii="Bookman Old Style" w:hAnsi="Bookman Old Style"/>
          <w:sz w:val="24"/>
          <w:szCs w:val="24"/>
        </w:rPr>
        <w:t>la</w:t>
      </w:r>
      <w:r w:rsidR="008F3DE8">
        <w:rPr>
          <w:rFonts w:ascii="Bookman Old Style" w:hAnsi="Bookman Old Style"/>
          <w:sz w:val="24"/>
          <w:szCs w:val="24"/>
        </w:rPr>
        <w:t xml:space="preserve"> </w:t>
      </w:r>
      <w:r w:rsidR="00816AB5" w:rsidRPr="008726D3">
        <w:rPr>
          <w:rFonts w:ascii="Bookman Old Style" w:hAnsi="Bookman Old Style"/>
          <w:sz w:val="24"/>
          <w:szCs w:val="24"/>
        </w:rPr>
        <w:t>cui</w:t>
      </w:r>
      <w:r w:rsidR="008F3DE8">
        <w:rPr>
          <w:rFonts w:ascii="Bookman Old Style" w:hAnsi="Bookman Old Style"/>
          <w:sz w:val="24"/>
          <w:szCs w:val="24"/>
        </w:rPr>
        <w:t xml:space="preserve"> </w:t>
      </w:r>
      <w:r w:rsidR="00816AB5" w:rsidRPr="008726D3">
        <w:rPr>
          <w:rFonts w:ascii="Bookman Old Style" w:hAnsi="Bookman Old Style"/>
          <w:sz w:val="24"/>
          <w:szCs w:val="24"/>
        </w:rPr>
        <w:t>rilevanza</w:t>
      </w:r>
      <w:r w:rsidR="008F3DE8">
        <w:rPr>
          <w:rFonts w:ascii="Bookman Old Style" w:hAnsi="Bookman Old Style"/>
          <w:sz w:val="24"/>
          <w:szCs w:val="24"/>
        </w:rPr>
        <w:t xml:space="preserve"> </w:t>
      </w:r>
      <w:r w:rsidR="00486DB5">
        <w:rPr>
          <w:rFonts w:ascii="Bookman Old Style" w:hAnsi="Bookman Old Style"/>
          <w:sz w:val="24"/>
          <w:szCs w:val="24"/>
        </w:rPr>
        <w:t xml:space="preserve">da </w:t>
      </w:r>
      <w:r w:rsidR="00816AB5" w:rsidRPr="008726D3">
        <w:rPr>
          <w:rFonts w:ascii="Bookman Old Style" w:hAnsi="Bookman Old Style"/>
          <w:sz w:val="24"/>
          <w:szCs w:val="24"/>
        </w:rPr>
        <w:t>interna</w:t>
      </w:r>
      <w:r w:rsidR="00486DB5">
        <w:rPr>
          <w:rFonts w:ascii="Bookman Old Style" w:hAnsi="Bookman Old Style"/>
          <w:sz w:val="24"/>
          <w:szCs w:val="24"/>
        </w:rPr>
        <w:t xml:space="preserve"> è divenuta </w:t>
      </w:r>
      <w:r w:rsidR="00816AB5" w:rsidRPr="008726D3">
        <w:rPr>
          <w:rFonts w:ascii="Bookman Old Style" w:hAnsi="Bookman Old Style"/>
          <w:sz w:val="24"/>
          <w:szCs w:val="24"/>
        </w:rPr>
        <w:t>interstatale</w:t>
      </w:r>
      <w:r w:rsidR="008F3DE8">
        <w:rPr>
          <w:rFonts w:ascii="Bookman Old Style" w:hAnsi="Bookman Old Style"/>
          <w:sz w:val="24"/>
          <w:szCs w:val="24"/>
        </w:rPr>
        <w:t xml:space="preserve"> </w:t>
      </w:r>
      <w:r w:rsidR="00816AB5" w:rsidRPr="008726D3">
        <w:rPr>
          <w:rFonts w:ascii="Bookman Old Style" w:hAnsi="Bookman Old Style"/>
          <w:sz w:val="24"/>
          <w:szCs w:val="24"/>
        </w:rPr>
        <w:t>(o</w:t>
      </w:r>
      <w:r w:rsidR="008F3DE8">
        <w:rPr>
          <w:rFonts w:ascii="Bookman Old Style" w:hAnsi="Bookman Old Style"/>
          <w:sz w:val="24"/>
          <w:szCs w:val="24"/>
        </w:rPr>
        <w:t xml:space="preserve"> </w:t>
      </w:r>
      <w:r w:rsidR="00816AB5" w:rsidRPr="008726D3">
        <w:rPr>
          <w:rFonts w:ascii="Bookman Old Style" w:hAnsi="Bookman Old Style"/>
          <w:sz w:val="24"/>
          <w:szCs w:val="24"/>
        </w:rPr>
        <w:t>sovranazionale).</w:t>
      </w:r>
      <w:r w:rsidR="00C81E0F">
        <w:rPr>
          <w:rFonts w:ascii="Bookman Old Style" w:hAnsi="Bookman Old Style"/>
          <w:sz w:val="24"/>
          <w:szCs w:val="24"/>
        </w:rPr>
        <w:t xml:space="preserve"> </w:t>
      </w:r>
      <w:r w:rsidR="00816AB5" w:rsidRPr="008726D3">
        <w:rPr>
          <w:rFonts w:ascii="Bookman Old Style" w:hAnsi="Bookman Old Style"/>
          <w:sz w:val="24"/>
          <w:szCs w:val="24"/>
        </w:rPr>
        <w:t>Si</w:t>
      </w:r>
      <w:r w:rsidR="008F3DE8">
        <w:rPr>
          <w:rFonts w:ascii="Bookman Old Style" w:hAnsi="Bookman Old Style"/>
          <w:sz w:val="24"/>
          <w:szCs w:val="24"/>
        </w:rPr>
        <w:t xml:space="preserve"> </w:t>
      </w:r>
      <w:r w:rsidR="008A2A64" w:rsidRPr="008726D3">
        <w:rPr>
          <w:rFonts w:ascii="Bookman Old Style" w:hAnsi="Bookman Old Style"/>
          <w:sz w:val="24"/>
          <w:szCs w:val="24"/>
        </w:rPr>
        <w:t>è</w:t>
      </w:r>
      <w:r w:rsidR="008F3DE8">
        <w:rPr>
          <w:rFonts w:ascii="Bookman Old Style" w:hAnsi="Bookman Old Style"/>
          <w:sz w:val="24"/>
          <w:szCs w:val="24"/>
        </w:rPr>
        <w:t xml:space="preserve"> </w:t>
      </w:r>
      <w:r w:rsidR="00816AB5" w:rsidRPr="008726D3">
        <w:rPr>
          <w:rFonts w:ascii="Bookman Old Style" w:hAnsi="Bookman Old Style"/>
          <w:sz w:val="24"/>
          <w:szCs w:val="24"/>
        </w:rPr>
        <w:t>assist</w:t>
      </w:r>
      <w:r w:rsidR="008A2A64" w:rsidRPr="008726D3">
        <w:rPr>
          <w:rFonts w:ascii="Bookman Old Style" w:hAnsi="Bookman Old Style"/>
          <w:sz w:val="24"/>
          <w:szCs w:val="24"/>
        </w:rPr>
        <w:t>ito</w:t>
      </w:r>
      <w:r w:rsidR="00816AB5" w:rsidRPr="008726D3">
        <w:rPr>
          <w:rFonts w:ascii="Bookman Old Style" w:hAnsi="Bookman Old Style"/>
          <w:sz w:val="24"/>
          <w:szCs w:val="24"/>
        </w:rPr>
        <w:t>,</w:t>
      </w:r>
      <w:r w:rsidR="008F3DE8">
        <w:rPr>
          <w:rFonts w:ascii="Bookman Old Style" w:hAnsi="Bookman Old Style"/>
          <w:sz w:val="24"/>
          <w:szCs w:val="24"/>
        </w:rPr>
        <w:t xml:space="preserve"> </w:t>
      </w:r>
      <w:r w:rsidR="00816AB5" w:rsidRPr="008726D3">
        <w:rPr>
          <w:rFonts w:ascii="Bookman Old Style" w:hAnsi="Bookman Old Style"/>
          <w:sz w:val="24"/>
          <w:szCs w:val="24"/>
        </w:rPr>
        <w:t>infatti,</w:t>
      </w:r>
      <w:r w:rsidR="008F3DE8">
        <w:rPr>
          <w:rFonts w:ascii="Bookman Old Style" w:hAnsi="Bookman Old Style"/>
          <w:sz w:val="24"/>
          <w:szCs w:val="24"/>
        </w:rPr>
        <w:t xml:space="preserve"> </w:t>
      </w:r>
      <w:r w:rsidR="00816AB5" w:rsidRPr="008726D3">
        <w:rPr>
          <w:rFonts w:ascii="Bookman Old Style" w:hAnsi="Bookman Old Style"/>
          <w:sz w:val="24"/>
          <w:szCs w:val="24"/>
        </w:rPr>
        <w:t>ad</w:t>
      </w:r>
      <w:r w:rsidR="008F3DE8">
        <w:rPr>
          <w:rFonts w:ascii="Bookman Old Style" w:hAnsi="Bookman Old Style"/>
          <w:sz w:val="24"/>
          <w:szCs w:val="24"/>
        </w:rPr>
        <w:t xml:space="preserve"> </w:t>
      </w:r>
      <w:r w:rsidR="00816AB5" w:rsidRPr="008726D3">
        <w:rPr>
          <w:rFonts w:ascii="Bookman Old Style" w:hAnsi="Bookman Old Style"/>
          <w:sz w:val="24"/>
          <w:szCs w:val="24"/>
        </w:rPr>
        <w:t>un</w:t>
      </w:r>
      <w:r w:rsidR="008F3DE8">
        <w:rPr>
          <w:rFonts w:ascii="Bookman Old Style" w:hAnsi="Bookman Old Style"/>
          <w:sz w:val="24"/>
          <w:szCs w:val="24"/>
        </w:rPr>
        <w:t xml:space="preserve"> </w:t>
      </w:r>
      <w:r w:rsidR="00816AB5" w:rsidRPr="008726D3">
        <w:rPr>
          <w:rFonts w:ascii="Bookman Old Style" w:hAnsi="Bookman Old Style"/>
          <w:sz w:val="24"/>
          <w:szCs w:val="24"/>
        </w:rPr>
        <w:t>progressivo</w:t>
      </w:r>
      <w:r w:rsidR="008F3DE8">
        <w:rPr>
          <w:rFonts w:ascii="Bookman Old Style" w:hAnsi="Bookman Old Style"/>
          <w:sz w:val="24"/>
          <w:szCs w:val="24"/>
        </w:rPr>
        <w:t xml:space="preserve"> </w:t>
      </w:r>
      <w:r w:rsidR="00816AB5" w:rsidRPr="008726D3">
        <w:rPr>
          <w:rFonts w:ascii="Bookman Old Style" w:hAnsi="Bookman Old Style"/>
          <w:sz w:val="24"/>
          <w:szCs w:val="24"/>
        </w:rPr>
        <w:t>fenomeno</w:t>
      </w:r>
      <w:r w:rsidR="008F3DE8">
        <w:rPr>
          <w:rFonts w:ascii="Bookman Old Style" w:hAnsi="Bookman Old Style"/>
          <w:sz w:val="24"/>
          <w:szCs w:val="24"/>
        </w:rPr>
        <w:t xml:space="preserve"> </w:t>
      </w:r>
      <w:r w:rsidR="00816AB5" w:rsidRPr="008726D3">
        <w:rPr>
          <w:rFonts w:ascii="Bookman Old Style" w:hAnsi="Bookman Old Style"/>
          <w:sz w:val="24"/>
          <w:szCs w:val="24"/>
        </w:rPr>
        <w:t>di</w:t>
      </w:r>
      <w:r w:rsidR="008F3DE8">
        <w:rPr>
          <w:rFonts w:ascii="Bookman Old Style" w:hAnsi="Bookman Old Style"/>
          <w:sz w:val="24"/>
          <w:szCs w:val="24"/>
        </w:rPr>
        <w:t xml:space="preserve"> </w:t>
      </w:r>
      <w:r w:rsidR="008A2A64" w:rsidRPr="008726D3">
        <w:rPr>
          <w:rFonts w:ascii="Bookman Old Style" w:hAnsi="Bookman Old Style"/>
          <w:sz w:val="24"/>
          <w:szCs w:val="24"/>
        </w:rPr>
        <w:t>“</w:t>
      </w:r>
      <w:r w:rsidR="00816AB5" w:rsidRPr="008726D3">
        <w:rPr>
          <w:rFonts w:ascii="Bookman Old Style" w:hAnsi="Bookman Old Style"/>
          <w:sz w:val="24"/>
          <w:szCs w:val="24"/>
        </w:rPr>
        <w:t>internazionalizzazione”</w:t>
      </w:r>
      <w:r w:rsidR="008F3DE8">
        <w:rPr>
          <w:rFonts w:ascii="Bookman Old Style" w:hAnsi="Bookman Old Style"/>
          <w:sz w:val="24"/>
          <w:szCs w:val="24"/>
        </w:rPr>
        <w:t xml:space="preserve"> </w:t>
      </w:r>
      <w:r w:rsidR="00816AB5" w:rsidRPr="008726D3">
        <w:rPr>
          <w:rFonts w:ascii="Bookman Old Style" w:hAnsi="Bookman Old Style"/>
          <w:sz w:val="24"/>
          <w:szCs w:val="24"/>
        </w:rPr>
        <w:t>dei</w:t>
      </w:r>
      <w:r w:rsidR="008F3DE8">
        <w:rPr>
          <w:rFonts w:ascii="Bookman Old Style" w:hAnsi="Bookman Old Style"/>
          <w:sz w:val="24"/>
          <w:szCs w:val="24"/>
        </w:rPr>
        <w:t xml:space="preserve"> </w:t>
      </w:r>
      <w:r w:rsidR="00816AB5" w:rsidRPr="008726D3">
        <w:rPr>
          <w:rFonts w:ascii="Bookman Old Style" w:hAnsi="Bookman Old Style"/>
          <w:sz w:val="24"/>
          <w:szCs w:val="24"/>
        </w:rPr>
        <w:t>diritti</w:t>
      </w:r>
      <w:r w:rsidR="008F3DE8">
        <w:rPr>
          <w:rFonts w:ascii="Bookman Old Style" w:hAnsi="Bookman Old Style"/>
          <w:sz w:val="24"/>
          <w:szCs w:val="24"/>
        </w:rPr>
        <w:t xml:space="preserve"> </w:t>
      </w:r>
      <w:r w:rsidR="00816AB5" w:rsidRPr="008726D3">
        <w:rPr>
          <w:rFonts w:ascii="Bookman Old Style" w:hAnsi="Bookman Old Style"/>
          <w:sz w:val="24"/>
          <w:szCs w:val="24"/>
        </w:rPr>
        <w:t>umani,</w:t>
      </w:r>
      <w:r w:rsidR="008F3DE8">
        <w:rPr>
          <w:rFonts w:ascii="Bookman Old Style" w:hAnsi="Bookman Old Style"/>
          <w:sz w:val="24"/>
          <w:szCs w:val="24"/>
        </w:rPr>
        <w:t xml:space="preserve"> </w:t>
      </w:r>
      <w:r w:rsidR="00816AB5" w:rsidRPr="008726D3">
        <w:rPr>
          <w:rFonts w:ascii="Bookman Old Style" w:hAnsi="Bookman Old Style"/>
          <w:sz w:val="24"/>
          <w:szCs w:val="24"/>
        </w:rPr>
        <w:t>nato</w:t>
      </w:r>
      <w:r w:rsidR="008F3DE8">
        <w:rPr>
          <w:rFonts w:ascii="Bookman Old Style" w:hAnsi="Bookman Old Style"/>
          <w:sz w:val="24"/>
          <w:szCs w:val="24"/>
        </w:rPr>
        <w:t xml:space="preserve"> </w:t>
      </w:r>
      <w:r w:rsidR="00816AB5" w:rsidRPr="008726D3">
        <w:rPr>
          <w:rFonts w:ascii="Bookman Old Style" w:hAnsi="Bookman Old Style"/>
          <w:sz w:val="24"/>
          <w:szCs w:val="24"/>
        </w:rPr>
        <w:t>non</w:t>
      </w:r>
      <w:r w:rsidR="008F3DE8">
        <w:rPr>
          <w:rFonts w:ascii="Bookman Old Style" w:hAnsi="Bookman Old Style"/>
          <w:sz w:val="24"/>
          <w:szCs w:val="24"/>
        </w:rPr>
        <w:t xml:space="preserve"> </w:t>
      </w:r>
      <w:r w:rsidR="00816AB5" w:rsidRPr="008726D3">
        <w:rPr>
          <w:rFonts w:ascii="Bookman Old Style" w:hAnsi="Bookman Old Style"/>
          <w:sz w:val="24"/>
          <w:szCs w:val="24"/>
        </w:rPr>
        <w:t>da</w:t>
      </w:r>
      <w:r w:rsidR="008F3DE8">
        <w:rPr>
          <w:rFonts w:ascii="Bookman Old Style" w:hAnsi="Bookman Old Style"/>
          <w:sz w:val="24"/>
          <w:szCs w:val="24"/>
        </w:rPr>
        <w:t xml:space="preserve"> </w:t>
      </w:r>
      <w:r w:rsidR="00816AB5" w:rsidRPr="008726D3">
        <w:rPr>
          <w:rFonts w:ascii="Bookman Old Style" w:hAnsi="Bookman Old Style"/>
          <w:sz w:val="24"/>
          <w:szCs w:val="24"/>
        </w:rPr>
        <w:t>speculazioni</w:t>
      </w:r>
      <w:r w:rsidR="008F3DE8">
        <w:rPr>
          <w:rFonts w:ascii="Bookman Old Style" w:hAnsi="Bookman Old Style"/>
          <w:sz w:val="24"/>
          <w:szCs w:val="24"/>
        </w:rPr>
        <w:t xml:space="preserve"> </w:t>
      </w:r>
      <w:r w:rsidR="00816AB5" w:rsidRPr="008726D3">
        <w:rPr>
          <w:rFonts w:ascii="Bookman Old Style" w:hAnsi="Bookman Old Style"/>
          <w:sz w:val="24"/>
          <w:szCs w:val="24"/>
        </w:rPr>
        <w:t>di</w:t>
      </w:r>
      <w:r w:rsidR="008F3DE8">
        <w:rPr>
          <w:rFonts w:ascii="Bookman Old Style" w:hAnsi="Bookman Old Style"/>
          <w:sz w:val="24"/>
          <w:szCs w:val="24"/>
        </w:rPr>
        <w:t xml:space="preserve"> </w:t>
      </w:r>
      <w:r w:rsidR="00816AB5" w:rsidRPr="008726D3">
        <w:rPr>
          <w:rFonts w:ascii="Bookman Old Style" w:hAnsi="Bookman Old Style"/>
          <w:sz w:val="24"/>
          <w:szCs w:val="24"/>
        </w:rPr>
        <w:t>carattere</w:t>
      </w:r>
      <w:r w:rsidR="008F3DE8">
        <w:rPr>
          <w:rFonts w:ascii="Bookman Old Style" w:hAnsi="Bookman Old Style"/>
          <w:sz w:val="24"/>
          <w:szCs w:val="24"/>
        </w:rPr>
        <w:t xml:space="preserve"> </w:t>
      </w:r>
      <w:r w:rsidR="00816AB5" w:rsidRPr="008726D3">
        <w:rPr>
          <w:rFonts w:ascii="Bookman Old Style" w:hAnsi="Bookman Old Style"/>
          <w:sz w:val="24"/>
          <w:szCs w:val="24"/>
        </w:rPr>
        <w:t>teorico,</w:t>
      </w:r>
      <w:r w:rsidR="008F3DE8">
        <w:rPr>
          <w:rFonts w:ascii="Bookman Old Style" w:hAnsi="Bookman Old Style"/>
          <w:sz w:val="24"/>
          <w:szCs w:val="24"/>
        </w:rPr>
        <w:t xml:space="preserve"> </w:t>
      </w:r>
      <w:r w:rsidR="00816AB5" w:rsidRPr="008726D3">
        <w:rPr>
          <w:rFonts w:ascii="Bookman Old Style" w:hAnsi="Bookman Old Style"/>
          <w:sz w:val="24"/>
          <w:szCs w:val="24"/>
        </w:rPr>
        <w:t>quanto</w:t>
      </w:r>
      <w:r w:rsidR="008F3DE8">
        <w:rPr>
          <w:rFonts w:ascii="Bookman Old Style" w:hAnsi="Bookman Old Style"/>
          <w:sz w:val="24"/>
          <w:szCs w:val="24"/>
        </w:rPr>
        <w:t xml:space="preserve"> </w:t>
      </w:r>
      <w:r w:rsidR="00816AB5" w:rsidRPr="008726D3">
        <w:rPr>
          <w:rFonts w:ascii="Bookman Old Style" w:hAnsi="Bookman Old Style"/>
          <w:sz w:val="24"/>
          <w:szCs w:val="24"/>
        </w:rPr>
        <w:t>dall</w:t>
      </w:r>
      <w:r w:rsidR="00486DB5">
        <w:rPr>
          <w:rFonts w:ascii="Bookman Old Style" w:hAnsi="Bookman Old Style"/>
          <w:sz w:val="24"/>
          <w:szCs w:val="24"/>
        </w:rPr>
        <w:t>’</w:t>
      </w:r>
      <w:r w:rsidR="00816AB5" w:rsidRPr="008726D3">
        <w:rPr>
          <w:rFonts w:ascii="Bookman Old Style" w:hAnsi="Bookman Old Style"/>
          <w:sz w:val="24"/>
          <w:szCs w:val="24"/>
        </w:rPr>
        <w:t>esigenza</w:t>
      </w:r>
      <w:r w:rsidR="008F3DE8">
        <w:rPr>
          <w:rFonts w:ascii="Bookman Old Style" w:hAnsi="Bookman Old Style"/>
          <w:sz w:val="24"/>
          <w:szCs w:val="24"/>
        </w:rPr>
        <w:t xml:space="preserve"> </w:t>
      </w:r>
      <w:r w:rsidR="00816AB5" w:rsidRPr="008726D3">
        <w:rPr>
          <w:rFonts w:ascii="Bookman Old Style" w:hAnsi="Bookman Old Style"/>
          <w:sz w:val="24"/>
          <w:szCs w:val="24"/>
        </w:rPr>
        <w:t>concreta</w:t>
      </w:r>
      <w:r w:rsidR="008F3DE8">
        <w:rPr>
          <w:rFonts w:ascii="Bookman Old Style" w:hAnsi="Bookman Old Style"/>
          <w:sz w:val="24"/>
          <w:szCs w:val="24"/>
        </w:rPr>
        <w:t xml:space="preserve"> </w:t>
      </w:r>
      <w:r w:rsidR="00816AB5" w:rsidRPr="008726D3">
        <w:rPr>
          <w:rFonts w:ascii="Bookman Old Style" w:hAnsi="Bookman Old Style"/>
          <w:sz w:val="24"/>
          <w:szCs w:val="24"/>
        </w:rPr>
        <w:t>di</w:t>
      </w:r>
      <w:r w:rsidR="008F3DE8">
        <w:rPr>
          <w:rFonts w:ascii="Bookman Old Style" w:hAnsi="Bookman Old Style"/>
          <w:sz w:val="24"/>
          <w:szCs w:val="24"/>
        </w:rPr>
        <w:t xml:space="preserve"> </w:t>
      </w:r>
      <w:r w:rsidR="00816AB5" w:rsidRPr="008726D3">
        <w:rPr>
          <w:rFonts w:ascii="Bookman Old Style" w:hAnsi="Bookman Old Style"/>
          <w:sz w:val="24"/>
          <w:szCs w:val="24"/>
        </w:rPr>
        <w:t>salvaguardare</w:t>
      </w:r>
      <w:r w:rsidR="008F3DE8">
        <w:rPr>
          <w:rFonts w:ascii="Bookman Old Style" w:hAnsi="Bookman Old Style"/>
          <w:sz w:val="24"/>
          <w:szCs w:val="24"/>
        </w:rPr>
        <w:t xml:space="preserve"> </w:t>
      </w:r>
      <w:r w:rsidR="00816AB5" w:rsidRPr="008726D3">
        <w:rPr>
          <w:rFonts w:ascii="Bookman Old Style" w:hAnsi="Bookman Old Style"/>
          <w:sz w:val="24"/>
          <w:szCs w:val="24"/>
        </w:rPr>
        <w:t>l’insieme</w:t>
      </w:r>
      <w:r w:rsidR="008F3DE8">
        <w:rPr>
          <w:rFonts w:ascii="Bookman Old Style" w:hAnsi="Bookman Old Style"/>
          <w:sz w:val="24"/>
          <w:szCs w:val="24"/>
        </w:rPr>
        <w:t xml:space="preserve"> </w:t>
      </w:r>
      <w:r w:rsidR="00816AB5" w:rsidRPr="008726D3">
        <w:rPr>
          <w:rFonts w:ascii="Bookman Old Style" w:hAnsi="Bookman Old Style"/>
          <w:sz w:val="24"/>
          <w:szCs w:val="24"/>
        </w:rPr>
        <w:t>dei</w:t>
      </w:r>
      <w:r w:rsidR="008F3DE8">
        <w:rPr>
          <w:rFonts w:ascii="Bookman Old Style" w:hAnsi="Bookman Old Style"/>
          <w:sz w:val="24"/>
          <w:szCs w:val="24"/>
        </w:rPr>
        <w:t xml:space="preserve"> </w:t>
      </w:r>
      <w:r w:rsidR="00816AB5" w:rsidRPr="008726D3">
        <w:rPr>
          <w:rFonts w:ascii="Bookman Old Style" w:hAnsi="Bookman Old Style"/>
          <w:sz w:val="24"/>
          <w:szCs w:val="24"/>
        </w:rPr>
        <w:t>valori</w:t>
      </w:r>
      <w:r w:rsidR="008F3DE8">
        <w:rPr>
          <w:rFonts w:ascii="Bookman Old Style" w:hAnsi="Bookman Old Style"/>
          <w:sz w:val="24"/>
          <w:szCs w:val="24"/>
        </w:rPr>
        <w:t xml:space="preserve"> </w:t>
      </w:r>
      <w:r w:rsidR="00816AB5" w:rsidRPr="008726D3">
        <w:rPr>
          <w:rFonts w:ascii="Bookman Old Style" w:hAnsi="Bookman Old Style"/>
          <w:sz w:val="24"/>
          <w:szCs w:val="24"/>
        </w:rPr>
        <w:t>relativi</w:t>
      </w:r>
      <w:r w:rsidR="008F3DE8">
        <w:rPr>
          <w:rFonts w:ascii="Bookman Old Style" w:hAnsi="Bookman Old Style"/>
          <w:sz w:val="24"/>
          <w:szCs w:val="24"/>
        </w:rPr>
        <w:t xml:space="preserve"> </w:t>
      </w:r>
      <w:r w:rsidR="00816AB5" w:rsidRPr="008726D3">
        <w:rPr>
          <w:rFonts w:ascii="Bookman Old Style" w:hAnsi="Bookman Old Style"/>
          <w:sz w:val="24"/>
          <w:szCs w:val="24"/>
        </w:rPr>
        <w:t>alla</w:t>
      </w:r>
      <w:r w:rsidR="008F3DE8">
        <w:rPr>
          <w:rFonts w:ascii="Bookman Old Style" w:hAnsi="Bookman Old Style"/>
          <w:sz w:val="24"/>
          <w:szCs w:val="24"/>
        </w:rPr>
        <w:t xml:space="preserve"> </w:t>
      </w:r>
      <w:r w:rsidR="00816AB5" w:rsidRPr="008726D3">
        <w:rPr>
          <w:rFonts w:ascii="Bookman Old Style" w:hAnsi="Bookman Old Style"/>
          <w:sz w:val="24"/>
          <w:szCs w:val="24"/>
        </w:rPr>
        <w:t>persona</w:t>
      </w:r>
      <w:r w:rsidR="008F3DE8">
        <w:rPr>
          <w:rFonts w:ascii="Bookman Old Style" w:hAnsi="Bookman Old Style"/>
          <w:sz w:val="24"/>
          <w:szCs w:val="24"/>
        </w:rPr>
        <w:t xml:space="preserve"> </w:t>
      </w:r>
      <w:r w:rsidR="00816AB5" w:rsidRPr="008726D3">
        <w:rPr>
          <w:rFonts w:ascii="Bookman Old Style" w:hAnsi="Bookman Old Style"/>
          <w:sz w:val="24"/>
          <w:szCs w:val="24"/>
        </w:rPr>
        <w:t>umana</w:t>
      </w:r>
      <w:r w:rsidR="008F3DE8">
        <w:rPr>
          <w:rFonts w:ascii="Bookman Old Style" w:hAnsi="Bookman Old Style"/>
          <w:sz w:val="24"/>
          <w:szCs w:val="24"/>
        </w:rPr>
        <w:t xml:space="preserve"> </w:t>
      </w:r>
      <w:r w:rsidR="00816AB5" w:rsidRPr="008726D3">
        <w:rPr>
          <w:rFonts w:ascii="Bookman Old Style" w:hAnsi="Bookman Old Style"/>
          <w:sz w:val="24"/>
          <w:szCs w:val="24"/>
        </w:rPr>
        <w:t>al</w:t>
      </w:r>
      <w:r w:rsidR="008F3DE8">
        <w:rPr>
          <w:rFonts w:ascii="Bookman Old Style" w:hAnsi="Bookman Old Style"/>
          <w:sz w:val="24"/>
          <w:szCs w:val="24"/>
        </w:rPr>
        <w:t xml:space="preserve"> </w:t>
      </w:r>
      <w:r w:rsidR="00816AB5" w:rsidRPr="008726D3">
        <w:rPr>
          <w:rFonts w:ascii="Bookman Old Style" w:hAnsi="Bookman Old Style"/>
          <w:sz w:val="24"/>
          <w:szCs w:val="24"/>
        </w:rPr>
        <w:t>di</w:t>
      </w:r>
      <w:r w:rsidR="008F3DE8">
        <w:rPr>
          <w:rFonts w:ascii="Bookman Old Style" w:hAnsi="Bookman Old Style"/>
          <w:sz w:val="24"/>
          <w:szCs w:val="24"/>
        </w:rPr>
        <w:t xml:space="preserve"> </w:t>
      </w:r>
      <w:r w:rsidR="00816AB5" w:rsidRPr="008726D3">
        <w:rPr>
          <w:rFonts w:ascii="Bookman Old Style" w:hAnsi="Bookman Old Style"/>
          <w:sz w:val="24"/>
          <w:szCs w:val="24"/>
        </w:rPr>
        <w:t>là</w:t>
      </w:r>
      <w:r w:rsidR="00B125D7" w:rsidRPr="008726D3">
        <w:rPr>
          <w:rFonts w:ascii="Bookman Old Style" w:hAnsi="Bookman Old Style"/>
          <w:sz w:val="24"/>
          <w:szCs w:val="24"/>
        </w:rPr>
        <w:t>,</w:t>
      </w:r>
      <w:r w:rsidR="008F3DE8">
        <w:rPr>
          <w:rFonts w:ascii="Bookman Old Style" w:hAnsi="Bookman Old Style"/>
          <w:sz w:val="24"/>
          <w:szCs w:val="24"/>
        </w:rPr>
        <w:t xml:space="preserve"> </w:t>
      </w:r>
      <w:r w:rsidR="00B125D7" w:rsidRPr="008726D3">
        <w:rPr>
          <w:rFonts w:ascii="Bookman Old Style" w:hAnsi="Bookman Old Style"/>
          <w:sz w:val="24"/>
          <w:szCs w:val="24"/>
        </w:rPr>
        <w:t>s</w:t>
      </w:r>
      <w:r w:rsidR="00816AB5" w:rsidRPr="008726D3">
        <w:rPr>
          <w:rFonts w:ascii="Bookman Old Style" w:hAnsi="Bookman Old Style"/>
          <w:sz w:val="24"/>
          <w:szCs w:val="24"/>
        </w:rPr>
        <w:t>e</w:t>
      </w:r>
      <w:r w:rsidR="008F3DE8">
        <w:rPr>
          <w:rFonts w:ascii="Bookman Old Style" w:hAnsi="Bookman Old Style"/>
          <w:sz w:val="24"/>
          <w:szCs w:val="24"/>
        </w:rPr>
        <w:t xml:space="preserve"> </w:t>
      </w:r>
      <w:r w:rsidR="00B125D7" w:rsidRPr="008726D3">
        <w:rPr>
          <w:rFonts w:ascii="Bookman Old Style" w:hAnsi="Bookman Old Style"/>
          <w:sz w:val="24"/>
          <w:szCs w:val="24"/>
        </w:rPr>
        <w:t>non</w:t>
      </w:r>
      <w:r w:rsidR="008F3DE8">
        <w:rPr>
          <w:rFonts w:ascii="Bookman Old Style" w:hAnsi="Bookman Old Style"/>
          <w:sz w:val="24"/>
          <w:szCs w:val="24"/>
        </w:rPr>
        <w:t xml:space="preserve"> </w:t>
      </w:r>
      <w:r w:rsidR="00B125D7" w:rsidRPr="008726D3">
        <w:rPr>
          <w:rFonts w:ascii="Bookman Old Style" w:hAnsi="Bookman Old Style"/>
          <w:sz w:val="24"/>
          <w:szCs w:val="24"/>
        </w:rPr>
        <w:t>addirittura</w:t>
      </w:r>
      <w:r w:rsidR="008F3DE8">
        <w:rPr>
          <w:rFonts w:ascii="Bookman Old Style" w:hAnsi="Bookman Old Style"/>
          <w:sz w:val="24"/>
          <w:szCs w:val="24"/>
        </w:rPr>
        <w:t xml:space="preserve"> </w:t>
      </w:r>
      <w:r w:rsidR="00B125D7" w:rsidRPr="008726D3">
        <w:rPr>
          <w:rFonts w:ascii="Bookman Old Style" w:hAnsi="Bookman Old Style"/>
          <w:sz w:val="24"/>
          <w:szCs w:val="24"/>
        </w:rPr>
        <w:t>-</w:t>
      </w:r>
      <w:r w:rsidR="008F3DE8">
        <w:rPr>
          <w:rFonts w:ascii="Bookman Old Style" w:hAnsi="Bookman Old Style"/>
          <w:sz w:val="24"/>
          <w:szCs w:val="24"/>
        </w:rPr>
        <w:t xml:space="preserve"> </w:t>
      </w:r>
      <w:r w:rsidR="00B125D7" w:rsidRPr="008726D3">
        <w:rPr>
          <w:rFonts w:ascii="Bookman Old Style" w:hAnsi="Bookman Old Style"/>
          <w:sz w:val="24"/>
          <w:szCs w:val="24"/>
        </w:rPr>
        <w:t>in</w:t>
      </w:r>
      <w:r w:rsidR="008F3DE8">
        <w:rPr>
          <w:rFonts w:ascii="Bookman Old Style" w:hAnsi="Bookman Old Style"/>
          <w:sz w:val="24"/>
          <w:szCs w:val="24"/>
        </w:rPr>
        <w:t xml:space="preserve"> </w:t>
      </w:r>
      <w:r w:rsidR="00B125D7" w:rsidRPr="008726D3">
        <w:rPr>
          <w:rFonts w:ascii="Bookman Old Style" w:hAnsi="Bookman Old Style"/>
          <w:sz w:val="24"/>
          <w:szCs w:val="24"/>
        </w:rPr>
        <w:t>alcuni</w:t>
      </w:r>
      <w:r w:rsidR="008F3DE8">
        <w:rPr>
          <w:rFonts w:ascii="Bookman Old Style" w:hAnsi="Bookman Old Style"/>
          <w:sz w:val="24"/>
          <w:szCs w:val="24"/>
        </w:rPr>
        <w:t xml:space="preserve"> </w:t>
      </w:r>
      <w:r w:rsidR="00B125D7" w:rsidRPr="008726D3">
        <w:rPr>
          <w:rFonts w:ascii="Bookman Old Style" w:hAnsi="Bookman Old Style"/>
          <w:sz w:val="24"/>
          <w:szCs w:val="24"/>
        </w:rPr>
        <w:t>casi</w:t>
      </w:r>
      <w:r w:rsidR="008F3DE8">
        <w:rPr>
          <w:rFonts w:ascii="Bookman Old Style" w:hAnsi="Bookman Old Style"/>
          <w:sz w:val="24"/>
          <w:szCs w:val="24"/>
        </w:rPr>
        <w:t xml:space="preserve"> </w:t>
      </w:r>
      <w:r w:rsidR="00B125D7" w:rsidRPr="008726D3">
        <w:rPr>
          <w:rFonts w:ascii="Bookman Old Style" w:hAnsi="Bookman Old Style"/>
          <w:sz w:val="24"/>
          <w:szCs w:val="24"/>
        </w:rPr>
        <w:t>-</w:t>
      </w:r>
      <w:r w:rsidR="008F3DE8">
        <w:rPr>
          <w:rFonts w:ascii="Bookman Old Style" w:hAnsi="Bookman Old Style"/>
          <w:sz w:val="24"/>
          <w:szCs w:val="24"/>
        </w:rPr>
        <w:t xml:space="preserve"> </w:t>
      </w:r>
      <w:r w:rsidR="00816AB5" w:rsidRPr="008726D3">
        <w:rPr>
          <w:rFonts w:ascii="Bookman Old Style" w:hAnsi="Bookman Old Style"/>
          <w:sz w:val="24"/>
          <w:szCs w:val="24"/>
        </w:rPr>
        <w:t>contro</w:t>
      </w:r>
      <w:r w:rsidR="008F3DE8">
        <w:rPr>
          <w:rFonts w:ascii="Bookman Old Style" w:hAnsi="Bookman Old Style"/>
          <w:sz w:val="24"/>
          <w:szCs w:val="24"/>
        </w:rPr>
        <w:t xml:space="preserve"> </w:t>
      </w:r>
      <w:r w:rsidR="00816AB5" w:rsidRPr="008726D3">
        <w:rPr>
          <w:rFonts w:ascii="Bookman Old Style" w:hAnsi="Bookman Old Style"/>
          <w:sz w:val="24"/>
          <w:szCs w:val="24"/>
        </w:rPr>
        <w:t>la</w:t>
      </w:r>
      <w:r w:rsidR="008F3DE8">
        <w:rPr>
          <w:rFonts w:ascii="Bookman Old Style" w:hAnsi="Bookman Old Style"/>
          <w:sz w:val="24"/>
          <w:szCs w:val="24"/>
        </w:rPr>
        <w:t xml:space="preserve"> </w:t>
      </w:r>
      <w:r w:rsidR="00816AB5" w:rsidRPr="008726D3">
        <w:rPr>
          <w:rFonts w:ascii="Bookman Old Style" w:hAnsi="Bookman Old Style"/>
          <w:sz w:val="24"/>
          <w:szCs w:val="24"/>
        </w:rPr>
        <w:t>sovranità</w:t>
      </w:r>
      <w:r w:rsidR="008F3DE8">
        <w:rPr>
          <w:rFonts w:ascii="Bookman Old Style" w:hAnsi="Bookman Old Style"/>
          <w:sz w:val="24"/>
          <w:szCs w:val="24"/>
        </w:rPr>
        <w:t xml:space="preserve"> </w:t>
      </w:r>
      <w:r w:rsidR="00816AB5" w:rsidRPr="008726D3">
        <w:rPr>
          <w:rFonts w:ascii="Bookman Old Style" w:hAnsi="Bookman Old Style"/>
          <w:sz w:val="24"/>
          <w:szCs w:val="24"/>
        </w:rPr>
        <w:t>dei</w:t>
      </w:r>
      <w:r w:rsidR="008F3DE8">
        <w:rPr>
          <w:rFonts w:ascii="Bookman Old Style" w:hAnsi="Bookman Old Style"/>
          <w:sz w:val="24"/>
          <w:szCs w:val="24"/>
        </w:rPr>
        <w:t xml:space="preserve"> </w:t>
      </w:r>
      <w:r w:rsidR="00816AB5" w:rsidRPr="008726D3">
        <w:rPr>
          <w:rFonts w:ascii="Bookman Old Style" w:hAnsi="Bookman Old Style"/>
          <w:sz w:val="24"/>
          <w:szCs w:val="24"/>
        </w:rPr>
        <w:t>singoli</w:t>
      </w:r>
      <w:r w:rsidR="008F3DE8">
        <w:rPr>
          <w:rFonts w:ascii="Bookman Old Style" w:hAnsi="Bookman Old Style"/>
          <w:sz w:val="24"/>
          <w:szCs w:val="24"/>
        </w:rPr>
        <w:t xml:space="preserve"> </w:t>
      </w:r>
      <w:r w:rsidR="00816AB5" w:rsidRPr="008726D3">
        <w:rPr>
          <w:rFonts w:ascii="Bookman Old Style" w:hAnsi="Bookman Old Style"/>
          <w:sz w:val="24"/>
          <w:szCs w:val="24"/>
        </w:rPr>
        <w:t>Stati</w:t>
      </w:r>
      <w:r w:rsidR="00C81E0F">
        <w:rPr>
          <w:rFonts w:ascii="Bookman Old Style" w:hAnsi="Bookman Old Style"/>
          <w:sz w:val="24"/>
          <w:szCs w:val="24"/>
        </w:rPr>
        <w:t xml:space="preserve"> </w:t>
      </w:r>
      <w:r w:rsidR="008A2A64" w:rsidRPr="008726D3">
        <w:rPr>
          <w:rFonts w:ascii="Bookman Old Style" w:hAnsi="Bookman Old Style"/>
          <w:sz w:val="24"/>
          <w:szCs w:val="24"/>
        </w:rPr>
        <w:footnoteReference w:id="16"/>
      </w:r>
      <w:r w:rsidR="00816AB5" w:rsidRPr="008726D3">
        <w:rPr>
          <w:rFonts w:ascii="Bookman Old Style" w:hAnsi="Bookman Old Style"/>
          <w:sz w:val="24"/>
          <w:szCs w:val="24"/>
        </w:rPr>
        <w:t>.</w:t>
      </w:r>
      <w:r w:rsidR="00C81E0F">
        <w:rPr>
          <w:rFonts w:ascii="Bookman Old Style" w:hAnsi="Bookman Old Style"/>
          <w:sz w:val="24"/>
          <w:szCs w:val="24"/>
        </w:rPr>
        <w:t xml:space="preserve"> </w:t>
      </w:r>
      <w:r w:rsidR="00816AB5" w:rsidRPr="008726D3">
        <w:rPr>
          <w:rFonts w:ascii="Bookman Old Style" w:hAnsi="Bookman Old Style"/>
          <w:sz w:val="24"/>
          <w:szCs w:val="24"/>
        </w:rPr>
        <w:t>Su</w:t>
      </w:r>
      <w:r w:rsidR="008F3DE8">
        <w:rPr>
          <w:rFonts w:ascii="Bookman Old Style" w:hAnsi="Bookman Old Style"/>
          <w:sz w:val="24"/>
          <w:szCs w:val="24"/>
        </w:rPr>
        <w:t xml:space="preserve"> </w:t>
      </w:r>
      <w:r w:rsidR="00816AB5" w:rsidRPr="008726D3">
        <w:rPr>
          <w:rFonts w:ascii="Bookman Old Style" w:hAnsi="Bookman Old Style"/>
          <w:sz w:val="24"/>
          <w:szCs w:val="24"/>
        </w:rPr>
        <w:t>queste</w:t>
      </w:r>
      <w:r w:rsidR="008F3DE8">
        <w:rPr>
          <w:rFonts w:ascii="Bookman Old Style" w:hAnsi="Bookman Old Style"/>
          <w:sz w:val="24"/>
          <w:szCs w:val="24"/>
        </w:rPr>
        <w:t xml:space="preserve"> </w:t>
      </w:r>
      <w:r w:rsidR="00816AB5" w:rsidRPr="008726D3">
        <w:rPr>
          <w:rFonts w:ascii="Bookman Old Style" w:hAnsi="Bookman Old Style"/>
          <w:sz w:val="24"/>
          <w:szCs w:val="24"/>
        </w:rPr>
        <w:t>premesse,</w:t>
      </w:r>
      <w:r w:rsidR="008F3DE8">
        <w:rPr>
          <w:rFonts w:ascii="Bookman Old Style" w:hAnsi="Bookman Old Style"/>
          <w:sz w:val="24"/>
          <w:szCs w:val="24"/>
        </w:rPr>
        <w:t xml:space="preserve"> </w:t>
      </w:r>
      <w:r w:rsidR="00816AB5" w:rsidRPr="008726D3">
        <w:rPr>
          <w:rFonts w:ascii="Bookman Old Style" w:hAnsi="Bookman Old Style"/>
          <w:sz w:val="24"/>
          <w:szCs w:val="24"/>
        </w:rPr>
        <w:t>sono</w:t>
      </w:r>
      <w:r w:rsidR="008F3DE8">
        <w:rPr>
          <w:rFonts w:ascii="Bookman Old Style" w:hAnsi="Bookman Old Style"/>
          <w:sz w:val="24"/>
          <w:szCs w:val="24"/>
        </w:rPr>
        <w:t xml:space="preserve"> </w:t>
      </w:r>
      <w:r w:rsidR="00816AB5" w:rsidRPr="008726D3">
        <w:rPr>
          <w:rFonts w:ascii="Bookman Old Style" w:hAnsi="Bookman Old Style"/>
          <w:sz w:val="24"/>
          <w:szCs w:val="24"/>
        </w:rPr>
        <w:t>stati</w:t>
      </w:r>
      <w:r w:rsidR="008F3DE8">
        <w:rPr>
          <w:rFonts w:ascii="Bookman Old Style" w:hAnsi="Bookman Old Style"/>
          <w:sz w:val="24"/>
          <w:szCs w:val="24"/>
        </w:rPr>
        <w:t xml:space="preserve"> </w:t>
      </w:r>
      <w:r w:rsidR="00816AB5" w:rsidRPr="008726D3">
        <w:rPr>
          <w:rFonts w:ascii="Bookman Old Style" w:hAnsi="Bookman Old Style"/>
          <w:sz w:val="24"/>
          <w:szCs w:val="24"/>
        </w:rPr>
        <w:t>formalizzati</w:t>
      </w:r>
      <w:r w:rsidR="008F3DE8">
        <w:rPr>
          <w:rFonts w:ascii="Bookman Old Style" w:hAnsi="Bookman Old Style"/>
          <w:sz w:val="24"/>
          <w:szCs w:val="24"/>
        </w:rPr>
        <w:t xml:space="preserve"> </w:t>
      </w:r>
      <w:r w:rsidR="00816AB5" w:rsidRPr="008726D3">
        <w:rPr>
          <w:rFonts w:ascii="Bookman Old Style" w:hAnsi="Bookman Old Style"/>
          <w:sz w:val="24"/>
          <w:szCs w:val="24"/>
        </w:rPr>
        <w:t>e</w:t>
      </w:r>
      <w:r w:rsidR="008F3DE8">
        <w:rPr>
          <w:rFonts w:ascii="Bookman Old Style" w:hAnsi="Bookman Old Style"/>
          <w:sz w:val="24"/>
          <w:szCs w:val="24"/>
        </w:rPr>
        <w:t xml:space="preserve"> </w:t>
      </w:r>
      <w:r w:rsidR="00816AB5" w:rsidRPr="008726D3">
        <w:rPr>
          <w:rFonts w:ascii="Bookman Old Style" w:hAnsi="Bookman Old Style"/>
          <w:sz w:val="24"/>
          <w:szCs w:val="24"/>
        </w:rPr>
        <w:t>sottoscritti</w:t>
      </w:r>
      <w:r w:rsidR="008F3DE8">
        <w:rPr>
          <w:rFonts w:ascii="Bookman Old Style" w:hAnsi="Bookman Old Style"/>
          <w:sz w:val="24"/>
          <w:szCs w:val="24"/>
        </w:rPr>
        <w:t xml:space="preserve"> </w:t>
      </w:r>
      <w:r w:rsidR="00816AB5" w:rsidRPr="008726D3">
        <w:rPr>
          <w:rFonts w:ascii="Bookman Old Style" w:hAnsi="Bookman Old Style"/>
          <w:sz w:val="24"/>
          <w:szCs w:val="24"/>
        </w:rPr>
        <w:t>Atti,</w:t>
      </w:r>
      <w:r w:rsidR="008F3DE8">
        <w:rPr>
          <w:rFonts w:ascii="Bookman Old Style" w:hAnsi="Bookman Old Style"/>
          <w:sz w:val="24"/>
          <w:szCs w:val="24"/>
        </w:rPr>
        <w:t xml:space="preserve"> </w:t>
      </w:r>
      <w:r w:rsidR="00816AB5" w:rsidRPr="008726D3">
        <w:rPr>
          <w:rFonts w:ascii="Bookman Old Style" w:hAnsi="Bookman Old Style"/>
          <w:sz w:val="24"/>
          <w:szCs w:val="24"/>
        </w:rPr>
        <w:t>Dichiarazioni,</w:t>
      </w:r>
      <w:r w:rsidR="008F3DE8">
        <w:rPr>
          <w:rFonts w:ascii="Bookman Old Style" w:hAnsi="Bookman Old Style"/>
          <w:sz w:val="24"/>
          <w:szCs w:val="24"/>
        </w:rPr>
        <w:t xml:space="preserve"> </w:t>
      </w:r>
      <w:r w:rsidR="00816AB5" w:rsidRPr="008726D3">
        <w:rPr>
          <w:rFonts w:ascii="Bookman Old Style" w:hAnsi="Bookman Old Style"/>
          <w:sz w:val="24"/>
          <w:szCs w:val="24"/>
        </w:rPr>
        <w:t>Carte,</w:t>
      </w:r>
      <w:r w:rsidR="008F3DE8">
        <w:rPr>
          <w:rFonts w:ascii="Bookman Old Style" w:hAnsi="Bookman Old Style"/>
          <w:sz w:val="24"/>
          <w:szCs w:val="24"/>
        </w:rPr>
        <w:t xml:space="preserve"> </w:t>
      </w:r>
      <w:r w:rsidR="00816AB5" w:rsidRPr="008726D3">
        <w:rPr>
          <w:rFonts w:ascii="Bookman Old Style" w:hAnsi="Bookman Old Style"/>
          <w:sz w:val="24"/>
          <w:szCs w:val="24"/>
        </w:rPr>
        <w:t>Convenzioni</w:t>
      </w:r>
      <w:r w:rsidR="008F3DE8">
        <w:rPr>
          <w:rFonts w:ascii="Bookman Old Style" w:hAnsi="Bookman Old Style"/>
          <w:sz w:val="24"/>
          <w:szCs w:val="24"/>
        </w:rPr>
        <w:t xml:space="preserve"> </w:t>
      </w:r>
      <w:r w:rsidR="00816AB5" w:rsidRPr="008726D3">
        <w:rPr>
          <w:rFonts w:ascii="Bookman Old Style" w:hAnsi="Bookman Old Style"/>
          <w:sz w:val="24"/>
          <w:szCs w:val="24"/>
        </w:rPr>
        <w:t>e</w:t>
      </w:r>
      <w:r w:rsidR="008F3DE8">
        <w:rPr>
          <w:rFonts w:ascii="Bookman Old Style" w:hAnsi="Bookman Old Style"/>
          <w:sz w:val="24"/>
          <w:szCs w:val="24"/>
        </w:rPr>
        <w:t xml:space="preserve"> </w:t>
      </w:r>
      <w:r w:rsidR="00816AB5" w:rsidRPr="008726D3">
        <w:rPr>
          <w:rFonts w:ascii="Bookman Old Style" w:hAnsi="Bookman Old Style"/>
          <w:sz w:val="24"/>
          <w:szCs w:val="24"/>
        </w:rPr>
        <w:t>Patti,</w:t>
      </w:r>
      <w:r w:rsidR="008F3DE8">
        <w:rPr>
          <w:rFonts w:ascii="Bookman Old Style" w:hAnsi="Bookman Old Style"/>
          <w:sz w:val="24"/>
          <w:szCs w:val="24"/>
        </w:rPr>
        <w:t xml:space="preserve"> </w:t>
      </w:r>
      <w:r w:rsidR="00816AB5" w:rsidRPr="008726D3">
        <w:rPr>
          <w:rFonts w:ascii="Bookman Old Style" w:hAnsi="Bookman Old Style"/>
          <w:sz w:val="24"/>
          <w:szCs w:val="24"/>
        </w:rPr>
        <w:t>aventi</w:t>
      </w:r>
      <w:r w:rsidR="008F3DE8">
        <w:rPr>
          <w:rFonts w:ascii="Bookman Old Style" w:hAnsi="Bookman Old Style"/>
          <w:sz w:val="24"/>
          <w:szCs w:val="24"/>
        </w:rPr>
        <w:t xml:space="preserve"> </w:t>
      </w:r>
      <w:r w:rsidR="00816AB5" w:rsidRPr="008726D3">
        <w:rPr>
          <w:rFonts w:ascii="Bookman Old Style" w:hAnsi="Bookman Old Style"/>
          <w:sz w:val="24"/>
          <w:szCs w:val="24"/>
        </w:rPr>
        <w:t>come</w:t>
      </w:r>
      <w:r w:rsidR="008F3DE8">
        <w:rPr>
          <w:rFonts w:ascii="Bookman Old Style" w:hAnsi="Bookman Old Style"/>
          <w:sz w:val="24"/>
          <w:szCs w:val="24"/>
        </w:rPr>
        <w:t xml:space="preserve"> </w:t>
      </w:r>
      <w:r w:rsidR="00816AB5" w:rsidRPr="008726D3">
        <w:rPr>
          <w:rFonts w:ascii="Bookman Old Style" w:hAnsi="Bookman Old Style"/>
          <w:sz w:val="24"/>
          <w:szCs w:val="24"/>
        </w:rPr>
        <w:t>obiettivo</w:t>
      </w:r>
      <w:r w:rsidR="008F3DE8">
        <w:rPr>
          <w:rFonts w:ascii="Bookman Old Style" w:hAnsi="Bookman Old Style"/>
          <w:sz w:val="24"/>
          <w:szCs w:val="24"/>
        </w:rPr>
        <w:t xml:space="preserve"> </w:t>
      </w:r>
      <w:r w:rsidR="00816AB5" w:rsidRPr="008726D3">
        <w:rPr>
          <w:rFonts w:ascii="Bookman Old Style" w:hAnsi="Bookman Old Style"/>
          <w:sz w:val="24"/>
          <w:szCs w:val="24"/>
        </w:rPr>
        <w:t>la</w:t>
      </w:r>
      <w:r w:rsidR="008F3DE8">
        <w:rPr>
          <w:rFonts w:ascii="Bookman Old Style" w:hAnsi="Bookman Old Style"/>
          <w:sz w:val="24"/>
          <w:szCs w:val="24"/>
        </w:rPr>
        <w:t xml:space="preserve"> </w:t>
      </w:r>
      <w:r w:rsidR="00816AB5" w:rsidRPr="008726D3">
        <w:rPr>
          <w:rFonts w:ascii="Bookman Old Style" w:hAnsi="Bookman Old Style"/>
          <w:sz w:val="24"/>
          <w:szCs w:val="24"/>
        </w:rPr>
        <w:t>protezione</w:t>
      </w:r>
      <w:r w:rsidR="008F3DE8">
        <w:rPr>
          <w:rFonts w:ascii="Bookman Old Style" w:hAnsi="Bookman Old Style"/>
          <w:sz w:val="24"/>
          <w:szCs w:val="24"/>
        </w:rPr>
        <w:t xml:space="preserve"> </w:t>
      </w:r>
      <w:r w:rsidR="00816AB5" w:rsidRPr="008726D3">
        <w:rPr>
          <w:rFonts w:ascii="Bookman Old Style" w:hAnsi="Bookman Old Style"/>
          <w:sz w:val="24"/>
          <w:szCs w:val="24"/>
        </w:rPr>
        <w:t>della</w:t>
      </w:r>
      <w:r w:rsidR="008F3DE8">
        <w:rPr>
          <w:rFonts w:ascii="Bookman Old Style" w:hAnsi="Bookman Old Style"/>
          <w:sz w:val="24"/>
          <w:szCs w:val="24"/>
        </w:rPr>
        <w:t xml:space="preserve"> </w:t>
      </w:r>
      <w:r w:rsidR="00816AB5" w:rsidRPr="008726D3">
        <w:rPr>
          <w:rFonts w:ascii="Bookman Old Style" w:hAnsi="Bookman Old Style"/>
          <w:sz w:val="24"/>
          <w:szCs w:val="24"/>
        </w:rPr>
        <w:t>persona</w:t>
      </w:r>
      <w:r w:rsidR="008F3DE8">
        <w:rPr>
          <w:rFonts w:ascii="Bookman Old Style" w:hAnsi="Bookman Old Style"/>
          <w:sz w:val="24"/>
          <w:szCs w:val="24"/>
        </w:rPr>
        <w:t xml:space="preserve"> </w:t>
      </w:r>
      <w:r w:rsidR="00816AB5" w:rsidRPr="008726D3">
        <w:rPr>
          <w:rFonts w:ascii="Bookman Old Style" w:hAnsi="Bookman Old Style"/>
          <w:sz w:val="24"/>
          <w:szCs w:val="24"/>
        </w:rPr>
        <w:t>umana,</w:t>
      </w:r>
      <w:r w:rsidR="008F3DE8">
        <w:rPr>
          <w:rFonts w:ascii="Bookman Old Style" w:hAnsi="Bookman Old Style"/>
          <w:sz w:val="24"/>
          <w:szCs w:val="24"/>
        </w:rPr>
        <w:t xml:space="preserve"> </w:t>
      </w:r>
      <w:r w:rsidR="00816AB5" w:rsidRPr="008726D3">
        <w:rPr>
          <w:rFonts w:ascii="Bookman Old Style" w:hAnsi="Bookman Old Style"/>
          <w:sz w:val="24"/>
          <w:szCs w:val="24"/>
        </w:rPr>
        <w:t>attraverso</w:t>
      </w:r>
      <w:r w:rsidR="008F3DE8">
        <w:rPr>
          <w:rFonts w:ascii="Bookman Old Style" w:hAnsi="Bookman Old Style"/>
          <w:sz w:val="24"/>
          <w:szCs w:val="24"/>
        </w:rPr>
        <w:t xml:space="preserve"> </w:t>
      </w:r>
      <w:r w:rsidR="00816AB5" w:rsidRPr="008726D3">
        <w:rPr>
          <w:rFonts w:ascii="Bookman Old Style" w:hAnsi="Bookman Old Style"/>
          <w:sz w:val="24"/>
          <w:szCs w:val="24"/>
        </w:rPr>
        <w:t>l</w:t>
      </w:r>
      <w:r w:rsidR="00B125D7" w:rsidRPr="008726D3">
        <w:rPr>
          <w:rFonts w:ascii="Bookman Old Style" w:hAnsi="Bookman Old Style"/>
          <w:sz w:val="24"/>
          <w:szCs w:val="24"/>
        </w:rPr>
        <w:t>’</w:t>
      </w:r>
      <w:r w:rsidR="00816AB5" w:rsidRPr="008726D3">
        <w:rPr>
          <w:rFonts w:ascii="Bookman Old Style" w:hAnsi="Bookman Old Style"/>
          <w:sz w:val="24"/>
          <w:szCs w:val="24"/>
        </w:rPr>
        <w:t>enunciazione</w:t>
      </w:r>
      <w:r w:rsidR="008F3DE8">
        <w:rPr>
          <w:rFonts w:ascii="Bookman Old Style" w:hAnsi="Bookman Old Style"/>
          <w:sz w:val="24"/>
          <w:szCs w:val="24"/>
        </w:rPr>
        <w:t xml:space="preserve"> </w:t>
      </w:r>
      <w:r w:rsidR="00816AB5" w:rsidRPr="008726D3">
        <w:rPr>
          <w:rFonts w:ascii="Bookman Old Style" w:hAnsi="Bookman Old Style"/>
          <w:sz w:val="24"/>
          <w:szCs w:val="24"/>
        </w:rPr>
        <w:t>solenne</w:t>
      </w:r>
      <w:r w:rsidR="008F3DE8">
        <w:rPr>
          <w:rFonts w:ascii="Bookman Old Style" w:hAnsi="Bookman Old Style"/>
          <w:sz w:val="24"/>
          <w:szCs w:val="24"/>
        </w:rPr>
        <w:t xml:space="preserve"> </w:t>
      </w:r>
      <w:r w:rsidR="00816AB5" w:rsidRPr="008726D3">
        <w:rPr>
          <w:rFonts w:ascii="Bookman Old Style" w:hAnsi="Bookman Old Style"/>
          <w:sz w:val="24"/>
          <w:szCs w:val="24"/>
        </w:rPr>
        <w:t>dei</w:t>
      </w:r>
      <w:r w:rsidR="008F3DE8">
        <w:rPr>
          <w:rFonts w:ascii="Bookman Old Style" w:hAnsi="Bookman Old Style"/>
          <w:sz w:val="24"/>
          <w:szCs w:val="24"/>
        </w:rPr>
        <w:t xml:space="preserve"> </w:t>
      </w:r>
      <w:r w:rsidR="00816AB5" w:rsidRPr="008726D3">
        <w:rPr>
          <w:rFonts w:ascii="Bookman Old Style" w:hAnsi="Bookman Old Style"/>
          <w:sz w:val="24"/>
          <w:szCs w:val="24"/>
        </w:rPr>
        <w:t>suoi</w:t>
      </w:r>
      <w:r w:rsidR="008F3DE8">
        <w:rPr>
          <w:rFonts w:ascii="Bookman Old Style" w:hAnsi="Bookman Old Style"/>
          <w:sz w:val="24"/>
          <w:szCs w:val="24"/>
        </w:rPr>
        <w:t xml:space="preserve"> </w:t>
      </w:r>
      <w:r w:rsidR="00816AB5" w:rsidRPr="008726D3">
        <w:rPr>
          <w:rFonts w:ascii="Bookman Old Style" w:hAnsi="Bookman Old Style"/>
          <w:sz w:val="24"/>
          <w:szCs w:val="24"/>
        </w:rPr>
        <w:t>diritti</w:t>
      </w:r>
      <w:r w:rsidR="008F3DE8">
        <w:rPr>
          <w:rFonts w:ascii="Bookman Old Style" w:hAnsi="Bookman Old Style"/>
          <w:sz w:val="24"/>
          <w:szCs w:val="24"/>
        </w:rPr>
        <w:t xml:space="preserve"> </w:t>
      </w:r>
      <w:r w:rsidR="00816AB5" w:rsidRPr="008726D3">
        <w:rPr>
          <w:rFonts w:ascii="Bookman Old Style" w:hAnsi="Bookman Old Style"/>
          <w:sz w:val="24"/>
          <w:szCs w:val="24"/>
        </w:rPr>
        <w:t>o</w:t>
      </w:r>
      <w:r w:rsidR="008F3DE8">
        <w:rPr>
          <w:rFonts w:ascii="Bookman Old Style" w:hAnsi="Bookman Old Style"/>
          <w:sz w:val="24"/>
          <w:szCs w:val="24"/>
        </w:rPr>
        <w:t xml:space="preserve"> </w:t>
      </w:r>
      <w:r w:rsidR="00816AB5" w:rsidRPr="008726D3">
        <w:rPr>
          <w:rFonts w:ascii="Bookman Old Style" w:hAnsi="Bookman Old Style"/>
          <w:sz w:val="24"/>
          <w:szCs w:val="24"/>
        </w:rPr>
        <w:t>la</w:t>
      </w:r>
      <w:r w:rsidR="008F3DE8">
        <w:rPr>
          <w:rFonts w:ascii="Bookman Old Style" w:hAnsi="Bookman Old Style"/>
          <w:sz w:val="24"/>
          <w:szCs w:val="24"/>
        </w:rPr>
        <w:t xml:space="preserve"> </w:t>
      </w:r>
      <w:r w:rsidR="00816AB5" w:rsidRPr="008726D3">
        <w:rPr>
          <w:rFonts w:ascii="Bookman Old Style" w:hAnsi="Bookman Old Style"/>
          <w:sz w:val="24"/>
          <w:szCs w:val="24"/>
        </w:rPr>
        <w:t>costituzione</w:t>
      </w:r>
      <w:r w:rsidR="008F3DE8">
        <w:rPr>
          <w:rFonts w:ascii="Bookman Old Style" w:hAnsi="Bookman Old Style"/>
          <w:sz w:val="24"/>
          <w:szCs w:val="24"/>
        </w:rPr>
        <w:t xml:space="preserve"> </w:t>
      </w:r>
      <w:r w:rsidR="00816AB5" w:rsidRPr="008726D3">
        <w:rPr>
          <w:rFonts w:ascii="Bookman Old Style" w:hAnsi="Bookman Old Style"/>
          <w:sz w:val="24"/>
          <w:szCs w:val="24"/>
        </w:rPr>
        <w:t>di</w:t>
      </w:r>
      <w:r w:rsidR="008F3DE8">
        <w:rPr>
          <w:rFonts w:ascii="Bookman Old Style" w:hAnsi="Bookman Old Style"/>
          <w:sz w:val="24"/>
          <w:szCs w:val="24"/>
        </w:rPr>
        <w:t xml:space="preserve"> </w:t>
      </w:r>
      <w:r w:rsidR="00816AB5" w:rsidRPr="008726D3">
        <w:rPr>
          <w:rFonts w:ascii="Bookman Old Style" w:hAnsi="Bookman Old Style"/>
          <w:sz w:val="24"/>
          <w:szCs w:val="24"/>
        </w:rPr>
        <w:t>organizzazioni</w:t>
      </w:r>
      <w:r w:rsidR="008F3DE8">
        <w:rPr>
          <w:rFonts w:ascii="Bookman Old Style" w:hAnsi="Bookman Old Style"/>
          <w:sz w:val="24"/>
          <w:szCs w:val="24"/>
        </w:rPr>
        <w:t xml:space="preserve"> </w:t>
      </w:r>
      <w:r w:rsidR="00816AB5" w:rsidRPr="008726D3">
        <w:rPr>
          <w:rFonts w:ascii="Bookman Old Style" w:hAnsi="Bookman Old Style"/>
          <w:sz w:val="24"/>
          <w:szCs w:val="24"/>
        </w:rPr>
        <w:t>di</w:t>
      </w:r>
      <w:r w:rsidR="008F3DE8">
        <w:rPr>
          <w:rFonts w:ascii="Bookman Old Style" w:hAnsi="Bookman Old Style"/>
          <w:sz w:val="24"/>
          <w:szCs w:val="24"/>
        </w:rPr>
        <w:t xml:space="preserve"> </w:t>
      </w:r>
      <w:r w:rsidR="00816AB5" w:rsidRPr="008726D3">
        <w:rPr>
          <w:rFonts w:ascii="Bookman Old Style" w:hAnsi="Bookman Old Style"/>
          <w:sz w:val="24"/>
          <w:szCs w:val="24"/>
        </w:rPr>
        <w:t>cooperazione</w:t>
      </w:r>
      <w:r w:rsidR="008F3DE8">
        <w:rPr>
          <w:rFonts w:ascii="Bookman Old Style" w:hAnsi="Bookman Old Style"/>
          <w:sz w:val="24"/>
          <w:szCs w:val="24"/>
        </w:rPr>
        <w:t xml:space="preserve"> </w:t>
      </w:r>
      <w:r w:rsidR="00816AB5" w:rsidRPr="008726D3">
        <w:rPr>
          <w:rFonts w:ascii="Bookman Old Style" w:hAnsi="Bookman Old Style"/>
          <w:sz w:val="24"/>
          <w:szCs w:val="24"/>
        </w:rPr>
        <w:t>tra</w:t>
      </w:r>
      <w:r w:rsidR="008F3DE8">
        <w:rPr>
          <w:rFonts w:ascii="Bookman Old Style" w:hAnsi="Bookman Old Style"/>
          <w:sz w:val="24"/>
          <w:szCs w:val="24"/>
        </w:rPr>
        <w:t xml:space="preserve"> </w:t>
      </w:r>
      <w:r w:rsidR="00816AB5" w:rsidRPr="008726D3">
        <w:rPr>
          <w:rFonts w:ascii="Bookman Old Style" w:hAnsi="Bookman Old Style"/>
          <w:sz w:val="24"/>
          <w:szCs w:val="24"/>
        </w:rPr>
        <w:t>gli</w:t>
      </w:r>
      <w:r w:rsidR="008F3DE8">
        <w:rPr>
          <w:rFonts w:ascii="Bookman Old Style" w:hAnsi="Bookman Old Style"/>
          <w:sz w:val="24"/>
          <w:szCs w:val="24"/>
        </w:rPr>
        <w:t xml:space="preserve"> </w:t>
      </w:r>
      <w:r w:rsidR="00816AB5" w:rsidRPr="008726D3">
        <w:rPr>
          <w:rFonts w:ascii="Bookman Old Style" w:hAnsi="Bookman Old Style"/>
          <w:sz w:val="24"/>
          <w:szCs w:val="24"/>
        </w:rPr>
        <w:t>Stati</w:t>
      </w:r>
      <w:r w:rsidR="008F3DE8">
        <w:rPr>
          <w:rFonts w:ascii="Bookman Old Style" w:hAnsi="Bookman Old Style"/>
          <w:sz w:val="24"/>
          <w:szCs w:val="24"/>
        </w:rPr>
        <w:t xml:space="preserve"> </w:t>
      </w:r>
      <w:r w:rsidR="00816AB5" w:rsidRPr="008726D3">
        <w:rPr>
          <w:rFonts w:ascii="Bookman Old Style" w:hAnsi="Bookman Old Style"/>
          <w:sz w:val="24"/>
          <w:szCs w:val="24"/>
        </w:rPr>
        <w:t>aderenti.</w:t>
      </w:r>
    </w:p>
    <w:p w:rsidR="00B125D7" w:rsidRPr="008726D3" w:rsidRDefault="00816AB5" w:rsidP="00486DB5">
      <w:pPr>
        <w:ind w:firstLine="709"/>
        <w:jc w:val="both"/>
        <w:rPr>
          <w:rFonts w:ascii="Bookman Old Style" w:hAnsi="Bookman Old Style"/>
          <w:sz w:val="24"/>
          <w:szCs w:val="24"/>
        </w:rPr>
      </w:pPr>
      <w:r w:rsidRPr="008726D3">
        <w:rPr>
          <w:rFonts w:ascii="Bookman Old Style" w:hAnsi="Bookman Old Style"/>
          <w:sz w:val="24"/>
          <w:szCs w:val="24"/>
        </w:rPr>
        <w:t>Tra</w:t>
      </w:r>
      <w:r w:rsidR="008F3DE8">
        <w:rPr>
          <w:rFonts w:ascii="Bookman Old Style" w:hAnsi="Bookman Old Style"/>
          <w:sz w:val="24"/>
          <w:szCs w:val="24"/>
        </w:rPr>
        <w:t xml:space="preserve"> </w:t>
      </w:r>
      <w:r w:rsidRPr="008726D3">
        <w:rPr>
          <w:rFonts w:ascii="Bookman Old Style" w:hAnsi="Bookman Old Style"/>
          <w:sz w:val="24"/>
          <w:szCs w:val="24"/>
        </w:rPr>
        <w:t>quest’ultime</w:t>
      </w:r>
      <w:r w:rsidR="008F3DE8">
        <w:rPr>
          <w:rFonts w:ascii="Bookman Old Style" w:hAnsi="Bookman Old Style"/>
          <w:sz w:val="24"/>
          <w:szCs w:val="24"/>
        </w:rPr>
        <w:t xml:space="preserve">, prima tra tutte </w:t>
      </w:r>
      <w:r w:rsidRPr="008726D3">
        <w:rPr>
          <w:rFonts w:ascii="Bookman Old Style" w:hAnsi="Bookman Old Style"/>
          <w:sz w:val="24"/>
          <w:szCs w:val="24"/>
        </w:rPr>
        <w:t>l’ONU,</w:t>
      </w:r>
      <w:r w:rsidR="008F3DE8">
        <w:rPr>
          <w:rFonts w:ascii="Bookman Old Style" w:hAnsi="Bookman Old Style"/>
          <w:sz w:val="24"/>
          <w:szCs w:val="24"/>
        </w:rPr>
        <w:t xml:space="preserve"> </w:t>
      </w:r>
      <w:r w:rsidRPr="008726D3">
        <w:rPr>
          <w:rFonts w:ascii="Bookman Old Style" w:hAnsi="Bookman Old Style"/>
          <w:sz w:val="24"/>
          <w:szCs w:val="24"/>
        </w:rPr>
        <w:t>che</w:t>
      </w:r>
      <w:r w:rsidR="008F3DE8">
        <w:rPr>
          <w:rFonts w:ascii="Bookman Old Style" w:hAnsi="Bookman Old Style"/>
          <w:sz w:val="24"/>
          <w:szCs w:val="24"/>
        </w:rPr>
        <w:t xml:space="preserve"> </w:t>
      </w:r>
      <w:r w:rsidRPr="008726D3">
        <w:rPr>
          <w:rFonts w:ascii="Bookman Old Style" w:hAnsi="Bookman Old Style"/>
          <w:sz w:val="24"/>
          <w:szCs w:val="24"/>
        </w:rPr>
        <w:t>in</w:t>
      </w:r>
      <w:r w:rsidR="008F3DE8">
        <w:rPr>
          <w:rFonts w:ascii="Bookman Old Style" w:hAnsi="Bookman Old Style"/>
          <w:sz w:val="24"/>
          <w:szCs w:val="24"/>
        </w:rPr>
        <w:t xml:space="preserve"> </w:t>
      </w:r>
      <w:r w:rsidRPr="008726D3">
        <w:rPr>
          <w:rFonts w:ascii="Bookman Old Style" w:hAnsi="Bookman Old Style"/>
          <w:sz w:val="24"/>
          <w:szCs w:val="24"/>
        </w:rPr>
        <w:t>conformità</w:t>
      </w:r>
      <w:r w:rsidR="008F3DE8">
        <w:rPr>
          <w:rFonts w:ascii="Bookman Old Style" w:hAnsi="Bookman Old Style"/>
          <w:sz w:val="24"/>
          <w:szCs w:val="24"/>
        </w:rPr>
        <w:t xml:space="preserve"> </w:t>
      </w:r>
      <w:r w:rsidRPr="008726D3">
        <w:rPr>
          <w:rFonts w:ascii="Bookman Old Style" w:hAnsi="Bookman Old Style"/>
          <w:sz w:val="24"/>
          <w:szCs w:val="24"/>
        </w:rPr>
        <w:t>alle</w:t>
      </w:r>
      <w:r w:rsidR="008F3DE8">
        <w:rPr>
          <w:rFonts w:ascii="Bookman Old Style" w:hAnsi="Bookman Old Style"/>
          <w:sz w:val="24"/>
          <w:szCs w:val="24"/>
        </w:rPr>
        <w:t xml:space="preserve"> </w:t>
      </w:r>
      <w:r w:rsidRPr="008726D3">
        <w:rPr>
          <w:rFonts w:ascii="Bookman Old Style" w:hAnsi="Bookman Old Style"/>
          <w:sz w:val="24"/>
          <w:szCs w:val="24"/>
        </w:rPr>
        <w:t>finalità</w:t>
      </w:r>
      <w:r w:rsidR="008F3DE8">
        <w:rPr>
          <w:rFonts w:ascii="Bookman Old Style" w:hAnsi="Bookman Old Style"/>
          <w:sz w:val="24"/>
          <w:szCs w:val="24"/>
        </w:rPr>
        <w:t xml:space="preserve"> </w:t>
      </w:r>
      <w:r w:rsidRPr="008726D3">
        <w:rPr>
          <w:rFonts w:ascii="Bookman Old Style" w:hAnsi="Bookman Old Style"/>
          <w:sz w:val="24"/>
          <w:szCs w:val="24"/>
        </w:rPr>
        <w:t>generali</w:t>
      </w:r>
      <w:r w:rsidR="008F3DE8">
        <w:rPr>
          <w:rFonts w:ascii="Bookman Old Style" w:hAnsi="Bookman Old Style"/>
          <w:sz w:val="24"/>
          <w:szCs w:val="24"/>
        </w:rPr>
        <w:t xml:space="preserve"> </w:t>
      </w:r>
      <w:r w:rsidRPr="008726D3">
        <w:rPr>
          <w:rFonts w:ascii="Bookman Old Style" w:hAnsi="Bookman Old Style"/>
          <w:sz w:val="24"/>
          <w:szCs w:val="24"/>
        </w:rPr>
        <w:t>della</w:t>
      </w:r>
      <w:r w:rsidR="008F3DE8">
        <w:rPr>
          <w:rFonts w:ascii="Bookman Old Style" w:hAnsi="Bookman Old Style"/>
          <w:sz w:val="24"/>
          <w:szCs w:val="24"/>
        </w:rPr>
        <w:t xml:space="preserve"> </w:t>
      </w:r>
      <w:r w:rsidRPr="008726D3">
        <w:rPr>
          <w:rFonts w:ascii="Bookman Old Style" w:hAnsi="Bookman Old Style"/>
          <w:sz w:val="24"/>
          <w:szCs w:val="24"/>
        </w:rPr>
        <w:t>sua</w:t>
      </w:r>
      <w:r w:rsidR="008F3DE8">
        <w:rPr>
          <w:rFonts w:ascii="Bookman Old Style" w:hAnsi="Bookman Old Style"/>
          <w:sz w:val="24"/>
          <w:szCs w:val="24"/>
        </w:rPr>
        <w:t xml:space="preserve"> </w:t>
      </w:r>
      <w:r w:rsidRPr="008726D3">
        <w:rPr>
          <w:rFonts w:ascii="Bookman Old Style" w:hAnsi="Bookman Old Style"/>
          <w:sz w:val="24"/>
          <w:szCs w:val="24"/>
        </w:rPr>
        <w:t>Carta</w:t>
      </w:r>
      <w:r w:rsidR="008F3DE8">
        <w:rPr>
          <w:rFonts w:ascii="Bookman Old Style" w:hAnsi="Bookman Old Style"/>
          <w:sz w:val="24"/>
          <w:szCs w:val="24"/>
        </w:rPr>
        <w:t xml:space="preserve"> </w:t>
      </w:r>
      <w:r w:rsidRPr="008726D3">
        <w:rPr>
          <w:rFonts w:ascii="Bookman Old Style" w:hAnsi="Bookman Old Style"/>
          <w:sz w:val="24"/>
          <w:szCs w:val="24"/>
        </w:rPr>
        <w:t>istitutiva,</w:t>
      </w:r>
      <w:r w:rsidR="008F3DE8">
        <w:rPr>
          <w:rFonts w:ascii="Bookman Old Style" w:hAnsi="Bookman Old Style"/>
          <w:sz w:val="24"/>
          <w:szCs w:val="24"/>
        </w:rPr>
        <w:t xml:space="preserve"> </w:t>
      </w:r>
      <w:r w:rsidRPr="008726D3">
        <w:rPr>
          <w:rFonts w:ascii="Bookman Old Style" w:hAnsi="Bookman Old Style"/>
          <w:sz w:val="24"/>
          <w:szCs w:val="24"/>
        </w:rPr>
        <w:t>il</w:t>
      </w:r>
      <w:r w:rsidR="008F3DE8">
        <w:rPr>
          <w:rFonts w:ascii="Bookman Old Style" w:hAnsi="Bookman Old Style"/>
          <w:sz w:val="24"/>
          <w:szCs w:val="24"/>
        </w:rPr>
        <w:t xml:space="preserve"> </w:t>
      </w:r>
      <w:r w:rsidRPr="008726D3">
        <w:rPr>
          <w:rFonts w:ascii="Bookman Old Style" w:hAnsi="Bookman Old Style"/>
          <w:sz w:val="24"/>
          <w:szCs w:val="24"/>
        </w:rPr>
        <w:t>10</w:t>
      </w:r>
      <w:r w:rsidR="008F3DE8">
        <w:rPr>
          <w:rFonts w:ascii="Bookman Old Style" w:hAnsi="Bookman Old Style"/>
          <w:sz w:val="24"/>
          <w:szCs w:val="24"/>
        </w:rPr>
        <w:t xml:space="preserve"> </w:t>
      </w:r>
      <w:r w:rsidRPr="008726D3">
        <w:rPr>
          <w:rFonts w:ascii="Bookman Old Style" w:hAnsi="Bookman Old Style"/>
          <w:sz w:val="24"/>
          <w:szCs w:val="24"/>
        </w:rPr>
        <w:t>dicembre</w:t>
      </w:r>
      <w:r w:rsidR="008F3DE8">
        <w:rPr>
          <w:rFonts w:ascii="Bookman Old Style" w:hAnsi="Bookman Old Style"/>
          <w:sz w:val="24"/>
          <w:szCs w:val="24"/>
        </w:rPr>
        <w:t xml:space="preserve"> </w:t>
      </w:r>
      <w:r w:rsidRPr="008726D3">
        <w:rPr>
          <w:rFonts w:ascii="Bookman Old Style" w:hAnsi="Bookman Old Style"/>
          <w:sz w:val="24"/>
          <w:szCs w:val="24"/>
        </w:rPr>
        <w:t>del</w:t>
      </w:r>
      <w:r w:rsidR="008F3DE8">
        <w:rPr>
          <w:rFonts w:ascii="Bookman Old Style" w:hAnsi="Bookman Old Style"/>
          <w:sz w:val="24"/>
          <w:szCs w:val="24"/>
        </w:rPr>
        <w:t xml:space="preserve"> </w:t>
      </w:r>
      <w:r w:rsidRPr="008726D3">
        <w:rPr>
          <w:rFonts w:ascii="Bookman Old Style" w:hAnsi="Bookman Old Style"/>
          <w:sz w:val="24"/>
          <w:szCs w:val="24"/>
        </w:rPr>
        <w:t>1948</w:t>
      </w:r>
      <w:r w:rsidR="008F3DE8">
        <w:rPr>
          <w:rFonts w:ascii="Bookman Old Style" w:hAnsi="Bookman Old Style"/>
          <w:sz w:val="24"/>
          <w:szCs w:val="24"/>
        </w:rPr>
        <w:t xml:space="preserve"> </w:t>
      </w:r>
      <w:r w:rsidRPr="008726D3">
        <w:rPr>
          <w:rFonts w:ascii="Bookman Old Style" w:hAnsi="Bookman Old Style"/>
          <w:sz w:val="24"/>
          <w:szCs w:val="24"/>
        </w:rPr>
        <w:t>approvò,</w:t>
      </w:r>
      <w:r w:rsidR="008F3DE8">
        <w:rPr>
          <w:rFonts w:ascii="Bookman Old Style" w:hAnsi="Bookman Old Style"/>
          <w:sz w:val="24"/>
          <w:szCs w:val="24"/>
        </w:rPr>
        <w:t xml:space="preserve"> </w:t>
      </w:r>
      <w:r w:rsidRPr="008726D3">
        <w:rPr>
          <w:rFonts w:ascii="Bookman Old Style" w:hAnsi="Bookman Old Style"/>
          <w:sz w:val="24"/>
          <w:szCs w:val="24"/>
        </w:rPr>
        <w:t>sotto</w:t>
      </w:r>
      <w:r w:rsidR="008F3DE8">
        <w:rPr>
          <w:rFonts w:ascii="Bookman Old Style" w:hAnsi="Bookman Old Style"/>
          <w:sz w:val="24"/>
          <w:szCs w:val="24"/>
        </w:rPr>
        <w:t xml:space="preserve"> </w:t>
      </w:r>
      <w:r w:rsidRPr="008726D3">
        <w:rPr>
          <w:rFonts w:ascii="Bookman Old Style" w:hAnsi="Bookman Old Style"/>
          <w:sz w:val="24"/>
          <w:szCs w:val="24"/>
        </w:rPr>
        <w:t>forma</w:t>
      </w:r>
      <w:r w:rsidR="008F3DE8">
        <w:rPr>
          <w:rFonts w:ascii="Bookman Old Style" w:hAnsi="Bookman Old Style"/>
          <w:sz w:val="24"/>
          <w:szCs w:val="24"/>
        </w:rPr>
        <w:t xml:space="preserve"> </w:t>
      </w:r>
      <w:r w:rsidRPr="008726D3">
        <w:rPr>
          <w:rFonts w:ascii="Bookman Old Style" w:hAnsi="Bookman Old Style"/>
          <w:sz w:val="24"/>
          <w:szCs w:val="24"/>
        </w:rPr>
        <w:t>di</w:t>
      </w:r>
      <w:r w:rsidR="008F3DE8">
        <w:rPr>
          <w:rFonts w:ascii="Bookman Old Style" w:hAnsi="Bookman Old Style"/>
          <w:sz w:val="24"/>
          <w:szCs w:val="24"/>
        </w:rPr>
        <w:t xml:space="preserve"> </w:t>
      </w:r>
      <w:r w:rsidRPr="008726D3">
        <w:rPr>
          <w:rFonts w:ascii="Bookman Old Style" w:hAnsi="Bookman Old Style"/>
          <w:sz w:val="24"/>
          <w:szCs w:val="24"/>
        </w:rPr>
        <w:t>risoluzione</w:t>
      </w:r>
      <w:r w:rsidR="008F3DE8">
        <w:rPr>
          <w:rFonts w:ascii="Bookman Old Style" w:hAnsi="Bookman Old Style"/>
          <w:sz w:val="24"/>
          <w:szCs w:val="24"/>
        </w:rPr>
        <w:t xml:space="preserve"> </w:t>
      </w:r>
      <w:r w:rsidRPr="008726D3">
        <w:rPr>
          <w:rFonts w:ascii="Bookman Old Style" w:hAnsi="Bookman Old Style"/>
          <w:sz w:val="24"/>
          <w:szCs w:val="24"/>
        </w:rPr>
        <w:t>dell’Assemblea</w:t>
      </w:r>
      <w:r w:rsidR="008F3DE8">
        <w:rPr>
          <w:rFonts w:ascii="Bookman Old Style" w:hAnsi="Bookman Old Style"/>
          <w:sz w:val="24"/>
          <w:szCs w:val="24"/>
        </w:rPr>
        <w:t xml:space="preserve"> </w:t>
      </w:r>
      <w:r w:rsidRPr="008726D3">
        <w:rPr>
          <w:rFonts w:ascii="Bookman Old Style" w:hAnsi="Bookman Old Style"/>
          <w:sz w:val="24"/>
          <w:szCs w:val="24"/>
        </w:rPr>
        <w:t>generale,</w:t>
      </w:r>
      <w:r w:rsidR="008F3DE8">
        <w:rPr>
          <w:rFonts w:ascii="Bookman Old Style" w:hAnsi="Bookman Old Style"/>
          <w:sz w:val="24"/>
          <w:szCs w:val="24"/>
        </w:rPr>
        <w:t xml:space="preserve"> </w:t>
      </w:r>
      <w:r w:rsidRPr="008726D3">
        <w:rPr>
          <w:rFonts w:ascii="Bookman Old Style" w:hAnsi="Bookman Old Style"/>
          <w:sz w:val="24"/>
          <w:szCs w:val="24"/>
        </w:rPr>
        <w:t>la</w:t>
      </w:r>
      <w:r w:rsidR="008F3DE8">
        <w:rPr>
          <w:rFonts w:ascii="Bookman Old Style" w:hAnsi="Bookman Old Style"/>
          <w:sz w:val="24"/>
          <w:szCs w:val="24"/>
        </w:rPr>
        <w:t xml:space="preserve"> </w:t>
      </w:r>
      <w:r w:rsidRPr="008726D3">
        <w:rPr>
          <w:rFonts w:ascii="Bookman Old Style" w:hAnsi="Bookman Old Style"/>
          <w:sz w:val="24"/>
          <w:szCs w:val="24"/>
        </w:rPr>
        <w:t>“Dichiarazione</w:t>
      </w:r>
      <w:r w:rsidR="008F3DE8">
        <w:rPr>
          <w:rFonts w:ascii="Bookman Old Style" w:hAnsi="Bookman Old Style"/>
          <w:sz w:val="24"/>
          <w:szCs w:val="24"/>
        </w:rPr>
        <w:t xml:space="preserve"> </w:t>
      </w:r>
      <w:r w:rsidRPr="008726D3">
        <w:rPr>
          <w:rFonts w:ascii="Bookman Old Style" w:hAnsi="Bookman Old Style"/>
          <w:sz w:val="24"/>
          <w:szCs w:val="24"/>
        </w:rPr>
        <w:t>u</w:t>
      </w:r>
      <w:r w:rsidR="0083342B" w:rsidRPr="008726D3">
        <w:rPr>
          <w:rFonts w:ascii="Bookman Old Style" w:hAnsi="Bookman Old Style"/>
          <w:sz w:val="24"/>
          <w:szCs w:val="24"/>
        </w:rPr>
        <w:t>niversale</w:t>
      </w:r>
      <w:r w:rsidR="008F3DE8">
        <w:rPr>
          <w:rFonts w:ascii="Bookman Old Style" w:hAnsi="Bookman Old Style"/>
          <w:sz w:val="24"/>
          <w:szCs w:val="24"/>
        </w:rPr>
        <w:t xml:space="preserve"> </w:t>
      </w:r>
      <w:r w:rsidR="0083342B" w:rsidRPr="008726D3">
        <w:rPr>
          <w:rFonts w:ascii="Bookman Old Style" w:hAnsi="Bookman Old Style"/>
          <w:sz w:val="24"/>
          <w:szCs w:val="24"/>
        </w:rPr>
        <w:t>dei</w:t>
      </w:r>
      <w:r w:rsidR="008F3DE8">
        <w:rPr>
          <w:rFonts w:ascii="Bookman Old Style" w:hAnsi="Bookman Old Style"/>
          <w:sz w:val="24"/>
          <w:szCs w:val="24"/>
        </w:rPr>
        <w:t xml:space="preserve"> </w:t>
      </w:r>
      <w:r w:rsidR="0083342B" w:rsidRPr="008726D3">
        <w:rPr>
          <w:rFonts w:ascii="Bookman Old Style" w:hAnsi="Bookman Old Style"/>
          <w:sz w:val="24"/>
          <w:szCs w:val="24"/>
        </w:rPr>
        <w:t>diritti</w:t>
      </w:r>
      <w:r w:rsidR="008F3DE8">
        <w:rPr>
          <w:rFonts w:ascii="Bookman Old Style" w:hAnsi="Bookman Old Style"/>
          <w:sz w:val="24"/>
          <w:szCs w:val="24"/>
        </w:rPr>
        <w:t xml:space="preserve"> </w:t>
      </w:r>
      <w:r w:rsidR="0083342B" w:rsidRPr="008726D3">
        <w:rPr>
          <w:rFonts w:ascii="Bookman Old Style" w:hAnsi="Bookman Old Style"/>
          <w:sz w:val="24"/>
          <w:szCs w:val="24"/>
        </w:rPr>
        <w:t>dell’uomo</w:t>
      </w:r>
      <w:r w:rsidRPr="008726D3">
        <w:rPr>
          <w:rFonts w:ascii="Bookman Old Style" w:hAnsi="Bookman Old Style"/>
          <w:sz w:val="24"/>
          <w:szCs w:val="24"/>
        </w:rPr>
        <w:t>”.</w:t>
      </w:r>
      <w:r w:rsidR="008F3DE8">
        <w:rPr>
          <w:rFonts w:ascii="Bookman Old Style" w:hAnsi="Bookman Old Style"/>
          <w:sz w:val="24"/>
          <w:szCs w:val="24"/>
        </w:rPr>
        <w:t xml:space="preserve"> </w:t>
      </w:r>
      <w:r w:rsidR="00E6695E" w:rsidRPr="008726D3">
        <w:rPr>
          <w:rFonts w:ascii="Bookman Old Style" w:hAnsi="Bookman Old Style"/>
          <w:sz w:val="24"/>
          <w:szCs w:val="24"/>
        </w:rPr>
        <w:t>P</w:t>
      </w:r>
      <w:r w:rsidR="0083342B" w:rsidRPr="008726D3">
        <w:rPr>
          <w:rFonts w:ascii="Bookman Old Style" w:hAnsi="Bookman Old Style"/>
          <w:sz w:val="24"/>
          <w:szCs w:val="24"/>
        </w:rPr>
        <w:t>er</w:t>
      </w:r>
      <w:r w:rsidR="008F3DE8">
        <w:rPr>
          <w:rFonts w:ascii="Bookman Old Style" w:hAnsi="Bookman Old Style"/>
          <w:sz w:val="24"/>
          <w:szCs w:val="24"/>
        </w:rPr>
        <w:t xml:space="preserve"> </w:t>
      </w:r>
      <w:r w:rsidR="0083342B" w:rsidRPr="008726D3">
        <w:rPr>
          <w:rFonts w:ascii="Bookman Old Style" w:hAnsi="Bookman Old Style"/>
          <w:sz w:val="24"/>
          <w:szCs w:val="24"/>
        </w:rPr>
        <w:t>quel</w:t>
      </w:r>
      <w:r w:rsidR="008F3DE8">
        <w:rPr>
          <w:rFonts w:ascii="Bookman Old Style" w:hAnsi="Bookman Old Style"/>
          <w:sz w:val="24"/>
          <w:szCs w:val="24"/>
        </w:rPr>
        <w:t xml:space="preserve"> </w:t>
      </w:r>
      <w:r w:rsidR="0083342B" w:rsidRPr="008726D3">
        <w:rPr>
          <w:rFonts w:ascii="Bookman Old Style" w:hAnsi="Bookman Old Style"/>
          <w:sz w:val="24"/>
          <w:szCs w:val="24"/>
        </w:rPr>
        <w:t>che</w:t>
      </w:r>
      <w:r w:rsidR="008F3DE8">
        <w:rPr>
          <w:rFonts w:ascii="Bookman Old Style" w:hAnsi="Bookman Old Style"/>
          <w:sz w:val="24"/>
          <w:szCs w:val="24"/>
        </w:rPr>
        <w:t xml:space="preserve"> </w:t>
      </w:r>
      <w:r w:rsidR="0083342B" w:rsidRPr="008726D3">
        <w:rPr>
          <w:rFonts w:ascii="Bookman Old Style" w:hAnsi="Bookman Old Style"/>
          <w:sz w:val="24"/>
          <w:szCs w:val="24"/>
        </w:rPr>
        <w:t>riguarda</w:t>
      </w:r>
      <w:r w:rsidR="008F3DE8">
        <w:rPr>
          <w:rFonts w:ascii="Bookman Old Style" w:hAnsi="Bookman Old Style"/>
          <w:sz w:val="24"/>
          <w:szCs w:val="24"/>
        </w:rPr>
        <w:t xml:space="preserve"> </w:t>
      </w:r>
      <w:r w:rsidR="0083342B" w:rsidRPr="008726D3">
        <w:rPr>
          <w:rFonts w:ascii="Bookman Old Style" w:hAnsi="Bookman Old Style"/>
          <w:sz w:val="24"/>
          <w:szCs w:val="24"/>
        </w:rPr>
        <w:t>l’Europa,</w:t>
      </w:r>
      <w:r w:rsidR="008F3DE8">
        <w:rPr>
          <w:rFonts w:ascii="Bookman Old Style" w:hAnsi="Bookman Old Style"/>
          <w:sz w:val="24"/>
          <w:szCs w:val="24"/>
        </w:rPr>
        <w:t xml:space="preserve"> </w:t>
      </w:r>
      <w:r w:rsidR="00486DB5">
        <w:rPr>
          <w:rFonts w:ascii="Bookman Old Style" w:hAnsi="Bookman Old Style"/>
          <w:sz w:val="24"/>
          <w:szCs w:val="24"/>
        </w:rPr>
        <w:t xml:space="preserve">si </w:t>
      </w:r>
      <w:r w:rsidR="008F3DE8">
        <w:rPr>
          <w:rFonts w:ascii="Bookman Old Style" w:hAnsi="Bookman Old Style"/>
          <w:sz w:val="24"/>
          <w:szCs w:val="24"/>
        </w:rPr>
        <w:t xml:space="preserve">deve </w:t>
      </w:r>
      <w:r w:rsidR="00486DB5">
        <w:rPr>
          <w:rFonts w:ascii="Bookman Old Style" w:hAnsi="Bookman Old Style"/>
          <w:sz w:val="24"/>
          <w:szCs w:val="24"/>
        </w:rPr>
        <w:t xml:space="preserve">ricordare </w:t>
      </w:r>
      <w:r w:rsidR="0083342B" w:rsidRPr="008726D3">
        <w:rPr>
          <w:rFonts w:ascii="Bookman Old Style" w:hAnsi="Bookman Old Style"/>
          <w:sz w:val="24"/>
          <w:szCs w:val="24"/>
        </w:rPr>
        <w:t>il</w:t>
      </w:r>
      <w:r w:rsidR="008F3DE8">
        <w:rPr>
          <w:rFonts w:ascii="Bookman Old Style" w:hAnsi="Bookman Old Style"/>
          <w:sz w:val="24"/>
          <w:szCs w:val="24"/>
        </w:rPr>
        <w:t xml:space="preserve"> </w:t>
      </w:r>
      <w:r w:rsidR="0083342B" w:rsidRPr="008726D3">
        <w:rPr>
          <w:rFonts w:ascii="Bookman Old Style" w:hAnsi="Bookman Old Style"/>
          <w:sz w:val="24"/>
          <w:szCs w:val="24"/>
        </w:rPr>
        <w:t>Consiglio</w:t>
      </w:r>
      <w:r w:rsidR="008F3DE8">
        <w:rPr>
          <w:rFonts w:ascii="Bookman Old Style" w:hAnsi="Bookman Old Style"/>
          <w:sz w:val="24"/>
          <w:szCs w:val="24"/>
        </w:rPr>
        <w:t xml:space="preserve"> </w:t>
      </w:r>
      <w:r w:rsidR="0083342B" w:rsidRPr="008726D3">
        <w:rPr>
          <w:rFonts w:ascii="Bookman Old Style" w:hAnsi="Bookman Old Style"/>
          <w:sz w:val="24"/>
          <w:szCs w:val="24"/>
        </w:rPr>
        <w:t>d’Europa,</w:t>
      </w:r>
      <w:r w:rsidR="008F3DE8">
        <w:rPr>
          <w:rFonts w:ascii="Bookman Old Style" w:hAnsi="Bookman Old Style"/>
          <w:sz w:val="24"/>
          <w:szCs w:val="24"/>
        </w:rPr>
        <w:t xml:space="preserve"> </w:t>
      </w:r>
      <w:r w:rsidR="00B125D7" w:rsidRPr="008726D3">
        <w:rPr>
          <w:rFonts w:ascii="Bookman Old Style" w:hAnsi="Bookman Old Style"/>
          <w:sz w:val="24"/>
          <w:szCs w:val="24"/>
        </w:rPr>
        <w:t>in</w:t>
      </w:r>
      <w:r w:rsidR="008F3DE8">
        <w:rPr>
          <w:rFonts w:ascii="Bookman Old Style" w:hAnsi="Bookman Old Style"/>
          <w:sz w:val="24"/>
          <w:szCs w:val="24"/>
        </w:rPr>
        <w:t xml:space="preserve"> </w:t>
      </w:r>
      <w:r w:rsidR="00B125D7" w:rsidRPr="008726D3">
        <w:rPr>
          <w:rFonts w:ascii="Bookman Old Style" w:hAnsi="Bookman Old Style"/>
          <w:sz w:val="24"/>
          <w:szCs w:val="24"/>
        </w:rPr>
        <w:t>seno</w:t>
      </w:r>
      <w:r w:rsidR="008F3DE8">
        <w:rPr>
          <w:rFonts w:ascii="Bookman Old Style" w:hAnsi="Bookman Old Style"/>
          <w:sz w:val="24"/>
          <w:szCs w:val="24"/>
        </w:rPr>
        <w:t xml:space="preserve"> </w:t>
      </w:r>
      <w:r w:rsidR="00B125D7" w:rsidRPr="008726D3">
        <w:rPr>
          <w:rFonts w:ascii="Bookman Old Style" w:hAnsi="Bookman Old Style"/>
          <w:sz w:val="24"/>
          <w:szCs w:val="24"/>
        </w:rPr>
        <w:t>al</w:t>
      </w:r>
      <w:r w:rsidR="008F3DE8">
        <w:rPr>
          <w:rFonts w:ascii="Bookman Old Style" w:hAnsi="Bookman Old Style"/>
          <w:sz w:val="24"/>
          <w:szCs w:val="24"/>
        </w:rPr>
        <w:t xml:space="preserve"> </w:t>
      </w:r>
      <w:r w:rsidR="00B125D7" w:rsidRPr="008726D3">
        <w:rPr>
          <w:rFonts w:ascii="Bookman Old Style" w:hAnsi="Bookman Old Style"/>
          <w:sz w:val="24"/>
          <w:szCs w:val="24"/>
        </w:rPr>
        <w:t>quale</w:t>
      </w:r>
      <w:r w:rsidR="008F3DE8">
        <w:rPr>
          <w:rFonts w:ascii="Bookman Old Style" w:hAnsi="Bookman Old Style"/>
          <w:sz w:val="24"/>
          <w:szCs w:val="24"/>
        </w:rPr>
        <w:t xml:space="preserve"> </w:t>
      </w:r>
      <w:r w:rsidR="00B125D7" w:rsidRPr="008726D3">
        <w:rPr>
          <w:rFonts w:ascii="Bookman Old Style" w:hAnsi="Bookman Old Style"/>
          <w:sz w:val="24"/>
          <w:szCs w:val="24"/>
        </w:rPr>
        <w:t>nacque</w:t>
      </w:r>
      <w:r w:rsidR="008F3DE8">
        <w:rPr>
          <w:rFonts w:ascii="Bookman Old Style" w:hAnsi="Bookman Old Style"/>
          <w:sz w:val="24"/>
          <w:szCs w:val="24"/>
        </w:rPr>
        <w:t xml:space="preserve"> </w:t>
      </w:r>
      <w:r w:rsidR="00B125D7" w:rsidRPr="008726D3">
        <w:rPr>
          <w:rFonts w:ascii="Bookman Old Style" w:hAnsi="Bookman Old Style"/>
          <w:sz w:val="24"/>
          <w:szCs w:val="24"/>
        </w:rPr>
        <w:t>la</w:t>
      </w:r>
      <w:r w:rsidR="008F3DE8">
        <w:rPr>
          <w:rFonts w:ascii="Bookman Old Style" w:hAnsi="Bookman Old Style"/>
          <w:sz w:val="24"/>
          <w:szCs w:val="24"/>
        </w:rPr>
        <w:t xml:space="preserve"> </w:t>
      </w:r>
      <w:r w:rsidRPr="008726D3">
        <w:rPr>
          <w:rFonts w:ascii="Bookman Old Style" w:hAnsi="Bookman Old Style"/>
          <w:sz w:val="24"/>
          <w:szCs w:val="24"/>
        </w:rPr>
        <w:t>Convenzione</w:t>
      </w:r>
      <w:r w:rsidR="008F3DE8">
        <w:rPr>
          <w:rFonts w:ascii="Bookman Old Style" w:hAnsi="Bookman Old Style"/>
          <w:sz w:val="24"/>
          <w:szCs w:val="24"/>
        </w:rPr>
        <w:t xml:space="preserve"> </w:t>
      </w:r>
      <w:r w:rsidRPr="008726D3">
        <w:rPr>
          <w:rFonts w:ascii="Bookman Old Style" w:hAnsi="Bookman Old Style"/>
          <w:sz w:val="24"/>
          <w:szCs w:val="24"/>
        </w:rPr>
        <w:t>europea</w:t>
      </w:r>
      <w:r w:rsidR="008F3DE8">
        <w:rPr>
          <w:rFonts w:ascii="Bookman Old Style" w:hAnsi="Bookman Old Style"/>
          <w:sz w:val="24"/>
          <w:szCs w:val="24"/>
        </w:rPr>
        <w:t xml:space="preserve"> </w:t>
      </w:r>
      <w:r w:rsidRPr="008726D3">
        <w:rPr>
          <w:rFonts w:ascii="Bookman Old Style" w:hAnsi="Bookman Old Style"/>
          <w:sz w:val="24"/>
          <w:szCs w:val="24"/>
        </w:rPr>
        <w:t>per</w:t>
      </w:r>
      <w:r w:rsidR="008F3DE8">
        <w:rPr>
          <w:rFonts w:ascii="Bookman Old Style" w:hAnsi="Bookman Old Style"/>
          <w:sz w:val="24"/>
          <w:szCs w:val="24"/>
        </w:rPr>
        <w:t xml:space="preserve"> </w:t>
      </w:r>
      <w:r w:rsidRPr="008726D3">
        <w:rPr>
          <w:rFonts w:ascii="Bookman Old Style" w:hAnsi="Bookman Old Style"/>
          <w:sz w:val="24"/>
          <w:szCs w:val="24"/>
        </w:rPr>
        <w:t>la</w:t>
      </w:r>
      <w:r w:rsidR="008F3DE8">
        <w:rPr>
          <w:rFonts w:ascii="Bookman Old Style" w:hAnsi="Bookman Old Style"/>
          <w:sz w:val="24"/>
          <w:szCs w:val="24"/>
        </w:rPr>
        <w:t xml:space="preserve"> </w:t>
      </w:r>
      <w:r w:rsidRPr="008726D3">
        <w:rPr>
          <w:rFonts w:ascii="Bookman Old Style" w:hAnsi="Bookman Old Style"/>
          <w:sz w:val="24"/>
          <w:szCs w:val="24"/>
        </w:rPr>
        <w:t>salvaguardia</w:t>
      </w:r>
      <w:r w:rsidR="008F3DE8">
        <w:rPr>
          <w:rFonts w:ascii="Bookman Old Style" w:hAnsi="Bookman Old Style"/>
          <w:sz w:val="24"/>
          <w:szCs w:val="24"/>
        </w:rPr>
        <w:t xml:space="preserve"> </w:t>
      </w:r>
      <w:r w:rsidRPr="008726D3">
        <w:rPr>
          <w:rFonts w:ascii="Bookman Old Style" w:hAnsi="Bookman Old Style"/>
          <w:sz w:val="24"/>
          <w:szCs w:val="24"/>
        </w:rPr>
        <w:t>dei</w:t>
      </w:r>
      <w:r w:rsidR="008F3DE8">
        <w:rPr>
          <w:rFonts w:ascii="Bookman Old Style" w:hAnsi="Bookman Old Style"/>
          <w:sz w:val="24"/>
          <w:szCs w:val="24"/>
        </w:rPr>
        <w:t xml:space="preserve"> </w:t>
      </w:r>
      <w:r w:rsidRPr="008726D3">
        <w:rPr>
          <w:rFonts w:ascii="Bookman Old Style" w:hAnsi="Bookman Old Style"/>
          <w:sz w:val="24"/>
          <w:szCs w:val="24"/>
        </w:rPr>
        <w:t>diritti</w:t>
      </w:r>
      <w:r w:rsidR="008F3DE8">
        <w:rPr>
          <w:rFonts w:ascii="Bookman Old Style" w:hAnsi="Bookman Old Style"/>
          <w:sz w:val="24"/>
          <w:szCs w:val="24"/>
        </w:rPr>
        <w:t xml:space="preserve"> </w:t>
      </w:r>
      <w:r w:rsidRPr="008726D3">
        <w:rPr>
          <w:rFonts w:ascii="Bookman Old Style" w:hAnsi="Bookman Old Style"/>
          <w:sz w:val="24"/>
          <w:szCs w:val="24"/>
        </w:rPr>
        <w:t>dell’uomo</w:t>
      </w:r>
      <w:r w:rsidR="008F3DE8">
        <w:rPr>
          <w:rFonts w:ascii="Bookman Old Style" w:hAnsi="Bookman Old Style"/>
          <w:sz w:val="24"/>
          <w:szCs w:val="24"/>
        </w:rPr>
        <w:t xml:space="preserve"> </w:t>
      </w:r>
      <w:r w:rsidRPr="008726D3">
        <w:rPr>
          <w:rFonts w:ascii="Bookman Old Style" w:hAnsi="Bookman Old Style"/>
          <w:sz w:val="24"/>
          <w:szCs w:val="24"/>
        </w:rPr>
        <w:t>e</w:t>
      </w:r>
      <w:r w:rsidR="008F3DE8">
        <w:rPr>
          <w:rFonts w:ascii="Bookman Old Style" w:hAnsi="Bookman Old Style"/>
          <w:sz w:val="24"/>
          <w:szCs w:val="24"/>
        </w:rPr>
        <w:t xml:space="preserve"> </w:t>
      </w:r>
      <w:r w:rsidRPr="008726D3">
        <w:rPr>
          <w:rFonts w:ascii="Bookman Old Style" w:hAnsi="Bookman Old Style"/>
          <w:sz w:val="24"/>
          <w:szCs w:val="24"/>
        </w:rPr>
        <w:t>delle</w:t>
      </w:r>
      <w:r w:rsidR="008F3DE8">
        <w:rPr>
          <w:rFonts w:ascii="Bookman Old Style" w:hAnsi="Bookman Old Style"/>
          <w:sz w:val="24"/>
          <w:szCs w:val="24"/>
        </w:rPr>
        <w:t xml:space="preserve"> </w:t>
      </w:r>
      <w:r w:rsidRPr="008726D3">
        <w:rPr>
          <w:rFonts w:ascii="Bookman Old Style" w:hAnsi="Bookman Old Style"/>
          <w:sz w:val="24"/>
          <w:szCs w:val="24"/>
        </w:rPr>
        <w:t>libertà</w:t>
      </w:r>
      <w:r w:rsidR="008F3DE8">
        <w:rPr>
          <w:rFonts w:ascii="Bookman Old Style" w:hAnsi="Bookman Old Style"/>
          <w:sz w:val="24"/>
          <w:szCs w:val="24"/>
        </w:rPr>
        <w:t xml:space="preserve"> </w:t>
      </w:r>
      <w:r w:rsidRPr="008726D3">
        <w:rPr>
          <w:rFonts w:ascii="Bookman Old Style" w:hAnsi="Bookman Old Style"/>
          <w:sz w:val="24"/>
          <w:szCs w:val="24"/>
        </w:rPr>
        <w:t>fondamentali</w:t>
      </w:r>
      <w:r w:rsidR="00B125D7" w:rsidRPr="008726D3">
        <w:rPr>
          <w:rFonts w:ascii="Bookman Old Style" w:hAnsi="Bookman Old Style"/>
          <w:sz w:val="24"/>
          <w:szCs w:val="24"/>
        </w:rPr>
        <w:t>,</w:t>
      </w:r>
      <w:r w:rsidR="008F3DE8">
        <w:rPr>
          <w:rFonts w:ascii="Bookman Old Style" w:hAnsi="Bookman Old Style"/>
          <w:sz w:val="24"/>
          <w:szCs w:val="24"/>
        </w:rPr>
        <w:t xml:space="preserve"> </w:t>
      </w:r>
      <w:r w:rsidRPr="008726D3">
        <w:rPr>
          <w:rFonts w:ascii="Bookman Old Style" w:hAnsi="Bookman Old Style"/>
          <w:sz w:val="24"/>
          <w:szCs w:val="24"/>
        </w:rPr>
        <w:t>firmata</w:t>
      </w:r>
      <w:r w:rsidR="008F3DE8">
        <w:rPr>
          <w:rFonts w:ascii="Bookman Old Style" w:hAnsi="Bookman Old Style"/>
          <w:sz w:val="24"/>
          <w:szCs w:val="24"/>
        </w:rPr>
        <w:t xml:space="preserve"> </w:t>
      </w:r>
      <w:r w:rsidRPr="008726D3">
        <w:rPr>
          <w:rFonts w:ascii="Bookman Old Style" w:hAnsi="Bookman Old Style"/>
          <w:sz w:val="24"/>
          <w:szCs w:val="24"/>
        </w:rPr>
        <w:t>a</w:t>
      </w:r>
      <w:r w:rsidR="008F3DE8">
        <w:rPr>
          <w:rFonts w:ascii="Bookman Old Style" w:hAnsi="Bookman Old Style"/>
          <w:sz w:val="24"/>
          <w:szCs w:val="24"/>
        </w:rPr>
        <w:t xml:space="preserve"> </w:t>
      </w:r>
      <w:r w:rsidRPr="008726D3">
        <w:rPr>
          <w:rFonts w:ascii="Bookman Old Style" w:hAnsi="Bookman Old Style"/>
          <w:sz w:val="24"/>
          <w:szCs w:val="24"/>
        </w:rPr>
        <w:t>Roma</w:t>
      </w:r>
      <w:r w:rsidR="008F3DE8">
        <w:rPr>
          <w:rFonts w:ascii="Bookman Old Style" w:hAnsi="Bookman Old Style"/>
          <w:sz w:val="24"/>
          <w:szCs w:val="24"/>
        </w:rPr>
        <w:t xml:space="preserve"> </w:t>
      </w:r>
      <w:r w:rsidRPr="008726D3">
        <w:rPr>
          <w:rFonts w:ascii="Bookman Old Style" w:hAnsi="Bookman Old Style"/>
          <w:sz w:val="24"/>
          <w:szCs w:val="24"/>
        </w:rPr>
        <w:t>nel</w:t>
      </w:r>
      <w:r w:rsidR="008F3DE8">
        <w:rPr>
          <w:rFonts w:ascii="Bookman Old Style" w:hAnsi="Bookman Old Style"/>
          <w:sz w:val="24"/>
          <w:szCs w:val="24"/>
        </w:rPr>
        <w:t xml:space="preserve"> </w:t>
      </w:r>
      <w:r w:rsidRPr="008726D3">
        <w:rPr>
          <w:rFonts w:ascii="Bookman Old Style" w:hAnsi="Bookman Old Style"/>
          <w:sz w:val="24"/>
          <w:szCs w:val="24"/>
        </w:rPr>
        <w:t>1950</w:t>
      </w:r>
      <w:r w:rsidR="008F3DE8">
        <w:rPr>
          <w:rFonts w:ascii="Bookman Old Style" w:hAnsi="Bookman Old Style"/>
          <w:sz w:val="24"/>
          <w:szCs w:val="24"/>
        </w:rPr>
        <w:t xml:space="preserve"> </w:t>
      </w:r>
      <w:r w:rsidRPr="008726D3">
        <w:rPr>
          <w:rFonts w:ascii="Bookman Old Style" w:hAnsi="Bookman Old Style"/>
          <w:sz w:val="24"/>
          <w:szCs w:val="24"/>
        </w:rPr>
        <w:t>da</w:t>
      </w:r>
      <w:r w:rsidR="008F3DE8">
        <w:rPr>
          <w:rFonts w:ascii="Bookman Old Style" w:hAnsi="Bookman Old Style"/>
          <w:sz w:val="24"/>
          <w:szCs w:val="24"/>
        </w:rPr>
        <w:t xml:space="preserve"> </w:t>
      </w:r>
      <w:r w:rsidRPr="008726D3">
        <w:rPr>
          <w:rFonts w:ascii="Bookman Old Style" w:hAnsi="Bookman Old Style"/>
          <w:sz w:val="24"/>
          <w:szCs w:val="24"/>
        </w:rPr>
        <w:t>tutti</w:t>
      </w:r>
      <w:r w:rsidR="008F3DE8">
        <w:rPr>
          <w:rFonts w:ascii="Bookman Old Style" w:hAnsi="Bookman Old Style"/>
          <w:sz w:val="24"/>
          <w:szCs w:val="24"/>
        </w:rPr>
        <w:t xml:space="preserve"> </w:t>
      </w:r>
      <w:r w:rsidRPr="008726D3">
        <w:rPr>
          <w:rFonts w:ascii="Bookman Old Style" w:hAnsi="Bookman Old Style"/>
          <w:sz w:val="24"/>
          <w:szCs w:val="24"/>
        </w:rPr>
        <w:t>gli</w:t>
      </w:r>
      <w:r w:rsidR="008F3DE8">
        <w:rPr>
          <w:rFonts w:ascii="Bookman Old Style" w:hAnsi="Bookman Old Style"/>
          <w:sz w:val="24"/>
          <w:szCs w:val="24"/>
        </w:rPr>
        <w:t xml:space="preserve"> </w:t>
      </w:r>
      <w:r w:rsidRPr="008726D3">
        <w:rPr>
          <w:rFonts w:ascii="Bookman Old Style" w:hAnsi="Bookman Old Style"/>
          <w:sz w:val="24"/>
          <w:szCs w:val="24"/>
        </w:rPr>
        <w:t>Stati</w:t>
      </w:r>
      <w:r w:rsidR="008F3DE8">
        <w:rPr>
          <w:rFonts w:ascii="Bookman Old Style" w:hAnsi="Bookman Old Style"/>
          <w:sz w:val="24"/>
          <w:szCs w:val="24"/>
        </w:rPr>
        <w:t xml:space="preserve"> </w:t>
      </w:r>
      <w:r w:rsidRPr="008726D3">
        <w:rPr>
          <w:rFonts w:ascii="Bookman Old Style" w:hAnsi="Bookman Old Style"/>
          <w:sz w:val="24"/>
          <w:szCs w:val="24"/>
        </w:rPr>
        <w:t>appartenenti</w:t>
      </w:r>
      <w:r w:rsidR="008F3DE8">
        <w:rPr>
          <w:rFonts w:ascii="Bookman Old Style" w:hAnsi="Bookman Old Style"/>
          <w:sz w:val="24"/>
          <w:szCs w:val="24"/>
        </w:rPr>
        <w:t xml:space="preserve"> </w:t>
      </w:r>
      <w:r w:rsidRPr="008726D3">
        <w:rPr>
          <w:rFonts w:ascii="Bookman Old Style" w:hAnsi="Bookman Old Style"/>
          <w:sz w:val="24"/>
          <w:szCs w:val="24"/>
        </w:rPr>
        <w:t>al</w:t>
      </w:r>
      <w:r w:rsidR="008F3DE8">
        <w:rPr>
          <w:rFonts w:ascii="Bookman Old Style" w:hAnsi="Bookman Old Style"/>
          <w:sz w:val="24"/>
          <w:szCs w:val="24"/>
        </w:rPr>
        <w:t xml:space="preserve"> </w:t>
      </w:r>
      <w:r w:rsidRPr="008726D3">
        <w:rPr>
          <w:rFonts w:ascii="Bookman Old Style" w:hAnsi="Bookman Old Style"/>
          <w:sz w:val="24"/>
          <w:szCs w:val="24"/>
        </w:rPr>
        <w:t>Consig</w:t>
      </w:r>
      <w:r w:rsidR="008F3DE8">
        <w:rPr>
          <w:rFonts w:ascii="Bookman Old Style" w:hAnsi="Bookman Old Style"/>
          <w:sz w:val="24"/>
          <w:szCs w:val="24"/>
        </w:rPr>
        <w:t>lio</w:t>
      </w:r>
      <w:r w:rsidR="00B125D7" w:rsidRPr="008726D3">
        <w:rPr>
          <w:rFonts w:ascii="Bookman Old Style" w:hAnsi="Bookman Old Style"/>
          <w:sz w:val="24"/>
          <w:szCs w:val="24"/>
        </w:rPr>
        <w:t>,</w:t>
      </w:r>
      <w:r w:rsidR="008F3DE8">
        <w:rPr>
          <w:rFonts w:ascii="Bookman Old Style" w:hAnsi="Bookman Old Style"/>
          <w:sz w:val="24"/>
          <w:szCs w:val="24"/>
        </w:rPr>
        <w:t xml:space="preserve"> </w:t>
      </w:r>
      <w:r w:rsidR="00B125D7" w:rsidRPr="008726D3">
        <w:rPr>
          <w:rFonts w:ascii="Bookman Old Style" w:hAnsi="Bookman Old Style"/>
          <w:sz w:val="24"/>
          <w:szCs w:val="24"/>
        </w:rPr>
        <w:t>cui</w:t>
      </w:r>
      <w:r w:rsidRPr="008726D3">
        <w:rPr>
          <w:rFonts w:ascii="Bookman Old Style" w:hAnsi="Bookman Old Style"/>
          <w:sz w:val="24"/>
          <w:szCs w:val="24"/>
        </w:rPr>
        <w:t>,</w:t>
      </w:r>
      <w:r w:rsidR="008F3DE8">
        <w:rPr>
          <w:rFonts w:ascii="Bookman Old Style" w:hAnsi="Bookman Old Style"/>
          <w:sz w:val="24"/>
          <w:szCs w:val="24"/>
        </w:rPr>
        <w:t xml:space="preserve"> </w:t>
      </w:r>
      <w:r w:rsidRPr="008726D3">
        <w:rPr>
          <w:rFonts w:ascii="Bookman Old Style" w:hAnsi="Bookman Old Style"/>
          <w:sz w:val="24"/>
          <w:szCs w:val="24"/>
        </w:rPr>
        <w:t>nel</w:t>
      </w:r>
      <w:r w:rsidR="008F3DE8">
        <w:rPr>
          <w:rFonts w:ascii="Bookman Old Style" w:hAnsi="Bookman Old Style"/>
          <w:sz w:val="24"/>
          <w:szCs w:val="24"/>
        </w:rPr>
        <w:t xml:space="preserve"> </w:t>
      </w:r>
      <w:r w:rsidRPr="008726D3">
        <w:rPr>
          <w:rFonts w:ascii="Bookman Old Style" w:hAnsi="Bookman Old Style"/>
          <w:sz w:val="24"/>
          <w:szCs w:val="24"/>
        </w:rPr>
        <w:t>corso</w:t>
      </w:r>
      <w:r w:rsidR="008F3DE8">
        <w:rPr>
          <w:rFonts w:ascii="Bookman Old Style" w:hAnsi="Bookman Old Style"/>
          <w:sz w:val="24"/>
          <w:szCs w:val="24"/>
        </w:rPr>
        <w:t xml:space="preserve"> </w:t>
      </w:r>
      <w:r w:rsidRPr="008726D3">
        <w:rPr>
          <w:rFonts w:ascii="Bookman Old Style" w:hAnsi="Bookman Old Style"/>
          <w:sz w:val="24"/>
          <w:szCs w:val="24"/>
        </w:rPr>
        <w:t>d</w:t>
      </w:r>
      <w:r w:rsidR="00B125D7" w:rsidRPr="008726D3">
        <w:rPr>
          <w:rFonts w:ascii="Bookman Old Style" w:hAnsi="Bookman Old Style"/>
          <w:sz w:val="24"/>
          <w:szCs w:val="24"/>
        </w:rPr>
        <w:t>egli</w:t>
      </w:r>
      <w:r w:rsidR="008F3DE8">
        <w:rPr>
          <w:rFonts w:ascii="Bookman Old Style" w:hAnsi="Bookman Old Style"/>
          <w:sz w:val="24"/>
          <w:szCs w:val="24"/>
        </w:rPr>
        <w:t xml:space="preserve"> </w:t>
      </w:r>
      <w:r w:rsidRPr="008726D3">
        <w:rPr>
          <w:rFonts w:ascii="Bookman Old Style" w:hAnsi="Bookman Old Style"/>
          <w:sz w:val="24"/>
          <w:szCs w:val="24"/>
        </w:rPr>
        <w:t>anni,</w:t>
      </w:r>
      <w:r w:rsidR="008F3DE8">
        <w:rPr>
          <w:rFonts w:ascii="Bookman Old Style" w:hAnsi="Bookman Old Style"/>
          <w:sz w:val="24"/>
          <w:szCs w:val="24"/>
        </w:rPr>
        <w:t xml:space="preserve"> </w:t>
      </w:r>
      <w:r w:rsidRPr="008726D3">
        <w:rPr>
          <w:rFonts w:ascii="Bookman Old Style" w:hAnsi="Bookman Old Style"/>
          <w:sz w:val="24"/>
          <w:szCs w:val="24"/>
        </w:rPr>
        <w:t>si</w:t>
      </w:r>
      <w:r w:rsidR="008F3DE8">
        <w:rPr>
          <w:rFonts w:ascii="Bookman Old Style" w:hAnsi="Bookman Old Style"/>
          <w:sz w:val="24"/>
          <w:szCs w:val="24"/>
        </w:rPr>
        <w:t xml:space="preserve"> </w:t>
      </w:r>
      <w:r w:rsidRPr="008726D3">
        <w:rPr>
          <w:rFonts w:ascii="Bookman Old Style" w:hAnsi="Bookman Old Style"/>
          <w:sz w:val="24"/>
          <w:szCs w:val="24"/>
        </w:rPr>
        <w:t>sono</w:t>
      </w:r>
      <w:r w:rsidR="008F3DE8">
        <w:rPr>
          <w:rFonts w:ascii="Bookman Old Style" w:hAnsi="Bookman Old Style"/>
          <w:sz w:val="24"/>
          <w:szCs w:val="24"/>
        </w:rPr>
        <w:t xml:space="preserve"> </w:t>
      </w:r>
      <w:r w:rsidRPr="008726D3">
        <w:rPr>
          <w:rFonts w:ascii="Bookman Old Style" w:hAnsi="Bookman Old Style"/>
          <w:sz w:val="24"/>
          <w:szCs w:val="24"/>
        </w:rPr>
        <w:t>aggiunti</w:t>
      </w:r>
      <w:r w:rsidR="008F3DE8">
        <w:rPr>
          <w:rFonts w:ascii="Bookman Old Style" w:hAnsi="Bookman Old Style"/>
          <w:sz w:val="24"/>
          <w:szCs w:val="24"/>
        </w:rPr>
        <w:t xml:space="preserve"> </w:t>
      </w:r>
      <w:r w:rsidRPr="008726D3">
        <w:rPr>
          <w:rFonts w:ascii="Bookman Old Style" w:hAnsi="Bookman Old Style"/>
          <w:sz w:val="24"/>
          <w:szCs w:val="24"/>
        </w:rPr>
        <w:t>vari</w:t>
      </w:r>
      <w:r w:rsidR="008F3DE8">
        <w:rPr>
          <w:rFonts w:ascii="Bookman Old Style" w:hAnsi="Bookman Old Style"/>
          <w:sz w:val="24"/>
          <w:szCs w:val="24"/>
        </w:rPr>
        <w:t xml:space="preserve"> </w:t>
      </w:r>
      <w:r w:rsidRPr="008726D3">
        <w:rPr>
          <w:rFonts w:ascii="Bookman Old Style" w:hAnsi="Bookman Old Style"/>
          <w:sz w:val="24"/>
          <w:szCs w:val="24"/>
        </w:rPr>
        <w:t>Protocolli</w:t>
      </w:r>
      <w:r w:rsidR="008F3DE8">
        <w:rPr>
          <w:rFonts w:ascii="Bookman Old Style" w:hAnsi="Bookman Old Style"/>
          <w:sz w:val="24"/>
          <w:szCs w:val="24"/>
        </w:rPr>
        <w:t xml:space="preserve"> </w:t>
      </w:r>
      <w:r w:rsidRPr="008726D3">
        <w:rPr>
          <w:rFonts w:ascii="Bookman Old Style" w:hAnsi="Bookman Old Style"/>
          <w:sz w:val="24"/>
          <w:szCs w:val="24"/>
        </w:rPr>
        <w:t>Addizionali</w:t>
      </w:r>
      <w:r w:rsidR="00486DB5">
        <w:rPr>
          <w:rFonts w:ascii="Bookman Old Style" w:hAnsi="Bookman Old Style"/>
          <w:sz w:val="24"/>
          <w:szCs w:val="24"/>
        </w:rPr>
        <w:t xml:space="preserve"> </w:t>
      </w:r>
      <w:r w:rsidR="00E6695E" w:rsidRPr="008726D3">
        <w:rPr>
          <w:rFonts w:ascii="Bookman Old Style" w:hAnsi="Bookman Old Style"/>
          <w:sz w:val="24"/>
          <w:szCs w:val="24"/>
        </w:rPr>
        <w:footnoteReference w:id="17"/>
      </w:r>
      <w:r w:rsidR="00B125D7" w:rsidRPr="008726D3">
        <w:rPr>
          <w:rFonts w:ascii="Bookman Old Style" w:hAnsi="Bookman Old Style"/>
          <w:sz w:val="24"/>
          <w:szCs w:val="24"/>
        </w:rPr>
        <w:t>.</w:t>
      </w:r>
    </w:p>
    <w:p w:rsidR="00E6695E" w:rsidRPr="008726D3" w:rsidRDefault="00B125D7" w:rsidP="008726D3">
      <w:pPr>
        <w:ind w:firstLine="709"/>
        <w:jc w:val="both"/>
        <w:rPr>
          <w:rFonts w:ascii="Bookman Old Style" w:hAnsi="Bookman Old Style"/>
          <w:sz w:val="24"/>
          <w:szCs w:val="24"/>
        </w:rPr>
      </w:pPr>
      <w:r w:rsidRPr="008726D3">
        <w:rPr>
          <w:rFonts w:ascii="Bookman Old Style" w:hAnsi="Bookman Old Style"/>
          <w:sz w:val="24"/>
          <w:szCs w:val="24"/>
        </w:rPr>
        <w:t>Molto</w:t>
      </w:r>
      <w:r w:rsidR="008F3DE8">
        <w:rPr>
          <w:rFonts w:ascii="Bookman Old Style" w:hAnsi="Bookman Old Style"/>
          <w:sz w:val="24"/>
          <w:szCs w:val="24"/>
        </w:rPr>
        <w:t xml:space="preserve"> </w:t>
      </w:r>
      <w:r w:rsidRPr="008726D3">
        <w:rPr>
          <w:rFonts w:ascii="Bookman Old Style" w:hAnsi="Bookman Old Style"/>
          <w:sz w:val="24"/>
          <w:szCs w:val="24"/>
        </w:rPr>
        <w:t>diversa</w:t>
      </w:r>
      <w:r w:rsidR="008F3DE8">
        <w:rPr>
          <w:rFonts w:ascii="Bookman Old Style" w:hAnsi="Bookman Old Style"/>
          <w:sz w:val="24"/>
          <w:szCs w:val="24"/>
        </w:rPr>
        <w:t xml:space="preserve"> </w:t>
      </w:r>
      <w:r w:rsidRPr="008726D3">
        <w:rPr>
          <w:rFonts w:ascii="Bookman Old Style" w:hAnsi="Bookman Old Style"/>
          <w:sz w:val="24"/>
          <w:szCs w:val="24"/>
        </w:rPr>
        <w:t>è</w:t>
      </w:r>
      <w:r w:rsidR="008F3DE8">
        <w:rPr>
          <w:rFonts w:ascii="Bookman Old Style" w:hAnsi="Bookman Old Style"/>
          <w:sz w:val="24"/>
          <w:szCs w:val="24"/>
        </w:rPr>
        <w:t xml:space="preserve"> </w:t>
      </w:r>
      <w:r w:rsidRPr="008726D3">
        <w:rPr>
          <w:rFonts w:ascii="Bookman Old Style" w:hAnsi="Bookman Old Style"/>
          <w:sz w:val="24"/>
          <w:szCs w:val="24"/>
        </w:rPr>
        <w:t>stata</w:t>
      </w:r>
      <w:r w:rsidR="008F3DE8">
        <w:rPr>
          <w:rFonts w:ascii="Bookman Old Style" w:hAnsi="Bookman Old Style"/>
          <w:sz w:val="24"/>
          <w:szCs w:val="24"/>
        </w:rPr>
        <w:t xml:space="preserve"> </w:t>
      </w:r>
      <w:r w:rsidRPr="008726D3">
        <w:rPr>
          <w:rFonts w:ascii="Bookman Old Style" w:hAnsi="Bookman Old Style"/>
          <w:sz w:val="24"/>
          <w:szCs w:val="24"/>
        </w:rPr>
        <w:t>l’evoluzione</w:t>
      </w:r>
      <w:r w:rsidR="008F3DE8">
        <w:rPr>
          <w:rFonts w:ascii="Bookman Old Style" w:hAnsi="Bookman Old Style"/>
          <w:sz w:val="24"/>
          <w:szCs w:val="24"/>
        </w:rPr>
        <w:t xml:space="preserve"> </w:t>
      </w:r>
      <w:r w:rsidRPr="008726D3">
        <w:rPr>
          <w:rFonts w:ascii="Bookman Old Style" w:hAnsi="Bookman Old Style"/>
          <w:sz w:val="24"/>
          <w:szCs w:val="24"/>
        </w:rPr>
        <w:t>della</w:t>
      </w:r>
      <w:r w:rsidR="008F3DE8">
        <w:rPr>
          <w:rFonts w:ascii="Bookman Old Style" w:hAnsi="Bookman Old Style"/>
          <w:sz w:val="24"/>
          <w:szCs w:val="24"/>
        </w:rPr>
        <w:t xml:space="preserve"> </w:t>
      </w:r>
      <w:r w:rsidRPr="008726D3">
        <w:rPr>
          <w:rFonts w:ascii="Bookman Old Style" w:hAnsi="Bookman Old Style"/>
          <w:sz w:val="24"/>
          <w:szCs w:val="24"/>
        </w:rPr>
        <w:t>normativa</w:t>
      </w:r>
      <w:r w:rsidR="008F3DE8">
        <w:rPr>
          <w:rFonts w:ascii="Bookman Old Style" w:hAnsi="Bookman Old Style"/>
          <w:sz w:val="24"/>
          <w:szCs w:val="24"/>
        </w:rPr>
        <w:t xml:space="preserve"> </w:t>
      </w:r>
      <w:r w:rsidRPr="008726D3">
        <w:rPr>
          <w:rFonts w:ascii="Bookman Old Style" w:hAnsi="Bookman Old Style"/>
          <w:sz w:val="24"/>
          <w:szCs w:val="24"/>
        </w:rPr>
        <w:t>in</w:t>
      </w:r>
      <w:r w:rsidR="008F3DE8">
        <w:rPr>
          <w:rFonts w:ascii="Bookman Old Style" w:hAnsi="Bookman Old Style"/>
          <w:sz w:val="24"/>
          <w:szCs w:val="24"/>
        </w:rPr>
        <w:t xml:space="preserve"> </w:t>
      </w:r>
      <w:r w:rsidRPr="008726D3">
        <w:rPr>
          <w:rFonts w:ascii="Bookman Old Style" w:hAnsi="Bookman Old Style"/>
          <w:sz w:val="24"/>
          <w:szCs w:val="24"/>
        </w:rPr>
        <w:t>tema</w:t>
      </w:r>
      <w:r w:rsidR="008F3DE8">
        <w:rPr>
          <w:rFonts w:ascii="Bookman Old Style" w:hAnsi="Bookman Old Style"/>
          <w:sz w:val="24"/>
          <w:szCs w:val="24"/>
        </w:rPr>
        <w:t xml:space="preserve"> </w:t>
      </w:r>
      <w:r w:rsidRPr="008726D3">
        <w:rPr>
          <w:rFonts w:ascii="Bookman Old Style" w:hAnsi="Bookman Old Style"/>
          <w:sz w:val="24"/>
          <w:szCs w:val="24"/>
        </w:rPr>
        <w:t>di</w:t>
      </w:r>
      <w:r w:rsidR="008F3DE8">
        <w:rPr>
          <w:rFonts w:ascii="Bookman Old Style" w:hAnsi="Bookman Old Style"/>
          <w:sz w:val="24"/>
          <w:szCs w:val="24"/>
        </w:rPr>
        <w:t xml:space="preserve"> </w:t>
      </w:r>
      <w:r w:rsidRPr="008726D3">
        <w:rPr>
          <w:rFonts w:ascii="Bookman Old Style" w:hAnsi="Bookman Old Style"/>
          <w:sz w:val="24"/>
          <w:szCs w:val="24"/>
        </w:rPr>
        <w:t>diritti</w:t>
      </w:r>
      <w:r w:rsidR="008F3DE8">
        <w:rPr>
          <w:rFonts w:ascii="Bookman Old Style" w:hAnsi="Bookman Old Style"/>
          <w:sz w:val="24"/>
          <w:szCs w:val="24"/>
        </w:rPr>
        <w:t xml:space="preserve"> </w:t>
      </w:r>
      <w:r w:rsidRPr="008726D3">
        <w:rPr>
          <w:rFonts w:ascii="Bookman Old Style" w:hAnsi="Bookman Old Style"/>
          <w:sz w:val="24"/>
          <w:szCs w:val="24"/>
        </w:rPr>
        <w:t>fondamentali</w:t>
      </w:r>
      <w:r w:rsidR="008F3DE8">
        <w:rPr>
          <w:rFonts w:ascii="Bookman Old Style" w:hAnsi="Bookman Old Style"/>
          <w:sz w:val="24"/>
          <w:szCs w:val="24"/>
        </w:rPr>
        <w:t xml:space="preserve"> </w:t>
      </w:r>
      <w:r w:rsidRPr="008726D3">
        <w:rPr>
          <w:rFonts w:ascii="Bookman Old Style" w:hAnsi="Bookman Old Style"/>
          <w:sz w:val="24"/>
          <w:szCs w:val="24"/>
        </w:rPr>
        <w:t>all’interno</w:t>
      </w:r>
      <w:r w:rsidR="008F3DE8">
        <w:rPr>
          <w:rFonts w:ascii="Bookman Old Style" w:hAnsi="Bookman Old Style"/>
          <w:sz w:val="24"/>
          <w:szCs w:val="24"/>
        </w:rPr>
        <w:t xml:space="preserve"> </w:t>
      </w:r>
      <w:r w:rsidRPr="008726D3">
        <w:rPr>
          <w:rFonts w:ascii="Bookman Old Style" w:hAnsi="Bookman Old Style"/>
          <w:sz w:val="24"/>
          <w:szCs w:val="24"/>
        </w:rPr>
        <w:t>dell’ordinamento</w:t>
      </w:r>
      <w:r w:rsidR="008F3DE8">
        <w:rPr>
          <w:rFonts w:ascii="Bookman Old Style" w:hAnsi="Bookman Old Style"/>
          <w:sz w:val="24"/>
          <w:szCs w:val="24"/>
        </w:rPr>
        <w:t xml:space="preserve"> </w:t>
      </w:r>
      <w:r w:rsidRPr="008726D3">
        <w:rPr>
          <w:rFonts w:ascii="Bookman Old Style" w:hAnsi="Bookman Old Style"/>
          <w:sz w:val="24"/>
          <w:szCs w:val="24"/>
        </w:rPr>
        <w:t>dell’Unione</w:t>
      </w:r>
      <w:r w:rsidR="008F3DE8">
        <w:rPr>
          <w:rFonts w:ascii="Bookman Old Style" w:hAnsi="Bookman Old Style"/>
          <w:sz w:val="24"/>
          <w:szCs w:val="24"/>
        </w:rPr>
        <w:t xml:space="preserve"> </w:t>
      </w:r>
      <w:r w:rsidRPr="008726D3">
        <w:rPr>
          <w:rFonts w:ascii="Bookman Old Style" w:hAnsi="Bookman Old Style"/>
          <w:sz w:val="24"/>
          <w:szCs w:val="24"/>
        </w:rPr>
        <w:t>europea.</w:t>
      </w:r>
      <w:r w:rsidR="008F3DE8">
        <w:rPr>
          <w:rFonts w:ascii="Bookman Old Style" w:hAnsi="Bookman Old Style"/>
          <w:sz w:val="24"/>
          <w:szCs w:val="24"/>
        </w:rPr>
        <w:t xml:space="preserve"> </w:t>
      </w:r>
    </w:p>
    <w:p w:rsidR="00C81E0F" w:rsidRDefault="00816AB5" w:rsidP="008726D3">
      <w:pPr>
        <w:ind w:firstLine="709"/>
        <w:jc w:val="both"/>
        <w:rPr>
          <w:rFonts w:ascii="Bookman Old Style" w:hAnsi="Bookman Old Style"/>
          <w:sz w:val="24"/>
          <w:szCs w:val="24"/>
        </w:rPr>
      </w:pPr>
      <w:r w:rsidRPr="008726D3">
        <w:rPr>
          <w:rFonts w:ascii="Bookman Old Style" w:hAnsi="Bookman Old Style"/>
          <w:sz w:val="24"/>
          <w:szCs w:val="24"/>
        </w:rPr>
        <w:t>Il</w:t>
      </w:r>
      <w:r w:rsidR="008F3DE8">
        <w:rPr>
          <w:rFonts w:ascii="Bookman Old Style" w:hAnsi="Bookman Old Style"/>
          <w:sz w:val="24"/>
          <w:szCs w:val="24"/>
        </w:rPr>
        <w:t xml:space="preserve"> </w:t>
      </w:r>
      <w:r w:rsidRPr="008726D3">
        <w:rPr>
          <w:rFonts w:ascii="Bookman Old Style" w:hAnsi="Bookman Old Style"/>
          <w:sz w:val="24"/>
          <w:szCs w:val="24"/>
        </w:rPr>
        <w:t>Trattato</w:t>
      </w:r>
      <w:r w:rsidR="008F3DE8">
        <w:rPr>
          <w:rFonts w:ascii="Bookman Old Style" w:hAnsi="Bookman Old Style"/>
          <w:sz w:val="24"/>
          <w:szCs w:val="24"/>
        </w:rPr>
        <w:t xml:space="preserve"> </w:t>
      </w:r>
      <w:r w:rsidRPr="008726D3">
        <w:rPr>
          <w:rFonts w:ascii="Bookman Old Style" w:hAnsi="Bookman Old Style"/>
          <w:sz w:val="24"/>
          <w:szCs w:val="24"/>
        </w:rPr>
        <w:t>istitutivo</w:t>
      </w:r>
      <w:r w:rsidR="008F3DE8">
        <w:rPr>
          <w:rFonts w:ascii="Bookman Old Style" w:hAnsi="Bookman Old Style"/>
          <w:sz w:val="24"/>
          <w:szCs w:val="24"/>
        </w:rPr>
        <w:t xml:space="preserve"> </w:t>
      </w:r>
      <w:r w:rsidRPr="008726D3">
        <w:rPr>
          <w:rFonts w:ascii="Bookman Old Style" w:hAnsi="Bookman Old Style"/>
          <w:sz w:val="24"/>
          <w:szCs w:val="24"/>
        </w:rPr>
        <w:t>della</w:t>
      </w:r>
      <w:r w:rsidR="008F3DE8">
        <w:rPr>
          <w:rFonts w:ascii="Bookman Old Style" w:hAnsi="Bookman Old Style"/>
          <w:sz w:val="24"/>
          <w:szCs w:val="24"/>
        </w:rPr>
        <w:t xml:space="preserve"> </w:t>
      </w:r>
      <w:r w:rsidRPr="008726D3">
        <w:rPr>
          <w:rFonts w:ascii="Bookman Old Style" w:hAnsi="Bookman Old Style"/>
          <w:sz w:val="24"/>
          <w:szCs w:val="24"/>
        </w:rPr>
        <w:t>Comunità</w:t>
      </w:r>
      <w:r w:rsidR="008F3DE8">
        <w:rPr>
          <w:rFonts w:ascii="Bookman Old Style" w:hAnsi="Bookman Old Style"/>
          <w:sz w:val="24"/>
          <w:szCs w:val="24"/>
        </w:rPr>
        <w:t xml:space="preserve"> </w:t>
      </w:r>
      <w:r w:rsidRPr="008726D3">
        <w:rPr>
          <w:rFonts w:ascii="Bookman Old Style" w:hAnsi="Bookman Old Style"/>
          <w:sz w:val="24"/>
          <w:szCs w:val="24"/>
        </w:rPr>
        <w:t>europea,</w:t>
      </w:r>
      <w:r w:rsidR="008F3DE8">
        <w:rPr>
          <w:rFonts w:ascii="Bookman Old Style" w:hAnsi="Bookman Old Style"/>
          <w:sz w:val="24"/>
          <w:szCs w:val="24"/>
        </w:rPr>
        <w:t xml:space="preserve"> </w:t>
      </w:r>
      <w:r w:rsidRPr="008726D3">
        <w:rPr>
          <w:rFonts w:ascii="Bookman Old Style" w:hAnsi="Bookman Old Style"/>
          <w:sz w:val="24"/>
          <w:szCs w:val="24"/>
        </w:rPr>
        <w:t>firmato</w:t>
      </w:r>
      <w:r w:rsidR="008F3DE8">
        <w:rPr>
          <w:rFonts w:ascii="Bookman Old Style" w:hAnsi="Bookman Old Style"/>
          <w:sz w:val="24"/>
          <w:szCs w:val="24"/>
        </w:rPr>
        <w:t xml:space="preserve"> </w:t>
      </w:r>
      <w:r w:rsidRPr="008726D3">
        <w:rPr>
          <w:rFonts w:ascii="Bookman Old Style" w:hAnsi="Bookman Old Style"/>
          <w:sz w:val="24"/>
          <w:szCs w:val="24"/>
        </w:rPr>
        <w:t>a</w:t>
      </w:r>
      <w:r w:rsidR="008F3DE8">
        <w:rPr>
          <w:rFonts w:ascii="Bookman Old Style" w:hAnsi="Bookman Old Style"/>
          <w:sz w:val="24"/>
          <w:szCs w:val="24"/>
        </w:rPr>
        <w:t xml:space="preserve"> </w:t>
      </w:r>
      <w:r w:rsidRPr="008726D3">
        <w:rPr>
          <w:rFonts w:ascii="Bookman Old Style" w:hAnsi="Bookman Old Style"/>
          <w:sz w:val="24"/>
          <w:szCs w:val="24"/>
        </w:rPr>
        <w:t>Roma</w:t>
      </w:r>
      <w:r w:rsidR="008F3DE8">
        <w:rPr>
          <w:rFonts w:ascii="Bookman Old Style" w:hAnsi="Bookman Old Style"/>
          <w:sz w:val="24"/>
          <w:szCs w:val="24"/>
        </w:rPr>
        <w:t xml:space="preserve"> </w:t>
      </w:r>
      <w:r w:rsidRPr="008726D3">
        <w:rPr>
          <w:rFonts w:ascii="Bookman Old Style" w:hAnsi="Bookman Old Style"/>
          <w:sz w:val="24"/>
          <w:szCs w:val="24"/>
        </w:rPr>
        <w:t>il</w:t>
      </w:r>
      <w:r w:rsidR="008F3DE8">
        <w:rPr>
          <w:rFonts w:ascii="Bookman Old Style" w:hAnsi="Bookman Old Style"/>
          <w:sz w:val="24"/>
          <w:szCs w:val="24"/>
        </w:rPr>
        <w:t xml:space="preserve"> </w:t>
      </w:r>
      <w:r w:rsidRPr="008726D3">
        <w:rPr>
          <w:rFonts w:ascii="Bookman Old Style" w:hAnsi="Bookman Old Style"/>
          <w:sz w:val="24"/>
          <w:szCs w:val="24"/>
        </w:rPr>
        <w:t>25</w:t>
      </w:r>
      <w:r w:rsidR="008F3DE8">
        <w:rPr>
          <w:rFonts w:ascii="Bookman Old Style" w:hAnsi="Bookman Old Style"/>
          <w:sz w:val="24"/>
          <w:szCs w:val="24"/>
        </w:rPr>
        <w:t xml:space="preserve"> </w:t>
      </w:r>
      <w:r w:rsidRPr="008726D3">
        <w:rPr>
          <w:rFonts w:ascii="Bookman Old Style" w:hAnsi="Bookman Old Style"/>
          <w:sz w:val="24"/>
          <w:szCs w:val="24"/>
        </w:rPr>
        <w:t>marzo</w:t>
      </w:r>
      <w:r w:rsidR="008F3DE8">
        <w:rPr>
          <w:rFonts w:ascii="Bookman Old Style" w:hAnsi="Bookman Old Style"/>
          <w:sz w:val="24"/>
          <w:szCs w:val="24"/>
        </w:rPr>
        <w:t xml:space="preserve"> </w:t>
      </w:r>
      <w:r w:rsidRPr="008726D3">
        <w:rPr>
          <w:rFonts w:ascii="Bookman Old Style" w:hAnsi="Bookman Old Style"/>
          <w:sz w:val="24"/>
          <w:szCs w:val="24"/>
        </w:rPr>
        <w:t>1957,</w:t>
      </w:r>
      <w:r w:rsidR="008F3DE8">
        <w:rPr>
          <w:rFonts w:ascii="Bookman Old Style" w:hAnsi="Bookman Old Style"/>
          <w:sz w:val="24"/>
          <w:szCs w:val="24"/>
        </w:rPr>
        <w:t xml:space="preserve"> </w:t>
      </w:r>
      <w:r w:rsidRPr="008726D3">
        <w:rPr>
          <w:rFonts w:ascii="Bookman Old Style" w:hAnsi="Bookman Old Style"/>
          <w:sz w:val="24"/>
          <w:szCs w:val="24"/>
        </w:rPr>
        <w:t>non</w:t>
      </w:r>
      <w:r w:rsidR="008F3DE8">
        <w:rPr>
          <w:rFonts w:ascii="Bookman Old Style" w:hAnsi="Bookman Old Style"/>
          <w:sz w:val="24"/>
          <w:szCs w:val="24"/>
        </w:rPr>
        <w:t xml:space="preserve"> </w:t>
      </w:r>
      <w:r w:rsidRPr="008726D3">
        <w:rPr>
          <w:rFonts w:ascii="Bookman Old Style" w:hAnsi="Bookman Old Style"/>
          <w:sz w:val="24"/>
          <w:szCs w:val="24"/>
        </w:rPr>
        <w:t>conteneva</w:t>
      </w:r>
      <w:r w:rsidR="008F3DE8">
        <w:rPr>
          <w:rFonts w:ascii="Bookman Old Style" w:hAnsi="Bookman Old Style"/>
          <w:sz w:val="24"/>
          <w:szCs w:val="24"/>
        </w:rPr>
        <w:t xml:space="preserve"> </w:t>
      </w:r>
      <w:r w:rsidRPr="008726D3">
        <w:rPr>
          <w:rFonts w:ascii="Bookman Old Style" w:hAnsi="Bookman Old Style"/>
          <w:sz w:val="24"/>
          <w:szCs w:val="24"/>
        </w:rPr>
        <w:t>riferimenti</w:t>
      </w:r>
      <w:r w:rsidR="008F3DE8">
        <w:rPr>
          <w:rFonts w:ascii="Bookman Old Style" w:hAnsi="Bookman Old Style"/>
          <w:sz w:val="24"/>
          <w:szCs w:val="24"/>
        </w:rPr>
        <w:t xml:space="preserve"> </w:t>
      </w:r>
      <w:r w:rsidRPr="008726D3">
        <w:rPr>
          <w:rFonts w:ascii="Bookman Old Style" w:hAnsi="Bookman Old Style"/>
          <w:sz w:val="24"/>
          <w:szCs w:val="24"/>
        </w:rPr>
        <w:t>alla</w:t>
      </w:r>
      <w:r w:rsidR="008F3DE8">
        <w:rPr>
          <w:rFonts w:ascii="Bookman Old Style" w:hAnsi="Bookman Old Style"/>
          <w:sz w:val="24"/>
          <w:szCs w:val="24"/>
        </w:rPr>
        <w:t xml:space="preserve"> </w:t>
      </w:r>
      <w:r w:rsidRPr="008726D3">
        <w:rPr>
          <w:rFonts w:ascii="Bookman Old Style" w:hAnsi="Bookman Old Style"/>
          <w:sz w:val="24"/>
          <w:szCs w:val="24"/>
        </w:rPr>
        <w:t>problematica</w:t>
      </w:r>
      <w:r w:rsidR="008F3DE8">
        <w:rPr>
          <w:rFonts w:ascii="Bookman Old Style" w:hAnsi="Bookman Old Style"/>
          <w:sz w:val="24"/>
          <w:szCs w:val="24"/>
        </w:rPr>
        <w:t xml:space="preserve"> </w:t>
      </w:r>
      <w:r w:rsidRPr="008726D3">
        <w:rPr>
          <w:rFonts w:ascii="Bookman Old Style" w:hAnsi="Bookman Old Style"/>
          <w:sz w:val="24"/>
          <w:szCs w:val="24"/>
        </w:rPr>
        <w:t>concernente</w:t>
      </w:r>
      <w:r w:rsidR="008F3DE8">
        <w:rPr>
          <w:rFonts w:ascii="Bookman Old Style" w:hAnsi="Bookman Old Style"/>
          <w:sz w:val="24"/>
          <w:szCs w:val="24"/>
        </w:rPr>
        <w:t xml:space="preserve"> </w:t>
      </w:r>
      <w:r w:rsidRPr="008726D3">
        <w:rPr>
          <w:rFonts w:ascii="Bookman Old Style" w:hAnsi="Bookman Old Style"/>
          <w:sz w:val="24"/>
          <w:szCs w:val="24"/>
        </w:rPr>
        <w:t>la</w:t>
      </w:r>
      <w:r w:rsidR="008F3DE8">
        <w:rPr>
          <w:rFonts w:ascii="Bookman Old Style" w:hAnsi="Bookman Old Style"/>
          <w:sz w:val="24"/>
          <w:szCs w:val="24"/>
        </w:rPr>
        <w:t xml:space="preserve"> </w:t>
      </w:r>
      <w:r w:rsidRPr="008726D3">
        <w:rPr>
          <w:rFonts w:ascii="Bookman Old Style" w:hAnsi="Bookman Old Style"/>
          <w:sz w:val="24"/>
          <w:szCs w:val="24"/>
        </w:rPr>
        <w:t>tutela</w:t>
      </w:r>
      <w:r w:rsidR="008F3DE8">
        <w:rPr>
          <w:rFonts w:ascii="Bookman Old Style" w:hAnsi="Bookman Old Style"/>
          <w:sz w:val="24"/>
          <w:szCs w:val="24"/>
        </w:rPr>
        <w:t xml:space="preserve"> </w:t>
      </w:r>
      <w:r w:rsidRPr="008726D3">
        <w:rPr>
          <w:rFonts w:ascii="Bookman Old Style" w:hAnsi="Bookman Old Style"/>
          <w:sz w:val="24"/>
          <w:szCs w:val="24"/>
        </w:rPr>
        <w:t>dei</w:t>
      </w:r>
      <w:r w:rsidR="008F3DE8">
        <w:rPr>
          <w:rFonts w:ascii="Bookman Old Style" w:hAnsi="Bookman Old Style"/>
          <w:sz w:val="24"/>
          <w:szCs w:val="24"/>
        </w:rPr>
        <w:t xml:space="preserve"> </w:t>
      </w:r>
      <w:r w:rsidRPr="008726D3">
        <w:rPr>
          <w:rFonts w:ascii="Bookman Old Style" w:hAnsi="Bookman Old Style"/>
          <w:sz w:val="24"/>
          <w:szCs w:val="24"/>
        </w:rPr>
        <w:t>diritti</w:t>
      </w:r>
      <w:r w:rsidR="008F3DE8">
        <w:rPr>
          <w:rFonts w:ascii="Bookman Old Style" w:hAnsi="Bookman Old Style"/>
          <w:sz w:val="24"/>
          <w:szCs w:val="24"/>
        </w:rPr>
        <w:t xml:space="preserve"> </w:t>
      </w:r>
      <w:r w:rsidRPr="008726D3">
        <w:rPr>
          <w:rFonts w:ascii="Bookman Old Style" w:hAnsi="Bookman Old Style"/>
          <w:sz w:val="24"/>
          <w:szCs w:val="24"/>
        </w:rPr>
        <w:t>fondamentali:</w:t>
      </w:r>
      <w:r w:rsidR="008F3DE8">
        <w:rPr>
          <w:rFonts w:ascii="Bookman Old Style" w:hAnsi="Bookman Old Style"/>
          <w:sz w:val="24"/>
          <w:szCs w:val="24"/>
        </w:rPr>
        <w:t xml:space="preserve"> </w:t>
      </w:r>
      <w:r w:rsidRPr="008726D3">
        <w:rPr>
          <w:rFonts w:ascii="Bookman Old Style" w:hAnsi="Bookman Old Style"/>
          <w:sz w:val="24"/>
          <w:szCs w:val="24"/>
        </w:rPr>
        <w:t>la</w:t>
      </w:r>
      <w:r w:rsidR="008F3DE8">
        <w:rPr>
          <w:rFonts w:ascii="Bookman Old Style" w:hAnsi="Bookman Old Style"/>
          <w:sz w:val="24"/>
          <w:szCs w:val="24"/>
        </w:rPr>
        <w:t xml:space="preserve"> </w:t>
      </w:r>
      <w:r w:rsidRPr="008726D3">
        <w:rPr>
          <w:rFonts w:ascii="Bookman Old Style" w:hAnsi="Bookman Old Style"/>
          <w:sz w:val="24"/>
          <w:szCs w:val="24"/>
        </w:rPr>
        <w:t>mancanza</w:t>
      </w:r>
      <w:r w:rsidR="008F3DE8">
        <w:rPr>
          <w:rFonts w:ascii="Bookman Old Style" w:hAnsi="Bookman Old Style"/>
          <w:sz w:val="24"/>
          <w:szCs w:val="24"/>
        </w:rPr>
        <w:t xml:space="preserve"> </w:t>
      </w:r>
      <w:r w:rsidRPr="008726D3">
        <w:rPr>
          <w:rFonts w:ascii="Bookman Old Style" w:hAnsi="Bookman Old Style"/>
          <w:sz w:val="24"/>
          <w:szCs w:val="24"/>
        </w:rPr>
        <w:t>non</w:t>
      </w:r>
      <w:r w:rsidR="008F3DE8">
        <w:rPr>
          <w:rFonts w:ascii="Bookman Old Style" w:hAnsi="Bookman Old Style"/>
          <w:sz w:val="24"/>
          <w:szCs w:val="24"/>
        </w:rPr>
        <w:t xml:space="preserve"> </w:t>
      </w:r>
      <w:r w:rsidRPr="008726D3">
        <w:rPr>
          <w:rFonts w:ascii="Bookman Old Style" w:hAnsi="Bookman Old Style"/>
          <w:sz w:val="24"/>
          <w:szCs w:val="24"/>
        </w:rPr>
        <w:t>è</w:t>
      </w:r>
      <w:r w:rsidR="008F3DE8">
        <w:rPr>
          <w:rFonts w:ascii="Bookman Old Style" w:hAnsi="Bookman Old Style"/>
          <w:sz w:val="24"/>
          <w:szCs w:val="24"/>
        </w:rPr>
        <w:t xml:space="preserve"> </w:t>
      </w:r>
      <w:r w:rsidRPr="008726D3">
        <w:rPr>
          <w:rFonts w:ascii="Bookman Old Style" w:hAnsi="Bookman Old Style"/>
          <w:sz w:val="24"/>
          <w:szCs w:val="24"/>
        </w:rPr>
        <w:t>d'altronde</w:t>
      </w:r>
      <w:r w:rsidR="008F3DE8">
        <w:rPr>
          <w:rFonts w:ascii="Bookman Old Style" w:hAnsi="Bookman Old Style"/>
          <w:sz w:val="24"/>
          <w:szCs w:val="24"/>
        </w:rPr>
        <w:t xml:space="preserve"> </w:t>
      </w:r>
      <w:r w:rsidRPr="008726D3">
        <w:rPr>
          <w:rFonts w:ascii="Bookman Old Style" w:hAnsi="Bookman Old Style"/>
          <w:sz w:val="24"/>
          <w:szCs w:val="24"/>
        </w:rPr>
        <w:t>da</w:t>
      </w:r>
      <w:r w:rsidR="008F3DE8">
        <w:rPr>
          <w:rFonts w:ascii="Bookman Old Style" w:hAnsi="Bookman Old Style"/>
          <w:sz w:val="24"/>
          <w:szCs w:val="24"/>
        </w:rPr>
        <w:t xml:space="preserve"> </w:t>
      </w:r>
      <w:r w:rsidRPr="008726D3">
        <w:rPr>
          <w:rFonts w:ascii="Bookman Old Style" w:hAnsi="Bookman Old Style"/>
          <w:sz w:val="24"/>
          <w:szCs w:val="24"/>
        </w:rPr>
        <w:t>considerare</w:t>
      </w:r>
      <w:r w:rsidR="008F3DE8">
        <w:rPr>
          <w:rFonts w:ascii="Bookman Old Style" w:hAnsi="Bookman Old Style"/>
          <w:sz w:val="24"/>
          <w:szCs w:val="24"/>
        </w:rPr>
        <w:t xml:space="preserve"> </w:t>
      </w:r>
      <w:r w:rsidRPr="008726D3">
        <w:rPr>
          <w:rFonts w:ascii="Bookman Old Style" w:hAnsi="Bookman Old Style"/>
          <w:sz w:val="24"/>
          <w:szCs w:val="24"/>
        </w:rPr>
        <w:t>una</w:t>
      </w:r>
      <w:r w:rsidR="008F3DE8">
        <w:rPr>
          <w:rFonts w:ascii="Bookman Old Style" w:hAnsi="Bookman Old Style"/>
          <w:sz w:val="24"/>
          <w:szCs w:val="24"/>
        </w:rPr>
        <w:t xml:space="preserve"> dimenticanza</w:t>
      </w:r>
      <w:r w:rsidRPr="008726D3">
        <w:rPr>
          <w:rFonts w:ascii="Bookman Old Style" w:hAnsi="Bookman Old Style"/>
          <w:sz w:val="24"/>
          <w:szCs w:val="24"/>
        </w:rPr>
        <w:t>,</w:t>
      </w:r>
      <w:r w:rsidR="008F3DE8">
        <w:rPr>
          <w:rFonts w:ascii="Bookman Old Style" w:hAnsi="Bookman Old Style"/>
          <w:sz w:val="24"/>
          <w:szCs w:val="24"/>
        </w:rPr>
        <w:t xml:space="preserve"> </w:t>
      </w:r>
      <w:r w:rsidRPr="008726D3">
        <w:rPr>
          <w:rFonts w:ascii="Bookman Old Style" w:hAnsi="Bookman Old Style"/>
          <w:sz w:val="24"/>
          <w:szCs w:val="24"/>
        </w:rPr>
        <w:t>ma</w:t>
      </w:r>
      <w:r w:rsidR="008F3DE8">
        <w:rPr>
          <w:rFonts w:ascii="Bookman Old Style" w:hAnsi="Bookman Old Style"/>
          <w:sz w:val="24"/>
          <w:szCs w:val="24"/>
        </w:rPr>
        <w:t xml:space="preserve"> </w:t>
      </w:r>
      <w:r w:rsidRPr="008726D3">
        <w:rPr>
          <w:rFonts w:ascii="Bookman Old Style" w:hAnsi="Bookman Old Style"/>
          <w:sz w:val="24"/>
          <w:szCs w:val="24"/>
        </w:rPr>
        <w:t>il</w:t>
      </w:r>
      <w:r w:rsidR="008F3DE8">
        <w:rPr>
          <w:rFonts w:ascii="Bookman Old Style" w:hAnsi="Bookman Old Style"/>
          <w:sz w:val="24"/>
          <w:szCs w:val="24"/>
        </w:rPr>
        <w:t xml:space="preserve"> </w:t>
      </w:r>
      <w:r w:rsidRPr="008726D3">
        <w:rPr>
          <w:rFonts w:ascii="Bookman Old Style" w:hAnsi="Bookman Old Style"/>
          <w:sz w:val="24"/>
          <w:szCs w:val="24"/>
        </w:rPr>
        <w:t>frutto</w:t>
      </w:r>
      <w:r w:rsidR="008F3DE8">
        <w:rPr>
          <w:rFonts w:ascii="Bookman Old Style" w:hAnsi="Bookman Old Style"/>
          <w:sz w:val="24"/>
          <w:szCs w:val="24"/>
        </w:rPr>
        <w:t xml:space="preserve"> </w:t>
      </w:r>
      <w:r w:rsidRPr="008726D3">
        <w:rPr>
          <w:rFonts w:ascii="Bookman Old Style" w:hAnsi="Bookman Old Style"/>
          <w:sz w:val="24"/>
          <w:szCs w:val="24"/>
        </w:rPr>
        <w:t>della</w:t>
      </w:r>
      <w:r w:rsidR="008F3DE8">
        <w:rPr>
          <w:rFonts w:ascii="Bookman Old Style" w:hAnsi="Bookman Old Style"/>
          <w:sz w:val="24"/>
          <w:szCs w:val="24"/>
        </w:rPr>
        <w:t xml:space="preserve"> </w:t>
      </w:r>
      <w:r w:rsidRPr="008726D3">
        <w:rPr>
          <w:rFonts w:ascii="Bookman Old Style" w:hAnsi="Bookman Old Style"/>
          <w:sz w:val="24"/>
          <w:szCs w:val="24"/>
        </w:rPr>
        <w:t>logica</w:t>
      </w:r>
      <w:r w:rsidR="008F3DE8">
        <w:rPr>
          <w:rFonts w:ascii="Bookman Old Style" w:hAnsi="Bookman Old Style"/>
          <w:sz w:val="24"/>
          <w:szCs w:val="24"/>
        </w:rPr>
        <w:t xml:space="preserve"> </w:t>
      </w:r>
      <w:r w:rsidRPr="008726D3">
        <w:rPr>
          <w:rFonts w:ascii="Bookman Old Style" w:hAnsi="Bookman Old Style"/>
          <w:sz w:val="24"/>
          <w:szCs w:val="24"/>
        </w:rPr>
        <w:t>e</w:t>
      </w:r>
      <w:r w:rsidR="008F3DE8">
        <w:rPr>
          <w:rFonts w:ascii="Bookman Old Style" w:hAnsi="Bookman Old Style"/>
          <w:sz w:val="24"/>
          <w:szCs w:val="24"/>
        </w:rPr>
        <w:t xml:space="preserve"> </w:t>
      </w:r>
      <w:r w:rsidRPr="008726D3">
        <w:rPr>
          <w:rFonts w:ascii="Bookman Old Style" w:hAnsi="Bookman Old Style"/>
          <w:sz w:val="24"/>
          <w:szCs w:val="24"/>
        </w:rPr>
        <w:t>delle</w:t>
      </w:r>
      <w:r w:rsidR="008F3DE8">
        <w:rPr>
          <w:rFonts w:ascii="Bookman Old Style" w:hAnsi="Bookman Old Style"/>
          <w:sz w:val="24"/>
          <w:szCs w:val="24"/>
        </w:rPr>
        <w:t xml:space="preserve"> </w:t>
      </w:r>
      <w:r w:rsidRPr="008726D3">
        <w:rPr>
          <w:rFonts w:ascii="Bookman Old Style" w:hAnsi="Bookman Old Style"/>
          <w:sz w:val="24"/>
          <w:szCs w:val="24"/>
        </w:rPr>
        <w:t>finalità</w:t>
      </w:r>
      <w:r w:rsidR="008F3DE8">
        <w:rPr>
          <w:rFonts w:ascii="Bookman Old Style" w:hAnsi="Bookman Old Style"/>
          <w:sz w:val="24"/>
          <w:szCs w:val="24"/>
        </w:rPr>
        <w:t xml:space="preserve"> </w:t>
      </w:r>
      <w:r w:rsidRPr="008726D3">
        <w:rPr>
          <w:rFonts w:ascii="Bookman Old Style" w:hAnsi="Bookman Old Style"/>
          <w:sz w:val="24"/>
          <w:szCs w:val="24"/>
        </w:rPr>
        <w:t>che</w:t>
      </w:r>
      <w:r w:rsidR="008F3DE8">
        <w:rPr>
          <w:rFonts w:ascii="Bookman Old Style" w:hAnsi="Bookman Old Style"/>
          <w:sz w:val="24"/>
          <w:szCs w:val="24"/>
        </w:rPr>
        <w:t xml:space="preserve"> </w:t>
      </w:r>
      <w:r w:rsidRPr="008726D3">
        <w:rPr>
          <w:rFonts w:ascii="Bookman Old Style" w:hAnsi="Bookman Old Style"/>
          <w:sz w:val="24"/>
          <w:szCs w:val="24"/>
        </w:rPr>
        <w:t>spingevano</w:t>
      </w:r>
      <w:r w:rsidR="008F3DE8">
        <w:rPr>
          <w:rFonts w:ascii="Bookman Old Style" w:hAnsi="Bookman Old Style"/>
          <w:sz w:val="24"/>
          <w:szCs w:val="24"/>
        </w:rPr>
        <w:t xml:space="preserve"> </w:t>
      </w:r>
      <w:r w:rsidRPr="008726D3">
        <w:rPr>
          <w:rFonts w:ascii="Bookman Old Style" w:hAnsi="Bookman Old Style"/>
          <w:sz w:val="24"/>
          <w:szCs w:val="24"/>
        </w:rPr>
        <w:t>alla</w:t>
      </w:r>
      <w:r w:rsidR="008F3DE8">
        <w:rPr>
          <w:rFonts w:ascii="Bookman Old Style" w:hAnsi="Bookman Old Style"/>
          <w:sz w:val="24"/>
          <w:szCs w:val="24"/>
        </w:rPr>
        <w:t xml:space="preserve"> </w:t>
      </w:r>
      <w:r w:rsidRPr="008726D3">
        <w:rPr>
          <w:rFonts w:ascii="Bookman Old Style" w:hAnsi="Bookman Old Style"/>
          <w:sz w:val="24"/>
          <w:szCs w:val="24"/>
        </w:rPr>
        <w:t>conclusione</w:t>
      </w:r>
      <w:r w:rsidR="008F3DE8">
        <w:rPr>
          <w:rFonts w:ascii="Bookman Old Style" w:hAnsi="Bookman Old Style"/>
          <w:sz w:val="24"/>
          <w:szCs w:val="24"/>
        </w:rPr>
        <w:t xml:space="preserve"> </w:t>
      </w:r>
      <w:r w:rsidRPr="008726D3">
        <w:rPr>
          <w:rFonts w:ascii="Bookman Old Style" w:hAnsi="Bookman Old Style"/>
          <w:sz w:val="24"/>
          <w:szCs w:val="24"/>
        </w:rPr>
        <w:t>di</w:t>
      </w:r>
      <w:r w:rsidR="008F3DE8">
        <w:rPr>
          <w:rFonts w:ascii="Bookman Old Style" w:hAnsi="Bookman Old Style"/>
          <w:sz w:val="24"/>
          <w:szCs w:val="24"/>
        </w:rPr>
        <w:t xml:space="preserve"> </w:t>
      </w:r>
      <w:r w:rsidRPr="008726D3">
        <w:rPr>
          <w:rFonts w:ascii="Bookman Old Style" w:hAnsi="Bookman Old Style"/>
          <w:sz w:val="24"/>
          <w:szCs w:val="24"/>
        </w:rPr>
        <w:t>quel</w:t>
      </w:r>
      <w:r w:rsidR="008F3DE8">
        <w:rPr>
          <w:rFonts w:ascii="Bookman Old Style" w:hAnsi="Bookman Old Style"/>
          <w:sz w:val="24"/>
          <w:szCs w:val="24"/>
        </w:rPr>
        <w:t xml:space="preserve"> </w:t>
      </w:r>
      <w:r w:rsidRPr="008726D3">
        <w:rPr>
          <w:rFonts w:ascii="Bookman Old Style" w:hAnsi="Bookman Old Style"/>
          <w:sz w:val="24"/>
          <w:szCs w:val="24"/>
        </w:rPr>
        <w:t>Trattato</w:t>
      </w:r>
      <w:r w:rsidR="00B125D7" w:rsidRPr="008726D3">
        <w:rPr>
          <w:rFonts w:ascii="Bookman Old Style" w:hAnsi="Bookman Old Style"/>
          <w:sz w:val="24"/>
          <w:szCs w:val="24"/>
        </w:rPr>
        <w:t>;</w:t>
      </w:r>
      <w:r w:rsidR="008F3DE8">
        <w:rPr>
          <w:rFonts w:ascii="Bookman Old Style" w:hAnsi="Bookman Old Style"/>
          <w:sz w:val="24"/>
          <w:szCs w:val="24"/>
        </w:rPr>
        <w:t xml:space="preserve"> </w:t>
      </w:r>
      <w:r w:rsidRPr="008726D3">
        <w:rPr>
          <w:rFonts w:ascii="Bookman Old Style" w:hAnsi="Bookman Old Style"/>
          <w:sz w:val="24"/>
          <w:szCs w:val="24"/>
        </w:rPr>
        <w:t>esso,</w:t>
      </w:r>
      <w:r w:rsidR="008F3DE8">
        <w:rPr>
          <w:rFonts w:ascii="Bookman Old Style" w:hAnsi="Bookman Old Style"/>
          <w:sz w:val="24"/>
          <w:szCs w:val="24"/>
        </w:rPr>
        <w:t xml:space="preserve"> </w:t>
      </w:r>
      <w:r w:rsidRPr="008726D3">
        <w:rPr>
          <w:rFonts w:ascii="Bookman Old Style" w:hAnsi="Bookman Old Style"/>
          <w:sz w:val="24"/>
          <w:szCs w:val="24"/>
        </w:rPr>
        <w:t>infatti,</w:t>
      </w:r>
      <w:r w:rsidR="008F3DE8">
        <w:rPr>
          <w:rFonts w:ascii="Bookman Old Style" w:hAnsi="Bookman Old Style"/>
          <w:sz w:val="24"/>
          <w:szCs w:val="24"/>
        </w:rPr>
        <w:t xml:space="preserve"> </w:t>
      </w:r>
      <w:r w:rsidRPr="008726D3">
        <w:rPr>
          <w:rFonts w:ascii="Bookman Old Style" w:hAnsi="Bookman Old Style"/>
          <w:sz w:val="24"/>
          <w:szCs w:val="24"/>
        </w:rPr>
        <w:t>aveva</w:t>
      </w:r>
      <w:r w:rsidR="008F3DE8">
        <w:rPr>
          <w:rFonts w:ascii="Bookman Old Style" w:hAnsi="Bookman Old Style"/>
          <w:sz w:val="24"/>
          <w:szCs w:val="24"/>
        </w:rPr>
        <w:t xml:space="preserve"> </w:t>
      </w:r>
      <w:r w:rsidRPr="008726D3">
        <w:rPr>
          <w:rFonts w:ascii="Bookman Old Style" w:hAnsi="Bookman Old Style"/>
          <w:sz w:val="24"/>
          <w:szCs w:val="24"/>
        </w:rPr>
        <w:t>un</w:t>
      </w:r>
      <w:r w:rsidR="008F3DE8">
        <w:rPr>
          <w:rFonts w:ascii="Bookman Old Style" w:hAnsi="Bookman Old Style"/>
          <w:sz w:val="24"/>
          <w:szCs w:val="24"/>
        </w:rPr>
        <w:t xml:space="preserve"> </w:t>
      </w:r>
      <w:r w:rsidRPr="008726D3">
        <w:rPr>
          <w:rFonts w:ascii="Bookman Old Style" w:hAnsi="Bookman Old Style"/>
          <w:sz w:val="24"/>
          <w:szCs w:val="24"/>
        </w:rPr>
        <w:t>aspetto</w:t>
      </w:r>
      <w:r w:rsidR="008F3DE8">
        <w:rPr>
          <w:rFonts w:ascii="Bookman Old Style" w:hAnsi="Bookman Old Style"/>
          <w:sz w:val="24"/>
          <w:szCs w:val="24"/>
        </w:rPr>
        <w:t xml:space="preserve"> </w:t>
      </w:r>
      <w:r w:rsidRPr="008726D3">
        <w:rPr>
          <w:rFonts w:ascii="Bookman Old Style" w:hAnsi="Bookman Old Style"/>
          <w:sz w:val="24"/>
          <w:szCs w:val="24"/>
        </w:rPr>
        <w:t>puramente</w:t>
      </w:r>
      <w:r w:rsidR="008F3DE8">
        <w:rPr>
          <w:rFonts w:ascii="Bookman Old Style" w:hAnsi="Bookman Old Style"/>
          <w:sz w:val="24"/>
          <w:szCs w:val="24"/>
        </w:rPr>
        <w:t xml:space="preserve"> </w:t>
      </w:r>
      <w:r w:rsidRPr="008726D3">
        <w:rPr>
          <w:rFonts w:ascii="Bookman Old Style" w:hAnsi="Bookman Old Style"/>
          <w:sz w:val="24"/>
          <w:szCs w:val="24"/>
        </w:rPr>
        <w:t>economico</w:t>
      </w:r>
      <w:r w:rsidR="008F3DE8">
        <w:rPr>
          <w:rFonts w:ascii="Bookman Old Style" w:hAnsi="Bookman Old Style"/>
          <w:sz w:val="24"/>
          <w:szCs w:val="24"/>
        </w:rPr>
        <w:t xml:space="preserve"> </w:t>
      </w:r>
      <w:r w:rsidRPr="008726D3">
        <w:rPr>
          <w:rFonts w:ascii="Bookman Old Style" w:hAnsi="Bookman Old Style"/>
          <w:sz w:val="24"/>
          <w:szCs w:val="24"/>
        </w:rPr>
        <w:t>e</w:t>
      </w:r>
      <w:r w:rsidR="008F3DE8">
        <w:rPr>
          <w:rFonts w:ascii="Bookman Old Style" w:hAnsi="Bookman Old Style"/>
          <w:sz w:val="24"/>
          <w:szCs w:val="24"/>
        </w:rPr>
        <w:t xml:space="preserve"> </w:t>
      </w:r>
      <w:r w:rsidRPr="008726D3">
        <w:rPr>
          <w:rFonts w:ascii="Bookman Old Style" w:hAnsi="Bookman Old Style"/>
          <w:sz w:val="24"/>
          <w:szCs w:val="24"/>
        </w:rPr>
        <w:t>mirava</w:t>
      </w:r>
      <w:r w:rsidR="008F3DE8">
        <w:rPr>
          <w:rFonts w:ascii="Bookman Old Style" w:hAnsi="Bookman Old Style"/>
          <w:sz w:val="24"/>
          <w:szCs w:val="24"/>
        </w:rPr>
        <w:t xml:space="preserve"> </w:t>
      </w:r>
      <w:r w:rsidRPr="008726D3">
        <w:rPr>
          <w:rFonts w:ascii="Bookman Old Style" w:hAnsi="Bookman Old Style"/>
          <w:sz w:val="24"/>
          <w:szCs w:val="24"/>
        </w:rPr>
        <w:t>a</w:t>
      </w:r>
      <w:r w:rsidR="008F3DE8">
        <w:rPr>
          <w:rFonts w:ascii="Bookman Old Style" w:hAnsi="Bookman Old Style"/>
          <w:sz w:val="24"/>
          <w:szCs w:val="24"/>
        </w:rPr>
        <w:t xml:space="preserve"> </w:t>
      </w:r>
      <w:r w:rsidRPr="008726D3">
        <w:rPr>
          <w:rFonts w:ascii="Bookman Old Style" w:hAnsi="Bookman Old Style"/>
          <w:sz w:val="24"/>
          <w:szCs w:val="24"/>
        </w:rPr>
        <w:t>creare</w:t>
      </w:r>
      <w:r w:rsidR="008F3DE8">
        <w:rPr>
          <w:rFonts w:ascii="Bookman Old Style" w:hAnsi="Bookman Old Style"/>
          <w:sz w:val="24"/>
          <w:szCs w:val="24"/>
        </w:rPr>
        <w:t xml:space="preserve"> </w:t>
      </w:r>
      <w:r w:rsidRPr="008726D3">
        <w:rPr>
          <w:rFonts w:ascii="Bookman Old Style" w:hAnsi="Bookman Old Style"/>
          <w:sz w:val="24"/>
          <w:szCs w:val="24"/>
        </w:rPr>
        <w:t>un</w:t>
      </w:r>
      <w:r w:rsidR="008F3DE8">
        <w:rPr>
          <w:rFonts w:ascii="Bookman Old Style" w:hAnsi="Bookman Old Style"/>
          <w:sz w:val="24"/>
          <w:szCs w:val="24"/>
        </w:rPr>
        <w:t xml:space="preserve"> </w:t>
      </w:r>
      <w:r w:rsidRPr="008726D3">
        <w:rPr>
          <w:rFonts w:ascii="Bookman Old Style" w:hAnsi="Bookman Old Style"/>
          <w:sz w:val="24"/>
          <w:szCs w:val="24"/>
        </w:rPr>
        <w:t>mercato</w:t>
      </w:r>
      <w:r w:rsidR="008F3DE8">
        <w:rPr>
          <w:rFonts w:ascii="Bookman Old Style" w:hAnsi="Bookman Old Style"/>
          <w:sz w:val="24"/>
          <w:szCs w:val="24"/>
        </w:rPr>
        <w:t xml:space="preserve"> </w:t>
      </w:r>
      <w:r w:rsidRPr="008726D3">
        <w:rPr>
          <w:rFonts w:ascii="Bookman Old Style" w:hAnsi="Bookman Old Style"/>
          <w:sz w:val="24"/>
          <w:szCs w:val="24"/>
        </w:rPr>
        <w:t>comune</w:t>
      </w:r>
      <w:r w:rsidR="008F3DE8">
        <w:rPr>
          <w:rFonts w:ascii="Bookman Old Style" w:hAnsi="Bookman Old Style"/>
          <w:sz w:val="24"/>
          <w:szCs w:val="24"/>
        </w:rPr>
        <w:t xml:space="preserve"> </w:t>
      </w:r>
      <w:r w:rsidRPr="008726D3">
        <w:rPr>
          <w:rFonts w:ascii="Bookman Old Style" w:hAnsi="Bookman Old Style"/>
          <w:sz w:val="24"/>
          <w:szCs w:val="24"/>
        </w:rPr>
        <w:t>al</w:t>
      </w:r>
      <w:r w:rsidR="008F3DE8">
        <w:rPr>
          <w:rFonts w:ascii="Bookman Old Style" w:hAnsi="Bookman Old Style"/>
          <w:sz w:val="24"/>
          <w:szCs w:val="24"/>
        </w:rPr>
        <w:t xml:space="preserve"> </w:t>
      </w:r>
      <w:r w:rsidRPr="008726D3">
        <w:rPr>
          <w:rFonts w:ascii="Bookman Old Style" w:hAnsi="Bookman Old Style"/>
          <w:sz w:val="24"/>
          <w:szCs w:val="24"/>
        </w:rPr>
        <w:t>fine</w:t>
      </w:r>
      <w:r w:rsidR="008F3DE8">
        <w:rPr>
          <w:rFonts w:ascii="Bookman Old Style" w:hAnsi="Bookman Old Style"/>
          <w:sz w:val="24"/>
          <w:szCs w:val="24"/>
        </w:rPr>
        <w:t xml:space="preserve"> </w:t>
      </w:r>
      <w:r w:rsidRPr="008726D3">
        <w:rPr>
          <w:rFonts w:ascii="Bookman Old Style" w:hAnsi="Bookman Old Style"/>
          <w:sz w:val="24"/>
          <w:szCs w:val="24"/>
        </w:rPr>
        <w:t>di</w:t>
      </w:r>
      <w:r w:rsidR="008F3DE8">
        <w:rPr>
          <w:rFonts w:ascii="Bookman Old Style" w:hAnsi="Bookman Old Style"/>
          <w:sz w:val="24"/>
          <w:szCs w:val="24"/>
        </w:rPr>
        <w:t xml:space="preserve"> </w:t>
      </w:r>
      <w:r w:rsidRPr="008726D3">
        <w:rPr>
          <w:rFonts w:ascii="Bookman Old Style" w:hAnsi="Bookman Old Style"/>
          <w:sz w:val="24"/>
          <w:szCs w:val="24"/>
        </w:rPr>
        <w:t>aumentare</w:t>
      </w:r>
      <w:r w:rsidR="008F3DE8">
        <w:rPr>
          <w:rFonts w:ascii="Bookman Old Style" w:hAnsi="Bookman Old Style"/>
          <w:sz w:val="24"/>
          <w:szCs w:val="24"/>
        </w:rPr>
        <w:t xml:space="preserve"> </w:t>
      </w:r>
      <w:r w:rsidRPr="008726D3">
        <w:rPr>
          <w:rFonts w:ascii="Bookman Old Style" w:hAnsi="Bookman Old Style"/>
          <w:sz w:val="24"/>
          <w:szCs w:val="24"/>
        </w:rPr>
        <w:t>la</w:t>
      </w:r>
      <w:r w:rsidR="008F3DE8">
        <w:rPr>
          <w:rFonts w:ascii="Bookman Old Style" w:hAnsi="Bookman Old Style"/>
          <w:sz w:val="24"/>
          <w:szCs w:val="24"/>
        </w:rPr>
        <w:t xml:space="preserve"> </w:t>
      </w:r>
      <w:r w:rsidRPr="008726D3">
        <w:rPr>
          <w:rFonts w:ascii="Bookman Old Style" w:hAnsi="Bookman Old Style"/>
          <w:sz w:val="24"/>
          <w:szCs w:val="24"/>
        </w:rPr>
        <w:t>produzione</w:t>
      </w:r>
      <w:r w:rsidR="008F3DE8">
        <w:rPr>
          <w:rFonts w:ascii="Bookman Old Style" w:hAnsi="Bookman Old Style"/>
          <w:sz w:val="24"/>
          <w:szCs w:val="24"/>
        </w:rPr>
        <w:t xml:space="preserve"> </w:t>
      </w:r>
      <w:r w:rsidRPr="008726D3">
        <w:rPr>
          <w:rFonts w:ascii="Bookman Old Style" w:hAnsi="Bookman Old Style"/>
          <w:sz w:val="24"/>
          <w:szCs w:val="24"/>
        </w:rPr>
        <w:t>e</w:t>
      </w:r>
      <w:r w:rsidR="008F3DE8">
        <w:rPr>
          <w:rFonts w:ascii="Bookman Old Style" w:hAnsi="Bookman Old Style"/>
          <w:sz w:val="24"/>
          <w:szCs w:val="24"/>
        </w:rPr>
        <w:t xml:space="preserve"> </w:t>
      </w:r>
      <w:r w:rsidRPr="008726D3">
        <w:rPr>
          <w:rFonts w:ascii="Bookman Old Style" w:hAnsi="Bookman Old Style"/>
          <w:sz w:val="24"/>
          <w:szCs w:val="24"/>
        </w:rPr>
        <w:t>il</w:t>
      </w:r>
      <w:r w:rsidR="008F3DE8">
        <w:rPr>
          <w:rFonts w:ascii="Bookman Old Style" w:hAnsi="Bookman Old Style"/>
          <w:sz w:val="24"/>
          <w:szCs w:val="24"/>
        </w:rPr>
        <w:t xml:space="preserve"> </w:t>
      </w:r>
      <w:r w:rsidRPr="008726D3">
        <w:rPr>
          <w:rFonts w:ascii="Bookman Old Style" w:hAnsi="Bookman Old Style"/>
          <w:sz w:val="24"/>
          <w:szCs w:val="24"/>
        </w:rPr>
        <w:t>benessere</w:t>
      </w:r>
      <w:r w:rsidR="008F3DE8">
        <w:rPr>
          <w:rFonts w:ascii="Bookman Old Style" w:hAnsi="Bookman Old Style"/>
          <w:sz w:val="24"/>
          <w:szCs w:val="24"/>
        </w:rPr>
        <w:t xml:space="preserve"> </w:t>
      </w:r>
      <w:r w:rsidRPr="008726D3">
        <w:rPr>
          <w:rFonts w:ascii="Bookman Old Style" w:hAnsi="Bookman Old Style"/>
          <w:sz w:val="24"/>
          <w:szCs w:val="24"/>
        </w:rPr>
        <w:t>generale.</w:t>
      </w:r>
    </w:p>
    <w:p w:rsidR="00816AB5" w:rsidRPr="008726D3" w:rsidRDefault="00816AB5" w:rsidP="008726D3">
      <w:pPr>
        <w:ind w:firstLine="709"/>
        <w:jc w:val="both"/>
        <w:rPr>
          <w:rFonts w:ascii="Bookman Old Style" w:hAnsi="Bookman Old Style"/>
          <w:sz w:val="24"/>
          <w:szCs w:val="24"/>
        </w:rPr>
      </w:pPr>
      <w:r w:rsidRPr="008726D3">
        <w:rPr>
          <w:rFonts w:ascii="Bookman Old Style" w:hAnsi="Bookman Old Style"/>
          <w:sz w:val="24"/>
          <w:szCs w:val="24"/>
        </w:rPr>
        <w:lastRenderedPageBreak/>
        <w:t>La</w:t>
      </w:r>
      <w:r w:rsidR="008F3DE8">
        <w:rPr>
          <w:rFonts w:ascii="Bookman Old Style" w:hAnsi="Bookman Old Style"/>
          <w:sz w:val="24"/>
          <w:szCs w:val="24"/>
        </w:rPr>
        <w:t xml:space="preserve"> </w:t>
      </w:r>
      <w:r w:rsidRPr="008726D3">
        <w:rPr>
          <w:rFonts w:ascii="Bookman Old Style" w:hAnsi="Bookman Old Style"/>
          <w:sz w:val="24"/>
          <w:szCs w:val="24"/>
        </w:rPr>
        <w:t>possibilità</w:t>
      </w:r>
      <w:r w:rsidR="008F3DE8">
        <w:rPr>
          <w:rFonts w:ascii="Bookman Old Style" w:hAnsi="Bookman Old Style"/>
          <w:sz w:val="24"/>
          <w:szCs w:val="24"/>
        </w:rPr>
        <w:t xml:space="preserve"> </w:t>
      </w:r>
      <w:r w:rsidRPr="008726D3">
        <w:rPr>
          <w:rFonts w:ascii="Bookman Old Style" w:hAnsi="Bookman Old Style"/>
          <w:sz w:val="24"/>
          <w:szCs w:val="24"/>
        </w:rPr>
        <w:t>che</w:t>
      </w:r>
      <w:r w:rsidR="008F3DE8">
        <w:rPr>
          <w:rFonts w:ascii="Bookman Old Style" w:hAnsi="Bookman Old Style"/>
          <w:sz w:val="24"/>
          <w:szCs w:val="24"/>
        </w:rPr>
        <w:t xml:space="preserve"> </w:t>
      </w:r>
      <w:r w:rsidRPr="008726D3">
        <w:rPr>
          <w:rFonts w:ascii="Bookman Old Style" w:hAnsi="Bookman Old Style"/>
          <w:sz w:val="24"/>
          <w:szCs w:val="24"/>
        </w:rPr>
        <w:t>la</w:t>
      </w:r>
      <w:r w:rsidR="008F3DE8">
        <w:rPr>
          <w:rFonts w:ascii="Bookman Old Style" w:hAnsi="Bookman Old Style"/>
          <w:sz w:val="24"/>
          <w:szCs w:val="24"/>
        </w:rPr>
        <w:t xml:space="preserve"> </w:t>
      </w:r>
      <w:r w:rsidRPr="008726D3">
        <w:rPr>
          <w:rFonts w:ascii="Bookman Old Style" w:hAnsi="Bookman Old Style"/>
          <w:sz w:val="24"/>
          <w:szCs w:val="24"/>
        </w:rPr>
        <w:t>normativa</w:t>
      </w:r>
      <w:r w:rsidR="008F3DE8">
        <w:rPr>
          <w:rFonts w:ascii="Bookman Old Style" w:hAnsi="Bookman Old Style"/>
          <w:sz w:val="24"/>
          <w:szCs w:val="24"/>
        </w:rPr>
        <w:t xml:space="preserve"> </w:t>
      </w:r>
      <w:r w:rsidRPr="008726D3">
        <w:rPr>
          <w:rFonts w:ascii="Bookman Old Style" w:hAnsi="Bookman Old Style"/>
          <w:sz w:val="24"/>
          <w:szCs w:val="24"/>
        </w:rPr>
        <w:t>di</w:t>
      </w:r>
      <w:r w:rsidR="008F3DE8">
        <w:rPr>
          <w:rFonts w:ascii="Bookman Old Style" w:hAnsi="Bookman Old Style"/>
          <w:sz w:val="24"/>
          <w:szCs w:val="24"/>
        </w:rPr>
        <w:t xml:space="preserve"> </w:t>
      </w:r>
      <w:r w:rsidRPr="008726D3">
        <w:rPr>
          <w:rFonts w:ascii="Bookman Old Style" w:hAnsi="Bookman Old Style"/>
          <w:sz w:val="24"/>
          <w:szCs w:val="24"/>
        </w:rPr>
        <w:t>carattere</w:t>
      </w:r>
      <w:r w:rsidR="008F3DE8">
        <w:rPr>
          <w:rFonts w:ascii="Bookman Old Style" w:hAnsi="Bookman Old Style"/>
          <w:sz w:val="24"/>
          <w:szCs w:val="24"/>
        </w:rPr>
        <w:t xml:space="preserve"> </w:t>
      </w:r>
      <w:r w:rsidRPr="008726D3">
        <w:rPr>
          <w:rFonts w:ascii="Bookman Old Style" w:hAnsi="Bookman Old Style"/>
          <w:sz w:val="24"/>
          <w:szCs w:val="24"/>
        </w:rPr>
        <w:t>comunitario</w:t>
      </w:r>
      <w:r w:rsidR="008F3DE8">
        <w:rPr>
          <w:rFonts w:ascii="Bookman Old Style" w:hAnsi="Bookman Old Style"/>
          <w:sz w:val="24"/>
          <w:szCs w:val="24"/>
        </w:rPr>
        <w:t xml:space="preserve"> </w:t>
      </w:r>
      <w:r w:rsidRPr="008726D3">
        <w:rPr>
          <w:rFonts w:ascii="Bookman Old Style" w:hAnsi="Bookman Old Style"/>
          <w:sz w:val="24"/>
          <w:szCs w:val="24"/>
        </w:rPr>
        <w:t>potesse,</w:t>
      </w:r>
      <w:r w:rsidR="008F3DE8">
        <w:rPr>
          <w:rFonts w:ascii="Bookman Old Style" w:hAnsi="Bookman Old Style"/>
          <w:sz w:val="24"/>
          <w:szCs w:val="24"/>
        </w:rPr>
        <w:t xml:space="preserve"> </w:t>
      </w:r>
      <w:r w:rsidRPr="008726D3">
        <w:rPr>
          <w:rFonts w:ascii="Bookman Old Style" w:hAnsi="Bookman Old Style"/>
          <w:sz w:val="24"/>
          <w:szCs w:val="24"/>
        </w:rPr>
        <w:t>di</w:t>
      </w:r>
      <w:r w:rsidR="008F3DE8">
        <w:rPr>
          <w:rFonts w:ascii="Bookman Old Style" w:hAnsi="Bookman Old Style"/>
          <w:sz w:val="24"/>
          <w:szCs w:val="24"/>
        </w:rPr>
        <w:t xml:space="preserve"> </w:t>
      </w:r>
      <w:r w:rsidRPr="008726D3">
        <w:rPr>
          <w:rFonts w:ascii="Bookman Old Style" w:hAnsi="Bookman Old Style"/>
          <w:sz w:val="24"/>
          <w:szCs w:val="24"/>
        </w:rPr>
        <w:t>per</w:t>
      </w:r>
      <w:r w:rsidR="008F3DE8">
        <w:rPr>
          <w:rFonts w:ascii="Bookman Old Style" w:hAnsi="Bookman Old Style"/>
          <w:sz w:val="24"/>
          <w:szCs w:val="24"/>
        </w:rPr>
        <w:t xml:space="preserve"> </w:t>
      </w:r>
      <w:r w:rsidRPr="008726D3">
        <w:rPr>
          <w:rFonts w:ascii="Bookman Old Style" w:hAnsi="Bookman Old Style"/>
          <w:sz w:val="24"/>
          <w:szCs w:val="24"/>
        </w:rPr>
        <w:t>sé,</w:t>
      </w:r>
      <w:r w:rsidR="008F3DE8">
        <w:rPr>
          <w:rFonts w:ascii="Bookman Old Style" w:hAnsi="Bookman Old Style"/>
          <w:sz w:val="24"/>
          <w:szCs w:val="24"/>
        </w:rPr>
        <w:t xml:space="preserve"> </w:t>
      </w:r>
      <w:r w:rsidRPr="008726D3">
        <w:rPr>
          <w:rFonts w:ascii="Bookman Old Style" w:hAnsi="Bookman Old Style"/>
          <w:sz w:val="24"/>
          <w:szCs w:val="24"/>
        </w:rPr>
        <w:t>interferire</w:t>
      </w:r>
      <w:r w:rsidR="008F3DE8">
        <w:rPr>
          <w:rFonts w:ascii="Bookman Old Style" w:hAnsi="Bookman Old Style"/>
          <w:sz w:val="24"/>
          <w:szCs w:val="24"/>
        </w:rPr>
        <w:t xml:space="preserve"> </w:t>
      </w:r>
      <w:r w:rsidRPr="008726D3">
        <w:rPr>
          <w:rFonts w:ascii="Bookman Old Style" w:hAnsi="Bookman Old Style"/>
          <w:sz w:val="24"/>
          <w:szCs w:val="24"/>
        </w:rPr>
        <w:t>con</w:t>
      </w:r>
      <w:r w:rsidR="008F3DE8">
        <w:rPr>
          <w:rFonts w:ascii="Bookman Old Style" w:hAnsi="Bookman Old Style"/>
          <w:sz w:val="24"/>
          <w:szCs w:val="24"/>
        </w:rPr>
        <w:t xml:space="preserve"> </w:t>
      </w:r>
      <w:r w:rsidRPr="008726D3">
        <w:rPr>
          <w:rFonts w:ascii="Bookman Old Style" w:hAnsi="Bookman Old Style"/>
          <w:sz w:val="24"/>
          <w:szCs w:val="24"/>
        </w:rPr>
        <w:t>posizioni</w:t>
      </w:r>
      <w:r w:rsidR="008F3DE8">
        <w:rPr>
          <w:rFonts w:ascii="Bookman Old Style" w:hAnsi="Bookman Old Style"/>
          <w:sz w:val="24"/>
          <w:szCs w:val="24"/>
        </w:rPr>
        <w:t xml:space="preserve"> </w:t>
      </w:r>
      <w:r w:rsidRPr="008726D3">
        <w:rPr>
          <w:rFonts w:ascii="Bookman Old Style" w:hAnsi="Bookman Old Style"/>
          <w:sz w:val="24"/>
          <w:szCs w:val="24"/>
        </w:rPr>
        <w:t>soggettive</w:t>
      </w:r>
      <w:r w:rsidR="008F3DE8">
        <w:rPr>
          <w:rFonts w:ascii="Bookman Old Style" w:hAnsi="Bookman Old Style"/>
          <w:sz w:val="24"/>
          <w:szCs w:val="24"/>
        </w:rPr>
        <w:t xml:space="preserve"> </w:t>
      </w:r>
      <w:r w:rsidRPr="008726D3">
        <w:rPr>
          <w:rFonts w:ascii="Bookman Old Style" w:hAnsi="Bookman Old Style"/>
          <w:sz w:val="24"/>
          <w:szCs w:val="24"/>
        </w:rPr>
        <w:t>giuridicamente</w:t>
      </w:r>
      <w:r w:rsidR="008F3DE8">
        <w:rPr>
          <w:rFonts w:ascii="Bookman Old Style" w:hAnsi="Bookman Old Style"/>
          <w:sz w:val="24"/>
          <w:szCs w:val="24"/>
        </w:rPr>
        <w:t xml:space="preserve"> </w:t>
      </w:r>
      <w:r w:rsidRPr="008726D3">
        <w:rPr>
          <w:rFonts w:ascii="Bookman Old Style" w:hAnsi="Bookman Old Style"/>
          <w:sz w:val="24"/>
          <w:szCs w:val="24"/>
        </w:rPr>
        <w:t>tutelate</w:t>
      </w:r>
      <w:r w:rsidR="008F3DE8">
        <w:rPr>
          <w:rFonts w:ascii="Bookman Old Style" w:hAnsi="Bookman Old Style"/>
          <w:sz w:val="24"/>
          <w:szCs w:val="24"/>
        </w:rPr>
        <w:t xml:space="preserve"> </w:t>
      </w:r>
      <w:r w:rsidRPr="008726D3">
        <w:rPr>
          <w:rFonts w:ascii="Bookman Old Style" w:hAnsi="Bookman Old Style"/>
          <w:sz w:val="24"/>
          <w:szCs w:val="24"/>
        </w:rPr>
        <w:t>a</w:t>
      </w:r>
      <w:r w:rsidR="008F3DE8">
        <w:rPr>
          <w:rFonts w:ascii="Bookman Old Style" w:hAnsi="Bookman Old Style"/>
          <w:sz w:val="24"/>
          <w:szCs w:val="24"/>
        </w:rPr>
        <w:t xml:space="preserve"> </w:t>
      </w:r>
      <w:r w:rsidRPr="008726D3">
        <w:rPr>
          <w:rFonts w:ascii="Bookman Old Style" w:hAnsi="Bookman Old Style"/>
          <w:sz w:val="24"/>
          <w:szCs w:val="24"/>
        </w:rPr>
        <w:t>livello</w:t>
      </w:r>
      <w:r w:rsidR="008F3DE8">
        <w:rPr>
          <w:rFonts w:ascii="Bookman Old Style" w:hAnsi="Bookman Old Style"/>
          <w:sz w:val="24"/>
          <w:szCs w:val="24"/>
        </w:rPr>
        <w:t xml:space="preserve"> </w:t>
      </w:r>
      <w:r w:rsidRPr="008726D3">
        <w:rPr>
          <w:rFonts w:ascii="Bookman Old Style" w:hAnsi="Bookman Old Style"/>
          <w:sz w:val="24"/>
          <w:szCs w:val="24"/>
        </w:rPr>
        <w:t>nazionale</w:t>
      </w:r>
      <w:r w:rsidR="008F3DE8">
        <w:rPr>
          <w:rFonts w:ascii="Bookman Old Style" w:hAnsi="Bookman Old Style"/>
          <w:sz w:val="24"/>
          <w:szCs w:val="24"/>
        </w:rPr>
        <w:t xml:space="preserve"> </w:t>
      </w:r>
      <w:r w:rsidRPr="008726D3">
        <w:rPr>
          <w:rFonts w:ascii="Bookman Old Style" w:hAnsi="Bookman Old Style"/>
          <w:sz w:val="24"/>
          <w:szCs w:val="24"/>
        </w:rPr>
        <w:t>(e</w:t>
      </w:r>
      <w:r w:rsidR="008F3DE8">
        <w:rPr>
          <w:rFonts w:ascii="Bookman Old Style" w:hAnsi="Bookman Old Style"/>
          <w:sz w:val="24"/>
          <w:szCs w:val="24"/>
        </w:rPr>
        <w:t xml:space="preserve"> </w:t>
      </w:r>
      <w:r w:rsidRPr="008726D3">
        <w:rPr>
          <w:rFonts w:ascii="Bookman Old Style" w:hAnsi="Bookman Old Style"/>
          <w:sz w:val="24"/>
          <w:szCs w:val="24"/>
        </w:rPr>
        <w:t>anche</w:t>
      </w:r>
      <w:r w:rsidR="008F3DE8">
        <w:rPr>
          <w:rFonts w:ascii="Bookman Old Style" w:hAnsi="Bookman Old Style"/>
          <w:sz w:val="24"/>
          <w:szCs w:val="24"/>
        </w:rPr>
        <w:t xml:space="preserve"> </w:t>
      </w:r>
      <w:r w:rsidRPr="008726D3">
        <w:rPr>
          <w:rFonts w:ascii="Bookman Old Style" w:hAnsi="Bookman Old Style"/>
          <w:sz w:val="24"/>
          <w:szCs w:val="24"/>
        </w:rPr>
        <w:t>costituzionale)</w:t>
      </w:r>
      <w:r w:rsidR="008F3DE8">
        <w:rPr>
          <w:rFonts w:ascii="Bookman Old Style" w:hAnsi="Bookman Old Style"/>
          <w:sz w:val="24"/>
          <w:szCs w:val="24"/>
        </w:rPr>
        <w:t xml:space="preserve"> </w:t>
      </w:r>
      <w:r w:rsidRPr="008726D3">
        <w:rPr>
          <w:rFonts w:ascii="Bookman Old Style" w:hAnsi="Bookman Old Style"/>
          <w:sz w:val="24"/>
          <w:szCs w:val="24"/>
        </w:rPr>
        <w:t>andava</w:t>
      </w:r>
      <w:r w:rsidR="008F3DE8">
        <w:rPr>
          <w:rFonts w:ascii="Bookman Old Style" w:hAnsi="Bookman Old Style"/>
          <w:sz w:val="24"/>
          <w:szCs w:val="24"/>
        </w:rPr>
        <w:t xml:space="preserve"> </w:t>
      </w:r>
      <w:r w:rsidRPr="008726D3">
        <w:rPr>
          <w:rFonts w:ascii="Bookman Old Style" w:hAnsi="Bookman Old Style"/>
          <w:sz w:val="24"/>
          <w:szCs w:val="24"/>
        </w:rPr>
        <w:t>di</w:t>
      </w:r>
      <w:r w:rsidR="008F3DE8">
        <w:rPr>
          <w:rFonts w:ascii="Bookman Old Style" w:hAnsi="Bookman Old Style"/>
          <w:sz w:val="24"/>
          <w:szCs w:val="24"/>
        </w:rPr>
        <w:t xml:space="preserve"> </w:t>
      </w:r>
      <w:r w:rsidRPr="008726D3">
        <w:rPr>
          <w:rFonts w:ascii="Bookman Old Style" w:hAnsi="Bookman Old Style"/>
          <w:sz w:val="24"/>
          <w:szCs w:val="24"/>
        </w:rPr>
        <w:t>volta</w:t>
      </w:r>
      <w:r w:rsidR="008F3DE8">
        <w:rPr>
          <w:rFonts w:ascii="Bookman Old Style" w:hAnsi="Bookman Old Style"/>
          <w:sz w:val="24"/>
          <w:szCs w:val="24"/>
        </w:rPr>
        <w:t xml:space="preserve"> </w:t>
      </w:r>
      <w:r w:rsidRPr="008726D3">
        <w:rPr>
          <w:rFonts w:ascii="Bookman Old Style" w:hAnsi="Bookman Old Style"/>
          <w:sz w:val="24"/>
          <w:szCs w:val="24"/>
        </w:rPr>
        <w:t>in</w:t>
      </w:r>
      <w:r w:rsidR="008F3DE8">
        <w:rPr>
          <w:rFonts w:ascii="Bookman Old Style" w:hAnsi="Bookman Old Style"/>
          <w:sz w:val="24"/>
          <w:szCs w:val="24"/>
        </w:rPr>
        <w:t xml:space="preserve"> </w:t>
      </w:r>
      <w:r w:rsidRPr="008726D3">
        <w:rPr>
          <w:rFonts w:ascii="Bookman Old Style" w:hAnsi="Bookman Old Style"/>
          <w:sz w:val="24"/>
          <w:szCs w:val="24"/>
        </w:rPr>
        <w:t>volta</w:t>
      </w:r>
      <w:r w:rsidR="008F3DE8">
        <w:rPr>
          <w:rFonts w:ascii="Bookman Old Style" w:hAnsi="Bookman Old Style"/>
          <w:sz w:val="24"/>
          <w:szCs w:val="24"/>
        </w:rPr>
        <w:t xml:space="preserve"> </w:t>
      </w:r>
      <w:r w:rsidRPr="008726D3">
        <w:rPr>
          <w:rFonts w:ascii="Bookman Old Style" w:hAnsi="Bookman Old Style"/>
          <w:sz w:val="24"/>
          <w:szCs w:val="24"/>
        </w:rPr>
        <w:t>dimostrandosi,</w:t>
      </w:r>
      <w:r w:rsidR="008F3DE8">
        <w:rPr>
          <w:rFonts w:ascii="Bookman Old Style" w:hAnsi="Bookman Old Style"/>
          <w:sz w:val="24"/>
          <w:szCs w:val="24"/>
        </w:rPr>
        <w:t xml:space="preserve"> </w:t>
      </w:r>
      <w:r w:rsidRPr="008726D3">
        <w:rPr>
          <w:rFonts w:ascii="Bookman Old Style" w:hAnsi="Bookman Old Style"/>
          <w:sz w:val="24"/>
          <w:szCs w:val="24"/>
        </w:rPr>
        <w:t>però,</w:t>
      </w:r>
      <w:r w:rsidR="008F3DE8">
        <w:rPr>
          <w:rFonts w:ascii="Bookman Old Style" w:hAnsi="Bookman Old Style"/>
          <w:sz w:val="24"/>
          <w:szCs w:val="24"/>
        </w:rPr>
        <w:t xml:space="preserve"> </w:t>
      </w:r>
      <w:r w:rsidRPr="008726D3">
        <w:rPr>
          <w:rFonts w:ascii="Bookman Old Style" w:hAnsi="Bookman Old Style"/>
          <w:sz w:val="24"/>
          <w:szCs w:val="24"/>
        </w:rPr>
        <w:t>meno</w:t>
      </w:r>
      <w:r w:rsidR="008F3DE8">
        <w:rPr>
          <w:rFonts w:ascii="Bookman Old Style" w:hAnsi="Bookman Old Style"/>
          <w:sz w:val="24"/>
          <w:szCs w:val="24"/>
        </w:rPr>
        <w:t xml:space="preserve"> </w:t>
      </w:r>
      <w:r w:rsidRPr="008726D3">
        <w:rPr>
          <w:rFonts w:ascii="Bookman Old Style" w:hAnsi="Bookman Old Style"/>
          <w:sz w:val="24"/>
          <w:szCs w:val="24"/>
        </w:rPr>
        <w:t>astratta,</w:t>
      </w:r>
      <w:r w:rsidR="008F3DE8">
        <w:rPr>
          <w:rFonts w:ascii="Bookman Old Style" w:hAnsi="Bookman Old Style"/>
          <w:sz w:val="24"/>
          <w:szCs w:val="24"/>
        </w:rPr>
        <w:t xml:space="preserve"> </w:t>
      </w:r>
      <w:r w:rsidRPr="008726D3">
        <w:rPr>
          <w:rFonts w:ascii="Bookman Old Style" w:hAnsi="Bookman Old Style"/>
          <w:sz w:val="24"/>
          <w:szCs w:val="24"/>
        </w:rPr>
        <w:t>soprattutto</w:t>
      </w:r>
      <w:r w:rsidR="008F3DE8">
        <w:rPr>
          <w:rFonts w:ascii="Bookman Old Style" w:hAnsi="Bookman Old Style"/>
          <w:sz w:val="24"/>
          <w:szCs w:val="24"/>
        </w:rPr>
        <w:t xml:space="preserve"> </w:t>
      </w:r>
      <w:r w:rsidRPr="008726D3">
        <w:rPr>
          <w:rFonts w:ascii="Bookman Old Style" w:hAnsi="Bookman Old Style"/>
          <w:sz w:val="24"/>
          <w:szCs w:val="24"/>
        </w:rPr>
        <w:t>in</w:t>
      </w:r>
      <w:r w:rsidR="008F3DE8">
        <w:rPr>
          <w:rFonts w:ascii="Bookman Old Style" w:hAnsi="Bookman Old Style"/>
          <w:sz w:val="24"/>
          <w:szCs w:val="24"/>
        </w:rPr>
        <w:t xml:space="preserve"> </w:t>
      </w:r>
      <w:r w:rsidRPr="008726D3">
        <w:rPr>
          <w:rFonts w:ascii="Bookman Old Style" w:hAnsi="Bookman Old Style"/>
          <w:sz w:val="24"/>
          <w:szCs w:val="24"/>
        </w:rPr>
        <w:t>ragione</w:t>
      </w:r>
      <w:r w:rsidR="008F3DE8">
        <w:rPr>
          <w:rFonts w:ascii="Bookman Old Style" w:hAnsi="Bookman Old Style"/>
          <w:sz w:val="24"/>
          <w:szCs w:val="24"/>
        </w:rPr>
        <w:t xml:space="preserve"> </w:t>
      </w:r>
      <w:r w:rsidRPr="008726D3">
        <w:rPr>
          <w:rFonts w:ascii="Bookman Old Style" w:hAnsi="Bookman Old Style"/>
          <w:sz w:val="24"/>
          <w:szCs w:val="24"/>
        </w:rPr>
        <w:t>dell’evoluzione</w:t>
      </w:r>
      <w:r w:rsidR="008F3DE8">
        <w:rPr>
          <w:rFonts w:ascii="Bookman Old Style" w:hAnsi="Bookman Old Style"/>
          <w:sz w:val="24"/>
          <w:szCs w:val="24"/>
        </w:rPr>
        <w:t xml:space="preserve"> </w:t>
      </w:r>
      <w:r w:rsidRPr="008726D3">
        <w:rPr>
          <w:rFonts w:ascii="Bookman Old Style" w:hAnsi="Bookman Old Style"/>
          <w:sz w:val="24"/>
          <w:szCs w:val="24"/>
        </w:rPr>
        <w:t>che</w:t>
      </w:r>
      <w:r w:rsidR="008F3DE8">
        <w:rPr>
          <w:rFonts w:ascii="Bookman Old Style" w:hAnsi="Bookman Old Style"/>
          <w:sz w:val="24"/>
          <w:szCs w:val="24"/>
        </w:rPr>
        <w:t xml:space="preserve"> </w:t>
      </w:r>
      <w:r w:rsidRPr="008726D3">
        <w:rPr>
          <w:rFonts w:ascii="Bookman Old Style" w:hAnsi="Bookman Old Style"/>
          <w:sz w:val="24"/>
          <w:szCs w:val="24"/>
        </w:rPr>
        <w:t>andava</w:t>
      </w:r>
      <w:r w:rsidR="008F3DE8">
        <w:rPr>
          <w:rFonts w:ascii="Bookman Old Style" w:hAnsi="Bookman Old Style"/>
          <w:sz w:val="24"/>
          <w:szCs w:val="24"/>
        </w:rPr>
        <w:t xml:space="preserve"> </w:t>
      </w:r>
      <w:r w:rsidRPr="008726D3">
        <w:rPr>
          <w:rFonts w:ascii="Bookman Old Style" w:hAnsi="Bookman Old Style"/>
          <w:sz w:val="24"/>
          <w:szCs w:val="24"/>
        </w:rPr>
        <w:t>caratterizzando</w:t>
      </w:r>
      <w:r w:rsidR="008F3DE8">
        <w:rPr>
          <w:rFonts w:ascii="Bookman Old Style" w:hAnsi="Bookman Old Style"/>
          <w:sz w:val="24"/>
          <w:szCs w:val="24"/>
        </w:rPr>
        <w:t xml:space="preserve"> </w:t>
      </w:r>
      <w:r w:rsidRPr="008726D3">
        <w:rPr>
          <w:rFonts w:ascii="Bookman Old Style" w:hAnsi="Bookman Old Style"/>
          <w:sz w:val="24"/>
          <w:szCs w:val="24"/>
        </w:rPr>
        <w:t>le</w:t>
      </w:r>
      <w:r w:rsidR="008F3DE8">
        <w:rPr>
          <w:rFonts w:ascii="Bookman Old Style" w:hAnsi="Bookman Old Style"/>
          <w:sz w:val="24"/>
          <w:szCs w:val="24"/>
        </w:rPr>
        <w:t xml:space="preserve"> </w:t>
      </w:r>
      <w:r w:rsidRPr="008726D3">
        <w:rPr>
          <w:rFonts w:ascii="Bookman Old Style" w:hAnsi="Bookman Old Style"/>
          <w:sz w:val="24"/>
          <w:szCs w:val="24"/>
        </w:rPr>
        <w:t>Comunità:</w:t>
      </w:r>
      <w:r w:rsidR="008F3DE8">
        <w:rPr>
          <w:rFonts w:ascii="Bookman Old Style" w:hAnsi="Bookman Old Style"/>
          <w:sz w:val="24"/>
          <w:szCs w:val="24"/>
        </w:rPr>
        <w:t xml:space="preserve"> </w:t>
      </w:r>
      <w:r w:rsidRPr="008726D3">
        <w:rPr>
          <w:rFonts w:ascii="Bookman Old Style" w:hAnsi="Bookman Old Style"/>
          <w:sz w:val="24"/>
          <w:szCs w:val="24"/>
        </w:rPr>
        <w:t>espansione</w:t>
      </w:r>
      <w:r w:rsidR="008F3DE8">
        <w:rPr>
          <w:rFonts w:ascii="Bookman Old Style" w:hAnsi="Bookman Old Style"/>
          <w:sz w:val="24"/>
          <w:szCs w:val="24"/>
        </w:rPr>
        <w:t xml:space="preserve"> </w:t>
      </w:r>
      <w:r w:rsidRPr="008726D3">
        <w:rPr>
          <w:rFonts w:ascii="Bookman Old Style" w:hAnsi="Bookman Old Style"/>
          <w:sz w:val="24"/>
          <w:szCs w:val="24"/>
        </w:rPr>
        <w:t>delle</w:t>
      </w:r>
      <w:r w:rsidR="008F3DE8">
        <w:rPr>
          <w:rFonts w:ascii="Bookman Old Style" w:hAnsi="Bookman Old Style"/>
          <w:sz w:val="24"/>
          <w:szCs w:val="24"/>
        </w:rPr>
        <w:t xml:space="preserve"> </w:t>
      </w:r>
      <w:r w:rsidRPr="008726D3">
        <w:rPr>
          <w:rFonts w:ascii="Bookman Old Style" w:hAnsi="Bookman Old Style"/>
          <w:sz w:val="24"/>
          <w:szCs w:val="24"/>
        </w:rPr>
        <w:t>competenze</w:t>
      </w:r>
      <w:r w:rsidR="00486DB5">
        <w:rPr>
          <w:rFonts w:ascii="Bookman Old Style" w:hAnsi="Bookman Old Style"/>
          <w:sz w:val="24"/>
          <w:szCs w:val="24"/>
        </w:rPr>
        <w:t>,</w:t>
      </w:r>
      <w:r w:rsidR="008F3DE8">
        <w:rPr>
          <w:rFonts w:ascii="Bookman Old Style" w:hAnsi="Bookman Old Style"/>
          <w:sz w:val="24"/>
          <w:szCs w:val="24"/>
        </w:rPr>
        <w:t xml:space="preserve"> </w:t>
      </w:r>
      <w:r w:rsidRPr="008726D3">
        <w:rPr>
          <w:rFonts w:ascii="Bookman Old Style" w:hAnsi="Bookman Old Style"/>
          <w:sz w:val="24"/>
          <w:szCs w:val="24"/>
        </w:rPr>
        <w:t>da</w:t>
      </w:r>
      <w:r w:rsidR="008F3DE8">
        <w:rPr>
          <w:rFonts w:ascii="Bookman Old Style" w:hAnsi="Bookman Old Style"/>
          <w:sz w:val="24"/>
          <w:szCs w:val="24"/>
        </w:rPr>
        <w:t xml:space="preserve"> </w:t>
      </w:r>
      <w:r w:rsidRPr="008726D3">
        <w:rPr>
          <w:rFonts w:ascii="Bookman Old Style" w:hAnsi="Bookman Old Style"/>
          <w:sz w:val="24"/>
          <w:szCs w:val="24"/>
        </w:rPr>
        <w:t>un</w:t>
      </w:r>
      <w:r w:rsidR="008F3DE8">
        <w:rPr>
          <w:rFonts w:ascii="Bookman Old Style" w:hAnsi="Bookman Old Style"/>
          <w:sz w:val="24"/>
          <w:szCs w:val="24"/>
        </w:rPr>
        <w:t xml:space="preserve"> </w:t>
      </w:r>
      <w:r w:rsidRPr="008726D3">
        <w:rPr>
          <w:rFonts w:ascii="Bookman Old Style" w:hAnsi="Bookman Old Style"/>
          <w:sz w:val="24"/>
          <w:szCs w:val="24"/>
        </w:rPr>
        <w:t>lato,</w:t>
      </w:r>
      <w:r w:rsidR="008F3DE8">
        <w:rPr>
          <w:rFonts w:ascii="Bookman Old Style" w:hAnsi="Bookman Old Style"/>
          <w:sz w:val="24"/>
          <w:szCs w:val="24"/>
        </w:rPr>
        <w:t xml:space="preserve"> </w:t>
      </w:r>
      <w:r w:rsidRPr="008726D3">
        <w:rPr>
          <w:rFonts w:ascii="Bookman Old Style" w:hAnsi="Bookman Old Style"/>
          <w:sz w:val="24"/>
          <w:szCs w:val="24"/>
        </w:rPr>
        <w:t>venir</w:t>
      </w:r>
      <w:r w:rsidR="008F3DE8">
        <w:rPr>
          <w:rFonts w:ascii="Bookman Old Style" w:hAnsi="Bookman Old Style"/>
          <w:sz w:val="24"/>
          <w:szCs w:val="24"/>
        </w:rPr>
        <w:t xml:space="preserve"> </w:t>
      </w:r>
      <w:r w:rsidRPr="008726D3">
        <w:rPr>
          <w:rFonts w:ascii="Bookman Old Style" w:hAnsi="Bookman Old Style"/>
          <w:sz w:val="24"/>
          <w:szCs w:val="24"/>
        </w:rPr>
        <w:t>meno</w:t>
      </w:r>
      <w:r w:rsidR="008F3DE8">
        <w:rPr>
          <w:rFonts w:ascii="Bookman Old Style" w:hAnsi="Bookman Old Style"/>
          <w:sz w:val="24"/>
          <w:szCs w:val="24"/>
        </w:rPr>
        <w:t xml:space="preserve"> </w:t>
      </w:r>
      <w:r w:rsidRPr="008726D3">
        <w:rPr>
          <w:rFonts w:ascii="Bookman Old Style" w:hAnsi="Bookman Old Style"/>
          <w:sz w:val="24"/>
          <w:szCs w:val="24"/>
        </w:rPr>
        <w:t>progressivo</w:t>
      </w:r>
      <w:r w:rsidR="008F3DE8">
        <w:rPr>
          <w:rFonts w:ascii="Bookman Old Style" w:hAnsi="Bookman Old Style"/>
          <w:sz w:val="24"/>
          <w:szCs w:val="24"/>
        </w:rPr>
        <w:t xml:space="preserve"> </w:t>
      </w:r>
      <w:r w:rsidRPr="008726D3">
        <w:rPr>
          <w:rFonts w:ascii="Bookman Old Style" w:hAnsi="Bookman Old Style"/>
          <w:sz w:val="24"/>
          <w:szCs w:val="24"/>
        </w:rPr>
        <w:t>della</w:t>
      </w:r>
      <w:r w:rsidR="008F3DE8">
        <w:rPr>
          <w:rFonts w:ascii="Bookman Old Style" w:hAnsi="Bookman Old Style"/>
          <w:sz w:val="24"/>
          <w:szCs w:val="24"/>
        </w:rPr>
        <w:t xml:space="preserve"> </w:t>
      </w:r>
      <w:r w:rsidRPr="008726D3">
        <w:rPr>
          <w:rFonts w:ascii="Bookman Old Style" w:hAnsi="Bookman Old Style"/>
          <w:sz w:val="24"/>
          <w:szCs w:val="24"/>
        </w:rPr>
        <w:t>loro</w:t>
      </w:r>
      <w:r w:rsidR="008F3DE8">
        <w:rPr>
          <w:rFonts w:ascii="Bookman Old Style" w:hAnsi="Bookman Old Style"/>
          <w:sz w:val="24"/>
          <w:szCs w:val="24"/>
        </w:rPr>
        <w:t xml:space="preserve"> </w:t>
      </w:r>
      <w:r w:rsidRPr="008726D3">
        <w:rPr>
          <w:rFonts w:ascii="Bookman Old Style" w:hAnsi="Bookman Old Style"/>
          <w:sz w:val="24"/>
          <w:szCs w:val="24"/>
        </w:rPr>
        <w:t>raffigurazione</w:t>
      </w:r>
      <w:r w:rsidR="008F3DE8">
        <w:rPr>
          <w:rFonts w:ascii="Bookman Old Style" w:hAnsi="Bookman Old Style"/>
          <w:sz w:val="24"/>
          <w:szCs w:val="24"/>
        </w:rPr>
        <w:t xml:space="preserve"> </w:t>
      </w:r>
      <w:r w:rsidRPr="008726D3">
        <w:rPr>
          <w:rFonts w:ascii="Bookman Old Style" w:hAnsi="Bookman Old Style"/>
          <w:sz w:val="24"/>
          <w:szCs w:val="24"/>
        </w:rPr>
        <w:t>quale</w:t>
      </w:r>
      <w:r w:rsidR="008F3DE8">
        <w:rPr>
          <w:rFonts w:ascii="Bookman Old Style" w:hAnsi="Bookman Old Style"/>
          <w:sz w:val="24"/>
          <w:szCs w:val="24"/>
        </w:rPr>
        <w:t xml:space="preserve"> </w:t>
      </w:r>
      <w:r w:rsidRPr="008726D3">
        <w:rPr>
          <w:rFonts w:ascii="Bookman Old Style" w:hAnsi="Bookman Old Style"/>
          <w:sz w:val="24"/>
          <w:szCs w:val="24"/>
        </w:rPr>
        <w:t>organizzazione</w:t>
      </w:r>
      <w:r w:rsidR="008F3DE8">
        <w:rPr>
          <w:rFonts w:ascii="Bookman Old Style" w:hAnsi="Bookman Old Style"/>
          <w:sz w:val="24"/>
          <w:szCs w:val="24"/>
        </w:rPr>
        <w:t xml:space="preserve"> </w:t>
      </w:r>
      <w:r w:rsidRPr="008726D3">
        <w:rPr>
          <w:rFonts w:ascii="Bookman Old Style" w:hAnsi="Bookman Old Style"/>
          <w:sz w:val="24"/>
          <w:szCs w:val="24"/>
        </w:rPr>
        <w:t>internazionale</w:t>
      </w:r>
      <w:r w:rsidR="008F3DE8">
        <w:rPr>
          <w:rFonts w:ascii="Bookman Old Style" w:hAnsi="Bookman Old Style"/>
          <w:sz w:val="24"/>
          <w:szCs w:val="24"/>
        </w:rPr>
        <w:t xml:space="preserve"> </w:t>
      </w:r>
      <w:r w:rsidRPr="008726D3">
        <w:rPr>
          <w:rFonts w:ascii="Bookman Old Style" w:hAnsi="Bookman Old Style"/>
          <w:sz w:val="24"/>
          <w:szCs w:val="24"/>
        </w:rPr>
        <w:t>di</w:t>
      </w:r>
      <w:r w:rsidR="008F3DE8">
        <w:rPr>
          <w:rFonts w:ascii="Bookman Old Style" w:hAnsi="Bookman Old Style"/>
          <w:sz w:val="24"/>
          <w:szCs w:val="24"/>
        </w:rPr>
        <w:t xml:space="preserve"> </w:t>
      </w:r>
      <w:r w:rsidRPr="008726D3">
        <w:rPr>
          <w:rFonts w:ascii="Bookman Old Style" w:hAnsi="Bookman Old Style"/>
          <w:sz w:val="24"/>
          <w:szCs w:val="24"/>
        </w:rPr>
        <w:t>carattere</w:t>
      </w:r>
      <w:r w:rsidR="008F3DE8">
        <w:rPr>
          <w:rFonts w:ascii="Bookman Old Style" w:hAnsi="Bookman Old Style"/>
          <w:sz w:val="24"/>
          <w:szCs w:val="24"/>
        </w:rPr>
        <w:t xml:space="preserve"> </w:t>
      </w:r>
      <w:r w:rsidRPr="008726D3">
        <w:rPr>
          <w:rFonts w:ascii="Bookman Old Style" w:hAnsi="Bookman Old Style"/>
          <w:sz w:val="24"/>
          <w:szCs w:val="24"/>
        </w:rPr>
        <w:t>intergovernativo,</w:t>
      </w:r>
      <w:r w:rsidR="008F3DE8">
        <w:rPr>
          <w:rFonts w:ascii="Bookman Old Style" w:hAnsi="Bookman Old Style"/>
          <w:sz w:val="24"/>
          <w:szCs w:val="24"/>
        </w:rPr>
        <w:t xml:space="preserve"> </w:t>
      </w:r>
      <w:r w:rsidRPr="008726D3">
        <w:rPr>
          <w:rFonts w:ascii="Bookman Old Style" w:hAnsi="Bookman Old Style"/>
          <w:sz w:val="24"/>
          <w:szCs w:val="24"/>
        </w:rPr>
        <w:t>dall’altro.</w:t>
      </w:r>
      <w:r w:rsidR="00C81E0F">
        <w:rPr>
          <w:rFonts w:ascii="Bookman Old Style" w:hAnsi="Bookman Old Style"/>
          <w:sz w:val="24"/>
          <w:szCs w:val="24"/>
        </w:rPr>
        <w:t xml:space="preserve"> Per tali ragioni, </w:t>
      </w:r>
      <w:r w:rsidRPr="008726D3">
        <w:rPr>
          <w:rFonts w:ascii="Bookman Old Style" w:hAnsi="Bookman Old Style"/>
          <w:sz w:val="24"/>
          <w:szCs w:val="24"/>
        </w:rPr>
        <w:t>la</w:t>
      </w:r>
      <w:r w:rsidR="008F3DE8">
        <w:rPr>
          <w:rFonts w:ascii="Bookman Old Style" w:hAnsi="Bookman Old Style"/>
          <w:sz w:val="24"/>
          <w:szCs w:val="24"/>
        </w:rPr>
        <w:t xml:space="preserve"> </w:t>
      </w:r>
      <w:r w:rsidRPr="008726D3">
        <w:rPr>
          <w:rFonts w:ascii="Bookman Old Style" w:hAnsi="Bookman Old Style"/>
          <w:sz w:val="24"/>
          <w:szCs w:val="24"/>
        </w:rPr>
        <w:t>Corte</w:t>
      </w:r>
      <w:r w:rsidR="008F3DE8">
        <w:rPr>
          <w:rFonts w:ascii="Bookman Old Style" w:hAnsi="Bookman Old Style"/>
          <w:sz w:val="24"/>
          <w:szCs w:val="24"/>
        </w:rPr>
        <w:t xml:space="preserve"> </w:t>
      </w:r>
      <w:r w:rsidRPr="008726D3">
        <w:rPr>
          <w:rFonts w:ascii="Bookman Old Style" w:hAnsi="Bookman Old Style"/>
          <w:sz w:val="24"/>
          <w:szCs w:val="24"/>
        </w:rPr>
        <w:t>di</w:t>
      </w:r>
      <w:r w:rsidR="008F3DE8">
        <w:rPr>
          <w:rFonts w:ascii="Bookman Old Style" w:hAnsi="Bookman Old Style"/>
          <w:sz w:val="24"/>
          <w:szCs w:val="24"/>
        </w:rPr>
        <w:t xml:space="preserve"> </w:t>
      </w:r>
      <w:r w:rsidRPr="008726D3">
        <w:rPr>
          <w:rFonts w:ascii="Bookman Old Style" w:hAnsi="Bookman Old Style"/>
          <w:sz w:val="24"/>
          <w:szCs w:val="24"/>
        </w:rPr>
        <w:t>Lussemburgo</w:t>
      </w:r>
      <w:r w:rsidR="008F3DE8">
        <w:rPr>
          <w:rFonts w:ascii="Bookman Old Style" w:hAnsi="Bookman Old Style"/>
          <w:sz w:val="24"/>
          <w:szCs w:val="24"/>
        </w:rPr>
        <w:t xml:space="preserve"> </w:t>
      </w:r>
      <w:r w:rsidRPr="008726D3">
        <w:rPr>
          <w:rFonts w:ascii="Bookman Old Style" w:hAnsi="Bookman Old Style"/>
          <w:sz w:val="24"/>
          <w:szCs w:val="24"/>
        </w:rPr>
        <w:t>inaugurò</w:t>
      </w:r>
      <w:r w:rsidR="008F3DE8">
        <w:rPr>
          <w:rFonts w:ascii="Bookman Old Style" w:hAnsi="Bookman Old Style"/>
          <w:sz w:val="24"/>
          <w:szCs w:val="24"/>
        </w:rPr>
        <w:t xml:space="preserve"> </w:t>
      </w:r>
      <w:r w:rsidRPr="008726D3">
        <w:rPr>
          <w:rFonts w:ascii="Bookman Old Style" w:hAnsi="Bookman Old Style"/>
          <w:sz w:val="24"/>
          <w:szCs w:val="24"/>
        </w:rPr>
        <w:t>una</w:t>
      </w:r>
      <w:r w:rsidR="008F3DE8">
        <w:rPr>
          <w:rFonts w:ascii="Bookman Old Style" w:hAnsi="Bookman Old Style"/>
          <w:sz w:val="24"/>
          <w:szCs w:val="24"/>
        </w:rPr>
        <w:t xml:space="preserve"> </w:t>
      </w:r>
      <w:r w:rsidRPr="008726D3">
        <w:rPr>
          <w:rFonts w:ascii="Bookman Old Style" w:hAnsi="Bookman Old Style"/>
          <w:sz w:val="24"/>
          <w:szCs w:val="24"/>
        </w:rPr>
        <w:t>giurisprudenza</w:t>
      </w:r>
      <w:r w:rsidR="008F3DE8">
        <w:rPr>
          <w:rFonts w:ascii="Bookman Old Style" w:hAnsi="Bookman Old Style"/>
          <w:sz w:val="24"/>
          <w:szCs w:val="24"/>
        </w:rPr>
        <w:t xml:space="preserve"> </w:t>
      </w:r>
      <w:r w:rsidRPr="008726D3">
        <w:rPr>
          <w:rFonts w:ascii="Bookman Old Style" w:hAnsi="Bookman Old Style"/>
          <w:sz w:val="24"/>
          <w:szCs w:val="24"/>
        </w:rPr>
        <w:t>fondata</w:t>
      </w:r>
      <w:r w:rsidR="008F3DE8">
        <w:rPr>
          <w:rFonts w:ascii="Bookman Old Style" w:hAnsi="Bookman Old Style"/>
          <w:sz w:val="24"/>
          <w:szCs w:val="24"/>
        </w:rPr>
        <w:t xml:space="preserve"> </w:t>
      </w:r>
      <w:r w:rsidRPr="008726D3">
        <w:rPr>
          <w:rFonts w:ascii="Bookman Old Style" w:hAnsi="Bookman Old Style"/>
          <w:sz w:val="24"/>
          <w:szCs w:val="24"/>
        </w:rPr>
        <w:t>sui</w:t>
      </w:r>
      <w:r w:rsidR="008F3DE8">
        <w:rPr>
          <w:rFonts w:ascii="Bookman Old Style" w:hAnsi="Bookman Old Style"/>
          <w:sz w:val="24"/>
          <w:szCs w:val="24"/>
        </w:rPr>
        <w:t xml:space="preserve"> </w:t>
      </w:r>
      <w:r w:rsidRPr="008726D3">
        <w:rPr>
          <w:rFonts w:ascii="Bookman Old Style" w:hAnsi="Bookman Old Style"/>
          <w:sz w:val="24"/>
          <w:szCs w:val="24"/>
        </w:rPr>
        <w:t>principi</w:t>
      </w:r>
      <w:r w:rsidR="008F3DE8">
        <w:rPr>
          <w:rFonts w:ascii="Bookman Old Style" w:hAnsi="Bookman Old Style"/>
          <w:sz w:val="24"/>
          <w:szCs w:val="24"/>
        </w:rPr>
        <w:t xml:space="preserve"> </w:t>
      </w:r>
      <w:r w:rsidRPr="008726D3">
        <w:rPr>
          <w:rFonts w:ascii="Bookman Old Style" w:hAnsi="Bookman Old Style"/>
          <w:sz w:val="24"/>
          <w:szCs w:val="24"/>
        </w:rPr>
        <w:t>fondamentali</w:t>
      </w:r>
      <w:r w:rsidR="008F3DE8">
        <w:rPr>
          <w:rFonts w:ascii="Bookman Old Style" w:hAnsi="Bookman Old Style"/>
          <w:sz w:val="24"/>
          <w:szCs w:val="24"/>
        </w:rPr>
        <w:t xml:space="preserve"> </w:t>
      </w:r>
      <w:r w:rsidRPr="008726D3">
        <w:rPr>
          <w:rFonts w:ascii="Bookman Old Style" w:hAnsi="Bookman Old Style"/>
          <w:sz w:val="24"/>
          <w:szCs w:val="24"/>
        </w:rPr>
        <w:t>del</w:t>
      </w:r>
      <w:r w:rsidR="008F3DE8">
        <w:rPr>
          <w:rFonts w:ascii="Bookman Old Style" w:hAnsi="Bookman Old Style"/>
          <w:sz w:val="24"/>
          <w:szCs w:val="24"/>
        </w:rPr>
        <w:t xml:space="preserve"> </w:t>
      </w:r>
      <w:r w:rsidRPr="008726D3">
        <w:rPr>
          <w:rFonts w:ascii="Bookman Old Style" w:hAnsi="Bookman Old Style"/>
          <w:sz w:val="24"/>
          <w:szCs w:val="24"/>
        </w:rPr>
        <w:t>diritto</w:t>
      </w:r>
      <w:r w:rsidR="008F3DE8">
        <w:rPr>
          <w:rFonts w:ascii="Bookman Old Style" w:hAnsi="Bookman Old Style"/>
          <w:sz w:val="24"/>
          <w:szCs w:val="24"/>
        </w:rPr>
        <w:t xml:space="preserve"> </w:t>
      </w:r>
      <w:r w:rsidRPr="008726D3">
        <w:rPr>
          <w:rFonts w:ascii="Bookman Old Style" w:hAnsi="Bookman Old Style"/>
          <w:sz w:val="24"/>
          <w:szCs w:val="24"/>
        </w:rPr>
        <w:t>comunitario,</w:t>
      </w:r>
      <w:r w:rsidR="008F3DE8">
        <w:rPr>
          <w:rFonts w:ascii="Bookman Old Style" w:hAnsi="Bookman Old Style"/>
          <w:sz w:val="24"/>
          <w:szCs w:val="24"/>
        </w:rPr>
        <w:t xml:space="preserve"> </w:t>
      </w:r>
      <w:r w:rsidRPr="008726D3">
        <w:rPr>
          <w:rFonts w:ascii="Bookman Old Style" w:hAnsi="Bookman Old Style"/>
          <w:sz w:val="24"/>
          <w:szCs w:val="24"/>
        </w:rPr>
        <w:t>volta</w:t>
      </w:r>
      <w:r w:rsidR="008F3DE8">
        <w:rPr>
          <w:rFonts w:ascii="Bookman Old Style" w:hAnsi="Bookman Old Style"/>
          <w:sz w:val="24"/>
          <w:szCs w:val="24"/>
        </w:rPr>
        <w:t xml:space="preserve"> </w:t>
      </w:r>
      <w:r w:rsidRPr="008726D3">
        <w:rPr>
          <w:rFonts w:ascii="Bookman Old Style" w:hAnsi="Bookman Old Style"/>
          <w:sz w:val="24"/>
          <w:szCs w:val="24"/>
        </w:rPr>
        <w:t>a</w:t>
      </w:r>
      <w:r w:rsidR="008F3DE8">
        <w:rPr>
          <w:rFonts w:ascii="Bookman Old Style" w:hAnsi="Bookman Old Style"/>
          <w:sz w:val="24"/>
          <w:szCs w:val="24"/>
        </w:rPr>
        <w:t xml:space="preserve"> </w:t>
      </w:r>
      <w:r w:rsidRPr="008726D3">
        <w:rPr>
          <w:rFonts w:ascii="Bookman Old Style" w:hAnsi="Bookman Old Style"/>
          <w:sz w:val="24"/>
          <w:szCs w:val="24"/>
        </w:rPr>
        <w:t>fornire</w:t>
      </w:r>
      <w:r w:rsidR="008F3DE8">
        <w:rPr>
          <w:rFonts w:ascii="Bookman Old Style" w:hAnsi="Bookman Old Style"/>
          <w:sz w:val="24"/>
          <w:szCs w:val="24"/>
        </w:rPr>
        <w:t xml:space="preserve"> </w:t>
      </w:r>
      <w:r w:rsidRPr="008726D3">
        <w:rPr>
          <w:rFonts w:ascii="Bookman Old Style" w:hAnsi="Bookman Old Style"/>
          <w:sz w:val="24"/>
          <w:szCs w:val="24"/>
        </w:rPr>
        <w:t>una</w:t>
      </w:r>
      <w:r w:rsidR="008F3DE8">
        <w:rPr>
          <w:rFonts w:ascii="Bookman Old Style" w:hAnsi="Bookman Old Style"/>
          <w:sz w:val="24"/>
          <w:szCs w:val="24"/>
        </w:rPr>
        <w:t xml:space="preserve"> </w:t>
      </w:r>
      <w:r w:rsidRPr="008726D3">
        <w:rPr>
          <w:rFonts w:ascii="Bookman Old Style" w:hAnsi="Bookman Old Style"/>
          <w:sz w:val="24"/>
          <w:szCs w:val="24"/>
        </w:rPr>
        <w:t>tutela</w:t>
      </w:r>
      <w:r w:rsidR="008F3DE8">
        <w:rPr>
          <w:rFonts w:ascii="Bookman Old Style" w:hAnsi="Bookman Old Style"/>
          <w:sz w:val="24"/>
          <w:szCs w:val="24"/>
        </w:rPr>
        <w:t xml:space="preserve"> </w:t>
      </w:r>
      <w:r w:rsidRPr="008726D3">
        <w:rPr>
          <w:rFonts w:ascii="Bookman Old Style" w:hAnsi="Bookman Old Style"/>
          <w:sz w:val="24"/>
          <w:szCs w:val="24"/>
        </w:rPr>
        <w:t>dei</w:t>
      </w:r>
      <w:r w:rsidR="008F3DE8">
        <w:rPr>
          <w:rFonts w:ascii="Bookman Old Style" w:hAnsi="Bookman Old Style"/>
          <w:sz w:val="24"/>
          <w:szCs w:val="24"/>
        </w:rPr>
        <w:t xml:space="preserve"> </w:t>
      </w:r>
      <w:r w:rsidRPr="008726D3">
        <w:rPr>
          <w:rFonts w:ascii="Bookman Old Style" w:hAnsi="Bookman Old Style"/>
          <w:sz w:val="24"/>
          <w:szCs w:val="24"/>
        </w:rPr>
        <w:t>diritti</w:t>
      </w:r>
      <w:r w:rsidR="008F3DE8">
        <w:rPr>
          <w:rFonts w:ascii="Bookman Old Style" w:hAnsi="Bookman Old Style"/>
          <w:sz w:val="24"/>
          <w:szCs w:val="24"/>
        </w:rPr>
        <w:t xml:space="preserve"> </w:t>
      </w:r>
      <w:r w:rsidRPr="008726D3">
        <w:rPr>
          <w:rFonts w:ascii="Bookman Old Style" w:hAnsi="Bookman Old Style"/>
          <w:sz w:val="24"/>
          <w:szCs w:val="24"/>
        </w:rPr>
        <w:t>dell’uomo</w:t>
      </w:r>
      <w:r w:rsidR="008F3DE8">
        <w:rPr>
          <w:rFonts w:ascii="Bookman Old Style" w:hAnsi="Bookman Old Style"/>
          <w:sz w:val="24"/>
          <w:szCs w:val="24"/>
        </w:rPr>
        <w:t xml:space="preserve"> </w:t>
      </w:r>
      <w:r w:rsidRPr="008726D3">
        <w:rPr>
          <w:rFonts w:ascii="Bookman Old Style" w:hAnsi="Bookman Old Style"/>
          <w:sz w:val="24"/>
          <w:szCs w:val="24"/>
        </w:rPr>
        <w:t>indipendente</w:t>
      </w:r>
      <w:r w:rsidR="008F3DE8">
        <w:rPr>
          <w:rFonts w:ascii="Bookman Old Style" w:hAnsi="Bookman Old Style"/>
          <w:sz w:val="24"/>
          <w:szCs w:val="24"/>
        </w:rPr>
        <w:t xml:space="preserve"> </w:t>
      </w:r>
      <w:r w:rsidRPr="008726D3">
        <w:rPr>
          <w:rFonts w:ascii="Bookman Old Style" w:hAnsi="Bookman Old Style"/>
          <w:sz w:val="24"/>
          <w:szCs w:val="24"/>
        </w:rPr>
        <w:t>da</w:t>
      </w:r>
      <w:r w:rsidR="008F3DE8">
        <w:rPr>
          <w:rFonts w:ascii="Bookman Old Style" w:hAnsi="Bookman Old Style"/>
          <w:sz w:val="24"/>
          <w:szCs w:val="24"/>
        </w:rPr>
        <w:t xml:space="preserve"> </w:t>
      </w:r>
      <w:r w:rsidRPr="008726D3">
        <w:rPr>
          <w:rFonts w:ascii="Bookman Old Style" w:hAnsi="Bookman Old Style"/>
          <w:sz w:val="24"/>
          <w:szCs w:val="24"/>
        </w:rPr>
        <w:t>quella</w:t>
      </w:r>
      <w:r w:rsidR="008F3DE8">
        <w:rPr>
          <w:rFonts w:ascii="Bookman Old Style" w:hAnsi="Bookman Old Style"/>
          <w:sz w:val="24"/>
          <w:szCs w:val="24"/>
        </w:rPr>
        <w:t xml:space="preserve"> </w:t>
      </w:r>
      <w:r w:rsidRPr="008726D3">
        <w:rPr>
          <w:rFonts w:ascii="Bookman Old Style" w:hAnsi="Bookman Old Style"/>
          <w:sz w:val="24"/>
          <w:szCs w:val="24"/>
        </w:rPr>
        <w:t>degli</w:t>
      </w:r>
      <w:r w:rsidR="008F3DE8">
        <w:rPr>
          <w:rFonts w:ascii="Bookman Old Style" w:hAnsi="Bookman Old Style"/>
          <w:sz w:val="24"/>
          <w:szCs w:val="24"/>
        </w:rPr>
        <w:t xml:space="preserve"> </w:t>
      </w:r>
      <w:r w:rsidRPr="008726D3">
        <w:rPr>
          <w:rFonts w:ascii="Bookman Old Style" w:hAnsi="Bookman Old Style"/>
          <w:sz w:val="24"/>
          <w:szCs w:val="24"/>
        </w:rPr>
        <w:t>Stati:</w:t>
      </w:r>
      <w:r w:rsidR="008F3DE8">
        <w:rPr>
          <w:rFonts w:ascii="Bookman Old Style" w:hAnsi="Bookman Old Style"/>
          <w:sz w:val="24"/>
          <w:szCs w:val="24"/>
        </w:rPr>
        <w:t xml:space="preserve"> </w:t>
      </w:r>
      <w:r w:rsidRPr="008726D3">
        <w:rPr>
          <w:rFonts w:ascii="Bookman Old Style" w:hAnsi="Bookman Old Style"/>
          <w:sz w:val="24"/>
          <w:szCs w:val="24"/>
        </w:rPr>
        <w:t>più</w:t>
      </w:r>
      <w:r w:rsidR="008F3DE8">
        <w:rPr>
          <w:rFonts w:ascii="Bookman Old Style" w:hAnsi="Bookman Old Style"/>
          <w:sz w:val="24"/>
          <w:szCs w:val="24"/>
        </w:rPr>
        <w:t xml:space="preserve"> </w:t>
      </w:r>
      <w:r w:rsidRPr="008726D3">
        <w:rPr>
          <w:rFonts w:ascii="Bookman Old Style" w:hAnsi="Bookman Old Style"/>
          <w:sz w:val="24"/>
          <w:szCs w:val="24"/>
        </w:rPr>
        <w:t>precisamente</w:t>
      </w:r>
      <w:r w:rsidR="008F3DE8">
        <w:rPr>
          <w:rFonts w:ascii="Bookman Old Style" w:hAnsi="Bookman Old Style"/>
          <w:sz w:val="24"/>
          <w:szCs w:val="24"/>
        </w:rPr>
        <w:t xml:space="preserve"> </w:t>
      </w:r>
      <w:r w:rsidRPr="008726D3">
        <w:rPr>
          <w:rFonts w:ascii="Bookman Old Style" w:hAnsi="Bookman Old Style"/>
          <w:sz w:val="24"/>
          <w:szCs w:val="24"/>
        </w:rPr>
        <w:t>incorporò</w:t>
      </w:r>
      <w:r w:rsidR="008F3DE8">
        <w:rPr>
          <w:rFonts w:ascii="Bookman Old Style" w:hAnsi="Bookman Old Style"/>
          <w:sz w:val="24"/>
          <w:szCs w:val="24"/>
        </w:rPr>
        <w:t xml:space="preserve"> </w:t>
      </w:r>
      <w:r w:rsidRPr="008726D3">
        <w:rPr>
          <w:rFonts w:ascii="Bookman Old Style" w:hAnsi="Bookman Old Style"/>
          <w:sz w:val="24"/>
          <w:szCs w:val="24"/>
        </w:rPr>
        <w:t>i</w:t>
      </w:r>
      <w:r w:rsidR="008F3DE8">
        <w:rPr>
          <w:rFonts w:ascii="Bookman Old Style" w:hAnsi="Bookman Old Style"/>
          <w:sz w:val="24"/>
          <w:szCs w:val="24"/>
        </w:rPr>
        <w:t xml:space="preserve"> </w:t>
      </w:r>
      <w:r w:rsidRPr="008726D3">
        <w:rPr>
          <w:rFonts w:ascii="Bookman Old Style" w:hAnsi="Bookman Old Style"/>
          <w:sz w:val="24"/>
          <w:szCs w:val="24"/>
        </w:rPr>
        <w:t>diritti</w:t>
      </w:r>
      <w:r w:rsidR="008F3DE8">
        <w:rPr>
          <w:rFonts w:ascii="Bookman Old Style" w:hAnsi="Bookman Old Style"/>
          <w:sz w:val="24"/>
          <w:szCs w:val="24"/>
        </w:rPr>
        <w:t xml:space="preserve"> </w:t>
      </w:r>
      <w:r w:rsidRPr="008726D3">
        <w:rPr>
          <w:rFonts w:ascii="Bookman Old Style" w:hAnsi="Bookman Old Style"/>
          <w:sz w:val="24"/>
          <w:szCs w:val="24"/>
        </w:rPr>
        <w:t>dell’uomo</w:t>
      </w:r>
      <w:r w:rsidR="008F3DE8">
        <w:rPr>
          <w:rFonts w:ascii="Bookman Old Style" w:hAnsi="Bookman Old Style"/>
          <w:sz w:val="24"/>
          <w:szCs w:val="24"/>
        </w:rPr>
        <w:t xml:space="preserve"> </w:t>
      </w:r>
      <w:r w:rsidRPr="008726D3">
        <w:rPr>
          <w:rFonts w:ascii="Bookman Old Style" w:hAnsi="Bookman Old Style"/>
          <w:sz w:val="24"/>
          <w:szCs w:val="24"/>
        </w:rPr>
        <w:t>tra</w:t>
      </w:r>
      <w:r w:rsidR="008F3DE8">
        <w:rPr>
          <w:rFonts w:ascii="Bookman Old Style" w:hAnsi="Bookman Old Style"/>
          <w:sz w:val="24"/>
          <w:szCs w:val="24"/>
        </w:rPr>
        <w:t xml:space="preserve"> </w:t>
      </w:r>
      <w:r w:rsidRPr="008726D3">
        <w:rPr>
          <w:rFonts w:ascii="Bookman Old Style" w:hAnsi="Bookman Old Style"/>
          <w:sz w:val="24"/>
          <w:szCs w:val="24"/>
        </w:rPr>
        <w:t>i</w:t>
      </w:r>
      <w:r w:rsidR="008F3DE8">
        <w:rPr>
          <w:rFonts w:ascii="Bookman Old Style" w:hAnsi="Bookman Old Style"/>
          <w:sz w:val="24"/>
          <w:szCs w:val="24"/>
        </w:rPr>
        <w:t xml:space="preserve"> </w:t>
      </w:r>
      <w:r w:rsidRPr="008726D3">
        <w:rPr>
          <w:rFonts w:ascii="Bookman Old Style" w:hAnsi="Bookman Old Style"/>
          <w:sz w:val="24"/>
          <w:szCs w:val="24"/>
        </w:rPr>
        <w:t>principi</w:t>
      </w:r>
      <w:r w:rsidR="008F3DE8">
        <w:rPr>
          <w:rFonts w:ascii="Bookman Old Style" w:hAnsi="Bookman Old Style"/>
          <w:sz w:val="24"/>
          <w:szCs w:val="24"/>
        </w:rPr>
        <w:t xml:space="preserve"> </w:t>
      </w:r>
      <w:r w:rsidRPr="008726D3">
        <w:rPr>
          <w:rFonts w:ascii="Bookman Old Style" w:hAnsi="Bookman Old Style"/>
          <w:sz w:val="24"/>
          <w:szCs w:val="24"/>
        </w:rPr>
        <w:t>generali</w:t>
      </w:r>
      <w:r w:rsidR="008F3DE8">
        <w:rPr>
          <w:rFonts w:ascii="Bookman Old Style" w:hAnsi="Bookman Old Style"/>
          <w:sz w:val="24"/>
          <w:szCs w:val="24"/>
        </w:rPr>
        <w:t xml:space="preserve"> </w:t>
      </w:r>
      <w:r w:rsidRPr="008726D3">
        <w:rPr>
          <w:rFonts w:ascii="Bookman Old Style" w:hAnsi="Bookman Old Style"/>
          <w:sz w:val="24"/>
          <w:szCs w:val="24"/>
        </w:rPr>
        <w:t>dell’ordinamento</w:t>
      </w:r>
      <w:r w:rsidR="008F3DE8">
        <w:rPr>
          <w:rFonts w:ascii="Bookman Old Style" w:hAnsi="Bookman Old Style"/>
          <w:sz w:val="24"/>
          <w:szCs w:val="24"/>
        </w:rPr>
        <w:t xml:space="preserve"> </w:t>
      </w:r>
      <w:r w:rsidRPr="008726D3">
        <w:rPr>
          <w:rFonts w:ascii="Bookman Old Style" w:hAnsi="Bookman Old Style"/>
          <w:sz w:val="24"/>
          <w:szCs w:val="24"/>
        </w:rPr>
        <w:t>comunitario,</w:t>
      </w:r>
      <w:r w:rsidR="008F3DE8">
        <w:rPr>
          <w:rFonts w:ascii="Bookman Old Style" w:hAnsi="Bookman Old Style"/>
          <w:sz w:val="24"/>
          <w:szCs w:val="24"/>
        </w:rPr>
        <w:t xml:space="preserve"> </w:t>
      </w:r>
      <w:r w:rsidRPr="008726D3">
        <w:rPr>
          <w:rFonts w:ascii="Bookman Old Style" w:hAnsi="Bookman Old Style"/>
          <w:sz w:val="24"/>
          <w:szCs w:val="24"/>
        </w:rPr>
        <w:t>fornendo</w:t>
      </w:r>
      <w:r w:rsidR="008F3DE8">
        <w:rPr>
          <w:rFonts w:ascii="Bookman Old Style" w:hAnsi="Bookman Old Style"/>
          <w:sz w:val="24"/>
          <w:szCs w:val="24"/>
        </w:rPr>
        <w:t xml:space="preserve"> </w:t>
      </w:r>
      <w:r w:rsidRPr="008726D3">
        <w:rPr>
          <w:rFonts w:ascii="Bookman Old Style" w:hAnsi="Bookman Old Style"/>
          <w:sz w:val="24"/>
          <w:szCs w:val="24"/>
        </w:rPr>
        <w:t>loro,</w:t>
      </w:r>
      <w:r w:rsidR="008F3DE8">
        <w:rPr>
          <w:rFonts w:ascii="Bookman Old Style" w:hAnsi="Bookman Old Style"/>
          <w:sz w:val="24"/>
          <w:szCs w:val="24"/>
        </w:rPr>
        <w:t xml:space="preserve"> </w:t>
      </w:r>
      <w:r w:rsidRPr="008726D3">
        <w:rPr>
          <w:rFonts w:ascii="Bookman Old Style" w:hAnsi="Bookman Old Style"/>
          <w:sz w:val="24"/>
          <w:szCs w:val="24"/>
        </w:rPr>
        <w:t>per</w:t>
      </w:r>
      <w:r w:rsidR="008F3DE8">
        <w:rPr>
          <w:rFonts w:ascii="Bookman Old Style" w:hAnsi="Bookman Old Style"/>
          <w:sz w:val="24"/>
          <w:szCs w:val="24"/>
        </w:rPr>
        <w:t xml:space="preserve"> </w:t>
      </w:r>
      <w:r w:rsidRPr="008726D3">
        <w:rPr>
          <w:rFonts w:ascii="Bookman Old Style" w:hAnsi="Bookman Old Style"/>
          <w:sz w:val="24"/>
          <w:szCs w:val="24"/>
        </w:rPr>
        <w:t>questa,</w:t>
      </w:r>
      <w:r w:rsidR="008F3DE8">
        <w:rPr>
          <w:rFonts w:ascii="Bookman Old Style" w:hAnsi="Bookman Old Style"/>
          <w:sz w:val="24"/>
          <w:szCs w:val="24"/>
        </w:rPr>
        <w:t xml:space="preserve"> </w:t>
      </w:r>
      <w:r w:rsidRPr="008726D3">
        <w:rPr>
          <w:rFonts w:ascii="Bookman Old Style" w:hAnsi="Bookman Old Style"/>
          <w:sz w:val="24"/>
          <w:szCs w:val="24"/>
        </w:rPr>
        <w:t>via</w:t>
      </w:r>
      <w:r w:rsidR="008F3DE8">
        <w:rPr>
          <w:rFonts w:ascii="Bookman Old Style" w:hAnsi="Bookman Old Style"/>
          <w:sz w:val="24"/>
          <w:szCs w:val="24"/>
        </w:rPr>
        <w:t xml:space="preserve"> </w:t>
      </w:r>
      <w:r w:rsidRPr="008726D3">
        <w:rPr>
          <w:rFonts w:ascii="Bookman Old Style" w:hAnsi="Bookman Old Style"/>
          <w:sz w:val="24"/>
          <w:szCs w:val="24"/>
        </w:rPr>
        <w:t>immediata</w:t>
      </w:r>
      <w:r w:rsidR="008F3DE8">
        <w:rPr>
          <w:rFonts w:ascii="Bookman Old Style" w:hAnsi="Bookman Old Style"/>
          <w:sz w:val="24"/>
          <w:szCs w:val="24"/>
        </w:rPr>
        <w:t xml:space="preserve"> </w:t>
      </w:r>
      <w:r w:rsidRPr="008726D3">
        <w:rPr>
          <w:rFonts w:ascii="Bookman Old Style" w:hAnsi="Bookman Old Style"/>
          <w:sz w:val="24"/>
          <w:szCs w:val="24"/>
        </w:rPr>
        <w:t>cogenza</w:t>
      </w:r>
      <w:r w:rsidR="008F3DE8">
        <w:rPr>
          <w:rFonts w:ascii="Bookman Old Style" w:hAnsi="Bookman Old Style"/>
          <w:sz w:val="24"/>
          <w:szCs w:val="24"/>
        </w:rPr>
        <w:t xml:space="preserve"> </w:t>
      </w:r>
      <w:r w:rsidRPr="008726D3">
        <w:rPr>
          <w:rFonts w:ascii="Bookman Old Style" w:hAnsi="Bookman Old Style"/>
          <w:sz w:val="24"/>
          <w:szCs w:val="24"/>
        </w:rPr>
        <w:t>all’interno</w:t>
      </w:r>
      <w:r w:rsidR="008F3DE8">
        <w:rPr>
          <w:rFonts w:ascii="Bookman Old Style" w:hAnsi="Bookman Old Style"/>
          <w:sz w:val="24"/>
          <w:szCs w:val="24"/>
        </w:rPr>
        <w:t xml:space="preserve"> </w:t>
      </w:r>
      <w:r w:rsidRPr="008726D3">
        <w:rPr>
          <w:rFonts w:ascii="Bookman Old Style" w:hAnsi="Bookman Old Style"/>
          <w:sz w:val="24"/>
          <w:szCs w:val="24"/>
        </w:rPr>
        <w:t>dell’ordinamento</w:t>
      </w:r>
      <w:r w:rsidR="008F3DE8">
        <w:rPr>
          <w:rFonts w:ascii="Bookman Old Style" w:hAnsi="Bookman Old Style"/>
          <w:sz w:val="24"/>
          <w:szCs w:val="24"/>
        </w:rPr>
        <w:t xml:space="preserve"> </w:t>
      </w:r>
      <w:r w:rsidRPr="008726D3">
        <w:rPr>
          <w:rFonts w:ascii="Bookman Old Style" w:hAnsi="Bookman Old Style"/>
          <w:sz w:val="24"/>
          <w:szCs w:val="24"/>
        </w:rPr>
        <w:t>comunitario.</w:t>
      </w:r>
    </w:p>
    <w:p w:rsidR="008F3DE8" w:rsidRPr="008726D3" w:rsidRDefault="008726D3" w:rsidP="008F3DE8">
      <w:pPr>
        <w:ind w:firstLine="709"/>
        <w:jc w:val="both"/>
        <w:rPr>
          <w:rFonts w:ascii="Bookman Old Style" w:hAnsi="Bookman Old Style"/>
          <w:sz w:val="24"/>
          <w:szCs w:val="24"/>
        </w:rPr>
      </w:pPr>
      <w:r w:rsidRPr="008726D3">
        <w:rPr>
          <w:rFonts w:ascii="Bookman Old Style" w:hAnsi="Bookman Old Style"/>
          <w:sz w:val="24"/>
          <w:szCs w:val="24"/>
        </w:rPr>
        <w:t>Sulla</w:t>
      </w:r>
      <w:r w:rsidR="008F3DE8">
        <w:rPr>
          <w:rFonts w:ascii="Bookman Old Style" w:hAnsi="Bookman Old Style"/>
          <w:sz w:val="24"/>
          <w:szCs w:val="24"/>
        </w:rPr>
        <w:t xml:space="preserve"> </w:t>
      </w:r>
      <w:r w:rsidRPr="008726D3">
        <w:rPr>
          <w:rFonts w:ascii="Bookman Old Style" w:hAnsi="Bookman Old Style"/>
          <w:sz w:val="24"/>
          <w:szCs w:val="24"/>
        </w:rPr>
        <w:t>base</w:t>
      </w:r>
      <w:r w:rsidR="008F3DE8">
        <w:rPr>
          <w:rFonts w:ascii="Bookman Old Style" w:hAnsi="Bookman Old Style"/>
          <w:sz w:val="24"/>
          <w:szCs w:val="24"/>
        </w:rPr>
        <w:t xml:space="preserve"> </w:t>
      </w:r>
      <w:r w:rsidRPr="008726D3">
        <w:rPr>
          <w:rFonts w:ascii="Bookman Old Style" w:hAnsi="Bookman Old Style"/>
          <w:sz w:val="24"/>
          <w:szCs w:val="24"/>
        </w:rPr>
        <w:t>di</w:t>
      </w:r>
      <w:r w:rsidR="008F3DE8">
        <w:rPr>
          <w:rFonts w:ascii="Bookman Old Style" w:hAnsi="Bookman Old Style"/>
          <w:sz w:val="24"/>
          <w:szCs w:val="24"/>
        </w:rPr>
        <w:t xml:space="preserve"> </w:t>
      </w:r>
      <w:r w:rsidRPr="008726D3">
        <w:rPr>
          <w:rFonts w:ascii="Bookman Old Style" w:hAnsi="Bookman Old Style"/>
          <w:sz w:val="24"/>
          <w:szCs w:val="24"/>
        </w:rPr>
        <w:t>questi</w:t>
      </w:r>
      <w:r w:rsidR="008F3DE8">
        <w:rPr>
          <w:rFonts w:ascii="Bookman Old Style" w:hAnsi="Bookman Old Style"/>
          <w:sz w:val="24"/>
          <w:szCs w:val="24"/>
        </w:rPr>
        <w:t xml:space="preserve"> </w:t>
      </w:r>
      <w:r w:rsidRPr="008726D3">
        <w:rPr>
          <w:rFonts w:ascii="Bookman Old Style" w:hAnsi="Bookman Old Style"/>
          <w:sz w:val="24"/>
          <w:szCs w:val="24"/>
        </w:rPr>
        <w:t>principi,</w:t>
      </w:r>
      <w:r w:rsidR="008F3DE8">
        <w:rPr>
          <w:rFonts w:ascii="Bookman Old Style" w:hAnsi="Bookman Old Style"/>
          <w:sz w:val="24"/>
          <w:szCs w:val="24"/>
        </w:rPr>
        <w:t xml:space="preserve"> </w:t>
      </w:r>
      <w:r w:rsidRPr="008726D3">
        <w:rPr>
          <w:rFonts w:ascii="Bookman Old Style" w:hAnsi="Bookman Old Style"/>
          <w:sz w:val="24"/>
          <w:szCs w:val="24"/>
        </w:rPr>
        <w:t>negli</w:t>
      </w:r>
      <w:r w:rsidR="008F3DE8">
        <w:rPr>
          <w:rFonts w:ascii="Bookman Old Style" w:hAnsi="Bookman Old Style"/>
          <w:sz w:val="24"/>
          <w:szCs w:val="24"/>
        </w:rPr>
        <w:t xml:space="preserve"> </w:t>
      </w:r>
      <w:r w:rsidRPr="008726D3">
        <w:rPr>
          <w:rFonts w:ascii="Bookman Old Style" w:hAnsi="Bookman Old Style"/>
          <w:sz w:val="24"/>
          <w:szCs w:val="24"/>
        </w:rPr>
        <w:t>anni</w:t>
      </w:r>
      <w:r w:rsidR="008F3DE8">
        <w:rPr>
          <w:rFonts w:ascii="Bookman Old Style" w:hAnsi="Bookman Old Style"/>
          <w:sz w:val="24"/>
          <w:szCs w:val="24"/>
        </w:rPr>
        <w:t xml:space="preserve"> </w:t>
      </w:r>
      <w:r w:rsidRPr="008726D3">
        <w:rPr>
          <w:rFonts w:ascii="Bookman Old Style" w:hAnsi="Bookman Old Style"/>
          <w:sz w:val="24"/>
          <w:szCs w:val="24"/>
        </w:rPr>
        <w:t>seguenti</w:t>
      </w:r>
      <w:r w:rsidR="008F3DE8">
        <w:rPr>
          <w:rFonts w:ascii="Bookman Old Style" w:hAnsi="Bookman Old Style"/>
          <w:sz w:val="24"/>
          <w:szCs w:val="24"/>
        </w:rPr>
        <w:t xml:space="preserve"> </w:t>
      </w:r>
      <w:r w:rsidRPr="008726D3">
        <w:rPr>
          <w:rFonts w:ascii="Bookman Old Style" w:hAnsi="Bookman Old Style"/>
          <w:sz w:val="24"/>
          <w:szCs w:val="24"/>
        </w:rPr>
        <w:t>la</w:t>
      </w:r>
      <w:r w:rsidR="008F3DE8">
        <w:rPr>
          <w:rFonts w:ascii="Bookman Old Style" w:hAnsi="Bookman Old Style"/>
          <w:sz w:val="24"/>
          <w:szCs w:val="24"/>
        </w:rPr>
        <w:t xml:space="preserve"> </w:t>
      </w:r>
      <w:r w:rsidRPr="008726D3">
        <w:rPr>
          <w:rFonts w:ascii="Bookman Old Style" w:hAnsi="Bookman Old Style"/>
          <w:sz w:val="24"/>
          <w:szCs w:val="24"/>
        </w:rPr>
        <w:t>Corte</w:t>
      </w:r>
      <w:r w:rsidR="008F3DE8">
        <w:rPr>
          <w:rFonts w:ascii="Bookman Old Style" w:hAnsi="Bookman Old Style"/>
          <w:sz w:val="24"/>
          <w:szCs w:val="24"/>
        </w:rPr>
        <w:t xml:space="preserve"> </w:t>
      </w:r>
      <w:r w:rsidRPr="008726D3">
        <w:rPr>
          <w:rFonts w:ascii="Bookman Old Style" w:hAnsi="Bookman Old Style"/>
          <w:sz w:val="24"/>
          <w:szCs w:val="24"/>
        </w:rPr>
        <w:t>sviluppò,</w:t>
      </w:r>
      <w:r w:rsidR="008F3DE8">
        <w:rPr>
          <w:rFonts w:ascii="Bookman Old Style" w:hAnsi="Bookman Old Style"/>
          <w:sz w:val="24"/>
          <w:szCs w:val="24"/>
        </w:rPr>
        <w:t xml:space="preserve"> </w:t>
      </w:r>
      <w:r w:rsidRPr="008726D3">
        <w:rPr>
          <w:rFonts w:ascii="Bookman Old Style" w:hAnsi="Bookman Old Style"/>
          <w:sz w:val="24"/>
          <w:szCs w:val="24"/>
        </w:rPr>
        <w:t>senza</w:t>
      </w:r>
      <w:r w:rsidR="008F3DE8">
        <w:rPr>
          <w:rFonts w:ascii="Bookman Old Style" w:hAnsi="Bookman Old Style"/>
          <w:sz w:val="24"/>
          <w:szCs w:val="24"/>
        </w:rPr>
        <w:t xml:space="preserve"> </w:t>
      </w:r>
      <w:r w:rsidRPr="008726D3">
        <w:rPr>
          <w:rFonts w:ascii="Bookman Old Style" w:hAnsi="Bookman Old Style"/>
          <w:sz w:val="24"/>
          <w:szCs w:val="24"/>
        </w:rPr>
        <w:t>alcuna</w:t>
      </w:r>
      <w:r w:rsidR="008F3DE8">
        <w:rPr>
          <w:rFonts w:ascii="Bookman Old Style" w:hAnsi="Bookman Old Style"/>
          <w:sz w:val="24"/>
          <w:szCs w:val="24"/>
        </w:rPr>
        <w:t xml:space="preserve"> </w:t>
      </w:r>
      <w:r w:rsidRPr="008726D3">
        <w:rPr>
          <w:rFonts w:ascii="Bookman Old Style" w:hAnsi="Bookman Old Style"/>
          <w:sz w:val="24"/>
          <w:szCs w:val="24"/>
        </w:rPr>
        <w:t>base</w:t>
      </w:r>
      <w:r w:rsidR="008F3DE8">
        <w:rPr>
          <w:rFonts w:ascii="Bookman Old Style" w:hAnsi="Bookman Old Style"/>
          <w:sz w:val="24"/>
          <w:szCs w:val="24"/>
        </w:rPr>
        <w:t xml:space="preserve"> </w:t>
      </w:r>
      <w:r w:rsidRPr="008726D3">
        <w:rPr>
          <w:rFonts w:ascii="Bookman Old Style" w:hAnsi="Bookman Old Style"/>
          <w:sz w:val="24"/>
          <w:szCs w:val="24"/>
        </w:rPr>
        <w:t>testuale</w:t>
      </w:r>
      <w:r w:rsidR="008F3DE8">
        <w:rPr>
          <w:rFonts w:ascii="Bookman Old Style" w:hAnsi="Bookman Old Style"/>
          <w:sz w:val="24"/>
          <w:szCs w:val="24"/>
        </w:rPr>
        <w:t xml:space="preserve"> </w:t>
      </w:r>
      <w:r w:rsidRPr="008726D3">
        <w:rPr>
          <w:rFonts w:ascii="Bookman Old Style" w:hAnsi="Bookman Old Style"/>
          <w:sz w:val="24"/>
          <w:szCs w:val="24"/>
        </w:rPr>
        <w:t>nei</w:t>
      </w:r>
      <w:r w:rsidR="008F3DE8">
        <w:rPr>
          <w:rFonts w:ascii="Bookman Old Style" w:hAnsi="Bookman Old Style"/>
          <w:sz w:val="24"/>
          <w:szCs w:val="24"/>
        </w:rPr>
        <w:t xml:space="preserve"> </w:t>
      </w:r>
      <w:r w:rsidRPr="008726D3">
        <w:rPr>
          <w:rFonts w:ascii="Bookman Old Style" w:hAnsi="Bookman Old Style"/>
          <w:sz w:val="24"/>
          <w:szCs w:val="24"/>
        </w:rPr>
        <w:t>Trattati</w:t>
      </w:r>
      <w:r w:rsidR="008F3DE8">
        <w:rPr>
          <w:rFonts w:ascii="Bookman Old Style" w:hAnsi="Bookman Old Style"/>
          <w:sz w:val="24"/>
          <w:szCs w:val="24"/>
        </w:rPr>
        <w:t xml:space="preserve"> </w:t>
      </w:r>
      <w:r w:rsidRPr="008726D3">
        <w:rPr>
          <w:rFonts w:ascii="Bookman Old Style" w:hAnsi="Bookman Old Style"/>
          <w:sz w:val="24"/>
          <w:szCs w:val="24"/>
        </w:rPr>
        <w:t>istitutivi</w:t>
      </w:r>
      <w:r w:rsidR="008F3DE8">
        <w:rPr>
          <w:rFonts w:ascii="Bookman Old Style" w:hAnsi="Bookman Old Style"/>
          <w:sz w:val="24"/>
          <w:szCs w:val="24"/>
        </w:rPr>
        <w:t xml:space="preserve"> </w:t>
      </w:r>
      <w:r w:rsidRPr="008726D3">
        <w:rPr>
          <w:rFonts w:ascii="Bookman Old Style" w:hAnsi="Bookman Old Style"/>
          <w:sz w:val="24"/>
          <w:szCs w:val="24"/>
        </w:rPr>
        <w:t>delle</w:t>
      </w:r>
      <w:r w:rsidR="008F3DE8">
        <w:rPr>
          <w:rFonts w:ascii="Bookman Old Style" w:hAnsi="Bookman Old Style"/>
          <w:sz w:val="24"/>
          <w:szCs w:val="24"/>
        </w:rPr>
        <w:t xml:space="preserve"> </w:t>
      </w:r>
      <w:r w:rsidRPr="008726D3">
        <w:rPr>
          <w:rFonts w:ascii="Bookman Old Style" w:hAnsi="Bookman Old Style"/>
          <w:sz w:val="24"/>
          <w:szCs w:val="24"/>
        </w:rPr>
        <w:t>Comunità</w:t>
      </w:r>
      <w:r w:rsidR="008F3DE8">
        <w:rPr>
          <w:rFonts w:ascii="Bookman Old Style" w:hAnsi="Bookman Old Style"/>
          <w:sz w:val="24"/>
          <w:szCs w:val="24"/>
        </w:rPr>
        <w:t xml:space="preserve"> </w:t>
      </w:r>
      <w:r w:rsidRPr="008726D3">
        <w:rPr>
          <w:rFonts w:ascii="Bookman Old Style" w:hAnsi="Bookman Old Style"/>
          <w:sz w:val="24"/>
          <w:szCs w:val="24"/>
        </w:rPr>
        <w:t>europee,</w:t>
      </w:r>
      <w:r w:rsidR="008F3DE8">
        <w:rPr>
          <w:rFonts w:ascii="Bookman Old Style" w:hAnsi="Bookman Old Style"/>
          <w:sz w:val="24"/>
          <w:szCs w:val="24"/>
        </w:rPr>
        <w:t xml:space="preserve"> </w:t>
      </w:r>
      <w:r w:rsidRPr="008726D3">
        <w:rPr>
          <w:rFonts w:ascii="Bookman Old Style" w:hAnsi="Bookman Old Style"/>
          <w:sz w:val="24"/>
          <w:szCs w:val="24"/>
        </w:rPr>
        <w:t>un</w:t>
      </w:r>
      <w:r w:rsidR="008F3DE8">
        <w:rPr>
          <w:rFonts w:ascii="Bookman Old Style" w:hAnsi="Bookman Old Style"/>
          <w:sz w:val="24"/>
          <w:szCs w:val="24"/>
        </w:rPr>
        <w:t xml:space="preserve"> </w:t>
      </w:r>
      <w:r w:rsidRPr="008726D3">
        <w:rPr>
          <w:rFonts w:ascii="Bookman Old Style" w:hAnsi="Bookman Old Style"/>
          <w:sz w:val="24"/>
          <w:szCs w:val="24"/>
        </w:rPr>
        <w:t>catalogo</w:t>
      </w:r>
      <w:r w:rsidR="008F3DE8">
        <w:rPr>
          <w:rFonts w:ascii="Bookman Old Style" w:hAnsi="Bookman Old Style"/>
          <w:sz w:val="24"/>
          <w:szCs w:val="24"/>
        </w:rPr>
        <w:t xml:space="preserve"> </w:t>
      </w:r>
      <w:r w:rsidRPr="008726D3">
        <w:rPr>
          <w:rFonts w:ascii="Bookman Old Style" w:hAnsi="Bookman Old Style"/>
          <w:sz w:val="24"/>
          <w:szCs w:val="24"/>
        </w:rPr>
        <w:t>di</w:t>
      </w:r>
      <w:r w:rsidR="008F3DE8">
        <w:rPr>
          <w:rFonts w:ascii="Bookman Old Style" w:hAnsi="Bookman Old Style"/>
          <w:sz w:val="24"/>
          <w:szCs w:val="24"/>
        </w:rPr>
        <w:t xml:space="preserve"> </w:t>
      </w:r>
      <w:r w:rsidRPr="008726D3">
        <w:rPr>
          <w:rFonts w:ascii="Bookman Old Style" w:hAnsi="Bookman Old Style"/>
          <w:sz w:val="24"/>
          <w:szCs w:val="24"/>
        </w:rPr>
        <w:t>principi</w:t>
      </w:r>
      <w:r w:rsidR="008F3DE8">
        <w:rPr>
          <w:rFonts w:ascii="Bookman Old Style" w:hAnsi="Bookman Old Style"/>
          <w:sz w:val="24"/>
          <w:szCs w:val="24"/>
        </w:rPr>
        <w:t xml:space="preserve"> </w:t>
      </w:r>
      <w:r w:rsidRPr="008726D3">
        <w:rPr>
          <w:rFonts w:ascii="Bookman Old Style" w:hAnsi="Bookman Old Style"/>
          <w:sz w:val="24"/>
          <w:szCs w:val="24"/>
        </w:rPr>
        <w:t>e</w:t>
      </w:r>
      <w:r w:rsidR="008F3DE8">
        <w:rPr>
          <w:rFonts w:ascii="Bookman Old Style" w:hAnsi="Bookman Old Style"/>
          <w:sz w:val="24"/>
          <w:szCs w:val="24"/>
        </w:rPr>
        <w:t xml:space="preserve"> </w:t>
      </w:r>
      <w:r w:rsidRPr="008726D3">
        <w:rPr>
          <w:rFonts w:ascii="Bookman Old Style" w:hAnsi="Bookman Old Style"/>
          <w:sz w:val="24"/>
          <w:szCs w:val="24"/>
        </w:rPr>
        <w:t>diritti</w:t>
      </w:r>
      <w:r w:rsidR="008F3DE8">
        <w:rPr>
          <w:rFonts w:ascii="Bookman Old Style" w:hAnsi="Bookman Old Style"/>
          <w:sz w:val="24"/>
          <w:szCs w:val="24"/>
        </w:rPr>
        <w:t xml:space="preserve"> </w:t>
      </w:r>
      <w:r w:rsidRPr="008726D3">
        <w:rPr>
          <w:rFonts w:ascii="Bookman Old Style" w:hAnsi="Bookman Old Style"/>
          <w:sz w:val="24"/>
          <w:szCs w:val="24"/>
        </w:rPr>
        <w:t>fondamentali</w:t>
      </w:r>
      <w:r w:rsidR="008F3DE8">
        <w:rPr>
          <w:rFonts w:ascii="Bookman Old Style" w:hAnsi="Bookman Old Style"/>
          <w:sz w:val="24"/>
          <w:szCs w:val="24"/>
        </w:rPr>
        <w:t xml:space="preserve"> </w:t>
      </w:r>
      <w:r w:rsidRPr="008726D3">
        <w:rPr>
          <w:rFonts w:ascii="Bookman Old Style" w:hAnsi="Bookman Old Style"/>
          <w:sz w:val="24"/>
          <w:szCs w:val="24"/>
        </w:rPr>
        <w:t>di</w:t>
      </w:r>
      <w:r w:rsidR="008F3DE8">
        <w:rPr>
          <w:rFonts w:ascii="Bookman Old Style" w:hAnsi="Bookman Old Style"/>
          <w:sz w:val="24"/>
          <w:szCs w:val="24"/>
        </w:rPr>
        <w:t xml:space="preserve"> </w:t>
      </w:r>
      <w:r w:rsidRPr="008726D3">
        <w:rPr>
          <w:rFonts w:ascii="Bookman Old Style" w:hAnsi="Bookman Old Style"/>
          <w:sz w:val="24"/>
          <w:szCs w:val="24"/>
        </w:rPr>
        <w:t>diritto</w:t>
      </w:r>
      <w:r w:rsidR="008F3DE8">
        <w:rPr>
          <w:rFonts w:ascii="Bookman Old Style" w:hAnsi="Bookman Old Style"/>
          <w:sz w:val="24"/>
          <w:szCs w:val="24"/>
        </w:rPr>
        <w:t xml:space="preserve"> </w:t>
      </w:r>
      <w:r w:rsidRPr="008726D3">
        <w:rPr>
          <w:rFonts w:ascii="Bookman Old Style" w:hAnsi="Bookman Old Style"/>
          <w:sz w:val="24"/>
          <w:szCs w:val="24"/>
        </w:rPr>
        <w:t>comunitario</w:t>
      </w:r>
      <w:r w:rsidR="008F3DE8">
        <w:rPr>
          <w:rFonts w:ascii="Bookman Old Style" w:hAnsi="Bookman Old Style"/>
          <w:sz w:val="24"/>
          <w:szCs w:val="24"/>
        </w:rPr>
        <w:t xml:space="preserve"> </w:t>
      </w:r>
      <w:r w:rsidRPr="008726D3">
        <w:rPr>
          <w:rFonts w:ascii="Bookman Old Style" w:hAnsi="Bookman Old Style"/>
          <w:sz w:val="24"/>
          <w:szCs w:val="24"/>
        </w:rPr>
        <w:t>che</w:t>
      </w:r>
      <w:r w:rsidR="008F3DE8">
        <w:rPr>
          <w:rFonts w:ascii="Bookman Old Style" w:hAnsi="Bookman Old Style"/>
          <w:sz w:val="24"/>
          <w:szCs w:val="24"/>
        </w:rPr>
        <w:t xml:space="preserve"> </w:t>
      </w:r>
      <w:r w:rsidRPr="008726D3">
        <w:rPr>
          <w:rFonts w:ascii="Bookman Old Style" w:hAnsi="Bookman Old Style"/>
          <w:sz w:val="24"/>
          <w:szCs w:val="24"/>
        </w:rPr>
        <w:t>comprende,</w:t>
      </w:r>
      <w:r w:rsidR="008F3DE8">
        <w:rPr>
          <w:rFonts w:ascii="Bookman Old Style" w:hAnsi="Bookman Old Style"/>
          <w:sz w:val="24"/>
          <w:szCs w:val="24"/>
        </w:rPr>
        <w:t xml:space="preserve"> </w:t>
      </w:r>
      <w:r w:rsidRPr="008726D3">
        <w:rPr>
          <w:rFonts w:ascii="Bookman Old Style" w:hAnsi="Bookman Old Style"/>
          <w:sz w:val="24"/>
          <w:szCs w:val="24"/>
        </w:rPr>
        <w:t>a</w:t>
      </w:r>
      <w:r w:rsidR="008F3DE8">
        <w:rPr>
          <w:rFonts w:ascii="Bookman Old Style" w:hAnsi="Bookman Old Style"/>
          <w:sz w:val="24"/>
          <w:szCs w:val="24"/>
        </w:rPr>
        <w:t xml:space="preserve"> </w:t>
      </w:r>
      <w:r w:rsidRPr="008726D3">
        <w:rPr>
          <w:rFonts w:ascii="Bookman Old Style" w:hAnsi="Bookman Old Style"/>
          <w:sz w:val="24"/>
          <w:szCs w:val="24"/>
        </w:rPr>
        <w:t>titolo</w:t>
      </w:r>
      <w:r w:rsidR="008F3DE8">
        <w:rPr>
          <w:rFonts w:ascii="Bookman Old Style" w:hAnsi="Bookman Old Style"/>
          <w:sz w:val="24"/>
          <w:szCs w:val="24"/>
        </w:rPr>
        <w:t xml:space="preserve"> </w:t>
      </w:r>
      <w:r w:rsidRPr="008726D3">
        <w:rPr>
          <w:rFonts w:ascii="Bookman Old Style" w:hAnsi="Bookman Old Style"/>
          <w:sz w:val="24"/>
          <w:szCs w:val="24"/>
        </w:rPr>
        <w:t>di</w:t>
      </w:r>
      <w:r w:rsidR="008F3DE8">
        <w:rPr>
          <w:rFonts w:ascii="Bookman Old Style" w:hAnsi="Bookman Old Style"/>
          <w:sz w:val="24"/>
          <w:szCs w:val="24"/>
        </w:rPr>
        <w:t xml:space="preserve"> </w:t>
      </w:r>
      <w:r w:rsidRPr="008726D3">
        <w:rPr>
          <w:rFonts w:ascii="Bookman Old Style" w:hAnsi="Bookman Old Style"/>
          <w:sz w:val="24"/>
          <w:szCs w:val="24"/>
        </w:rPr>
        <w:t>esempio,</w:t>
      </w:r>
      <w:r w:rsidR="008F3DE8">
        <w:rPr>
          <w:rFonts w:ascii="Bookman Old Style" w:hAnsi="Bookman Old Style"/>
          <w:sz w:val="24"/>
          <w:szCs w:val="24"/>
        </w:rPr>
        <w:t xml:space="preserve"> </w:t>
      </w:r>
      <w:r w:rsidRPr="008726D3">
        <w:rPr>
          <w:rFonts w:ascii="Bookman Old Style" w:hAnsi="Bookman Old Style"/>
          <w:sz w:val="24"/>
          <w:szCs w:val="24"/>
        </w:rPr>
        <w:t>il</w:t>
      </w:r>
      <w:r w:rsidR="008F3DE8">
        <w:rPr>
          <w:rFonts w:ascii="Bookman Old Style" w:hAnsi="Bookman Old Style"/>
          <w:sz w:val="24"/>
          <w:szCs w:val="24"/>
        </w:rPr>
        <w:t xml:space="preserve"> </w:t>
      </w:r>
      <w:r w:rsidRPr="008726D3">
        <w:rPr>
          <w:rFonts w:ascii="Bookman Old Style" w:hAnsi="Bookman Old Style"/>
          <w:sz w:val="24"/>
          <w:szCs w:val="24"/>
        </w:rPr>
        <w:t>principio</w:t>
      </w:r>
      <w:r w:rsidR="008F3DE8">
        <w:rPr>
          <w:rFonts w:ascii="Bookman Old Style" w:hAnsi="Bookman Old Style"/>
          <w:sz w:val="24"/>
          <w:szCs w:val="24"/>
        </w:rPr>
        <w:t xml:space="preserve"> </w:t>
      </w:r>
      <w:r w:rsidRPr="008726D3">
        <w:rPr>
          <w:rFonts w:ascii="Bookman Old Style" w:hAnsi="Bookman Old Style"/>
          <w:sz w:val="24"/>
          <w:szCs w:val="24"/>
        </w:rPr>
        <w:t>di</w:t>
      </w:r>
      <w:r w:rsidR="008F3DE8">
        <w:rPr>
          <w:rFonts w:ascii="Bookman Old Style" w:hAnsi="Bookman Old Style"/>
          <w:sz w:val="24"/>
          <w:szCs w:val="24"/>
        </w:rPr>
        <w:t xml:space="preserve"> </w:t>
      </w:r>
      <w:r w:rsidRPr="008726D3">
        <w:rPr>
          <w:rFonts w:ascii="Bookman Old Style" w:hAnsi="Bookman Old Style"/>
          <w:sz w:val="24"/>
          <w:szCs w:val="24"/>
        </w:rPr>
        <w:t>proporzionalità,</w:t>
      </w:r>
      <w:r w:rsidR="008F3DE8">
        <w:rPr>
          <w:rFonts w:ascii="Bookman Old Style" w:hAnsi="Bookman Old Style"/>
          <w:sz w:val="24"/>
          <w:szCs w:val="24"/>
        </w:rPr>
        <w:t xml:space="preserve"> </w:t>
      </w:r>
      <w:r w:rsidRPr="008726D3">
        <w:rPr>
          <w:rFonts w:ascii="Bookman Old Style" w:hAnsi="Bookman Old Style"/>
          <w:sz w:val="24"/>
          <w:szCs w:val="24"/>
        </w:rPr>
        <w:t>il</w:t>
      </w:r>
      <w:r w:rsidR="008F3DE8">
        <w:rPr>
          <w:rFonts w:ascii="Bookman Old Style" w:hAnsi="Bookman Old Style"/>
          <w:sz w:val="24"/>
          <w:szCs w:val="24"/>
        </w:rPr>
        <w:t xml:space="preserve"> </w:t>
      </w:r>
      <w:r w:rsidRPr="008726D3">
        <w:rPr>
          <w:rFonts w:ascii="Bookman Old Style" w:hAnsi="Bookman Old Style"/>
          <w:sz w:val="24"/>
          <w:szCs w:val="24"/>
        </w:rPr>
        <w:t>diritto</w:t>
      </w:r>
      <w:r w:rsidR="008F3DE8">
        <w:rPr>
          <w:rFonts w:ascii="Bookman Old Style" w:hAnsi="Bookman Old Style"/>
          <w:sz w:val="24"/>
          <w:szCs w:val="24"/>
        </w:rPr>
        <w:t xml:space="preserve"> </w:t>
      </w:r>
      <w:r w:rsidRPr="008726D3">
        <w:rPr>
          <w:rFonts w:ascii="Bookman Old Style" w:hAnsi="Bookman Old Style"/>
          <w:sz w:val="24"/>
          <w:szCs w:val="24"/>
        </w:rPr>
        <w:t>di</w:t>
      </w:r>
      <w:r w:rsidR="008F3DE8">
        <w:rPr>
          <w:rFonts w:ascii="Bookman Old Style" w:hAnsi="Bookman Old Style"/>
          <w:sz w:val="24"/>
          <w:szCs w:val="24"/>
        </w:rPr>
        <w:t xml:space="preserve"> </w:t>
      </w:r>
      <w:r w:rsidRPr="008726D3">
        <w:rPr>
          <w:rFonts w:ascii="Bookman Old Style" w:hAnsi="Bookman Old Style"/>
          <w:sz w:val="24"/>
          <w:szCs w:val="24"/>
        </w:rPr>
        <w:t>proprietà</w:t>
      </w:r>
      <w:r w:rsidR="008F3DE8">
        <w:rPr>
          <w:rFonts w:ascii="Bookman Old Style" w:hAnsi="Bookman Old Style"/>
          <w:sz w:val="24"/>
          <w:szCs w:val="24"/>
        </w:rPr>
        <w:t xml:space="preserve"> </w:t>
      </w:r>
      <w:r w:rsidRPr="008726D3">
        <w:rPr>
          <w:rFonts w:ascii="Bookman Old Style" w:hAnsi="Bookman Old Style"/>
          <w:sz w:val="24"/>
          <w:szCs w:val="24"/>
        </w:rPr>
        <w:t>e</w:t>
      </w:r>
      <w:r w:rsidR="008F3DE8">
        <w:rPr>
          <w:rFonts w:ascii="Bookman Old Style" w:hAnsi="Bookman Old Style"/>
          <w:sz w:val="24"/>
          <w:szCs w:val="24"/>
        </w:rPr>
        <w:t xml:space="preserve"> </w:t>
      </w:r>
      <w:r w:rsidRPr="008726D3">
        <w:rPr>
          <w:rFonts w:ascii="Bookman Old Style" w:hAnsi="Bookman Old Style"/>
          <w:sz w:val="24"/>
          <w:szCs w:val="24"/>
        </w:rPr>
        <w:t>la</w:t>
      </w:r>
      <w:r w:rsidR="008F3DE8">
        <w:rPr>
          <w:rFonts w:ascii="Bookman Old Style" w:hAnsi="Bookman Old Style"/>
          <w:sz w:val="24"/>
          <w:szCs w:val="24"/>
        </w:rPr>
        <w:t xml:space="preserve"> </w:t>
      </w:r>
      <w:r w:rsidRPr="008726D3">
        <w:rPr>
          <w:rFonts w:ascii="Bookman Old Style" w:hAnsi="Bookman Old Style"/>
          <w:sz w:val="24"/>
          <w:szCs w:val="24"/>
        </w:rPr>
        <w:t>libertà</w:t>
      </w:r>
      <w:r w:rsidR="008F3DE8">
        <w:rPr>
          <w:rFonts w:ascii="Bookman Old Style" w:hAnsi="Bookman Old Style"/>
          <w:sz w:val="24"/>
          <w:szCs w:val="24"/>
        </w:rPr>
        <w:t xml:space="preserve"> </w:t>
      </w:r>
      <w:r w:rsidRPr="008726D3">
        <w:rPr>
          <w:rFonts w:ascii="Bookman Old Style" w:hAnsi="Bookman Old Style"/>
          <w:sz w:val="24"/>
          <w:szCs w:val="24"/>
        </w:rPr>
        <w:t>di</w:t>
      </w:r>
      <w:r w:rsidR="008F3DE8">
        <w:rPr>
          <w:rFonts w:ascii="Bookman Old Style" w:hAnsi="Bookman Old Style"/>
          <w:sz w:val="24"/>
          <w:szCs w:val="24"/>
        </w:rPr>
        <w:t xml:space="preserve"> </w:t>
      </w:r>
      <w:r w:rsidRPr="008726D3">
        <w:rPr>
          <w:rFonts w:ascii="Bookman Old Style" w:hAnsi="Bookman Old Style"/>
          <w:sz w:val="24"/>
          <w:szCs w:val="24"/>
        </w:rPr>
        <w:t>iniziativa</w:t>
      </w:r>
      <w:r w:rsidR="008F3DE8">
        <w:rPr>
          <w:rFonts w:ascii="Bookman Old Style" w:hAnsi="Bookman Old Style"/>
          <w:sz w:val="24"/>
          <w:szCs w:val="24"/>
        </w:rPr>
        <w:t xml:space="preserve"> </w:t>
      </w:r>
      <w:r w:rsidRPr="008726D3">
        <w:rPr>
          <w:rFonts w:ascii="Bookman Old Style" w:hAnsi="Bookman Old Style"/>
          <w:sz w:val="24"/>
          <w:szCs w:val="24"/>
        </w:rPr>
        <w:t>economica,</w:t>
      </w:r>
      <w:r w:rsidR="008F3DE8">
        <w:rPr>
          <w:rFonts w:ascii="Bookman Old Style" w:hAnsi="Bookman Old Style"/>
          <w:sz w:val="24"/>
          <w:szCs w:val="24"/>
        </w:rPr>
        <w:t xml:space="preserve"> </w:t>
      </w:r>
      <w:r w:rsidRPr="008726D3">
        <w:rPr>
          <w:rFonts w:ascii="Bookman Old Style" w:hAnsi="Bookman Old Style"/>
          <w:sz w:val="24"/>
          <w:szCs w:val="24"/>
        </w:rPr>
        <w:t>il</w:t>
      </w:r>
      <w:r w:rsidR="008F3DE8">
        <w:rPr>
          <w:rFonts w:ascii="Bookman Old Style" w:hAnsi="Bookman Old Style"/>
          <w:sz w:val="24"/>
          <w:szCs w:val="24"/>
        </w:rPr>
        <w:t xml:space="preserve"> </w:t>
      </w:r>
      <w:r w:rsidRPr="008726D3">
        <w:rPr>
          <w:rFonts w:ascii="Bookman Old Style" w:hAnsi="Bookman Old Style"/>
          <w:sz w:val="24"/>
          <w:szCs w:val="24"/>
        </w:rPr>
        <w:t>principio</w:t>
      </w:r>
      <w:r w:rsidR="008F3DE8">
        <w:rPr>
          <w:rFonts w:ascii="Bookman Old Style" w:hAnsi="Bookman Old Style"/>
          <w:sz w:val="24"/>
          <w:szCs w:val="24"/>
        </w:rPr>
        <w:t xml:space="preserve"> </w:t>
      </w:r>
      <w:r w:rsidRPr="008726D3">
        <w:rPr>
          <w:rFonts w:ascii="Bookman Old Style" w:hAnsi="Bookman Old Style"/>
          <w:sz w:val="24"/>
          <w:szCs w:val="24"/>
        </w:rPr>
        <w:t>di</w:t>
      </w:r>
      <w:r w:rsidR="008F3DE8">
        <w:rPr>
          <w:rFonts w:ascii="Bookman Old Style" w:hAnsi="Bookman Old Style"/>
          <w:sz w:val="24"/>
          <w:szCs w:val="24"/>
        </w:rPr>
        <w:t xml:space="preserve"> </w:t>
      </w:r>
      <w:r w:rsidRPr="008726D3">
        <w:rPr>
          <w:rFonts w:ascii="Bookman Old Style" w:hAnsi="Bookman Old Style"/>
          <w:sz w:val="24"/>
          <w:szCs w:val="24"/>
        </w:rPr>
        <w:t>eguaglianza,</w:t>
      </w:r>
      <w:r w:rsidR="008F3DE8">
        <w:rPr>
          <w:rFonts w:ascii="Bookman Old Style" w:hAnsi="Bookman Old Style"/>
          <w:sz w:val="24"/>
          <w:szCs w:val="24"/>
        </w:rPr>
        <w:t xml:space="preserve"> </w:t>
      </w:r>
      <w:r w:rsidRPr="008726D3">
        <w:rPr>
          <w:rFonts w:ascii="Bookman Old Style" w:hAnsi="Bookman Old Style"/>
          <w:sz w:val="24"/>
          <w:szCs w:val="24"/>
        </w:rPr>
        <w:t>la</w:t>
      </w:r>
      <w:r w:rsidR="008F3DE8">
        <w:rPr>
          <w:rFonts w:ascii="Bookman Old Style" w:hAnsi="Bookman Old Style"/>
          <w:sz w:val="24"/>
          <w:szCs w:val="24"/>
        </w:rPr>
        <w:t xml:space="preserve"> </w:t>
      </w:r>
      <w:r w:rsidRPr="008726D3">
        <w:rPr>
          <w:rFonts w:ascii="Bookman Old Style" w:hAnsi="Bookman Old Style"/>
          <w:sz w:val="24"/>
          <w:szCs w:val="24"/>
        </w:rPr>
        <w:t>libertà</w:t>
      </w:r>
      <w:r w:rsidR="008F3DE8">
        <w:rPr>
          <w:rFonts w:ascii="Bookman Old Style" w:hAnsi="Bookman Old Style"/>
          <w:sz w:val="24"/>
          <w:szCs w:val="24"/>
        </w:rPr>
        <w:t xml:space="preserve"> </w:t>
      </w:r>
      <w:r w:rsidRPr="008726D3">
        <w:rPr>
          <w:rFonts w:ascii="Bookman Old Style" w:hAnsi="Bookman Old Style"/>
          <w:sz w:val="24"/>
          <w:szCs w:val="24"/>
        </w:rPr>
        <w:t>di</w:t>
      </w:r>
      <w:r w:rsidR="008F3DE8">
        <w:rPr>
          <w:rFonts w:ascii="Bookman Old Style" w:hAnsi="Bookman Old Style"/>
          <w:sz w:val="24"/>
          <w:szCs w:val="24"/>
        </w:rPr>
        <w:t xml:space="preserve"> </w:t>
      </w:r>
      <w:r w:rsidRPr="008726D3">
        <w:rPr>
          <w:rFonts w:ascii="Bookman Old Style" w:hAnsi="Bookman Old Style"/>
          <w:sz w:val="24"/>
          <w:szCs w:val="24"/>
        </w:rPr>
        <w:t>religione,</w:t>
      </w:r>
      <w:r w:rsidR="008F3DE8">
        <w:rPr>
          <w:rFonts w:ascii="Bookman Old Style" w:hAnsi="Bookman Old Style"/>
          <w:sz w:val="24"/>
          <w:szCs w:val="24"/>
        </w:rPr>
        <w:t xml:space="preserve"> </w:t>
      </w:r>
      <w:r w:rsidRPr="008726D3">
        <w:rPr>
          <w:rFonts w:ascii="Bookman Old Style" w:hAnsi="Bookman Old Style"/>
          <w:sz w:val="24"/>
          <w:szCs w:val="24"/>
        </w:rPr>
        <w:t>la</w:t>
      </w:r>
      <w:r w:rsidR="008F3DE8">
        <w:rPr>
          <w:rFonts w:ascii="Bookman Old Style" w:hAnsi="Bookman Old Style"/>
          <w:sz w:val="24"/>
          <w:szCs w:val="24"/>
        </w:rPr>
        <w:t xml:space="preserve"> </w:t>
      </w:r>
      <w:r w:rsidRPr="008726D3">
        <w:rPr>
          <w:rFonts w:ascii="Bookman Old Style" w:hAnsi="Bookman Old Style"/>
          <w:sz w:val="24"/>
          <w:szCs w:val="24"/>
        </w:rPr>
        <w:t>libertà</w:t>
      </w:r>
      <w:r w:rsidR="008F3DE8">
        <w:rPr>
          <w:rFonts w:ascii="Bookman Old Style" w:hAnsi="Bookman Old Style"/>
          <w:sz w:val="24"/>
          <w:szCs w:val="24"/>
        </w:rPr>
        <w:t xml:space="preserve"> </w:t>
      </w:r>
      <w:r w:rsidRPr="008726D3">
        <w:rPr>
          <w:rFonts w:ascii="Bookman Old Style" w:hAnsi="Bookman Old Style"/>
          <w:sz w:val="24"/>
          <w:szCs w:val="24"/>
        </w:rPr>
        <w:t>sindacale,</w:t>
      </w:r>
      <w:r w:rsidR="008F3DE8">
        <w:rPr>
          <w:rFonts w:ascii="Bookman Old Style" w:hAnsi="Bookman Old Style"/>
          <w:sz w:val="24"/>
          <w:szCs w:val="24"/>
        </w:rPr>
        <w:t xml:space="preserve"> </w:t>
      </w:r>
      <w:r w:rsidRPr="008726D3">
        <w:rPr>
          <w:rFonts w:ascii="Bookman Old Style" w:hAnsi="Bookman Old Style"/>
          <w:sz w:val="24"/>
          <w:szCs w:val="24"/>
        </w:rPr>
        <w:t>la</w:t>
      </w:r>
      <w:r w:rsidR="008F3DE8">
        <w:rPr>
          <w:rFonts w:ascii="Bookman Old Style" w:hAnsi="Bookman Old Style"/>
          <w:sz w:val="24"/>
          <w:szCs w:val="24"/>
        </w:rPr>
        <w:t xml:space="preserve"> </w:t>
      </w:r>
      <w:r w:rsidRPr="008726D3">
        <w:rPr>
          <w:rFonts w:ascii="Bookman Old Style" w:hAnsi="Bookman Old Style"/>
          <w:sz w:val="24"/>
          <w:szCs w:val="24"/>
        </w:rPr>
        <w:t>protezione</w:t>
      </w:r>
      <w:r w:rsidR="008F3DE8">
        <w:rPr>
          <w:rFonts w:ascii="Bookman Old Style" w:hAnsi="Bookman Old Style"/>
          <w:sz w:val="24"/>
          <w:szCs w:val="24"/>
        </w:rPr>
        <w:t xml:space="preserve"> </w:t>
      </w:r>
      <w:r w:rsidRPr="008726D3">
        <w:rPr>
          <w:rFonts w:ascii="Bookman Old Style" w:hAnsi="Bookman Old Style"/>
          <w:sz w:val="24"/>
          <w:szCs w:val="24"/>
        </w:rPr>
        <w:t>dell'affidamento</w:t>
      </w:r>
      <w:r w:rsidR="008F3DE8">
        <w:rPr>
          <w:rFonts w:ascii="Bookman Old Style" w:hAnsi="Bookman Old Style"/>
          <w:sz w:val="24"/>
          <w:szCs w:val="24"/>
        </w:rPr>
        <w:t xml:space="preserve"> </w:t>
      </w:r>
      <w:r w:rsidRPr="008726D3">
        <w:rPr>
          <w:rFonts w:ascii="Bookman Old Style" w:hAnsi="Bookman Old Style"/>
          <w:sz w:val="24"/>
          <w:szCs w:val="24"/>
        </w:rPr>
        <w:t>legittimo,</w:t>
      </w:r>
      <w:r w:rsidR="008F3DE8">
        <w:rPr>
          <w:rFonts w:ascii="Bookman Old Style" w:hAnsi="Bookman Old Style"/>
          <w:sz w:val="24"/>
          <w:szCs w:val="24"/>
        </w:rPr>
        <w:t xml:space="preserve"> </w:t>
      </w:r>
      <w:r w:rsidRPr="008726D3">
        <w:rPr>
          <w:rFonts w:ascii="Bookman Old Style" w:hAnsi="Bookman Old Style"/>
          <w:sz w:val="24"/>
          <w:szCs w:val="24"/>
        </w:rPr>
        <w:t>la</w:t>
      </w:r>
      <w:r w:rsidR="008F3DE8">
        <w:rPr>
          <w:rFonts w:ascii="Bookman Old Style" w:hAnsi="Bookman Old Style"/>
          <w:sz w:val="24"/>
          <w:szCs w:val="24"/>
        </w:rPr>
        <w:t xml:space="preserve"> </w:t>
      </w:r>
      <w:r w:rsidRPr="008726D3">
        <w:rPr>
          <w:rFonts w:ascii="Bookman Old Style" w:hAnsi="Bookman Old Style"/>
          <w:sz w:val="24"/>
          <w:szCs w:val="24"/>
        </w:rPr>
        <w:t>certezza</w:t>
      </w:r>
      <w:r w:rsidR="008F3DE8">
        <w:rPr>
          <w:rFonts w:ascii="Bookman Old Style" w:hAnsi="Bookman Old Style"/>
          <w:sz w:val="24"/>
          <w:szCs w:val="24"/>
        </w:rPr>
        <w:t xml:space="preserve"> </w:t>
      </w:r>
      <w:r w:rsidRPr="008726D3">
        <w:rPr>
          <w:rFonts w:ascii="Bookman Old Style" w:hAnsi="Bookman Old Style"/>
          <w:sz w:val="24"/>
          <w:szCs w:val="24"/>
        </w:rPr>
        <w:t>del</w:t>
      </w:r>
      <w:r w:rsidR="008F3DE8">
        <w:rPr>
          <w:rFonts w:ascii="Bookman Old Style" w:hAnsi="Bookman Old Style"/>
          <w:sz w:val="24"/>
          <w:szCs w:val="24"/>
        </w:rPr>
        <w:t xml:space="preserve"> </w:t>
      </w:r>
      <w:r w:rsidRPr="008726D3">
        <w:rPr>
          <w:rFonts w:ascii="Bookman Old Style" w:hAnsi="Bookman Old Style"/>
          <w:sz w:val="24"/>
          <w:szCs w:val="24"/>
        </w:rPr>
        <w:t>diritto,</w:t>
      </w:r>
      <w:r w:rsidR="008F3DE8">
        <w:rPr>
          <w:rFonts w:ascii="Bookman Old Style" w:hAnsi="Bookman Old Style"/>
          <w:sz w:val="24"/>
          <w:szCs w:val="24"/>
        </w:rPr>
        <w:t xml:space="preserve"> </w:t>
      </w:r>
      <w:r w:rsidRPr="008726D3">
        <w:rPr>
          <w:rFonts w:ascii="Bookman Old Style" w:hAnsi="Bookman Old Style"/>
          <w:sz w:val="24"/>
          <w:szCs w:val="24"/>
        </w:rPr>
        <w:t>ecc.</w:t>
      </w:r>
      <w:r w:rsidR="008F3DE8">
        <w:rPr>
          <w:rFonts w:ascii="Bookman Old Style" w:hAnsi="Bookman Old Style"/>
          <w:sz w:val="24"/>
          <w:szCs w:val="24"/>
        </w:rPr>
        <w:t xml:space="preserve"> </w:t>
      </w:r>
      <w:r w:rsidR="008F3DE8" w:rsidRPr="008726D3">
        <w:rPr>
          <w:rFonts w:ascii="Bookman Old Style" w:hAnsi="Bookman Old Style"/>
          <w:sz w:val="24"/>
          <w:szCs w:val="24"/>
        </w:rPr>
        <w:t>In</w:t>
      </w:r>
      <w:r w:rsidR="008F3DE8">
        <w:rPr>
          <w:rFonts w:ascii="Bookman Old Style" w:hAnsi="Bookman Old Style"/>
          <w:sz w:val="24"/>
          <w:szCs w:val="24"/>
        </w:rPr>
        <w:t xml:space="preserve"> </w:t>
      </w:r>
      <w:r w:rsidR="008F3DE8" w:rsidRPr="008726D3">
        <w:rPr>
          <w:rFonts w:ascii="Bookman Old Style" w:hAnsi="Bookman Old Style"/>
          <w:sz w:val="24"/>
          <w:szCs w:val="24"/>
        </w:rPr>
        <w:t>tale</w:t>
      </w:r>
      <w:r w:rsidR="008F3DE8">
        <w:rPr>
          <w:rFonts w:ascii="Bookman Old Style" w:hAnsi="Bookman Old Style"/>
          <w:sz w:val="24"/>
          <w:szCs w:val="24"/>
        </w:rPr>
        <w:t xml:space="preserve"> </w:t>
      </w:r>
      <w:r w:rsidR="008F3DE8" w:rsidRPr="008726D3">
        <w:rPr>
          <w:rFonts w:ascii="Bookman Old Style" w:hAnsi="Bookman Old Style"/>
          <w:sz w:val="24"/>
          <w:szCs w:val="24"/>
        </w:rPr>
        <w:t>percorso</w:t>
      </w:r>
      <w:r w:rsidR="008F3DE8">
        <w:rPr>
          <w:rFonts w:ascii="Bookman Old Style" w:hAnsi="Bookman Old Style"/>
          <w:sz w:val="24"/>
          <w:szCs w:val="24"/>
        </w:rPr>
        <w:t xml:space="preserve"> </w:t>
      </w:r>
      <w:r w:rsidR="008F3DE8" w:rsidRPr="008726D3">
        <w:rPr>
          <w:rFonts w:ascii="Bookman Old Style" w:hAnsi="Bookman Old Style"/>
          <w:sz w:val="24"/>
          <w:szCs w:val="24"/>
        </w:rPr>
        <w:t>evolutivo</w:t>
      </w:r>
      <w:r w:rsidR="008F3DE8">
        <w:rPr>
          <w:rFonts w:ascii="Bookman Old Style" w:hAnsi="Bookman Old Style"/>
          <w:sz w:val="24"/>
          <w:szCs w:val="24"/>
        </w:rPr>
        <w:t xml:space="preserve"> </w:t>
      </w:r>
      <w:r w:rsidR="008F3DE8" w:rsidRPr="008726D3">
        <w:rPr>
          <w:rFonts w:ascii="Bookman Old Style" w:hAnsi="Bookman Old Style"/>
          <w:sz w:val="24"/>
          <w:szCs w:val="24"/>
        </w:rPr>
        <w:t>un</w:t>
      </w:r>
      <w:r w:rsidR="008F3DE8">
        <w:rPr>
          <w:rFonts w:ascii="Bookman Old Style" w:hAnsi="Bookman Old Style"/>
          <w:sz w:val="24"/>
          <w:szCs w:val="24"/>
        </w:rPr>
        <w:t xml:space="preserve"> </w:t>
      </w:r>
      <w:r w:rsidR="008F3DE8" w:rsidRPr="008726D3">
        <w:rPr>
          <w:rFonts w:ascii="Bookman Old Style" w:hAnsi="Bookman Old Style"/>
          <w:sz w:val="24"/>
          <w:szCs w:val="24"/>
        </w:rPr>
        <w:t>ruolo</w:t>
      </w:r>
      <w:r w:rsidR="008F3DE8">
        <w:rPr>
          <w:rFonts w:ascii="Bookman Old Style" w:hAnsi="Bookman Old Style"/>
          <w:sz w:val="24"/>
          <w:szCs w:val="24"/>
        </w:rPr>
        <w:t xml:space="preserve"> </w:t>
      </w:r>
      <w:r w:rsidR="008F3DE8" w:rsidRPr="008726D3">
        <w:rPr>
          <w:rFonts w:ascii="Bookman Old Style" w:hAnsi="Bookman Old Style"/>
          <w:sz w:val="24"/>
          <w:szCs w:val="24"/>
        </w:rPr>
        <w:t>determinante</w:t>
      </w:r>
      <w:r w:rsidR="008F3DE8">
        <w:rPr>
          <w:rFonts w:ascii="Bookman Old Style" w:hAnsi="Bookman Old Style"/>
          <w:sz w:val="24"/>
          <w:szCs w:val="24"/>
        </w:rPr>
        <w:t xml:space="preserve"> </w:t>
      </w:r>
      <w:r w:rsidR="00C81E0F">
        <w:rPr>
          <w:rFonts w:ascii="Bookman Old Style" w:hAnsi="Bookman Old Style"/>
          <w:sz w:val="24"/>
          <w:szCs w:val="24"/>
        </w:rPr>
        <w:t xml:space="preserve">lo </w:t>
      </w:r>
      <w:r w:rsidR="008F3DE8" w:rsidRPr="008726D3">
        <w:rPr>
          <w:rFonts w:ascii="Bookman Old Style" w:hAnsi="Bookman Old Style"/>
          <w:sz w:val="24"/>
          <w:szCs w:val="24"/>
        </w:rPr>
        <w:t>ha</w:t>
      </w:r>
      <w:r w:rsidR="008F3DE8">
        <w:rPr>
          <w:rFonts w:ascii="Bookman Old Style" w:hAnsi="Bookman Old Style"/>
          <w:sz w:val="24"/>
          <w:szCs w:val="24"/>
        </w:rPr>
        <w:t xml:space="preserve"> </w:t>
      </w:r>
      <w:r w:rsidR="008F3DE8" w:rsidRPr="008726D3">
        <w:rPr>
          <w:rFonts w:ascii="Bookman Old Style" w:hAnsi="Bookman Old Style"/>
          <w:sz w:val="24"/>
          <w:szCs w:val="24"/>
        </w:rPr>
        <w:t>avuto</w:t>
      </w:r>
      <w:r w:rsidR="008F3DE8">
        <w:rPr>
          <w:rFonts w:ascii="Bookman Old Style" w:hAnsi="Bookman Old Style"/>
          <w:sz w:val="24"/>
          <w:szCs w:val="24"/>
        </w:rPr>
        <w:t xml:space="preserve"> </w:t>
      </w:r>
      <w:r w:rsidR="008F3DE8" w:rsidRPr="008726D3">
        <w:rPr>
          <w:rFonts w:ascii="Bookman Old Style" w:hAnsi="Bookman Old Style"/>
          <w:sz w:val="24"/>
          <w:szCs w:val="24"/>
        </w:rPr>
        <w:t>proprio</w:t>
      </w:r>
      <w:r w:rsidR="008F3DE8">
        <w:rPr>
          <w:rFonts w:ascii="Bookman Old Style" w:hAnsi="Bookman Old Style"/>
          <w:sz w:val="24"/>
          <w:szCs w:val="24"/>
        </w:rPr>
        <w:t xml:space="preserve"> </w:t>
      </w:r>
      <w:r w:rsidR="008F3DE8" w:rsidRPr="008726D3">
        <w:rPr>
          <w:rFonts w:ascii="Bookman Old Style" w:hAnsi="Bookman Old Style"/>
          <w:sz w:val="24"/>
          <w:szCs w:val="24"/>
        </w:rPr>
        <w:t>la</w:t>
      </w:r>
      <w:r w:rsidR="008F3DE8">
        <w:rPr>
          <w:rFonts w:ascii="Bookman Old Style" w:hAnsi="Bookman Old Style"/>
          <w:sz w:val="24"/>
          <w:szCs w:val="24"/>
        </w:rPr>
        <w:t xml:space="preserve"> </w:t>
      </w:r>
      <w:r w:rsidR="008F3DE8" w:rsidRPr="008726D3">
        <w:rPr>
          <w:rFonts w:ascii="Bookman Old Style" w:hAnsi="Bookman Old Style"/>
          <w:sz w:val="24"/>
          <w:szCs w:val="24"/>
        </w:rPr>
        <w:t>CEDU,</w:t>
      </w:r>
      <w:r w:rsidR="008F3DE8">
        <w:rPr>
          <w:rFonts w:ascii="Bookman Old Style" w:hAnsi="Bookman Old Style"/>
          <w:sz w:val="24"/>
          <w:szCs w:val="24"/>
        </w:rPr>
        <w:t xml:space="preserve"> </w:t>
      </w:r>
      <w:r w:rsidR="008F3DE8" w:rsidRPr="008726D3">
        <w:rPr>
          <w:rFonts w:ascii="Bookman Old Style" w:hAnsi="Bookman Old Style"/>
          <w:sz w:val="24"/>
          <w:szCs w:val="24"/>
        </w:rPr>
        <w:t>cui</w:t>
      </w:r>
      <w:r w:rsidR="008F3DE8">
        <w:rPr>
          <w:rFonts w:ascii="Bookman Old Style" w:hAnsi="Bookman Old Style"/>
          <w:sz w:val="24"/>
          <w:szCs w:val="24"/>
        </w:rPr>
        <w:t xml:space="preserve"> </w:t>
      </w:r>
      <w:r w:rsidR="008F3DE8" w:rsidRPr="008726D3">
        <w:rPr>
          <w:rFonts w:ascii="Bookman Old Style" w:hAnsi="Bookman Old Style"/>
          <w:sz w:val="24"/>
          <w:szCs w:val="24"/>
        </w:rPr>
        <w:t>varie</w:t>
      </w:r>
      <w:r w:rsidR="008F3DE8">
        <w:rPr>
          <w:rFonts w:ascii="Bookman Old Style" w:hAnsi="Bookman Old Style"/>
          <w:sz w:val="24"/>
          <w:szCs w:val="24"/>
        </w:rPr>
        <w:t xml:space="preserve"> </w:t>
      </w:r>
      <w:r w:rsidR="008F3DE8" w:rsidRPr="008726D3">
        <w:rPr>
          <w:rFonts w:ascii="Bookman Old Style" w:hAnsi="Bookman Old Style"/>
          <w:sz w:val="24"/>
          <w:szCs w:val="24"/>
        </w:rPr>
        <w:t>pronunce</w:t>
      </w:r>
      <w:r w:rsidR="00486DB5">
        <w:rPr>
          <w:rFonts w:ascii="Bookman Old Style" w:hAnsi="Bookman Old Style"/>
          <w:sz w:val="24"/>
          <w:szCs w:val="24"/>
        </w:rPr>
        <w:t xml:space="preserve"> della Corte di Lussemburgo</w:t>
      </w:r>
      <w:r w:rsidR="008F3DE8">
        <w:rPr>
          <w:rFonts w:ascii="Bookman Old Style" w:hAnsi="Bookman Old Style"/>
          <w:sz w:val="24"/>
          <w:szCs w:val="24"/>
        </w:rPr>
        <w:t xml:space="preserve"> </w:t>
      </w:r>
      <w:r w:rsidR="008F3DE8" w:rsidRPr="008726D3">
        <w:rPr>
          <w:rFonts w:ascii="Bookman Old Style" w:hAnsi="Bookman Old Style"/>
          <w:sz w:val="24"/>
          <w:szCs w:val="24"/>
        </w:rPr>
        <w:t>attribuiscono</w:t>
      </w:r>
      <w:r w:rsidR="008F3DE8">
        <w:rPr>
          <w:rFonts w:ascii="Bookman Old Style" w:hAnsi="Bookman Old Style"/>
          <w:sz w:val="24"/>
          <w:szCs w:val="24"/>
        </w:rPr>
        <w:t xml:space="preserve"> </w:t>
      </w:r>
      <w:r w:rsidR="008F3DE8" w:rsidRPr="008726D3">
        <w:rPr>
          <w:rFonts w:ascii="Bookman Old Style" w:hAnsi="Bookman Old Style"/>
          <w:sz w:val="24"/>
          <w:szCs w:val="24"/>
        </w:rPr>
        <w:t>una</w:t>
      </w:r>
      <w:r w:rsidR="008F3DE8">
        <w:rPr>
          <w:rFonts w:ascii="Bookman Old Style" w:hAnsi="Bookman Old Style"/>
          <w:sz w:val="24"/>
          <w:szCs w:val="24"/>
        </w:rPr>
        <w:t xml:space="preserve"> </w:t>
      </w:r>
      <w:r w:rsidR="008F3DE8" w:rsidRPr="008726D3">
        <w:rPr>
          <w:rFonts w:ascii="Bookman Old Style" w:hAnsi="Bookman Old Style"/>
          <w:sz w:val="24"/>
          <w:szCs w:val="24"/>
        </w:rPr>
        <w:t>“importanza</w:t>
      </w:r>
      <w:r w:rsidR="008F3DE8">
        <w:rPr>
          <w:rFonts w:ascii="Bookman Old Style" w:hAnsi="Bookman Old Style"/>
          <w:sz w:val="24"/>
          <w:szCs w:val="24"/>
        </w:rPr>
        <w:t xml:space="preserve"> </w:t>
      </w:r>
      <w:r w:rsidR="008F3DE8" w:rsidRPr="008726D3">
        <w:rPr>
          <w:rFonts w:ascii="Bookman Old Style" w:hAnsi="Bookman Old Style"/>
          <w:sz w:val="24"/>
          <w:szCs w:val="24"/>
        </w:rPr>
        <w:t>particolare”</w:t>
      </w:r>
      <w:r w:rsidR="008F3DE8">
        <w:rPr>
          <w:rFonts w:ascii="Bookman Old Style" w:hAnsi="Bookman Old Style"/>
          <w:sz w:val="24"/>
          <w:szCs w:val="24"/>
        </w:rPr>
        <w:t xml:space="preserve"> </w:t>
      </w:r>
      <w:r w:rsidR="008F3DE8" w:rsidRPr="008726D3">
        <w:rPr>
          <w:rFonts w:ascii="Bookman Old Style" w:hAnsi="Bookman Old Style"/>
          <w:sz w:val="24"/>
          <w:szCs w:val="24"/>
        </w:rPr>
        <w:t>nella</w:t>
      </w:r>
      <w:r w:rsidR="008F3DE8">
        <w:rPr>
          <w:rFonts w:ascii="Bookman Old Style" w:hAnsi="Bookman Old Style"/>
          <w:sz w:val="24"/>
          <w:szCs w:val="24"/>
        </w:rPr>
        <w:t xml:space="preserve"> </w:t>
      </w:r>
      <w:r w:rsidR="008F3DE8" w:rsidRPr="008726D3">
        <w:rPr>
          <w:rFonts w:ascii="Bookman Old Style" w:hAnsi="Bookman Old Style"/>
          <w:sz w:val="24"/>
          <w:szCs w:val="24"/>
        </w:rPr>
        <w:t>sua</w:t>
      </w:r>
      <w:r w:rsidR="008F3DE8">
        <w:rPr>
          <w:rFonts w:ascii="Bookman Old Style" w:hAnsi="Bookman Old Style"/>
          <w:sz w:val="24"/>
          <w:szCs w:val="24"/>
        </w:rPr>
        <w:t xml:space="preserve"> </w:t>
      </w:r>
      <w:r w:rsidR="008F3DE8" w:rsidRPr="008726D3">
        <w:rPr>
          <w:rFonts w:ascii="Bookman Old Style" w:hAnsi="Bookman Old Style"/>
          <w:sz w:val="24"/>
          <w:szCs w:val="24"/>
        </w:rPr>
        <w:t>opera</w:t>
      </w:r>
      <w:r w:rsidR="008F3DE8">
        <w:rPr>
          <w:rFonts w:ascii="Bookman Old Style" w:hAnsi="Bookman Old Style"/>
          <w:sz w:val="24"/>
          <w:szCs w:val="24"/>
        </w:rPr>
        <w:t xml:space="preserve"> </w:t>
      </w:r>
      <w:r w:rsidR="008F3DE8" w:rsidRPr="008726D3">
        <w:rPr>
          <w:rFonts w:ascii="Bookman Old Style" w:hAnsi="Bookman Old Style"/>
          <w:sz w:val="24"/>
          <w:szCs w:val="24"/>
        </w:rPr>
        <w:t>di</w:t>
      </w:r>
      <w:r w:rsidR="008F3DE8">
        <w:rPr>
          <w:rFonts w:ascii="Bookman Old Style" w:hAnsi="Bookman Old Style"/>
          <w:sz w:val="24"/>
          <w:szCs w:val="24"/>
        </w:rPr>
        <w:t xml:space="preserve"> </w:t>
      </w:r>
      <w:r w:rsidR="008F3DE8" w:rsidRPr="008726D3">
        <w:rPr>
          <w:rFonts w:ascii="Bookman Old Style" w:hAnsi="Bookman Old Style"/>
          <w:sz w:val="24"/>
          <w:szCs w:val="24"/>
        </w:rPr>
        <w:t>traduzione</w:t>
      </w:r>
      <w:r w:rsidR="008F3DE8">
        <w:rPr>
          <w:rFonts w:ascii="Bookman Old Style" w:hAnsi="Bookman Old Style"/>
          <w:sz w:val="24"/>
          <w:szCs w:val="24"/>
        </w:rPr>
        <w:t xml:space="preserve"> </w:t>
      </w:r>
      <w:r w:rsidR="008F3DE8" w:rsidRPr="008726D3">
        <w:rPr>
          <w:rFonts w:ascii="Bookman Old Style" w:hAnsi="Bookman Old Style"/>
          <w:sz w:val="24"/>
          <w:szCs w:val="24"/>
        </w:rPr>
        <w:t>dei</w:t>
      </w:r>
      <w:r w:rsidR="008F3DE8">
        <w:rPr>
          <w:rFonts w:ascii="Bookman Old Style" w:hAnsi="Bookman Old Style"/>
          <w:sz w:val="24"/>
          <w:szCs w:val="24"/>
        </w:rPr>
        <w:t xml:space="preserve"> </w:t>
      </w:r>
      <w:r w:rsidR="008F3DE8" w:rsidRPr="008726D3">
        <w:rPr>
          <w:rFonts w:ascii="Bookman Old Style" w:hAnsi="Bookman Old Style"/>
          <w:sz w:val="24"/>
          <w:szCs w:val="24"/>
        </w:rPr>
        <w:t>diritti</w:t>
      </w:r>
      <w:r w:rsidR="008F3DE8">
        <w:rPr>
          <w:rFonts w:ascii="Bookman Old Style" w:hAnsi="Bookman Old Style"/>
          <w:sz w:val="24"/>
          <w:szCs w:val="24"/>
        </w:rPr>
        <w:t xml:space="preserve"> </w:t>
      </w:r>
      <w:r w:rsidR="008F3DE8" w:rsidRPr="008726D3">
        <w:rPr>
          <w:rFonts w:ascii="Bookman Old Style" w:hAnsi="Bookman Old Style"/>
          <w:sz w:val="24"/>
          <w:szCs w:val="24"/>
        </w:rPr>
        <w:t>costituenti</w:t>
      </w:r>
      <w:r w:rsidR="008F3DE8">
        <w:rPr>
          <w:rFonts w:ascii="Bookman Old Style" w:hAnsi="Bookman Old Style"/>
          <w:sz w:val="24"/>
          <w:szCs w:val="24"/>
        </w:rPr>
        <w:t xml:space="preserve"> </w:t>
      </w:r>
      <w:r w:rsidR="008F3DE8" w:rsidRPr="008726D3">
        <w:rPr>
          <w:rFonts w:ascii="Bookman Old Style" w:hAnsi="Bookman Old Style"/>
          <w:sz w:val="24"/>
          <w:szCs w:val="24"/>
        </w:rPr>
        <w:t>principi</w:t>
      </w:r>
      <w:r w:rsidR="008F3DE8">
        <w:rPr>
          <w:rFonts w:ascii="Bookman Old Style" w:hAnsi="Bookman Old Style"/>
          <w:sz w:val="24"/>
          <w:szCs w:val="24"/>
        </w:rPr>
        <w:t xml:space="preserve"> </w:t>
      </w:r>
      <w:r w:rsidR="008F3DE8" w:rsidRPr="008726D3">
        <w:rPr>
          <w:rFonts w:ascii="Bookman Old Style" w:hAnsi="Bookman Old Style"/>
          <w:sz w:val="24"/>
          <w:szCs w:val="24"/>
        </w:rPr>
        <w:t>generali</w:t>
      </w:r>
      <w:r w:rsidR="008F3DE8">
        <w:rPr>
          <w:rFonts w:ascii="Bookman Old Style" w:hAnsi="Bookman Old Style"/>
          <w:sz w:val="24"/>
          <w:szCs w:val="24"/>
        </w:rPr>
        <w:t xml:space="preserve"> </w:t>
      </w:r>
      <w:r w:rsidR="008F3DE8" w:rsidRPr="008726D3">
        <w:rPr>
          <w:rFonts w:ascii="Bookman Old Style" w:hAnsi="Bookman Old Style"/>
          <w:sz w:val="24"/>
          <w:szCs w:val="24"/>
        </w:rPr>
        <w:t>del</w:t>
      </w:r>
      <w:r w:rsidR="008F3DE8">
        <w:rPr>
          <w:rFonts w:ascii="Bookman Old Style" w:hAnsi="Bookman Old Style"/>
          <w:sz w:val="24"/>
          <w:szCs w:val="24"/>
        </w:rPr>
        <w:t xml:space="preserve"> </w:t>
      </w:r>
      <w:r w:rsidR="008F3DE8" w:rsidRPr="008726D3">
        <w:rPr>
          <w:rFonts w:ascii="Bookman Old Style" w:hAnsi="Bookman Old Style"/>
          <w:sz w:val="24"/>
          <w:szCs w:val="24"/>
        </w:rPr>
        <w:t>diritto</w:t>
      </w:r>
      <w:r w:rsidR="008F3DE8">
        <w:rPr>
          <w:rFonts w:ascii="Bookman Old Style" w:hAnsi="Bookman Old Style"/>
          <w:sz w:val="24"/>
          <w:szCs w:val="24"/>
        </w:rPr>
        <w:t xml:space="preserve"> </w:t>
      </w:r>
      <w:r w:rsidR="008F3DE8" w:rsidRPr="008726D3">
        <w:rPr>
          <w:rFonts w:ascii="Bookman Old Style" w:hAnsi="Bookman Old Style"/>
          <w:sz w:val="24"/>
          <w:szCs w:val="24"/>
        </w:rPr>
        <w:t>comunitario</w:t>
      </w:r>
      <w:r w:rsidR="00C81E0F">
        <w:rPr>
          <w:rFonts w:ascii="Bookman Old Style" w:hAnsi="Bookman Old Style"/>
          <w:sz w:val="24"/>
          <w:szCs w:val="24"/>
        </w:rPr>
        <w:t xml:space="preserve"> </w:t>
      </w:r>
      <w:r w:rsidR="008F3DE8" w:rsidRPr="008726D3">
        <w:rPr>
          <w:rFonts w:ascii="Bookman Old Style" w:hAnsi="Bookman Old Style"/>
          <w:sz w:val="24"/>
          <w:szCs w:val="24"/>
        </w:rPr>
        <w:footnoteReference w:id="18"/>
      </w:r>
      <w:r w:rsidR="008F3DE8" w:rsidRPr="008726D3">
        <w:rPr>
          <w:rFonts w:ascii="Bookman Old Style" w:hAnsi="Bookman Old Style"/>
          <w:sz w:val="24"/>
          <w:szCs w:val="24"/>
        </w:rPr>
        <w:t>.</w:t>
      </w:r>
    </w:p>
    <w:p w:rsidR="008726D3" w:rsidRPr="008726D3" w:rsidRDefault="00C81E0F" w:rsidP="008726D3">
      <w:pPr>
        <w:ind w:firstLine="709"/>
        <w:jc w:val="both"/>
        <w:rPr>
          <w:rFonts w:ascii="Bookman Old Style" w:hAnsi="Bookman Old Style"/>
          <w:sz w:val="24"/>
          <w:szCs w:val="24"/>
        </w:rPr>
      </w:pPr>
      <w:r w:rsidRPr="008726D3">
        <w:rPr>
          <w:rFonts w:ascii="Bookman Old Style" w:hAnsi="Bookman Old Style"/>
          <w:sz w:val="24"/>
          <w:szCs w:val="24"/>
        </w:rPr>
        <w:t>Nonostante</w:t>
      </w:r>
      <w:r>
        <w:rPr>
          <w:rFonts w:ascii="Bookman Old Style" w:hAnsi="Bookman Old Style"/>
          <w:sz w:val="24"/>
          <w:szCs w:val="24"/>
        </w:rPr>
        <w:t xml:space="preserve"> </w:t>
      </w:r>
      <w:r w:rsidRPr="008726D3">
        <w:rPr>
          <w:rFonts w:ascii="Bookman Old Style" w:hAnsi="Bookman Old Style"/>
          <w:sz w:val="24"/>
          <w:szCs w:val="24"/>
        </w:rPr>
        <w:t>tale</w:t>
      </w:r>
      <w:r>
        <w:rPr>
          <w:rFonts w:ascii="Bookman Old Style" w:hAnsi="Bookman Old Style"/>
          <w:sz w:val="24"/>
          <w:szCs w:val="24"/>
        </w:rPr>
        <w:t xml:space="preserve"> </w:t>
      </w:r>
      <w:r w:rsidRPr="008726D3">
        <w:rPr>
          <w:rFonts w:ascii="Bookman Old Style" w:hAnsi="Bookman Old Style"/>
          <w:sz w:val="24"/>
          <w:szCs w:val="24"/>
        </w:rPr>
        <w:t>enorme</w:t>
      </w:r>
      <w:r>
        <w:rPr>
          <w:rFonts w:ascii="Bookman Old Style" w:hAnsi="Bookman Old Style"/>
          <w:sz w:val="24"/>
          <w:szCs w:val="24"/>
        </w:rPr>
        <w:t xml:space="preserve"> </w:t>
      </w:r>
      <w:r w:rsidRPr="008726D3">
        <w:rPr>
          <w:rFonts w:ascii="Bookman Old Style" w:hAnsi="Bookman Old Style"/>
          <w:sz w:val="24"/>
          <w:szCs w:val="24"/>
        </w:rPr>
        <w:t>sforzo</w:t>
      </w:r>
      <w:r>
        <w:rPr>
          <w:rFonts w:ascii="Bookman Old Style" w:hAnsi="Bookman Old Style"/>
          <w:sz w:val="24"/>
          <w:szCs w:val="24"/>
        </w:rPr>
        <w:t xml:space="preserve"> </w:t>
      </w:r>
      <w:r w:rsidRPr="008726D3">
        <w:rPr>
          <w:rFonts w:ascii="Bookman Old Style" w:hAnsi="Bookman Old Style"/>
          <w:sz w:val="24"/>
          <w:szCs w:val="24"/>
        </w:rPr>
        <w:t>pretorio,</w:t>
      </w:r>
      <w:r>
        <w:rPr>
          <w:rFonts w:ascii="Bookman Old Style" w:hAnsi="Bookman Old Style"/>
          <w:sz w:val="24"/>
          <w:szCs w:val="24"/>
        </w:rPr>
        <w:t xml:space="preserve"> </w:t>
      </w:r>
      <w:r w:rsidRPr="008726D3">
        <w:rPr>
          <w:rFonts w:ascii="Bookman Old Style" w:hAnsi="Bookman Old Style"/>
          <w:sz w:val="24"/>
          <w:szCs w:val="24"/>
        </w:rPr>
        <w:t>la</w:t>
      </w:r>
      <w:r>
        <w:rPr>
          <w:rFonts w:ascii="Bookman Old Style" w:hAnsi="Bookman Old Style"/>
          <w:sz w:val="24"/>
          <w:szCs w:val="24"/>
        </w:rPr>
        <w:t xml:space="preserve"> </w:t>
      </w:r>
      <w:r w:rsidRPr="008726D3">
        <w:rPr>
          <w:rFonts w:ascii="Bookman Old Style" w:hAnsi="Bookman Old Style"/>
          <w:sz w:val="24"/>
          <w:szCs w:val="24"/>
        </w:rPr>
        <w:t>critica</w:t>
      </w:r>
      <w:r>
        <w:rPr>
          <w:rFonts w:ascii="Bookman Old Style" w:hAnsi="Bookman Old Style"/>
          <w:sz w:val="24"/>
          <w:szCs w:val="24"/>
        </w:rPr>
        <w:t xml:space="preserve"> </w:t>
      </w:r>
      <w:r w:rsidRPr="008726D3">
        <w:rPr>
          <w:rFonts w:ascii="Bookman Old Style" w:hAnsi="Bookman Old Style"/>
          <w:sz w:val="24"/>
          <w:szCs w:val="24"/>
        </w:rPr>
        <w:t>sostanziale</w:t>
      </w:r>
      <w:r>
        <w:rPr>
          <w:rFonts w:ascii="Bookman Old Style" w:hAnsi="Bookman Old Style"/>
          <w:sz w:val="24"/>
          <w:szCs w:val="24"/>
        </w:rPr>
        <w:t xml:space="preserve"> </w:t>
      </w:r>
      <w:r w:rsidRPr="008726D3">
        <w:rPr>
          <w:rFonts w:ascii="Bookman Old Style" w:hAnsi="Bookman Old Style"/>
          <w:sz w:val="24"/>
          <w:szCs w:val="24"/>
        </w:rPr>
        <w:t>mossa</w:t>
      </w:r>
      <w:r>
        <w:rPr>
          <w:rFonts w:ascii="Bookman Old Style" w:hAnsi="Bookman Old Style"/>
          <w:sz w:val="24"/>
          <w:szCs w:val="24"/>
        </w:rPr>
        <w:t xml:space="preserve"> </w:t>
      </w:r>
      <w:r w:rsidRPr="008726D3">
        <w:rPr>
          <w:rFonts w:ascii="Bookman Old Style" w:hAnsi="Bookman Old Style"/>
          <w:sz w:val="24"/>
          <w:szCs w:val="24"/>
        </w:rPr>
        <w:t>all’Unione</w:t>
      </w:r>
      <w:r>
        <w:rPr>
          <w:rFonts w:ascii="Bookman Old Style" w:hAnsi="Bookman Old Style"/>
          <w:sz w:val="24"/>
          <w:szCs w:val="24"/>
        </w:rPr>
        <w:t xml:space="preserve"> </w:t>
      </w:r>
      <w:r w:rsidRPr="008726D3">
        <w:rPr>
          <w:rFonts w:ascii="Bookman Old Style" w:hAnsi="Bookman Old Style"/>
          <w:sz w:val="24"/>
          <w:szCs w:val="24"/>
        </w:rPr>
        <w:t>era</w:t>
      </w:r>
      <w:r>
        <w:rPr>
          <w:rFonts w:ascii="Bookman Old Style" w:hAnsi="Bookman Old Style"/>
          <w:sz w:val="24"/>
          <w:szCs w:val="24"/>
        </w:rPr>
        <w:t xml:space="preserve"> </w:t>
      </w:r>
      <w:r w:rsidRPr="008726D3">
        <w:rPr>
          <w:rFonts w:ascii="Bookman Old Style" w:hAnsi="Bookman Old Style"/>
          <w:sz w:val="24"/>
          <w:szCs w:val="24"/>
        </w:rPr>
        <w:t>quella</w:t>
      </w:r>
      <w:r>
        <w:rPr>
          <w:rFonts w:ascii="Bookman Old Style" w:hAnsi="Bookman Old Style"/>
          <w:sz w:val="24"/>
          <w:szCs w:val="24"/>
        </w:rPr>
        <w:t xml:space="preserve"> </w:t>
      </w:r>
      <w:r w:rsidRPr="008726D3">
        <w:rPr>
          <w:rFonts w:ascii="Bookman Old Style" w:hAnsi="Bookman Old Style"/>
          <w:sz w:val="24"/>
          <w:szCs w:val="24"/>
        </w:rPr>
        <w:t>di</w:t>
      </w:r>
      <w:r>
        <w:rPr>
          <w:rFonts w:ascii="Bookman Old Style" w:hAnsi="Bookman Old Style"/>
          <w:sz w:val="24"/>
          <w:szCs w:val="24"/>
        </w:rPr>
        <w:t xml:space="preserve"> </w:t>
      </w:r>
      <w:r w:rsidRPr="008726D3">
        <w:rPr>
          <w:rFonts w:ascii="Bookman Old Style" w:hAnsi="Bookman Old Style"/>
          <w:sz w:val="24"/>
          <w:szCs w:val="24"/>
        </w:rPr>
        <w:t>esaminare</w:t>
      </w:r>
      <w:r>
        <w:rPr>
          <w:rFonts w:ascii="Bookman Old Style" w:hAnsi="Bookman Old Style"/>
          <w:sz w:val="24"/>
          <w:szCs w:val="24"/>
        </w:rPr>
        <w:t xml:space="preserve"> </w:t>
      </w:r>
      <w:r w:rsidRPr="008726D3">
        <w:rPr>
          <w:rFonts w:ascii="Bookman Old Style" w:hAnsi="Bookman Old Style"/>
          <w:sz w:val="24"/>
          <w:szCs w:val="24"/>
        </w:rPr>
        <w:t>i</w:t>
      </w:r>
      <w:r>
        <w:rPr>
          <w:rFonts w:ascii="Bookman Old Style" w:hAnsi="Bookman Old Style"/>
          <w:sz w:val="24"/>
          <w:szCs w:val="24"/>
        </w:rPr>
        <w:t xml:space="preserve"> </w:t>
      </w:r>
      <w:r w:rsidRPr="008726D3">
        <w:rPr>
          <w:rFonts w:ascii="Bookman Old Style" w:hAnsi="Bookman Old Style"/>
          <w:sz w:val="24"/>
          <w:szCs w:val="24"/>
        </w:rPr>
        <w:t>diritti</w:t>
      </w:r>
      <w:r>
        <w:rPr>
          <w:rFonts w:ascii="Bookman Old Style" w:hAnsi="Bookman Old Style"/>
          <w:sz w:val="24"/>
          <w:szCs w:val="24"/>
        </w:rPr>
        <w:t xml:space="preserve"> </w:t>
      </w:r>
      <w:r w:rsidRPr="008726D3">
        <w:rPr>
          <w:rFonts w:ascii="Bookman Old Style" w:hAnsi="Bookman Old Style"/>
          <w:sz w:val="24"/>
          <w:szCs w:val="24"/>
        </w:rPr>
        <w:t>fondamentali</w:t>
      </w:r>
      <w:r>
        <w:rPr>
          <w:rFonts w:ascii="Bookman Old Style" w:hAnsi="Bookman Old Style"/>
          <w:sz w:val="24"/>
          <w:szCs w:val="24"/>
        </w:rPr>
        <w:t xml:space="preserve"> </w:t>
      </w:r>
      <w:r w:rsidRPr="008726D3">
        <w:rPr>
          <w:rFonts w:ascii="Bookman Old Style" w:hAnsi="Bookman Old Style"/>
          <w:sz w:val="24"/>
          <w:szCs w:val="24"/>
        </w:rPr>
        <w:t>solo</w:t>
      </w:r>
      <w:r>
        <w:rPr>
          <w:rFonts w:ascii="Bookman Old Style" w:hAnsi="Bookman Old Style"/>
          <w:sz w:val="24"/>
          <w:szCs w:val="24"/>
        </w:rPr>
        <w:t xml:space="preserve"> </w:t>
      </w:r>
      <w:r w:rsidRPr="008726D3">
        <w:rPr>
          <w:rFonts w:ascii="Bookman Old Style" w:hAnsi="Bookman Old Style"/>
          <w:sz w:val="24"/>
          <w:szCs w:val="24"/>
        </w:rPr>
        <w:t>in</w:t>
      </w:r>
      <w:r>
        <w:rPr>
          <w:rFonts w:ascii="Bookman Old Style" w:hAnsi="Bookman Old Style"/>
          <w:sz w:val="24"/>
          <w:szCs w:val="24"/>
        </w:rPr>
        <w:t xml:space="preserve"> </w:t>
      </w:r>
      <w:r w:rsidRPr="008726D3">
        <w:rPr>
          <w:rFonts w:ascii="Bookman Old Style" w:hAnsi="Bookman Old Style"/>
          <w:sz w:val="24"/>
          <w:szCs w:val="24"/>
        </w:rPr>
        <w:t>quanto</w:t>
      </w:r>
      <w:r>
        <w:rPr>
          <w:rFonts w:ascii="Bookman Old Style" w:hAnsi="Bookman Old Style"/>
          <w:sz w:val="24"/>
          <w:szCs w:val="24"/>
        </w:rPr>
        <w:t xml:space="preserve"> </w:t>
      </w:r>
      <w:r w:rsidRPr="008726D3">
        <w:rPr>
          <w:rFonts w:ascii="Bookman Old Style" w:hAnsi="Bookman Old Style"/>
          <w:sz w:val="24"/>
          <w:szCs w:val="24"/>
        </w:rPr>
        <w:t>strutturalmente</w:t>
      </w:r>
      <w:r>
        <w:rPr>
          <w:rFonts w:ascii="Bookman Old Style" w:hAnsi="Bookman Old Style"/>
          <w:sz w:val="24"/>
          <w:szCs w:val="24"/>
        </w:rPr>
        <w:t xml:space="preserve"> </w:t>
      </w:r>
      <w:r w:rsidRPr="008726D3">
        <w:rPr>
          <w:rFonts w:ascii="Bookman Old Style" w:hAnsi="Bookman Old Style"/>
          <w:sz w:val="24"/>
          <w:szCs w:val="24"/>
        </w:rPr>
        <w:t>collegati</w:t>
      </w:r>
      <w:r>
        <w:rPr>
          <w:rFonts w:ascii="Bookman Old Style" w:hAnsi="Bookman Old Style"/>
          <w:sz w:val="24"/>
          <w:szCs w:val="24"/>
        </w:rPr>
        <w:t xml:space="preserve"> </w:t>
      </w:r>
      <w:r w:rsidRPr="008726D3">
        <w:rPr>
          <w:rFonts w:ascii="Bookman Old Style" w:hAnsi="Bookman Old Style"/>
          <w:sz w:val="24"/>
          <w:szCs w:val="24"/>
        </w:rPr>
        <w:t>ai</w:t>
      </w:r>
      <w:r>
        <w:rPr>
          <w:rFonts w:ascii="Bookman Old Style" w:hAnsi="Bookman Old Style"/>
          <w:sz w:val="24"/>
          <w:szCs w:val="24"/>
        </w:rPr>
        <w:t xml:space="preserve"> </w:t>
      </w:r>
      <w:r w:rsidRPr="008726D3">
        <w:rPr>
          <w:rFonts w:ascii="Bookman Old Style" w:hAnsi="Bookman Old Style"/>
          <w:sz w:val="24"/>
          <w:szCs w:val="24"/>
        </w:rPr>
        <w:t>diritti</w:t>
      </w:r>
      <w:r>
        <w:rPr>
          <w:rFonts w:ascii="Bookman Old Style" w:hAnsi="Bookman Old Style"/>
          <w:sz w:val="24"/>
          <w:szCs w:val="24"/>
        </w:rPr>
        <w:t xml:space="preserve"> </w:t>
      </w:r>
      <w:r w:rsidRPr="008726D3">
        <w:rPr>
          <w:rFonts w:ascii="Bookman Old Style" w:hAnsi="Bookman Old Style"/>
          <w:sz w:val="24"/>
          <w:szCs w:val="24"/>
        </w:rPr>
        <w:t>e</w:t>
      </w:r>
      <w:r>
        <w:rPr>
          <w:rFonts w:ascii="Bookman Old Style" w:hAnsi="Bookman Old Style"/>
          <w:sz w:val="24"/>
          <w:szCs w:val="24"/>
        </w:rPr>
        <w:t xml:space="preserve"> </w:t>
      </w:r>
      <w:r w:rsidRPr="008726D3">
        <w:rPr>
          <w:rFonts w:ascii="Bookman Old Style" w:hAnsi="Bookman Old Style"/>
          <w:sz w:val="24"/>
          <w:szCs w:val="24"/>
        </w:rPr>
        <w:t>agli</w:t>
      </w:r>
      <w:r>
        <w:rPr>
          <w:rFonts w:ascii="Bookman Old Style" w:hAnsi="Bookman Old Style"/>
          <w:sz w:val="24"/>
          <w:szCs w:val="24"/>
        </w:rPr>
        <w:t xml:space="preserve"> </w:t>
      </w:r>
      <w:r w:rsidRPr="008726D3">
        <w:rPr>
          <w:rFonts w:ascii="Bookman Old Style" w:hAnsi="Bookman Old Style"/>
          <w:sz w:val="24"/>
          <w:szCs w:val="24"/>
        </w:rPr>
        <w:t>obiettivi</w:t>
      </w:r>
      <w:r>
        <w:rPr>
          <w:rFonts w:ascii="Bookman Old Style" w:hAnsi="Bookman Old Style"/>
          <w:sz w:val="24"/>
          <w:szCs w:val="24"/>
        </w:rPr>
        <w:t xml:space="preserve"> </w:t>
      </w:r>
      <w:r w:rsidRPr="008726D3">
        <w:rPr>
          <w:rFonts w:ascii="Bookman Old Style" w:hAnsi="Bookman Old Style"/>
          <w:sz w:val="24"/>
          <w:szCs w:val="24"/>
        </w:rPr>
        <w:t>economici</w:t>
      </w:r>
      <w:r>
        <w:rPr>
          <w:rFonts w:ascii="Bookman Old Style" w:hAnsi="Bookman Old Style"/>
          <w:sz w:val="24"/>
          <w:szCs w:val="24"/>
        </w:rPr>
        <w:t xml:space="preserve"> </w:t>
      </w:r>
      <w:r w:rsidRPr="008726D3">
        <w:rPr>
          <w:rFonts w:ascii="Bookman Old Style" w:hAnsi="Bookman Old Style"/>
          <w:sz w:val="24"/>
          <w:szCs w:val="24"/>
        </w:rPr>
        <w:t>perseguiti,</w:t>
      </w:r>
      <w:r>
        <w:rPr>
          <w:rFonts w:ascii="Bookman Old Style" w:hAnsi="Bookman Old Style"/>
          <w:sz w:val="24"/>
          <w:szCs w:val="24"/>
        </w:rPr>
        <w:t xml:space="preserve"> </w:t>
      </w:r>
      <w:r w:rsidRPr="008726D3">
        <w:rPr>
          <w:rFonts w:ascii="Bookman Old Style" w:hAnsi="Bookman Old Style"/>
          <w:sz w:val="24"/>
          <w:szCs w:val="24"/>
        </w:rPr>
        <w:t>cosicché</w:t>
      </w:r>
      <w:r>
        <w:rPr>
          <w:rFonts w:ascii="Bookman Old Style" w:hAnsi="Bookman Old Style"/>
          <w:sz w:val="24"/>
          <w:szCs w:val="24"/>
        </w:rPr>
        <w:t xml:space="preserve"> </w:t>
      </w:r>
      <w:r w:rsidRPr="008726D3">
        <w:rPr>
          <w:rFonts w:ascii="Bookman Old Style" w:hAnsi="Bookman Old Style"/>
          <w:sz w:val="24"/>
          <w:szCs w:val="24"/>
        </w:rPr>
        <w:t>essi</w:t>
      </w:r>
      <w:r>
        <w:rPr>
          <w:rFonts w:ascii="Bookman Old Style" w:hAnsi="Bookman Old Style"/>
          <w:sz w:val="24"/>
          <w:szCs w:val="24"/>
        </w:rPr>
        <w:t xml:space="preserve"> trovavano </w:t>
      </w:r>
      <w:r w:rsidRPr="008726D3">
        <w:rPr>
          <w:rFonts w:ascii="Bookman Old Style" w:hAnsi="Bookman Old Style"/>
          <w:sz w:val="24"/>
          <w:szCs w:val="24"/>
        </w:rPr>
        <w:t>riconoscimento</w:t>
      </w:r>
      <w:r>
        <w:rPr>
          <w:rFonts w:ascii="Bookman Old Style" w:hAnsi="Bookman Old Style"/>
          <w:sz w:val="24"/>
          <w:szCs w:val="24"/>
        </w:rPr>
        <w:t xml:space="preserve"> </w:t>
      </w:r>
      <w:r w:rsidRPr="008726D3">
        <w:rPr>
          <w:rFonts w:ascii="Bookman Old Style" w:hAnsi="Bookman Old Style"/>
          <w:sz w:val="24"/>
          <w:szCs w:val="24"/>
        </w:rPr>
        <w:t>solo</w:t>
      </w:r>
      <w:r>
        <w:rPr>
          <w:rFonts w:ascii="Bookman Old Style" w:hAnsi="Bookman Old Style"/>
          <w:sz w:val="24"/>
          <w:szCs w:val="24"/>
        </w:rPr>
        <w:t xml:space="preserve"> </w:t>
      </w:r>
      <w:r w:rsidRPr="008726D3">
        <w:rPr>
          <w:rFonts w:ascii="Bookman Old Style" w:hAnsi="Bookman Old Style"/>
          <w:sz w:val="24"/>
          <w:szCs w:val="24"/>
        </w:rPr>
        <w:t>in</w:t>
      </w:r>
      <w:r>
        <w:rPr>
          <w:rFonts w:ascii="Bookman Old Style" w:hAnsi="Bookman Old Style"/>
          <w:sz w:val="24"/>
          <w:szCs w:val="24"/>
        </w:rPr>
        <w:t xml:space="preserve"> </w:t>
      </w:r>
      <w:r w:rsidRPr="008726D3">
        <w:rPr>
          <w:rFonts w:ascii="Bookman Old Style" w:hAnsi="Bookman Old Style"/>
          <w:sz w:val="24"/>
          <w:szCs w:val="24"/>
        </w:rPr>
        <w:t>qualità</w:t>
      </w:r>
      <w:r>
        <w:rPr>
          <w:rFonts w:ascii="Bookman Old Style" w:hAnsi="Bookman Old Style"/>
          <w:sz w:val="24"/>
          <w:szCs w:val="24"/>
        </w:rPr>
        <w:t xml:space="preserve"> </w:t>
      </w:r>
      <w:r w:rsidRPr="008726D3">
        <w:rPr>
          <w:rFonts w:ascii="Bookman Old Style" w:hAnsi="Bookman Old Style"/>
          <w:sz w:val="24"/>
          <w:szCs w:val="24"/>
        </w:rPr>
        <w:t>di</w:t>
      </w:r>
      <w:r>
        <w:rPr>
          <w:rFonts w:ascii="Bookman Old Style" w:hAnsi="Bookman Old Style"/>
          <w:sz w:val="24"/>
          <w:szCs w:val="24"/>
        </w:rPr>
        <w:t xml:space="preserve"> </w:t>
      </w:r>
      <w:r w:rsidRPr="008726D3">
        <w:rPr>
          <w:rFonts w:ascii="Bookman Old Style" w:hAnsi="Bookman Old Style"/>
          <w:sz w:val="24"/>
          <w:szCs w:val="24"/>
        </w:rPr>
        <w:t>“limiti”</w:t>
      </w:r>
      <w:r>
        <w:rPr>
          <w:rFonts w:ascii="Bookman Old Style" w:hAnsi="Bookman Old Style"/>
          <w:sz w:val="24"/>
          <w:szCs w:val="24"/>
        </w:rPr>
        <w:t xml:space="preserve"> </w:t>
      </w:r>
      <w:r w:rsidRPr="008726D3">
        <w:rPr>
          <w:rFonts w:ascii="Bookman Old Style" w:hAnsi="Bookman Old Style"/>
          <w:sz w:val="24"/>
          <w:szCs w:val="24"/>
        </w:rPr>
        <w:t>all’azione</w:t>
      </w:r>
      <w:r>
        <w:rPr>
          <w:rFonts w:ascii="Bookman Old Style" w:hAnsi="Bookman Old Style"/>
          <w:sz w:val="24"/>
          <w:szCs w:val="24"/>
        </w:rPr>
        <w:t xml:space="preserve"> </w:t>
      </w:r>
      <w:r w:rsidRPr="008726D3">
        <w:rPr>
          <w:rFonts w:ascii="Bookman Old Style" w:hAnsi="Bookman Old Style"/>
          <w:sz w:val="24"/>
          <w:szCs w:val="24"/>
        </w:rPr>
        <w:t>delle</w:t>
      </w:r>
      <w:r>
        <w:rPr>
          <w:rFonts w:ascii="Bookman Old Style" w:hAnsi="Bookman Old Style"/>
          <w:sz w:val="24"/>
          <w:szCs w:val="24"/>
        </w:rPr>
        <w:t xml:space="preserve"> </w:t>
      </w:r>
      <w:r w:rsidRPr="008726D3">
        <w:rPr>
          <w:rFonts w:ascii="Bookman Old Style" w:hAnsi="Bookman Old Style"/>
          <w:sz w:val="24"/>
          <w:szCs w:val="24"/>
        </w:rPr>
        <w:t>istituzioni</w:t>
      </w:r>
      <w:r>
        <w:rPr>
          <w:rFonts w:ascii="Bookman Old Style" w:hAnsi="Bookman Old Style"/>
          <w:sz w:val="24"/>
          <w:szCs w:val="24"/>
        </w:rPr>
        <w:t xml:space="preserve"> </w:t>
      </w:r>
      <w:r w:rsidRPr="008726D3">
        <w:rPr>
          <w:rFonts w:ascii="Bookman Old Style" w:hAnsi="Bookman Old Style"/>
          <w:sz w:val="24"/>
          <w:szCs w:val="24"/>
        </w:rPr>
        <w:t>comunitarie,</w:t>
      </w:r>
      <w:r>
        <w:rPr>
          <w:rFonts w:ascii="Bookman Old Style" w:hAnsi="Bookman Old Style"/>
          <w:sz w:val="24"/>
          <w:szCs w:val="24"/>
        </w:rPr>
        <w:t xml:space="preserve"> </w:t>
      </w:r>
      <w:r w:rsidRPr="008726D3">
        <w:rPr>
          <w:rFonts w:ascii="Bookman Old Style" w:hAnsi="Bookman Old Style"/>
          <w:sz w:val="24"/>
          <w:szCs w:val="24"/>
        </w:rPr>
        <w:t>senza</w:t>
      </w:r>
      <w:r>
        <w:rPr>
          <w:rFonts w:ascii="Bookman Old Style" w:hAnsi="Bookman Old Style"/>
          <w:sz w:val="24"/>
          <w:szCs w:val="24"/>
        </w:rPr>
        <w:t xml:space="preserve"> </w:t>
      </w:r>
      <w:r w:rsidRPr="008726D3">
        <w:rPr>
          <w:rFonts w:ascii="Bookman Old Style" w:hAnsi="Bookman Old Style"/>
          <w:sz w:val="24"/>
          <w:szCs w:val="24"/>
        </w:rPr>
        <w:t>mai</w:t>
      </w:r>
      <w:r>
        <w:rPr>
          <w:rFonts w:ascii="Bookman Old Style" w:hAnsi="Bookman Old Style"/>
          <w:sz w:val="24"/>
          <w:szCs w:val="24"/>
        </w:rPr>
        <w:t xml:space="preserve"> </w:t>
      </w:r>
      <w:r w:rsidRPr="008726D3">
        <w:rPr>
          <w:rFonts w:ascii="Bookman Old Style" w:hAnsi="Bookman Old Style"/>
          <w:sz w:val="24"/>
          <w:szCs w:val="24"/>
        </w:rPr>
        <w:t>essere</w:t>
      </w:r>
      <w:r>
        <w:rPr>
          <w:rFonts w:ascii="Bookman Old Style" w:hAnsi="Bookman Old Style"/>
          <w:sz w:val="24"/>
          <w:szCs w:val="24"/>
        </w:rPr>
        <w:t xml:space="preserve"> </w:t>
      </w:r>
      <w:r w:rsidRPr="008726D3">
        <w:rPr>
          <w:rFonts w:ascii="Bookman Old Style" w:hAnsi="Bookman Old Style"/>
          <w:sz w:val="24"/>
          <w:szCs w:val="24"/>
        </w:rPr>
        <w:t>assunti</w:t>
      </w:r>
      <w:r>
        <w:rPr>
          <w:rFonts w:ascii="Bookman Old Style" w:hAnsi="Bookman Old Style"/>
          <w:sz w:val="24"/>
          <w:szCs w:val="24"/>
        </w:rPr>
        <w:t xml:space="preserve"> </w:t>
      </w:r>
      <w:r w:rsidRPr="008726D3">
        <w:rPr>
          <w:rFonts w:ascii="Bookman Old Style" w:hAnsi="Bookman Old Style"/>
          <w:sz w:val="24"/>
          <w:szCs w:val="24"/>
        </w:rPr>
        <w:t>da</w:t>
      </w:r>
      <w:r>
        <w:rPr>
          <w:rFonts w:ascii="Bookman Old Style" w:hAnsi="Bookman Old Style"/>
          <w:sz w:val="24"/>
          <w:szCs w:val="24"/>
        </w:rPr>
        <w:t xml:space="preserve"> </w:t>
      </w:r>
      <w:r w:rsidRPr="008726D3">
        <w:rPr>
          <w:rFonts w:ascii="Bookman Old Style" w:hAnsi="Bookman Old Style"/>
          <w:sz w:val="24"/>
          <w:szCs w:val="24"/>
        </w:rPr>
        <w:t>tali</w:t>
      </w:r>
      <w:r>
        <w:rPr>
          <w:rFonts w:ascii="Bookman Old Style" w:hAnsi="Bookman Old Style"/>
          <w:sz w:val="24"/>
          <w:szCs w:val="24"/>
        </w:rPr>
        <w:t xml:space="preserve"> </w:t>
      </w:r>
      <w:r w:rsidRPr="008726D3">
        <w:rPr>
          <w:rFonts w:ascii="Bookman Old Style" w:hAnsi="Bookman Old Style"/>
          <w:sz w:val="24"/>
          <w:szCs w:val="24"/>
        </w:rPr>
        <w:t>istituzioni</w:t>
      </w:r>
      <w:r>
        <w:rPr>
          <w:rFonts w:ascii="Bookman Old Style" w:hAnsi="Bookman Old Style"/>
          <w:sz w:val="24"/>
          <w:szCs w:val="24"/>
        </w:rPr>
        <w:t xml:space="preserve"> </w:t>
      </w:r>
      <w:r w:rsidRPr="008726D3">
        <w:rPr>
          <w:rFonts w:ascii="Bookman Old Style" w:hAnsi="Bookman Old Style"/>
          <w:sz w:val="24"/>
          <w:szCs w:val="24"/>
        </w:rPr>
        <w:t>come</w:t>
      </w:r>
      <w:r>
        <w:rPr>
          <w:rFonts w:ascii="Bookman Old Style" w:hAnsi="Bookman Old Style"/>
          <w:sz w:val="24"/>
          <w:szCs w:val="24"/>
        </w:rPr>
        <w:t xml:space="preserve"> </w:t>
      </w:r>
      <w:r w:rsidRPr="008726D3">
        <w:rPr>
          <w:rFonts w:ascii="Bookman Old Style" w:hAnsi="Bookman Old Style"/>
          <w:sz w:val="24"/>
          <w:szCs w:val="24"/>
        </w:rPr>
        <w:t>obiettivi</w:t>
      </w:r>
      <w:r>
        <w:rPr>
          <w:rFonts w:ascii="Bookman Old Style" w:hAnsi="Bookman Old Style"/>
          <w:sz w:val="24"/>
          <w:szCs w:val="24"/>
        </w:rPr>
        <w:t xml:space="preserve"> </w:t>
      </w:r>
      <w:r w:rsidRPr="008726D3">
        <w:rPr>
          <w:rFonts w:ascii="Bookman Old Style" w:hAnsi="Bookman Old Style"/>
          <w:sz w:val="24"/>
          <w:szCs w:val="24"/>
        </w:rPr>
        <w:t>che</w:t>
      </w:r>
      <w:r>
        <w:rPr>
          <w:rFonts w:ascii="Bookman Old Style" w:hAnsi="Bookman Old Style"/>
          <w:sz w:val="24"/>
          <w:szCs w:val="24"/>
        </w:rPr>
        <w:t xml:space="preserve"> </w:t>
      </w:r>
      <w:r w:rsidRPr="008726D3">
        <w:rPr>
          <w:rFonts w:ascii="Bookman Old Style" w:hAnsi="Bookman Old Style"/>
          <w:sz w:val="24"/>
          <w:szCs w:val="24"/>
        </w:rPr>
        <w:t>impegna</w:t>
      </w:r>
      <w:r w:rsidR="00486DB5">
        <w:rPr>
          <w:rFonts w:ascii="Bookman Old Style" w:hAnsi="Bookman Old Style"/>
          <w:sz w:val="24"/>
          <w:szCs w:val="24"/>
        </w:rPr>
        <w:t xml:space="preserve">ssero </w:t>
      </w:r>
      <w:r w:rsidRPr="008726D3">
        <w:rPr>
          <w:rFonts w:ascii="Bookman Old Style" w:hAnsi="Bookman Old Style"/>
          <w:sz w:val="24"/>
          <w:szCs w:val="24"/>
        </w:rPr>
        <w:t>positivamente</w:t>
      </w:r>
      <w:r>
        <w:rPr>
          <w:rFonts w:ascii="Bookman Old Style" w:hAnsi="Bookman Old Style"/>
          <w:sz w:val="24"/>
          <w:szCs w:val="24"/>
        </w:rPr>
        <w:t xml:space="preserve"> </w:t>
      </w:r>
      <w:r w:rsidRPr="008726D3">
        <w:rPr>
          <w:rFonts w:ascii="Bookman Old Style" w:hAnsi="Bookman Old Style"/>
          <w:sz w:val="24"/>
          <w:szCs w:val="24"/>
        </w:rPr>
        <w:t>il</w:t>
      </w:r>
      <w:r>
        <w:rPr>
          <w:rFonts w:ascii="Bookman Old Style" w:hAnsi="Bookman Old Style"/>
          <w:sz w:val="24"/>
          <w:szCs w:val="24"/>
        </w:rPr>
        <w:t xml:space="preserve"> </w:t>
      </w:r>
      <w:r w:rsidRPr="008726D3">
        <w:rPr>
          <w:rFonts w:ascii="Bookman Old Style" w:hAnsi="Bookman Old Style"/>
          <w:sz w:val="24"/>
          <w:szCs w:val="24"/>
        </w:rPr>
        <w:t>loro</w:t>
      </w:r>
      <w:r>
        <w:rPr>
          <w:rFonts w:ascii="Bookman Old Style" w:hAnsi="Bookman Old Style"/>
          <w:sz w:val="24"/>
          <w:szCs w:val="24"/>
        </w:rPr>
        <w:t xml:space="preserve"> </w:t>
      </w:r>
      <w:r w:rsidRPr="008726D3">
        <w:rPr>
          <w:rFonts w:ascii="Bookman Old Style" w:hAnsi="Bookman Old Style"/>
          <w:sz w:val="24"/>
          <w:szCs w:val="24"/>
        </w:rPr>
        <w:t>agire</w:t>
      </w:r>
      <w:r>
        <w:rPr>
          <w:rFonts w:ascii="Bookman Old Style" w:hAnsi="Bookman Old Style"/>
          <w:sz w:val="24"/>
          <w:szCs w:val="24"/>
        </w:rPr>
        <w:t xml:space="preserve"> </w:t>
      </w:r>
      <w:r w:rsidRPr="008726D3">
        <w:rPr>
          <w:rFonts w:ascii="Bookman Old Style" w:hAnsi="Bookman Old Style"/>
          <w:sz w:val="24"/>
          <w:szCs w:val="24"/>
        </w:rPr>
        <w:footnoteReference w:id="19"/>
      </w:r>
      <w:r w:rsidRPr="008726D3">
        <w:rPr>
          <w:rFonts w:ascii="Bookman Old Style" w:hAnsi="Bookman Old Style"/>
          <w:sz w:val="24"/>
          <w:szCs w:val="24"/>
        </w:rPr>
        <w:t>.</w:t>
      </w:r>
      <w:r>
        <w:rPr>
          <w:rFonts w:ascii="Bookman Old Style" w:hAnsi="Bookman Old Style"/>
          <w:sz w:val="24"/>
          <w:szCs w:val="24"/>
        </w:rPr>
        <w:t xml:space="preserve"> D’altro canto, t</w:t>
      </w:r>
      <w:r w:rsidR="008726D3" w:rsidRPr="008726D3">
        <w:rPr>
          <w:rFonts w:ascii="Bookman Old Style" w:hAnsi="Bookman Old Style"/>
          <w:sz w:val="24"/>
          <w:szCs w:val="24"/>
        </w:rPr>
        <w:t>ale</w:t>
      </w:r>
      <w:r w:rsidR="008F3DE8">
        <w:rPr>
          <w:rFonts w:ascii="Bookman Old Style" w:hAnsi="Bookman Old Style"/>
          <w:sz w:val="24"/>
          <w:szCs w:val="24"/>
        </w:rPr>
        <w:t xml:space="preserve"> </w:t>
      </w:r>
      <w:r w:rsidR="008726D3" w:rsidRPr="008726D3">
        <w:rPr>
          <w:rFonts w:ascii="Bookman Old Style" w:hAnsi="Bookman Old Style"/>
          <w:sz w:val="24"/>
          <w:szCs w:val="24"/>
        </w:rPr>
        <w:t>evoluzione</w:t>
      </w:r>
      <w:r w:rsidR="008F3DE8">
        <w:rPr>
          <w:rFonts w:ascii="Bookman Old Style" w:hAnsi="Bookman Old Style"/>
          <w:sz w:val="24"/>
          <w:szCs w:val="24"/>
        </w:rPr>
        <w:t xml:space="preserve"> </w:t>
      </w:r>
      <w:r w:rsidR="008726D3" w:rsidRPr="008726D3">
        <w:rPr>
          <w:rFonts w:ascii="Bookman Old Style" w:hAnsi="Bookman Old Style"/>
          <w:sz w:val="24"/>
          <w:szCs w:val="24"/>
        </w:rPr>
        <w:t>giurisprudenziale</w:t>
      </w:r>
      <w:r w:rsidR="008F3DE8">
        <w:rPr>
          <w:rFonts w:ascii="Bookman Old Style" w:hAnsi="Bookman Old Style"/>
          <w:sz w:val="24"/>
          <w:szCs w:val="24"/>
        </w:rPr>
        <w:t xml:space="preserve"> </w:t>
      </w:r>
      <w:r w:rsidR="008726D3" w:rsidRPr="008726D3">
        <w:rPr>
          <w:rFonts w:ascii="Bookman Old Style" w:hAnsi="Bookman Old Style"/>
          <w:sz w:val="24"/>
          <w:szCs w:val="24"/>
        </w:rPr>
        <w:t>rappresentò</w:t>
      </w:r>
      <w:r w:rsidR="008F3DE8">
        <w:rPr>
          <w:rFonts w:ascii="Bookman Old Style" w:hAnsi="Bookman Old Style"/>
          <w:sz w:val="24"/>
          <w:szCs w:val="24"/>
        </w:rPr>
        <w:t xml:space="preserve"> </w:t>
      </w:r>
      <w:r w:rsidR="008726D3" w:rsidRPr="008726D3">
        <w:rPr>
          <w:rFonts w:ascii="Bookman Old Style" w:hAnsi="Bookman Old Style"/>
          <w:sz w:val="24"/>
          <w:szCs w:val="24"/>
        </w:rPr>
        <w:t>anche</w:t>
      </w:r>
      <w:r w:rsidR="008F3DE8">
        <w:rPr>
          <w:rFonts w:ascii="Bookman Old Style" w:hAnsi="Bookman Old Style"/>
          <w:sz w:val="24"/>
          <w:szCs w:val="24"/>
        </w:rPr>
        <w:t xml:space="preserve"> </w:t>
      </w:r>
      <w:r w:rsidR="008726D3" w:rsidRPr="008726D3">
        <w:rPr>
          <w:rFonts w:ascii="Bookman Old Style" w:hAnsi="Bookman Old Style"/>
          <w:sz w:val="24"/>
          <w:szCs w:val="24"/>
        </w:rPr>
        <w:t>un</w:t>
      </w:r>
      <w:r w:rsidR="008F3DE8">
        <w:rPr>
          <w:rFonts w:ascii="Bookman Old Style" w:hAnsi="Bookman Old Style"/>
          <w:sz w:val="24"/>
          <w:szCs w:val="24"/>
        </w:rPr>
        <w:t xml:space="preserve"> </w:t>
      </w:r>
      <w:r w:rsidR="008726D3" w:rsidRPr="008726D3">
        <w:rPr>
          <w:rFonts w:ascii="Bookman Old Style" w:hAnsi="Bookman Old Style"/>
          <w:sz w:val="24"/>
          <w:szCs w:val="24"/>
        </w:rPr>
        <w:t>tentativo</w:t>
      </w:r>
      <w:r w:rsidR="008F3DE8">
        <w:rPr>
          <w:rFonts w:ascii="Bookman Old Style" w:hAnsi="Bookman Old Style"/>
          <w:sz w:val="24"/>
          <w:szCs w:val="24"/>
        </w:rPr>
        <w:t xml:space="preserve"> </w:t>
      </w:r>
      <w:r w:rsidR="008726D3" w:rsidRPr="008726D3">
        <w:rPr>
          <w:rFonts w:ascii="Bookman Old Style" w:hAnsi="Bookman Old Style"/>
          <w:sz w:val="24"/>
          <w:szCs w:val="24"/>
        </w:rPr>
        <w:t>della</w:t>
      </w:r>
      <w:r w:rsidR="008F3DE8">
        <w:rPr>
          <w:rFonts w:ascii="Bookman Old Style" w:hAnsi="Bookman Old Style"/>
          <w:sz w:val="24"/>
          <w:szCs w:val="24"/>
        </w:rPr>
        <w:t xml:space="preserve"> </w:t>
      </w:r>
      <w:r w:rsidR="008726D3" w:rsidRPr="008726D3">
        <w:rPr>
          <w:rFonts w:ascii="Bookman Old Style" w:hAnsi="Bookman Old Style"/>
          <w:sz w:val="24"/>
          <w:szCs w:val="24"/>
        </w:rPr>
        <w:t>Corte</w:t>
      </w:r>
      <w:r w:rsidR="008F3DE8">
        <w:rPr>
          <w:rFonts w:ascii="Bookman Old Style" w:hAnsi="Bookman Old Style"/>
          <w:sz w:val="24"/>
          <w:szCs w:val="24"/>
        </w:rPr>
        <w:t xml:space="preserve"> </w:t>
      </w:r>
      <w:r w:rsidR="008726D3" w:rsidRPr="008726D3">
        <w:rPr>
          <w:rFonts w:ascii="Bookman Old Style" w:hAnsi="Bookman Old Style"/>
          <w:sz w:val="24"/>
          <w:szCs w:val="24"/>
        </w:rPr>
        <w:t>di</w:t>
      </w:r>
      <w:r w:rsidR="008F3DE8">
        <w:rPr>
          <w:rFonts w:ascii="Bookman Old Style" w:hAnsi="Bookman Old Style"/>
          <w:sz w:val="24"/>
          <w:szCs w:val="24"/>
        </w:rPr>
        <w:t xml:space="preserve"> </w:t>
      </w:r>
      <w:r w:rsidR="008726D3" w:rsidRPr="008726D3">
        <w:rPr>
          <w:rFonts w:ascii="Bookman Old Style" w:hAnsi="Bookman Old Style"/>
          <w:sz w:val="24"/>
          <w:szCs w:val="24"/>
        </w:rPr>
        <w:t>Giustizia</w:t>
      </w:r>
      <w:r w:rsidR="008F3DE8">
        <w:rPr>
          <w:rFonts w:ascii="Bookman Old Style" w:hAnsi="Bookman Old Style"/>
          <w:sz w:val="24"/>
          <w:szCs w:val="24"/>
        </w:rPr>
        <w:t xml:space="preserve"> </w:t>
      </w:r>
      <w:r w:rsidR="008726D3" w:rsidRPr="008726D3">
        <w:rPr>
          <w:rFonts w:ascii="Bookman Old Style" w:hAnsi="Bookman Old Style"/>
          <w:sz w:val="24"/>
          <w:szCs w:val="24"/>
        </w:rPr>
        <w:t>di</w:t>
      </w:r>
      <w:r w:rsidR="008F3DE8">
        <w:rPr>
          <w:rFonts w:ascii="Bookman Old Style" w:hAnsi="Bookman Old Style"/>
          <w:sz w:val="24"/>
          <w:szCs w:val="24"/>
        </w:rPr>
        <w:t xml:space="preserve"> </w:t>
      </w:r>
      <w:r w:rsidR="008726D3" w:rsidRPr="008726D3">
        <w:rPr>
          <w:rFonts w:ascii="Bookman Old Style" w:hAnsi="Bookman Old Style"/>
          <w:sz w:val="24"/>
          <w:szCs w:val="24"/>
        </w:rPr>
        <w:t>reagire</w:t>
      </w:r>
      <w:r w:rsidR="008F3DE8">
        <w:rPr>
          <w:rFonts w:ascii="Bookman Old Style" w:hAnsi="Bookman Old Style"/>
          <w:sz w:val="24"/>
          <w:szCs w:val="24"/>
        </w:rPr>
        <w:t xml:space="preserve"> </w:t>
      </w:r>
      <w:r w:rsidR="008726D3" w:rsidRPr="008726D3">
        <w:rPr>
          <w:rFonts w:ascii="Bookman Old Style" w:hAnsi="Bookman Old Style"/>
          <w:sz w:val="24"/>
          <w:szCs w:val="24"/>
        </w:rPr>
        <w:t>ad</w:t>
      </w:r>
      <w:r w:rsidR="008F3DE8">
        <w:rPr>
          <w:rFonts w:ascii="Bookman Old Style" w:hAnsi="Bookman Old Style"/>
          <w:sz w:val="24"/>
          <w:szCs w:val="24"/>
        </w:rPr>
        <w:t xml:space="preserve"> </w:t>
      </w:r>
      <w:r w:rsidR="008726D3" w:rsidRPr="008726D3">
        <w:rPr>
          <w:rFonts w:ascii="Bookman Old Style" w:hAnsi="Bookman Old Style"/>
          <w:sz w:val="24"/>
          <w:szCs w:val="24"/>
        </w:rPr>
        <w:t>alcune</w:t>
      </w:r>
      <w:r w:rsidR="008F3DE8">
        <w:rPr>
          <w:rFonts w:ascii="Bookman Old Style" w:hAnsi="Bookman Old Style"/>
          <w:sz w:val="24"/>
          <w:szCs w:val="24"/>
        </w:rPr>
        <w:t xml:space="preserve"> </w:t>
      </w:r>
      <w:r w:rsidR="008726D3" w:rsidRPr="008726D3">
        <w:rPr>
          <w:rFonts w:ascii="Bookman Old Style" w:hAnsi="Bookman Old Style"/>
          <w:sz w:val="24"/>
          <w:szCs w:val="24"/>
        </w:rPr>
        <w:t>sentenze</w:t>
      </w:r>
      <w:r w:rsidR="008F3DE8">
        <w:rPr>
          <w:rFonts w:ascii="Bookman Old Style" w:hAnsi="Bookman Old Style"/>
          <w:sz w:val="24"/>
          <w:szCs w:val="24"/>
        </w:rPr>
        <w:t xml:space="preserve"> </w:t>
      </w:r>
      <w:r w:rsidR="008726D3" w:rsidRPr="008726D3">
        <w:rPr>
          <w:rFonts w:ascii="Bookman Old Style" w:hAnsi="Bookman Old Style"/>
          <w:sz w:val="24"/>
          <w:szCs w:val="24"/>
        </w:rPr>
        <w:t>delle</w:t>
      </w:r>
      <w:r w:rsidR="008F3DE8">
        <w:rPr>
          <w:rFonts w:ascii="Bookman Old Style" w:hAnsi="Bookman Old Style"/>
          <w:sz w:val="24"/>
          <w:szCs w:val="24"/>
        </w:rPr>
        <w:t xml:space="preserve"> </w:t>
      </w:r>
      <w:r w:rsidR="00486DB5">
        <w:rPr>
          <w:rFonts w:ascii="Bookman Old Style" w:hAnsi="Bookman Old Style"/>
          <w:sz w:val="24"/>
          <w:szCs w:val="24"/>
        </w:rPr>
        <w:t>C</w:t>
      </w:r>
      <w:r w:rsidR="008726D3" w:rsidRPr="008726D3">
        <w:rPr>
          <w:rFonts w:ascii="Bookman Old Style" w:hAnsi="Bookman Old Style"/>
          <w:sz w:val="24"/>
          <w:szCs w:val="24"/>
        </w:rPr>
        <w:t>orti</w:t>
      </w:r>
      <w:r w:rsidR="008F3DE8">
        <w:rPr>
          <w:rFonts w:ascii="Bookman Old Style" w:hAnsi="Bookman Old Style"/>
          <w:sz w:val="24"/>
          <w:szCs w:val="24"/>
        </w:rPr>
        <w:t xml:space="preserve"> </w:t>
      </w:r>
      <w:r w:rsidR="008726D3" w:rsidRPr="008726D3">
        <w:rPr>
          <w:rFonts w:ascii="Bookman Old Style" w:hAnsi="Bookman Old Style"/>
          <w:sz w:val="24"/>
          <w:szCs w:val="24"/>
        </w:rPr>
        <w:t>costituzionali</w:t>
      </w:r>
      <w:r w:rsidR="008F3DE8">
        <w:rPr>
          <w:rFonts w:ascii="Bookman Old Style" w:hAnsi="Bookman Old Style"/>
          <w:sz w:val="24"/>
          <w:szCs w:val="24"/>
        </w:rPr>
        <w:t xml:space="preserve"> </w:t>
      </w:r>
      <w:r w:rsidR="008726D3" w:rsidRPr="008726D3">
        <w:rPr>
          <w:rFonts w:ascii="Bookman Old Style" w:hAnsi="Bookman Old Style"/>
          <w:sz w:val="24"/>
          <w:szCs w:val="24"/>
        </w:rPr>
        <w:t>tedesche</w:t>
      </w:r>
      <w:r w:rsidR="008F3DE8">
        <w:rPr>
          <w:rFonts w:ascii="Bookman Old Style" w:hAnsi="Bookman Old Style"/>
          <w:sz w:val="24"/>
          <w:szCs w:val="24"/>
        </w:rPr>
        <w:t xml:space="preserve"> </w:t>
      </w:r>
      <w:r w:rsidR="008726D3" w:rsidRPr="008726D3">
        <w:rPr>
          <w:rFonts w:ascii="Bookman Old Style" w:hAnsi="Bookman Old Style"/>
          <w:sz w:val="24"/>
          <w:szCs w:val="24"/>
        </w:rPr>
        <w:t>e</w:t>
      </w:r>
      <w:r w:rsidR="008F3DE8">
        <w:rPr>
          <w:rFonts w:ascii="Bookman Old Style" w:hAnsi="Bookman Old Style"/>
          <w:sz w:val="24"/>
          <w:szCs w:val="24"/>
        </w:rPr>
        <w:t xml:space="preserve"> </w:t>
      </w:r>
      <w:r w:rsidR="008726D3" w:rsidRPr="008726D3">
        <w:rPr>
          <w:rFonts w:ascii="Bookman Old Style" w:hAnsi="Bookman Old Style"/>
          <w:sz w:val="24"/>
          <w:szCs w:val="24"/>
        </w:rPr>
        <w:t>italiane,</w:t>
      </w:r>
      <w:r w:rsidR="008F3DE8">
        <w:rPr>
          <w:rFonts w:ascii="Bookman Old Style" w:hAnsi="Bookman Old Style"/>
          <w:sz w:val="24"/>
          <w:szCs w:val="24"/>
        </w:rPr>
        <w:t xml:space="preserve"> </w:t>
      </w:r>
      <w:r w:rsidR="008726D3" w:rsidRPr="008726D3">
        <w:rPr>
          <w:rFonts w:ascii="Bookman Old Style" w:hAnsi="Bookman Old Style"/>
          <w:sz w:val="24"/>
          <w:szCs w:val="24"/>
        </w:rPr>
        <w:t>che</w:t>
      </w:r>
      <w:r w:rsidR="008F3DE8">
        <w:rPr>
          <w:rFonts w:ascii="Bookman Old Style" w:hAnsi="Bookman Old Style"/>
          <w:sz w:val="24"/>
          <w:szCs w:val="24"/>
        </w:rPr>
        <w:t xml:space="preserve"> </w:t>
      </w:r>
      <w:r w:rsidR="008726D3" w:rsidRPr="008726D3">
        <w:rPr>
          <w:rFonts w:ascii="Bookman Old Style" w:hAnsi="Bookman Old Style"/>
          <w:sz w:val="24"/>
          <w:szCs w:val="24"/>
        </w:rPr>
        <w:t>avevano</w:t>
      </w:r>
      <w:r w:rsidR="008F3DE8">
        <w:rPr>
          <w:rFonts w:ascii="Bookman Old Style" w:hAnsi="Bookman Old Style"/>
          <w:sz w:val="24"/>
          <w:szCs w:val="24"/>
        </w:rPr>
        <w:t xml:space="preserve"> </w:t>
      </w:r>
      <w:r w:rsidR="008726D3" w:rsidRPr="008726D3">
        <w:rPr>
          <w:rFonts w:ascii="Bookman Old Style" w:hAnsi="Bookman Old Style"/>
          <w:sz w:val="24"/>
          <w:szCs w:val="24"/>
        </w:rPr>
        <w:t>individuato</w:t>
      </w:r>
      <w:r w:rsidR="008F3DE8">
        <w:rPr>
          <w:rFonts w:ascii="Bookman Old Style" w:hAnsi="Bookman Old Style"/>
          <w:sz w:val="24"/>
          <w:szCs w:val="24"/>
        </w:rPr>
        <w:t xml:space="preserve"> </w:t>
      </w:r>
      <w:r w:rsidR="008726D3" w:rsidRPr="008726D3">
        <w:rPr>
          <w:rFonts w:ascii="Bookman Old Style" w:hAnsi="Bookman Old Style"/>
          <w:sz w:val="24"/>
          <w:szCs w:val="24"/>
        </w:rPr>
        <w:t>nella</w:t>
      </w:r>
      <w:r w:rsidR="008F3DE8">
        <w:rPr>
          <w:rFonts w:ascii="Bookman Old Style" w:hAnsi="Bookman Old Style"/>
          <w:sz w:val="24"/>
          <w:szCs w:val="24"/>
        </w:rPr>
        <w:t xml:space="preserve"> </w:t>
      </w:r>
      <w:r w:rsidR="008726D3" w:rsidRPr="008726D3">
        <w:rPr>
          <w:rFonts w:ascii="Bookman Old Style" w:hAnsi="Bookman Old Style"/>
          <w:sz w:val="24"/>
          <w:szCs w:val="24"/>
        </w:rPr>
        <w:t>protezione</w:t>
      </w:r>
      <w:r w:rsidR="008F3DE8">
        <w:rPr>
          <w:rFonts w:ascii="Bookman Old Style" w:hAnsi="Bookman Old Style"/>
          <w:sz w:val="24"/>
          <w:szCs w:val="24"/>
        </w:rPr>
        <w:t xml:space="preserve"> </w:t>
      </w:r>
      <w:r w:rsidR="008726D3" w:rsidRPr="008726D3">
        <w:rPr>
          <w:rFonts w:ascii="Bookman Old Style" w:hAnsi="Bookman Old Style"/>
          <w:sz w:val="24"/>
          <w:szCs w:val="24"/>
        </w:rPr>
        <w:t>dei</w:t>
      </w:r>
      <w:r w:rsidR="008F3DE8">
        <w:rPr>
          <w:rFonts w:ascii="Bookman Old Style" w:hAnsi="Bookman Old Style"/>
          <w:sz w:val="24"/>
          <w:szCs w:val="24"/>
        </w:rPr>
        <w:t xml:space="preserve"> </w:t>
      </w:r>
      <w:r w:rsidR="008726D3" w:rsidRPr="008726D3">
        <w:rPr>
          <w:rFonts w:ascii="Bookman Old Style" w:hAnsi="Bookman Old Style"/>
          <w:sz w:val="24"/>
          <w:szCs w:val="24"/>
        </w:rPr>
        <w:t>diritti</w:t>
      </w:r>
      <w:r w:rsidR="008F3DE8">
        <w:rPr>
          <w:rFonts w:ascii="Bookman Old Style" w:hAnsi="Bookman Old Style"/>
          <w:sz w:val="24"/>
          <w:szCs w:val="24"/>
        </w:rPr>
        <w:t xml:space="preserve"> </w:t>
      </w:r>
      <w:r w:rsidR="008726D3" w:rsidRPr="008726D3">
        <w:rPr>
          <w:rFonts w:ascii="Bookman Old Style" w:hAnsi="Bookman Old Style"/>
          <w:sz w:val="24"/>
          <w:szCs w:val="24"/>
        </w:rPr>
        <w:t>fondamentali</w:t>
      </w:r>
      <w:r w:rsidR="008F3DE8">
        <w:rPr>
          <w:rFonts w:ascii="Bookman Old Style" w:hAnsi="Bookman Old Style"/>
          <w:sz w:val="24"/>
          <w:szCs w:val="24"/>
        </w:rPr>
        <w:t xml:space="preserve"> </w:t>
      </w:r>
      <w:r w:rsidR="008726D3" w:rsidRPr="008726D3">
        <w:rPr>
          <w:rFonts w:ascii="Bookman Old Style" w:hAnsi="Bookman Old Style"/>
          <w:sz w:val="24"/>
          <w:szCs w:val="24"/>
        </w:rPr>
        <w:t>un</w:t>
      </w:r>
      <w:r w:rsidR="008F3DE8">
        <w:rPr>
          <w:rFonts w:ascii="Bookman Old Style" w:hAnsi="Bookman Old Style"/>
          <w:sz w:val="24"/>
          <w:szCs w:val="24"/>
        </w:rPr>
        <w:t xml:space="preserve"> </w:t>
      </w:r>
      <w:r w:rsidR="008726D3" w:rsidRPr="008726D3">
        <w:rPr>
          <w:rFonts w:ascii="Bookman Old Style" w:hAnsi="Bookman Old Style"/>
          <w:sz w:val="24"/>
          <w:szCs w:val="24"/>
        </w:rPr>
        <w:t>limite</w:t>
      </w:r>
      <w:r w:rsidR="008F3DE8">
        <w:rPr>
          <w:rFonts w:ascii="Bookman Old Style" w:hAnsi="Bookman Old Style"/>
          <w:sz w:val="24"/>
          <w:szCs w:val="24"/>
        </w:rPr>
        <w:t xml:space="preserve"> </w:t>
      </w:r>
      <w:r w:rsidR="008726D3" w:rsidRPr="008726D3">
        <w:rPr>
          <w:rFonts w:ascii="Bookman Old Style" w:hAnsi="Bookman Old Style"/>
          <w:sz w:val="24"/>
          <w:szCs w:val="24"/>
        </w:rPr>
        <w:t>all</w:t>
      </w:r>
      <w:r w:rsidR="00486DB5">
        <w:rPr>
          <w:rFonts w:ascii="Bookman Old Style" w:hAnsi="Bookman Old Style"/>
          <w:sz w:val="24"/>
          <w:szCs w:val="24"/>
        </w:rPr>
        <w:t>’</w:t>
      </w:r>
      <w:r w:rsidR="008726D3" w:rsidRPr="008726D3">
        <w:rPr>
          <w:rFonts w:ascii="Bookman Old Style" w:hAnsi="Bookman Old Style"/>
          <w:sz w:val="24"/>
          <w:szCs w:val="24"/>
        </w:rPr>
        <w:t>applicazione</w:t>
      </w:r>
      <w:r w:rsidR="008F3DE8">
        <w:rPr>
          <w:rFonts w:ascii="Bookman Old Style" w:hAnsi="Bookman Old Style"/>
          <w:sz w:val="24"/>
          <w:szCs w:val="24"/>
        </w:rPr>
        <w:t xml:space="preserve"> </w:t>
      </w:r>
      <w:r w:rsidR="008726D3" w:rsidRPr="008726D3">
        <w:rPr>
          <w:rFonts w:ascii="Bookman Old Style" w:hAnsi="Bookman Old Style"/>
          <w:sz w:val="24"/>
          <w:szCs w:val="24"/>
        </w:rPr>
        <w:t>del</w:t>
      </w:r>
      <w:r w:rsidR="008F3DE8">
        <w:rPr>
          <w:rFonts w:ascii="Bookman Old Style" w:hAnsi="Bookman Old Style"/>
          <w:sz w:val="24"/>
          <w:szCs w:val="24"/>
        </w:rPr>
        <w:t xml:space="preserve"> </w:t>
      </w:r>
      <w:r w:rsidR="008726D3" w:rsidRPr="008726D3">
        <w:rPr>
          <w:rFonts w:ascii="Bookman Old Style" w:hAnsi="Bookman Old Style"/>
          <w:sz w:val="24"/>
          <w:szCs w:val="24"/>
        </w:rPr>
        <w:t>diritto</w:t>
      </w:r>
      <w:r w:rsidR="008F3DE8">
        <w:rPr>
          <w:rFonts w:ascii="Bookman Old Style" w:hAnsi="Bookman Old Style"/>
          <w:sz w:val="24"/>
          <w:szCs w:val="24"/>
        </w:rPr>
        <w:t xml:space="preserve"> </w:t>
      </w:r>
      <w:r w:rsidR="008726D3" w:rsidRPr="008726D3">
        <w:rPr>
          <w:rFonts w:ascii="Bookman Old Style" w:hAnsi="Bookman Old Style"/>
          <w:sz w:val="24"/>
          <w:szCs w:val="24"/>
        </w:rPr>
        <w:t>comunitario</w:t>
      </w:r>
      <w:r w:rsidR="008F3DE8">
        <w:rPr>
          <w:rFonts w:ascii="Bookman Old Style" w:hAnsi="Bookman Old Style"/>
          <w:sz w:val="24"/>
          <w:szCs w:val="24"/>
        </w:rPr>
        <w:t xml:space="preserve"> </w:t>
      </w:r>
      <w:r w:rsidR="008726D3" w:rsidRPr="008726D3">
        <w:rPr>
          <w:rFonts w:ascii="Bookman Old Style" w:hAnsi="Bookman Old Style"/>
          <w:sz w:val="24"/>
          <w:szCs w:val="24"/>
        </w:rPr>
        <w:t>ne</w:t>
      </w:r>
      <w:r w:rsidR="00486DB5">
        <w:rPr>
          <w:rFonts w:ascii="Bookman Old Style" w:hAnsi="Bookman Old Style"/>
          <w:sz w:val="24"/>
          <w:szCs w:val="24"/>
        </w:rPr>
        <w:t>i rispettivi</w:t>
      </w:r>
      <w:r w:rsidR="008F3DE8">
        <w:rPr>
          <w:rFonts w:ascii="Bookman Old Style" w:hAnsi="Bookman Old Style"/>
          <w:sz w:val="24"/>
          <w:szCs w:val="24"/>
        </w:rPr>
        <w:t xml:space="preserve"> </w:t>
      </w:r>
      <w:r w:rsidR="008726D3" w:rsidRPr="008726D3">
        <w:rPr>
          <w:rFonts w:ascii="Bookman Old Style" w:hAnsi="Bookman Old Style"/>
          <w:sz w:val="24"/>
          <w:szCs w:val="24"/>
        </w:rPr>
        <w:t>ordinamenti</w:t>
      </w:r>
      <w:r w:rsidR="008F3DE8">
        <w:rPr>
          <w:rFonts w:ascii="Bookman Old Style" w:hAnsi="Bookman Old Style"/>
          <w:sz w:val="24"/>
          <w:szCs w:val="24"/>
        </w:rPr>
        <w:t xml:space="preserve"> </w:t>
      </w:r>
      <w:r w:rsidR="008726D3" w:rsidRPr="008726D3">
        <w:rPr>
          <w:rFonts w:ascii="Bookman Old Style" w:hAnsi="Bookman Old Style"/>
          <w:sz w:val="24"/>
          <w:szCs w:val="24"/>
        </w:rPr>
        <w:t>statali</w:t>
      </w:r>
      <w:r>
        <w:rPr>
          <w:rFonts w:ascii="Bookman Old Style" w:hAnsi="Bookman Old Style"/>
          <w:sz w:val="24"/>
          <w:szCs w:val="24"/>
        </w:rPr>
        <w:t xml:space="preserve"> </w:t>
      </w:r>
      <w:r w:rsidR="008726D3" w:rsidRPr="008726D3">
        <w:rPr>
          <w:rFonts w:ascii="Bookman Old Style" w:hAnsi="Bookman Old Style"/>
          <w:sz w:val="24"/>
          <w:szCs w:val="24"/>
        </w:rPr>
        <w:footnoteReference w:id="20"/>
      </w:r>
      <w:r w:rsidR="008726D3" w:rsidRPr="008726D3">
        <w:rPr>
          <w:rFonts w:ascii="Bookman Old Style" w:hAnsi="Bookman Old Style"/>
          <w:sz w:val="24"/>
          <w:szCs w:val="24"/>
        </w:rPr>
        <w:t>.</w:t>
      </w:r>
    </w:p>
    <w:p w:rsidR="008726D3" w:rsidRDefault="008F3DE8" w:rsidP="008726D3">
      <w:pPr>
        <w:ind w:firstLine="709"/>
        <w:jc w:val="both"/>
        <w:rPr>
          <w:rFonts w:ascii="Bookman Old Style" w:hAnsi="Bookman Old Style"/>
          <w:sz w:val="24"/>
          <w:szCs w:val="24"/>
        </w:rPr>
      </w:pPr>
      <w:r>
        <w:rPr>
          <w:rFonts w:ascii="Bookman Old Style" w:hAnsi="Bookman Old Style"/>
          <w:sz w:val="24"/>
          <w:szCs w:val="24"/>
        </w:rPr>
        <w:t xml:space="preserve">Tale percorso normativo ha trovato la sua conclusione con l’adozione della Carta dei diritti </w:t>
      </w:r>
      <w:r w:rsidR="008726D3" w:rsidRPr="008726D3">
        <w:rPr>
          <w:rFonts w:ascii="Bookman Old Style" w:hAnsi="Bookman Old Style"/>
          <w:sz w:val="24"/>
          <w:szCs w:val="24"/>
        </w:rPr>
        <w:t>fondamentali</w:t>
      </w:r>
      <w:r>
        <w:rPr>
          <w:rFonts w:ascii="Bookman Old Style" w:hAnsi="Bookman Old Style"/>
          <w:sz w:val="24"/>
          <w:szCs w:val="24"/>
        </w:rPr>
        <w:t xml:space="preserve"> </w:t>
      </w:r>
      <w:r w:rsidR="008726D3" w:rsidRPr="008726D3">
        <w:rPr>
          <w:rFonts w:ascii="Bookman Old Style" w:hAnsi="Bookman Old Style"/>
          <w:sz w:val="24"/>
          <w:szCs w:val="24"/>
        </w:rPr>
        <w:t>dell'Unione</w:t>
      </w:r>
      <w:r>
        <w:rPr>
          <w:rFonts w:ascii="Bookman Old Style" w:hAnsi="Bookman Old Style"/>
          <w:sz w:val="24"/>
          <w:szCs w:val="24"/>
        </w:rPr>
        <w:t xml:space="preserve"> </w:t>
      </w:r>
      <w:r w:rsidR="008726D3" w:rsidRPr="008726D3">
        <w:rPr>
          <w:rFonts w:ascii="Bookman Old Style" w:hAnsi="Bookman Old Style"/>
          <w:sz w:val="24"/>
          <w:szCs w:val="24"/>
        </w:rPr>
        <w:t>europea,</w:t>
      </w:r>
      <w:r>
        <w:rPr>
          <w:rFonts w:ascii="Bookman Old Style" w:hAnsi="Bookman Old Style"/>
          <w:sz w:val="24"/>
          <w:szCs w:val="24"/>
        </w:rPr>
        <w:t xml:space="preserve"> </w:t>
      </w:r>
      <w:r w:rsidR="008726D3" w:rsidRPr="008726D3">
        <w:rPr>
          <w:rFonts w:ascii="Bookman Old Style" w:hAnsi="Bookman Old Style"/>
          <w:sz w:val="24"/>
          <w:szCs w:val="24"/>
        </w:rPr>
        <w:t>anche</w:t>
      </w:r>
      <w:r>
        <w:rPr>
          <w:rFonts w:ascii="Bookman Old Style" w:hAnsi="Bookman Old Style"/>
          <w:sz w:val="24"/>
          <w:szCs w:val="24"/>
        </w:rPr>
        <w:t xml:space="preserve"> nota come </w:t>
      </w:r>
      <w:r w:rsidR="008726D3" w:rsidRPr="008726D3">
        <w:rPr>
          <w:rFonts w:ascii="Bookman Old Style" w:hAnsi="Bookman Old Style"/>
          <w:sz w:val="24"/>
          <w:szCs w:val="24"/>
        </w:rPr>
        <w:t>Carta</w:t>
      </w:r>
      <w:r>
        <w:rPr>
          <w:rFonts w:ascii="Bookman Old Style" w:hAnsi="Bookman Old Style"/>
          <w:sz w:val="24"/>
          <w:szCs w:val="24"/>
        </w:rPr>
        <w:t xml:space="preserve"> </w:t>
      </w:r>
      <w:r w:rsidR="008726D3" w:rsidRPr="008726D3">
        <w:rPr>
          <w:rFonts w:ascii="Bookman Old Style" w:hAnsi="Bookman Old Style"/>
          <w:sz w:val="24"/>
          <w:szCs w:val="24"/>
        </w:rPr>
        <w:t>di</w:t>
      </w:r>
      <w:r>
        <w:rPr>
          <w:rFonts w:ascii="Bookman Old Style" w:hAnsi="Bookman Old Style"/>
          <w:sz w:val="24"/>
          <w:szCs w:val="24"/>
        </w:rPr>
        <w:t xml:space="preserve"> </w:t>
      </w:r>
      <w:r w:rsidR="008726D3" w:rsidRPr="008726D3">
        <w:rPr>
          <w:rFonts w:ascii="Bookman Old Style" w:hAnsi="Bookman Old Style"/>
          <w:sz w:val="24"/>
          <w:szCs w:val="24"/>
        </w:rPr>
        <w:t>Nizza</w:t>
      </w:r>
      <w:r>
        <w:rPr>
          <w:rFonts w:ascii="Bookman Old Style" w:hAnsi="Bookman Old Style"/>
          <w:sz w:val="24"/>
          <w:szCs w:val="24"/>
        </w:rPr>
        <w:t>.</w:t>
      </w:r>
      <w:r w:rsidR="00486DB5">
        <w:rPr>
          <w:rFonts w:ascii="Bookman Old Style" w:hAnsi="Bookman Old Style"/>
          <w:sz w:val="24"/>
          <w:szCs w:val="24"/>
        </w:rPr>
        <w:t xml:space="preserve"> </w:t>
      </w:r>
      <w:r>
        <w:rPr>
          <w:rFonts w:ascii="Bookman Old Style" w:hAnsi="Bookman Old Style"/>
          <w:sz w:val="24"/>
          <w:szCs w:val="24"/>
        </w:rPr>
        <w:t xml:space="preserve">La Carta </w:t>
      </w:r>
      <w:r w:rsidR="008726D3" w:rsidRPr="008726D3">
        <w:rPr>
          <w:rFonts w:ascii="Bookman Old Style" w:hAnsi="Bookman Old Style"/>
          <w:sz w:val="24"/>
          <w:szCs w:val="24"/>
        </w:rPr>
        <w:t>è</w:t>
      </w:r>
      <w:r>
        <w:rPr>
          <w:rFonts w:ascii="Bookman Old Style" w:hAnsi="Bookman Old Style"/>
          <w:sz w:val="24"/>
          <w:szCs w:val="24"/>
        </w:rPr>
        <w:t xml:space="preserve"> </w:t>
      </w:r>
      <w:r w:rsidR="008726D3" w:rsidRPr="008726D3">
        <w:rPr>
          <w:rFonts w:ascii="Bookman Old Style" w:hAnsi="Bookman Old Style"/>
          <w:sz w:val="24"/>
          <w:szCs w:val="24"/>
        </w:rPr>
        <w:t>stata</w:t>
      </w:r>
      <w:r>
        <w:rPr>
          <w:rFonts w:ascii="Bookman Old Style" w:hAnsi="Bookman Old Style"/>
          <w:sz w:val="24"/>
          <w:szCs w:val="24"/>
        </w:rPr>
        <w:t xml:space="preserve"> </w:t>
      </w:r>
      <w:r w:rsidR="008726D3" w:rsidRPr="008726D3">
        <w:rPr>
          <w:rFonts w:ascii="Bookman Old Style" w:hAnsi="Bookman Old Style"/>
          <w:sz w:val="24"/>
          <w:szCs w:val="24"/>
        </w:rPr>
        <w:t>solennemente</w:t>
      </w:r>
      <w:r>
        <w:rPr>
          <w:rFonts w:ascii="Bookman Old Style" w:hAnsi="Bookman Old Style"/>
          <w:sz w:val="24"/>
          <w:szCs w:val="24"/>
        </w:rPr>
        <w:t xml:space="preserve"> </w:t>
      </w:r>
      <w:r w:rsidR="008726D3" w:rsidRPr="008726D3">
        <w:rPr>
          <w:rFonts w:ascii="Bookman Old Style" w:hAnsi="Bookman Old Style"/>
          <w:sz w:val="24"/>
          <w:szCs w:val="24"/>
        </w:rPr>
        <w:t>proclamata</w:t>
      </w:r>
      <w:r w:rsidR="00486DB5">
        <w:rPr>
          <w:rFonts w:ascii="Bookman Old Style" w:hAnsi="Bookman Old Style"/>
          <w:sz w:val="24"/>
          <w:szCs w:val="24"/>
        </w:rPr>
        <w:t>,</w:t>
      </w:r>
      <w:r>
        <w:rPr>
          <w:rFonts w:ascii="Bookman Old Style" w:hAnsi="Bookman Old Style"/>
          <w:sz w:val="24"/>
          <w:szCs w:val="24"/>
        </w:rPr>
        <w:t xml:space="preserve"> </w:t>
      </w:r>
      <w:r w:rsidR="008726D3" w:rsidRPr="008726D3">
        <w:rPr>
          <w:rFonts w:ascii="Bookman Old Style" w:hAnsi="Bookman Old Style"/>
          <w:sz w:val="24"/>
          <w:szCs w:val="24"/>
        </w:rPr>
        <w:t>una</w:t>
      </w:r>
      <w:r>
        <w:rPr>
          <w:rFonts w:ascii="Bookman Old Style" w:hAnsi="Bookman Old Style"/>
          <w:sz w:val="24"/>
          <w:szCs w:val="24"/>
        </w:rPr>
        <w:t xml:space="preserve"> </w:t>
      </w:r>
      <w:r w:rsidR="008726D3" w:rsidRPr="008726D3">
        <w:rPr>
          <w:rFonts w:ascii="Bookman Old Style" w:hAnsi="Bookman Old Style"/>
          <w:sz w:val="24"/>
          <w:szCs w:val="24"/>
        </w:rPr>
        <w:t>prima</w:t>
      </w:r>
      <w:r>
        <w:rPr>
          <w:rFonts w:ascii="Bookman Old Style" w:hAnsi="Bookman Old Style"/>
          <w:sz w:val="24"/>
          <w:szCs w:val="24"/>
        </w:rPr>
        <w:t xml:space="preserve"> </w:t>
      </w:r>
      <w:r w:rsidR="008726D3" w:rsidRPr="008726D3">
        <w:rPr>
          <w:rFonts w:ascii="Bookman Old Style" w:hAnsi="Bookman Old Style"/>
          <w:sz w:val="24"/>
          <w:szCs w:val="24"/>
        </w:rPr>
        <w:t>volta</w:t>
      </w:r>
      <w:r w:rsidR="00486DB5">
        <w:rPr>
          <w:rFonts w:ascii="Bookman Old Style" w:hAnsi="Bookman Old Style"/>
          <w:sz w:val="24"/>
          <w:szCs w:val="24"/>
        </w:rPr>
        <w:t>,</w:t>
      </w:r>
      <w:r>
        <w:rPr>
          <w:rFonts w:ascii="Bookman Old Style" w:hAnsi="Bookman Old Style"/>
          <w:sz w:val="24"/>
          <w:szCs w:val="24"/>
        </w:rPr>
        <w:t xml:space="preserve"> </w:t>
      </w:r>
      <w:r w:rsidR="008726D3" w:rsidRPr="008726D3">
        <w:rPr>
          <w:rFonts w:ascii="Bookman Old Style" w:hAnsi="Bookman Old Style"/>
          <w:sz w:val="24"/>
          <w:szCs w:val="24"/>
        </w:rPr>
        <w:t>il</w:t>
      </w:r>
      <w:r>
        <w:rPr>
          <w:rFonts w:ascii="Bookman Old Style" w:hAnsi="Bookman Old Style"/>
          <w:sz w:val="24"/>
          <w:szCs w:val="24"/>
        </w:rPr>
        <w:t xml:space="preserve"> </w:t>
      </w:r>
      <w:r w:rsidR="008726D3" w:rsidRPr="008726D3">
        <w:rPr>
          <w:rFonts w:ascii="Bookman Old Style" w:hAnsi="Bookman Old Style"/>
          <w:sz w:val="24"/>
          <w:szCs w:val="24"/>
        </w:rPr>
        <w:t>7</w:t>
      </w:r>
      <w:r>
        <w:rPr>
          <w:rFonts w:ascii="Bookman Old Style" w:hAnsi="Bookman Old Style"/>
          <w:sz w:val="24"/>
          <w:szCs w:val="24"/>
        </w:rPr>
        <w:t xml:space="preserve"> </w:t>
      </w:r>
      <w:r w:rsidR="008726D3" w:rsidRPr="008726D3">
        <w:rPr>
          <w:rFonts w:ascii="Bookman Old Style" w:hAnsi="Bookman Old Style"/>
          <w:sz w:val="24"/>
          <w:szCs w:val="24"/>
        </w:rPr>
        <w:t>dicembre</w:t>
      </w:r>
      <w:r>
        <w:rPr>
          <w:rFonts w:ascii="Bookman Old Style" w:hAnsi="Bookman Old Style"/>
          <w:sz w:val="24"/>
          <w:szCs w:val="24"/>
        </w:rPr>
        <w:t xml:space="preserve"> </w:t>
      </w:r>
      <w:hyperlink r:id="rId9" w:tooltip="2000" w:history="1">
        <w:r w:rsidR="008726D3" w:rsidRPr="008726D3">
          <w:rPr>
            <w:rFonts w:ascii="Bookman Old Style" w:hAnsi="Bookman Old Style"/>
            <w:sz w:val="24"/>
            <w:szCs w:val="24"/>
          </w:rPr>
          <w:t>2000</w:t>
        </w:r>
      </w:hyperlink>
      <w:r>
        <w:rPr>
          <w:rFonts w:ascii="Bookman Old Style" w:hAnsi="Bookman Old Style"/>
          <w:sz w:val="24"/>
          <w:szCs w:val="24"/>
        </w:rPr>
        <w:t xml:space="preserve"> </w:t>
      </w:r>
      <w:r w:rsidR="008726D3" w:rsidRPr="008726D3">
        <w:rPr>
          <w:rFonts w:ascii="Bookman Old Style" w:hAnsi="Bookman Old Style"/>
          <w:sz w:val="24"/>
          <w:szCs w:val="24"/>
        </w:rPr>
        <w:t>a</w:t>
      </w:r>
      <w:r>
        <w:rPr>
          <w:rFonts w:ascii="Bookman Old Style" w:hAnsi="Bookman Old Style"/>
          <w:sz w:val="24"/>
          <w:szCs w:val="24"/>
        </w:rPr>
        <w:t xml:space="preserve"> </w:t>
      </w:r>
      <w:hyperlink r:id="rId10" w:tooltip="Nizza" w:history="1">
        <w:r w:rsidR="008726D3" w:rsidRPr="008726D3">
          <w:rPr>
            <w:rFonts w:ascii="Bookman Old Style" w:hAnsi="Bookman Old Style"/>
            <w:sz w:val="24"/>
            <w:szCs w:val="24"/>
          </w:rPr>
          <w:t>Nizza</w:t>
        </w:r>
      </w:hyperlink>
      <w:r>
        <w:rPr>
          <w:rFonts w:ascii="Bookman Old Style" w:hAnsi="Bookman Old Style"/>
          <w:sz w:val="24"/>
          <w:szCs w:val="24"/>
        </w:rPr>
        <w:t xml:space="preserve"> </w:t>
      </w:r>
      <w:r w:rsidR="008726D3" w:rsidRPr="008726D3">
        <w:rPr>
          <w:rFonts w:ascii="Bookman Old Style" w:hAnsi="Bookman Old Style"/>
          <w:sz w:val="24"/>
          <w:szCs w:val="24"/>
        </w:rPr>
        <w:t>e</w:t>
      </w:r>
      <w:r w:rsidR="00486DB5">
        <w:rPr>
          <w:rFonts w:ascii="Bookman Old Style" w:hAnsi="Bookman Old Style"/>
          <w:sz w:val="24"/>
          <w:szCs w:val="24"/>
        </w:rPr>
        <w:t>,</w:t>
      </w:r>
      <w:r>
        <w:rPr>
          <w:rFonts w:ascii="Bookman Old Style" w:hAnsi="Bookman Old Style"/>
          <w:sz w:val="24"/>
          <w:szCs w:val="24"/>
        </w:rPr>
        <w:t xml:space="preserve"> </w:t>
      </w:r>
      <w:r w:rsidR="008726D3" w:rsidRPr="008726D3">
        <w:rPr>
          <w:rFonts w:ascii="Bookman Old Style" w:hAnsi="Bookman Old Style"/>
          <w:sz w:val="24"/>
          <w:szCs w:val="24"/>
        </w:rPr>
        <w:t>una</w:t>
      </w:r>
      <w:r>
        <w:rPr>
          <w:rFonts w:ascii="Bookman Old Style" w:hAnsi="Bookman Old Style"/>
          <w:sz w:val="24"/>
          <w:szCs w:val="24"/>
        </w:rPr>
        <w:t xml:space="preserve"> </w:t>
      </w:r>
      <w:r w:rsidR="008726D3" w:rsidRPr="008726D3">
        <w:rPr>
          <w:rFonts w:ascii="Bookman Old Style" w:hAnsi="Bookman Old Style"/>
          <w:sz w:val="24"/>
          <w:szCs w:val="24"/>
        </w:rPr>
        <w:t>seconda</w:t>
      </w:r>
      <w:r>
        <w:rPr>
          <w:rFonts w:ascii="Bookman Old Style" w:hAnsi="Bookman Old Style"/>
          <w:sz w:val="24"/>
          <w:szCs w:val="24"/>
        </w:rPr>
        <w:t xml:space="preserve"> </w:t>
      </w:r>
      <w:r w:rsidR="008726D3" w:rsidRPr="008726D3">
        <w:rPr>
          <w:rFonts w:ascii="Bookman Old Style" w:hAnsi="Bookman Old Style"/>
          <w:sz w:val="24"/>
          <w:szCs w:val="24"/>
        </w:rPr>
        <w:t>volta,</w:t>
      </w:r>
      <w:r>
        <w:rPr>
          <w:rFonts w:ascii="Bookman Old Style" w:hAnsi="Bookman Old Style"/>
          <w:sz w:val="24"/>
          <w:szCs w:val="24"/>
        </w:rPr>
        <w:t xml:space="preserve"> </w:t>
      </w:r>
      <w:r w:rsidR="008726D3" w:rsidRPr="008726D3">
        <w:rPr>
          <w:rFonts w:ascii="Bookman Old Style" w:hAnsi="Bookman Old Style"/>
          <w:sz w:val="24"/>
          <w:szCs w:val="24"/>
        </w:rPr>
        <w:t>in</w:t>
      </w:r>
      <w:r>
        <w:rPr>
          <w:rFonts w:ascii="Bookman Old Style" w:hAnsi="Bookman Old Style"/>
          <w:sz w:val="24"/>
          <w:szCs w:val="24"/>
        </w:rPr>
        <w:t xml:space="preserve"> </w:t>
      </w:r>
      <w:r w:rsidR="008726D3" w:rsidRPr="008726D3">
        <w:rPr>
          <w:rFonts w:ascii="Bookman Old Style" w:hAnsi="Bookman Old Style"/>
          <w:sz w:val="24"/>
          <w:szCs w:val="24"/>
        </w:rPr>
        <w:t>una</w:t>
      </w:r>
      <w:r>
        <w:rPr>
          <w:rFonts w:ascii="Bookman Old Style" w:hAnsi="Bookman Old Style"/>
          <w:sz w:val="24"/>
          <w:szCs w:val="24"/>
        </w:rPr>
        <w:t xml:space="preserve"> </w:t>
      </w:r>
      <w:r w:rsidR="008726D3" w:rsidRPr="008726D3">
        <w:rPr>
          <w:rFonts w:ascii="Bookman Old Style" w:hAnsi="Bookman Old Style"/>
          <w:sz w:val="24"/>
          <w:szCs w:val="24"/>
        </w:rPr>
        <w:t>versione</w:t>
      </w:r>
      <w:r>
        <w:rPr>
          <w:rFonts w:ascii="Bookman Old Style" w:hAnsi="Bookman Old Style"/>
          <w:sz w:val="24"/>
          <w:szCs w:val="24"/>
        </w:rPr>
        <w:t xml:space="preserve"> </w:t>
      </w:r>
      <w:r w:rsidR="008726D3" w:rsidRPr="008726D3">
        <w:rPr>
          <w:rFonts w:ascii="Bookman Old Style" w:hAnsi="Bookman Old Style"/>
          <w:sz w:val="24"/>
          <w:szCs w:val="24"/>
        </w:rPr>
        <w:t>adattata,</w:t>
      </w:r>
      <w:r>
        <w:rPr>
          <w:rFonts w:ascii="Bookman Old Style" w:hAnsi="Bookman Old Style"/>
          <w:sz w:val="24"/>
          <w:szCs w:val="24"/>
        </w:rPr>
        <w:t xml:space="preserve"> </w:t>
      </w:r>
      <w:r w:rsidR="008726D3" w:rsidRPr="008726D3">
        <w:rPr>
          <w:rFonts w:ascii="Bookman Old Style" w:hAnsi="Bookman Old Style"/>
          <w:sz w:val="24"/>
          <w:szCs w:val="24"/>
        </w:rPr>
        <w:t>il</w:t>
      </w:r>
      <w:r>
        <w:rPr>
          <w:rFonts w:ascii="Bookman Old Style" w:hAnsi="Bookman Old Style"/>
          <w:sz w:val="24"/>
          <w:szCs w:val="24"/>
        </w:rPr>
        <w:t xml:space="preserve"> </w:t>
      </w:r>
      <w:r w:rsidR="008726D3" w:rsidRPr="008726D3">
        <w:rPr>
          <w:rFonts w:ascii="Bookman Old Style" w:hAnsi="Bookman Old Style"/>
          <w:sz w:val="24"/>
          <w:szCs w:val="24"/>
        </w:rPr>
        <w:t>12</w:t>
      </w:r>
      <w:r>
        <w:rPr>
          <w:rFonts w:ascii="Bookman Old Style" w:hAnsi="Bookman Old Style"/>
          <w:sz w:val="24"/>
          <w:szCs w:val="24"/>
        </w:rPr>
        <w:t xml:space="preserve"> </w:t>
      </w:r>
      <w:r w:rsidR="008726D3" w:rsidRPr="008726D3">
        <w:rPr>
          <w:rFonts w:ascii="Bookman Old Style" w:hAnsi="Bookman Old Style"/>
          <w:sz w:val="24"/>
          <w:szCs w:val="24"/>
        </w:rPr>
        <w:t>dicembre</w:t>
      </w:r>
      <w:r>
        <w:rPr>
          <w:rFonts w:ascii="Bookman Old Style" w:hAnsi="Bookman Old Style"/>
          <w:sz w:val="24"/>
          <w:szCs w:val="24"/>
        </w:rPr>
        <w:t xml:space="preserve"> </w:t>
      </w:r>
      <w:hyperlink r:id="rId11" w:tooltip="2007" w:history="1">
        <w:r w:rsidR="008726D3" w:rsidRPr="008726D3">
          <w:rPr>
            <w:rFonts w:ascii="Bookman Old Style" w:hAnsi="Bookman Old Style"/>
            <w:sz w:val="24"/>
            <w:szCs w:val="24"/>
          </w:rPr>
          <w:t>2007</w:t>
        </w:r>
      </w:hyperlink>
      <w:r>
        <w:rPr>
          <w:rFonts w:ascii="Bookman Old Style" w:hAnsi="Bookman Old Style"/>
          <w:sz w:val="24"/>
          <w:szCs w:val="24"/>
        </w:rPr>
        <w:t xml:space="preserve"> </w:t>
      </w:r>
      <w:r w:rsidR="008726D3" w:rsidRPr="008726D3">
        <w:rPr>
          <w:rFonts w:ascii="Bookman Old Style" w:hAnsi="Bookman Old Style"/>
          <w:sz w:val="24"/>
          <w:szCs w:val="24"/>
        </w:rPr>
        <w:t>a</w:t>
      </w:r>
      <w:r>
        <w:rPr>
          <w:rFonts w:ascii="Bookman Old Style" w:hAnsi="Bookman Old Style"/>
          <w:sz w:val="24"/>
          <w:szCs w:val="24"/>
        </w:rPr>
        <w:t xml:space="preserve"> </w:t>
      </w:r>
      <w:hyperlink r:id="rId12" w:tooltip="Strasburgo" w:history="1">
        <w:r w:rsidR="008726D3" w:rsidRPr="008726D3">
          <w:rPr>
            <w:rFonts w:ascii="Bookman Old Style" w:hAnsi="Bookman Old Style"/>
            <w:sz w:val="24"/>
            <w:szCs w:val="24"/>
          </w:rPr>
          <w:t>Strasburgo</w:t>
        </w:r>
      </w:hyperlink>
      <w:r>
        <w:rPr>
          <w:rFonts w:ascii="Bookman Old Style" w:hAnsi="Bookman Old Style"/>
          <w:sz w:val="24"/>
          <w:szCs w:val="24"/>
        </w:rPr>
        <w:t xml:space="preserve"> </w:t>
      </w:r>
      <w:r w:rsidR="008726D3" w:rsidRPr="008726D3">
        <w:rPr>
          <w:rFonts w:ascii="Bookman Old Style" w:hAnsi="Bookman Old Style"/>
          <w:sz w:val="24"/>
          <w:szCs w:val="24"/>
        </w:rPr>
        <w:t>da</w:t>
      </w:r>
      <w:r>
        <w:rPr>
          <w:rFonts w:ascii="Bookman Old Style" w:hAnsi="Bookman Old Style"/>
          <w:sz w:val="24"/>
          <w:szCs w:val="24"/>
        </w:rPr>
        <w:t xml:space="preserve"> </w:t>
      </w:r>
      <w:hyperlink r:id="rId13" w:tooltip="Parlamento europeo" w:history="1">
        <w:r w:rsidR="008726D3" w:rsidRPr="008726D3">
          <w:rPr>
            <w:rFonts w:ascii="Bookman Old Style" w:hAnsi="Bookman Old Style"/>
            <w:sz w:val="24"/>
            <w:szCs w:val="24"/>
          </w:rPr>
          <w:t>Parlamento</w:t>
        </w:r>
      </w:hyperlink>
      <w:r w:rsidR="008726D3" w:rsidRPr="008726D3">
        <w:rPr>
          <w:rFonts w:ascii="Bookman Old Style" w:hAnsi="Bookman Old Style"/>
          <w:sz w:val="24"/>
          <w:szCs w:val="24"/>
        </w:rPr>
        <w:t>,</w:t>
      </w:r>
      <w:r>
        <w:rPr>
          <w:rFonts w:ascii="Bookman Old Style" w:hAnsi="Bookman Old Style"/>
          <w:sz w:val="24"/>
          <w:szCs w:val="24"/>
        </w:rPr>
        <w:t xml:space="preserve"> </w:t>
      </w:r>
      <w:hyperlink r:id="rId14" w:tooltip="Consiglio dell'Unione europea" w:history="1">
        <w:r w:rsidR="008726D3" w:rsidRPr="008726D3">
          <w:rPr>
            <w:rFonts w:ascii="Bookman Old Style" w:hAnsi="Bookman Old Style"/>
            <w:sz w:val="24"/>
            <w:szCs w:val="24"/>
          </w:rPr>
          <w:t>Consiglio</w:t>
        </w:r>
      </w:hyperlink>
      <w:r>
        <w:rPr>
          <w:rFonts w:ascii="Bookman Old Style" w:hAnsi="Bookman Old Style"/>
          <w:sz w:val="24"/>
          <w:szCs w:val="24"/>
        </w:rPr>
        <w:t xml:space="preserve"> </w:t>
      </w:r>
      <w:r w:rsidR="008726D3" w:rsidRPr="008726D3">
        <w:rPr>
          <w:rFonts w:ascii="Bookman Old Style" w:hAnsi="Bookman Old Style"/>
          <w:sz w:val="24"/>
          <w:szCs w:val="24"/>
        </w:rPr>
        <w:t>e</w:t>
      </w:r>
      <w:r>
        <w:rPr>
          <w:rFonts w:ascii="Bookman Old Style" w:hAnsi="Bookman Old Style"/>
          <w:sz w:val="24"/>
          <w:szCs w:val="24"/>
        </w:rPr>
        <w:t xml:space="preserve"> </w:t>
      </w:r>
      <w:hyperlink r:id="rId15" w:tooltip="Commissione europea" w:history="1">
        <w:r w:rsidR="008726D3" w:rsidRPr="008726D3">
          <w:rPr>
            <w:rFonts w:ascii="Bookman Old Style" w:hAnsi="Bookman Old Style"/>
            <w:sz w:val="24"/>
            <w:szCs w:val="24"/>
          </w:rPr>
          <w:t>Commissione</w:t>
        </w:r>
      </w:hyperlink>
      <w:r w:rsidR="008726D3" w:rsidRPr="008726D3">
        <w:rPr>
          <w:rFonts w:ascii="Bookman Old Style" w:hAnsi="Bookman Old Style"/>
          <w:sz w:val="24"/>
          <w:szCs w:val="24"/>
        </w:rPr>
        <w:t>.</w:t>
      </w:r>
      <w:r w:rsidR="00C81E0F">
        <w:rPr>
          <w:rFonts w:ascii="Bookman Old Style" w:hAnsi="Bookman Old Style"/>
          <w:sz w:val="24"/>
          <w:szCs w:val="24"/>
        </w:rPr>
        <w:t xml:space="preserve"> </w:t>
      </w:r>
      <w:r w:rsidR="008726D3" w:rsidRPr="008726D3">
        <w:rPr>
          <w:rFonts w:ascii="Bookman Old Style" w:hAnsi="Bookman Old Style"/>
          <w:sz w:val="24"/>
          <w:szCs w:val="24"/>
        </w:rPr>
        <w:t>Con</w:t>
      </w:r>
      <w:r>
        <w:rPr>
          <w:rFonts w:ascii="Bookman Old Style" w:hAnsi="Bookman Old Style"/>
          <w:sz w:val="24"/>
          <w:szCs w:val="24"/>
        </w:rPr>
        <w:t xml:space="preserve"> </w:t>
      </w:r>
      <w:r w:rsidR="008726D3" w:rsidRPr="008726D3">
        <w:rPr>
          <w:rFonts w:ascii="Bookman Old Style" w:hAnsi="Bookman Old Style"/>
          <w:sz w:val="24"/>
          <w:szCs w:val="24"/>
        </w:rPr>
        <w:t>l'entrata</w:t>
      </w:r>
      <w:r>
        <w:rPr>
          <w:rFonts w:ascii="Bookman Old Style" w:hAnsi="Bookman Old Style"/>
          <w:sz w:val="24"/>
          <w:szCs w:val="24"/>
        </w:rPr>
        <w:t xml:space="preserve"> </w:t>
      </w:r>
      <w:r w:rsidR="008726D3" w:rsidRPr="008726D3">
        <w:rPr>
          <w:rFonts w:ascii="Bookman Old Style" w:hAnsi="Bookman Old Style"/>
          <w:sz w:val="24"/>
          <w:szCs w:val="24"/>
        </w:rPr>
        <w:t>in</w:t>
      </w:r>
      <w:r>
        <w:rPr>
          <w:rFonts w:ascii="Bookman Old Style" w:hAnsi="Bookman Old Style"/>
          <w:sz w:val="24"/>
          <w:szCs w:val="24"/>
        </w:rPr>
        <w:t xml:space="preserve"> </w:t>
      </w:r>
      <w:r w:rsidR="008726D3" w:rsidRPr="008726D3">
        <w:rPr>
          <w:rFonts w:ascii="Bookman Old Style" w:hAnsi="Bookman Old Style"/>
          <w:sz w:val="24"/>
          <w:szCs w:val="24"/>
        </w:rPr>
        <w:t>vigore</w:t>
      </w:r>
      <w:r>
        <w:rPr>
          <w:rFonts w:ascii="Bookman Old Style" w:hAnsi="Bookman Old Style"/>
          <w:sz w:val="24"/>
          <w:szCs w:val="24"/>
        </w:rPr>
        <w:t xml:space="preserve"> </w:t>
      </w:r>
      <w:r w:rsidR="008726D3" w:rsidRPr="008726D3">
        <w:rPr>
          <w:rFonts w:ascii="Bookman Old Style" w:hAnsi="Bookman Old Style"/>
          <w:sz w:val="24"/>
          <w:szCs w:val="24"/>
        </w:rPr>
        <w:t>del</w:t>
      </w:r>
      <w:r>
        <w:rPr>
          <w:rFonts w:ascii="Bookman Old Style" w:hAnsi="Bookman Old Style"/>
          <w:sz w:val="24"/>
          <w:szCs w:val="24"/>
        </w:rPr>
        <w:t xml:space="preserve"> </w:t>
      </w:r>
      <w:r w:rsidR="008726D3" w:rsidRPr="008726D3">
        <w:rPr>
          <w:rFonts w:ascii="Bookman Old Style" w:hAnsi="Bookman Old Style"/>
          <w:sz w:val="24"/>
          <w:szCs w:val="24"/>
        </w:rPr>
        <w:t>"</w:t>
      </w:r>
      <w:hyperlink r:id="rId16" w:tooltip="Trattato di Lisbona" w:history="1">
        <w:r w:rsidR="008726D3" w:rsidRPr="008726D3">
          <w:rPr>
            <w:rFonts w:ascii="Bookman Old Style" w:hAnsi="Bookman Old Style"/>
            <w:sz w:val="24"/>
            <w:szCs w:val="24"/>
          </w:rPr>
          <w:t>Trattato</w:t>
        </w:r>
        <w:r>
          <w:rPr>
            <w:rFonts w:ascii="Bookman Old Style" w:hAnsi="Bookman Old Style"/>
            <w:sz w:val="24"/>
            <w:szCs w:val="24"/>
          </w:rPr>
          <w:t xml:space="preserve"> </w:t>
        </w:r>
        <w:r w:rsidR="008726D3" w:rsidRPr="008726D3">
          <w:rPr>
            <w:rFonts w:ascii="Bookman Old Style" w:hAnsi="Bookman Old Style"/>
            <w:sz w:val="24"/>
            <w:szCs w:val="24"/>
          </w:rPr>
          <w:t>di</w:t>
        </w:r>
        <w:r>
          <w:rPr>
            <w:rFonts w:ascii="Bookman Old Style" w:hAnsi="Bookman Old Style"/>
            <w:sz w:val="24"/>
            <w:szCs w:val="24"/>
          </w:rPr>
          <w:t xml:space="preserve"> </w:t>
        </w:r>
        <w:r w:rsidR="008726D3" w:rsidRPr="008726D3">
          <w:rPr>
            <w:rFonts w:ascii="Bookman Old Style" w:hAnsi="Bookman Old Style"/>
            <w:sz w:val="24"/>
            <w:szCs w:val="24"/>
          </w:rPr>
          <w:t>Lisbona</w:t>
        </w:r>
      </w:hyperlink>
      <w:r w:rsidR="008726D3" w:rsidRPr="008726D3">
        <w:rPr>
          <w:rFonts w:ascii="Bookman Old Style" w:hAnsi="Bookman Old Style"/>
          <w:sz w:val="24"/>
          <w:szCs w:val="24"/>
        </w:rPr>
        <w:t>",</w:t>
      </w:r>
      <w:r>
        <w:rPr>
          <w:rFonts w:ascii="Bookman Old Style" w:hAnsi="Bookman Old Style"/>
          <w:sz w:val="24"/>
          <w:szCs w:val="24"/>
        </w:rPr>
        <w:t xml:space="preserve"> </w:t>
      </w:r>
      <w:r w:rsidR="008726D3" w:rsidRPr="008726D3">
        <w:rPr>
          <w:rFonts w:ascii="Bookman Old Style" w:hAnsi="Bookman Old Style"/>
          <w:sz w:val="24"/>
          <w:szCs w:val="24"/>
        </w:rPr>
        <w:t>la</w:t>
      </w:r>
      <w:r>
        <w:rPr>
          <w:rFonts w:ascii="Bookman Old Style" w:hAnsi="Bookman Old Style"/>
          <w:sz w:val="24"/>
          <w:szCs w:val="24"/>
        </w:rPr>
        <w:t xml:space="preserve"> </w:t>
      </w:r>
      <w:r w:rsidR="008726D3" w:rsidRPr="008726D3">
        <w:rPr>
          <w:rFonts w:ascii="Bookman Old Style" w:hAnsi="Bookman Old Style"/>
          <w:sz w:val="24"/>
          <w:szCs w:val="24"/>
        </w:rPr>
        <w:t>Carta</w:t>
      </w:r>
      <w:r>
        <w:rPr>
          <w:rFonts w:ascii="Bookman Old Style" w:hAnsi="Bookman Old Style"/>
          <w:sz w:val="24"/>
          <w:szCs w:val="24"/>
        </w:rPr>
        <w:t xml:space="preserve"> </w:t>
      </w:r>
      <w:r w:rsidR="008726D3" w:rsidRPr="008726D3">
        <w:rPr>
          <w:rFonts w:ascii="Bookman Old Style" w:hAnsi="Bookman Old Style"/>
          <w:sz w:val="24"/>
          <w:szCs w:val="24"/>
        </w:rPr>
        <w:t>di</w:t>
      </w:r>
      <w:r>
        <w:rPr>
          <w:rFonts w:ascii="Bookman Old Style" w:hAnsi="Bookman Old Style"/>
          <w:sz w:val="24"/>
          <w:szCs w:val="24"/>
        </w:rPr>
        <w:t xml:space="preserve"> </w:t>
      </w:r>
      <w:r w:rsidR="008726D3" w:rsidRPr="008726D3">
        <w:rPr>
          <w:rFonts w:ascii="Bookman Old Style" w:hAnsi="Bookman Old Style"/>
          <w:sz w:val="24"/>
          <w:szCs w:val="24"/>
        </w:rPr>
        <w:t>Nizza</w:t>
      </w:r>
      <w:r>
        <w:rPr>
          <w:rFonts w:ascii="Bookman Old Style" w:hAnsi="Bookman Old Style"/>
          <w:sz w:val="24"/>
          <w:szCs w:val="24"/>
        </w:rPr>
        <w:t xml:space="preserve"> </w:t>
      </w:r>
      <w:r w:rsidR="008726D3" w:rsidRPr="008726D3">
        <w:rPr>
          <w:rFonts w:ascii="Bookman Old Style" w:hAnsi="Bookman Old Style"/>
          <w:sz w:val="24"/>
          <w:szCs w:val="24"/>
        </w:rPr>
        <w:t>ha</w:t>
      </w:r>
      <w:r>
        <w:rPr>
          <w:rFonts w:ascii="Bookman Old Style" w:hAnsi="Bookman Old Style"/>
          <w:sz w:val="24"/>
          <w:szCs w:val="24"/>
        </w:rPr>
        <w:t xml:space="preserve"> </w:t>
      </w:r>
      <w:r w:rsidR="00A73BB5">
        <w:rPr>
          <w:rFonts w:ascii="Bookman Old Style" w:hAnsi="Bookman Old Style"/>
          <w:sz w:val="24"/>
          <w:szCs w:val="24"/>
        </w:rPr>
        <w:t xml:space="preserve">assunto </w:t>
      </w:r>
      <w:r w:rsidR="008726D3" w:rsidRPr="008726D3">
        <w:rPr>
          <w:rFonts w:ascii="Bookman Old Style" w:hAnsi="Bookman Old Style"/>
          <w:sz w:val="24"/>
          <w:szCs w:val="24"/>
        </w:rPr>
        <w:t>il</w:t>
      </w:r>
      <w:r>
        <w:rPr>
          <w:rFonts w:ascii="Bookman Old Style" w:hAnsi="Bookman Old Style"/>
          <w:sz w:val="24"/>
          <w:szCs w:val="24"/>
        </w:rPr>
        <w:t xml:space="preserve"> </w:t>
      </w:r>
      <w:r w:rsidR="008726D3" w:rsidRPr="008726D3">
        <w:rPr>
          <w:rFonts w:ascii="Bookman Old Style" w:hAnsi="Bookman Old Style"/>
          <w:sz w:val="24"/>
          <w:szCs w:val="24"/>
        </w:rPr>
        <w:t>medesimo</w:t>
      </w:r>
      <w:r>
        <w:rPr>
          <w:rFonts w:ascii="Bookman Old Style" w:hAnsi="Bookman Old Style"/>
          <w:sz w:val="24"/>
          <w:szCs w:val="24"/>
        </w:rPr>
        <w:t xml:space="preserve"> </w:t>
      </w:r>
      <w:r w:rsidR="008726D3" w:rsidRPr="008726D3">
        <w:rPr>
          <w:rFonts w:ascii="Bookman Old Style" w:hAnsi="Bookman Old Style"/>
          <w:sz w:val="24"/>
          <w:szCs w:val="24"/>
        </w:rPr>
        <w:t>valore</w:t>
      </w:r>
      <w:r>
        <w:rPr>
          <w:rFonts w:ascii="Bookman Old Style" w:hAnsi="Bookman Old Style"/>
          <w:sz w:val="24"/>
          <w:szCs w:val="24"/>
        </w:rPr>
        <w:t xml:space="preserve"> </w:t>
      </w:r>
      <w:r w:rsidR="008726D3" w:rsidRPr="008726D3">
        <w:rPr>
          <w:rFonts w:ascii="Bookman Old Style" w:hAnsi="Bookman Old Style"/>
          <w:sz w:val="24"/>
          <w:szCs w:val="24"/>
        </w:rPr>
        <w:t>giuridico</w:t>
      </w:r>
      <w:r>
        <w:rPr>
          <w:rFonts w:ascii="Bookman Old Style" w:hAnsi="Bookman Old Style"/>
          <w:sz w:val="24"/>
          <w:szCs w:val="24"/>
        </w:rPr>
        <w:t xml:space="preserve"> </w:t>
      </w:r>
      <w:r w:rsidR="008726D3" w:rsidRPr="008726D3">
        <w:rPr>
          <w:rFonts w:ascii="Bookman Old Style" w:hAnsi="Bookman Old Style"/>
          <w:sz w:val="24"/>
          <w:szCs w:val="24"/>
        </w:rPr>
        <w:t>dei</w:t>
      </w:r>
      <w:r>
        <w:rPr>
          <w:rFonts w:ascii="Bookman Old Style" w:hAnsi="Bookman Old Style"/>
          <w:sz w:val="24"/>
          <w:szCs w:val="24"/>
        </w:rPr>
        <w:t xml:space="preserve"> </w:t>
      </w:r>
      <w:r w:rsidR="008726D3" w:rsidRPr="008726D3">
        <w:rPr>
          <w:rFonts w:ascii="Bookman Old Style" w:hAnsi="Bookman Old Style"/>
          <w:sz w:val="24"/>
          <w:szCs w:val="24"/>
        </w:rPr>
        <w:t>trattati,</w:t>
      </w:r>
      <w:r>
        <w:rPr>
          <w:rFonts w:ascii="Bookman Old Style" w:hAnsi="Bookman Old Style"/>
          <w:sz w:val="24"/>
          <w:szCs w:val="24"/>
        </w:rPr>
        <w:t xml:space="preserve"> </w:t>
      </w:r>
      <w:r w:rsidR="008726D3" w:rsidRPr="008726D3">
        <w:rPr>
          <w:rFonts w:ascii="Bookman Old Style" w:hAnsi="Bookman Old Style"/>
          <w:sz w:val="24"/>
          <w:szCs w:val="24"/>
        </w:rPr>
        <w:t>ai</w:t>
      </w:r>
      <w:r>
        <w:rPr>
          <w:rFonts w:ascii="Bookman Old Style" w:hAnsi="Bookman Old Style"/>
          <w:sz w:val="24"/>
          <w:szCs w:val="24"/>
        </w:rPr>
        <w:t xml:space="preserve"> </w:t>
      </w:r>
      <w:r w:rsidR="008726D3" w:rsidRPr="008726D3">
        <w:rPr>
          <w:rFonts w:ascii="Bookman Old Style" w:hAnsi="Bookman Old Style"/>
          <w:sz w:val="24"/>
          <w:szCs w:val="24"/>
        </w:rPr>
        <w:t>sensi</w:t>
      </w:r>
      <w:r>
        <w:rPr>
          <w:rFonts w:ascii="Bookman Old Style" w:hAnsi="Bookman Old Style"/>
          <w:sz w:val="24"/>
          <w:szCs w:val="24"/>
        </w:rPr>
        <w:t xml:space="preserve"> </w:t>
      </w:r>
      <w:r w:rsidR="008726D3" w:rsidRPr="008726D3">
        <w:rPr>
          <w:rFonts w:ascii="Bookman Old Style" w:hAnsi="Bookman Old Style"/>
          <w:sz w:val="24"/>
          <w:szCs w:val="24"/>
        </w:rPr>
        <w:t>dell'art.</w:t>
      </w:r>
      <w:r>
        <w:rPr>
          <w:rFonts w:ascii="Bookman Old Style" w:hAnsi="Bookman Old Style"/>
          <w:sz w:val="24"/>
          <w:szCs w:val="24"/>
        </w:rPr>
        <w:t xml:space="preserve"> </w:t>
      </w:r>
      <w:r w:rsidR="008726D3" w:rsidRPr="008726D3">
        <w:rPr>
          <w:rFonts w:ascii="Bookman Old Style" w:hAnsi="Bookman Old Style"/>
          <w:sz w:val="24"/>
          <w:szCs w:val="24"/>
        </w:rPr>
        <w:t>6</w:t>
      </w:r>
      <w:r>
        <w:rPr>
          <w:rFonts w:ascii="Bookman Old Style" w:hAnsi="Bookman Old Style"/>
          <w:sz w:val="24"/>
          <w:szCs w:val="24"/>
        </w:rPr>
        <w:t xml:space="preserve"> </w:t>
      </w:r>
      <w:r w:rsidR="008726D3" w:rsidRPr="008726D3">
        <w:rPr>
          <w:rFonts w:ascii="Bookman Old Style" w:hAnsi="Bookman Old Style"/>
          <w:sz w:val="24"/>
          <w:szCs w:val="24"/>
        </w:rPr>
        <w:t>del</w:t>
      </w:r>
      <w:r>
        <w:rPr>
          <w:rFonts w:ascii="Bookman Old Style" w:hAnsi="Bookman Old Style"/>
          <w:sz w:val="24"/>
          <w:szCs w:val="24"/>
        </w:rPr>
        <w:t xml:space="preserve"> </w:t>
      </w:r>
      <w:hyperlink r:id="rId17" w:tooltip="Trattato sull'Unione europea" w:history="1">
        <w:r w:rsidR="008726D3" w:rsidRPr="008726D3">
          <w:rPr>
            <w:rFonts w:ascii="Bookman Old Style" w:hAnsi="Bookman Old Style"/>
            <w:sz w:val="24"/>
            <w:szCs w:val="24"/>
          </w:rPr>
          <w:t>Trattato</w:t>
        </w:r>
        <w:r>
          <w:rPr>
            <w:rFonts w:ascii="Bookman Old Style" w:hAnsi="Bookman Old Style"/>
            <w:sz w:val="24"/>
            <w:szCs w:val="24"/>
          </w:rPr>
          <w:t xml:space="preserve"> </w:t>
        </w:r>
        <w:r w:rsidR="008726D3" w:rsidRPr="008726D3">
          <w:rPr>
            <w:rFonts w:ascii="Bookman Old Style" w:hAnsi="Bookman Old Style"/>
            <w:sz w:val="24"/>
            <w:szCs w:val="24"/>
          </w:rPr>
          <w:t>sull'Unione</w:t>
        </w:r>
        <w:r>
          <w:rPr>
            <w:rFonts w:ascii="Bookman Old Style" w:hAnsi="Bookman Old Style"/>
            <w:sz w:val="24"/>
            <w:szCs w:val="24"/>
          </w:rPr>
          <w:t xml:space="preserve"> </w:t>
        </w:r>
        <w:r w:rsidR="008726D3" w:rsidRPr="008726D3">
          <w:rPr>
            <w:rFonts w:ascii="Bookman Old Style" w:hAnsi="Bookman Old Style"/>
            <w:sz w:val="24"/>
            <w:szCs w:val="24"/>
          </w:rPr>
          <w:t>europea</w:t>
        </w:r>
      </w:hyperlink>
      <w:r w:rsidR="008726D3" w:rsidRPr="008726D3">
        <w:rPr>
          <w:rFonts w:ascii="Bookman Old Style" w:hAnsi="Bookman Old Style"/>
          <w:sz w:val="24"/>
          <w:szCs w:val="24"/>
        </w:rPr>
        <w:t>,</w:t>
      </w:r>
      <w:r>
        <w:rPr>
          <w:rFonts w:ascii="Bookman Old Style" w:hAnsi="Bookman Old Style"/>
          <w:sz w:val="24"/>
          <w:szCs w:val="24"/>
        </w:rPr>
        <w:t xml:space="preserve"> </w:t>
      </w:r>
      <w:r w:rsidR="008726D3" w:rsidRPr="008726D3">
        <w:rPr>
          <w:rFonts w:ascii="Bookman Old Style" w:hAnsi="Bookman Old Style"/>
          <w:sz w:val="24"/>
          <w:szCs w:val="24"/>
        </w:rPr>
        <w:t>e</w:t>
      </w:r>
      <w:r>
        <w:rPr>
          <w:rFonts w:ascii="Bookman Old Style" w:hAnsi="Bookman Old Style"/>
          <w:sz w:val="24"/>
          <w:szCs w:val="24"/>
        </w:rPr>
        <w:t xml:space="preserve"> </w:t>
      </w:r>
      <w:r w:rsidR="008726D3" w:rsidRPr="008726D3">
        <w:rPr>
          <w:rFonts w:ascii="Bookman Old Style" w:hAnsi="Bookman Old Style"/>
          <w:sz w:val="24"/>
          <w:szCs w:val="24"/>
        </w:rPr>
        <w:t>si</w:t>
      </w:r>
      <w:r>
        <w:rPr>
          <w:rFonts w:ascii="Bookman Old Style" w:hAnsi="Bookman Old Style"/>
          <w:sz w:val="24"/>
          <w:szCs w:val="24"/>
        </w:rPr>
        <w:t xml:space="preserve"> </w:t>
      </w:r>
      <w:r w:rsidR="008726D3" w:rsidRPr="008726D3">
        <w:rPr>
          <w:rFonts w:ascii="Bookman Old Style" w:hAnsi="Bookman Old Style"/>
          <w:sz w:val="24"/>
          <w:szCs w:val="24"/>
        </w:rPr>
        <w:t>pone</w:t>
      </w:r>
      <w:r w:rsidR="00A73BB5">
        <w:rPr>
          <w:rFonts w:ascii="Bookman Old Style" w:hAnsi="Bookman Old Style"/>
          <w:sz w:val="24"/>
          <w:szCs w:val="24"/>
        </w:rPr>
        <w:t>,</w:t>
      </w:r>
      <w:r>
        <w:rPr>
          <w:rFonts w:ascii="Bookman Old Style" w:hAnsi="Bookman Old Style"/>
          <w:sz w:val="24"/>
          <w:szCs w:val="24"/>
        </w:rPr>
        <w:t xml:space="preserve"> </w:t>
      </w:r>
      <w:r w:rsidR="008726D3" w:rsidRPr="008726D3">
        <w:rPr>
          <w:rFonts w:ascii="Bookman Old Style" w:hAnsi="Bookman Old Style"/>
          <w:sz w:val="24"/>
          <w:szCs w:val="24"/>
        </w:rPr>
        <w:t>dunque</w:t>
      </w:r>
      <w:r w:rsidR="00A73BB5">
        <w:rPr>
          <w:rFonts w:ascii="Bookman Old Style" w:hAnsi="Bookman Old Style"/>
          <w:sz w:val="24"/>
          <w:szCs w:val="24"/>
        </w:rPr>
        <w:t>,</w:t>
      </w:r>
      <w:r>
        <w:rPr>
          <w:rFonts w:ascii="Bookman Old Style" w:hAnsi="Bookman Old Style"/>
          <w:sz w:val="24"/>
          <w:szCs w:val="24"/>
        </w:rPr>
        <w:t xml:space="preserve"> </w:t>
      </w:r>
      <w:r w:rsidR="008726D3" w:rsidRPr="008726D3">
        <w:rPr>
          <w:rFonts w:ascii="Bookman Old Style" w:hAnsi="Bookman Old Style"/>
          <w:sz w:val="24"/>
          <w:szCs w:val="24"/>
        </w:rPr>
        <w:t>come</w:t>
      </w:r>
      <w:r>
        <w:rPr>
          <w:rFonts w:ascii="Bookman Old Style" w:hAnsi="Bookman Old Style"/>
          <w:sz w:val="24"/>
          <w:szCs w:val="24"/>
        </w:rPr>
        <w:t xml:space="preserve"> </w:t>
      </w:r>
      <w:r w:rsidR="008726D3" w:rsidRPr="008726D3">
        <w:rPr>
          <w:rFonts w:ascii="Bookman Old Style" w:hAnsi="Bookman Old Style"/>
          <w:sz w:val="24"/>
          <w:szCs w:val="24"/>
        </w:rPr>
        <w:t>pienamente</w:t>
      </w:r>
      <w:r>
        <w:rPr>
          <w:rFonts w:ascii="Bookman Old Style" w:hAnsi="Bookman Old Style"/>
          <w:sz w:val="24"/>
          <w:szCs w:val="24"/>
        </w:rPr>
        <w:t xml:space="preserve"> </w:t>
      </w:r>
      <w:r w:rsidR="008726D3" w:rsidRPr="008726D3">
        <w:rPr>
          <w:rFonts w:ascii="Bookman Old Style" w:hAnsi="Bookman Old Style"/>
          <w:sz w:val="24"/>
          <w:szCs w:val="24"/>
        </w:rPr>
        <w:t>vincolante</w:t>
      </w:r>
      <w:r>
        <w:rPr>
          <w:rFonts w:ascii="Bookman Old Style" w:hAnsi="Bookman Old Style"/>
          <w:sz w:val="24"/>
          <w:szCs w:val="24"/>
        </w:rPr>
        <w:t xml:space="preserve"> </w:t>
      </w:r>
      <w:r w:rsidR="008726D3" w:rsidRPr="008726D3">
        <w:rPr>
          <w:rFonts w:ascii="Bookman Old Style" w:hAnsi="Bookman Old Style"/>
          <w:sz w:val="24"/>
          <w:szCs w:val="24"/>
        </w:rPr>
        <w:t>per</w:t>
      </w:r>
      <w:r>
        <w:rPr>
          <w:rFonts w:ascii="Bookman Old Style" w:hAnsi="Bookman Old Style"/>
          <w:sz w:val="24"/>
          <w:szCs w:val="24"/>
        </w:rPr>
        <w:t xml:space="preserve"> </w:t>
      </w:r>
      <w:r w:rsidR="008726D3" w:rsidRPr="008726D3">
        <w:rPr>
          <w:rFonts w:ascii="Bookman Old Style" w:hAnsi="Bookman Old Style"/>
          <w:sz w:val="24"/>
          <w:szCs w:val="24"/>
        </w:rPr>
        <w:t>le</w:t>
      </w:r>
      <w:r>
        <w:rPr>
          <w:rFonts w:ascii="Bookman Old Style" w:hAnsi="Bookman Old Style"/>
          <w:sz w:val="24"/>
          <w:szCs w:val="24"/>
        </w:rPr>
        <w:t xml:space="preserve"> </w:t>
      </w:r>
      <w:r w:rsidR="008726D3" w:rsidRPr="008726D3">
        <w:rPr>
          <w:rFonts w:ascii="Bookman Old Style" w:hAnsi="Bookman Old Style"/>
          <w:sz w:val="24"/>
          <w:szCs w:val="24"/>
        </w:rPr>
        <w:t>istituzioni</w:t>
      </w:r>
      <w:r>
        <w:rPr>
          <w:rFonts w:ascii="Bookman Old Style" w:hAnsi="Bookman Old Style"/>
          <w:sz w:val="24"/>
          <w:szCs w:val="24"/>
        </w:rPr>
        <w:t xml:space="preserve"> </w:t>
      </w:r>
      <w:r w:rsidR="008726D3" w:rsidRPr="008726D3">
        <w:rPr>
          <w:rFonts w:ascii="Bookman Old Style" w:hAnsi="Bookman Old Style"/>
          <w:sz w:val="24"/>
          <w:szCs w:val="24"/>
        </w:rPr>
        <w:t>europee</w:t>
      </w:r>
      <w:r>
        <w:rPr>
          <w:rFonts w:ascii="Bookman Old Style" w:hAnsi="Bookman Old Style"/>
          <w:sz w:val="24"/>
          <w:szCs w:val="24"/>
        </w:rPr>
        <w:t xml:space="preserve"> </w:t>
      </w:r>
      <w:r w:rsidR="008726D3" w:rsidRPr="008726D3">
        <w:rPr>
          <w:rFonts w:ascii="Bookman Old Style" w:hAnsi="Bookman Old Style"/>
          <w:sz w:val="24"/>
          <w:szCs w:val="24"/>
        </w:rPr>
        <w:t>e</w:t>
      </w:r>
      <w:r>
        <w:rPr>
          <w:rFonts w:ascii="Bookman Old Style" w:hAnsi="Bookman Old Style"/>
          <w:sz w:val="24"/>
          <w:szCs w:val="24"/>
        </w:rPr>
        <w:t xml:space="preserve"> </w:t>
      </w:r>
      <w:r w:rsidR="008726D3" w:rsidRPr="008726D3">
        <w:rPr>
          <w:rFonts w:ascii="Bookman Old Style" w:hAnsi="Bookman Old Style"/>
          <w:sz w:val="24"/>
          <w:szCs w:val="24"/>
        </w:rPr>
        <w:t>gli</w:t>
      </w:r>
      <w:r>
        <w:rPr>
          <w:rFonts w:ascii="Bookman Old Style" w:hAnsi="Bookman Old Style"/>
          <w:sz w:val="24"/>
          <w:szCs w:val="24"/>
        </w:rPr>
        <w:t xml:space="preserve"> </w:t>
      </w:r>
      <w:r w:rsidR="008726D3" w:rsidRPr="008726D3">
        <w:rPr>
          <w:rFonts w:ascii="Bookman Old Style" w:hAnsi="Bookman Old Style"/>
          <w:sz w:val="24"/>
          <w:szCs w:val="24"/>
        </w:rPr>
        <w:t>Stati</w:t>
      </w:r>
      <w:r>
        <w:rPr>
          <w:rFonts w:ascii="Bookman Old Style" w:hAnsi="Bookman Old Style"/>
          <w:sz w:val="24"/>
          <w:szCs w:val="24"/>
        </w:rPr>
        <w:t xml:space="preserve"> </w:t>
      </w:r>
      <w:r w:rsidR="008726D3" w:rsidRPr="008726D3">
        <w:rPr>
          <w:rFonts w:ascii="Bookman Old Style" w:hAnsi="Bookman Old Style"/>
          <w:sz w:val="24"/>
          <w:szCs w:val="24"/>
        </w:rPr>
        <w:t>membri</w:t>
      </w:r>
      <w:r>
        <w:rPr>
          <w:rFonts w:ascii="Bookman Old Style" w:hAnsi="Bookman Old Style"/>
          <w:sz w:val="24"/>
          <w:szCs w:val="24"/>
        </w:rPr>
        <w:t xml:space="preserve"> </w:t>
      </w:r>
      <w:r w:rsidR="008726D3" w:rsidRPr="008726D3">
        <w:rPr>
          <w:rFonts w:ascii="Bookman Old Style" w:hAnsi="Bookman Old Style"/>
          <w:sz w:val="24"/>
          <w:szCs w:val="24"/>
        </w:rPr>
        <w:t>e,</w:t>
      </w:r>
      <w:r>
        <w:rPr>
          <w:rFonts w:ascii="Bookman Old Style" w:hAnsi="Bookman Old Style"/>
          <w:sz w:val="24"/>
          <w:szCs w:val="24"/>
        </w:rPr>
        <w:t xml:space="preserve"> </w:t>
      </w:r>
      <w:r w:rsidR="008726D3" w:rsidRPr="008726D3">
        <w:rPr>
          <w:rFonts w:ascii="Bookman Old Style" w:hAnsi="Bookman Old Style"/>
          <w:sz w:val="24"/>
          <w:szCs w:val="24"/>
        </w:rPr>
        <w:t>allo</w:t>
      </w:r>
      <w:r>
        <w:rPr>
          <w:rFonts w:ascii="Bookman Old Style" w:hAnsi="Bookman Old Style"/>
          <w:sz w:val="24"/>
          <w:szCs w:val="24"/>
        </w:rPr>
        <w:t xml:space="preserve"> </w:t>
      </w:r>
      <w:r w:rsidR="008726D3" w:rsidRPr="008726D3">
        <w:rPr>
          <w:rFonts w:ascii="Bookman Old Style" w:hAnsi="Bookman Old Style"/>
          <w:sz w:val="24"/>
          <w:szCs w:val="24"/>
        </w:rPr>
        <w:lastRenderedPageBreak/>
        <w:t>stesso</w:t>
      </w:r>
      <w:r>
        <w:rPr>
          <w:rFonts w:ascii="Bookman Old Style" w:hAnsi="Bookman Old Style"/>
          <w:sz w:val="24"/>
          <w:szCs w:val="24"/>
        </w:rPr>
        <w:t xml:space="preserve"> </w:t>
      </w:r>
      <w:r w:rsidR="008726D3" w:rsidRPr="008726D3">
        <w:rPr>
          <w:rFonts w:ascii="Bookman Old Style" w:hAnsi="Bookman Old Style"/>
          <w:sz w:val="24"/>
          <w:szCs w:val="24"/>
        </w:rPr>
        <w:t>livello</w:t>
      </w:r>
      <w:r>
        <w:rPr>
          <w:rFonts w:ascii="Bookman Old Style" w:hAnsi="Bookman Old Style"/>
          <w:sz w:val="24"/>
          <w:szCs w:val="24"/>
        </w:rPr>
        <w:t xml:space="preserve"> </w:t>
      </w:r>
      <w:r w:rsidR="008726D3" w:rsidRPr="008726D3">
        <w:rPr>
          <w:rFonts w:ascii="Bookman Old Style" w:hAnsi="Bookman Old Style"/>
          <w:sz w:val="24"/>
          <w:szCs w:val="24"/>
        </w:rPr>
        <w:t>di</w:t>
      </w:r>
      <w:r>
        <w:rPr>
          <w:rFonts w:ascii="Bookman Old Style" w:hAnsi="Bookman Old Style"/>
          <w:sz w:val="24"/>
          <w:szCs w:val="24"/>
        </w:rPr>
        <w:t xml:space="preserve"> </w:t>
      </w:r>
      <w:r w:rsidR="008726D3" w:rsidRPr="008726D3">
        <w:rPr>
          <w:rFonts w:ascii="Bookman Old Style" w:hAnsi="Bookman Old Style"/>
          <w:sz w:val="24"/>
          <w:szCs w:val="24"/>
        </w:rPr>
        <w:t>trattati</w:t>
      </w:r>
      <w:r>
        <w:rPr>
          <w:rFonts w:ascii="Bookman Old Style" w:hAnsi="Bookman Old Style"/>
          <w:sz w:val="24"/>
          <w:szCs w:val="24"/>
        </w:rPr>
        <w:t xml:space="preserve"> </w:t>
      </w:r>
      <w:r w:rsidR="008726D3" w:rsidRPr="008726D3">
        <w:rPr>
          <w:rFonts w:ascii="Bookman Old Style" w:hAnsi="Bookman Old Style"/>
          <w:sz w:val="24"/>
          <w:szCs w:val="24"/>
        </w:rPr>
        <w:t>e</w:t>
      </w:r>
      <w:r>
        <w:rPr>
          <w:rFonts w:ascii="Bookman Old Style" w:hAnsi="Bookman Old Style"/>
          <w:sz w:val="24"/>
          <w:szCs w:val="24"/>
        </w:rPr>
        <w:t xml:space="preserve"> </w:t>
      </w:r>
      <w:r w:rsidR="008726D3" w:rsidRPr="008726D3">
        <w:rPr>
          <w:rFonts w:ascii="Bookman Old Style" w:hAnsi="Bookman Old Style"/>
          <w:sz w:val="24"/>
          <w:szCs w:val="24"/>
        </w:rPr>
        <w:t>protocolli</w:t>
      </w:r>
      <w:r>
        <w:rPr>
          <w:rFonts w:ascii="Bookman Old Style" w:hAnsi="Bookman Old Style"/>
          <w:sz w:val="24"/>
          <w:szCs w:val="24"/>
        </w:rPr>
        <w:t xml:space="preserve"> </w:t>
      </w:r>
      <w:r w:rsidR="008726D3" w:rsidRPr="008726D3">
        <w:rPr>
          <w:rFonts w:ascii="Bookman Old Style" w:hAnsi="Bookman Old Style"/>
          <w:sz w:val="24"/>
          <w:szCs w:val="24"/>
        </w:rPr>
        <w:t>ad</w:t>
      </w:r>
      <w:r>
        <w:rPr>
          <w:rFonts w:ascii="Bookman Old Style" w:hAnsi="Bookman Old Style"/>
          <w:sz w:val="24"/>
          <w:szCs w:val="24"/>
        </w:rPr>
        <w:t xml:space="preserve"> </w:t>
      </w:r>
      <w:r w:rsidR="008726D3" w:rsidRPr="008726D3">
        <w:rPr>
          <w:rFonts w:ascii="Bookman Old Style" w:hAnsi="Bookman Old Style"/>
          <w:sz w:val="24"/>
          <w:szCs w:val="24"/>
        </w:rPr>
        <w:t>essi</w:t>
      </w:r>
      <w:r>
        <w:rPr>
          <w:rFonts w:ascii="Bookman Old Style" w:hAnsi="Bookman Old Style"/>
          <w:sz w:val="24"/>
          <w:szCs w:val="24"/>
        </w:rPr>
        <w:t xml:space="preserve"> </w:t>
      </w:r>
      <w:r w:rsidR="008726D3" w:rsidRPr="008726D3">
        <w:rPr>
          <w:rFonts w:ascii="Bookman Old Style" w:hAnsi="Bookman Old Style"/>
          <w:sz w:val="24"/>
          <w:szCs w:val="24"/>
        </w:rPr>
        <w:t>allegati,</w:t>
      </w:r>
      <w:r>
        <w:rPr>
          <w:rFonts w:ascii="Bookman Old Style" w:hAnsi="Bookman Old Style"/>
          <w:sz w:val="24"/>
          <w:szCs w:val="24"/>
        </w:rPr>
        <w:t xml:space="preserve"> </w:t>
      </w:r>
      <w:r w:rsidR="008726D3" w:rsidRPr="008726D3">
        <w:rPr>
          <w:rFonts w:ascii="Bookman Old Style" w:hAnsi="Bookman Old Style"/>
          <w:sz w:val="24"/>
          <w:szCs w:val="24"/>
        </w:rPr>
        <w:t>come</w:t>
      </w:r>
      <w:r>
        <w:rPr>
          <w:rFonts w:ascii="Bookman Old Style" w:hAnsi="Bookman Old Style"/>
          <w:sz w:val="24"/>
          <w:szCs w:val="24"/>
        </w:rPr>
        <w:t xml:space="preserve"> </w:t>
      </w:r>
      <w:r w:rsidR="008726D3" w:rsidRPr="008726D3">
        <w:rPr>
          <w:rFonts w:ascii="Bookman Old Style" w:hAnsi="Bookman Old Style"/>
          <w:sz w:val="24"/>
          <w:szCs w:val="24"/>
        </w:rPr>
        <w:t>vertice</w:t>
      </w:r>
      <w:r>
        <w:rPr>
          <w:rFonts w:ascii="Bookman Old Style" w:hAnsi="Bookman Old Style"/>
          <w:sz w:val="24"/>
          <w:szCs w:val="24"/>
        </w:rPr>
        <w:t xml:space="preserve"> </w:t>
      </w:r>
      <w:r w:rsidR="008726D3" w:rsidRPr="008726D3">
        <w:rPr>
          <w:rFonts w:ascii="Bookman Old Style" w:hAnsi="Bookman Old Style"/>
          <w:sz w:val="24"/>
          <w:szCs w:val="24"/>
        </w:rPr>
        <w:t>dell'ordinamento</w:t>
      </w:r>
      <w:r>
        <w:rPr>
          <w:rFonts w:ascii="Bookman Old Style" w:hAnsi="Bookman Old Style"/>
          <w:sz w:val="24"/>
          <w:szCs w:val="24"/>
        </w:rPr>
        <w:t xml:space="preserve"> </w:t>
      </w:r>
      <w:r w:rsidR="008726D3" w:rsidRPr="008726D3">
        <w:rPr>
          <w:rFonts w:ascii="Bookman Old Style" w:hAnsi="Bookman Old Style"/>
          <w:sz w:val="24"/>
          <w:szCs w:val="24"/>
        </w:rPr>
        <w:t>dell'</w:t>
      </w:r>
      <w:hyperlink r:id="rId18" w:tooltip="Unione europea" w:history="1">
        <w:r w:rsidR="008726D3" w:rsidRPr="008726D3">
          <w:rPr>
            <w:rFonts w:ascii="Bookman Old Style" w:hAnsi="Bookman Old Style"/>
            <w:sz w:val="24"/>
            <w:szCs w:val="24"/>
          </w:rPr>
          <w:t>Unione</w:t>
        </w:r>
        <w:r>
          <w:rPr>
            <w:rFonts w:ascii="Bookman Old Style" w:hAnsi="Bookman Old Style"/>
            <w:sz w:val="24"/>
            <w:szCs w:val="24"/>
          </w:rPr>
          <w:t xml:space="preserve"> </w:t>
        </w:r>
        <w:r w:rsidR="008726D3" w:rsidRPr="008726D3">
          <w:rPr>
            <w:rFonts w:ascii="Bookman Old Style" w:hAnsi="Bookman Old Style"/>
            <w:sz w:val="24"/>
            <w:szCs w:val="24"/>
          </w:rPr>
          <w:t>europea</w:t>
        </w:r>
      </w:hyperlink>
      <w:r w:rsidR="008726D3" w:rsidRPr="008726D3">
        <w:rPr>
          <w:rFonts w:ascii="Bookman Old Style" w:hAnsi="Bookman Old Style"/>
          <w:sz w:val="24"/>
          <w:szCs w:val="24"/>
        </w:rPr>
        <w:t>.</w:t>
      </w:r>
      <w:r>
        <w:rPr>
          <w:rFonts w:ascii="Bookman Old Style" w:hAnsi="Bookman Old Style"/>
          <w:sz w:val="24"/>
          <w:szCs w:val="24"/>
        </w:rPr>
        <w:t xml:space="preserve"> </w:t>
      </w:r>
      <w:r w:rsidR="008726D3" w:rsidRPr="008726D3">
        <w:rPr>
          <w:rFonts w:ascii="Bookman Old Style" w:hAnsi="Bookman Old Style"/>
          <w:sz w:val="24"/>
          <w:szCs w:val="24"/>
        </w:rPr>
        <w:t>Essa</w:t>
      </w:r>
      <w:r>
        <w:rPr>
          <w:rFonts w:ascii="Bookman Old Style" w:hAnsi="Bookman Old Style"/>
          <w:sz w:val="24"/>
          <w:szCs w:val="24"/>
        </w:rPr>
        <w:t xml:space="preserve"> </w:t>
      </w:r>
      <w:r w:rsidR="008726D3" w:rsidRPr="008726D3">
        <w:rPr>
          <w:rFonts w:ascii="Bookman Old Style" w:hAnsi="Bookman Old Style"/>
          <w:sz w:val="24"/>
          <w:szCs w:val="24"/>
        </w:rPr>
        <w:t>risponde</w:t>
      </w:r>
      <w:r>
        <w:rPr>
          <w:rFonts w:ascii="Bookman Old Style" w:hAnsi="Bookman Old Style"/>
          <w:sz w:val="24"/>
          <w:szCs w:val="24"/>
        </w:rPr>
        <w:t xml:space="preserve"> </w:t>
      </w:r>
      <w:r w:rsidR="008726D3" w:rsidRPr="008726D3">
        <w:rPr>
          <w:rFonts w:ascii="Bookman Old Style" w:hAnsi="Bookman Old Style"/>
          <w:sz w:val="24"/>
          <w:szCs w:val="24"/>
        </w:rPr>
        <w:t>alla</w:t>
      </w:r>
      <w:r>
        <w:rPr>
          <w:rFonts w:ascii="Bookman Old Style" w:hAnsi="Bookman Old Style"/>
          <w:sz w:val="24"/>
          <w:szCs w:val="24"/>
        </w:rPr>
        <w:t xml:space="preserve"> </w:t>
      </w:r>
      <w:r w:rsidR="008726D3" w:rsidRPr="008726D3">
        <w:rPr>
          <w:rFonts w:ascii="Bookman Old Style" w:hAnsi="Bookman Old Style"/>
          <w:sz w:val="24"/>
          <w:szCs w:val="24"/>
        </w:rPr>
        <w:t>necessità</w:t>
      </w:r>
      <w:r>
        <w:rPr>
          <w:rFonts w:ascii="Bookman Old Style" w:hAnsi="Bookman Old Style"/>
          <w:sz w:val="24"/>
          <w:szCs w:val="24"/>
        </w:rPr>
        <w:t xml:space="preserve"> </w:t>
      </w:r>
      <w:r w:rsidR="008726D3" w:rsidRPr="008726D3">
        <w:rPr>
          <w:rFonts w:ascii="Bookman Old Style" w:hAnsi="Bookman Old Style"/>
          <w:sz w:val="24"/>
          <w:szCs w:val="24"/>
        </w:rPr>
        <w:t>emersa</w:t>
      </w:r>
      <w:r>
        <w:rPr>
          <w:rFonts w:ascii="Bookman Old Style" w:hAnsi="Bookman Old Style"/>
          <w:sz w:val="24"/>
          <w:szCs w:val="24"/>
        </w:rPr>
        <w:t xml:space="preserve"> </w:t>
      </w:r>
      <w:r w:rsidR="008726D3" w:rsidRPr="008726D3">
        <w:rPr>
          <w:rFonts w:ascii="Bookman Old Style" w:hAnsi="Bookman Old Style"/>
          <w:sz w:val="24"/>
          <w:szCs w:val="24"/>
        </w:rPr>
        <w:t>durante</w:t>
      </w:r>
      <w:r>
        <w:rPr>
          <w:rFonts w:ascii="Bookman Old Style" w:hAnsi="Bookman Old Style"/>
          <w:sz w:val="24"/>
          <w:szCs w:val="24"/>
        </w:rPr>
        <w:t xml:space="preserve"> </w:t>
      </w:r>
      <w:r w:rsidR="008726D3" w:rsidRPr="008726D3">
        <w:rPr>
          <w:rFonts w:ascii="Bookman Old Style" w:hAnsi="Bookman Old Style"/>
          <w:sz w:val="24"/>
          <w:szCs w:val="24"/>
        </w:rPr>
        <w:t>il</w:t>
      </w:r>
      <w:r>
        <w:rPr>
          <w:rFonts w:ascii="Bookman Old Style" w:hAnsi="Bookman Old Style"/>
          <w:sz w:val="24"/>
          <w:szCs w:val="24"/>
        </w:rPr>
        <w:t xml:space="preserve"> </w:t>
      </w:r>
      <w:hyperlink r:id="rId19" w:tooltip="Consiglio europeo" w:history="1">
        <w:r w:rsidR="008726D3" w:rsidRPr="008726D3">
          <w:rPr>
            <w:rFonts w:ascii="Bookman Old Style" w:hAnsi="Bookman Old Style"/>
            <w:sz w:val="24"/>
            <w:szCs w:val="24"/>
          </w:rPr>
          <w:t>Consiglio</w:t>
        </w:r>
        <w:r>
          <w:rPr>
            <w:rFonts w:ascii="Bookman Old Style" w:hAnsi="Bookman Old Style"/>
            <w:sz w:val="24"/>
            <w:szCs w:val="24"/>
          </w:rPr>
          <w:t xml:space="preserve"> </w:t>
        </w:r>
        <w:r w:rsidR="008726D3" w:rsidRPr="008726D3">
          <w:rPr>
            <w:rFonts w:ascii="Bookman Old Style" w:hAnsi="Bookman Old Style"/>
            <w:sz w:val="24"/>
            <w:szCs w:val="24"/>
          </w:rPr>
          <w:t>europeo</w:t>
        </w:r>
      </w:hyperlink>
      <w:r>
        <w:rPr>
          <w:rFonts w:ascii="Bookman Old Style" w:hAnsi="Bookman Old Style"/>
          <w:sz w:val="24"/>
          <w:szCs w:val="24"/>
        </w:rPr>
        <w:t xml:space="preserve"> </w:t>
      </w:r>
      <w:r w:rsidR="008726D3" w:rsidRPr="008726D3">
        <w:rPr>
          <w:rFonts w:ascii="Bookman Old Style" w:hAnsi="Bookman Old Style"/>
          <w:sz w:val="24"/>
          <w:szCs w:val="24"/>
        </w:rPr>
        <w:t>di</w:t>
      </w:r>
      <w:r>
        <w:rPr>
          <w:rFonts w:ascii="Bookman Old Style" w:hAnsi="Bookman Old Style"/>
          <w:sz w:val="24"/>
          <w:szCs w:val="24"/>
        </w:rPr>
        <w:t xml:space="preserve"> </w:t>
      </w:r>
      <w:hyperlink r:id="rId20" w:tooltip="Colonia (Germania)" w:history="1">
        <w:r w:rsidR="008726D3" w:rsidRPr="008726D3">
          <w:rPr>
            <w:rFonts w:ascii="Bookman Old Style" w:hAnsi="Bookman Old Style"/>
            <w:sz w:val="24"/>
            <w:szCs w:val="24"/>
          </w:rPr>
          <w:t>Colonia</w:t>
        </w:r>
      </w:hyperlink>
      <w:r>
        <w:rPr>
          <w:rFonts w:ascii="Bookman Old Style" w:hAnsi="Bookman Old Style"/>
          <w:sz w:val="24"/>
          <w:szCs w:val="24"/>
        </w:rPr>
        <w:t xml:space="preserve"> </w:t>
      </w:r>
      <w:r w:rsidR="008726D3" w:rsidRPr="008726D3">
        <w:rPr>
          <w:rFonts w:ascii="Bookman Old Style" w:hAnsi="Bookman Old Style"/>
          <w:sz w:val="24"/>
          <w:szCs w:val="24"/>
        </w:rPr>
        <w:t>(3</w:t>
      </w:r>
      <w:r>
        <w:rPr>
          <w:rFonts w:ascii="Bookman Old Style" w:hAnsi="Bookman Old Style"/>
          <w:sz w:val="24"/>
          <w:szCs w:val="24"/>
        </w:rPr>
        <w:t xml:space="preserve"> </w:t>
      </w:r>
      <w:r w:rsidR="008726D3" w:rsidRPr="008726D3">
        <w:rPr>
          <w:rFonts w:ascii="Bookman Old Style" w:hAnsi="Bookman Old Style"/>
          <w:sz w:val="24"/>
          <w:szCs w:val="24"/>
        </w:rPr>
        <w:t>e</w:t>
      </w:r>
      <w:r>
        <w:rPr>
          <w:rFonts w:ascii="Bookman Old Style" w:hAnsi="Bookman Old Style"/>
          <w:sz w:val="24"/>
          <w:szCs w:val="24"/>
        </w:rPr>
        <w:t xml:space="preserve"> </w:t>
      </w:r>
      <w:r w:rsidR="008726D3" w:rsidRPr="008726D3">
        <w:rPr>
          <w:rFonts w:ascii="Bookman Old Style" w:hAnsi="Bookman Old Style"/>
          <w:sz w:val="24"/>
          <w:szCs w:val="24"/>
        </w:rPr>
        <w:t>4</w:t>
      </w:r>
      <w:r>
        <w:rPr>
          <w:rFonts w:ascii="Bookman Old Style" w:hAnsi="Bookman Old Style"/>
          <w:sz w:val="24"/>
          <w:szCs w:val="24"/>
        </w:rPr>
        <w:t xml:space="preserve"> </w:t>
      </w:r>
      <w:r w:rsidR="008726D3" w:rsidRPr="008726D3">
        <w:rPr>
          <w:rFonts w:ascii="Bookman Old Style" w:hAnsi="Bookman Old Style"/>
          <w:sz w:val="24"/>
          <w:szCs w:val="24"/>
        </w:rPr>
        <w:t>giugno</w:t>
      </w:r>
      <w:r>
        <w:rPr>
          <w:rFonts w:ascii="Bookman Old Style" w:hAnsi="Bookman Old Style"/>
          <w:sz w:val="24"/>
          <w:szCs w:val="24"/>
        </w:rPr>
        <w:t xml:space="preserve"> </w:t>
      </w:r>
      <w:hyperlink r:id="rId21" w:tooltip="1999" w:history="1">
        <w:r w:rsidR="008726D3" w:rsidRPr="008726D3">
          <w:rPr>
            <w:rFonts w:ascii="Bookman Old Style" w:hAnsi="Bookman Old Style"/>
            <w:sz w:val="24"/>
            <w:szCs w:val="24"/>
          </w:rPr>
          <w:t>1999</w:t>
        </w:r>
      </w:hyperlink>
      <w:r w:rsidR="008726D3" w:rsidRPr="008726D3">
        <w:rPr>
          <w:rFonts w:ascii="Bookman Old Style" w:hAnsi="Bookman Old Style"/>
          <w:sz w:val="24"/>
          <w:szCs w:val="24"/>
        </w:rPr>
        <w:t>)</w:t>
      </w:r>
      <w:r>
        <w:rPr>
          <w:rFonts w:ascii="Bookman Old Style" w:hAnsi="Bookman Old Style"/>
          <w:sz w:val="24"/>
          <w:szCs w:val="24"/>
        </w:rPr>
        <w:t xml:space="preserve"> </w:t>
      </w:r>
      <w:r w:rsidR="008726D3" w:rsidRPr="008726D3">
        <w:rPr>
          <w:rFonts w:ascii="Bookman Old Style" w:hAnsi="Bookman Old Style"/>
          <w:sz w:val="24"/>
          <w:szCs w:val="24"/>
        </w:rPr>
        <w:t>di</w:t>
      </w:r>
      <w:r>
        <w:rPr>
          <w:rFonts w:ascii="Bookman Old Style" w:hAnsi="Bookman Old Style"/>
          <w:sz w:val="24"/>
          <w:szCs w:val="24"/>
        </w:rPr>
        <w:t xml:space="preserve"> </w:t>
      </w:r>
      <w:r w:rsidR="008726D3" w:rsidRPr="008726D3">
        <w:rPr>
          <w:rFonts w:ascii="Bookman Old Style" w:hAnsi="Bookman Old Style"/>
          <w:sz w:val="24"/>
          <w:szCs w:val="24"/>
        </w:rPr>
        <w:t>definire</w:t>
      </w:r>
      <w:r>
        <w:rPr>
          <w:rFonts w:ascii="Bookman Old Style" w:hAnsi="Bookman Old Style"/>
          <w:sz w:val="24"/>
          <w:szCs w:val="24"/>
        </w:rPr>
        <w:t xml:space="preserve"> </w:t>
      </w:r>
      <w:r w:rsidR="008726D3" w:rsidRPr="008726D3">
        <w:rPr>
          <w:rFonts w:ascii="Bookman Old Style" w:hAnsi="Bookman Old Style"/>
          <w:sz w:val="24"/>
          <w:szCs w:val="24"/>
        </w:rPr>
        <w:t>un</w:t>
      </w:r>
      <w:r>
        <w:rPr>
          <w:rFonts w:ascii="Bookman Old Style" w:hAnsi="Bookman Old Style"/>
          <w:sz w:val="24"/>
          <w:szCs w:val="24"/>
        </w:rPr>
        <w:t xml:space="preserve"> </w:t>
      </w:r>
      <w:r w:rsidR="008726D3" w:rsidRPr="008726D3">
        <w:rPr>
          <w:rFonts w:ascii="Bookman Old Style" w:hAnsi="Bookman Old Style"/>
          <w:sz w:val="24"/>
          <w:szCs w:val="24"/>
        </w:rPr>
        <w:t>gruppo</w:t>
      </w:r>
      <w:r>
        <w:rPr>
          <w:rFonts w:ascii="Bookman Old Style" w:hAnsi="Bookman Old Style"/>
          <w:sz w:val="24"/>
          <w:szCs w:val="24"/>
        </w:rPr>
        <w:t xml:space="preserve"> </w:t>
      </w:r>
      <w:r w:rsidR="008726D3" w:rsidRPr="008726D3">
        <w:rPr>
          <w:rFonts w:ascii="Bookman Old Style" w:hAnsi="Bookman Old Style"/>
          <w:sz w:val="24"/>
          <w:szCs w:val="24"/>
        </w:rPr>
        <w:t>di</w:t>
      </w:r>
      <w:r>
        <w:rPr>
          <w:rFonts w:ascii="Bookman Old Style" w:hAnsi="Bookman Old Style"/>
          <w:sz w:val="24"/>
          <w:szCs w:val="24"/>
        </w:rPr>
        <w:t xml:space="preserve"> </w:t>
      </w:r>
      <w:r w:rsidR="008726D3" w:rsidRPr="008726D3">
        <w:rPr>
          <w:rFonts w:ascii="Bookman Old Style" w:hAnsi="Bookman Old Style"/>
          <w:sz w:val="24"/>
          <w:szCs w:val="24"/>
        </w:rPr>
        <w:t>diritti</w:t>
      </w:r>
      <w:r>
        <w:rPr>
          <w:rFonts w:ascii="Bookman Old Style" w:hAnsi="Bookman Old Style"/>
          <w:sz w:val="24"/>
          <w:szCs w:val="24"/>
        </w:rPr>
        <w:t xml:space="preserve"> </w:t>
      </w:r>
      <w:r w:rsidR="008726D3" w:rsidRPr="008726D3">
        <w:rPr>
          <w:rFonts w:ascii="Bookman Old Style" w:hAnsi="Bookman Old Style"/>
          <w:sz w:val="24"/>
          <w:szCs w:val="24"/>
        </w:rPr>
        <w:t>e</w:t>
      </w:r>
      <w:r>
        <w:rPr>
          <w:rFonts w:ascii="Bookman Old Style" w:hAnsi="Bookman Old Style"/>
          <w:sz w:val="24"/>
          <w:szCs w:val="24"/>
        </w:rPr>
        <w:t xml:space="preserve"> </w:t>
      </w:r>
      <w:r w:rsidR="008726D3" w:rsidRPr="008726D3">
        <w:rPr>
          <w:rFonts w:ascii="Bookman Old Style" w:hAnsi="Bookman Old Style"/>
          <w:sz w:val="24"/>
          <w:szCs w:val="24"/>
        </w:rPr>
        <w:t>di</w:t>
      </w:r>
      <w:r>
        <w:rPr>
          <w:rFonts w:ascii="Bookman Old Style" w:hAnsi="Bookman Old Style"/>
          <w:sz w:val="24"/>
          <w:szCs w:val="24"/>
        </w:rPr>
        <w:t xml:space="preserve"> </w:t>
      </w:r>
      <w:r w:rsidR="008726D3" w:rsidRPr="008726D3">
        <w:rPr>
          <w:rFonts w:ascii="Bookman Old Style" w:hAnsi="Bookman Old Style"/>
          <w:sz w:val="24"/>
          <w:szCs w:val="24"/>
        </w:rPr>
        <w:t>libertà</w:t>
      </w:r>
      <w:r>
        <w:rPr>
          <w:rFonts w:ascii="Bookman Old Style" w:hAnsi="Bookman Old Style"/>
          <w:sz w:val="24"/>
          <w:szCs w:val="24"/>
        </w:rPr>
        <w:t xml:space="preserve"> </w:t>
      </w:r>
      <w:r w:rsidR="008726D3" w:rsidRPr="008726D3">
        <w:rPr>
          <w:rFonts w:ascii="Bookman Old Style" w:hAnsi="Bookman Old Style"/>
          <w:sz w:val="24"/>
          <w:szCs w:val="24"/>
        </w:rPr>
        <w:t>di</w:t>
      </w:r>
      <w:r>
        <w:rPr>
          <w:rFonts w:ascii="Bookman Old Style" w:hAnsi="Bookman Old Style"/>
          <w:sz w:val="24"/>
          <w:szCs w:val="24"/>
        </w:rPr>
        <w:t xml:space="preserve"> </w:t>
      </w:r>
      <w:r w:rsidR="008726D3" w:rsidRPr="008726D3">
        <w:rPr>
          <w:rFonts w:ascii="Bookman Old Style" w:hAnsi="Bookman Old Style"/>
          <w:sz w:val="24"/>
          <w:szCs w:val="24"/>
        </w:rPr>
        <w:t>eccezionale</w:t>
      </w:r>
      <w:r>
        <w:rPr>
          <w:rFonts w:ascii="Bookman Old Style" w:hAnsi="Bookman Old Style"/>
          <w:sz w:val="24"/>
          <w:szCs w:val="24"/>
        </w:rPr>
        <w:t xml:space="preserve"> </w:t>
      </w:r>
      <w:r w:rsidR="008726D3" w:rsidRPr="008726D3">
        <w:rPr>
          <w:rFonts w:ascii="Bookman Old Style" w:hAnsi="Bookman Old Style"/>
          <w:sz w:val="24"/>
          <w:szCs w:val="24"/>
        </w:rPr>
        <w:t>rilevanza</w:t>
      </w:r>
      <w:r>
        <w:rPr>
          <w:rFonts w:ascii="Bookman Old Style" w:hAnsi="Bookman Old Style"/>
          <w:sz w:val="24"/>
          <w:szCs w:val="24"/>
        </w:rPr>
        <w:t xml:space="preserve"> </w:t>
      </w:r>
      <w:r w:rsidR="008726D3" w:rsidRPr="008726D3">
        <w:rPr>
          <w:rFonts w:ascii="Bookman Old Style" w:hAnsi="Bookman Old Style"/>
          <w:sz w:val="24"/>
          <w:szCs w:val="24"/>
        </w:rPr>
        <w:t>e</w:t>
      </w:r>
      <w:r>
        <w:rPr>
          <w:rFonts w:ascii="Bookman Old Style" w:hAnsi="Bookman Old Style"/>
          <w:sz w:val="24"/>
          <w:szCs w:val="24"/>
        </w:rPr>
        <w:t xml:space="preserve"> </w:t>
      </w:r>
      <w:r w:rsidR="008726D3" w:rsidRPr="008726D3">
        <w:rPr>
          <w:rFonts w:ascii="Bookman Old Style" w:hAnsi="Bookman Old Style"/>
          <w:sz w:val="24"/>
          <w:szCs w:val="24"/>
        </w:rPr>
        <w:t>di</w:t>
      </w:r>
      <w:r>
        <w:rPr>
          <w:rFonts w:ascii="Bookman Old Style" w:hAnsi="Bookman Old Style"/>
          <w:sz w:val="24"/>
          <w:szCs w:val="24"/>
        </w:rPr>
        <w:t xml:space="preserve"> </w:t>
      </w:r>
      <w:r w:rsidR="008726D3" w:rsidRPr="008726D3">
        <w:rPr>
          <w:rFonts w:ascii="Bookman Old Style" w:hAnsi="Bookman Old Style"/>
          <w:sz w:val="24"/>
          <w:szCs w:val="24"/>
        </w:rPr>
        <w:t>fede</w:t>
      </w:r>
      <w:r>
        <w:rPr>
          <w:rFonts w:ascii="Bookman Old Style" w:hAnsi="Bookman Old Style"/>
          <w:sz w:val="24"/>
          <w:szCs w:val="24"/>
        </w:rPr>
        <w:t xml:space="preserve"> </w:t>
      </w:r>
      <w:r w:rsidR="008726D3" w:rsidRPr="008726D3">
        <w:rPr>
          <w:rFonts w:ascii="Bookman Old Style" w:hAnsi="Bookman Old Style"/>
          <w:sz w:val="24"/>
          <w:szCs w:val="24"/>
        </w:rPr>
        <w:t>che</w:t>
      </w:r>
      <w:r>
        <w:rPr>
          <w:rFonts w:ascii="Bookman Old Style" w:hAnsi="Bookman Old Style"/>
          <w:sz w:val="24"/>
          <w:szCs w:val="24"/>
        </w:rPr>
        <w:t xml:space="preserve"> </w:t>
      </w:r>
      <w:r w:rsidR="008726D3" w:rsidRPr="008726D3">
        <w:rPr>
          <w:rFonts w:ascii="Bookman Old Style" w:hAnsi="Bookman Old Style"/>
          <w:sz w:val="24"/>
          <w:szCs w:val="24"/>
        </w:rPr>
        <w:t>fossero</w:t>
      </w:r>
      <w:r>
        <w:rPr>
          <w:rFonts w:ascii="Bookman Old Style" w:hAnsi="Bookman Old Style"/>
          <w:sz w:val="24"/>
          <w:szCs w:val="24"/>
        </w:rPr>
        <w:t xml:space="preserve"> </w:t>
      </w:r>
      <w:r w:rsidR="008726D3" w:rsidRPr="008726D3">
        <w:rPr>
          <w:rFonts w:ascii="Bookman Old Style" w:hAnsi="Bookman Old Style"/>
          <w:sz w:val="24"/>
          <w:szCs w:val="24"/>
        </w:rPr>
        <w:t>garantiti</w:t>
      </w:r>
      <w:r>
        <w:rPr>
          <w:rFonts w:ascii="Bookman Old Style" w:hAnsi="Bookman Old Style"/>
          <w:sz w:val="24"/>
          <w:szCs w:val="24"/>
        </w:rPr>
        <w:t xml:space="preserve"> </w:t>
      </w:r>
      <w:r w:rsidR="008726D3" w:rsidRPr="008726D3">
        <w:rPr>
          <w:rFonts w:ascii="Bookman Old Style" w:hAnsi="Bookman Old Style"/>
          <w:sz w:val="24"/>
          <w:szCs w:val="24"/>
        </w:rPr>
        <w:t>a</w:t>
      </w:r>
      <w:r>
        <w:rPr>
          <w:rFonts w:ascii="Bookman Old Style" w:hAnsi="Bookman Old Style"/>
          <w:sz w:val="24"/>
          <w:szCs w:val="24"/>
        </w:rPr>
        <w:t xml:space="preserve"> </w:t>
      </w:r>
      <w:r w:rsidR="008726D3" w:rsidRPr="008726D3">
        <w:rPr>
          <w:rFonts w:ascii="Bookman Old Style" w:hAnsi="Bookman Old Style"/>
          <w:sz w:val="24"/>
          <w:szCs w:val="24"/>
        </w:rPr>
        <w:t>tutti</w:t>
      </w:r>
      <w:r>
        <w:rPr>
          <w:rFonts w:ascii="Bookman Old Style" w:hAnsi="Bookman Old Style"/>
          <w:sz w:val="24"/>
          <w:szCs w:val="24"/>
        </w:rPr>
        <w:t xml:space="preserve"> </w:t>
      </w:r>
      <w:r w:rsidR="008726D3" w:rsidRPr="008726D3">
        <w:rPr>
          <w:rFonts w:ascii="Bookman Old Style" w:hAnsi="Bookman Old Style"/>
          <w:sz w:val="24"/>
          <w:szCs w:val="24"/>
        </w:rPr>
        <w:t>i</w:t>
      </w:r>
      <w:r>
        <w:rPr>
          <w:rFonts w:ascii="Bookman Old Style" w:hAnsi="Bookman Old Style"/>
          <w:sz w:val="24"/>
          <w:szCs w:val="24"/>
        </w:rPr>
        <w:t xml:space="preserve"> </w:t>
      </w:r>
      <w:r w:rsidR="008726D3" w:rsidRPr="008726D3">
        <w:rPr>
          <w:rFonts w:ascii="Bookman Old Style" w:hAnsi="Bookman Old Style"/>
          <w:sz w:val="24"/>
          <w:szCs w:val="24"/>
        </w:rPr>
        <w:t>cittadini</w:t>
      </w:r>
      <w:r>
        <w:rPr>
          <w:rFonts w:ascii="Bookman Old Style" w:hAnsi="Bookman Old Style"/>
          <w:sz w:val="24"/>
          <w:szCs w:val="24"/>
        </w:rPr>
        <w:t xml:space="preserve"> </w:t>
      </w:r>
      <w:r w:rsidR="008726D3" w:rsidRPr="008726D3">
        <w:rPr>
          <w:rFonts w:ascii="Bookman Old Style" w:hAnsi="Bookman Old Style"/>
          <w:sz w:val="24"/>
          <w:szCs w:val="24"/>
        </w:rPr>
        <w:t>dell'Unione.</w:t>
      </w:r>
    </w:p>
    <w:p w:rsidR="00A829AF" w:rsidRDefault="00A829AF" w:rsidP="00A829AF">
      <w:pPr>
        <w:ind w:firstLine="709"/>
        <w:jc w:val="both"/>
        <w:rPr>
          <w:rFonts w:ascii="Bookman Old Style" w:hAnsi="Bookman Old Style"/>
          <w:sz w:val="24"/>
          <w:szCs w:val="24"/>
        </w:rPr>
      </w:pPr>
      <w:r>
        <w:rPr>
          <w:rFonts w:ascii="Bookman Old Style" w:hAnsi="Bookman Old Style"/>
          <w:sz w:val="24"/>
          <w:szCs w:val="24"/>
        </w:rPr>
        <w:t>Ciò nonostante, permane all’interno del diritto dell’Unione una tensione tra l’eredità genetica delle primigenie Comunità economiche e le aspirazioni verso una maggiore integrazione politica</w:t>
      </w:r>
      <w:r w:rsidR="00486DB5">
        <w:rPr>
          <w:rFonts w:ascii="Bookman Old Style" w:hAnsi="Bookman Old Style"/>
          <w:sz w:val="24"/>
          <w:szCs w:val="24"/>
        </w:rPr>
        <w:t>,</w:t>
      </w:r>
      <w:r>
        <w:rPr>
          <w:rFonts w:ascii="Bookman Old Style" w:hAnsi="Bookman Old Style"/>
          <w:sz w:val="24"/>
          <w:szCs w:val="24"/>
        </w:rPr>
        <w:t xml:space="preserve"> qualificata anche dalla condivisione di diritti e valori.</w:t>
      </w:r>
      <w:r w:rsidR="00C81E0F">
        <w:rPr>
          <w:rFonts w:ascii="Bookman Old Style" w:hAnsi="Bookman Old Style"/>
          <w:sz w:val="24"/>
          <w:szCs w:val="24"/>
        </w:rPr>
        <w:t xml:space="preserve"> </w:t>
      </w:r>
      <w:r>
        <w:rPr>
          <w:rFonts w:ascii="Bookman Old Style" w:hAnsi="Bookman Old Style"/>
          <w:sz w:val="24"/>
          <w:szCs w:val="24"/>
        </w:rPr>
        <w:t xml:space="preserve">In altri termini, l’UE, </w:t>
      </w:r>
      <w:r w:rsidRPr="00A829AF">
        <w:rPr>
          <w:rFonts w:ascii="Bookman Old Style" w:hAnsi="Bookman Old Style"/>
          <w:sz w:val="24"/>
          <w:szCs w:val="24"/>
        </w:rPr>
        <w:t>non avocando a sé settori un tempo irrinunciabili per i governi dei</w:t>
      </w:r>
      <w:r>
        <w:rPr>
          <w:rFonts w:ascii="Bookman Old Style" w:hAnsi="Bookman Old Style"/>
          <w:sz w:val="24"/>
          <w:szCs w:val="24"/>
        </w:rPr>
        <w:t xml:space="preserve"> singoli Stati </w:t>
      </w:r>
      <w:r w:rsidRPr="00A829AF">
        <w:rPr>
          <w:rFonts w:ascii="Bookman Old Style" w:hAnsi="Bookman Old Style"/>
          <w:sz w:val="24"/>
          <w:szCs w:val="24"/>
        </w:rPr>
        <w:t>(quali la manovra finanziaria, fiscale e la redistribuzione)</w:t>
      </w:r>
      <w:r>
        <w:rPr>
          <w:rFonts w:ascii="Bookman Old Style" w:hAnsi="Bookman Old Style"/>
          <w:sz w:val="24"/>
          <w:szCs w:val="24"/>
        </w:rPr>
        <w:t>, “</w:t>
      </w:r>
      <w:r w:rsidRPr="00A829AF">
        <w:rPr>
          <w:rFonts w:ascii="Bookman Old Style" w:hAnsi="Bookman Old Style"/>
          <w:sz w:val="24"/>
          <w:szCs w:val="24"/>
        </w:rPr>
        <w:t>lascia ad essi le specifiche e concrete competenze relative all’intera</w:t>
      </w:r>
      <w:r>
        <w:rPr>
          <w:rFonts w:ascii="Bookman Old Style" w:hAnsi="Bookman Old Style"/>
          <w:sz w:val="24"/>
          <w:szCs w:val="24"/>
        </w:rPr>
        <w:t xml:space="preserve"> </w:t>
      </w:r>
      <w:r w:rsidRPr="00A829AF">
        <w:rPr>
          <w:rFonts w:ascii="Bookman Old Style" w:hAnsi="Bookman Old Style"/>
          <w:sz w:val="24"/>
          <w:szCs w:val="24"/>
        </w:rPr>
        <w:t>manovra economico-sociale. Nello stesso tempo, tuttavia, puntando</w:t>
      </w:r>
      <w:r>
        <w:rPr>
          <w:rFonts w:ascii="Bookman Old Style" w:hAnsi="Bookman Old Style"/>
          <w:sz w:val="24"/>
          <w:szCs w:val="24"/>
        </w:rPr>
        <w:t xml:space="preserve"> </w:t>
      </w:r>
      <w:r w:rsidRPr="00A829AF">
        <w:rPr>
          <w:rFonts w:ascii="Bookman Old Style" w:hAnsi="Bookman Old Style"/>
          <w:sz w:val="24"/>
          <w:szCs w:val="24"/>
        </w:rPr>
        <w:t>fondamentalmente sull’efficacia autoregolatrice del mercato e della</w:t>
      </w:r>
      <w:r>
        <w:rPr>
          <w:rFonts w:ascii="Bookman Old Style" w:hAnsi="Bookman Old Style"/>
          <w:sz w:val="24"/>
          <w:szCs w:val="24"/>
        </w:rPr>
        <w:t xml:space="preserve"> </w:t>
      </w:r>
      <w:r w:rsidRPr="00A829AF">
        <w:rPr>
          <w:rFonts w:ascii="Bookman Old Style" w:hAnsi="Bookman Old Style"/>
          <w:sz w:val="24"/>
          <w:szCs w:val="24"/>
        </w:rPr>
        <w:t>concorrenza e, soprattutto, sulle rigidità indotte dall’adozione di una</w:t>
      </w:r>
      <w:r>
        <w:rPr>
          <w:rFonts w:ascii="Bookman Old Style" w:hAnsi="Bookman Old Style"/>
          <w:sz w:val="24"/>
          <w:szCs w:val="24"/>
        </w:rPr>
        <w:t xml:space="preserve"> </w:t>
      </w:r>
      <w:r w:rsidRPr="00A829AF">
        <w:rPr>
          <w:rFonts w:ascii="Bookman Old Style" w:hAnsi="Bookman Old Style"/>
          <w:sz w:val="24"/>
          <w:szCs w:val="24"/>
        </w:rPr>
        <w:t>moneta unica e dal controllo dei prezzi, l’UE delimita drasticamente quel</w:t>
      </w:r>
      <w:r>
        <w:rPr>
          <w:rFonts w:ascii="Bookman Old Style" w:hAnsi="Bookman Old Style"/>
          <w:sz w:val="24"/>
          <w:szCs w:val="24"/>
        </w:rPr>
        <w:t xml:space="preserve"> </w:t>
      </w:r>
      <w:r w:rsidRPr="00A829AF">
        <w:rPr>
          <w:rFonts w:ascii="Bookman Old Style" w:hAnsi="Bookman Old Style"/>
          <w:sz w:val="24"/>
          <w:szCs w:val="24"/>
        </w:rPr>
        <w:t>complesso di strumenti con i quali gli Stati si ponevano come soggetti</w:t>
      </w:r>
      <w:r>
        <w:rPr>
          <w:rFonts w:ascii="Bookman Old Style" w:hAnsi="Bookman Old Style"/>
          <w:sz w:val="24"/>
          <w:szCs w:val="24"/>
        </w:rPr>
        <w:t xml:space="preserve"> </w:t>
      </w:r>
      <w:r w:rsidRPr="00A829AF">
        <w:rPr>
          <w:rFonts w:ascii="Bookman Old Style" w:hAnsi="Bookman Old Style"/>
          <w:sz w:val="24"/>
          <w:szCs w:val="24"/>
        </w:rPr>
        <w:t xml:space="preserve">attivi dello sviluppo e, in nome del </w:t>
      </w:r>
      <w:r w:rsidRPr="00486DB5">
        <w:rPr>
          <w:rFonts w:ascii="Bookman Old Style" w:hAnsi="Bookman Old Style"/>
          <w:i/>
          <w:sz w:val="24"/>
          <w:szCs w:val="24"/>
        </w:rPr>
        <w:t>welfare state</w:t>
      </w:r>
      <w:r w:rsidRPr="00A829AF">
        <w:rPr>
          <w:rFonts w:ascii="Bookman Old Style" w:hAnsi="Bookman Old Style"/>
          <w:sz w:val="24"/>
          <w:szCs w:val="24"/>
        </w:rPr>
        <w:t>, come conformatori dello</w:t>
      </w:r>
      <w:r>
        <w:rPr>
          <w:rFonts w:ascii="Bookman Old Style" w:hAnsi="Bookman Old Style"/>
          <w:sz w:val="24"/>
          <w:szCs w:val="24"/>
        </w:rPr>
        <w:t xml:space="preserve"> </w:t>
      </w:r>
      <w:r w:rsidRPr="00A829AF">
        <w:rPr>
          <w:rFonts w:ascii="Bookman Old Style" w:hAnsi="Bookman Old Style"/>
          <w:sz w:val="24"/>
          <w:szCs w:val="24"/>
        </w:rPr>
        <w:t xml:space="preserve">stesso sistema socioeconomico, a cominciare dalle politiche di </w:t>
      </w:r>
      <w:r w:rsidRPr="00486DB5">
        <w:rPr>
          <w:rFonts w:ascii="Bookman Old Style" w:hAnsi="Bookman Old Style"/>
          <w:i/>
          <w:sz w:val="24"/>
          <w:szCs w:val="24"/>
        </w:rPr>
        <w:t>deficit spending</w:t>
      </w:r>
      <w:r>
        <w:rPr>
          <w:rFonts w:ascii="Bookman Old Style" w:hAnsi="Bookman Old Style"/>
          <w:sz w:val="24"/>
          <w:szCs w:val="24"/>
        </w:rPr>
        <w:t xml:space="preserve"> </w:t>
      </w:r>
      <w:r w:rsidRPr="00A829AF">
        <w:rPr>
          <w:rFonts w:ascii="Bookman Old Style" w:hAnsi="Bookman Old Style"/>
          <w:sz w:val="24"/>
          <w:szCs w:val="24"/>
        </w:rPr>
        <w:t>volte a favorire l’occupazione e lo sviluppo</w:t>
      </w:r>
      <w:r>
        <w:rPr>
          <w:rFonts w:ascii="Bookman Old Style" w:hAnsi="Bookman Old Style"/>
          <w:sz w:val="24"/>
          <w:szCs w:val="24"/>
        </w:rPr>
        <w:t>”</w:t>
      </w:r>
      <w:r w:rsidR="00F50F7C">
        <w:rPr>
          <w:rFonts w:ascii="Bookman Old Style" w:hAnsi="Bookman Old Style"/>
          <w:sz w:val="24"/>
          <w:szCs w:val="24"/>
        </w:rPr>
        <w:t xml:space="preserve"> </w:t>
      </w:r>
      <w:r w:rsidR="00F50F7C" w:rsidRPr="007B10E4">
        <w:footnoteReference w:id="21"/>
      </w:r>
    </w:p>
    <w:p w:rsidR="000051B7" w:rsidRPr="003E19B8" w:rsidRDefault="004942C8" w:rsidP="003E19B8">
      <w:pPr>
        <w:ind w:firstLine="709"/>
        <w:jc w:val="both"/>
        <w:rPr>
          <w:rFonts w:ascii="Bookman Old Style" w:hAnsi="Bookman Old Style"/>
          <w:sz w:val="24"/>
          <w:szCs w:val="24"/>
        </w:rPr>
      </w:pPr>
      <w:r>
        <w:rPr>
          <w:rFonts w:ascii="Bookman Old Style" w:hAnsi="Bookman Old Style"/>
          <w:sz w:val="24"/>
          <w:szCs w:val="24"/>
        </w:rPr>
        <w:t>5</w:t>
      </w:r>
      <w:r w:rsidR="003F1323">
        <w:rPr>
          <w:rFonts w:ascii="Bookman Old Style" w:hAnsi="Bookman Old Style"/>
          <w:sz w:val="24"/>
          <w:szCs w:val="24"/>
        </w:rPr>
        <w:t>.</w:t>
      </w:r>
      <w:r w:rsidR="008F3DE8">
        <w:rPr>
          <w:rFonts w:ascii="Bookman Old Style" w:hAnsi="Bookman Old Style"/>
          <w:sz w:val="24"/>
          <w:szCs w:val="24"/>
        </w:rPr>
        <w:t xml:space="preserve"> </w:t>
      </w:r>
      <w:r w:rsidR="006B5A9E">
        <w:rPr>
          <w:rFonts w:ascii="Bookman Old Style" w:hAnsi="Bookman Old Style"/>
          <w:sz w:val="24"/>
          <w:szCs w:val="24"/>
        </w:rPr>
        <w:t>IL COSTO DEI DIRITTI</w:t>
      </w:r>
      <w:r w:rsidR="00C36DED">
        <w:rPr>
          <w:rFonts w:ascii="Bookman Old Style" w:hAnsi="Bookman Old Style"/>
          <w:sz w:val="24"/>
          <w:szCs w:val="24"/>
        </w:rPr>
        <w:t xml:space="preserve"> </w:t>
      </w:r>
      <w:r w:rsidR="000051B7" w:rsidRPr="003E19B8">
        <w:rPr>
          <w:rFonts w:ascii="Bookman Old Style" w:hAnsi="Bookman Old Style"/>
          <w:sz w:val="24"/>
          <w:szCs w:val="24"/>
        </w:rPr>
        <w:t>Spesso, nel dibattito – non solo politico</w:t>
      </w:r>
      <w:r w:rsidR="00094BB3">
        <w:rPr>
          <w:rFonts w:ascii="Bookman Old Style" w:hAnsi="Bookman Old Style"/>
          <w:sz w:val="24"/>
          <w:szCs w:val="24"/>
        </w:rPr>
        <w:t xml:space="preserve"> ma anche giuridico - su</w:t>
      </w:r>
      <w:r w:rsidR="000051B7" w:rsidRPr="003E19B8">
        <w:rPr>
          <w:rFonts w:ascii="Bookman Old Style" w:hAnsi="Bookman Old Style"/>
          <w:sz w:val="24"/>
          <w:szCs w:val="24"/>
        </w:rPr>
        <w:t xml:space="preserve">i diritti </w:t>
      </w:r>
      <w:r w:rsidR="00094BB3">
        <w:rPr>
          <w:rFonts w:ascii="Bookman Old Style" w:hAnsi="Bookman Old Style"/>
          <w:sz w:val="24"/>
          <w:szCs w:val="24"/>
        </w:rPr>
        <w:t xml:space="preserve">viene </w:t>
      </w:r>
      <w:r w:rsidR="000051B7" w:rsidRPr="003E19B8">
        <w:rPr>
          <w:rFonts w:ascii="Bookman Old Style" w:hAnsi="Bookman Old Style"/>
          <w:sz w:val="24"/>
          <w:szCs w:val="24"/>
        </w:rPr>
        <w:t>rim</w:t>
      </w:r>
      <w:r w:rsidR="00094BB3">
        <w:rPr>
          <w:rFonts w:ascii="Bookman Old Style" w:hAnsi="Bookman Old Style"/>
          <w:sz w:val="24"/>
          <w:szCs w:val="24"/>
        </w:rPr>
        <w:t xml:space="preserve">ossa </w:t>
      </w:r>
      <w:r w:rsidR="000051B7" w:rsidRPr="003E19B8">
        <w:rPr>
          <w:rFonts w:ascii="Bookman Old Style" w:hAnsi="Bookman Old Style"/>
          <w:sz w:val="24"/>
          <w:szCs w:val="24"/>
        </w:rPr>
        <w:t xml:space="preserve">una considerazione scontata quanto fondamentale: quelle pretese individuali o collettive che eleviamo al rango di diritti possono ricevere effettiva soddisfazione solo nella misura in cui l'ordinamento non solo dà loro riconoscimento e tutela, ma destina loro anche specifiche risorse. </w:t>
      </w:r>
    </w:p>
    <w:p w:rsidR="003E19B8" w:rsidRPr="003E19B8" w:rsidRDefault="000051B7" w:rsidP="003E19B8">
      <w:pPr>
        <w:ind w:firstLine="709"/>
        <w:jc w:val="both"/>
        <w:rPr>
          <w:rFonts w:ascii="Bookman Old Style" w:hAnsi="Bookman Old Style"/>
          <w:sz w:val="24"/>
          <w:szCs w:val="24"/>
        </w:rPr>
      </w:pPr>
      <w:r w:rsidRPr="003E19B8">
        <w:rPr>
          <w:rFonts w:ascii="Bookman Old Style" w:hAnsi="Bookman Old Style"/>
          <w:sz w:val="24"/>
          <w:szCs w:val="24"/>
        </w:rPr>
        <w:t>In altri termini, i diritti hanno dei costi</w:t>
      </w:r>
      <w:r w:rsidR="007B10E4">
        <w:rPr>
          <w:rFonts w:ascii="Bookman Old Style" w:hAnsi="Bookman Old Style"/>
          <w:sz w:val="24"/>
          <w:szCs w:val="24"/>
        </w:rPr>
        <w:t xml:space="preserve"> </w:t>
      </w:r>
      <w:r w:rsidR="003E19B8" w:rsidRPr="003E19B8">
        <w:rPr>
          <w:rFonts w:ascii="Bookman Old Style" w:hAnsi="Bookman Old Style"/>
          <w:sz w:val="24"/>
          <w:szCs w:val="24"/>
        </w:rPr>
        <w:footnoteReference w:id="22"/>
      </w:r>
      <w:r w:rsidR="007B10E4">
        <w:rPr>
          <w:rFonts w:ascii="Bookman Old Style" w:hAnsi="Bookman Old Style"/>
          <w:sz w:val="24"/>
          <w:szCs w:val="24"/>
        </w:rPr>
        <w:t>:</w:t>
      </w:r>
      <w:r w:rsidRPr="003E19B8">
        <w:rPr>
          <w:rFonts w:ascii="Bookman Old Style" w:hAnsi="Bookman Old Style"/>
          <w:sz w:val="24"/>
          <w:szCs w:val="24"/>
        </w:rPr>
        <w:t xml:space="preserve"> </w:t>
      </w:r>
      <w:r w:rsidR="007B10E4">
        <w:rPr>
          <w:rFonts w:ascii="Bookman Old Style" w:hAnsi="Bookman Old Style"/>
          <w:sz w:val="24"/>
          <w:szCs w:val="24"/>
        </w:rPr>
        <w:t>s</w:t>
      </w:r>
      <w:r w:rsidR="003E19B8">
        <w:rPr>
          <w:rFonts w:ascii="Bookman Old Style" w:hAnsi="Bookman Old Style"/>
          <w:sz w:val="24"/>
          <w:szCs w:val="24"/>
        </w:rPr>
        <w:t>i tratta di una regola nota da tempo agli economisti, dai medesimi espressa - con un più crudo realismo rispetto al linguaggio paludato dei giuristi – con la nota formula secondo la quale “</w:t>
      </w:r>
      <w:r w:rsidR="003E19B8" w:rsidRPr="003E19B8">
        <w:rPr>
          <w:rFonts w:ascii="Bookman Old Style" w:hAnsi="Bookman Old Style"/>
          <w:sz w:val="24"/>
          <w:szCs w:val="24"/>
        </w:rPr>
        <w:t>nessun pasto è gratis</w:t>
      </w:r>
      <w:r w:rsidR="003E19B8">
        <w:rPr>
          <w:rFonts w:ascii="Bookman Old Style" w:hAnsi="Bookman Old Style"/>
          <w:sz w:val="24"/>
          <w:szCs w:val="24"/>
        </w:rPr>
        <w:t>”.</w:t>
      </w:r>
      <w:r w:rsidR="00094BB3">
        <w:rPr>
          <w:rFonts w:ascii="Bookman Old Style" w:hAnsi="Bookman Old Style"/>
          <w:sz w:val="24"/>
          <w:szCs w:val="24"/>
        </w:rPr>
        <w:t xml:space="preserve"> </w:t>
      </w:r>
      <w:r w:rsidRPr="003E19B8">
        <w:rPr>
          <w:rFonts w:ascii="Bookman Old Style" w:hAnsi="Bookman Old Style"/>
          <w:sz w:val="24"/>
          <w:szCs w:val="24"/>
        </w:rPr>
        <w:t>Ciò vale tanto per i diritti negativi che per i diritti positivi</w:t>
      </w:r>
      <w:r w:rsidR="003E19B8" w:rsidRPr="003E19B8">
        <w:rPr>
          <w:rFonts w:ascii="Bookman Old Style" w:hAnsi="Bookman Old Style"/>
          <w:sz w:val="24"/>
          <w:szCs w:val="24"/>
        </w:rPr>
        <w:t>: entrambi dipen</w:t>
      </w:r>
      <w:r w:rsidRPr="003E19B8">
        <w:rPr>
          <w:rFonts w:ascii="Bookman Old Style" w:hAnsi="Bookman Old Style"/>
          <w:sz w:val="24"/>
          <w:szCs w:val="24"/>
        </w:rPr>
        <w:t>d</w:t>
      </w:r>
      <w:r w:rsidR="003E19B8" w:rsidRPr="003E19B8">
        <w:rPr>
          <w:rFonts w:ascii="Bookman Old Style" w:hAnsi="Bookman Old Style"/>
          <w:sz w:val="24"/>
          <w:szCs w:val="24"/>
        </w:rPr>
        <w:t>on</w:t>
      </w:r>
      <w:r w:rsidRPr="003E19B8">
        <w:rPr>
          <w:rFonts w:ascii="Bookman Old Style" w:hAnsi="Bookman Old Style"/>
          <w:sz w:val="24"/>
          <w:szCs w:val="24"/>
        </w:rPr>
        <w:t xml:space="preserve">o dall'intervento attivo dello </w:t>
      </w:r>
      <w:r w:rsidR="003D56B8">
        <w:rPr>
          <w:rFonts w:ascii="Bookman Old Style" w:hAnsi="Bookman Old Style"/>
          <w:sz w:val="24"/>
          <w:szCs w:val="24"/>
        </w:rPr>
        <w:t>S</w:t>
      </w:r>
      <w:r w:rsidRPr="003E19B8">
        <w:rPr>
          <w:rFonts w:ascii="Bookman Old Style" w:hAnsi="Bookman Old Style"/>
          <w:sz w:val="24"/>
          <w:szCs w:val="24"/>
        </w:rPr>
        <w:t>tato,</w:t>
      </w:r>
      <w:r w:rsidR="003E19B8" w:rsidRPr="003E19B8">
        <w:rPr>
          <w:rFonts w:ascii="Bookman Old Style" w:hAnsi="Bookman Old Style"/>
          <w:sz w:val="24"/>
          <w:szCs w:val="24"/>
        </w:rPr>
        <w:t xml:space="preserve"> </w:t>
      </w:r>
      <w:r w:rsidRPr="003E19B8">
        <w:rPr>
          <w:rFonts w:ascii="Bookman Old Style" w:hAnsi="Bookman Old Style"/>
          <w:sz w:val="24"/>
          <w:szCs w:val="24"/>
        </w:rPr>
        <w:t>anche soltanto per la creazione e il finanziamento d</w:t>
      </w:r>
      <w:r w:rsidR="003759C4">
        <w:rPr>
          <w:rFonts w:ascii="Bookman Old Style" w:hAnsi="Bookman Old Style"/>
          <w:sz w:val="24"/>
          <w:szCs w:val="24"/>
        </w:rPr>
        <w:t xml:space="preserve">elle strutture (forze dell’ordine e magistratura) che ne assicurino la tutela e consentano a titolari di difenderli e farli </w:t>
      </w:r>
      <w:r w:rsidRPr="003E19B8">
        <w:rPr>
          <w:rFonts w:ascii="Bookman Old Style" w:hAnsi="Bookman Old Style"/>
          <w:sz w:val="24"/>
          <w:szCs w:val="24"/>
        </w:rPr>
        <w:t>valere</w:t>
      </w:r>
      <w:r w:rsidR="003E19B8" w:rsidRPr="003E19B8">
        <w:rPr>
          <w:rFonts w:ascii="Bookman Old Style" w:hAnsi="Bookman Old Style"/>
          <w:sz w:val="24"/>
          <w:szCs w:val="24"/>
        </w:rPr>
        <w:t>.</w:t>
      </w:r>
    </w:p>
    <w:p w:rsidR="007B10E4" w:rsidRDefault="003E19B8" w:rsidP="003E19B8">
      <w:pPr>
        <w:ind w:firstLine="709"/>
        <w:jc w:val="both"/>
        <w:rPr>
          <w:rFonts w:ascii="Bookman Old Style" w:hAnsi="Bookman Old Style"/>
          <w:sz w:val="24"/>
          <w:szCs w:val="24"/>
        </w:rPr>
      </w:pPr>
      <w:r w:rsidRPr="003E19B8">
        <w:rPr>
          <w:rFonts w:ascii="Bookman Old Style" w:hAnsi="Bookman Old Style"/>
          <w:sz w:val="24"/>
          <w:szCs w:val="24"/>
        </w:rPr>
        <w:t>L</w:t>
      </w:r>
      <w:r w:rsidR="000051B7" w:rsidRPr="003E19B8">
        <w:rPr>
          <w:rFonts w:ascii="Bookman Old Style" w:hAnsi="Bookman Old Style"/>
          <w:sz w:val="24"/>
          <w:szCs w:val="24"/>
        </w:rPr>
        <w:t>a tutela di un diritto implica sempre una</w:t>
      </w:r>
      <w:r w:rsidRPr="003E19B8">
        <w:rPr>
          <w:rFonts w:ascii="Bookman Old Style" w:hAnsi="Bookman Old Style"/>
          <w:sz w:val="24"/>
          <w:szCs w:val="24"/>
        </w:rPr>
        <w:t xml:space="preserve"> </w:t>
      </w:r>
      <w:r w:rsidR="000051B7" w:rsidRPr="003E19B8">
        <w:rPr>
          <w:rFonts w:ascii="Bookman Old Style" w:hAnsi="Bookman Old Style"/>
          <w:sz w:val="24"/>
          <w:szCs w:val="24"/>
        </w:rPr>
        <w:t>scelta sull'allocazione delle risorse</w:t>
      </w:r>
      <w:r w:rsidR="007B10E4">
        <w:rPr>
          <w:rFonts w:ascii="Bookman Old Style" w:hAnsi="Bookman Old Style"/>
          <w:sz w:val="24"/>
          <w:szCs w:val="24"/>
        </w:rPr>
        <w:t>; e</w:t>
      </w:r>
      <w:r w:rsidR="000051B7" w:rsidRPr="003E19B8">
        <w:rPr>
          <w:rFonts w:ascii="Bookman Old Style" w:hAnsi="Bookman Old Style"/>
          <w:sz w:val="24"/>
          <w:szCs w:val="24"/>
        </w:rPr>
        <w:t>ssa comporta uno spostamento delle risorse disponibili da una voce ad un'altra del</w:t>
      </w:r>
      <w:r w:rsidRPr="003E19B8">
        <w:rPr>
          <w:rFonts w:ascii="Bookman Old Style" w:hAnsi="Bookman Old Style"/>
          <w:sz w:val="24"/>
          <w:szCs w:val="24"/>
        </w:rPr>
        <w:t xml:space="preserve"> </w:t>
      </w:r>
      <w:r w:rsidR="000051B7" w:rsidRPr="003E19B8">
        <w:rPr>
          <w:rFonts w:ascii="Bookman Old Style" w:hAnsi="Bookman Old Style"/>
          <w:sz w:val="24"/>
          <w:szCs w:val="24"/>
        </w:rPr>
        <w:t>bilancio, ovvero il sacrificio di altre opportunità</w:t>
      </w:r>
      <w:r w:rsidR="00094BB3">
        <w:rPr>
          <w:rFonts w:ascii="Bookman Old Style" w:hAnsi="Bookman Old Style"/>
          <w:sz w:val="24"/>
          <w:szCs w:val="24"/>
        </w:rPr>
        <w:t>.</w:t>
      </w:r>
      <w:r w:rsidR="000051B7" w:rsidRPr="003E19B8">
        <w:rPr>
          <w:rFonts w:ascii="Bookman Old Style" w:hAnsi="Bookman Old Style"/>
          <w:sz w:val="24"/>
          <w:szCs w:val="24"/>
        </w:rPr>
        <w:t xml:space="preserve"> Dire che la tutela effettiva dei diritti dipende dalle risorse disponibili, ovvero dal</w:t>
      </w:r>
      <w:r w:rsidRPr="003E19B8">
        <w:rPr>
          <w:rFonts w:ascii="Bookman Old Style" w:hAnsi="Bookman Old Style"/>
          <w:sz w:val="24"/>
          <w:szCs w:val="24"/>
        </w:rPr>
        <w:t xml:space="preserve"> </w:t>
      </w:r>
      <w:r w:rsidR="000051B7" w:rsidRPr="003E19B8">
        <w:rPr>
          <w:rFonts w:ascii="Bookman Old Style" w:hAnsi="Bookman Old Style"/>
          <w:sz w:val="24"/>
          <w:szCs w:val="24"/>
        </w:rPr>
        <w:t>bilancio e quindi dal volume delle tasse raccolte, significa mettere in rilievo</w:t>
      </w:r>
      <w:r w:rsidR="003759C4">
        <w:rPr>
          <w:rFonts w:ascii="Bookman Old Style" w:hAnsi="Bookman Old Style"/>
          <w:sz w:val="24"/>
          <w:szCs w:val="24"/>
        </w:rPr>
        <w:t xml:space="preserve">, </w:t>
      </w:r>
      <w:r w:rsidR="000051B7" w:rsidRPr="003E19B8">
        <w:rPr>
          <w:rFonts w:ascii="Bookman Old Style" w:hAnsi="Bookman Old Style"/>
          <w:sz w:val="24"/>
          <w:szCs w:val="24"/>
        </w:rPr>
        <w:t>da un lato</w:t>
      </w:r>
      <w:r w:rsidR="003759C4">
        <w:rPr>
          <w:rFonts w:ascii="Bookman Old Style" w:hAnsi="Bookman Old Style"/>
          <w:sz w:val="24"/>
          <w:szCs w:val="24"/>
        </w:rPr>
        <w:t>,</w:t>
      </w:r>
      <w:r w:rsidR="000051B7" w:rsidRPr="003E19B8">
        <w:rPr>
          <w:rFonts w:ascii="Bookman Old Style" w:hAnsi="Bookman Old Style"/>
          <w:sz w:val="24"/>
          <w:szCs w:val="24"/>
        </w:rPr>
        <w:t xml:space="preserve"> che essa dipende da scelte</w:t>
      </w:r>
      <w:r w:rsidRPr="003E19B8">
        <w:rPr>
          <w:rFonts w:ascii="Bookman Old Style" w:hAnsi="Bookman Old Style"/>
          <w:sz w:val="24"/>
          <w:szCs w:val="24"/>
        </w:rPr>
        <w:t xml:space="preserve"> </w:t>
      </w:r>
      <w:r w:rsidR="000051B7" w:rsidRPr="003E19B8">
        <w:rPr>
          <w:rFonts w:ascii="Bookman Old Style" w:hAnsi="Bookman Old Style"/>
          <w:sz w:val="24"/>
          <w:szCs w:val="24"/>
        </w:rPr>
        <w:t>politiche</w:t>
      </w:r>
      <w:r w:rsidR="003759C4">
        <w:rPr>
          <w:rFonts w:ascii="Bookman Old Style" w:hAnsi="Bookman Old Style"/>
          <w:sz w:val="24"/>
          <w:szCs w:val="24"/>
        </w:rPr>
        <w:t>,</w:t>
      </w:r>
      <w:r w:rsidR="000051B7" w:rsidRPr="003E19B8">
        <w:rPr>
          <w:rFonts w:ascii="Bookman Old Style" w:hAnsi="Bookman Old Style"/>
          <w:sz w:val="24"/>
          <w:szCs w:val="24"/>
        </w:rPr>
        <w:t xml:space="preserve"> dall'altro</w:t>
      </w:r>
      <w:r w:rsidR="003759C4">
        <w:rPr>
          <w:rFonts w:ascii="Bookman Old Style" w:hAnsi="Bookman Old Style"/>
          <w:sz w:val="24"/>
          <w:szCs w:val="24"/>
        </w:rPr>
        <w:t>,</w:t>
      </w:r>
      <w:r w:rsidR="000051B7" w:rsidRPr="003E19B8">
        <w:rPr>
          <w:rFonts w:ascii="Bookman Old Style" w:hAnsi="Bookman Old Style"/>
          <w:sz w:val="24"/>
          <w:szCs w:val="24"/>
        </w:rPr>
        <w:t xml:space="preserve"> che i diritti, al di là della retorica della loro inviolabilità, indisponibilità e inderogabilità, sono</w:t>
      </w:r>
      <w:r w:rsidRPr="003E19B8">
        <w:rPr>
          <w:rFonts w:ascii="Bookman Old Style" w:hAnsi="Bookman Old Style"/>
          <w:sz w:val="24"/>
          <w:szCs w:val="24"/>
        </w:rPr>
        <w:t xml:space="preserve"> </w:t>
      </w:r>
      <w:r w:rsidR="000051B7" w:rsidRPr="003E19B8">
        <w:rPr>
          <w:rFonts w:ascii="Bookman Old Style" w:hAnsi="Bookman Old Style"/>
          <w:sz w:val="24"/>
          <w:szCs w:val="24"/>
        </w:rPr>
        <w:t>"pretese di carattere relativo", fondate sempre su dei compromessi e non "assi piglia tutto", secondo la nota</w:t>
      </w:r>
      <w:r w:rsidR="007B10E4">
        <w:rPr>
          <w:rFonts w:ascii="Bookman Old Style" w:hAnsi="Bookman Old Style"/>
          <w:sz w:val="24"/>
          <w:szCs w:val="24"/>
        </w:rPr>
        <w:t xml:space="preserve"> </w:t>
      </w:r>
      <w:r w:rsidR="000051B7" w:rsidRPr="003E19B8">
        <w:rPr>
          <w:rFonts w:ascii="Bookman Old Style" w:hAnsi="Bookman Old Style"/>
          <w:sz w:val="24"/>
          <w:szCs w:val="24"/>
        </w:rPr>
        <w:t xml:space="preserve">formulazione di </w:t>
      </w:r>
      <w:proofErr w:type="spellStart"/>
      <w:r w:rsidR="000051B7" w:rsidRPr="003E19B8">
        <w:rPr>
          <w:rFonts w:ascii="Bookman Old Style" w:hAnsi="Bookman Old Style"/>
          <w:sz w:val="24"/>
          <w:szCs w:val="24"/>
        </w:rPr>
        <w:t>Dworkin</w:t>
      </w:r>
      <w:proofErr w:type="spellEnd"/>
      <w:r w:rsidR="007B10E4">
        <w:rPr>
          <w:rFonts w:ascii="Bookman Old Style" w:hAnsi="Bookman Old Style"/>
          <w:sz w:val="24"/>
          <w:szCs w:val="24"/>
        </w:rPr>
        <w:t xml:space="preserve"> </w:t>
      </w:r>
      <w:r w:rsidR="007B10E4">
        <w:rPr>
          <w:rStyle w:val="Rimandonotaapidipagina"/>
          <w:rFonts w:ascii="Bookman Old Style" w:hAnsi="Bookman Old Style"/>
          <w:sz w:val="24"/>
          <w:szCs w:val="24"/>
        </w:rPr>
        <w:footnoteReference w:id="23"/>
      </w:r>
      <w:r w:rsidR="007B10E4">
        <w:rPr>
          <w:rFonts w:ascii="Bookman Old Style" w:hAnsi="Bookman Old Style"/>
          <w:sz w:val="24"/>
          <w:szCs w:val="24"/>
        </w:rPr>
        <w:t>.</w:t>
      </w:r>
    </w:p>
    <w:p w:rsidR="007B10E4" w:rsidRDefault="007B10E4" w:rsidP="007B10E4">
      <w:pPr>
        <w:ind w:firstLine="709"/>
        <w:jc w:val="both"/>
        <w:rPr>
          <w:rFonts w:ascii="Bookman Old Style" w:hAnsi="Bookman Old Style"/>
          <w:sz w:val="24"/>
          <w:szCs w:val="24"/>
        </w:rPr>
      </w:pPr>
      <w:r>
        <w:rPr>
          <w:rFonts w:ascii="Bookman Old Style" w:hAnsi="Bookman Old Style"/>
          <w:sz w:val="24"/>
          <w:szCs w:val="24"/>
        </w:rPr>
        <w:lastRenderedPageBreak/>
        <w:t>Ricordava Bassanini</w:t>
      </w:r>
      <w:r w:rsidR="007A5F0C">
        <w:rPr>
          <w:rFonts w:ascii="Bookman Old Style" w:hAnsi="Bookman Old Style"/>
          <w:sz w:val="24"/>
          <w:szCs w:val="24"/>
        </w:rPr>
        <w:t xml:space="preserve"> </w:t>
      </w:r>
      <w:r w:rsidR="007A5F0C">
        <w:rPr>
          <w:rStyle w:val="Rimandonotaapidipagina"/>
          <w:rFonts w:ascii="Bookman Old Style" w:hAnsi="Bookman Old Style"/>
          <w:sz w:val="24"/>
          <w:szCs w:val="24"/>
        </w:rPr>
        <w:footnoteReference w:id="24"/>
      </w:r>
      <w:r>
        <w:rPr>
          <w:rFonts w:ascii="Bookman Old Style" w:hAnsi="Bookman Old Style"/>
          <w:sz w:val="24"/>
          <w:szCs w:val="24"/>
        </w:rPr>
        <w:t xml:space="preserve"> che al centro della guerra di secessi</w:t>
      </w:r>
      <w:r w:rsidR="007A5F0C">
        <w:rPr>
          <w:rFonts w:ascii="Bookman Old Style" w:hAnsi="Bookman Old Style"/>
          <w:sz w:val="24"/>
          <w:szCs w:val="24"/>
        </w:rPr>
        <w:t>o</w:t>
      </w:r>
      <w:r>
        <w:rPr>
          <w:rFonts w:ascii="Bookman Old Style" w:hAnsi="Bookman Old Style"/>
          <w:sz w:val="24"/>
          <w:szCs w:val="24"/>
        </w:rPr>
        <w:t xml:space="preserve">ne americana (guerra che da un punto di vista giuridico riguardava lo scontro tra una visione federale di uno Stato unitario e quella di una confederazione di Stati e, dunque, riguardava la creazione </w:t>
      </w:r>
      <w:r w:rsidR="003759C4">
        <w:rPr>
          <w:rFonts w:ascii="Bookman Old Style" w:hAnsi="Bookman Old Style"/>
          <w:sz w:val="24"/>
          <w:szCs w:val="24"/>
        </w:rPr>
        <w:t xml:space="preserve">di una tipologia di </w:t>
      </w:r>
      <w:r>
        <w:rPr>
          <w:rFonts w:ascii="Bookman Old Style" w:hAnsi="Bookman Old Style"/>
          <w:sz w:val="24"/>
          <w:szCs w:val="24"/>
        </w:rPr>
        <w:t>sistema multilivello di regolamentazione dei diritti</w:t>
      </w:r>
      <w:r w:rsidR="003759C4">
        <w:rPr>
          <w:rFonts w:ascii="Bookman Old Style" w:hAnsi="Bookman Old Style"/>
          <w:sz w:val="24"/>
          <w:szCs w:val="24"/>
        </w:rPr>
        <w:t xml:space="preserve"> piuttosto che un’altra</w:t>
      </w:r>
      <w:r>
        <w:rPr>
          <w:rFonts w:ascii="Bookman Old Style" w:hAnsi="Bookman Old Style"/>
          <w:sz w:val="24"/>
          <w:szCs w:val="24"/>
        </w:rPr>
        <w:t>) vi erano due questioni: se i diritti fondamentali dovessero essere garantiti in maniera unitaria in tutto il territorio americano e se la loro attuazione dovesse essere pagata con tasse esatte da tutti i cittadini degli Stati federati.</w:t>
      </w:r>
    </w:p>
    <w:p w:rsidR="00094BB3" w:rsidRDefault="007B10E4" w:rsidP="007A5F0C">
      <w:pPr>
        <w:ind w:firstLine="709"/>
        <w:jc w:val="both"/>
        <w:rPr>
          <w:rFonts w:ascii="Bookman Old Style" w:hAnsi="Bookman Old Style"/>
          <w:sz w:val="24"/>
          <w:szCs w:val="24"/>
        </w:rPr>
      </w:pPr>
      <w:r w:rsidRPr="007A5F0C">
        <w:rPr>
          <w:rFonts w:ascii="Bookman Old Style" w:hAnsi="Bookman Old Style"/>
          <w:sz w:val="24"/>
          <w:szCs w:val="24"/>
        </w:rPr>
        <w:t>Gli Stati del Sud rivendicavano il diritto dei singoli Stati a determinare essi stessi,</w:t>
      </w:r>
      <w:r w:rsidR="007A5F0C" w:rsidRPr="007A5F0C">
        <w:rPr>
          <w:rFonts w:ascii="Bookman Old Style" w:hAnsi="Bookman Old Style"/>
          <w:sz w:val="24"/>
          <w:szCs w:val="24"/>
        </w:rPr>
        <w:t xml:space="preserve"> </w:t>
      </w:r>
      <w:r w:rsidRPr="007A5F0C">
        <w:rPr>
          <w:rFonts w:ascii="Bookman Old Style" w:hAnsi="Bookman Old Style"/>
          <w:sz w:val="24"/>
          <w:szCs w:val="24"/>
        </w:rPr>
        <w:t>con le proprie Costituzioni e le proprie leggi, i diritti fondamentali dei loro</w:t>
      </w:r>
      <w:r w:rsidR="007A5F0C" w:rsidRPr="007A5F0C">
        <w:rPr>
          <w:rFonts w:ascii="Bookman Old Style" w:hAnsi="Bookman Old Style"/>
          <w:sz w:val="24"/>
          <w:szCs w:val="24"/>
        </w:rPr>
        <w:t xml:space="preserve"> </w:t>
      </w:r>
      <w:r w:rsidRPr="007A5F0C">
        <w:rPr>
          <w:rFonts w:ascii="Bookman Old Style" w:hAnsi="Bookman Old Style"/>
          <w:sz w:val="24"/>
          <w:szCs w:val="24"/>
        </w:rPr>
        <w:t>cittadini e a stabilire a chi questi diritti e queste libertà dovessero essere</w:t>
      </w:r>
      <w:r w:rsidR="007A5F0C" w:rsidRPr="007A5F0C">
        <w:rPr>
          <w:rFonts w:ascii="Bookman Old Style" w:hAnsi="Bookman Old Style"/>
          <w:sz w:val="24"/>
          <w:szCs w:val="24"/>
        </w:rPr>
        <w:t xml:space="preserve"> </w:t>
      </w:r>
      <w:r w:rsidRPr="007A5F0C">
        <w:rPr>
          <w:rFonts w:ascii="Bookman Old Style" w:hAnsi="Bookman Old Style"/>
          <w:sz w:val="24"/>
          <w:szCs w:val="24"/>
        </w:rPr>
        <w:t>effettivamente riconosciuti, in modo da poterli negare in tutto o in parte alla</w:t>
      </w:r>
      <w:r w:rsidR="007A5F0C" w:rsidRPr="007A5F0C">
        <w:rPr>
          <w:rFonts w:ascii="Bookman Old Style" w:hAnsi="Bookman Old Style"/>
          <w:sz w:val="24"/>
          <w:szCs w:val="24"/>
        </w:rPr>
        <w:t xml:space="preserve"> </w:t>
      </w:r>
      <w:r w:rsidRPr="007A5F0C">
        <w:rPr>
          <w:rFonts w:ascii="Bookman Old Style" w:hAnsi="Bookman Old Style"/>
          <w:sz w:val="24"/>
          <w:szCs w:val="24"/>
        </w:rPr>
        <w:t>popolazione di colore.</w:t>
      </w:r>
      <w:r w:rsidR="00094BB3">
        <w:rPr>
          <w:rFonts w:ascii="Bookman Old Style" w:hAnsi="Bookman Old Style"/>
          <w:sz w:val="24"/>
          <w:szCs w:val="24"/>
        </w:rPr>
        <w:t xml:space="preserve"> </w:t>
      </w:r>
      <w:r w:rsidRPr="007A5F0C">
        <w:rPr>
          <w:rFonts w:ascii="Bookman Old Style" w:hAnsi="Bookman Old Style"/>
          <w:sz w:val="24"/>
          <w:szCs w:val="24"/>
        </w:rPr>
        <w:t>Contestavano</w:t>
      </w:r>
      <w:r w:rsidR="003759C4">
        <w:rPr>
          <w:rFonts w:ascii="Bookman Old Style" w:hAnsi="Bookman Old Style"/>
          <w:sz w:val="24"/>
          <w:szCs w:val="24"/>
        </w:rPr>
        <w:t>,</w:t>
      </w:r>
      <w:r w:rsidRPr="007A5F0C">
        <w:rPr>
          <w:rFonts w:ascii="Bookman Old Style" w:hAnsi="Bookman Old Style"/>
          <w:sz w:val="24"/>
          <w:szCs w:val="24"/>
        </w:rPr>
        <w:t xml:space="preserve"> in secondo luogo</w:t>
      </w:r>
      <w:r w:rsidR="003759C4">
        <w:rPr>
          <w:rFonts w:ascii="Bookman Old Style" w:hAnsi="Bookman Old Style"/>
          <w:sz w:val="24"/>
          <w:szCs w:val="24"/>
        </w:rPr>
        <w:t>.</w:t>
      </w:r>
      <w:r w:rsidRPr="007A5F0C">
        <w:rPr>
          <w:rFonts w:ascii="Bookman Old Style" w:hAnsi="Bookman Old Style"/>
          <w:sz w:val="24"/>
          <w:szCs w:val="24"/>
        </w:rPr>
        <w:t xml:space="preserve"> </w:t>
      </w:r>
      <w:proofErr w:type="gramStart"/>
      <w:r w:rsidRPr="007A5F0C">
        <w:rPr>
          <w:rFonts w:ascii="Bookman Old Style" w:hAnsi="Bookman Old Style"/>
          <w:sz w:val="24"/>
          <w:szCs w:val="24"/>
        </w:rPr>
        <w:t>il</w:t>
      </w:r>
      <w:proofErr w:type="gramEnd"/>
      <w:r w:rsidRPr="007A5F0C">
        <w:rPr>
          <w:rFonts w:ascii="Bookman Old Style" w:hAnsi="Bookman Old Style"/>
          <w:sz w:val="24"/>
          <w:szCs w:val="24"/>
        </w:rPr>
        <w:t xml:space="preserve"> diritto della Federazione</w:t>
      </w:r>
      <w:r w:rsidR="007A5F0C" w:rsidRPr="007A5F0C">
        <w:rPr>
          <w:rFonts w:ascii="Bookman Old Style" w:hAnsi="Bookman Old Style"/>
          <w:sz w:val="24"/>
          <w:szCs w:val="24"/>
        </w:rPr>
        <w:t xml:space="preserve"> </w:t>
      </w:r>
      <w:r w:rsidRPr="007A5F0C">
        <w:rPr>
          <w:rFonts w:ascii="Bookman Old Style" w:hAnsi="Bookman Old Style"/>
          <w:sz w:val="24"/>
          <w:szCs w:val="24"/>
        </w:rPr>
        <w:t>di riscuotere tributi federali</w:t>
      </w:r>
      <w:r w:rsidR="003759C4">
        <w:rPr>
          <w:rFonts w:ascii="Bookman Old Style" w:hAnsi="Bookman Old Style"/>
          <w:sz w:val="24"/>
          <w:szCs w:val="24"/>
        </w:rPr>
        <w:t xml:space="preserve"> che dovevano servire – per quanto </w:t>
      </w:r>
      <w:r w:rsidR="003759C4" w:rsidRPr="003D56B8">
        <w:rPr>
          <w:rFonts w:ascii="Bookman Old Style" w:hAnsi="Bookman Old Style"/>
          <w:i/>
          <w:sz w:val="24"/>
          <w:szCs w:val="24"/>
        </w:rPr>
        <w:t>pro quota</w:t>
      </w:r>
      <w:r w:rsidR="003759C4">
        <w:rPr>
          <w:rFonts w:ascii="Bookman Old Style" w:hAnsi="Bookman Old Style"/>
          <w:sz w:val="24"/>
          <w:szCs w:val="24"/>
        </w:rPr>
        <w:t xml:space="preserve"> – ad attuare e dare tutela a tali diritti</w:t>
      </w:r>
      <w:r w:rsidRPr="007A5F0C">
        <w:rPr>
          <w:rFonts w:ascii="Bookman Old Style" w:hAnsi="Bookman Old Style"/>
          <w:sz w:val="24"/>
          <w:szCs w:val="24"/>
        </w:rPr>
        <w:t>.</w:t>
      </w:r>
    </w:p>
    <w:p w:rsidR="00C8141F" w:rsidRDefault="00094BB3" w:rsidP="007A5F0C">
      <w:pPr>
        <w:ind w:firstLine="709"/>
        <w:jc w:val="both"/>
        <w:rPr>
          <w:rFonts w:ascii="Bookman Old Style" w:hAnsi="Bookman Old Style"/>
          <w:sz w:val="24"/>
          <w:szCs w:val="24"/>
        </w:rPr>
      </w:pPr>
      <w:r>
        <w:rPr>
          <w:rFonts w:ascii="Bookman Old Style" w:hAnsi="Bookman Old Style"/>
          <w:sz w:val="24"/>
          <w:szCs w:val="24"/>
        </w:rPr>
        <w:t xml:space="preserve">In altri termini, la contesa verteva intorno al tema che stiamo affrontando: a chi spetta, in un sistema giuridico multilivello, da un lato la creazione e la tutela di un </w:t>
      </w:r>
      <w:r w:rsidRPr="003D56B8">
        <w:rPr>
          <w:rFonts w:ascii="Bookman Old Style" w:hAnsi="Bookman Old Style"/>
          <w:i/>
          <w:sz w:val="24"/>
          <w:szCs w:val="24"/>
        </w:rPr>
        <w:t>corpus</w:t>
      </w:r>
      <w:r>
        <w:rPr>
          <w:rFonts w:ascii="Bookman Old Style" w:hAnsi="Bookman Old Style"/>
          <w:sz w:val="24"/>
          <w:szCs w:val="24"/>
        </w:rPr>
        <w:t xml:space="preserve"> di diritti e, dall’altro, l</w:t>
      </w:r>
      <w:r w:rsidR="00C8141F">
        <w:rPr>
          <w:rFonts w:ascii="Bookman Old Style" w:hAnsi="Bookman Old Style"/>
          <w:sz w:val="24"/>
          <w:szCs w:val="24"/>
        </w:rPr>
        <w:t xml:space="preserve">a fissazione del livello di contribuzione da richiedere </w:t>
      </w:r>
      <w:r w:rsidR="003759C4">
        <w:rPr>
          <w:rFonts w:ascii="Bookman Old Style" w:hAnsi="Bookman Old Style"/>
          <w:sz w:val="24"/>
          <w:szCs w:val="24"/>
        </w:rPr>
        <w:t xml:space="preserve">ai cittadini </w:t>
      </w:r>
      <w:r w:rsidR="00C8141F">
        <w:rPr>
          <w:rFonts w:ascii="Bookman Old Style" w:hAnsi="Bookman Old Style"/>
          <w:sz w:val="24"/>
          <w:szCs w:val="24"/>
        </w:rPr>
        <w:t>per assicurare la realizzazione di tali diritti.</w:t>
      </w:r>
    </w:p>
    <w:p w:rsidR="00352ACF" w:rsidRDefault="004942C8" w:rsidP="000051B7">
      <w:pPr>
        <w:ind w:firstLine="709"/>
        <w:jc w:val="both"/>
        <w:rPr>
          <w:rFonts w:ascii="Bookman Old Style" w:hAnsi="Bookman Old Style"/>
          <w:sz w:val="24"/>
          <w:szCs w:val="24"/>
        </w:rPr>
      </w:pPr>
      <w:r>
        <w:rPr>
          <w:rFonts w:ascii="Bookman Old Style" w:hAnsi="Bookman Old Style"/>
          <w:sz w:val="24"/>
          <w:szCs w:val="24"/>
        </w:rPr>
        <w:t>6</w:t>
      </w:r>
      <w:r w:rsidR="00352ACF">
        <w:rPr>
          <w:rFonts w:ascii="Bookman Old Style" w:hAnsi="Bookman Old Style"/>
          <w:sz w:val="24"/>
          <w:szCs w:val="24"/>
        </w:rPr>
        <w:t>. LA DISCIPLINA IN TEMA DI PAREGGIO DI BILANCIO</w:t>
      </w:r>
      <w:r w:rsidR="004A17AC">
        <w:rPr>
          <w:rFonts w:ascii="Bookman Old Style" w:hAnsi="Bookman Old Style"/>
          <w:sz w:val="24"/>
          <w:szCs w:val="24"/>
        </w:rPr>
        <w:t xml:space="preserve"> </w:t>
      </w:r>
      <w:r w:rsidR="00352ACF">
        <w:rPr>
          <w:rFonts w:ascii="Bookman Old Style" w:hAnsi="Bookman Old Style"/>
          <w:sz w:val="24"/>
          <w:szCs w:val="24"/>
        </w:rPr>
        <w:t>Se dunque una seria discussione in tema di diritti richiede un</w:t>
      </w:r>
      <w:r w:rsidR="007F6042">
        <w:rPr>
          <w:rFonts w:ascii="Bookman Old Style" w:hAnsi="Bookman Old Style"/>
          <w:sz w:val="24"/>
          <w:szCs w:val="24"/>
        </w:rPr>
        <w:t>’</w:t>
      </w:r>
      <w:r w:rsidR="00352ACF">
        <w:rPr>
          <w:rFonts w:ascii="Bookman Old Style" w:hAnsi="Bookman Old Style"/>
          <w:sz w:val="24"/>
          <w:szCs w:val="24"/>
        </w:rPr>
        <w:t>attenta valutazione delle risorse messe in campo per assicurare il pieno godimento dei diritti, in un sistema normativo multilivello non si può non fare cenno alle disposizioni in tema di pareggio di bilancio</w:t>
      </w:r>
      <w:r w:rsidR="007F6042">
        <w:rPr>
          <w:rFonts w:ascii="Bookman Old Style" w:hAnsi="Bookman Old Style"/>
          <w:sz w:val="24"/>
          <w:szCs w:val="24"/>
        </w:rPr>
        <w:t xml:space="preserve"> recentemente introdotte nella Costituzione italiana</w:t>
      </w:r>
      <w:r w:rsidR="00B103E9">
        <w:rPr>
          <w:rFonts w:ascii="Bookman Old Style" w:hAnsi="Bookman Old Style"/>
          <w:sz w:val="24"/>
          <w:szCs w:val="24"/>
        </w:rPr>
        <w:t xml:space="preserve"> </w:t>
      </w:r>
      <w:r w:rsidR="00B103E9">
        <w:rPr>
          <w:rStyle w:val="Rimandonotaapidipagina"/>
          <w:rFonts w:ascii="Bookman Old Style" w:hAnsi="Bookman Old Style"/>
          <w:sz w:val="24"/>
          <w:szCs w:val="24"/>
        </w:rPr>
        <w:footnoteReference w:id="25"/>
      </w:r>
      <w:r w:rsidR="00352ACF">
        <w:rPr>
          <w:rFonts w:ascii="Bookman Old Style" w:hAnsi="Bookman Old Style"/>
          <w:sz w:val="24"/>
          <w:szCs w:val="24"/>
        </w:rPr>
        <w:t>.</w:t>
      </w:r>
    </w:p>
    <w:p w:rsidR="00352ACF" w:rsidRPr="00352ACF" w:rsidRDefault="00352ACF" w:rsidP="00352ACF">
      <w:pPr>
        <w:ind w:firstLine="709"/>
        <w:jc w:val="both"/>
        <w:rPr>
          <w:rFonts w:ascii="Bookman Old Style" w:hAnsi="Bookman Old Style"/>
          <w:sz w:val="24"/>
          <w:szCs w:val="24"/>
        </w:rPr>
      </w:pPr>
      <w:r w:rsidRPr="00352ACF">
        <w:rPr>
          <w:rFonts w:ascii="Bookman Old Style" w:hAnsi="Bookman Old Style"/>
          <w:sz w:val="24"/>
          <w:szCs w:val="24"/>
        </w:rPr>
        <w:t xml:space="preserve">Tra le diverse misure adottate dalle istituzioni europee e dagli Stati membri per affrontare e risolvere la questione dei debiti sovrani, il combinato disposto delle normative recanti la modifica dell’art. 136 del TFUE, l’istituzione del Meccanismo europeo di stabilità (MES) e la disciplina del </w:t>
      </w:r>
      <w:r w:rsidRPr="003D56B8">
        <w:rPr>
          <w:rFonts w:ascii="Bookman Old Style" w:hAnsi="Bookman Old Style"/>
          <w:i/>
          <w:sz w:val="24"/>
          <w:szCs w:val="24"/>
        </w:rPr>
        <w:t>fiscal compact</w:t>
      </w:r>
      <w:r w:rsidRPr="00352ACF">
        <w:rPr>
          <w:rFonts w:ascii="Bookman Old Style" w:hAnsi="Bookman Old Style"/>
          <w:sz w:val="24"/>
          <w:szCs w:val="24"/>
        </w:rPr>
        <w:t xml:space="preserve"> costituiscono l’origine e la causa prima della </w:t>
      </w:r>
      <w:r>
        <w:rPr>
          <w:rFonts w:ascii="Bookman Old Style" w:hAnsi="Bookman Old Style"/>
          <w:sz w:val="24"/>
          <w:szCs w:val="24"/>
        </w:rPr>
        <w:t xml:space="preserve">recente </w:t>
      </w:r>
      <w:r w:rsidRPr="00352ACF">
        <w:rPr>
          <w:rFonts w:ascii="Bookman Old Style" w:hAnsi="Bookman Old Style"/>
          <w:sz w:val="24"/>
          <w:szCs w:val="24"/>
        </w:rPr>
        <w:t xml:space="preserve">novella </w:t>
      </w:r>
      <w:r>
        <w:rPr>
          <w:rFonts w:ascii="Bookman Old Style" w:hAnsi="Bookman Old Style"/>
          <w:sz w:val="24"/>
          <w:szCs w:val="24"/>
        </w:rPr>
        <w:t>dell’art. 81 Cost</w:t>
      </w:r>
      <w:proofErr w:type="gramStart"/>
      <w:r>
        <w:rPr>
          <w:rFonts w:ascii="Bookman Old Style" w:hAnsi="Bookman Old Style"/>
          <w:sz w:val="24"/>
          <w:szCs w:val="24"/>
        </w:rPr>
        <w:t>.</w:t>
      </w:r>
      <w:r w:rsidRPr="00352ACF">
        <w:rPr>
          <w:rFonts w:ascii="Bookman Old Style" w:hAnsi="Bookman Old Style"/>
          <w:sz w:val="24"/>
          <w:szCs w:val="24"/>
        </w:rPr>
        <w:t xml:space="preserve"> </w:t>
      </w:r>
      <w:r w:rsidRPr="00352ACF">
        <w:rPr>
          <w:rFonts w:ascii="Bookman Old Style" w:hAnsi="Bookman Old Style"/>
          <w:sz w:val="24"/>
          <w:szCs w:val="24"/>
        </w:rPr>
        <w:footnoteReference w:id="26"/>
      </w:r>
      <w:r w:rsidRPr="00352ACF">
        <w:rPr>
          <w:rFonts w:ascii="Bookman Old Style" w:hAnsi="Bookman Old Style"/>
          <w:sz w:val="24"/>
          <w:szCs w:val="24"/>
        </w:rPr>
        <w:t>.</w:t>
      </w:r>
      <w:proofErr w:type="gramEnd"/>
    </w:p>
    <w:p w:rsidR="00C8141F" w:rsidRPr="00352ACF" w:rsidRDefault="00352ACF" w:rsidP="00C8141F">
      <w:pPr>
        <w:ind w:firstLine="709"/>
        <w:jc w:val="both"/>
        <w:rPr>
          <w:rFonts w:ascii="Bookman Old Style" w:hAnsi="Bookman Old Style"/>
          <w:sz w:val="24"/>
          <w:szCs w:val="24"/>
        </w:rPr>
      </w:pPr>
      <w:r w:rsidRPr="00352ACF">
        <w:rPr>
          <w:rFonts w:ascii="Bookman Old Style" w:hAnsi="Bookman Old Style"/>
          <w:sz w:val="24"/>
          <w:szCs w:val="24"/>
        </w:rPr>
        <w:lastRenderedPageBreak/>
        <w:t xml:space="preserve">Il nuovo quadro ordinamentale si caratterizza per essere il portato dell’intreccio tra almeno tre tipi di fonti: fonti di diritto internazionale (quale è il Trattato sul </w:t>
      </w:r>
      <w:r w:rsidRPr="00352ACF">
        <w:rPr>
          <w:rFonts w:ascii="Bookman Old Style" w:hAnsi="Bookman Old Style"/>
          <w:i/>
          <w:sz w:val="24"/>
          <w:szCs w:val="24"/>
        </w:rPr>
        <w:t>fiscal compact</w:t>
      </w:r>
      <w:r w:rsidRPr="00352ACF">
        <w:rPr>
          <w:rFonts w:ascii="Bookman Old Style" w:hAnsi="Bookman Old Style"/>
          <w:sz w:val="24"/>
          <w:szCs w:val="24"/>
        </w:rPr>
        <w:t xml:space="preserve"> sottoscritto il 2 marzo 2012 dagli Stati membri dell’Unione europea, ad eccezione del Regno Unito e della Repubblica ceca), fonti dell’ordinamento dell’Unione europea (le norme sul c.d. patto di stabilità e crescita comprese sia nel </w:t>
      </w:r>
      <w:proofErr w:type="spellStart"/>
      <w:r w:rsidRPr="00352ACF">
        <w:rPr>
          <w:rFonts w:ascii="Bookman Old Style" w:hAnsi="Bookman Old Style"/>
          <w:i/>
          <w:sz w:val="24"/>
          <w:szCs w:val="24"/>
        </w:rPr>
        <w:t>six</w:t>
      </w:r>
      <w:proofErr w:type="spellEnd"/>
      <w:r w:rsidRPr="00352ACF">
        <w:rPr>
          <w:rFonts w:ascii="Bookman Old Style" w:hAnsi="Bookman Old Style"/>
          <w:i/>
          <w:sz w:val="24"/>
          <w:szCs w:val="24"/>
        </w:rPr>
        <w:t xml:space="preserve"> pack</w:t>
      </w:r>
      <w:r w:rsidRPr="00352ACF">
        <w:rPr>
          <w:rFonts w:ascii="Bookman Old Style" w:hAnsi="Bookman Old Style"/>
          <w:sz w:val="24"/>
          <w:szCs w:val="24"/>
        </w:rPr>
        <w:t xml:space="preserve"> sia nel successivo </w:t>
      </w:r>
      <w:proofErr w:type="spellStart"/>
      <w:r w:rsidRPr="00352ACF">
        <w:rPr>
          <w:rFonts w:ascii="Bookman Old Style" w:hAnsi="Bookman Old Style"/>
          <w:i/>
          <w:sz w:val="24"/>
          <w:szCs w:val="24"/>
        </w:rPr>
        <w:t>two</w:t>
      </w:r>
      <w:proofErr w:type="spellEnd"/>
      <w:r w:rsidRPr="00352ACF">
        <w:rPr>
          <w:rFonts w:ascii="Bookman Old Style" w:hAnsi="Bookman Old Style"/>
          <w:i/>
          <w:sz w:val="24"/>
          <w:szCs w:val="24"/>
        </w:rPr>
        <w:t xml:space="preserve"> pack</w:t>
      </w:r>
      <w:r w:rsidRPr="00352ACF">
        <w:rPr>
          <w:rFonts w:ascii="Bookman Old Style" w:hAnsi="Bookman Old Style"/>
          <w:sz w:val="24"/>
          <w:szCs w:val="24"/>
        </w:rPr>
        <w:t xml:space="preserve">) e fonti nazionali. Le nuove regole, infatti, nascono da accordi tra Stati e, quindi, esterni alla cornice istituzionale europea, e il loro funzionamento si basa soprattutto su decisioni e azioni intergovernative. Ciò implica un’ulteriore ibridazione tra gli strumenti propri del diritto internazionale e le regole dell’Unione europea </w:t>
      </w:r>
      <w:r w:rsidRPr="00352ACF">
        <w:rPr>
          <w:rFonts w:ascii="Bookman Old Style" w:hAnsi="Bookman Old Style"/>
          <w:sz w:val="24"/>
          <w:szCs w:val="24"/>
        </w:rPr>
        <w:footnoteReference w:id="27"/>
      </w:r>
      <w:r w:rsidRPr="00352ACF">
        <w:rPr>
          <w:rFonts w:ascii="Bookman Old Style" w:hAnsi="Bookman Old Style"/>
          <w:sz w:val="24"/>
          <w:szCs w:val="24"/>
        </w:rPr>
        <w:t xml:space="preserve">, dalla quale sono </w:t>
      </w:r>
      <w:r w:rsidRPr="00352ACF">
        <w:rPr>
          <w:rFonts w:ascii="Bookman Old Style" w:hAnsi="Bookman Old Style"/>
          <w:sz w:val="24"/>
          <w:szCs w:val="24"/>
        </w:rPr>
        <w:lastRenderedPageBreak/>
        <w:t xml:space="preserve">derivati, da un lato, un rafforzamento dei poteri delle istituzioni comuni (dalla Commissione alla Corte europea) e, dall’altro, una prevalenza della logica contrattuale tra Stati sovrani rispetto a quella comunitario-solidaristica </w:t>
      </w:r>
      <w:r w:rsidRPr="00352ACF">
        <w:rPr>
          <w:rFonts w:ascii="Bookman Old Style" w:hAnsi="Bookman Old Style"/>
          <w:sz w:val="24"/>
          <w:szCs w:val="24"/>
        </w:rPr>
        <w:footnoteReference w:id="28"/>
      </w:r>
      <w:r w:rsidRPr="00352ACF">
        <w:rPr>
          <w:rFonts w:ascii="Bookman Old Style" w:hAnsi="Bookman Old Style"/>
          <w:sz w:val="24"/>
          <w:szCs w:val="24"/>
        </w:rPr>
        <w:t xml:space="preserve">. A loro volta, i due piani normativi (quello europeo e quelli nazionali) risultano influenzati reciprocamente, in quanto i caratteri propri degli elementi tipici dell’ordinamento dell’Unione europea si correlano strettamente agli assetti degli ordinamenti costituzionali dei singoli Stati membri così come i processi di revisione delle Costituzioni nazionali spesso si spiegano in quanto collegati a mutamenti in atto a livello sovranazionale </w:t>
      </w:r>
      <w:r w:rsidRPr="00352ACF">
        <w:rPr>
          <w:rFonts w:ascii="Bookman Old Style" w:hAnsi="Bookman Old Style"/>
          <w:sz w:val="24"/>
          <w:szCs w:val="24"/>
        </w:rPr>
        <w:footnoteReference w:id="29"/>
      </w:r>
      <w:r w:rsidRPr="00352ACF">
        <w:rPr>
          <w:rFonts w:ascii="Bookman Old Style" w:hAnsi="Bookman Old Style"/>
          <w:sz w:val="24"/>
          <w:szCs w:val="24"/>
        </w:rPr>
        <w:t>.</w:t>
      </w:r>
      <w:r w:rsidR="00C8141F">
        <w:rPr>
          <w:rFonts w:ascii="Bookman Old Style" w:hAnsi="Bookman Old Style"/>
          <w:sz w:val="24"/>
          <w:szCs w:val="24"/>
        </w:rPr>
        <w:t xml:space="preserve"> </w:t>
      </w:r>
      <w:r w:rsidR="00C8141F" w:rsidRPr="00352ACF">
        <w:rPr>
          <w:rFonts w:ascii="Bookman Old Style" w:hAnsi="Bookman Old Style"/>
          <w:sz w:val="24"/>
          <w:szCs w:val="24"/>
        </w:rPr>
        <w:t xml:space="preserve">Emblematica di tale processo è l’avvenuta costituzionalizzazione delle regole fiscali sovranazionali, operata, per l’appunto, dalla legge costituzionale n. 1 del 2012 (i cui richiami alle regole europee sono da intendersi come dinamici), con la conseguenza dell’automatica vincolatività di ogni futura modifica dell’ordinamento europeo </w:t>
      </w:r>
      <w:r w:rsidR="00C8141F" w:rsidRPr="00352ACF">
        <w:rPr>
          <w:rFonts w:ascii="Bookman Old Style" w:hAnsi="Bookman Old Style"/>
          <w:sz w:val="24"/>
          <w:szCs w:val="24"/>
        </w:rPr>
        <w:footnoteReference w:id="30"/>
      </w:r>
      <w:r w:rsidR="00C8141F" w:rsidRPr="00352ACF">
        <w:rPr>
          <w:rFonts w:ascii="Bookman Old Style" w:hAnsi="Bookman Old Style"/>
          <w:sz w:val="24"/>
          <w:szCs w:val="24"/>
        </w:rPr>
        <w:t>.</w:t>
      </w:r>
      <w:r w:rsidR="00C8141F">
        <w:rPr>
          <w:rFonts w:ascii="Bookman Old Style" w:hAnsi="Bookman Old Style"/>
          <w:sz w:val="24"/>
          <w:szCs w:val="24"/>
        </w:rPr>
        <w:t xml:space="preserve"> </w:t>
      </w:r>
    </w:p>
    <w:p w:rsidR="00352ACF" w:rsidRPr="00352ACF" w:rsidRDefault="00352ACF" w:rsidP="00352ACF">
      <w:pPr>
        <w:ind w:firstLine="709"/>
        <w:jc w:val="both"/>
        <w:rPr>
          <w:rFonts w:ascii="Bookman Old Style" w:hAnsi="Bookman Old Style"/>
          <w:sz w:val="24"/>
          <w:szCs w:val="24"/>
        </w:rPr>
      </w:pPr>
      <w:r w:rsidRPr="00352ACF">
        <w:rPr>
          <w:rFonts w:ascii="Bookman Old Style" w:hAnsi="Bookman Old Style"/>
          <w:sz w:val="24"/>
          <w:szCs w:val="24"/>
        </w:rPr>
        <w:t xml:space="preserve">Tale processo, evidentemente, ha conseguenze sulla stessa architettura dell’Unione. Com’è noto, una profonda asimmetria connota la Costituzione europea, caratterizzata dal persistente dualismo tra la politica monetaria e di bilancio, attratta a livello comunitario, e quella fiscale e redistributiva, saldamente ancorata al livello nazionale e alla sfera della cooperazione intergovernativa </w:t>
      </w:r>
      <w:r w:rsidRPr="00352ACF">
        <w:rPr>
          <w:rFonts w:ascii="Bookman Old Style" w:hAnsi="Bookman Old Style"/>
          <w:sz w:val="24"/>
          <w:szCs w:val="24"/>
        </w:rPr>
        <w:footnoteReference w:id="31"/>
      </w:r>
      <w:r w:rsidRPr="00352ACF">
        <w:rPr>
          <w:rFonts w:ascii="Bookman Old Style" w:hAnsi="Bookman Old Style"/>
          <w:sz w:val="24"/>
          <w:szCs w:val="24"/>
        </w:rPr>
        <w:t>.</w:t>
      </w:r>
      <w:r w:rsidR="00C8141F">
        <w:rPr>
          <w:rFonts w:ascii="Bookman Old Style" w:hAnsi="Bookman Old Style"/>
          <w:sz w:val="24"/>
          <w:szCs w:val="24"/>
        </w:rPr>
        <w:t xml:space="preserve"> </w:t>
      </w:r>
      <w:r w:rsidRPr="00352ACF">
        <w:rPr>
          <w:rFonts w:ascii="Bookman Old Style" w:hAnsi="Bookman Old Style"/>
          <w:sz w:val="24"/>
          <w:szCs w:val="24"/>
        </w:rPr>
        <w:t xml:space="preserve">Col </w:t>
      </w:r>
      <w:r w:rsidRPr="00352ACF">
        <w:rPr>
          <w:rFonts w:ascii="Bookman Old Style" w:hAnsi="Bookman Old Style"/>
          <w:sz w:val="24"/>
          <w:szCs w:val="24"/>
        </w:rPr>
        <w:lastRenderedPageBreak/>
        <w:t xml:space="preserve">tempo, però, gli Stati, pur conservando la piena discrezionalità nelle decisioni circa l’allocazione delle risorse, hanno sempre più perso capacità decisionale circa la determinazione dei saldi complessivi, dovendo, invece, rispettare i parametri stabiliti in sede europea e sono, altresì, sottoposti a complesse procedure di controllo che, in caso di violazione dei suddetti parametri, possono dar luogo ad esiti sanzionatori. Se, dunque, i vincoli europei hanno aiutato l‘implementazione, a livello nazionale, delle politiche di risanamento dei conti pubblici, la loro trasposizione sul piano delle procedure di bilancio interne, però, rischia costantemente di affievolire il principio di responsabilità delle decisioni finanziarie non soltanto dei governi ma anche delle stesse assemblee parlamentari </w:t>
      </w:r>
      <w:r w:rsidRPr="00352ACF">
        <w:rPr>
          <w:rFonts w:ascii="Bookman Old Style" w:hAnsi="Bookman Old Style"/>
          <w:sz w:val="24"/>
          <w:szCs w:val="24"/>
        </w:rPr>
        <w:footnoteReference w:id="32"/>
      </w:r>
      <w:r w:rsidRPr="00352ACF">
        <w:rPr>
          <w:rFonts w:ascii="Bookman Old Style" w:hAnsi="Bookman Old Style"/>
          <w:sz w:val="24"/>
          <w:szCs w:val="24"/>
        </w:rPr>
        <w:t xml:space="preserve">. </w:t>
      </w:r>
    </w:p>
    <w:p w:rsidR="00F626B5" w:rsidRPr="00F626B5" w:rsidRDefault="00C8141F" w:rsidP="00F626B5">
      <w:pPr>
        <w:ind w:firstLine="709"/>
        <w:jc w:val="both"/>
        <w:rPr>
          <w:rFonts w:ascii="Bookman Old Style" w:hAnsi="Bookman Old Style"/>
          <w:sz w:val="24"/>
          <w:szCs w:val="24"/>
        </w:rPr>
      </w:pPr>
      <w:r>
        <w:rPr>
          <w:rFonts w:ascii="Bookman Old Style" w:hAnsi="Bookman Old Style"/>
          <w:sz w:val="24"/>
          <w:szCs w:val="24"/>
        </w:rPr>
        <w:t>L’</w:t>
      </w:r>
      <w:r w:rsidR="00F626B5" w:rsidRPr="00F626B5">
        <w:rPr>
          <w:rFonts w:ascii="Bookman Old Style" w:hAnsi="Bookman Old Style"/>
          <w:sz w:val="24"/>
          <w:szCs w:val="24"/>
        </w:rPr>
        <w:t xml:space="preserve">attuazione alla disposizione del </w:t>
      </w:r>
      <w:r w:rsidR="00F626B5" w:rsidRPr="007F6042">
        <w:rPr>
          <w:rFonts w:ascii="Bookman Old Style" w:hAnsi="Bookman Old Style"/>
          <w:i/>
          <w:sz w:val="24"/>
          <w:szCs w:val="24"/>
        </w:rPr>
        <w:t>fiscal compact</w:t>
      </w:r>
      <w:r w:rsidR="00F626B5" w:rsidRPr="00F626B5">
        <w:rPr>
          <w:rFonts w:ascii="Bookman Old Style" w:hAnsi="Bookman Old Style"/>
          <w:sz w:val="24"/>
          <w:szCs w:val="24"/>
        </w:rPr>
        <w:t xml:space="preserve"> </w:t>
      </w:r>
      <w:r>
        <w:rPr>
          <w:rFonts w:ascii="Bookman Old Style" w:hAnsi="Bookman Old Style"/>
          <w:sz w:val="24"/>
          <w:szCs w:val="24"/>
        </w:rPr>
        <w:t xml:space="preserve">non si è esaurita con la </w:t>
      </w:r>
      <w:proofErr w:type="spellStart"/>
      <w:r>
        <w:rPr>
          <w:rFonts w:ascii="Bookman Old Style" w:hAnsi="Bookman Old Style"/>
          <w:sz w:val="24"/>
          <w:szCs w:val="24"/>
        </w:rPr>
        <w:t>novellazione</w:t>
      </w:r>
      <w:proofErr w:type="spellEnd"/>
      <w:r>
        <w:rPr>
          <w:rFonts w:ascii="Bookman Old Style" w:hAnsi="Bookman Old Style"/>
          <w:sz w:val="24"/>
          <w:szCs w:val="24"/>
        </w:rPr>
        <w:t xml:space="preserve"> dell’art. 81 Cost. La materia</w:t>
      </w:r>
      <w:r w:rsidR="001627E9">
        <w:rPr>
          <w:rFonts w:ascii="Bookman Old Style" w:hAnsi="Bookman Old Style"/>
          <w:sz w:val="24"/>
          <w:szCs w:val="24"/>
        </w:rPr>
        <w:t xml:space="preserve"> del pareggio di bilancio</w:t>
      </w:r>
      <w:r>
        <w:rPr>
          <w:rFonts w:ascii="Bookman Old Style" w:hAnsi="Bookman Old Style"/>
          <w:sz w:val="24"/>
          <w:szCs w:val="24"/>
        </w:rPr>
        <w:t xml:space="preserve">, </w:t>
      </w:r>
      <w:r w:rsidR="001627E9">
        <w:rPr>
          <w:rFonts w:ascii="Bookman Old Style" w:hAnsi="Bookman Old Style"/>
          <w:sz w:val="24"/>
          <w:szCs w:val="24"/>
        </w:rPr>
        <w:t xml:space="preserve">nonostante </w:t>
      </w:r>
      <w:r w:rsidR="00F626B5" w:rsidRPr="00F626B5">
        <w:rPr>
          <w:rFonts w:ascii="Bookman Old Style" w:hAnsi="Bookman Old Style"/>
          <w:sz w:val="24"/>
          <w:szCs w:val="24"/>
        </w:rPr>
        <w:t xml:space="preserve">l’evidente intuitività dell’espressione, nascondeva riflessi tecnici piuttosto complessi e non facilmente traducibili nel linguaggio costituzionale. Conseguentemente, si è scelto di privilegiare un testo costituzionale di principio </w:t>
      </w:r>
      <w:r w:rsidR="00F626B5" w:rsidRPr="00F626B5">
        <w:rPr>
          <w:rFonts w:ascii="Bookman Old Style" w:hAnsi="Bookman Old Style"/>
          <w:sz w:val="24"/>
          <w:szCs w:val="24"/>
        </w:rPr>
        <w:footnoteReference w:id="33"/>
      </w:r>
      <w:r w:rsidR="00F626B5" w:rsidRPr="00F626B5">
        <w:rPr>
          <w:rFonts w:ascii="Bookman Old Style" w:hAnsi="Bookman Old Style"/>
          <w:sz w:val="24"/>
          <w:szCs w:val="24"/>
        </w:rPr>
        <w:t xml:space="preserve">, rinviando la trattazione degli aspetti più tecnici alla legislazione di attuazione </w:t>
      </w:r>
      <w:r w:rsidR="00F626B5" w:rsidRPr="00F626B5">
        <w:rPr>
          <w:rFonts w:ascii="Bookman Old Style" w:hAnsi="Bookman Old Style"/>
          <w:sz w:val="24"/>
          <w:szCs w:val="24"/>
        </w:rPr>
        <w:lastRenderedPageBreak/>
        <w:footnoteReference w:id="34"/>
      </w:r>
      <w:r w:rsidR="00F626B5" w:rsidRPr="00F626B5">
        <w:rPr>
          <w:rFonts w:ascii="Bookman Old Style" w:hAnsi="Bookman Old Style"/>
          <w:sz w:val="24"/>
          <w:szCs w:val="24"/>
        </w:rPr>
        <w:t>. La legge organica, quindi, costituisce una sorta di “manuale d’uso” del precetto costituzionale</w:t>
      </w:r>
      <w:r w:rsidR="00B103E9">
        <w:rPr>
          <w:rFonts w:ascii="Bookman Old Style" w:hAnsi="Bookman Old Style"/>
          <w:sz w:val="24"/>
          <w:szCs w:val="24"/>
        </w:rPr>
        <w:t xml:space="preserve">, al quale </w:t>
      </w:r>
      <w:r w:rsidR="00F626B5" w:rsidRPr="00F626B5">
        <w:rPr>
          <w:rFonts w:ascii="Bookman Old Style" w:hAnsi="Bookman Old Style"/>
          <w:sz w:val="24"/>
          <w:szCs w:val="24"/>
        </w:rPr>
        <w:t xml:space="preserve">è </w:t>
      </w:r>
      <w:r w:rsidR="00B103E9">
        <w:rPr>
          <w:rFonts w:ascii="Bookman Old Style" w:hAnsi="Bookman Old Style"/>
          <w:sz w:val="24"/>
          <w:szCs w:val="24"/>
        </w:rPr>
        <w:t xml:space="preserve">stata </w:t>
      </w:r>
      <w:r w:rsidR="00F626B5" w:rsidRPr="00F626B5">
        <w:rPr>
          <w:rFonts w:ascii="Bookman Old Style" w:hAnsi="Bookman Old Style"/>
          <w:sz w:val="24"/>
          <w:szCs w:val="24"/>
        </w:rPr>
        <w:t>affidata la funzione di quadro di riferimento della contabilità e della finanza pubblica</w:t>
      </w:r>
      <w:r w:rsidR="00B103E9">
        <w:rPr>
          <w:rFonts w:ascii="Bookman Old Style" w:hAnsi="Bookman Old Style"/>
          <w:sz w:val="24"/>
          <w:szCs w:val="24"/>
        </w:rPr>
        <w:t xml:space="preserve">, così da definire alcune </w:t>
      </w:r>
      <w:r w:rsidR="00F626B5" w:rsidRPr="00F626B5">
        <w:rPr>
          <w:rFonts w:ascii="Bookman Old Style" w:hAnsi="Bookman Old Style"/>
          <w:sz w:val="24"/>
          <w:szCs w:val="24"/>
        </w:rPr>
        <w:t>questioni fondamentali</w:t>
      </w:r>
      <w:r w:rsidR="00B103E9">
        <w:rPr>
          <w:rFonts w:ascii="Bookman Old Style" w:hAnsi="Bookman Old Style"/>
          <w:sz w:val="24"/>
          <w:szCs w:val="24"/>
        </w:rPr>
        <w:t xml:space="preserve"> (</w:t>
      </w:r>
      <w:r w:rsidR="00F626B5" w:rsidRPr="00F626B5">
        <w:rPr>
          <w:rFonts w:ascii="Bookman Old Style" w:hAnsi="Bookman Old Style"/>
          <w:sz w:val="24"/>
          <w:szCs w:val="24"/>
        </w:rPr>
        <w:t xml:space="preserve">quali il perimetro di riferimento delle nuove regole, i limiti e il significato dell’equilibrio dei bilanci, le eccezioni alla regola dell’equilibrio e al divieto di indebitamento, i margini per la compensazione tra avanzi e disavanzi tra settori o tra enti singoli, il momento contabile da monitorare, i ruoli e la responsabilità in tema di raccolta, elaborazione e diffusione delle informazioni quantitative necessarie per le procedure di controllo </w:t>
      </w:r>
      <w:r w:rsidR="00F626B5" w:rsidRPr="00B103E9">
        <w:rPr>
          <w:rFonts w:ascii="Bookman Old Style" w:hAnsi="Bookman Old Style"/>
          <w:i/>
          <w:sz w:val="24"/>
          <w:szCs w:val="24"/>
        </w:rPr>
        <w:t>ex ante</w:t>
      </w:r>
      <w:r w:rsidR="00F626B5" w:rsidRPr="00F626B5">
        <w:rPr>
          <w:rFonts w:ascii="Bookman Old Style" w:hAnsi="Bookman Old Style"/>
          <w:sz w:val="24"/>
          <w:szCs w:val="24"/>
        </w:rPr>
        <w:t xml:space="preserve"> e </w:t>
      </w:r>
      <w:r w:rsidR="00F626B5" w:rsidRPr="00B103E9">
        <w:rPr>
          <w:rFonts w:ascii="Bookman Old Style" w:hAnsi="Bookman Old Style"/>
          <w:i/>
          <w:sz w:val="24"/>
          <w:szCs w:val="24"/>
        </w:rPr>
        <w:t>ex post</w:t>
      </w:r>
      <w:r w:rsidR="00F626B5" w:rsidRPr="00F626B5">
        <w:rPr>
          <w:rFonts w:ascii="Bookman Old Style" w:hAnsi="Bookman Old Style"/>
          <w:sz w:val="24"/>
          <w:szCs w:val="24"/>
        </w:rPr>
        <w:t>, le competenze e le modalità per i controlli preventivi e successivi</w:t>
      </w:r>
      <w:r w:rsidR="00B103E9">
        <w:rPr>
          <w:rFonts w:ascii="Bookman Old Style" w:hAnsi="Bookman Old Style"/>
          <w:sz w:val="24"/>
          <w:szCs w:val="24"/>
        </w:rPr>
        <w:t>) che non potevano trovare spazio nel testo costituzionale</w:t>
      </w:r>
      <w:r w:rsidR="00F626B5" w:rsidRPr="00F626B5">
        <w:rPr>
          <w:rFonts w:ascii="Bookman Old Style" w:hAnsi="Bookman Old Style"/>
          <w:sz w:val="24"/>
          <w:szCs w:val="24"/>
        </w:rPr>
        <w:t>.</w:t>
      </w:r>
    </w:p>
    <w:p w:rsidR="00F626B5" w:rsidRPr="00F626B5" w:rsidRDefault="001627E9" w:rsidP="00F626B5">
      <w:pPr>
        <w:ind w:firstLine="709"/>
        <w:jc w:val="both"/>
        <w:rPr>
          <w:rFonts w:ascii="Bookman Old Style" w:hAnsi="Bookman Old Style"/>
          <w:sz w:val="24"/>
          <w:szCs w:val="24"/>
        </w:rPr>
      </w:pPr>
      <w:r w:rsidRPr="00352ACF">
        <w:rPr>
          <w:rFonts w:ascii="Bookman Old Style" w:hAnsi="Bookman Old Style"/>
          <w:sz w:val="24"/>
          <w:szCs w:val="24"/>
        </w:rPr>
        <w:t>Per effetto della stessa legge costituzionale, anche le pubbliche amministrazioni, nell’assicurare, ai sensi del nuovo testo dell’art. 97 Cost., “l'equilibrio dei bilanci e la sostenibilità del debito pubblico”</w:t>
      </w:r>
      <w:r w:rsidR="00973D33">
        <w:rPr>
          <w:rStyle w:val="Rimandonotaapidipagina"/>
          <w:rFonts w:ascii="Bookman Old Style" w:hAnsi="Bookman Old Style"/>
          <w:sz w:val="24"/>
          <w:szCs w:val="24"/>
        </w:rPr>
        <w:footnoteReference w:id="35"/>
      </w:r>
      <w:r w:rsidRPr="00352ACF">
        <w:rPr>
          <w:rFonts w:ascii="Bookman Old Style" w:hAnsi="Bookman Old Style"/>
          <w:sz w:val="24"/>
          <w:szCs w:val="24"/>
        </w:rPr>
        <w:t xml:space="preserve">, </w:t>
      </w:r>
      <w:r w:rsidR="004F4CEF">
        <w:rPr>
          <w:rFonts w:ascii="Bookman Old Style" w:hAnsi="Bookman Old Style"/>
          <w:sz w:val="24"/>
          <w:szCs w:val="24"/>
        </w:rPr>
        <w:t>sono tenute ad</w:t>
      </w:r>
      <w:r w:rsidRPr="00352ACF">
        <w:rPr>
          <w:rFonts w:ascii="Bookman Old Style" w:hAnsi="Bookman Old Style"/>
          <w:sz w:val="24"/>
          <w:szCs w:val="24"/>
        </w:rPr>
        <w:t xml:space="preserve"> agire “in coerenza con l'ordinamento dell'Unione europea”, che, assieme alla legge ed alle fonti primarie costituisce sempre più uno dei fondamenti dell’azione e dell’organizzazione amministrativa </w:t>
      </w:r>
      <w:r w:rsidRPr="00352ACF">
        <w:rPr>
          <w:rFonts w:ascii="Bookman Old Style" w:hAnsi="Bookman Old Style"/>
          <w:sz w:val="24"/>
          <w:szCs w:val="24"/>
        </w:rPr>
        <w:footnoteReference w:id="36"/>
      </w:r>
      <w:r w:rsidRPr="00352ACF">
        <w:rPr>
          <w:rFonts w:ascii="Bookman Old Style" w:hAnsi="Bookman Old Style"/>
          <w:sz w:val="24"/>
          <w:szCs w:val="24"/>
        </w:rPr>
        <w:t>.</w:t>
      </w:r>
      <w:r>
        <w:rPr>
          <w:rFonts w:ascii="Bookman Old Style" w:hAnsi="Bookman Old Style"/>
          <w:sz w:val="24"/>
          <w:szCs w:val="24"/>
        </w:rPr>
        <w:t xml:space="preserve"> </w:t>
      </w:r>
      <w:r w:rsidR="00F626B5" w:rsidRPr="00F626B5">
        <w:rPr>
          <w:rFonts w:ascii="Bookman Old Style" w:hAnsi="Bookman Old Style"/>
          <w:sz w:val="24"/>
          <w:szCs w:val="24"/>
        </w:rPr>
        <w:t xml:space="preserve">Conseguentemente, per quanto riguarda la </w:t>
      </w:r>
      <w:r w:rsidR="00F626B5" w:rsidRPr="00F626B5">
        <w:rPr>
          <w:rFonts w:ascii="Bookman Old Style" w:hAnsi="Bookman Old Style"/>
          <w:sz w:val="24"/>
          <w:szCs w:val="24"/>
        </w:rPr>
        <w:lastRenderedPageBreak/>
        <w:t>definizione dell’ambito di applicazione della nuova normativa, si può dire che risulta confermata la scelta già effettuata dalla legge 31 dicembre 2009, n. 196, come novellata dalla legge 7 aprile 2011 n. 39 – innovativa rispetto alla vecchia legge 5 agosto 1978, n. 468 – di estendere l’ambito di applicazione delle norme di contabilità e finanza pubblica al “complesso” delle amministrazioni pubbliche.</w:t>
      </w:r>
    </w:p>
    <w:p w:rsidR="00F626B5" w:rsidRPr="00F626B5" w:rsidRDefault="00F626B5" w:rsidP="00F626B5">
      <w:pPr>
        <w:ind w:firstLine="709"/>
        <w:jc w:val="both"/>
        <w:rPr>
          <w:rFonts w:ascii="Bookman Old Style" w:hAnsi="Bookman Old Style"/>
          <w:sz w:val="24"/>
          <w:szCs w:val="24"/>
        </w:rPr>
      </w:pPr>
      <w:r w:rsidRPr="00F626B5">
        <w:rPr>
          <w:rFonts w:ascii="Bookman Old Style" w:hAnsi="Bookman Old Style"/>
          <w:sz w:val="24"/>
          <w:szCs w:val="24"/>
        </w:rPr>
        <w:t xml:space="preserve">Di particolare rilievo è la modifica dei rapporti tra legge statale e legge regionale conseguente all’innovazione dell’art. 117 Cost., nella parte in cui dispone che la materia della “armonizzazione dei bilanci pubblici” sia tolta dall’elenco di quelle di legislazione concorrente e conseguentemente collocata tra quelle di legislazione esclusiva statale </w:t>
      </w:r>
      <w:r w:rsidRPr="00F626B5">
        <w:rPr>
          <w:rFonts w:ascii="Bookman Old Style" w:hAnsi="Bookman Old Style"/>
          <w:sz w:val="24"/>
          <w:szCs w:val="24"/>
        </w:rPr>
        <w:footnoteReference w:id="37"/>
      </w:r>
      <w:r w:rsidRPr="00F626B5">
        <w:rPr>
          <w:rFonts w:ascii="Bookman Old Style" w:hAnsi="Bookman Old Style"/>
          <w:sz w:val="24"/>
          <w:szCs w:val="24"/>
        </w:rPr>
        <w:t>.</w:t>
      </w:r>
      <w:r w:rsidR="001627E9">
        <w:rPr>
          <w:rFonts w:ascii="Bookman Old Style" w:hAnsi="Bookman Old Style"/>
          <w:sz w:val="24"/>
          <w:szCs w:val="24"/>
        </w:rPr>
        <w:t xml:space="preserve"> </w:t>
      </w:r>
      <w:r w:rsidRPr="00F626B5">
        <w:rPr>
          <w:rFonts w:ascii="Bookman Old Style" w:hAnsi="Bookman Old Style"/>
          <w:sz w:val="24"/>
          <w:szCs w:val="24"/>
        </w:rPr>
        <w:t xml:space="preserve">Si tratta di una scelta che costituisce la ricaduta, a livello costituzionale, di una serie di opzioni già per larga parte compiute dal Legislatore ordinario, nei margini consentitigli dal testo allora vigente dell’art. 117 Cost. (art. 2 della legge delega sul federalismo fiscale - legge 5 maggio 2009, n. 42 - come modificato dalla legge 31 dicembre 2009, n. 196, e decreto legislativo 23 giugno 2011, n. 118 del 2011). In tali disposizioni, il Legislatore statale, nel corso del processo di attuazione dell’art. 119 Cost., anche sulla scorta di indicazioni provenienti dalla Corte dei conti, risulta avvertito dell’esigenza di forme di armonizzazione dei bilanci pubblici, in particolare degli enti territoriali, in coerenza con gli standard europei, al fine di disporre di un quadro contabile complessivo così da poter comparare le diverse situazioni finanziarie. </w:t>
      </w:r>
    </w:p>
    <w:p w:rsidR="007F6042" w:rsidRPr="00FB5CF2" w:rsidRDefault="007F6042" w:rsidP="007F6042">
      <w:pPr>
        <w:ind w:firstLine="709"/>
        <w:jc w:val="both"/>
        <w:rPr>
          <w:rFonts w:ascii="Bookman Old Style" w:hAnsi="Bookman Old Style"/>
          <w:sz w:val="24"/>
          <w:szCs w:val="24"/>
        </w:rPr>
      </w:pPr>
      <w:r w:rsidRPr="00FB5CF2">
        <w:rPr>
          <w:rFonts w:ascii="Bookman Old Style" w:hAnsi="Bookman Old Style"/>
          <w:sz w:val="24"/>
          <w:szCs w:val="24"/>
        </w:rPr>
        <w:t>La disciplina del pareggio di bilancio costituisce per le regioni e gli enti locali la nuova regola contabile - in sostituzione del previgente patto di stabilità interno - mediante cui gli enti territoriali concorrono alla sostenibilità delle finanze pubbliche</w:t>
      </w:r>
      <w:r w:rsidR="001627E9">
        <w:rPr>
          <w:rFonts w:ascii="Bookman Old Style" w:hAnsi="Bookman Old Style"/>
          <w:sz w:val="24"/>
          <w:szCs w:val="24"/>
        </w:rPr>
        <w:t xml:space="preserve"> </w:t>
      </w:r>
      <w:r w:rsidR="001627E9">
        <w:rPr>
          <w:rStyle w:val="Rimandonotaapidipagina"/>
          <w:rFonts w:ascii="Bookman Old Style" w:hAnsi="Bookman Old Style"/>
          <w:sz w:val="24"/>
          <w:szCs w:val="24"/>
        </w:rPr>
        <w:footnoteReference w:id="38"/>
      </w:r>
      <w:r w:rsidRPr="00FB5CF2">
        <w:rPr>
          <w:rFonts w:ascii="Bookman Old Style" w:hAnsi="Bookman Old Style"/>
          <w:sz w:val="24"/>
          <w:szCs w:val="24"/>
        </w:rPr>
        <w:t>.</w:t>
      </w:r>
    </w:p>
    <w:p w:rsidR="00803F8A" w:rsidRPr="00A829AF" w:rsidRDefault="00803F8A" w:rsidP="00803F8A">
      <w:pPr>
        <w:ind w:firstLine="709"/>
        <w:jc w:val="both"/>
        <w:rPr>
          <w:rFonts w:ascii="Bookman Old Style" w:hAnsi="Bookman Old Style"/>
          <w:sz w:val="24"/>
          <w:szCs w:val="24"/>
        </w:rPr>
      </w:pPr>
      <w:r w:rsidRPr="00BA48F0">
        <w:rPr>
          <w:rFonts w:ascii="Bookman Old Style" w:hAnsi="Bookman Old Style"/>
          <w:sz w:val="24"/>
          <w:szCs w:val="24"/>
        </w:rPr>
        <w:lastRenderedPageBreak/>
        <w:t>La costituzionalizzazione di tali vincoli, adottata allo scopo di rendere pienamente cogenti gli</w:t>
      </w:r>
      <w:r>
        <w:rPr>
          <w:rFonts w:ascii="Bookman Old Style" w:hAnsi="Bookman Old Style"/>
          <w:sz w:val="24"/>
          <w:szCs w:val="24"/>
        </w:rPr>
        <w:t xml:space="preserve"> </w:t>
      </w:r>
      <w:r w:rsidRPr="00BA48F0">
        <w:rPr>
          <w:rFonts w:ascii="Bookman Old Style" w:hAnsi="Bookman Old Style"/>
          <w:sz w:val="24"/>
          <w:szCs w:val="24"/>
        </w:rPr>
        <w:t xml:space="preserve">obblighi che in materia di bilanci derivano dall’appartenenza all’Unione europea, </w:t>
      </w:r>
      <w:r w:rsidR="00C36DED">
        <w:rPr>
          <w:rFonts w:ascii="Bookman Old Style" w:hAnsi="Bookman Old Style"/>
          <w:sz w:val="24"/>
          <w:szCs w:val="24"/>
        </w:rPr>
        <w:t xml:space="preserve">ha avuto </w:t>
      </w:r>
      <w:r w:rsidRPr="00BA48F0">
        <w:rPr>
          <w:rFonts w:ascii="Bookman Old Style" w:hAnsi="Bookman Old Style"/>
          <w:sz w:val="24"/>
          <w:szCs w:val="24"/>
        </w:rPr>
        <w:t>il senso,</w:t>
      </w:r>
      <w:r>
        <w:rPr>
          <w:rFonts w:ascii="Bookman Old Style" w:hAnsi="Bookman Old Style"/>
          <w:sz w:val="24"/>
          <w:szCs w:val="24"/>
        </w:rPr>
        <w:t xml:space="preserve"> </w:t>
      </w:r>
      <w:r w:rsidRPr="00BA48F0">
        <w:rPr>
          <w:rFonts w:ascii="Bookman Old Style" w:hAnsi="Bookman Old Style"/>
          <w:sz w:val="24"/>
          <w:szCs w:val="24"/>
        </w:rPr>
        <w:t>tra l’altro, di fornire un controllo giurisdizionale alle relative regole, che ne erano sprovviste a</w:t>
      </w:r>
      <w:r>
        <w:rPr>
          <w:rFonts w:ascii="Bookman Old Style" w:hAnsi="Bookman Old Style"/>
          <w:sz w:val="24"/>
          <w:szCs w:val="24"/>
        </w:rPr>
        <w:t xml:space="preserve"> </w:t>
      </w:r>
      <w:r w:rsidRPr="00BA48F0">
        <w:rPr>
          <w:rFonts w:ascii="Bookman Old Style" w:hAnsi="Bookman Old Style"/>
          <w:sz w:val="24"/>
          <w:szCs w:val="24"/>
        </w:rPr>
        <w:t>livello europeo, controllo da esercitarsi attraverso il nostro giudice costituzionale</w:t>
      </w:r>
      <w:r w:rsidR="00C36DED">
        <w:rPr>
          <w:rFonts w:ascii="Bookman Old Style" w:hAnsi="Bookman Old Style"/>
          <w:sz w:val="24"/>
          <w:szCs w:val="24"/>
        </w:rPr>
        <w:t xml:space="preserve"> </w:t>
      </w:r>
      <w:r>
        <w:rPr>
          <w:rStyle w:val="Rimandonotaapidipagina"/>
          <w:rFonts w:ascii="Bookman Old Style" w:hAnsi="Bookman Old Style"/>
          <w:sz w:val="24"/>
          <w:szCs w:val="24"/>
        </w:rPr>
        <w:footnoteReference w:id="39"/>
      </w:r>
      <w:r w:rsidRPr="00BA48F0">
        <w:rPr>
          <w:rFonts w:ascii="Bookman Old Style" w:hAnsi="Bookman Old Style"/>
          <w:sz w:val="24"/>
          <w:szCs w:val="24"/>
        </w:rPr>
        <w:t>, in modo da</w:t>
      </w:r>
      <w:r>
        <w:rPr>
          <w:rFonts w:ascii="Bookman Old Style" w:hAnsi="Bookman Old Style"/>
          <w:sz w:val="24"/>
          <w:szCs w:val="24"/>
        </w:rPr>
        <w:t xml:space="preserve"> </w:t>
      </w:r>
      <w:r w:rsidRPr="00BA48F0">
        <w:rPr>
          <w:rFonts w:ascii="Bookman Old Style" w:hAnsi="Bookman Old Style"/>
          <w:sz w:val="24"/>
          <w:szCs w:val="24"/>
        </w:rPr>
        <w:t xml:space="preserve">interdire allo stesso legislatore ordinario la possibilità di introdurre ipotesi </w:t>
      </w:r>
      <w:r w:rsidRPr="00BA48F0">
        <w:rPr>
          <w:rFonts w:ascii="Bookman Old Style" w:hAnsi="Bookman Old Style"/>
          <w:sz w:val="24"/>
          <w:szCs w:val="24"/>
        </w:rPr>
        <w:lastRenderedPageBreak/>
        <w:t>derogatorie.</w:t>
      </w:r>
      <w:r w:rsidR="001627E9">
        <w:rPr>
          <w:rFonts w:ascii="Bookman Old Style" w:hAnsi="Bookman Old Style"/>
          <w:sz w:val="24"/>
          <w:szCs w:val="24"/>
        </w:rPr>
        <w:t xml:space="preserve"> </w:t>
      </w:r>
      <w:r w:rsidRPr="00BA48F0">
        <w:rPr>
          <w:rFonts w:ascii="Bookman Old Style" w:hAnsi="Bookman Old Style"/>
          <w:sz w:val="24"/>
          <w:szCs w:val="24"/>
        </w:rPr>
        <w:t>Quindi, la revisione dell’art. 81 Cost. non solo rende il vincolo del pareggio di bilancio fonte di</w:t>
      </w:r>
      <w:r>
        <w:rPr>
          <w:rFonts w:ascii="Bookman Old Style" w:hAnsi="Bookman Old Style"/>
          <w:sz w:val="24"/>
          <w:szCs w:val="24"/>
        </w:rPr>
        <w:t xml:space="preserve"> </w:t>
      </w:r>
      <w:r w:rsidRPr="00BA48F0">
        <w:rPr>
          <w:rFonts w:ascii="Bookman Old Style" w:hAnsi="Bookman Old Style"/>
          <w:sz w:val="24"/>
          <w:szCs w:val="24"/>
        </w:rPr>
        <w:t>responsabilità giuridica, ma consente alla Corte costituzionale il controllo di ciò che in precedenza</w:t>
      </w:r>
      <w:r>
        <w:rPr>
          <w:rFonts w:ascii="Bookman Old Style" w:hAnsi="Bookman Old Style"/>
          <w:sz w:val="24"/>
          <w:szCs w:val="24"/>
        </w:rPr>
        <w:t xml:space="preserve"> </w:t>
      </w:r>
      <w:r w:rsidRPr="00BA48F0">
        <w:rPr>
          <w:rFonts w:ascii="Bookman Old Style" w:hAnsi="Bookman Old Style"/>
          <w:sz w:val="24"/>
          <w:szCs w:val="24"/>
        </w:rPr>
        <w:t>costituiva solo un obiettivo politico e non un obbligo giuridico</w:t>
      </w:r>
      <w:r w:rsidR="00C36DED">
        <w:rPr>
          <w:rFonts w:ascii="Bookman Old Style" w:hAnsi="Bookman Old Style"/>
          <w:sz w:val="24"/>
          <w:szCs w:val="24"/>
        </w:rPr>
        <w:t xml:space="preserve"> </w:t>
      </w:r>
      <w:r>
        <w:rPr>
          <w:rStyle w:val="Rimandonotaapidipagina"/>
          <w:rFonts w:ascii="Bookman Old Style" w:hAnsi="Bookman Old Style"/>
          <w:sz w:val="24"/>
          <w:szCs w:val="24"/>
        </w:rPr>
        <w:footnoteReference w:id="40"/>
      </w:r>
      <w:r w:rsidRPr="00BA48F0">
        <w:rPr>
          <w:rFonts w:ascii="Bookman Old Style" w:hAnsi="Bookman Old Style"/>
          <w:sz w:val="24"/>
          <w:szCs w:val="24"/>
        </w:rPr>
        <w:t>.</w:t>
      </w:r>
    </w:p>
    <w:p w:rsidR="007F6042" w:rsidRPr="00FB5CF2" w:rsidRDefault="007F6042" w:rsidP="007F6042">
      <w:pPr>
        <w:ind w:firstLine="709"/>
        <w:jc w:val="both"/>
        <w:rPr>
          <w:rFonts w:ascii="Bookman Old Style" w:hAnsi="Bookman Old Style"/>
          <w:sz w:val="24"/>
          <w:szCs w:val="24"/>
        </w:rPr>
      </w:pPr>
      <w:r w:rsidRPr="00FB5CF2">
        <w:rPr>
          <w:rFonts w:ascii="Bookman Old Style" w:hAnsi="Bookman Old Style"/>
          <w:sz w:val="24"/>
          <w:szCs w:val="24"/>
        </w:rPr>
        <w:t xml:space="preserve">La Corte costituzionale si è più volte espressa sulla nuova disciplina con riferimento principalmente ad impugnative relative alla legge rinforzata n. 243 del 2012. Impugnative che, va premesso, sono state ritenute </w:t>
      </w:r>
      <w:proofErr w:type="gramStart"/>
      <w:r w:rsidRPr="00FB5CF2">
        <w:rPr>
          <w:rFonts w:ascii="Bookman Old Style" w:hAnsi="Bookman Old Style"/>
          <w:sz w:val="24"/>
          <w:szCs w:val="24"/>
        </w:rPr>
        <w:t xml:space="preserve">ammissibili </w:t>
      </w:r>
      <w:r w:rsidR="00BE2CF3">
        <w:rPr>
          <w:rStyle w:val="Rimandonotaapidipagina"/>
          <w:rFonts w:ascii="Bookman Old Style" w:hAnsi="Bookman Old Style"/>
          <w:sz w:val="24"/>
          <w:szCs w:val="24"/>
        </w:rPr>
        <w:footnoteReference w:id="41"/>
      </w:r>
      <w:r w:rsidR="00BE2CF3">
        <w:rPr>
          <w:rFonts w:ascii="Bookman Old Style" w:hAnsi="Bookman Old Style"/>
          <w:sz w:val="24"/>
          <w:szCs w:val="24"/>
        </w:rPr>
        <w:t xml:space="preserve"> </w:t>
      </w:r>
      <w:r w:rsidRPr="00FB5CF2">
        <w:rPr>
          <w:rFonts w:ascii="Bookman Old Style" w:hAnsi="Bookman Old Style"/>
          <w:sz w:val="24"/>
          <w:szCs w:val="24"/>
        </w:rPr>
        <w:t>in</w:t>
      </w:r>
      <w:proofErr w:type="gramEnd"/>
      <w:r w:rsidRPr="00FB5CF2">
        <w:rPr>
          <w:rFonts w:ascii="Bookman Old Style" w:hAnsi="Bookman Old Style"/>
          <w:sz w:val="24"/>
          <w:szCs w:val="24"/>
        </w:rPr>
        <w:t xml:space="preserve"> ragione della circostanza che la legge suddetta, pur essendo da considerarsi rinforzata in ragione della particolare maggioranza richiesta per la sua approvazione, non differisce dal rango di legge ordinaria attuativa della legge costituzionale.</w:t>
      </w:r>
    </w:p>
    <w:p w:rsidR="007F6042" w:rsidRPr="00FB5CF2" w:rsidRDefault="00BE2CF3" w:rsidP="007F6042">
      <w:pPr>
        <w:ind w:firstLine="709"/>
        <w:jc w:val="both"/>
        <w:rPr>
          <w:rFonts w:ascii="Bookman Old Style" w:hAnsi="Bookman Old Style"/>
          <w:sz w:val="24"/>
          <w:szCs w:val="24"/>
        </w:rPr>
      </w:pPr>
      <w:r>
        <w:rPr>
          <w:rFonts w:ascii="Bookman Old Style" w:hAnsi="Bookman Old Style"/>
          <w:sz w:val="24"/>
          <w:szCs w:val="24"/>
        </w:rPr>
        <w:t>L</w:t>
      </w:r>
      <w:r w:rsidR="007F6042" w:rsidRPr="00FB5CF2">
        <w:rPr>
          <w:rFonts w:ascii="Bookman Old Style" w:hAnsi="Bookman Old Style"/>
          <w:sz w:val="24"/>
          <w:szCs w:val="24"/>
        </w:rPr>
        <w:t>a Corte</w:t>
      </w:r>
      <w:r>
        <w:rPr>
          <w:rFonts w:ascii="Bookman Old Style" w:hAnsi="Bookman Old Style"/>
          <w:sz w:val="24"/>
          <w:szCs w:val="24"/>
        </w:rPr>
        <w:t xml:space="preserve">, nel fornire le proprie valutazioni </w:t>
      </w:r>
      <w:r w:rsidR="007F6042" w:rsidRPr="00FB5CF2">
        <w:rPr>
          <w:rFonts w:ascii="Bookman Old Style" w:hAnsi="Bookman Old Style"/>
          <w:sz w:val="24"/>
          <w:szCs w:val="24"/>
        </w:rPr>
        <w:t xml:space="preserve">sulla disciplina del pareggio, </w:t>
      </w:r>
      <w:r>
        <w:rPr>
          <w:rFonts w:ascii="Bookman Old Style" w:hAnsi="Bookman Old Style"/>
          <w:sz w:val="24"/>
          <w:szCs w:val="24"/>
        </w:rPr>
        <w:t xml:space="preserve">ha rilevato </w:t>
      </w:r>
      <w:r w:rsidR="007F6042" w:rsidRPr="00FB5CF2">
        <w:rPr>
          <w:rFonts w:ascii="Bookman Old Style" w:hAnsi="Bookman Old Style"/>
          <w:sz w:val="24"/>
          <w:szCs w:val="24"/>
        </w:rPr>
        <w:t xml:space="preserve">come il nuovo sistema di finanza pubblica disegnato dalla legge cost. n. 1 del 2012 abbia una sua interna coerenza ed una sua completezza. </w:t>
      </w:r>
      <w:r>
        <w:rPr>
          <w:rFonts w:ascii="Bookman Old Style" w:hAnsi="Bookman Old Style"/>
          <w:sz w:val="24"/>
          <w:szCs w:val="24"/>
        </w:rPr>
        <w:t xml:space="preserve">Viene espressamente evidenziato </w:t>
      </w:r>
      <w:r w:rsidR="007F6042" w:rsidRPr="00FB5CF2">
        <w:rPr>
          <w:rFonts w:ascii="Bookman Old Style" w:hAnsi="Bookman Old Style"/>
          <w:sz w:val="24"/>
          <w:szCs w:val="24"/>
        </w:rPr>
        <w:t>che l’insieme delle disposizioni da essa recate fa</w:t>
      </w:r>
      <w:r>
        <w:rPr>
          <w:rFonts w:ascii="Bookman Old Style" w:hAnsi="Bookman Old Style"/>
          <w:sz w:val="24"/>
          <w:szCs w:val="24"/>
        </w:rPr>
        <w:t>ccia</w:t>
      </w:r>
      <w:r w:rsidR="007F6042" w:rsidRPr="00FB5CF2">
        <w:rPr>
          <w:rFonts w:ascii="Bookman Old Style" w:hAnsi="Bookman Old Style"/>
          <w:sz w:val="24"/>
          <w:szCs w:val="24"/>
        </w:rPr>
        <w:t xml:space="preserve"> sì che la nuova disciplina debba essere considerata non solo espressione della competenza esclusiva statale di armonizzazione dei bilanci pubblici, ma altresì dei principi fondamentali di coordinamento della finanza pubblica connessi con la salvaguardia degli equilibri di bilancio. Tale riforma impone pertanto vincoli non solo allo Stato ma anche a tutte le amministrazioni pubbliche che concorrono al bilancio consolidato, nel rispetto degli impegni presi in sede europea, e quindi poggia anche sui principi costituzionali di solidarietà ed uguaglianza.</w:t>
      </w:r>
    </w:p>
    <w:p w:rsidR="00C858B6" w:rsidRDefault="00C76DE4" w:rsidP="008A6536">
      <w:pPr>
        <w:ind w:firstLine="709"/>
        <w:jc w:val="both"/>
        <w:rPr>
          <w:rFonts w:ascii="Bookman Old Style" w:hAnsi="Bookman Old Style"/>
          <w:sz w:val="24"/>
          <w:szCs w:val="24"/>
        </w:rPr>
      </w:pPr>
      <w:r>
        <w:rPr>
          <w:rFonts w:ascii="Bookman Old Style" w:hAnsi="Bookman Old Style"/>
          <w:sz w:val="24"/>
          <w:szCs w:val="24"/>
        </w:rPr>
        <w:t>7. IL RUOLO DELLA CORTE COSTITUZIONALE.</w:t>
      </w:r>
      <w:r w:rsidR="00C36DED">
        <w:rPr>
          <w:rFonts w:ascii="Bookman Old Style" w:hAnsi="Bookman Old Style"/>
          <w:sz w:val="24"/>
          <w:szCs w:val="24"/>
        </w:rPr>
        <w:t xml:space="preserve"> </w:t>
      </w:r>
      <w:r w:rsidR="004A17AC">
        <w:rPr>
          <w:rFonts w:ascii="Bookman Old Style" w:hAnsi="Bookman Old Style"/>
          <w:sz w:val="24"/>
          <w:szCs w:val="24"/>
        </w:rPr>
        <w:t xml:space="preserve">La tutela dei diritti fondamentali </w:t>
      </w:r>
      <w:r w:rsidR="00D31D13">
        <w:rPr>
          <w:rFonts w:ascii="Bookman Old Style" w:hAnsi="Bookman Old Style"/>
          <w:sz w:val="24"/>
          <w:szCs w:val="24"/>
        </w:rPr>
        <w:t xml:space="preserve">costituisce </w:t>
      </w:r>
      <w:r w:rsidR="004A17AC">
        <w:rPr>
          <w:rFonts w:ascii="Bookman Old Style" w:hAnsi="Bookman Old Style"/>
          <w:sz w:val="24"/>
          <w:szCs w:val="24"/>
        </w:rPr>
        <w:t xml:space="preserve">una </w:t>
      </w:r>
      <w:r w:rsidR="00C858B6">
        <w:rPr>
          <w:rFonts w:ascii="Bookman Old Style" w:hAnsi="Bookman Old Style"/>
          <w:sz w:val="24"/>
          <w:szCs w:val="24"/>
        </w:rPr>
        <w:t>tematica paradigmatica del</w:t>
      </w:r>
      <w:r w:rsidR="004A17AC">
        <w:rPr>
          <w:rFonts w:ascii="Bookman Old Style" w:hAnsi="Bookman Old Style"/>
          <w:sz w:val="24"/>
          <w:szCs w:val="24"/>
        </w:rPr>
        <w:t>le</w:t>
      </w:r>
      <w:r w:rsidR="00C858B6">
        <w:rPr>
          <w:rFonts w:ascii="Bookman Old Style" w:hAnsi="Bookman Old Style"/>
          <w:sz w:val="24"/>
          <w:szCs w:val="24"/>
        </w:rPr>
        <w:t xml:space="preserve"> problema</w:t>
      </w:r>
      <w:r w:rsidR="004A17AC">
        <w:rPr>
          <w:rFonts w:ascii="Bookman Old Style" w:hAnsi="Bookman Old Style"/>
          <w:sz w:val="24"/>
          <w:szCs w:val="24"/>
        </w:rPr>
        <w:t xml:space="preserve">tiche che sorgono nel punto di </w:t>
      </w:r>
      <w:r w:rsidR="00C858B6">
        <w:rPr>
          <w:rFonts w:ascii="Bookman Old Style" w:hAnsi="Bookman Old Style"/>
          <w:sz w:val="24"/>
          <w:szCs w:val="24"/>
        </w:rPr>
        <w:t xml:space="preserve">intersezione tra diversi ordinamenti </w:t>
      </w:r>
      <w:r w:rsidR="004A17AC">
        <w:rPr>
          <w:rFonts w:ascii="Bookman Old Style" w:hAnsi="Bookman Old Style"/>
          <w:sz w:val="24"/>
          <w:szCs w:val="24"/>
        </w:rPr>
        <w:t xml:space="preserve">aventi </w:t>
      </w:r>
      <w:r w:rsidR="00C858B6">
        <w:rPr>
          <w:rFonts w:ascii="Bookman Old Style" w:hAnsi="Bookman Old Style"/>
          <w:sz w:val="24"/>
          <w:szCs w:val="24"/>
        </w:rPr>
        <w:t xml:space="preserve">competenze interconnesse: </w:t>
      </w:r>
      <w:r w:rsidR="00C858B6" w:rsidRPr="00C858B6">
        <w:rPr>
          <w:rFonts w:ascii="Bookman Old Style" w:hAnsi="Bookman Old Style"/>
          <w:sz w:val="24"/>
          <w:szCs w:val="24"/>
        </w:rPr>
        <w:t>il tema delle compatibilità economiche; quello della discrezionalità del legislatore e dei limiti della sua sindacabilità; le interrelazioni con il principio di buon andamento della pubblica amministrazione ed il sindacato sull’allocazione delle risorse nei bilanci pubblici; l’esigenza di conciliare l</w:t>
      </w:r>
      <w:r w:rsidR="00C858B6">
        <w:rPr>
          <w:rFonts w:ascii="Bookman Old Style" w:hAnsi="Bookman Old Style"/>
          <w:sz w:val="24"/>
          <w:szCs w:val="24"/>
        </w:rPr>
        <w:t xml:space="preserve">a garanzia dei diritti </w:t>
      </w:r>
      <w:r w:rsidR="00C858B6" w:rsidRPr="00C858B6">
        <w:rPr>
          <w:rFonts w:ascii="Bookman Old Style" w:hAnsi="Bookman Old Style"/>
          <w:sz w:val="24"/>
          <w:szCs w:val="24"/>
        </w:rPr>
        <w:t>con l’equilibrio dei bilanci (dello Stato e degli enti territoriali).</w:t>
      </w:r>
      <w:r w:rsidR="00D31D13">
        <w:rPr>
          <w:rFonts w:ascii="Bookman Old Style" w:hAnsi="Bookman Old Style"/>
          <w:sz w:val="24"/>
          <w:szCs w:val="24"/>
        </w:rPr>
        <w:t xml:space="preserve"> </w:t>
      </w:r>
      <w:r w:rsidR="004A17AC">
        <w:rPr>
          <w:rFonts w:ascii="Bookman Old Style" w:hAnsi="Bookman Old Style"/>
          <w:sz w:val="24"/>
          <w:szCs w:val="24"/>
        </w:rPr>
        <w:t>La funzione di garante dell’</w:t>
      </w:r>
      <w:r w:rsidR="00732DF6">
        <w:rPr>
          <w:rFonts w:ascii="Bookman Old Style" w:hAnsi="Bookman Old Style"/>
          <w:sz w:val="24"/>
          <w:szCs w:val="24"/>
        </w:rPr>
        <w:t xml:space="preserve">equilibrio </w:t>
      </w:r>
      <w:r w:rsidR="004A17AC">
        <w:rPr>
          <w:rFonts w:ascii="Bookman Old Style" w:hAnsi="Bookman Old Style"/>
          <w:sz w:val="24"/>
          <w:szCs w:val="24"/>
        </w:rPr>
        <w:t xml:space="preserve">del sistema </w:t>
      </w:r>
      <w:r w:rsidR="00D31D13">
        <w:rPr>
          <w:rFonts w:ascii="Bookman Old Style" w:hAnsi="Bookman Old Style"/>
          <w:sz w:val="24"/>
          <w:szCs w:val="24"/>
        </w:rPr>
        <w:t xml:space="preserve">in tale complicato snodo </w:t>
      </w:r>
      <w:r w:rsidR="004A17AC">
        <w:rPr>
          <w:rFonts w:ascii="Bookman Old Style" w:hAnsi="Bookman Old Style"/>
          <w:sz w:val="24"/>
          <w:szCs w:val="24"/>
        </w:rPr>
        <w:t xml:space="preserve">è stata svolta, non solo nel nostro ma anche in altri ordinamenti </w:t>
      </w:r>
      <w:r w:rsidR="00732DF6">
        <w:rPr>
          <w:rFonts w:ascii="Bookman Old Style" w:hAnsi="Bookman Old Style"/>
          <w:sz w:val="24"/>
          <w:szCs w:val="24"/>
        </w:rPr>
        <w:t>europei</w:t>
      </w:r>
      <w:r w:rsidR="004A17AC">
        <w:rPr>
          <w:rFonts w:ascii="Bookman Old Style" w:hAnsi="Bookman Old Style"/>
          <w:sz w:val="24"/>
          <w:szCs w:val="24"/>
        </w:rPr>
        <w:t>, dall</w:t>
      </w:r>
      <w:r w:rsidR="00732DF6">
        <w:rPr>
          <w:rFonts w:ascii="Bookman Old Style" w:hAnsi="Bookman Old Style"/>
          <w:sz w:val="24"/>
          <w:szCs w:val="24"/>
        </w:rPr>
        <w:t>a Corte costituzionale</w:t>
      </w:r>
      <w:r w:rsidR="004A17AC">
        <w:rPr>
          <w:rFonts w:ascii="Bookman Old Style" w:hAnsi="Bookman Old Style"/>
          <w:sz w:val="24"/>
          <w:szCs w:val="24"/>
        </w:rPr>
        <w:t xml:space="preserve"> </w:t>
      </w:r>
      <w:r w:rsidR="00732DF6" w:rsidRPr="00E87D24">
        <w:footnoteReference w:id="42"/>
      </w:r>
      <w:r w:rsidR="00732DF6">
        <w:rPr>
          <w:rFonts w:ascii="Bookman Old Style" w:hAnsi="Bookman Old Style"/>
          <w:sz w:val="24"/>
          <w:szCs w:val="24"/>
        </w:rPr>
        <w:t>.</w:t>
      </w:r>
    </w:p>
    <w:p w:rsidR="000471B0" w:rsidRDefault="00732DF6" w:rsidP="002A087C">
      <w:pPr>
        <w:ind w:firstLine="709"/>
        <w:jc w:val="both"/>
        <w:rPr>
          <w:rFonts w:ascii="Bookman Old Style" w:hAnsi="Bookman Old Style"/>
          <w:sz w:val="24"/>
          <w:szCs w:val="24"/>
        </w:rPr>
      </w:pPr>
      <w:r w:rsidRPr="00E87D24">
        <w:rPr>
          <w:rFonts w:ascii="Bookman Old Style" w:hAnsi="Bookman Old Style"/>
          <w:sz w:val="24"/>
          <w:szCs w:val="24"/>
        </w:rPr>
        <w:t xml:space="preserve">Sotto il profilo storico può dirsi, in termini generali, che fino agli anni ottanta, nella giurisprudenza della Corte il tema delle compatibilità economiche non appare centrale. In coerenza con il contesto storico e politico di quegli anni, frequentemente la Corte ha ampliato la platea dei destinatari di benefici e </w:t>
      </w:r>
      <w:r w:rsidRPr="00E87D24">
        <w:rPr>
          <w:rFonts w:ascii="Bookman Old Style" w:hAnsi="Bookman Old Style"/>
          <w:sz w:val="24"/>
          <w:szCs w:val="24"/>
        </w:rPr>
        <w:lastRenderedPageBreak/>
        <w:t>provvidenze economiche attraverso il principio di</w:t>
      </w:r>
      <w:r w:rsidR="004A17AC">
        <w:rPr>
          <w:rFonts w:ascii="Bookman Old Style" w:hAnsi="Bookman Old Style"/>
          <w:sz w:val="24"/>
          <w:szCs w:val="24"/>
        </w:rPr>
        <w:t xml:space="preserve"> eguaglianza e l’utilizzo di un</w:t>
      </w:r>
      <w:r w:rsidR="000471B0">
        <w:rPr>
          <w:rFonts w:ascii="Bookman Old Style" w:hAnsi="Bookman Old Style"/>
          <w:sz w:val="24"/>
          <w:szCs w:val="24"/>
        </w:rPr>
        <w:t xml:space="preserve"> </w:t>
      </w:r>
      <w:proofErr w:type="spellStart"/>
      <w:r w:rsidRPr="004A17AC">
        <w:rPr>
          <w:rFonts w:ascii="Bookman Old Style" w:hAnsi="Bookman Old Style"/>
          <w:i/>
          <w:sz w:val="24"/>
          <w:szCs w:val="24"/>
        </w:rPr>
        <w:t>tertium</w:t>
      </w:r>
      <w:proofErr w:type="spellEnd"/>
      <w:r w:rsidRPr="004A17AC">
        <w:rPr>
          <w:rFonts w:ascii="Bookman Old Style" w:hAnsi="Bookman Old Style"/>
          <w:i/>
          <w:sz w:val="24"/>
          <w:szCs w:val="24"/>
        </w:rPr>
        <w:t xml:space="preserve"> </w:t>
      </w:r>
      <w:proofErr w:type="spellStart"/>
      <w:r w:rsidRPr="004A17AC">
        <w:rPr>
          <w:rFonts w:ascii="Bookman Old Style" w:hAnsi="Bookman Old Style"/>
          <w:i/>
          <w:sz w:val="24"/>
          <w:szCs w:val="24"/>
        </w:rPr>
        <w:t>comparationis</w:t>
      </w:r>
      <w:bookmarkStart w:id="6" w:name="_ftnref8"/>
      <w:proofErr w:type="spellEnd"/>
      <w:r w:rsidR="004A17AC">
        <w:rPr>
          <w:rFonts w:ascii="Bookman Old Style" w:hAnsi="Bookman Old Style"/>
          <w:sz w:val="24"/>
          <w:szCs w:val="24"/>
        </w:rPr>
        <w:t xml:space="preserve"> </w:t>
      </w:r>
      <w:r w:rsidR="00A542C3" w:rsidRPr="00E87D24">
        <w:rPr>
          <w:rFonts w:ascii="Bookman Old Style" w:hAnsi="Bookman Old Style"/>
        </w:rPr>
        <w:footnoteReference w:id="43"/>
      </w:r>
      <w:bookmarkEnd w:id="6"/>
      <w:r w:rsidR="00E87D24" w:rsidRPr="00E87D24">
        <w:rPr>
          <w:rFonts w:ascii="Bookman Old Style" w:hAnsi="Bookman Old Style"/>
          <w:sz w:val="24"/>
          <w:szCs w:val="24"/>
        </w:rPr>
        <w:t>.</w:t>
      </w:r>
    </w:p>
    <w:p w:rsidR="000471B0" w:rsidRPr="00E87D24" w:rsidRDefault="000471B0" w:rsidP="000471B0">
      <w:pPr>
        <w:ind w:firstLine="709"/>
        <w:jc w:val="both"/>
        <w:rPr>
          <w:rFonts w:ascii="Bookman Old Style" w:hAnsi="Bookman Old Style"/>
          <w:sz w:val="24"/>
          <w:szCs w:val="24"/>
        </w:rPr>
      </w:pPr>
      <w:r w:rsidRPr="00E87D24">
        <w:rPr>
          <w:rFonts w:ascii="Bookman Old Style" w:hAnsi="Bookman Old Style"/>
          <w:sz w:val="24"/>
          <w:szCs w:val="24"/>
        </w:rPr>
        <w:t xml:space="preserve">Questa tendenza giurisprudenziale si è </w:t>
      </w:r>
      <w:r>
        <w:rPr>
          <w:rFonts w:ascii="Bookman Old Style" w:hAnsi="Bookman Old Style"/>
          <w:sz w:val="24"/>
          <w:szCs w:val="24"/>
        </w:rPr>
        <w:t xml:space="preserve">modificata </w:t>
      </w:r>
      <w:r w:rsidRPr="00E87D24">
        <w:rPr>
          <w:rFonts w:ascii="Bookman Old Style" w:hAnsi="Bookman Old Style"/>
          <w:sz w:val="24"/>
          <w:szCs w:val="24"/>
        </w:rPr>
        <w:t>negli anni novanta, quando la Consulta è divenuta più cauta nell’estensione di b</w:t>
      </w:r>
      <w:r>
        <w:rPr>
          <w:rFonts w:ascii="Bookman Old Style" w:hAnsi="Bookman Old Style"/>
          <w:sz w:val="24"/>
          <w:szCs w:val="24"/>
        </w:rPr>
        <w:t xml:space="preserve">enefici economici attraverso il </w:t>
      </w:r>
      <w:proofErr w:type="spellStart"/>
      <w:r w:rsidRPr="000471B0">
        <w:rPr>
          <w:rFonts w:ascii="Bookman Old Style" w:hAnsi="Bookman Old Style"/>
          <w:i/>
          <w:sz w:val="24"/>
          <w:szCs w:val="24"/>
        </w:rPr>
        <w:t>tertium</w:t>
      </w:r>
      <w:proofErr w:type="spellEnd"/>
      <w:r w:rsidRPr="000471B0">
        <w:rPr>
          <w:rFonts w:ascii="Bookman Old Style" w:hAnsi="Bookman Old Style"/>
          <w:i/>
          <w:sz w:val="24"/>
          <w:szCs w:val="24"/>
        </w:rPr>
        <w:t xml:space="preserve"> </w:t>
      </w:r>
      <w:proofErr w:type="spellStart"/>
      <w:r w:rsidRPr="000471B0">
        <w:rPr>
          <w:rFonts w:ascii="Bookman Old Style" w:hAnsi="Bookman Old Style"/>
          <w:i/>
          <w:sz w:val="24"/>
          <w:szCs w:val="24"/>
        </w:rPr>
        <w:t>comparationis</w:t>
      </w:r>
      <w:proofErr w:type="spellEnd"/>
      <w:r w:rsidRPr="00E87D24">
        <w:rPr>
          <w:rFonts w:ascii="Bookman Old Style" w:hAnsi="Bookman Old Style"/>
          <w:sz w:val="24"/>
          <w:szCs w:val="24"/>
        </w:rPr>
        <w:t>. Con una storica decisione, anziché estendere – in conformità alla prospettazione del giudice rimettente che evocava in proposito l’art. 3 Cost. – la norma di favore, emendando quella censurata «nella parte in cui esclude il diritto alla ripetizione dei versamenti contributivi, effettuati in epoca anteriore alla data d</w:t>
      </w:r>
      <w:r w:rsidR="008632B9">
        <w:rPr>
          <w:rFonts w:ascii="Bookman Old Style" w:hAnsi="Bookman Old Style"/>
          <w:sz w:val="24"/>
          <w:szCs w:val="24"/>
        </w:rPr>
        <w:t xml:space="preserve">i entrata in vigore della legge </w:t>
      </w:r>
      <w:r w:rsidRPr="00E87D24">
        <w:rPr>
          <w:rFonts w:ascii="Bookman Old Style" w:hAnsi="Bookman Old Style"/>
          <w:sz w:val="24"/>
          <w:szCs w:val="24"/>
        </w:rPr>
        <w:t>[impugnata]», la Corte rivolse la declaratoria di incostituzionalità proprio alla norma di favore, affermando che «l’operatività del principio di eguaglianza non è unidirezionalmente e necessariamente diretta ad estendere la portata di una discipl</w:t>
      </w:r>
      <w:r>
        <w:rPr>
          <w:rFonts w:ascii="Bookman Old Style" w:hAnsi="Bookman Old Style"/>
          <w:sz w:val="24"/>
          <w:szCs w:val="24"/>
        </w:rPr>
        <w:t xml:space="preserve">ina più favorevole evocata come </w:t>
      </w:r>
      <w:proofErr w:type="spellStart"/>
      <w:r w:rsidRPr="000471B0">
        <w:rPr>
          <w:rFonts w:ascii="Bookman Old Style" w:hAnsi="Bookman Old Style"/>
          <w:i/>
          <w:sz w:val="24"/>
          <w:szCs w:val="24"/>
        </w:rPr>
        <w:t>tertium</w:t>
      </w:r>
      <w:proofErr w:type="spellEnd"/>
      <w:r w:rsidRPr="000471B0">
        <w:rPr>
          <w:rFonts w:ascii="Bookman Old Style" w:hAnsi="Bookman Old Style"/>
          <w:i/>
          <w:sz w:val="24"/>
          <w:szCs w:val="24"/>
        </w:rPr>
        <w:t xml:space="preserve"> </w:t>
      </w:r>
      <w:proofErr w:type="spellStart"/>
      <w:r w:rsidRPr="000471B0">
        <w:rPr>
          <w:rFonts w:ascii="Bookman Old Style" w:hAnsi="Bookman Old Style"/>
          <w:i/>
          <w:sz w:val="24"/>
          <w:szCs w:val="24"/>
        </w:rPr>
        <w:t>comparationis</w:t>
      </w:r>
      <w:proofErr w:type="spellEnd"/>
      <w:r w:rsidRPr="00E87D24">
        <w:rPr>
          <w:rFonts w:ascii="Bookman Old Style" w:hAnsi="Bookman Old Style"/>
          <w:sz w:val="24"/>
          <w:szCs w:val="24"/>
        </w:rPr>
        <w:t>, ma può dispiegarsi anche nel senso di rimuovere l’ingiustificato privilegio di una disciplina più favorevole rispetto a quella indicata a comparazione»</w:t>
      </w:r>
      <w:bookmarkStart w:id="7" w:name="_ftnref9"/>
      <w:r w:rsidR="00D31D13">
        <w:rPr>
          <w:rFonts w:ascii="Bookman Old Style" w:hAnsi="Bookman Old Style"/>
          <w:sz w:val="24"/>
          <w:szCs w:val="24"/>
        </w:rPr>
        <w:t xml:space="preserve"> </w:t>
      </w:r>
      <w:r w:rsidRPr="00E87D24">
        <w:rPr>
          <w:rFonts w:ascii="Bookman Old Style" w:hAnsi="Bookman Old Style"/>
        </w:rPr>
        <w:footnoteReference w:id="44"/>
      </w:r>
      <w:bookmarkEnd w:id="7"/>
      <w:r w:rsidRPr="00E87D24">
        <w:rPr>
          <w:rFonts w:ascii="Bookman Old Style" w:hAnsi="Bookman Old Style"/>
          <w:sz w:val="24"/>
          <w:szCs w:val="24"/>
        </w:rPr>
        <w:t>.</w:t>
      </w:r>
    </w:p>
    <w:p w:rsidR="000471B0" w:rsidRPr="00E87D24" w:rsidRDefault="000471B0" w:rsidP="000471B0">
      <w:pPr>
        <w:ind w:firstLine="709"/>
        <w:jc w:val="both"/>
        <w:rPr>
          <w:rFonts w:ascii="Bookman Old Style" w:hAnsi="Bookman Old Style"/>
          <w:sz w:val="24"/>
          <w:szCs w:val="24"/>
        </w:rPr>
      </w:pPr>
      <w:r w:rsidRPr="00E87D24">
        <w:rPr>
          <w:rFonts w:ascii="Bookman Old Style" w:hAnsi="Bookman Old Style"/>
          <w:sz w:val="24"/>
          <w:szCs w:val="24"/>
        </w:rPr>
        <w:t>Si è fatto gradualmente strada – sotto la spinta delle frequenti congiunture economiche – il convincimento che la composizione dell’assetto dei contrapposti interessi coinvolti non possa che avvenire attraverso un bilanciamento degli stessi, con riguardo al contesto economico e giuridico di volta in volta emergente. È stata affermata la legittimità di disposizioni che «in ragione delle concrete disponibilità del bilancio pubblico, a carico del quale è in parte finanziato il sistema previdenziale –</w:t>
      </w:r>
      <w:r w:rsidR="00D31D13">
        <w:rPr>
          <w:rFonts w:ascii="Bookman Old Style" w:hAnsi="Bookman Old Style"/>
          <w:sz w:val="24"/>
          <w:szCs w:val="24"/>
        </w:rPr>
        <w:t xml:space="preserve"> </w:t>
      </w:r>
      <w:r w:rsidRPr="00E87D24">
        <w:rPr>
          <w:rFonts w:ascii="Bookman Old Style" w:hAnsi="Bookman Old Style"/>
          <w:sz w:val="24"/>
          <w:szCs w:val="24"/>
        </w:rPr>
        <w:t>[incidono]</w:t>
      </w:r>
      <w:r w:rsidR="00D31D13">
        <w:rPr>
          <w:rFonts w:ascii="Bookman Old Style" w:hAnsi="Bookman Old Style"/>
          <w:sz w:val="24"/>
          <w:szCs w:val="24"/>
        </w:rPr>
        <w:t xml:space="preserve"> </w:t>
      </w:r>
      <w:r w:rsidRPr="00E87D24">
        <w:rPr>
          <w:rFonts w:ascii="Bookman Old Style" w:hAnsi="Bookman Old Style"/>
          <w:sz w:val="24"/>
          <w:szCs w:val="24"/>
        </w:rPr>
        <w:t>in senso riduttivo sui trattamenti pensionistici, senza con ciò vulnerare gli artt. 36 e 38 della Costituzione»</w:t>
      </w:r>
      <w:bookmarkStart w:id="8" w:name="_ftnref10"/>
      <w:r w:rsidR="00D31D13">
        <w:rPr>
          <w:rFonts w:ascii="Bookman Old Style" w:hAnsi="Bookman Old Style"/>
          <w:sz w:val="24"/>
          <w:szCs w:val="24"/>
        </w:rPr>
        <w:t xml:space="preserve"> </w:t>
      </w:r>
      <w:r w:rsidRPr="00E87D24">
        <w:rPr>
          <w:rFonts w:ascii="Bookman Old Style" w:hAnsi="Bookman Old Style"/>
        </w:rPr>
        <w:footnoteReference w:id="45"/>
      </w:r>
      <w:bookmarkEnd w:id="8"/>
      <w:r w:rsidRPr="00E87D24">
        <w:rPr>
          <w:rFonts w:ascii="Bookman Old Style" w:hAnsi="Bookman Old Style"/>
          <w:sz w:val="24"/>
          <w:szCs w:val="24"/>
        </w:rPr>
        <w:t>.</w:t>
      </w:r>
    </w:p>
    <w:p w:rsidR="002A087C" w:rsidRPr="002A087C" w:rsidRDefault="002A087C" w:rsidP="002A087C">
      <w:pPr>
        <w:ind w:firstLine="709"/>
        <w:jc w:val="both"/>
        <w:rPr>
          <w:rFonts w:ascii="Bookman Old Style" w:hAnsi="Bookman Old Style"/>
          <w:sz w:val="24"/>
          <w:szCs w:val="24"/>
        </w:rPr>
      </w:pPr>
      <w:r w:rsidRPr="002A087C">
        <w:rPr>
          <w:rFonts w:ascii="Bookman Old Style" w:hAnsi="Bookman Old Style"/>
          <w:sz w:val="24"/>
          <w:szCs w:val="24"/>
        </w:rPr>
        <w:t>La rimodulazione del bilanciamento tra l’equilibrio finanziario e la tutela dei diritti fondamentali,</w:t>
      </w:r>
      <w:r>
        <w:rPr>
          <w:rFonts w:ascii="Bookman Old Style" w:hAnsi="Bookman Old Style"/>
          <w:sz w:val="24"/>
          <w:szCs w:val="24"/>
        </w:rPr>
        <w:t xml:space="preserve"> </w:t>
      </w:r>
      <w:r w:rsidRPr="002A087C">
        <w:rPr>
          <w:rFonts w:ascii="Bookman Old Style" w:hAnsi="Bookman Old Style"/>
          <w:sz w:val="24"/>
          <w:szCs w:val="24"/>
        </w:rPr>
        <w:t xml:space="preserve">tra cui, in particolare, la garanzia dei diritti sociali, </w:t>
      </w:r>
      <w:r w:rsidR="00D31D13">
        <w:rPr>
          <w:rFonts w:ascii="Bookman Old Style" w:hAnsi="Bookman Old Style"/>
          <w:sz w:val="24"/>
          <w:szCs w:val="24"/>
        </w:rPr>
        <w:t>ha fatto s</w:t>
      </w:r>
      <w:r w:rsidR="008632B9">
        <w:rPr>
          <w:rFonts w:ascii="Bookman Old Style" w:hAnsi="Bookman Old Style"/>
          <w:sz w:val="24"/>
          <w:szCs w:val="24"/>
        </w:rPr>
        <w:t>ì</w:t>
      </w:r>
      <w:r w:rsidR="00D31D13">
        <w:rPr>
          <w:rFonts w:ascii="Bookman Old Style" w:hAnsi="Bookman Old Style"/>
          <w:sz w:val="24"/>
          <w:szCs w:val="24"/>
        </w:rPr>
        <w:t xml:space="preserve"> che </w:t>
      </w:r>
      <w:r w:rsidRPr="002A087C">
        <w:rPr>
          <w:rFonts w:ascii="Bookman Old Style" w:hAnsi="Bookman Old Style"/>
          <w:sz w:val="24"/>
          <w:szCs w:val="24"/>
        </w:rPr>
        <w:t>la Corte</w:t>
      </w:r>
      <w:r>
        <w:rPr>
          <w:rFonts w:ascii="Bookman Old Style" w:hAnsi="Bookman Old Style"/>
          <w:sz w:val="24"/>
          <w:szCs w:val="24"/>
        </w:rPr>
        <w:t xml:space="preserve"> </w:t>
      </w:r>
      <w:r w:rsidRPr="002A087C">
        <w:rPr>
          <w:rFonts w:ascii="Bookman Old Style" w:hAnsi="Bookman Old Style"/>
          <w:sz w:val="24"/>
          <w:szCs w:val="24"/>
        </w:rPr>
        <w:t xml:space="preserve">costituzionale, a partire dagli anni ’90, </w:t>
      </w:r>
      <w:r w:rsidR="00D31D13">
        <w:rPr>
          <w:rFonts w:ascii="Bookman Old Style" w:hAnsi="Bookman Old Style"/>
          <w:sz w:val="24"/>
          <w:szCs w:val="24"/>
        </w:rPr>
        <w:t xml:space="preserve">abbia </w:t>
      </w:r>
      <w:r w:rsidR="004A17AC">
        <w:rPr>
          <w:rFonts w:ascii="Bookman Old Style" w:hAnsi="Bookman Old Style"/>
          <w:sz w:val="24"/>
          <w:szCs w:val="24"/>
        </w:rPr>
        <w:t xml:space="preserve">iniziato a </w:t>
      </w:r>
      <w:r w:rsidRPr="002A087C">
        <w:rPr>
          <w:rFonts w:ascii="Bookman Old Style" w:hAnsi="Bookman Old Style"/>
          <w:sz w:val="24"/>
          <w:szCs w:val="24"/>
        </w:rPr>
        <w:t>mostra</w:t>
      </w:r>
      <w:r w:rsidR="004A17AC">
        <w:rPr>
          <w:rFonts w:ascii="Bookman Old Style" w:hAnsi="Bookman Old Style"/>
          <w:sz w:val="24"/>
          <w:szCs w:val="24"/>
        </w:rPr>
        <w:t>re</w:t>
      </w:r>
      <w:r w:rsidRPr="002A087C">
        <w:rPr>
          <w:rFonts w:ascii="Bookman Old Style" w:hAnsi="Bookman Old Style"/>
          <w:sz w:val="24"/>
          <w:szCs w:val="24"/>
        </w:rPr>
        <w:t xml:space="preserve"> maggiore sensibilità al necessario contenimento</w:t>
      </w:r>
      <w:r>
        <w:rPr>
          <w:rFonts w:ascii="Bookman Old Style" w:hAnsi="Bookman Old Style"/>
          <w:sz w:val="24"/>
          <w:szCs w:val="24"/>
        </w:rPr>
        <w:t xml:space="preserve"> </w:t>
      </w:r>
      <w:r w:rsidRPr="002A087C">
        <w:rPr>
          <w:rFonts w:ascii="Bookman Old Style" w:hAnsi="Bookman Old Style"/>
          <w:sz w:val="24"/>
          <w:szCs w:val="24"/>
        </w:rPr>
        <w:t>della spesa pubblica, per cui, dopo aver inventato la tecnica decisoria delle additive di principio</w:t>
      </w:r>
      <w:r w:rsidR="00D31D13">
        <w:rPr>
          <w:rFonts w:ascii="Bookman Old Style" w:hAnsi="Bookman Old Style"/>
          <w:sz w:val="24"/>
          <w:szCs w:val="24"/>
        </w:rPr>
        <w:t xml:space="preserve"> </w:t>
      </w:r>
      <w:r w:rsidRPr="000471B0">
        <w:footnoteReference w:id="46"/>
      </w:r>
      <w:r w:rsidRPr="002A087C">
        <w:rPr>
          <w:rFonts w:ascii="Bookman Old Style" w:hAnsi="Bookman Old Style"/>
          <w:sz w:val="24"/>
          <w:szCs w:val="24"/>
        </w:rPr>
        <w:t>,</w:t>
      </w:r>
      <w:r>
        <w:rPr>
          <w:rFonts w:ascii="Bookman Old Style" w:hAnsi="Bookman Old Style"/>
          <w:sz w:val="24"/>
          <w:szCs w:val="24"/>
        </w:rPr>
        <w:t xml:space="preserve"> </w:t>
      </w:r>
      <w:r w:rsidRPr="002A087C">
        <w:rPr>
          <w:rFonts w:ascii="Bookman Old Style" w:hAnsi="Bookman Old Style"/>
          <w:sz w:val="24"/>
          <w:szCs w:val="24"/>
        </w:rPr>
        <w:t xml:space="preserve">«quali varianti delle additive di prestazione» </w:t>
      </w:r>
      <w:r w:rsidRPr="000471B0">
        <w:footnoteReference w:id="47"/>
      </w:r>
      <w:r w:rsidRPr="002A087C">
        <w:rPr>
          <w:rFonts w:ascii="Bookman Old Style" w:hAnsi="Bookman Old Style"/>
          <w:sz w:val="24"/>
          <w:szCs w:val="24"/>
        </w:rPr>
        <w:t xml:space="preserve">, </w:t>
      </w:r>
      <w:r w:rsidR="004A17AC">
        <w:rPr>
          <w:rFonts w:ascii="Bookman Old Style" w:hAnsi="Bookman Old Style"/>
          <w:sz w:val="24"/>
          <w:szCs w:val="24"/>
        </w:rPr>
        <w:t xml:space="preserve">ha poi ripiegato </w:t>
      </w:r>
      <w:r w:rsidRPr="002A087C">
        <w:rPr>
          <w:rFonts w:ascii="Bookman Old Style" w:hAnsi="Bookman Old Style"/>
          <w:sz w:val="24"/>
          <w:szCs w:val="24"/>
        </w:rPr>
        <w:t>sulle sentenze additive di</w:t>
      </w:r>
      <w:r>
        <w:rPr>
          <w:rFonts w:ascii="Bookman Old Style" w:hAnsi="Bookman Old Style"/>
          <w:sz w:val="24"/>
          <w:szCs w:val="24"/>
        </w:rPr>
        <w:t xml:space="preserve"> </w:t>
      </w:r>
      <w:r w:rsidRPr="002A087C">
        <w:rPr>
          <w:rFonts w:ascii="Bookman Old Style" w:hAnsi="Bookman Old Style"/>
          <w:sz w:val="24"/>
          <w:szCs w:val="24"/>
        </w:rPr>
        <w:t>garanzia</w:t>
      </w:r>
      <w:r w:rsidR="00D31D13">
        <w:rPr>
          <w:rFonts w:ascii="Bookman Old Style" w:hAnsi="Bookman Old Style"/>
          <w:sz w:val="24"/>
          <w:szCs w:val="24"/>
        </w:rPr>
        <w:t xml:space="preserve"> </w:t>
      </w:r>
      <w:r w:rsidRPr="000471B0">
        <w:footnoteReference w:id="48"/>
      </w:r>
      <w:r w:rsidRPr="002A087C">
        <w:rPr>
          <w:rFonts w:ascii="Bookman Old Style" w:hAnsi="Bookman Old Style"/>
          <w:sz w:val="24"/>
          <w:szCs w:val="24"/>
        </w:rPr>
        <w:t>.</w:t>
      </w:r>
    </w:p>
    <w:p w:rsidR="000471B0" w:rsidRPr="000471B0" w:rsidRDefault="002A087C" w:rsidP="000471B0">
      <w:pPr>
        <w:ind w:firstLine="709"/>
        <w:jc w:val="both"/>
        <w:rPr>
          <w:rFonts w:ascii="Bookman Old Style" w:hAnsi="Bookman Old Style"/>
          <w:sz w:val="24"/>
          <w:szCs w:val="24"/>
        </w:rPr>
      </w:pPr>
      <w:r w:rsidRPr="002A087C">
        <w:rPr>
          <w:rFonts w:ascii="Bookman Old Style" w:hAnsi="Bookman Old Style"/>
          <w:sz w:val="24"/>
          <w:szCs w:val="24"/>
        </w:rPr>
        <w:lastRenderedPageBreak/>
        <w:t>Trova così giustificazione il ricorso della Corte a formule come quelle dei diritti</w:t>
      </w:r>
      <w:r>
        <w:rPr>
          <w:rFonts w:ascii="Bookman Old Style" w:hAnsi="Bookman Old Style"/>
          <w:sz w:val="24"/>
          <w:szCs w:val="24"/>
        </w:rPr>
        <w:t xml:space="preserve"> </w:t>
      </w:r>
      <w:r w:rsidRPr="002A087C">
        <w:rPr>
          <w:rFonts w:ascii="Bookman Old Style" w:hAnsi="Bookman Old Style"/>
          <w:sz w:val="24"/>
          <w:szCs w:val="24"/>
        </w:rPr>
        <w:t>finanziariamente condizionati</w:t>
      </w:r>
      <w:r w:rsidR="000471B0">
        <w:rPr>
          <w:rFonts w:ascii="Bookman Old Style" w:hAnsi="Bookman Old Style"/>
          <w:sz w:val="24"/>
          <w:szCs w:val="24"/>
        </w:rPr>
        <w:t xml:space="preserve"> </w:t>
      </w:r>
      <w:r w:rsidRPr="000471B0">
        <w:footnoteReference w:id="49"/>
      </w:r>
      <w:r w:rsidRPr="002A087C">
        <w:rPr>
          <w:rFonts w:ascii="Bookman Old Style" w:hAnsi="Bookman Old Style"/>
          <w:sz w:val="24"/>
          <w:szCs w:val="24"/>
        </w:rPr>
        <w:t>, al principio di gradualità delle riforme onerose</w:t>
      </w:r>
      <w:r>
        <w:rPr>
          <w:rFonts w:ascii="Bookman Old Style" w:hAnsi="Bookman Old Style"/>
          <w:sz w:val="24"/>
          <w:szCs w:val="24"/>
        </w:rPr>
        <w:t xml:space="preserve"> </w:t>
      </w:r>
      <w:r w:rsidRPr="000471B0">
        <w:footnoteReference w:id="50"/>
      </w:r>
      <w:r w:rsidRPr="002A087C">
        <w:rPr>
          <w:rFonts w:ascii="Bookman Old Style" w:hAnsi="Bookman Old Style"/>
          <w:sz w:val="24"/>
          <w:szCs w:val="24"/>
        </w:rPr>
        <w:t>, alla limitatezza</w:t>
      </w:r>
      <w:r>
        <w:rPr>
          <w:rFonts w:ascii="Bookman Old Style" w:hAnsi="Bookman Old Style"/>
          <w:sz w:val="24"/>
          <w:szCs w:val="24"/>
        </w:rPr>
        <w:t xml:space="preserve"> </w:t>
      </w:r>
      <w:r w:rsidRPr="002A087C">
        <w:rPr>
          <w:rFonts w:ascii="Bookman Old Style" w:hAnsi="Bookman Old Style"/>
          <w:sz w:val="24"/>
          <w:szCs w:val="24"/>
        </w:rPr>
        <w:t xml:space="preserve">delle risorse disponibili </w:t>
      </w:r>
      <w:r w:rsidRPr="000471B0">
        <w:footnoteReference w:id="51"/>
      </w:r>
      <w:r w:rsidRPr="002A087C">
        <w:rPr>
          <w:rFonts w:ascii="Bookman Old Style" w:hAnsi="Bookman Old Style"/>
          <w:sz w:val="24"/>
          <w:szCs w:val="24"/>
        </w:rPr>
        <w:t>, ai</w:t>
      </w:r>
      <w:r w:rsidR="000471B0">
        <w:rPr>
          <w:rFonts w:ascii="Bookman Old Style" w:hAnsi="Bookman Old Style"/>
          <w:sz w:val="24"/>
          <w:szCs w:val="24"/>
        </w:rPr>
        <w:t xml:space="preserve"> diritti sociali condizionati </w:t>
      </w:r>
      <w:r w:rsidRPr="000471B0">
        <w:footnoteReference w:id="52"/>
      </w:r>
      <w:r w:rsidRPr="002A087C">
        <w:rPr>
          <w:rFonts w:ascii="Bookman Old Style" w:hAnsi="Bookman Old Style"/>
          <w:sz w:val="24"/>
          <w:szCs w:val="24"/>
        </w:rPr>
        <w:t xml:space="preserve"> oppure all’(auto)attribuzione del potere</w:t>
      </w:r>
      <w:r w:rsidR="000471B0">
        <w:rPr>
          <w:rFonts w:ascii="Bookman Old Style" w:hAnsi="Bookman Old Style"/>
          <w:sz w:val="24"/>
          <w:szCs w:val="24"/>
        </w:rPr>
        <w:t xml:space="preserve"> </w:t>
      </w:r>
      <w:r w:rsidR="000471B0" w:rsidRPr="000471B0">
        <w:rPr>
          <w:rFonts w:ascii="Bookman Old Style" w:hAnsi="Bookman Old Style"/>
          <w:sz w:val="24"/>
          <w:szCs w:val="24"/>
        </w:rPr>
        <w:t>di modulazione degli effetti temporali delle proprie decisioni</w:t>
      </w:r>
      <w:r w:rsidR="000471B0">
        <w:rPr>
          <w:rFonts w:ascii="Bookman Old Style" w:hAnsi="Bookman Old Style"/>
          <w:sz w:val="24"/>
          <w:szCs w:val="24"/>
        </w:rPr>
        <w:t xml:space="preserve"> </w:t>
      </w:r>
      <w:r w:rsidR="000471B0" w:rsidRPr="000471B0">
        <w:footnoteReference w:id="53"/>
      </w:r>
      <w:r w:rsidR="000471B0" w:rsidRPr="000471B0">
        <w:rPr>
          <w:rFonts w:ascii="Bookman Old Style" w:hAnsi="Bookman Old Style"/>
          <w:sz w:val="24"/>
          <w:szCs w:val="24"/>
        </w:rPr>
        <w:t>, formule tutte che rendono palese lo</w:t>
      </w:r>
      <w:r w:rsidR="000471B0">
        <w:rPr>
          <w:rFonts w:ascii="Bookman Old Style" w:hAnsi="Bookman Old Style"/>
          <w:sz w:val="24"/>
          <w:szCs w:val="24"/>
        </w:rPr>
        <w:t xml:space="preserve"> </w:t>
      </w:r>
      <w:r w:rsidR="000471B0" w:rsidRPr="000471B0">
        <w:rPr>
          <w:rFonts w:ascii="Bookman Old Style" w:hAnsi="Bookman Old Style"/>
          <w:sz w:val="24"/>
          <w:szCs w:val="24"/>
        </w:rPr>
        <w:t>sforzo dei giudici costituzionali di bilanciare la tutela dei diritti onerosi con le esigenze finanziare</w:t>
      </w:r>
      <w:r w:rsidR="008632B9">
        <w:rPr>
          <w:rFonts w:ascii="Bookman Old Style" w:hAnsi="Bookman Old Style"/>
          <w:sz w:val="24"/>
          <w:szCs w:val="24"/>
        </w:rPr>
        <w:t xml:space="preserve">, al fine di </w:t>
      </w:r>
      <w:r w:rsidR="000471B0" w:rsidRPr="000471B0">
        <w:rPr>
          <w:rFonts w:ascii="Bookman Old Style" w:hAnsi="Bookman Old Style"/>
          <w:sz w:val="24"/>
          <w:szCs w:val="24"/>
        </w:rPr>
        <w:t xml:space="preserve">non gravare ulteriormente con le loro decisioni </w:t>
      </w:r>
      <w:r w:rsidR="00D31D13">
        <w:rPr>
          <w:rFonts w:ascii="Bookman Old Style" w:hAnsi="Bookman Old Style"/>
          <w:sz w:val="24"/>
          <w:szCs w:val="24"/>
        </w:rPr>
        <w:t>su</w:t>
      </w:r>
      <w:r w:rsidR="000471B0" w:rsidRPr="000471B0">
        <w:rPr>
          <w:rFonts w:ascii="Bookman Old Style" w:hAnsi="Bookman Old Style"/>
          <w:sz w:val="24"/>
          <w:szCs w:val="24"/>
        </w:rPr>
        <w:t>i conti dello Stato.</w:t>
      </w:r>
    </w:p>
    <w:p w:rsidR="000471B0" w:rsidRPr="000471B0" w:rsidRDefault="00DE7387" w:rsidP="000471B0">
      <w:pPr>
        <w:ind w:firstLine="709"/>
        <w:jc w:val="both"/>
        <w:rPr>
          <w:rFonts w:ascii="Bookman Old Style" w:hAnsi="Bookman Old Style"/>
          <w:sz w:val="24"/>
          <w:szCs w:val="24"/>
        </w:rPr>
      </w:pPr>
      <w:r>
        <w:rPr>
          <w:rFonts w:ascii="Bookman Old Style" w:hAnsi="Bookman Old Style"/>
          <w:sz w:val="24"/>
          <w:szCs w:val="24"/>
        </w:rPr>
        <w:t>Oltre a</w:t>
      </w:r>
      <w:r w:rsidR="000471B0" w:rsidRPr="000471B0">
        <w:rPr>
          <w:rFonts w:ascii="Bookman Old Style" w:hAnsi="Bookman Old Style"/>
          <w:sz w:val="24"/>
          <w:szCs w:val="24"/>
        </w:rPr>
        <w:t>i casi in cui il vincolo del pareggio di bilancio ex art. 81 Cost. viene relativizzato</w:t>
      </w:r>
      <w:r w:rsidR="000471B0">
        <w:rPr>
          <w:rFonts w:ascii="Bookman Old Style" w:hAnsi="Bookman Old Style"/>
          <w:sz w:val="24"/>
          <w:szCs w:val="24"/>
        </w:rPr>
        <w:t xml:space="preserve"> </w:t>
      </w:r>
      <w:r w:rsidR="000471B0" w:rsidRPr="000471B0">
        <w:rPr>
          <w:rFonts w:ascii="Bookman Old Style" w:hAnsi="Bookman Old Style"/>
          <w:sz w:val="24"/>
          <w:szCs w:val="24"/>
        </w:rPr>
        <w:t>dalla stessa giurisprudenza costituzionale, che lo riconduce all’obbligo di copertura degli interventi</w:t>
      </w:r>
      <w:r w:rsidR="000471B0">
        <w:rPr>
          <w:rFonts w:ascii="Bookman Old Style" w:hAnsi="Bookman Old Style"/>
          <w:sz w:val="24"/>
          <w:szCs w:val="24"/>
        </w:rPr>
        <w:t xml:space="preserve"> </w:t>
      </w:r>
      <w:r w:rsidR="000471B0" w:rsidRPr="000471B0">
        <w:rPr>
          <w:rFonts w:ascii="Bookman Old Style" w:hAnsi="Bookman Old Style"/>
          <w:sz w:val="24"/>
          <w:szCs w:val="24"/>
        </w:rPr>
        <w:t>finanziari in materia di diritti sociali</w:t>
      </w:r>
      <w:r w:rsidR="000471B0">
        <w:rPr>
          <w:rFonts w:ascii="Bookman Old Style" w:hAnsi="Bookman Old Style"/>
          <w:sz w:val="24"/>
          <w:szCs w:val="24"/>
        </w:rPr>
        <w:t xml:space="preserve"> </w:t>
      </w:r>
      <w:r w:rsidR="000471B0">
        <w:rPr>
          <w:rStyle w:val="Rimandonotaapidipagina"/>
          <w:rFonts w:ascii="Bookman Old Style" w:hAnsi="Bookman Old Style"/>
          <w:sz w:val="24"/>
          <w:szCs w:val="24"/>
        </w:rPr>
        <w:footnoteReference w:id="54"/>
      </w:r>
      <w:r w:rsidR="000471B0" w:rsidRPr="000471B0">
        <w:rPr>
          <w:rFonts w:ascii="Bookman Old Style" w:hAnsi="Bookman Old Style"/>
          <w:sz w:val="24"/>
          <w:szCs w:val="24"/>
        </w:rPr>
        <w:t>, la Corte è solita riconoscere ampia discrezionalità al</w:t>
      </w:r>
      <w:r w:rsidR="000471B0">
        <w:rPr>
          <w:rFonts w:ascii="Bookman Old Style" w:hAnsi="Bookman Old Style"/>
          <w:sz w:val="24"/>
          <w:szCs w:val="24"/>
        </w:rPr>
        <w:t xml:space="preserve"> </w:t>
      </w:r>
      <w:r w:rsidR="000471B0" w:rsidRPr="000471B0">
        <w:rPr>
          <w:rFonts w:ascii="Bookman Old Style" w:hAnsi="Bookman Old Style"/>
          <w:sz w:val="24"/>
          <w:szCs w:val="24"/>
        </w:rPr>
        <w:t>legislatore</w:t>
      </w:r>
      <w:r w:rsidR="000471B0">
        <w:rPr>
          <w:rFonts w:ascii="Bookman Old Style" w:hAnsi="Bookman Old Style"/>
          <w:sz w:val="24"/>
          <w:szCs w:val="24"/>
        </w:rPr>
        <w:t xml:space="preserve"> </w:t>
      </w:r>
      <w:r w:rsidR="000471B0">
        <w:rPr>
          <w:rStyle w:val="Rimandonotaapidipagina"/>
          <w:rFonts w:ascii="Bookman Old Style" w:hAnsi="Bookman Old Style"/>
          <w:sz w:val="24"/>
          <w:szCs w:val="24"/>
        </w:rPr>
        <w:footnoteReference w:id="55"/>
      </w:r>
      <w:r w:rsidR="000471B0" w:rsidRPr="000471B0">
        <w:rPr>
          <w:rFonts w:ascii="Bookman Old Style" w:hAnsi="Bookman Old Style"/>
          <w:sz w:val="24"/>
          <w:szCs w:val="24"/>
        </w:rPr>
        <w:t xml:space="preserve"> nell’attuazione del necessario </w:t>
      </w:r>
      <w:r w:rsidR="000471B0" w:rsidRPr="000471B0">
        <w:rPr>
          <w:rFonts w:ascii="Bookman Old Style" w:hAnsi="Bookman Old Style"/>
          <w:sz w:val="24"/>
          <w:szCs w:val="24"/>
        </w:rPr>
        <w:lastRenderedPageBreak/>
        <w:t>criterio di gradualità nella tutela dei diritti sociali,</w:t>
      </w:r>
      <w:r w:rsidR="000471B0">
        <w:rPr>
          <w:rFonts w:ascii="Bookman Old Style" w:hAnsi="Bookman Old Style"/>
          <w:sz w:val="24"/>
          <w:szCs w:val="24"/>
        </w:rPr>
        <w:t xml:space="preserve"> </w:t>
      </w:r>
      <w:r w:rsidR="000471B0" w:rsidRPr="000471B0">
        <w:rPr>
          <w:rFonts w:ascii="Bookman Old Style" w:hAnsi="Bookman Old Style"/>
          <w:sz w:val="24"/>
          <w:szCs w:val="24"/>
        </w:rPr>
        <w:t>limitando il suo sindacato ai soli casi di manifesta irragionevolezza nel rispetto del nucleo</w:t>
      </w:r>
      <w:r w:rsidR="000471B0">
        <w:rPr>
          <w:rFonts w:ascii="Bookman Old Style" w:hAnsi="Bookman Old Style"/>
          <w:sz w:val="24"/>
          <w:szCs w:val="24"/>
        </w:rPr>
        <w:t xml:space="preserve"> </w:t>
      </w:r>
      <w:r w:rsidR="000471B0" w:rsidRPr="000471B0">
        <w:rPr>
          <w:rFonts w:ascii="Bookman Old Style" w:hAnsi="Bookman Old Style"/>
          <w:sz w:val="24"/>
          <w:szCs w:val="24"/>
        </w:rPr>
        <w:t>irriducibile di tali diritti</w:t>
      </w:r>
      <w:r w:rsidR="000471B0">
        <w:rPr>
          <w:rFonts w:ascii="Bookman Old Style" w:hAnsi="Bookman Old Style"/>
          <w:sz w:val="24"/>
          <w:szCs w:val="24"/>
        </w:rPr>
        <w:t xml:space="preserve"> </w:t>
      </w:r>
      <w:r w:rsidR="000471B0">
        <w:rPr>
          <w:rStyle w:val="Rimandonotaapidipagina"/>
          <w:rFonts w:ascii="Bookman Old Style" w:hAnsi="Bookman Old Style"/>
          <w:sz w:val="24"/>
          <w:szCs w:val="24"/>
        </w:rPr>
        <w:footnoteReference w:id="56"/>
      </w:r>
      <w:r w:rsidR="000471B0" w:rsidRPr="000471B0">
        <w:rPr>
          <w:rFonts w:ascii="Bookman Old Style" w:hAnsi="Bookman Old Style"/>
          <w:sz w:val="24"/>
          <w:szCs w:val="24"/>
        </w:rPr>
        <w:t>, cioè il c.d. livello minimo essenziale</w:t>
      </w:r>
      <w:r w:rsidR="000471B0">
        <w:rPr>
          <w:rFonts w:ascii="Bookman Old Style" w:hAnsi="Bookman Old Style"/>
          <w:sz w:val="24"/>
          <w:szCs w:val="24"/>
        </w:rPr>
        <w:t xml:space="preserve"> </w:t>
      </w:r>
      <w:r w:rsidR="000471B0">
        <w:rPr>
          <w:rStyle w:val="Rimandonotaapidipagina"/>
          <w:rFonts w:ascii="Bookman Old Style" w:hAnsi="Bookman Old Style"/>
          <w:sz w:val="24"/>
          <w:szCs w:val="24"/>
        </w:rPr>
        <w:footnoteReference w:id="57"/>
      </w:r>
      <w:r w:rsidR="000471B0" w:rsidRPr="000471B0">
        <w:rPr>
          <w:rFonts w:ascii="Bookman Old Style" w:hAnsi="Bookman Old Style"/>
          <w:sz w:val="24"/>
          <w:szCs w:val="24"/>
        </w:rPr>
        <w:t>.</w:t>
      </w:r>
      <w:r w:rsidR="000471B0">
        <w:rPr>
          <w:rFonts w:ascii="Bookman Old Style" w:hAnsi="Bookman Old Style"/>
          <w:sz w:val="24"/>
          <w:szCs w:val="24"/>
        </w:rPr>
        <w:t xml:space="preserve"> </w:t>
      </w:r>
      <w:r w:rsidR="000471B0" w:rsidRPr="000471B0">
        <w:rPr>
          <w:rFonts w:ascii="Bookman Old Style" w:hAnsi="Bookman Old Style"/>
          <w:sz w:val="24"/>
          <w:szCs w:val="24"/>
        </w:rPr>
        <w:t>Quindi, nella zona di frizione del principio dell’equilibrio finanziario con la concretizzazione dei</w:t>
      </w:r>
      <w:r w:rsidR="000471B0">
        <w:rPr>
          <w:rFonts w:ascii="Bookman Old Style" w:hAnsi="Bookman Old Style"/>
          <w:sz w:val="24"/>
          <w:szCs w:val="24"/>
        </w:rPr>
        <w:t xml:space="preserve"> </w:t>
      </w:r>
      <w:r w:rsidR="000471B0" w:rsidRPr="000471B0">
        <w:rPr>
          <w:rFonts w:ascii="Bookman Old Style" w:hAnsi="Bookman Old Style"/>
          <w:sz w:val="24"/>
          <w:szCs w:val="24"/>
        </w:rPr>
        <w:t>diritti sociali, è riconosciuta da parte della giurisprudenza costituzionale la discrezionalità politica</w:t>
      </w:r>
      <w:r w:rsidR="000471B0">
        <w:rPr>
          <w:rFonts w:ascii="Bookman Old Style" w:hAnsi="Bookman Old Style"/>
          <w:sz w:val="24"/>
          <w:szCs w:val="24"/>
        </w:rPr>
        <w:t xml:space="preserve"> </w:t>
      </w:r>
      <w:r w:rsidR="000471B0" w:rsidRPr="000471B0">
        <w:rPr>
          <w:rFonts w:ascii="Bookman Old Style" w:hAnsi="Bookman Old Style"/>
          <w:sz w:val="24"/>
          <w:szCs w:val="24"/>
        </w:rPr>
        <w:t>del legislatore, residuando alla Corte la sola sindacabilità della manifesta irragionevolezza della</w:t>
      </w:r>
      <w:r w:rsidR="000471B0">
        <w:rPr>
          <w:rFonts w:ascii="Bookman Old Style" w:hAnsi="Bookman Old Style"/>
          <w:sz w:val="24"/>
          <w:szCs w:val="24"/>
        </w:rPr>
        <w:t xml:space="preserve"> </w:t>
      </w:r>
      <w:r w:rsidR="000471B0" w:rsidRPr="000471B0">
        <w:rPr>
          <w:rFonts w:ascii="Bookman Old Style" w:hAnsi="Bookman Old Style"/>
          <w:sz w:val="24"/>
          <w:szCs w:val="24"/>
        </w:rPr>
        <w:t>scelta legislativa, «in realtà integrata prevalentemente dal rispetto del nucleo irriducibile dei diritti</w:t>
      </w:r>
      <w:r w:rsidR="000471B0">
        <w:rPr>
          <w:rFonts w:ascii="Bookman Old Style" w:hAnsi="Bookman Old Style"/>
          <w:sz w:val="24"/>
          <w:szCs w:val="24"/>
        </w:rPr>
        <w:t xml:space="preserve"> </w:t>
      </w:r>
      <w:r w:rsidR="000471B0" w:rsidRPr="000471B0">
        <w:rPr>
          <w:rFonts w:ascii="Bookman Old Style" w:hAnsi="Bookman Old Style"/>
          <w:sz w:val="24"/>
          <w:szCs w:val="24"/>
        </w:rPr>
        <w:t>in questione, del loro contenuto minimo essenziale»</w:t>
      </w:r>
      <w:r w:rsidR="000471B0">
        <w:rPr>
          <w:rFonts w:ascii="Bookman Old Style" w:hAnsi="Bookman Old Style"/>
          <w:sz w:val="24"/>
          <w:szCs w:val="24"/>
        </w:rPr>
        <w:t xml:space="preserve"> </w:t>
      </w:r>
      <w:r w:rsidR="000471B0">
        <w:rPr>
          <w:rStyle w:val="Rimandonotaapidipagina"/>
          <w:rFonts w:ascii="Bookman Old Style" w:hAnsi="Bookman Old Style"/>
          <w:sz w:val="24"/>
          <w:szCs w:val="24"/>
        </w:rPr>
        <w:footnoteReference w:id="58"/>
      </w:r>
      <w:r w:rsidR="000471B0" w:rsidRPr="000471B0">
        <w:rPr>
          <w:rFonts w:ascii="Bookman Old Style" w:hAnsi="Bookman Old Style"/>
          <w:sz w:val="24"/>
          <w:szCs w:val="24"/>
        </w:rPr>
        <w:t>, non modificabile in sede legislativa.</w:t>
      </w:r>
    </w:p>
    <w:p w:rsidR="008F681D" w:rsidRDefault="000471B0" w:rsidP="008F681D">
      <w:pPr>
        <w:ind w:firstLine="709"/>
        <w:jc w:val="both"/>
        <w:rPr>
          <w:rFonts w:ascii="Bookman Old Style" w:hAnsi="Bookman Old Style"/>
          <w:sz w:val="24"/>
          <w:szCs w:val="24"/>
        </w:rPr>
      </w:pPr>
      <w:r w:rsidRPr="000471B0">
        <w:rPr>
          <w:rFonts w:ascii="Bookman Old Style" w:hAnsi="Bookman Old Style"/>
          <w:sz w:val="24"/>
          <w:szCs w:val="24"/>
        </w:rPr>
        <w:t>Ciò vale a dire che nel bilanciamento tra diritti sociali ed esigenze finanziarie non prevalgono i</w:t>
      </w:r>
      <w:r>
        <w:rPr>
          <w:rFonts w:ascii="Bookman Old Style" w:hAnsi="Bookman Old Style"/>
          <w:sz w:val="24"/>
          <w:szCs w:val="24"/>
        </w:rPr>
        <w:t xml:space="preserve"> </w:t>
      </w:r>
      <w:r w:rsidRPr="000471B0">
        <w:rPr>
          <w:rFonts w:ascii="Bookman Old Style" w:hAnsi="Bookman Old Style"/>
          <w:sz w:val="24"/>
          <w:szCs w:val="24"/>
        </w:rPr>
        <w:t>diritti, se non, rispetto ai vincoli di bilancio, il loro nucleo essenziale, che non può essere vanificato</w:t>
      </w:r>
      <w:r>
        <w:rPr>
          <w:rFonts w:ascii="Bookman Old Style" w:hAnsi="Bookman Old Style"/>
          <w:sz w:val="24"/>
          <w:szCs w:val="24"/>
        </w:rPr>
        <w:t xml:space="preserve"> </w:t>
      </w:r>
      <w:r w:rsidRPr="000471B0">
        <w:rPr>
          <w:rFonts w:ascii="Bookman Old Style" w:hAnsi="Bookman Old Style"/>
          <w:sz w:val="24"/>
          <w:szCs w:val="24"/>
        </w:rPr>
        <w:t>dal legislatore, senza violare la dignità della persona umana</w:t>
      </w:r>
      <w:r w:rsidR="008F681D">
        <w:rPr>
          <w:rFonts w:ascii="Bookman Old Style" w:hAnsi="Bookman Old Style"/>
          <w:sz w:val="24"/>
          <w:szCs w:val="24"/>
        </w:rPr>
        <w:t xml:space="preserve"> </w:t>
      </w:r>
      <w:r w:rsidR="008F681D" w:rsidRPr="008F681D">
        <w:footnoteReference w:id="59"/>
      </w:r>
      <w:r w:rsidRPr="000471B0">
        <w:rPr>
          <w:rFonts w:ascii="Bookman Old Style" w:hAnsi="Bookman Old Style"/>
          <w:sz w:val="24"/>
          <w:szCs w:val="24"/>
        </w:rPr>
        <w:t>.</w:t>
      </w:r>
      <w:r w:rsidR="00E370EF">
        <w:rPr>
          <w:rFonts w:ascii="Bookman Old Style" w:hAnsi="Bookman Old Style"/>
          <w:sz w:val="24"/>
          <w:szCs w:val="24"/>
        </w:rPr>
        <w:t xml:space="preserve"> </w:t>
      </w:r>
      <w:r w:rsidR="008F681D" w:rsidRPr="008F681D">
        <w:rPr>
          <w:rFonts w:ascii="Bookman Old Style" w:hAnsi="Bookman Old Style"/>
          <w:sz w:val="24"/>
          <w:szCs w:val="24"/>
        </w:rPr>
        <w:t>Da</w:t>
      </w:r>
      <w:r w:rsidR="008F681D">
        <w:rPr>
          <w:rFonts w:ascii="Bookman Old Style" w:hAnsi="Bookman Old Style"/>
          <w:sz w:val="24"/>
          <w:szCs w:val="24"/>
        </w:rPr>
        <w:t xml:space="preserve">lle citate pronunce emerge </w:t>
      </w:r>
      <w:r w:rsidR="008F681D" w:rsidRPr="008F681D">
        <w:rPr>
          <w:rFonts w:ascii="Bookman Old Style" w:hAnsi="Bookman Old Style"/>
          <w:sz w:val="24"/>
          <w:szCs w:val="24"/>
        </w:rPr>
        <w:t>come ai giudici costituzionali competa di volta in volta effettuare un sindacato sulla</w:t>
      </w:r>
      <w:r w:rsidR="008F681D">
        <w:rPr>
          <w:rFonts w:ascii="Bookman Old Style" w:hAnsi="Bookman Old Style"/>
          <w:sz w:val="24"/>
          <w:szCs w:val="24"/>
        </w:rPr>
        <w:t xml:space="preserve"> </w:t>
      </w:r>
      <w:r w:rsidR="008F681D" w:rsidRPr="008F681D">
        <w:rPr>
          <w:rFonts w:ascii="Bookman Old Style" w:hAnsi="Bookman Old Style"/>
          <w:sz w:val="24"/>
          <w:szCs w:val="24"/>
        </w:rPr>
        <w:t>legittimità delle misure legislative di compressione delle politiche del welfare mediante il controllo</w:t>
      </w:r>
      <w:r w:rsidR="008F681D">
        <w:rPr>
          <w:rFonts w:ascii="Bookman Old Style" w:hAnsi="Bookman Old Style"/>
          <w:sz w:val="24"/>
          <w:szCs w:val="24"/>
        </w:rPr>
        <w:t xml:space="preserve"> </w:t>
      </w:r>
      <w:r w:rsidR="008F681D" w:rsidRPr="008F681D">
        <w:rPr>
          <w:rFonts w:ascii="Bookman Old Style" w:hAnsi="Bookman Old Style"/>
          <w:sz w:val="24"/>
          <w:szCs w:val="24"/>
        </w:rPr>
        <w:t>di ragionevolezza e di rispetto del contenuto minimo essenziale dei diritti sociali, che integrano il</w:t>
      </w:r>
      <w:r w:rsidR="008F681D">
        <w:rPr>
          <w:rFonts w:ascii="Bookman Old Style" w:hAnsi="Bookman Old Style"/>
          <w:sz w:val="24"/>
          <w:szCs w:val="24"/>
        </w:rPr>
        <w:t xml:space="preserve"> </w:t>
      </w:r>
      <w:r w:rsidR="008F681D" w:rsidRPr="008F681D">
        <w:rPr>
          <w:rFonts w:ascii="Bookman Old Style" w:hAnsi="Bookman Old Style"/>
          <w:sz w:val="24"/>
          <w:szCs w:val="24"/>
        </w:rPr>
        <w:t>nucleo indefettibile dell’attuale forma di Stato democratico</w:t>
      </w:r>
      <w:r w:rsidR="008F681D">
        <w:rPr>
          <w:rFonts w:ascii="Bookman Old Style" w:hAnsi="Bookman Old Style"/>
          <w:sz w:val="24"/>
          <w:szCs w:val="24"/>
        </w:rPr>
        <w:t xml:space="preserve"> </w:t>
      </w:r>
      <w:r w:rsidR="008F681D">
        <w:rPr>
          <w:rStyle w:val="Rimandonotaapidipagina"/>
          <w:rFonts w:ascii="Bookman Old Style" w:hAnsi="Bookman Old Style"/>
          <w:sz w:val="24"/>
          <w:szCs w:val="24"/>
        </w:rPr>
        <w:footnoteReference w:id="60"/>
      </w:r>
      <w:r w:rsidR="008F681D" w:rsidRPr="008F681D">
        <w:rPr>
          <w:rFonts w:ascii="Bookman Old Style" w:hAnsi="Bookman Old Style"/>
          <w:sz w:val="24"/>
          <w:szCs w:val="24"/>
        </w:rPr>
        <w:t>.</w:t>
      </w:r>
    </w:p>
    <w:p w:rsidR="00E370EF" w:rsidRPr="002C2E8F" w:rsidRDefault="00E370EF" w:rsidP="00E370EF">
      <w:pPr>
        <w:ind w:firstLine="709"/>
        <w:jc w:val="both"/>
        <w:rPr>
          <w:rFonts w:ascii="Bookman Old Style" w:hAnsi="Bookman Old Style"/>
          <w:sz w:val="24"/>
          <w:szCs w:val="24"/>
        </w:rPr>
      </w:pPr>
      <w:r w:rsidRPr="002C2E8F">
        <w:rPr>
          <w:rFonts w:ascii="Bookman Old Style" w:hAnsi="Bookman Old Style"/>
          <w:sz w:val="24"/>
          <w:szCs w:val="24"/>
        </w:rPr>
        <w:lastRenderedPageBreak/>
        <w:t xml:space="preserve">In ordine al problema se il contenuto del livello minimo in relazione all’adozione delle misure di </w:t>
      </w:r>
      <w:r w:rsidR="00E301D9">
        <w:rPr>
          <w:rFonts w:ascii="Bookman Old Style" w:hAnsi="Bookman Old Style"/>
          <w:sz w:val="24"/>
          <w:szCs w:val="24"/>
        </w:rPr>
        <w:t xml:space="preserve">soddisfacimento dei diritti e delle tutele fondamentali </w:t>
      </w:r>
      <w:r w:rsidRPr="002C2E8F">
        <w:rPr>
          <w:rFonts w:ascii="Bookman Old Style" w:hAnsi="Bookman Old Style"/>
          <w:sz w:val="24"/>
          <w:szCs w:val="24"/>
        </w:rPr>
        <w:t>sia determinabile con esattezza e prospettiva stabile, è difficile addivenire ad una soluzione positiva, anche se alcuni ordinamenti, come quello tedesco, tendono a tale obiettivo.</w:t>
      </w:r>
      <w:r>
        <w:rPr>
          <w:rFonts w:ascii="Bookman Old Style" w:hAnsi="Bookman Old Style"/>
          <w:sz w:val="24"/>
          <w:szCs w:val="24"/>
        </w:rPr>
        <w:t xml:space="preserve"> </w:t>
      </w:r>
      <w:r w:rsidRPr="002C2E8F">
        <w:rPr>
          <w:rFonts w:ascii="Bookman Old Style" w:hAnsi="Bookman Old Style"/>
          <w:sz w:val="24"/>
          <w:szCs w:val="24"/>
        </w:rPr>
        <w:t>La giurisprudenza costituzionale tedesca tende a sviluppare in questa materia il concetto di minimo vitale come contenuto incomprimibile del diritto all’erogazione delle prestazioni necessarie per il soddisfacimento dei diritti sociali.</w:t>
      </w:r>
      <w:r>
        <w:rPr>
          <w:rFonts w:ascii="Bookman Old Style" w:hAnsi="Bookman Old Style"/>
          <w:sz w:val="24"/>
          <w:szCs w:val="24"/>
        </w:rPr>
        <w:t xml:space="preserve"> </w:t>
      </w:r>
      <w:r w:rsidRPr="002C2E8F">
        <w:rPr>
          <w:rFonts w:ascii="Bookman Old Style" w:hAnsi="Bookman Old Style"/>
          <w:sz w:val="24"/>
          <w:szCs w:val="24"/>
        </w:rPr>
        <w:t>Appare realistico sostenere che la determinazione del livello essenziale delle prestazioni debba essere realizzata dal legislatore nazionale attraverso un procedimento trasparente e appropriato, definendo preliminarmente costi e fabbisogni. In tal modo, attraverso la comparazione delle diverse necessità e delle risorse complessivamente disponibili si può arrivare a definire, settore per settore, la cosiddetta “riserva del possibile”, ciò che può ragionevolmente essere preteso nel campo dei singoli servizi a rilevanza sociale. Ed è del tutto evidente che la determinazione qualitativa e quantitativa debba essere collegata alla situazione storica ed alle risorse economiche in tale contesto disponibili</w:t>
      </w:r>
      <w:r>
        <w:rPr>
          <w:rFonts w:ascii="Bookman Old Style" w:hAnsi="Bookman Old Style"/>
          <w:sz w:val="24"/>
          <w:szCs w:val="24"/>
        </w:rPr>
        <w:t xml:space="preserve"> </w:t>
      </w:r>
      <w:r>
        <w:rPr>
          <w:rStyle w:val="Rimandonotaapidipagina"/>
          <w:rFonts w:ascii="Bookman Old Style" w:hAnsi="Bookman Old Style"/>
          <w:sz w:val="24"/>
          <w:szCs w:val="24"/>
        </w:rPr>
        <w:footnoteReference w:id="61"/>
      </w:r>
      <w:r w:rsidRPr="002C2E8F">
        <w:rPr>
          <w:rFonts w:ascii="Bookman Old Style" w:hAnsi="Bookman Old Style"/>
          <w:sz w:val="24"/>
          <w:szCs w:val="24"/>
        </w:rPr>
        <w:t>.</w:t>
      </w:r>
    </w:p>
    <w:p w:rsidR="00745E1A" w:rsidRPr="00745E1A" w:rsidRDefault="00745E1A" w:rsidP="00745E1A">
      <w:pPr>
        <w:ind w:firstLine="709"/>
        <w:jc w:val="both"/>
        <w:rPr>
          <w:rFonts w:ascii="Bookman Old Style" w:hAnsi="Bookman Old Style"/>
          <w:sz w:val="24"/>
          <w:szCs w:val="24"/>
        </w:rPr>
      </w:pPr>
      <w:r w:rsidRPr="00745E1A">
        <w:rPr>
          <w:rFonts w:ascii="Bookman Old Style" w:hAnsi="Bookman Old Style"/>
          <w:sz w:val="24"/>
          <w:szCs w:val="24"/>
        </w:rPr>
        <w:t>Seppure il ragionevole bilanciamento tra disponibilità finanziarie e garanzie dei diritti</w:t>
      </w:r>
      <w:r>
        <w:rPr>
          <w:rFonts w:ascii="Bookman Old Style" w:hAnsi="Bookman Old Style"/>
          <w:sz w:val="24"/>
          <w:szCs w:val="24"/>
        </w:rPr>
        <w:t xml:space="preserve"> </w:t>
      </w:r>
      <w:r w:rsidRPr="00745E1A">
        <w:rPr>
          <w:rFonts w:ascii="Bookman Old Style" w:hAnsi="Bookman Old Style"/>
          <w:sz w:val="24"/>
          <w:szCs w:val="24"/>
        </w:rPr>
        <w:t>fondamentali spetti al legislatore, salvo il controllo della Corte, ciò non vuol dire, però, che i</w:t>
      </w:r>
      <w:r>
        <w:rPr>
          <w:rFonts w:ascii="Bookman Old Style" w:hAnsi="Bookman Old Style"/>
          <w:sz w:val="24"/>
          <w:szCs w:val="24"/>
        </w:rPr>
        <w:t xml:space="preserve"> </w:t>
      </w:r>
      <w:r w:rsidRPr="00745E1A">
        <w:rPr>
          <w:rFonts w:ascii="Bookman Old Style" w:hAnsi="Bookman Old Style"/>
          <w:sz w:val="24"/>
          <w:szCs w:val="24"/>
        </w:rPr>
        <w:t>principi di economicità debbano necessariamente prevalere sugli altri, ma solo che occorre un</w:t>
      </w:r>
      <w:r>
        <w:rPr>
          <w:rFonts w:ascii="Bookman Old Style" w:hAnsi="Bookman Old Style"/>
          <w:sz w:val="24"/>
          <w:szCs w:val="24"/>
        </w:rPr>
        <w:t xml:space="preserve"> </w:t>
      </w:r>
      <w:r w:rsidRPr="00745E1A">
        <w:rPr>
          <w:rFonts w:ascii="Bookman Old Style" w:hAnsi="Bookman Old Style"/>
          <w:sz w:val="24"/>
          <w:szCs w:val="24"/>
        </w:rPr>
        <w:t>bilanciamento calibrato di volta in volta sul caso in esame</w:t>
      </w:r>
      <w:r w:rsidR="00362870">
        <w:rPr>
          <w:rFonts w:ascii="Bookman Old Style" w:hAnsi="Bookman Old Style"/>
          <w:sz w:val="24"/>
          <w:szCs w:val="24"/>
        </w:rPr>
        <w:t xml:space="preserve"> </w:t>
      </w:r>
      <w:r w:rsidR="00362870">
        <w:rPr>
          <w:rStyle w:val="Rimandonotaapidipagina"/>
          <w:rFonts w:ascii="Bookman Old Style" w:hAnsi="Bookman Old Style"/>
          <w:sz w:val="24"/>
          <w:szCs w:val="24"/>
        </w:rPr>
        <w:footnoteReference w:id="62"/>
      </w:r>
      <w:r w:rsidRPr="00745E1A">
        <w:rPr>
          <w:rFonts w:ascii="Bookman Old Style" w:hAnsi="Bookman Old Style"/>
          <w:sz w:val="24"/>
          <w:szCs w:val="24"/>
        </w:rPr>
        <w:t>, di modo che i vincoli di bilancio siano</w:t>
      </w:r>
      <w:r>
        <w:rPr>
          <w:rFonts w:ascii="Bookman Old Style" w:hAnsi="Bookman Old Style"/>
          <w:sz w:val="24"/>
          <w:szCs w:val="24"/>
        </w:rPr>
        <w:t xml:space="preserve"> </w:t>
      </w:r>
      <w:r w:rsidRPr="00745E1A">
        <w:rPr>
          <w:rFonts w:ascii="Bookman Old Style" w:hAnsi="Bookman Old Style"/>
          <w:sz w:val="24"/>
          <w:szCs w:val="24"/>
        </w:rPr>
        <w:t xml:space="preserve">comunque presi in </w:t>
      </w:r>
      <w:r w:rsidRPr="00745E1A">
        <w:rPr>
          <w:rFonts w:ascii="Bookman Old Style" w:hAnsi="Bookman Old Style"/>
          <w:sz w:val="24"/>
          <w:szCs w:val="24"/>
        </w:rPr>
        <w:lastRenderedPageBreak/>
        <w:t>considerazione, ma senza essere destinati al primato assoluto</w:t>
      </w:r>
      <w:r>
        <w:rPr>
          <w:rFonts w:ascii="Bookman Old Style" w:hAnsi="Bookman Old Style"/>
          <w:sz w:val="24"/>
          <w:szCs w:val="24"/>
        </w:rPr>
        <w:t xml:space="preserve"> </w:t>
      </w:r>
      <w:r>
        <w:rPr>
          <w:rStyle w:val="Rimandonotaapidipagina"/>
          <w:rFonts w:ascii="Bookman Old Style" w:hAnsi="Bookman Old Style"/>
          <w:sz w:val="24"/>
          <w:szCs w:val="24"/>
        </w:rPr>
        <w:footnoteReference w:id="63"/>
      </w:r>
      <w:r w:rsidRPr="00745E1A">
        <w:rPr>
          <w:rFonts w:ascii="Bookman Old Style" w:hAnsi="Bookman Old Style"/>
          <w:sz w:val="24"/>
          <w:szCs w:val="24"/>
        </w:rPr>
        <w:t>, in una sorta di</w:t>
      </w:r>
      <w:r>
        <w:rPr>
          <w:rFonts w:ascii="Bookman Old Style" w:hAnsi="Bookman Old Style"/>
          <w:sz w:val="24"/>
          <w:szCs w:val="24"/>
        </w:rPr>
        <w:t xml:space="preserve"> </w:t>
      </w:r>
      <w:r w:rsidRPr="00745E1A">
        <w:rPr>
          <w:rFonts w:ascii="Bookman Old Style" w:hAnsi="Bookman Old Style"/>
          <w:sz w:val="24"/>
          <w:szCs w:val="24"/>
        </w:rPr>
        <w:t>gerarchia mobile dettata dal caso concreto</w:t>
      </w:r>
      <w:r w:rsidR="00E301D9">
        <w:rPr>
          <w:rFonts w:ascii="Bookman Old Style" w:hAnsi="Bookman Old Style"/>
          <w:sz w:val="24"/>
          <w:szCs w:val="24"/>
        </w:rPr>
        <w:t xml:space="preserve"> </w:t>
      </w:r>
      <w:r>
        <w:rPr>
          <w:rStyle w:val="Rimandonotaapidipagina"/>
          <w:rFonts w:ascii="Bookman Old Style" w:hAnsi="Bookman Old Style"/>
          <w:sz w:val="24"/>
          <w:szCs w:val="24"/>
        </w:rPr>
        <w:footnoteReference w:id="64"/>
      </w:r>
      <w:r>
        <w:rPr>
          <w:rFonts w:ascii="Bookman Old Style" w:hAnsi="Bookman Old Style"/>
          <w:sz w:val="24"/>
          <w:szCs w:val="24"/>
        </w:rPr>
        <w:t>.</w:t>
      </w:r>
      <w:r w:rsidR="00E370EF">
        <w:rPr>
          <w:rFonts w:ascii="Bookman Old Style" w:hAnsi="Bookman Old Style"/>
          <w:sz w:val="24"/>
          <w:szCs w:val="24"/>
        </w:rPr>
        <w:t xml:space="preserve"> </w:t>
      </w:r>
    </w:p>
    <w:p w:rsidR="00281C72" w:rsidRDefault="00281C72" w:rsidP="00281C72">
      <w:pPr>
        <w:ind w:firstLine="709"/>
        <w:jc w:val="both"/>
        <w:rPr>
          <w:rFonts w:ascii="Bookman Old Style" w:hAnsi="Bookman Old Style"/>
          <w:sz w:val="24"/>
          <w:szCs w:val="24"/>
        </w:rPr>
      </w:pPr>
      <w:r w:rsidRPr="00281C72">
        <w:rPr>
          <w:rFonts w:ascii="Bookman Old Style" w:hAnsi="Bookman Old Style"/>
          <w:sz w:val="24"/>
          <w:szCs w:val="24"/>
        </w:rPr>
        <w:t>Negli ordinamenti pluralisti come il nostro, quindi, in caso di conflitto occorre ricercare la</w:t>
      </w:r>
      <w:r>
        <w:rPr>
          <w:rFonts w:ascii="Bookman Old Style" w:hAnsi="Bookman Old Style"/>
          <w:sz w:val="24"/>
          <w:szCs w:val="24"/>
        </w:rPr>
        <w:t xml:space="preserve"> </w:t>
      </w:r>
      <w:r w:rsidR="00695374">
        <w:rPr>
          <w:rFonts w:ascii="Bookman Old Style" w:hAnsi="Bookman Old Style"/>
          <w:sz w:val="24"/>
          <w:szCs w:val="24"/>
        </w:rPr>
        <w:t>soluzione</w:t>
      </w:r>
      <w:r w:rsidRPr="00281C72">
        <w:rPr>
          <w:rFonts w:ascii="Bookman Old Style" w:hAnsi="Bookman Old Style"/>
          <w:sz w:val="24"/>
          <w:szCs w:val="24"/>
        </w:rPr>
        <w:t xml:space="preserve"> che non si limiti a proteggere solo uno dei valori, con l’effetto di comprimere in modo</w:t>
      </w:r>
      <w:r>
        <w:rPr>
          <w:rFonts w:ascii="Bookman Old Style" w:hAnsi="Bookman Old Style"/>
          <w:sz w:val="24"/>
          <w:szCs w:val="24"/>
        </w:rPr>
        <w:t xml:space="preserve"> </w:t>
      </w:r>
      <w:r w:rsidRPr="00281C72">
        <w:rPr>
          <w:rFonts w:ascii="Bookman Old Style" w:hAnsi="Bookman Old Style"/>
          <w:sz w:val="24"/>
          <w:szCs w:val="24"/>
        </w:rPr>
        <w:t>insopportabile ed oltre ogni limite gli altri, ma consenta, avendo di mira gli artt.</w:t>
      </w:r>
      <w:r w:rsidR="00AE712B">
        <w:rPr>
          <w:rFonts w:ascii="Bookman Old Style" w:hAnsi="Bookman Old Style"/>
          <w:sz w:val="24"/>
          <w:szCs w:val="24"/>
        </w:rPr>
        <w:t xml:space="preserve"> </w:t>
      </w:r>
      <w:r w:rsidRPr="00281C72">
        <w:rPr>
          <w:rFonts w:ascii="Bookman Old Style" w:hAnsi="Bookman Old Style"/>
          <w:sz w:val="24"/>
          <w:szCs w:val="24"/>
        </w:rPr>
        <w:t xml:space="preserve">2 e 3 </w:t>
      </w:r>
      <w:proofErr w:type="gramStart"/>
      <w:r w:rsidRPr="00281C72">
        <w:rPr>
          <w:rFonts w:ascii="Bookman Old Style" w:hAnsi="Bookman Old Style"/>
          <w:sz w:val="24"/>
          <w:szCs w:val="24"/>
        </w:rPr>
        <w:t>Cost.,</w:t>
      </w:r>
      <w:proofErr w:type="gramEnd"/>
      <w:r w:rsidRPr="00281C72">
        <w:rPr>
          <w:rFonts w:ascii="Bookman Old Style" w:hAnsi="Bookman Old Style"/>
          <w:sz w:val="24"/>
          <w:szCs w:val="24"/>
        </w:rPr>
        <w:t xml:space="preserve"> di</w:t>
      </w:r>
      <w:r>
        <w:rPr>
          <w:rFonts w:ascii="Bookman Old Style" w:hAnsi="Bookman Old Style"/>
          <w:sz w:val="24"/>
          <w:szCs w:val="24"/>
        </w:rPr>
        <w:t xml:space="preserve"> </w:t>
      </w:r>
      <w:r w:rsidRPr="00281C72">
        <w:rPr>
          <w:rFonts w:ascii="Bookman Old Style" w:hAnsi="Bookman Old Style"/>
          <w:sz w:val="24"/>
          <w:szCs w:val="24"/>
        </w:rPr>
        <w:t>rinvenire un ragionevole equilibrio tra le opposte esigenze ed i contrapposti principi</w:t>
      </w:r>
      <w:r>
        <w:rPr>
          <w:rFonts w:ascii="Bookman Old Style" w:hAnsi="Bookman Old Style"/>
          <w:sz w:val="24"/>
          <w:szCs w:val="24"/>
        </w:rPr>
        <w:t xml:space="preserve"> </w:t>
      </w:r>
      <w:r w:rsidRPr="00A3404B">
        <w:footnoteReference w:id="65"/>
      </w:r>
      <w:r w:rsidRPr="00281C72">
        <w:rPr>
          <w:rFonts w:ascii="Bookman Old Style" w:hAnsi="Bookman Old Style"/>
          <w:sz w:val="24"/>
          <w:szCs w:val="24"/>
        </w:rPr>
        <w:t>.</w:t>
      </w:r>
    </w:p>
    <w:p w:rsidR="002C0059" w:rsidRPr="00A3404B" w:rsidRDefault="00AE712B" w:rsidP="00A3404B">
      <w:pPr>
        <w:ind w:firstLine="709"/>
        <w:jc w:val="both"/>
        <w:rPr>
          <w:rFonts w:ascii="Bookman Old Style" w:hAnsi="Bookman Old Style"/>
          <w:sz w:val="24"/>
          <w:szCs w:val="24"/>
        </w:rPr>
      </w:pPr>
      <w:r>
        <w:rPr>
          <w:rFonts w:ascii="Bookman Old Style" w:hAnsi="Bookman Old Style"/>
          <w:sz w:val="24"/>
          <w:szCs w:val="24"/>
        </w:rPr>
        <w:t xml:space="preserve">Sulle medesime questioni merita di essere segnalata </w:t>
      </w:r>
      <w:r w:rsidR="002C0059" w:rsidRPr="00A3404B">
        <w:rPr>
          <w:rFonts w:ascii="Bookman Old Style" w:hAnsi="Bookman Old Style"/>
          <w:sz w:val="24"/>
          <w:szCs w:val="24"/>
        </w:rPr>
        <w:t>la sentenza n. 275 del 16 dicembre 2016</w:t>
      </w:r>
      <w:r w:rsidR="00370324" w:rsidRPr="00A3404B">
        <w:rPr>
          <w:rFonts w:ascii="Bookman Old Style" w:hAnsi="Bookman Old Style"/>
          <w:sz w:val="24"/>
          <w:szCs w:val="24"/>
        </w:rPr>
        <w:t xml:space="preserve"> </w:t>
      </w:r>
      <w:r w:rsidR="00370324" w:rsidRPr="00A3404B">
        <w:rPr>
          <w:rFonts w:ascii="Bookman Old Style" w:hAnsi="Bookman Old Style"/>
        </w:rPr>
        <w:footnoteReference w:id="66"/>
      </w:r>
      <w:r>
        <w:rPr>
          <w:rFonts w:ascii="Bookman Old Style" w:hAnsi="Bookman Old Style"/>
          <w:sz w:val="24"/>
          <w:szCs w:val="24"/>
        </w:rPr>
        <w:t>, nella quale la Corte costituzionale</w:t>
      </w:r>
      <w:r w:rsidR="00A3404B" w:rsidRPr="00A3404B">
        <w:rPr>
          <w:rFonts w:ascii="Bookman Old Style" w:hAnsi="Bookman Old Style"/>
          <w:sz w:val="24"/>
          <w:szCs w:val="24"/>
        </w:rPr>
        <w:t xml:space="preserve"> ha affermato che </w:t>
      </w:r>
      <w:r w:rsidR="002C0059" w:rsidRPr="00A3404B">
        <w:rPr>
          <w:rFonts w:ascii="Bookman Old Style" w:hAnsi="Bookman Old Style"/>
          <w:sz w:val="24"/>
          <w:szCs w:val="24"/>
        </w:rPr>
        <w:lastRenderedPageBreak/>
        <w:t xml:space="preserve">«l’indeterminatezza del finanziamento </w:t>
      </w:r>
      <w:r w:rsidR="00A3404B" w:rsidRPr="00A3404B">
        <w:rPr>
          <w:rFonts w:ascii="Bookman Old Style" w:hAnsi="Bookman Old Style"/>
          <w:sz w:val="24"/>
          <w:szCs w:val="24"/>
        </w:rPr>
        <w:t xml:space="preserve">(del servizio di trasporto dei disabili) </w:t>
      </w:r>
      <w:r w:rsidR="002C0059" w:rsidRPr="00A3404B">
        <w:rPr>
          <w:rFonts w:ascii="Bookman Old Style" w:hAnsi="Bookman Old Style"/>
          <w:sz w:val="24"/>
          <w:szCs w:val="24"/>
        </w:rPr>
        <w:t xml:space="preserve">determina un </w:t>
      </w:r>
      <w:r w:rsidR="002C0059" w:rsidRPr="00AE712B">
        <w:rPr>
          <w:rFonts w:ascii="Bookman Old Style" w:hAnsi="Bookman Old Style"/>
          <w:i/>
          <w:sz w:val="24"/>
          <w:szCs w:val="24"/>
        </w:rPr>
        <w:t>vulnus</w:t>
      </w:r>
      <w:r w:rsidR="002C0059" w:rsidRPr="00A3404B">
        <w:rPr>
          <w:rFonts w:ascii="Bookman Old Style" w:hAnsi="Bookman Old Style"/>
          <w:sz w:val="24"/>
          <w:szCs w:val="24"/>
        </w:rPr>
        <w:t xml:space="preserve"> all’effettività del servizio di assistenza e</w:t>
      </w:r>
      <w:r w:rsidR="00A3404B" w:rsidRPr="00A3404B">
        <w:rPr>
          <w:rFonts w:ascii="Bookman Old Style" w:hAnsi="Bookman Old Style"/>
          <w:sz w:val="24"/>
          <w:szCs w:val="24"/>
        </w:rPr>
        <w:t xml:space="preserve"> </w:t>
      </w:r>
      <w:r w:rsidR="002C0059" w:rsidRPr="00A3404B">
        <w:rPr>
          <w:rFonts w:ascii="Bookman Old Style" w:hAnsi="Bookman Old Style"/>
          <w:sz w:val="24"/>
          <w:szCs w:val="24"/>
        </w:rPr>
        <w:t>trasporto, come conformato dal legislatore regionale»</w:t>
      </w:r>
      <w:r>
        <w:rPr>
          <w:rFonts w:ascii="Bookman Old Style" w:hAnsi="Bookman Old Style"/>
          <w:sz w:val="24"/>
          <w:szCs w:val="24"/>
        </w:rPr>
        <w:t>.</w:t>
      </w:r>
      <w:r w:rsidR="00A3404B" w:rsidRPr="00A3404B">
        <w:rPr>
          <w:rFonts w:ascii="Bookman Old Style" w:hAnsi="Bookman Old Style"/>
          <w:sz w:val="24"/>
          <w:szCs w:val="24"/>
        </w:rPr>
        <w:t xml:space="preserve"> </w:t>
      </w:r>
      <w:r w:rsidR="002C0059" w:rsidRPr="00A3404B">
        <w:rPr>
          <w:rFonts w:ascii="Bookman Old Style" w:hAnsi="Bookman Old Style"/>
          <w:sz w:val="24"/>
          <w:szCs w:val="24"/>
        </w:rPr>
        <w:t>Secondo la Corte, «tale effettività non può che derivare dalla certezza delle disponibilità</w:t>
      </w:r>
      <w:r w:rsidR="00A3404B" w:rsidRPr="00A3404B">
        <w:rPr>
          <w:rFonts w:ascii="Bookman Old Style" w:hAnsi="Bookman Old Style"/>
          <w:sz w:val="24"/>
          <w:szCs w:val="24"/>
        </w:rPr>
        <w:t xml:space="preserve"> </w:t>
      </w:r>
      <w:r w:rsidR="002C0059" w:rsidRPr="00A3404B">
        <w:rPr>
          <w:rFonts w:ascii="Bookman Old Style" w:hAnsi="Bookman Old Style"/>
          <w:sz w:val="24"/>
          <w:szCs w:val="24"/>
        </w:rPr>
        <w:t>finanziarie per il soddisfacimento del medesimo diritto», non potendo essere condivisa la tesi</w:t>
      </w:r>
      <w:r w:rsidR="00A3404B" w:rsidRPr="00A3404B">
        <w:rPr>
          <w:rFonts w:ascii="Bookman Old Style" w:hAnsi="Bookman Old Style"/>
          <w:sz w:val="24"/>
          <w:szCs w:val="24"/>
        </w:rPr>
        <w:t xml:space="preserve"> </w:t>
      </w:r>
      <w:r w:rsidR="002C0059" w:rsidRPr="00A3404B">
        <w:rPr>
          <w:rFonts w:ascii="Bookman Old Style" w:hAnsi="Bookman Old Style"/>
          <w:sz w:val="24"/>
          <w:szCs w:val="24"/>
        </w:rPr>
        <w:t xml:space="preserve">regionale, secondo cui ogni diritto, «anche quelli incomprimibili </w:t>
      </w:r>
      <w:r w:rsidR="00695374">
        <w:rPr>
          <w:rFonts w:ascii="Bookman Old Style" w:hAnsi="Bookman Old Style"/>
          <w:sz w:val="24"/>
          <w:szCs w:val="24"/>
        </w:rPr>
        <w:t>(</w:t>
      </w:r>
      <w:r w:rsidR="002C0059" w:rsidRPr="00A3404B">
        <w:rPr>
          <w:rFonts w:ascii="Bookman Old Style" w:hAnsi="Bookman Old Style"/>
          <w:sz w:val="24"/>
          <w:szCs w:val="24"/>
        </w:rPr>
        <w:t>della fattispecie in esame</w:t>
      </w:r>
      <w:r w:rsidR="00695374">
        <w:rPr>
          <w:rFonts w:ascii="Bookman Old Style" w:hAnsi="Bookman Old Style"/>
          <w:sz w:val="24"/>
          <w:szCs w:val="24"/>
        </w:rPr>
        <w:t>)</w:t>
      </w:r>
      <w:r w:rsidR="002C0059" w:rsidRPr="00A3404B">
        <w:rPr>
          <w:rFonts w:ascii="Bookman Old Style" w:hAnsi="Bookman Old Style"/>
          <w:sz w:val="24"/>
          <w:szCs w:val="24"/>
        </w:rPr>
        <w:t>, debbono</w:t>
      </w:r>
      <w:r w:rsidR="00A3404B" w:rsidRPr="00A3404B">
        <w:rPr>
          <w:rFonts w:ascii="Bookman Old Style" w:hAnsi="Bookman Old Style"/>
          <w:sz w:val="24"/>
          <w:szCs w:val="24"/>
        </w:rPr>
        <w:t xml:space="preserve"> </w:t>
      </w:r>
      <w:r w:rsidR="002C0059" w:rsidRPr="00A3404B">
        <w:rPr>
          <w:rFonts w:ascii="Bookman Old Style" w:hAnsi="Bookman Old Style"/>
          <w:sz w:val="24"/>
          <w:szCs w:val="24"/>
        </w:rPr>
        <w:t>essere sempre e comunque assoggettati ad un vaglio di sostenibilità nel quadro complessivo delle</w:t>
      </w:r>
      <w:r w:rsidR="00A3404B" w:rsidRPr="00A3404B">
        <w:rPr>
          <w:rFonts w:ascii="Bookman Old Style" w:hAnsi="Bookman Old Style"/>
          <w:sz w:val="24"/>
          <w:szCs w:val="24"/>
        </w:rPr>
        <w:t xml:space="preserve"> </w:t>
      </w:r>
      <w:r w:rsidR="002C0059" w:rsidRPr="00A3404B">
        <w:rPr>
          <w:rFonts w:ascii="Bookman Old Style" w:hAnsi="Bookman Old Style"/>
          <w:sz w:val="24"/>
          <w:szCs w:val="24"/>
        </w:rPr>
        <w:t>risorse disponibili».</w:t>
      </w:r>
    </w:p>
    <w:p w:rsidR="002C0059" w:rsidRPr="00A3404B" w:rsidRDefault="00A3404B" w:rsidP="00A3404B">
      <w:pPr>
        <w:ind w:firstLine="709"/>
        <w:jc w:val="both"/>
        <w:rPr>
          <w:rFonts w:ascii="Bookman Old Style" w:hAnsi="Bookman Old Style"/>
          <w:sz w:val="24"/>
          <w:szCs w:val="24"/>
        </w:rPr>
      </w:pPr>
      <w:r w:rsidRPr="00A3404B">
        <w:rPr>
          <w:rFonts w:ascii="Bookman Old Style" w:hAnsi="Bookman Old Style"/>
          <w:sz w:val="24"/>
          <w:szCs w:val="24"/>
        </w:rPr>
        <w:t>Con tale pronuncia</w:t>
      </w:r>
      <w:r w:rsidR="00695374">
        <w:rPr>
          <w:rFonts w:ascii="Bookman Old Style" w:hAnsi="Bookman Old Style"/>
          <w:sz w:val="24"/>
          <w:szCs w:val="24"/>
        </w:rPr>
        <w:t>,</w:t>
      </w:r>
      <w:r w:rsidRPr="00A3404B">
        <w:rPr>
          <w:rFonts w:ascii="Bookman Old Style" w:hAnsi="Bookman Old Style"/>
          <w:sz w:val="24"/>
          <w:szCs w:val="24"/>
        </w:rPr>
        <w:t xml:space="preserve"> </w:t>
      </w:r>
      <w:r w:rsidR="002C0059" w:rsidRPr="00A3404B">
        <w:rPr>
          <w:rFonts w:ascii="Bookman Old Style" w:hAnsi="Bookman Old Style"/>
          <w:sz w:val="24"/>
          <w:szCs w:val="24"/>
        </w:rPr>
        <w:t xml:space="preserve">la Corte </w:t>
      </w:r>
      <w:r w:rsidRPr="00A3404B">
        <w:rPr>
          <w:rFonts w:ascii="Bookman Old Style" w:hAnsi="Bookman Old Style"/>
          <w:sz w:val="24"/>
          <w:szCs w:val="24"/>
        </w:rPr>
        <w:t xml:space="preserve">sembra dar rilievo, </w:t>
      </w:r>
      <w:r w:rsidR="002C0059" w:rsidRPr="00A3404B">
        <w:rPr>
          <w:rFonts w:ascii="Bookman Old Style" w:hAnsi="Bookman Old Style"/>
          <w:sz w:val="24"/>
          <w:szCs w:val="24"/>
        </w:rPr>
        <w:t>sia pure senza</w:t>
      </w:r>
      <w:r w:rsidR="00AE712B">
        <w:rPr>
          <w:rFonts w:ascii="Bookman Old Style" w:hAnsi="Bookman Old Style"/>
          <w:sz w:val="24"/>
          <w:szCs w:val="24"/>
        </w:rPr>
        <w:t xml:space="preserve"> così esplicit</w:t>
      </w:r>
      <w:r w:rsidR="00695374">
        <w:rPr>
          <w:rFonts w:ascii="Bookman Old Style" w:hAnsi="Bookman Old Style"/>
          <w:sz w:val="24"/>
          <w:szCs w:val="24"/>
        </w:rPr>
        <w:t>arlo, a</w:t>
      </w:r>
      <w:r w:rsidR="00AE712B">
        <w:rPr>
          <w:rFonts w:ascii="Bookman Old Style" w:hAnsi="Bookman Old Style"/>
          <w:sz w:val="24"/>
          <w:szCs w:val="24"/>
        </w:rPr>
        <w:t xml:space="preserve">l tema del </w:t>
      </w:r>
      <w:hyperlink r:id="rId22" w:history="1">
        <w:r w:rsidR="002C0059" w:rsidRPr="00A3404B">
          <w:rPr>
            <w:rFonts w:ascii="Bookman Old Style" w:hAnsi="Bookman Old Style"/>
            <w:sz w:val="24"/>
            <w:szCs w:val="24"/>
          </w:rPr>
          <w:t>“costo” dei diritti</w:t>
        </w:r>
      </w:hyperlink>
      <w:r w:rsidR="002C0059" w:rsidRPr="00A3404B">
        <w:rPr>
          <w:rFonts w:ascii="Bookman Old Style" w:hAnsi="Bookman Old Style"/>
          <w:sz w:val="24"/>
          <w:szCs w:val="24"/>
        </w:rPr>
        <w:t>. In generale, i giudici costituzionali sembrano voler dire che lasciare nell’incertezza la misura delle risorse destinate all’attuazione di un diritto costituzionale impedisce di programmare gli interventi volti alla sua effettiva realizzazione, in tal modo minandone l’effettività. Per usare le parole della sentenza: l’effettività di un diritto «non può che derivare dalla certezza delle disponibilità finanziarie per il soddisfacimento del medesimo»</w:t>
      </w:r>
      <w:r w:rsidRPr="00A3404B">
        <w:rPr>
          <w:rFonts w:ascii="Bookman Old Style" w:hAnsi="Bookman Old Style"/>
          <w:sz w:val="24"/>
          <w:szCs w:val="24"/>
        </w:rPr>
        <w:t>.</w:t>
      </w:r>
      <w:r w:rsidR="002C0059" w:rsidRPr="00A3404B">
        <w:rPr>
          <w:rFonts w:ascii="Bookman Old Style" w:hAnsi="Bookman Old Style"/>
          <w:sz w:val="24"/>
          <w:szCs w:val="24"/>
        </w:rPr>
        <w:t xml:space="preserve"> Ecco, allora, che, nel caso concreto sottoposto a giudizio, «l’indeterminatezza</w:t>
      </w:r>
      <w:r w:rsidR="00AE712B">
        <w:rPr>
          <w:rFonts w:ascii="Bookman Old Style" w:hAnsi="Bookman Old Style"/>
          <w:sz w:val="24"/>
          <w:szCs w:val="24"/>
        </w:rPr>
        <w:t xml:space="preserve"> del finanziamento determina un </w:t>
      </w:r>
      <w:r w:rsidR="002C0059" w:rsidRPr="00A3404B">
        <w:rPr>
          <w:rFonts w:ascii="Bookman Old Style" w:hAnsi="Bookman Old Style"/>
          <w:i/>
          <w:iCs/>
          <w:sz w:val="24"/>
          <w:szCs w:val="24"/>
        </w:rPr>
        <w:t>vulnus</w:t>
      </w:r>
      <w:r w:rsidR="00AE712B">
        <w:rPr>
          <w:rFonts w:ascii="Bookman Old Style" w:hAnsi="Bookman Old Style"/>
          <w:sz w:val="24"/>
          <w:szCs w:val="24"/>
        </w:rPr>
        <w:t xml:space="preserve"> </w:t>
      </w:r>
      <w:r w:rsidR="002C0059" w:rsidRPr="00A3404B">
        <w:rPr>
          <w:rFonts w:ascii="Bookman Old Style" w:hAnsi="Bookman Old Style"/>
          <w:sz w:val="24"/>
          <w:szCs w:val="24"/>
        </w:rPr>
        <w:t>all’effettività del servizio di assistenza e trasporto, come conformato dal legislatore regionale, con conseguente violazione dell’art. 38, terzo e quarto comma, Cost.», dal momento che «la garanzia del 50% della copertura del servizio di assistenza ai disabili appartiene alla conformazione della struttura e dell’organizzazione del servizio stesso».</w:t>
      </w:r>
    </w:p>
    <w:p w:rsidR="005F4EF8" w:rsidRDefault="00D86FC3" w:rsidP="008A6536">
      <w:pPr>
        <w:ind w:firstLine="709"/>
        <w:jc w:val="both"/>
        <w:rPr>
          <w:rFonts w:ascii="Bookman Old Style" w:hAnsi="Bookman Old Style"/>
          <w:sz w:val="24"/>
          <w:szCs w:val="24"/>
        </w:rPr>
      </w:pPr>
      <w:r>
        <w:rPr>
          <w:rFonts w:ascii="Bookman Old Style" w:hAnsi="Bookman Old Style"/>
          <w:sz w:val="24"/>
          <w:szCs w:val="24"/>
        </w:rPr>
        <w:t>CONSIDERAZIONI FINALI</w:t>
      </w:r>
      <w:r w:rsidR="00A3404B">
        <w:rPr>
          <w:rFonts w:ascii="Bookman Old Style" w:hAnsi="Bookman Old Style"/>
          <w:sz w:val="24"/>
          <w:szCs w:val="24"/>
        </w:rPr>
        <w:t xml:space="preserve">. </w:t>
      </w:r>
      <w:r w:rsidR="005F4EF8">
        <w:rPr>
          <w:rFonts w:ascii="Bookman Old Style" w:hAnsi="Bookman Old Style"/>
          <w:sz w:val="24"/>
          <w:szCs w:val="24"/>
        </w:rPr>
        <w:t xml:space="preserve">La presente analisi nasce da una riflessione ovvia, se non addirittura banale. In un mondo in cui tutto, anche i diritti, ha un costo, e in una fase in cui le risorse economiche e finanziarie non solo sono (ovviamente) limitate ma sono addirittura notevolmente scarse, chi e come può tutelare i diritti fondamentali che rischiano di essere sacrificati sull’altare dei </w:t>
      </w:r>
      <w:r w:rsidR="00221925">
        <w:rPr>
          <w:rFonts w:ascii="Bookman Old Style" w:hAnsi="Bookman Old Style"/>
          <w:sz w:val="24"/>
          <w:szCs w:val="24"/>
        </w:rPr>
        <w:t xml:space="preserve">doveri e degli obblighi finanziari e </w:t>
      </w:r>
      <w:r w:rsidR="005F4EF8">
        <w:rPr>
          <w:rFonts w:ascii="Bookman Old Style" w:hAnsi="Bookman Old Style"/>
          <w:sz w:val="24"/>
          <w:szCs w:val="24"/>
        </w:rPr>
        <w:t>contabili?</w:t>
      </w:r>
    </w:p>
    <w:p w:rsidR="005F4EF8" w:rsidRDefault="005F4EF8" w:rsidP="008A6536">
      <w:pPr>
        <w:ind w:firstLine="709"/>
        <w:jc w:val="both"/>
        <w:rPr>
          <w:rFonts w:ascii="Bookman Old Style" w:hAnsi="Bookman Old Style"/>
          <w:sz w:val="24"/>
          <w:szCs w:val="24"/>
        </w:rPr>
      </w:pPr>
      <w:r>
        <w:rPr>
          <w:rFonts w:ascii="Bookman Old Style" w:hAnsi="Bookman Old Style"/>
          <w:sz w:val="24"/>
          <w:szCs w:val="24"/>
        </w:rPr>
        <w:t>Non vi è dubbio che la scelta circa l’allocazione delle risorse (e prima ancora sugli strumenti per la loro raccolta) sia una scelta eminentemente politica che non può essere demandata a soggetti posti al di fuori del circuito democratico.</w:t>
      </w:r>
    </w:p>
    <w:p w:rsidR="00221925" w:rsidRPr="004722BB" w:rsidRDefault="00221925" w:rsidP="00221925">
      <w:pPr>
        <w:ind w:firstLine="709"/>
        <w:jc w:val="both"/>
        <w:rPr>
          <w:rFonts w:ascii="Bookman Old Style" w:hAnsi="Bookman Old Style"/>
          <w:sz w:val="24"/>
          <w:szCs w:val="24"/>
        </w:rPr>
      </w:pPr>
      <w:r w:rsidRPr="004722BB">
        <w:rPr>
          <w:rFonts w:ascii="Bookman Old Style" w:hAnsi="Bookman Old Style"/>
          <w:sz w:val="24"/>
          <w:szCs w:val="24"/>
        </w:rPr>
        <w:t xml:space="preserve">L’esigenza di comporre la dicotomia tra vincoli finanziari e garanzia dei servizi sociali non </w:t>
      </w:r>
      <w:r>
        <w:rPr>
          <w:rFonts w:ascii="Bookman Old Style" w:hAnsi="Bookman Old Style"/>
          <w:sz w:val="24"/>
          <w:szCs w:val="24"/>
        </w:rPr>
        <w:t xml:space="preserve">autorizza </w:t>
      </w:r>
      <w:r w:rsidRPr="004722BB">
        <w:rPr>
          <w:rFonts w:ascii="Bookman Old Style" w:hAnsi="Bookman Old Style"/>
          <w:sz w:val="24"/>
          <w:szCs w:val="24"/>
        </w:rPr>
        <w:t xml:space="preserve">la Corte costituzionale </w:t>
      </w:r>
      <w:r>
        <w:rPr>
          <w:rFonts w:ascii="Bookman Old Style" w:hAnsi="Bookman Old Style"/>
          <w:sz w:val="24"/>
          <w:szCs w:val="24"/>
        </w:rPr>
        <w:t>(seppure il suo ruolo non può essere confinato banalmente all’interno del potere giurisdizionale</w:t>
      </w:r>
      <w:r w:rsidR="00695374">
        <w:rPr>
          <w:rFonts w:ascii="Bookman Old Style" w:hAnsi="Bookman Old Style"/>
          <w:sz w:val="24"/>
          <w:szCs w:val="24"/>
        </w:rPr>
        <w:t>,</w:t>
      </w:r>
      <w:r w:rsidR="00D92E9D">
        <w:rPr>
          <w:rFonts w:ascii="Bookman Old Style" w:hAnsi="Bookman Old Style"/>
          <w:sz w:val="24"/>
          <w:szCs w:val="24"/>
        </w:rPr>
        <w:t xml:space="preserve"> essendo innegabili gli ambiti di prossimità con il potere politico</w:t>
      </w:r>
      <w:r>
        <w:rPr>
          <w:rFonts w:ascii="Bookman Old Style" w:hAnsi="Bookman Old Style"/>
          <w:sz w:val="24"/>
          <w:szCs w:val="24"/>
        </w:rPr>
        <w:t>) a sostituirsi a</w:t>
      </w:r>
      <w:r w:rsidRPr="004722BB">
        <w:rPr>
          <w:rFonts w:ascii="Bookman Old Style" w:hAnsi="Bookman Old Style"/>
          <w:sz w:val="24"/>
          <w:szCs w:val="24"/>
        </w:rPr>
        <w:t>l legislatore positivo nel senso pieno della parola; di qui le forti cautele adottate in riferimento al sindacato sull’esercizio del potere allocativo delle risorse, del quale viene pienamente riconosciuta l’appartenenza al Governo ed al Parlamento.</w:t>
      </w:r>
      <w:r>
        <w:rPr>
          <w:rFonts w:ascii="Bookman Old Style" w:hAnsi="Bookman Old Style"/>
          <w:sz w:val="24"/>
          <w:szCs w:val="24"/>
        </w:rPr>
        <w:t xml:space="preserve"> </w:t>
      </w:r>
      <w:r w:rsidRPr="004722BB">
        <w:rPr>
          <w:rFonts w:ascii="Bookman Old Style" w:hAnsi="Bookman Old Style"/>
          <w:sz w:val="24"/>
          <w:szCs w:val="24"/>
        </w:rPr>
        <w:t xml:space="preserve">In tema di tutela dei diritti fondamentali di natura </w:t>
      </w:r>
      <w:proofErr w:type="spellStart"/>
      <w:r w:rsidRPr="004722BB">
        <w:rPr>
          <w:rFonts w:ascii="Bookman Old Style" w:hAnsi="Bookman Old Style"/>
          <w:sz w:val="24"/>
          <w:szCs w:val="24"/>
        </w:rPr>
        <w:t>pretensiva</w:t>
      </w:r>
      <w:proofErr w:type="spellEnd"/>
      <w:r w:rsidRPr="004722BB">
        <w:rPr>
          <w:rFonts w:ascii="Bookman Old Style" w:hAnsi="Bookman Old Style"/>
          <w:sz w:val="24"/>
          <w:szCs w:val="24"/>
        </w:rPr>
        <w:t xml:space="preserve">, la Corte costituzionale si è costantemente ispirata – come per altri settori normativi – al rispetto della discrezionalità del legislatore ed all’affermazione della responsabilità politica quale motore delle scelte economiche generali e </w:t>
      </w:r>
      <w:r w:rsidR="00695374">
        <w:rPr>
          <w:rFonts w:ascii="Bookman Old Style" w:hAnsi="Bookman Old Style"/>
          <w:sz w:val="24"/>
          <w:szCs w:val="24"/>
        </w:rPr>
        <w:t xml:space="preserve">della </w:t>
      </w:r>
      <w:r w:rsidRPr="004722BB">
        <w:rPr>
          <w:rFonts w:ascii="Bookman Old Style" w:hAnsi="Bookman Old Style"/>
          <w:sz w:val="24"/>
          <w:szCs w:val="24"/>
        </w:rPr>
        <w:t>conseguente competenza nella determinazione del corretto riparto delle risorse tra i diversi obiettivi.</w:t>
      </w:r>
      <w:r>
        <w:rPr>
          <w:rFonts w:ascii="Bookman Old Style" w:hAnsi="Bookman Old Style"/>
          <w:sz w:val="24"/>
          <w:szCs w:val="24"/>
        </w:rPr>
        <w:t xml:space="preserve"> </w:t>
      </w:r>
      <w:r w:rsidRPr="004722BB">
        <w:rPr>
          <w:rFonts w:ascii="Bookman Old Style" w:hAnsi="Bookman Old Style"/>
          <w:sz w:val="24"/>
          <w:szCs w:val="24"/>
        </w:rPr>
        <w:t>In questa prospettiva</w:t>
      </w:r>
      <w:r w:rsidR="00695374">
        <w:rPr>
          <w:rFonts w:ascii="Bookman Old Style" w:hAnsi="Bookman Old Style"/>
          <w:sz w:val="24"/>
          <w:szCs w:val="24"/>
        </w:rPr>
        <w:t>,</w:t>
      </w:r>
      <w:r w:rsidRPr="004722BB">
        <w:rPr>
          <w:rFonts w:ascii="Bookman Old Style" w:hAnsi="Bookman Old Style"/>
          <w:sz w:val="24"/>
          <w:szCs w:val="24"/>
        </w:rPr>
        <w:t xml:space="preserve"> è stata affermata l’incomprimibilità del nucleo essenziale dei diritti sociali e, di converso, </w:t>
      </w:r>
      <w:r w:rsidRPr="004722BB">
        <w:rPr>
          <w:rFonts w:ascii="Bookman Old Style" w:hAnsi="Bookman Old Style"/>
          <w:sz w:val="24"/>
          <w:szCs w:val="24"/>
        </w:rPr>
        <w:lastRenderedPageBreak/>
        <w:t>la prerogativa indefettibile del legislatore nella determinazione della politica economica e delle quantificazioni relative all’erogazione delle prestazioni sociali.</w:t>
      </w:r>
    </w:p>
    <w:p w:rsidR="00221925" w:rsidRDefault="00221925" w:rsidP="008A6536">
      <w:pPr>
        <w:ind w:firstLine="709"/>
        <w:jc w:val="both"/>
        <w:rPr>
          <w:rFonts w:ascii="Bookman Old Style" w:hAnsi="Bookman Old Style"/>
          <w:sz w:val="24"/>
          <w:szCs w:val="24"/>
        </w:rPr>
      </w:pPr>
      <w:r>
        <w:rPr>
          <w:rFonts w:ascii="Bookman Old Style" w:hAnsi="Bookman Old Style"/>
          <w:sz w:val="24"/>
          <w:szCs w:val="24"/>
        </w:rPr>
        <w:t xml:space="preserve">L’individuazione di tale nucleo incomprimibile non può che essere attribuzione precipua della Corte costituzionale. A tale funzione le magistrature possono concorrere solo nella loro funzione di giudice remittente </w:t>
      </w:r>
      <w:r>
        <w:rPr>
          <w:rStyle w:val="Rimandonotaapidipagina"/>
          <w:rFonts w:ascii="Bookman Old Style" w:hAnsi="Bookman Old Style"/>
          <w:sz w:val="24"/>
          <w:szCs w:val="24"/>
        </w:rPr>
        <w:footnoteReference w:id="67"/>
      </w:r>
      <w:r>
        <w:rPr>
          <w:rFonts w:ascii="Bookman Old Style" w:hAnsi="Bookman Old Style"/>
          <w:sz w:val="24"/>
          <w:szCs w:val="24"/>
        </w:rPr>
        <w:t>.</w:t>
      </w:r>
    </w:p>
    <w:p w:rsidR="00364DA5" w:rsidRDefault="00364DA5" w:rsidP="008A6536">
      <w:pPr>
        <w:ind w:firstLine="709"/>
        <w:jc w:val="both"/>
        <w:rPr>
          <w:rFonts w:ascii="Bookman Old Style" w:hAnsi="Bookman Old Style"/>
          <w:sz w:val="24"/>
          <w:szCs w:val="24"/>
        </w:rPr>
      </w:pPr>
      <w:r>
        <w:rPr>
          <w:rFonts w:ascii="Bookman Old Style" w:hAnsi="Bookman Old Style"/>
          <w:sz w:val="24"/>
          <w:szCs w:val="24"/>
        </w:rPr>
        <w:t xml:space="preserve">Ma, come ci ha ricordato la stessa Corte costituzionale, con la citata </w:t>
      </w:r>
      <w:r w:rsidRPr="00A3404B">
        <w:rPr>
          <w:rFonts w:ascii="Bookman Old Style" w:hAnsi="Bookman Old Style"/>
          <w:sz w:val="24"/>
          <w:szCs w:val="24"/>
        </w:rPr>
        <w:t>sentenza n. 275 del 16 dicembre 2016</w:t>
      </w:r>
      <w:r>
        <w:rPr>
          <w:rFonts w:ascii="Bookman Old Style" w:hAnsi="Bookman Old Style"/>
          <w:sz w:val="24"/>
          <w:szCs w:val="24"/>
        </w:rPr>
        <w:t xml:space="preserve">, la tutela dei diritti fondamentali passa anche (e soprattutto) dalla certezza </w:t>
      </w:r>
      <w:r w:rsidRPr="00A3404B">
        <w:rPr>
          <w:rFonts w:ascii="Bookman Old Style" w:hAnsi="Bookman Old Style"/>
          <w:sz w:val="24"/>
          <w:szCs w:val="24"/>
        </w:rPr>
        <w:t xml:space="preserve">delle disponibilità finanziarie per il </w:t>
      </w:r>
      <w:r>
        <w:rPr>
          <w:rFonts w:ascii="Bookman Old Style" w:hAnsi="Bookman Old Style"/>
          <w:sz w:val="24"/>
          <w:szCs w:val="24"/>
        </w:rPr>
        <w:t xml:space="preserve">loro </w:t>
      </w:r>
      <w:r w:rsidRPr="00A3404B">
        <w:rPr>
          <w:rFonts w:ascii="Bookman Old Style" w:hAnsi="Bookman Old Style"/>
          <w:sz w:val="24"/>
          <w:szCs w:val="24"/>
        </w:rPr>
        <w:t>soddisfacimento</w:t>
      </w:r>
      <w:r>
        <w:rPr>
          <w:rFonts w:ascii="Bookman Old Style" w:hAnsi="Bookman Old Style"/>
          <w:sz w:val="24"/>
          <w:szCs w:val="24"/>
        </w:rPr>
        <w:t>.</w:t>
      </w:r>
    </w:p>
    <w:p w:rsidR="00C65B69" w:rsidRDefault="00C65B69" w:rsidP="00C65B69">
      <w:pPr>
        <w:ind w:firstLine="709"/>
        <w:jc w:val="both"/>
        <w:rPr>
          <w:rFonts w:ascii="Bookman Old Style" w:hAnsi="Bookman Old Style"/>
          <w:sz w:val="24"/>
          <w:szCs w:val="24"/>
        </w:rPr>
      </w:pPr>
      <w:r>
        <w:rPr>
          <w:rFonts w:ascii="Bookman Old Style" w:hAnsi="Bookman Old Style"/>
          <w:sz w:val="24"/>
          <w:szCs w:val="24"/>
        </w:rPr>
        <w:t xml:space="preserve">In una coeva </w:t>
      </w:r>
      <w:proofErr w:type="gramStart"/>
      <w:r>
        <w:rPr>
          <w:rFonts w:ascii="Bookman Old Style" w:hAnsi="Bookman Old Style"/>
          <w:sz w:val="24"/>
          <w:szCs w:val="24"/>
        </w:rPr>
        <w:t xml:space="preserve">sentenza </w:t>
      </w:r>
      <w:r>
        <w:rPr>
          <w:rStyle w:val="Rimandonotaapidipagina"/>
          <w:rFonts w:ascii="Bookman Old Style" w:hAnsi="Bookman Old Style"/>
          <w:sz w:val="24"/>
          <w:szCs w:val="24"/>
        </w:rPr>
        <w:footnoteReference w:id="68"/>
      </w:r>
      <w:r>
        <w:rPr>
          <w:rFonts w:ascii="Bookman Old Style" w:hAnsi="Bookman Old Style"/>
          <w:sz w:val="24"/>
          <w:szCs w:val="24"/>
        </w:rPr>
        <w:t>,</w:t>
      </w:r>
      <w:proofErr w:type="gramEnd"/>
      <w:r>
        <w:rPr>
          <w:rFonts w:ascii="Bookman Old Style" w:hAnsi="Bookman Old Style"/>
          <w:sz w:val="24"/>
          <w:szCs w:val="24"/>
        </w:rPr>
        <w:t xml:space="preserve"> l</w:t>
      </w:r>
      <w:r w:rsidRPr="00C65B69">
        <w:rPr>
          <w:rFonts w:ascii="Bookman Old Style" w:hAnsi="Bookman Old Style"/>
          <w:sz w:val="24"/>
          <w:szCs w:val="24"/>
        </w:rPr>
        <w:t>a Consulta</w:t>
      </w:r>
      <w:r>
        <w:rPr>
          <w:rFonts w:ascii="Bookman Old Style" w:hAnsi="Bookman Old Style"/>
          <w:sz w:val="24"/>
          <w:szCs w:val="24"/>
        </w:rPr>
        <w:t xml:space="preserve"> </w:t>
      </w:r>
      <w:r w:rsidRPr="00C65B69">
        <w:rPr>
          <w:rFonts w:ascii="Bookman Old Style" w:hAnsi="Bookman Old Style"/>
          <w:sz w:val="24"/>
          <w:szCs w:val="24"/>
        </w:rPr>
        <w:t>evidenza, infatti, che un’irrazionale allocazione delle risorse determina un pregiudizio alla fruizione di diritti sociali</w:t>
      </w:r>
      <w:r w:rsidR="00695374">
        <w:rPr>
          <w:rFonts w:ascii="Bookman Old Style" w:hAnsi="Bookman Old Style"/>
          <w:sz w:val="24"/>
          <w:szCs w:val="24"/>
        </w:rPr>
        <w:t xml:space="preserve"> </w:t>
      </w:r>
      <w:r>
        <w:rPr>
          <w:rStyle w:val="Rimandonotaapidipagina"/>
          <w:rFonts w:ascii="Bookman Old Style" w:hAnsi="Bookman Old Style"/>
          <w:sz w:val="24"/>
          <w:szCs w:val="24"/>
        </w:rPr>
        <w:footnoteReference w:id="69"/>
      </w:r>
      <w:r w:rsidRPr="00C65B69">
        <w:rPr>
          <w:rFonts w:ascii="Bookman Old Style" w:hAnsi="Bookman Old Style"/>
          <w:sz w:val="24"/>
          <w:szCs w:val="24"/>
        </w:rPr>
        <w:t xml:space="preserve">, per mancato finanziamento dei servizi, con conseguente </w:t>
      </w:r>
      <w:r w:rsidRPr="00C65B69">
        <w:rPr>
          <w:rFonts w:ascii="Bookman Old Style" w:hAnsi="Bookman Old Style"/>
          <w:i/>
          <w:sz w:val="24"/>
          <w:szCs w:val="24"/>
        </w:rPr>
        <w:t>vulnus</w:t>
      </w:r>
      <w:r w:rsidRPr="00C65B69">
        <w:rPr>
          <w:rFonts w:ascii="Bookman Old Style" w:hAnsi="Bookman Old Style"/>
          <w:sz w:val="24"/>
          <w:szCs w:val="24"/>
        </w:rPr>
        <w:t xml:space="preserve"> al principio di eguaglianza inteso in senso sostanziale. </w:t>
      </w:r>
    </w:p>
    <w:p w:rsidR="003F3A83" w:rsidRDefault="00D92E9D" w:rsidP="008A6536">
      <w:pPr>
        <w:ind w:firstLine="709"/>
        <w:jc w:val="both"/>
        <w:rPr>
          <w:rFonts w:ascii="Bookman Old Style" w:hAnsi="Bookman Old Style"/>
          <w:sz w:val="24"/>
          <w:szCs w:val="24"/>
        </w:rPr>
      </w:pPr>
      <w:r>
        <w:rPr>
          <w:rFonts w:ascii="Bookman Old Style" w:hAnsi="Bookman Old Style"/>
          <w:sz w:val="24"/>
          <w:szCs w:val="24"/>
        </w:rPr>
        <w:t>In questo</w:t>
      </w:r>
      <w:r w:rsidR="00364DA5">
        <w:rPr>
          <w:rFonts w:ascii="Bookman Old Style" w:hAnsi="Bookman Old Style"/>
          <w:sz w:val="24"/>
          <w:szCs w:val="24"/>
        </w:rPr>
        <w:t xml:space="preserve"> senso, la funzione di controllo della Corte dei conti può essere insostituibile non solo per valutare l’efficienza delle politiche messe in atto e per accertare gli eventuali sprechi (così da recuperare fondi da destinare a</w:t>
      </w:r>
      <w:r w:rsidR="003F3A83">
        <w:rPr>
          <w:rFonts w:ascii="Bookman Old Style" w:hAnsi="Bookman Old Style"/>
          <w:sz w:val="24"/>
          <w:szCs w:val="24"/>
        </w:rPr>
        <w:t xml:space="preserve"> diversi scopi) ma, soprattutto, per accertare con chiarezza gli oneri conseguenti a determinate scelte politiche di tutela dei diritti e verificare la correttezza delle relative coperture finanziarie. Non si dimentichi che – come ricordato dalla </w:t>
      </w:r>
      <w:r w:rsidR="003F3A83" w:rsidRPr="003F3A83">
        <w:rPr>
          <w:rFonts w:ascii="Bookman Old Style" w:hAnsi="Bookman Old Style"/>
          <w:sz w:val="24"/>
          <w:szCs w:val="24"/>
        </w:rPr>
        <w:t xml:space="preserve">Corte </w:t>
      </w:r>
      <w:proofErr w:type="gramStart"/>
      <w:r w:rsidR="003F3A83" w:rsidRPr="003F3A83">
        <w:rPr>
          <w:rFonts w:ascii="Bookman Old Style" w:hAnsi="Bookman Old Style"/>
          <w:sz w:val="24"/>
          <w:szCs w:val="24"/>
        </w:rPr>
        <w:t>costituzionale</w:t>
      </w:r>
      <w:r w:rsidR="003F3A83">
        <w:rPr>
          <w:rFonts w:ascii="Bookman Old Style" w:hAnsi="Bookman Old Style"/>
          <w:sz w:val="24"/>
          <w:szCs w:val="24"/>
        </w:rPr>
        <w:t xml:space="preserve"> </w:t>
      </w:r>
      <w:r w:rsidR="003F3A83">
        <w:rPr>
          <w:rStyle w:val="Rimandonotaapidipagina"/>
          <w:rFonts w:ascii="Bookman Old Style" w:hAnsi="Bookman Old Style"/>
          <w:sz w:val="24"/>
          <w:szCs w:val="24"/>
        </w:rPr>
        <w:footnoteReference w:id="70"/>
      </w:r>
      <w:r w:rsidR="003F3A83">
        <w:rPr>
          <w:rFonts w:ascii="Bookman Old Style" w:hAnsi="Bookman Old Style"/>
          <w:sz w:val="24"/>
          <w:szCs w:val="24"/>
        </w:rPr>
        <w:t xml:space="preserve"> -</w:t>
      </w:r>
      <w:proofErr w:type="gramEnd"/>
      <w:r w:rsidR="003F3A83">
        <w:rPr>
          <w:rFonts w:ascii="Bookman Old Style" w:hAnsi="Bookman Old Style"/>
          <w:sz w:val="24"/>
          <w:szCs w:val="24"/>
        </w:rPr>
        <w:t xml:space="preserve"> </w:t>
      </w:r>
      <w:r w:rsidR="003F3A83" w:rsidRPr="003F3A83">
        <w:rPr>
          <w:rFonts w:ascii="Bookman Old Style" w:hAnsi="Bookman Old Style"/>
          <w:sz w:val="24"/>
          <w:szCs w:val="24"/>
        </w:rPr>
        <w:t>il bilancio è un “bene pubblico”</w:t>
      </w:r>
      <w:r w:rsidR="00D26E71">
        <w:rPr>
          <w:rFonts w:ascii="Bookman Old Style" w:hAnsi="Bookman Old Style"/>
          <w:sz w:val="24"/>
          <w:szCs w:val="24"/>
        </w:rPr>
        <w:t xml:space="preserve"> </w:t>
      </w:r>
      <w:r w:rsidR="00D26E71">
        <w:rPr>
          <w:rStyle w:val="Rimandonotaapidipagina"/>
          <w:rFonts w:ascii="Bookman Old Style" w:hAnsi="Bookman Old Style"/>
          <w:sz w:val="24"/>
          <w:szCs w:val="24"/>
        </w:rPr>
        <w:footnoteReference w:id="71"/>
      </w:r>
      <w:r w:rsidR="003F3A83" w:rsidRPr="003F3A83">
        <w:rPr>
          <w:rFonts w:ascii="Bookman Old Style" w:hAnsi="Bookman Old Style"/>
          <w:sz w:val="24"/>
          <w:szCs w:val="24"/>
        </w:rPr>
        <w:t xml:space="preserve"> nel senso che esso “è funzionale a sintetizzare e </w:t>
      </w:r>
      <w:r w:rsidR="003F3A83" w:rsidRPr="003F3A83">
        <w:rPr>
          <w:rFonts w:ascii="Bookman Old Style" w:hAnsi="Bookman Old Style"/>
          <w:sz w:val="24"/>
          <w:szCs w:val="24"/>
        </w:rPr>
        <w:lastRenderedPageBreak/>
        <w:t xml:space="preserve">rendere certe le scelte dell’ente </w:t>
      </w:r>
      <w:r w:rsidR="00695374">
        <w:rPr>
          <w:rFonts w:ascii="Bookman Old Style" w:hAnsi="Bookman Old Style"/>
          <w:sz w:val="24"/>
          <w:szCs w:val="24"/>
        </w:rPr>
        <w:t>…</w:t>
      </w:r>
      <w:r w:rsidR="003F3A83" w:rsidRPr="003F3A83">
        <w:rPr>
          <w:rFonts w:ascii="Bookman Old Style" w:hAnsi="Bookman Old Style"/>
          <w:sz w:val="24"/>
          <w:szCs w:val="24"/>
        </w:rPr>
        <w:t xml:space="preserve"> sia in ordine all’acquisizione delle entrate, sia alla individuazione degli interventi attuativi delle politiche pubbliche”, in riferimento al rapporto tra politiche di bilancio, responsabilità delle strategie finanziarie e accessibilità alle informazioni da parte delle collettività amministrate. In tale prospettiva</w:t>
      </w:r>
      <w:r w:rsidR="00695374">
        <w:rPr>
          <w:rFonts w:ascii="Bookman Old Style" w:hAnsi="Bookman Old Style"/>
          <w:sz w:val="24"/>
          <w:szCs w:val="24"/>
        </w:rPr>
        <w:t>,</w:t>
      </w:r>
      <w:r w:rsidR="003F3A83" w:rsidRPr="003F3A83">
        <w:rPr>
          <w:rFonts w:ascii="Bookman Old Style" w:hAnsi="Bookman Old Style"/>
          <w:sz w:val="24"/>
          <w:szCs w:val="24"/>
        </w:rPr>
        <w:t xml:space="preserve"> </w:t>
      </w:r>
      <w:r w:rsidR="003F3A83">
        <w:rPr>
          <w:rFonts w:ascii="Bookman Old Style" w:hAnsi="Bookman Old Style"/>
          <w:sz w:val="24"/>
          <w:szCs w:val="24"/>
        </w:rPr>
        <w:t xml:space="preserve">diventa di particolare rilievo </w:t>
      </w:r>
      <w:r w:rsidR="003F3A83" w:rsidRPr="003F3A83">
        <w:rPr>
          <w:rFonts w:ascii="Bookman Old Style" w:hAnsi="Bookman Old Style"/>
          <w:sz w:val="24"/>
          <w:szCs w:val="24"/>
        </w:rPr>
        <w:t xml:space="preserve">il controllo sulla copertura delle leggi di spesa e sull'adeguatezza delle tecniche di quantificazione degli oneri, presidio fondamentale </w:t>
      </w:r>
      <w:r w:rsidR="003F3A83">
        <w:rPr>
          <w:rFonts w:ascii="Bookman Old Style" w:hAnsi="Bookman Old Style"/>
          <w:sz w:val="24"/>
          <w:szCs w:val="24"/>
        </w:rPr>
        <w:t xml:space="preserve">non solo </w:t>
      </w:r>
      <w:r w:rsidR="003F3A83" w:rsidRPr="003F3A83">
        <w:rPr>
          <w:rFonts w:ascii="Bookman Old Style" w:hAnsi="Bookman Old Style"/>
          <w:sz w:val="24"/>
          <w:szCs w:val="24"/>
        </w:rPr>
        <w:t xml:space="preserve">della tenuta degli equilibri di bilancio </w:t>
      </w:r>
      <w:r w:rsidR="003F3A83">
        <w:rPr>
          <w:rFonts w:ascii="Bookman Old Style" w:hAnsi="Bookman Old Style"/>
          <w:sz w:val="24"/>
          <w:szCs w:val="24"/>
        </w:rPr>
        <w:t>ma altresì della certezza delle prestazioni sociali rese in favore dei cittadini.</w:t>
      </w:r>
    </w:p>
    <w:p w:rsidR="00D26E71" w:rsidRDefault="00D92E9D" w:rsidP="008A6536">
      <w:pPr>
        <w:ind w:firstLine="709"/>
        <w:jc w:val="both"/>
        <w:rPr>
          <w:rFonts w:ascii="Bookman Old Style" w:hAnsi="Bookman Old Style"/>
          <w:sz w:val="24"/>
          <w:szCs w:val="24"/>
        </w:rPr>
      </w:pPr>
      <w:r w:rsidRPr="00D92E9D">
        <w:rPr>
          <w:rFonts w:ascii="Bookman Old Style" w:hAnsi="Bookman Old Style"/>
          <w:sz w:val="24"/>
          <w:szCs w:val="24"/>
        </w:rPr>
        <w:t>Il Giudice delle leggi ha ripetutamente sottolineato le funzioni della Corte dei conti quale organo terzo e</w:t>
      </w:r>
      <w:r>
        <w:rPr>
          <w:rFonts w:ascii="Bookman Old Style" w:hAnsi="Bookman Old Style"/>
          <w:sz w:val="24"/>
          <w:szCs w:val="24"/>
        </w:rPr>
        <w:t>d imparziale di garanzia dell’e</w:t>
      </w:r>
      <w:r w:rsidRPr="00D92E9D">
        <w:rPr>
          <w:rFonts w:ascii="Bookman Old Style" w:hAnsi="Bookman Old Style"/>
          <w:sz w:val="24"/>
          <w:szCs w:val="24"/>
        </w:rPr>
        <w:t>quilibro economico-finanziario del settore p</w:t>
      </w:r>
      <w:r>
        <w:rPr>
          <w:rFonts w:ascii="Bookman Old Style" w:hAnsi="Bookman Old Style"/>
          <w:sz w:val="24"/>
          <w:szCs w:val="24"/>
        </w:rPr>
        <w:t>ubblico e della corretta gestio</w:t>
      </w:r>
      <w:r w:rsidRPr="00D92E9D">
        <w:rPr>
          <w:rFonts w:ascii="Bookman Old Style" w:hAnsi="Bookman Old Style"/>
          <w:sz w:val="24"/>
          <w:szCs w:val="24"/>
        </w:rPr>
        <w:t>ne delle risorse collettive, al servizio dello “Stato-ordinamento”</w:t>
      </w:r>
      <w:r>
        <w:rPr>
          <w:rFonts w:ascii="Bookman Old Style" w:hAnsi="Bookman Old Style"/>
          <w:sz w:val="24"/>
          <w:szCs w:val="24"/>
        </w:rPr>
        <w:t xml:space="preserve"> </w:t>
      </w:r>
      <w:r>
        <w:rPr>
          <w:rStyle w:val="Rimandonotaapidipagina"/>
          <w:rFonts w:ascii="Bookman Old Style" w:hAnsi="Bookman Old Style"/>
          <w:sz w:val="24"/>
          <w:szCs w:val="24"/>
        </w:rPr>
        <w:footnoteReference w:id="72"/>
      </w:r>
      <w:r>
        <w:rPr>
          <w:rFonts w:ascii="Bookman Old Style" w:hAnsi="Bookman Old Style"/>
          <w:sz w:val="24"/>
          <w:szCs w:val="24"/>
        </w:rPr>
        <w:t xml:space="preserve">. </w:t>
      </w:r>
      <w:r w:rsidR="00D26E71" w:rsidRPr="00D26E71">
        <w:rPr>
          <w:rFonts w:ascii="Bookman Old Style" w:hAnsi="Bookman Old Style"/>
          <w:sz w:val="24"/>
          <w:szCs w:val="24"/>
        </w:rPr>
        <w:t xml:space="preserve">La Corte dei conti, infatti, si occupa del bilancio in diverse fasi del suo controllo, sia in fase micro-gestionale, vaglia atti che hanno un notevole impatto sulla spesa (elenco tassativo di cui all’art. 3 della l. n. 30/1994, in relazione ai quali può venire in considerazione il bilancio preventivo che ne costituisce la provvista finanziaria) sia in quella di verifica dei rendiconti. Questa seconda categoria di controlli va dalla parifica del rendiconto dello Stato (artt. 39-41 regio </w:t>
      </w:r>
      <w:r w:rsidR="00D26E71">
        <w:rPr>
          <w:rFonts w:ascii="Bookman Old Style" w:hAnsi="Bookman Old Style"/>
          <w:sz w:val="24"/>
          <w:szCs w:val="24"/>
        </w:rPr>
        <w:t>decreto 12 luglio 1934, n. 1214</w:t>
      </w:r>
      <w:r w:rsidR="00D26E71" w:rsidRPr="00D26E71">
        <w:rPr>
          <w:rFonts w:ascii="Bookman Old Style" w:hAnsi="Bookman Old Style"/>
          <w:sz w:val="24"/>
          <w:szCs w:val="24"/>
        </w:rPr>
        <w:t xml:space="preserve">), a quello delle regioni (art. 1, comma 5, </w:t>
      </w:r>
      <w:proofErr w:type="spellStart"/>
      <w:r w:rsidR="00D26E71" w:rsidRPr="00D26E71">
        <w:rPr>
          <w:rFonts w:ascii="Bookman Old Style" w:hAnsi="Bookman Old Style"/>
          <w:sz w:val="24"/>
          <w:szCs w:val="24"/>
        </w:rPr>
        <w:t>d.l.</w:t>
      </w:r>
      <w:proofErr w:type="spellEnd"/>
      <w:r w:rsidR="00D26E71" w:rsidRPr="00D26E71">
        <w:rPr>
          <w:rFonts w:ascii="Bookman Old Style" w:hAnsi="Bookman Old Style"/>
          <w:sz w:val="24"/>
          <w:szCs w:val="24"/>
        </w:rPr>
        <w:t xml:space="preserve"> n. 174/2012 </w:t>
      </w:r>
      <w:proofErr w:type="spellStart"/>
      <w:r w:rsidR="00D26E71" w:rsidRPr="00D26E71">
        <w:rPr>
          <w:rFonts w:ascii="Bookman Old Style" w:hAnsi="Bookman Old Style"/>
          <w:sz w:val="24"/>
          <w:szCs w:val="24"/>
        </w:rPr>
        <w:t>conv</w:t>
      </w:r>
      <w:proofErr w:type="spellEnd"/>
      <w:r w:rsidR="00D26E71" w:rsidRPr="00D26E71">
        <w:rPr>
          <w:rFonts w:ascii="Bookman Old Style" w:hAnsi="Bookman Old Style"/>
          <w:sz w:val="24"/>
          <w:szCs w:val="24"/>
        </w:rPr>
        <w:t xml:space="preserve">. L. n. 213), sino al controllo dei bilanci preventivi e consuntivi degli enti locali e degli enti del Servizio sanitario nazionale (art. 243-bis e ss. TUEL per i piani di riequilibrio finanziario; art. 148-bis TUEL, nonché art. 1, commi 3 e 7, del </w:t>
      </w:r>
      <w:proofErr w:type="spellStart"/>
      <w:r w:rsidR="00D26E71" w:rsidRPr="00D26E71">
        <w:rPr>
          <w:rFonts w:ascii="Bookman Old Style" w:hAnsi="Bookman Old Style"/>
          <w:sz w:val="24"/>
          <w:szCs w:val="24"/>
        </w:rPr>
        <w:t>d.l.</w:t>
      </w:r>
      <w:proofErr w:type="spellEnd"/>
      <w:r w:rsidR="00D26E71" w:rsidRPr="00D26E71">
        <w:rPr>
          <w:rFonts w:ascii="Bookman Old Style" w:hAnsi="Bookman Old Style"/>
          <w:sz w:val="24"/>
          <w:szCs w:val="24"/>
        </w:rPr>
        <w:t xml:space="preserve"> n. 174/2012 per i poteri “cautelari” e preventivi sugli equilibri di bilancio in corso di gestione) e può portare ad importanti quantificazioni di squilibri che si ripercuotono sulla costituzionalità (in casi di “leggi” di bilancio) e/o legittimità (in caso di bilanci di natura amministrativa) dei bilanci successivi, preventivi e consuntivi.</w:t>
      </w:r>
    </w:p>
    <w:p w:rsidR="00D26E71" w:rsidRDefault="00D26E71" w:rsidP="008A6536">
      <w:pPr>
        <w:ind w:firstLine="709"/>
        <w:jc w:val="both"/>
        <w:rPr>
          <w:rFonts w:ascii="Bookman Old Style" w:hAnsi="Bookman Old Style"/>
          <w:sz w:val="24"/>
          <w:szCs w:val="24"/>
        </w:rPr>
      </w:pPr>
      <w:r>
        <w:rPr>
          <w:rFonts w:ascii="Bookman Old Style" w:hAnsi="Bookman Old Style"/>
          <w:sz w:val="24"/>
          <w:szCs w:val="24"/>
        </w:rPr>
        <w:t>Un tale controllo così ampio e variegato non può ritenersi esclusivamente funzionale al solo rispetto del principio di pareggio o equilibrio dei bilanci. In un sistema democratico, dove le risorse pubbliche sono coattivamente sottratte ai cittadini per essere destinate e funzionalizzate al perseguimento di obiettivi predefiniti con fonte normativa primaria se non addirittura costituzionale, la loro allocazione è atto altamente discrezion</w:t>
      </w:r>
      <w:r w:rsidR="00D92E9D">
        <w:rPr>
          <w:rFonts w:ascii="Bookman Old Style" w:hAnsi="Bookman Old Style"/>
          <w:sz w:val="24"/>
          <w:szCs w:val="24"/>
        </w:rPr>
        <w:t xml:space="preserve">ale ma </w:t>
      </w:r>
      <w:r w:rsidR="00695374">
        <w:rPr>
          <w:rFonts w:ascii="Bookman Old Style" w:hAnsi="Bookman Old Style"/>
          <w:sz w:val="24"/>
          <w:szCs w:val="24"/>
        </w:rPr>
        <w:t xml:space="preserve">che </w:t>
      </w:r>
      <w:r w:rsidR="00D92E9D">
        <w:rPr>
          <w:rFonts w:ascii="Bookman Old Style" w:hAnsi="Bookman Old Style"/>
          <w:sz w:val="24"/>
          <w:szCs w:val="24"/>
        </w:rPr>
        <w:t>non può essere arbitrari</w:t>
      </w:r>
      <w:r w:rsidR="00695374">
        <w:rPr>
          <w:rFonts w:ascii="Bookman Old Style" w:hAnsi="Bookman Old Style"/>
          <w:sz w:val="24"/>
          <w:szCs w:val="24"/>
        </w:rPr>
        <w:t>o</w:t>
      </w:r>
      <w:r w:rsidR="00D92E9D">
        <w:rPr>
          <w:rFonts w:ascii="Bookman Old Style" w:hAnsi="Bookman Old Style"/>
          <w:sz w:val="24"/>
          <w:szCs w:val="24"/>
        </w:rPr>
        <w:t>; essa deve</w:t>
      </w:r>
      <w:r>
        <w:rPr>
          <w:rFonts w:ascii="Bookman Old Style" w:hAnsi="Bookman Old Style"/>
          <w:sz w:val="24"/>
          <w:szCs w:val="24"/>
        </w:rPr>
        <w:t xml:space="preserve"> assicurare non solo il nucleo incomprimibile dei diritti fondamentale ma deve altresì assicurare la coerenza tra le politiche e le risorse allocate. In questo senso</w:t>
      </w:r>
      <w:r w:rsidR="00695374">
        <w:rPr>
          <w:rFonts w:ascii="Bookman Old Style" w:hAnsi="Bookman Old Style"/>
          <w:sz w:val="24"/>
          <w:szCs w:val="24"/>
        </w:rPr>
        <w:t>,</w:t>
      </w:r>
      <w:r>
        <w:rPr>
          <w:rFonts w:ascii="Bookman Old Style" w:hAnsi="Bookman Old Style"/>
          <w:sz w:val="24"/>
          <w:szCs w:val="24"/>
        </w:rPr>
        <w:t xml:space="preserve"> il bilancio</w:t>
      </w:r>
      <w:r w:rsidR="006D7687">
        <w:rPr>
          <w:rFonts w:ascii="Bookman Old Style" w:hAnsi="Bookman Old Style"/>
          <w:sz w:val="24"/>
          <w:szCs w:val="24"/>
        </w:rPr>
        <w:t>, strumento di politica economica ed atto di indirizzo finanziario,</w:t>
      </w:r>
      <w:r>
        <w:rPr>
          <w:rFonts w:ascii="Bookman Old Style" w:hAnsi="Bookman Old Style"/>
          <w:sz w:val="24"/>
          <w:szCs w:val="24"/>
        </w:rPr>
        <w:t xml:space="preserve"> si configura come il più politico degli atti di Governo.</w:t>
      </w:r>
    </w:p>
    <w:p w:rsidR="00071754" w:rsidRDefault="009C7F89" w:rsidP="008A6536">
      <w:pPr>
        <w:ind w:firstLine="709"/>
        <w:jc w:val="both"/>
        <w:rPr>
          <w:rFonts w:ascii="Bookman Old Style" w:hAnsi="Bookman Old Style"/>
          <w:sz w:val="24"/>
          <w:szCs w:val="24"/>
        </w:rPr>
      </w:pPr>
      <w:r w:rsidRPr="009C7F89">
        <w:rPr>
          <w:rFonts w:ascii="Bookman Old Style" w:hAnsi="Bookman Old Style"/>
          <w:sz w:val="24"/>
          <w:szCs w:val="24"/>
        </w:rPr>
        <w:t xml:space="preserve">Nel 1988 Massimo Severo Giannini si doleva nei confronti di coloro che </w:t>
      </w:r>
      <w:proofErr w:type="spellStart"/>
      <w:r w:rsidRPr="009C7F89">
        <w:rPr>
          <w:rFonts w:ascii="Bookman Old Style" w:hAnsi="Bookman Old Style"/>
          <w:sz w:val="24"/>
          <w:szCs w:val="24"/>
        </w:rPr>
        <w:t>dequotavano</w:t>
      </w:r>
      <w:proofErr w:type="spellEnd"/>
      <w:r w:rsidRPr="009C7F89">
        <w:rPr>
          <w:rFonts w:ascii="Bookman Old Style" w:hAnsi="Bookman Old Style"/>
          <w:sz w:val="24"/>
          <w:szCs w:val="24"/>
        </w:rPr>
        <w:t xml:space="preserve"> il tema dei bilanci e della contabilità pubblica — in senso spregiativo </w:t>
      </w:r>
      <w:r w:rsidRPr="009C7F89">
        <w:rPr>
          <w:rFonts w:ascii="Bookman Old Style" w:hAnsi="Bookman Old Style"/>
          <w:sz w:val="24"/>
          <w:szCs w:val="24"/>
        </w:rPr>
        <w:lastRenderedPageBreak/>
        <w:t xml:space="preserve">— a mero argomento ragionieristico, privo di alcuna giuridicità </w:t>
      </w:r>
      <w:r>
        <w:rPr>
          <w:rStyle w:val="Rimandonotaapidipagina"/>
          <w:rFonts w:ascii="Bookman Old Style" w:hAnsi="Bookman Old Style"/>
          <w:sz w:val="24"/>
          <w:szCs w:val="24"/>
        </w:rPr>
        <w:footnoteReference w:id="73"/>
      </w:r>
      <w:r w:rsidRPr="009C7F89">
        <w:rPr>
          <w:rFonts w:ascii="Bookman Old Style" w:hAnsi="Bookman Old Style"/>
          <w:sz w:val="24"/>
          <w:szCs w:val="24"/>
        </w:rPr>
        <w:t>. Tale considerazione appare ancor oggi attuale</w:t>
      </w:r>
      <w:r>
        <w:rPr>
          <w:rFonts w:ascii="Bookman Old Style" w:hAnsi="Bookman Old Style"/>
          <w:sz w:val="24"/>
          <w:szCs w:val="24"/>
        </w:rPr>
        <w:t xml:space="preserve"> e valida</w:t>
      </w:r>
      <w:r w:rsidRPr="009C7F89">
        <w:rPr>
          <w:rFonts w:ascii="Bookman Old Style" w:hAnsi="Bookman Old Style"/>
          <w:sz w:val="24"/>
          <w:szCs w:val="24"/>
        </w:rPr>
        <w:t xml:space="preserve">, </w:t>
      </w:r>
      <w:r>
        <w:rPr>
          <w:rFonts w:ascii="Bookman Old Style" w:hAnsi="Bookman Old Style"/>
          <w:sz w:val="24"/>
          <w:szCs w:val="24"/>
        </w:rPr>
        <w:t>anche con riferimento alla presen</w:t>
      </w:r>
      <w:r w:rsidR="00695374">
        <w:rPr>
          <w:rFonts w:ascii="Bookman Old Style" w:hAnsi="Bookman Old Style"/>
          <w:sz w:val="24"/>
          <w:szCs w:val="24"/>
        </w:rPr>
        <w:t>t</w:t>
      </w:r>
      <w:r>
        <w:rPr>
          <w:rFonts w:ascii="Bookman Old Style" w:hAnsi="Bookman Old Style"/>
          <w:sz w:val="24"/>
          <w:szCs w:val="24"/>
        </w:rPr>
        <w:t xml:space="preserve">e analisi. </w:t>
      </w:r>
      <w:r w:rsidR="003F3A83">
        <w:rPr>
          <w:rFonts w:ascii="Bookman Old Style" w:hAnsi="Bookman Old Style"/>
          <w:sz w:val="24"/>
          <w:szCs w:val="24"/>
        </w:rPr>
        <w:t xml:space="preserve">In fondo, se è vero che i diritti costano è anche vero che </w:t>
      </w:r>
      <w:r w:rsidR="00071754">
        <w:rPr>
          <w:rFonts w:ascii="Bookman Old Style" w:hAnsi="Bookman Old Style"/>
          <w:sz w:val="24"/>
          <w:szCs w:val="24"/>
        </w:rPr>
        <w:t>solo la conoscenza di tali costi e dell’adeguatezza delle coperture individuate</w:t>
      </w:r>
      <w:r w:rsidR="00973D33">
        <w:rPr>
          <w:rFonts w:ascii="Bookman Old Style" w:hAnsi="Bookman Old Style"/>
          <w:sz w:val="24"/>
          <w:szCs w:val="24"/>
        </w:rPr>
        <w:t xml:space="preserve"> </w:t>
      </w:r>
      <w:r w:rsidR="00071754">
        <w:rPr>
          <w:rFonts w:ascii="Bookman Old Style" w:hAnsi="Bookman Old Style"/>
          <w:sz w:val="24"/>
          <w:szCs w:val="24"/>
        </w:rPr>
        <w:t>può consentire al</w:t>
      </w:r>
      <w:r w:rsidR="003F3A83">
        <w:rPr>
          <w:rFonts w:ascii="Bookman Old Style" w:hAnsi="Bookman Old Style"/>
          <w:sz w:val="24"/>
          <w:szCs w:val="24"/>
        </w:rPr>
        <w:t xml:space="preserve">la politica </w:t>
      </w:r>
      <w:r w:rsidR="00071754">
        <w:rPr>
          <w:rFonts w:ascii="Bookman Old Style" w:hAnsi="Bookman Old Style"/>
          <w:sz w:val="24"/>
          <w:szCs w:val="24"/>
        </w:rPr>
        <w:t xml:space="preserve">di fare le migliori scelte allocative, avendo particolare riguardo all’esigenza di salvaguardare i livelli essenziali di tutela di quel </w:t>
      </w:r>
      <w:r w:rsidR="00071754" w:rsidRPr="009C7F89">
        <w:rPr>
          <w:rFonts w:ascii="Bookman Old Style" w:hAnsi="Bookman Old Style"/>
          <w:i/>
          <w:sz w:val="24"/>
          <w:szCs w:val="24"/>
        </w:rPr>
        <w:t>corpus</w:t>
      </w:r>
      <w:r w:rsidR="00071754">
        <w:rPr>
          <w:rFonts w:ascii="Bookman Old Style" w:hAnsi="Bookman Old Style"/>
          <w:sz w:val="24"/>
          <w:szCs w:val="24"/>
        </w:rPr>
        <w:t xml:space="preserve"> di diritti fondamentali che costituisce l’essenza e il fondamento di uno Stato democratico.</w:t>
      </w:r>
    </w:p>
    <w:p w:rsidR="00D26E71" w:rsidRDefault="00D26E71" w:rsidP="008A6536">
      <w:pPr>
        <w:ind w:firstLine="709"/>
        <w:jc w:val="both"/>
        <w:rPr>
          <w:rFonts w:ascii="Bookman Old Style" w:hAnsi="Bookman Old Style"/>
          <w:sz w:val="24"/>
          <w:szCs w:val="24"/>
        </w:rPr>
      </w:pPr>
      <w:r>
        <w:rPr>
          <w:rFonts w:ascii="Bookman Old Style" w:hAnsi="Bookman Old Style"/>
          <w:sz w:val="24"/>
          <w:szCs w:val="24"/>
        </w:rPr>
        <w:t xml:space="preserve">In tale opera di conoscenza e valutazione </w:t>
      </w:r>
      <w:r w:rsidR="005C6B13">
        <w:rPr>
          <w:rFonts w:ascii="Bookman Old Style" w:hAnsi="Bookman Old Style"/>
          <w:sz w:val="24"/>
          <w:szCs w:val="24"/>
        </w:rPr>
        <w:t>della tutela effettiva dei diritti, attraverso l’allocazione di risorse idonee a soddisfarne i costi, la Corte dei conti può svolgere un’indubbia funzione di garanzia</w:t>
      </w:r>
      <w:r w:rsidR="00695374">
        <w:rPr>
          <w:rFonts w:ascii="Bookman Old Style" w:hAnsi="Bookman Old Style"/>
          <w:sz w:val="24"/>
          <w:szCs w:val="24"/>
        </w:rPr>
        <w:t>, a tutela non solo dei diritti ma del tessuto connettivo e fondante dell’intera società</w:t>
      </w:r>
      <w:r w:rsidR="005C6B13">
        <w:rPr>
          <w:rFonts w:ascii="Bookman Old Style" w:hAnsi="Bookman Old Style"/>
          <w:sz w:val="24"/>
          <w:szCs w:val="24"/>
        </w:rPr>
        <w:t>.</w:t>
      </w:r>
    </w:p>
    <w:p w:rsidR="00281E53" w:rsidRDefault="00281E53" w:rsidP="008A6536">
      <w:pPr>
        <w:ind w:firstLine="709"/>
        <w:jc w:val="both"/>
        <w:rPr>
          <w:rFonts w:ascii="Bookman Old Style" w:hAnsi="Bookman Old Style"/>
          <w:sz w:val="24"/>
          <w:szCs w:val="24"/>
        </w:rPr>
      </w:pPr>
    </w:p>
    <w:p w:rsidR="00281E53" w:rsidRDefault="00281E53" w:rsidP="00281E53">
      <w:pPr>
        <w:ind w:firstLine="709"/>
        <w:jc w:val="right"/>
        <w:rPr>
          <w:rFonts w:ascii="Bookman Old Style" w:hAnsi="Bookman Old Style"/>
          <w:sz w:val="24"/>
          <w:szCs w:val="24"/>
        </w:rPr>
      </w:pPr>
      <w:r>
        <w:rPr>
          <w:rFonts w:ascii="Bookman Old Style" w:hAnsi="Bookman Old Style"/>
          <w:sz w:val="24"/>
          <w:szCs w:val="24"/>
        </w:rPr>
        <w:t>Luigi Caso</w:t>
      </w:r>
    </w:p>
    <w:p w:rsidR="00281E53" w:rsidRDefault="00281E53" w:rsidP="00281E53">
      <w:pPr>
        <w:ind w:firstLine="709"/>
        <w:jc w:val="right"/>
        <w:rPr>
          <w:rFonts w:ascii="Bookman Old Style" w:hAnsi="Bookman Old Style"/>
          <w:sz w:val="24"/>
          <w:szCs w:val="24"/>
        </w:rPr>
      </w:pPr>
      <w:r>
        <w:rPr>
          <w:rFonts w:ascii="Bookman Old Style" w:hAnsi="Bookman Old Style"/>
          <w:sz w:val="24"/>
          <w:szCs w:val="24"/>
        </w:rPr>
        <w:t>Consigliere della Corte dei conti</w:t>
      </w:r>
    </w:p>
    <w:p w:rsidR="00281E53" w:rsidRDefault="00281E53" w:rsidP="00281E53">
      <w:pPr>
        <w:ind w:firstLine="709"/>
        <w:rPr>
          <w:rFonts w:ascii="Bookman Old Style" w:hAnsi="Bookman Old Style"/>
          <w:sz w:val="24"/>
          <w:szCs w:val="24"/>
        </w:rPr>
      </w:pPr>
      <w:r>
        <w:rPr>
          <w:rFonts w:ascii="Bookman Old Style" w:hAnsi="Bookman Old Style"/>
          <w:sz w:val="24"/>
          <w:szCs w:val="24"/>
        </w:rPr>
        <w:t>26 maggio 2018</w:t>
      </w:r>
    </w:p>
    <w:p w:rsidR="00281E53" w:rsidRDefault="00281E53" w:rsidP="00281E53">
      <w:pPr>
        <w:ind w:firstLine="709"/>
        <w:rPr>
          <w:rFonts w:ascii="Bookman Old Style" w:hAnsi="Bookman Old Style"/>
          <w:sz w:val="24"/>
          <w:szCs w:val="24"/>
        </w:rPr>
      </w:pPr>
    </w:p>
    <w:sectPr w:rsidR="00281E5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5DF" w:rsidRDefault="00B335DF" w:rsidP="005814C4">
      <w:pPr>
        <w:spacing w:after="0" w:line="240" w:lineRule="auto"/>
      </w:pPr>
      <w:r>
        <w:separator/>
      </w:r>
    </w:p>
  </w:endnote>
  <w:endnote w:type="continuationSeparator" w:id="0">
    <w:p w:rsidR="00B335DF" w:rsidRDefault="00B335DF" w:rsidP="0058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5DF" w:rsidRDefault="00B335DF" w:rsidP="005814C4">
      <w:pPr>
        <w:spacing w:after="0" w:line="240" w:lineRule="auto"/>
      </w:pPr>
      <w:r>
        <w:separator/>
      </w:r>
    </w:p>
  </w:footnote>
  <w:footnote w:type="continuationSeparator" w:id="0">
    <w:p w:rsidR="00B335DF" w:rsidRDefault="00B335DF" w:rsidP="005814C4">
      <w:pPr>
        <w:spacing w:after="0" w:line="240" w:lineRule="auto"/>
      </w:pPr>
      <w:r>
        <w:continuationSeparator/>
      </w:r>
    </w:p>
  </w:footnote>
  <w:footnote w:id="1">
    <w:p w:rsidR="00D31D13" w:rsidRPr="00AE712B" w:rsidRDefault="00D31D13" w:rsidP="00AE712B">
      <w:pPr>
        <w:autoSpaceDE w:val="0"/>
        <w:autoSpaceDN w:val="0"/>
        <w:adjustRightInd w:val="0"/>
        <w:spacing w:after="0" w:line="240" w:lineRule="auto"/>
        <w:jc w:val="both"/>
        <w:rPr>
          <w:rFonts w:ascii="Bookman Old Style" w:hAnsi="Bookman Old Style"/>
          <w:sz w:val="20"/>
          <w:szCs w:val="20"/>
        </w:rPr>
      </w:pPr>
      <w:r w:rsidRPr="00AE712B">
        <w:rPr>
          <w:rStyle w:val="Rimandonotaapidipagina"/>
          <w:rFonts w:ascii="Bookman Old Style" w:hAnsi="Bookman Old Style"/>
          <w:sz w:val="20"/>
          <w:szCs w:val="20"/>
        </w:rPr>
        <w:footnoteRef/>
      </w:r>
      <w:r w:rsidRPr="00AE712B">
        <w:rPr>
          <w:rFonts w:ascii="Bookman Old Style" w:hAnsi="Bookman Old Style"/>
          <w:sz w:val="20"/>
          <w:szCs w:val="20"/>
        </w:rPr>
        <w:t xml:space="preserve"> </w:t>
      </w:r>
      <w:r w:rsidRPr="00AE712B">
        <w:rPr>
          <w:rFonts w:ascii="Bookman Old Style" w:hAnsi="Bookman Old Style" w:cs="Times New Roman"/>
          <w:sz w:val="20"/>
          <w:szCs w:val="20"/>
        </w:rPr>
        <w:t xml:space="preserve">Diritti costituzionali o fondamentali, nei sistemi costituzionali contemporanei si identificano. Si utilizza la dizione “diritti dell’uomo” (al posto di quella “diritti fondamentali”) soprattutto a livello internazionale, volendo con questa accezione evidenziare il carattere di diritti che appartengono a tutti gli uomini indipendentemente dal riconoscimento dello Stato, e quindi attribuiti al di fuori di ogni connotazione di cittadinanza, cfr. L. LA MARCA, </w:t>
      </w:r>
      <w:r w:rsidRPr="00AE712B">
        <w:rPr>
          <w:rFonts w:ascii="Bookman Old Style" w:hAnsi="Bookman Old Style" w:cs="Times New Roman"/>
          <w:i/>
          <w:iCs/>
          <w:sz w:val="20"/>
          <w:szCs w:val="20"/>
        </w:rPr>
        <w:t xml:space="preserve">I tre livelli di protezione dei diritti dell’uomo, </w:t>
      </w:r>
      <w:r w:rsidRPr="00AE712B">
        <w:rPr>
          <w:rFonts w:ascii="Bookman Old Style" w:hAnsi="Bookman Old Style" w:cs="Times New Roman"/>
          <w:sz w:val="20"/>
          <w:szCs w:val="20"/>
        </w:rPr>
        <w:t>in I diritti dell’uomo, n. 1/1999.</w:t>
      </w:r>
    </w:p>
  </w:footnote>
  <w:footnote w:id="2">
    <w:p w:rsidR="00D31D13" w:rsidRPr="00AE712B" w:rsidRDefault="00D31D13" w:rsidP="00AE712B">
      <w:pPr>
        <w:autoSpaceDE w:val="0"/>
        <w:autoSpaceDN w:val="0"/>
        <w:adjustRightInd w:val="0"/>
        <w:spacing w:after="0" w:line="240" w:lineRule="auto"/>
        <w:jc w:val="both"/>
        <w:rPr>
          <w:rFonts w:ascii="Bookman Old Style" w:hAnsi="Bookman Old Style" w:cs="Times New Roman"/>
          <w:sz w:val="20"/>
          <w:szCs w:val="20"/>
        </w:rPr>
      </w:pPr>
      <w:r w:rsidRPr="00AE712B">
        <w:rPr>
          <w:rFonts w:ascii="Bookman Old Style" w:hAnsi="Bookman Old Style" w:cs="Times New Roman"/>
          <w:sz w:val="20"/>
          <w:szCs w:val="20"/>
        </w:rPr>
        <w:footnoteRef/>
      </w:r>
      <w:r w:rsidRPr="00AE712B">
        <w:rPr>
          <w:rFonts w:ascii="Bookman Old Style" w:hAnsi="Bookman Old Style" w:cs="Times New Roman"/>
          <w:sz w:val="20"/>
          <w:szCs w:val="20"/>
        </w:rPr>
        <w:t xml:space="preserve"> A. BALDASSARRE, </w:t>
      </w:r>
      <w:r w:rsidRPr="00AE712B">
        <w:rPr>
          <w:rFonts w:ascii="Bookman Old Style" w:hAnsi="Bookman Old Style" w:cs="Times New Roman"/>
          <w:i/>
          <w:sz w:val="20"/>
          <w:szCs w:val="20"/>
        </w:rPr>
        <w:t>I diritti fondamentali nello Stato costituzionale</w:t>
      </w:r>
      <w:r w:rsidRPr="00AE712B">
        <w:rPr>
          <w:rFonts w:ascii="Bookman Old Style" w:hAnsi="Bookman Old Style" w:cs="Times New Roman"/>
          <w:sz w:val="20"/>
          <w:szCs w:val="20"/>
        </w:rPr>
        <w:t xml:space="preserve">, in AA.VV., </w:t>
      </w:r>
      <w:r w:rsidRPr="00AE712B">
        <w:rPr>
          <w:rFonts w:ascii="Bookman Old Style" w:hAnsi="Bookman Old Style" w:cs="Times New Roman"/>
          <w:i/>
          <w:sz w:val="20"/>
          <w:szCs w:val="20"/>
        </w:rPr>
        <w:t xml:space="preserve">Scritti in onore di Alberto </w:t>
      </w:r>
      <w:proofErr w:type="spellStart"/>
      <w:r w:rsidRPr="00AE712B">
        <w:rPr>
          <w:rFonts w:ascii="Bookman Old Style" w:hAnsi="Bookman Old Style" w:cs="Times New Roman"/>
          <w:i/>
          <w:sz w:val="20"/>
          <w:szCs w:val="20"/>
        </w:rPr>
        <w:t>Predieri</w:t>
      </w:r>
      <w:proofErr w:type="spellEnd"/>
      <w:r w:rsidRPr="00AE712B">
        <w:rPr>
          <w:rFonts w:ascii="Bookman Old Style" w:hAnsi="Bookman Old Style" w:cs="Times New Roman"/>
          <w:sz w:val="20"/>
          <w:szCs w:val="20"/>
        </w:rPr>
        <w:t>, Milano 1996.</w:t>
      </w:r>
    </w:p>
  </w:footnote>
  <w:footnote w:id="3">
    <w:p w:rsidR="00D31D13" w:rsidRPr="00AE712B" w:rsidRDefault="00D31D13" w:rsidP="00AE712B">
      <w:pPr>
        <w:autoSpaceDE w:val="0"/>
        <w:autoSpaceDN w:val="0"/>
        <w:adjustRightInd w:val="0"/>
        <w:spacing w:after="0" w:line="240" w:lineRule="auto"/>
        <w:jc w:val="both"/>
        <w:rPr>
          <w:rFonts w:ascii="Bookman Old Style" w:hAnsi="Bookman Old Style" w:cs="Times New Roman"/>
          <w:sz w:val="20"/>
          <w:szCs w:val="20"/>
        </w:rPr>
      </w:pPr>
      <w:r w:rsidRPr="00AE712B">
        <w:rPr>
          <w:rFonts w:ascii="Bookman Old Style" w:hAnsi="Bookman Old Style" w:cs="Times New Roman"/>
          <w:sz w:val="20"/>
          <w:szCs w:val="20"/>
        </w:rPr>
        <w:footnoteRef/>
      </w:r>
      <w:r w:rsidRPr="00AE712B">
        <w:rPr>
          <w:rFonts w:ascii="Bookman Old Style" w:hAnsi="Bookman Old Style" w:cs="Times New Roman"/>
          <w:sz w:val="20"/>
          <w:szCs w:val="20"/>
        </w:rPr>
        <w:t xml:space="preserve"> M. FIORAVANTI, </w:t>
      </w:r>
      <w:r w:rsidRPr="00AE712B">
        <w:rPr>
          <w:rFonts w:ascii="Bookman Old Style" w:hAnsi="Bookman Old Style" w:cs="Times New Roman"/>
          <w:i/>
          <w:sz w:val="20"/>
          <w:szCs w:val="20"/>
        </w:rPr>
        <w:t xml:space="preserve">Costituzioni e </w:t>
      </w:r>
      <w:proofErr w:type="gramStart"/>
      <w:r w:rsidRPr="00AE712B">
        <w:rPr>
          <w:rFonts w:ascii="Bookman Old Style" w:hAnsi="Bookman Old Style" w:cs="Times New Roman"/>
          <w:i/>
          <w:sz w:val="20"/>
          <w:szCs w:val="20"/>
        </w:rPr>
        <w:t>politica :</w:t>
      </w:r>
      <w:proofErr w:type="gramEnd"/>
      <w:r w:rsidRPr="00AE712B">
        <w:rPr>
          <w:rFonts w:ascii="Bookman Old Style" w:hAnsi="Bookman Old Style" w:cs="Times New Roman"/>
          <w:i/>
          <w:sz w:val="20"/>
          <w:szCs w:val="20"/>
        </w:rPr>
        <w:t xml:space="preserve"> bilancio di fine secolo</w:t>
      </w:r>
      <w:r w:rsidRPr="00AE712B">
        <w:rPr>
          <w:rFonts w:ascii="Bookman Old Style" w:hAnsi="Bookman Old Style" w:cs="Times New Roman"/>
          <w:sz w:val="20"/>
          <w:szCs w:val="20"/>
        </w:rPr>
        <w:t xml:space="preserve">, in ( a cura di ) L. </w:t>
      </w:r>
      <w:proofErr w:type="spellStart"/>
      <w:r w:rsidRPr="00AE712B">
        <w:rPr>
          <w:rFonts w:ascii="Bookman Old Style" w:hAnsi="Bookman Old Style" w:cs="Times New Roman"/>
          <w:sz w:val="20"/>
          <w:szCs w:val="20"/>
        </w:rPr>
        <w:t>Ornaghi</w:t>
      </w:r>
      <w:proofErr w:type="spellEnd"/>
      <w:r w:rsidRPr="00AE712B">
        <w:rPr>
          <w:rFonts w:ascii="Bookman Old Style" w:hAnsi="Bookman Old Style" w:cs="Times New Roman"/>
          <w:sz w:val="20"/>
          <w:szCs w:val="20"/>
        </w:rPr>
        <w:t xml:space="preserve">, </w:t>
      </w:r>
      <w:r w:rsidRPr="00AE712B">
        <w:rPr>
          <w:rFonts w:ascii="Bookman Old Style" w:hAnsi="Bookman Old Style" w:cs="Times New Roman"/>
          <w:i/>
          <w:sz w:val="20"/>
          <w:szCs w:val="20"/>
        </w:rPr>
        <w:t>La nuova età delle Costituzioni</w:t>
      </w:r>
      <w:r w:rsidRPr="00AE712B">
        <w:rPr>
          <w:rFonts w:ascii="Bookman Old Style" w:hAnsi="Bookman Old Style" w:cs="Times New Roman"/>
          <w:sz w:val="20"/>
          <w:szCs w:val="20"/>
        </w:rPr>
        <w:t>, Il Mulino 2000</w:t>
      </w:r>
    </w:p>
  </w:footnote>
  <w:footnote w:id="4">
    <w:p w:rsidR="00D31D13" w:rsidRPr="00AE712B" w:rsidRDefault="00D31D13" w:rsidP="00AE712B">
      <w:pPr>
        <w:autoSpaceDE w:val="0"/>
        <w:autoSpaceDN w:val="0"/>
        <w:adjustRightInd w:val="0"/>
        <w:spacing w:after="0" w:line="240" w:lineRule="auto"/>
        <w:jc w:val="both"/>
        <w:rPr>
          <w:rFonts w:ascii="Bookman Old Style" w:hAnsi="Bookman Old Style" w:cs="Times New Roman"/>
          <w:sz w:val="20"/>
          <w:szCs w:val="20"/>
        </w:rPr>
      </w:pPr>
      <w:r w:rsidRPr="00AE712B">
        <w:rPr>
          <w:rFonts w:ascii="Bookman Old Style" w:hAnsi="Bookman Old Style" w:cs="Times New Roman"/>
          <w:sz w:val="20"/>
          <w:szCs w:val="20"/>
        </w:rPr>
        <w:footnoteRef/>
      </w:r>
      <w:r w:rsidRPr="00AE712B">
        <w:rPr>
          <w:rFonts w:ascii="Bookman Old Style" w:hAnsi="Bookman Old Style" w:cs="Times New Roman"/>
          <w:sz w:val="20"/>
          <w:szCs w:val="20"/>
        </w:rPr>
        <w:t xml:space="preserve"> C, AMIRANTE, </w:t>
      </w:r>
      <w:r w:rsidRPr="00AE712B">
        <w:rPr>
          <w:rFonts w:ascii="Bookman Old Style" w:hAnsi="Bookman Old Style" w:cs="Times New Roman"/>
          <w:i/>
          <w:sz w:val="20"/>
          <w:szCs w:val="20"/>
        </w:rPr>
        <w:t xml:space="preserve">Diritti dell’uomo e sistema costituzionale: un futuro dal cuore </w:t>
      </w:r>
      <w:proofErr w:type="gramStart"/>
      <w:r w:rsidRPr="00AE712B">
        <w:rPr>
          <w:rFonts w:ascii="Bookman Old Style" w:hAnsi="Bookman Old Style" w:cs="Times New Roman"/>
          <w:i/>
          <w:sz w:val="20"/>
          <w:szCs w:val="20"/>
        </w:rPr>
        <w:t>antico?</w:t>
      </w:r>
      <w:r w:rsidRPr="00AE712B">
        <w:rPr>
          <w:rFonts w:ascii="Bookman Old Style" w:hAnsi="Bookman Old Style" w:cs="Times New Roman"/>
          <w:sz w:val="20"/>
          <w:szCs w:val="20"/>
        </w:rPr>
        <w:t>,</w:t>
      </w:r>
      <w:proofErr w:type="gramEnd"/>
      <w:r w:rsidRPr="00AE712B">
        <w:rPr>
          <w:rFonts w:ascii="Bookman Old Style" w:hAnsi="Bookman Old Style" w:cs="Times New Roman"/>
          <w:sz w:val="20"/>
          <w:szCs w:val="20"/>
        </w:rPr>
        <w:t xml:space="preserve"> saggio introduttivo in E. DENNINGER, </w:t>
      </w:r>
      <w:r w:rsidRPr="00AE712B">
        <w:rPr>
          <w:rFonts w:ascii="Bookman Old Style" w:hAnsi="Bookman Old Style" w:cs="Times New Roman"/>
          <w:i/>
          <w:sz w:val="20"/>
          <w:szCs w:val="20"/>
        </w:rPr>
        <w:t>Diritti dell’uomo e legge fondamentale</w:t>
      </w:r>
      <w:r w:rsidRPr="00AE712B">
        <w:rPr>
          <w:rFonts w:ascii="Bookman Old Style" w:hAnsi="Bookman Old Style" w:cs="Times New Roman"/>
          <w:sz w:val="20"/>
          <w:szCs w:val="20"/>
        </w:rPr>
        <w:t>, Torino 1997.</w:t>
      </w:r>
    </w:p>
  </w:footnote>
  <w:footnote w:id="5">
    <w:p w:rsidR="00D31D13" w:rsidRPr="00AE712B" w:rsidRDefault="00D31D13" w:rsidP="00AE712B">
      <w:pPr>
        <w:autoSpaceDE w:val="0"/>
        <w:autoSpaceDN w:val="0"/>
        <w:adjustRightInd w:val="0"/>
        <w:spacing w:after="0" w:line="240" w:lineRule="auto"/>
        <w:jc w:val="both"/>
        <w:rPr>
          <w:rFonts w:ascii="Bookman Old Style" w:hAnsi="Bookman Old Style" w:cs="Times New Roman"/>
          <w:sz w:val="20"/>
          <w:szCs w:val="20"/>
        </w:rPr>
      </w:pPr>
      <w:r w:rsidRPr="00AE712B">
        <w:rPr>
          <w:rFonts w:ascii="Bookman Old Style" w:hAnsi="Bookman Old Style" w:cs="Times New Roman"/>
          <w:sz w:val="20"/>
          <w:szCs w:val="20"/>
        </w:rPr>
        <w:footnoteRef/>
      </w:r>
      <w:r w:rsidRPr="00AE712B">
        <w:rPr>
          <w:rFonts w:ascii="Bookman Old Style" w:hAnsi="Bookman Old Style" w:cs="Times New Roman"/>
          <w:sz w:val="20"/>
          <w:szCs w:val="20"/>
        </w:rPr>
        <w:t xml:space="preserve"> V. </w:t>
      </w:r>
      <w:proofErr w:type="gramStart"/>
      <w:r w:rsidRPr="00AE712B">
        <w:rPr>
          <w:rFonts w:ascii="Bookman Old Style" w:hAnsi="Bookman Old Style" w:cs="Times New Roman"/>
          <w:sz w:val="20"/>
          <w:szCs w:val="20"/>
        </w:rPr>
        <w:t>COCOZZA ,</w:t>
      </w:r>
      <w:proofErr w:type="gramEnd"/>
      <w:r w:rsidRPr="00AE712B">
        <w:rPr>
          <w:rFonts w:ascii="Bookman Old Style" w:hAnsi="Bookman Old Style" w:cs="Times New Roman"/>
          <w:sz w:val="20"/>
          <w:szCs w:val="20"/>
        </w:rPr>
        <w:t xml:space="preserve"> voce </w:t>
      </w:r>
      <w:r w:rsidRPr="00AE712B">
        <w:rPr>
          <w:rFonts w:ascii="Bookman Old Style" w:hAnsi="Bookman Old Style" w:cs="Times New Roman"/>
          <w:i/>
          <w:sz w:val="20"/>
          <w:szCs w:val="20"/>
        </w:rPr>
        <w:t>Costituzione II ) Costituzione italiana</w:t>
      </w:r>
      <w:r w:rsidRPr="00AE712B">
        <w:rPr>
          <w:rFonts w:ascii="Bookman Old Style" w:hAnsi="Bookman Old Style" w:cs="Times New Roman"/>
          <w:sz w:val="20"/>
          <w:szCs w:val="20"/>
        </w:rPr>
        <w:t xml:space="preserve">, in </w:t>
      </w:r>
      <w:proofErr w:type="spellStart"/>
      <w:r w:rsidRPr="00AE712B">
        <w:rPr>
          <w:rFonts w:ascii="Bookman Old Style" w:hAnsi="Bookman Old Style" w:cs="Times New Roman"/>
          <w:sz w:val="20"/>
          <w:szCs w:val="20"/>
        </w:rPr>
        <w:t>Enc</w:t>
      </w:r>
      <w:proofErr w:type="spellEnd"/>
      <w:r w:rsidRPr="00AE712B">
        <w:rPr>
          <w:rFonts w:ascii="Bookman Old Style" w:hAnsi="Bookman Old Style" w:cs="Times New Roman"/>
          <w:sz w:val="20"/>
          <w:szCs w:val="20"/>
        </w:rPr>
        <w:t>. Giur. X, Roma</w:t>
      </w:r>
    </w:p>
  </w:footnote>
  <w:footnote w:id="6">
    <w:p w:rsidR="00D31D13" w:rsidRPr="00AE712B" w:rsidRDefault="00D31D13" w:rsidP="00AE712B">
      <w:pPr>
        <w:autoSpaceDE w:val="0"/>
        <w:autoSpaceDN w:val="0"/>
        <w:adjustRightInd w:val="0"/>
        <w:spacing w:after="0" w:line="240" w:lineRule="auto"/>
        <w:jc w:val="both"/>
        <w:rPr>
          <w:rFonts w:ascii="Bookman Old Style" w:hAnsi="Bookman Old Style" w:cs="Times New Roman"/>
          <w:sz w:val="20"/>
          <w:szCs w:val="20"/>
        </w:rPr>
      </w:pPr>
      <w:r w:rsidRPr="00AE712B">
        <w:rPr>
          <w:rFonts w:ascii="Bookman Old Style" w:hAnsi="Bookman Old Style" w:cs="Times New Roman"/>
          <w:sz w:val="20"/>
          <w:szCs w:val="20"/>
        </w:rPr>
        <w:footnoteRef/>
      </w:r>
      <w:r w:rsidRPr="00AE712B">
        <w:rPr>
          <w:rFonts w:ascii="Bookman Old Style" w:hAnsi="Bookman Old Style" w:cs="Times New Roman"/>
          <w:sz w:val="20"/>
          <w:szCs w:val="20"/>
        </w:rPr>
        <w:t xml:space="preserve"> Va osservata in proposito una specifica rispondenza nella giurisprudenza costituzionale, in ispecie con la sentenza n. 170 del 1984, con cui si dava ingresso nell’ordinamento interno alle fonti comunitarie; la Corte ha ritenuto che “ciò non implicava che l’intero settore dei rapporti fra diritto comunitario e diritto interno fosse sottratto alla propria competenza (v. anche la sentenza n. 183 del 1973), potendo la legge di esecuzione del Trattato andar soggetta al suo sindacato, in riferimento ai principi fondamentali del nostro ordinamento costituzionale ed ai diritti inalienabili della persona umana”; affermazione, questa, resa ancor più esplicita nella sentenza n. 1146 del 1988, dove si è apertamente dichiarato che “la Costituzione italiana contiene alcuni principi supremi che non possono essere sovvertiti o modificati nel loro contenuto essenziale neppure da leggi di revisione costituzionale o da altre leggi costituzionali. Questi principi, pur non essendo espressamente menzionati fra quelli non assoggettabili al procedimento di revisione costituzionale, appartengono all’ </w:t>
      </w:r>
      <w:r w:rsidRPr="00AE712B">
        <w:rPr>
          <w:rFonts w:ascii="Times New Roman" w:hAnsi="Times New Roman" w:cs="Times New Roman"/>
          <w:sz w:val="20"/>
          <w:szCs w:val="20"/>
        </w:rPr>
        <w:t>‟</w:t>
      </w:r>
      <w:r w:rsidRPr="00AE712B">
        <w:rPr>
          <w:rFonts w:ascii="Bookman Old Style" w:hAnsi="Bookman Old Style" w:cs="Times New Roman"/>
          <w:sz w:val="20"/>
          <w:szCs w:val="20"/>
        </w:rPr>
        <w:t>essenza dei valori supremi sui quali si fonda la Costituzione italiana ed hanno, quindi, una valenza superiore rispetto alle altre norme o leggi di rango costituzionale”.</w:t>
      </w:r>
    </w:p>
  </w:footnote>
  <w:footnote w:id="7">
    <w:p w:rsidR="00D31D13" w:rsidRPr="00AE712B" w:rsidRDefault="00D31D13" w:rsidP="00AE712B">
      <w:pPr>
        <w:autoSpaceDE w:val="0"/>
        <w:autoSpaceDN w:val="0"/>
        <w:adjustRightInd w:val="0"/>
        <w:spacing w:after="0" w:line="240" w:lineRule="auto"/>
        <w:jc w:val="both"/>
        <w:rPr>
          <w:rFonts w:ascii="Bookman Old Style" w:hAnsi="Bookman Old Style" w:cs="Times New Roman"/>
          <w:sz w:val="20"/>
          <w:szCs w:val="20"/>
        </w:rPr>
      </w:pPr>
      <w:r w:rsidRPr="00AE712B">
        <w:rPr>
          <w:rFonts w:ascii="Bookman Old Style" w:hAnsi="Bookman Old Style" w:cs="Times New Roman"/>
          <w:sz w:val="20"/>
          <w:szCs w:val="20"/>
        </w:rPr>
        <w:footnoteRef/>
      </w:r>
      <w:r w:rsidRPr="00AE712B">
        <w:rPr>
          <w:rFonts w:ascii="Bookman Old Style" w:hAnsi="Bookman Old Style" w:cs="Times New Roman"/>
          <w:sz w:val="20"/>
          <w:szCs w:val="20"/>
        </w:rPr>
        <w:t xml:space="preserve"> F.BASSANINI</w:t>
      </w:r>
      <w:r w:rsidR="00A67B52">
        <w:rPr>
          <w:rFonts w:ascii="Bookman Old Style" w:hAnsi="Bookman Old Style" w:cs="Times New Roman"/>
          <w:sz w:val="20"/>
          <w:szCs w:val="20"/>
        </w:rPr>
        <w:t>,</w:t>
      </w:r>
      <w:r w:rsidRPr="00AE712B">
        <w:rPr>
          <w:rFonts w:ascii="Bookman Old Style" w:hAnsi="Bookman Old Style" w:cs="Times New Roman"/>
          <w:sz w:val="20"/>
          <w:szCs w:val="20"/>
        </w:rPr>
        <w:t xml:space="preserve"> </w:t>
      </w:r>
      <w:r w:rsidR="0069388E" w:rsidRPr="00AE712B">
        <w:rPr>
          <w:rFonts w:ascii="Bookman Old Style" w:hAnsi="Bookman Old Style" w:cs="Times New Roman"/>
          <w:i/>
          <w:sz w:val="20"/>
          <w:szCs w:val="20"/>
        </w:rPr>
        <w:t>Il “</w:t>
      </w:r>
      <w:r w:rsidR="0069388E">
        <w:rPr>
          <w:rFonts w:ascii="Bookman Old Style" w:hAnsi="Bookman Old Style" w:cs="Times New Roman"/>
          <w:i/>
          <w:sz w:val="20"/>
          <w:szCs w:val="20"/>
        </w:rPr>
        <w:t>m</w:t>
      </w:r>
      <w:r w:rsidR="0069388E" w:rsidRPr="00AE712B">
        <w:rPr>
          <w:rFonts w:ascii="Bookman Old Style" w:hAnsi="Bookman Old Style" w:cs="Times New Roman"/>
          <w:i/>
          <w:sz w:val="20"/>
          <w:szCs w:val="20"/>
        </w:rPr>
        <w:t xml:space="preserve">odello </w:t>
      </w:r>
      <w:r w:rsidR="0069388E">
        <w:rPr>
          <w:rFonts w:ascii="Bookman Old Style" w:hAnsi="Bookman Old Style" w:cs="Times New Roman"/>
          <w:i/>
          <w:sz w:val="20"/>
          <w:szCs w:val="20"/>
        </w:rPr>
        <w:t>f</w:t>
      </w:r>
      <w:r w:rsidR="0069388E" w:rsidRPr="00AE712B">
        <w:rPr>
          <w:rFonts w:ascii="Bookman Old Style" w:hAnsi="Bookman Old Style" w:cs="Times New Roman"/>
          <w:i/>
          <w:sz w:val="20"/>
          <w:szCs w:val="20"/>
        </w:rPr>
        <w:t>ederale” e il federalismo fiscale</w:t>
      </w:r>
      <w:r w:rsidRPr="00AE712B">
        <w:rPr>
          <w:rFonts w:ascii="Bookman Old Style" w:hAnsi="Bookman Old Style" w:cs="Times New Roman"/>
          <w:sz w:val="20"/>
          <w:szCs w:val="20"/>
        </w:rPr>
        <w:t xml:space="preserve">, </w:t>
      </w:r>
      <w:proofErr w:type="spellStart"/>
      <w:r w:rsidRPr="00AE712B">
        <w:rPr>
          <w:rFonts w:ascii="Bookman Old Style" w:hAnsi="Bookman Old Style" w:cs="Times New Roman"/>
          <w:sz w:val="20"/>
          <w:szCs w:val="20"/>
        </w:rPr>
        <w:t>Astrid</w:t>
      </w:r>
      <w:proofErr w:type="spellEnd"/>
      <w:r w:rsidRPr="00AE712B">
        <w:rPr>
          <w:rFonts w:ascii="Bookman Old Style" w:hAnsi="Bookman Old Style" w:cs="Times New Roman"/>
          <w:sz w:val="20"/>
          <w:szCs w:val="20"/>
        </w:rPr>
        <w:t>.</w:t>
      </w:r>
    </w:p>
  </w:footnote>
  <w:footnote w:id="8">
    <w:p w:rsidR="0069388E" w:rsidRPr="00A67B52" w:rsidRDefault="0069388E" w:rsidP="00A67B52">
      <w:pPr>
        <w:autoSpaceDE w:val="0"/>
        <w:autoSpaceDN w:val="0"/>
        <w:adjustRightInd w:val="0"/>
        <w:spacing w:after="0" w:line="240" w:lineRule="auto"/>
        <w:jc w:val="both"/>
        <w:rPr>
          <w:rFonts w:ascii="Bookman Old Style" w:hAnsi="Bookman Old Style" w:cs="Times New Roman"/>
          <w:sz w:val="20"/>
          <w:szCs w:val="20"/>
        </w:rPr>
      </w:pPr>
      <w:r w:rsidRPr="00A67B52">
        <w:rPr>
          <w:rFonts w:ascii="Bookman Old Style" w:hAnsi="Bookman Old Style" w:cs="Times New Roman"/>
          <w:sz w:val="20"/>
          <w:szCs w:val="20"/>
        </w:rPr>
        <w:footnoteRef/>
      </w:r>
      <w:r w:rsidRPr="00A67B52">
        <w:rPr>
          <w:rFonts w:ascii="Bookman Old Style" w:hAnsi="Bookman Old Style" w:cs="Times New Roman"/>
          <w:sz w:val="20"/>
          <w:szCs w:val="20"/>
        </w:rPr>
        <w:t xml:space="preserve"> Il processo di decentramento </w:t>
      </w:r>
      <w:r w:rsidR="005E5147" w:rsidRPr="00A67B52">
        <w:rPr>
          <w:rFonts w:ascii="Bookman Old Style" w:hAnsi="Bookman Old Style" w:cs="Times New Roman"/>
          <w:sz w:val="20"/>
          <w:szCs w:val="20"/>
        </w:rPr>
        <w:t xml:space="preserve">attuato con la </w:t>
      </w:r>
      <w:r w:rsidRPr="00A67B52">
        <w:rPr>
          <w:rFonts w:ascii="Bookman Old Style" w:hAnsi="Bookman Old Style" w:cs="Times New Roman"/>
          <w:sz w:val="20"/>
          <w:szCs w:val="20"/>
        </w:rPr>
        <w:t xml:space="preserve">riforma del Titolo V della Costituzione non ha comportato un ampliamento del catalogo dei diritti fondamentali bensì la previsione di forme e condizioni particolari di autonomia legislativa ed amministrativa in taluni settori ordinamentali, con particolare riferimento a quelli deputati all’erogazione di servizi necessari a </w:t>
      </w:r>
      <w:r w:rsidR="00A67B52">
        <w:rPr>
          <w:rFonts w:ascii="Bookman Old Style" w:hAnsi="Bookman Old Style" w:cs="Times New Roman"/>
          <w:sz w:val="20"/>
          <w:szCs w:val="20"/>
        </w:rPr>
        <w:t>dare attuazione ai precetti costituzionali relativi a tali diritti</w:t>
      </w:r>
      <w:r w:rsidRPr="00A67B52">
        <w:rPr>
          <w:rFonts w:ascii="Bookman Old Style" w:hAnsi="Bookman Old Style" w:cs="Times New Roman"/>
          <w:sz w:val="20"/>
          <w:szCs w:val="20"/>
        </w:rPr>
        <w:t xml:space="preserve">. </w:t>
      </w:r>
      <w:r w:rsidR="005E5147" w:rsidRPr="00A67B52">
        <w:rPr>
          <w:rFonts w:ascii="Bookman Old Style" w:hAnsi="Bookman Old Style" w:cs="Times New Roman"/>
          <w:sz w:val="20"/>
          <w:szCs w:val="20"/>
        </w:rPr>
        <w:t xml:space="preserve">La medesima linea evolutiva è riscontrabile </w:t>
      </w:r>
      <w:r w:rsidR="00A67B52" w:rsidRPr="00A67B52">
        <w:rPr>
          <w:rFonts w:ascii="Bookman Old Style" w:hAnsi="Bookman Old Style" w:cs="Times New Roman"/>
          <w:sz w:val="20"/>
          <w:szCs w:val="20"/>
        </w:rPr>
        <w:t xml:space="preserve">dalla lettura degli accordi preliminari in merito all’Intesa prevista dall’art.116, terzo comma, della Costituzione, </w:t>
      </w:r>
      <w:r w:rsidR="00A67B52">
        <w:rPr>
          <w:rFonts w:ascii="Bookman Old Style" w:hAnsi="Bookman Old Style" w:cs="Times New Roman"/>
          <w:sz w:val="20"/>
          <w:szCs w:val="20"/>
        </w:rPr>
        <w:t>firmata il 28 febbraio 2018 dal</w:t>
      </w:r>
      <w:r w:rsidR="00A67B52" w:rsidRPr="00A67B52">
        <w:rPr>
          <w:rFonts w:ascii="Bookman Old Style" w:hAnsi="Bookman Old Style" w:cs="Times New Roman"/>
          <w:sz w:val="20"/>
          <w:szCs w:val="20"/>
        </w:rPr>
        <w:t xml:space="preserve"> Governo della Repubblica Italiana e </w:t>
      </w:r>
      <w:r w:rsidR="00A67B52">
        <w:rPr>
          <w:rFonts w:ascii="Bookman Old Style" w:hAnsi="Bookman Old Style" w:cs="Times New Roman"/>
          <w:sz w:val="20"/>
          <w:szCs w:val="20"/>
        </w:rPr>
        <w:t>dalle Regioni</w:t>
      </w:r>
      <w:r w:rsidR="00A67B52" w:rsidRPr="00A67B52">
        <w:rPr>
          <w:rFonts w:ascii="Bookman Old Style" w:hAnsi="Bookman Old Style" w:cs="Times New Roman"/>
          <w:sz w:val="20"/>
          <w:szCs w:val="20"/>
        </w:rPr>
        <w:t xml:space="preserve"> Emilia-Romagna, Lombardia e Veneto.</w:t>
      </w:r>
      <w:r w:rsidRPr="00A67B52">
        <w:rPr>
          <w:rFonts w:ascii="Bookman Old Style" w:hAnsi="Bookman Old Style" w:cs="Times New Roman"/>
          <w:sz w:val="20"/>
          <w:szCs w:val="20"/>
        </w:rPr>
        <w:t xml:space="preserve"> </w:t>
      </w:r>
    </w:p>
  </w:footnote>
  <w:footnote w:id="9">
    <w:p w:rsidR="00D31D13" w:rsidRPr="00AE712B" w:rsidRDefault="00D31D13" w:rsidP="00AE712B">
      <w:pPr>
        <w:autoSpaceDE w:val="0"/>
        <w:autoSpaceDN w:val="0"/>
        <w:adjustRightInd w:val="0"/>
        <w:spacing w:after="0" w:line="240" w:lineRule="auto"/>
        <w:jc w:val="both"/>
        <w:rPr>
          <w:rFonts w:ascii="Bookman Old Style" w:hAnsi="Bookman Old Style" w:cs="Times New Roman"/>
          <w:sz w:val="20"/>
          <w:szCs w:val="20"/>
        </w:rPr>
      </w:pPr>
      <w:r w:rsidRPr="00AE712B">
        <w:rPr>
          <w:rFonts w:ascii="Bookman Old Style" w:hAnsi="Bookman Old Style" w:cs="Times New Roman"/>
          <w:sz w:val="20"/>
          <w:szCs w:val="20"/>
        </w:rPr>
        <w:footnoteRef/>
      </w:r>
      <w:r w:rsidRPr="00AE712B">
        <w:rPr>
          <w:rFonts w:ascii="Bookman Old Style" w:hAnsi="Bookman Old Style" w:cs="Times New Roman"/>
          <w:sz w:val="20"/>
          <w:szCs w:val="20"/>
        </w:rPr>
        <w:t xml:space="preserve"> È stato affermato che, nella prospettiva della loro tutela, la Costituzione assegna «al legislatore statale un fondamentale strumento per garantire il mantenimento di un’adeguata uniformità di trattamento sul piano dei diritti di tutti i soggetti, pur in un sistema caratterizzato da un livello di autonomia regionale e locale decisamente accresciuto»</w:t>
      </w:r>
      <w:bookmarkStart w:id="2" w:name="_ftnref14"/>
      <w:r w:rsidRPr="00AE712B">
        <w:rPr>
          <w:rFonts w:ascii="Bookman Old Style" w:hAnsi="Bookman Old Style" w:cs="Times New Roman"/>
          <w:sz w:val="20"/>
          <w:szCs w:val="20"/>
        </w:rPr>
        <w:t xml:space="preserve"> (</w:t>
      </w:r>
      <w:bookmarkEnd w:id="2"/>
      <w:r w:rsidRPr="00AE712B">
        <w:rPr>
          <w:rFonts w:ascii="Bookman Old Style" w:hAnsi="Bookman Old Style" w:cs="Times New Roman"/>
          <w:sz w:val="20"/>
          <w:szCs w:val="20"/>
        </w:rPr>
        <w:t>Corte cost. n. 111 del 2014). Si tratta, dunque, «non tanto di una “materia” in senso stretto, quanto di una competenza del legislatore statale idonea ad investire tutte le materie, rispetto alle quali il legislatore stesso deve poter porre le norme necessarie per assicurare a tutti, sull’intero territorio nazionale, il godimento di prestazioni garantite, come contenuto essenziale di tali diritti, senza che la legislazione regionale possa limitarle o condizionarle»</w:t>
      </w:r>
      <w:bookmarkStart w:id="3" w:name="_ftnref15"/>
      <w:r w:rsidRPr="00AE712B">
        <w:rPr>
          <w:rFonts w:ascii="Bookman Old Style" w:hAnsi="Bookman Old Style" w:cs="Times New Roman"/>
          <w:sz w:val="20"/>
          <w:szCs w:val="20"/>
        </w:rPr>
        <w:t xml:space="preserve"> </w:t>
      </w:r>
      <w:hyperlink r:id="rId1" w:anchor="_ftn15" w:history="1">
        <w:r w:rsidRPr="00AE712B">
          <w:rPr>
            <w:rFonts w:ascii="Bookman Old Style" w:hAnsi="Bookman Old Style" w:cs="Times New Roman"/>
            <w:sz w:val="20"/>
            <w:szCs w:val="20"/>
          </w:rPr>
          <w:t>(</w:t>
        </w:r>
      </w:hyperlink>
      <w:bookmarkEnd w:id="3"/>
      <w:r w:rsidRPr="00AE712B">
        <w:rPr>
          <w:rFonts w:ascii="Bookman Old Style" w:hAnsi="Bookman Old Style" w:cs="Times New Roman"/>
          <w:sz w:val="20"/>
          <w:szCs w:val="20"/>
        </w:rPr>
        <w:t xml:space="preserve">Corte </w:t>
      </w:r>
      <w:proofErr w:type="spellStart"/>
      <w:r w:rsidRPr="00AE712B">
        <w:rPr>
          <w:rFonts w:ascii="Bookman Old Style" w:hAnsi="Bookman Old Style" w:cs="Times New Roman"/>
          <w:sz w:val="20"/>
          <w:szCs w:val="20"/>
        </w:rPr>
        <w:t>cost</w:t>
      </w:r>
      <w:proofErr w:type="spellEnd"/>
      <w:r w:rsidRPr="00AE712B">
        <w:rPr>
          <w:rFonts w:ascii="Bookman Old Style" w:hAnsi="Bookman Old Style" w:cs="Times New Roman"/>
          <w:sz w:val="20"/>
          <w:szCs w:val="20"/>
        </w:rPr>
        <w:t xml:space="preserve">., </w:t>
      </w:r>
      <w:proofErr w:type="spellStart"/>
      <w:r w:rsidRPr="00AE712B">
        <w:rPr>
          <w:rFonts w:ascii="Bookman Old Style" w:hAnsi="Bookman Old Style" w:cs="Times New Roman"/>
          <w:sz w:val="20"/>
          <w:szCs w:val="20"/>
        </w:rPr>
        <w:t>sent</w:t>
      </w:r>
      <w:proofErr w:type="spellEnd"/>
      <w:r w:rsidRPr="00AE712B">
        <w:rPr>
          <w:rFonts w:ascii="Bookman Old Style" w:hAnsi="Bookman Old Style" w:cs="Times New Roman"/>
          <w:sz w:val="20"/>
          <w:szCs w:val="20"/>
        </w:rPr>
        <w:t xml:space="preserve">. n. 207 del 2012). «I LEA rappresentano quindi degli “standard minimi”» (Corte </w:t>
      </w:r>
      <w:proofErr w:type="spellStart"/>
      <w:r w:rsidRPr="00AE712B">
        <w:rPr>
          <w:rFonts w:ascii="Bookman Old Style" w:hAnsi="Bookman Old Style" w:cs="Times New Roman"/>
          <w:sz w:val="20"/>
          <w:szCs w:val="20"/>
        </w:rPr>
        <w:t>cost</w:t>
      </w:r>
      <w:proofErr w:type="spellEnd"/>
      <w:r w:rsidRPr="00AE712B">
        <w:rPr>
          <w:rFonts w:ascii="Bookman Old Style" w:hAnsi="Bookman Old Style" w:cs="Times New Roman"/>
          <w:sz w:val="20"/>
          <w:szCs w:val="20"/>
        </w:rPr>
        <w:t xml:space="preserve">., </w:t>
      </w:r>
      <w:proofErr w:type="spellStart"/>
      <w:r w:rsidRPr="00AE712B">
        <w:rPr>
          <w:rFonts w:ascii="Bookman Old Style" w:hAnsi="Bookman Old Style" w:cs="Times New Roman"/>
          <w:sz w:val="20"/>
          <w:szCs w:val="20"/>
        </w:rPr>
        <w:t>sent</w:t>
      </w:r>
      <w:proofErr w:type="spellEnd"/>
      <w:r w:rsidRPr="00AE712B">
        <w:rPr>
          <w:rFonts w:ascii="Bookman Old Style" w:hAnsi="Bookman Old Style" w:cs="Times New Roman"/>
          <w:sz w:val="20"/>
          <w:szCs w:val="20"/>
        </w:rPr>
        <w:t>. n. 115 del 2012) da assicurare in modo uniforme su tutto il territorio nazionale, per cui «la deroga alla competenza legislativa delle Regioni, in favore di quella dello Stato, è ammessa solo nei limiti necessari ad evitare che, in parti del territorio nazionale, gli utenti debbano assoggettarsi ad un regime di assistenza sanitaria inferiore, per quantità e qualità, a quello ritenuto intangibile dallo Stato»</w:t>
      </w:r>
      <w:bookmarkStart w:id="4" w:name="_ftnref17"/>
      <w:r w:rsidRPr="00AE712B">
        <w:rPr>
          <w:rFonts w:ascii="Bookman Old Style" w:hAnsi="Bookman Old Style" w:cs="Times New Roman"/>
          <w:sz w:val="20"/>
          <w:szCs w:val="20"/>
        </w:rPr>
        <w:t xml:space="preserve"> </w:t>
      </w:r>
      <w:hyperlink r:id="rId2" w:anchor="_ftn17" w:history="1">
        <w:r w:rsidRPr="00AE712B">
          <w:rPr>
            <w:rFonts w:ascii="Bookman Old Style" w:hAnsi="Bookman Old Style" w:cs="Times New Roman"/>
            <w:sz w:val="20"/>
            <w:szCs w:val="20"/>
          </w:rPr>
          <w:t>(</w:t>
        </w:r>
      </w:hyperlink>
      <w:bookmarkEnd w:id="4"/>
      <w:r w:rsidRPr="00AE712B">
        <w:rPr>
          <w:rFonts w:ascii="Bookman Old Style" w:hAnsi="Bookman Old Style" w:cs="Times New Roman"/>
          <w:sz w:val="20"/>
          <w:szCs w:val="20"/>
        </w:rPr>
        <w:t xml:space="preserve"> Corte </w:t>
      </w:r>
      <w:proofErr w:type="spellStart"/>
      <w:r w:rsidRPr="00AE712B">
        <w:rPr>
          <w:rFonts w:ascii="Bookman Old Style" w:hAnsi="Bookman Old Style" w:cs="Times New Roman"/>
          <w:sz w:val="20"/>
          <w:szCs w:val="20"/>
        </w:rPr>
        <w:t>cost</w:t>
      </w:r>
      <w:proofErr w:type="spellEnd"/>
      <w:r w:rsidRPr="00AE712B">
        <w:rPr>
          <w:rFonts w:ascii="Bookman Old Style" w:hAnsi="Bookman Old Style" w:cs="Times New Roman"/>
          <w:sz w:val="20"/>
          <w:szCs w:val="20"/>
        </w:rPr>
        <w:t xml:space="preserve">., </w:t>
      </w:r>
      <w:proofErr w:type="spellStart"/>
      <w:r w:rsidRPr="00AE712B">
        <w:rPr>
          <w:rFonts w:ascii="Bookman Old Style" w:hAnsi="Bookman Old Style" w:cs="Times New Roman"/>
          <w:sz w:val="20"/>
          <w:szCs w:val="20"/>
        </w:rPr>
        <w:t>sent</w:t>
      </w:r>
      <w:proofErr w:type="spellEnd"/>
      <w:r w:rsidRPr="00AE712B">
        <w:rPr>
          <w:rFonts w:ascii="Bookman Old Style" w:hAnsi="Bookman Old Style" w:cs="Times New Roman"/>
          <w:sz w:val="20"/>
          <w:szCs w:val="20"/>
        </w:rPr>
        <w:t>. n. 207 del 2010), «ferma comunque la possibilità delle singole Regioni, nell’ambito della loro competenza concorrente in materia, di migliorare i s</w:t>
      </w:r>
      <w:bookmarkStart w:id="5" w:name="_ftnref18"/>
      <w:r w:rsidRPr="00AE712B">
        <w:rPr>
          <w:rFonts w:ascii="Bookman Old Style" w:hAnsi="Bookman Old Style" w:cs="Times New Roman"/>
          <w:sz w:val="20"/>
          <w:szCs w:val="20"/>
        </w:rPr>
        <w:t xml:space="preserve">uddetti livelli di prestazioni» </w:t>
      </w:r>
      <w:hyperlink r:id="rId3" w:anchor="_ftn18" w:history="1">
        <w:r w:rsidRPr="00AE712B">
          <w:rPr>
            <w:rFonts w:ascii="Bookman Old Style" w:hAnsi="Bookman Old Style" w:cs="Times New Roman"/>
            <w:sz w:val="20"/>
            <w:szCs w:val="20"/>
          </w:rPr>
          <w:t>(</w:t>
        </w:r>
      </w:hyperlink>
      <w:bookmarkEnd w:id="5"/>
      <w:r w:rsidRPr="00AE712B">
        <w:rPr>
          <w:rFonts w:ascii="Bookman Old Style" w:hAnsi="Bookman Old Style" w:cs="Times New Roman"/>
          <w:sz w:val="20"/>
          <w:szCs w:val="20"/>
        </w:rPr>
        <w:t xml:space="preserve"> Corte </w:t>
      </w:r>
      <w:proofErr w:type="spellStart"/>
      <w:r w:rsidRPr="00AE712B">
        <w:rPr>
          <w:rFonts w:ascii="Bookman Old Style" w:hAnsi="Bookman Old Style" w:cs="Times New Roman"/>
          <w:sz w:val="20"/>
          <w:szCs w:val="20"/>
        </w:rPr>
        <w:t>cost</w:t>
      </w:r>
      <w:proofErr w:type="spellEnd"/>
      <w:r w:rsidRPr="00AE712B">
        <w:rPr>
          <w:rFonts w:ascii="Bookman Old Style" w:hAnsi="Bookman Old Style" w:cs="Times New Roman"/>
          <w:sz w:val="20"/>
          <w:szCs w:val="20"/>
        </w:rPr>
        <w:t xml:space="preserve">., </w:t>
      </w:r>
      <w:proofErr w:type="spellStart"/>
      <w:r w:rsidRPr="00AE712B">
        <w:rPr>
          <w:rFonts w:ascii="Bookman Old Style" w:hAnsi="Bookman Old Style" w:cs="Times New Roman"/>
          <w:sz w:val="20"/>
          <w:szCs w:val="20"/>
        </w:rPr>
        <w:t>sent</w:t>
      </w:r>
      <w:proofErr w:type="spellEnd"/>
      <w:r w:rsidRPr="00AE712B">
        <w:rPr>
          <w:rFonts w:ascii="Bookman Old Style" w:hAnsi="Bookman Old Style" w:cs="Times New Roman"/>
          <w:sz w:val="20"/>
          <w:szCs w:val="20"/>
        </w:rPr>
        <w:t>. n. 200 del 2009).</w:t>
      </w:r>
    </w:p>
  </w:footnote>
  <w:footnote w:id="10">
    <w:p w:rsidR="00D31D13" w:rsidRPr="00AE712B" w:rsidRDefault="00D31D13" w:rsidP="00AE712B">
      <w:pPr>
        <w:pStyle w:val="Testonotaapidipagina"/>
        <w:jc w:val="both"/>
        <w:rPr>
          <w:rFonts w:ascii="Bookman Old Style" w:hAnsi="Bookman Old Style"/>
        </w:rPr>
      </w:pPr>
      <w:r w:rsidRPr="00AE712B">
        <w:rPr>
          <w:rFonts w:ascii="Bookman Old Style" w:hAnsi="Bookman Old Style"/>
        </w:rPr>
        <w:footnoteRef/>
      </w:r>
      <w:r w:rsidRPr="00AE712B">
        <w:rPr>
          <w:rFonts w:ascii="Bookman Old Style" w:hAnsi="Bookman Old Style"/>
        </w:rPr>
        <w:t xml:space="preserve"> Invero, la possibilità che eguaglianza e federalismo possano coesistere all’interno di uno Stato sociale non è mai stata revocata in dubbio, ma parimenti certo è che il rapporto tra queste due esigenze comporta tensioni ed è destinato ad essere un rapporto di conflittualità. La loro coesistenza è, allora, resa “pacifica” da una serie di principi e meccanismi che ne attenuano il fisiologico attrito. Il principio di unità e indivisibilità della Repubblica (art. 5 Cost.), la cui prima conseguenza è che il destino di tutte le parti della Repubblica è inteso come comune; il principio solidaristico (art. 2 Cost.), che si applica non solo ai rapporti tra individui ma anche al rapporto tra enti territoriali. Tale principio comporta il dovere, per gli enti territoriali più abbienti, di operare in modo tale da consentire il progresso di quelli che sono economicamente svantaggiati; il principio di uguaglianza medesimo (art. 3 Cost.), nella sua concreta articolazione e strutturazione. Il principio di progressività del sistema tributario, che determina l’esigenza di un minimo di centralizzazione delle decisioni tributarie poiché altrimenti l’aumento progressivo della pressione fiscale non corrisponderebbe all’aumento dei redditi. In merito, si veda M. LUCIANI, </w:t>
      </w:r>
      <w:r w:rsidRPr="00AE712B">
        <w:rPr>
          <w:rFonts w:ascii="Bookman Old Style" w:hAnsi="Bookman Old Style"/>
          <w:i/>
        </w:rPr>
        <w:t>I diritti Costituzionali tra Stato e Regioni</w:t>
      </w:r>
      <w:r w:rsidRPr="00AE712B">
        <w:rPr>
          <w:rFonts w:ascii="Bookman Old Style" w:hAnsi="Bookman Old Style"/>
        </w:rPr>
        <w:t xml:space="preserve">, (a proposito dell’art. 117, comma 2 lett. m) della Cost.), in, </w:t>
      </w:r>
      <w:r w:rsidRPr="00AE712B">
        <w:rPr>
          <w:rFonts w:ascii="Bookman Old Style" w:hAnsi="Bookman Old Style"/>
          <w:i/>
        </w:rPr>
        <w:t>Politica del diritto</w:t>
      </w:r>
      <w:r w:rsidRPr="00AE712B">
        <w:rPr>
          <w:rFonts w:ascii="Bookman Old Style" w:hAnsi="Bookman Old Style"/>
        </w:rPr>
        <w:t xml:space="preserve">, n. 2002, 345 ss. e in, </w:t>
      </w:r>
      <w:r w:rsidRPr="00AE712B">
        <w:rPr>
          <w:rFonts w:ascii="Bookman Old Style" w:hAnsi="Bookman Old Style"/>
          <w:i/>
        </w:rPr>
        <w:t>Sanità Pubblica</w:t>
      </w:r>
      <w:r w:rsidRPr="00AE712B">
        <w:rPr>
          <w:rFonts w:ascii="Bookman Old Style" w:hAnsi="Bookman Old Style"/>
        </w:rPr>
        <w:t>, 2002, 1034 ss.</w:t>
      </w:r>
    </w:p>
  </w:footnote>
  <w:footnote w:id="11">
    <w:p w:rsidR="00D31D13" w:rsidRPr="00AE712B" w:rsidRDefault="00D31D13" w:rsidP="00AE712B">
      <w:pPr>
        <w:pStyle w:val="Testonotaapidipagina"/>
        <w:jc w:val="both"/>
        <w:rPr>
          <w:rFonts w:ascii="Bookman Old Style" w:hAnsi="Bookman Old Style"/>
        </w:rPr>
      </w:pPr>
      <w:r w:rsidRPr="00AE712B">
        <w:rPr>
          <w:rFonts w:ascii="Bookman Old Style" w:hAnsi="Bookman Old Style"/>
        </w:rPr>
        <w:footnoteRef/>
      </w:r>
      <w:r w:rsidRPr="00AE712B">
        <w:rPr>
          <w:rFonts w:ascii="Bookman Old Style" w:hAnsi="Bookman Old Style"/>
        </w:rPr>
        <w:t xml:space="preserve"> In quanto “alle possibili lesioni del principio di eguaglianza interpersonale e interterritoriale (anche in ragione delle previsioni di cui al novellato art.116 Cost.), il legislatore di revisione costituzionale ha posto rimedio con le disposizioni di cui alla lettera m dell’art.117, secondo comma, Cost., nella stessa ottica (di garanzia della “cittadinanza sociale”) con cui opera l’intero sistema dei principi fondamentali (e fra questi in particolare il principio personalistico e solidaristico, di cui all’art.2 Cost.) e delle disposizioni costituzionali in materia di diritti fondamentali, in quanto patrimonio costituzionale indisponibile alla stessa revisione costituzionale”, cfr. </w:t>
      </w:r>
      <w:r w:rsidRPr="00AE712B">
        <w:rPr>
          <w:rFonts w:ascii="Bookman Old Style" w:hAnsi="Bookman Old Style"/>
          <w:smallCaps/>
        </w:rPr>
        <w:t>S. Gambino</w:t>
      </w:r>
      <w:r w:rsidRPr="00AE712B">
        <w:rPr>
          <w:rFonts w:ascii="Bookman Old Style" w:hAnsi="Bookman Old Style"/>
        </w:rPr>
        <w:t xml:space="preserve">, </w:t>
      </w:r>
      <w:r w:rsidRPr="00AE712B">
        <w:rPr>
          <w:rFonts w:ascii="Bookman Old Style" w:hAnsi="Bookman Old Style"/>
          <w:i/>
        </w:rPr>
        <w:t>Autonomie territoriali e riforme</w:t>
      </w:r>
      <w:r w:rsidRPr="00AE712B">
        <w:rPr>
          <w:rFonts w:ascii="Bookman Old Style" w:hAnsi="Bookman Old Style"/>
        </w:rPr>
        <w:t xml:space="preserve">, in </w:t>
      </w:r>
      <w:r w:rsidRPr="00AE712B">
        <w:rPr>
          <w:rFonts w:ascii="Bookman Old Style" w:hAnsi="Bookman Old Style"/>
          <w:i/>
        </w:rPr>
        <w:t>www.federalismi.it</w:t>
      </w:r>
      <w:r w:rsidRPr="00AE712B">
        <w:rPr>
          <w:rFonts w:ascii="Bookman Old Style" w:hAnsi="Bookman Old Style"/>
        </w:rPr>
        <w:t>, n.5/2009.</w:t>
      </w:r>
    </w:p>
  </w:footnote>
  <w:footnote w:id="12">
    <w:p w:rsidR="00D31D13" w:rsidRPr="00AE712B" w:rsidRDefault="00D31D13" w:rsidP="00AE712B">
      <w:pPr>
        <w:pStyle w:val="Testonotaapidipagina"/>
        <w:jc w:val="both"/>
        <w:rPr>
          <w:rFonts w:ascii="Bookman Old Style" w:hAnsi="Bookman Old Style"/>
        </w:rPr>
      </w:pPr>
      <w:r w:rsidRPr="00AE712B">
        <w:rPr>
          <w:rFonts w:ascii="Bookman Old Style" w:hAnsi="Bookman Old Style"/>
        </w:rPr>
        <w:footnoteRef/>
      </w:r>
      <w:r w:rsidRPr="00AE712B">
        <w:rPr>
          <w:rFonts w:ascii="Bookman Old Style" w:hAnsi="Bookman Old Style"/>
        </w:rPr>
        <w:t xml:space="preserve"> Corte </w:t>
      </w:r>
      <w:proofErr w:type="spellStart"/>
      <w:r w:rsidRPr="00AE712B">
        <w:rPr>
          <w:rFonts w:ascii="Bookman Old Style" w:hAnsi="Bookman Old Style"/>
        </w:rPr>
        <w:t>cost</w:t>
      </w:r>
      <w:proofErr w:type="spellEnd"/>
      <w:r w:rsidRPr="00AE712B">
        <w:rPr>
          <w:rFonts w:ascii="Bookman Old Style" w:hAnsi="Bookman Old Style"/>
        </w:rPr>
        <w:t xml:space="preserve">., </w:t>
      </w:r>
      <w:proofErr w:type="spellStart"/>
      <w:r w:rsidRPr="00AE712B">
        <w:rPr>
          <w:rFonts w:ascii="Bookman Old Style" w:hAnsi="Bookman Old Style"/>
        </w:rPr>
        <w:t>sent</w:t>
      </w:r>
      <w:proofErr w:type="spellEnd"/>
      <w:r w:rsidRPr="00AE712B">
        <w:rPr>
          <w:rFonts w:ascii="Bookman Old Style" w:hAnsi="Bookman Old Style"/>
        </w:rPr>
        <w:t>. n. 10 del 2016.</w:t>
      </w:r>
    </w:p>
  </w:footnote>
  <w:footnote w:id="13">
    <w:p w:rsidR="00D31D13" w:rsidRPr="00AE712B" w:rsidRDefault="00D31D13" w:rsidP="00AE712B">
      <w:pPr>
        <w:pStyle w:val="Testonotaapidipagina"/>
        <w:jc w:val="both"/>
        <w:rPr>
          <w:rFonts w:ascii="Bookman Old Style" w:hAnsi="Bookman Old Style"/>
        </w:rPr>
      </w:pPr>
      <w:r w:rsidRPr="00AE712B">
        <w:rPr>
          <w:rStyle w:val="Rimandonotaapidipagina"/>
          <w:rFonts w:ascii="Bookman Old Style" w:hAnsi="Bookman Old Style"/>
        </w:rPr>
        <w:footnoteRef/>
      </w:r>
      <w:r w:rsidRPr="00AE712B">
        <w:rPr>
          <w:rFonts w:ascii="Bookman Old Style" w:hAnsi="Bookman Old Style"/>
        </w:rPr>
        <w:t xml:space="preserve"> Una conferma in tal senso è rappresentata dalla legge 30 novembre 1989, n. 386, di coordinamento della finanza delle Regioni e delle Province autonome con la riforma tributaria, il cui art. 5 afferma che le Province Autonome partecipano alla ripartizione dei fondi speciali istituiti per garantire livelli minimi di prestazioni in modo uniforme su tutto il territorio nazionale: cfr. E. BALDONI, </w:t>
      </w:r>
      <w:r w:rsidRPr="00AE712B">
        <w:rPr>
          <w:rFonts w:ascii="Bookman Old Style" w:hAnsi="Bookman Old Style"/>
          <w:i/>
        </w:rPr>
        <w:t>Il concetto di “livelli essenziali e uniformi” come garanzia in materia di diritti sociali”</w:t>
      </w:r>
      <w:r w:rsidRPr="00AE712B">
        <w:rPr>
          <w:rFonts w:ascii="Bookman Old Style" w:hAnsi="Bookman Old Style"/>
        </w:rPr>
        <w:t xml:space="preserve">, in </w:t>
      </w:r>
      <w:r w:rsidRPr="00AE712B">
        <w:rPr>
          <w:rFonts w:ascii="Bookman Old Style" w:hAnsi="Bookman Old Style"/>
          <w:i/>
        </w:rPr>
        <w:t>Le istituzioni del federalismo</w:t>
      </w:r>
      <w:r w:rsidRPr="00AE712B">
        <w:rPr>
          <w:rFonts w:ascii="Bookman Old Style" w:hAnsi="Bookman Old Style"/>
        </w:rPr>
        <w:t>, 6/2001, 1103 ss.</w:t>
      </w:r>
    </w:p>
  </w:footnote>
  <w:footnote w:id="14">
    <w:p w:rsidR="00D31D13" w:rsidRPr="00AE712B" w:rsidRDefault="00D31D13" w:rsidP="00AE712B">
      <w:pPr>
        <w:pStyle w:val="Testonotaapidipagina"/>
        <w:jc w:val="both"/>
        <w:rPr>
          <w:rFonts w:ascii="Bookman Old Style" w:hAnsi="Bookman Old Style" w:cs="Times New Roman"/>
        </w:rPr>
      </w:pPr>
      <w:r w:rsidRPr="00AE712B">
        <w:rPr>
          <w:rFonts w:ascii="Bookman Old Style" w:hAnsi="Bookman Old Style"/>
        </w:rPr>
        <w:footnoteRef/>
      </w:r>
      <w:r w:rsidRPr="00AE712B">
        <w:rPr>
          <w:rFonts w:ascii="Bookman Old Style" w:hAnsi="Bookman Old Style"/>
        </w:rPr>
        <w:t xml:space="preserve"> G. COCCO, </w:t>
      </w:r>
      <w:r w:rsidRPr="00AE712B">
        <w:rPr>
          <w:rFonts w:ascii="Bookman Old Style" w:hAnsi="Bookman Old Style"/>
          <w:i/>
        </w:rPr>
        <w:t>I livelli essenziali delle prestazioni</w:t>
      </w:r>
      <w:r w:rsidRPr="00AE712B">
        <w:rPr>
          <w:rFonts w:ascii="Bookman Old Style" w:hAnsi="Bookman Old Style"/>
        </w:rPr>
        <w:t xml:space="preserve">, in </w:t>
      </w:r>
      <w:r w:rsidRPr="00AE712B">
        <w:rPr>
          <w:rFonts w:ascii="Bookman Old Style" w:hAnsi="Bookman Old Style"/>
          <w:i/>
        </w:rPr>
        <w:t>Studi in onore di Gianni Ferrara</w:t>
      </w:r>
      <w:r w:rsidRPr="00AE712B">
        <w:rPr>
          <w:rFonts w:ascii="Bookman Old Style" w:hAnsi="Bookman Old Style"/>
        </w:rPr>
        <w:t xml:space="preserve">, Vol. II, Torino 2005; A. D’ALOIA, </w:t>
      </w:r>
      <w:r w:rsidRPr="00AE712B">
        <w:rPr>
          <w:rFonts w:ascii="Bookman Old Style" w:hAnsi="Bookman Old Style"/>
          <w:i/>
        </w:rPr>
        <w:t>Diritti e stato autonomistici. Il modello dei livelli essenziali delle prestazioni</w:t>
      </w:r>
      <w:r w:rsidRPr="00AE712B">
        <w:rPr>
          <w:rFonts w:ascii="Bookman Old Style" w:hAnsi="Bookman Old Style"/>
        </w:rPr>
        <w:t xml:space="preserve">, in </w:t>
      </w:r>
      <w:r w:rsidRPr="00AE712B">
        <w:rPr>
          <w:rFonts w:ascii="Bookman Old Style" w:hAnsi="Bookman Old Style"/>
          <w:i/>
        </w:rPr>
        <w:t>Le Regioni</w:t>
      </w:r>
      <w:r w:rsidRPr="00AE712B">
        <w:rPr>
          <w:rFonts w:ascii="Bookman Old Style" w:hAnsi="Bookman Old Style"/>
        </w:rPr>
        <w:t xml:space="preserve"> n. 6/2003, 1063 ss.; O. CHESSA, </w:t>
      </w:r>
      <w:r w:rsidRPr="00AE712B">
        <w:rPr>
          <w:rFonts w:ascii="Bookman Old Style" w:hAnsi="Bookman Old Style"/>
          <w:i/>
        </w:rPr>
        <w:t>Libertà fondamentali e teoria costituzionale</w:t>
      </w:r>
      <w:r w:rsidRPr="00AE712B">
        <w:rPr>
          <w:rFonts w:ascii="Bookman Old Style" w:hAnsi="Bookman Old Style"/>
        </w:rPr>
        <w:t xml:space="preserve">, Milano, </w:t>
      </w:r>
      <w:proofErr w:type="gramStart"/>
      <w:r w:rsidRPr="00AE712B">
        <w:rPr>
          <w:rFonts w:ascii="Bookman Old Style" w:hAnsi="Bookman Old Style"/>
        </w:rPr>
        <w:t>2003;.</w:t>
      </w:r>
      <w:proofErr w:type="gramEnd"/>
      <w:r w:rsidRPr="00AE712B">
        <w:rPr>
          <w:rFonts w:ascii="Bookman Old Style" w:hAnsi="Bookman Old Style"/>
        </w:rPr>
        <w:t xml:space="preserve"> R. BIN, </w:t>
      </w:r>
      <w:r w:rsidRPr="00AE712B">
        <w:rPr>
          <w:rFonts w:ascii="Bookman Old Style" w:hAnsi="Bookman Old Style"/>
          <w:i/>
        </w:rPr>
        <w:t>Diritti fondamentali e fraintendimenti</w:t>
      </w:r>
      <w:r w:rsidRPr="00AE712B">
        <w:rPr>
          <w:rFonts w:ascii="Bookman Old Style" w:hAnsi="Bookman Old Style"/>
        </w:rPr>
        <w:t xml:space="preserve">, in </w:t>
      </w:r>
      <w:r w:rsidRPr="00AE712B">
        <w:rPr>
          <w:rFonts w:ascii="Bookman Old Style" w:hAnsi="Bookman Old Style"/>
          <w:i/>
        </w:rPr>
        <w:t>Ragion Pratica</w:t>
      </w:r>
      <w:r w:rsidRPr="00AE712B">
        <w:rPr>
          <w:rFonts w:ascii="Bookman Old Style" w:hAnsi="Bookman Old Style"/>
        </w:rPr>
        <w:t xml:space="preserve">, 2000.; G. CORSO, </w:t>
      </w:r>
      <w:r w:rsidRPr="00AE712B">
        <w:rPr>
          <w:rFonts w:ascii="Bookman Old Style" w:hAnsi="Bookman Old Style"/>
          <w:i/>
        </w:rPr>
        <w:t>Welfare e Stato federale: uguaglianza e diversità nelle prestazioni</w:t>
      </w:r>
      <w:r w:rsidRPr="00AE712B">
        <w:rPr>
          <w:rFonts w:ascii="Bookman Old Style" w:hAnsi="Bookman Old Style"/>
        </w:rPr>
        <w:t xml:space="preserve">, in A.A. V.V., </w:t>
      </w:r>
      <w:r w:rsidRPr="00AE712B">
        <w:rPr>
          <w:rFonts w:ascii="Bookman Old Style" w:hAnsi="Bookman Old Style"/>
          <w:i/>
        </w:rPr>
        <w:t>Regionalismo, federalismo, welfare State</w:t>
      </w:r>
      <w:r w:rsidRPr="00AE712B">
        <w:rPr>
          <w:rFonts w:ascii="Bookman Old Style" w:hAnsi="Bookman Old Style"/>
        </w:rPr>
        <w:t xml:space="preserve">, Milano, 1997. P. RESCISGNO, </w:t>
      </w:r>
      <w:r w:rsidRPr="00AE712B">
        <w:rPr>
          <w:rFonts w:ascii="Bookman Old Style" w:hAnsi="Bookman Old Style"/>
          <w:i/>
        </w:rPr>
        <w:t>Scelte tragiche</w:t>
      </w:r>
      <w:r w:rsidRPr="00AE712B">
        <w:rPr>
          <w:rFonts w:ascii="Bookman Old Style" w:hAnsi="Bookman Old Style"/>
        </w:rPr>
        <w:t xml:space="preserve">, in </w:t>
      </w:r>
      <w:r w:rsidRPr="00AE712B">
        <w:rPr>
          <w:rFonts w:ascii="Bookman Old Style" w:hAnsi="Bookman Old Style"/>
          <w:i/>
        </w:rPr>
        <w:t xml:space="preserve">Malattie </w:t>
      </w:r>
      <w:r w:rsidRPr="00AE712B">
        <w:rPr>
          <w:rFonts w:ascii="Bookman Old Style" w:hAnsi="Bookman Old Style" w:cs="Times New Roman"/>
          <w:i/>
        </w:rPr>
        <w:t>rare: la ricerca tra etica e diritto</w:t>
      </w:r>
      <w:r w:rsidRPr="00AE712B">
        <w:rPr>
          <w:rFonts w:ascii="Bookman Old Style" w:hAnsi="Bookman Old Style" w:cs="Times New Roman"/>
        </w:rPr>
        <w:t xml:space="preserve">, (a cura di) S. PANUNZIO e G. RECCHIA, Milano, 2007, 17 </w:t>
      </w:r>
      <w:proofErr w:type="spellStart"/>
      <w:r w:rsidRPr="00AE712B">
        <w:rPr>
          <w:rFonts w:ascii="Bookman Old Style" w:hAnsi="Bookman Old Style" w:cs="Times New Roman"/>
        </w:rPr>
        <w:t>ss</w:t>
      </w:r>
      <w:proofErr w:type="spellEnd"/>
    </w:p>
  </w:footnote>
  <w:footnote w:id="15">
    <w:p w:rsidR="00D31D13" w:rsidRPr="00AE712B" w:rsidRDefault="00D31D13" w:rsidP="00AE712B">
      <w:pPr>
        <w:autoSpaceDE w:val="0"/>
        <w:autoSpaceDN w:val="0"/>
        <w:adjustRightInd w:val="0"/>
        <w:spacing w:after="0" w:line="240" w:lineRule="auto"/>
        <w:jc w:val="both"/>
        <w:rPr>
          <w:rFonts w:ascii="Bookman Old Style" w:hAnsi="Bookman Old Style" w:cs="Times New Roman"/>
          <w:sz w:val="20"/>
          <w:szCs w:val="20"/>
        </w:rPr>
      </w:pPr>
      <w:r w:rsidRPr="00AE712B">
        <w:rPr>
          <w:rFonts w:ascii="Bookman Old Style" w:hAnsi="Bookman Old Style" w:cs="Times New Roman"/>
          <w:sz w:val="20"/>
          <w:szCs w:val="20"/>
        </w:rPr>
        <w:footnoteRef/>
      </w:r>
      <w:r w:rsidRPr="00AE712B">
        <w:rPr>
          <w:rFonts w:ascii="Bookman Old Style" w:hAnsi="Bookman Old Style" w:cs="Times New Roman"/>
          <w:sz w:val="20"/>
          <w:szCs w:val="20"/>
        </w:rPr>
        <w:t xml:space="preserve"> Nel quadro di riferimento costituzionale si è inserita la legge n. 42 del 2009 di delega al Governo in materia di federalismo fiscale che, in attuazione dell’art. 119, ha previsto il superamento graduale, per tutti i livelli di governo decentrati, del criterio della spesa storica a favore di criteri perequativi, basati sui fabbisogni </w:t>
      </w:r>
      <w:r w:rsidRPr="00AE712B">
        <w:rPr>
          <w:rFonts w:ascii="Bookman Old Style" w:hAnsi="Bookman Old Style" w:cs="Times New Roman"/>
          <w:i/>
          <w:sz w:val="20"/>
          <w:szCs w:val="20"/>
        </w:rPr>
        <w:t>standard</w:t>
      </w:r>
      <w:r w:rsidRPr="00AE712B">
        <w:rPr>
          <w:rFonts w:ascii="Bookman Old Style" w:hAnsi="Bookman Old Style" w:cs="Times New Roman"/>
          <w:sz w:val="20"/>
          <w:szCs w:val="20"/>
        </w:rPr>
        <w:t xml:space="preserve"> e sulle capacità fiscali per il finanziamento delle funzioni fondamentali e sulla sola capacità fiscale per le altre funzioni. Il d.lgs. n. 23 del 2011 ha poi stabilito che ai fini della determinazione del Fondo non si dovesse tenere conto delle variazioni di gettito prodotte nell'esercizio dell'autonomia tributaria. L’applicazione di criteri perequativi è stata avviata solo nel 2015 con l’Accordo del 31 marzo 2015 in Conferenza Stato-Città che, in attuazione della legge di stabilità, definisce la ripartizione del Fondo di Solidarietà Comunale (FSC), per una quota pari al 20 per cento, secondo i fabbisogni e le capacità fiscali standard: la componente perequativa entra nella determinazione dei trasferimenti dal FSC a ciascun Comune. In base alla metodologia di riparto adottata, i trasferimenti sono il risultato di una combinazione di risorse storiche (rappresentate dal FSC per il 2014, l’anno precedente all’applicazione dell’Accordo), di quelle destinate a colmare il divario (positivo o negativo) tra i fabbisogni standard relativi alle funzioni fondamentali e le capacità fiscali e di quelle finalizzate alla sola perequazione delle capacità fiscali per le altre funzioni. La necessità di non incidere negativamente sulle gestioni ha spinto a prevedere un percorso graduale per la transizione al nuovo sistema, con un peso diverso delle componenti del meccanismo di determinazione dei trasferimenti via via che il sistema si avvicinava alla situazione a regime. Una configurazione a regime è disposta con la legge di bilancio per il 2017, con la quale è stato delineato un percorso di progressivo rafforzamento della componente perequativa, limitandola tuttavia in via permanente al 50 per cento. Ciò fa sì che a partire dal 2021 la componente storica rimanga pari al 50 per cento, mentre alle componenti relative ai fabbisogni standard e alle capacità fiscali siano destinate, rispettivamente, il 40 e il 10 per cento. Questa non è l’unica differenza rispetto all’impianto originale. La distinzione “forfettaria” della quota perequata in 80 e 20 per cento, rispettivamente, per funzioni fondamentali e non fondamentali e l’applicazione di una perequazione completa su entrambe le componenti (seppur sul 50 per cento del totale a regime), rappresenta un ulteriore allontanamento dal disegno originale. Infine, la legge di delega prevedeva un sistema perequativo per la spesa in conto capitale, ipotizzando un indicatore di fabbisogno infrastrutturale, mentre il FSC è solo di parte corrente. La mancata definizione dei livelli essenziali delle prestazioni priva, poi, il disegno di un elemento sostanziale del processo affidato al meccanismo perequativo che doveva essere posto a base della determinazione degli stessi fabbisogni </w:t>
      </w:r>
      <w:r w:rsidRPr="00AE712B">
        <w:rPr>
          <w:rFonts w:ascii="Bookman Old Style" w:hAnsi="Bookman Old Style" w:cs="Times New Roman"/>
          <w:i/>
          <w:sz w:val="20"/>
          <w:szCs w:val="20"/>
        </w:rPr>
        <w:t>standard</w:t>
      </w:r>
      <w:r w:rsidRPr="00AE712B">
        <w:rPr>
          <w:rFonts w:ascii="Bookman Old Style" w:hAnsi="Bookman Old Style" w:cs="Times New Roman"/>
          <w:sz w:val="20"/>
          <w:szCs w:val="20"/>
        </w:rPr>
        <w:t xml:space="preserve">. </w:t>
      </w:r>
    </w:p>
  </w:footnote>
  <w:footnote w:id="16">
    <w:p w:rsidR="00D31D13" w:rsidRPr="00AE712B" w:rsidRDefault="00D31D13" w:rsidP="00AE712B">
      <w:pPr>
        <w:autoSpaceDE w:val="0"/>
        <w:autoSpaceDN w:val="0"/>
        <w:adjustRightInd w:val="0"/>
        <w:spacing w:after="0" w:line="240" w:lineRule="auto"/>
        <w:jc w:val="both"/>
        <w:rPr>
          <w:rFonts w:ascii="Bookman Old Style" w:hAnsi="Bookman Old Style"/>
          <w:sz w:val="20"/>
          <w:szCs w:val="20"/>
        </w:rPr>
      </w:pPr>
      <w:r w:rsidRPr="00AE712B">
        <w:rPr>
          <w:rFonts w:ascii="Bookman Old Style" w:hAnsi="Bookman Old Style" w:cs="Times New Roman"/>
          <w:sz w:val="20"/>
          <w:szCs w:val="20"/>
        </w:rPr>
        <w:footnoteRef/>
      </w:r>
      <w:r w:rsidRPr="00AE712B">
        <w:rPr>
          <w:rFonts w:ascii="Bookman Old Style" w:hAnsi="Bookman Old Style" w:cs="Times New Roman"/>
          <w:sz w:val="20"/>
          <w:szCs w:val="20"/>
        </w:rPr>
        <w:t xml:space="preserve"> Nota F.P CASAVOLA, come l’umanità, uscita dal bagno di sangue del secondo conflitto mondiale, avesse preso atto “che la condizione umana era stata ovunque, oltre e contro ogni garanzia costituzionale dei singoli Stati, offesa fino alla degradazione e all’annientamento fisico e che, pertanto, essa doveva essere tutelata in una istanza ulteriore e più alta di quella dell’ordinamento statuale </w:t>
      </w:r>
      <w:proofErr w:type="gramStart"/>
      <w:r w:rsidRPr="00AE712B">
        <w:rPr>
          <w:rFonts w:ascii="Bookman Old Style" w:hAnsi="Bookman Old Style" w:cs="Times New Roman"/>
          <w:sz w:val="20"/>
          <w:szCs w:val="20"/>
        </w:rPr>
        <w:t>“ F.P.</w:t>
      </w:r>
      <w:proofErr w:type="gramEnd"/>
      <w:r w:rsidRPr="00AE712B">
        <w:rPr>
          <w:rFonts w:ascii="Bookman Old Style" w:hAnsi="Bookman Old Style" w:cs="Times New Roman"/>
          <w:sz w:val="20"/>
          <w:szCs w:val="20"/>
        </w:rPr>
        <w:t xml:space="preserve"> CASAVOLA, </w:t>
      </w:r>
      <w:r w:rsidRPr="00AE712B">
        <w:rPr>
          <w:rFonts w:ascii="Bookman Old Style" w:hAnsi="Bookman Old Style" w:cs="Times New Roman"/>
          <w:i/>
          <w:iCs/>
          <w:sz w:val="20"/>
          <w:szCs w:val="20"/>
        </w:rPr>
        <w:t xml:space="preserve">I diritti umani, </w:t>
      </w:r>
      <w:r w:rsidRPr="00AE712B">
        <w:rPr>
          <w:rFonts w:ascii="Bookman Old Style" w:hAnsi="Bookman Old Style" w:cs="Times New Roman"/>
          <w:sz w:val="20"/>
          <w:szCs w:val="20"/>
        </w:rPr>
        <w:t>CEDAM,1997.</w:t>
      </w:r>
    </w:p>
  </w:footnote>
  <w:footnote w:id="17">
    <w:p w:rsidR="00D31D13" w:rsidRPr="00AE712B" w:rsidRDefault="00D31D13" w:rsidP="00AE712B">
      <w:pPr>
        <w:autoSpaceDE w:val="0"/>
        <w:autoSpaceDN w:val="0"/>
        <w:adjustRightInd w:val="0"/>
        <w:spacing w:after="0" w:line="240" w:lineRule="auto"/>
        <w:jc w:val="both"/>
        <w:rPr>
          <w:rFonts w:ascii="Bookman Old Style" w:hAnsi="Bookman Old Style"/>
          <w:sz w:val="20"/>
          <w:szCs w:val="20"/>
        </w:rPr>
      </w:pPr>
      <w:r w:rsidRPr="00AE712B">
        <w:rPr>
          <w:rStyle w:val="Rimandonotaapidipagina"/>
          <w:rFonts w:ascii="Bookman Old Style" w:hAnsi="Bookman Old Style"/>
          <w:sz w:val="20"/>
          <w:szCs w:val="20"/>
        </w:rPr>
        <w:footnoteRef/>
      </w:r>
      <w:r w:rsidRPr="00AE712B">
        <w:rPr>
          <w:rFonts w:ascii="Bookman Old Style" w:hAnsi="Bookman Old Style"/>
          <w:sz w:val="20"/>
          <w:szCs w:val="20"/>
        </w:rPr>
        <w:t xml:space="preserve"> Non è questa la sede per esaminare il rapporto intercorso tra i diversi ordinamenti nazionali e le decisioni della CEDU; basti evidenziare come uno sguardo nei vari ordinamenti giuridici degli Stati democratici dell’Europa occidentale (ossia quegli ordinamenti che per primi hanno aderito alla CEDU e presentano un più consolidato sistema di tutela costituzionale dei diritti), dimostri che, benché alla Convenzione non sia conferito, quasi ovunque, un rango Costituzionale o </w:t>
      </w:r>
      <w:proofErr w:type="spellStart"/>
      <w:r w:rsidRPr="00AE712B">
        <w:rPr>
          <w:rFonts w:ascii="Bookman Old Style" w:hAnsi="Bookman Old Style"/>
          <w:sz w:val="20"/>
          <w:szCs w:val="20"/>
        </w:rPr>
        <w:t>sovralegislativo</w:t>
      </w:r>
      <w:proofErr w:type="spellEnd"/>
      <w:r w:rsidRPr="00AE712B">
        <w:rPr>
          <w:rFonts w:ascii="Bookman Old Style" w:hAnsi="Bookman Old Style"/>
          <w:sz w:val="20"/>
          <w:szCs w:val="20"/>
        </w:rPr>
        <w:t xml:space="preserve">, “la tendenza predominante nella giurisprudenza delle Corti costituzionali nazionali è di utilizzare la CEDU come fonte o modello di interpretazione delle garanzie costituzionali nazionali relative ai diritti fondamentali.” </w:t>
      </w:r>
      <w:r w:rsidRPr="00AE712B">
        <w:rPr>
          <w:rFonts w:ascii="Bookman Old Style" w:hAnsi="Bookman Old Style" w:cs="Times New Roman"/>
          <w:sz w:val="20"/>
          <w:szCs w:val="20"/>
        </w:rPr>
        <w:t xml:space="preserve">F. COCOZZA, </w:t>
      </w:r>
      <w:proofErr w:type="spellStart"/>
      <w:r w:rsidRPr="00AE712B">
        <w:rPr>
          <w:rFonts w:ascii="Bookman Old Style" w:hAnsi="Bookman Old Style" w:cs="Times New Roman"/>
          <w:i/>
          <w:iCs/>
          <w:sz w:val="20"/>
          <w:szCs w:val="20"/>
        </w:rPr>
        <w:t>Les</w:t>
      </w:r>
      <w:proofErr w:type="spellEnd"/>
      <w:r w:rsidRPr="00AE712B">
        <w:rPr>
          <w:rFonts w:ascii="Bookman Old Style" w:hAnsi="Bookman Old Style" w:cs="Times New Roman"/>
          <w:i/>
          <w:iCs/>
          <w:sz w:val="20"/>
          <w:szCs w:val="20"/>
        </w:rPr>
        <w:t xml:space="preserve"> </w:t>
      </w:r>
      <w:proofErr w:type="spellStart"/>
      <w:r w:rsidRPr="00AE712B">
        <w:rPr>
          <w:rFonts w:ascii="Bookman Old Style" w:hAnsi="Bookman Old Style" w:cs="Times New Roman"/>
          <w:i/>
          <w:iCs/>
          <w:sz w:val="20"/>
          <w:szCs w:val="20"/>
        </w:rPr>
        <w:t>droits</w:t>
      </w:r>
      <w:proofErr w:type="spellEnd"/>
      <w:r w:rsidRPr="00AE712B">
        <w:rPr>
          <w:rFonts w:ascii="Bookman Old Style" w:hAnsi="Bookman Old Style" w:cs="Times New Roman"/>
          <w:i/>
          <w:iCs/>
          <w:sz w:val="20"/>
          <w:szCs w:val="20"/>
        </w:rPr>
        <w:t xml:space="preserve"> </w:t>
      </w:r>
      <w:proofErr w:type="spellStart"/>
      <w:r w:rsidRPr="00AE712B">
        <w:rPr>
          <w:rFonts w:ascii="Bookman Old Style" w:hAnsi="Bookman Old Style" w:cs="Times New Roman"/>
          <w:i/>
          <w:iCs/>
          <w:sz w:val="20"/>
          <w:szCs w:val="20"/>
        </w:rPr>
        <w:t>fondamentaux</w:t>
      </w:r>
      <w:proofErr w:type="spellEnd"/>
      <w:r w:rsidRPr="00AE712B">
        <w:rPr>
          <w:rFonts w:ascii="Bookman Old Style" w:hAnsi="Bookman Old Style" w:cs="Times New Roman"/>
          <w:i/>
          <w:iCs/>
          <w:sz w:val="20"/>
          <w:szCs w:val="20"/>
        </w:rPr>
        <w:t xml:space="preserve"> en Europe </w:t>
      </w:r>
      <w:proofErr w:type="spellStart"/>
      <w:r w:rsidRPr="00AE712B">
        <w:rPr>
          <w:rFonts w:ascii="Bookman Old Style" w:hAnsi="Bookman Old Style" w:cs="Times New Roman"/>
          <w:i/>
          <w:iCs/>
          <w:sz w:val="20"/>
          <w:szCs w:val="20"/>
        </w:rPr>
        <w:t>entre</w:t>
      </w:r>
      <w:proofErr w:type="spellEnd"/>
      <w:r w:rsidRPr="00AE712B">
        <w:rPr>
          <w:rFonts w:ascii="Bookman Old Style" w:hAnsi="Bookman Old Style" w:cs="Times New Roman"/>
          <w:i/>
          <w:iCs/>
          <w:sz w:val="20"/>
          <w:szCs w:val="20"/>
        </w:rPr>
        <w:t xml:space="preserve"> </w:t>
      </w:r>
      <w:proofErr w:type="spellStart"/>
      <w:r w:rsidRPr="00AE712B">
        <w:rPr>
          <w:rFonts w:ascii="Bookman Old Style" w:hAnsi="Bookman Old Style" w:cs="Times New Roman"/>
          <w:i/>
          <w:iCs/>
          <w:sz w:val="20"/>
          <w:szCs w:val="20"/>
        </w:rPr>
        <w:t>justice</w:t>
      </w:r>
      <w:proofErr w:type="spellEnd"/>
      <w:r w:rsidRPr="00AE712B">
        <w:rPr>
          <w:rFonts w:ascii="Bookman Old Style" w:hAnsi="Bookman Old Style" w:cs="Times New Roman"/>
          <w:i/>
          <w:iCs/>
          <w:sz w:val="20"/>
          <w:szCs w:val="20"/>
        </w:rPr>
        <w:t xml:space="preserve"> </w:t>
      </w:r>
      <w:proofErr w:type="spellStart"/>
      <w:r w:rsidRPr="00AE712B">
        <w:rPr>
          <w:rFonts w:ascii="Bookman Old Style" w:hAnsi="Bookman Old Style" w:cs="Times New Roman"/>
          <w:i/>
          <w:iCs/>
          <w:sz w:val="20"/>
          <w:szCs w:val="20"/>
        </w:rPr>
        <w:t>costitutionalle</w:t>
      </w:r>
      <w:proofErr w:type="spellEnd"/>
      <w:r w:rsidRPr="00AE712B">
        <w:rPr>
          <w:rFonts w:ascii="Bookman Old Style" w:hAnsi="Bookman Old Style" w:cs="Times New Roman"/>
          <w:i/>
          <w:iCs/>
          <w:sz w:val="20"/>
          <w:szCs w:val="20"/>
        </w:rPr>
        <w:t xml:space="preserve"> </w:t>
      </w:r>
      <w:proofErr w:type="gramStart"/>
      <w:r w:rsidRPr="00AE712B">
        <w:rPr>
          <w:rFonts w:ascii="Bookman Old Style" w:hAnsi="Bookman Old Style" w:cs="Times New Roman"/>
          <w:i/>
          <w:iCs/>
          <w:sz w:val="20"/>
          <w:szCs w:val="20"/>
        </w:rPr>
        <w:t xml:space="preserve">“ </w:t>
      </w:r>
      <w:proofErr w:type="spellStart"/>
      <w:r w:rsidRPr="00AE712B">
        <w:rPr>
          <w:rFonts w:ascii="Bookman Old Style" w:hAnsi="Bookman Old Style" w:cs="Times New Roman"/>
          <w:i/>
          <w:iCs/>
          <w:sz w:val="20"/>
          <w:szCs w:val="20"/>
        </w:rPr>
        <w:t>transfontière</w:t>
      </w:r>
      <w:proofErr w:type="spellEnd"/>
      <w:proofErr w:type="gramEnd"/>
      <w:r w:rsidRPr="00AE712B">
        <w:rPr>
          <w:rFonts w:ascii="Bookman Old Style" w:hAnsi="Bookman Old Style" w:cs="Times New Roman"/>
          <w:i/>
          <w:iCs/>
          <w:sz w:val="20"/>
          <w:szCs w:val="20"/>
        </w:rPr>
        <w:t xml:space="preserve"> “ de la CEDH et </w:t>
      </w:r>
      <w:proofErr w:type="spellStart"/>
      <w:r w:rsidRPr="00AE712B">
        <w:rPr>
          <w:rFonts w:ascii="Bookman Old Style" w:hAnsi="Bookman Old Style" w:cs="Times New Roman"/>
          <w:i/>
          <w:iCs/>
          <w:sz w:val="20"/>
          <w:szCs w:val="20"/>
        </w:rPr>
        <w:t>justice</w:t>
      </w:r>
      <w:proofErr w:type="spellEnd"/>
      <w:r w:rsidRPr="00AE712B">
        <w:rPr>
          <w:rFonts w:ascii="Bookman Old Style" w:hAnsi="Bookman Old Style" w:cs="Times New Roman"/>
          <w:i/>
          <w:iCs/>
          <w:sz w:val="20"/>
          <w:szCs w:val="20"/>
        </w:rPr>
        <w:t xml:space="preserve"> </w:t>
      </w:r>
      <w:proofErr w:type="spellStart"/>
      <w:r w:rsidRPr="00AE712B">
        <w:rPr>
          <w:rFonts w:ascii="Bookman Old Style" w:hAnsi="Bookman Old Style" w:cs="Times New Roman"/>
          <w:i/>
          <w:iCs/>
          <w:sz w:val="20"/>
          <w:szCs w:val="20"/>
        </w:rPr>
        <w:t>constitutionnelle</w:t>
      </w:r>
      <w:proofErr w:type="spellEnd"/>
      <w:r w:rsidRPr="00AE712B">
        <w:rPr>
          <w:rFonts w:ascii="Bookman Old Style" w:hAnsi="Bookman Old Style" w:cs="Times New Roman"/>
          <w:i/>
          <w:iCs/>
          <w:sz w:val="20"/>
          <w:szCs w:val="20"/>
        </w:rPr>
        <w:t xml:space="preserve"> </w:t>
      </w:r>
      <w:proofErr w:type="spellStart"/>
      <w:r w:rsidRPr="00AE712B">
        <w:rPr>
          <w:rFonts w:ascii="Bookman Old Style" w:hAnsi="Bookman Old Style" w:cs="Times New Roman"/>
          <w:i/>
          <w:iCs/>
          <w:sz w:val="20"/>
          <w:szCs w:val="20"/>
        </w:rPr>
        <w:t>national</w:t>
      </w:r>
      <w:proofErr w:type="spellEnd"/>
      <w:r w:rsidRPr="00AE712B">
        <w:rPr>
          <w:rFonts w:ascii="Bookman Old Style" w:hAnsi="Bookman Old Style" w:cs="Times New Roman"/>
          <w:i/>
          <w:iCs/>
          <w:sz w:val="20"/>
          <w:szCs w:val="20"/>
        </w:rPr>
        <w:t xml:space="preserve">. </w:t>
      </w:r>
      <w:proofErr w:type="spellStart"/>
      <w:r w:rsidRPr="00AE712B">
        <w:rPr>
          <w:rFonts w:ascii="Bookman Old Style" w:hAnsi="Bookman Old Style" w:cs="Times New Roman"/>
          <w:i/>
          <w:iCs/>
          <w:sz w:val="20"/>
          <w:szCs w:val="20"/>
        </w:rPr>
        <w:t>Les</w:t>
      </w:r>
      <w:proofErr w:type="spellEnd"/>
      <w:r w:rsidRPr="00AE712B">
        <w:rPr>
          <w:rFonts w:ascii="Bookman Old Style" w:hAnsi="Bookman Old Style" w:cs="Times New Roman"/>
          <w:i/>
          <w:iCs/>
          <w:sz w:val="20"/>
          <w:szCs w:val="20"/>
        </w:rPr>
        <w:t xml:space="preserve"> </w:t>
      </w:r>
      <w:proofErr w:type="spellStart"/>
      <w:r w:rsidRPr="00AE712B">
        <w:rPr>
          <w:rFonts w:ascii="Bookman Old Style" w:hAnsi="Bookman Old Style" w:cs="Times New Roman"/>
          <w:i/>
          <w:iCs/>
          <w:sz w:val="20"/>
          <w:szCs w:val="20"/>
        </w:rPr>
        <w:t>ligne</w:t>
      </w:r>
      <w:proofErr w:type="spellEnd"/>
      <w:r w:rsidRPr="00AE712B">
        <w:rPr>
          <w:rFonts w:ascii="Bookman Old Style" w:hAnsi="Bookman Old Style" w:cs="Times New Roman"/>
          <w:i/>
          <w:iCs/>
          <w:sz w:val="20"/>
          <w:szCs w:val="20"/>
        </w:rPr>
        <w:t xml:space="preserve"> </w:t>
      </w:r>
      <w:proofErr w:type="spellStart"/>
      <w:r w:rsidRPr="00AE712B">
        <w:rPr>
          <w:rFonts w:ascii="Bookman Old Style" w:hAnsi="Bookman Old Style" w:cs="Times New Roman"/>
          <w:i/>
          <w:iCs/>
          <w:sz w:val="20"/>
          <w:szCs w:val="20"/>
        </w:rPr>
        <w:t>incertaine</w:t>
      </w:r>
      <w:proofErr w:type="spellEnd"/>
      <w:r w:rsidRPr="00AE712B">
        <w:rPr>
          <w:rFonts w:ascii="Bookman Old Style" w:hAnsi="Bookman Old Style" w:cs="Times New Roman"/>
          <w:i/>
          <w:iCs/>
          <w:sz w:val="20"/>
          <w:szCs w:val="20"/>
        </w:rPr>
        <w:t xml:space="preserve"> d’une relation </w:t>
      </w:r>
      <w:proofErr w:type="spellStart"/>
      <w:proofErr w:type="gramStart"/>
      <w:r w:rsidRPr="00AE712B">
        <w:rPr>
          <w:rFonts w:ascii="Bookman Old Style" w:hAnsi="Bookman Old Style" w:cs="Times New Roman"/>
          <w:i/>
          <w:iCs/>
          <w:sz w:val="20"/>
          <w:szCs w:val="20"/>
        </w:rPr>
        <w:t>structurée</w:t>
      </w:r>
      <w:proofErr w:type="spellEnd"/>
      <w:r w:rsidRPr="00AE712B">
        <w:rPr>
          <w:rFonts w:ascii="Bookman Old Style" w:hAnsi="Bookman Old Style" w:cs="Times New Roman"/>
          <w:i/>
          <w:iCs/>
          <w:sz w:val="20"/>
          <w:szCs w:val="20"/>
        </w:rPr>
        <w:t xml:space="preserve"> </w:t>
      </w:r>
      <w:r w:rsidRPr="00AE712B">
        <w:rPr>
          <w:rFonts w:ascii="Bookman Old Style" w:hAnsi="Bookman Old Style" w:cs="Times New Roman"/>
          <w:sz w:val="20"/>
          <w:szCs w:val="20"/>
        </w:rPr>
        <w:t>;</w:t>
      </w:r>
      <w:proofErr w:type="gramEnd"/>
      <w:r w:rsidRPr="00AE712B">
        <w:rPr>
          <w:rFonts w:ascii="Bookman Old Style" w:hAnsi="Bookman Old Style" w:cs="Times New Roman"/>
          <w:sz w:val="20"/>
          <w:szCs w:val="20"/>
        </w:rPr>
        <w:t xml:space="preserve"> </w:t>
      </w:r>
      <w:proofErr w:type="spellStart"/>
      <w:r w:rsidRPr="00AE712B">
        <w:rPr>
          <w:rFonts w:ascii="Bookman Old Style" w:hAnsi="Bookman Old Style" w:cs="Times New Roman"/>
          <w:sz w:val="20"/>
          <w:szCs w:val="20"/>
        </w:rPr>
        <w:t>Revue</w:t>
      </w:r>
      <w:proofErr w:type="spellEnd"/>
      <w:r w:rsidRPr="00AE712B">
        <w:rPr>
          <w:rFonts w:ascii="Bookman Old Style" w:hAnsi="Bookman Old Style" w:cs="Times New Roman"/>
          <w:sz w:val="20"/>
          <w:szCs w:val="20"/>
        </w:rPr>
        <w:t xml:space="preserve"> </w:t>
      </w:r>
      <w:proofErr w:type="spellStart"/>
      <w:r w:rsidRPr="00AE712B">
        <w:rPr>
          <w:rFonts w:ascii="Bookman Old Style" w:hAnsi="Bookman Old Style" w:cs="Times New Roman"/>
          <w:sz w:val="20"/>
          <w:szCs w:val="20"/>
        </w:rPr>
        <w:t>française</w:t>
      </w:r>
      <w:proofErr w:type="spellEnd"/>
      <w:r w:rsidRPr="00AE712B">
        <w:rPr>
          <w:rFonts w:ascii="Bookman Old Style" w:hAnsi="Bookman Old Style" w:cs="Times New Roman"/>
          <w:sz w:val="20"/>
          <w:szCs w:val="20"/>
        </w:rPr>
        <w:t xml:space="preserve"> de </w:t>
      </w:r>
      <w:proofErr w:type="spellStart"/>
      <w:r w:rsidRPr="00AE712B">
        <w:rPr>
          <w:rFonts w:ascii="Bookman Old Style" w:hAnsi="Bookman Old Style" w:cs="Times New Roman"/>
          <w:sz w:val="20"/>
          <w:szCs w:val="20"/>
        </w:rPr>
        <w:t>droit</w:t>
      </w:r>
      <w:proofErr w:type="spellEnd"/>
      <w:r w:rsidRPr="00AE712B">
        <w:rPr>
          <w:rFonts w:ascii="Bookman Old Style" w:hAnsi="Bookman Old Style" w:cs="Times New Roman"/>
          <w:sz w:val="20"/>
          <w:szCs w:val="20"/>
        </w:rPr>
        <w:t xml:space="preserve"> </w:t>
      </w:r>
      <w:proofErr w:type="spellStart"/>
      <w:r w:rsidRPr="00AE712B">
        <w:rPr>
          <w:rFonts w:ascii="Bookman Old Style" w:hAnsi="Bookman Old Style" w:cs="Times New Roman"/>
          <w:sz w:val="20"/>
          <w:szCs w:val="20"/>
        </w:rPr>
        <w:t>constitutionnel</w:t>
      </w:r>
      <w:proofErr w:type="spellEnd"/>
      <w:r w:rsidRPr="00AE712B">
        <w:rPr>
          <w:rFonts w:ascii="Bookman Old Style" w:hAnsi="Bookman Old Style" w:cs="Times New Roman"/>
          <w:sz w:val="20"/>
          <w:szCs w:val="20"/>
        </w:rPr>
        <w:t>, n. 28, 1996</w:t>
      </w:r>
    </w:p>
  </w:footnote>
  <w:footnote w:id="18">
    <w:p w:rsidR="00D31D13" w:rsidRPr="00AE712B" w:rsidRDefault="00D31D13" w:rsidP="00AE712B">
      <w:pPr>
        <w:autoSpaceDE w:val="0"/>
        <w:autoSpaceDN w:val="0"/>
        <w:adjustRightInd w:val="0"/>
        <w:spacing w:after="0" w:line="240" w:lineRule="auto"/>
        <w:jc w:val="both"/>
        <w:rPr>
          <w:rFonts w:ascii="Bookman Old Style" w:hAnsi="Bookman Old Style" w:cs="Times New Roman"/>
          <w:sz w:val="20"/>
          <w:szCs w:val="20"/>
        </w:rPr>
      </w:pPr>
      <w:r w:rsidRPr="00AE712B">
        <w:rPr>
          <w:rStyle w:val="Rimandonotaapidipagina"/>
          <w:rFonts w:ascii="Bookman Old Style" w:hAnsi="Bookman Old Style"/>
          <w:sz w:val="20"/>
          <w:szCs w:val="20"/>
        </w:rPr>
        <w:footnoteRef/>
      </w:r>
      <w:r w:rsidRPr="00AE712B">
        <w:rPr>
          <w:rFonts w:ascii="Bookman Old Style" w:hAnsi="Bookman Old Style"/>
          <w:sz w:val="20"/>
          <w:szCs w:val="20"/>
        </w:rPr>
        <w:t xml:space="preserve"> </w:t>
      </w:r>
      <w:r w:rsidRPr="00AE712B">
        <w:rPr>
          <w:rFonts w:ascii="Bookman Old Style" w:hAnsi="Bookman Old Style" w:cs="Times New Roman"/>
          <w:sz w:val="20"/>
          <w:szCs w:val="20"/>
        </w:rPr>
        <w:t xml:space="preserve">Sul punto anche per i riferimenti giurisprudenziali, cfr. F. BENOÎT-ROHMER, </w:t>
      </w:r>
      <w:r w:rsidRPr="00AE712B">
        <w:rPr>
          <w:rFonts w:ascii="Bookman Old Style" w:hAnsi="Bookman Old Style" w:cs="Times New Roman"/>
          <w:i/>
          <w:iCs/>
          <w:sz w:val="20"/>
          <w:szCs w:val="20"/>
        </w:rPr>
        <w:t xml:space="preserve">Le </w:t>
      </w:r>
      <w:proofErr w:type="spellStart"/>
      <w:r w:rsidRPr="00AE712B">
        <w:rPr>
          <w:rFonts w:ascii="Bookman Old Style" w:hAnsi="Bookman Old Style" w:cs="Times New Roman"/>
          <w:i/>
          <w:iCs/>
          <w:sz w:val="20"/>
          <w:szCs w:val="20"/>
        </w:rPr>
        <w:t>droits</w:t>
      </w:r>
      <w:proofErr w:type="spellEnd"/>
      <w:r w:rsidRPr="00AE712B">
        <w:rPr>
          <w:rFonts w:ascii="Bookman Old Style" w:hAnsi="Bookman Old Style" w:cs="Times New Roman"/>
          <w:i/>
          <w:iCs/>
          <w:sz w:val="20"/>
          <w:szCs w:val="20"/>
        </w:rPr>
        <w:t xml:space="preserve"> de l’</w:t>
      </w:r>
      <w:proofErr w:type="spellStart"/>
      <w:r w:rsidRPr="00AE712B">
        <w:rPr>
          <w:rFonts w:ascii="Bookman Old Style" w:hAnsi="Bookman Old Style" w:cs="Times New Roman"/>
          <w:i/>
          <w:iCs/>
          <w:sz w:val="20"/>
          <w:szCs w:val="20"/>
        </w:rPr>
        <w:t>Homme</w:t>
      </w:r>
      <w:proofErr w:type="spellEnd"/>
      <w:r w:rsidRPr="00AE712B">
        <w:rPr>
          <w:rFonts w:ascii="Bookman Old Style" w:hAnsi="Bookman Old Style" w:cs="Times New Roman"/>
          <w:i/>
          <w:iCs/>
          <w:sz w:val="20"/>
          <w:szCs w:val="20"/>
        </w:rPr>
        <w:t xml:space="preserve"> </w:t>
      </w:r>
      <w:proofErr w:type="spellStart"/>
      <w:r w:rsidRPr="00AE712B">
        <w:rPr>
          <w:rFonts w:ascii="Bookman Old Style" w:hAnsi="Bookman Old Style" w:cs="Times New Roman"/>
          <w:i/>
          <w:iCs/>
          <w:sz w:val="20"/>
          <w:szCs w:val="20"/>
        </w:rPr>
        <w:t>dans</w:t>
      </w:r>
      <w:proofErr w:type="spellEnd"/>
      <w:r w:rsidRPr="00AE712B">
        <w:rPr>
          <w:rFonts w:ascii="Bookman Old Style" w:hAnsi="Bookman Old Style" w:cs="Times New Roman"/>
          <w:i/>
          <w:iCs/>
          <w:sz w:val="20"/>
          <w:szCs w:val="20"/>
        </w:rPr>
        <w:t xml:space="preserve"> l’Union </w:t>
      </w:r>
      <w:proofErr w:type="spellStart"/>
      <w:r w:rsidRPr="00AE712B">
        <w:rPr>
          <w:rFonts w:ascii="Bookman Old Style" w:hAnsi="Bookman Old Style" w:cs="Times New Roman"/>
          <w:i/>
          <w:iCs/>
          <w:sz w:val="20"/>
          <w:szCs w:val="20"/>
        </w:rPr>
        <w:t>européenne</w:t>
      </w:r>
      <w:proofErr w:type="spellEnd"/>
      <w:r w:rsidRPr="00AE712B">
        <w:rPr>
          <w:rFonts w:ascii="Bookman Old Style" w:hAnsi="Bookman Old Style" w:cs="Times New Roman"/>
          <w:sz w:val="20"/>
          <w:szCs w:val="20"/>
        </w:rPr>
        <w:t xml:space="preserve">, in </w:t>
      </w:r>
      <w:proofErr w:type="gramStart"/>
      <w:r w:rsidRPr="00AE712B">
        <w:rPr>
          <w:rFonts w:ascii="Bookman Old Style" w:hAnsi="Bookman Old Style" w:cs="Times New Roman"/>
          <w:sz w:val="20"/>
          <w:szCs w:val="20"/>
        </w:rPr>
        <w:t>( a</w:t>
      </w:r>
      <w:proofErr w:type="gramEnd"/>
      <w:r w:rsidRPr="00AE712B">
        <w:rPr>
          <w:rFonts w:ascii="Bookman Old Style" w:hAnsi="Bookman Old Style" w:cs="Times New Roman"/>
          <w:sz w:val="20"/>
          <w:szCs w:val="20"/>
        </w:rPr>
        <w:t xml:space="preserve"> cura) L.S. ROSSI, , </w:t>
      </w:r>
      <w:r w:rsidRPr="00AE712B">
        <w:rPr>
          <w:rFonts w:ascii="Bookman Old Style" w:hAnsi="Bookman Old Style" w:cs="Times New Roman"/>
          <w:i/>
          <w:iCs/>
          <w:sz w:val="20"/>
          <w:szCs w:val="20"/>
        </w:rPr>
        <w:t>Carta dei diritti fondamentali e Costituzione europea</w:t>
      </w:r>
      <w:r w:rsidRPr="00AE712B">
        <w:rPr>
          <w:rFonts w:ascii="Bookman Old Style" w:hAnsi="Bookman Old Style" w:cs="Times New Roman"/>
          <w:sz w:val="20"/>
          <w:szCs w:val="20"/>
        </w:rPr>
        <w:t>, Milano, 2002.</w:t>
      </w:r>
    </w:p>
  </w:footnote>
  <w:footnote w:id="19">
    <w:p w:rsidR="00D31D13" w:rsidRPr="00AE712B" w:rsidRDefault="00D31D13" w:rsidP="00AE712B">
      <w:pPr>
        <w:autoSpaceDE w:val="0"/>
        <w:autoSpaceDN w:val="0"/>
        <w:adjustRightInd w:val="0"/>
        <w:spacing w:after="0" w:line="240" w:lineRule="auto"/>
        <w:jc w:val="both"/>
        <w:rPr>
          <w:rFonts w:ascii="Bookman Old Style" w:hAnsi="Bookman Old Style" w:cs="Times New Roman"/>
          <w:sz w:val="20"/>
          <w:szCs w:val="20"/>
        </w:rPr>
      </w:pPr>
      <w:r w:rsidRPr="00AE712B">
        <w:rPr>
          <w:rStyle w:val="Rimandonotaapidipagina"/>
          <w:rFonts w:ascii="Bookman Old Style" w:hAnsi="Bookman Old Style"/>
          <w:sz w:val="20"/>
          <w:szCs w:val="20"/>
        </w:rPr>
        <w:footnoteRef/>
      </w:r>
      <w:r w:rsidRPr="00AE712B">
        <w:rPr>
          <w:rFonts w:ascii="Bookman Old Style" w:hAnsi="Bookman Old Style"/>
          <w:sz w:val="20"/>
          <w:szCs w:val="20"/>
        </w:rPr>
        <w:t xml:space="preserve"> </w:t>
      </w:r>
      <w:r w:rsidRPr="00AE712B">
        <w:rPr>
          <w:rFonts w:ascii="Bookman Old Style" w:hAnsi="Bookman Old Style" w:cs="Times New Roman"/>
          <w:sz w:val="20"/>
          <w:szCs w:val="20"/>
        </w:rPr>
        <w:t xml:space="preserve">A. APOSTOLI, in, </w:t>
      </w:r>
      <w:r w:rsidRPr="00AE712B">
        <w:rPr>
          <w:rFonts w:ascii="Bookman Old Style" w:hAnsi="Bookman Old Style" w:cs="Times New Roman"/>
          <w:i/>
          <w:iCs/>
          <w:sz w:val="20"/>
          <w:szCs w:val="20"/>
        </w:rPr>
        <w:t xml:space="preserve">La “Carta dei diritti “dell’Unione europea, </w:t>
      </w:r>
      <w:r w:rsidRPr="00AE712B">
        <w:rPr>
          <w:rFonts w:ascii="Bookman Old Style" w:hAnsi="Bookman Old Style" w:cs="Times New Roman"/>
          <w:sz w:val="20"/>
          <w:szCs w:val="20"/>
        </w:rPr>
        <w:t>2000.</w:t>
      </w:r>
    </w:p>
  </w:footnote>
  <w:footnote w:id="20">
    <w:p w:rsidR="00D31D13" w:rsidRPr="00AE712B" w:rsidRDefault="00D31D13" w:rsidP="00AE712B">
      <w:pPr>
        <w:pStyle w:val="Testonotaapidipagina"/>
        <w:jc w:val="both"/>
        <w:rPr>
          <w:rFonts w:ascii="Bookman Old Style" w:hAnsi="Bookman Old Style"/>
        </w:rPr>
      </w:pPr>
      <w:r w:rsidRPr="00AE712B">
        <w:rPr>
          <w:rStyle w:val="Rimandonotaapidipagina"/>
          <w:rFonts w:ascii="Bookman Old Style" w:hAnsi="Bookman Old Style"/>
        </w:rPr>
        <w:footnoteRef/>
      </w:r>
      <w:r w:rsidRPr="00AE712B">
        <w:rPr>
          <w:rFonts w:ascii="Bookman Old Style" w:hAnsi="Bookman Old Style"/>
        </w:rPr>
        <w:t xml:space="preserve"> </w:t>
      </w:r>
      <w:proofErr w:type="spellStart"/>
      <w:r w:rsidRPr="00AE712B">
        <w:rPr>
          <w:rFonts w:ascii="Bookman Old Style" w:hAnsi="Bookman Old Style" w:cs="Arial"/>
        </w:rPr>
        <w:t>Bundesverfassungsgericht</w:t>
      </w:r>
      <w:proofErr w:type="spellEnd"/>
      <w:r w:rsidRPr="00AE712B">
        <w:rPr>
          <w:rFonts w:ascii="Bookman Old Style" w:hAnsi="Bookman Old Style" w:cs="Arial"/>
        </w:rPr>
        <w:t>, sentenza del 29 maggio 1974, c.d. </w:t>
      </w:r>
      <w:r w:rsidRPr="00AE712B">
        <w:rPr>
          <w:rFonts w:ascii="Bookman Old Style" w:hAnsi="Bookman Old Style" w:cs="Arial"/>
          <w:i/>
          <w:iCs/>
        </w:rPr>
        <w:t>Solange I</w:t>
      </w:r>
      <w:r w:rsidRPr="00AE712B">
        <w:rPr>
          <w:rFonts w:ascii="Bookman Old Style" w:hAnsi="Bookman Old Style" w:cs="Arial"/>
        </w:rPr>
        <w:t>; Corte costituzionale italiana, sentenza n. 183/1973</w:t>
      </w:r>
    </w:p>
  </w:footnote>
  <w:footnote w:id="21">
    <w:p w:rsidR="00D31D13" w:rsidRPr="00AE712B" w:rsidRDefault="00D31D13" w:rsidP="00AE712B">
      <w:pPr>
        <w:autoSpaceDE w:val="0"/>
        <w:autoSpaceDN w:val="0"/>
        <w:adjustRightInd w:val="0"/>
        <w:spacing w:after="0" w:line="240" w:lineRule="auto"/>
        <w:jc w:val="both"/>
        <w:rPr>
          <w:rFonts w:ascii="Bookman Old Style" w:hAnsi="Bookman Old Style"/>
          <w:sz w:val="20"/>
          <w:szCs w:val="20"/>
        </w:rPr>
      </w:pPr>
      <w:r w:rsidRPr="00AE712B">
        <w:rPr>
          <w:rStyle w:val="Rimandonotaapidipagina"/>
          <w:rFonts w:ascii="Bookman Old Style" w:hAnsi="Bookman Old Style"/>
          <w:sz w:val="20"/>
          <w:szCs w:val="20"/>
        </w:rPr>
        <w:footnoteRef/>
      </w:r>
      <w:r w:rsidRPr="00AE712B">
        <w:rPr>
          <w:rFonts w:ascii="Bookman Old Style" w:hAnsi="Bookman Old Style"/>
          <w:sz w:val="20"/>
          <w:szCs w:val="20"/>
        </w:rPr>
        <w:t xml:space="preserve"> </w:t>
      </w:r>
      <w:r w:rsidRPr="00AE712B">
        <w:rPr>
          <w:rFonts w:ascii="Bookman Old Style" w:hAnsi="Bookman Old Style" w:cs="Times New Roman"/>
          <w:sz w:val="20"/>
          <w:szCs w:val="20"/>
        </w:rPr>
        <w:t xml:space="preserve">C. AMIRANTE, </w:t>
      </w:r>
      <w:r w:rsidRPr="00AE712B">
        <w:rPr>
          <w:rFonts w:ascii="Bookman Old Style" w:hAnsi="Bookman Old Style" w:cs="Times New Roman"/>
          <w:i/>
          <w:iCs/>
          <w:sz w:val="20"/>
          <w:szCs w:val="20"/>
        </w:rPr>
        <w:t xml:space="preserve">La Germania e l’Europa, </w:t>
      </w:r>
      <w:r w:rsidR="003D56B8">
        <w:rPr>
          <w:rFonts w:ascii="Bookman Old Style" w:hAnsi="Bookman Old Style" w:cs="Times New Roman"/>
          <w:sz w:val="20"/>
          <w:szCs w:val="20"/>
        </w:rPr>
        <w:t>in (</w:t>
      </w:r>
      <w:r w:rsidRPr="00AE712B">
        <w:rPr>
          <w:rFonts w:ascii="Bookman Old Style" w:hAnsi="Bookman Old Style" w:cs="Times New Roman"/>
          <w:sz w:val="20"/>
          <w:szCs w:val="20"/>
        </w:rPr>
        <w:t xml:space="preserve">a cura di), </w:t>
      </w:r>
      <w:r w:rsidRPr="00AE712B">
        <w:rPr>
          <w:rFonts w:ascii="Bookman Old Style" w:hAnsi="Bookman Old Style" w:cs="Times New Roman"/>
          <w:i/>
          <w:iCs/>
          <w:sz w:val="20"/>
          <w:szCs w:val="20"/>
        </w:rPr>
        <w:t>Unioni sovranazionali e riorganizzazione costituzionale dello Stato</w:t>
      </w:r>
      <w:r w:rsidRPr="00AE712B">
        <w:rPr>
          <w:rFonts w:ascii="Bookman Old Style" w:hAnsi="Bookman Old Style" w:cs="Times New Roman"/>
          <w:sz w:val="20"/>
          <w:szCs w:val="20"/>
        </w:rPr>
        <w:t>, Torino, 2001.</w:t>
      </w:r>
    </w:p>
  </w:footnote>
  <w:footnote w:id="22">
    <w:p w:rsidR="00D31D13" w:rsidRPr="00AE712B" w:rsidRDefault="00D31D13" w:rsidP="00AE712B">
      <w:pPr>
        <w:autoSpaceDE w:val="0"/>
        <w:autoSpaceDN w:val="0"/>
        <w:adjustRightInd w:val="0"/>
        <w:spacing w:after="0" w:line="240" w:lineRule="auto"/>
        <w:jc w:val="both"/>
        <w:rPr>
          <w:rFonts w:ascii="Bookman Old Style" w:hAnsi="Bookman Old Style"/>
          <w:sz w:val="20"/>
          <w:szCs w:val="20"/>
        </w:rPr>
      </w:pPr>
      <w:r w:rsidRPr="00AE712B">
        <w:rPr>
          <w:rStyle w:val="Rimandonotaapidipagina"/>
          <w:rFonts w:ascii="Bookman Old Style" w:hAnsi="Bookman Old Style"/>
          <w:sz w:val="20"/>
          <w:szCs w:val="20"/>
        </w:rPr>
        <w:footnoteRef/>
      </w:r>
      <w:r w:rsidRPr="00AE712B">
        <w:rPr>
          <w:rFonts w:ascii="Bookman Old Style" w:hAnsi="Bookman Old Style"/>
          <w:sz w:val="20"/>
          <w:szCs w:val="20"/>
        </w:rPr>
        <w:t xml:space="preserve"> </w:t>
      </w:r>
      <w:r w:rsidRPr="00AE712B">
        <w:rPr>
          <w:rFonts w:ascii="Bookman Old Style" w:hAnsi="Bookman Old Style" w:cs="Verdana"/>
          <w:sz w:val="20"/>
          <w:szCs w:val="20"/>
        </w:rPr>
        <w:t xml:space="preserve">S. Holmes, C.R. </w:t>
      </w:r>
      <w:proofErr w:type="spellStart"/>
      <w:r w:rsidRPr="00AE712B">
        <w:rPr>
          <w:rFonts w:ascii="Bookman Old Style" w:hAnsi="Bookman Old Style" w:cs="Verdana"/>
          <w:sz w:val="20"/>
          <w:szCs w:val="20"/>
        </w:rPr>
        <w:t>Sunstein</w:t>
      </w:r>
      <w:proofErr w:type="spellEnd"/>
      <w:r w:rsidRPr="00AE712B">
        <w:rPr>
          <w:rFonts w:ascii="Bookman Old Style" w:hAnsi="Bookman Old Style" w:cs="Verdana"/>
          <w:sz w:val="20"/>
          <w:szCs w:val="20"/>
        </w:rPr>
        <w:t xml:space="preserve">, </w:t>
      </w:r>
      <w:r w:rsidRPr="00AE712B">
        <w:rPr>
          <w:rFonts w:ascii="Bookman Old Style" w:hAnsi="Bookman Old Style" w:cs="Verdana"/>
          <w:i/>
          <w:iCs/>
          <w:sz w:val="20"/>
          <w:szCs w:val="20"/>
        </w:rPr>
        <w:t xml:space="preserve">The </w:t>
      </w:r>
      <w:proofErr w:type="spellStart"/>
      <w:r w:rsidRPr="00AE712B">
        <w:rPr>
          <w:rFonts w:ascii="Bookman Old Style" w:hAnsi="Bookman Old Style" w:cs="Verdana"/>
          <w:i/>
          <w:iCs/>
          <w:sz w:val="20"/>
          <w:szCs w:val="20"/>
        </w:rPr>
        <w:t>Costs</w:t>
      </w:r>
      <w:proofErr w:type="spellEnd"/>
      <w:r w:rsidRPr="00AE712B">
        <w:rPr>
          <w:rFonts w:ascii="Bookman Old Style" w:hAnsi="Bookman Old Style" w:cs="Verdana"/>
          <w:i/>
          <w:iCs/>
          <w:sz w:val="20"/>
          <w:szCs w:val="20"/>
        </w:rPr>
        <w:t xml:space="preserve"> of </w:t>
      </w:r>
      <w:proofErr w:type="spellStart"/>
      <w:r w:rsidRPr="00AE712B">
        <w:rPr>
          <w:rFonts w:ascii="Bookman Old Style" w:hAnsi="Bookman Old Style" w:cs="Verdana"/>
          <w:i/>
          <w:iCs/>
          <w:sz w:val="20"/>
          <w:szCs w:val="20"/>
        </w:rPr>
        <w:t>Rights</w:t>
      </w:r>
      <w:proofErr w:type="spellEnd"/>
      <w:r w:rsidRPr="00AE712B">
        <w:rPr>
          <w:rFonts w:ascii="Bookman Old Style" w:hAnsi="Bookman Old Style" w:cs="Verdana"/>
          <w:i/>
          <w:iCs/>
          <w:sz w:val="20"/>
          <w:szCs w:val="20"/>
        </w:rPr>
        <w:t xml:space="preserve">. </w:t>
      </w:r>
      <w:proofErr w:type="spellStart"/>
      <w:r w:rsidRPr="00AE712B">
        <w:rPr>
          <w:rFonts w:ascii="Bookman Old Style" w:hAnsi="Bookman Old Style" w:cs="Verdana"/>
          <w:i/>
          <w:iCs/>
          <w:sz w:val="20"/>
          <w:szCs w:val="20"/>
        </w:rPr>
        <w:t>Why</w:t>
      </w:r>
      <w:proofErr w:type="spellEnd"/>
      <w:r w:rsidRPr="00AE712B">
        <w:rPr>
          <w:rFonts w:ascii="Bookman Old Style" w:hAnsi="Bookman Old Style" w:cs="Verdana"/>
          <w:i/>
          <w:iCs/>
          <w:sz w:val="20"/>
          <w:szCs w:val="20"/>
        </w:rPr>
        <w:t xml:space="preserve"> Liberty </w:t>
      </w:r>
      <w:proofErr w:type="spellStart"/>
      <w:r w:rsidRPr="00AE712B">
        <w:rPr>
          <w:rFonts w:ascii="Bookman Old Style" w:hAnsi="Bookman Old Style" w:cs="Verdana"/>
          <w:i/>
          <w:iCs/>
          <w:sz w:val="20"/>
          <w:szCs w:val="20"/>
        </w:rPr>
        <w:t>Depends</w:t>
      </w:r>
      <w:proofErr w:type="spellEnd"/>
      <w:r w:rsidRPr="00AE712B">
        <w:rPr>
          <w:rFonts w:ascii="Bookman Old Style" w:hAnsi="Bookman Old Style" w:cs="Verdana"/>
          <w:i/>
          <w:iCs/>
          <w:sz w:val="20"/>
          <w:szCs w:val="20"/>
        </w:rPr>
        <w:t xml:space="preserve"> on </w:t>
      </w:r>
      <w:proofErr w:type="spellStart"/>
      <w:r w:rsidRPr="00AE712B">
        <w:rPr>
          <w:rFonts w:ascii="Bookman Old Style" w:hAnsi="Bookman Old Style" w:cs="Verdana"/>
          <w:i/>
          <w:iCs/>
          <w:sz w:val="20"/>
          <w:szCs w:val="20"/>
        </w:rPr>
        <w:t>Taxes</w:t>
      </w:r>
      <w:proofErr w:type="spellEnd"/>
      <w:r w:rsidRPr="00AE712B">
        <w:rPr>
          <w:rFonts w:ascii="Bookman Old Style" w:hAnsi="Bookman Old Style" w:cs="Verdana"/>
          <w:sz w:val="20"/>
          <w:szCs w:val="20"/>
        </w:rPr>
        <w:t xml:space="preserve">, W.W. Norton, New York 1999, trad. </w:t>
      </w:r>
      <w:proofErr w:type="spellStart"/>
      <w:r w:rsidRPr="00AE712B">
        <w:rPr>
          <w:rFonts w:ascii="Bookman Old Style" w:hAnsi="Bookman Old Style" w:cs="Verdana"/>
          <w:sz w:val="20"/>
          <w:szCs w:val="20"/>
        </w:rPr>
        <w:t>it</w:t>
      </w:r>
      <w:proofErr w:type="spellEnd"/>
      <w:r w:rsidRPr="00AE712B">
        <w:rPr>
          <w:rFonts w:ascii="Bookman Old Style" w:hAnsi="Bookman Old Style" w:cs="Verdana"/>
          <w:sz w:val="20"/>
          <w:szCs w:val="20"/>
        </w:rPr>
        <w:t xml:space="preserve">. </w:t>
      </w:r>
      <w:r w:rsidRPr="00AE712B">
        <w:rPr>
          <w:rFonts w:ascii="Bookman Old Style" w:hAnsi="Bookman Old Style" w:cs="Verdana"/>
          <w:i/>
          <w:iCs/>
          <w:sz w:val="20"/>
          <w:szCs w:val="20"/>
        </w:rPr>
        <w:t>Il costo dei diritti. Perché la libertà dipende dalle tasse</w:t>
      </w:r>
      <w:r w:rsidRPr="00AE712B">
        <w:rPr>
          <w:rFonts w:ascii="Bookman Old Style" w:hAnsi="Bookman Old Style" w:cs="Verdana"/>
          <w:sz w:val="20"/>
          <w:szCs w:val="20"/>
        </w:rPr>
        <w:t>, Il Mulino, Bologna 2000, pp. 246</w:t>
      </w:r>
    </w:p>
  </w:footnote>
  <w:footnote w:id="23">
    <w:p w:rsidR="00D31D13" w:rsidRPr="00AE712B" w:rsidRDefault="00D31D13" w:rsidP="00AE712B">
      <w:pPr>
        <w:pStyle w:val="Titolo1"/>
        <w:spacing w:before="0" w:beforeAutospacing="0" w:after="0" w:afterAutospacing="0"/>
        <w:jc w:val="both"/>
        <w:rPr>
          <w:rFonts w:ascii="Bookman Old Style" w:hAnsi="Bookman Old Style"/>
          <w:b w:val="0"/>
          <w:sz w:val="20"/>
          <w:szCs w:val="20"/>
        </w:rPr>
      </w:pPr>
      <w:r w:rsidRPr="00AE712B">
        <w:rPr>
          <w:rFonts w:ascii="Bookman Old Style" w:hAnsi="Bookman Old Style"/>
          <w:b w:val="0"/>
          <w:sz w:val="20"/>
          <w:szCs w:val="20"/>
        </w:rPr>
        <w:footnoteRef/>
      </w:r>
      <w:r w:rsidRPr="00AE712B">
        <w:rPr>
          <w:rFonts w:ascii="Bookman Old Style" w:hAnsi="Bookman Old Style"/>
          <w:b w:val="0"/>
          <w:sz w:val="20"/>
          <w:szCs w:val="20"/>
        </w:rPr>
        <w:t xml:space="preserve"> </w:t>
      </w:r>
      <w:hyperlink r:id="rId4" w:tooltip="Ronald Dworkin" w:history="1">
        <w:r w:rsidRPr="00AE712B">
          <w:rPr>
            <w:rFonts w:ascii="Bookman Old Style" w:hAnsi="Bookman Old Style"/>
            <w:b w:val="0"/>
            <w:sz w:val="20"/>
            <w:szCs w:val="20"/>
          </w:rPr>
          <w:t>R. DWORKIN</w:t>
        </w:r>
      </w:hyperlink>
      <w:r w:rsidRPr="00AE712B">
        <w:rPr>
          <w:rFonts w:ascii="Bookman Old Style" w:hAnsi="Bookman Old Style"/>
          <w:b w:val="0"/>
          <w:sz w:val="20"/>
          <w:szCs w:val="20"/>
        </w:rPr>
        <w:t xml:space="preserve">, </w:t>
      </w:r>
      <w:r w:rsidRPr="00AE712B">
        <w:rPr>
          <w:rFonts w:ascii="Bookman Old Style" w:hAnsi="Bookman Old Style"/>
          <w:b w:val="0"/>
          <w:i/>
          <w:sz w:val="20"/>
          <w:szCs w:val="20"/>
        </w:rPr>
        <w:t>I diritti presi sul serio</w:t>
      </w:r>
      <w:r w:rsidRPr="00AE712B">
        <w:rPr>
          <w:rFonts w:ascii="Bookman Old Style" w:hAnsi="Bookman Old Style"/>
          <w:b w:val="0"/>
          <w:sz w:val="20"/>
          <w:szCs w:val="20"/>
        </w:rPr>
        <w:t xml:space="preserve">, </w:t>
      </w:r>
      <w:hyperlink r:id="rId5" w:tooltip="Il Mulino" w:history="1">
        <w:r w:rsidRPr="00AE712B">
          <w:rPr>
            <w:rFonts w:ascii="Bookman Old Style" w:hAnsi="Bookman Old Style"/>
            <w:b w:val="0"/>
            <w:sz w:val="20"/>
            <w:szCs w:val="20"/>
          </w:rPr>
          <w:t>Il Mulino</w:t>
        </w:r>
      </w:hyperlink>
    </w:p>
  </w:footnote>
  <w:footnote w:id="24">
    <w:p w:rsidR="00D31D13" w:rsidRPr="00AE712B" w:rsidRDefault="00D31D13" w:rsidP="00AE712B">
      <w:pPr>
        <w:pStyle w:val="Testonotaapidipagina"/>
        <w:jc w:val="both"/>
        <w:rPr>
          <w:rFonts w:ascii="Bookman Old Style" w:hAnsi="Bookman Old Style"/>
        </w:rPr>
      </w:pPr>
      <w:r w:rsidRPr="00AE712B">
        <w:rPr>
          <w:rStyle w:val="Rimandonotaapidipagina"/>
          <w:rFonts w:ascii="Bookman Old Style" w:hAnsi="Bookman Old Style"/>
        </w:rPr>
        <w:footnoteRef/>
      </w:r>
      <w:r w:rsidRPr="00AE712B">
        <w:rPr>
          <w:rFonts w:ascii="Bookman Old Style" w:hAnsi="Bookman Old Style"/>
        </w:rPr>
        <w:t xml:space="preserve"> BASSANINI, op. cit.</w:t>
      </w:r>
    </w:p>
  </w:footnote>
  <w:footnote w:id="25">
    <w:p w:rsidR="00D31D13" w:rsidRPr="00AE712B" w:rsidRDefault="00D31D13" w:rsidP="00AE712B">
      <w:pPr>
        <w:pStyle w:val="Testonotaapidipagina"/>
        <w:jc w:val="both"/>
        <w:rPr>
          <w:rFonts w:ascii="Bookman Old Style" w:hAnsi="Bookman Old Style"/>
        </w:rPr>
      </w:pPr>
      <w:r w:rsidRPr="00AE712B">
        <w:rPr>
          <w:rStyle w:val="Rimandonotaapidipagina"/>
          <w:rFonts w:ascii="Bookman Old Style" w:hAnsi="Bookman Old Style"/>
        </w:rPr>
        <w:footnoteRef/>
      </w:r>
      <w:r w:rsidRPr="00AE712B">
        <w:rPr>
          <w:rFonts w:ascii="Bookman Old Style" w:hAnsi="Bookman Old Style"/>
        </w:rPr>
        <w:t xml:space="preserve"> L. CASO, </w:t>
      </w:r>
      <w:r w:rsidRPr="00AE712B">
        <w:rPr>
          <w:rFonts w:ascii="Bookman Old Style" w:hAnsi="Bookman Old Style"/>
          <w:i/>
        </w:rPr>
        <w:t>Il nuovo articolo 81 della Costituzione e la legge rinforzata</w:t>
      </w:r>
      <w:r w:rsidRPr="00AE712B">
        <w:rPr>
          <w:rFonts w:ascii="Bookman Old Style" w:hAnsi="Bookman Old Style"/>
        </w:rPr>
        <w:t xml:space="preserve">, Relazione al 58° Convegno di Studi Amministrativi, </w:t>
      </w:r>
      <w:r w:rsidR="00AE712B" w:rsidRPr="00AE712B">
        <w:rPr>
          <w:rFonts w:ascii="Bookman Old Style" w:hAnsi="Bookman Old Style" w:cs="Times New Roman"/>
        </w:rPr>
        <w:t xml:space="preserve">svoltasi a </w:t>
      </w:r>
      <w:r w:rsidRPr="00AE712B">
        <w:rPr>
          <w:rFonts w:ascii="Bookman Old Style" w:hAnsi="Bookman Old Style"/>
        </w:rPr>
        <w:t xml:space="preserve">Varenna </w:t>
      </w:r>
      <w:r w:rsidR="00AE712B" w:rsidRPr="00AE712B">
        <w:rPr>
          <w:rFonts w:ascii="Bookman Old Style" w:hAnsi="Bookman Old Style"/>
        </w:rPr>
        <w:t xml:space="preserve">il 20, 21 e 22 </w:t>
      </w:r>
      <w:r w:rsidRPr="00AE712B">
        <w:rPr>
          <w:rFonts w:ascii="Bookman Old Style" w:hAnsi="Bookman Old Style"/>
        </w:rPr>
        <w:t>settembre 2012</w:t>
      </w:r>
    </w:p>
  </w:footnote>
  <w:footnote w:id="26">
    <w:p w:rsidR="00D31D13" w:rsidRPr="00AE712B" w:rsidRDefault="00D31D13" w:rsidP="00AE712B">
      <w:pPr>
        <w:pStyle w:val="Testonotaapidipagina"/>
        <w:jc w:val="both"/>
        <w:rPr>
          <w:rFonts w:ascii="Bookman Old Style" w:hAnsi="Bookman Old Style"/>
        </w:rPr>
      </w:pPr>
      <w:r w:rsidRPr="00AE712B">
        <w:rPr>
          <w:rFonts w:ascii="Bookman Old Style" w:hAnsi="Bookman Old Style"/>
        </w:rPr>
        <w:footnoteRef/>
      </w:r>
      <w:r w:rsidRPr="00AE712B">
        <w:rPr>
          <w:rFonts w:ascii="Bookman Old Style" w:hAnsi="Bookman Old Style"/>
        </w:rPr>
        <w:t xml:space="preserve"> A margine del Consiglio europeo del 1°-2 marzo 2012 è stato firmato il nuovo “Trattato sulla stabilità, il coordinamento e la </w:t>
      </w:r>
      <w:proofErr w:type="spellStart"/>
      <w:r w:rsidRPr="00AE712B">
        <w:rPr>
          <w:rFonts w:ascii="Bookman Old Style" w:hAnsi="Bookman Old Style"/>
          <w:i/>
        </w:rPr>
        <w:t>governance</w:t>
      </w:r>
      <w:proofErr w:type="spellEnd"/>
      <w:r w:rsidRPr="00AE712B">
        <w:rPr>
          <w:rFonts w:ascii="Bookman Old Style" w:hAnsi="Bookman Old Style"/>
        </w:rPr>
        <w:t xml:space="preserve"> nell’unione economica e monetaria (c.d. </w:t>
      </w:r>
      <w:r w:rsidRPr="00AE712B">
        <w:rPr>
          <w:rFonts w:ascii="Bookman Old Style" w:hAnsi="Bookman Old Style"/>
          <w:i/>
        </w:rPr>
        <w:t>fiscal compact</w:t>
      </w:r>
      <w:r w:rsidRPr="00AE712B">
        <w:rPr>
          <w:rFonts w:ascii="Bookman Old Style" w:hAnsi="Bookman Old Style"/>
        </w:rPr>
        <w:t xml:space="preserve">), già approvato nella riunione straordinaria del Consiglio europeo del 30 gennaio e ratificata dall’Italia con legge 23 luglio 2012, n. 114. Con decisione del Consiglio europeo del 24-25 marzo 2011, è stata approvata la modifica dell’articolo 136 del Trattato sul funzionamento della UE (TFUE), finalizzata a consentire ai Paesi dell’Eurozona l’istituzione di meccanismi di stabilità da attivare, laddove sia indispensabile, per favorire la stabilità della stessa zona euro nel suo insieme. Si è trattato di una modifica del Trattato propedeutica alla firma del Trattato istitutivo del MES (fatto l’11 luglio 2011), finalizzata non tanto a consentirne la firma quanto, piuttosto, a radicare l’istituzione del nuovo organismo all’interno della struttura fondante dell’Unione. In tal modo, si è inteso dare basi più solide al nuovo meccanismo di sostegno, passando da una logica emergenziale ad una maggiormente istituzionale. Peraltro, la modifica del predetto art. 136 ha permesso di dare al principio sottostante al meccanismo di sostegno la stessa dignità normativa di altre due disposizioni del medesimo Trattato (gli artt. 125 e 122, par. 2) che, invece, parevano opporvisi. Difatti, ai sensi del primo “l’Unione non risponde né si fa carico degli impegni assunti dalle amministrazioni statali” mentre, ai sensi della seconda norma, l’intervento solidale è ammesso solo laddove l’emergenza da risolvere sia originata da cause al di fuori dal controllo dello Stato membro (in questi sensi, si veda G. NAPOLITANO, </w:t>
      </w:r>
      <w:r w:rsidRPr="00AE712B">
        <w:rPr>
          <w:rFonts w:ascii="Bookman Old Style" w:hAnsi="Bookman Old Style"/>
          <w:i/>
        </w:rPr>
        <w:t xml:space="preserve">La nuova </w:t>
      </w:r>
      <w:proofErr w:type="spellStart"/>
      <w:r w:rsidRPr="00AE712B">
        <w:rPr>
          <w:rFonts w:ascii="Bookman Old Style" w:hAnsi="Bookman Old Style"/>
          <w:i/>
        </w:rPr>
        <w:t>governance</w:t>
      </w:r>
      <w:proofErr w:type="spellEnd"/>
      <w:r w:rsidRPr="00AE712B">
        <w:rPr>
          <w:rFonts w:ascii="Bookman Old Style" w:hAnsi="Bookman Old Style"/>
          <w:i/>
        </w:rPr>
        <w:t xml:space="preserve"> economica europea: il meccanismo di stabilità e il fiscal compact</w:t>
      </w:r>
      <w:r w:rsidRPr="00AE712B">
        <w:rPr>
          <w:rFonts w:ascii="Bookman Old Style" w:hAnsi="Bookman Old Style"/>
        </w:rPr>
        <w:t xml:space="preserve">, in </w:t>
      </w:r>
      <w:r w:rsidRPr="00AE712B">
        <w:rPr>
          <w:rFonts w:ascii="Bookman Old Style" w:hAnsi="Bookman Old Style"/>
          <w:i/>
        </w:rPr>
        <w:t>Giornale di diritto amministrativo</w:t>
      </w:r>
      <w:r w:rsidRPr="00AE712B">
        <w:rPr>
          <w:rFonts w:ascii="Bookman Old Style" w:hAnsi="Bookman Old Style"/>
        </w:rPr>
        <w:t xml:space="preserve">, 2012, 5, 461 e seg.). La circostanza che il perseguimento dello scopo di istituzionalizzare un meccanismo di stabilizzazione finanziaria per gli Stati della zona euro in difficoltà abbia richiesto necessariamente la modifica del Trattato sul funzionamento dell’Unione per rendere l’istituzione del nuovo meccanismo compatibile con ben due principi costitutivi dell’Unione che dettavano regole di segno addirittura opposto la dice lunga sulla difficoltà di modificare in corsa le leggi fondanti gli ordinamenti (non solo il Trattato UE ma anche le Costituzioni nazionali) nonché sul pericolo di ottenere, alla fine del processo, degli ibridi in cui le parti originarie e gli innesti successivi rispondono a logiche e finalità non solo distinte ma addirittura opposte e contraddittorie. Prova di ciò è anche il fatto che il MES viene qualificato istituzione finanziaria di diritto internazionale e, dunque, estranea all’architettura istituzionale dell’Unione e, di conseguenza, sottratto ai principi, regole e controlli dell’ordinamento europeo, compresi quelli in materia di trasparenza, partecipazione al processo decisionale e sindacato giurisdizionale. L’intreccio delle nuove regole comunitarie (modifica dell’art. 136 del TFUE, disciplina del </w:t>
      </w:r>
      <w:r w:rsidRPr="00AE712B">
        <w:rPr>
          <w:rFonts w:ascii="Bookman Old Style" w:hAnsi="Bookman Old Style"/>
          <w:i/>
        </w:rPr>
        <w:t>fiscal compact</w:t>
      </w:r>
      <w:r w:rsidRPr="00AE712B">
        <w:rPr>
          <w:rFonts w:ascii="Bookman Old Style" w:hAnsi="Bookman Old Style"/>
        </w:rPr>
        <w:t xml:space="preserve"> e istituzione del MES) è ancora più evidente laddove si rifletta sul fatto che, a decorrere dal 1° marzo 2013, la possibilità per lo Stato di accedere all’assistenza finanziaria del Meccanismo europeo di stabilità (MES) sarà subordinata alla ratifica del Trattato sul </w:t>
      </w:r>
      <w:r w:rsidRPr="00AE712B">
        <w:rPr>
          <w:rFonts w:ascii="Bookman Old Style" w:hAnsi="Bookman Old Style"/>
          <w:i/>
        </w:rPr>
        <w:t>fiscal compact</w:t>
      </w:r>
      <w:r w:rsidRPr="00AE712B">
        <w:rPr>
          <w:rFonts w:ascii="Bookman Old Style" w:hAnsi="Bookman Old Style"/>
        </w:rPr>
        <w:t xml:space="preserve">. La ricetta adottata dall’Europa, finalizzata ad imporre regole più severe che consentano di evitare l’ulteriore indebitamento dei Paesi non in grado di rispettare la disciplina finanziaria che, a sua volta, renderebbe impossibile il superamento della crisi dei debiti sovrani, si pone in continuità con quelle adottate in passato. Vi è, infatti, una linea che congiunge i vincoli alla politica fiscale definiti nel Trattato di Maastricht (indebitamento netto non superiore al 3% del PIL e </w:t>
      </w:r>
      <w:r w:rsidRPr="00AE712B">
        <w:rPr>
          <w:rFonts w:ascii="Bookman Old Style" w:hAnsi="Bookman Old Style"/>
          <w:i/>
        </w:rPr>
        <w:t>stock</w:t>
      </w:r>
      <w:r w:rsidRPr="00AE712B">
        <w:rPr>
          <w:rFonts w:ascii="Bookman Old Style" w:hAnsi="Bookman Old Style"/>
        </w:rPr>
        <w:t xml:space="preserve"> di debito pari al 60% del PIL), quelli ribaditi col divieto di disavanzi eccessivi posto dall’art. 126 TFUE, poi ulteriormente inaspriti con l’approvazione del Patto di stabilità e crescita (saldo di bilancio nel medio termine in pareggio o, comunque, prossimo al pareggio) e, infine, quelli posti con il </w:t>
      </w:r>
      <w:r w:rsidRPr="00AE712B">
        <w:rPr>
          <w:rFonts w:ascii="Bookman Old Style" w:hAnsi="Bookman Old Style"/>
          <w:i/>
        </w:rPr>
        <w:t>fiscal compact</w:t>
      </w:r>
      <w:r w:rsidRPr="00AE712B">
        <w:rPr>
          <w:rFonts w:ascii="Bookman Old Style" w:hAnsi="Bookman Old Style"/>
        </w:rPr>
        <w:t xml:space="preserve"> (saldo di bilancio strutturale, al netto dell’andamento del ciclo, non superiore allo 0,5% del PIL, e riduzione del 5% annuo della quota di debito sul PIL eccedente il 60%). Il </w:t>
      </w:r>
      <w:r w:rsidRPr="00AE712B">
        <w:rPr>
          <w:rFonts w:ascii="Bookman Old Style" w:hAnsi="Bookman Old Style"/>
          <w:i/>
        </w:rPr>
        <w:t>fiscal compact</w:t>
      </w:r>
      <w:r w:rsidRPr="00AE712B">
        <w:rPr>
          <w:rFonts w:ascii="Bookman Old Style" w:hAnsi="Bookman Old Style"/>
        </w:rPr>
        <w:t xml:space="preserve">, dunque, introduce una </w:t>
      </w:r>
      <w:proofErr w:type="spellStart"/>
      <w:r w:rsidRPr="00AE712B">
        <w:rPr>
          <w:rFonts w:ascii="Bookman Old Style" w:hAnsi="Bookman Old Style"/>
          <w:i/>
        </w:rPr>
        <w:t>golden</w:t>
      </w:r>
      <w:proofErr w:type="spellEnd"/>
      <w:r w:rsidRPr="00AE712B">
        <w:rPr>
          <w:rFonts w:ascii="Bookman Old Style" w:hAnsi="Bookman Old Style"/>
          <w:i/>
        </w:rPr>
        <w:t xml:space="preserve"> </w:t>
      </w:r>
      <w:proofErr w:type="spellStart"/>
      <w:r w:rsidRPr="00AE712B">
        <w:rPr>
          <w:rFonts w:ascii="Bookman Old Style" w:hAnsi="Bookman Old Style"/>
          <w:i/>
        </w:rPr>
        <w:t>rule</w:t>
      </w:r>
      <w:proofErr w:type="spellEnd"/>
      <w:r w:rsidRPr="00AE712B">
        <w:rPr>
          <w:rFonts w:ascii="Bookman Old Style" w:hAnsi="Bookman Old Style"/>
        </w:rPr>
        <w:t xml:space="preserve"> rafforzata in quanto, a differenza della tradizionale regola aurea che imponeva che la spesa corrente fosse finanziata con il gettito delle imposte e quella per investimenti con l’avanzo di bilancio oppure con emissione di titoli pubblici (secondo tale tradizionale regola aurea erano giudicati incompatibili con l’economia di mercato non tanto i disavanzi indotti dagli investimenti pubblici ma quelli derivanti da consumo pubblico e cioè causati da esorbitanza di spesa corrente), la nuova </w:t>
      </w:r>
      <w:proofErr w:type="spellStart"/>
      <w:r w:rsidRPr="00AE712B">
        <w:rPr>
          <w:rFonts w:ascii="Bookman Old Style" w:hAnsi="Bookman Old Style"/>
          <w:i/>
        </w:rPr>
        <w:t>golden</w:t>
      </w:r>
      <w:proofErr w:type="spellEnd"/>
      <w:r w:rsidRPr="00AE712B">
        <w:rPr>
          <w:rFonts w:ascii="Bookman Old Style" w:hAnsi="Bookman Old Style"/>
          <w:i/>
        </w:rPr>
        <w:t xml:space="preserve"> </w:t>
      </w:r>
      <w:proofErr w:type="spellStart"/>
      <w:r w:rsidRPr="00AE712B">
        <w:rPr>
          <w:rFonts w:ascii="Bookman Old Style" w:hAnsi="Bookman Old Style"/>
          <w:i/>
        </w:rPr>
        <w:t>rule</w:t>
      </w:r>
      <w:proofErr w:type="spellEnd"/>
      <w:r w:rsidRPr="00AE712B">
        <w:rPr>
          <w:rFonts w:ascii="Bookman Old Style" w:hAnsi="Bookman Old Style"/>
        </w:rPr>
        <w:t xml:space="preserve"> rafforzata prevede che il pareggio di bilancio debba includere anche la spesa per investimenti. Volendo sinteticamente ricordare i provvedimenti di maggior significatività adottati dall’Unione europea a seguito della crisi finanziaria esplosa con il caso-Grecia nel 2010, occorre far riferimento all’insediamento, avvenuto nel marzo 2010, su mandato del Consiglio europeo, di una </w:t>
      </w:r>
      <w:r w:rsidRPr="00AE712B">
        <w:rPr>
          <w:rFonts w:ascii="Bookman Old Style" w:hAnsi="Bookman Old Style"/>
          <w:i/>
        </w:rPr>
        <w:t>Task force</w:t>
      </w:r>
      <w:r w:rsidRPr="00AE712B">
        <w:rPr>
          <w:rFonts w:ascii="Bookman Old Style" w:hAnsi="Bookman Old Style"/>
        </w:rPr>
        <w:t xml:space="preserve"> costituita dai 27 Ministri finanziari degli Stati membri, dal Presidente della Banca centrale e dal Commissario europeo agli Affari economici e monetari, con il compito di elaborare proposte tese al rafforzamento della disciplina fiscale ed economica dell’Unione; alle Comunicazioni della Commissione di metà anno, nelle quali sono stati ulteriormente focalizzati i temi del coordinamento delle politiche di bilancio quali centrali per una </w:t>
      </w:r>
      <w:proofErr w:type="spellStart"/>
      <w:r w:rsidRPr="00AE712B">
        <w:rPr>
          <w:rFonts w:ascii="Bookman Old Style" w:hAnsi="Bookman Old Style"/>
          <w:i/>
        </w:rPr>
        <w:t>governance</w:t>
      </w:r>
      <w:proofErr w:type="spellEnd"/>
      <w:r w:rsidRPr="00AE712B">
        <w:rPr>
          <w:rFonts w:ascii="Bookman Old Style" w:hAnsi="Bookman Old Style"/>
          <w:i/>
        </w:rPr>
        <w:t xml:space="preserve"> </w:t>
      </w:r>
      <w:r w:rsidRPr="00AE712B">
        <w:rPr>
          <w:rFonts w:ascii="Bookman Old Style" w:hAnsi="Bookman Old Style"/>
        </w:rPr>
        <w:t xml:space="preserve">economica in grado di coniugare finanze pubbliche sane con gli obiettivi di crescita e occupazione indicati nella nuova Strategia di Europa 2020; all’istituzione, nel settembre 2010, del c.d. semestre europeo, individuato come sistema di coordinamento delle procedure di bilancio a livello nazionale, tale da garantire un raccordo della tempistica </w:t>
      </w:r>
      <w:r w:rsidRPr="00AE712B">
        <w:rPr>
          <w:rFonts w:ascii="Bookman Old Style" w:hAnsi="Bookman Old Style"/>
          <w:i/>
        </w:rPr>
        <w:t xml:space="preserve">ex ante </w:t>
      </w:r>
      <w:r w:rsidRPr="00AE712B">
        <w:rPr>
          <w:rFonts w:ascii="Bookman Old Style" w:hAnsi="Bookman Old Style"/>
        </w:rPr>
        <w:t xml:space="preserve">e una più efficace vigilanza delle politiche economiche e di bilancio nei paesi dell’euro zona e in quelli della UE. A queste misure si sono successivamente aggiunti il c.d. </w:t>
      </w:r>
      <w:proofErr w:type="spellStart"/>
      <w:r w:rsidRPr="00AE712B">
        <w:rPr>
          <w:rFonts w:ascii="Bookman Old Style" w:hAnsi="Bookman Old Style"/>
          <w:i/>
        </w:rPr>
        <w:t>six</w:t>
      </w:r>
      <w:proofErr w:type="spellEnd"/>
      <w:r w:rsidRPr="00AE712B">
        <w:rPr>
          <w:rFonts w:ascii="Bookman Old Style" w:hAnsi="Bookman Old Style"/>
          <w:i/>
        </w:rPr>
        <w:t xml:space="preserve"> pack</w:t>
      </w:r>
      <w:r w:rsidRPr="00AE712B">
        <w:rPr>
          <w:rFonts w:ascii="Bookman Old Style" w:hAnsi="Bookman Old Style"/>
        </w:rPr>
        <w:t xml:space="preserve">; le disposizioni relative alla sorveglianza macroeconomica; la determinazione dei requisiti minimi per i quadri nazionali di bilancio; il c.d. Patto </w:t>
      </w:r>
      <w:r w:rsidRPr="00AE712B">
        <w:rPr>
          <w:rFonts w:ascii="Bookman Old Style" w:hAnsi="Bookman Old Style"/>
          <w:i/>
        </w:rPr>
        <w:t>Euro plus</w:t>
      </w:r>
      <w:r w:rsidRPr="00AE712B">
        <w:rPr>
          <w:rFonts w:ascii="Bookman Old Style" w:hAnsi="Bookman Old Style"/>
        </w:rPr>
        <w:t xml:space="preserve"> approvato dai Capi di Stato e di governo della zona euro nella riunione dell’11 marzo 2011; un fondo per la stabilizzazione dell’area euro, istituito, per il triennio 2010-2012 dai Capi di Stato e di governo della zona euro nel maggio 2010, successivamente sostituito, a seguito della riformulazione dell’art. 136 del Trattato sul funzionamento dell’Unione adottata nella riunione del Consiglio europeo del 24-25 marzo 2011, dall’istituzione del Meccanismo europeo di stabilità (MES), deliberata con Trattato del febbraio 2011; a tale architettura si sono aggiunte le regole del </w:t>
      </w:r>
      <w:r w:rsidRPr="00AE712B">
        <w:rPr>
          <w:rFonts w:ascii="Bookman Old Style" w:hAnsi="Bookman Old Style"/>
          <w:i/>
        </w:rPr>
        <w:t xml:space="preserve">fiscal compact </w:t>
      </w:r>
      <w:r w:rsidRPr="00AE712B">
        <w:rPr>
          <w:rFonts w:ascii="Bookman Old Style" w:hAnsi="Bookman Old Style"/>
        </w:rPr>
        <w:t xml:space="preserve">nonché quelle dei due regolamenti finalizzati a rafforzare ulteriormente il ruolo di vigilanza e indirizzo della Commissione con il compito di valutare la manovra finanziaria dei governi nazionali e chiedere eventuali modifiche (c.d. </w:t>
      </w:r>
      <w:proofErr w:type="spellStart"/>
      <w:r w:rsidRPr="00AE712B">
        <w:rPr>
          <w:rFonts w:ascii="Bookman Old Style" w:hAnsi="Bookman Old Style"/>
          <w:i/>
        </w:rPr>
        <w:t>two</w:t>
      </w:r>
      <w:proofErr w:type="spellEnd"/>
      <w:r w:rsidRPr="00AE712B">
        <w:rPr>
          <w:rFonts w:ascii="Bookman Old Style" w:hAnsi="Bookman Old Style"/>
          <w:i/>
        </w:rPr>
        <w:t xml:space="preserve"> pack</w:t>
      </w:r>
      <w:r w:rsidRPr="00AE712B">
        <w:rPr>
          <w:rFonts w:ascii="Bookman Old Style" w:hAnsi="Bookman Old Style"/>
        </w:rPr>
        <w:t xml:space="preserve">) Il </w:t>
      </w:r>
      <w:r w:rsidRPr="00AE712B">
        <w:rPr>
          <w:rFonts w:ascii="Bookman Old Style" w:hAnsi="Bookman Old Style"/>
          <w:i/>
        </w:rPr>
        <w:t>fiscal compact</w:t>
      </w:r>
      <w:r w:rsidRPr="00AE712B">
        <w:rPr>
          <w:rFonts w:ascii="Bookman Old Style" w:hAnsi="Bookman Old Style"/>
        </w:rPr>
        <w:t xml:space="preserve"> rappresenta, quindi, l’ennesimo tentativo messo a punto dall’ordinamento europeo per sottoporre a un’efficace vigilanza preventiva la finanza degli Stati, rafforzando il governo del sistema finanziario europeo e potenziando la disciplina di bilancio tramite un’intesa fiscale sul disavanzo e sul debito (RITA PEREZ, </w:t>
      </w:r>
      <w:r w:rsidRPr="00AE712B">
        <w:rPr>
          <w:rFonts w:ascii="Bookman Old Style" w:hAnsi="Bookman Old Style"/>
          <w:i/>
        </w:rPr>
        <w:t xml:space="preserve">La nuova </w:t>
      </w:r>
      <w:proofErr w:type="spellStart"/>
      <w:r w:rsidRPr="00AE712B">
        <w:rPr>
          <w:rFonts w:ascii="Bookman Old Style" w:hAnsi="Bookman Old Style"/>
          <w:i/>
        </w:rPr>
        <w:t>governance</w:t>
      </w:r>
      <w:proofErr w:type="spellEnd"/>
      <w:r w:rsidRPr="00AE712B">
        <w:rPr>
          <w:rFonts w:ascii="Bookman Old Style" w:hAnsi="Bookman Old Style"/>
          <w:i/>
        </w:rPr>
        <w:t xml:space="preserve"> economica europea: il meccanismo di stabilità e il fiscal compact</w:t>
      </w:r>
      <w:r w:rsidRPr="00AE712B">
        <w:rPr>
          <w:rFonts w:ascii="Bookman Old Style" w:hAnsi="Bookman Old Style"/>
        </w:rPr>
        <w:t xml:space="preserve"> in </w:t>
      </w:r>
      <w:r w:rsidRPr="00AE712B">
        <w:rPr>
          <w:rFonts w:ascii="Bookman Old Style" w:hAnsi="Bookman Old Style"/>
          <w:i/>
        </w:rPr>
        <w:t>Giornale di diritto amministrativo</w:t>
      </w:r>
      <w:r w:rsidRPr="00AE712B">
        <w:rPr>
          <w:rFonts w:ascii="Bookman Old Style" w:hAnsi="Bookman Old Style"/>
        </w:rPr>
        <w:t xml:space="preserve">, 2012, 5, 461 e seg.). In base alla citata normativa comunitaria, le condizioni finanziarie stabili da mantenere nell’ambito degli Stati membri vengono concepite come requisito per evitare che eventuali squilibri dei conti pubblici distorcano la allocazione delle risorse all’interno del mercato unico europeo. Tale normativa, da una parte, prevede limiti stringenti e cogenti all’ammontare del debito nonché all’indebitamento dei singoli Stati membri, stabilendo un rapporto in principio fisso, espresso in termini numerici, con il prodotto interno lordo di ciascuno di essi; dall’altro lato, indica complesse procedure di monitoraggio e controllo circa il rispetto di detti parametri da parte delle istituzioni comunitarie con la partecipazione degli Stati membri (c.d. sorveglianza multilaterale). Attraverso il </w:t>
      </w:r>
      <w:r w:rsidRPr="00AE712B">
        <w:rPr>
          <w:rFonts w:ascii="Bookman Old Style" w:hAnsi="Bookman Old Style"/>
          <w:i/>
        </w:rPr>
        <w:t>fiscal compact</w:t>
      </w:r>
      <w:r w:rsidRPr="00AE712B">
        <w:rPr>
          <w:rFonts w:ascii="Bookman Old Style" w:hAnsi="Bookman Old Style"/>
        </w:rPr>
        <w:t xml:space="preserve"> si persegue, dunque, un inasprimento della rigidità delle regole già poste con il Patto di stabilità e crescita; resterà da verificare se la pressione dei mercati costringerà le autorità europee a perseguire tale linea di rigore o se, invece, la considerazione della congiuntura economica sfavorevole potrà consentire di valorizzare gli elementi di flessibilità introdotti rispetto alla formulazione originaria del patto, al fine di mitigare gli effetti potenzialmente recessivi di una rigida applicazione delle norme e delle sanzioni previste dal medesimo Trattato.</w:t>
      </w:r>
    </w:p>
  </w:footnote>
  <w:footnote w:id="27">
    <w:p w:rsidR="00D31D13" w:rsidRPr="00AE712B" w:rsidRDefault="00D31D13" w:rsidP="00AE712B">
      <w:pPr>
        <w:pStyle w:val="Testonotaapidipagina"/>
        <w:jc w:val="both"/>
        <w:rPr>
          <w:rFonts w:ascii="Bookman Old Style" w:hAnsi="Bookman Old Style"/>
        </w:rPr>
      </w:pPr>
      <w:r w:rsidRPr="00AE712B">
        <w:rPr>
          <w:rFonts w:ascii="Bookman Old Style" w:hAnsi="Bookman Old Style"/>
        </w:rPr>
        <w:footnoteRef/>
      </w:r>
      <w:r w:rsidRPr="00AE712B">
        <w:rPr>
          <w:rFonts w:ascii="Bookman Old Style" w:hAnsi="Bookman Old Style"/>
        </w:rPr>
        <w:t xml:space="preserve"> La predisposizione di un nuovo trattato internazionale per rafforzare la disciplina di bilancio e il coordinamento delle politiche economiche era prevista da una dichiarazione adottata da 17 Capi di Stato e di governo dell’Eurozona a margine del Consiglio europeo dell’8-9 dicembre 2011, cui avevano aderito altri 9 stati membri (Bulgaria, Danimarca, Lettonia, Lituania, Polonia, Romania, Ungheria, Svezia e Repubblica Ceca). La dichiarazione ea stata adottata una volta preso atto dell’impossibilità di raggiungere, in seno al Consiglio europeo, un accordo tra tutti i 27 Stati membri sulle modifiche da apportare ai trattati vigenti, in ragione dell’opposizione del Regno unito. Nella medesima dichiarazione, si ribadiva, peraltro, l’obiettivo di incorporare il prima possibile le disposizioni del nuovo Trattato all’interno dei Trattati dell’Unione. Il nuovo Trattato, dunque, è stato negoziato e stipulato al di fuori del quadro istituzionale dell’Unione europea e delle procedure previste per la modifica dei relativi Trattati. Un punto interessante del nuovo Trattato, inserito nel Preambolo e significativo della volontà di creare un percorso procedimentalizzato di uscita dalla crisi, è la previsione che, a decorrere dal 1° marzo 2013, la possibilità per lo Stato di accedere all’assistenza finanziaria del Meccanismo europeo di stabilità (MES) è subordinata alla ratifica del medesimo Trattato. Sempre in coerenza con la logica ad incastro tra le diverse fonti del diritto (internazionale, comunitario e nazionale), si sottolinea come il Titolo II del Trattato si intitoli “Coerenza e rapporto con il diritto dell’Unione” e contenga norme finalizzate a ribadire che le disposizioni del Trattato non solo si applicano e si interpretano in conformità ai Trattati fondativi dell’Unione ma, altresì, sono applicabili nelle misura in cui siano compatibili con quelle di tali Trattati nonché con tutto il diritto dell’UE e non ne pregiudichino le competenze. Il meccanismo dal Trattato sul </w:t>
      </w:r>
      <w:r w:rsidRPr="00AE712B">
        <w:rPr>
          <w:rFonts w:ascii="Bookman Old Style" w:hAnsi="Bookman Old Style"/>
          <w:i/>
        </w:rPr>
        <w:t>fiscal compact</w:t>
      </w:r>
      <w:r w:rsidRPr="00AE712B">
        <w:rPr>
          <w:rFonts w:ascii="Bookman Old Style" w:hAnsi="Bookman Old Style"/>
        </w:rPr>
        <w:t xml:space="preserve">, nella parte in cui non solo (art. 3, par. 2), richiede agli Stati membri di inserire le regole del nuovo Patto di bilancio all’interno dei propri ordinamenti tramite “disposizioni vincolanti e di natura permanente – preferibilmente costituzionale – o il cui rispetto fedele è in altro modo rigorosamente garantito lungo tutto il processo nazionale di bilancio” ma, altresì (art. 8, par. 2), prevede, attraverso un duplice percorso (diretto, da parte degli Stati contraenti, ovvero indiretto, attraverso una previa valutazione negativa della Commissione), la possibilità per gli Stati contraenti di adire la Corte di giustizia europea per accertare l’ottemperanza di un altro Stato a tale obbligo, crea i presupposti per quello che la dottrina ha denominato “un vero e proprio intreccio di costituzioni” (G. NAPOLITANO, </w:t>
      </w:r>
      <w:r w:rsidRPr="00AE712B">
        <w:rPr>
          <w:rFonts w:ascii="Bookman Old Style" w:hAnsi="Bookman Old Style"/>
          <w:i/>
        </w:rPr>
        <w:t xml:space="preserve">La nuova </w:t>
      </w:r>
      <w:proofErr w:type="spellStart"/>
      <w:r w:rsidRPr="00AE712B">
        <w:rPr>
          <w:rFonts w:ascii="Bookman Old Style" w:hAnsi="Bookman Old Style"/>
          <w:i/>
        </w:rPr>
        <w:t>governance</w:t>
      </w:r>
      <w:proofErr w:type="spellEnd"/>
      <w:r w:rsidRPr="00AE712B">
        <w:rPr>
          <w:rFonts w:ascii="Bookman Old Style" w:hAnsi="Bookman Old Style"/>
          <w:i/>
        </w:rPr>
        <w:t xml:space="preserve"> economica europea: il meccanismo di stabilità e il fiscal compact</w:t>
      </w:r>
      <w:r w:rsidRPr="00AE712B">
        <w:rPr>
          <w:rFonts w:ascii="Bookman Old Style" w:hAnsi="Bookman Old Style"/>
        </w:rPr>
        <w:t xml:space="preserve">, cit.), nel quale non solo gli Stati diventano attori del processo costituente di un altro Stato membro, sottraendone il monopolio alla relativa popolazione, ma, altresì, la Corte di giustizia, assumendo il ruolo di garante nella conformità dei processi di revisione costituzionale rispetto ai vincoli assunti con il trattato </w:t>
      </w:r>
      <w:r w:rsidRPr="00AE712B">
        <w:rPr>
          <w:rFonts w:ascii="Bookman Old Style" w:hAnsi="Bookman Old Style"/>
          <w:i/>
        </w:rPr>
        <w:t>fiscal compact</w:t>
      </w:r>
      <w:r w:rsidRPr="00AE712B">
        <w:rPr>
          <w:rFonts w:ascii="Bookman Old Style" w:hAnsi="Bookman Old Style"/>
        </w:rPr>
        <w:t>, di fatto erode pesantemente il ruolo delle Corti costituzionali nazionali.</w:t>
      </w:r>
    </w:p>
  </w:footnote>
  <w:footnote w:id="28">
    <w:p w:rsidR="00D31D13" w:rsidRPr="00AE712B" w:rsidRDefault="00D31D13" w:rsidP="00AE712B">
      <w:pPr>
        <w:pStyle w:val="Testonotaapidipagina"/>
        <w:jc w:val="both"/>
        <w:rPr>
          <w:rFonts w:ascii="Bookman Old Style" w:hAnsi="Bookman Old Style"/>
        </w:rPr>
      </w:pPr>
      <w:r w:rsidRPr="00AE712B">
        <w:rPr>
          <w:rFonts w:ascii="Bookman Old Style" w:hAnsi="Bookman Old Style"/>
        </w:rPr>
        <w:footnoteRef/>
      </w:r>
      <w:r w:rsidRPr="00AE712B">
        <w:rPr>
          <w:rFonts w:ascii="Bookman Old Style" w:hAnsi="Bookman Old Style"/>
        </w:rPr>
        <w:t xml:space="preserve"> G. NAPOLITANO, L’incerto futuro della nuova </w:t>
      </w:r>
      <w:proofErr w:type="spellStart"/>
      <w:r w:rsidRPr="00AE712B">
        <w:rPr>
          <w:rFonts w:ascii="Bookman Old Style" w:hAnsi="Bookman Old Style"/>
        </w:rPr>
        <w:t>governance</w:t>
      </w:r>
      <w:proofErr w:type="spellEnd"/>
      <w:r w:rsidRPr="00AE712B">
        <w:rPr>
          <w:rFonts w:ascii="Bookman Old Style" w:hAnsi="Bookman Old Style"/>
        </w:rPr>
        <w:t xml:space="preserve"> economica europea, in Quaderni costituzionali</w:t>
      </w:r>
      <w:proofErr w:type="gramStart"/>
      <w:r w:rsidRPr="00AE712B">
        <w:rPr>
          <w:rFonts w:ascii="Bookman Old Style" w:hAnsi="Bookman Old Style"/>
        </w:rPr>
        <w:t>, ,</w:t>
      </w:r>
      <w:proofErr w:type="gramEnd"/>
      <w:r w:rsidRPr="00AE712B">
        <w:rPr>
          <w:rFonts w:ascii="Bookman Old Style" w:hAnsi="Bookman Old Style"/>
        </w:rPr>
        <w:t xml:space="preserve"> Note dall’Europa, A. XXXII, n. 1, marzo 2012.</w:t>
      </w:r>
    </w:p>
  </w:footnote>
  <w:footnote w:id="29">
    <w:p w:rsidR="00D31D13" w:rsidRPr="00AE712B" w:rsidRDefault="00D31D13" w:rsidP="00AE712B">
      <w:pPr>
        <w:pStyle w:val="Testonotaapidipagina"/>
        <w:jc w:val="both"/>
        <w:rPr>
          <w:rFonts w:ascii="Bookman Old Style" w:hAnsi="Bookman Old Style"/>
        </w:rPr>
      </w:pPr>
      <w:r w:rsidRPr="00AE712B">
        <w:rPr>
          <w:rFonts w:ascii="Bookman Old Style" w:hAnsi="Bookman Old Style"/>
        </w:rPr>
        <w:footnoteRef/>
      </w:r>
      <w:r w:rsidRPr="00AE712B">
        <w:rPr>
          <w:rFonts w:ascii="Bookman Old Style" w:hAnsi="Bookman Old Style"/>
        </w:rPr>
        <w:t xml:space="preserve"> NICOLA LUPO, La revisione costituzionale della disciplina di bilancio e il sistema delle fonti, Relazione svolta al Convegno sul tema “Costituzione e pareggio di bilancio, Roma, 18 maggio 2012.</w:t>
      </w:r>
    </w:p>
  </w:footnote>
  <w:footnote w:id="30">
    <w:p w:rsidR="00D31D13" w:rsidRPr="00AE712B" w:rsidRDefault="00D31D13" w:rsidP="00AE712B">
      <w:pPr>
        <w:pStyle w:val="Testonotaapidipagina"/>
        <w:jc w:val="both"/>
        <w:rPr>
          <w:rFonts w:ascii="Bookman Old Style" w:hAnsi="Bookman Old Style"/>
        </w:rPr>
      </w:pPr>
      <w:r w:rsidRPr="00AE712B">
        <w:rPr>
          <w:rStyle w:val="Rimandonotaapidipagina"/>
          <w:rFonts w:ascii="Bookman Old Style" w:hAnsi="Bookman Old Style"/>
        </w:rPr>
        <w:footnoteRef/>
      </w:r>
      <w:r w:rsidRPr="00AE712B">
        <w:rPr>
          <w:rFonts w:ascii="Bookman Old Style" w:hAnsi="Bookman Old Style"/>
        </w:rPr>
        <w:t xml:space="preserve"> In tal senso, si veda la sentenza della Corte costituzionale n. 36 del 2004 (Corte cost., 26 gennaio 2004, n. 36, in </w:t>
      </w:r>
      <w:r w:rsidRPr="00AE712B">
        <w:rPr>
          <w:rFonts w:ascii="Bookman Old Style" w:hAnsi="Bookman Old Style"/>
          <w:i/>
        </w:rPr>
        <w:t xml:space="preserve">Giur. </w:t>
      </w:r>
      <w:proofErr w:type="spellStart"/>
      <w:r w:rsidRPr="00AE712B">
        <w:rPr>
          <w:rFonts w:ascii="Bookman Old Style" w:hAnsi="Bookman Old Style"/>
          <w:i/>
        </w:rPr>
        <w:t>It</w:t>
      </w:r>
      <w:proofErr w:type="spellEnd"/>
      <w:r w:rsidRPr="00AE712B">
        <w:rPr>
          <w:rFonts w:ascii="Bookman Old Style" w:hAnsi="Bookman Old Style"/>
          <w:i/>
        </w:rPr>
        <w:t>.</w:t>
      </w:r>
      <w:r w:rsidRPr="00AE712B">
        <w:rPr>
          <w:rFonts w:ascii="Bookman Old Style" w:hAnsi="Bookman Old Style"/>
        </w:rPr>
        <w:t xml:space="preserve">, 2004, 1053 con nota di ROBERTO CARANTA; in </w:t>
      </w:r>
      <w:r w:rsidRPr="00AE712B">
        <w:rPr>
          <w:rFonts w:ascii="Bookman Old Style" w:hAnsi="Bookman Old Style"/>
          <w:i/>
        </w:rPr>
        <w:t xml:space="preserve">Cons. </w:t>
      </w:r>
      <w:r w:rsidRPr="00AE712B">
        <w:rPr>
          <w:rFonts w:ascii="Bookman Old Style" w:hAnsi="Bookman Old Style"/>
        </w:rPr>
        <w:t xml:space="preserve">Stato, 2004, </w:t>
      </w:r>
      <w:proofErr w:type="spellStart"/>
      <w:r w:rsidRPr="00AE712B">
        <w:rPr>
          <w:rFonts w:ascii="Bookman Old Style" w:hAnsi="Bookman Old Style"/>
        </w:rPr>
        <w:t>pt</w:t>
      </w:r>
      <w:proofErr w:type="spellEnd"/>
      <w:r w:rsidRPr="00AE712B">
        <w:rPr>
          <w:rFonts w:ascii="Bookman Old Style" w:hAnsi="Bookman Old Style"/>
        </w:rPr>
        <w:t xml:space="preserve">. II, p. 114; in </w:t>
      </w:r>
      <w:r w:rsidRPr="00AE712B">
        <w:rPr>
          <w:rFonts w:ascii="Bookman Old Style" w:hAnsi="Bookman Old Style"/>
          <w:i/>
        </w:rPr>
        <w:t xml:space="preserve">Foro </w:t>
      </w:r>
      <w:proofErr w:type="spellStart"/>
      <w:r w:rsidRPr="00AE712B">
        <w:rPr>
          <w:rFonts w:ascii="Bookman Old Style" w:hAnsi="Bookman Old Style"/>
          <w:i/>
        </w:rPr>
        <w:t>amm</w:t>
      </w:r>
      <w:proofErr w:type="spellEnd"/>
      <w:r w:rsidRPr="00AE712B">
        <w:rPr>
          <w:rFonts w:ascii="Bookman Old Style" w:hAnsi="Bookman Old Style"/>
          <w:i/>
        </w:rPr>
        <w:t xml:space="preserve">. - Cons. </w:t>
      </w:r>
      <w:r w:rsidRPr="00AE712B">
        <w:rPr>
          <w:rFonts w:ascii="Bookman Old Style" w:hAnsi="Bookman Old Style"/>
        </w:rPr>
        <w:t xml:space="preserve">Stato, 2004, pag. 333, con nota di BARBERO; in </w:t>
      </w:r>
      <w:r w:rsidRPr="00AE712B">
        <w:rPr>
          <w:rFonts w:ascii="Bookman Old Style" w:hAnsi="Bookman Old Style"/>
          <w:i/>
        </w:rPr>
        <w:t>Giur. Cost.</w:t>
      </w:r>
      <w:r w:rsidRPr="00AE712B">
        <w:rPr>
          <w:rFonts w:ascii="Bookman Old Style" w:hAnsi="Bookman Old Style"/>
        </w:rPr>
        <w:t xml:space="preserve">, 2004, p. 497, con nota di PINELLI) con la quale si è affermato che il potere statale di contenere la spesa pubblica trova fondamento, indipendentemente dal parametro considerato, nella necessaria “realizzazione degli obiettivi di finanza pubblica che il paese ha adottato con l’adesione al patto di stabilità e crescita definito in sede di Unione europea e comportante l’impegno degli enti medesimi a ridurre il finanziamento in disavanzo delle proprie spese e il rapporto tra il proprio ammontare di debito e il prodotto interno lordo”. Nei medesimi sensi, si veda RAFFAELE BIFULCO </w:t>
      </w:r>
      <w:r w:rsidRPr="00AE712B">
        <w:rPr>
          <w:rFonts w:ascii="Bookman Old Style" w:hAnsi="Bookman Old Style"/>
          <w:i/>
        </w:rPr>
        <w:t>Costituzionalismo e pareggio di bilancio</w:t>
      </w:r>
      <w:r w:rsidRPr="00AE712B">
        <w:rPr>
          <w:rFonts w:ascii="Bookman Old Style" w:hAnsi="Bookman Old Style"/>
        </w:rPr>
        <w:t xml:space="preserve">, Relazione svolta al convegno </w:t>
      </w:r>
      <w:r w:rsidRPr="00AE712B">
        <w:rPr>
          <w:rFonts w:ascii="Bookman Old Style" w:hAnsi="Bookman Old Style"/>
          <w:i/>
        </w:rPr>
        <w:t>Crisi economica e trasformazioni della dimensione giuridica</w:t>
      </w:r>
      <w:r w:rsidRPr="00AE712B">
        <w:rPr>
          <w:rFonts w:ascii="Bookman Old Style" w:hAnsi="Bookman Old Style"/>
        </w:rPr>
        <w:t>, Fondazione CESIFIN – Firenze, 15 maggio 2012. L’Autore evidenzia come i nuovi articoli 97 e 119 Cost. effettuino un rinvio mobile all’ordinamento europeo realizzando un passaggio di consegne all’Unione europea della sovranità parlamentare nazionale in materia di bilancio. Ciò nonostante, l’Autore individua nel nuovo assetto due momenti di compatibilità della nuova normativa con il principio democratico sancito con l’art. 1 Cost. Il primo è quello contemplato dall’art. 81, sesto comma, Cost., che introduce alcuni aggravamenti formali-procedurali per il trasferimento di sovranità: innanzitutto, si richiede una maggioranza qualificata per consentire le deroghe alla regola del pareggio; in secondo luogo, si amplia la funzione di controllo del Parlamento sulla finanza pubblica, in particolare sul rapporto tra entrate e spese e sulla qualità della spesa. Il secondo momento di democraticità del processo risiederebbe nella possibilità di adottare una prospettiva di lungo periodo, garantista dei diritti delle generazioni future e della solidarietà intergenerazionale.</w:t>
      </w:r>
    </w:p>
  </w:footnote>
  <w:footnote w:id="31">
    <w:p w:rsidR="00D31D13" w:rsidRPr="00AE712B" w:rsidRDefault="00D31D13" w:rsidP="00AE712B">
      <w:pPr>
        <w:pStyle w:val="Testonotaapidipagina"/>
        <w:jc w:val="both"/>
        <w:rPr>
          <w:rFonts w:ascii="Bookman Old Style" w:hAnsi="Bookman Old Style"/>
        </w:rPr>
      </w:pPr>
      <w:r w:rsidRPr="00AE712B">
        <w:rPr>
          <w:rFonts w:ascii="Bookman Old Style" w:hAnsi="Bookman Old Style"/>
        </w:rPr>
        <w:footnoteRef/>
      </w:r>
      <w:r w:rsidRPr="00AE712B">
        <w:rPr>
          <w:rFonts w:ascii="Bookman Old Style" w:hAnsi="Bookman Old Style"/>
        </w:rPr>
        <w:t xml:space="preserve"> GUIDO RIVOSECCHI, </w:t>
      </w:r>
      <w:r w:rsidRPr="00AE712B">
        <w:rPr>
          <w:rFonts w:ascii="Bookman Old Style" w:hAnsi="Bookman Old Style"/>
          <w:i/>
        </w:rPr>
        <w:t xml:space="preserve">Il governo europeo dei conti pubblici tra crisi economica e riflessi sul sistema delle fonti, </w:t>
      </w:r>
      <w:r w:rsidRPr="00AE712B">
        <w:rPr>
          <w:rFonts w:ascii="Bookman Old Style" w:hAnsi="Bookman Old Style"/>
        </w:rPr>
        <w:t xml:space="preserve">in </w:t>
      </w:r>
      <w:r w:rsidRPr="00AE712B">
        <w:rPr>
          <w:rFonts w:ascii="Bookman Old Style" w:hAnsi="Bookman Old Style"/>
          <w:i/>
        </w:rPr>
        <w:t xml:space="preserve">Osservatorio sulle fonti, </w:t>
      </w:r>
      <w:r w:rsidRPr="00AE712B">
        <w:rPr>
          <w:rFonts w:ascii="Bookman Old Style" w:hAnsi="Bookman Old Style"/>
        </w:rPr>
        <w:t xml:space="preserve">2011, fasc. 1, pag. 13. Gli atti costitutivi dell’Unione, dal Rapporto Delors al trattato di Maastricht fino a quello di Lisbona, si muovono lungo una linea di demarcazione molto chiara: coordinamento delle politiche economiche dei singoli Stati e politica monetaria unica (art. 119 TFUE). La </w:t>
      </w:r>
      <w:r w:rsidRPr="00AE712B">
        <w:rPr>
          <w:rFonts w:ascii="Bookman Old Style" w:hAnsi="Bookman Old Style"/>
          <w:i/>
        </w:rPr>
        <w:t>ratio</w:t>
      </w:r>
      <w:r w:rsidRPr="00AE712B">
        <w:rPr>
          <w:rFonts w:ascii="Bookman Old Style" w:hAnsi="Bookman Old Style"/>
        </w:rPr>
        <w:t xml:space="preserve"> sottostante tale divisione è che la politica economica, intesa come insieme di disposizioni a carattere macroeconomico preordinate a realizzare un minimo livello di coordinamento nella programmazione economica dell’Unione e degli Stati e a vincolare la stabilità delle relative finanze pubbliche, debba necessariamente considerare le specificità e il quadro istituzionale di ciascun Paese europeo che, pertanto, conserva in via esclusiva la responsabilità del proprio bilancio. Peraltro, l’assenza di adeguati strumenti di aggiustamento in sede centrale (che un’area monetaria unica ottimale richiederebbe) rende la politica economica europea debole; per converso, la realizzazione di tali strumenti comporterebbe necessariamente una maggiore integrazione politica a livello europeo. Al lato opposto, si situa la politica monetaria europea che ha natura unica ed indivisibile, in quanto gli Stati aderenti all’euro ne hanno delegato la gestione all’Unione, avendo rinunciato, con l’adesione alla Moneta unica, al relativo </w:t>
      </w:r>
      <w:proofErr w:type="spellStart"/>
      <w:r w:rsidRPr="00AE712B">
        <w:rPr>
          <w:rFonts w:ascii="Bookman Old Style" w:hAnsi="Bookman Old Style"/>
          <w:i/>
        </w:rPr>
        <w:t>jus</w:t>
      </w:r>
      <w:proofErr w:type="spellEnd"/>
      <w:r w:rsidRPr="00AE712B">
        <w:rPr>
          <w:rFonts w:ascii="Bookman Old Style" w:hAnsi="Bookman Old Style"/>
          <w:i/>
        </w:rPr>
        <w:t xml:space="preserve"> </w:t>
      </w:r>
      <w:proofErr w:type="spellStart"/>
      <w:r w:rsidRPr="00AE712B">
        <w:rPr>
          <w:rFonts w:ascii="Bookman Old Style" w:hAnsi="Bookman Old Style"/>
          <w:i/>
        </w:rPr>
        <w:t>cudendae</w:t>
      </w:r>
      <w:proofErr w:type="spellEnd"/>
      <w:r w:rsidRPr="00AE712B">
        <w:rPr>
          <w:rFonts w:ascii="Bookman Old Style" w:hAnsi="Bookman Old Style"/>
          <w:i/>
        </w:rPr>
        <w:t xml:space="preserve"> </w:t>
      </w:r>
      <w:proofErr w:type="spellStart"/>
      <w:r w:rsidRPr="00AE712B">
        <w:rPr>
          <w:rFonts w:ascii="Bookman Old Style" w:hAnsi="Bookman Old Style"/>
          <w:i/>
        </w:rPr>
        <w:t>monetae</w:t>
      </w:r>
      <w:proofErr w:type="spellEnd"/>
      <w:r w:rsidRPr="00AE712B">
        <w:rPr>
          <w:rFonts w:ascii="Bookman Old Style" w:hAnsi="Bookman Old Style"/>
        </w:rPr>
        <w:t xml:space="preserve"> (GIULIO PERONI, </w:t>
      </w:r>
      <w:r w:rsidRPr="00AE712B">
        <w:rPr>
          <w:rFonts w:ascii="Bookman Old Style" w:hAnsi="Bookman Old Style"/>
          <w:i/>
        </w:rPr>
        <w:t>Il Trattato di Lisbona e la crisi dell’Euro: considerazioni critiche</w:t>
      </w:r>
      <w:r w:rsidRPr="00AE712B">
        <w:rPr>
          <w:rFonts w:ascii="Bookman Old Style" w:hAnsi="Bookman Old Style"/>
        </w:rPr>
        <w:t xml:space="preserve">, in </w:t>
      </w:r>
      <w:r w:rsidRPr="00AE712B">
        <w:rPr>
          <w:rFonts w:ascii="Bookman Old Style" w:hAnsi="Bookman Old Style"/>
          <w:i/>
        </w:rPr>
        <w:t xml:space="preserve">Dir. Un. </w:t>
      </w:r>
      <w:proofErr w:type="spellStart"/>
      <w:r w:rsidRPr="00AE712B">
        <w:rPr>
          <w:rFonts w:ascii="Bookman Old Style" w:hAnsi="Bookman Old Style"/>
          <w:i/>
        </w:rPr>
        <w:t>Eur</w:t>
      </w:r>
      <w:proofErr w:type="spellEnd"/>
      <w:r w:rsidRPr="00AE712B">
        <w:rPr>
          <w:rFonts w:ascii="Bookman Old Style" w:hAnsi="Bookman Old Style"/>
          <w:i/>
        </w:rPr>
        <w:t>.</w:t>
      </w:r>
      <w:r w:rsidRPr="00AE712B">
        <w:rPr>
          <w:rFonts w:ascii="Bookman Old Style" w:hAnsi="Bookman Old Style"/>
        </w:rPr>
        <w:t>, 2011, 4, pag. 971 e seg.).</w:t>
      </w:r>
    </w:p>
  </w:footnote>
  <w:footnote w:id="32">
    <w:p w:rsidR="00D31D13" w:rsidRPr="00AE712B" w:rsidRDefault="00D31D13" w:rsidP="00AE712B">
      <w:pPr>
        <w:pStyle w:val="Testonotaapidipagina"/>
        <w:jc w:val="both"/>
        <w:rPr>
          <w:rFonts w:ascii="Bookman Old Style" w:hAnsi="Bookman Old Style"/>
        </w:rPr>
      </w:pPr>
      <w:r w:rsidRPr="00AE712B">
        <w:rPr>
          <w:rStyle w:val="Rimandonotaapidipagina"/>
          <w:rFonts w:ascii="Bookman Old Style" w:hAnsi="Bookman Old Style"/>
        </w:rPr>
        <w:footnoteRef/>
      </w:r>
      <w:r w:rsidRPr="00AE712B">
        <w:rPr>
          <w:rFonts w:ascii="Bookman Old Style" w:hAnsi="Bookman Old Style"/>
        </w:rPr>
        <w:t xml:space="preserve"> GUIDO RIVOSECCHI, </w:t>
      </w:r>
      <w:r w:rsidRPr="00AE712B">
        <w:rPr>
          <w:rFonts w:ascii="Bookman Old Style" w:hAnsi="Bookman Old Style"/>
          <w:i/>
        </w:rPr>
        <w:t xml:space="preserve">Il governo europeo dei conti pubblici tra crisi economica e riflessi sul sistema delle fonti, </w:t>
      </w:r>
      <w:r w:rsidRPr="00AE712B">
        <w:rPr>
          <w:rFonts w:ascii="Bookman Old Style" w:hAnsi="Bookman Old Style"/>
        </w:rPr>
        <w:t xml:space="preserve">cit. Altra dottrina (NICOLA LUPO, </w:t>
      </w:r>
      <w:r w:rsidRPr="00AE712B">
        <w:rPr>
          <w:rFonts w:ascii="Bookman Old Style" w:hAnsi="Bookman Old Style"/>
          <w:i/>
        </w:rPr>
        <w:t>Costituzione e bilancio</w:t>
      </w:r>
      <w:r w:rsidRPr="00AE712B">
        <w:rPr>
          <w:rFonts w:ascii="Bookman Old Style" w:hAnsi="Bookman Old Style"/>
        </w:rPr>
        <w:t xml:space="preserve">, Roma, 2007) ha evidenziato come il processo di integrazione tra ordinamento europeo e ordinamenti nazionali sia ormai talmente avanzato che non solo andrebbero valorizzati gli elementi di compatibilità tra i detti ordinamenti ma alcuni principi della nostra Carta costituzionale – in particolare quelli di cui agli artt. 47 e 81 Cost. - andrebbero diversamente ponderati, in modo da provvedere ad una loro riallocazione apicale in quanto divenuti </w:t>
      </w:r>
      <w:proofErr w:type="spellStart"/>
      <w:r w:rsidRPr="00AE712B">
        <w:rPr>
          <w:rFonts w:ascii="Bookman Old Style" w:hAnsi="Bookman Old Style"/>
        </w:rPr>
        <w:t>supernorme</w:t>
      </w:r>
      <w:proofErr w:type="spellEnd"/>
      <w:r w:rsidRPr="00AE712B">
        <w:rPr>
          <w:rFonts w:ascii="Bookman Old Style" w:hAnsi="Bookman Old Style"/>
        </w:rPr>
        <w:t xml:space="preserve"> costituzionali, con protezione internazionale, non riformabili </w:t>
      </w:r>
      <w:r w:rsidRPr="00AE712B">
        <w:rPr>
          <w:rFonts w:ascii="Bookman Old Style" w:hAnsi="Bookman Old Style"/>
          <w:i/>
        </w:rPr>
        <w:t xml:space="preserve">in </w:t>
      </w:r>
      <w:proofErr w:type="spellStart"/>
      <w:r w:rsidRPr="00AE712B">
        <w:rPr>
          <w:rFonts w:ascii="Bookman Old Style" w:hAnsi="Bookman Old Style"/>
          <w:i/>
        </w:rPr>
        <w:t>pejus</w:t>
      </w:r>
      <w:proofErr w:type="spellEnd"/>
      <w:r w:rsidRPr="00AE712B">
        <w:rPr>
          <w:rFonts w:ascii="Bookman Old Style" w:hAnsi="Bookman Old Style"/>
        </w:rPr>
        <w:t>, se non previa rinegoziazione o rottura del Trattato. A tal proposito, vale la pena ricordare che, con sentenza del 30 giugno 2009, la Corte costituzionale tedesca (</w:t>
      </w:r>
      <w:proofErr w:type="spellStart"/>
      <w:r w:rsidRPr="00AE712B">
        <w:rPr>
          <w:rFonts w:ascii="Bookman Old Style" w:hAnsi="Bookman Old Style"/>
          <w:i/>
        </w:rPr>
        <w:t>rectius</w:t>
      </w:r>
      <w:proofErr w:type="spellEnd"/>
      <w:r w:rsidRPr="00AE712B">
        <w:rPr>
          <w:rFonts w:ascii="Bookman Old Style" w:hAnsi="Bookman Old Style"/>
          <w:i/>
        </w:rPr>
        <w:t xml:space="preserve"> </w:t>
      </w:r>
      <w:r w:rsidRPr="00AE712B">
        <w:rPr>
          <w:rFonts w:ascii="Bookman Old Style" w:hAnsi="Bookman Old Style"/>
        </w:rPr>
        <w:t xml:space="preserve">il secondo Senato del Tribunale federale tedesco, il </w:t>
      </w:r>
      <w:proofErr w:type="spellStart"/>
      <w:r w:rsidRPr="00AE712B">
        <w:rPr>
          <w:rStyle w:val="Enfasicorsivo"/>
          <w:rFonts w:ascii="Bookman Old Style" w:hAnsi="Bookman Old Style"/>
        </w:rPr>
        <w:t>Bundesverfassungsgericht</w:t>
      </w:r>
      <w:proofErr w:type="spellEnd"/>
      <w:r w:rsidRPr="00AE712B">
        <w:rPr>
          <w:rStyle w:val="Enfasicorsivo"/>
          <w:rFonts w:ascii="Bookman Old Style" w:hAnsi="Bookman Old Style"/>
          <w:i w:val="0"/>
        </w:rPr>
        <w:t>)</w:t>
      </w:r>
      <w:r w:rsidRPr="00AE712B">
        <w:rPr>
          <w:rFonts w:ascii="Bookman Old Style" w:hAnsi="Bookman Old Style"/>
          <w:i/>
        </w:rPr>
        <w:t xml:space="preserve"> </w:t>
      </w:r>
      <w:r w:rsidRPr="00AE712B">
        <w:rPr>
          <w:rFonts w:ascii="Bookman Old Style" w:hAnsi="Bookman Old Style"/>
        </w:rPr>
        <w:t xml:space="preserve">si era pronunciata sulla compatibilità con la legge fondamentale tedesca di tre atti (approvazione del Trattato di Lisbona, modifica della legge fondamentale e ampliamento e rafforzamento dei diritti di </w:t>
      </w:r>
      <w:proofErr w:type="spellStart"/>
      <w:r w:rsidRPr="00AE712B">
        <w:rPr>
          <w:rFonts w:ascii="Bookman Old Style" w:hAnsi="Bookman Old Style"/>
          <w:i/>
        </w:rPr>
        <w:t>Bundestag</w:t>
      </w:r>
      <w:proofErr w:type="spellEnd"/>
      <w:r w:rsidRPr="00AE712B">
        <w:rPr>
          <w:rFonts w:ascii="Bookman Old Style" w:hAnsi="Bookman Old Style"/>
          <w:i/>
        </w:rPr>
        <w:t xml:space="preserve"> </w:t>
      </w:r>
      <w:r w:rsidRPr="00AE712B">
        <w:rPr>
          <w:rFonts w:ascii="Bookman Old Style" w:hAnsi="Bookman Old Style"/>
        </w:rPr>
        <w:t>e</w:t>
      </w:r>
      <w:r w:rsidRPr="00AE712B">
        <w:rPr>
          <w:rFonts w:ascii="Bookman Old Style" w:hAnsi="Bookman Old Style"/>
          <w:i/>
        </w:rPr>
        <w:t xml:space="preserve"> </w:t>
      </w:r>
      <w:proofErr w:type="spellStart"/>
      <w:r w:rsidRPr="00AE712B">
        <w:rPr>
          <w:rFonts w:ascii="Bookman Old Style" w:hAnsi="Bookman Old Style"/>
          <w:i/>
        </w:rPr>
        <w:t>Bundesrat</w:t>
      </w:r>
      <w:proofErr w:type="spellEnd"/>
      <w:r w:rsidRPr="00AE712B">
        <w:rPr>
          <w:rFonts w:ascii="Bookman Old Style" w:hAnsi="Bookman Old Style"/>
        </w:rPr>
        <w:t xml:space="preserve"> nelle questioni dell’Unione Europea) accogliendo i rilievi inerenti quest’ultimo atto nella parte in cui limita i diritti di partecipazione di tali due organi (sul punto, si veda FRANCESCA LIBERATI, </w:t>
      </w:r>
      <w:r w:rsidRPr="00AE712B">
        <w:rPr>
          <w:rFonts w:ascii="Bookman Old Style" w:hAnsi="Bookman Old Style"/>
          <w:i/>
          <w:kern w:val="36"/>
        </w:rPr>
        <w:t xml:space="preserve">La sentenza del Tribunale costituzionale tedesco sulla compatibilità del Trattato di Lisbona con il </w:t>
      </w:r>
      <w:proofErr w:type="spellStart"/>
      <w:r w:rsidRPr="00AE712B">
        <w:rPr>
          <w:rFonts w:ascii="Bookman Old Style" w:hAnsi="Bookman Old Style"/>
          <w:i/>
          <w:kern w:val="36"/>
        </w:rPr>
        <w:t>Grundgesetz</w:t>
      </w:r>
      <w:proofErr w:type="spellEnd"/>
      <w:r w:rsidRPr="00AE712B">
        <w:rPr>
          <w:rFonts w:ascii="Bookman Old Style" w:hAnsi="Bookman Old Style"/>
          <w:i/>
          <w:kern w:val="36"/>
        </w:rPr>
        <w:t>: una guida alla lettura</w:t>
      </w:r>
      <w:r w:rsidRPr="00AE712B">
        <w:rPr>
          <w:rFonts w:ascii="Bookman Old Style" w:hAnsi="Bookman Old Style"/>
          <w:kern w:val="36"/>
        </w:rPr>
        <w:t xml:space="preserve">, in </w:t>
      </w:r>
      <w:hyperlink r:id="rId6" w:history="1">
        <w:r w:rsidRPr="00AE712B">
          <w:rPr>
            <w:rStyle w:val="Collegamentoipertestuale"/>
            <w:rFonts w:ascii="Bookman Old Style" w:hAnsi="Bookman Old Style"/>
            <w:color w:val="auto"/>
            <w:kern w:val="36"/>
          </w:rPr>
          <w:t>www.federalismi.it</w:t>
        </w:r>
      </w:hyperlink>
      <w:r w:rsidRPr="00AE712B">
        <w:rPr>
          <w:rFonts w:ascii="Bookman Old Style" w:hAnsi="Bookman Old Style"/>
          <w:kern w:val="36"/>
        </w:rPr>
        <w:t>). Di maggior rilievo è la recentissima sentenza del 12 settembre 2012 con la quale la medesima Corte costituzionale ha dato una valutazione positiva, seppure condizionata, al</w:t>
      </w:r>
      <w:r w:rsidRPr="00AE712B">
        <w:rPr>
          <w:rFonts w:ascii="Bookman Old Style" w:hAnsi="Bookman Old Style"/>
        </w:rPr>
        <w:t>l’istituzione del Meccanismo europeo di stabilità (MES).</w:t>
      </w:r>
    </w:p>
  </w:footnote>
  <w:footnote w:id="33">
    <w:p w:rsidR="00D31D13" w:rsidRPr="00AE712B" w:rsidRDefault="00D31D13" w:rsidP="00AE712B">
      <w:pPr>
        <w:pStyle w:val="Testonotaapidipagina"/>
        <w:jc w:val="both"/>
        <w:rPr>
          <w:rFonts w:ascii="Bookman Old Style" w:hAnsi="Bookman Old Style"/>
        </w:rPr>
      </w:pPr>
      <w:r w:rsidRPr="00AE712B">
        <w:rPr>
          <w:rStyle w:val="Rimandonotaapidipagina"/>
          <w:rFonts w:ascii="Bookman Old Style" w:hAnsi="Bookman Old Style"/>
        </w:rPr>
        <w:footnoteRef/>
      </w:r>
      <w:r w:rsidRPr="00AE712B">
        <w:rPr>
          <w:rFonts w:ascii="Bookman Old Style" w:hAnsi="Bookman Old Style"/>
        </w:rPr>
        <w:t xml:space="preserve"> Parte della dottrina (GIUSEPPE PISAURO, </w:t>
      </w:r>
      <w:r w:rsidRPr="00AE712B">
        <w:rPr>
          <w:rFonts w:ascii="Bookman Old Style" w:hAnsi="Bookman Old Style"/>
          <w:i/>
        </w:rPr>
        <w:t>Le regole del pareggio di bilancio tra (scarsi) fondamenti economici e urgenze della crisi finanziaria</w:t>
      </w:r>
      <w:r w:rsidRPr="00AE712B">
        <w:rPr>
          <w:rFonts w:ascii="Bookman Old Style" w:hAnsi="Bookman Old Style"/>
        </w:rPr>
        <w:t xml:space="preserve">, Relazione svolta al convegno </w:t>
      </w:r>
      <w:r w:rsidRPr="00AE712B">
        <w:rPr>
          <w:rFonts w:ascii="Bookman Old Style" w:hAnsi="Bookman Old Style"/>
          <w:i/>
        </w:rPr>
        <w:t>Crisi economica e trasformazioni della dimensione giuridica</w:t>
      </w:r>
      <w:r w:rsidRPr="00AE712B">
        <w:rPr>
          <w:rFonts w:ascii="Bookman Old Style" w:hAnsi="Bookman Old Style"/>
        </w:rPr>
        <w:t xml:space="preserve">, Fondazione CESIFIN – Firenze, 15 maggio 2012) ha espresso perplessità anche in ordine all’opportunità di inserire tale principio in Costituzione. In primo luogo, è stato evidenziato come si tratterebbe di una regola controproducente nelle fasi di recessione, come quella attuale, perché rischierebbe di “avvitare” il sistema economico su se stesso, senza possibilità di ripresa. In secondo luogo, si è sottolineato il rischio di </w:t>
      </w:r>
      <w:proofErr w:type="spellStart"/>
      <w:r w:rsidRPr="00AE712B">
        <w:rPr>
          <w:rFonts w:ascii="Bookman Old Style" w:hAnsi="Bookman Old Style"/>
        </w:rPr>
        <w:t>giuridicizzare</w:t>
      </w:r>
      <w:proofErr w:type="spellEnd"/>
      <w:r w:rsidRPr="00AE712B">
        <w:rPr>
          <w:rFonts w:ascii="Bookman Old Style" w:hAnsi="Bookman Old Style"/>
        </w:rPr>
        <w:t>, nel senso di rendere permeabili al controllo giurisdizionale, regole che sono essenzialmente di natura tecnico-politica. In terzo luogo, si è fatto notare come, con l’inevitabile introduzione di deroghe alla clausola del pareggio di bilancio, si rischierà di avallare interpretazioni estensive delle stesse, che potrebbero allontanare dall’obiettivo dell’equilibrio finanziario. In quarto luogo, si è fatto presente che, specie quando il pareggio, come nel nuovo art. 81 Cost., si accompagna alla fissazione di un limite totale delle spese, vi è il rischio di costringere eccessivamente la discrezionalità del Legislatore nonché la prospettiva di crescita del sistema economico. In quinto luogo, si è rilevato che, per ottenere il pareggio del bilancio non c’è necessariamente bisogno della costituzionalizzazione della clausola. Sul punto si può ricordare la lettera che diversi economisti americani hanno scritto al Presidente USA per manifestare la loro contrarietà a qualsiasi proposta volta ad emendare la Costituzione degli Stati Uniti inserendo un vincolo in materia di pareggio del bilancio (per il testo si veda http://keynesblog.com/2012/03/12/lappello-dei-premi-nobel-contro-il-pareggio-di-bilancio/).</w:t>
      </w:r>
    </w:p>
  </w:footnote>
  <w:footnote w:id="34">
    <w:p w:rsidR="00D31D13" w:rsidRPr="00AE712B" w:rsidRDefault="00D31D13" w:rsidP="00AE712B">
      <w:pPr>
        <w:pStyle w:val="Testonotaapidipagina"/>
        <w:jc w:val="both"/>
        <w:rPr>
          <w:rFonts w:ascii="Bookman Old Style" w:hAnsi="Bookman Old Style"/>
        </w:rPr>
      </w:pPr>
      <w:r w:rsidRPr="00AE712B">
        <w:rPr>
          <w:rStyle w:val="Rimandonotaapidipagina"/>
          <w:rFonts w:ascii="Bookman Old Style" w:hAnsi="Bookman Old Style"/>
        </w:rPr>
        <w:footnoteRef/>
      </w:r>
      <w:r w:rsidRPr="00AE712B">
        <w:rPr>
          <w:rFonts w:ascii="Bookman Old Style" w:hAnsi="Bookman Old Style"/>
        </w:rPr>
        <w:t xml:space="preserve"> La legge rinforzata, ovviamente, è una fonte atipica del tutto peculiare, in quanto, sul piano formale le disposizioni ivi contenute non sono gerarchicamente superiori rispetto alle fonti tipiche </w:t>
      </w:r>
      <w:proofErr w:type="spellStart"/>
      <w:r w:rsidRPr="00AE712B">
        <w:rPr>
          <w:rFonts w:ascii="Bookman Old Style" w:hAnsi="Bookman Old Style"/>
        </w:rPr>
        <w:t>alla</w:t>
      </w:r>
      <w:proofErr w:type="spellEnd"/>
      <w:r w:rsidRPr="00AE712B">
        <w:rPr>
          <w:rFonts w:ascii="Bookman Old Style" w:hAnsi="Bookman Old Style"/>
        </w:rPr>
        <w:t xml:space="preserve"> quali si riferiscono (vale a dire le leggi ordinarie approvate a maggioranza semplice). Infatti, il rapporto intercorrente tra le due fonti non si fonda sul principio della gerarchia, bensì su quello della competenza. L’illegittimità di una futura legge ordinaria che volesse innovare nella materia non sarebbe di tipo sostanziale, quanto di natura formale, in quanto sarebbe approvata senza rispettare le particolari maggioranze stabilite dalla Costituzione per quelle materia. Problema diverso è quello se la riserva di competenza stabilita dal nuovo art. 81 Cost. a favore di leggi da approvare a maggioranza assoluta con riferimento alla materia della contabilità pubblica sia o meno fungibile, nel senso che possa essere possibile l’abrogazione o la deroga di singole disposizioni non solo da parte di leggi ordinarie approvate a maggioranza semplice ma anche da parte di atti, quali i decreti-legge e i decreti legislativi, a queste ultime parificati. È, invece, ragionevole ipotizzare che la nuova legge rinforzata possa valere come parametro interposto nei giudizi di legittimità costituzionale. Un’altra peculiarità della nuova legge costituzionale è costituita dal fatto che essa è vigente ma non vincolante fino al 2014. Peraltro, mentre il termine di adozione della nuova legge rinforzata pare solo ordinatorio, il termine del 2014, entro il quale dovrebbe essere stato raggiunto l’equilibrio di bilancio, appare particolarmente significativo, più che sotto il profilo giuridico sotto l’aspetto politico ed economico. </w:t>
      </w:r>
    </w:p>
  </w:footnote>
  <w:footnote w:id="35">
    <w:p w:rsidR="00973D33" w:rsidRPr="00973D33" w:rsidRDefault="00973D33" w:rsidP="00973D33">
      <w:pPr>
        <w:autoSpaceDE w:val="0"/>
        <w:autoSpaceDN w:val="0"/>
        <w:adjustRightInd w:val="0"/>
        <w:spacing w:after="0" w:line="240" w:lineRule="auto"/>
        <w:jc w:val="both"/>
        <w:rPr>
          <w:rFonts w:ascii="Bookman Old Style" w:hAnsi="Bookman Old Style" w:cs="Times New Roman"/>
          <w:sz w:val="20"/>
          <w:szCs w:val="20"/>
        </w:rPr>
      </w:pPr>
      <w:r w:rsidRPr="00973D33">
        <w:rPr>
          <w:rStyle w:val="Rimandonotaapidipagina"/>
          <w:rFonts w:ascii="Bookman Old Style" w:hAnsi="Bookman Old Style"/>
          <w:sz w:val="20"/>
          <w:szCs w:val="20"/>
        </w:rPr>
        <w:footnoteRef/>
      </w:r>
      <w:r w:rsidRPr="00973D33">
        <w:rPr>
          <w:rFonts w:ascii="Bookman Old Style" w:hAnsi="Bookman Old Style"/>
          <w:sz w:val="20"/>
          <w:szCs w:val="20"/>
        </w:rPr>
        <w:t xml:space="preserve"> </w:t>
      </w:r>
      <w:r w:rsidRPr="00973D33">
        <w:rPr>
          <w:rFonts w:ascii="Bookman Old Style" w:hAnsi="Bookman Old Style" w:cs="Times New Roman"/>
          <w:sz w:val="20"/>
          <w:szCs w:val="20"/>
        </w:rPr>
        <w:t>G. BOTTINO</w:t>
      </w:r>
      <w:r w:rsidRPr="00973D33">
        <w:rPr>
          <w:rFonts w:ascii="Bookman Old Style" w:hAnsi="Bookman Old Style" w:cs="Times New Roman"/>
          <w:b/>
          <w:bCs/>
          <w:sz w:val="20"/>
          <w:szCs w:val="20"/>
        </w:rPr>
        <w:t xml:space="preserve"> </w:t>
      </w:r>
      <w:r w:rsidRPr="00973D33">
        <w:rPr>
          <w:rFonts w:ascii="Bookman Old Style" w:hAnsi="Bookman Old Style" w:cs="Times New Roman"/>
          <w:bCs/>
          <w:i/>
          <w:sz w:val="20"/>
          <w:szCs w:val="20"/>
        </w:rPr>
        <w:t xml:space="preserve">Il nuovo articolo 97 della Costituzione, </w:t>
      </w:r>
      <w:r w:rsidRPr="00973D33">
        <w:rPr>
          <w:rFonts w:ascii="Bookman Old Style" w:hAnsi="Bookman Old Style" w:cs="Times New Roman"/>
          <w:bCs/>
          <w:sz w:val="20"/>
          <w:szCs w:val="20"/>
        </w:rPr>
        <w:t xml:space="preserve">in </w:t>
      </w:r>
      <w:r w:rsidRPr="00973D33">
        <w:rPr>
          <w:rFonts w:ascii="Bookman Old Style" w:hAnsi="Bookman Old Style" w:cs="Times New Roman"/>
          <w:i/>
          <w:sz w:val="20"/>
          <w:szCs w:val="20"/>
        </w:rPr>
        <w:t>Rivista Trimestrale di Diritto Pubblico</w:t>
      </w:r>
      <w:r w:rsidRPr="00973D33">
        <w:rPr>
          <w:rFonts w:ascii="Bookman Old Style" w:hAnsi="Bookman Old Style" w:cs="Times New Roman"/>
          <w:sz w:val="20"/>
          <w:szCs w:val="20"/>
        </w:rPr>
        <w:t>, fasc.3, 2014, pag. 691</w:t>
      </w:r>
    </w:p>
  </w:footnote>
  <w:footnote w:id="36">
    <w:p w:rsidR="00D31D13" w:rsidRPr="00AE712B" w:rsidRDefault="00D31D13" w:rsidP="00AE712B">
      <w:pPr>
        <w:pStyle w:val="Testonotaapidipagina"/>
        <w:jc w:val="both"/>
        <w:rPr>
          <w:rFonts w:ascii="Bookman Old Style" w:hAnsi="Bookman Old Style"/>
        </w:rPr>
      </w:pPr>
      <w:r w:rsidRPr="00AE712B">
        <w:rPr>
          <w:rStyle w:val="Rimandonotaapidipagina"/>
          <w:rFonts w:ascii="Bookman Old Style" w:hAnsi="Bookman Old Style"/>
        </w:rPr>
        <w:footnoteRef/>
      </w:r>
      <w:r w:rsidRPr="00AE712B">
        <w:rPr>
          <w:rFonts w:ascii="Bookman Old Style" w:hAnsi="Bookman Old Style"/>
        </w:rPr>
        <w:t xml:space="preserve"> Tale innovazione dovrebbe portare a una “rilettura, nell’ordinamento costituzionale composito, di principi tradizionali, come quello del “buon andamento”, ora ancorabile a parametri di tipo più oggettivo, e pure del principio di legalità, e della stessa riserva di legge. Nella consapevolezza che la “legge” alla quale sono sottoposte le pubbliche amministrazioni non è più soltanto quella statale (o regionale), ma è anche – e spesso anzitutto – quella contenuta negli atti normativi dell’Unione europea (in particolare ove immediatamente applicabili)” NICOLA LUPO, </w:t>
      </w:r>
      <w:r w:rsidRPr="00AE712B">
        <w:rPr>
          <w:rFonts w:ascii="Bookman Old Style" w:hAnsi="Bookman Old Style"/>
          <w:i/>
        </w:rPr>
        <w:t>La revisione costituzionale della disciplina di bilancio e il sistema delle fonti</w:t>
      </w:r>
      <w:r w:rsidRPr="00AE712B">
        <w:rPr>
          <w:rFonts w:ascii="Bookman Old Style" w:hAnsi="Bookman Old Style"/>
        </w:rPr>
        <w:t>, cit.</w:t>
      </w:r>
    </w:p>
  </w:footnote>
  <w:footnote w:id="37">
    <w:p w:rsidR="00D31D13" w:rsidRPr="00AE712B" w:rsidRDefault="00D31D13" w:rsidP="00AE712B">
      <w:pPr>
        <w:pStyle w:val="Testonotaapidipagina"/>
        <w:jc w:val="both"/>
        <w:rPr>
          <w:rFonts w:ascii="Bookman Old Style" w:hAnsi="Bookman Old Style"/>
        </w:rPr>
      </w:pPr>
      <w:r w:rsidRPr="00AE712B">
        <w:rPr>
          <w:rStyle w:val="Rimandonotaapidipagina"/>
          <w:rFonts w:ascii="Bookman Old Style" w:hAnsi="Bookman Old Style"/>
        </w:rPr>
        <w:footnoteRef/>
      </w:r>
      <w:r w:rsidRPr="00AE712B">
        <w:rPr>
          <w:rFonts w:ascii="Bookman Old Style" w:hAnsi="Bookman Old Style"/>
        </w:rPr>
        <w:t xml:space="preserve"> Lo spostamento di tale competenza nell’ambito della potestà legislativa esclusiva dello Stato sembra, peraltro, in contrasto con il principio del parallelismo tra responsabilità di disciplina della materia e responsabilità finanziaria (Corte </w:t>
      </w:r>
      <w:proofErr w:type="spellStart"/>
      <w:r w:rsidRPr="00AE712B">
        <w:rPr>
          <w:rFonts w:ascii="Bookman Old Style" w:hAnsi="Bookman Old Style"/>
        </w:rPr>
        <w:t>cost</w:t>
      </w:r>
      <w:proofErr w:type="spellEnd"/>
      <w:r w:rsidRPr="00AE712B">
        <w:rPr>
          <w:rFonts w:ascii="Bookman Old Style" w:hAnsi="Bookman Old Style"/>
        </w:rPr>
        <w:t xml:space="preserve">., </w:t>
      </w:r>
      <w:proofErr w:type="spellStart"/>
      <w:r w:rsidRPr="00AE712B">
        <w:rPr>
          <w:rFonts w:ascii="Bookman Old Style" w:hAnsi="Bookman Old Style"/>
        </w:rPr>
        <w:t>sent</w:t>
      </w:r>
      <w:proofErr w:type="spellEnd"/>
      <w:r w:rsidRPr="00AE712B">
        <w:rPr>
          <w:rFonts w:ascii="Bookman Old Style" w:hAnsi="Bookman Old Style"/>
        </w:rPr>
        <w:t xml:space="preserve">. 16 gennaio 2004, n. 17, in </w:t>
      </w:r>
      <w:r w:rsidRPr="00AE712B">
        <w:rPr>
          <w:rFonts w:ascii="Bookman Old Style" w:hAnsi="Bookman Old Style"/>
          <w:i/>
        </w:rPr>
        <w:t>Giur. Cost.</w:t>
      </w:r>
      <w:r w:rsidRPr="00AE712B">
        <w:rPr>
          <w:rFonts w:ascii="Bookman Old Style" w:hAnsi="Bookman Old Style"/>
        </w:rPr>
        <w:t xml:space="preserve">, 2004, p. 312) sotteso alla riforma costituzionale del 2001 in senso federale. È bensì vero che la recente giurisprudenza costituzionale avvalora la tesi che le disposizioni statali volta a dare attuazione al patto di stabilità e crescita costituiscono principi fondamentali di coordinamento della finanza pubblica. Una recente sentenza (Corte </w:t>
      </w:r>
      <w:proofErr w:type="spellStart"/>
      <w:r w:rsidRPr="00AE712B">
        <w:rPr>
          <w:rFonts w:ascii="Bookman Old Style" w:hAnsi="Bookman Old Style"/>
        </w:rPr>
        <w:t>cost</w:t>
      </w:r>
      <w:proofErr w:type="spellEnd"/>
      <w:r w:rsidRPr="00AE712B">
        <w:rPr>
          <w:rFonts w:ascii="Bookman Old Style" w:hAnsi="Bookman Old Style"/>
        </w:rPr>
        <w:t xml:space="preserve">., </w:t>
      </w:r>
      <w:proofErr w:type="spellStart"/>
      <w:r w:rsidRPr="00AE712B">
        <w:rPr>
          <w:rFonts w:ascii="Bookman Old Style" w:hAnsi="Bookman Old Style"/>
        </w:rPr>
        <w:t>sent</w:t>
      </w:r>
      <w:proofErr w:type="spellEnd"/>
      <w:r w:rsidRPr="00AE712B">
        <w:rPr>
          <w:rFonts w:ascii="Bookman Old Style" w:hAnsi="Bookman Old Style"/>
        </w:rPr>
        <w:t xml:space="preserve">. 19 luglio 2011, n. 229, in </w:t>
      </w:r>
      <w:r w:rsidRPr="00AE712B">
        <w:rPr>
          <w:rFonts w:ascii="Bookman Old Style" w:hAnsi="Bookman Old Style"/>
          <w:i/>
        </w:rPr>
        <w:t xml:space="preserve">Foro </w:t>
      </w:r>
      <w:proofErr w:type="spellStart"/>
      <w:r w:rsidRPr="00AE712B">
        <w:rPr>
          <w:rFonts w:ascii="Bookman Old Style" w:hAnsi="Bookman Old Style"/>
          <w:i/>
        </w:rPr>
        <w:t>it</w:t>
      </w:r>
      <w:proofErr w:type="spellEnd"/>
      <w:r w:rsidRPr="00AE712B">
        <w:rPr>
          <w:rFonts w:ascii="Bookman Old Style" w:hAnsi="Bookman Old Style"/>
          <w:i/>
        </w:rPr>
        <w:t>.</w:t>
      </w:r>
      <w:r w:rsidRPr="00AE712B">
        <w:rPr>
          <w:rFonts w:ascii="Bookman Old Style" w:hAnsi="Bookman Old Style"/>
        </w:rPr>
        <w:t xml:space="preserve">, 2011, I, 2591; in </w:t>
      </w:r>
      <w:proofErr w:type="spellStart"/>
      <w:r w:rsidRPr="00AE712B">
        <w:rPr>
          <w:rFonts w:ascii="Bookman Old Style" w:hAnsi="Bookman Old Style"/>
          <w:i/>
        </w:rPr>
        <w:t>Giurisdiz</w:t>
      </w:r>
      <w:proofErr w:type="spellEnd"/>
      <w:r w:rsidRPr="00AE712B">
        <w:rPr>
          <w:rFonts w:ascii="Bookman Old Style" w:hAnsi="Bookman Old Style"/>
          <w:i/>
        </w:rPr>
        <w:t xml:space="preserve">. </w:t>
      </w:r>
      <w:proofErr w:type="spellStart"/>
      <w:r w:rsidRPr="00AE712B">
        <w:rPr>
          <w:rFonts w:ascii="Bookman Old Style" w:hAnsi="Bookman Old Style"/>
          <w:i/>
        </w:rPr>
        <w:t>amm</w:t>
      </w:r>
      <w:proofErr w:type="spellEnd"/>
      <w:r w:rsidRPr="00AE712B">
        <w:rPr>
          <w:rFonts w:ascii="Bookman Old Style" w:hAnsi="Bookman Old Style"/>
          <w:i/>
        </w:rPr>
        <w:t xml:space="preserve">., </w:t>
      </w:r>
      <w:r w:rsidRPr="00AE712B">
        <w:rPr>
          <w:rFonts w:ascii="Bookman Old Style" w:hAnsi="Bookman Old Style"/>
        </w:rPr>
        <w:t xml:space="preserve">2011, III, 607; in </w:t>
      </w:r>
      <w:r w:rsidRPr="00AE712B">
        <w:rPr>
          <w:rFonts w:ascii="Bookman Old Style" w:hAnsi="Bookman Old Style"/>
          <w:i/>
        </w:rPr>
        <w:t>Quaderni regionali</w:t>
      </w:r>
      <w:r w:rsidRPr="00AE712B">
        <w:rPr>
          <w:rFonts w:ascii="Bookman Old Style" w:hAnsi="Bookman Old Style"/>
        </w:rPr>
        <w:t xml:space="preserve">, 2011, 1031), oltre ad elaborare una nozione ampia di principi fondamentali di coordinamento della finanza pubblica (art. 117, terzo comma Cost.) ha precisato come la piena attuazione del coordinamento della finanza pubblica possa far </w:t>
      </w:r>
      <w:proofErr w:type="spellStart"/>
      <w:r w:rsidRPr="00AE712B">
        <w:rPr>
          <w:rFonts w:ascii="Bookman Old Style" w:hAnsi="Bookman Old Style"/>
        </w:rPr>
        <w:t>si</w:t>
      </w:r>
      <w:proofErr w:type="spellEnd"/>
      <w:r w:rsidRPr="00AE712B">
        <w:rPr>
          <w:rFonts w:ascii="Bookman Old Style" w:hAnsi="Bookman Old Style"/>
        </w:rPr>
        <w:t xml:space="preserve"> che la competenza statuale non si esaurisca con l’esercizio del potere legislativo ma implichi anche quelli di poteri di ordine amministrativo, di regolazione tecnica, di rilevazione di dati e di controllo.</w:t>
      </w:r>
    </w:p>
  </w:footnote>
  <w:footnote w:id="38">
    <w:p w:rsidR="00D31D13" w:rsidRPr="00AE712B" w:rsidRDefault="00D31D13" w:rsidP="00AE712B">
      <w:pPr>
        <w:autoSpaceDE w:val="0"/>
        <w:autoSpaceDN w:val="0"/>
        <w:adjustRightInd w:val="0"/>
        <w:spacing w:after="0" w:line="240" w:lineRule="auto"/>
        <w:jc w:val="both"/>
        <w:rPr>
          <w:rFonts w:ascii="Bookman Old Style" w:hAnsi="Bookman Old Style" w:cs="Verdana"/>
          <w:sz w:val="20"/>
          <w:szCs w:val="20"/>
        </w:rPr>
      </w:pPr>
      <w:r w:rsidRPr="00AE712B">
        <w:rPr>
          <w:rFonts w:ascii="Bookman Old Style" w:hAnsi="Bookman Old Style" w:cs="Verdana"/>
          <w:sz w:val="20"/>
          <w:szCs w:val="20"/>
        </w:rPr>
        <w:footnoteRef/>
      </w:r>
      <w:r w:rsidRPr="00AE712B">
        <w:rPr>
          <w:rFonts w:ascii="Bookman Old Style" w:hAnsi="Bookman Old Style" w:cs="Verdana"/>
          <w:sz w:val="20"/>
          <w:szCs w:val="20"/>
        </w:rPr>
        <w:t xml:space="preserve"> La nuova regola contabile dell’equilibrio di bilancio per regioni ed enti locali è stata introdotta dalla legge n. 243 del 2012 che agli articoli da 9 a 12 ha dettato le disposizioni per assicurare l'equilibrio dei bilanci delle regioni e degli enti locali e il concorso dei medesimi enti alla sostenibilità del debito pubblico, dando così attuazione, con riferimento agli enti territoriali, a quanto previsto dalla legge costituzionale n. 1 del 2012, che ha introdotto nella Costituzione il principio del pareggio di bilancio. La nuova regola, la cui applicazione – dopo essere stata anticipata al 2015 per le regioni, con alcune specificità poi ridefinite dalla normativa successivamente emanata a regime - è stata prevista a decorrere dal 2016, viene così a sostituire da tale anno il patto di stabilità interno, che nel corso del tempo aveva portato ad un addensamento normativo di regole complesse e frequentemente mutevoli. Esso, va rammentato, aveva finora costituito, fin dalla sua introduzione nel 1999, lo strumento mediante cui sono stati stabiliti gli obiettivi ed i vincoli della gestione finanziaria di regioni ed enti locali, ai fini della determinazione della misura del concorso dei medesimi al rispetto degli impegni derivanti dall'appartenenza all'Unione europea. L'impostazione del patto di stabilità interno è stata incentrata, fino al 2014, per le regioni sul principio del contenimento delle spese finali e, per gli enti locali (fino al 2015), sul controllo dei saldi finanziari. Per gli enti locali, il vincolo al miglioramento dei saldi è risultato funzionale all'impegno di riconoscere agli enti territoriali una maggiore autonomia tributaria, responsabilizzandoli nella gestione finanziaria anche in relazione ai vincoli finanziari derivanti dalla partecipazione dell'Italia all'Unione europea. La sostituzione del patto di stabilità interno con la disciplina del pareggio di bilancio, quale nuova regola contabile per gli enti territoriali e quale modalità del concorso degli stessi alla sostenibilità delle finanze pubbliche, si è realizzata mediante un percorso che:</w:t>
      </w:r>
    </w:p>
    <w:p w:rsidR="00D31D13" w:rsidRPr="00AE712B" w:rsidRDefault="00D31D13" w:rsidP="00AE712B">
      <w:pPr>
        <w:pStyle w:val="Paragrafoelenco"/>
        <w:numPr>
          <w:ilvl w:val="0"/>
          <w:numId w:val="4"/>
        </w:numPr>
        <w:autoSpaceDE w:val="0"/>
        <w:autoSpaceDN w:val="0"/>
        <w:adjustRightInd w:val="0"/>
        <w:spacing w:after="0" w:line="240" w:lineRule="auto"/>
        <w:ind w:firstLine="0"/>
        <w:jc w:val="both"/>
        <w:rPr>
          <w:rFonts w:ascii="Bookman Old Style" w:hAnsi="Bookman Old Style" w:cs="Verdana"/>
          <w:sz w:val="20"/>
          <w:szCs w:val="20"/>
        </w:rPr>
      </w:pPr>
      <w:r w:rsidRPr="00AE712B">
        <w:rPr>
          <w:rFonts w:ascii="Bookman Old Style" w:hAnsi="Bookman Old Style" w:cs="Verdana"/>
          <w:sz w:val="20"/>
          <w:szCs w:val="20"/>
        </w:rPr>
        <w:t>è stato avviato con la legge di stabilità 2015, anticipando l’applicazione della normativa sul pareggio alle regioni a statuto ordinario ed alla Sardegna;</w:t>
      </w:r>
    </w:p>
    <w:p w:rsidR="00D31D13" w:rsidRPr="00AE712B" w:rsidRDefault="00D31D13" w:rsidP="00AE712B">
      <w:pPr>
        <w:pStyle w:val="Paragrafoelenco"/>
        <w:numPr>
          <w:ilvl w:val="0"/>
          <w:numId w:val="4"/>
        </w:numPr>
        <w:autoSpaceDE w:val="0"/>
        <w:autoSpaceDN w:val="0"/>
        <w:adjustRightInd w:val="0"/>
        <w:spacing w:after="0" w:line="240" w:lineRule="auto"/>
        <w:ind w:firstLine="0"/>
        <w:jc w:val="both"/>
        <w:rPr>
          <w:rFonts w:ascii="Bookman Old Style" w:hAnsi="Bookman Old Style" w:cs="Verdana"/>
          <w:sz w:val="20"/>
          <w:szCs w:val="20"/>
        </w:rPr>
      </w:pPr>
      <w:r w:rsidRPr="00AE712B">
        <w:rPr>
          <w:rFonts w:ascii="Bookman Old Style" w:hAnsi="Bookman Old Style" w:cs="Verdana"/>
          <w:sz w:val="20"/>
          <w:szCs w:val="20"/>
        </w:rPr>
        <w:t>è poi proseguito con la legge di stabilità 2016 attraverso il definitivo superamento del patto e la individuazione di un unico saldo di equilibrio per il 2016;</w:t>
      </w:r>
    </w:p>
    <w:p w:rsidR="00D31D13" w:rsidRPr="00AE712B" w:rsidRDefault="00D31D13" w:rsidP="00AE712B">
      <w:pPr>
        <w:pStyle w:val="Paragrafoelenco"/>
        <w:numPr>
          <w:ilvl w:val="0"/>
          <w:numId w:val="4"/>
        </w:numPr>
        <w:autoSpaceDE w:val="0"/>
        <w:autoSpaceDN w:val="0"/>
        <w:adjustRightInd w:val="0"/>
        <w:spacing w:after="0" w:line="240" w:lineRule="auto"/>
        <w:ind w:firstLine="0"/>
        <w:jc w:val="both"/>
        <w:rPr>
          <w:rFonts w:ascii="Bookman Old Style" w:hAnsi="Bookman Old Style" w:cs="Verdana"/>
          <w:sz w:val="20"/>
          <w:szCs w:val="20"/>
        </w:rPr>
      </w:pPr>
      <w:r w:rsidRPr="00AE712B">
        <w:rPr>
          <w:rFonts w:ascii="Bookman Old Style" w:hAnsi="Bookman Old Style" w:cs="Verdana"/>
          <w:sz w:val="20"/>
          <w:szCs w:val="20"/>
        </w:rPr>
        <w:t>è continuato con il consolidamento ad opera della legge n.164/2016 del nuovo saldo di equilibrio nel testo della legge 243/2012 (nonché con altre modifiche attinenti ai rapporti finanziari tra Stato ed enti territoriali);</w:t>
      </w:r>
    </w:p>
    <w:p w:rsidR="00D31D13" w:rsidRPr="00AE712B" w:rsidRDefault="00D31D13" w:rsidP="00AE712B">
      <w:pPr>
        <w:pStyle w:val="Paragrafoelenco"/>
        <w:numPr>
          <w:ilvl w:val="0"/>
          <w:numId w:val="4"/>
        </w:numPr>
        <w:autoSpaceDE w:val="0"/>
        <w:autoSpaceDN w:val="0"/>
        <w:adjustRightInd w:val="0"/>
        <w:spacing w:after="0" w:line="240" w:lineRule="auto"/>
        <w:ind w:firstLine="0"/>
        <w:jc w:val="both"/>
        <w:rPr>
          <w:rFonts w:ascii="Bookman Old Style" w:hAnsi="Bookman Old Style" w:cs="Verdana"/>
          <w:sz w:val="20"/>
          <w:szCs w:val="20"/>
        </w:rPr>
      </w:pPr>
      <w:r w:rsidRPr="00AE712B">
        <w:rPr>
          <w:rFonts w:ascii="Bookman Old Style" w:hAnsi="Bookman Old Style" w:cs="Verdana"/>
          <w:sz w:val="20"/>
          <w:szCs w:val="20"/>
        </w:rPr>
        <w:t>si è infine concluso con la messa regime da parte della legge di bilancio 2017 (legge n.232 del 2016) delle regole sul pareggio introdotte dalla precedente legge di stabilità.</w:t>
      </w:r>
    </w:p>
    <w:p w:rsidR="00D31D13" w:rsidRPr="00AE712B" w:rsidRDefault="00D31D13" w:rsidP="00AE712B">
      <w:pPr>
        <w:autoSpaceDE w:val="0"/>
        <w:autoSpaceDN w:val="0"/>
        <w:adjustRightInd w:val="0"/>
        <w:spacing w:after="0" w:line="240" w:lineRule="auto"/>
        <w:jc w:val="both"/>
        <w:rPr>
          <w:rFonts w:ascii="Bookman Old Style" w:hAnsi="Bookman Old Style" w:cs="Verdana"/>
          <w:sz w:val="20"/>
          <w:szCs w:val="20"/>
        </w:rPr>
      </w:pPr>
      <w:r w:rsidRPr="00AE712B">
        <w:rPr>
          <w:rFonts w:ascii="Bookman Old Style" w:hAnsi="Bookman Old Style" w:cs="Verdana"/>
          <w:sz w:val="20"/>
          <w:szCs w:val="20"/>
        </w:rPr>
        <w:t xml:space="preserve">Il contenuto della nuova regola, che costituisce il modo mediante cui regioni e province autonome, comuni, province e città metropolitane concorrono al conseguimento dei saldi e degli obiettivi di finanza pubblica, è dettato in particolare dal comma 466 della legge 232 del 2016 sopra citata, nel quale si stabilisce che tali enti devono conseguire un saldo non negativo, in termini di competenza, tra le entrate finali e le spese finali. Per gli enti territoriali la nuova </w:t>
      </w:r>
      <w:proofErr w:type="spellStart"/>
      <w:r w:rsidRPr="00AE712B">
        <w:rPr>
          <w:rFonts w:ascii="Bookman Old Style" w:hAnsi="Bookman Old Style" w:cs="Verdana"/>
          <w:i/>
          <w:sz w:val="20"/>
          <w:szCs w:val="20"/>
        </w:rPr>
        <w:t>golden</w:t>
      </w:r>
      <w:proofErr w:type="spellEnd"/>
      <w:r w:rsidRPr="00AE712B">
        <w:rPr>
          <w:rFonts w:ascii="Bookman Old Style" w:hAnsi="Bookman Old Style" w:cs="Verdana"/>
          <w:i/>
          <w:sz w:val="20"/>
          <w:szCs w:val="20"/>
        </w:rPr>
        <w:t xml:space="preserve"> </w:t>
      </w:r>
      <w:proofErr w:type="spellStart"/>
      <w:r w:rsidRPr="00AE712B">
        <w:rPr>
          <w:rFonts w:ascii="Bookman Old Style" w:hAnsi="Bookman Old Style" w:cs="Verdana"/>
          <w:i/>
          <w:sz w:val="20"/>
          <w:szCs w:val="20"/>
        </w:rPr>
        <w:t>rule</w:t>
      </w:r>
      <w:proofErr w:type="spellEnd"/>
      <w:r w:rsidRPr="00AE712B">
        <w:rPr>
          <w:rFonts w:ascii="Bookman Old Style" w:hAnsi="Bookman Old Style" w:cs="Verdana"/>
          <w:sz w:val="20"/>
          <w:szCs w:val="20"/>
        </w:rPr>
        <w:t xml:space="preserve"> risulta radicalmente diversa rispetto al previgente patto di stabilità, che, come prima rammentato, consiste nel raggiungimento di uno specifico obiettivo di saldo finanziario, calcolato quale differenza tra entrate e spese finali - comprese dunque le spese in conto capitale - espresso in termini di competenza mista (criterio contabile che considera le entrate e le spese in termini di competenza, per la parte corrente, e in termini di cassa per la parte degli investimenti, al fine di rendere l'obiettivo del patto di stabilità interno più coerente con le regole contabili europee). I complessi meccanismi del patto sono ora sostituiti da un vincolo più lineare, costituito dal raggiungimento di un unico saldo. Questo è l’elemento centrale della nuova disciplina, ed il principale elemento migliorativo rispetto al patto. Ciò in quanto il nuovo saldo obiettivo, mediante cui gli enti concorrono agli obiettivi di finanza pubblica, deve essere “non negativo”, vale a dire posto – come livello minimo - pari a zero, a differenza del saldo obiettivo del patto, posto sempre su valori positivi (doveva essere cioè un avanzo) in ragione del concorso alla finanza pubblica richiesto annualmente agli enti. Inoltre, il fatto che il saldo è richiesto solo in termini di competenza comporta il venir meno del previgente vincolo per cassa ai pagamenti in conto capitale, consentendosi in tal modo agli enti locali che hanno liquidità di poter procedere ai pagamenti di conto capitale, favorendosi così gli investimenti. La regola dell’equilibrio di bilancio è accompagnata da una dettagliata disciplina circa gli obblighi in capo a regioni ed enti locali al fine del monitoraggio degli adempimenti, venendo altresì corredata da un articolato sistema sanzionatorio/premiale, da applicare, rispettivamente, in caso di mancato conseguimento del saldo non negativo tra entrate e spese finali ed in caso di rispetto del saldo in situazioni di virtuosità; vengono altresì previste alcune disposizioni volte ad introdurre elementi di flessibilità ai fini del conseguimento del saldo di equilibrio. </w:t>
      </w:r>
    </w:p>
  </w:footnote>
  <w:footnote w:id="39">
    <w:p w:rsidR="00D31D13" w:rsidRPr="00AE712B" w:rsidRDefault="00D31D13" w:rsidP="00AE712B">
      <w:pPr>
        <w:autoSpaceDE w:val="0"/>
        <w:autoSpaceDN w:val="0"/>
        <w:adjustRightInd w:val="0"/>
        <w:spacing w:after="0" w:line="240" w:lineRule="auto"/>
        <w:jc w:val="both"/>
        <w:rPr>
          <w:rFonts w:ascii="Bookman Old Style" w:hAnsi="Bookman Old Style" w:cs="Verdana"/>
          <w:sz w:val="20"/>
          <w:szCs w:val="20"/>
        </w:rPr>
      </w:pPr>
      <w:r w:rsidRPr="00AE712B">
        <w:rPr>
          <w:rFonts w:ascii="Bookman Old Style" w:hAnsi="Bookman Old Style" w:cs="Verdana"/>
          <w:sz w:val="20"/>
          <w:szCs w:val="20"/>
        </w:rPr>
        <w:footnoteRef/>
      </w:r>
      <w:r w:rsidRPr="00AE712B">
        <w:rPr>
          <w:rFonts w:ascii="Bookman Old Style" w:hAnsi="Bookman Old Style" w:cs="Verdana"/>
          <w:sz w:val="20"/>
          <w:szCs w:val="20"/>
        </w:rPr>
        <w:t xml:space="preserve"> A. BRANCASI, </w:t>
      </w:r>
      <w:r w:rsidRPr="00AE712B">
        <w:rPr>
          <w:rFonts w:ascii="Bookman Old Style" w:hAnsi="Bookman Old Style" w:cs="Verdana"/>
          <w:i/>
          <w:sz w:val="20"/>
          <w:szCs w:val="20"/>
        </w:rPr>
        <w:t>Bilancio (equilibrio di</w:t>
      </w:r>
      <w:r w:rsidRPr="00AE712B">
        <w:rPr>
          <w:rFonts w:ascii="Bookman Old Style" w:hAnsi="Bookman Old Style" w:cs="Verdana"/>
          <w:sz w:val="20"/>
          <w:szCs w:val="20"/>
        </w:rPr>
        <w:t xml:space="preserve">), in </w:t>
      </w:r>
      <w:proofErr w:type="spellStart"/>
      <w:r w:rsidRPr="00AE712B">
        <w:rPr>
          <w:rFonts w:ascii="Bookman Old Style" w:hAnsi="Bookman Old Style" w:cs="Verdana"/>
          <w:i/>
          <w:sz w:val="20"/>
          <w:szCs w:val="20"/>
        </w:rPr>
        <w:t>Enc</w:t>
      </w:r>
      <w:proofErr w:type="spellEnd"/>
      <w:r w:rsidRPr="00AE712B">
        <w:rPr>
          <w:rFonts w:ascii="Bookman Old Style" w:hAnsi="Bookman Old Style" w:cs="Verdana"/>
          <w:i/>
          <w:sz w:val="20"/>
          <w:szCs w:val="20"/>
        </w:rPr>
        <w:t>. dir., Annali</w:t>
      </w:r>
      <w:r w:rsidRPr="00AE712B">
        <w:rPr>
          <w:rFonts w:ascii="Bookman Old Style" w:hAnsi="Bookman Old Style" w:cs="Verdana"/>
          <w:sz w:val="20"/>
          <w:szCs w:val="20"/>
        </w:rPr>
        <w:t xml:space="preserve"> VII, Milano 2014, 167 ss., considera la riforma costituzionale come succedanea al c.d. </w:t>
      </w:r>
      <w:r w:rsidRPr="00AE712B">
        <w:rPr>
          <w:rFonts w:ascii="Bookman Old Style" w:hAnsi="Bookman Old Style" w:cs="Verdana"/>
          <w:i/>
          <w:sz w:val="20"/>
          <w:szCs w:val="20"/>
        </w:rPr>
        <w:t>Fiscal Compact</w:t>
      </w:r>
      <w:r w:rsidRPr="00AE712B">
        <w:rPr>
          <w:rFonts w:ascii="Bookman Old Style" w:hAnsi="Bookman Old Style" w:cs="Verdana"/>
          <w:sz w:val="20"/>
          <w:szCs w:val="20"/>
        </w:rPr>
        <w:t xml:space="preserve"> ed alla clausola ivi racchiusa, che riconosce la giurisdizione della Corte di giustizia, limitatamente però all’obbligo di recepire nell’ordinamento nazionale le regole europee e non la loro osservanza (art. 8).</w:t>
      </w:r>
    </w:p>
  </w:footnote>
  <w:footnote w:id="40">
    <w:p w:rsidR="00D31D13" w:rsidRPr="00AE712B" w:rsidRDefault="00D31D13" w:rsidP="00AE712B">
      <w:pPr>
        <w:autoSpaceDE w:val="0"/>
        <w:autoSpaceDN w:val="0"/>
        <w:adjustRightInd w:val="0"/>
        <w:spacing w:after="0" w:line="240" w:lineRule="auto"/>
        <w:jc w:val="both"/>
        <w:rPr>
          <w:rFonts w:ascii="Bookman Old Style" w:hAnsi="Bookman Old Style" w:cs="Verdana"/>
          <w:sz w:val="20"/>
          <w:szCs w:val="20"/>
        </w:rPr>
      </w:pPr>
      <w:r w:rsidRPr="00AE712B">
        <w:rPr>
          <w:rFonts w:ascii="Bookman Old Style" w:hAnsi="Bookman Old Style" w:cs="Verdana"/>
          <w:sz w:val="20"/>
          <w:szCs w:val="20"/>
        </w:rPr>
        <w:footnoteRef/>
      </w:r>
      <w:r w:rsidRPr="00AE712B">
        <w:rPr>
          <w:rFonts w:ascii="Bookman Old Style" w:hAnsi="Bookman Old Style" w:cs="Verdana"/>
          <w:sz w:val="20"/>
          <w:szCs w:val="20"/>
        </w:rPr>
        <w:t xml:space="preserve"> 13 Per G. SCACCIA, La </w:t>
      </w:r>
      <w:proofErr w:type="spellStart"/>
      <w:r w:rsidRPr="00AE712B">
        <w:rPr>
          <w:rFonts w:ascii="Bookman Old Style" w:hAnsi="Bookman Old Style" w:cs="Verdana"/>
          <w:sz w:val="20"/>
          <w:szCs w:val="20"/>
        </w:rPr>
        <w:t>giustiziabilità</w:t>
      </w:r>
      <w:proofErr w:type="spellEnd"/>
      <w:r w:rsidRPr="00AE712B">
        <w:rPr>
          <w:rFonts w:ascii="Bookman Old Style" w:hAnsi="Bookman Old Style" w:cs="Verdana"/>
          <w:sz w:val="20"/>
          <w:szCs w:val="20"/>
        </w:rPr>
        <w:t xml:space="preserve"> della regola del pareggio di bilancio, anche in Il Filangieri, Quaderno 2011, Napoli 2012, 211-212 ss.: «la revisione dell’art. 81 della Costituzione e la specifica previsione di un controllo costituzionale sul rispetto del vincolo del pareggio </w:t>
      </w:r>
      <w:proofErr w:type="spellStart"/>
      <w:r w:rsidRPr="00AE712B">
        <w:rPr>
          <w:rFonts w:ascii="Bookman Old Style" w:hAnsi="Bookman Old Style" w:cs="Verdana"/>
          <w:sz w:val="20"/>
          <w:szCs w:val="20"/>
        </w:rPr>
        <w:t>tocc</w:t>
      </w:r>
      <w:proofErr w:type="spellEnd"/>
      <w:r w:rsidRPr="00AE712B">
        <w:rPr>
          <w:rFonts w:ascii="Bookman Old Style" w:hAnsi="Bookman Old Style" w:cs="Verdana"/>
          <w:sz w:val="20"/>
          <w:szCs w:val="20"/>
        </w:rPr>
        <w:t>[ano] uno degli snodi cruciali della forma di governo, perché fanno oggetto di responsabilità giuridica e di sanzione costituzionale obbligazioni che in precedenza rilevavano solo in sede politica e restavano consegnate, in definitiva, alle dinamiche della relazione fiduciaria».</w:t>
      </w:r>
    </w:p>
  </w:footnote>
  <w:footnote w:id="41">
    <w:p w:rsidR="00BE2CF3" w:rsidRDefault="00BE2CF3" w:rsidP="00BE2CF3">
      <w:pPr>
        <w:autoSpaceDE w:val="0"/>
        <w:autoSpaceDN w:val="0"/>
        <w:adjustRightInd w:val="0"/>
        <w:spacing w:after="0" w:line="240" w:lineRule="auto"/>
        <w:jc w:val="both"/>
      </w:pPr>
      <w:r w:rsidRPr="00BE2CF3">
        <w:rPr>
          <w:rFonts w:ascii="Bookman Old Style" w:hAnsi="Bookman Old Style" w:cs="Verdana"/>
          <w:sz w:val="20"/>
          <w:szCs w:val="20"/>
        </w:rPr>
        <w:footnoteRef/>
      </w:r>
      <w:r w:rsidRPr="00BE2CF3">
        <w:rPr>
          <w:rFonts w:ascii="Bookman Old Style" w:hAnsi="Bookman Old Style" w:cs="Verdana"/>
          <w:sz w:val="20"/>
          <w:szCs w:val="20"/>
        </w:rPr>
        <w:t xml:space="preserve"> Corte </w:t>
      </w:r>
      <w:proofErr w:type="spellStart"/>
      <w:r w:rsidRPr="00BE2CF3">
        <w:rPr>
          <w:rFonts w:ascii="Bookman Old Style" w:hAnsi="Bookman Old Style" w:cs="Verdana"/>
          <w:sz w:val="20"/>
          <w:szCs w:val="20"/>
        </w:rPr>
        <w:t>cost</w:t>
      </w:r>
      <w:proofErr w:type="spellEnd"/>
      <w:r w:rsidRPr="00BE2CF3">
        <w:rPr>
          <w:rFonts w:ascii="Bookman Old Style" w:hAnsi="Bookman Old Style" w:cs="Verdana"/>
          <w:sz w:val="20"/>
          <w:szCs w:val="20"/>
        </w:rPr>
        <w:t xml:space="preserve">. </w:t>
      </w:r>
      <w:proofErr w:type="spellStart"/>
      <w:proofErr w:type="gramStart"/>
      <w:r w:rsidRPr="00BE2CF3">
        <w:rPr>
          <w:rFonts w:ascii="Bookman Old Style" w:hAnsi="Bookman Old Style" w:cs="Verdana"/>
          <w:sz w:val="20"/>
          <w:szCs w:val="20"/>
        </w:rPr>
        <w:t>sent</w:t>
      </w:r>
      <w:proofErr w:type="spellEnd"/>
      <w:proofErr w:type="gramEnd"/>
      <w:r w:rsidRPr="00BE2CF3">
        <w:rPr>
          <w:rFonts w:ascii="Bookman Old Style" w:hAnsi="Bookman Old Style" w:cs="Verdana"/>
          <w:sz w:val="20"/>
          <w:szCs w:val="20"/>
        </w:rPr>
        <w:t>. n. 88 del 2014</w:t>
      </w:r>
      <w:r>
        <w:rPr>
          <w:rFonts w:ascii="Bookman Old Style" w:hAnsi="Bookman Old Style" w:cs="Verdana"/>
          <w:sz w:val="20"/>
          <w:szCs w:val="20"/>
        </w:rPr>
        <w:t>.</w:t>
      </w:r>
    </w:p>
  </w:footnote>
  <w:footnote w:id="42">
    <w:p w:rsidR="00D31D13" w:rsidRPr="00AE712B" w:rsidRDefault="00D31D13" w:rsidP="00AE712B">
      <w:pPr>
        <w:pStyle w:val="Testonotaapidipagina"/>
        <w:jc w:val="both"/>
        <w:rPr>
          <w:rFonts w:ascii="Bookman Old Style" w:hAnsi="Bookman Old Style"/>
        </w:rPr>
      </w:pPr>
      <w:r w:rsidRPr="00AE712B">
        <w:rPr>
          <w:rStyle w:val="Rimandonotaapidipagina"/>
          <w:rFonts w:ascii="Bookman Old Style" w:hAnsi="Bookman Old Style"/>
        </w:rPr>
        <w:footnoteRef/>
      </w:r>
      <w:r w:rsidRPr="00AE712B">
        <w:rPr>
          <w:rFonts w:ascii="Bookman Old Style" w:hAnsi="Bookman Old Style"/>
        </w:rPr>
        <w:t xml:space="preserve"> C. MARCHESE, </w:t>
      </w:r>
      <w:r w:rsidRPr="00AE712B">
        <w:rPr>
          <w:rFonts w:ascii="Bookman Old Style" w:hAnsi="Bookman Old Style"/>
          <w:i/>
        </w:rPr>
        <w:t xml:space="preserve">Vincoli di bilancio, finanza pubblica e diritti sociali. Prospettive comparate: </w:t>
      </w:r>
      <w:r w:rsidRPr="00AE712B">
        <w:rPr>
          <w:rFonts w:ascii="Bookman Old Style" w:hAnsi="Bookman Old Style"/>
        </w:rPr>
        <w:t>Germania, Spagna, Portogallo e Grecia, in www.cortecostituzionale.it</w:t>
      </w:r>
    </w:p>
  </w:footnote>
  <w:footnote w:id="43">
    <w:p w:rsidR="00D31D13" w:rsidRPr="00AE712B" w:rsidRDefault="00D31D13" w:rsidP="00AE712B">
      <w:pPr>
        <w:pStyle w:val="Testonotaapidipagina"/>
        <w:jc w:val="both"/>
        <w:rPr>
          <w:rFonts w:ascii="Bookman Old Style" w:hAnsi="Bookman Old Style"/>
        </w:rPr>
      </w:pPr>
      <w:r w:rsidRPr="00AE712B">
        <w:rPr>
          <w:rFonts w:ascii="Bookman Old Style" w:hAnsi="Bookman Old Style"/>
        </w:rPr>
        <w:footnoteRef/>
      </w:r>
      <w:r w:rsidRPr="00AE712B">
        <w:rPr>
          <w:rFonts w:ascii="Bookman Old Style" w:hAnsi="Bookman Old Style"/>
        </w:rPr>
        <w:t xml:space="preserve"> Per una disamina giurisprudenziale cfr. </w:t>
      </w:r>
      <w:r w:rsidRPr="00AE712B">
        <w:rPr>
          <w:rFonts w:ascii="Bookman Old Style" w:hAnsi="Bookman Old Style"/>
          <w:i/>
        </w:rPr>
        <w:t>La tutela dei diritti e i vincoli finanziari – Quaderno di giurisprudenza costituzionale</w:t>
      </w:r>
      <w:r w:rsidRPr="00AE712B">
        <w:rPr>
          <w:rFonts w:ascii="Bookman Old Style" w:hAnsi="Bookman Old Style"/>
        </w:rPr>
        <w:t xml:space="preserve"> a cura di: Maria Fierro, Riccardo Nevola, Danilo </w:t>
      </w:r>
      <w:proofErr w:type="spellStart"/>
      <w:r w:rsidRPr="00AE712B">
        <w:rPr>
          <w:rFonts w:ascii="Bookman Old Style" w:hAnsi="Bookman Old Style"/>
        </w:rPr>
        <w:t>Diaco</w:t>
      </w:r>
      <w:proofErr w:type="spellEnd"/>
      <w:r w:rsidRPr="00AE712B">
        <w:rPr>
          <w:rFonts w:ascii="Bookman Old Style" w:hAnsi="Bookman Old Style"/>
        </w:rPr>
        <w:t>, Roma, 2013.</w:t>
      </w:r>
    </w:p>
  </w:footnote>
  <w:footnote w:id="44">
    <w:p w:rsidR="00D31D13" w:rsidRPr="00AE712B" w:rsidRDefault="00D31D13" w:rsidP="00AE712B">
      <w:pPr>
        <w:pStyle w:val="Testonotaapidipagina"/>
        <w:jc w:val="both"/>
        <w:rPr>
          <w:rFonts w:ascii="Bookman Old Style" w:hAnsi="Bookman Old Style"/>
        </w:rPr>
      </w:pPr>
      <w:r w:rsidRPr="00AE712B">
        <w:rPr>
          <w:rFonts w:ascii="Bookman Old Style" w:hAnsi="Bookman Old Style"/>
        </w:rPr>
        <w:footnoteRef/>
      </w:r>
      <w:r w:rsidRPr="00AE712B">
        <w:rPr>
          <w:rFonts w:ascii="Bookman Old Style" w:hAnsi="Bookman Old Style"/>
        </w:rPr>
        <w:t xml:space="preserve"> Corte cost. </w:t>
      </w:r>
      <w:proofErr w:type="spellStart"/>
      <w:r w:rsidRPr="00AE712B">
        <w:rPr>
          <w:rFonts w:ascii="Bookman Old Style" w:hAnsi="Bookman Old Style"/>
        </w:rPr>
        <w:t>sent</w:t>
      </w:r>
      <w:proofErr w:type="spellEnd"/>
      <w:r w:rsidRPr="00AE712B">
        <w:rPr>
          <w:rFonts w:ascii="Bookman Old Style" w:hAnsi="Bookman Old Style"/>
        </w:rPr>
        <w:t>. n. 421 del 1995. Affermazioni di analogo tenore si ritrovano nelle sentenze della Corte cost. n. 62 del 1994 e n. 219 del 1995.</w:t>
      </w:r>
    </w:p>
  </w:footnote>
  <w:footnote w:id="45">
    <w:p w:rsidR="00D31D13" w:rsidRPr="00AE712B" w:rsidRDefault="00D31D13" w:rsidP="00AE712B">
      <w:pPr>
        <w:pStyle w:val="Testonotaapidipagina"/>
        <w:jc w:val="both"/>
        <w:rPr>
          <w:rFonts w:ascii="Bookman Old Style" w:hAnsi="Bookman Old Style"/>
        </w:rPr>
      </w:pPr>
      <w:r w:rsidRPr="00AE712B">
        <w:rPr>
          <w:rFonts w:ascii="Bookman Old Style" w:hAnsi="Bookman Old Style"/>
        </w:rPr>
        <w:footnoteRef/>
      </w:r>
      <w:r w:rsidRPr="00AE712B">
        <w:rPr>
          <w:rFonts w:ascii="Bookman Old Style" w:hAnsi="Bookman Old Style"/>
        </w:rPr>
        <w:t xml:space="preserve"> Corte cost. </w:t>
      </w:r>
      <w:proofErr w:type="spellStart"/>
      <w:r w:rsidRPr="00AE712B">
        <w:rPr>
          <w:rFonts w:ascii="Bookman Old Style" w:hAnsi="Bookman Old Style"/>
        </w:rPr>
        <w:t>sent</w:t>
      </w:r>
      <w:proofErr w:type="spellEnd"/>
      <w:r w:rsidRPr="00AE712B">
        <w:rPr>
          <w:rFonts w:ascii="Bookman Old Style" w:hAnsi="Bookman Old Style"/>
        </w:rPr>
        <w:t xml:space="preserve">. n. 138 del 1997. </w:t>
      </w:r>
    </w:p>
  </w:footnote>
  <w:footnote w:id="46">
    <w:p w:rsidR="00D31D13" w:rsidRPr="00AE712B" w:rsidRDefault="00D31D13" w:rsidP="00AE712B">
      <w:pPr>
        <w:autoSpaceDE w:val="0"/>
        <w:autoSpaceDN w:val="0"/>
        <w:adjustRightInd w:val="0"/>
        <w:spacing w:after="0" w:line="240" w:lineRule="auto"/>
        <w:jc w:val="both"/>
        <w:rPr>
          <w:rFonts w:ascii="Bookman Old Style" w:hAnsi="Bookman Old Style"/>
          <w:sz w:val="20"/>
          <w:szCs w:val="20"/>
        </w:rPr>
      </w:pPr>
      <w:r w:rsidRPr="00AE712B">
        <w:rPr>
          <w:rStyle w:val="Rimandonotaapidipagina"/>
          <w:rFonts w:ascii="Bookman Old Style" w:hAnsi="Bookman Old Style"/>
          <w:sz w:val="20"/>
          <w:szCs w:val="20"/>
        </w:rPr>
        <w:footnoteRef/>
      </w:r>
      <w:r w:rsidRPr="00AE712B">
        <w:rPr>
          <w:rFonts w:ascii="Bookman Old Style" w:hAnsi="Bookman Old Style" w:cs="Times New Roman"/>
          <w:sz w:val="20"/>
          <w:szCs w:val="20"/>
        </w:rPr>
        <w:t xml:space="preserve"> Sulle sentenze additive di principio, E. MALFATTI, S. PANIZZA, R. ROMBOLI, </w:t>
      </w:r>
      <w:r w:rsidRPr="00AE712B">
        <w:rPr>
          <w:rFonts w:ascii="Bookman Old Style" w:hAnsi="Bookman Old Style" w:cs="Times New Roman"/>
          <w:i/>
          <w:iCs/>
          <w:sz w:val="20"/>
          <w:szCs w:val="20"/>
        </w:rPr>
        <w:t xml:space="preserve">Giustizia costituzionale, </w:t>
      </w:r>
      <w:r w:rsidRPr="00AE712B">
        <w:rPr>
          <w:rFonts w:ascii="Bookman Old Style" w:hAnsi="Bookman Old Style" w:cs="Times New Roman"/>
          <w:sz w:val="20"/>
          <w:szCs w:val="20"/>
        </w:rPr>
        <w:t xml:space="preserve">V ed., Torino 2016, 143 ss.; G. ZAGREBELSKY, V. MARCENÒ, </w:t>
      </w:r>
      <w:r w:rsidRPr="00AE712B">
        <w:rPr>
          <w:rFonts w:ascii="Bookman Old Style" w:hAnsi="Bookman Old Style" w:cs="Times New Roman"/>
          <w:i/>
          <w:iCs/>
          <w:sz w:val="20"/>
          <w:szCs w:val="20"/>
        </w:rPr>
        <w:t>Giustizia costituzionale</w:t>
      </w:r>
      <w:r w:rsidRPr="00AE712B">
        <w:rPr>
          <w:rFonts w:ascii="Bookman Old Style" w:hAnsi="Bookman Old Style" w:cs="Times New Roman"/>
          <w:sz w:val="20"/>
          <w:szCs w:val="20"/>
        </w:rPr>
        <w:t xml:space="preserve">, Bologna 2012, 400 ss. Con riferimento alle pronunce della Corte costituzionale in tema di equilibrio finanziario, R. ROMBOLI, </w:t>
      </w:r>
      <w:r w:rsidRPr="00AE712B">
        <w:rPr>
          <w:rFonts w:ascii="Bookman Old Style" w:hAnsi="Bookman Old Style" w:cs="Times New Roman"/>
          <w:i/>
          <w:iCs/>
          <w:sz w:val="20"/>
          <w:szCs w:val="20"/>
        </w:rPr>
        <w:t>Dichiarazione di incostituzionalità con delega al Parlamento</w:t>
      </w:r>
      <w:r w:rsidRPr="00AE712B">
        <w:rPr>
          <w:rFonts w:ascii="Bookman Old Style" w:hAnsi="Bookman Old Style" w:cs="Times New Roman"/>
          <w:sz w:val="20"/>
          <w:szCs w:val="20"/>
        </w:rPr>
        <w:t xml:space="preserve">, in </w:t>
      </w:r>
      <w:r w:rsidRPr="00AE712B">
        <w:rPr>
          <w:rFonts w:ascii="Bookman Old Style" w:hAnsi="Bookman Old Style" w:cs="Times New Roman"/>
          <w:i/>
          <w:iCs/>
          <w:sz w:val="20"/>
          <w:szCs w:val="20"/>
        </w:rPr>
        <w:t xml:space="preserve">Foro </w:t>
      </w:r>
      <w:proofErr w:type="spellStart"/>
      <w:r w:rsidRPr="00AE712B">
        <w:rPr>
          <w:rFonts w:ascii="Bookman Old Style" w:hAnsi="Bookman Old Style" w:cs="Times New Roman"/>
          <w:i/>
          <w:iCs/>
          <w:sz w:val="20"/>
          <w:szCs w:val="20"/>
        </w:rPr>
        <w:t>it</w:t>
      </w:r>
      <w:proofErr w:type="spellEnd"/>
      <w:r w:rsidRPr="00AE712B">
        <w:rPr>
          <w:rFonts w:ascii="Bookman Old Style" w:hAnsi="Bookman Old Style" w:cs="Times New Roman"/>
          <w:i/>
          <w:iCs/>
          <w:sz w:val="20"/>
          <w:szCs w:val="20"/>
        </w:rPr>
        <w:t xml:space="preserve">., </w:t>
      </w:r>
      <w:r w:rsidRPr="00AE712B">
        <w:rPr>
          <w:rFonts w:ascii="Bookman Old Style" w:hAnsi="Bookman Old Style" w:cs="Times New Roman"/>
          <w:sz w:val="20"/>
          <w:szCs w:val="20"/>
        </w:rPr>
        <w:t xml:space="preserve">1993, I, 1732 ss., e C. PINELLI, </w:t>
      </w:r>
      <w:r w:rsidRPr="00AE712B">
        <w:rPr>
          <w:rFonts w:ascii="Bookman Old Style" w:hAnsi="Bookman Old Style" w:cs="TimesNewRomanPS-ItalicMT"/>
          <w:i/>
          <w:iCs/>
          <w:sz w:val="20"/>
          <w:szCs w:val="20"/>
        </w:rPr>
        <w:t>Titano, l’eguaglianza e un nuovo tipo di “additiva di principio”</w:t>
      </w:r>
      <w:r w:rsidRPr="00AE712B">
        <w:rPr>
          <w:rFonts w:ascii="Bookman Old Style" w:hAnsi="Bookman Old Style" w:cs="Times New Roman"/>
          <w:sz w:val="20"/>
          <w:szCs w:val="20"/>
        </w:rPr>
        <w:t xml:space="preserve">, in </w:t>
      </w:r>
      <w:r w:rsidRPr="00AE712B">
        <w:rPr>
          <w:rFonts w:ascii="Bookman Old Style" w:hAnsi="Bookman Old Style" w:cs="Times New Roman"/>
          <w:i/>
          <w:iCs/>
          <w:sz w:val="20"/>
          <w:szCs w:val="20"/>
        </w:rPr>
        <w:t>Giur. cost.</w:t>
      </w:r>
      <w:r w:rsidRPr="00AE712B">
        <w:rPr>
          <w:rFonts w:ascii="Bookman Old Style" w:hAnsi="Bookman Old Style" w:cs="Times New Roman"/>
          <w:sz w:val="20"/>
          <w:szCs w:val="20"/>
        </w:rPr>
        <w:t>, 1993, 1792 ss.</w:t>
      </w:r>
    </w:p>
  </w:footnote>
  <w:footnote w:id="47">
    <w:p w:rsidR="00D31D13" w:rsidRPr="00AE712B" w:rsidRDefault="00D31D13" w:rsidP="00AE712B">
      <w:pPr>
        <w:autoSpaceDE w:val="0"/>
        <w:autoSpaceDN w:val="0"/>
        <w:adjustRightInd w:val="0"/>
        <w:spacing w:after="0" w:line="240" w:lineRule="auto"/>
        <w:jc w:val="both"/>
        <w:rPr>
          <w:rFonts w:ascii="Bookman Old Style" w:hAnsi="Bookman Old Style" w:cs="Times New Roman"/>
          <w:sz w:val="20"/>
          <w:szCs w:val="20"/>
        </w:rPr>
      </w:pPr>
      <w:r w:rsidRPr="00AE712B">
        <w:rPr>
          <w:rFonts w:ascii="Bookman Old Style" w:hAnsi="Bookman Old Style" w:cs="Times New Roman"/>
          <w:sz w:val="20"/>
          <w:szCs w:val="20"/>
        </w:rPr>
        <w:footnoteRef/>
      </w:r>
      <w:r w:rsidRPr="00AE712B">
        <w:rPr>
          <w:rFonts w:ascii="Bookman Old Style" w:hAnsi="Bookman Old Style" w:cs="Times New Roman"/>
          <w:sz w:val="20"/>
          <w:szCs w:val="20"/>
        </w:rPr>
        <w:t xml:space="preserve"> C. SALAZAR, </w:t>
      </w:r>
      <w:r w:rsidRPr="00AE712B">
        <w:rPr>
          <w:rFonts w:ascii="Bookman Old Style" w:hAnsi="Bookman Old Style" w:cs="Times New Roman"/>
          <w:i/>
          <w:sz w:val="20"/>
          <w:szCs w:val="20"/>
        </w:rPr>
        <w:t>Crisi economica e diritti fondamentali</w:t>
      </w:r>
      <w:r w:rsidRPr="00AE712B">
        <w:rPr>
          <w:rFonts w:ascii="Bookman Old Style" w:hAnsi="Bookman Old Style" w:cs="Times New Roman"/>
          <w:sz w:val="20"/>
          <w:szCs w:val="20"/>
        </w:rPr>
        <w:t xml:space="preserve">, in Rivista AIC, n. 4/2013, 8. </w:t>
      </w:r>
    </w:p>
  </w:footnote>
  <w:footnote w:id="48">
    <w:p w:rsidR="00D31D13" w:rsidRPr="00AE712B" w:rsidRDefault="00D31D13" w:rsidP="00AE712B">
      <w:pPr>
        <w:autoSpaceDE w:val="0"/>
        <w:autoSpaceDN w:val="0"/>
        <w:adjustRightInd w:val="0"/>
        <w:spacing w:after="0" w:line="240" w:lineRule="auto"/>
        <w:jc w:val="both"/>
        <w:rPr>
          <w:rFonts w:ascii="Bookman Old Style" w:hAnsi="Bookman Old Style" w:cs="Times New Roman"/>
          <w:sz w:val="20"/>
          <w:szCs w:val="20"/>
        </w:rPr>
      </w:pPr>
      <w:r w:rsidRPr="00AE712B">
        <w:rPr>
          <w:rFonts w:ascii="Bookman Old Style" w:hAnsi="Bookman Old Style" w:cs="Times New Roman"/>
          <w:sz w:val="20"/>
          <w:szCs w:val="20"/>
        </w:rPr>
        <w:footnoteRef/>
      </w:r>
      <w:r w:rsidRPr="00AE712B">
        <w:rPr>
          <w:rFonts w:ascii="Bookman Old Style" w:hAnsi="Bookman Old Style" w:cs="Times New Roman"/>
          <w:sz w:val="20"/>
          <w:szCs w:val="20"/>
        </w:rPr>
        <w:t xml:space="preserve"> Sul ricorso della Corte alle sentenze additive, L. ELIA, </w:t>
      </w:r>
      <w:r w:rsidRPr="00AE712B">
        <w:rPr>
          <w:rFonts w:ascii="Bookman Old Style" w:hAnsi="Bookman Old Style" w:cs="Times New Roman"/>
          <w:i/>
          <w:sz w:val="20"/>
          <w:szCs w:val="20"/>
        </w:rPr>
        <w:t>Le sentenze additive e la più recente giurisprudenza della Corte costituzionale</w:t>
      </w:r>
      <w:r w:rsidRPr="00AE712B">
        <w:rPr>
          <w:rFonts w:ascii="Bookman Old Style" w:hAnsi="Bookman Old Style" w:cs="Times New Roman"/>
          <w:sz w:val="20"/>
          <w:szCs w:val="20"/>
        </w:rPr>
        <w:t xml:space="preserve"> (ottobre 1981-luglio 1985), in </w:t>
      </w:r>
      <w:r w:rsidRPr="00AE712B">
        <w:rPr>
          <w:rFonts w:ascii="Bookman Old Style" w:hAnsi="Bookman Old Style" w:cs="Times New Roman"/>
          <w:i/>
          <w:sz w:val="20"/>
          <w:szCs w:val="20"/>
        </w:rPr>
        <w:t xml:space="preserve">Scritti in onore di V. </w:t>
      </w:r>
      <w:proofErr w:type="spellStart"/>
      <w:r w:rsidRPr="00AE712B">
        <w:rPr>
          <w:rFonts w:ascii="Bookman Old Style" w:hAnsi="Bookman Old Style" w:cs="Times New Roman"/>
          <w:i/>
          <w:sz w:val="20"/>
          <w:szCs w:val="20"/>
        </w:rPr>
        <w:t>Crisafulli</w:t>
      </w:r>
      <w:proofErr w:type="spellEnd"/>
      <w:r w:rsidRPr="00AE712B">
        <w:rPr>
          <w:rFonts w:ascii="Bookman Old Style" w:hAnsi="Bookman Old Style" w:cs="Times New Roman"/>
          <w:sz w:val="20"/>
          <w:szCs w:val="20"/>
        </w:rPr>
        <w:t xml:space="preserve">, I, Padova 1985, 299 ss.; F. MODUGNO, </w:t>
      </w:r>
      <w:r w:rsidRPr="00AE712B">
        <w:rPr>
          <w:rFonts w:ascii="Bookman Old Style" w:hAnsi="Bookman Old Style" w:cs="Times New Roman"/>
          <w:i/>
          <w:sz w:val="20"/>
          <w:szCs w:val="20"/>
        </w:rPr>
        <w:t>Ancora sui controversi rapporti tra Corte costituzionale e potere legislativo</w:t>
      </w:r>
      <w:r w:rsidRPr="00AE712B">
        <w:rPr>
          <w:rFonts w:ascii="Bookman Old Style" w:hAnsi="Bookman Old Style" w:cs="Times New Roman"/>
          <w:sz w:val="20"/>
          <w:szCs w:val="20"/>
        </w:rPr>
        <w:t xml:space="preserve">, in Giur. </w:t>
      </w:r>
      <w:proofErr w:type="gramStart"/>
      <w:r w:rsidRPr="00AE712B">
        <w:rPr>
          <w:rFonts w:ascii="Bookman Old Style" w:hAnsi="Bookman Old Style" w:cs="Times New Roman"/>
          <w:sz w:val="20"/>
          <w:szCs w:val="20"/>
        </w:rPr>
        <w:t>cost.,</w:t>
      </w:r>
      <w:proofErr w:type="gramEnd"/>
      <w:r w:rsidRPr="00AE712B">
        <w:rPr>
          <w:rFonts w:ascii="Bookman Old Style" w:hAnsi="Bookman Old Style" w:cs="Times New Roman"/>
          <w:sz w:val="20"/>
          <w:szCs w:val="20"/>
        </w:rPr>
        <w:t xml:space="preserve"> 1988, 19 ; C. SALAZAR, </w:t>
      </w:r>
      <w:r w:rsidRPr="00AE712B">
        <w:rPr>
          <w:rFonts w:ascii="Bookman Old Style" w:hAnsi="Bookman Old Style" w:cs="Times New Roman"/>
          <w:i/>
          <w:sz w:val="20"/>
          <w:szCs w:val="20"/>
        </w:rPr>
        <w:t>Crisi economica e diritti fondamentali</w:t>
      </w:r>
      <w:r w:rsidRPr="00AE712B">
        <w:rPr>
          <w:rFonts w:ascii="Bookman Old Style" w:hAnsi="Bookman Old Style" w:cs="Times New Roman"/>
          <w:sz w:val="20"/>
          <w:szCs w:val="20"/>
        </w:rPr>
        <w:t>, cit.</w:t>
      </w:r>
    </w:p>
  </w:footnote>
  <w:footnote w:id="49">
    <w:p w:rsidR="00D31D13" w:rsidRPr="00AE712B" w:rsidRDefault="00D31D13" w:rsidP="00AE712B">
      <w:pPr>
        <w:autoSpaceDE w:val="0"/>
        <w:autoSpaceDN w:val="0"/>
        <w:adjustRightInd w:val="0"/>
        <w:spacing w:after="0" w:line="240" w:lineRule="auto"/>
        <w:jc w:val="both"/>
        <w:rPr>
          <w:rFonts w:ascii="Bookman Old Style" w:hAnsi="Bookman Old Style" w:cs="Times New Roman"/>
          <w:sz w:val="20"/>
          <w:szCs w:val="20"/>
        </w:rPr>
      </w:pPr>
      <w:r w:rsidRPr="00AE712B">
        <w:rPr>
          <w:rFonts w:ascii="Bookman Old Style" w:hAnsi="Bookman Old Style" w:cs="Times New Roman"/>
          <w:sz w:val="20"/>
          <w:szCs w:val="20"/>
        </w:rPr>
        <w:footnoteRef/>
      </w:r>
      <w:r w:rsidRPr="00AE712B">
        <w:rPr>
          <w:rFonts w:ascii="Bookman Old Style" w:hAnsi="Bookman Old Style" w:cs="Times New Roman"/>
          <w:sz w:val="20"/>
          <w:szCs w:val="20"/>
        </w:rPr>
        <w:t xml:space="preserve"> L’espressione «diritti finanziariamente condizionati «si deve a F. MERUSI, </w:t>
      </w:r>
      <w:r w:rsidRPr="00AE712B">
        <w:rPr>
          <w:rFonts w:ascii="Bookman Old Style" w:hAnsi="Bookman Old Style" w:cs="Times New Roman"/>
          <w:i/>
          <w:sz w:val="20"/>
          <w:szCs w:val="20"/>
        </w:rPr>
        <w:t>I servizi pubblici negli anni 80</w:t>
      </w:r>
      <w:r w:rsidRPr="00AE712B">
        <w:rPr>
          <w:rFonts w:ascii="Bookman Old Style" w:hAnsi="Bookman Old Style" w:cs="Times New Roman"/>
          <w:sz w:val="20"/>
          <w:szCs w:val="20"/>
        </w:rPr>
        <w:t xml:space="preserve">, in AA.VV., </w:t>
      </w:r>
      <w:r w:rsidRPr="00AE712B">
        <w:rPr>
          <w:rFonts w:ascii="Bookman Old Style" w:hAnsi="Bookman Old Style" w:cs="Times New Roman"/>
          <w:i/>
          <w:sz w:val="20"/>
          <w:szCs w:val="20"/>
        </w:rPr>
        <w:t>Servizi pubblici instabili</w:t>
      </w:r>
      <w:r w:rsidRPr="00AE712B">
        <w:rPr>
          <w:rFonts w:ascii="Bookman Old Style" w:hAnsi="Bookman Old Style" w:cs="Times New Roman"/>
          <w:sz w:val="20"/>
          <w:szCs w:val="20"/>
        </w:rPr>
        <w:t xml:space="preserve">, Bologna 1990, 30-31, secondo cui «i diritti di prestazione di un servizio pubblico non sono diritti assoluti, come i diritti politici, bensì diritti finanziariamente condizionati. Ne deriva che anche i diritti sociali garantiti dalla Costituzione, ai quali corrisponde la prestazione di un servizio, non sono diritti assoluti, ma relativi». In giurisprudenza, parla per la prima volta di diritto costituzionale condizionato, in relazione al diritto alla salute, Corte cost. </w:t>
      </w:r>
      <w:proofErr w:type="spellStart"/>
      <w:r w:rsidRPr="00AE712B">
        <w:rPr>
          <w:rFonts w:ascii="Bookman Old Style" w:hAnsi="Bookman Old Style" w:cs="Times New Roman"/>
          <w:sz w:val="20"/>
          <w:szCs w:val="20"/>
        </w:rPr>
        <w:t>sent</w:t>
      </w:r>
      <w:proofErr w:type="spellEnd"/>
      <w:r w:rsidRPr="00AE712B">
        <w:rPr>
          <w:rFonts w:ascii="Bookman Old Style" w:hAnsi="Bookman Old Style" w:cs="Times New Roman"/>
          <w:sz w:val="20"/>
          <w:szCs w:val="20"/>
        </w:rPr>
        <w:t>. 16 ottobre 1990, n. 455.</w:t>
      </w:r>
    </w:p>
  </w:footnote>
  <w:footnote w:id="50">
    <w:p w:rsidR="00D31D13" w:rsidRPr="00AE712B" w:rsidRDefault="00D31D13" w:rsidP="00AE712B">
      <w:pPr>
        <w:autoSpaceDE w:val="0"/>
        <w:autoSpaceDN w:val="0"/>
        <w:adjustRightInd w:val="0"/>
        <w:spacing w:after="0" w:line="240" w:lineRule="auto"/>
        <w:jc w:val="both"/>
        <w:rPr>
          <w:rFonts w:ascii="Bookman Old Style" w:hAnsi="Bookman Old Style" w:cs="Times New Roman"/>
          <w:sz w:val="20"/>
          <w:szCs w:val="20"/>
        </w:rPr>
      </w:pPr>
      <w:r w:rsidRPr="00AE712B">
        <w:rPr>
          <w:rFonts w:ascii="Bookman Old Style" w:hAnsi="Bookman Old Style" w:cs="Times New Roman"/>
          <w:sz w:val="20"/>
          <w:szCs w:val="20"/>
        </w:rPr>
        <w:footnoteRef/>
      </w:r>
      <w:r w:rsidRPr="00AE712B">
        <w:rPr>
          <w:rFonts w:ascii="Bookman Old Style" w:hAnsi="Bookman Old Style" w:cs="Times New Roman"/>
          <w:sz w:val="20"/>
          <w:szCs w:val="20"/>
        </w:rPr>
        <w:t xml:space="preserve"> Corte cost. </w:t>
      </w:r>
      <w:proofErr w:type="spellStart"/>
      <w:r w:rsidRPr="00AE712B">
        <w:rPr>
          <w:rFonts w:ascii="Bookman Old Style" w:hAnsi="Bookman Old Style" w:cs="Times New Roman"/>
          <w:sz w:val="20"/>
          <w:szCs w:val="20"/>
        </w:rPr>
        <w:t>sentt</w:t>
      </w:r>
      <w:proofErr w:type="spellEnd"/>
      <w:r w:rsidRPr="00AE712B">
        <w:rPr>
          <w:rFonts w:ascii="Bookman Old Style" w:hAnsi="Bookman Old Style" w:cs="Times New Roman"/>
          <w:sz w:val="20"/>
          <w:szCs w:val="20"/>
        </w:rPr>
        <w:t xml:space="preserve">. </w:t>
      </w:r>
      <w:proofErr w:type="spellStart"/>
      <w:r w:rsidRPr="00AE712B">
        <w:rPr>
          <w:rFonts w:ascii="Bookman Old Style" w:hAnsi="Bookman Old Style" w:cs="Times New Roman"/>
          <w:sz w:val="20"/>
          <w:szCs w:val="20"/>
        </w:rPr>
        <w:t>nn</w:t>
      </w:r>
      <w:proofErr w:type="spellEnd"/>
      <w:r w:rsidRPr="00AE712B">
        <w:rPr>
          <w:rFonts w:ascii="Bookman Old Style" w:hAnsi="Bookman Old Style" w:cs="Times New Roman"/>
          <w:sz w:val="20"/>
          <w:szCs w:val="20"/>
        </w:rPr>
        <w:t xml:space="preserve">. 356/1992; 243/1993; 240/1994; 99/1995; 205/1995; 218/1995; 416/1996; 30/2004, e </w:t>
      </w:r>
      <w:proofErr w:type="spellStart"/>
      <w:r w:rsidRPr="00AE712B">
        <w:rPr>
          <w:rFonts w:ascii="Bookman Old Style" w:hAnsi="Bookman Old Style" w:cs="Times New Roman"/>
          <w:sz w:val="20"/>
          <w:szCs w:val="20"/>
        </w:rPr>
        <w:t>ord</w:t>
      </w:r>
      <w:proofErr w:type="spellEnd"/>
      <w:r w:rsidRPr="00AE712B">
        <w:rPr>
          <w:rFonts w:ascii="Bookman Old Style" w:hAnsi="Bookman Old Style" w:cs="Times New Roman"/>
          <w:sz w:val="20"/>
          <w:szCs w:val="20"/>
        </w:rPr>
        <w:t xml:space="preserve">. n. 125/1998. Per R. BIN, il principio di gradualità prevede un regime transitorio in modo da consentire un passaggio progressivo e meno traumatico ad una disciplina legislativa meno favorevole. Secondo A. MORRONE, </w:t>
      </w:r>
      <w:r w:rsidRPr="00AE712B">
        <w:rPr>
          <w:rFonts w:ascii="Bookman Old Style" w:hAnsi="Bookman Old Style" w:cs="Times New Roman"/>
          <w:i/>
          <w:sz w:val="20"/>
          <w:szCs w:val="20"/>
        </w:rPr>
        <w:t>Crisi economica ed integrazione politica in Europa</w:t>
      </w:r>
      <w:r w:rsidRPr="00AE712B">
        <w:rPr>
          <w:rFonts w:ascii="Bookman Old Style" w:hAnsi="Bookman Old Style" w:cs="Times New Roman"/>
          <w:sz w:val="20"/>
          <w:szCs w:val="20"/>
        </w:rPr>
        <w:t>, in Rivista AIC, n. 3/2014, 13, «il criterio di gradualità costituisce una misura della legittimità costituzionale sufficientemente ampia, che lascia al legislatore spazi di manovra coerenti con politiche di revisionismo permanente alla ricerca del meglio, specie in situazioni di crisi economica o di contenimento del deficit pubblico».</w:t>
      </w:r>
    </w:p>
  </w:footnote>
  <w:footnote w:id="51">
    <w:p w:rsidR="00D31D13" w:rsidRPr="00AE712B" w:rsidRDefault="00D31D13" w:rsidP="00AE712B">
      <w:pPr>
        <w:autoSpaceDE w:val="0"/>
        <w:autoSpaceDN w:val="0"/>
        <w:adjustRightInd w:val="0"/>
        <w:spacing w:after="0" w:line="240" w:lineRule="auto"/>
        <w:jc w:val="both"/>
        <w:rPr>
          <w:rFonts w:ascii="Bookman Old Style" w:hAnsi="Bookman Old Style" w:cs="Times New Roman"/>
          <w:sz w:val="20"/>
          <w:szCs w:val="20"/>
        </w:rPr>
      </w:pPr>
      <w:r w:rsidRPr="00AE712B">
        <w:rPr>
          <w:rFonts w:ascii="Bookman Old Style" w:hAnsi="Bookman Old Style" w:cs="Times New Roman"/>
          <w:sz w:val="20"/>
          <w:szCs w:val="20"/>
        </w:rPr>
        <w:footnoteRef/>
      </w:r>
      <w:r w:rsidRPr="00AE712B">
        <w:rPr>
          <w:rFonts w:ascii="Bookman Old Style" w:hAnsi="Bookman Old Style" w:cs="Times New Roman"/>
          <w:sz w:val="20"/>
          <w:szCs w:val="20"/>
        </w:rPr>
        <w:t xml:space="preserve"> Sul rapporto tra tenuta dei conti pubblici e spesa sociale, V. CAIANIELLO, </w:t>
      </w:r>
      <w:r w:rsidRPr="00AE712B">
        <w:rPr>
          <w:rFonts w:ascii="Bookman Old Style" w:hAnsi="Bookman Old Style" w:cs="Times New Roman"/>
          <w:i/>
          <w:sz w:val="20"/>
          <w:szCs w:val="20"/>
        </w:rPr>
        <w:t>Corte costituzionale e finanza pubblica</w:t>
      </w:r>
      <w:r w:rsidRPr="00AE712B">
        <w:rPr>
          <w:rFonts w:ascii="Bookman Old Style" w:hAnsi="Bookman Old Style" w:cs="Times New Roman"/>
          <w:sz w:val="20"/>
          <w:szCs w:val="20"/>
        </w:rPr>
        <w:t xml:space="preserve">, in Giur. </w:t>
      </w:r>
      <w:proofErr w:type="spellStart"/>
      <w:r w:rsidRPr="00AE712B">
        <w:rPr>
          <w:rFonts w:ascii="Bookman Old Style" w:hAnsi="Bookman Old Style" w:cs="Times New Roman"/>
          <w:sz w:val="20"/>
          <w:szCs w:val="20"/>
        </w:rPr>
        <w:t>it</w:t>
      </w:r>
      <w:proofErr w:type="spellEnd"/>
      <w:r w:rsidRPr="00AE712B">
        <w:rPr>
          <w:rFonts w:ascii="Bookman Old Style" w:hAnsi="Bookman Old Style" w:cs="Times New Roman"/>
          <w:sz w:val="20"/>
          <w:szCs w:val="20"/>
        </w:rPr>
        <w:t xml:space="preserve">., 1984, IV, 284; C. PINELLI, </w:t>
      </w:r>
      <w:r w:rsidRPr="00AE712B">
        <w:rPr>
          <w:rFonts w:ascii="Bookman Old Style" w:hAnsi="Bookman Old Style" w:cs="Times New Roman"/>
          <w:i/>
          <w:sz w:val="20"/>
          <w:szCs w:val="20"/>
        </w:rPr>
        <w:t>Diritti costituzionalmente condizionati, argomento delle risorse disponibili, principio di equilibrio finanziario</w:t>
      </w:r>
      <w:r w:rsidRPr="00AE712B">
        <w:rPr>
          <w:rFonts w:ascii="Bookman Old Style" w:hAnsi="Bookman Old Style" w:cs="Times New Roman"/>
          <w:sz w:val="20"/>
          <w:szCs w:val="20"/>
        </w:rPr>
        <w:t xml:space="preserve">, in AA.VV., </w:t>
      </w:r>
      <w:r w:rsidRPr="00AE712B">
        <w:rPr>
          <w:rFonts w:ascii="Bookman Old Style" w:hAnsi="Bookman Old Style" w:cs="Times New Roman"/>
          <w:i/>
          <w:sz w:val="20"/>
          <w:szCs w:val="20"/>
        </w:rPr>
        <w:t>La motivazione delle decisioni della Corte costituzionale</w:t>
      </w:r>
      <w:r w:rsidRPr="00AE712B">
        <w:rPr>
          <w:rFonts w:ascii="Bookman Old Style" w:hAnsi="Bookman Old Style" w:cs="Times New Roman"/>
          <w:sz w:val="20"/>
          <w:szCs w:val="20"/>
        </w:rPr>
        <w:t xml:space="preserve"> (a cura di A. Ruggeri), Torino 1994; F. POLITI, </w:t>
      </w:r>
      <w:r w:rsidRPr="00AE712B">
        <w:rPr>
          <w:rFonts w:ascii="Bookman Old Style" w:hAnsi="Bookman Old Style" w:cs="Times New Roman"/>
          <w:i/>
          <w:sz w:val="20"/>
          <w:szCs w:val="20"/>
        </w:rPr>
        <w:t>Il “costo” delle sentenze della Corte costituzionale nella recente riflessione dottrinale</w:t>
      </w:r>
      <w:r w:rsidRPr="00AE712B">
        <w:rPr>
          <w:rFonts w:ascii="Bookman Old Style" w:hAnsi="Bookman Old Style" w:cs="Times New Roman"/>
          <w:sz w:val="20"/>
          <w:szCs w:val="20"/>
        </w:rPr>
        <w:t xml:space="preserve">, in AA.VV., </w:t>
      </w:r>
      <w:r w:rsidRPr="00AE712B">
        <w:rPr>
          <w:rFonts w:ascii="Bookman Old Style" w:hAnsi="Bookman Old Style" w:cs="Times New Roman"/>
          <w:i/>
          <w:sz w:val="20"/>
          <w:szCs w:val="20"/>
        </w:rPr>
        <w:t xml:space="preserve">Scritti in memoria di Livio </w:t>
      </w:r>
      <w:proofErr w:type="spellStart"/>
      <w:r w:rsidRPr="00AE712B">
        <w:rPr>
          <w:rFonts w:ascii="Bookman Old Style" w:hAnsi="Bookman Old Style" w:cs="Times New Roman"/>
          <w:i/>
          <w:sz w:val="20"/>
          <w:szCs w:val="20"/>
        </w:rPr>
        <w:t>Paladin</w:t>
      </w:r>
      <w:proofErr w:type="spellEnd"/>
      <w:r w:rsidRPr="00AE712B">
        <w:rPr>
          <w:rFonts w:ascii="Bookman Old Style" w:hAnsi="Bookman Old Style" w:cs="Times New Roman"/>
          <w:sz w:val="20"/>
          <w:szCs w:val="20"/>
        </w:rPr>
        <w:t>, IV, Napoli 2004, 1753.</w:t>
      </w:r>
    </w:p>
  </w:footnote>
  <w:footnote w:id="52">
    <w:p w:rsidR="00D31D13" w:rsidRPr="00AE712B" w:rsidRDefault="00D31D13" w:rsidP="00AE712B">
      <w:pPr>
        <w:autoSpaceDE w:val="0"/>
        <w:autoSpaceDN w:val="0"/>
        <w:adjustRightInd w:val="0"/>
        <w:spacing w:after="0" w:line="240" w:lineRule="auto"/>
        <w:jc w:val="both"/>
        <w:rPr>
          <w:rFonts w:ascii="Bookman Old Style" w:hAnsi="Bookman Old Style" w:cs="Times New Roman"/>
          <w:sz w:val="20"/>
          <w:szCs w:val="20"/>
        </w:rPr>
      </w:pPr>
      <w:r w:rsidRPr="00AE712B">
        <w:rPr>
          <w:rFonts w:ascii="Bookman Old Style" w:hAnsi="Bookman Old Style" w:cs="Times New Roman"/>
          <w:sz w:val="20"/>
          <w:szCs w:val="20"/>
        </w:rPr>
        <w:footnoteRef/>
      </w:r>
      <w:r w:rsidRPr="00AE712B">
        <w:rPr>
          <w:rFonts w:ascii="Bookman Old Style" w:hAnsi="Bookman Old Style" w:cs="Times New Roman"/>
          <w:sz w:val="20"/>
          <w:szCs w:val="20"/>
        </w:rPr>
        <w:t xml:space="preserve"> Per una definizione dei diritti sociali condizionati o derivati v., per tutti, C. COLAPIETRO, M. RUOTOLO, </w:t>
      </w:r>
      <w:r w:rsidRPr="00AE712B">
        <w:rPr>
          <w:rFonts w:ascii="Bookman Old Style" w:hAnsi="Bookman Old Style" w:cs="Times New Roman"/>
          <w:i/>
          <w:sz w:val="20"/>
          <w:szCs w:val="20"/>
        </w:rPr>
        <w:t>Diritti e libertà</w:t>
      </w:r>
      <w:r w:rsidRPr="00AE712B">
        <w:rPr>
          <w:rFonts w:ascii="Bookman Old Style" w:hAnsi="Bookman Old Style" w:cs="Times New Roman"/>
          <w:sz w:val="20"/>
          <w:szCs w:val="20"/>
        </w:rPr>
        <w:t xml:space="preserve">, in F. Modugno (a cura di), </w:t>
      </w:r>
      <w:r w:rsidRPr="00AE712B">
        <w:rPr>
          <w:rFonts w:ascii="Bookman Old Style" w:hAnsi="Bookman Old Style" w:cs="Times New Roman"/>
          <w:i/>
          <w:sz w:val="20"/>
          <w:szCs w:val="20"/>
        </w:rPr>
        <w:t>Lineamenti di Diritto pubblico</w:t>
      </w:r>
      <w:r w:rsidRPr="00AE712B">
        <w:rPr>
          <w:rFonts w:ascii="Bookman Old Style" w:hAnsi="Bookman Old Style" w:cs="Times New Roman"/>
          <w:sz w:val="20"/>
          <w:szCs w:val="20"/>
        </w:rPr>
        <w:t>, II ed., Torino 2010, 596, secondo cui essi consistono in quei diritti sociali «il cui godimento dipende dall’esistenza di un’organizzazione necessaria e idonea all’erogazione della prestazione oggetto dei diritti stessi (ad es. il diritto all’assistenza ed alla previdenza sociale), e presuppongono, quindi, l’intervento legislativo». La loro attuazione «è, pertanto, caratterizzata da necessaria gradualità, da ragionevole ponderazione con gli altri valori costituzionali primari e con le esigenze del bilancio statale, da non irragionevoli inerzie o ritardi, da corrispondenza con quella che è la ratio dello specifico diritto sociale».</w:t>
      </w:r>
    </w:p>
  </w:footnote>
  <w:footnote w:id="53">
    <w:p w:rsidR="00D31D13" w:rsidRPr="00AE712B" w:rsidRDefault="00D31D13" w:rsidP="00AE712B">
      <w:pPr>
        <w:autoSpaceDE w:val="0"/>
        <w:autoSpaceDN w:val="0"/>
        <w:adjustRightInd w:val="0"/>
        <w:spacing w:after="0" w:line="240" w:lineRule="auto"/>
        <w:jc w:val="both"/>
        <w:rPr>
          <w:rFonts w:ascii="Bookman Old Style" w:hAnsi="Bookman Old Style" w:cs="Times New Roman"/>
          <w:sz w:val="20"/>
          <w:szCs w:val="20"/>
        </w:rPr>
      </w:pPr>
      <w:r w:rsidRPr="00AE712B">
        <w:rPr>
          <w:rFonts w:ascii="Bookman Old Style" w:hAnsi="Bookman Old Style" w:cs="Times New Roman"/>
          <w:sz w:val="20"/>
          <w:szCs w:val="20"/>
        </w:rPr>
        <w:footnoteRef/>
      </w:r>
      <w:r w:rsidRPr="00AE712B">
        <w:rPr>
          <w:rFonts w:ascii="Bookman Old Style" w:hAnsi="Bookman Old Style" w:cs="Times New Roman"/>
          <w:sz w:val="20"/>
          <w:szCs w:val="20"/>
        </w:rPr>
        <w:t xml:space="preserve"> Corte cost. </w:t>
      </w:r>
      <w:proofErr w:type="spellStart"/>
      <w:r w:rsidRPr="00AE712B">
        <w:rPr>
          <w:rFonts w:ascii="Bookman Old Style" w:hAnsi="Bookman Old Style" w:cs="Times New Roman"/>
          <w:sz w:val="20"/>
          <w:szCs w:val="20"/>
        </w:rPr>
        <w:t>nn</w:t>
      </w:r>
      <w:proofErr w:type="spellEnd"/>
      <w:r w:rsidRPr="00AE712B">
        <w:rPr>
          <w:rFonts w:ascii="Bookman Old Style" w:hAnsi="Bookman Old Style" w:cs="Times New Roman"/>
          <w:sz w:val="20"/>
          <w:szCs w:val="20"/>
        </w:rPr>
        <w:t xml:space="preserve">. 10 e 178 del 2015, su cui E. FURNO, </w:t>
      </w:r>
      <w:r w:rsidRPr="00AE712B">
        <w:rPr>
          <w:rFonts w:ascii="Bookman Old Style" w:hAnsi="Bookman Old Style" w:cs="Times New Roman"/>
          <w:i/>
          <w:sz w:val="20"/>
          <w:szCs w:val="20"/>
        </w:rPr>
        <w:t xml:space="preserve">La modulazione nel tempo delle decisioni della Corte costituzionale dopo la mancata riforma c.d. Renzi-Boschi: quali </w:t>
      </w:r>
      <w:proofErr w:type="gramStart"/>
      <w:r w:rsidRPr="00AE712B">
        <w:rPr>
          <w:rFonts w:ascii="Bookman Old Style" w:hAnsi="Bookman Old Style" w:cs="Times New Roman"/>
          <w:i/>
          <w:sz w:val="20"/>
          <w:szCs w:val="20"/>
        </w:rPr>
        <w:t>scenari?</w:t>
      </w:r>
      <w:r w:rsidRPr="00AE712B">
        <w:rPr>
          <w:rFonts w:ascii="Bookman Old Style" w:hAnsi="Bookman Old Style" w:cs="Times New Roman"/>
          <w:sz w:val="20"/>
          <w:szCs w:val="20"/>
        </w:rPr>
        <w:t>,</w:t>
      </w:r>
      <w:proofErr w:type="gramEnd"/>
      <w:r w:rsidRPr="00AE712B">
        <w:rPr>
          <w:rFonts w:ascii="Bookman Old Style" w:hAnsi="Bookman Old Style" w:cs="Times New Roman"/>
          <w:sz w:val="20"/>
          <w:szCs w:val="20"/>
        </w:rPr>
        <w:t xml:space="preserve"> in </w:t>
      </w:r>
      <w:proofErr w:type="spellStart"/>
      <w:r w:rsidRPr="00AE712B">
        <w:rPr>
          <w:rFonts w:ascii="Bookman Old Style" w:hAnsi="Bookman Old Style" w:cs="Times New Roman"/>
          <w:sz w:val="20"/>
          <w:szCs w:val="20"/>
        </w:rPr>
        <w:t>Rass</w:t>
      </w:r>
      <w:proofErr w:type="spellEnd"/>
      <w:r w:rsidRPr="00AE712B">
        <w:rPr>
          <w:rFonts w:ascii="Bookman Old Style" w:hAnsi="Bookman Old Style" w:cs="Times New Roman"/>
          <w:sz w:val="20"/>
          <w:szCs w:val="20"/>
        </w:rPr>
        <w:t xml:space="preserve">. </w:t>
      </w:r>
      <w:proofErr w:type="spellStart"/>
      <w:r w:rsidRPr="00AE712B">
        <w:rPr>
          <w:rFonts w:ascii="Bookman Old Style" w:hAnsi="Bookman Old Style" w:cs="Times New Roman"/>
          <w:sz w:val="20"/>
          <w:szCs w:val="20"/>
        </w:rPr>
        <w:t>parl</w:t>
      </w:r>
      <w:proofErr w:type="spellEnd"/>
      <w:r w:rsidRPr="00AE712B">
        <w:rPr>
          <w:rFonts w:ascii="Bookman Old Style" w:hAnsi="Bookman Old Style" w:cs="Times New Roman"/>
          <w:sz w:val="20"/>
          <w:szCs w:val="20"/>
        </w:rPr>
        <w:t>., n. 4/2016, 741 ss.</w:t>
      </w:r>
      <w:r w:rsidR="00DE7387" w:rsidRPr="00AE712B">
        <w:rPr>
          <w:rFonts w:ascii="Bookman Old Style" w:hAnsi="Bookman Old Style" w:cs="Times New Roman"/>
          <w:sz w:val="20"/>
          <w:szCs w:val="20"/>
        </w:rPr>
        <w:t xml:space="preserve"> </w:t>
      </w:r>
    </w:p>
  </w:footnote>
  <w:footnote w:id="54">
    <w:p w:rsidR="00D31D13" w:rsidRPr="00AE712B" w:rsidRDefault="00D31D13" w:rsidP="00AE712B">
      <w:pPr>
        <w:autoSpaceDE w:val="0"/>
        <w:autoSpaceDN w:val="0"/>
        <w:adjustRightInd w:val="0"/>
        <w:spacing w:after="0" w:line="240" w:lineRule="auto"/>
        <w:jc w:val="both"/>
        <w:rPr>
          <w:rFonts w:ascii="Bookman Old Style" w:hAnsi="Bookman Old Style" w:cs="Times New Roman"/>
          <w:sz w:val="20"/>
          <w:szCs w:val="20"/>
        </w:rPr>
      </w:pPr>
      <w:r w:rsidRPr="00AE712B">
        <w:rPr>
          <w:rStyle w:val="Rimandonotaapidipagina"/>
          <w:rFonts w:ascii="Bookman Old Style" w:hAnsi="Bookman Old Style"/>
          <w:sz w:val="20"/>
          <w:szCs w:val="20"/>
        </w:rPr>
        <w:footnoteRef/>
      </w:r>
      <w:r w:rsidRPr="00AE712B">
        <w:rPr>
          <w:rFonts w:ascii="Bookman Old Style" w:hAnsi="Bookman Old Style"/>
          <w:sz w:val="20"/>
          <w:szCs w:val="20"/>
        </w:rPr>
        <w:t xml:space="preserve"> </w:t>
      </w:r>
      <w:r w:rsidRPr="00AE712B">
        <w:rPr>
          <w:rFonts w:ascii="Bookman Old Style" w:hAnsi="Bookman Old Style" w:cs="TimesNewRomanPSMT"/>
          <w:sz w:val="20"/>
          <w:szCs w:val="20"/>
        </w:rPr>
        <w:t xml:space="preserve">In relazione al previgente testo dell’art. 81, v. </w:t>
      </w:r>
      <w:r w:rsidRPr="00AE712B">
        <w:rPr>
          <w:rFonts w:ascii="Bookman Old Style" w:hAnsi="Bookman Old Style" w:cs="Times New Roman"/>
          <w:sz w:val="20"/>
          <w:szCs w:val="20"/>
        </w:rPr>
        <w:t xml:space="preserve">Corte cost. </w:t>
      </w:r>
      <w:proofErr w:type="spellStart"/>
      <w:r w:rsidRPr="00AE712B">
        <w:rPr>
          <w:rFonts w:ascii="Bookman Old Style" w:hAnsi="Bookman Old Style" w:cs="Times New Roman"/>
          <w:sz w:val="20"/>
          <w:szCs w:val="20"/>
        </w:rPr>
        <w:t>sent</w:t>
      </w:r>
      <w:proofErr w:type="spellEnd"/>
      <w:r w:rsidRPr="00AE712B">
        <w:rPr>
          <w:rFonts w:ascii="Bookman Old Style" w:hAnsi="Bookman Old Style" w:cs="Times New Roman"/>
          <w:sz w:val="20"/>
          <w:szCs w:val="20"/>
        </w:rPr>
        <w:t xml:space="preserve">. 6 giugno 2012, n. 142, richiamata anche da Corte cost. </w:t>
      </w:r>
      <w:proofErr w:type="spellStart"/>
      <w:r w:rsidRPr="00AE712B">
        <w:rPr>
          <w:rFonts w:ascii="Bookman Old Style" w:hAnsi="Bookman Old Style" w:cs="Times New Roman"/>
          <w:sz w:val="20"/>
          <w:szCs w:val="20"/>
        </w:rPr>
        <w:t>sent</w:t>
      </w:r>
      <w:proofErr w:type="spellEnd"/>
      <w:r w:rsidRPr="00AE712B">
        <w:rPr>
          <w:rFonts w:ascii="Bookman Old Style" w:hAnsi="Bookman Old Style" w:cs="Times New Roman"/>
          <w:sz w:val="20"/>
          <w:szCs w:val="20"/>
        </w:rPr>
        <w:t xml:space="preserve">. 31 ottobre 2012, n. 241, </w:t>
      </w:r>
      <w:r w:rsidRPr="00AE712B">
        <w:rPr>
          <w:rFonts w:ascii="Bookman Old Style" w:hAnsi="Bookman Old Style" w:cs="TimesNewRomanPSMT"/>
          <w:sz w:val="20"/>
          <w:szCs w:val="20"/>
        </w:rPr>
        <w:t xml:space="preserve">secondo cui l’impegno dello Stato italiano in sede europea a conseguire il pareggio </w:t>
      </w:r>
      <w:r w:rsidRPr="00AE712B">
        <w:rPr>
          <w:rFonts w:ascii="Bookman Old Style" w:hAnsi="Bookman Old Style" w:cs="Times New Roman"/>
          <w:sz w:val="20"/>
          <w:szCs w:val="20"/>
        </w:rPr>
        <w:t>di bilancio «</w:t>
      </w:r>
      <w:r w:rsidRPr="00AE712B">
        <w:rPr>
          <w:rFonts w:ascii="Bookman Old Style" w:hAnsi="Bookman Old Style" w:cs="Times New Roman"/>
          <w:i/>
          <w:iCs/>
          <w:sz w:val="20"/>
          <w:szCs w:val="20"/>
        </w:rPr>
        <w:t>ha natura meramente politica e non si è tradotto in norme giuridicamente vincolanti</w:t>
      </w:r>
      <w:r w:rsidRPr="00AE712B">
        <w:rPr>
          <w:rFonts w:ascii="Bookman Old Style" w:hAnsi="Bookman Old Style" w:cs="Times New Roman"/>
          <w:sz w:val="20"/>
          <w:szCs w:val="20"/>
        </w:rPr>
        <w:t xml:space="preserve">». </w:t>
      </w:r>
    </w:p>
  </w:footnote>
  <w:footnote w:id="55">
    <w:p w:rsidR="00D31D13" w:rsidRPr="00AE712B" w:rsidRDefault="00D31D13" w:rsidP="00AE712B">
      <w:pPr>
        <w:autoSpaceDE w:val="0"/>
        <w:autoSpaceDN w:val="0"/>
        <w:adjustRightInd w:val="0"/>
        <w:spacing w:after="0" w:line="240" w:lineRule="auto"/>
        <w:jc w:val="both"/>
        <w:rPr>
          <w:rFonts w:ascii="Bookman Old Style" w:hAnsi="Bookman Old Style" w:cs="Times New Roman"/>
          <w:sz w:val="20"/>
          <w:szCs w:val="20"/>
        </w:rPr>
      </w:pPr>
      <w:r w:rsidRPr="00AE712B">
        <w:rPr>
          <w:rStyle w:val="Rimandonotaapidipagina"/>
          <w:rFonts w:ascii="Bookman Old Style" w:hAnsi="Bookman Old Style"/>
          <w:sz w:val="20"/>
          <w:szCs w:val="20"/>
        </w:rPr>
        <w:footnoteRef/>
      </w:r>
      <w:r w:rsidRPr="00AE712B">
        <w:rPr>
          <w:rFonts w:ascii="Bookman Old Style" w:hAnsi="Bookman Old Style"/>
          <w:sz w:val="20"/>
          <w:szCs w:val="20"/>
        </w:rPr>
        <w:t xml:space="preserve"> </w:t>
      </w:r>
      <w:r w:rsidRPr="00AE712B">
        <w:rPr>
          <w:rFonts w:ascii="Bookman Old Style" w:hAnsi="Bookman Old Style" w:cs="Times New Roman"/>
          <w:sz w:val="20"/>
          <w:szCs w:val="20"/>
        </w:rPr>
        <w:t xml:space="preserve"> Sulla discrezionalità del legislatore nella allocazione delle risorse, F. GABRIELE, </w:t>
      </w:r>
      <w:r w:rsidRPr="00AE712B">
        <w:rPr>
          <w:rFonts w:ascii="Bookman Old Style" w:hAnsi="Bookman Old Style" w:cs="Times New Roman"/>
          <w:i/>
          <w:iCs/>
          <w:sz w:val="20"/>
          <w:szCs w:val="20"/>
        </w:rPr>
        <w:t>Diritti sociali, unità nazionale e risorse (in)disponibili: sulla permanente violazione-</w:t>
      </w:r>
      <w:proofErr w:type="spellStart"/>
      <w:r w:rsidRPr="00AE712B">
        <w:rPr>
          <w:rFonts w:ascii="Bookman Old Style" w:hAnsi="Bookman Old Style" w:cs="TimesNewRomanPS-ItalicMT"/>
          <w:i/>
          <w:iCs/>
          <w:sz w:val="20"/>
          <w:szCs w:val="20"/>
        </w:rPr>
        <w:t>inattuazione</w:t>
      </w:r>
      <w:proofErr w:type="spellEnd"/>
      <w:r w:rsidRPr="00AE712B">
        <w:rPr>
          <w:rFonts w:ascii="Bookman Old Style" w:hAnsi="Bookman Old Style" w:cs="TimesNewRomanPS-ItalicMT"/>
          <w:i/>
          <w:iCs/>
          <w:sz w:val="20"/>
          <w:szCs w:val="20"/>
        </w:rPr>
        <w:t xml:space="preserve"> della parte prima (quella “intoccabile”!) della </w:t>
      </w:r>
      <w:r w:rsidRPr="00AE712B">
        <w:rPr>
          <w:rFonts w:ascii="Bookman Old Style" w:hAnsi="Bookman Old Style" w:cs="Times New Roman"/>
          <w:i/>
          <w:iCs/>
          <w:sz w:val="20"/>
          <w:szCs w:val="20"/>
        </w:rPr>
        <w:t>Costituzione</w:t>
      </w:r>
      <w:r w:rsidRPr="00AE712B">
        <w:rPr>
          <w:rFonts w:ascii="Bookman Old Style" w:hAnsi="Bookman Old Style" w:cs="Times New Roman"/>
          <w:sz w:val="20"/>
          <w:szCs w:val="20"/>
        </w:rPr>
        <w:t xml:space="preserve">, in </w:t>
      </w:r>
      <w:r w:rsidRPr="00AE712B">
        <w:rPr>
          <w:rFonts w:ascii="Bookman Old Style" w:hAnsi="Bookman Old Style" w:cs="Times New Roman"/>
          <w:i/>
          <w:iCs/>
          <w:sz w:val="20"/>
          <w:szCs w:val="20"/>
        </w:rPr>
        <w:t xml:space="preserve">Rivista AIC, </w:t>
      </w:r>
      <w:r w:rsidRPr="00AE712B">
        <w:rPr>
          <w:rFonts w:ascii="Bookman Old Style" w:hAnsi="Bookman Old Style" w:cs="Times New Roman"/>
          <w:sz w:val="20"/>
          <w:szCs w:val="20"/>
        </w:rPr>
        <w:t xml:space="preserve">n. 3/2013, e C. SALAZAR, </w:t>
      </w:r>
      <w:r w:rsidRPr="00AE712B">
        <w:rPr>
          <w:rFonts w:ascii="Bookman Old Style" w:hAnsi="Bookman Old Style" w:cs="Times New Roman"/>
          <w:i/>
          <w:iCs/>
          <w:sz w:val="20"/>
          <w:szCs w:val="20"/>
        </w:rPr>
        <w:t>Crisi economica e diritti fondamentali</w:t>
      </w:r>
      <w:r w:rsidRPr="00AE712B">
        <w:rPr>
          <w:rFonts w:ascii="Bookman Old Style" w:hAnsi="Bookman Old Style" w:cs="Times New Roman"/>
          <w:sz w:val="20"/>
          <w:szCs w:val="20"/>
        </w:rPr>
        <w:t xml:space="preserve">, cit., 9, che richiama la decisione della Consulta n. 180/1992 </w:t>
      </w:r>
      <w:r w:rsidRPr="00AE712B">
        <w:rPr>
          <w:rFonts w:ascii="Bookman Old Style" w:hAnsi="Bookman Old Style" w:cs="TimesNewRomanPSMT"/>
          <w:sz w:val="20"/>
          <w:szCs w:val="20"/>
        </w:rPr>
        <w:t xml:space="preserve">« rientra nella discrezionalità del legislatore la determinazione dell’ammontare </w:t>
      </w:r>
      <w:r w:rsidRPr="00AE712B">
        <w:rPr>
          <w:rFonts w:ascii="Bookman Old Style" w:hAnsi="Bookman Old Style" w:cs="Times New Roman"/>
          <w:sz w:val="20"/>
          <w:szCs w:val="20"/>
        </w:rPr>
        <w:t xml:space="preserve">delle prestazioni sociali e delle variazioni delle stesse sulla base di un razionale contemperamento delle esigenze di vita dei lavoratori che sono beneficiari e della soddisfazione di altri diritti pur costituzionalmente garantiti da un lato e delle </w:t>
      </w:r>
      <w:r w:rsidRPr="00AE712B">
        <w:rPr>
          <w:rFonts w:ascii="Bookman Old Style" w:hAnsi="Bookman Old Style" w:cs="TimesNewRomanPSMT"/>
          <w:sz w:val="20"/>
          <w:szCs w:val="20"/>
        </w:rPr>
        <w:t xml:space="preserve">disponibilità finanziarie dall’altro lato(…). Discrezionalità che questa Corte, che è priva dei necessari poteri istruttori, </w:t>
      </w:r>
      <w:r w:rsidRPr="00AE712B">
        <w:rPr>
          <w:rFonts w:ascii="Bookman Old Style" w:hAnsi="Bookman Old Style" w:cs="Times New Roman"/>
          <w:sz w:val="20"/>
          <w:szCs w:val="20"/>
        </w:rPr>
        <w:t>non può sindacare se non quando emerga la manifesta irrazionalità dei risultati attinti nelle disposizioni impugnate».</w:t>
      </w:r>
    </w:p>
  </w:footnote>
  <w:footnote w:id="56">
    <w:p w:rsidR="00D31D13" w:rsidRPr="00AE712B" w:rsidRDefault="00D31D13" w:rsidP="00AE712B">
      <w:pPr>
        <w:autoSpaceDE w:val="0"/>
        <w:autoSpaceDN w:val="0"/>
        <w:adjustRightInd w:val="0"/>
        <w:spacing w:after="0" w:line="240" w:lineRule="auto"/>
        <w:jc w:val="both"/>
        <w:rPr>
          <w:rFonts w:ascii="Bookman Old Style" w:hAnsi="Bookman Old Style" w:cs="Times New Roman"/>
          <w:sz w:val="20"/>
          <w:szCs w:val="20"/>
        </w:rPr>
      </w:pPr>
      <w:r w:rsidRPr="00AE712B">
        <w:rPr>
          <w:rStyle w:val="Rimandonotaapidipagina"/>
          <w:rFonts w:ascii="Bookman Old Style" w:hAnsi="Bookman Old Style"/>
          <w:sz w:val="20"/>
          <w:szCs w:val="20"/>
        </w:rPr>
        <w:footnoteRef/>
      </w:r>
      <w:r w:rsidRPr="00AE712B">
        <w:rPr>
          <w:rFonts w:ascii="Bookman Old Style" w:hAnsi="Bookman Old Style"/>
          <w:sz w:val="20"/>
          <w:szCs w:val="20"/>
        </w:rPr>
        <w:t xml:space="preserve"> </w:t>
      </w:r>
      <w:r w:rsidRPr="00AE712B">
        <w:rPr>
          <w:rFonts w:ascii="Bookman Old Style" w:hAnsi="Bookman Old Style" w:cs="Times New Roman"/>
          <w:sz w:val="20"/>
          <w:szCs w:val="20"/>
        </w:rPr>
        <w:t xml:space="preserve">V. Corte cost. </w:t>
      </w:r>
      <w:proofErr w:type="spellStart"/>
      <w:r w:rsidRPr="00AE712B">
        <w:rPr>
          <w:rFonts w:ascii="Bookman Old Style" w:hAnsi="Bookman Old Style" w:cs="Times New Roman"/>
          <w:sz w:val="20"/>
          <w:szCs w:val="20"/>
        </w:rPr>
        <w:t>sent</w:t>
      </w:r>
      <w:proofErr w:type="spellEnd"/>
      <w:r w:rsidRPr="00AE712B">
        <w:rPr>
          <w:rFonts w:ascii="Bookman Old Style" w:hAnsi="Bookman Old Style" w:cs="Times New Roman"/>
          <w:sz w:val="20"/>
          <w:szCs w:val="20"/>
        </w:rPr>
        <w:t>. 19 luglio 2013, n. 222, che, nel richiamare un «</w:t>
      </w:r>
      <w:r w:rsidRPr="00AE712B">
        <w:rPr>
          <w:rFonts w:ascii="Bookman Old Style" w:hAnsi="Bookman Old Style" w:cs="Times New Roman"/>
          <w:i/>
          <w:iCs/>
          <w:sz w:val="20"/>
          <w:szCs w:val="20"/>
        </w:rPr>
        <w:t>nucleo intangibile dei diritti fondamentali della persona</w:t>
      </w:r>
      <w:r w:rsidRPr="00AE712B">
        <w:rPr>
          <w:rFonts w:ascii="Bookman Old Style" w:hAnsi="Bookman Old Style" w:cs="Times New Roman"/>
          <w:sz w:val="20"/>
          <w:szCs w:val="20"/>
        </w:rPr>
        <w:t>», dichiara illegittima una disposizione di una legge regionale del Friuli-Venezia Giulia, che escludeva dai contributi economici straordinari gli stranieri non risiedenti da almeno cinque anni, ritenendo che «</w:t>
      </w:r>
      <w:r w:rsidRPr="00AE712B">
        <w:rPr>
          <w:rFonts w:ascii="Bookman Old Style" w:hAnsi="Bookman Old Style" w:cs="Times New Roman"/>
          <w:i/>
          <w:iCs/>
          <w:sz w:val="20"/>
          <w:szCs w:val="20"/>
        </w:rPr>
        <w:t>le scelte connesse alla individuazione dei beneficiari</w:t>
      </w:r>
      <w:r w:rsidRPr="00AE712B">
        <w:rPr>
          <w:rFonts w:ascii="Bookman Old Style" w:hAnsi="Bookman Old Style" w:cs="TimesNewRomanPS-ItalicMT"/>
          <w:i/>
          <w:iCs/>
          <w:sz w:val="20"/>
          <w:szCs w:val="20"/>
        </w:rPr>
        <w:t>—</w:t>
      </w:r>
      <w:r w:rsidRPr="00AE712B">
        <w:rPr>
          <w:rFonts w:ascii="Bookman Old Style" w:hAnsi="Bookman Old Style" w:cs="Times New Roman"/>
          <w:i/>
          <w:iCs/>
          <w:sz w:val="20"/>
          <w:szCs w:val="20"/>
        </w:rPr>
        <w:t>necessariamente da circoscrivere in ragione della limitatezza delle risorse disponibili- debbano essere operate sempre e comunque in ossequio al principio di ragionevolezza</w:t>
      </w:r>
      <w:r w:rsidRPr="00AE712B">
        <w:rPr>
          <w:rFonts w:ascii="Bookman Old Style" w:hAnsi="Bookman Old Style" w:cs="Times New Roman"/>
          <w:sz w:val="20"/>
          <w:szCs w:val="20"/>
        </w:rPr>
        <w:t>» (</w:t>
      </w:r>
      <w:proofErr w:type="spellStart"/>
      <w:r w:rsidRPr="00AE712B">
        <w:rPr>
          <w:rFonts w:ascii="Bookman Old Style" w:hAnsi="Bookman Old Style" w:cs="Times New Roman"/>
          <w:sz w:val="20"/>
          <w:szCs w:val="20"/>
        </w:rPr>
        <w:t>sentt</w:t>
      </w:r>
      <w:proofErr w:type="spellEnd"/>
      <w:r w:rsidRPr="00AE712B">
        <w:rPr>
          <w:rFonts w:ascii="Bookman Old Style" w:hAnsi="Bookman Old Style" w:cs="Times New Roman"/>
          <w:sz w:val="20"/>
          <w:szCs w:val="20"/>
        </w:rPr>
        <w:t xml:space="preserve">. </w:t>
      </w:r>
      <w:proofErr w:type="spellStart"/>
      <w:r w:rsidRPr="00AE712B">
        <w:rPr>
          <w:rFonts w:ascii="Bookman Old Style" w:hAnsi="Bookman Old Style" w:cs="Times New Roman"/>
          <w:sz w:val="20"/>
          <w:szCs w:val="20"/>
        </w:rPr>
        <w:t>nn</w:t>
      </w:r>
      <w:proofErr w:type="spellEnd"/>
      <w:r w:rsidRPr="00AE712B">
        <w:rPr>
          <w:rFonts w:ascii="Bookman Old Style" w:hAnsi="Bookman Old Style" w:cs="Times New Roman"/>
          <w:sz w:val="20"/>
          <w:szCs w:val="20"/>
        </w:rPr>
        <w:t>. 4/2013; 40/2011; 432/2005).</w:t>
      </w:r>
    </w:p>
  </w:footnote>
  <w:footnote w:id="57">
    <w:p w:rsidR="00D31D13" w:rsidRPr="00AE712B" w:rsidRDefault="00D31D13" w:rsidP="00AE712B">
      <w:pPr>
        <w:autoSpaceDE w:val="0"/>
        <w:autoSpaceDN w:val="0"/>
        <w:adjustRightInd w:val="0"/>
        <w:spacing w:after="0" w:line="240" w:lineRule="auto"/>
        <w:jc w:val="both"/>
        <w:rPr>
          <w:rFonts w:ascii="Bookman Old Style" w:hAnsi="Bookman Old Style"/>
          <w:sz w:val="20"/>
          <w:szCs w:val="20"/>
        </w:rPr>
      </w:pPr>
      <w:r w:rsidRPr="00AE712B">
        <w:rPr>
          <w:rStyle w:val="Rimandonotaapidipagina"/>
          <w:rFonts w:ascii="Bookman Old Style" w:hAnsi="Bookman Old Style"/>
          <w:sz w:val="20"/>
          <w:szCs w:val="20"/>
        </w:rPr>
        <w:footnoteRef/>
      </w:r>
      <w:r w:rsidRPr="00AE712B">
        <w:rPr>
          <w:rFonts w:ascii="Bookman Old Style" w:hAnsi="Bookman Old Style" w:cs="Times New Roman"/>
          <w:sz w:val="20"/>
          <w:szCs w:val="20"/>
        </w:rPr>
        <w:t xml:space="preserve"> Corte cost. </w:t>
      </w:r>
      <w:proofErr w:type="spellStart"/>
      <w:r w:rsidRPr="00AE712B">
        <w:rPr>
          <w:rFonts w:ascii="Bookman Old Style" w:hAnsi="Bookman Old Style" w:cs="Times New Roman"/>
          <w:sz w:val="20"/>
          <w:szCs w:val="20"/>
        </w:rPr>
        <w:t>sent</w:t>
      </w:r>
      <w:proofErr w:type="spellEnd"/>
      <w:r w:rsidRPr="00AE712B">
        <w:rPr>
          <w:rFonts w:ascii="Bookman Old Style" w:hAnsi="Bookman Old Style" w:cs="Times New Roman"/>
          <w:sz w:val="20"/>
          <w:szCs w:val="20"/>
        </w:rPr>
        <w:t xml:space="preserve">. 26 febbraio 1998, n. 27, commentata da O. CHESSA, </w:t>
      </w:r>
      <w:r w:rsidRPr="00AE712B">
        <w:rPr>
          <w:rFonts w:ascii="Bookman Old Style" w:hAnsi="Bookman Old Style" w:cs="Times New Roman"/>
          <w:i/>
          <w:iCs/>
          <w:sz w:val="20"/>
          <w:szCs w:val="20"/>
        </w:rPr>
        <w:t>La misura minima essenziale dei diritti sociali: problemi e implicazioni di un difficile bilanciamento</w:t>
      </w:r>
      <w:r w:rsidRPr="00AE712B">
        <w:rPr>
          <w:rFonts w:ascii="Bookman Old Style" w:hAnsi="Bookman Old Style" w:cs="Times New Roman"/>
          <w:sz w:val="20"/>
          <w:szCs w:val="20"/>
        </w:rPr>
        <w:t xml:space="preserve">, in </w:t>
      </w:r>
      <w:r w:rsidRPr="00AE712B">
        <w:rPr>
          <w:rFonts w:ascii="Bookman Old Style" w:hAnsi="Bookman Old Style" w:cs="Times New Roman"/>
          <w:i/>
          <w:iCs/>
          <w:sz w:val="20"/>
          <w:szCs w:val="20"/>
        </w:rPr>
        <w:t xml:space="preserve">Giur. cost., </w:t>
      </w:r>
      <w:r w:rsidRPr="00AE712B">
        <w:rPr>
          <w:rFonts w:ascii="Bookman Old Style" w:hAnsi="Bookman Old Style" w:cs="Times New Roman"/>
          <w:sz w:val="20"/>
          <w:szCs w:val="20"/>
        </w:rPr>
        <w:t>1998, 1170 ss.</w:t>
      </w:r>
    </w:p>
  </w:footnote>
  <w:footnote w:id="58">
    <w:p w:rsidR="00D31D13" w:rsidRPr="00AE712B" w:rsidRDefault="00D31D13" w:rsidP="00AE712B">
      <w:pPr>
        <w:autoSpaceDE w:val="0"/>
        <w:autoSpaceDN w:val="0"/>
        <w:adjustRightInd w:val="0"/>
        <w:spacing w:after="0" w:line="240" w:lineRule="auto"/>
        <w:jc w:val="both"/>
        <w:rPr>
          <w:rFonts w:ascii="Bookman Old Style" w:hAnsi="Bookman Old Style" w:cs="Times New Roman"/>
          <w:sz w:val="20"/>
          <w:szCs w:val="20"/>
        </w:rPr>
      </w:pPr>
      <w:r w:rsidRPr="00AE712B">
        <w:rPr>
          <w:rStyle w:val="Rimandonotaapidipagina"/>
          <w:rFonts w:ascii="Bookman Old Style" w:hAnsi="Bookman Old Style"/>
          <w:sz w:val="20"/>
          <w:szCs w:val="20"/>
        </w:rPr>
        <w:footnoteRef/>
      </w:r>
      <w:r w:rsidRPr="00AE712B">
        <w:rPr>
          <w:rFonts w:ascii="Bookman Old Style" w:hAnsi="Bookman Old Style"/>
          <w:sz w:val="20"/>
          <w:szCs w:val="20"/>
        </w:rPr>
        <w:t xml:space="preserve"> </w:t>
      </w:r>
      <w:r w:rsidRPr="00AE712B">
        <w:rPr>
          <w:rFonts w:ascii="Bookman Old Style" w:hAnsi="Bookman Old Style" w:cs="Times New Roman"/>
          <w:sz w:val="20"/>
          <w:szCs w:val="20"/>
        </w:rPr>
        <w:t xml:space="preserve">Così A. LONGO, </w:t>
      </w:r>
      <w:r w:rsidRPr="00AE712B">
        <w:rPr>
          <w:rFonts w:ascii="Bookman Old Style" w:hAnsi="Bookman Old Style" w:cs="TimesNewRomanPS-ItalicMT"/>
          <w:i/>
          <w:iCs/>
          <w:sz w:val="20"/>
          <w:szCs w:val="20"/>
        </w:rPr>
        <w:t xml:space="preserve">Alcune riflessioni sui rapporti tra l’interpretazione conforme a diritto comunitario e l’utilizzo del </w:t>
      </w:r>
      <w:r w:rsidRPr="00AE712B">
        <w:rPr>
          <w:rFonts w:ascii="Bookman Old Style" w:hAnsi="Bookman Old Style" w:cs="Times New Roman"/>
          <w:i/>
          <w:iCs/>
          <w:sz w:val="20"/>
          <w:szCs w:val="20"/>
        </w:rPr>
        <w:t>canone di equilibrio finanziario da parte della Corte costituzionale</w:t>
      </w:r>
      <w:r w:rsidRPr="00AE712B">
        <w:rPr>
          <w:rFonts w:ascii="Bookman Old Style" w:hAnsi="Bookman Old Style" w:cs="Times New Roman"/>
          <w:sz w:val="20"/>
          <w:szCs w:val="20"/>
        </w:rPr>
        <w:t xml:space="preserve">, in questa </w:t>
      </w:r>
      <w:r w:rsidRPr="00AE712B">
        <w:rPr>
          <w:rFonts w:ascii="Bookman Old Style" w:hAnsi="Bookman Old Style" w:cs="Times New Roman"/>
          <w:i/>
          <w:iCs/>
          <w:sz w:val="20"/>
          <w:szCs w:val="20"/>
        </w:rPr>
        <w:t>Rivista, Stud</w:t>
      </w:r>
      <w:r w:rsidRPr="00AE712B">
        <w:rPr>
          <w:rFonts w:ascii="Bookman Old Style" w:hAnsi="Bookman Old Style" w:cs="Times New Roman"/>
          <w:sz w:val="20"/>
          <w:szCs w:val="20"/>
        </w:rPr>
        <w:t xml:space="preserve">i, 2011 (12.12.2011), 20; D. MONE, </w:t>
      </w:r>
      <w:r w:rsidRPr="00AE712B">
        <w:rPr>
          <w:rFonts w:ascii="Bookman Old Style" w:hAnsi="Bookman Old Style" w:cs="Times New Roman"/>
          <w:i/>
          <w:iCs/>
          <w:sz w:val="20"/>
          <w:szCs w:val="20"/>
        </w:rPr>
        <w:t>La costituzionalizzazione del pareggio di bilancio ed il potenziale vulnus alla teoria dei controlimiti</w:t>
      </w:r>
      <w:r w:rsidRPr="00AE712B">
        <w:rPr>
          <w:rFonts w:ascii="Bookman Old Style" w:hAnsi="Bookman Old Style" w:cs="Times New Roman"/>
          <w:sz w:val="20"/>
          <w:szCs w:val="20"/>
        </w:rPr>
        <w:t xml:space="preserve">, in </w:t>
      </w:r>
      <w:r w:rsidRPr="00AE712B">
        <w:rPr>
          <w:rFonts w:ascii="Bookman Old Style" w:hAnsi="Bookman Old Style" w:cs="Times New Roman"/>
          <w:i/>
          <w:iCs/>
          <w:sz w:val="20"/>
          <w:szCs w:val="20"/>
        </w:rPr>
        <w:t xml:space="preserve">Rivista AIC, </w:t>
      </w:r>
      <w:r w:rsidRPr="00AE712B">
        <w:rPr>
          <w:rFonts w:ascii="Bookman Old Style" w:hAnsi="Bookman Old Style" w:cs="Times New Roman"/>
          <w:sz w:val="20"/>
          <w:szCs w:val="20"/>
        </w:rPr>
        <w:t xml:space="preserve">n. 3/2014. v. anche le </w:t>
      </w:r>
      <w:proofErr w:type="spellStart"/>
      <w:r w:rsidRPr="00AE712B">
        <w:rPr>
          <w:rFonts w:ascii="Bookman Old Style" w:hAnsi="Bookman Old Style" w:cs="Times New Roman"/>
          <w:sz w:val="20"/>
          <w:szCs w:val="20"/>
        </w:rPr>
        <w:t>sentt</w:t>
      </w:r>
      <w:proofErr w:type="spellEnd"/>
      <w:r w:rsidRPr="00AE712B">
        <w:rPr>
          <w:rFonts w:ascii="Bookman Old Style" w:hAnsi="Bookman Old Style" w:cs="Times New Roman"/>
          <w:sz w:val="20"/>
          <w:szCs w:val="20"/>
        </w:rPr>
        <w:t xml:space="preserve">. </w:t>
      </w:r>
      <w:proofErr w:type="spellStart"/>
      <w:r w:rsidRPr="00AE712B">
        <w:rPr>
          <w:rFonts w:ascii="Bookman Old Style" w:hAnsi="Bookman Old Style" w:cs="Times New Roman"/>
          <w:sz w:val="20"/>
          <w:szCs w:val="20"/>
        </w:rPr>
        <w:t>nn</w:t>
      </w:r>
      <w:proofErr w:type="spellEnd"/>
      <w:r w:rsidRPr="00AE712B">
        <w:rPr>
          <w:rFonts w:ascii="Bookman Old Style" w:hAnsi="Bookman Old Style" w:cs="Times New Roman"/>
          <w:sz w:val="20"/>
          <w:szCs w:val="20"/>
        </w:rPr>
        <w:t>. 88, 184, 243 del 1993 e 309 del 1999.</w:t>
      </w:r>
    </w:p>
  </w:footnote>
  <w:footnote w:id="59">
    <w:p w:rsidR="00D31D13" w:rsidRPr="00AE712B" w:rsidRDefault="00D31D13" w:rsidP="00AE712B">
      <w:pPr>
        <w:autoSpaceDE w:val="0"/>
        <w:autoSpaceDN w:val="0"/>
        <w:adjustRightInd w:val="0"/>
        <w:spacing w:after="0" w:line="240" w:lineRule="auto"/>
        <w:jc w:val="both"/>
        <w:rPr>
          <w:rFonts w:ascii="Bookman Old Style" w:hAnsi="Bookman Old Style"/>
          <w:sz w:val="20"/>
          <w:szCs w:val="20"/>
        </w:rPr>
      </w:pPr>
      <w:r w:rsidRPr="00AE712B">
        <w:rPr>
          <w:rStyle w:val="Rimandonotaapidipagina"/>
          <w:rFonts w:ascii="Bookman Old Style" w:hAnsi="Bookman Old Style"/>
          <w:sz w:val="20"/>
          <w:szCs w:val="20"/>
        </w:rPr>
        <w:footnoteRef/>
      </w:r>
      <w:r w:rsidRPr="00AE712B">
        <w:rPr>
          <w:rFonts w:ascii="Bookman Old Style" w:hAnsi="Bookman Old Style"/>
          <w:sz w:val="20"/>
          <w:szCs w:val="20"/>
        </w:rPr>
        <w:t xml:space="preserve"> </w:t>
      </w:r>
      <w:r w:rsidRPr="00AE712B">
        <w:rPr>
          <w:rFonts w:ascii="Bookman Old Style" w:hAnsi="Bookman Old Style" w:cs="Times New Roman"/>
          <w:sz w:val="20"/>
          <w:szCs w:val="20"/>
        </w:rPr>
        <w:t>Corte cost. 15 luglio 1994, n. 304: «</w:t>
      </w:r>
      <w:r w:rsidRPr="00AE712B">
        <w:rPr>
          <w:rFonts w:ascii="Bookman Old Style" w:hAnsi="Bookman Old Style" w:cs="Times New Roman"/>
          <w:i/>
          <w:iCs/>
          <w:sz w:val="20"/>
          <w:szCs w:val="20"/>
        </w:rPr>
        <w:t xml:space="preserve">questa Corte ha ripetutamente affermato che nel bilanciamento dei valori </w:t>
      </w:r>
      <w:r w:rsidRPr="00AE712B">
        <w:rPr>
          <w:rFonts w:ascii="Bookman Old Style" w:hAnsi="Bookman Old Style" w:cs="TimesNewRomanPS-ItalicMT"/>
          <w:i/>
          <w:iCs/>
          <w:sz w:val="20"/>
          <w:szCs w:val="20"/>
        </w:rPr>
        <w:t xml:space="preserve">costituzionali che il legislatore deve compiere al fine di dare attuazione al “diritto ai trattamenti sanitari” (art. 32 </w:t>
      </w:r>
      <w:r w:rsidRPr="00AE712B">
        <w:rPr>
          <w:rFonts w:ascii="Bookman Old Style" w:hAnsi="Bookman Old Style" w:cs="Times New Roman"/>
          <w:i/>
          <w:iCs/>
          <w:sz w:val="20"/>
          <w:szCs w:val="20"/>
        </w:rPr>
        <w:t>della Cos</w:t>
      </w:r>
      <w:r w:rsidRPr="00AE712B">
        <w:rPr>
          <w:rFonts w:ascii="Bookman Old Style" w:hAnsi="Bookman Old Style" w:cs="TimesNewRomanPS-ItalicMT"/>
          <w:i/>
          <w:iCs/>
          <w:sz w:val="20"/>
          <w:szCs w:val="20"/>
        </w:rPr>
        <w:t xml:space="preserve">tituzione) entra anche la considerazione delle esigenze relative all’equilibrio della finanza pubblica. Non v’è </w:t>
      </w:r>
      <w:r w:rsidRPr="00AE712B">
        <w:rPr>
          <w:rFonts w:ascii="Bookman Old Style" w:hAnsi="Bookman Old Style" w:cs="Times New Roman"/>
          <w:i/>
          <w:iCs/>
          <w:sz w:val="20"/>
          <w:szCs w:val="20"/>
        </w:rPr>
        <w:t xml:space="preserve">dubbio che, se queste ultime esigenze, nel bilanciamento dei valori costituzionali operato dal legislatore, avessero un peso assolutamente preponderante, tale da comprimere il nucleo essenziale del diritto alla salute connesso </w:t>
      </w:r>
      <w:r w:rsidRPr="00AE712B">
        <w:rPr>
          <w:rFonts w:ascii="Bookman Old Style" w:hAnsi="Bookman Old Style" w:cs="TimesNewRomanPS-ItalicMT"/>
          <w:i/>
          <w:iCs/>
          <w:sz w:val="20"/>
          <w:szCs w:val="20"/>
        </w:rPr>
        <w:t xml:space="preserve">all’inviolabile dignità della persona umana, ci si troverebbe di fronte a un esercizio macroscopicamente irragionevole </w:t>
      </w:r>
      <w:r w:rsidRPr="00AE712B">
        <w:rPr>
          <w:rFonts w:ascii="Bookman Old Style" w:hAnsi="Bookman Old Style" w:cs="Times New Roman"/>
          <w:i/>
          <w:iCs/>
          <w:sz w:val="20"/>
          <w:szCs w:val="20"/>
        </w:rPr>
        <w:t>della discrezionalità legislativa</w:t>
      </w:r>
      <w:r w:rsidRPr="00AE712B">
        <w:rPr>
          <w:rFonts w:ascii="Bookman Old Style" w:hAnsi="Bookman Old Style" w:cs="Times New Roman"/>
          <w:sz w:val="20"/>
          <w:szCs w:val="20"/>
        </w:rPr>
        <w:t xml:space="preserve">» (punto 5 del Cons. dir.). Sul concetto di «minimo esistenziale» A. GIORGIS, </w:t>
      </w:r>
      <w:r w:rsidRPr="00AE712B">
        <w:rPr>
          <w:rFonts w:ascii="Bookman Old Style" w:hAnsi="Bookman Old Style" w:cs="Times New Roman"/>
          <w:i/>
          <w:iCs/>
          <w:sz w:val="20"/>
          <w:szCs w:val="20"/>
        </w:rPr>
        <w:t xml:space="preserve">La </w:t>
      </w:r>
      <w:r w:rsidRPr="00AE712B">
        <w:rPr>
          <w:rFonts w:ascii="Bookman Old Style" w:hAnsi="Bookman Old Style" w:cs="TimesNewRomanPS-ItalicMT"/>
          <w:i/>
          <w:iCs/>
          <w:sz w:val="20"/>
          <w:szCs w:val="20"/>
        </w:rPr>
        <w:t xml:space="preserve">costituzionalizzazione dei diritti all’uguaglianza sostanziale, </w:t>
      </w:r>
      <w:r w:rsidRPr="00AE712B">
        <w:rPr>
          <w:rFonts w:ascii="Bookman Old Style" w:hAnsi="Bookman Old Style" w:cs="Times New Roman"/>
          <w:sz w:val="20"/>
          <w:szCs w:val="20"/>
        </w:rPr>
        <w:t xml:space="preserve">Napoli 1999, 162 ss., e C. SALAZAR, </w:t>
      </w:r>
      <w:r w:rsidRPr="00AE712B">
        <w:rPr>
          <w:rFonts w:ascii="Bookman Old Style" w:hAnsi="Bookman Old Style" w:cs="Times New Roman"/>
          <w:i/>
          <w:iCs/>
          <w:sz w:val="20"/>
          <w:szCs w:val="20"/>
        </w:rPr>
        <w:t>Dal riconoscimento alla garanzia dei diritti sociali. Orientamenti e tecniche decisorie della Corte costituzionale a confronto</w:t>
      </w:r>
      <w:r w:rsidRPr="00AE712B">
        <w:rPr>
          <w:rFonts w:ascii="Bookman Old Style" w:hAnsi="Bookman Old Style" w:cs="Times New Roman"/>
          <w:sz w:val="20"/>
          <w:szCs w:val="20"/>
        </w:rPr>
        <w:t>, Torino 2000, 129 ss.</w:t>
      </w:r>
    </w:p>
  </w:footnote>
  <w:footnote w:id="60">
    <w:p w:rsidR="00D31D13" w:rsidRPr="00AE712B" w:rsidRDefault="00D31D13" w:rsidP="00AE712B">
      <w:pPr>
        <w:autoSpaceDE w:val="0"/>
        <w:autoSpaceDN w:val="0"/>
        <w:adjustRightInd w:val="0"/>
        <w:spacing w:after="0" w:line="240" w:lineRule="auto"/>
        <w:jc w:val="both"/>
        <w:rPr>
          <w:rFonts w:ascii="Bookman Old Style" w:hAnsi="Bookman Old Style" w:cs="Times New Roman"/>
          <w:i/>
          <w:iCs/>
          <w:sz w:val="20"/>
          <w:szCs w:val="20"/>
        </w:rPr>
      </w:pPr>
      <w:r w:rsidRPr="00AE712B">
        <w:rPr>
          <w:rStyle w:val="Rimandonotaapidipagina"/>
          <w:rFonts w:ascii="Bookman Old Style" w:hAnsi="Bookman Old Style"/>
          <w:sz w:val="20"/>
          <w:szCs w:val="20"/>
        </w:rPr>
        <w:footnoteRef/>
      </w:r>
      <w:r w:rsidRPr="00AE712B">
        <w:rPr>
          <w:rFonts w:ascii="Bookman Old Style" w:hAnsi="Bookman Old Style"/>
          <w:sz w:val="20"/>
          <w:szCs w:val="20"/>
        </w:rPr>
        <w:t xml:space="preserve"> </w:t>
      </w:r>
      <w:r w:rsidRPr="00AE712B">
        <w:rPr>
          <w:rFonts w:ascii="Bookman Old Style" w:hAnsi="Bookman Old Style" w:cs="Times New Roman"/>
          <w:sz w:val="20"/>
          <w:szCs w:val="20"/>
        </w:rPr>
        <w:t>F. DI DONATO</w:t>
      </w:r>
      <w:r w:rsidRPr="00AE712B">
        <w:rPr>
          <w:rFonts w:ascii="Bookman Old Style" w:hAnsi="Bookman Old Style" w:cs="TimesNewRomanPS-ItalicMT"/>
          <w:i/>
          <w:iCs/>
          <w:sz w:val="20"/>
          <w:szCs w:val="20"/>
        </w:rPr>
        <w:t xml:space="preserve">, Crisi economica, sovranità statale e diritti sociali nell’era dell’austerity di bilancio e del </w:t>
      </w:r>
      <w:r w:rsidRPr="00AE712B">
        <w:rPr>
          <w:rFonts w:ascii="Bookman Old Style" w:hAnsi="Bookman Old Style" w:cs="Times New Roman"/>
          <w:i/>
          <w:iCs/>
          <w:sz w:val="20"/>
          <w:szCs w:val="20"/>
        </w:rPr>
        <w:t>neoliberismo europeo</w:t>
      </w:r>
      <w:r w:rsidRPr="00AE712B">
        <w:rPr>
          <w:rFonts w:ascii="Bookman Old Style" w:hAnsi="Bookman Old Style" w:cs="Times New Roman"/>
          <w:sz w:val="20"/>
          <w:szCs w:val="20"/>
        </w:rPr>
        <w:t xml:space="preserve">, in </w:t>
      </w:r>
      <w:r w:rsidRPr="00AE712B">
        <w:rPr>
          <w:rFonts w:ascii="Bookman Old Style" w:hAnsi="Bookman Old Style" w:cs="Times New Roman"/>
          <w:i/>
          <w:iCs/>
          <w:sz w:val="20"/>
          <w:szCs w:val="20"/>
        </w:rPr>
        <w:t>Osservatorio sulle fonti</w:t>
      </w:r>
      <w:r w:rsidRPr="00AE712B">
        <w:rPr>
          <w:rFonts w:ascii="Bookman Old Style" w:hAnsi="Bookman Old Style" w:cs="Times New Roman"/>
          <w:sz w:val="20"/>
          <w:szCs w:val="20"/>
        </w:rPr>
        <w:t xml:space="preserve">, n. 1/2017, specie 25; O. CHESSA, </w:t>
      </w:r>
      <w:r w:rsidRPr="00AE712B">
        <w:rPr>
          <w:rFonts w:ascii="Bookman Old Style" w:hAnsi="Bookman Old Style" w:cs="Times New Roman"/>
          <w:i/>
          <w:iCs/>
          <w:sz w:val="20"/>
          <w:szCs w:val="20"/>
        </w:rPr>
        <w:t>Libertà fondamentali e teoria costituzionale</w:t>
      </w:r>
      <w:r w:rsidRPr="00AE712B">
        <w:rPr>
          <w:rFonts w:ascii="Bookman Old Style" w:hAnsi="Bookman Old Style" w:cs="Times New Roman"/>
          <w:sz w:val="20"/>
          <w:szCs w:val="20"/>
        </w:rPr>
        <w:t xml:space="preserve">, Milano 2002, richiamato anche da A. M. CECERE, </w:t>
      </w:r>
      <w:r w:rsidRPr="00AE712B">
        <w:rPr>
          <w:rFonts w:ascii="Bookman Old Style" w:hAnsi="Bookman Old Style" w:cs="Times New Roman"/>
          <w:i/>
          <w:iCs/>
          <w:sz w:val="20"/>
          <w:szCs w:val="20"/>
        </w:rPr>
        <w:t>Garanzia dei diritti fondamentali e unità della costituzione nel progressivo formarsi del diritto pubblico europeo</w:t>
      </w:r>
      <w:r w:rsidRPr="00AE712B">
        <w:rPr>
          <w:rFonts w:ascii="Bookman Old Style" w:hAnsi="Bookman Old Style" w:cs="Times New Roman"/>
          <w:sz w:val="20"/>
          <w:szCs w:val="20"/>
        </w:rPr>
        <w:t xml:space="preserve">, in A. Lucarelli, A. Patroni Griffi (a cura di), Dal </w:t>
      </w:r>
      <w:r w:rsidRPr="00AE712B">
        <w:rPr>
          <w:rFonts w:ascii="Bookman Old Style" w:hAnsi="Bookman Old Style" w:cs="Times New Roman"/>
          <w:i/>
          <w:iCs/>
          <w:sz w:val="20"/>
          <w:szCs w:val="20"/>
        </w:rPr>
        <w:t>Trattato costituzionale al Trattato di Lisbona. Nuovi studi sulla Costituzione europea</w:t>
      </w:r>
      <w:r w:rsidRPr="00AE712B">
        <w:rPr>
          <w:rFonts w:ascii="Bookman Old Style" w:hAnsi="Bookman Old Style" w:cs="Times New Roman"/>
          <w:sz w:val="20"/>
          <w:szCs w:val="20"/>
        </w:rPr>
        <w:t xml:space="preserve">, Napoli 2009, 305 ss., specie 319 «i diritti fondamentali sono oggi considerati come il contenuto necessario del diritto costituzionale, vale a dire il solo </w:t>
      </w:r>
      <w:r w:rsidRPr="00AE712B">
        <w:rPr>
          <w:rFonts w:ascii="Bookman Old Style" w:hAnsi="Bookman Old Style" w:cs="TimesNewRomanPSMT"/>
          <w:sz w:val="20"/>
          <w:szCs w:val="20"/>
        </w:rPr>
        <w:t>contenuto che “nella situazione democratico</w:t>
      </w:r>
      <w:r w:rsidRPr="00AE712B">
        <w:rPr>
          <w:rFonts w:ascii="Bookman Old Style" w:hAnsi="Bookman Old Style" w:cs="Times New Roman"/>
          <w:sz w:val="20"/>
          <w:szCs w:val="20"/>
        </w:rPr>
        <w:t xml:space="preserve">-pluralista possa giustificarne ed affermarne stabilmente la superiore </w:t>
      </w:r>
      <w:proofErr w:type="spellStart"/>
      <w:r w:rsidRPr="00AE712B">
        <w:rPr>
          <w:rFonts w:ascii="Bookman Old Style" w:hAnsi="Bookman Old Style" w:cs="TimesNewRomanPSMT"/>
          <w:sz w:val="20"/>
          <w:szCs w:val="20"/>
        </w:rPr>
        <w:t>prescrittività</w:t>
      </w:r>
      <w:proofErr w:type="spellEnd"/>
      <w:r w:rsidRPr="00AE712B">
        <w:rPr>
          <w:rFonts w:ascii="Bookman Old Style" w:hAnsi="Bookman Old Style" w:cs="TimesNewRomanPSMT"/>
          <w:sz w:val="20"/>
          <w:szCs w:val="20"/>
        </w:rPr>
        <w:t>”. V. anche M</w:t>
      </w:r>
      <w:r w:rsidRPr="00AE712B">
        <w:rPr>
          <w:rFonts w:ascii="Bookman Old Style" w:hAnsi="Bookman Old Style" w:cs="Times New Roman"/>
          <w:sz w:val="20"/>
          <w:szCs w:val="20"/>
        </w:rPr>
        <w:t xml:space="preserve">. BENVENUTI, voce </w:t>
      </w:r>
      <w:r w:rsidRPr="00AE712B">
        <w:rPr>
          <w:rFonts w:ascii="Bookman Old Style" w:hAnsi="Bookman Old Style" w:cs="Times New Roman"/>
          <w:i/>
          <w:iCs/>
          <w:sz w:val="20"/>
          <w:szCs w:val="20"/>
        </w:rPr>
        <w:t>Diritti sociali</w:t>
      </w:r>
      <w:r w:rsidRPr="00AE712B">
        <w:rPr>
          <w:rFonts w:ascii="Bookman Old Style" w:hAnsi="Bookman Old Style" w:cs="Times New Roman"/>
          <w:sz w:val="20"/>
          <w:szCs w:val="20"/>
        </w:rPr>
        <w:t xml:space="preserve">, in </w:t>
      </w:r>
      <w:proofErr w:type="spellStart"/>
      <w:r w:rsidRPr="00AE712B">
        <w:rPr>
          <w:rFonts w:ascii="Bookman Old Style" w:hAnsi="Bookman Old Style" w:cs="Times New Roman"/>
          <w:i/>
          <w:iCs/>
          <w:sz w:val="20"/>
          <w:szCs w:val="20"/>
        </w:rPr>
        <w:t>Dig</w:t>
      </w:r>
      <w:proofErr w:type="spellEnd"/>
      <w:r w:rsidRPr="00AE712B">
        <w:rPr>
          <w:rFonts w:ascii="Bookman Old Style" w:hAnsi="Bookman Old Style" w:cs="Times New Roman"/>
          <w:i/>
          <w:iCs/>
          <w:sz w:val="20"/>
          <w:szCs w:val="20"/>
        </w:rPr>
        <w:t xml:space="preserve">. disc. </w:t>
      </w:r>
      <w:proofErr w:type="spellStart"/>
      <w:r w:rsidRPr="00AE712B">
        <w:rPr>
          <w:rFonts w:ascii="Bookman Old Style" w:hAnsi="Bookman Old Style" w:cs="Times New Roman"/>
          <w:i/>
          <w:iCs/>
          <w:sz w:val="20"/>
          <w:szCs w:val="20"/>
        </w:rPr>
        <w:t>pubbl</w:t>
      </w:r>
      <w:proofErr w:type="spellEnd"/>
      <w:r w:rsidRPr="00AE712B">
        <w:rPr>
          <w:rFonts w:ascii="Bookman Old Style" w:hAnsi="Bookman Old Style" w:cs="Times New Roman"/>
          <w:i/>
          <w:iCs/>
          <w:sz w:val="20"/>
          <w:szCs w:val="20"/>
        </w:rPr>
        <w:t xml:space="preserve">., Aggiornamento, </w:t>
      </w:r>
      <w:r w:rsidRPr="00AE712B">
        <w:rPr>
          <w:rFonts w:ascii="Bookman Old Style" w:hAnsi="Bookman Old Style" w:cs="Times New Roman"/>
          <w:sz w:val="20"/>
          <w:szCs w:val="20"/>
        </w:rPr>
        <w:t xml:space="preserve">V, Torino 2012, 251, e C. COLAPIETRO, </w:t>
      </w:r>
      <w:r w:rsidRPr="00AE712B">
        <w:rPr>
          <w:rFonts w:ascii="Bookman Old Style" w:hAnsi="Bookman Old Style" w:cs="Times New Roman"/>
          <w:i/>
          <w:iCs/>
          <w:sz w:val="20"/>
          <w:szCs w:val="20"/>
        </w:rPr>
        <w:t xml:space="preserve">La giurisprudenza costituzionale nella crisi dello Stato sociale, </w:t>
      </w:r>
      <w:r w:rsidRPr="00AE712B">
        <w:rPr>
          <w:rFonts w:ascii="Bookman Old Style" w:hAnsi="Bookman Old Style" w:cs="Times New Roman"/>
          <w:sz w:val="20"/>
          <w:szCs w:val="20"/>
        </w:rPr>
        <w:t>Padova 1996</w:t>
      </w:r>
      <w:r w:rsidRPr="00AE712B">
        <w:rPr>
          <w:rFonts w:ascii="Bookman Old Style" w:hAnsi="Bookman Old Style" w:cs="Times New Roman"/>
          <w:i/>
          <w:iCs/>
          <w:sz w:val="20"/>
          <w:szCs w:val="20"/>
        </w:rPr>
        <w:t xml:space="preserve">. </w:t>
      </w:r>
      <w:r w:rsidRPr="00AE712B">
        <w:rPr>
          <w:rFonts w:ascii="Bookman Old Style" w:hAnsi="Bookman Old Style" w:cs="Times New Roman"/>
          <w:sz w:val="20"/>
          <w:szCs w:val="20"/>
        </w:rPr>
        <w:t xml:space="preserve">Infatti, quando la questione è giunta alla Corte attraverso la via incidentale, come nella sentenza n. 80 del 201070 </w:t>
      </w:r>
      <w:r w:rsidRPr="00AE712B">
        <w:rPr>
          <w:rFonts w:ascii="Bookman Old Style" w:hAnsi="Bookman Old Style" w:cs="TimesNewRomanPSMT"/>
          <w:sz w:val="20"/>
          <w:szCs w:val="20"/>
        </w:rPr>
        <w:t xml:space="preserve">in tema di diritto all’istruzione dei disabili, i giudici costituzionali, pur </w:t>
      </w:r>
      <w:r w:rsidRPr="00AE712B">
        <w:rPr>
          <w:rFonts w:ascii="Bookman Old Style" w:hAnsi="Bookman Old Style" w:cs="Times New Roman"/>
          <w:sz w:val="20"/>
          <w:szCs w:val="20"/>
        </w:rPr>
        <w:t>riconoscendo come il legislatore goda di ampia discrezionalità nella individuazione delle misure necessarie a tutela dei diritti delle persone disabili, hanno avuto modo di affermare che «</w:t>
      </w:r>
      <w:r w:rsidRPr="00AE712B">
        <w:rPr>
          <w:rFonts w:ascii="Bookman Old Style" w:hAnsi="Bookman Old Style" w:cs="Times New Roman"/>
          <w:i/>
          <w:iCs/>
          <w:sz w:val="20"/>
          <w:szCs w:val="20"/>
        </w:rPr>
        <w:t xml:space="preserve">detto </w:t>
      </w:r>
      <w:r w:rsidRPr="00AE712B">
        <w:rPr>
          <w:rFonts w:ascii="Bookman Old Style" w:hAnsi="Bookman Old Style" w:cs="TimesNewRomanPS-ItalicMT"/>
          <w:i/>
          <w:iCs/>
          <w:sz w:val="20"/>
          <w:szCs w:val="20"/>
        </w:rPr>
        <w:t xml:space="preserve">potere discrezionale non ha carattere assoluto e trova un limite nel “(…) </w:t>
      </w:r>
      <w:r w:rsidRPr="00AE712B">
        <w:rPr>
          <w:rFonts w:ascii="Bookman Old Style" w:hAnsi="Bookman Old Style" w:cs="Times New Roman"/>
          <w:i/>
          <w:iCs/>
          <w:sz w:val="20"/>
          <w:szCs w:val="20"/>
        </w:rPr>
        <w:t xml:space="preserve">rispetto di un nucleo </w:t>
      </w:r>
      <w:r w:rsidRPr="00AE712B">
        <w:rPr>
          <w:rFonts w:ascii="Bookman Old Style" w:hAnsi="Bookman Old Style" w:cs="TimesNewRomanPS-ItalicMT"/>
          <w:i/>
          <w:iCs/>
          <w:sz w:val="20"/>
          <w:szCs w:val="20"/>
        </w:rPr>
        <w:t>indefettibile di garanzie per gli interessati” (</w:t>
      </w:r>
      <w:r w:rsidRPr="00AE712B">
        <w:rPr>
          <w:rFonts w:ascii="Bookman Old Style" w:hAnsi="Bookman Old Style" w:cs="Times New Roman"/>
          <w:i/>
          <w:iCs/>
          <w:sz w:val="20"/>
          <w:szCs w:val="20"/>
        </w:rPr>
        <w:t>sentenza n. 251 del 2008 che richiama sentenza n. 226 del 2000</w:t>
      </w:r>
      <w:r w:rsidRPr="00AE712B">
        <w:rPr>
          <w:rFonts w:ascii="Bookman Old Style" w:hAnsi="Bookman Old Style" w:cs="TimesNewRomanPS-ItalicMT"/>
          <w:i/>
          <w:iCs/>
          <w:sz w:val="20"/>
          <w:szCs w:val="20"/>
        </w:rPr>
        <w:t>) (…) limite invalicabile all’intervento normativo discrezionale del legislatore</w:t>
      </w:r>
      <w:r w:rsidRPr="00AE712B">
        <w:rPr>
          <w:rFonts w:ascii="Bookman Old Style" w:hAnsi="Bookman Old Style" w:cs="Times New Roman"/>
          <w:sz w:val="20"/>
          <w:szCs w:val="20"/>
        </w:rPr>
        <w:t>»71. Nella precedente decisione n. 467 del 200272</w:t>
      </w:r>
      <w:r w:rsidRPr="00AE712B">
        <w:rPr>
          <w:rFonts w:ascii="Bookman Old Style" w:hAnsi="Bookman Old Style" w:cs="TimesNewRomanPSMT"/>
          <w:sz w:val="20"/>
          <w:szCs w:val="20"/>
        </w:rPr>
        <w:t>, la Corte aveva dichiarato il diritto all’ed</w:t>
      </w:r>
      <w:r w:rsidRPr="00AE712B">
        <w:rPr>
          <w:rFonts w:ascii="Bookman Old Style" w:hAnsi="Bookman Old Style" w:cs="Times New Roman"/>
          <w:sz w:val="20"/>
          <w:szCs w:val="20"/>
        </w:rPr>
        <w:t xml:space="preserve">ucazione dei disabili sin dagli asili nido, riconoscendo a costoro la relativa indennità di frequenza, ed aveva </w:t>
      </w:r>
      <w:r w:rsidRPr="00AE712B">
        <w:rPr>
          <w:rFonts w:ascii="Bookman Old Style" w:hAnsi="Bookman Old Style" w:cs="TimesNewRomanPSMT"/>
          <w:sz w:val="20"/>
          <w:szCs w:val="20"/>
        </w:rPr>
        <w:t>negato che l’attribuzione di tale assegno fosse riservata alla discrezionalità legislativa, ritenendo che anche l’asilo fosse utile alla formazi</w:t>
      </w:r>
      <w:r w:rsidRPr="00AE712B">
        <w:rPr>
          <w:rFonts w:ascii="Bookman Old Style" w:hAnsi="Bookman Old Style" w:cs="Times New Roman"/>
          <w:sz w:val="20"/>
          <w:szCs w:val="20"/>
        </w:rPr>
        <w:t>one e socializzazione dei disabili. Ancor prima</w:t>
      </w:r>
      <w:r w:rsidR="00DE7387" w:rsidRPr="00AE712B">
        <w:rPr>
          <w:rFonts w:ascii="Bookman Old Style" w:hAnsi="Bookman Old Style" w:cs="Times New Roman"/>
          <w:sz w:val="20"/>
          <w:szCs w:val="20"/>
        </w:rPr>
        <w:t>,</w:t>
      </w:r>
      <w:r w:rsidRPr="00AE712B">
        <w:rPr>
          <w:rFonts w:ascii="Bookman Old Style" w:hAnsi="Bookman Old Style" w:cs="Times New Roman"/>
          <w:sz w:val="20"/>
          <w:szCs w:val="20"/>
        </w:rPr>
        <w:t xml:space="preserve"> la stessa Corte, con la sentenza n. 215 del 198773, aveva chiarito che al disabile </w:t>
      </w:r>
      <w:r w:rsidRPr="00AE712B">
        <w:rPr>
          <w:rFonts w:ascii="Bookman Old Style" w:hAnsi="Bookman Old Style" w:cs="TimesNewRomanPSMT"/>
          <w:sz w:val="20"/>
          <w:szCs w:val="20"/>
        </w:rPr>
        <w:t>deve essere garantito il diritto all’istruzione «</w:t>
      </w:r>
      <w:r w:rsidRPr="00AE712B">
        <w:rPr>
          <w:rFonts w:ascii="Bookman Old Style" w:hAnsi="Bookman Old Style" w:cs="Times New Roman"/>
          <w:i/>
          <w:iCs/>
          <w:sz w:val="20"/>
          <w:szCs w:val="20"/>
        </w:rPr>
        <w:t>malgrado ogni possibile ostacolo che di fatto impedisca il pieno sviluppo della persona</w:t>
      </w:r>
      <w:r w:rsidRPr="00AE712B">
        <w:rPr>
          <w:rFonts w:ascii="Bookman Old Style" w:hAnsi="Bookman Old Style" w:cs="Times New Roman"/>
          <w:sz w:val="20"/>
          <w:szCs w:val="20"/>
        </w:rPr>
        <w:t>»</w:t>
      </w:r>
      <w:r w:rsidRPr="00AE712B">
        <w:rPr>
          <w:rFonts w:ascii="Bookman Old Style" w:hAnsi="Bookman Old Style" w:cs="TimesNewRomanPSMT"/>
          <w:sz w:val="20"/>
          <w:szCs w:val="20"/>
        </w:rPr>
        <w:t xml:space="preserve">, ponendo l’accento proprio sugli ostacoli di ordine </w:t>
      </w:r>
      <w:r w:rsidRPr="00AE712B">
        <w:rPr>
          <w:rFonts w:ascii="Bookman Old Style" w:hAnsi="Bookman Old Style" w:cs="Times New Roman"/>
          <w:sz w:val="20"/>
          <w:szCs w:val="20"/>
        </w:rPr>
        <w:t>economico, ben consapevole della necessità di annullare la disuguaglianza delle posizioni di partenza.</w:t>
      </w:r>
    </w:p>
  </w:footnote>
  <w:footnote w:id="61">
    <w:p w:rsidR="00D31D13" w:rsidRPr="00E57C3C" w:rsidRDefault="00D31D13" w:rsidP="00AE712B">
      <w:pPr>
        <w:autoSpaceDE w:val="0"/>
        <w:autoSpaceDN w:val="0"/>
        <w:adjustRightInd w:val="0"/>
        <w:spacing w:after="0" w:line="240" w:lineRule="auto"/>
        <w:jc w:val="both"/>
        <w:rPr>
          <w:rFonts w:ascii="Bookman Old Style" w:hAnsi="Bookman Old Style" w:cs="Times New Roman"/>
          <w:sz w:val="20"/>
          <w:szCs w:val="20"/>
        </w:rPr>
      </w:pPr>
      <w:r w:rsidRPr="00AE712B">
        <w:rPr>
          <w:rStyle w:val="Rimandonotaapidipagina"/>
          <w:rFonts w:ascii="Bookman Old Style" w:hAnsi="Bookman Old Style"/>
          <w:sz w:val="20"/>
          <w:szCs w:val="20"/>
        </w:rPr>
        <w:footnoteRef/>
      </w:r>
      <w:r w:rsidRPr="00AE712B">
        <w:rPr>
          <w:rFonts w:ascii="Bookman Old Style" w:hAnsi="Bookman Old Style"/>
          <w:sz w:val="20"/>
          <w:szCs w:val="20"/>
        </w:rPr>
        <w:t xml:space="preserve"> </w:t>
      </w:r>
      <w:r w:rsidRPr="00AE712B">
        <w:rPr>
          <w:rFonts w:ascii="Bookman Old Style" w:hAnsi="Bookman Old Style" w:cs="Times New Roman"/>
          <w:sz w:val="20"/>
          <w:szCs w:val="20"/>
        </w:rPr>
        <w:t xml:space="preserve">A. CAROSI, </w:t>
      </w:r>
      <w:r w:rsidR="00E57C3C" w:rsidRPr="00E57C3C">
        <w:rPr>
          <w:rFonts w:ascii="Bookman Old Style" w:hAnsi="Bookman Old Style" w:cs="Times New Roman"/>
          <w:i/>
          <w:sz w:val="20"/>
          <w:szCs w:val="20"/>
        </w:rPr>
        <w:t>Prestazioni sociali e vincoli di bilancio</w:t>
      </w:r>
      <w:r w:rsidR="00E57C3C" w:rsidRPr="00E57C3C">
        <w:rPr>
          <w:rFonts w:ascii="Bookman Old Style" w:hAnsi="Bookman Old Style" w:cs="Times New Roman"/>
          <w:sz w:val="20"/>
          <w:szCs w:val="20"/>
        </w:rPr>
        <w:t xml:space="preserve"> in </w:t>
      </w:r>
      <w:r w:rsidR="00AE712B" w:rsidRPr="00E57C3C">
        <w:rPr>
          <w:rFonts w:ascii="Bookman Old Style" w:hAnsi="Bookman Old Style" w:cs="Times New Roman"/>
          <w:i/>
          <w:sz w:val="20"/>
          <w:szCs w:val="20"/>
        </w:rPr>
        <w:t>Atti della Conferenza trilaterale delle Corti costituzionali italiana, spagnola e portoghese</w:t>
      </w:r>
      <w:r w:rsidR="00AE712B" w:rsidRPr="00AE712B">
        <w:rPr>
          <w:rFonts w:ascii="Bookman Old Style" w:hAnsi="Bookman Old Style" w:cs="Times New Roman"/>
          <w:sz w:val="20"/>
          <w:szCs w:val="20"/>
        </w:rPr>
        <w:t xml:space="preserve">, svoltasi il </w:t>
      </w:r>
      <w:r w:rsidR="00E57C3C" w:rsidRPr="00E57C3C">
        <w:rPr>
          <w:rFonts w:ascii="Bookman Old Style" w:hAnsi="Bookman Old Style" w:cs="Times New Roman"/>
          <w:sz w:val="20"/>
          <w:szCs w:val="20"/>
        </w:rPr>
        <w:t xml:space="preserve">7 ottobre 2016 </w:t>
      </w:r>
      <w:r w:rsidRPr="00E57C3C">
        <w:rPr>
          <w:rFonts w:ascii="Bookman Old Style" w:hAnsi="Bookman Old Style" w:cs="Times New Roman"/>
          <w:sz w:val="20"/>
          <w:szCs w:val="20"/>
        </w:rPr>
        <w:t>in www.cortecostituzionale.it.</w:t>
      </w:r>
    </w:p>
  </w:footnote>
  <w:footnote w:id="62">
    <w:p w:rsidR="00D31D13" w:rsidRPr="00AE712B" w:rsidRDefault="00D31D13" w:rsidP="00AE712B">
      <w:pPr>
        <w:autoSpaceDE w:val="0"/>
        <w:autoSpaceDN w:val="0"/>
        <w:adjustRightInd w:val="0"/>
        <w:spacing w:after="0" w:line="240" w:lineRule="auto"/>
        <w:jc w:val="both"/>
        <w:rPr>
          <w:rFonts w:ascii="Bookman Old Style" w:hAnsi="Bookman Old Style" w:cs="TimesNewRomanPSMT"/>
          <w:sz w:val="20"/>
          <w:szCs w:val="20"/>
        </w:rPr>
      </w:pPr>
      <w:r w:rsidRPr="00AE712B">
        <w:rPr>
          <w:rFonts w:ascii="Bookman Old Style" w:hAnsi="Bookman Old Style" w:cs="TimesNewRomanPSMT"/>
          <w:sz w:val="20"/>
          <w:szCs w:val="20"/>
        </w:rPr>
        <w:footnoteRef/>
      </w:r>
      <w:r w:rsidRPr="00AE712B">
        <w:rPr>
          <w:rFonts w:ascii="Bookman Old Style" w:hAnsi="Bookman Old Style" w:cs="TimesNewRomanPSMT"/>
          <w:sz w:val="20"/>
          <w:szCs w:val="20"/>
        </w:rPr>
        <w:t xml:space="preserve"> Emblematiche in tal senso sono le pronunce adottate </w:t>
      </w:r>
      <w:r w:rsidR="00E301D9" w:rsidRPr="00AE712B">
        <w:rPr>
          <w:rFonts w:ascii="Bookman Old Style" w:hAnsi="Bookman Old Style" w:cs="TimesNewRomanPSMT"/>
          <w:sz w:val="20"/>
          <w:szCs w:val="20"/>
        </w:rPr>
        <w:t xml:space="preserve">negli ultimi anni </w:t>
      </w:r>
      <w:r w:rsidRPr="00AE712B">
        <w:rPr>
          <w:rFonts w:ascii="Bookman Old Style" w:hAnsi="Bookman Old Style" w:cs="TimesNewRomanPSMT"/>
          <w:sz w:val="20"/>
          <w:szCs w:val="20"/>
        </w:rPr>
        <w:t>dalla Corte costituzionale in tema di perequazione automatica dei trattamenti pensionistici. Con la sentenza n. 70 del 30/04/2015</w:t>
      </w:r>
      <w:r w:rsidR="00E301D9" w:rsidRPr="00AE712B">
        <w:rPr>
          <w:rFonts w:ascii="Bookman Old Style" w:hAnsi="Bookman Old Style" w:cs="TimesNewRomanPSMT"/>
          <w:sz w:val="20"/>
          <w:szCs w:val="20"/>
        </w:rPr>
        <w:t>, l</w:t>
      </w:r>
      <w:r w:rsidRPr="00AE712B">
        <w:rPr>
          <w:rFonts w:ascii="Bookman Old Style" w:hAnsi="Bookman Old Style" w:cs="TimesNewRomanPSMT"/>
          <w:sz w:val="20"/>
          <w:szCs w:val="20"/>
        </w:rPr>
        <w:t xml:space="preserve">a Corte ha dichiarato l’illegittimità costituzionale dell’art. 24, venticinquesimo comma, del D.L. n. 201 del 6/12/2011 (cd. Salva Italia) convertito con modificazioni dalla legge n. 214 del 22/12/2011 che ha escluso – per gli anni 2012 e 2013 – l’applicazione della perequazione automatica per i trattamenti pensionistici di importo complessivo superiore a tre volte il trattamento minimo INPS. Dunque, facendo ricorso a tale norma, prima che fosse dichiarata la sua incostituzionalità, si giustificava una mancata liquidazione delle quote di incremento della pensione che sarebbero spettate a titolo di perequazione automatica con riferimento agli anni 2012-2013. Per quanto riguarda le motivazioni, i giudici hanno ritenuto che – determinando la mancata attribuzione per due anni della perequazione automatica una lesione permanente all’importo della pensione – la norma fosse lesiva di diritti fondamentali connessi al rapporto previdenziale che trovano il fondamento in precise disposizioni costituzionali, quali l’art. 36 (diritto ad una retribuzione proporzionata alla quantità e alla qualità del lavoro svolto) e l’art 38, secondo comma (diritto a che siano preveduti ed assicurati mezzi adeguati alle esigenze di vita in caso di infortunio, malattia, invalidità e vecchiaia, disoccupazione involontaria). Quest’ultimo diritto è da intendersi connesso al principio di solidarietà e al principio di uguaglianza sostanziale di cui rispettivamente agli artt. 2 e 3 della Costituzione. </w:t>
      </w:r>
      <w:r w:rsidR="002267E7" w:rsidRPr="00AE712B">
        <w:rPr>
          <w:rFonts w:ascii="Bookman Old Style" w:hAnsi="Bookman Old Style" w:cs="TimesNewRomanPSMT"/>
          <w:sz w:val="20"/>
          <w:szCs w:val="20"/>
        </w:rPr>
        <w:t xml:space="preserve">Con la suddetta declaratoria di incostituzionalità, in assenza di interventi legislativi, avrebbe dovuto essere nuovamente applicata la disciplina ricavabile dall’art 69 primo comma della Legge n. 388 del 23/12/2000 la quale prevedeva, con riferimento alla fascia di importo dei trattamenti pensionistici compresa tra tre e cinque volte quello minimo INPS, l’applicazione della perequazione nella misura del 90%. </w:t>
      </w:r>
      <w:r w:rsidRPr="00AE712B">
        <w:rPr>
          <w:rFonts w:ascii="Bookman Old Style" w:hAnsi="Bookman Old Style" w:cs="TimesNewRomanPSMT"/>
          <w:sz w:val="20"/>
          <w:szCs w:val="20"/>
        </w:rPr>
        <w:t xml:space="preserve">Evidente appare il riflesso finanziario che la sentenza in esame </w:t>
      </w:r>
      <w:r w:rsidR="002267E7" w:rsidRPr="00AE712B">
        <w:rPr>
          <w:rFonts w:ascii="Bookman Old Style" w:hAnsi="Bookman Old Style" w:cs="TimesNewRomanPSMT"/>
          <w:sz w:val="20"/>
          <w:szCs w:val="20"/>
        </w:rPr>
        <w:t xml:space="preserve">avrebbe </w:t>
      </w:r>
      <w:r w:rsidRPr="00AE712B">
        <w:rPr>
          <w:rFonts w:ascii="Bookman Old Style" w:hAnsi="Bookman Old Style" w:cs="TimesNewRomanPSMT"/>
          <w:sz w:val="20"/>
          <w:szCs w:val="20"/>
        </w:rPr>
        <w:t>provoca</w:t>
      </w:r>
      <w:r w:rsidR="002267E7" w:rsidRPr="00AE712B">
        <w:rPr>
          <w:rFonts w:ascii="Bookman Old Style" w:hAnsi="Bookman Old Style" w:cs="TimesNewRomanPSMT"/>
          <w:sz w:val="20"/>
          <w:szCs w:val="20"/>
        </w:rPr>
        <w:t>to</w:t>
      </w:r>
      <w:r w:rsidRPr="00AE712B">
        <w:rPr>
          <w:rFonts w:ascii="Bookman Old Style" w:hAnsi="Bookman Old Style" w:cs="TimesNewRomanPSMT"/>
          <w:sz w:val="20"/>
          <w:szCs w:val="20"/>
        </w:rPr>
        <w:t>, stimato in oltre sedici miliardi di euro tutti da rimborsare dall’INPS ai pensionati interessati</w:t>
      </w:r>
      <w:r w:rsidR="002267E7" w:rsidRPr="00AE712B">
        <w:rPr>
          <w:rFonts w:ascii="Bookman Old Style" w:hAnsi="Bookman Old Style" w:cs="TimesNewRomanPSMT"/>
          <w:sz w:val="20"/>
          <w:szCs w:val="20"/>
        </w:rPr>
        <w:t xml:space="preserve">. Pera tale motivo, da parte di molti si era osservato che la </w:t>
      </w:r>
      <w:r w:rsidRPr="00AE712B">
        <w:rPr>
          <w:rFonts w:ascii="Bookman Old Style" w:hAnsi="Bookman Old Style" w:cs="TimesNewRomanPSMT"/>
          <w:sz w:val="20"/>
          <w:szCs w:val="20"/>
        </w:rPr>
        <w:t xml:space="preserve">Corte non </w:t>
      </w:r>
      <w:r w:rsidR="002267E7" w:rsidRPr="00AE712B">
        <w:rPr>
          <w:rFonts w:ascii="Bookman Old Style" w:hAnsi="Bookman Old Style" w:cs="TimesNewRomanPSMT"/>
          <w:sz w:val="20"/>
          <w:szCs w:val="20"/>
        </w:rPr>
        <w:t xml:space="preserve">avesse </w:t>
      </w:r>
      <w:r w:rsidRPr="00AE712B">
        <w:rPr>
          <w:rFonts w:ascii="Bookman Old Style" w:hAnsi="Bookman Old Style" w:cs="TimesNewRomanPSMT"/>
          <w:sz w:val="20"/>
          <w:szCs w:val="20"/>
        </w:rPr>
        <w:t xml:space="preserve">tenuto </w:t>
      </w:r>
      <w:r w:rsidR="002267E7" w:rsidRPr="00AE712B">
        <w:rPr>
          <w:rFonts w:ascii="Bookman Old Style" w:hAnsi="Bookman Old Style" w:cs="TimesNewRomanPSMT"/>
          <w:sz w:val="20"/>
          <w:szCs w:val="20"/>
        </w:rPr>
        <w:t xml:space="preserve">in alcun modo </w:t>
      </w:r>
      <w:r w:rsidRPr="00AE712B">
        <w:rPr>
          <w:rFonts w:ascii="Bookman Old Style" w:hAnsi="Bookman Old Style" w:cs="TimesNewRomanPSMT"/>
          <w:sz w:val="20"/>
          <w:szCs w:val="20"/>
        </w:rPr>
        <w:t>conto</w:t>
      </w:r>
      <w:r w:rsidR="002267E7" w:rsidRPr="00AE712B">
        <w:rPr>
          <w:rFonts w:ascii="Bookman Old Style" w:hAnsi="Bookman Old Style" w:cs="TimesNewRomanPSMT"/>
          <w:sz w:val="20"/>
          <w:szCs w:val="20"/>
        </w:rPr>
        <w:t xml:space="preserve"> delle implicazioni molto gravi per il bilancio dello Stato della propria sentenza</w:t>
      </w:r>
      <w:r w:rsidRPr="00AE712B">
        <w:rPr>
          <w:rFonts w:ascii="Bookman Old Style" w:hAnsi="Bookman Old Style" w:cs="TimesNewRomanPSMT"/>
          <w:sz w:val="20"/>
          <w:szCs w:val="20"/>
        </w:rPr>
        <w:t xml:space="preserve">, in spregio al dettato dell’art 81 Cost. </w:t>
      </w:r>
      <w:r w:rsidR="002267E7" w:rsidRPr="00AE712B">
        <w:rPr>
          <w:rFonts w:ascii="Bookman Old Style" w:hAnsi="Bookman Old Style" w:cs="TimesNewRomanPSMT"/>
          <w:sz w:val="20"/>
          <w:szCs w:val="20"/>
        </w:rPr>
        <w:t xml:space="preserve">e senza alcuna valutazione in ordine al </w:t>
      </w:r>
      <w:r w:rsidRPr="00AE712B">
        <w:rPr>
          <w:rFonts w:ascii="Bookman Old Style" w:hAnsi="Bookman Old Style" w:cs="TimesNewRomanPSMT"/>
          <w:sz w:val="20"/>
          <w:szCs w:val="20"/>
        </w:rPr>
        <w:t>bilanciamento diritti-costi</w:t>
      </w:r>
      <w:r w:rsidR="002267E7" w:rsidRPr="00AE712B">
        <w:rPr>
          <w:rFonts w:ascii="Bookman Old Style" w:hAnsi="Bookman Old Style" w:cs="TimesNewRomanPSMT"/>
          <w:sz w:val="20"/>
          <w:szCs w:val="20"/>
        </w:rPr>
        <w:t xml:space="preserve"> finalizzata ad </w:t>
      </w:r>
      <w:r w:rsidRPr="00AE712B">
        <w:rPr>
          <w:rFonts w:ascii="Bookman Old Style" w:hAnsi="Bookman Old Style" w:cs="TimesNewRomanPSMT"/>
          <w:sz w:val="20"/>
          <w:szCs w:val="20"/>
        </w:rPr>
        <w:t>evita</w:t>
      </w:r>
      <w:r w:rsidR="002267E7" w:rsidRPr="00AE712B">
        <w:rPr>
          <w:rFonts w:ascii="Bookman Old Style" w:hAnsi="Bookman Old Style" w:cs="TimesNewRomanPSMT"/>
          <w:sz w:val="20"/>
          <w:szCs w:val="20"/>
        </w:rPr>
        <w:t>re</w:t>
      </w:r>
      <w:r w:rsidRPr="00AE712B">
        <w:rPr>
          <w:rFonts w:ascii="Bookman Old Style" w:hAnsi="Bookman Old Style" w:cs="TimesNewRomanPSMT"/>
          <w:sz w:val="20"/>
          <w:szCs w:val="20"/>
        </w:rPr>
        <w:t xml:space="preserve"> una </w:t>
      </w:r>
      <w:r w:rsidR="002267E7" w:rsidRPr="00AE712B">
        <w:rPr>
          <w:rFonts w:ascii="Bookman Old Style" w:hAnsi="Bookman Old Style" w:cs="TimesNewRomanPSMT"/>
          <w:sz w:val="20"/>
          <w:szCs w:val="20"/>
        </w:rPr>
        <w:t>forte contraccolpo su</w:t>
      </w:r>
      <w:r w:rsidRPr="00AE712B">
        <w:rPr>
          <w:rFonts w:ascii="Bookman Old Style" w:hAnsi="Bookman Old Style" w:cs="TimesNewRomanPSMT"/>
          <w:sz w:val="20"/>
          <w:szCs w:val="20"/>
        </w:rPr>
        <w:t xml:space="preserve">l bilancio </w:t>
      </w:r>
      <w:r w:rsidR="002267E7" w:rsidRPr="00AE712B">
        <w:rPr>
          <w:rFonts w:ascii="Bookman Old Style" w:hAnsi="Bookman Old Style" w:cs="TimesNewRomanPSMT"/>
          <w:sz w:val="20"/>
          <w:szCs w:val="20"/>
        </w:rPr>
        <w:t xml:space="preserve">dello Stato. Tali valutazioni, invece, sono state effettuate dal </w:t>
      </w:r>
      <w:r w:rsidRPr="00AE712B">
        <w:rPr>
          <w:rFonts w:ascii="Bookman Old Style" w:hAnsi="Bookman Old Style" w:cs="TimesNewRomanPSMT"/>
          <w:sz w:val="20"/>
          <w:szCs w:val="20"/>
        </w:rPr>
        <w:t xml:space="preserve">Governo </w:t>
      </w:r>
      <w:r w:rsidR="002267E7" w:rsidRPr="00AE712B">
        <w:rPr>
          <w:rFonts w:ascii="Bookman Old Style" w:hAnsi="Bookman Old Style" w:cs="TimesNewRomanPSMT"/>
          <w:sz w:val="20"/>
          <w:szCs w:val="20"/>
        </w:rPr>
        <w:t>che ha immediatamente provveduto a</w:t>
      </w:r>
      <w:r w:rsidRPr="00AE712B">
        <w:rPr>
          <w:rFonts w:ascii="Bookman Old Style" w:hAnsi="Bookman Old Style" w:cs="TimesNewRomanPSMT"/>
          <w:sz w:val="20"/>
          <w:szCs w:val="20"/>
        </w:rPr>
        <w:t>ll’emanazione del D.L. 21/05/2015 n. 65, recante “disposizioni urgenti in materia di pensioni, di ammortizzatori sociali e di garanzia TFR”, convertito con modificazioni in Legge 17/07/2015 n. 109. In particolare l’art. 1, modificando il testo dell’art. 24 venticinquesimo comma della Legge 214 del 22/12/2011, prevede – in sostanza – un rimborso limitato e parametrato al trattamento pensionistico; o addirittura un rimborso negato quando lo stesso trattamento sia superiore a sei volte quello minimo INPS. È evidente come l’esecutivo abbia inteso porre rimedio alla lesione accertata dalla Corte Costituzionale, in modo parziale e graduale in nome dell’equilibrio di bilancio e degli obiettivi di finanza pubblica. Tale mossa governativa</w:t>
      </w:r>
      <w:r w:rsidR="002267E7" w:rsidRPr="00AE712B">
        <w:rPr>
          <w:rFonts w:ascii="Bookman Old Style" w:hAnsi="Bookman Old Style" w:cs="TimesNewRomanPSMT"/>
          <w:sz w:val="20"/>
          <w:szCs w:val="20"/>
        </w:rPr>
        <w:t xml:space="preserve"> ha dato </w:t>
      </w:r>
      <w:proofErr w:type="spellStart"/>
      <w:r w:rsidR="002267E7" w:rsidRPr="00AE712B">
        <w:rPr>
          <w:rFonts w:ascii="Bookman Old Style" w:hAnsi="Bookman Old Style" w:cs="TimesNewRomanPSMT"/>
          <w:sz w:val="20"/>
          <w:szCs w:val="20"/>
        </w:rPr>
        <w:t>adìto</w:t>
      </w:r>
      <w:proofErr w:type="spellEnd"/>
      <w:r w:rsidR="002267E7" w:rsidRPr="00AE712B">
        <w:rPr>
          <w:rFonts w:ascii="Bookman Old Style" w:hAnsi="Bookman Old Style" w:cs="TimesNewRomanPSMT"/>
          <w:sz w:val="20"/>
          <w:szCs w:val="20"/>
        </w:rPr>
        <w:t xml:space="preserve"> a numerose perplessità. In particolare</w:t>
      </w:r>
      <w:r w:rsidRPr="00AE712B">
        <w:rPr>
          <w:rFonts w:ascii="Bookman Old Style" w:hAnsi="Bookman Old Style" w:cs="TimesNewRomanPSMT"/>
          <w:sz w:val="20"/>
          <w:szCs w:val="20"/>
        </w:rPr>
        <w:t xml:space="preserve">, </w:t>
      </w:r>
      <w:r w:rsidR="002267E7" w:rsidRPr="00AE712B">
        <w:rPr>
          <w:rFonts w:ascii="Bookman Old Style" w:hAnsi="Bookman Old Style" w:cs="TimesNewRomanPSMT"/>
          <w:sz w:val="20"/>
          <w:szCs w:val="20"/>
        </w:rPr>
        <w:t>ci si è chiesto s</w:t>
      </w:r>
      <w:r w:rsidRPr="00AE712B">
        <w:rPr>
          <w:rFonts w:ascii="Bookman Old Style" w:hAnsi="Bookman Old Style" w:cs="TimesNewRomanPSMT"/>
          <w:sz w:val="20"/>
          <w:szCs w:val="20"/>
        </w:rPr>
        <w:t>e</w:t>
      </w:r>
      <w:r w:rsidR="002267E7" w:rsidRPr="00AE712B">
        <w:rPr>
          <w:rFonts w:ascii="Bookman Old Style" w:hAnsi="Bookman Old Style" w:cs="TimesNewRomanPSMT"/>
          <w:sz w:val="20"/>
          <w:szCs w:val="20"/>
        </w:rPr>
        <w:t xml:space="preserve"> </w:t>
      </w:r>
      <w:r w:rsidRPr="00AE712B">
        <w:rPr>
          <w:rFonts w:ascii="Bookman Old Style" w:hAnsi="Bookman Old Style" w:cs="TimesNewRomanPSMT"/>
          <w:sz w:val="20"/>
          <w:szCs w:val="20"/>
        </w:rPr>
        <w:t>la sentenza 70/2015</w:t>
      </w:r>
      <w:r w:rsidR="002267E7" w:rsidRPr="00AE712B">
        <w:rPr>
          <w:rFonts w:ascii="Bookman Old Style" w:hAnsi="Bookman Old Style" w:cs="TimesNewRomanPSMT"/>
          <w:sz w:val="20"/>
          <w:szCs w:val="20"/>
        </w:rPr>
        <w:t xml:space="preserve">, </w:t>
      </w:r>
      <w:r w:rsidRPr="00AE712B">
        <w:rPr>
          <w:rFonts w:ascii="Bookman Old Style" w:hAnsi="Bookman Old Style" w:cs="TimesNewRomanPSMT"/>
          <w:sz w:val="20"/>
          <w:szCs w:val="20"/>
        </w:rPr>
        <w:t>statuendo che il diritto alla rivalutazione della pensione spettasse a tutti i titolari del trattamento pensionistico, consenti</w:t>
      </w:r>
      <w:r w:rsidR="002267E7" w:rsidRPr="00AE712B">
        <w:rPr>
          <w:rFonts w:ascii="Bookman Old Style" w:hAnsi="Bookman Old Style" w:cs="TimesNewRomanPSMT"/>
          <w:sz w:val="20"/>
          <w:szCs w:val="20"/>
        </w:rPr>
        <w:t>sse</w:t>
      </w:r>
      <w:r w:rsidRPr="00AE712B">
        <w:rPr>
          <w:rFonts w:ascii="Bookman Old Style" w:hAnsi="Bookman Old Style" w:cs="TimesNewRomanPSMT"/>
          <w:sz w:val="20"/>
          <w:szCs w:val="20"/>
        </w:rPr>
        <w:t xml:space="preserve"> al Governo quel margine di manovra che, invece, lo stesso si è preso nel momento in cui ha negato il diritto alla rivalutazione ai titolari di pensioni cospicue; e questo mancato integrale rispetto della sentenza non è privo di rilevanza, atteso che potrebbe costituire, in futuro, un pericoloso precedente che, sminuendo le pronunce della Corte Costituzionale, metterebbe in serio rischio il ruolo della stessa, quale giudice posto a garanzia del rispetto dei principi e delle norme costituzionali. Successivamente, la Corte Costituzionale con la sentenza 250/2017 - nel valutare l’adeguatezza degli emolumenti percepiti dai pensionati italiani, la ragionevolezza della norma e la possibilità di mantenere il potere </w:t>
      </w:r>
      <w:r w:rsidR="002267E7" w:rsidRPr="00AE712B">
        <w:rPr>
          <w:rFonts w:ascii="Bookman Old Style" w:hAnsi="Bookman Old Style" w:cs="TimesNewRomanPSMT"/>
          <w:sz w:val="20"/>
          <w:szCs w:val="20"/>
        </w:rPr>
        <w:t xml:space="preserve">di acquisto delle pensioni – ha </w:t>
      </w:r>
      <w:r w:rsidRPr="00AE712B">
        <w:rPr>
          <w:rFonts w:ascii="Bookman Old Style" w:hAnsi="Bookman Old Style" w:cs="TimesNewRomanPSMT"/>
          <w:sz w:val="20"/>
          <w:szCs w:val="20"/>
        </w:rPr>
        <w:t>respinto le censure di incostituzionalità del Decreto Poletti e ha ritenuto che esso realizzi un bilanciamento non irragionevole tra i diritti dei pensionati e le esigenze di finanza pubblica. Segnatamente, la Corte ha giudicato "non irragionevole" la scelta del Legislatore del 2015 di riconoscere la perequazione in misure percentuali decrescenti all’aumentare dell’importo complessivo del trattamento pensionistico, sino a escluderla per i trattamenti superiori a sei volte il minimo INPS. Nella sentenza anzidetta, in altre parole, viene condivisa la scelta del Legislatore del 2015, il quale, “al fine di dare attuazione ai principi enunciati nella sentenza [...] n. 70 del 2015</w:t>
      </w:r>
      <w:r w:rsidR="002267E7" w:rsidRPr="00AE712B">
        <w:rPr>
          <w:rFonts w:ascii="Bookman Old Style" w:hAnsi="Bookman Old Style" w:cs="TimesNewRomanPSMT"/>
          <w:sz w:val="20"/>
          <w:szCs w:val="20"/>
        </w:rPr>
        <w:t>”</w:t>
      </w:r>
      <w:r w:rsidRPr="00AE712B">
        <w:rPr>
          <w:rFonts w:ascii="Bookman Old Style" w:hAnsi="Bookman Old Style" w:cs="TimesNewRomanPSMT"/>
          <w:sz w:val="20"/>
          <w:szCs w:val="20"/>
        </w:rPr>
        <w:t>, ha introdotto una nuova non irragionevole modulazione del meccanismo della perequazione, nel rispetto dei “limiti di ragionevolezza e proporzionalità</w:t>
      </w:r>
      <w:r w:rsidR="002267E7" w:rsidRPr="00AE712B">
        <w:rPr>
          <w:rFonts w:ascii="Bookman Old Style" w:hAnsi="Bookman Old Style" w:cs="TimesNewRomanPSMT"/>
          <w:sz w:val="20"/>
          <w:szCs w:val="20"/>
        </w:rPr>
        <w:t>”</w:t>
      </w:r>
      <w:r w:rsidRPr="00AE712B">
        <w:rPr>
          <w:rFonts w:ascii="Bookman Old Style" w:hAnsi="Bookman Old Style" w:cs="TimesNewRomanPSMT"/>
          <w:sz w:val="20"/>
          <w:szCs w:val="20"/>
        </w:rPr>
        <w:t>, senza che alcuno dei valori e degli interessi costituzionali coinvolti venisse “irragionevolmente sacrificato</w:t>
      </w:r>
      <w:r w:rsidR="002267E7" w:rsidRPr="00AE712B">
        <w:rPr>
          <w:rFonts w:ascii="Bookman Old Style" w:hAnsi="Bookman Old Style" w:cs="TimesNewRomanPSMT"/>
          <w:sz w:val="20"/>
          <w:szCs w:val="20"/>
        </w:rPr>
        <w:t>”</w:t>
      </w:r>
      <w:r w:rsidRPr="00AE712B">
        <w:rPr>
          <w:rFonts w:ascii="Bookman Old Style" w:hAnsi="Bookman Old Style" w:cs="TimesNewRomanPSMT"/>
          <w:sz w:val="20"/>
          <w:szCs w:val="20"/>
        </w:rPr>
        <w:t>. Vengono, altresì, condivisi dalla Consulta gli effetti retroattivi della disciplina del 2015, circoscritti all'arco temporale 2012-2013, cui faceva riferimento la disposizione del 2011 annullata. In conclusione, è esitato positivamente lo scrutinio dei “valori personali inerenti alla tutela previdenziale</w:t>
      </w:r>
      <w:r w:rsidR="002267E7" w:rsidRPr="00AE712B">
        <w:rPr>
          <w:rFonts w:ascii="Bookman Old Style" w:hAnsi="Bookman Old Style" w:cs="TimesNewRomanPSMT"/>
          <w:sz w:val="20"/>
          <w:szCs w:val="20"/>
        </w:rPr>
        <w:t>”</w:t>
      </w:r>
      <w:r w:rsidRPr="00AE712B">
        <w:rPr>
          <w:rFonts w:ascii="Bookman Old Style" w:hAnsi="Bookman Old Style" w:cs="TimesNewRomanPSMT"/>
          <w:sz w:val="20"/>
          <w:szCs w:val="20"/>
        </w:rPr>
        <w:t>,</w:t>
      </w:r>
      <w:r w:rsidR="002267E7" w:rsidRPr="00AE712B">
        <w:rPr>
          <w:rFonts w:ascii="Bookman Old Style" w:hAnsi="Bookman Old Style" w:cs="TimesNewRomanPSMT"/>
          <w:sz w:val="20"/>
          <w:szCs w:val="20"/>
        </w:rPr>
        <w:t xml:space="preserve"> con riferimento </w:t>
      </w:r>
      <w:r w:rsidRPr="00AE712B">
        <w:rPr>
          <w:rFonts w:ascii="Bookman Old Style" w:hAnsi="Bookman Old Style" w:cs="TimesNewRomanPSMT"/>
          <w:sz w:val="20"/>
          <w:szCs w:val="20"/>
        </w:rPr>
        <w:t>al principio di solidarietà (art. 38 Cost.), coordinato col principio di razionalità-equità (art. 3 Cost.), avendo la Corte Costit</w:t>
      </w:r>
      <w:r w:rsidR="002267E7" w:rsidRPr="00AE712B">
        <w:rPr>
          <w:rFonts w:ascii="Bookman Old Style" w:hAnsi="Bookman Old Style" w:cs="TimesNewRomanPSMT"/>
          <w:sz w:val="20"/>
          <w:szCs w:val="20"/>
        </w:rPr>
        <w:t xml:space="preserve">uzionale ritenuto salvaguardata </w:t>
      </w:r>
      <w:r w:rsidRPr="00AE712B">
        <w:rPr>
          <w:rFonts w:ascii="Bookman Old Style" w:hAnsi="Bookman Old Style" w:cs="TimesNewRomanPSMT"/>
          <w:sz w:val="20"/>
          <w:szCs w:val="20"/>
        </w:rPr>
        <w:t>la garanzia di un reddito che non pregiudica le inderogabili ed irrinunciabili “esigenze di vita cui era precedentemente commisurata la prestazione previdenziale</w:t>
      </w:r>
      <w:r w:rsidR="002267E7" w:rsidRPr="00AE712B">
        <w:rPr>
          <w:rFonts w:ascii="Bookman Old Style" w:hAnsi="Bookman Old Style" w:cs="TimesNewRomanPSMT"/>
          <w:sz w:val="20"/>
          <w:szCs w:val="20"/>
        </w:rPr>
        <w:t>”</w:t>
      </w:r>
      <w:r w:rsidRPr="00AE712B">
        <w:rPr>
          <w:rFonts w:ascii="Bookman Old Style" w:hAnsi="Bookman Old Style" w:cs="TimesNewRomanPSMT"/>
          <w:sz w:val="20"/>
          <w:szCs w:val="20"/>
        </w:rPr>
        <w:t xml:space="preserve">. </w:t>
      </w:r>
    </w:p>
  </w:footnote>
  <w:footnote w:id="63">
    <w:p w:rsidR="00D31D13" w:rsidRPr="00AE712B" w:rsidRDefault="00D31D13" w:rsidP="00AE712B">
      <w:pPr>
        <w:autoSpaceDE w:val="0"/>
        <w:autoSpaceDN w:val="0"/>
        <w:adjustRightInd w:val="0"/>
        <w:spacing w:after="0" w:line="240" w:lineRule="auto"/>
        <w:jc w:val="both"/>
        <w:rPr>
          <w:rFonts w:ascii="Bookman Old Style" w:hAnsi="Bookman Old Style" w:cs="TimesNewRomanPSMT"/>
          <w:sz w:val="20"/>
          <w:szCs w:val="20"/>
        </w:rPr>
      </w:pPr>
      <w:r w:rsidRPr="00AE712B">
        <w:rPr>
          <w:rFonts w:ascii="Bookman Old Style" w:hAnsi="Bookman Old Style" w:cs="TimesNewRomanPSMT"/>
          <w:sz w:val="20"/>
          <w:szCs w:val="20"/>
        </w:rPr>
        <w:footnoteRef/>
      </w:r>
      <w:r w:rsidRPr="00AE712B">
        <w:rPr>
          <w:rFonts w:ascii="Bookman Old Style" w:hAnsi="Bookman Old Style" w:cs="TimesNewRomanPSMT"/>
          <w:sz w:val="20"/>
          <w:szCs w:val="20"/>
        </w:rPr>
        <w:t xml:space="preserve"> C. SALAZAR, </w:t>
      </w:r>
      <w:r w:rsidRPr="00AE712B">
        <w:rPr>
          <w:rFonts w:ascii="Bookman Old Style" w:hAnsi="Bookman Old Style" w:cs="TimesNewRomanPSMT"/>
          <w:i/>
          <w:sz w:val="20"/>
          <w:szCs w:val="20"/>
        </w:rPr>
        <w:t>Crisi economica e diritti sociali</w:t>
      </w:r>
      <w:r w:rsidRPr="00AE712B">
        <w:rPr>
          <w:rFonts w:ascii="Bookman Old Style" w:hAnsi="Bookman Old Style" w:cs="TimesNewRomanPSMT"/>
          <w:sz w:val="20"/>
          <w:szCs w:val="20"/>
        </w:rPr>
        <w:t xml:space="preserve">, cit., 14 «I principi di efficienza e di economicità, dunque, non prevalgono necessariamente sugli altri, così che il rigetto (della </w:t>
      </w:r>
      <w:r w:rsidRPr="00AE712B">
        <w:rPr>
          <w:rFonts w:ascii="Bookman Old Style" w:hAnsi="Bookman Old Style" w:cs="TimesNewRomanPSMT"/>
          <w:i/>
          <w:sz w:val="20"/>
          <w:szCs w:val="20"/>
        </w:rPr>
        <w:t xml:space="preserve">quaestio </w:t>
      </w:r>
      <w:proofErr w:type="spellStart"/>
      <w:r w:rsidRPr="00AE712B">
        <w:rPr>
          <w:rFonts w:ascii="Bookman Old Style" w:hAnsi="Bookman Old Style" w:cs="TimesNewRomanPSMT"/>
          <w:i/>
          <w:sz w:val="20"/>
          <w:szCs w:val="20"/>
        </w:rPr>
        <w:t>legitimitatis</w:t>
      </w:r>
      <w:proofErr w:type="spellEnd"/>
      <w:r w:rsidRPr="00AE712B">
        <w:rPr>
          <w:rFonts w:ascii="Bookman Old Style" w:hAnsi="Bookman Old Style" w:cs="TimesNewRomanPSMT"/>
          <w:sz w:val="20"/>
          <w:szCs w:val="20"/>
        </w:rPr>
        <w:t xml:space="preserve">) non deriva da una predeterminazione del quadro di prevalenza-soccombenza dei principi costituzionali in gioco che assegni comunque la vittoria all’equilibrio finanziario, ma da una valutazione calibrata sul caso di specie, nella quale il “fattore crisi” entra, naturalmente, ma non </w:t>
      </w:r>
      <w:proofErr w:type="spellStart"/>
      <w:r w:rsidRPr="00AE712B">
        <w:rPr>
          <w:rFonts w:ascii="Bookman Old Style" w:hAnsi="Bookman Old Style" w:cs="TimesNewRomanPSMT"/>
          <w:sz w:val="20"/>
          <w:szCs w:val="20"/>
        </w:rPr>
        <w:t>preorienta</w:t>
      </w:r>
      <w:proofErr w:type="spellEnd"/>
      <w:r w:rsidRPr="00AE712B">
        <w:rPr>
          <w:rFonts w:ascii="Bookman Old Style" w:hAnsi="Bookman Old Style" w:cs="TimesNewRomanPSMT"/>
          <w:sz w:val="20"/>
          <w:szCs w:val="20"/>
        </w:rPr>
        <w:t xml:space="preserve"> la soluzione».</w:t>
      </w:r>
    </w:p>
  </w:footnote>
  <w:footnote w:id="64">
    <w:p w:rsidR="00D31D13" w:rsidRPr="00AE712B" w:rsidRDefault="00D31D13" w:rsidP="00AE712B">
      <w:pPr>
        <w:autoSpaceDE w:val="0"/>
        <w:autoSpaceDN w:val="0"/>
        <w:adjustRightInd w:val="0"/>
        <w:spacing w:after="0" w:line="240" w:lineRule="auto"/>
        <w:jc w:val="both"/>
        <w:rPr>
          <w:rFonts w:ascii="Bookman Old Style" w:hAnsi="Bookman Old Style"/>
          <w:sz w:val="20"/>
          <w:szCs w:val="20"/>
        </w:rPr>
      </w:pPr>
      <w:r w:rsidRPr="00AE712B">
        <w:rPr>
          <w:rFonts w:ascii="Bookman Old Style" w:hAnsi="Bookman Old Style" w:cs="TimesNewRomanPSMT"/>
          <w:sz w:val="20"/>
          <w:szCs w:val="20"/>
        </w:rPr>
        <w:footnoteRef/>
      </w:r>
      <w:r w:rsidRPr="00AE712B">
        <w:rPr>
          <w:rFonts w:ascii="Bookman Old Style" w:hAnsi="Bookman Old Style" w:cs="TimesNewRomanPSMT"/>
          <w:sz w:val="20"/>
          <w:szCs w:val="20"/>
        </w:rPr>
        <w:t xml:space="preserve"> Sul bilanciamento come metodo per dar vita ad una gerarchia “mobile” R. GUASTINI, </w:t>
      </w:r>
      <w:r w:rsidRPr="00AE712B">
        <w:rPr>
          <w:rFonts w:ascii="Bookman Old Style" w:hAnsi="Bookman Old Style" w:cs="TimesNewRomanPSMT"/>
          <w:i/>
          <w:sz w:val="20"/>
          <w:szCs w:val="20"/>
        </w:rPr>
        <w:t>Teoria e dogmatica delle fonti</w:t>
      </w:r>
      <w:r w:rsidRPr="00AE712B">
        <w:rPr>
          <w:rFonts w:ascii="Bookman Old Style" w:hAnsi="Bookman Old Style" w:cs="TimesNewRomanPSMT"/>
          <w:sz w:val="20"/>
          <w:szCs w:val="20"/>
        </w:rPr>
        <w:t xml:space="preserve">, Milano 1992, 230. Secondo F. MODUGNO, </w:t>
      </w:r>
      <w:r w:rsidRPr="00AE712B">
        <w:rPr>
          <w:rFonts w:ascii="Bookman Old Style" w:hAnsi="Bookman Old Style" w:cs="TimesNewRomanPSMT"/>
          <w:i/>
          <w:sz w:val="20"/>
          <w:szCs w:val="20"/>
        </w:rPr>
        <w:t>La ragionevolezza nella giustizia costituzionale</w:t>
      </w:r>
      <w:r w:rsidRPr="00AE712B">
        <w:rPr>
          <w:rFonts w:ascii="Bookman Old Style" w:hAnsi="Bookman Old Style" w:cs="TimesNewRomanPSMT"/>
          <w:sz w:val="20"/>
          <w:szCs w:val="20"/>
        </w:rPr>
        <w:t>, Napoli 2007, 34, il bilanciamento della Corte costituzionale «consiste in un giudizio</w:t>
      </w:r>
      <w:r w:rsidRPr="00AE712B">
        <w:rPr>
          <w:rFonts w:ascii="Bookman Old Style" w:hAnsi="Bookman Old Style" w:cs="Times New Roman"/>
          <w:sz w:val="20"/>
          <w:szCs w:val="20"/>
        </w:rPr>
        <w:t xml:space="preserve"> che, caso per caso, dispone i principi costituzionali in una sorta di gerarchia mobile, per cui un principio è anteposto ad un altro per la soluzione del caso di specie». Anche per A. PACE, </w:t>
      </w:r>
      <w:r w:rsidRPr="00AE712B">
        <w:rPr>
          <w:rFonts w:ascii="Bookman Old Style" w:hAnsi="Bookman Old Style" w:cs="Times New Roman"/>
          <w:i/>
          <w:iCs/>
          <w:sz w:val="20"/>
          <w:szCs w:val="20"/>
        </w:rPr>
        <w:t xml:space="preserve">Problematica delle libertà costituzionali. Parte generale. Introduzione allo studio dei diritti costituzionali, </w:t>
      </w:r>
      <w:r w:rsidRPr="00AE712B">
        <w:rPr>
          <w:rFonts w:ascii="Bookman Old Style" w:hAnsi="Bookman Old Style" w:cs="Times New Roman"/>
          <w:sz w:val="20"/>
          <w:szCs w:val="20"/>
        </w:rPr>
        <w:t>III ed., Padova 2003</w:t>
      </w:r>
      <w:r w:rsidRPr="00AE712B">
        <w:rPr>
          <w:rFonts w:ascii="Bookman Old Style" w:hAnsi="Bookman Old Style" w:cs="TimesNewRomanPSMT"/>
          <w:sz w:val="20"/>
          <w:szCs w:val="20"/>
        </w:rPr>
        <w:t xml:space="preserve">, 140 ss., il bilanciamento tra le esigenze di spesa e l’esercizio dei diritti sociali non può essere </w:t>
      </w:r>
      <w:r w:rsidRPr="00AE712B">
        <w:rPr>
          <w:rFonts w:ascii="Bookman Old Style" w:hAnsi="Bookman Old Style" w:cs="Times New Roman"/>
          <w:sz w:val="20"/>
          <w:szCs w:val="20"/>
        </w:rPr>
        <w:t>risolto in astratto, ma va valutato caso per caso.</w:t>
      </w:r>
    </w:p>
  </w:footnote>
  <w:footnote w:id="65">
    <w:p w:rsidR="00D31D13" w:rsidRPr="00AE712B" w:rsidRDefault="00D31D13" w:rsidP="00AE712B">
      <w:pPr>
        <w:autoSpaceDE w:val="0"/>
        <w:autoSpaceDN w:val="0"/>
        <w:adjustRightInd w:val="0"/>
        <w:spacing w:after="0" w:line="240" w:lineRule="auto"/>
        <w:jc w:val="both"/>
        <w:rPr>
          <w:rFonts w:ascii="Bookman Old Style" w:hAnsi="Bookman Old Style" w:cs="Times New Roman"/>
          <w:sz w:val="20"/>
          <w:szCs w:val="20"/>
        </w:rPr>
      </w:pPr>
      <w:r w:rsidRPr="00AE712B">
        <w:rPr>
          <w:rStyle w:val="Rimandonotaapidipagina"/>
          <w:rFonts w:ascii="Bookman Old Style" w:hAnsi="Bookman Old Style"/>
          <w:sz w:val="20"/>
          <w:szCs w:val="20"/>
        </w:rPr>
        <w:footnoteRef/>
      </w:r>
      <w:r w:rsidRPr="00AE712B">
        <w:rPr>
          <w:rFonts w:ascii="Bookman Old Style" w:hAnsi="Bookman Old Style"/>
          <w:sz w:val="20"/>
          <w:szCs w:val="20"/>
        </w:rPr>
        <w:t xml:space="preserve"> </w:t>
      </w:r>
      <w:r w:rsidRPr="00AE712B">
        <w:rPr>
          <w:rFonts w:ascii="Bookman Old Style" w:hAnsi="Bookman Old Style" w:cs="Times New Roman"/>
          <w:sz w:val="20"/>
          <w:szCs w:val="20"/>
        </w:rPr>
        <w:t xml:space="preserve">Per M. CARTABIA, </w:t>
      </w:r>
      <w:r w:rsidRPr="00AE712B">
        <w:rPr>
          <w:rFonts w:ascii="Bookman Old Style" w:hAnsi="Bookman Old Style" w:cs="Times New Roman"/>
          <w:i/>
          <w:iCs/>
          <w:sz w:val="20"/>
          <w:szCs w:val="20"/>
        </w:rPr>
        <w:t>Il principio di ragionevolezza e proporzionalità nella giurisprudenza costituzionale italiana</w:t>
      </w:r>
      <w:r w:rsidRPr="00AE712B">
        <w:rPr>
          <w:rFonts w:ascii="Bookman Old Style" w:hAnsi="Bookman Old Style" w:cs="Times New Roman"/>
          <w:sz w:val="20"/>
          <w:szCs w:val="20"/>
        </w:rPr>
        <w:t xml:space="preserve">, Atti della Conferenza trilaterale delle Corti costituzionali italiana, spagnola e portoghese, svoltasi a Roma il 24-26 ottobre 2013, 10, «i diritti fondamentali non sono mai affermati in termini assoluti, ma fanno parte di un tessuto costituzionale complesso in cui altri diritti e altri interessi e beni costituzionalmente protetti possono legittimamente limitarne la portata. Nella Costituzione italiana, ogni diritto è sempre predicato assieme al suo limite». V. anche G. SCACCIA, </w:t>
      </w:r>
      <w:r w:rsidRPr="00AE712B">
        <w:rPr>
          <w:rFonts w:ascii="Bookman Old Style" w:hAnsi="Bookman Old Style" w:cs="TimesNewRomanPS-ItalicMT"/>
          <w:i/>
          <w:iCs/>
          <w:sz w:val="20"/>
          <w:szCs w:val="20"/>
        </w:rPr>
        <w:t>Gli “strumenti” della ragi</w:t>
      </w:r>
      <w:r w:rsidRPr="00AE712B">
        <w:rPr>
          <w:rFonts w:ascii="Bookman Old Style" w:hAnsi="Bookman Old Style" w:cs="Times New Roman"/>
          <w:i/>
          <w:iCs/>
          <w:sz w:val="20"/>
          <w:szCs w:val="20"/>
        </w:rPr>
        <w:t>onevolezza nel giudizio costituzionale</w:t>
      </w:r>
      <w:r w:rsidRPr="00AE712B">
        <w:rPr>
          <w:rFonts w:ascii="Bookman Old Style" w:hAnsi="Bookman Old Style" w:cs="Times New Roman"/>
          <w:sz w:val="20"/>
          <w:szCs w:val="20"/>
        </w:rPr>
        <w:t xml:space="preserve">, Milano 2000, 333, e Id., </w:t>
      </w:r>
      <w:r w:rsidRPr="00AE712B">
        <w:rPr>
          <w:rFonts w:ascii="Bookman Old Style" w:hAnsi="Bookman Old Style" w:cs="Times New Roman"/>
          <w:i/>
          <w:iCs/>
          <w:sz w:val="20"/>
          <w:szCs w:val="20"/>
        </w:rPr>
        <w:t>Controllo di ragionevolezza delle leggi e applicazione della Costituzione</w:t>
      </w:r>
      <w:r w:rsidRPr="00AE712B">
        <w:rPr>
          <w:rFonts w:ascii="Bookman Old Style" w:hAnsi="Bookman Old Style" w:cs="Times New Roman"/>
          <w:sz w:val="20"/>
          <w:szCs w:val="20"/>
        </w:rPr>
        <w:t xml:space="preserve">, in </w:t>
      </w:r>
      <w:r w:rsidRPr="00AE712B">
        <w:rPr>
          <w:rFonts w:ascii="Bookman Old Style" w:hAnsi="Bookman Old Style" w:cs="Times New Roman"/>
          <w:i/>
          <w:iCs/>
          <w:sz w:val="20"/>
          <w:szCs w:val="20"/>
        </w:rPr>
        <w:t xml:space="preserve">Nova </w:t>
      </w:r>
      <w:proofErr w:type="spellStart"/>
      <w:r w:rsidRPr="00AE712B">
        <w:rPr>
          <w:rFonts w:ascii="Bookman Old Style" w:hAnsi="Bookman Old Style" w:cs="Times New Roman"/>
          <w:i/>
          <w:iCs/>
          <w:sz w:val="20"/>
          <w:szCs w:val="20"/>
        </w:rPr>
        <w:t>juris</w:t>
      </w:r>
      <w:proofErr w:type="spellEnd"/>
      <w:r w:rsidRPr="00AE712B">
        <w:rPr>
          <w:rFonts w:ascii="Bookman Old Style" w:hAnsi="Bookman Old Style" w:cs="Times New Roman"/>
          <w:i/>
          <w:iCs/>
          <w:sz w:val="20"/>
          <w:szCs w:val="20"/>
        </w:rPr>
        <w:t xml:space="preserve"> </w:t>
      </w:r>
      <w:proofErr w:type="spellStart"/>
      <w:r w:rsidRPr="00AE712B">
        <w:rPr>
          <w:rFonts w:ascii="Bookman Old Style" w:hAnsi="Bookman Old Style" w:cs="Times New Roman"/>
          <w:i/>
          <w:iCs/>
          <w:sz w:val="20"/>
          <w:szCs w:val="20"/>
        </w:rPr>
        <w:t>interpretatio</w:t>
      </w:r>
      <w:proofErr w:type="spellEnd"/>
      <w:r w:rsidRPr="00AE712B">
        <w:rPr>
          <w:rFonts w:ascii="Bookman Old Style" w:hAnsi="Bookman Old Style" w:cs="Times New Roman"/>
          <w:sz w:val="20"/>
          <w:szCs w:val="20"/>
        </w:rPr>
        <w:t xml:space="preserve">, Roma 2007, 286 ss., nonché L. PALADIN, </w:t>
      </w:r>
      <w:r w:rsidRPr="00AE712B">
        <w:rPr>
          <w:rFonts w:ascii="Bookman Old Style" w:hAnsi="Bookman Old Style" w:cs="Times New Roman"/>
          <w:i/>
          <w:iCs/>
          <w:sz w:val="20"/>
          <w:szCs w:val="20"/>
        </w:rPr>
        <w:t xml:space="preserve">Ragionevolezza (principio di), </w:t>
      </w:r>
      <w:r w:rsidRPr="00AE712B">
        <w:rPr>
          <w:rFonts w:ascii="Bookman Old Style" w:hAnsi="Bookman Old Style" w:cs="Times New Roman"/>
          <w:sz w:val="20"/>
          <w:szCs w:val="20"/>
        </w:rPr>
        <w:t xml:space="preserve">in </w:t>
      </w:r>
      <w:proofErr w:type="spellStart"/>
      <w:r w:rsidRPr="00AE712B">
        <w:rPr>
          <w:rFonts w:ascii="Bookman Old Style" w:hAnsi="Bookman Old Style" w:cs="Times New Roman"/>
          <w:i/>
          <w:iCs/>
          <w:sz w:val="20"/>
          <w:szCs w:val="20"/>
        </w:rPr>
        <w:t>Enc</w:t>
      </w:r>
      <w:proofErr w:type="spellEnd"/>
      <w:r w:rsidRPr="00AE712B">
        <w:rPr>
          <w:rFonts w:ascii="Bookman Old Style" w:hAnsi="Bookman Old Style" w:cs="Times New Roman"/>
          <w:i/>
          <w:iCs/>
          <w:sz w:val="20"/>
          <w:szCs w:val="20"/>
        </w:rPr>
        <w:t>. dir., Aggiornamento</w:t>
      </w:r>
      <w:r w:rsidRPr="00AE712B">
        <w:rPr>
          <w:rFonts w:ascii="Bookman Old Style" w:hAnsi="Bookman Old Style" w:cs="Times New Roman"/>
          <w:sz w:val="20"/>
          <w:szCs w:val="20"/>
        </w:rPr>
        <w:t xml:space="preserve">, I, Milano 1997, 899 ss., e A. MORRONE, </w:t>
      </w:r>
      <w:r w:rsidRPr="00AE712B">
        <w:rPr>
          <w:rFonts w:ascii="Bookman Old Style" w:hAnsi="Bookman Old Style" w:cs="Times New Roman"/>
          <w:i/>
          <w:sz w:val="20"/>
          <w:szCs w:val="20"/>
        </w:rPr>
        <w:t>Il custode della ragionevolezza</w:t>
      </w:r>
      <w:r w:rsidRPr="00AE712B">
        <w:rPr>
          <w:rFonts w:ascii="Bookman Old Style" w:hAnsi="Bookman Old Style" w:cs="Times New Roman"/>
          <w:sz w:val="20"/>
          <w:szCs w:val="20"/>
        </w:rPr>
        <w:t xml:space="preserve">, </w:t>
      </w:r>
      <w:r w:rsidR="00AE712B" w:rsidRPr="00AE712B">
        <w:rPr>
          <w:rFonts w:ascii="Bookman Old Style" w:hAnsi="Bookman Old Style" w:cs="Times New Roman"/>
          <w:sz w:val="20"/>
          <w:szCs w:val="20"/>
        </w:rPr>
        <w:t>Milano 2001.</w:t>
      </w:r>
    </w:p>
  </w:footnote>
  <w:footnote w:id="66">
    <w:p w:rsidR="00D31D13" w:rsidRPr="00370324" w:rsidRDefault="00D31D13" w:rsidP="00AE712B">
      <w:pPr>
        <w:autoSpaceDE w:val="0"/>
        <w:autoSpaceDN w:val="0"/>
        <w:adjustRightInd w:val="0"/>
        <w:spacing w:after="0" w:line="240" w:lineRule="auto"/>
        <w:jc w:val="both"/>
        <w:rPr>
          <w:rFonts w:ascii="Times New Roman" w:hAnsi="Times New Roman" w:cs="Times New Roman"/>
          <w:color w:val="000000"/>
          <w:sz w:val="20"/>
          <w:szCs w:val="20"/>
        </w:rPr>
      </w:pPr>
      <w:r w:rsidRPr="00AE712B">
        <w:rPr>
          <w:rFonts w:ascii="Bookman Old Style" w:hAnsi="Bookman Old Style" w:cs="Times New Roman"/>
          <w:sz w:val="20"/>
          <w:szCs w:val="20"/>
        </w:rPr>
        <w:footnoteRef/>
      </w:r>
      <w:r w:rsidRPr="00AE712B">
        <w:rPr>
          <w:rFonts w:ascii="Bookman Old Style" w:hAnsi="Bookman Old Style" w:cs="Times New Roman"/>
          <w:sz w:val="20"/>
          <w:szCs w:val="20"/>
        </w:rPr>
        <w:t xml:space="preserve"> Corte cost. 16 dicembre 2016, n. 275: cfr. i commenti di A. APOSTOLI, </w:t>
      </w:r>
      <w:r w:rsidRPr="00AE712B">
        <w:rPr>
          <w:rFonts w:ascii="Bookman Old Style" w:hAnsi="Bookman Old Style" w:cs="Times New Roman"/>
          <w:i/>
          <w:sz w:val="20"/>
          <w:szCs w:val="20"/>
        </w:rPr>
        <w:t>I diritti fondamentali “visti” da vicino dal giudice amministrativo. Una annotazione a “caldo” della sentenza della Corte costituzionale n. 275 del 2016</w:t>
      </w:r>
      <w:r w:rsidRPr="00AE712B">
        <w:rPr>
          <w:rFonts w:ascii="Bookman Old Style" w:hAnsi="Bookman Old Style" w:cs="Times New Roman"/>
          <w:sz w:val="20"/>
          <w:szCs w:val="20"/>
        </w:rPr>
        <w:t xml:space="preserve">, e di A. LUCARELLI, </w:t>
      </w:r>
      <w:r w:rsidRPr="00AE712B">
        <w:rPr>
          <w:rFonts w:ascii="Bookman Old Style" w:hAnsi="Bookman Old Style" w:cs="Times New Roman"/>
          <w:i/>
          <w:sz w:val="20"/>
          <w:szCs w:val="20"/>
        </w:rPr>
        <w:t>Il diritto all’istruzione dei disabili: oltre i diritti finanziariamente condizionati. Nota a Corte cost. n. 275 del 2016</w:t>
      </w:r>
      <w:r w:rsidRPr="00AE712B">
        <w:rPr>
          <w:rFonts w:ascii="Bookman Old Style" w:hAnsi="Bookman Old Style" w:cs="Times New Roman"/>
          <w:sz w:val="20"/>
          <w:szCs w:val="20"/>
        </w:rPr>
        <w:t xml:space="preserve">, Giur. cost., n. 6/2016. Con la sentenza n. 275 del 16 dicembre 2016 la Corte costituzionale , accogliendo la </w:t>
      </w:r>
      <w:r w:rsidRPr="00AE712B">
        <w:rPr>
          <w:rFonts w:ascii="Bookman Old Style" w:hAnsi="Bookman Old Style" w:cs="Times New Roman"/>
          <w:i/>
          <w:iCs/>
          <w:sz w:val="20"/>
          <w:szCs w:val="20"/>
        </w:rPr>
        <w:t xml:space="preserve">quaestio </w:t>
      </w:r>
      <w:proofErr w:type="spellStart"/>
      <w:r w:rsidRPr="00AE712B">
        <w:rPr>
          <w:rFonts w:ascii="Bookman Old Style" w:hAnsi="Bookman Old Style" w:cs="Times New Roman"/>
          <w:i/>
          <w:iCs/>
          <w:sz w:val="20"/>
          <w:szCs w:val="20"/>
        </w:rPr>
        <w:t>legitimitatis</w:t>
      </w:r>
      <w:proofErr w:type="spellEnd"/>
      <w:r w:rsidRPr="00AE712B">
        <w:rPr>
          <w:rFonts w:ascii="Bookman Old Style" w:hAnsi="Bookman Old Style" w:cs="Times New Roman"/>
          <w:i/>
          <w:iCs/>
          <w:sz w:val="20"/>
          <w:szCs w:val="20"/>
        </w:rPr>
        <w:t xml:space="preserve"> </w:t>
      </w:r>
      <w:r w:rsidRPr="00AE712B">
        <w:rPr>
          <w:rFonts w:ascii="Bookman Old Style" w:hAnsi="Bookman Old Style" w:cs="TimesNewRomanPSMT"/>
          <w:sz w:val="20"/>
          <w:szCs w:val="20"/>
        </w:rPr>
        <w:t>sollevata in via incidentale dal T.A.R. per l’Abruzzo</w:t>
      </w:r>
      <w:r w:rsidRPr="00AE712B">
        <w:rPr>
          <w:rFonts w:ascii="Bookman Old Style" w:hAnsi="Bookman Old Style" w:cs="Times New Roman"/>
          <w:sz w:val="20"/>
          <w:szCs w:val="20"/>
        </w:rPr>
        <w:t>, investito della domanda con cui la Provincia di Pescara aveva chiesto alla Regione Abruzzo il pagamento del contributo, previsto dalla legge regi</w:t>
      </w:r>
      <w:r w:rsidR="00AE712B" w:rsidRPr="00AE712B">
        <w:rPr>
          <w:rFonts w:ascii="Bookman Old Style" w:hAnsi="Bookman Old Style" w:cs="Times New Roman"/>
          <w:sz w:val="20"/>
          <w:szCs w:val="20"/>
        </w:rPr>
        <w:t xml:space="preserve">onale 15 dicembre 1978, n. 78, </w:t>
      </w:r>
      <w:r w:rsidRPr="00AE712B">
        <w:rPr>
          <w:rFonts w:ascii="Bookman Old Style" w:hAnsi="Bookman Old Style" w:cs="Times New Roman"/>
          <w:sz w:val="20"/>
          <w:szCs w:val="20"/>
        </w:rPr>
        <w:t xml:space="preserve">in misura pari al 50% delle spese sostenute per lo svolgimento del servizio di trasporto degli studenti disabili (annualità 2006-2012), ha ribadito la natura fondamentale del diritto allo </w:t>
      </w:r>
      <w:r w:rsidRPr="00AE712B">
        <w:rPr>
          <w:rFonts w:ascii="Bookman Old Style" w:hAnsi="Bookman Old Style" w:cs="TimesNewRomanPSMT"/>
          <w:sz w:val="20"/>
          <w:szCs w:val="20"/>
        </w:rPr>
        <w:t>studio dei disabili e ha dichiarato l’illegittimità costituzionale dell’art.6, comma 2</w:t>
      </w:r>
      <w:r w:rsidRPr="00AE712B">
        <w:rPr>
          <w:rFonts w:ascii="Bookman Old Style" w:hAnsi="Bookman Old Style" w:cs="Times New Roman"/>
          <w:sz w:val="20"/>
          <w:szCs w:val="20"/>
        </w:rPr>
        <w:t>-</w:t>
      </w:r>
      <w:r w:rsidRPr="00AE712B">
        <w:rPr>
          <w:rFonts w:ascii="Bookman Old Style" w:hAnsi="Bookman Old Style" w:cs="Times New Roman"/>
          <w:i/>
          <w:iCs/>
          <w:sz w:val="20"/>
          <w:szCs w:val="20"/>
        </w:rPr>
        <w:t xml:space="preserve">bis, </w:t>
      </w:r>
      <w:r w:rsidRPr="00AE712B">
        <w:rPr>
          <w:rFonts w:ascii="Bookman Old Style" w:hAnsi="Bookman Old Style" w:cs="Times New Roman"/>
          <w:sz w:val="20"/>
          <w:szCs w:val="20"/>
        </w:rPr>
        <w:t xml:space="preserve">della stessa legge regionale </w:t>
      </w:r>
      <w:r w:rsidRPr="00AE712B">
        <w:rPr>
          <w:rFonts w:ascii="Bookman Old Style" w:hAnsi="Bookman Old Style" w:cs="TimesNewRomanPSMT"/>
          <w:sz w:val="20"/>
          <w:szCs w:val="20"/>
        </w:rPr>
        <w:t xml:space="preserve">n. 78 del 1978, aggiunto dall’art. 88, comma 4, della legge Regione Abruzzo 26 </w:t>
      </w:r>
      <w:r w:rsidRPr="00AE712B">
        <w:rPr>
          <w:rFonts w:ascii="Bookman Old Style" w:hAnsi="Bookman Old Style" w:cs="Times New Roman"/>
          <w:sz w:val="20"/>
          <w:szCs w:val="20"/>
        </w:rPr>
        <w:t>aprile 2004, n. 15, nella parte in cui prevedeva tale contributo solo «</w:t>
      </w:r>
      <w:r w:rsidRPr="00AE712B">
        <w:rPr>
          <w:rFonts w:ascii="Bookman Old Style" w:hAnsi="Bookman Old Style" w:cs="Times New Roman"/>
          <w:i/>
          <w:iCs/>
          <w:sz w:val="20"/>
          <w:szCs w:val="20"/>
        </w:rPr>
        <w:t>nei limiti della disponibilità finanziaria determinata dalle annuali leggi di bilancio e iscritta sul pertinente capitolo di spesa</w:t>
      </w:r>
      <w:r w:rsidRPr="00AE712B">
        <w:rPr>
          <w:rFonts w:ascii="Bookman Old Style" w:hAnsi="Bookman Old Style" w:cs="Times New Roman"/>
          <w:sz w:val="20"/>
          <w:szCs w:val="20"/>
        </w:rPr>
        <w:t>», facendolo così dipendere da situazioni future ed incerte della gestione contabile regionale</w:t>
      </w:r>
      <w:r w:rsidRPr="00AE712B">
        <w:rPr>
          <w:rFonts w:ascii="Bookman Old Style" w:hAnsi="Bookman Old Style" w:cs="Times New Roman"/>
          <w:i/>
          <w:iCs/>
          <w:sz w:val="20"/>
          <w:szCs w:val="20"/>
        </w:rPr>
        <w:t xml:space="preserve">. </w:t>
      </w:r>
      <w:r w:rsidRPr="00AE712B">
        <w:rPr>
          <w:rFonts w:ascii="Bookman Old Style" w:hAnsi="Bookman Old Style" w:cs="Times New Roman"/>
          <w:sz w:val="20"/>
          <w:szCs w:val="20"/>
        </w:rPr>
        <w:t xml:space="preserve">Nella specie, il giudice </w:t>
      </w:r>
      <w:r w:rsidRPr="00AE712B">
        <w:rPr>
          <w:rFonts w:ascii="Bookman Old Style" w:hAnsi="Bookman Old Style" w:cs="Times New Roman"/>
          <w:i/>
          <w:iCs/>
          <w:sz w:val="20"/>
          <w:szCs w:val="20"/>
        </w:rPr>
        <w:t xml:space="preserve">a quo </w:t>
      </w:r>
      <w:r w:rsidRPr="00AE712B">
        <w:rPr>
          <w:rFonts w:ascii="Bookman Old Style" w:hAnsi="Bookman Old Style" w:cs="Times New Roman"/>
          <w:sz w:val="20"/>
          <w:szCs w:val="20"/>
        </w:rPr>
        <w:t>lamentava che il mancato finanziamento del 50% da parte della Regione delle spese rendicontate dalla Provincia «</w:t>
      </w:r>
      <w:r w:rsidRPr="00AE712B">
        <w:rPr>
          <w:rFonts w:ascii="Bookman Old Style" w:hAnsi="Bookman Old Style" w:cs="Times New Roman"/>
          <w:i/>
          <w:iCs/>
          <w:sz w:val="20"/>
          <w:szCs w:val="20"/>
        </w:rPr>
        <w:t xml:space="preserve">avrebbe determinato nel tempo un indebitamento tale da comportare una drastica riduzione dei servizi per gli studenti disabili, compromettendo </w:t>
      </w:r>
      <w:r w:rsidRPr="00AE712B">
        <w:rPr>
          <w:rFonts w:ascii="Bookman Old Style" w:hAnsi="Bookman Old Style" w:cs="TimesNewRomanPS-ItalicMT"/>
          <w:i/>
          <w:iCs/>
          <w:sz w:val="20"/>
          <w:szCs w:val="20"/>
        </w:rPr>
        <w:t>l’erogazione dell’assistenza specialistica e dei servizi di trasporto</w:t>
      </w:r>
      <w:r w:rsidRPr="00AE712B">
        <w:rPr>
          <w:rFonts w:ascii="Bookman Old Style" w:hAnsi="Bookman Old Style" w:cs="Times New Roman"/>
          <w:sz w:val="20"/>
          <w:szCs w:val="20"/>
        </w:rPr>
        <w:t>». La Regione Abruzzo, dal canto s</w:t>
      </w:r>
      <w:r w:rsidRPr="00AE712B">
        <w:rPr>
          <w:rFonts w:ascii="Bookman Old Style" w:hAnsi="Bookman Old Style" w:cs="TimesNewRomanPSMT"/>
          <w:sz w:val="20"/>
          <w:szCs w:val="20"/>
        </w:rPr>
        <w:t xml:space="preserve">uo, pur non contestando l’ammontare delle spese sostenute dall’amministrazione provinciale, replicava che, in virtù della norma della legge regionale </w:t>
      </w:r>
      <w:r w:rsidRPr="00AE712B">
        <w:rPr>
          <w:rFonts w:ascii="Bookman Old Style" w:hAnsi="Bookman Old Style" w:cs="Times New Roman"/>
          <w:sz w:val="20"/>
          <w:szCs w:val="20"/>
        </w:rPr>
        <w:t>censurata, il proprio obbligo di corrispondere il 50% di tali spese avrebbe trovato un limite nelle disponibilità finanziarie di bilancio.</w:t>
      </w:r>
    </w:p>
  </w:footnote>
  <w:footnote w:id="67">
    <w:p w:rsidR="00221925" w:rsidRPr="00D92E9D" w:rsidRDefault="00221925" w:rsidP="00D92E9D">
      <w:pPr>
        <w:autoSpaceDE w:val="0"/>
        <w:autoSpaceDN w:val="0"/>
        <w:adjustRightInd w:val="0"/>
        <w:spacing w:after="0" w:line="240" w:lineRule="auto"/>
        <w:jc w:val="both"/>
        <w:rPr>
          <w:rFonts w:ascii="Bookman Old Style" w:hAnsi="Bookman Old Style" w:cs="Times New Roman"/>
          <w:sz w:val="20"/>
          <w:szCs w:val="20"/>
        </w:rPr>
      </w:pPr>
      <w:r w:rsidRPr="00D92E9D">
        <w:rPr>
          <w:rFonts w:cs="Times New Roman"/>
        </w:rPr>
        <w:footnoteRef/>
      </w:r>
      <w:r w:rsidRPr="00D92E9D">
        <w:rPr>
          <w:rFonts w:ascii="Bookman Old Style" w:hAnsi="Bookman Old Style" w:cs="Times New Roman"/>
          <w:sz w:val="20"/>
          <w:szCs w:val="20"/>
        </w:rPr>
        <w:t xml:space="preserve"> Sulle tematiche del diritto all’istruzione degli studenti con disabilità, oltre a quanto già detto nella nota 63 si veda pure Cons. St., Adunanza Plenaria n. 7 del 12 aprile 2016; T.A.R. Campania, sede di Napoli, Sez. IV, 12 ottobre 2016, n. 4706, confermata da </w:t>
      </w:r>
      <w:proofErr w:type="spellStart"/>
      <w:r w:rsidRPr="00D92E9D">
        <w:rPr>
          <w:rFonts w:ascii="Bookman Old Style" w:hAnsi="Bookman Old Style" w:cs="Times New Roman"/>
          <w:sz w:val="20"/>
          <w:szCs w:val="20"/>
        </w:rPr>
        <w:t>ord</w:t>
      </w:r>
      <w:proofErr w:type="spellEnd"/>
      <w:r w:rsidRPr="00D92E9D">
        <w:rPr>
          <w:rFonts w:ascii="Bookman Old Style" w:hAnsi="Bookman Old Style" w:cs="Times New Roman"/>
          <w:sz w:val="20"/>
          <w:szCs w:val="20"/>
        </w:rPr>
        <w:t>. Cons. St., 26 gennaio 2017, n. 302.</w:t>
      </w:r>
      <w:r w:rsidR="00364DA5" w:rsidRPr="00D92E9D">
        <w:rPr>
          <w:rFonts w:ascii="Bookman Old Style" w:hAnsi="Bookman Old Style" w:cs="Times New Roman"/>
          <w:sz w:val="20"/>
          <w:szCs w:val="20"/>
        </w:rPr>
        <w:t xml:space="preserve"> Di un qualche interesse può essere una recente iniziativa di una Procura della Corte dei conti che ha ritenuto non sussistenti i presupposti dell’azione di responsabilità nei confronti degli amministratori locali di un Comune, che aveva assunti nuovi insegnanti, nonostante il rapporto tra spese del personale e spese correnti superasse i limiti di legge. Nella specie, infatti, il Comune di Napoli aveva proceduto al reclutamento di personale a tempo determinato «nella misura strettamente necessaria» per soddisfare le esigenze di continuità dei servizi educativi della scuola dell’infanzia e degli asili nido comunali nel rispetto delle risorse finanziarie, nonostante il notevole disavanzo del conto di bilancio 2011. In tale occasione, infatti, il Giudice contabile non ha esitato a mandare esenti da responsabilità gli amministratori locali, in quanto le norme sul contenimento della spesa pubblica non possono sacrificare la scuola e comprimere funzioni fondamentali come l’istruzione pubblica. Procura contabile della Regione Campania, 24 maggio 2013, con nota di M. MORVILLO, Un caso “di scuola”: la vicenda del Comune di Napoli, fra diritti e vincoli di bilancio, in Rivista AIC, n. 4/2013.</w:t>
      </w:r>
      <w:r w:rsidR="00D92E9D" w:rsidRPr="00D92E9D">
        <w:rPr>
          <w:rFonts w:ascii="Bookman Old Style" w:hAnsi="Bookman Old Style" w:cs="Times New Roman"/>
          <w:sz w:val="20"/>
          <w:szCs w:val="20"/>
        </w:rPr>
        <w:t xml:space="preserve"> Per la Corte dei conti intesa quale giudice remittente nell’esercizio dei poteri di controllo, si veda G. RIVOSECCHI</w:t>
      </w:r>
      <w:r w:rsidR="00D92E9D">
        <w:rPr>
          <w:rFonts w:ascii="Bookman Old Style" w:hAnsi="Bookman Old Style" w:cs="Times New Roman"/>
          <w:sz w:val="20"/>
          <w:szCs w:val="20"/>
        </w:rPr>
        <w:t xml:space="preserve">, </w:t>
      </w:r>
      <w:r w:rsidR="00D92E9D" w:rsidRPr="00D92E9D">
        <w:rPr>
          <w:rFonts w:ascii="Bookman Old Style" w:hAnsi="Bookman Old Style" w:cs="Times New Roman"/>
          <w:i/>
          <w:sz w:val="20"/>
          <w:szCs w:val="20"/>
        </w:rPr>
        <w:t>Controlli della Corte dei conti e incidente di costituzionalità</w:t>
      </w:r>
      <w:r w:rsidR="00D92E9D">
        <w:rPr>
          <w:rFonts w:ascii="Bookman Old Style" w:hAnsi="Bookman Old Style" w:cs="Times New Roman"/>
          <w:sz w:val="20"/>
          <w:szCs w:val="20"/>
        </w:rPr>
        <w:t xml:space="preserve">, in </w:t>
      </w:r>
      <w:r w:rsidR="00D92E9D">
        <w:rPr>
          <w:rFonts w:ascii="Bookman Old Style" w:hAnsi="Bookman Old Style" w:cs="Times New Roman"/>
          <w:i/>
          <w:sz w:val="20"/>
          <w:szCs w:val="20"/>
        </w:rPr>
        <w:t>Diritto pubblico,</w:t>
      </w:r>
      <w:r w:rsidR="00D92E9D">
        <w:rPr>
          <w:rFonts w:ascii="Bookman Old Style" w:hAnsi="Bookman Old Style" w:cs="Times New Roman"/>
          <w:sz w:val="20"/>
          <w:szCs w:val="20"/>
        </w:rPr>
        <w:t xml:space="preserve"> 2017, 2.</w:t>
      </w:r>
    </w:p>
  </w:footnote>
  <w:footnote w:id="68">
    <w:p w:rsidR="00C65B69" w:rsidRPr="00D92E9D" w:rsidRDefault="00C65B69" w:rsidP="00C65B69">
      <w:pPr>
        <w:autoSpaceDE w:val="0"/>
        <w:autoSpaceDN w:val="0"/>
        <w:adjustRightInd w:val="0"/>
        <w:spacing w:after="0" w:line="240" w:lineRule="auto"/>
        <w:jc w:val="both"/>
        <w:rPr>
          <w:rFonts w:ascii="Bookman Old Style" w:hAnsi="Bookman Old Style" w:cs="Times New Roman"/>
          <w:sz w:val="20"/>
          <w:szCs w:val="20"/>
        </w:rPr>
      </w:pPr>
      <w:r w:rsidRPr="00D92E9D">
        <w:rPr>
          <w:rFonts w:ascii="Bookman Old Style" w:hAnsi="Bookman Old Style" w:cs="Times New Roman"/>
          <w:sz w:val="20"/>
          <w:szCs w:val="20"/>
        </w:rPr>
        <w:footnoteRef/>
      </w:r>
      <w:r w:rsidRPr="00D92E9D">
        <w:rPr>
          <w:rFonts w:ascii="Bookman Old Style" w:hAnsi="Bookman Old Style" w:cs="Times New Roman"/>
          <w:sz w:val="20"/>
          <w:szCs w:val="20"/>
        </w:rPr>
        <w:t xml:space="preserve"> Corte cost. </w:t>
      </w:r>
      <w:proofErr w:type="spellStart"/>
      <w:r w:rsidRPr="00D92E9D">
        <w:rPr>
          <w:rFonts w:ascii="Bookman Old Style" w:hAnsi="Bookman Old Style" w:cs="Times New Roman"/>
          <w:sz w:val="20"/>
          <w:szCs w:val="20"/>
        </w:rPr>
        <w:t>sent</w:t>
      </w:r>
      <w:proofErr w:type="spellEnd"/>
      <w:r w:rsidRPr="00D92E9D">
        <w:rPr>
          <w:rFonts w:ascii="Bookman Old Style" w:hAnsi="Bookman Old Style" w:cs="Times New Roman"/>
          <w:sz w:val="20"/>
          <w:szCs w:val="20"/>
        </w:rPr>
        <w:t>. n. 10 del 2016. Nel caso esaminato, le risorse trasferite dalla regione Piemonte alle due province erano state ridotte dai 60 milioni di euro dell'esercizio 2010 ai circa 10 milioni dell'esercizio 2014; nella decisione si legge: “una dotazione finanziaria così drasticamente ridotta, non accompagnata da proposte di riorganizzazione dei servizi o da eventuale riallocazione delle funzioni a suo tempo trasferite, comporta una lesione dei principi (...) determinando una situazione di "inadempimento" rispetto ai parametri legislativi fissati dalla legge 59/1997 e dalla stessa legge regionale di attuazione”.</w:t>
      </w:r>
    </w:p>
  </w:footnote>
  <w:footnote w:id="69">
    <w:p w:rsidR="00C65B69" w:rsidRPr="00D92E9D" w:rsidRDefault="00C65B69" w:rsidP="00D92E9D">
      <w:pPr>
        <w:autoSpaceDE w:val="0"/>
        <w:autoSpaceDN w:val="0"/>
        <w:adjustRightInd w:val="0"/>
        <w:spacing w:after="0" w:line="240" w:lineRule="auto"/>
        <w:jc w:val="both"/>
        <w:rPr>
          <w:rFonts w:ascii="Bookman Old Style" w:hAnsi="Bookman Old Style" w:cs="Times New Roman"/>
          <w:sz w:val="20"/>
          <w:szCs w:val="20"/>
        </w:rPr>
      </w:pPr>
      <w:r w:rsidRPr="00D92E9D">
        <w:rPr>
          <w:rFonts w:ascii="Bookman Old Style" w:hAnsi="Bookman Old Style" w:cs="Times New Roman"/>
          <w:sz w:val="20"/>
          <w:szCs w:val="20"/>
        </w:rPr>
        <w:footnoteRef/>
      </w:r>
      <w:r w:rsidRPr="00D92E9D">
        <w:rPr>
          <w:rFonts w:ascii="Bookman Old Style" w:hAnsi="Bookman Old Style" w:cs="Times New Roman"/>
          <w:sz w:val="20"/>
          <w:szCs w:val="20"/>
        </w:rPr>
        <w:t xml:space="preserve"> B. PEZZINI, La decisione sui diritti sociali: indagine sulla struttura costituzionale dei diritti sociali, Milano, 2001, p. 203 e ss.</w:t>
      </w:r>
    </w:p>
  </w:footnote>
  <w:footnote w:id="70">
    <w:p w:rsidR="003F3A83" w:rsidRPr="003F3A83" w:rsidRDefault="003F3A83" w:rsidP="003F3A83">
      <w:pPr>
        <w:autoSpaceDE w:val="0"/>
        <w:autoSpaceDN w:val="0"/>
        <w:adjustRightInd w:val="0"/>
        <w:spacing w:after="0" w:line="240" w:lineRule="auto"/>
        <w:jc w:val="both"/>
        <w:rPr>
          <w:rFonts w:ascii="Bookman Old Style" w:hAnsi="Bookman Old Style" w:cs="TimesNewRomanPSMT"/>
          <w:sz w:val="20"/>
          <w:szCs w:val="20"/>
        </w:rPr>
      </w:pPr>
      <w:r w:rsidRPr="003F3A83">
        <w:rPr>
          <w:rFonts w:ascii="Bookman Old Style" w:hAnsi="Bookman Old Style" w:cs="TimesNewRomanPSMT"/>
          <w:sz w:val="20"/>
          <w:szCs w:val="20"/>
        </w:rPr>
        <w:footnoteRef/>
      </w:r>
      <w:r w:rsidRPr="003F3A83">
        <w:rPr>
          <w:rFonts w:ascii="Bookman Old Style" w:hAnsi="Bookman Old Style" w:cs="TimesNewRomanPSMT"/>
          <w:sz w:val="20"/>
          <w:szCs w:val="20"/>
        </w:rPr>
        <w:t xml:space="preserve"> Corte cost. </w:t>
      </w:r>
      <w:proofErr w:type="spellStart"/>
      <w:r w:rsidRPr="003F3A83">
        <w:rPr>
          <w:rFonts w:ascii="Bookman Old Style" w:hAnsi="Bookman Old Style" w:cs="TimesNewRomanPSMT"/>
          <w:sz w:val="20"/>
          <w:szCs w:val="20"/>
        </w:rPr>
        <w:t>sent</w:t>
      </w:r>
      <w:proofErr w:type="spellEnd"/>
      <w:r w:rsidRPr="003F3A83">
        <w:rPr>
          <w:rFonts w:ascii="Bookman Old Style" w:hAnsi="Bookman Old Style" w:cs="TimesNewRomanPSMT"/>
          <w:sz w:val="20"/>
          <w:szCs w:val="20"/>
        </w:rPr>
        <w:t>. 29 novembre 2017, n. 247</w:t>
      </w:r>
    </w:p>
  </w:footnote>
  <w:footnote w:id="71">
    <w:p w:rsidR="00D26E71" w:rsidRPr="00D26E71" w:rsidRDefault="00D26E71" w:rsidP="00D26E71">
      <w:pPr>
        <w:autoSpaceDE w:val="0"/>
        <w:autoSpaceDN w:val="0"/>
        <w:adjustRightInd w:val="0"/>
        <w:spacing w:after="0" w:line="240" w:lineRule="auto"/>
        <w:jc w:val="both"/>
        <w:rPr>
          <w:rFonts w:ascii="Bookman Old Style" w:hAnsi="Bookman Old Style" w:cs="TimesNewRomanPSMT"/>
          <w:sz w:val="20"/>
          <w:szCs w:val="20"/>
        </w:rPr>
      </w:pPr>
      <w:r w:rsidRPr="00D26E71">
        <w:rPr>
          <w:rFonts w:ascii="Bookman Old Style" w:hAnsi="Bookman Old Style" w:cs="TimesNewRomanPSMT"/>
          <w:sz w:val="20"/>
          <w:szCs w:val="20"/>
        </w:rPr>
        <w:footnoteRef/>
      </w:r>
      <w:r w:rsidRPr="00D26E71">
        <w:rPr>
          <w:rFonts w:ascii="Bookman Old Style" w:hAnsi="Bookman Old Style" w:cs="TimesNewRomanPSMT"/>
          <w:sz w:val="20"/>
          <w:szCs w:val="20"/>
        </w:rPr>
        <w:t xml:space="preserve"> Sul punto, si veda </w:t>
      </w:r>
      <w:r>
        <w:rPr>
          <w:rFonts w:ascii="Bookman Old Style" w:hAnsi="Bookman Old Style" w:cs="TimesNewRomanPSMT"/>
          <w:sz w:val="20"/>
          <w:szCs w:val="20"/>
        </w:rPr>
        <w:t xml:space="preserve">F. SUCAMELI, </w:t>
      </w:r>
      <w:r w:rsidRPr="00D26E71">
        <w:rPr>
          <w:rFonts w:ascii="Bookman Old Style" w:hAnsi="Bookman Old Style" w:cs="TimesNewRomanPSMT"/>
          <w:i/>
          <w:sz w:val="20"/>
          <w:szCs w:val="20"/>
        </w:rPr>
        <w:t>La “</w:t>
      </w:r>
      <w:proofErr w:type="spellStart"/>
      <w:r w:rsidRPr="00D26E71">
        <w:rPr>
          <w:rFonts w:ascii="Bookman Old Style" w:hAnsi="Bookman Old Style" w:cs="TimesNewRomanPSMT"/>
          <w:i/>
          <w:sz w:val="20"/>
          <w:szCs w:val="20"/>
        </w:rPr>
        <w:t>iurisdictio</w:t>
      </w:r>
      <w:proofErr w:type="spellEnd"/>
      <w:r w:rsidRPr="00D26E71">
        <w:rPr>
          <w:rFonts w:ascii="Bookman Old Style" w:hAnsi="Bookman Old Style" w:cs="TimesNewRomanPSMT"/>
          <w:i/>
          <w:sz w:val="20"/>
          <w:szCs w:val="20"/>
        </w:rPr>
        <w:t>” contabile e la tutela degli interessi diffusi nell’ottica dell’attuazione “domestica” del principio costituzionale dell’equilibrio di bilancio</w:t>
      </w:r>
      <w:r>
        <w:rPr>
          <w:rFonts w:ascii="Bookman Old Style" w:hAnsi="Bookman Old Style" w:cs="TimesNewRomanPSMT"/>
          <w:sz w:val="20"/>
          <w:szCs w:val="20"/>
        </w:rPr>
        <w:t>, in ww.federalismi.it</w:t>
      </w:r>
    </w:p>
  </w:footnote>
  <w:footnote w:id="72">
    <w:p w:rsidR="00D92E9D" w:rsidRPr="00D92E9D" w:rsidRDefault="00D92E9D" w:rsidP="00D92E9D">
      <w:pPr>
        <w:autoSpaceDE w:val="0"/>
        <w:autoSpaceDN w:val="0"/>
        <w:adjustRightInd w:val="0"/>
        <w:spacing w:after="0" w:line="240" w:lineRule="auto"/>
        <w:jc w:val="both"/>
        <w:rPr>
          <w:rFonts w:ascii="Bookman Old Style" w:hAnsi="Bookman Old Style" w:cs="TimesNewRomanPSMT"/>
          <w:sz w:val="20"/>
          <w:szCs w:val="20"/>
        </w:rPr>
      </w:pPr>
      <w:r w:rsidRPr="00D92E9D">
        <w:rPr>
          <w:rFonts w:ascii="Bookman Old Style" w:hAnsi="Bookman Old Style" w:cs="TimesNewRomanPSMT"/>
          <w:sz w:val="20"/>
          <w:szCs w:val="20"/>
        </w:rPr>
        <w:footnoteRef/>
      </w:r>
      <w:r w:rsidRPr="00D92E9D">
        <w:rPr>
          <w:rFonts w:ascii="Bookman Old Style" w:hAnsi="Bookman Old Style" w:cs="TimesNewRomanPSMT"/>
          <w:sz w:val="20"/>
          <w:szCs w:val="20"/>
        </w:rPr>
        <w:t xml:space="preserve"> C</w:t>
      </w:r>
      <w:r>
        <w:rPr>
          <w:rFonts w:ascii="Bookman Old Style" w:hAnsi="Bookman Old Style" w:cs="TimesNewRomanPSMT"/>
          <w:sz w:val="20"/>
          <w:szCs w:val="20"/>
        </w:rPr>
        <w:t xml:space="preserve">orte cost. </w:t>
      </w:r>
      <w:proofErr w:type="spellStart"/>
      <w:r>
        <w:rPr>
          <w:rFonts w:ascii="Bookman Old Style" w:hAnsi="Bookman Old Style" w:cs="TimesNewRomanPSMT"/>
          <w:sz w:val="20"/>
          <w:szCs w:val="20"/>
        </w:rPr>
        <w:t>sent</w:t>
      </w:r>
      <w:proofErr w:type="spellEnd"/>
      <w:r>
        <w:rPr>
          <w:rFonts w:ascii="Bookman Old Style" w:hAnsi="Bookman Old Style" w:cs="TimesNewRomanPSMT"/>
          <w:sz w:val="20"/>
          <w:szCs w:val="20"/>
        </w:rPr>
        <w:t xml:space="preserve">. </w:t>
      </w:r>
      <w:r w:rsidRPr="00D92E9D">
        <w:rPr>
          <w:rFonts w:ascii="Bookman Old Style" w:hAnsi="Bookman Old Style" w:cs="TimesNewRomanPSMT"/>
          <w:sz w:val="20"/>
          <w:szCs w:val="20"/>
        </w:rPr>
        <w:t>n. 60 del 2013, punto n. 5.2 del “Considerato in diritto”; e n. 39 del 2014, punto n. 6.3.4.3.2 del “Considerato in diri</w:t>
      </w:r>
      <w:r>
        <w:rPr>
          <w:rFonts w:ascii="Bookman Old Style" w:hAnsi="Bookman Old Style" w:cs="TimesNewRomanPSMT"/>
          <w:sz w:val="20"/>
          <w:szCs w:val="20"/>
        </w:rPr>
        <w:t>tto”, con significativo mutamen</w:t>
      </w:r>
      <w:r w:rsidRPr="00D92E9D">
        <w:rPr>
          <w:rFonts w:ascii="Bookman Old Style" w:hAnsi="Bookman Old Style" w:cs="TimesNewRomanPSMT"/>
          <w:sz w:val="20"/>
          <w:szCs w:val="20"/>
        </w:rPr>
        <w:t>to rispetto all’espressione “Stato-comunità” privilegiata nelle pronunce precedenti (cfr., ad esempio, sentenze n. 29 del 1995, punto n. 9.2 del “Considerato in diritto”; n. 470 del 1997, punto n. 2 del “Considerato in diritto”; n. 267 del 2006, punto n. 4 del “Considerato in diritto”), comunque idonea a valorizzare il ruolo della Corte dei conti nel sistema.</w:t>
      </w:r>
    </w:p>
  </w:footnote>
  <w:footnote w:id="73">
    <w:p w:rsidR="009C7F89" w:rsidRDefault="009C7F89" w:rsidP="00D26E71">
      <w:pPr>
        <w:autoSpaceDE w:val="0"/>
        <w:autoSpaceDN w:val="0"/>
        <w:adjustRightInd w:val="0"/>
        <w:spacing w:after="0" w:line="240" w:lineRule="auto"/>
        <w:jc w:val="both"/>
      </w:pPr>
      <w:r w:rsidRPr="009C7F89">
        <w:rPr>
          <w:rStyle w:val="Rimandonotaapidipagina"/>
          <w:rFonts w:ascii="Bookman Old Style" w:hAnsi="Bookman Old Style"/>
          <w:sz w:val="20"/>
          <w:szCs w:val="20"/>
        </w:rPr>
        <w:footnoteRef/>
      </w:r>
      <w:r w:rsidRPr="009C7F89">
        <w:rPr>
          <w:rFonts w:ascii="Bookman Old Style" w:hAnsi="Bookman Old Style"/>
          <w:sz w:val="20"/>
          <w:szCs w:val="20"/>
        </w:rPr>
        <w:t xml:space="preserve"> </w:t>
      </w:r>
      <w:r w:rsidRPr="009C7F89">
        <w:rPr>
          <w:rFonts w:ascii="Bookman Old Style" w:hAnsi="Bookman Old Style" w:cs="Times New Roman"/>
          <w:sz w:val="20"/>
          <w:szCs w:val="20"/>
        </w:rPr>
        <w:t xml:space="preserve">M.S. GIANNINI, </w:t>
      </w:r>
      <w:r w:rsidRPr="009C7F89">
        <w:rPr>
          <w:rFonts w:ascii="Bookman Old Style" w:hAnsi="Bookman Old Style" w:cs="Times New Roman"/>
          <w:i/>
          <w:sz w:val="20"/>
          <w:szCs w:val="20"/>
        </w:rPr>
        <w:t>Origini e caratteristiche della normativa contabile del 1923-24</w:t>
      </w:r>
      <w:r w:rsidRPr="009C7F89">
        <w:rPr>
          <w:rFonts w:ascii="Bookman Old Style" w:hAnsi="Bookman Old Style" w:cs="Times New Roman"/>
          <w:sz w:val="20"/>
          <w:szCs w:val="20"/>
        </w:rPr>
        <w:t xml:space="preserve">, in R. Perez (a cura di), </w:t>
      </w:r>
      <w:r w:rsidRPr="009C7F89">
        <w:rPr>
          <w:rFonts w:ascii="Bookman Old Style" w:hAnsi="Bookman Old Style" w:cs="Times New Roman"/>
          <w:i/>
          <w:sz w:val="20"/>
          <w:szCs w:val="20"/>
        </w:rPr>
        <w:t>Il completamento della riforma della contabilità pubblica</w:t>
      </w:r>
      <w:r w:rsidRPr="009C7F89">
        <w:rPr>
          <w:rFonts w:ascii="Bookman Old Style" w:hAnsi="Bookman Old Style" w:cs="Times New Roman"/>
          <w:sz w:val="20"/>
          <w:szCs w:val="20"/>
        </w:rPr>
        <w:t xml:space="preserve">, Milano, </w:t>
      </w:r>
      <w:proofErr w:type="spellStart"/>
      <w:r w:rsidRPr="009C7F89">
        <w:rPr>
          <w:rFonts w:ascii="Bookman Old Style" w:hAnsi="Bookman Old Style" w:cs="Times New Roman"/>
          <w:sz w:val="20"/>
          <w:szCs w:val="20"/>
        </w:rPr>
        <w:t>Giuffrè</w:t>
      </w:r>
      <w:proofErr w:type="spellEnd"/>
      <w:r w:rsidRPr="009C7F89">
        <w:rPr>
          <w:rFonts w:ascii="Bookman Old Style" w:hAnsi="Bookman Old Style" w:cs="Times New Roman"/>
          <w:sz w:val="20"/>
          <w:szCs w:val="20"/>
        </w:rPr>
        <w:t xml:space="preserve">, 1988, 11 ss., ed ora in Id., </w:t>
      </w:r>
      <w:r w:rsidRPr="009C7F89">
        <w:rPr>
          <w:rFonts w:ascii="Bookman Old Style" w:hAnsi="Bookman Old Style" w:cs="Times New Roman"/>
          <w:i/>
          <w:sz w:val="20"/>
          <w:szCs w:val="20"/>
        </w:rPr>
        <w:t>Scritti (1984-1990)</w:t>
      </w:r>
      <w:r w:rsidRPr="009C7F89">
        <w:rPr>
          <w:rFonts w:ascii="Bookman Old Style" w:hAnsi="Bookman Old Style" w:cs="Times New Roman"/>
          <w:sz w:val="20"/>
          <w:szCs w:val="20"/>
        </w:rPr>
        <w:t xml:space="preserve">, Milano, </w:t>
      </w:r>
      <w:proofErr w:type="spellStart"/>
      <w:r w:rsidRPr="009C7F89">
        <w:rPr>
          <w:rFonts w:ascii="Bookman Old Style" w:hAnsi="Bookman Old Style" w:cs="Times New Roman"/>
          <w:sz w:val="20"/>
          <w:szCs w:val="20"/>
        </w:rPr>
        <w:t>Giuffrè</w:t>
      </w:r>
      <w:proofErr w:type="spellEnd"/>
      <w:r w:rsidRPr="009C7F89">
        <w:rPr>
          <w:rFonts w:ascii="Bookman Old Style" w:hAnsi="Bookman Old Style" w:cs="Times New Roman"/>
          <w:sz w:val="20"/>
          <w:szCs w:val="20"/>
        </w:rPr>
        <w:t>, 2006, vol. III, 797 ss</w:t>
      </w:r>
      <w:r>
        <w:rPr>
          <w:rFonts w:ascii="Times New Roman" w:hAnsi="Times New Roman" w:cs="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80319"/>
    <w:multiLevelType w:val="hybridMultilevel"/>
    <w:tmpl w:val="EF36B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C62168"/>
    <w:multiLevelType w:val="hybridMultilevel"/>
    <w:tmpl w:val="9674445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51C667F7"/>
    <w:multiLevelType w:val="multilevel"/>
    <w:tmpl w:val="596C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4966F2"/>
    <w:multiLevelType w:val="multilevel"/>
    <w:tmpl w:val="2BC6C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36"/>
    <w:rsid w:val="000042E4"/>
    <w:rsid w:val="000051B7"/>
    <w:rsid w:val="000471B0"/>
    <w:rsid w:val="00071754"/>
    <w:rsid w:val="00094BB3"/>
    <w:rsid w:val="000D62A9"/>
    <w:rsid w:val="00126EC2"/>
    <w:rsid w:val="001575EB"/>
    <w:rsid w:val="001627E9"/>
    <w:rsid w:val="001D6E6F"/>
    <w:rsid w:val="00221925"/>
    <w:rsid w:val="002267E7"/>
    <w:rsid w:val="0023566E"/>
    <w:rsid w:val="00246418"/>
    <w:rsid w:val="00281C72"/>
    <w:rsid w:val="00281E53"/>
    <w:rsid w:val="002A087C"/>
    <w:rsid w:val="002C0059"/>
    <w:rsid w:val="002C2E8F"/>
    <w:rsid w:val="002D27CB"/>
    <w:rsid w:val="002F47CA"/>
    <w:rsid w:val="00321254"/>
    <w:rsid w:val="00352ACF"/>
    <w:rsid w:val="00362870"/>
    <w:rsid w:val="00364DA5"/>
    <w:rsid w:val="00370324"/>
    <w:rsid w:val="00373D35"/>
    <w:rsid w:val="003759C4"/>
    <w:rsid w:val="003D29FA"/>
    <w:rsid w:val="003D56B8"/>
    <w:rsid w:val="003E089B"/>
    <w:rsid w:val="003E19B8"/>
    <w:rsid w:val="003F1323"/>
    <w:rsid w:val="003F3A83"/>
    <w:rsid w:val="003F58BA"/>
    <w:rsid w:val="003F7DEC"/>
    <w:rsid w:val="004722BB"/>
    <w:rsid w:val="00486DB5"/>
    <w:rsid w:val="00490AED"/>
    <w:rsid w:val="00490CD4"/>
    <w:rsid w:val="004942C8"/>
    <w:rsid w:val="004A17AC"/>
    <w:rsid w:val="004B4D91"/>
    <w:rsid w:val="004D2090"/>
    <w:rsid w:val="004F4CEF"/>
    <w:rsid w:val="0052776C"/>
    <w:rsid w:val="00527BE4"/>
    <w:rsid w:val="00541EF8"/>
    <w:rsid w:val="00573879"/>
    <w:rsid w:val="00581216"/>
    <w:rsid w:val="005814C4"/>
    <w:rsid w:val="005A5A1C"/>
    <w:rsid w:val="005C1AFC"/>
    <w:rsid w:val="005C6B13"/>
    <w:rsid w:val="005E5147"/>
    <w:rsid w:val="005F4EF8"/>
    <w:rsid w:val="00652D68"/>
    <w:rsid w:val="006844CC"/>
    <w:rsid w:val="0069388E"/>
    <w:rsid w:val="00695374"/>
    <w:rsid w:val="006B2E71"/>
    <w:rsid w:val="006B5A9E"/>
    <w:rsid w:val="006D7687"/>
    <w:rsid w:val="006E5979"/>
    <w:rsid w:val="00732DF6"/>
    <w:rsid w:val="00745E1A"/>
    <w:rsid w:val="0075267D"/>
    <w:rsid w:val="00796B8F"/>
    <w:rsid w:val="007A5F0C"/>
    <w:rsid w:val="007B10E4"/>
    <w:rsid w:val="007B6925"/>
    <w:rsid w:val="007B7AB4"/>
    <w:rsid w:val="007E4423"/>
    <w:rsid w:val="007F6042"/>
    <w:rsid w:val="00803F8A"/>
    <w:rsid w:val="00816AB5"/>
    <w:rsid w:val="0083342B"/>
    <w:rsid w:val="008632B9"/>
    <w:rsid w:val="008726D3"/>
    <w:rsid w:val="008A2A64"/>
    <w:rsid w:val="008A6536"/>
    <w:rsid w:val="008B730B"/>
    <w:rsid w:val="008E6D0D"/>
    <w:rsid w:val="008F3DE8"/>
    <w:rsid w:val="008F4ACB"/>
    <w:rsid w:val="008F681D"/>
    <w:rsid w:val="00973D33"/>
    <w:rsid w:val="00990A66"/>
    <w:rsid w:val="009C7F89"/>
    <w:rsid w:val="009F32FB"/>
    <w:rsid w:val="00A06DA9"/>
    <w:rsid w:val="00A3404B"/>
    <w:rsid w:val="00A37E49"/>
    <w:rsid w:val="00A542C3"/>
    <w:rsid w:val="00A550FE"/>
    <w:rsid w:val="00A56F77"/>
    <w:rsid w:val="00A67B52"/>
    <w:rsid w:val="00A73BB5"/>
    <w:rsid w:val="00A829AF"/>
    <w:rsid w:val="00AA575A"/>
    <w:rsid w:val="00AE4098"/>
    <w:rsid w:val="00AE712B"/>
    <w:rsid w:val="00B103E9"/>
    <w:rsid w:val="00B125D7"/>
    <w:rsid w:val="00B335DF"/>
    <w:rsid w:val="00BA48F0"/>
    <w:rsid w:val="00BA5FD8"/>
    <w:rsid w:val="00BD5DF4"/>
    <w:rsid w:val="00BE2CF3"/>
    <w:rsid w:val="00BF6788"/>
    <w:rsid w:val="00C266D9"/>
    <w:rsid w:val="00C36DED"/>
    <w:rsid w:val="00C477CF"/>
    <w:rsid w:val="00C65B69"/>
    <w:rsid w:val="00C75729"/>
    <w:rsid w:val="00C76DE4"/>
    <w:rsid w:val="00C8141F"/>
    <w:rsid w:val="00C81E0F"/>
    <w:rsid w:val="00C858B6"/>
    <w:rsid w:val="00CF0309"/>
    <w:rsid w:val="00D11BEB"/>
    <w:rsid w:val="00D26E71"/>
    <w:rsid w:val="00D31D13"/>
    <w:rsid w:val="00D4492B"/>
    <w:rsid w:val="00D86FC3"/>
    <w:rsid w:val="00D92E9D"/>
    <w:rsid w:val="00DA7135"/>
    <w:rsid w:val="00DC005D"/>
    <w:rsid w:val="00DD34A2"/>
    <w:rsid w:val="00DE7387"/>
    <w:rsid w:val="00E301D9"/>
    <w:rsid w:val="00E370EF"/>
    <w:rsid w:val="00E464ED"/>
    <w:rsid w:val="00E57C3C"/>
    <w:rsid w:val="00E6695E"/>
    <w:rsid w:val="00E87D24"/>
    <w:rsid w:val="00EC5EA3"/>
    <w:rsid w:val="00EC65E9"/>
    <w:rsid w:val="00F1465B"/>
    <w:rsid w:val="00F47F79"/>
    <w:rsid w:val="00F50F7C"/>
    <w:rsid w:val="00F626B5"/>
    <w:rsid w:val="00FB5CF2"/>
    <w:rsid w:val="00FF2C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ABC57-37D3-4F40-BED0-ABBB300F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7B10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B10E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next w:val="Normale"/>
    <w:link w:val="Titolo4Carattere"/>
    <w:uiPriority w:val="9"/>
    <w:semiHidden/>
    <w:unhideWhenUsed/>
    <w:qFormat/>
    <w:rsid w:val="003628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6536"/>
    <w:pPr>
      <w:ind w:left="720"/>
      <w:contextualSpacing/>
    </w:pPr>
  </w:style>
  <w:style w:type="paragraph" w:styleId="Testonotaapidipagina">
    <w:name w:val="footnote text"/>
    <w:basedOn w:val="Normale"/>
    <w:link w:val="TestonotaapidipaginaCarattere"/>
    <w:unhideWhenUsed/>
    <w:rsid w:val="005814C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814C4"/>
    <w:rPr>
      <w:sz w:val="20"/>
      <w:szCs w:val="20"/>
    </w:rPr>
  </w:style>
  <w:style w:type="character" w:styleId="Rimandonotaapidipagina">
    <w:name w:val="footnote reference"/>
    <w:basedOn w:val="Carpredefinitoparagrafo"/>
    <w:unhideWhenUsed/>
    <w:rsid w:val="005814C4"/>
    <w:rPr>
      <w:vertAlign w:val="superscript"/>
    </w:rPr>
  </w:style>
  <w:style w:type="paragraph" w:styleId="NormaleWeb">
    <w:name w:val="Normal (Web)"/>
    <w:basedOn w:val="Normale"/>
    <w:uiPriority w:val="99"/>
    <w:semiHidden/>
    <w:unhideWhenUsed/>
    <w:rsid w:val="008726D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nhideWhenUsed/>
    <w:rsid w:val="008726D3"/>
    <w:rPr>
      <w:color w:val="0000FF"/>
      <w:u w:val="single"/>
    </w:rPr>
  </w:style>
  <w:style w:type="character" w:customStyle="1" w:styleId="Titolo1Carattere">
    <w:name w:val="Titolo 1 Carattere"/>
    <w:basedOn w:val="Carpredefinitoparagrafo"/>
    <w:link w:val="Titolo1"/>
    <w:uiPriority w:val="9"/>
    <w:rsid w:val="007B10E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B10E4"/>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7B10E4"/>
    <w:rPr>
      <w:b/>
      <w:bCs/>
    </w:rPr>
  </w:style>
  <w:style w:type="character" w:customStyle="1" w:styleId="avail-green">
    <w:name w:val="avail-green"/>
    <w:basedOn w:val="Carpredefinitoparagrafo"/>
    <w:rsid w:val="007B10E4"/>
  </w:style>
  <w:style w:type="character" w:customStyle="1" w:styleId="productlabel">
    <w:name w:val="product_label"/>
    <w:basedOn w:val="Carpredefinitoparagrafo"/>
    <w:rsid w:val="007B10E4"/>
  </w:style>
  <w:style w:type="character" w:customStyle="1" w:styleId="producttext">
    <w:name w:val="product_text"/>
    <w:basedOn w:val="Carpredefinitoparagrafo"/>
    <w:rsid w:val="007B10E4"/>
  </w:style>
  <w:style w:type="character" w:styleId="Enfasicorsivo">
    <w:name w:val="Emphasis"/>
    <w:uiPriority w:val="20"/>
    <w:qFormat/>
    <w:rsid w:val="00352ACF"/>
    <w:rPr>
      <w:i/>
      <w:iCs/>
    </w:rPr>
  </w:style>
  <w:style w:type="character" w:customStyle="1" w:styleId="Titolo4Carattere">
    <w:name w:val="Titolo 4 Carattere"/>
    <w:basedOn w:val="Carpredefinitoparagrafo"/>
    <w:link w:val="Titolo4"/>
    <w:uiPriority w:val="9"/>
    <w:semiHidden/>
    <w:rsid w:val="00362870"/>
    <w:rPr>
      <w:rFonts w:asciiTheme="majorHAnsi" w:eastAsiaTheme="majorEastAsia" w:hAnsiTheme="majorHAnsi" w:cstheme="majorBidi"/>
      <w:i/>
      <w:iCs/>
      <w:color w:val="2E74B5" w:themeColor="accent1" w:themeShade="BF"/>
    </w:rPr>
  </w:style>
  <w:style w:type="paragraph" w:customStyle="1" w:styleId="Default">
    <w:name w:val="Default"/>
    <w:rsid w:val="00C65B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82675">
      <w:bodyDiv w:val="1"/>
      <w:marLeft w:val="0"/>
      <w:marRight w:val="0"/>
      <w:marTop w:val="0"/>
      <w:marBottom w:val="0"/>
      <w:divBdr>
        <w:top w:val="none" w:sz="0" w:space="0" w:color="auto"/>
        <w:left w:val="none" w:sz="0" w:space="0" w:color="auto"/>
        <w:bottom w:val="none" w:sz="0" w:space="0" w:color="auto"/>
        <w:right w:val="none" w:sz="0" w:space="0" w:color="auto"/>
      </w:divBdr>
      <w:divsChild>
        <w:div w:id="1036468513">
          <w:marLeft w:val="0"/>
          <w:marRight w:val="0"/>
          <w:marTop w:val="0"/>
          <w:marBottom w:val="0"/>
          <w:divBdr>
            <w:top w:val="none" w:sz="0" w:space="0" w:color="auto"/>
            <w:left w:val="none" w:sz="0" w:space="0" w:color="auto"/>
            <w:bottom w:val="none" w:sz="0" w:space="0" w:color="auto"/>
            <w:right w:val="none" w:sz="0" w:space="0" w:color="auto"/>
          </w:divBdr>
          <w:divsChild>
            <w:div w:id="510334302">
              <w:marLeft w:val="0"/>
              <w:marRight w:val="0"/>
              <w:marTop w:val="0"/>
              <w:marBottom w:val="0"/>
              <w:divBdr>
                <w:top w:val="none" w:sz="0" w:space="0" w:color="auto"/>
                <w:left w:val="none" w:sz="0" w:space="0" w:color="auto"/>
                <w:bottom w:val="none" w:sz="0" w:space="0" w:color="auto"/>
                <w:right w:val="none" w:sz="0" w:space="0" w:color="auto"/>
              </w:divBdr>
            </w:div>
          </w:divsChild>
        </w:div>
        <w:div w:id="1591691842">
          <w:marLeft w:val="0"/>
          <w:marRight w:val="0"/>
          <w:marTop w:val="0"/>
          <w:marBottom w:val="0"/>
          <w:divBdr>
            <w:top w:val="none" w:sz="0" w:space="0" w:color="auto"/>
            <w:left w:val="none" w:sz="0" w:space="0" w:color="auto"/>
            <w:bottom w:val="none" w:sz="0" w:space="0" w:color="auto"/>
            <w:right w:val="none" w:sz="0" w:space="0" w:color="auto"/>
          </w:divBdr>
          <w:divsChild>
            <w:div w:id="426274179">
              <w:marLeft w:val="0"/>
              <w:marRight w:val="0"/>
              <w:marTop w:val="150"/>
              <w:marBottom w:val="0"/>
              <w:divBdr>
                <w:top w:val="none" w:sz="0" w:space="0" w:color="auto"/>
                <w:left w:val="none" w:sz="0" w:space="0" w:color="auto"/>
                <w:bottom w:val="none" w:sz="0" w:space="0" w:color="auto"/>
                <w:right w:val="none" w:sz="0" w:space="0" w:color="auto"/>
              </w:divBdr>
            </w:div>
          </w:divsChild>
        </w:div>
        <w:div w:id="1625185487">
          <w:marLeft w:val="0"/>
          <w:marRight w:val="0"/>
          <w:marTop w:val="0"/>
          <w:marBottom w:val="0"/>
          <w:divBdr>
            <w:top w:val="none" w:sz="0" w:space="0" w:color="auto"/>
            <w:left w:val="none" w:sz="0" w:space="0" w:color="auto"/>
            <w:bottom w:val="none" w:sz="0" w:space="0" w:color="auto"/>
            <w:right w:val="none" w:sz="0" w:space="0" w:color="auto"/>
          </w:divBdr>
        </w:div>
      </w:divsChild>
    </w:div>
    <w:div w:id="555550955">
      <w:bodyDiv w:val="1"/>
      <w:marLeft w:val="0"/>
      <w:marRight w:val="0"/>
      <w:marTop w:val="0"/>
      <w:marBottom w:val="0"/>
      <w:divBdr>
        <w:top w:val="none" w:sz="0" w:space="0" w:color="auto"/>
        <w:left w:val="none" w:sz="0" w:space="0" w:color="auto"/>
        <w:bottom w:val="none" w:sz="0" w:space="0" w:color="auto"/>
        <w:right w:val="none" w:sz="0" w:space="0" w:color="auto"/>
      </w:divBdr>
    </w:div>
    <w:div w:id="1096948483">
      <w:bodyDiv w:val="1"/>
      <w:marLeft w:val="0"/>
      <w:marRight w:val="0"/>
      <w:marTop w:val="0"/>
      <w:marBottom w:val="0"/>
      <w:divBdr>
        <w:top w:val="none" w:sz="0" w:space="0" w:color="auto"/>
        <w:left w:val="none" w:sz="0" w:space="0" w:color="auto"/>
        <w:bottom w:val="none" w:sz="0" w:space="0" w:color="auto"/>
        <w:right w:val="none" w:sz="0" w:space="0" w:color="auto"/>
      </w:divBdr>
    </w:div>
    <w:div w:id="1575552347">
      <w:bodyDiv w:val="1"/>
      <w:marLeft w:val="0"/>
      <w:marRight w:val="0"/>
      <w:marTop w:val="0"/>
      <w:marBottom w:val="0"/>
      <w:divBdr>
        <w:top w:val="none" w:sz="0" w:space="0" w:color="auto"/>
        <w:left w:val="none" w:sz="0" w:space="0" w:color="auto"/>
        <w:bottom w:val="none" w:sz="0" w:space="0" w:color="auto"/>
        <w:right w:val="none" w:sz="0" w:space="0" w:color="auto"/>
      </w:divBdr>
    </w:div>
    <w:div w:id="158279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uristidiamministrazione.com/wordpress/prestazioni-sociali-vincoli-bilancio/" TargetMode="External"/><Relationship Id="rId13" Type="http://schemas.openxmlformats.org/officeDocument/2006/relationships/hyperlink" Target="https://it.wikipedia.org/wiki/Parlamento_europeo" TargetMode="External"/><Relationship Id="rId18" Type="http://schemas.openxmlformats.org/officeDocument/2006/relationships/hyperlink" Target="https://it.wikipedia.org/wiki/Unione_europea" TargetMode="External"/><Relationship Id="rId3" Type="http://schemas.openxmlformats.org/officeDocument/2006/relationships/styles" Target="styles.xml"/><Relationship Id="rId21" Type="http://schemas.openxmlformats.org/officeDocument/2006/relationships/hyperlink" Target="https://it.wikipedia.org/wiki/1999" TargetMode="External"/><Relationship Id="rId7" Type="http://schemas.openxmlformats.org/officeDocument/2006/relationships/endnotes" Target="endnotes.xml"/><Relationship Id="rId12" Type="http://schemas.openxmlformats.org/officeDocument/2006/relationships/hyperlink" Target="https://it.wikipedia.org/wiki/Strasburgo" TargetMode="External"/><Relationship Id="rId17" Type="http://schemas.openxmlformats.org/officeDocument/2006/relationships/hyperlink" Target="https://it.wikipedia.org/wiki/Trattato_sull%27Unione_europea" TargetMode="External"/><Relationship Id="rId2" Type="http://schemas.openxmlformats.org/officeDocument/2006/relationships/numbering" Target="numbering.xml"/><Relationship Id="rId16" Type="http://schemas.openxmlformats.org/officeDocument/2006/relationships/hyperlink" Target="https://it.wikipedia.org/wiki/Trattato_di_Lisbona" TargetMode="External"/><Relationship Id="rId20" Type="http://schemas.openxmlformats.org/officeDocument/2006/relationships/hyperlink" Target="https://it.wikipedia.org/wiki/Colonia_(Germ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wikipedia.org/wiki/200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t.wikipedia.org/wiki/Commissione_europea" TargetMode="External"/><Relationship Id="rId23" Type="http://schemas.openxmlformats.org/officeDocument/2006/relationships/fontTable" Target="fontTable.xml"/><Relationship Id="rId10" Type="http://schemas.openxmlformats.org/officeDocument/2006/relationships/hyperlink" Target="https://it.wikipedia.org/wiki/Nizza" TargetMode="External"/><Relationship Id="rId19" Type="http://schemas.openxmlformats.org/officeDocument/2006/relationships/hyperlink" Target="https://it.wikipedia.org/wiki/Consiglio_europeo" TargetMode="External"/><Relationship Id="rId4" Type="http://schemas.openxmlformats.org/officeDocument/2006/relationships/settings" Target="settings.xml"/><Relationship Id="rId9" Type="http://schemas.openxmlformats.org/officeDocument/2006/relationships/hyperlink" Target="https://it.wikipedia.org/wiki/2000" TargetMode="External"/><Relationship Id="rId14" Type="http://schemas.openxmlformats.org/officeDocument/2006/relationships/hyperlink" Target="https://it.wikipedia.org/wiki/Consiglio_dell%27Unione_europea" TargetMode="External"/><Relationship Id="rId22" Type="http://schemas.openxmlformats.org/officeDocument/2006/relationships/hyperlink" Target="https://www.mulino.it/isbn/978881507765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iuristidiamministrazione.com/wordpress/prestazioni-sociali-vincoli-bilancio/" TargetMode="External"/><Relationship Id="rId2" Type="http://schemas.openxmlformats.org/officeDocument/2006/relationships/hyperlink" Target="http://www.giuristidiamministrazione.com/wordpress/prestazioni-sociali-vincoli-bilancio/" TargetMode="External"/><Relationship Id="rId1" Type="http://schemas.openxmlformats.org/officeDocument/2006/relationships/hyperlink" Target="http://www.giuristidiamministrazione.com/wordpress/prestazioni-sociali-vincoli-bilancio/" TargetMode="External"/><Relationship Id="rId6" Type="http://schemas.openxmlformats.org/officeDocument/2006/relationships/hyperlink" Target="http://www.federalismi.it" TargetMode="External"/><Relationship Id="rId5" Type="http://schemas.openxmlformats.org/officeDocument/2006/relationships/hyperlink" Target="https://www.libreriauniversitaria.it/libri-editore_Il+Mulino-il_mulino.htm" TargetMode="External"/><Relationship Id="rId4" Type="http://schemas.openxmlformats.org/officeDocument/2006/relationships/hyperlink" Target="https://www.libreriauniversitaria.it/libri-autore_dworkin+ronald-ronald_dworkin.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D1332-1C95-4B58-BE8B-1CBD1229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28</Pages>
  <Words>7587</Words>
  <Characters>43252</Characters>
  <Application>Microsoft Office Word</Application>
  <DocSecurity>0</DocSecurity>
  <Lines>360</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Caso Luigi</dc:creator>
  <cp:keywords/>
  <dc:description/>
  <cp:lastModifiedBy>VOLPE Nicola</cp:lastModifiedBy>
  <cp:revision>17</cp:revision>
  <dcterms:created xsi:type="dcterms:W3CDTF">2018-04-16T15:25:00Z</dcterms:created>
  <dcterms:modified xsi:type="dcterms:W3CDTF">2018-09-19T07:33:00Z</dcterms:modified>
</cp:coreProperties>
</file>