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C1" w:rsidRDefault="0015236B">
      <w:pPr>
        <w:spacing w:line="404" w:lineRule="exact"/>
        <w:ind w:right="144"/>
        <w:jc w:val="both"/>
        <w:textAlignment w:val="baseline"/>
        <w:rPr>
          <w:rFonts w:ascii="Garamond" w:eastAsia="Calibri" w:hAnsi="Garamond"/>
          <w:b/>
          <w:color w:val="000000"/>
          <w:spacing w:val="-1"/>
          <w:sz w:val="32"/>
          <w:szCs w:val="32"/>
          <w:lang w:val="it-IT"/>
        </w:rPr>
      </w:pPr>
      <w:bookmarkStart w:id="0" w:name="_GoBack"/>
      <w:r w:rsidRPr="00CA7BC5">
        <w:rPr>
          <w:rFonts w:ascii="Garamond" w:eastAsia="Calibri" w:hAnsi="Garamond"/>
          <w:b/>
          <w:color w:val="000000"/>
          <w:spacing w:val="-1"/>
          <w:sz w:val="32"/>
          <w:szCs w:val="32"/>
          <w:lang w:val="it-IT"/>
        </w:rPr>
        <w:t>Intervento del Presidente del Consiglio di Stato Franco Frattini nel corso della cerimonia di inaugurazione dell’anno giudiziario del Tar Lazio</w:t>
      </w:r>
    </w:p>
    <w:p w:rsidR="0071463D" w:rsidRPr="0071463D" w:rsidRDefault="0071463D">
      <w:pPr>
        <w:spacing w:line="404" w:lineRule="exact"/>
        <w:ind w:right="144"/>
        <w:jc w:val="both"/>
        <w:textAlignment w:val="baseline"/>
        <w:rPr>
          <w:rFonts w:ascii="Garamond" w:eastAsia="Calibri" w:hAnsi="Garamond"/>
          <w:i/>
          <w:color w:val="000000"/>
          <w:spacing w:val="-1"/>
          <w:sz w:val="32"/>
          <w:szCs w:val="32"/>
          <w:lang w:val="it-IT"/>
        </w:rPr>
      </w:pPr>
      <w:r>
        <w:rPr>
          <w:rFonts w:ascii="Garamond" w:eastAsia="Calibri" w:hAnsi="Garamond"/>
          <w:i/>
          <w:color w:val="000000"/>
          <w:spacing w:val="-1"/>
          <w:sz w:val="32"/>
          <w:szCs w:val="32"/>
          <w:lang w:val="it-IT"/>
        </w:rPr>
        <w:t>2 marzo 2022</w:t>
      </w:r>
    </w:p>
    <w:bookmarkEnd w:id="0"/>
    <w:p w:rsidR="00AB29C1" w:rsidRPr="00CA7BC5" w:rsidRDefault="0015236B">
      <w:pPr>
        <w:spacing w:before="692" w:line="230" w:lineRule="exact"/>
        <w:textAlignment w:val="baseline"/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Signor Presidente,</w:t>
      </w:r>
    </w:p>
    <w:p w:rsidR="00AB29C1" w:rsidRPr="00CA7BC5" w:rsidRDefault="0015236B">
      <w:pPr>
        <w:spacing w:before="236" w:line="229" w:lineRule="exact"/>
        <w:textAlignment w:val="baseline"/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Cari colleghi,</w:t>
      </w:r>
    </w:p>
    <w:p w:rsidR="00AB29C1" w:rsidRPr="00CA7BC5" w:rsidRDefault="0015236B">
      <w:pPr>
        <w:spacing w:before="241" w:line="230" w:lineRule="exact"/>
        <w:textAlignment w:val="baseline"/>
        <w:rPr>
          <w:rFonts w:ascii="Garamond" w:eastAsia="Calibri" w:hAnsi="Garamond"/>
          <w:color w:val="000000"/>
          <w:spacing w:val="-3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3"/>
          <w:sz w:val="32"/>
          <w:szCs w:val="32"/>
          <w:lang w:val="it-IT"/>
        </w:rPr>
        <w:t>Autorità, Signori avvocati, Signore e Signori,</w:t>
      </w:r>
    </w:p>
    <w:p w:rsidR="00AB29C1" w:rsidRPr="00CA7BC5" w:rsidRDefault="0015236B">
      <w:pPr>
        <w:spacing w:before="159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z w:val="32"/>
          <w:szCs w:val="32"/>
          <w:lang w:val="it-IT"/>
        </w:rPr>
        <w:t>la relazione che ho appena ascoltato dal Presidente Savo Amodio conferma la mia valutazione di forte apprezzamento dell’attività del Tribunale Amministrativo Regionale per il Lazio, di tutti i Colleghi che lo compongono e, in particolare, del Presidente.</w:t>
      </w:r>
    </w:p>
    <w:p w:rsidR="00EC3E20" w:rsidRPr="00CA7BC5" w:rsidRDefault="0015236B">
      <w:pPr>
        <w:spacing w:before="15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Il Presidente ha detto che </w:t>
      </w:r>
      <w:r w:rsidR="00D00422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il T.A.R.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è la sua seconda casa, una casa che guida da fine giurista con autorevolezza e prestigio, come si deve ad un Tribunale che rappresenta, secondo i dati che sono stati riportati, circa un terzo (solo per guardare al peso numerico) delle decisioni della Giustizia Amministrativa territoriale del nostro Paese. </w:t>
      </w:r>
    </w:p>
    <w:p w:rsidR="00AB29C1" w:rsidRPr="00CA7BC5" w:rsidRDefault="00EC3E20" w:rsidP="00EC3E20">
      <w:pPr>
        <w:spacing w:before="15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3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Oggi vorrei aggiungere tre pensieri, ispirati dall’ascolto della relazione del Presidente Savo Amodio, ai 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concetti 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già espressi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nella recente inaugurazione dell’anno giudiziario a Palazzo Spada nel corso della quale, con grandissimo onore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,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ho assunto la Presidenza dell’Istituto in continuità con l’amico e carissimo collega Presidente Patroni Griffi che è qui in aula e che saluto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.</w:t>
      </w:r>
    </w:p>
    <w:p w:rsidR="00AB29C1" w:rsidRPr="00CA7BC5" w:rsidRDefault="00DE5363">
      <w:pPr>
        <w:spacing w:before="150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L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a Giustizia Amministrativa, a mio avviso, </w:t>
      </w:r>
      <w:r w:rsidR="00187CF3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non è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soltanto un</w:t>
      </w:r>
      <w:r w:rsidR="00187CF3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presidio di legalità 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ma</w:t>
      </w:r>
      <w:r w:rsidR="00187CF3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,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in quanto giudice dei poteri pubblici</w:t>
      </w:r>
      <w:r w:rsidR="00187CF3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,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in una stagione che porterà ad un aumento e ad un rafforzamento della dimensione pubblicistica, è anche un fattore indispensabile </w:t>
      </w:r>
      <w:r w:rsidR="00187CF3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per la capacità di essere 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vicini al cittadino e 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per quella di 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saper rispondere alle domande di giustizia nei confronti dei poteri pubblici</w:t>
      </w:r>
      <w:r w:rsidR="00187CF3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, dei cittadini e delle imprese. Inoltre,</w:t>
      </w:r>
      <w:r w:rsidR="0015236B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in un mondo in cui, come sapete, le società corrono e si evolvono molto più velocemente di altre componenti dell’ordinamento, ad esempio delle leggi, 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è necessario saper essere, come siamo, </w:t>
      </w:r>
      <w:r w:rsidR="00187CF3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anche</w:t>
      </w:r>
      <w:r w:rsidR="00187CF3" w:rsidRPr="00CA7BC5">
        <w:rPr>
          <w:rFonts w:ascii="Garamond" w:eastAsia="Calibri" w:hAnsi="Garamond"/>
          <w:strike/>
          <w:color w:val="000000"/>
          <w:spacing w:val="-4"/>
          <w:sz w:val="32"/>
          <w:szCs w:val="32"/>
          <w:lang w:val="it-IT"/>
        </w:rPr>
        <w:t xml:space="preserve"> essere</w:t>
      </w:r>
      <w:r w:rsidR="00187CF3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veloci nelle risposte</w:t>
      </w:r>
    </w:p>
    <w:p w:rsidR="003F30C6" w:rsidRPr="00CA7BC5" w:rsidRDefault="0015236B">
      <w:pPr>
        <w:spacing w:before="14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Essere in grado, talvolta, di dettare nelle nostre sentenze, a livello territoriale e centrale, pr</w:t>
      </w:r>
      <w:r w:rsidR="003F30C6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incipi e indirizzi che guidino i decisori a livello politico e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a livello governativo, almeno ver</w:t>
      </w:r>
      <w:r w:rsidR="005A0F1D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so la comprensione di quali siano i problemi e di quali siano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le legittime vie per risolverli, è un valore aggiunto che la Giustizia Amministrativa deve rivendicare sempre. </w:t>
      </w:r>
    </w:p>
    <w:p w:rsidR="003F30C6" w:rsidRPr="00CA7BC5" w:rsidRDefault="003F30C6">
      <w:pPr>
        <w:spacing w:before="14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Come è stato ricordato, fino 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all’inizio di quest’anno, presiedendo la III sezione giurisdizio</w:t>
      </w:r>
      <w:r w:rsidR="005A0F1D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nale del Consiglio di Stato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,</w:t>
      </w:r>
      <w:r w:rsidR="005A0F1D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mi sono occupato anche dei ricorsi in tema di sanità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e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dei provvedimenti dettati per la pandemia. Abbiamo avuto frequenti occasioni di affrontare materie che già il T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AR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del Lazio ed altri Tribunali Amministrativi avevano </w:t>
      </w:r>
      <w:r w:rsidR="005A0F1D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trattato 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con pronunce talvolta di principio, a livello territoriale e a livello centrale. </w:t>
      </w:r>
    </w:p>
    <w:p w:rsidR="00AE2F20" w:rsidRPr="00CA7BC5" w:rsidRDefault="0015236B">
      <w:pPr>
        <w:spacing w:before="14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Io sono certo</w:t>
      </w:r>
      <w:r w:rsidR="003F30C6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che molte di quelle sentenze sono state poste a</w:t>
      </w:r>
      <w:r w:rsidR="005A0F1D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lla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base di riflessioni e di succes</w:t>
      </w:r>
      <w:r w:rsidR="005A0F1D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sivi provvedimenti, avendo </w:t>
      </w:r>
      <w:r w:rsidR="003F30C6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noi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individuato quello che mancava in alcuni degli atti che erano</w:t>
      </w:r>
      <w:r w:rsidR="003F30C6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sottoposti al nostro sindacato e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</w:t>
      </w:r>
      <w:r w:rsidRPr="00CA7BC5">
        <w:rPr>
          <w:rFonts w:ascii="Garamond" w:eastAsia="Calibri" w:hAnsi="Garamond"/>
          <w:strike/>
          <w:color w:val="000000"/>
          <w:spacing w:val="-7"/>
          <w:sz w:val="32"/>
          <w:szCs w:val="32"/>
          <w:lang w:val="it-IT"/>
        </w:rPr>
        <w:t>per aver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</w:t>
      </w:r>
      <w:r w:rsidR="005A0F1D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e avendo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indicato la via per rimuovere quelle difficoltà. </w:t>
      </w:r>
    </w:p>
    <w:p w:rsidR="003E7ED0" w:rsidRPr="00CA7BC5" w:rsidRDefault="00AE2F20" w:rsidP="003E7ED0">
      <w:pPr>
        <w:spacing w:before="14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La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mia profonda convinzione è che il sistema della Giustizia Amministrativa debba </w:t>
      </w:r>
      <w:r w:rsidR="003E7ED0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valorizzare 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sempre di più i fattori che ci uniscono</w:t>
      </w:r>
      <w:r w:rsidR="003E7ED0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: 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magistrati che svolg</w:t>
      </w:r>
      <w:r w:rsidR="003E7ED0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ono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le funzioni nella Giustizia Amministrativa territoriale e coloro, come i Consiglieri di Stato</w:t>
      </w:r>
      <w:r w:rsidR="003E7ED0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,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che la svolgono a livello centrale da Palazzo Spada</w:t>
      </w:r>
      <w:r w:rsidR="003E7ED0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. </w:t>
      </w:r>
    </w:p>
    <w:p w:rsidR="003E7ED0" w:rsidRPr="00CA7BC5" w:rsidRDefault="003E7ED0" w:rsidP="003E7ED0">
      <w:pPr>
        <w:spacing w:before="14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lastRenderedPageBreak/>
        <w:t>E’</w:t>
      </w:r>
      <w:r w:rsidR="005A0F1D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un sistema di G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iustizia in cui quello che ci unisce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è molto di più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della legittima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diversità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d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i opinioni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ed è questo il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fattore di forza della Giustizia Amministrativa.</w:t>
      </w:r>
    </w:p>
    <w:p w:rsidR="003E7ED0" w:rsidRPr="00CA7BC5" w:rsidRDefault="0015236B" w:rsidP="003E7ED0">
      <w:pPr>
        <w:spacing w:before="14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Quanto più si </w:t>
      </w:r>
      <w:r w:rsidR="003E7ED0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dà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l’impressione </w:t>
      </w:r>
      <w:r w:rsidR="003E7ED0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di una profonda divisione interna tanto più 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s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iamo deboli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e, al contrario, </w:t>
      </w:r>
      <w:r w:rsidR="00DA2BA0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è nostro dovere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rafforzare sempre la Giustizia Amministrativa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,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come elemento indefettibile dello Stato di diritto. </w:t>
      </w:r>
    </w:p>
    <w:p w:rsidR="006075B6" w:rsidRPr="00CA7BC5" w:rsidRDefault="006075B6" w:rsidP="006075B6">
      <w:pPr>
        <w:spacing w:before="14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E’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per questa ragione che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,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in continuità con le azioni compiute dal Presidente Patroni Griffi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, sto cercando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di portare avanti e sviluppare 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alcune iniziative. I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n primo luogo, ho deciso di promuovere degli incontri period</w:t>
      </w:r>
      <w:r w:rsidR="00DA2BA0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ici, il primo lo svolgeremo ad a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p</w:t>
      </w:r>
      <w:r w:rsidR="00DA2BA0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rile,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con tutti i Presidenti dei TAR italiani che pregherò di venire a Palazzo Spada (alcuni potranno 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partecipare in videoconferenza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) per affrontare insieme tematiche che toccano il sistema della Giustizia Amministrativa. </w:t>
      </w:r>
    </w:p>
    <w:p w:rsidR="009F46D8" w:rsidRPr="00CA7BC5" w:rsidRDefault="0015236B" w:rsidP="006075B6">
      <w:pPr>
        <w:spacing w:before="14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Ogni Tribunale Amministrativo 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risponde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alle domande dei territori che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,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nel nostro Paese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,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sono molto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diverse. Questo è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il tema di un progetto pilota che abbiamo già avviato con il Presidente Patroni Griffi (io ero Presidente Agg</w:t>
      </w:r>
      <w:r w:rsidR="005A0F1D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iunto) e l’Ufficio Studi del Consiglio di Stato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. Il progetto, avviato in via sperimentale,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per ora riguarda tre TAR (uno al nord, uno al nord est ed uno al centro sud) che stanno studiando approfonditamente i fatto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ri da cui emerge il contenzioso</w:t>
      </w:r>
      <w:r w:rsidR="00DA2BA0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,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proprio al fine di </w:t>
      </w:r>
      <w:r w:rsidR="009F46D8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dimostrarne 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la diversità (t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ale studio sarà 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poi 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esteso </w:t>
      </w:r>
      <w:r w:rsidR="006075B6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ai TAR che lo che lo vorranno). S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copriremo così quali sono le domande che arrivano dal territorio, dal tessuto della società, </w:t>
      </w:r>
      <w:r w:rsidR="009F46D8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da quello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imprenditoriale, </w:t>
      </w:r>
      <w:r w:rsidR="009F46D8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e da quello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agricolo</w:t>
      </w:r>
      <w:r w:rsidR="009F46D8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,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che sono certamente diverse e che meritano di essere considerate ed approfondite. </w:t>
      </w:r>
    </w:p>
    <w:p w:rsidR="009F46D8" w:rsidRPr="00CA7BC5" w:rsidRDefault="009F46D8" w:rsidP="006075B6">
      <w:pPr>
        <w:spacing w:before="14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Q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uesti 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due elementi 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sono collegati a quell’idea più generale di dialogo e di confronto che deve coinvol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gere l’Accademia e il Foro.  C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redo che da un incontro costante sullo studio di questioni giuridiche e di problematiche concrete, viste dall’angolo visuale del magistrato, dell’avvocato e dell’accademico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,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possa e debba accadere non solo di mantenere possibili ed inevitabili divergenze ma la possibilit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à di avvicinare, di confrontare e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di condividere idee che possono essere diverse ma che si possono poi 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accostare.</w:t>
      </w:r>
    </w:p>
    <w:p w:rsidR="00AB29C1" w:rsidRPr="00CA7BC5" w:rsidRDefault="009F46D8" w:rsidP="006075B6">
      <w:pPr>
        <w:spacing w:before="141" w:line="310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I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l diritto richiede di integrare visioni che partono diverse, magari 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anche in modo conflittuale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, </w:t>
      </w:r>
      <w:r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>per poi integrarsi</w:t>
      </w:r>
      <w:r w:rsidR="0015236B" w:rsidRPr="00CA7BC5">
        <w:rPr>
          <w:rFonts w:ascii="Garamond" w:eastAsia="Calibri" w:hAnsi="Garamond"/>
          <w:color w:val="000000"/>
          <w:spacing w:val="-6"/>
          <w:sz w:val="32"/>
          <w:szCs w:val="32"/>
          <w:lang w:val="it-IT"/>
        </w:rPr>
        <w:t xml:space="preserve"> in una misura che aiuta fortemente il diritto vivente a crescere.</w:t>
      </w:r>
    </w:p>
    <w:p w:rsidR="00327F51" w:rsidRPr="00CA7BC5" w:rsidRDefault="00327F51">
      <w:pPr>
        <w:spacing w:before="162" w:line="309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Le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parole del Presidente Savo Amodio confermano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che i nostri valori e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i nostri principi, quelli che sono stati ricordati nella parte conclusiva, sono valori e principi che dobbiamo avere l’orgoglio di riaffermare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sempre e 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innanzi a chiunque, con in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dipendenza e assoluta terzietà. </w:t>
      </w:r>
    </w:p>
    <w:p w:rsidR="00DF2C2A" w:rsidRPr="00CA7BC5" w:rsidRDefault="00327F51">
      <w:pPr>
        <w:spacing w:before="162" w:line="309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Indipendenza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e terzietà che non ci impedi</w:t>
      </w:r>
      <w:r w:rsidR="005A0F1D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sco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no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di indirizzare i decisori politici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e 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di aumentare la credibilità delle Istituzioni nel loro complesso </w:t>
      </w:r>
      <w:r w:rsidR="00DF2C2A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anche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nei casi </w:t>
      </w:r>
      <w:r w:rsidR="00270E4D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in cui le nostre decisioni siano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in contrasto. </w:t>
      </w:r>
      <w:r w:rsidR="00DF2C2A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A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ccogliere un ricorso o un appello che nella sostanza imponga all’amministrazione di cambiare aumenta all’occhio del cittadino e nella società l’idea</w:t>
      </w:r>
      <w:r w:rsidR="00DF2C2A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,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che deve radicarsi sempre di più, che le Istituzioni sono credibili perché c’è un circuito che dà una risposta. </w:t>
      </w:r>
    </w:p>
    <w:p w:rsidR="00DF2C2A" w:rsidRPr="00CA7BC5" w:rsidRDefault="00DF2C2A">
      <w:pPr>
        <w:spacing w:before="162" w:line="309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Le nostre decisioni, le nostre o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rdinanze, i nostri decreti presidenziali monocratici, per dare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il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senso della credibilità delle Istituzioni debbono basarsi, tra l’altro, su due elementi su cui sto lavorando proprio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in questi giorni con i colleghi</w:t>
      </w:r>
      <w:r w:rsidR="0015236B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Presidenti delle sezioni, la sinteticità di tutti gli atti processuali e la chiarezza del linguaggio. </w:t>
      </w:r>
    </w:p>
    <w:p w:rsidR="001F1915" w:rsidRPr="00CA7BC5" w:rsidRDefault="0015236B">
      <w:pPr>
        <w:spacing w:before="162" w:line="309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Un atto che trabocca e che rende difficoltoso leggere e comprendere l’architettura delle tesi difensive è un atto che non </w:t>
      </w:r>
      <w:r w:rsidR="001F1915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mostra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agli occhi del cittadino l’idea di una piana credibilità del sistema istituzi</w:t>
      </w:r>
      <w:r w:rsidR="001F1915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onale e questo, caro Presidente e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carissimi colleghi che siete qui, vale anche per i nostri provvedimenti. </w:t>
      </w:r>
    </w:p>
    <w:p w:rsidR="001F1915" w:rsidRPr="00CA7BC5" w:rsidRDefault="0015236B">
      <w:pPr>
        <w:spacing w:before="162" w:line="309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Lo dico parlando a me stesso per primo: la sinteticità delle nostre decisioni, in qualunque forma siano adottate, e la chiarezza linguistica delle stesse</w:t>
      </w:r>
      <w:r w:rsidR="001F1915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sono elementi essenziali, e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faccio mio un principio secondo cui la sentenza 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lastRenderedPageBreak/>
        <w:t>è scritta non soltanto per i giudici e per gli addetti ai lavori ma anzitutto per il cittadino e per il soggetto che ne è comunque il destinatario che de</w:t>
      </w:r>
      <w:r w:rsidR="001F1915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v’essere in grado di comprenderne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direttamente</w:t>
      </w:r>
      <w:r w:rsidR="001F1915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il contenuto</w:t>
      </w: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. </w:t>
      </w:r>
    </w:p>
    <w:p w:rsidR="001F1915" w:rsidRPr="00CA7BC5" w:rsidRDefault="0015236B" w:rsidP="001F1915">
      <w:pPr>
        <w:spacing w:before="4" w:line="309" w:lineRule="exact"/>
        <w:jc w:val="both"/>
        <w:textAlignment w:val="baseline"/>
        <w:rPr>
          <w:rFonts w:ascii="Garamond" w:eastAsia="Calibri" w:hAnsi="Garamond"/>
          <w:color w:val="000000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>Ovviamente il lavoro del difensore e il lavoro della parte sono assolutamente diversi: la parte esprime un interesse,</w:t>
      </w:r>
      <w:r w:rsidR="001F1915" w:rsidRPr="00CA7BC5"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t xml:space="preserve"> il difensore lo interpreta e lo</w:t>
      </w:r>
      <w:r w:rsidR="001F1915" w:rsidRPr="00CA7BC5">
        <w:rPr>
          <w:rFonts w:ascii="Garamond" w:eastAsia="Calibri" w:hAnsi="Garamond"/>
          <w:b/>
          <w:color w:val="000000"/>
          <w:sz w:val="32"/>
          <w:szCs w:val="32"/>
          <w:lang w:val="it-IT"/>
        </w:rPr>
        <w:t xml:space="preserve"> </w:t>
      </w:r>
      <w:r w:rsidR="001F1915" w:rsidRPr="00CA7BC5">
        <w:rPr>
          <w:rFonts w:ascii="Garamond" w:eastAsia="Calibri" w:hAnsi="Garamond"/>
          <w:color w:val="000000"/>
          <w:sz w:val="32"/>
          <w:szCs w:val="32"/>
          <w:lang w:val="it-IT"/>
        </w:rPr>
        <w:t>traduce davanti al giudice ma il prodotto, la decisione, chiunque deve essere in grado di capirla. Quindi lo sforzo di semplificare linguaggio e struttura di tutti gli atti che entrano nel processo è essenziale.</w:t>
      </w:r>
    </w:p>
    <w:p w:rsidR="001F1915" w:rsidRPr="00CA7BC5" w:rsidRDefault="001F1915" w:rsidP="001F1915">
      <w:pPr>
        <w:spacing w:before="162" w:line="309" w:lineRule="exact"/>
        <w:jc w:val="both"/>
        <w:textAlignment w:val="baseline"/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L’ultimo pensiero è sul tema della legalità. Ne ha parlato il Presidente Savo Amodio ed è un tema talmente importante da essere tra i primi che mi hanno indotto ad assumere l’iniziativa di promuovere, già a Maggio, una giornata nazionale della legalità per i ragazzi delle scuole. Ci saranno le scuole med</w:t>
      </w:r>
      <w:r w:rsidR="00270E4D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ie, le scuole superiori, i licei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e ci ritroveremo a Palazzo Spada proprio nei giorni che precedono l’anniversario della strage di Capaci. </w:t>
      </w:r>
    </w:p>
    <w:p w:rsidR="001F1915" w:rsidRPr="00CA7BC5" w:rsidRDefault="001F1915" w:rsidP="001F1915">
      <w:pPr>
        <w:spacing w:before="162" w:line="309" w:lineRule="exact"/>
        <w:jc w:val="both"/>
        <w:textAlignment w:val="baseline"/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Lo facciamo per dare </w:t>
      </w:r>
      <w:r w:rsidR="009B7B4E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un segnale simbolico: 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il principio della legalità è un valore che va trasmesso alle nuove ge</w:t>
      </w:r>
      <w:r w:rsidR="009B7B4E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nerazioni perché 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la formazione alla legalità non inizia soltanto per color</w:t>
      </w:r>
      <w:r w:rsidR="009B7B4E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o che se ne occupano da attori e 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da protagonisti ma dev’essere un elemento fondante che, ai miei tempi</w:t>
      </w:r>
      <w:r w:rsidR="009B7B4E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,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si studiava nell’educazione civica</w:t>
      </w:r>
      <w:r w:rsidR="009B7B4E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(oggi purtroppo questa materia non esiste più ma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probabilmente </w:t>
      </w:r>
      <w:r w:rsidR="009B7B4E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dovrebbe 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tornare </w:t>
      </w:r>
      <w:r w:rsidR="009B7B4E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a far parte della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formazione dei ragazzi</w:t>
      </w:r>
      <w:r w:rsidR="009B7B4E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)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.</w:t>
      </w:r>
    </w:p>
    <w:p w:rsidR="001F1915" w:rsidRPr="00CA7BC5" w:rsidRDefault="001F1915" w:rsidP="001F1915">
      <w:pPr>
        <w:spacing w:before="159" w:line="309" w:lineRule="exact"/>
        <w:jc w:val="both"/>
        <w:textAlignment w:val="baseline"/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</w:pP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Congratulazioni, quindi, al Tribunale Amministrativo p</w:t>
      </w:r>
      <w:r w:rsidR="009B7B4E"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>er il Lazio, a tutti i colleghi e</w:t>
      </w:r>
      <w:r w:rsidRPr="00CA7BC5">
        <w:rPr>
          <w:rFonts w:ascii="Garamond" w:eastAsia="Calibri" w:hAnsi="Garamond"/>
          <w:color w:val="000000"/>
          <w:spacing w:val="-4"/>
          <w:sz w:val="32"/>
          <w:szCs w:val="32"/>
          <w:lang w:val="it-IT"/>
        </w:rPr>
        <w:t xml:space="preserve"> al personale amministrativo che, ascoltando le parole del Presidente, ha egregiamente supportato l’attività delle sezioni. Grazie</w:t>
      </w:r>
    </w:p>
    <w:p w:rsidR="00AB29C1" w:rsidRPr="00CA7BC5" w:rsidRDefault="00AB29C1" w:rsidP="001F1915">
      <w:pPr>
        <w:spacing w:before="162" w:line="309" w:lineRule="exact"/>
        <w:ind w:right="72"/>
        <w:jc w:val="both"/>
        <w:textAlignment w:val="baseline"/>
        <w:rPr>
          <w:rFonts w:ascii="Garamond" w:eastAsia="Calibri" w:hAnsi="Garamond"/>
          <w:color w:val="000000"/>
          <w:spacing w:val="-7"/>
          <w:sz w:val="32"/>
          <w:szCs w:val="32"/>
          <w:lang w:val="it-IT"/>
        </w:rPr>
        <w:sectPr w:rsidR="00AB29C1" w:rsidRPr="00CA7BC5">
          <w:pgSz w:w="11909" w:h="16843"/>
          <w:pgMar w:top="1360" w:right="1087" w:bottom="1007" w:left="1102" w:header="720" w:footer="720" w:gutter="0"/>
          <w:cols w:space="720"/>
        </w:sectPr>
      </w:pPr>
    </w:p>
    <w:p w:rsidR="00AB29C1" w:rsidRPr="00CA7BC5" w:rsidRDefault="00AB29C1">
      <w:pPr>
        <w:spacing w:before="159" w:line="309" w:lineRule="exact"/>
        <w:jc w:val="both"/>
        <w:textAlignment w:val="baseline"/>
        <w:rPr>
          <w:rFonts w:ascii="Garamond" w:eastAsia="Calibri" w:hAnsi="Garamond"/>
          <w:b/>
          <w:color w:val="000000"/>
          <w:spacing w:val="-4"/>
          <w:sz w:val="32"/>
          <w:szCs w:val="32"/>
          <w:lang w:val="it-IT"/>
        </w:rPr>
      </w:pPr>
    </w:p>
    <w:sectPr w:rsidR="00AB29C1" w:rsidRPr="00CA7BC5">
      <w:pgSz w:w="11909" w:h="16843"/>
      <w:pgMar w:top="1360" w:right="1092" w:bottom="10727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36" w:rsidRDefault="007B3936">
      <w:r>
        <w:separator/>
      </w:r>
    </w:p>
  </w:endnote>
  <w:endnote w:type="continuationSeparator" w:id="0">
    <w:p w:rsidR="007B3936" w:rsidRDefault="007B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36" w:rsidRDefault="007B3936"/>
  </w:footnote>
  <w:footnote w:type="continuationSeparator" w:id="0">
    <w:p w:rsidR="007B3936" w:rsidRDefault="007B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F1A"/>
    <w:multiLevelType w:val="hybridMultilevel"/>
    <w:tmpl w:val="4F1A0C2E"/>
    <w:lvl w:ilvl="0" w:tplc="B6682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C1"/>
    <w:rsid w:val="0015236B"/>
    <w:rsid w:val="00187CF3"/>
    <w:rsid w:val="001F1915"/>
    <w:rsid w:val="00270E4D"/>
    <w:rsid w:val="00327F51"/>
    <w:rsid w:val="00375F79"/>
    <w:rsid w:val="003E7ED0"/>
    <w:rsid w:val="003F30C6"/>
    <w:rsid w:val="005A0F1D"/>
    <w:rsid w:val="005E2D43"/>
    <w:rsid w:val="006075B6"/>
    <w:rsid w:val="0071463D"/>
    <w:rsid w:val="007B3936"/>
    <w:rsid w:val="008A6B23"/>
    <w:rsid w:val="00944818"/>
    <w:rsid w:val="009B7B4E"/>
    <w:rsid w:val="009F46D8"/>
    <w:rsid w:val="00AB29C1"/>
    <w:rsid w:val="00AB4C35"/>
    <w:rsid w:val="00AE2F20"/>
    <w:rsid w:val="00CA7BC5"/>
    <w:rsid w:val="00D00422"/>
    <w:rsid w:val="00DA2BA0"/>
    <w:rsid w:val="00DE5363"/>
    <w:rsid w:val="00DF2C2A"/>
    <w:rsid w:val="00EC3E20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E7EB"/>
  <w15:docId w15:val="{3A9610E9-7DBC-44CB-B42B-3B81B98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F1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CAMPOBASSO Maurizia</dc:creator>
  <cp:lastModifiedBy>FERRARI Giulia</cp:lastModifiedBy>
  <cp:revision>4</cp:revision>
  <dcterms:created xsi:type="dcterms:W3CDTF">2022-03-07T11:24:00Z</dcterms:created>
  <dcterms:modified xsi:type="dcterms:W3CDTF">2022-03-07T11:27:00Z</dcterms:modified>
</cp:coreProperties>
</file>