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AA5" w:rsidRDefault="00CF2AA5" w:rsidP="00615946">
      <w:pPr>
        <w:jc w:val="both"/>
        <w:rPr>
          <w:rFonts w:ascii="Times New Roman" w:hAnsi="Times New Roman" w:cs="Times New Roman"/>
          <w:sz w:val="32"/>
          <w:szCs w:val="32"/>
        </w:rPr>
      </w:pPr>
      <w:r w:rsidRPr="00CF2AA5">
        <w:rPr>
          <w:rFonts w:ascii="Times New Roman" w:hAnsi="Times New Roman" w:cs="Times New Roman"/>
          <w:b/>
          <w:sz w:val="32"/>
          <w:szCs w:val="32"/>
        </w:rPr>
        <w:t>Il procedimento e il processo amministrativo nell'era telematica: una breve riflessione nel ricordo di Feliciano Benvenuti</w:t>
      </w:r>
      <w:r>
        <w:rPr>
          <w:rFonts w:ascii="Times New Roman" w:hAnsi="Times New Roman" w:cs="Times New Roman"/>
          <w:sz w:val="32"/>
          <w:szCs w:val="32"/>
        </w:rPr>
        <w:t xml:space="preserve"> (Saluto introduttivo al Convegno dell’</w:t>
      </w:r>
      <w:r w:rsidRPr="00CF2AA5">
        <w:rPr>
          <w:sz w:val="32"/>
          <w:szCs w:val="32"/>
        </w:rPr>
        <w:t>Unione Nazionale degli Avvocati Amministrativisti</w:t>
      </w:r>
      <w:r>
        <w:rPr>
          <w:sz w:val="32"/>
          <w:szCs w:val="32"/>
        </w:rPr>
        <w:t xml:space="preserve"> -</w:t>
      </w:r>
      <w:r w:rsidRPr="00CF2AA5">
        <w:rPr>
          <w:rFonts w:ascii="Times New Roman" w:hAnsi="Times New Roman" w:cs="Times New Roman"/>
          <w:sz w:val="32"/>
          <w:szCs w:val="32"/>
        </w:rPr>
        <w:t xml:space="preserve"> 3 luglio 2020, Cortina D’Ampezzo</w:t>
      </w:r>
      <w:r>
        <w:rPr>
          <w:rFonts w:ascii="Times New Roman" w:hAnsi="Times New Roman" w:cs="Times New Roman"/>
          <w:sz w:val="32"/>
          <w:szCs w:val="32"/>
        </w:rPr>
        <w:t xml:space="preserve"> - su piattaforma telematica Zoom)</w:t>
      </w:r>
    </w:p>
    <w:p w:rsidR="00EF04AF" w:rsidRDefault="00EF04AF" w:rsidP="00EF04AF">
      <w:pPr>
        <w:jc w:val="right"/>
        <w:rPr>
          <w:sz w:val="28"/>
          <w:szCs w:val="28"/>
        </w:rPr>
      </w:pPr>
      <w:r>
        <w:rPr>
          <w:sz w:val="28"/>
          <w:szCs w:val="28"/>
        </w:rPr>
        <w:t>di Filippo Patroni Griffi</w:t>
      </w:r>
    </w:p>
    <w:p w:rsidR="00EF04AF" w:rsidRDefault="00EF04AF" w:rsidP="00615946">
      <w:pPr>
        <w:jc w:val="both"/>
        <w:rPr>
          <w:rFonts w:ascii="Times New Roman" w:hAnsi="Times New Roman" w:cs="Times New Roman"/>
          <w:sz w:val="32"/>
          <w:szCs w:val="32"/>
        </w:rPr>
      </w:pPr>
    </w:p>
    <w:p w:rsidR="00EF04AF" w:rsidRDefault="00EF04AF" w:rsidP="00615946">
      <w:pPr>
        <w:jc w:val="both"/>
        <w:rPr>
          <w:rFonts w:ascii="Times New Roman" w:hAnsi="Times New Roman" w:cs="Times New Roman"/>
          <w:sz w:val="32"/>
          <w:szCs w:val="32"/>
        </w:rPr>
      </w:pPr>
    </w:p>
    <w:p w:rsidR="00CF2AA5" w:rsidRDefault="00CF2AA5" w:rsidP="00615946">
      <w:pPr>
        <w:jc w:val="both"/>
        <w:rPr>
          <w:rFonts w:ascii="Times New Roman" w:hAnsi="Times New Roman" w:cs="Times New Roman"/>
          <w:sz w:val="28"/>
          <w:szCs w:val="28"/>
        </w:rPr>
      </w:pPr>
      <w:proofErr w:type="gramStart"/>
      <w:r w:rsidRPr="00615946">
        <w:rPr>
          <w:rFonts w:ascii="Times New Roman" w:hAnsi="Times New Roman" w:cs="Times New Roman"/>
          <w:sz w:val="28"/>
          <w:szCs w:val="28"/>
        </w:rPr>
        <w:t>I sessione</w:t>
      </w:r>
      <w:proofErr w:type="gramEnd"/>
      <w:r w:rsidRPr="00615946">
        <w:rPr>
          <w:rFonts w:ascii="Times New Roman" w:hAnsi="Times New Roman" w:cs="Times New Roman"/>
          <w:sz w:val="28"/>
          <w:szCs w:val="28"/>
        </w:rPr>
        <w:t>, in ricordo di Feliciano Benvenuti: A dieci anni dal codice del processo amministrativo e a trenta dalla legge 241:</w:t>
      </w:r>
      <w:r w:rsidR="00615946" w:rsidRPr="00615946">
        <w:rPr>
          <w:rFonts w:ascii="Times New Roman" w:hAnsi="Times New Roman" w:cs="Times New Roman"/>
          <w:sz w:val="28"/>
          <w:szCs w:val="28"/>
        </w:rPr>
        <w:t xml:space="preserve"> </w:t>
      </w:r>
      <w:r w:rsidRPr="00615946">
        <w:rPr>
          <w:rFonts w:ascii="Times New Roman" w:hAnsi="Times New Roman" w:cs="Times New Roman"/>
          <w:sz w:val="28"/>
          <w:szCs w:val="28"/>
        </w:rPr>
        <w:t>partecipazione, procedimento e processo nell’era telematica</w:t>
      </w:r>
    </w:p>
    <w:p w:rsidR="00EF04AF" w:rsidRPr="00615946" w:rsidRDefault="00EF04AF" w:rsidP="00615946">
      <w:pPr>
        <w:jc w:val="both"/>
        <w:rPr>
          <w:rFonts w:ascii="Times New Roman" w:hAnsi="Times New Roman" w:cs="Times New Roman"/>
          <w:sz w:val="28"/>
          <w:szCs w:val="28"/>
        </w:rPr>
      </w:pPr>
      <w:bookmarkStart w:id="0" w:name="_GoBack"/>
      <w:bookmarkEnd w:id="0"/>
    </w:p>
    <w:p w:rsidR="00615946" w:rsidRPr="00030624" w:rsidRDefault="00030624" w:rsidP="00030624">
      <w:pPr>
        <w:jc w:val="both"/>
        <w:rPr>
          <w:rFonts w:ascii="Times New Roman" w:hAnsi="Times New Roman" w:cs="Times New Roman"/>
          <w:sz w:val="32"/>
          <w:szCs w:val="32"/>
        </w:rPr>
      </w:pPr>
      <w:r>
        <w:rPr>
          <w:rFonts w:ascii="Times New Roman" w:hAnsi="Times New Roman" w:cs="Times New Roman"/>
          <w:sz w:val="32"/>
          <w:szCs w:val="32"/>
        </w:rPr>
        <w:t xml:space="preserve">1. </w:t>
      </w:r>
      <w:r w:rsidR="000C16E7" w:rsidRPr="00030624">
        <w:rPr>
          <w:rFonts w:ascii="Times New Roman" w:hAnsi="Times New Roman" w:cs="Times New Roman"/>
          <w:sz w:val="32"/>
          <w:szCs w:val="32"/>
        </w:rPr>
        <w:t>Riflettere, a dieci anni dal codice del processo amministrativo e a trenta dalla legge 241, su partecipazione, procedimento e processo nell’era telematica è il miglio</w:t>
      </w:r>
      <w:r w:rsidR="00EF04AF">
        <w:rPr>
          <w:rFonts w:ascii="Times New Roman" w:hAnsi="Times New Roman" w:cs="Times New Roman"/>
          <w:sz w:val="32"/>
          <w:szCs w:val="32"/>
        </w:rPr>
        <w:t>r</w:t>
      </w:r>
      <w:r w:rsidR="000C16E7" w:rsidRPr="00030624">
        <w:rPr>
          <w:rFonts w:ascii="Times New Roman" w:hAnsi="Times New Roman" w:cs="Times New Roman"/>
          <w:sz w:val="32"/>
          <w:szCs w:val="32"/>
        </w:rPr>
        <w:t xml:space="preserve"> modo per ricordare Feliciano Benvenuti. Al suo ricordo è infatti dedicato questo convegno degli Avvocati amministrativisti del Veneto</w:t>
      </w:r>
      <w:r w:rsidR="00615946" w:rsidRPr="00030624">
        <w:rPr>
          <w:rFonts w:ascii="Times New Roman" w:hAnsi="Times New Roman" w:cs="Times New Roman"/>
          <w:sz w:val="32"/>
          <w:szCs w:val="32"/>
        </w:rPr>
        <w:t xml:space="preserve"> in occasione dell’Assemblea UNAA</w:t>
      </w:r>
      <w:r w:rsidR="000C16E7" w:rsidRPr="00030624">
        <w:rPr>
          <w:rFonts w:ascii="Times New Roman" w:hAnsi="Times New Roman" w:cs="Times New Roman"/>
          <w:sz w:val="32"/>
          <w:szCs w:val="32"/>
        </w:rPr>
        <w:t>, cui sono lieto di portare il mio saluto e il mio ringraziamento.</w:t>
      </w:r>
    </w:p>
    <w:p w:rsidR="000C16E7" w:rsidRDefault="000C16E7" w:rsidP="00615946">
      <w:pPr>
        <w:jc w:val="both"/>
        <w:rPr>
          <w:rFonts w:ascii="Times New Roman" w:hAnsi="Times New Roman" w:cs="Times New Roman"/>
          <w:sz w:val="32"/>
          <w:szCs w:val="32"/>
        </w:rPr>
      </w:pPr>
      <w:r>
        <w:rPr>
          <w:rFonts w:ascii="Times New Roman" w:hAnsi="Times New Roman" w:cs="Times New Roman"/>
          <w:sz w:val="32"/>
          <w:szCs w:val="32"/>
        </w:rPr>
        <w:t>E l’omaggio è particolarmente indovinato per due ragioni: perché coglie l’essenza degli studi di Benvenuti –di cui mi piace richiamare il tratto signorile e cordiale nelle aul</w:t>
      </w:r>
      <w:r w:rsidR="00FC3A0D">
        <w:rPr>
          <w:rFonts w:ascii="Times New Roman" w:hAnsi="Times New Roman" w:cs="Times New Roman"/>
          <w:sz w:val="32"/>
          <w:szCs w:val="32"/>
        </w:rPr>
        <w:t>e ma anche nel piccolo bar di Palazzo Spada</w:t>
      </w:r>
      <w:r>
        <w:rPr>
          <w:rFonts w:ascii="Times New Roman" w:hAnsi="Times New Roman" w:cs="Times New Roman"/>
          <w:sz w:val="32"/>
          <w:szCs w:val="32"/>
        </w:rPr>
        <w:t>- sulla funzione amministrativa</w:t>
      </w:r>
      <w:r>
        <w:rPr>
          <w:rStyle w:val="Rimandonotaapidipagina"/>
          <w:rFonts w:ascii="Times New Roman" w:hAnsi="Times New Roman" w:cs="Times New Roman"/>
          <w:sz w:val="32"/>
          <w:szCs w:val="32"/>
        </w:rPr>
        <w:footnoteReference w:id="1"/>
      </w:r>
      <w:r>
        <w:rPr>
          <w:rFonts w:ascii="Times New Roman" w:hAnsi="Times New Roman" w:cs="Times New Roman"/>
          <w:sz w:val="32"/>
          <w:szCs w:val="32"/>
        </w:rPr>
        <w:t xml:space="preserve"> e sulla partecipazione, vista come connotato saliente del “nuovo cittadino”</w:t>
      </w:r>
      <w:r>
        <w:rPr>
          <w:rStyle w:val="Rimandonotaapidipagina"/>
          <w:rFonts w:ascii="Times New Roman" w:hAnsi="Times New Roman" w:cs="Times New Roman"/>
          <w:sz w:val="32"/>
          <w:szCs w:val="32"/>
        </w:rPr>
        <w:footnoteReference w:id="2"/>
      </w:r>
      <w:r>
        <w:rPr>
          <w:rFonts w:ascii="Times New Roman" w:hAnsi="Times New Roman" w:cs="Times New Roman"/>
          <w:sz w:val="32"/>
          <w:szCs w:val="32"/>
        </w:rPr>
        <w:t>;</w:t>
      </w:r>
      <w:r w:rsidR="00FC3A0D">
        <w:rPr>
          <w:rFonts w:ascii="Times New Roman" w:hAnsi="Times New Roman" w:cs="Times New Roman"/>
          <w:sz w:val="32"/>
          <w:szCs w:val="32"/>
        </w:rPr>
        <w:t xml:space="preserve"> in secondo luogo,</w:t>
      </w:r>
      <w:r>
        <w:rPr>
          <w:rFonts w:ascii="Times New Roman" w:hAnsi="Times New Roman" w:cs="Times New Roman"/>
          <w:sz w:val="32"/>
          <w:szCs w:val="32"/>
        </w:rPr>
        <w:t xml:space="preserve"> perché proietta il diritto e il processo amministrativo</w:t>
      </w:r>
      <w:r w:rsidR="00FC3A0D">
        <w:rPr>
          <w:rFonts w:ascii="Times New Roman" w:hAnsi="Times New Roman" w:cs="Times New Roman"/>
          <w:sz w:val="32"/>
          <w:szCs w:val="32"/>
        </w:rPr>
        <w:t xml:space="preserve"> di Benvenuti nel </w:t>
      </w:r>
      <w:r w:rsidR="00FC3A0D" w:rsidRPr="00615946">
        <w:rPr>
          <w:rFonts w:ascii="Times New Roman" w:hAnsi="Times New Roman" w:cs="Times New Roman"/>
          <w:i/>
          <w:sz w:val="32"/>
          <w:szCs w:val="32"/>
        </w:rPr>
        <w:t>futuro dell’attualità</w:t>
      </w:r>
      <w:r w:rsidR="00FC3A0D">
        <w:rPr>
          <w:rFonts w:ascii="Times New Roman" w:hAnsi="Times New Roman" w:cs="Times New Roman"/>
          <w:sz w:val="32"/>
          <w:szCs w:val="32"/>
        </w:rPr>
        <w:t>, cioè nell’era telematica del procedimento e del processo.</w:t>
      </w:r>
    </w:p>
    <w:p w:rsidR="00615946" w:rsidRDefault="00615946" w:rsidP="00615946">
      <w:pPr>
        <w:jc w:val="both"/>
        <w:rPr>
          <w:rFonts w:ascii="Times New Roman" w:hAnsi="Times New Roman" w:cs="Times New Roman"/>
          <w:sz w:val="32"/>
          <w:szCs w:val="32"/>
        </w:rPr>
      </w:pPr>
      <w:r>
        <w:rPr>
          <w:rFonts w:ascii="Times New Roman" w:hAnsi="Times New Roman" w:cs="Times New Roman"/>
          <w:sz w:val="32"/>
          <w:szCs w:val="32"/>
        </w:rPr>
        <w:t xml:space="preserve">Cogliendo così quello che Alessandro </w:t>
      </w:r>
      <w:proofErr w:type="spellStart"/>
      <w:r>
        <w:rPr>
          <w:rFonts w:ascii="Times New Roman" w:hAnsi="Times New Roman" w:cs="Times New Roman"/>
          <w:sz w:val="32"/>
          <w:szCs w:val="32"/>
        </w:rPr>
        <w:t>Pajno</w:t>
      </w:r>
      <w:proofErr w:type="spellEnd"/>
      <w:r>
        <w:rPr>
          <w:rFonts w:ascii="Times New Roman" w:hAnsi="Times New Roman" w:cs="Times New Roman"/>
          <w:sz w:val="32"/>
          <w:szCs w:val="32"/>
        </w:rPr>
        <w:t xml:space="preserve"> ha avuto modo di definire “Benvenuti e il futuro”, in occasione della presentazione degli Scritti giuridici del Maestro nel 2017</w:t>
      </w:r>
      <w:r>
        <w:rPr>
          <w:rStyle w:val="Rimandonotaapidipagina"/>
          <w:rFonts w:ascii="Times New Roman" w:hAnsi="Times New Roman" w:cs="Times New Roman"/>
          <w:sz w:val="32"/>
          <w:szCs w:val="32"/>
        </w:rPr>
        <w:footnoteReference w:id="3"/>
      </w:r>
      <w:r>
        <w:rPr>
          <w:rFonts w:ascii="Times New Roman" w:hAnsi="Times New Roman" w:cs="Times New Roman"/>
          <w:sz w:val="32"/>
          <w:szCs w:val="32"/>
        </w:rPr>
        <w:t>. Un Benvenuti contestualizzato nel suo tempo e, al tempo stesso, decontestualizzato nella proiezione nel suo pensiero nel futuro, che è il nostro presente, ma anche il nostro domani.</w:t>
      </w:r>
    </w:p>
    <w:p w:rsidR="00C56056" w:rsidRDefault="00030624" w:rsidP="00C56056">
      <w:pPr>
        <w:jc w:val="both"/>
        <w:rPr>
          <w:rFonts w:ascii="Times New Roman" w:hAnsi="Times New Roman" w:cs="Times New Roman"/>
          <w:sz w:val="32"/>
          <w:szCs w:val="32"/>
        </w:rPr>
      </w:pPr>
      <w:r>
        <w:rPr>
          <w:rFonts w:ascii="Times New Roman" w:hAnsi="Times New Roman" w:cs="Times New Roman"/>
          <w:sz w:val="32"/>
          <w:szCs w:val="32"/>
        </w:rPr>
        <w:t xml:space="preserve">2. </w:t>
      </w:r>
      <w:r w:rsidR="00C56056">
        <w:rPr>
          <w:rFonts w:ascii="Times New Roman" w:hAnsi="Times New Roman" w:cs="Times New Roman"/>
          <w:sz w:val="32"/>
          <w:szCs w:val="32"/>
        </w:rPr>
        <w:t xml:space="preserve">Il pensiero di Benvenuti sul procedimento si innesta nella riflessione dogmatica avviata nel 1940 da </w:t>
      </w:r>
      <w:proofErr w:type="spellStart"/>
      <w:r w:rsidR="00C56056">
        <w:rPr>
          <w:rFonts w:ascii="Times New Roman" w:hAnsi="Times New Roman" w:cs="Times New Roman"/>
          <w:sz w:val="32"/>
          <w:szCs w:val="32"/>
        </w:rPr>
        <w:t>Sandulli</w:t>
      </w:r>
      <w:proofErr w:type="spellEnd"/>
      <w:r w:rsidR="00C56056">
        <w:rPr>
          <w:rFonts w:ascii="Times New Roman" w:hAnsi="Times New Roman" w:cs="Times New Roman"/>
          <w:sz w:val="32"/>
          <w:szCs w:val="32"/>
        </w:rPr>
        <w:t>, che sottopone</w:t>
      </w:r>
      <w:r w:rsidR="00C56056" w:rsidRPr="00C56056">
        <w:rPr>
          <w:rFonts w:ascii="Times New Roman" w:hAnsi="Times New Roman" w:cs="Times New Roman"/>
          <w:sz w:val="32"/>
          <w:szCs w:val="32"/>
        </w:rPr>
        <w:t xml:space="preserve"> il procedimen</w:t>
      </w:r>
      <w:r w:rsidR="002A383D">
        <w:rPr>
          <w:rFonts w:ascii="Times New Roman" w:hAnsi="Times New Roman" w:cs="Times New Roman"/>
          <w:sz w:val="32"/>
          <w:szCs w:val="32"/>
        </w:rPr>
        <w:t>to amministrativo a</w:t>
      </w:r>
      <w:r w:rsidR="00C56056" w:rsidRPr="00C56056">
        <w:rPr>
          <w:rFonts w:ascii="Times New Roman" w:hAnsi="Times New Roman" w:cs="Times New Roman"/>
          <w:sz w:val="32"/>
          <w:szCs w:val="32"/>
        </w:rPr>
        <w:t xml:space="preserve"> una formidabile opera di sistemazione giuridica. Giannini riconosce</w:t>
      </w:r>
      <w:r w:rsidR="00C56056" w:rsidRPr="00C56056">
        <w:rPr>
          <w:rFonts w:ascii="Times New Roman" w:hAnsi="Times New Roman" w:cs="Times New Roman"/>
          <w:sz w:val="32"/>
          <w:szCs w:val="32"/>
          <w:vertAlign w:val="superscript"/>
        </w:rPr>
        <w:footnoteReference w:id="4"/>
      </w:r>
      <w:r w:rsidR="00C56056" w:rsidRPr="00C56056">
        <w:rPr>
          <w:rFonts w:ascii="Times New Roman" w:hAnsi="Times New Roman" w:cs="Times New Roman"/>
          <w:sz w:val="32"/>
          <w:szCs w:val="32"/>
        </w:rPr>
        <w:t xml:space="preserve"> </w:t>
      </w:r>
      <w:r w:rsidR="00C56056">
        <w:rPr>
          <w:rFonts w:ascii="Times New Roman" w:hAnsi="Times New Roman" w:cs="Times New Roman"/>
          <w:sz w:val="32"/>
          <w:szCs w:val="32"/>
        </w:rPr>
        <w:t xml:space="preserve">al riguardo </w:t>
      </w:r>
      <w:r w:rsidR="00C56056" w:rsidRPr="00C56056">
        <w:rPr>
          <w:rFonts w:ascii="Times New Roman" w:hAnsi="Times New Roman" w:cs="Times New Roman"/>
          <w:sz w:val="32"/>
          <w:szCs w:val="32"/>
        </w:rPr>
        <w:t xml:space="preserve">che </w:t>
      </w:r>
      <w:proofErr w:type="spellStart"/>
      <w:r w:rsidR="00C56056" w:rsidRPr="00C56056">
        <w:rPr>
          <w:rFonts w:ascii="Times New Roman" w:hAnsi="Times New Roman" w:cs="Times New Roman"/>
          <w:sz w:val="32"/>
          <w:szCs w:val="32"/>
        </w:rPr>
        <w:t>Sandulli</w:t>
      </w:r>
      <w:proofErr w:type="spellEnd"/>
      <w:r w:rsidR="00C56056" w:rsidRPr="00C56056">
        <w:rPr>
          <w:rFonts w:ascii="Times New Roman" w:hAnsi="Times New Roman" w:cs="Times New Roman"/>
          <w:sz w:val="32"/>
          <w:szCs w:val="32"/>
        </w:rPr>
        <w:t xml:space="preserve"> “sembrava non solo aver fatto recuperare </w:t>
      </w:r>
      <w:r w:rsidR="00C56056" w:rsidRPr="00C56056">
        <w:rPr>
          <w:rFonts w:ascii="Times New Roman" w:hAnsi="Times New Roman" w:cs="Times New Roman"/>
          <w:sz w:val="32"/>
          <w:szCs w:val="32"/>
        </w:rPr>
        <w:lastRenderedPageBreak/>
        <w:t xml:space="preserve">il tempo perduto, ma addirittura aver posto la dottrina italiana in una posizione avanzata nello studio del tema”. </w:t>
      </w:r>
    </w:p>
    <w:p w:rsidR="00C56056" w:rsidRDefault="00C56056" w:rsidP="00C56056">
      <w:pPr>
        <w:jc w:val="both"/>
        <w:rPr>
          <w:rFonts w:ascii="Times New Roman" w:hAnsi="Times New Roman" w:cs="Times New Roman"/>
          <w:sz w:val="32"/>
          <w:szCs w:val="32"/>
        </w:rPr>
      </w:pPr>
      <w:r>
        <w:rPr>
          <w:rFonts w:ascii="Times New Roman" w:hAnsi="Times New Roman" w:cs="Times New Roman"/>
          <w:sz w:val="32"/>
          <w:szCs w:val="32"/>
        </w:rPr>
        <w:t xml:space="preserve">In </w:t>
      </w:r>
      <w:proofErr w:type="spellStart"/>
      <w:r>
        <w:rPr>
          <w:rFonts w:ascii="Times New Roman" w:hAnsi="Times New Roman" w:cs="Times New Roman"/>
          <w:sz w:val="32"/>
          <w:szCs w:val="32"/>
        </w:rPr>
        <w:t>Sandulli</w:t>
      </w:r>
      <w:proofErr w:type="spellEnd"/>
      <w:r>
        <w:rPr>
          <w:rFonts w:ascii="Times New Roman" w:hAnsi="Times New Roman" w:cs="Times New Roman"/>
          <w:sz w:val="32"/>
          <w:szCs w:val="32"/>
        </w:rPr>
        <w:t xml:space="preserve"> </w:t>
      </w:r>
      <w:r w:rsidRPr="00C56056">
        <w:rPr>
          <w:rFonts w:ascii="Times New Roman" w:hAnsi="Times New Roman" w:cs="Times New Roman"/>
          <w:sz w:val="32"/>
          <w:szCs w:val="32"/>
        </w:rPr>
        <w:t>l’indagine sul procedime</w:t>
      </w:r>
      <w:r>
        <w:rPr>
          <w:rFonts w:ascii="Times New Roman" w:hAnsi="Times New Roman" w:cs="Times New Roman"/>
          <w:sz w:val="32"/>
          <w:szCs w:val="32"/>
        </w:rPr>
        <w:t xml:space="preserve">nto va </w:t>
      </w:r>
      <w:r w:rsidRPr="00C56056">
        <w:rPr>
          <w:rFonts w:ascii="Times New Roman" w:hAnsi="Times New Roman" w:cs="Times New Roman"/>
          <w:sz w:val="32"/>
          <w:szCs w:val="32"/>
        </w:rPr>
        <w:t>inquadrata nello studio della teoria generale della fattispecie</w:t>
      </w:r>
      <w:r w:rsidR="00FD4537">
        <w:rPr>
          <w:rFonts w:ascii="Times New Roman" w:hAnsi="Times New Roman" w:cs="Times New Roman"/>
          <w:sz w:val="32"/>
          <w:szCs w:val="32"/>
        </w:rPr>
        <w:t>, risolvendosi n</w:t>
      </w:r>
      <w:r w:rsidRPr="00C56056">
        <w:rPr>
          <w:rFonts w:ascii="Times New Roman" w:hAnsi="Times New Roman" w:cs="Times New Roman"/>
          <w:sz w:val="32"/>
          <w:szCs w:val="32"/>
        </w:rPr>
        <w:t>ella progressiva formazione della fattispecie in cui si concreta l’azion</w:t>
      </w:r>
      <w:r>
        <w:rPr>
          <w:rFonts w:ascii="Times New Roman" w:hAnsi="Times New Roman" w:cs="Times New Roman"/>
          <w:sz w:val="32"/>
          <w:szCs w:val="32"/>
        </w:rPr>
        <w:t>e dell’amministrazione pubblica</w:t>
      </w:r>
      <w:r w:rsidRPr="00C56056">
        <w:rPr>
          <w:rFonts w:ascii="Times New Roman" w:hAnsi="Times New Roman" w:cs="Times New Roman"/>
          <w:sz w:val="32"/>
          <w:szCs w:val="32"/>
          <w:vertAlign w:val="superscript"/>
        </w:rPr>
        <w:footnoteReference w:id="5"/>
      </w:r>
      <w:r w:rsidRPr="00C56056">
        <w:rPr>
          <w:rFonts w:ascii="Times New Roman" w:hAnsi="Times New Roman" w:cs="Times New Roman"/>
          <w:sz w:val="32"/>
          <w:szCs w:val="32"/>
        </w:rPr>
        <w:t>.</w:t>
      </w:r>
      <w:r>
        <w:rPr>
          <w:rFonts w:ascii="Times New Roman" w:hAnsi="Times New Roman" w:cs="Times New Roman"/>
          <w:sz w:val="32"/>
          <w:szCs w:val="32"/>
        </w:rPr>
        <w:t xml:space="preserve"> </w:t>
      </w:r>
    </w:p>
    <w:p w:rsidR="00C56056" w:rsidRDefault="00C56056" w:rsidP="00C56056">
      <w:pPr>
        <w:jc w:val="both"/>
        <w:rPr>
          <w:rFonts w:ascii="Times New Roman" w:hAnsi="Times New Roman" w:cs="Times New Roman"/>
          <w:sz w:val="32"/>
          <w:szCs w:val="32"/>
        </w:rPr>
      </w:pPr>
      <w:r w:rsidRPr="00C56056">
        <w:rPr>
          <w:rFonts w:ascii="Times New Roman" w:hAnsi="Times New Roman" w:cs="Times New Roman"/>
          <w:sz w:val="32"/>
          <w:szCs w:val="32"/>
        </w:rPr>
        <w:t xml:space="preserve">Con Benvenuti e Giannini entrano prepotentemente nella struttura procedimentale, quale delineata da </w:t>
      </w:r>
      <w:proofErr w:type="spellStart"/>
      <w:r w:rsidRPr="00C56056">
        <w:rPr>
          <w:rFonts w:ascii="Times New Roman" w:hAnsi="Times New Roman" w:cs="Times New Roman"/>
          <w:sz w:val="32"/>
          <w:szCs w:val="32"/>
        </w:rPr>
        <w:t>Sandulli</w:t>
      </w:r>
      <w:proofErr w:type="spellEnd"/>
      <w:r w:rsidRPr="00C56056">
        <w:rPr>
          <w:rFonts w:ascii="Times New Roman" w:hAnsi="Times New Roman" w:cs="Times New Roman"/>
          <w:sz w:val="32"/>
          <w:szCs w:val="32"/>
        </w:rPr>
        <w:t>, la funzione amministrativa e gli interessi a essa correlati; da cui la configurazione del procedimento come “forma della funzione”</w:t>
      </w:r>
      <w:r>
        <w:rPr>
          <w:rFonts w:ascii="Times New Roman" w:hAnsi="Times New Roman" w:cs="Times New Roman"/>
          <w:sz w:val="32"/>
          <w:szCs w:val="32"/>
        </w:rPr>
        <w:t xml:space="preserve"> </w:t>
      </w:r>
      <w:r w:rsidRPr="00C56056">
        <w:rPr>
          <w:rFonts w:ascii="Times New Roman" w:hAnsi="Times New Roman" w:cs="Times New Roman"/>
          <w:sz w:val="32"/>
          <w:szCs w:val="32"/>
        </w:rPr>
        <w:t>(Benvenuti)</w:t>
      </w:r>
      <w:r w:rsidRPr="00C56056">
        <w:rPr>
          <w:rFonts w:ascii="Times New Roman" w:hAnsi="Times New Roman" w:cs="Times New Roman"/>
          <w:sz w:val="32"/>
          <w:szCs w:val="32"/>
          <w:vertAlign w:val="superscript"/>
        </w:rPr>
        <w:footnoteReference w:id="6"/>
      </w:r>
      <w:r w:rsidRPr="00C56056">
        <w:rPr>
          <w:rFonts w:ascii="Times New Roman" w:hAnsi="Times New Roman" w:cs="Times New Roman"/>
          <w:sz w:val="32"/>
          <w:szCs w:val="32"/>
        </w:rPr>
        <w:t xml:space="preserve"> e luogo deputato alla ponderazione degli interessi (Giannini), pubblici e privati. Quello che maggiormente mi sembra rilevare ai nostri fini è che si fa avanti fin da allora l’idea probabilmente conseguente, sul piano dei princìpi, al “superamento del vincolo unilaterale tra legge ed atto amministrativo”</w:t>
      </w:r>
      <w:r w:rsidRPr="00C56056">
        <w:rPr>
          <w:rFonts w:ascii="Times New Roman" w:hAnsi="Times New Roman" w:cs="Times New Roman"/>
          <w:sz w:val="32"/>
          <w:szCs w:val="32"/>
          <w:vertAlign w:val="superscript"/>
        </w:rPr>
        <w:footnoteReference w:id="7"/>
      </w:r>
      <w:r w:rsidRPr="00C56056">
        <w:rPr>
          <w:rFonts w:ascii="Times New Roman" w:hAnsi="Times New Roman" w:cs="Times New Roman"/>
          <w:sz w:val="32"/>
          <w:szCs w:val="32"/>
        </w:rPr>
        <w:t>, ma probabilmente imposto dalla pratica del fenomeno amministrativo- che l’interesse pubblico non può essere compiutamente definito nell’astratta previsione di legge, ma è determinato nel procedimento come risultato dell’esercizio di un potere</w:t>
      </w:r>
      <w:r>
        <w:rPr>
          <w:rFonts w:ascii="Times New Roman" w:hAnsi="Times New Roman" w:cs="Times New Roman"/>
          <w:sz w:val="32"/>
          <w:szCs w:val="32"/>
        </w:rPr>
        <w:t xml:space="preserve"> che, proprio nell’accezione di Benvenuti, definiremo</w:t>
      </w:r>
      <w:r w:rsidRPr="00C56056">
        <w:rPr>
          <w:rFonts w:ascii="Times New Roman" w:hAnsi="Times New Roman" w:cs="Times New Roman"/>
          <w:sz w:val="32"/>
          <w:szCs w:val="32"/>
        </w:rPr>
        <w:t xml:space="preserve"> “partecipato”, </w:t>
      </w:r>
      <w:r>
        <w:rPr>
          <w:rFonts w:ascii="Times New Roman" w:hAnsi="Times New Roman" w:cs="Times New Roman"/>
          <w:sz w:val="32"/>
          <w:szCs w:val="32"/>
        </w:rPr>
        <w:t>nella logica, di chiara marca costituzionalistica, di un “diritto amministrativo paritario”.</w:t>
      </w:r>
    </w:p>
    <w:p w:rsidR="00C56056" w:rsidRDefault="00C56056" w:rsidP="00C56056">
      <w:pPr>
        <w:jc w:val="both"/>
        <w:rPr>
          <w:rFonts w:ascii="Times New Roman" w:hAnsi="Times New Roman" w:cs="Times New Roman"/>
          <w:sz w:val="32"/>
          <w:szCs w:val="32"/>
        </w:rPr>
      </w:pPr>
      <w:r>
        <w:rPr>
          <w:rFonts w:ascii="Times New Roman" w:hAnsi="Times New Roman" w:cs="Times New Roman"/>
          <w:sz w:val="32"/>
          <w:szCs w:val="32"/>
        </w:rPr>
        <w:t xml:space="preserve">Il ponte tra procedimento e processo è rimarcato da Mario </w:t>
      </w:r>
      <w:proofErr w:type="spellStart"/>
      <w:r>
        <w:rPr>
          <w:rFonts w:ascii="Times New Roman" w:hAnsi="Times New Roman" w:cs="Times New Roman"/>
          <w:sz w:val="32"/>
          <w:szCs w:val="32"/>
        </w:rPr>
        <w:t>Nigro</w:t>
      </w:r>
      <w:proofErr w:type="spellEnd"/>
      <w:r w:rsidR="002C7E3E">
        <w:rPr>
          <w:rFonts w:ascii="Times New Roman" w:hAnsi="Times New Roman" w:cs="Times New Roman"/>
          <w:sz w:val="32"/>
          <w:szCs w:val="32"/>
        </w:rPr>
        <w:t>. Ma il processo “paritario” è presto invocato da Feliciano Benvenuti. Se alle origini l’attenzione fu “portata sulla necessità di un’Amministrazione corretta, anziché sulla necessità di una difesa del cittadino e, soprattutto, di un mantenimento dell’equilibrio tra le posizioni di questo e i poteri pubblici”</w:t>
      </w:r>
      <w:r w:rsidR="002C7E3E">
        <w:rPr>
          <w:rStyle w:val="Rimandonotaapidipagina"/>
          <w:rFonts w:ascii="Times New Roman" w:hAnsi="Times New Roman" w:cs="Times New Roman"/>
          <w:sz w:val="32"/>
          <w:szCs w:val="32"/>
        </w:rPr>
        <w:footnoteReference w:id="8"/>
      </w:r>
      <w:r w:rsidR="002C7E3E">
        <w:rPr>
          <w:rFonts w:ascii="Times New Roman" w:hAnsi="Times New Roman" w:cs="Times New Roman"/>
          <w:sz w:val="32"/>
          <w:szCs w:val="32"/>
        </w:rPr>
        <w:t xml:space="preserve">, l’Autore, nello stesso scritto, indica al legislatore ma anche alla giurisprudenza amministrativa la via per una tutela che vada oltre il mero </w:t>
      </w:r>
      <w:r w:rsidR="002C7E3E">
        <w:rPr>
          <w:rFonts w:ascii="Times New Roman" w:hAnsi="Times New Roman" w:cs="Times New Roman"/>
          <w:sz w:val="32"/>
          <w:szCs w:val="32"/>
        </w:rPr>
        <w:lastRenderedPageBreak/>
        <w:t>annullamento dell’atto, aperta alla risarcibilità del danno da interesse legittimo, “completando….l’area della tutela” del cittadino.</w:t>
      </w:r>
    </w:p>
    <w:p w:rsidR="00030624" w:rsidRPr="00C56056" w:rsidRDefault="00030624" w:rsidP="00C56056">
      <w:pPr>
        <w:jc w:val="both"/>
        <w:rPr>
          <w:rFonts w:ascii="Times New Roman" w:hAnsi="Times New Roman" w:cs="Times New Roman"/>
          <w:sz w:val="32"/>
          <w:szCs w:val="32"/>
        </w:rPr>
      </w:pPr>
      <w:r>
        <w:rPr>
          <w:rFonts w:ascii="Times New Roman" w:hAnsi="Times New Roman" w:cs="Times New Roman"/>
          <w:sz w:val="32"/>
          <w:szCs w:val="32"/>
        </w:rPr>
        <w:t xml:space="preserve">E così –come mi è sembrato di poter dire in occasione del mio insediamento e della relazione sullo stato della giustizia amministrativa-  il luogo della composizione degli interessi e il luogo del conflitto si raccordano tra loro, fornendo alla situazione soggettiva nei confronti del potere una protezione diretta e primaria nei confronti del potere, la cui correttezza resta, quasi per contrappasso, “solo” </w:t>
      </w:r>
      <w:r w:rsidRPr="00030624">
        <w:rPr>
          <w:rFonts w:ascii="Times New Roman" w:hAnsi="Times New Roman" w:cs="Times New Roman"/>
          <w:i/>
          <w:sz w:val="32"/>
          <w:szCs w:val="32"/>
        </w:rPr>
        <w:t>occasionalmente</w:t>
      </w:r>
      <w:r>
        <w:rPr>
          <w:rFonts w:ascii="Times New Roman" w:hAnsi="Times New Roman" w:cs="Times New Roman"/>
          <w:sz w:val="32"/>
          <w:szCs w:val="32"/>
        </w:rPr>
        <w:t xml:space="preserve"> correlata alla tutela offerta al cittadino.</w:t>
      </w:r>
    </w:p>
    <w:p w:rsidR="00615946" w:rsidRDefault="00030624" w:rsidP="00615946">
      <w:pPr>
        <w:jc w:val="both"/>
        <w:rPr>
          <w:rFonts w:ascii="Times New Roman" w:hAnsi="Times New Roman" w:cs="Times New Roman"/>
          <w:sz w:val="32"/>
          <w:szCs w:val="32"/>
        </w:rPr>
      </w:pPr>
      <w:r>
        <w:rPr>
          <w:rFonts w:ascii="Times New Roman" w:hAnsi="Times New Roman" w:cs="Times New Roman"/>
          <w:sz w:val="32"/>
          <w:szCs w:val="32"/>
        </w:rPr>
        <w:t xml:space="preserve">3. Che ne è di procedimento e processo nell’era telematica? </w:t>
      </w:r>
    </w:p>
    <w:p w:rsidR="006A2BD2" w:rsidRDefault="006A2BD2" w:rsidP="00615946">
      <w:pPr>
        <w:jc w:val="both"/>
        <w:rPr>
          <w:rFonts w:ascii="Times New Roman" w:hAnsi="Times New Roman" w:cs="Times New Roman"/>
          <w:sz w:val="32"/>
          <w:szCs w:val="32"/>
        </w:rPr>
      </w:pPr>
      <w:r>
        <w:rPr>
          <w:rFonts w:ascii="Times New Roman" w:hAnsi="Times New Roman" w:cs="Times New Roman"/>
          <w:sz w:val="32"/>
          <w:szCs w:val="32"/>
        </w:rPr>
        <w:t xml:space="preserve">3.1 Sul piano del procedimento, vengono in rilievo diversi aspetti dell’attuale dibattito, non solo tra giuristi: si va dall’uso della telematica nell’accesso ai servizi pubblici al dibattito sulla reingegnerizzazione delle procedure, dalle banche dati delle amministrazioni, in dialogo tra loro e aperte ai cittadini, fino alla decisione amministrativa robotica (o robotizzata) fondata sul ricorso ad algoritmi. I vantaggi, soprattutto in procedure seriali o ad alto tasso di </w:t>
      </w:r>
      <w:proofErr w:type="spellStart"/>
      <w:r>
        <w:rPr>
          <w:rFonts w:ascii="Times New Roman" w:hAnsi="Times New Roman" w:cs="Times New Roman"/>
          <w:sz w:val="32"/>
          <w:szCs w:val="32"/>
        </w:rPr>
        <w:t>vincolatezza</w:t>
      </w:r>
      <w:proofErr w:type="spellEnd"/>
      <w:r>
        <w:rPr>
          <w:rFonts w:ascii="Times New Roman" w:hAnsi="Times New Roman" w:cs="Times New Roman"/>
          <w:sz w:val="32"/>
          <w:szCs w:val="32"/>
        </w:rPr>
        <w:t>, dell’applicazione delle tecnologie alle decisioni amministrative, sono evidenti, in termini di speditezza dell’azione e, sotto certi profili, anche dell’imparzialità. Ma sono evidenti anche le criticità della tematica, soprattutto con riguardo alle applicazioni più avanzate dell’intelligenza artificiale</w:t>
      </w:r>
      <w:r w:rsidR="008678B8">
        <w:rPr>
          <w:rFonts w:ascii="Times New Roman" w:hAnsi="Times New Roman" w:cs="Times New Roman"/>
          <w:sz w:val="32"/>
          <w:szCs w:val="32"/>
        </w:rPr>
        <w:t>, in termini proprio di partecipazione al procedimento e di sindacato giurisdizionale. Poiché la</w:t>
      </w:r>
      <w:r w:rsidR="008678B8" w:rsidRPr="008678B8">
        <w:rPr>
          <w:rFonts w:ascii="Times New Roman" w:hAnsi="Times New Roman" w:cs="Times New Roman"/>
          <w:sz w:val="32"/>
          <w:szCs w:val="32"/>
        </w:rPr>
        <w:t xml:space="preserve"> decisione robotizzata non può tradursi in una minor tutela contro le distorsioni nell’uso del potere</w:t>
      </w:r>
      <w:r w:rsidR="008678B8">
        <w:rPr>
          <w:rFonts w:ascii="Times New Roman" w:hAnsi="Times New Roman" w:cs="Times New Roman"/>
          <w:sz w:val="32"/>
          <w:szCs w:val="32"/>
        </w:rPr>
        <w:t>, è indispensabile assicurare</w:t>
      </w:r>
      <w:r w:rsidR="00CF48AE">
        <w:rPr>
          <w:rFonts w:ascii="Times New Roman" w:hAnsi="Times New Roman" w:cs="Times New Roman"/>
          <w:sz w:val="32"/>
          <w:szCs w:val="32"/>
        </w:rPr>
        <w:t>,</w:t>
      </w:r>
      <w:r w:rsidR="008678B8">
        <w:rPr>
          <w:rFonts w:ascii="Times New Roman" w:hAnsi="Times New Roman" w:cs="Times New Roman"/>
          <w:sz w:val="32"/>
          <w:szCs w:val="32"/>
        </w:rPr>
        <w:t xml:space="preserve"> a monte</w:t>
      </w:r>
      <w:r w:rsidR="008678B8" w:rsidRPr="008678B8">
        <w:rPr>
          <w:rFonts w:ascii="Times New Roman" w:hAnsi="Times New Roman" w:cs="Times New Roman"/>
          <w:sz w:val="32"/>
          <w:szCs w:val="32"/>
        </w:rPr>
        <w:t xml:space="preserve"> del processo decisionale,</w:t>
      </w:r>
      <w:r w:rsidR="008678B8">
        <w:rPr>
          <w:rFonts w:ascii="Times New Roman" w:hAnsi="Times New Roman" w:cs="Times New Roman"/>
          <w:sz w:val="32"/>
          <w:szCs w:val="32"/>
        </w:rPr>
        <w:t xml:space="preserve"> trasparenza dei dati e conoscibilità dell’algoritmo –il che vuol dire un esercizio “partecipato” della funzione nelle sue nuove modalità di esercizio- e, </w:t>
      </w:r>
      <w:r w:rsidR="008678B8" w:rsidRPr="008678B8">
        <w:rPr>
          <w:rFonts w:ascii="Times New Roman" w:hAnsi="Times New Roman" w:cs="Times New Roman"/>
          <w:sz w:val="32"/>
          <w:szCs w:val="32"/>
        </w:rPr>
        <w:t>a valle, un sindacato giurisdizionale che vive l’intermediazione del</w:t>
      </w:r>
      <w:r w:rsidR="008678B8">
        <w:rPr>
          <w:rFonts w:ascii="Times New Roman" w:hAnsi="Times New Roman" w:cs="Times New Roman"/>
          <w:sz w:val="32"/>
          <w:szCs w:val="32"/>
        </w:rPr>
        <w:t xml:space="preserve"> provvedimento (</w:t>
      </w:r>
      <w:proofErr w:type="spellStart"/>
      <w:r w:rsidR="008678B8" w:rsidRPr="00CF48AE">
        <w:rPr>
          <w:rFonts w:ascii="Times New Roman" w:hAnsi="Times New Roman" w:cs="Times New Roman"/>
          <w:i/>
          <w:sz w:val="32"/>
          <w:szCs w:val="32"/>
        </w:rPr>
        <w:t>rectius</w:t>
      </w:r>
      <w:proofErr w:type="spellEnd"/>
      <w:r w:rsidR="008678B8">
        <w:rPr>
          <w:rFonts w:ascii="Times New Roman" w:hAnsi="Times New Roman" w:cs="Times New Roman"/>
          <w:sz w:val="32"/>
          <w:szCs w:val="32"/>
        </w:rPr>
        <w:t>: del</w:t>
      </w:r>
      <w:r w:rsidR="008678B8" w:rsidRPr="008678B8">
        <w:rPr>
          <w:rFonts w:ascii="Times New Roman" w:hAnsi="Times New Roman" w:cs="Times New Roman"/>
          <w:sz w:val="32"/>
          <w:szCs w:val="32"/>
        </w:rPr>
        <w:t xml:space="preserve"> procedimento</w:t>
      </w:r>
      <w:r w:rsidR="008678B8">
        <w:rPr>
          <w:rFonts w:ascii="Times New Roman" w:hAnsi="Times New Roman" w:cs="Times New Roman"/>
          <w:sz w:val="32"/>
          <w:szCs w:val="32"/>
        </w:rPr>
        <w:t>)</w:t>
      </w:r>
      <w:r w:rsidR="008678B8" w:rsidRPr="008678B8">
        <w:rPr>
          <w:rFonts w:ascii="Times New Roman" w:hAnsi="Times New Roman" w:cs="Times New Roman"/>
          <w:sz w:val="32"/>
          <w:szCs w:val="32"/>
        </w:rPr>
        <w:t xml:space="preserve"> in modo del tutto nuovo</w:t>
      </w:r>
      <w:r w:rsidR="008678B8">
        <w:rPr>
          <w:rStyle w:val="Rimandonotaapidipagina"/>
          <w:rFonts w:ascii="Times New Roman" w:hAnsi="Times New Roman" w:cs="Times New Roman"/>
          <w:sz w:val="32"/>
          <w:szCs w:val="32"/>
        </w:rPr>
        <w:footnoteReference w:id="9"/>
      </w:r>
      <w:r w:rsidR="008678B8" w:rsidRPr="008678B8">
        <w:rPr>
          <w:rFonts w:ascii="Times New Roman" w:hAnsi="Times New Roman" w:cs="Times New Roman"/>
          <w:sz w:val="32"/>
          <w:szCs w:val="32"/>
        </w:rPr>
        <w:t>.</w:t>
      </w:r>
      <w:r w:rsidR="00CF48AE">
        <w:rPr>
          <w:rFonts w:ascii="Times New Roman" w:hAnsi="Times New Roman" w:cs="Times New Roman"/>
          <w:sz w:val="32"/>
          <w:szCs w:val="32"/>
        </w:rPr>
        <w:t xml:space="preserve"> E sono queste le criticità sul piano giurisdizionale della decisione amministrativa robotica </w:t>
      </w:r>
    </w:p>
    <w:p w:rsidR="00CF48AE" w:rsidRDefault="00CF48AE" w:rsidP="00615946">
      <w:pPr>
        <w:jc w:val="both"/>
        <w:rPr>
          <w:rFonts w:ascii="Times New Roman" w:hAnsi="Times New Roman" w:cs="Times New Roman"/>
          <w:sz w:val="32"/>
          <w:szCs w:val="32"/>
        </w:rPr>
      </w:pPr>
      <w:r>
        <w:rPr>
          <w:rFonts w:ascii="Times New Roman" w:hAnsi="Times New Roman" w:cs="Times New Roman"/>
          <w:sz w:val="32"/>
          <w:szCs w:val="32"/>
        </w:rPr>
        <w:t xml:space="preserve">3.2 Sul piano più propriamente del processo, non nego che una decisione giurisdizionale robotica possa trovare applicazione nel nostro giudizio, a mio avviso come supporto alla decisione del giudice (per esempio, in materia di calcolo del danno da perdita di </w:t>
      </w:r>
      <w:r w:rsidRPr="00CF48AE">
        <w:rPr>
          <w:rFonts w:ascii="Times New Roman" w:hAnsi="Times New Roman" w:cs="Times New Roman"/>
          <w:i/>
          <w:sz w:val="32"/>
          <w:szCs w:val="32"/>
        </w:rPr>
        <w:t>chance</w:t>
      </w:r>
      <w:r>
        <w:rPr>
          <w:rFonts w:ascii="Times New Roman" w:hAnsi="Times New Roman" w:cs="Times New Roman"/>
          <w:sz w:val="32"/>
          <w:szCs w:val="32"/>
        </w:rPr>
        <w:t xml:space="preserve"> o, in altri ambiti, in materia assicurativa) più che come decisione sostitutiva di quella del giudice. Né nego che l’intelligenza artificiale possa essere di supporto all’attività dell’avvocato nell’ambito della più vasta tematica riconducibile alla cd. giustizia predittiva.</w:t>
      </w:r>
    </w:p>
    <w:p w:rsidR="009567A8" w:rsidRDefault="009567A8" w:rsidP="00615946">
      <w:pPr>
        <w:jc w:val="both"/>
        <w:rPr>
          <w:rFonts w:ascii="Times New Roman" w:hAnsi="Times New Roman" w:cs="Times New Roman"/>
          <w:sz w:val="32"/>
          <w:szCs w:val="32"/>
        </w:rPr>
      </w:pPr>
      <w:r>
        <w:rPr>
          <w:rFonts w:ascii="Times New Roman" w:hAnsi="Times New Roman" w:cs="Times New Roman"/>
          <w:sz w:val="32"/>
          <w:szCs w:val="32"/>
        </w:rPr>
        <w:t xml:space="preserve">4. Ma l’emergenza </w:t>
      </w:r>
      <w:proofErr w:type="spellStart"/>
      <w:r>
        <w:rPr>
          <w:rFonts w:ascii="Times New Roman" w:hAnsi="Times New Roman" w:cs="Times New Roman"/>
          <w:sz w:val="32"/>
          <w:szCs w:val="32"/>
        </w:rPr>
        <w:t>Covid</w:t>
      </w:r>
      <w:proofErr w:type="spellEnd"/>
      <w:r>
        <w:rPr>
          <w:rFonts w:ascii="Times New Roman" w:hAnsi="Times New Roman" w:cs="Times New Roman"/>
          <w:sz w:val="32"/>
          <w:szCs w:val="32"/>
        </w:rPr>
        <w:t xml:space="preserve"> ci ha catapultato in una nuova dimensione del diritto in genere, del diritto pubblico in particolare nella complessa regolamentazione dei rapporti tra individui e poteri e tra i vari livelli di potere; e si è avuta conferma ulteriore, nella vita quotidiana, dello stretto rapporto, nella cultura giuridica contemporanea, tra diritto costituzionale e diritto amministrativo, il primo volto a informare i rapporti pubblicistici appena menzionati (tra livelli di governo e tra potere e individui), il secondo volto a dare attuazione concreta nella realtà sociale, anche contingente ed eccezionale, ai diritti degli individui ma anche alle relazioni tra persone nella comunità.</w:t>
      </w:r>
    </w:p>
    <w:p w:rsidR="009567A8" w:rsidRDefault="009567A8" w:rsidP="00615946">
      <w:pPr>
        <w:jc w:val="both"/>
        <w:rPr>
          <w:rFonts w:ascii="Times New Roman" w:hAnsi="Times New Roman" w:cs="Times New Roman"/>
          <w:sz w:val="32"/>
          <w:szCs w:val="32"/>
        </w:rPr>
      </w:pPr>
      <w:r>
        <w:rPr>
          <w:rFonts w:ascii="Times New Roman" w:hAnsi="Times New Roman" w:cs="Times New Roman"/>
          <w:sz w:val="32"/>
          <w:szCs w:val="32"/>
        </w:rPr>
        <w:t>E il nostro processo non è rimasto certo estraneo</w:t>
      </w:r>
      <w:r w:rsidR="00FE0CF8">
        <w:rPr>
          <w:rFonts w:ascii="Times New Roman" w:hAnsi="Times New Roman" w:cs="Times New Roman"/>
          <w:sz w:val="32"/>
          <w:szCs w:val="32"/>
        </w:rPr>
        <w:t xml:space="preserve"> a</w:t>
      </w:r>
      <w:r>
        <w:rPr>
          <w:rFonts w:ascii="Times New Roman" w:hAnsi="Times New Roman" w:cs="Times New Roman"/>
          <w:sz w:val="32"/>
          <w:szCs w:val="32"/>
        </w:rPr>
        <w:t xml:space="preserve"> </w:t>
      </w:r>
      <w:r w:rsidR="00FE0CF8">
        <w:rPr>
          <w:rFonts w:ascii="Times New Roman" w:hAnsi="Times New Roman" w:cs="Times New Roman"/>
          <w:sz w:val="32"/>
          <w:szCs w:val="32"/>
        </w:rPr>
        <w:t>questa contingenza emergenziale, mostrandosi, a mio avviso, idoneo ad adattarvisi, senza dubbio però grazie al supporto della telematica.</w:t>
      </w:r>
    </w:p>
    <w:p w:rsidR="00740922" w:rsidRPr="00740922" w:rsidRDefault="00FE0CF8" w:rsidP="00740922">
      <w:pPr>
        <w:jc w:val="both"/>
        <w:rPr>
          <w:rFonts w:ascii="Times New Roman" w:hAnsi="Times New Roman" w:cs="Times New Roman"/>
          <w:sz w:val="32"/>
          <w:szCs w:val="32"/>
        </w:rPr>
      </w:pPr>
      <w:r>
        <w:rPr>
          <w:rFonts w:ascii="Times New Roman" w:hAnsi="Times New Roman" w:cs="Times New Roman"/>
          <w:sz w:val="32"/>
          <w:szCs w:val="32"/>
        </w:rPr>
        <w:t>I giudizi amministrativi stanno affrontando questo percorso con indubbie criticità, anche con qualche tensione (non solo interpersonale, ma proprio valoriale</w:t>
      </w:r>
      <w:r w:rsidR="00753C49">
        <w:rPr>
          <w:rFonts w:ascii="Times New Roman" w:hAnsi="Times New Roman" w:cs="Times New Roman"/>
          <w:sz w:val="32"/>
          <w:szCs w:val="32"/>
        </w:rPr>
        <w:t>, di valori da bilanciare</w:t>
      </w:r>
      <w:r>
        <w:rPr>
          <w:rFonts w:ascii="Times New Roman" w:hAnsi="Times New Roman" w:cs="Times New Roman"/>
          <w:sz w:val="32"/>
          <w:szCs w:val="32"/>
        </w:rPr>
        <w:t xml:space="preserve">), ma dobbiamo riconoscere, credo, che se finalmente usciremo da questo tunnel, alla cui fine abbiamo sempre intravisto la luce, sarà grazie a tre fattori: la flessibilità delle nostre regole processuali, la telematica, il fattore umano, intendendo per questo la capacità, e talvolta la mera volontà, di andare avanti anche sacrificando qualcosa, purché il qualcosa non diventasse troppo. Con una capacità di adattare le regole emergenziali all’evolversi della situazione sanitaria, fino a intravedere finalmente la fine di questo percorso. Perché su una cosa vorrei essere chiaro: la fine dell’emergenza deve riportarci tutti al processo in presenza. Magari un processo più ordinato, un processo che consenta, ad avvocati e giudici, </w:t>
      </w:r>
      <w:r w:rsidR="00740922" w:rsidRPr="00740922">
        <w:rPr>
          <w:rFonts w:ascii="Times New Roman" w:hAnsi="Times New Roman" w:cs="Times New Roman"/>
          <w:sz w:val="32"/>
          <w:szCs w:val="32"/>
        </w:rPr>
        <w:t xml:space="preserve">di organizzare meglio le udienze, chiedendo </w:t>
      </w:r>
      <w:r w:rsidR="00753C49">
        <w:rPr>
          <w:rFonts w:ascii="Times New Roman" w:hAnsi="Times New Roman" w:cs="Times New Roman"/>
          <w:sz w:val="32"/>
          <w:szCs w:val="32"/>
        </w:rPr>
        <w:t xml:space="preserve">per esempio </w:t>
      </w:r>
      <w:r w:rsidR="00740922" w:rsidRPr="00740922">
        <w:rPr>
          <w:rFonts w:ascii="Times New Roman" w:hAnsi="Times New Roman" w:cs="Times New Roman"/>
          <w:sz w:val="32"/>
          <w:szCs w:val="32"/>
        </w:rPr>
        <w:t>alle parti di anticipare congiuntamente fuori udienza la volontà di mandare in decisione le cause sugli scritti, in modo da poter meglio pianificare la discussione delle cause rimanenti, sia per il merito sia, con termini diversi, per le cautelari.</w:t>
      </w:r>
    </w:p>
    <w:p w:rsidR="00FE0CF8" w:rsidRDefault="00740922" w:rsidP="00615946">
      <w:pPr>
        <w:jc w:val="both"/>
        <w:rPr>
          <w:rFonts w:ascii="Times New Roman" w:hAnsi="Times New Roman" w:cs="Times New Roman"/>
          <w:sz w:val="32"/>
          <w:szCs w:val="32"/>
        </w:rPr>
      </w:pPr>
      <w:r>
        <w:rPr>
          <w:rFonts w:ascii="Times New Roman" w:hAnsi="Times New Roman" w:cs="Times New Roman"/>
          <w:sz w:val="32"/>
          <w:szCs w:val="32"/>
        </w:rPr>
        <w:t>M</w:t>
      </w:r>
      <w:r w:rsidR="00FE0CF8">
        <w:rPr>
          <w:rFonts w:ascii="Times New Roman" w:hAnsi="Times New Roman" w:cs="Times New Roman"/>
          <w:sz w:val="32"/>
          <w:szCs w:val="32"/>
        </w:rPr>
        <w:t>a senza farci passare per la testa una sorta di processo ibrido in cui sia indifferente la presenza in udienza o da remoto del giudice o del difensore.</w:t>
      </w:r>
    </w:p>
    <w:p w:rsidR="00CF48AE" w:rsidRDefault="00841DCE" w:rsidP="00615946">
      <w:pPr>
        <w:jc w:val="both"/>
        <w:rPr>
          <w:rFonts w:ascii="Times New Roman" w:hAnsi="Times New Roman" w:cs="Times New Roman"/>
          <w:sz w:val="32"/>
          <w:szCs w:val="32"/>
        </w:rPr>
      </w:pPr>
      <w:r>
        <w:rPr>
          <w:rFonts w:ascii="Times New Roman" w:hAnsi="Times New Roman" w:cs="Times New Roman"/>
          <w:sz w:val="32"/>
          <w:szCs w:val="32"/>
        </w:rPr>
        <w:t xml:space="preserve">In altre parole, credo che dobbiamo evitare due atteggiamenti che non mi sembrano “praticamente utili” ai fini del rendere giustizia: da una parte, </w:t>
      </w:r>
      <w:r w:rsidRPr="00841DCE">
        <w:rPr>
          <w:rFonts w:ascii="Times New Roman" w:hAnsi="Times New Roman" w:cs="Times New Roman"/>
          <w:sz w:val="32"/>
          <w:szCs w:val="32"/>
        </w:rPr>
        <w:t>se ragioniamo, nella situazione emergenziale, con gli stessi parametri di riferimento, con la stessa “raffinatezza giuridica” che tutti riconosciamo ai giuristi italiani, con il pensiero rivolto al regime ordinar</w:t>
      </w:r>
      <w:r w:rsidR="00740922">
        <w:rPr>
          <w:rFonts w:ascii="Times New Roman" w:hAnsi="Times New Roman" w:cs="Times New Roman"/>
          <w:sz w:val="32"/>
          <w:szCs w:val="32"/>
        </w:rPr>
        <w:t xml:space="preserve">io e con il </w:t>
      </w:r>
      <w:proofErr w:type="spellStart"/>
      <w:r w:rsidR="00740922">
        <w:rPr>
          <w:rFonts w:ascii="Times New Roman" w:hAnsi="Times New Roman" w:cs="Times New Roman"/>
          <w:sz w:val="32"/>
          <w:szCs w:val="32"/>
        </w:rPr>
        <w:t>retropensiero</w:t>
      </w:r>
      <w:proofErr w:type="spellEnd"/>
      <w:r w:rsidR="00740922">
        <w:rPr>
          <w:rFonts w:ascii="Times New Roman" w:hAnsi="Times New Roman" w:cs="Times New Roman"/>
          <w:sz w:val="32"/>
          <w:szCs w:val="32"/>
        </w:rPr>
        <w:t xml:space="preserve"> che ogni variazione dello stesso ci condurrà</w:t>
      </w:r>
      <w:r w:rsidRPr="00841DCE">
        <w:rPr>
          <w:rFonts w:ascii="Times New Roman" w:hAnsi="Times New Roman" w:cs="Times New Roman"/>
          <w:sz w:val="32"/>
          <w:szCs w:val="32"/>
        </w:rPr>
        <w:t xml:space="preserve"> allo Stato di eccezione nell’accezione </w:t>
      </w:r>
      <w:proofErr w:type="spellStart"/>
      <w:r w:rsidRPr="00841DCE">
        <w:rPr>
          <w:rFonts w:ascii="Times New Roman" w:hAnsi="Times New Roman" w:cs="Times New Roman"/>
          <w:sz w:val="32"/>
          <w:szCs w:val="32"/>
        </w:rPr>
        <w:t>schmittiana</w:t>
      </w:r>
      <w:proofErr w:type="spellEnd"/>
      <w:r w:rsidRPr="00841DCE">
        <w:rPr>
          <w:rFonts w:ascii="Times New Roman" w:hAnsi="Times New Roman" w:cs="Times New Roman"/>
          <w:sz w:val="32"/>
          <w:szCs w:val="32"/>
        </w:rPr>
        <w:t xml:space="preserve"> del termine, non andiamo da nessuna parte</w:t>
      </w:r>
      <w:r w:rsidR="00740922">
        <w:rPr>
          <w:rFonts w:ascii="Times New Roman" w:hAnsi="Times New Roman" w:cs="Times New Roman"/>
          <w:sz w:val="32"/>
          <w:szCs w:val="32"/>
        </w:rPr>
        <w:t xml:space="preserve">: insomma, non si può pensare di riprodurre in emergenza il sistema ordinario. Dall’altra parte, </w:t>
      </w:r>
      <w:r w:rsidR="00740922" w:rsidRPr="00740922">
        <w:rPr>
          <w:rFonts w:ascii="Times New Roman" w:hAnsi="Times New Roman" w:cs="Times New Roman"/>
          <w:sz w:val="32"/>
          <w:szCs w:val="32"/>
        </w:rPr>
        <w:t xml:space="preserve">la mancanza di un’udienza in presenza </w:t>
      </w:r>
      <w:r w:rsidR="00740922">
        <w:rPr>
          <w:rFonts w:ascii="Times New Roman" w:hAnsi="Times New Roman" w:cs="Times New Roman"/>
          <w:sz w:val="32"/>
          <w:szCs w:val="32"/>
        </w:rPr>
        <w:t>rappresenta, spero non solo per la mia generazione,</w:t>
      </w:r>
      <w:r w:rsidR="00740922" w:rsidRPr="00740922">
        <w:rPr>
          <w:rFonts w:ascii="Times New Roman" w:hAnsi="Times New Roman" w:cs="Times New Roman"/>
          <w:sz w:val="32"/>
          <w:szCs w:val="32"/>
        </w:rPr>
        <w:t xml:space="preserve"> una frattura rispetto al mondo e al processo che abbiamo vissuto</w:t>
      </w:r>
      <w:r w:rsidR="00740922">
        <w:rPr>
          <w:rFonts w:ascii="Times New Roman" w:hAnsi="Times New Roman" w:cs="Times New Roman"/>
          <w:sz w:val="32"/>
          <w:szCs w:val="32"/>
        </w:rPr>
        <w:t>.</w:t>
      </w:r>
      <w:r w:rsidR="00740922" w:rsidRPr="00740922">
        <w:rPr>
          <w:rFonts w:ascii="Times New Roman" w:hAnsi="Times New Roman" w:cs="Times New Roman"/>
          <w:sz w:val="32"/>
          <w:szCs w:val="32"/>
        </w:rPr>
        <w:t xml:space="preserve"> L’udienza in presenza consente di rendere vivi il processo e le aule di giustizia. E rende il processo “comune”</w:t>
      </w:r>
      <w:r w:rsidR="00753C49">
        <w:rPr>
          <w:rFonts w:ascii="Times New Roman" w:hAnsi="Times New Roman" w:cs="Times New Roman"/>
          <w:sz w:val="32"/>
          <w:szCs w:val="32"/>
        </w:rPr>
        <w:t xml:space="preserve"> veramente</w:t>
      </w:r>
      <w:r w:rsidR="00740922" w:rsidRPr="00740922">
        <w:rPr>
          <w:rFonts w:ascii="Times New Roman" w:hAnsi="Times New Roman" w:cs="Times New Roman"/>
          <w:sz w:val="32"/>
          <w:szCs w:val="32"/>
        </w:rPr>
        <w:t xml:space="preserve"> a giudici e avvocati. C’è la </w:t>
      </w:r>
      <w:r w:rsidR="00740922" w:rsidRPr="00753C49">
        <w:rPr>
          <w:rFonts w:ascii="Times New Roman" w:hAnsi="Times New Roman" w:cs="Times New Roman"/>
          <w:i/>
          <w:sz w:val="32"/>
          <w:szCs w:val="32"/>
        </w:rPr>
        <w:t>condivis</w:t>
      </w:r>
      <w:r w:rsidR="00753C49" w:rsidRPr="00753C49">
        <w:rPr>
          <w:rFonts w:ascii="Times New Roman" w:hAnsi="Times New Roman" w:cs="Times New Roman"/>
          <w:i/>
          <w:sz w:val="32"/>
          <w:szCs w:val="32"/>
        </w:rPr>
        <w:t>i</w:t>
      </w:r>
      <w:r w:rsidR="00740922" w:rsidRPr="00753C49">
        <w:rPr>
          <w:rFonts w:ascii="Times New Roman" w:hAnsi="Times New Roman" w:cs="Times New Roman"/>
          <w:i/>
          <w:sz w:val="32"/>
          <w:szCs w:val="32"/>
        </w:rPr>
        <w:t>one</w:t>
      </w:r>
      <w:r w:rsidR="00740922" w:rsidRPr="00740922">
        <w:rPr>
          <w:rFonts w:ascii="Times New Roman" w:hAnsi="Times New Roman" w:cs="Times New Roman"/>
          <w:sz w:val="32"/>
          <w:szCs w:val="32"/>
        </w:rPr>
        <w:t>. Questo è il motivo per cui, almeno nella misura e fino a che dipenderà da me, il ritorno alla “normalità” sarà il</w:t>
      </w:r>
      <w:r w:rsidR="00740922">
        <w:rPr>
          <w:rFonts w:ascii="Times New Roman" w:hAnsi="Times New Roman" w:cs="Times New Roman"/>
          <w:sz w:val="32"/>
          <w:szCs w:val="32"/>
        </w:rPr>
        <w:t xml:space="preserve"> ritorno all’</w:t>
      </w:r>
      <w:r w:rsidR="00740922" w:rsidRPr="00740922">
        <w:rPr>
          <w:rFonts w:ascii="Times New Roman" w:hAnsi="Times New Roman" w:cs="Times New Roman"/>
          <w:sz w:val="32"/>
          <w:szCs w:val="32"/>
        </w:rPr>
        <w:t>udienza in presenza.</w:t>
      </w:r>
    </w:p>
    <w:p w:rsidR="00740922" w:rsidRPr="00740922" w:rsidRDefault="00740922" w:rsidP="00615946">
      <w:pPr>
        <w:jc w:val="both"/>
        <w:rPr>
          <w:rFonts w:ascii="Times New Roman" w:hAnsi="Times New Roman" w:cs="Times New Roman"/>
          <w:sz w:val="32"/>
          <w:szCs w:val="32"/>
        </w:rPr>
      </w:pPr>
      <w:r>
        <w:rPr>
          <w:rFonts w:ascii="Times New Roman" w:hAnsi="Times New Roman" w:cs="Times New Roman"/>
          <w:sz w:val="32"/>
          <w:szCs w:val="32"/>
        </w:rPr>
        <w:t>E con questo auspicio di poterci rivedere presto, vi saluto, vi auguro buon lavoro e ritorno alla seduta plenaria del Consiglio di presidenza.</w:t>
      </w:r>
      <w:r w:rsidR="00753C49">
        <w:rPr>
          <w:rFonts w:ascii="Times New Roman" w:hAnsi="Times New Roman" w:cs="Times New Roman"/>
          <w:sz w:val="32"/>
          <w:szCs w:val="32"/>
        </w:rPr>
        <w:t xml:space="preserve"> Grazie.</w:t>
      </w:r>
    </w:p>
    <w:p w:rsidR="00615946" w:rsidRDefault="00615946" w:rsidP="00615946">
      <w:pPr>
        <w:jc w:val="both"/>
        <w:rPr>
          <w:rFonts w:ascii="Times New Roman" w:hAnsi="Times New Roman" w:cs="Times New Roman"/>
          <w:sz w:val="32"/>
          <w:szCs w:val="32"/>
        </w:rPr>
      </w:pPr>
    </w:p>
    <w:p w:rsidR="00FC3A0D" w:rsidRPr="000C16E7" w:rsidRDefault="00FC3A0D" w:rsidP="00615946">
      <w:pPr>
        <w:jc w:val="both"/>
        <w:rPr>
          <w:rFonts w:ascii="Times New Roman" w:hAnsi="Times New Roman" w:cs="Times New Roman"/>
          <w:sz w:val="32"/>
          <w:szCs w:val="32"/>
        </w:rPr>
      </w:pPr>
    </w:p>
    <w:p w:rsidR="003B0AB3" w:rsidRPr="000C16E7" w:rsidRDefault="003B0AB3" w:rsidP="00615946">
      <w:pPr>
        <w:jc w:val="both"/>
        <w:rPr>
          <w:rFonts w:ascii="Times New Roman" w:hAnsi="Times New Roman" w:cs="Times New Roman"/>
          <w:sz w:val="32"/>
          <w:szCs w:val="32"/>
        </w:rPr>
      </w:pPr>
    </w:p>
    <w:sectPr w:rsidR="003B0AB3" w:rsidRPr="000C16E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6E7" w:rsidRDefault="000C16E7" w:rsidP="000C16E7">
      <w:pPr>
        <w:spacing w:after="0" w:line="240" w:lineRule="auto"/>
      </w:pPr>
      <w:r>
        <w:separator/>
      </w:r>
    </w:p>
  </w:endnote>
  <w:endnote w:type="continuationSeparator" w:id="0">
    <w:p w:rsidR="000C16E7" w:rsidRDefault="000C16E7" w:rsidP="000C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464062"/>
      <w:docPartObj>
        <w:docPartGallery w:val="Page Numbers (Bottom of Page)"/>
        <w:docPartUnique/>
      </w:docPartObj>
    </w:sdtPr>
    <w:sdtEndPr/>
    <w:sdtContent>
      <w:p w:rsidR="00615946" w:rsidRDefault="00615946">
        <w:pPr>
          <w:pStyle w:val="Pidipagina"/>
          <w:jc w:val="right"/>
        </w:pPr>
        <w:r>
          <w:fldChar w:fldCharType="begin"/>
        </w:r>
        <w:r>
          <w:instrText>PAGE   \* MERGEFORMAT</w:instrText>
        </w:r>
        <w:r>
          <w:fldChar w:fldCharType="separate"/>
        </w:r>
        <w:r w:rsidR="00EF04AF">
          <w:rPr>
            <w:noProof/>
          </w:rPr>
          <w:t>1</w:t>
        </w:r>
        <w:r>
          <w:fldChar w:fldCharType="end"/>
        </w:r>
      </w:p>
    </w:sdtContent>
  </w:sdt>
  <w:p w:rsidR="00615946" w:rsidRDefault="006159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6E7" w:rsidRDefault="000C16E7" w:rsidP="000C16E7">
      <w:pPr>
        <w:spacing w:after="0" w:line="240" w:lineRule="auto"/>
      </w:pPr>
      <w:r>
        <w:separator/>
      </w:r>
    </w:p>
  </w:footnote>
  <w:footnote w:type="continuationSeparator" w:id="0">
    <w:p w:rsidR="000C16E7" w:rsidRDefault="000C16E7" w:rsidP="000C16E7">
      <w:pPr>
        <w:spacing w:after="0" w:line="240" w:lineRule="auto"/>
      </w:pPr>
      <w:r>
        <w:continuationSeparator/>
      </w:r>
    </w:p>
  </w:footnote>
  <w:footnote w:id="1">
    <w:p w:rsidR="000C16E7" w:rsidRDefault="000C16E7">
      <w:pPr>
        <w:pStyle w:val="Testonotaapidipagina"/>
      </w:pPr>
      <w:r>
        <w:rPr>
          <w:rStyle w:val="Rimandonotaapidipagina"/>
        </w:rPr>
        <w:footnoteRef/>
      </w:r>
      <w:r>
        <w:t xml:space="preserve"> </w:t>
      </w:r>
      <w:r w:rsidRPr="00FC3A0D">
        <w:rPr>
          <w:iCs/>
        </w:rPr>
        <w:t xml:space="preserve"> F. Benvenuti</w:t>
      </w:r>
      <w:r w:rsidRPr="000C16E7">
        <w:rPr>
          <w:i/>
          <w:iCs/>
        </w:rPr>
        <w:t xml:space="preserve">, Funzione amministrativa, procedimento, processo, in </w:t>
      </w:r>
      <w:proofErr w:type="spellStart"/>
      <w:r w:rsidRPr="000C16E7">
        <w:rPr>
          <w:i/>
          <w:iCs/>
        </w:rPr>
        <w:t>Riv</w:t>
      </w:r>
      <w:proofErr w:type="spellEnd"/>
      <w:r w:rsidRPr="000C16E7">
        <w:rPr>
          <w:i/>
          <w:iCs/>
        </w:rPr>
        <w:t xml:space="preserve">. trim. dir. </w:t>
      </w:r>
      <w:proofErr w:type="spellStart"/>
      <w:r w:rsidRPr="000C16E7">
        <w:rPr>
          <w:i/>
          <w:iCs/>
        </w:rPr>
        <w:t>pubbl</w:t>
      </w:r>
      <w:proofErr w:type="spellEnd"/>
      <w:r w:rsidRPr="000C16E7">
        <w:rPr>
          <w:i/>
          <w:iCs/>
        </w:rPr>
        <w:t>. 1952, 118, ora in Id, Scritti giuridici,</w:t>
      </w:r>
      <w:r w:rsidR="00FC3A0D">
        <w:rPr>
          <w:i/>
          <w:iCs/>
        </w:rPr>
        <w:t xml:space="preserve"> </w:t>
      </w:r>
      <w:r w:rsidR="00FC3A0D" w:rsidRPr="00FC3A0D">
        <w:rPr>
          <w:i/>
          <w:iCs/>
        </w:rPr>
        <w:t>Milano, Vita e Pensiero, 2006,</w:t>
      </w:r>
      <w:r w:rsidRPr="000C16E7">
        <w:rPr>
          <w:i/>
          <w:iCs/>
        </w:rPr>
        <w:t xml:space="preserve"> II, 1117, ss.</w:t>
      </w:r>
    </w:p>
  </w:footnote>
  <w:footnote w:id="2">
    <w:p w:rsidR="000C16E7" w:rsidRDefault="000C16E7">
      <w:pPr>
        <w:pStyle w:val="Testonotaapidipagina"/>
      </w:pPr>
      <w:r w:rsidRPr="000C16E7">
        <w:rPr>
          <w:vertAlign w:val="superscript"/>
        </w:rPr>
        <w:footnoteRef/>
      </w:r>
      <w:r w:rsidRPr="000C16E7">
        <w:t xml:space="preserve"> F. Benvenuti, </w:t>
      </w:r>
      <w:r w:rsidRPr="000C16E7">
        <w:rPr>
          <w:i/>
        </w:rPr>
        <w:t>Il nuovo cittadino</w:t>
      </w:r>
      <w:r w:rsidRPr="000C16E7">
        <w:t xml:space="preserve">, Venezia, Marzilio, 1994, ora in Id. </w:t>
      </w:r>
      <w:r w:rsidRPr="000C16E7">
        <w:rPr>
          <w:i/>
        </w:rPr>
        <w:t>Scritti giudici</w:t>
      </w:r>
      <w:r w:rsidRPr="000C16E7">
        <w:t>, cit., I, 871, ss.</w:t>
      </w:r>
    </w:p>
  </w:footnote>
  <w:footnote w:id="3">
    <w:p w:rsidR="00615946" w:rsidRDefault="00615946">
      <w:pPr>
        <w:pStyle w:val="Testonotaapidipagina"/>
      </w:pPr>
      <w:r>
        <w:rPr>
          <w:rStyle w:val="Rimandonotaapidipagina"/>
        </w:rPr>
        <w:footnoteRef/>
      </w:r>
      <w:r>
        <w:t xml:space="preserve"> A. </w:t>
      </w:r>
      <w:proofErr w:type="spellStart"/>
      <w:r>
        <w:t>Pajno</w:t>
      </w:r>
      <w:proofErr w:type="spellEnd"/>
      <w:r>
        <w:t>, Benvenuti e il futuro, in www.giustizia-amministrativa.it</w:t>
      </w:r>
    </w:p>
  </w:footnote>
  <w:footnote w:id="4">
    <w:p w:rsidR="00C56056" w:rsidRDefault="00C56056" w:rsidP="00C56056">
      <w:pPr>
        <w:pStyle w:val="Testonotaapidipagina"/>
      </w:pPr>
      <w:r>
        <w:rPr>
          <w:rStyle w:val="Rimandonotaapidipagina"/>
        </w:rPr>
        <w:footnoteRef/>
      </w:r>
      <w:r>
        <w:t xml:space="preserve"> </w:t>
      </w:r>
      <w:r w:rsidRPr="00E258A9">
        <w:rPr>
          <w:i/>
        </w:rPr>
        <w:t>Diritto amministrativo</w:t>
      </w:r>
      <w:r>
        <w:t xml:space="preserve">, Milano 1970, </w:t>
      </w:r>
      <w:proofErr w:type="spellStart"/>
      <w:r>
        <w:t>v.II</w:t>
      </w:r>
      <w:proofErr w:type="spellEnd"/>
      <w:r>
        <w:t>, 831</w:t>
      </w:r>
    </w:p>
  </w:footnote>
  <w:footnote w:id="5">
    <w:p w:rsidR="00C56056" w:rsidRDefault="00C56056" w:rsidP="00C56056">
      <w:pPr>
        <w:pStyle w:val="Testonotaapidipagina"/>
      </w:pPr>
      <w:r>
        <w:rPr>
          <w:rStyle w:val="Rimandonotaapidipagina"/>
        </w:rPr>
        <w:footnoteRef/>
      </w:r>
      <w:r>
        <w:t xml:space="preserve"> Come rileva giustamente </w:t>
      </w:r>
      <w:proofErr w:type="spellStart"/>
      <w:proofErr w:type="gramStart"/>
      <w:r>
        <w:t>G.Morbidelli</w:t>
      </w:r>
      <w:proofErr w:type="spellEnd"/>
      <w:proofErr w:type="gramEnd"/>
      <w:r>
        <w:t xml:space="preserve">, </w:t>
      </w:r>
      <w:r w:rsidRPr="00A20A3F">
        <w:rPr>
          <w:i/>
        </w:rPr>
        <w:t>Il procedimento amministrativo</w:t>
      </w:r>
      <w:r>
        <w:t xml:space="preserve">, in </w:t>
      </w:r>
      <w:r w:rsidRPr="00A20A3F">
        <w:rPr>
          <w:i/>
        </w:rPr>
        <w:t>Diritto amministrativo</w:t>
      </w:r>
      <w:r>
        <w:t xml:space="preserve"> (a cura di </w:t>
      </w:r>
      <w:proofErr w:type="spellStart"/>
      <w:r>
        <w:t>Mazzarolli</w:t>
      </w:r>
      <w:proofErr w:type="spellEnd"/>
      <w:r>
        <w:t xml:space="preserve"> e altri), Bologna 2005, 518 ss.)</w:t>
      </w:r>
    </w:p>
  </w:footnote>
  <w:footnote w:id="6">
    <w:p w:rsidR="00C56056" w:rsidRDefault="00C56056" w:rsidP="00C56056">
      <w:pPr>
        <w:pStyle w:val="Testonotaapidipagina"/>
        <w:jc w:val="both"/>
      </w:pPr>
      <w:r>
        <w:rPr>
          <w:rStyle w:val="Rimandonotaapidipagina"/>
        </w:rPr>
        <w:footnoteRef/>
      </w:r>
      <w:r>
        <w:t xml:space="preserve"> Per una recente, attenta ricostruzione del pensiero di Benvenuti, e per ampi richiami, cfr. </w:t>
      </w:r>
      <w:proofErr w:type="spellStart"/>
      <w:r>
        <w:t>G.Carlotti</w:t>
      </w:r>
      <w:proofErr w:type="spellEnd"/>
      <w:r>
        <w:t xml:space="preserve">, </w:t>
      </w:r>
      <w:r w:rsidRPr="001D7481">
        <w:rPr>
          <w:i/>
        </w:rPr>
        <w:t xml:space="preserve">La partecipazione procedimentale: Feliciano Benvenuti e la riforma della legge n. 241 del </w:t>
      </w:r>
      <w:smartTag w:uri="urn:schemas-microsoft-com:office:smarttags" w:element="metricconverter">
        <w:smartTagPr>
          <w:attr w:name="ProductID" w:val="1990, in"/>
        </w:smartTagPr>
        <w:r w:rsidRPr="001D7481">
          <w:rPr>
            <w:i/>
          </w:rPr>
          <w:t>1990</w:t>
        </w:r>
        <w:r>
          <w:t>, in</w:t>
        </w:r>
      </w:smartTag>
      <w:r>
        <w:t xml:space="preserve"> </w:t>
      </w:r>
      <w:hyperlink r:id="rId1" w:history="1">
        <w:r w:rsidRPr="00C318E3">
          <w:rPr>
            <w:rStyle w:val="Collegamentoipertestuale"/>
          </w:rPr>
          <w:t>www.giustizia-amministrativa.it</w:t>
        </w:r>
      </w:hyperlink>
      <w:r>
        <w:t xml:space="preserve"> </w:t>
      </w:r>
    </w:p>
  </w:footnote>
  <w:footnote w:id="7">
    <w:p w:rsidR="00C56056" w:rsidRDefault="00C56056" w:rsidP="00C56056">
      <w:pPr>
        <w:pStyle w:val="Testonotaapidipagina"/>
        <w:jc w:val="both"/>
      </w:pPr>
      <w:r>
        <w:rPr>
          <w:rStyle w:val="Rimandonotaapidipagina"/>
        </w:rPr>
        <w:footnoteRef/>
      </w:r>
      <w:r>
        <w:t xml:space="preserve"> A. </w:t>
      </w:r>
      <w:proofErr w:type="spellStart"/>
      <w:r>
        <w:t>Sandulli</w:t>
      </w:r>
      <w:proofErr w:type="spellEnd"/>
      <w:r>
        <w:t xml:space="preserve">, </w:t>
      </w:r>
      <w:r w:rsidRPr="001D7481">
        <w:rPr>
          <w:i/>
        </w:rPr>
        <w:t>Procedimento amministrativo</w:t>
      </w:r>
      <w:r>
        <w:t xml:space="preserve">, in </w:t>
      </w:r>
      <w:r w:rsidRPr="001D7481">
        <w:rPr>
          <w:i/>
        </w:rPr>
        <w:t>Trattato</w:t>
      </w:r>
      <w:r>
        <w:t xml:space="preserve"> </w:t>
      </w:r>
      <w:proofErr w:type="spellStart"/>
      <w:r>
        <w:t>Cassese</w:t>
      </w:r>
      <w:proofErr w:type="spellEnd"/>
      <w:r>
        <w:t xml:space="preserve">, </w:t>
      </w:r>
      <w:r w:rsidRPr="001D7481">
        <w:rPr>
          <w:i/>
        </w:rPr>
        <w:t>cit.</w:t>
      </w:r>
      <w:r>
        <w:t>, che spiega che ciò deriva dalla consapevolezza che la legge, incapace di compiere in via preventiva un (compiuto, direi) bilanciamento di interessi, trasferisce tale compito alla pubblica amministrazione, che si trasforma da entità esecutrice della volontà della legge in soggetto che agisce con un’attività procedimentalizzata, volta a definire in concreto l’interesse pubblico da perseguire.</w:t>
      </w:r>
    </w:p>
  </w:footnote>
  <w:footnote w:id="8">
    <w:p w:rsidR="002C7E3E" w:rsidRDefault="002C7E3E">
      <w:pPr>
        <w:pStyle w:val="Testonotaapidipagina"/>
      </w:pPr>
      <w:r>
        <w:rPr>
          <w:rStyle w:val="Rimandonotaapidipagina"/>
        </w:rPr>
        <w:footnoteRef/>
      </w:r>
      <w:r>
        <w:t xml:space="preserve"> F. Benvenuti, </w:t>
      </w:r>
      <w:r w:rsidRPr="002C7E3E">
        <w:rPr>
          <w:i/>
        </w:rPr>
        <w:t xml:space="preserve">La IV Sezione e la perdurante esigenza di tutela dei diritti soggettivi, </w:t>
      </w:r>
      <w:r w:rsidRPr="002C7E3E">
        <w:t>in</w:t>
      </w:r>
      <w:r w:rsidRPr="002C7E3E">
        <w:rPr>
          <w:i/>
        </w:rPr>
        <w:t xml:space="preserve"> Studi per il Centenario della Quarta </w:t>
      </w:r>
      <w:proofErr w:type="gramStart"/>
      <w:r w:rsidRPr="002C7E3E">
        <w:rPr>
          <w:i/>
        </w:rPr>
        <w:t xml:space="preserve">Sezione </w:t>
      </w:r>
      <w:r>
        <w:t>,</w:t>
      </w:r>
      <w:proofErr w:type="gramEnd"/>
      <w:r>
        <w:t xml:space="preserve"> Roma 1989, I, 163 </w:t>
      </w:r>
      <w:proofErr w:type="spellStart"/>
      <w:r>
        <w:t>ss</w:t>
      </w:r>
      <w:proofErr w:type="spellEnd"/>
      <w:r>
        <w:t>, spec. 166</w:t>
      </w:r>
    </w:p>
  </w:footnote>
  <w:footnote w:id="9">
    <w:p w:rsidR="008678B8" w:rsidRDefault="008678B8">
      <w:pPr>
        <w:pStyle w:val="Testonotaapidipagina"/>
      </w:pPr>
      <w:r>
        <w:rPr>
          <w:rStyle w:val="Rimandonotaapidipagina"/>
        </w:rPr>
        <w:footnoteRef/>
      </w:r>
      <w:r>
        <w:t xml:space="preserve"> </w:t>
      </w:r>
      <w:r w:rsidR="00CF48AE">
        <w:t xml:space="preserve">Sviluppo questi concetti in </w:t>
      </w:r>
      <w:r w:rsidR="00CF48AE" w:rsidRPr="00CF48AE">
        <w:rPr>
          <w:i/>
        </w:rPr>
        <w:t>La decisione robotica e il giudice amministrativo</w:t>
      </w:r>
      <w:r w:rsidR="00CF48AE">
        <w:t xml:space="preserve"> in </w:t>
      </w:r>
      <w:r w:rsidR="00CF48AE" w:rsidRPr="00CF48AE">
        <w:rPr>
          <w:i/>
        </w:rPr>
        <w:t>Decisione robotica</w:t>
      </w:r>
      <w:r w:rsidR="00CF48AE">
        <w:t xml:space="preserve"> (a cura di </w:t>
      </w:r>
      <w:proofErr w:type="spellStart"/>
      <w:r w:rsidR="00CF48AE">
        <w:t>A.Carleo</w:t>
      </w:r>
      <w:proofErr w:type="spellEnd"/>
      <w:r w:rsidR="00CF48AE">
        <w:t>), Bologna 2019. Il volume, che nasce da un convegno tenutosi all’Accademia dei Lincei il 5 luglio 2018, contiene interessanti saggi interdisciplinari sulla decisione robotica in ambito negoziale e giudiziale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D6B"/>
    <w:multiLevelType w:val="hybridMultilevel"/>
    <w:tmpl w:val="0A54BD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E7"/>
    <w:rsid w:val="00030624"/>
    <w:rsid w:val="000C16E7"/>
    <w:rsid w:val="000F446D"/>
    <w:rsid w:val="002A383D"/>
    <w:rsid w:val="002C7E3E"/>
    <w:rsid w:val="003B0AB3"/>
    <w:rsid w:val="006137AB"/>
    <w:rsid w:val="00615946"/>
    <w:rsid w:val="006A2BD2"/>
    <w:rsid w:val="00740922"/>
    <w:rsid w:val="00753C49"/>
    <w:rsid w:val="00841DCE"/>
    <w:rsid w:val="008678B8"/>
    <w:rsid w:val="009567A8"/>
    <w:rsid w:val="00C56056"/>
    <w:rsid w:val="00CF2AA5"/>
    <w:rsid w:val="00CF48AE"/>
    <w:rsid w:val="00EF04AF"/>
    <w:rsid w:val="00FC3A0D"/>
    <w:rsid w:val="00FD4537"/>
    <w:rsid w:val="00FE0C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2858A0"/>
  <w15:chartTrackingRefBased/>
  <w15:docId w15:val="{5EFA8796-92A9-4504-B93A-A7B4AC63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C16E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C16E7"/>
    <w:rPr>
      <w:sz w:val="20"/>
      <w:szCs w:val="20"/>
    </w:rPr>
  </w:style>
  <w:style w:type="character" w:styleId="Rimandonotaapidipagina">
    <w:name w:val="footnote reference"/>
    <w:basedOn w:val="Carpredefinitoparagrafo"/>
    <w:uiPriority w:val="99"/>
    <w:semiHidden/>
    <w:unhideWhenUsed/>
    <w:rsid w:val="000C16E7"/>
    <w:rPr>
      <w:vertAlign w:val="superscript"/>
    </w:rPr>
  </w:style>
  <w:style w:type="paragraph" w:styleId="Testodelblocco">
    <w:name w:val="Block Text"/>
    <w:basedOn w:val="Normale"/>
    <w:uiPriority w:val="99"/>
    <w:semiHidden/>
    <w:unhideWhenUsed/>
    <w:rsid w:val="000C16E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NormaleWeb">
    <w:name w:val="Normal (Web)"/>
    <w:basedOn w:val="Normale"/>
    <w:uiPriority w:val="99"/>
    <w:semiHidden/>
    <w:unhideWhenUsed/>
    <w:rsid w:val="00CF2AA5"/>
    <w:rPr>
      <w:rFonts w:ascii="Times New Roman" w:hAnsi="Times New Roman" w:cs="Times New Roman"/>
      <w:sz w:val="24"/>
      <w:szCs w:val="24"/>
    </w:rPr>
  </w:style>
  <w:style w:type="paragraph" w:styleId="Intestazione">
    <w:name w:val="header"/>
    <w:basedOn w:val="Normale"/>
    <w:link w:val="IntestazioneCarattere"/>
    <w:uiPriority w:val="99"/>
    <w:unhideWhenUsed/>
    <w:rsid w:val="006159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5946"/>
  </w:style>
  <w:style w:type="paragraph" w:styleId="Pidipagina">
    <w:name w:val="footer"/>
    <w:basedOn w:val="Normale"/>
    <w:link w:val="PidipaginaCarattere"/>
    <w:uiPriority w:val="99"/>
    <w:unhideWhenUsed/>
    <w:rsid w:val="006159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5946"/>
  </w:style>
  <w:style w:type="character" w:styleId="Collegamentoipertestuale">
    <w:name w:val="Hyperlink"/>
    <w:basedOn w:val="Carpredefinitoparagrafo"/>
    <w:uiPriority w:val="99"/>
    <w:unhideWhenUsed/>
    <w:rsid w:val="00C56056"/>
    <w:rPr>
      <w:color w:val="0000FF"/>
      <w:u w:val="single"/>
    </w:rPr>
  </w:style>
  <w:style w:type="paragraph" w:styleId="Paragrafoelenco">
    <w:name w:val="List Paragraph"/>
    <w:basedOn w:val="Normale"/>
    <w:uiPriority w:val="34"/>
    <w:qFormat/>
    <w:rsid w:val="00030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10248">
      <w:bodyDiv w:val="1"/>
      <w:marLeft w:val="0"/>
      <w:marRight w:val="0"/>
      <w:marTop w:val="0"/>
      <w:marBottom w:val="0"/>
      <w:divBdr>
        <w:top w:val="none" w:sz="0" w:space="0" w:color="auto"/>
        <w:left w:val="none" w:sz="0" w:space="0" w:color="auto"/>
        <w:bottom w:val="none" w:sz="0" w:space="0" w:color="auto"/>
        <w:right w:val="none" w:sz="0" w:space="0" w:color="auto"/>
      </w:divBdr>
    </w:div>
    <w:div w:id="12689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24ACA-B0BE-4D7A-8EB7-D3F18FAD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1497</Words>
  <Characters>8538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PATRONI GRIFFI Filippo</dc:creator>
  <cp:keywords/>
  <dc:description/>
  <cp:lastModifiedBy>FERRARI Giulia</cp:lastModifiedBy>
  <cp:revision>2</cp:revision>
  <dcterms:created xsi:type="dcterms:W3CDTF">2020-07-07T11:39:00Z</dcterms:created>
  <dcterms:modified xsi:type="dcterms:W3CDTF">2020-07-07T11:39:00Z</dcterms:modified>
</cp:coreProperties>
</file>