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2C" w:rsidRPr="00E34A4C" w:rsidRDefault="0012130D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E34A4C">
        <w:rPr>
          <w:rFonts w:ascii="Times New Roman" w:hAnsi="Times New Roman" w:cs="Times New Roman"/>
          <w:sz w:val="32"/>
          <w:szCs w:val="32"/>
        </w:rPr>
        <w:t>“Diventare magistrato oggi”. Qualche riflessione in ordine sparso.</w:t>
      </w:r>
    </w:p>
    <w:bookmarkEnd w:id="0"/>
    <w:p w:rsidR="0012130D" w:rsidRPr="00E34A4C" w:rsidRDefault="00A95663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(Webinar Università degli Studi Suor Orsola Benincasa, 9 luglio 2020)</w:t>
      </w:r>
    </w:p>
    <w:p w:rsidR="00BA5DD2" w:rsidRDefault="00BA5DD2" w:rsidP="00BA5DD2">
      <w:pPr>
        <w:jc w:val="right"/>
        <w:rPr>
          <w:sz w:val="28"/>
          <w:szCs w:val="28"/>
        </w:rPr>
      </w:pPr>
      <w:r>
        <w:rPr>
          <w:sz w:val="28"/>
          <w:szCs w:val="28"/>
        </w:rPr>
        <w:t>di Filippo Patroni Griffi</w:t>
      </w:r>
    </w:p>
    <w:p w:rsidR="00077416" w:rsidRPr="00E34A4C" w:rsidRDefault="00077416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1C7D2C" w:rsidRPr="00E34A4C" w:rsidRDefault="00077416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 xml:space="preserve">1. </w:t>
      </w:r>
      <w:r w:rsidR="00CB47F1" w:rsidRPr="00E34A4C">
        <w:rPr>
          <w:rFonts w:ascii="Times New Roman" w:hAnsi="Times New Roman" w:cs="Times New Roman"/>
          <w:sz w:val="32"/>
          <w:szCs w:val="32"/>
        </w:rPr>
        <w:t xml:space="preserve">L’incontro di oggi è occasionato da una decisione di grande rilievo: </w:t>
      </w:r>
      <w:r w:rsidR="001C7D2C" w:rsidRPr="00E34A4C">
        <w:rPr>
          <w:rFonts w:ascii="Times New Roman" w:hAnsi="Times New Roman" w:cs="Times New Roman"/>
          <w:sz w:val="32"/>
          <w:szCs w:val="32"/>
        </w:rPr>
        <w:t xml:space="preserve">la decisione dell’Ateneo di istituire </w:t>
      </w:r>
      <w:r w:rsidRPr="00E34A4C">
        <w:rPr>
          <w:rFonts w:ascii="Times New Roman" w:hAnsi="Times New Roman" w:cs="Times New Roman"/>
          <w:sz w:val="32"/>
          <w:szCs w:val="32"/>
        </w:rPr>
        <w:t xml:space="preserve">e di presentare </w:t>
      </w:r>
      <w:r w:rsidR="001C7D2C" w:rsidRPr="00E34A4C">
        <w:rPr>
          <w:rFonts w:ascii="Times New Roman" w:hAnsi="Times New Roman" w:cs="Times New Roman"/>
          <w:sz w:val="32"/>
          <w:szCs w:val="32"/>
        </w:rPr>
        <w:t>un corso di laure</w:t>
      </w:r>
      <w:r w:rsidR="0012130D" w:rsidRPr="00E34A4C">
        <w:rPr>
          <w:rFonts w:ascii="Times New Roman" w:hAnsi="Times New Roman" w:cs="Times New Roman"/>
          <w:sz w:val="32"/>
          <w:szCs w:val="32"/>
        </w:rPr>
        <w:t xml:space="preserve">a </w:t>
      </w:r>
      <w:r w:rsidR="00CB47F1" w:rsidRPr="00E34A4C">
        <w:rPr>
          <w:rFonts w:ascii="Times New Roman" w:hAnsi="Times New Roman" w:cs="Times New Roman"/>
          <w:sz w:val="32"/>
          <w:szCs w:val="32"/>
        </w:rPr>
        <w:t>orientato</w:t>
      </w:r>
      <w:r w:rsidR="0012130D" w:rsidRPr="00E34A4C">
        <w:rPr>
          <w:rFonts w:ascii="Times New Roman" w:hAnsi="Times New Roman" w:cs="Times New Roman"/>
          <w:sz w:val="32"/>
          <w:szCs w:val="32"/>
        </w:rPr>
        <w:t xml:space="preserve"> alla preparazione a</w:t>
      </w:r>
      <w:r w:rsidR="001C7D2C" w:rsidRPr="00E34A4C">
        <w:rPr>
          <w:rFonts w:ascii="Times New Roman" w:hAnsi="Times New Roman" w:cs="Times New Roman"/>
          <w:sz w:val="32"/>
          <w:szCs w:val="32"/>
        </w:rPr>
        <w:t xml:space="preserve">l concorso in magistratura. </w:t>
      </w:r>
    </w:p>
    <w:p w:rsidR="00F84114" w:rsidRPr="00E34A4C" w:rsidRDefault="00CB47F1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>Oggi la preparazione al concorso avviene dopo la laurea. E avviene ad opera delle stesse università, per il tramite delle Scuole per le professioni legali, o ad opera di scuole private, talvolta gestite da magistrati. Una tradizione non sconosciuta a Napoli, dove, fatte le dovute differenze, scuole private sorsero,</w:t>
      </w:r>
      <w:r w:rsidR="00E34A4C">
        <w:rPr>
          <w:rFonts w:ascii="Times New Roman" w:hAnsi="Times New Roman" w:cs="Times New Roman"/>
          <w:sz w:val="32"/>
          <w:szCs w:val="32"/>
        </w:rPr>
        <w:t xml:space="preserve"> non solo nel campo del diritto, a cavallo tra Ottocento e Novecento </w:t>
      </w:r>
      <w:r w:rsidR="00F84114" w:rsidRPr="00E34A4C">
        <w:rPr>
          <w:rFonts w:ascii="Times New Roman" w:hAnsi="Times New Roman" w:cs="Times New Roman"/>
          <w:sz w:val="32"/>
          <w:szCs w:val="32"/>
        </w:rPr>
        <w:t xml:space="preserve">(penso alla scuola privata di filosofia di Bertrando Spaventa, fatta chiudere dal Governo borbonico nel 1847, ricordataci da Croce in </w:t>
      </w:r>
      <w:r w:rsidR="00F84114" w:rsidRPr="00E34A4C">
        <w:rPr>
          <w:rFonts w:ascii="Times New Roman" w:hAnsi="Times New Roman" w:cs="Times New Roman"/>
          <w:i/>
          <w:sz w:val="32"/>
          <w:szCs w:val="32"/>
        </w:rPr>
        <w:t>La vita letteraria a Napoli dal 1860 al 1900,</w:t>
      </w:r>
      <w:r w:rsidR="00F84114" w:rsidRPr="00E34A4C">
        <w:rPr>
          <w:rFonts w:ascii="Times New Roman" w:hAnsi="Times New Roman" w:cs="Times New Roman"/>
          <w:sz w:val="32"/>
          <w:szCs w:val="32"/>
        </w:rPr>
        <w:t xml:space="preserve"> nella sua</w:t>
      </w:r>
      <w:r w:rsidR="00F84114" w:rsidRPr="00E34A4C">
        <w:rPr>
          <w:rFonts w:ascii="Times New Roman" w:hAnsi="Times New Roman" w:cs="Times New Roman"/>
          <w:i/>
          <w:sz w:val="32"/>
          <w:szCs w:val="32"/>
        </w:rPr>
        <w:t xml:space="preserve"> Letteratura della nuova Italia</w:t>
      </w:r>
      <w:r w:rsidR="00F84114" w:rsidRPr="00E34A4C">
        <w:rPr>
          <w:rFonts w:ascii="Times New Roman" w:hAnsi="Times New Roman" w:cs="Times New Roman"/>
          <w:sz w:val="32"/>
          <w:szCs w:val="32"/>
        </w:rPr>
        <w:t>, v.IV).</w:t>
      </w:r>
    </w:p>
    <w:p w:rsidR="00F84114" w:rsidRPr="00E34A4C" w:rsidRDefault="00F84114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 xml:space="preserve">“Dall’ Università non si esce, né si deve cercare che escano, magistrati o avvocati, ma quivi il professore ha il dovere di dare ai giovani un serio indirizzo, perché siano atti a diventare l’una e l’altra cosa”: ammoniva Emanuele Gianturco, professore a Napoli </w:t>
      </w:r>
      <w:r w:rsidR="00E34A4C">
        <w:rPr>
          <w:rFonts w:ascii="Times New Roman" w:hAnsi="Times New Roman" w:cs="Times New Roman"/>
          <w:sz w:val="32"/>
          <w:szCs w:val="32"/>
        </w:rPr>
        <w:t>nell</w:t>
      </w:r>
      <w:r w:rsidRPr="00E34A4C">
        <w:rPr>
          <w:rFonts w:ascii="Times New Roman" w:hAnsi="Times New Roman" w:cs="Times New Roman"/>
          <w:sz w:val="32"/>
          <w:szCs w:val="32"/>
        </w:rPr>
        <w:t>’università, avvocato, e anche docente di una scuola privata.</w:t>
      </w:r>
    </w:p>
    <w:p w:rsidR="007A44D2" w:rsidRPr="00E34A4C" w:rsidRDefault="00F84114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>Il Suor Orsola oggi lancia una sfida: un corso di laurea in giurisprudenza che sia in grado di fornire la formazione giuridica indispensabile per ogni giurista, ma che nell’ultimo biennio miri a preparare i suoi studenti per il concorso in magistratura</w:t>
      </w:r>
      <w:r w:rsidR="00D406E3" w:rsidRPr="00E34A4C">
        <w:rPr>
          <w:rFonts w:ascii="Times New Roman" w:hAnsi="Times New Roman" w:cs="Times New Roman"/>
          <w:sz w:val="32"/>
          <w:szCs w:val="32"/>
        </w:rPr>
        <w:t>. La preparazione universitaria di base ha rivelato una certa inadeguatezza a fornire gli strumenti pratici per aff</w:t>
      </w:r>
      <w:r w:rsidR="00315DB1" w:rsidRPr="00E34A4C">
        <w:rPr>
          <w:rFonts w:ascii="Times New Roman" w:hAnsi="Times New Roman" w:cs="Times New Roman"/>
          <w:sz w:val="32"/>
          <w:szCs w:val="32"/>
        </w:rPr>
        <w:t>rontare le peculiarità de</w:t>
      </w:r>
      <w:r w:rsidR="00D406E3" w:rsidRPr="00E34A4C">
        <w:rPr>
          <w:rFonts w:ascii="Times New Roman" w:hAnsi="Times New Roman" w:cs="Times New Roman"/>
          <w:sz w:val="32"/>
          <w:szCs w:val="32"/>
        </w:rPr>
        <w:t xml:space="preserve">l concorso </w:t>
      </w:r>
      <w:r w:rsidR="00315DB1" w:rsidRPr="00E34A4C">
        <w:rPr>
          <w:rFonts w:ascii="Times New Roman" w:hAnsi="Times New Roman" w:cs="Times New Roman"/>
          <w:sz w:val="32"/>
          <w:szCs w:val="32"/>
        </w:rPr>
        <w:t xml:space="preserve">e della professione. Ma forse, ad essere onesti, non si trattava nemmeno di un compito </w:t>
      </w:r>
      <w:r w:rsidR="007A44D2" w:rsidRPr="00E34A4C">
        <w:rPr>
          <w:rFonts w:ascii="Times New Roman" w:hAnsi="Times New Roman" w:cs="Times New Roman"/>
          <w:sz w:val="32"/>
          <w:szCs w:val="32"/>
        </w:rPr>
        <w:t>da assegnarle. I corsi classici di laurea hanno lo scopo di formare la persona nel suo complesso (appunto, l’</w:t>
      </w:r>
      <w:r w:rsidR="00E34A4C">
        <w:rPr>
          <w:rFonts w:ascii="Times New Roman" w:hAnsi="Times New Roman" w:cs="Times New Roman"/>
          <w:i/>
          <w:sz w:val="32"/>
          <w:szCs w:val="32"/>
        </w:rPr>
        <w:t>u</w:t>
      </w:r>
      <w:r w:rsidR="007A44D2" w:rsidRPr="00E34A4C">
        <w:rPr>
          <w:rFonts w:ascii="Times New Roman" w:hAnsi="Times New Roman" w:cs="Times New Roman"/>
          <w:i/>
          <w:sz w:val="32"/>
          <w:szCs w:val="32"/>
        </w:rPr>
        <w:t>niversitas</w:t>
      </w:r>
      <w:r w:rsidR="00A93AC0" w:rsidRPr="00E34A4C">
        <w:rPr>
          <w:rFonts w:ascii="Times New Roman" w:hAnsi="Times New Roman" w:cs="Times New Roman"/>
          <w:sz w:val="32"/>
          <w:szCs w:val="32"/>
        </w:rPr>
        <w:t>)</w:t>
      </w:r>
      <w:r w:rsidR="007A44D2" w:rsidRPr="00E34A4C">
        <w:rPr>
          <w:rFonts w:ascii="Times New Roman" w:hAnsi="Times New Roman" w:cs="Times New Roman"/>
          <w:sz w:val="32"/>
          <w:szCs w:val="32"/>
        </w:rPr>
        <w:t>.</w:t>
      </w:r>
      <w:r w:rsidR="00AA34C0" w:rsidRPr="00E34A4C">
        <w:rPr>
          <w:rFonts w:ascii="Times New Roman" w:hAnsi="Times New Roman" w:cs="Times New Roman"/>
          <w:sz w:val="32"/>
          <w:szCs w:val="32"/>
        </w:rPr>
        <w:t xml:space="preserve"> L’accesso al pubblico impiego</w:t>
      </w:r>
      <w:r w:rsidR="00A93AC0" w:rsidRPr="00E34A4C">
        <w:rPr>
          <w:rFonts w:ascii="Times New Roman" w:hAnsi="Times New Roman" w:cs="Times New Roman"/>
          <w:sz w:val="32"/>
          <w:szCs w:val="32"/>
        </w:rPr>
        <w:t>, uno degli sbocchi dei laureati in giurisprudenza,</w:t>
      </w:r>
      <w:r w:rsidR="00AA34C0" w:rsidRPr="00E34A4C">
        <w:rPr>
          <w:rFonts w:ascii="Times New Roman" w:hAnsi="Times New Roman" w:cs="Times New Roman"/>
          <w:sz w:val="32"/>
          <w:szCs w:val="32"/>
        </w:rPr>
        <w:t xml:space="preserve"> è retto dal principio generale (anche costituzionalizzato) del concorso pubblico, sicch</w:t>
      </w:r>
      <w:r w:rsidR="006221E7" w:rsidRPr="00E34A4C">
        <w:rPr>
          <w:rFonts w:ascii="Times New Roman" w:hAnsi="Times New Roman" w:cs="Times New Roman"/>
          <w:sz w:val="32"/>
          <w:szCs w:val="32"/>
        </w:rPr>
        <w:t>é è piuttosto logico</w:t>
      </w:r>
      <w:r w:rsidR="00A93AC0" w:rsidRPr="00E34A4C">
        <w:rPr>
          <w:rFonts w:ascii="Times New Roman" w:hAnsi="Times New Roman" w:cs="Times New Roman"/>
          <w:sz w:val="32"/>
          <w:szCs w:val="32"/>
        </w:rPr>
        <w:t>, e al tempo stesso sfidante,</w:t>
      </w:r>
      <w:r w:rsidR="006221E7" w:rsidRPr="00E34A4C">
        <w:rPr>
          <w:rFonts w:ascii="Times New Roman" w:hAnsi="Times New Roman" w:cs="Times New Roman"/>
          <w:sz w:val="32"/>
          <w:szCs w:val="32"/>
        </w:rPr>
        <w:t xml:space="preserve"> che </w:t>
      </w:r>
      <w:r w:rsidR="00AA34C0" w:rsidRPr="00E34A4C">
        <w:rPr>
          <w:rFonts w:ascii="Times New Roman" w:hAnsi="Times New Roman" w:cs="Times New Roman"/>
          <w:sz w:val="32"/>
          <w:szCs w:val="32"/>
        </w:rPr>
        <w:t>si dedichi uno specifico corso di laurea</w:t>
      </w:r>
      <w:r w:rsidR="006221E7" w:rsidRPr="00E34A4C">
        <w:rPr>
          <w:rFonts w:ascii="Times New Roman" w:hAnsi="Times New Roman" w:cs="Times New Roman"/>
          <w:sz w:val="32"/>
          <w:szCs w:val="32"/>
        </w:rPr>
        <w:t xml:space="preserve"> all’unico mezzo col quale si può accedere ad una determinata professione</w:t>
      </w:r>
      <w:r w:rsidR="00AA34C0" w:rsidRPr="00E34A4C">
        <w:rPr>
          <w:rFonts w:ascii="Times New Roman" w:hAnsi="Times New Roman" w:cs="Times New Roman"/>
          <w:sz w:val="32"/>
          <w:szCs w:val="32"/>
        </w:rPr>
        <w:t>.</w:t>
      </w:r>
      <w:r w:rsidR="00A93AC0" w:rsidRPr="00E34A4C">
        <w:rPr>
          <w:rFonts w:ascii="Times New Roman" w:hAnsi="Times New Roman" w:cs="Times New Roman"/>
          <w:sz w:val="32"/>
          <w:szCs w:val="32"/>
        </w:rPr>
        <w:t xml:space="preserve"> E anzi mi chiedo se quest’orientamento del corso di laurea non possa essere esteso, nei fatti almeno, anche alla preparazione per l’abilitazione forense, creando </w:t>
      </w:r>
      <w:r w:rsidR="00A93AC0" w:rsidRPr="00E34A4C">
        <w:rPr>
          <w:rFonts w:ascii="Times New Roman" w:hAnsi="Times New Roman" w:cs="Times New Roman"/>
          <w:i/>
          <w:sz w:val="32"/>
          <w:szCs w:val="32"/>
        </w:rPr>
        <w:t>in nuce</w:t>
      </w:r>
      <w:r w:rsidR="00A93AC0" w:rsidRPr="00E34A4C">
        <w:rPr>
          <w:rFonts w:ascii="Times New Roman" w:hAnsi="Times New Roman" w:cs="Times New Roman"/>
          <w:sz w:val="32"/>
          <w:szCs w:val="32"/>
        </w:rPr>
        <w:t xml:space="preserve"> quella formazione comune a magistrati e avvocati tipica di altri ordinamenti.</w:t>
      </w:r>
    </w:p>
    <w:p w:rsidR="007A44D2" w:rsidRPr="00E34A4C" w:rsidRDefault="007A44D2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lastRenderedPageBreak/>
        <w:t>La conoscenza degli istituti giuridici fondamentali</w:t>
      </w:r>
      <w:r w:rsidR="00AA34C0" w:rsidRPr="00E34A4C">
        <w:rPr>
          <w:rFonts w:ascii="Times New Roman" w:hAnsi="Times New Roman" w:cs="Times New Roman"/>
          <w:sz w:val="32"/>
          <w:szCs w:val="32"/>
        </w:rPr>
        <w:t xml:space="preserve">, </w:t>
      </w:r>
      <w:r w:rsidR="00E34A4C">
        <w:rPr>
          <w:rFonts w:ascii="Times New Roman" w:hAnsi="Times New Roman" w:cs="Times New Roman"/>
          <w:sz w:val="32"/>
          <w:szCs w:val="32"/>
        </w:rPr>
        <w:t>propria</w:t>
      </w:r>
      <w:r w:rsidR="00AA34C0" w:rsidRPr="00E34A4C">
        <w:rPr>
          <w:rFonts w:ascii="Times New Roman" w:hAnsi="Times New Roman" w:cs="Times New Roman"/>
          <w:sz w:val="32"/>
          <w:szCs w:val="32"/>
        </w:rPr>
        <w:t xml:space="preserve"> della preparazione universitaria di base, </w:t>
      </w:r>
      <w:r w:rsidRPr="00E34A4C">
        <w:rPr>
          <w:rFonts w:ascii="Times New Roman" w:hAnsi="Times New Roman" w:cs="Times New Roman"/>
          <w:sz w:val="32"/>
          <w:szCs w:val="32"/>
        </w:rPr>
        <w:t>è presupposto imprescindibile</w:t>
      </w:r>
      <w:r w:rsidR="00AA34C0" w:rsidRPr="00E34A4C">
        <w:rPr>
          <w:rFonts w:ascii="Times New Roman" w:hAnsi="Times New Roman" w:cs="Times New Roman"/>
          <w:sz w:val="32"/>
          <w:szCs w:val="32"/>
        </w:rPr>
        <w:t xml:space="preserve">, </w:t>
      </w:r>
      <w:r w:rsidRPr="00E34A4C">
        <w:rPr>
          <w:rFonts w:ascii="Times New Roman" w:hAnsi="Times New Roman" w:cs="Times New Roman"/>
          <w:sz w:val="32"/>
          <w:szCs w:val="32"/>
        </w:rPr>
        <w:t>ma da solo non sufficiente</w:t>
      </w:r>
      <w:r w:rsidR="00AA34C0" w:rsidRPr="00E34A4C">
        <w:rPr>
          <w:rFonts w:ascii="Times New Roman" w:hAnsi="Times New Roman" w:cs="Times New Roman"/>
          <w:sz w:val="32"/>
          <w:szCs w:val="32"/>
        </w:rPr>
        <w:t>,</w:t>
      </w:r>
      <w:r w:rsidRPr="00E34A4C">
        <w:rPr>
          <w:rFonts w:ascii="Times New Roman" w:hAnsi="Times New Roman" w:cs="Times New Roman"/>
          <w:sz w:val="32"/>
          <w:szCs w:val="32"/>
        </w:rPr>
        <w:t xml:space="preserve"> per affrontare percorsi</w:t>
      </w:r>
      <w:r w:rsidR="00AA34C0" w:rsidRPr="00E34A4C">
        <w:rPr>
          <w:rFonts w:ascii="Times New Roman" w:hAnsi="Times New Roman" w:cs="Times New Roman"/>
          <w:sz w:val="32"/>
          <w:szCs w:val="32"/>
        </w:rPr>
        <w:t xml:space="preserve"> che sono ancora, essenzialmente, di studio. Occorre, dunque, conservare la memoria di quanto già appreso nel corso istituzionale classico ed arricchire il proprio bagaglio culturale mediante l’allenamento di </w:t>
      </w:r>
      <w:r w:rsidRPr="00E34A4C">
        <w:rPr>
          <w:rFonts w:ascii="Times New Roman" w:hAnsi="Times New Roman" w:cs="Times New Roman"/>
          <w:sz w:val="32"/>
          <w:szCs w:val="32"/>
        </w:rPr>
        <w:t>altre attitudini</w:t>
      </w:r>
      <w:r w:rsidR="00AA34C0" w:rsidRPr="00E34A4C">
        <w:rPr>
          <w:rFonts w:ascii="Times New Roman" w:hAnsi="Times New Roman" w:cs="Times New Roman"/>
          <w:sz w:val="32"/>
          <w:szCs w:val="32"/>
        </w:rPr>
        <w:t xml:space="preserve">. Il sapere scrivere in un certo modo, ad esempio, deve andare di pari passo col ragionamento scientifico e con la logica deduttiva. </w:t>
      </w:r>
    </w:p>
    <w:p w:rsidR="00AA34C0" w:rsidRPr="00E34A4C" w:rsidRDefault="00AA34C0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221E7" w:rsidRPr="00E34A4C" w:rsidRDefault="006221E7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 xml:space="preserve">2. </w:t>
      </w:r>
      <w:r w:rsidR="00A93AC0" w:rsidRPr="00E34A4C">
        <w:rPr>
          <w:rFonts w:ascii="Times New Roman" w:hAnsi="Times New Roman" w:cs="Times New Roman"/>
          <w:sz w:val="32"/>
          <w:szCs w:val="32"/>
        </w:rPr>
        <w:t xml:space="preserve">Ma </w:t>
      </w:r>
      <w:r w:rsidR="00BC6FAF">
        <w:rPr>
          <w:rFonts w:ascii="Times New Roman" w:hAnsi="Times New Roman" w:cs="Times New Roman"/>
          <w:sz w:val="32"/>
          <w:szCs w:val="32"/>
        </w:rPr>
        <w:t>credo che u</w:t>
      </w:r>
      <w:r w:rsidR="00E34A4C">
        <w:rPr>
          <w:rFonts w:ascii="Times New Roman" w:hAnsi="Times New Roman" w:cs="Times New Roman"/>
          <w:sz w:val="32"/>
          <w:szCs w:val="32"/>
        </w:rPr>
        <w:t>n incontro dal tema “</w:t>
      </w:r>
      <w:r w:rsidR="00A93AC0" w:rsidRPr="00E34A4C">
        <w:rPr>
          <w:rFonts w:ascii="Times New Roman" w:hAnsi="Times New Roman" w:cs="Times New Roman"/>
          <w:sz w:val="32"/>
          <w:szCs w:val="32"/>
        </w:rPr>
        <w:t>Diventare magistrato” la prima domanda da porsi, per i miei ascoltatori, sia</w:t>
      </w:r>
      <w:r w:rsidRPr="00E34A4C">
        <w:rPr>
          <w:rFonts w:ascii="Times New Roman" w:hAnsi="Times New Roman" w:cs="Times New Roman"/>
          <w:sz w:val="32"/>
          <w:szCs w:val="32"/>
        </w:rPr>
        <w:t xml:space="preserve"> perché volerlo diventare.</w:t>
      </w:r>
    </w:p>
    <w:p w:rsidR="0055566C" w:rsidRPr="00E34A4C" w:rsidRDefault="0055566C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 xml:space="preserve">L’intramontabile </w:t>
      </w:r>
      <w:r w:rsidRPr="00E34A4C">
        <w:rPr>
          <w:rFonts w:ascii="Times New Roman" w:hAnsi="Times New Roman" w:cs="Times New Roman"/>
          <w:i/>
          <w:sz w:val="32"/>
          <w:szCs w:val="32"/>
        </w:rPr>
        <w:t>Elogio dei</w:t>
      </w:r>
      <w:r w:rsidR="00A93AC0" w:rsidRPr="00E34A4C">
        <w:rPr>
          <w:rFonts w:ascii="Times New Roman" w:hAnsi="Times New Roman" w:cs="Times New Roman"/>
          <w:i/>
          <w:sz w:val="32"/>
          <w:szCs w:val="32"/>
        </w:rPr>
        <w:t xml:space="preserve"> giudici scritto da un avvocato</w:t>
      </w:r>
      <w:r w:rsidRPr="00E34A4C">
        <w:rPr>
          <w:rFonts w:ascii="Times New Roman" w:hAnsi="Times New Roman" w:cs="Times New Roman"/>
          <w:sz w:val="32"/>
          <w:szCs w:val="32"/>
        </w:rPr>
        <w:t>, di Piero Calamandrei, dà secondo me due risposte che possono valere per tutti.</w:t>
      </w:r>
    </w:p>
    <w:p w:rsidR="005C2D4A" w:rsidRPr="00E34A4C" w:rsidRDefault="008D15C1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 xml:space="preserve">2.1. </w:t>
      </w:r>
      <w:r w:rsidR="0055566C" w:rsidRPr="00E34A4C">
        <w:rPr>
          <w:rFonts w:ascii="Times New Roman" w:hAnsi="Times New Roman" w:cs="Times New Roman"/>
          <w:sz w:val="32"/>
          <w:szCs w:val="32"/>
        </w:rPr>
        <w:t>La prima è la fede nella giustizia, è il credere che la giustizia esiste, che la si possa cercare e rendere. “Per trovare la giustizia bisogna</w:t>
      </w:r>
      <w:r w:rsidRPr="00E34A4C">
        <w:rPr>
          <w:rFonts w:ascii="Times New Roman" w:hAnsi="Times New Roman" w:cs="Times New Roman"/>
          <w:sz w:val="32"/>
          <w:szCs w:val="32"/>
        </w:rPr>
        <w:t xml:space="preserve"> essere fedeli: essa, come tutte le divinità, si manifesta solo a chi ci crede</w:t>
      </w:r>
      <w:r w:rsidR="0055566C" w:rsidRPr="00E34A4C">
        <w:rPr>
          <w:rFonts w:ascii="Times New Roman" w:hAnsi="Times New Roman" w:cs="Times New Roman"/>
          <w:sz w:val="32"/>
          <w:szCs w:val="32"/>
        </w:rPr>
        <w:t>”. Avere ragione è importante ma non basta. Serve qualcuno che la faccia valere e qualcuno che la sappia intendere e che la voglia rendere.</w:t>
      </w:r>
      <w:r w:rsidR="00A93AC0" w:rsidRPr="00E34A4C">
        <w:rPr>
          <w:rFonts w:ascii="Times New Roman" w:hAnsi="Times New Roman" w:cs="Times New Roman"/>
          <w:sz w:val="32"/>
          <w:szCs w:val="32"/>
        </w:rPr>
        <w:t xml:space="preserve"> E’ la strumentalità del processo all’attuazione del diritto, la giurisdizione come garanzia di cui parla</w:t>
      </w:r>
      <w:r w:rsidR="00E34A4C">
        <w:rPr>
          <w:rFonts w:ascii="Times New Roman" w:hAnsi="Times New Roman" w:cs="Times New Roman"/>
          <w:sz w:val="32"/>
          <w:szCs w:val="32"/>
        </w:rPr>
        <w:t xml:space="preserve"> lo stesso</w:t>
      </w:r>
      <w:r w:rsidR="00A93AC0" w:rsidRPr="00E34A4C">
        <w:rPr>
          <w:rFonts w:ascii="Times New Roman" w:hAnsi="Times New Roman" w:cs="Times New Roman"/>
          <w:sz w:val="32"/>
          <w:szCs w:val="32"/>
        </w:rPr>
        <w:t xml:space="preserve"> Calamandrei nelle sue </w:t>
      </w:r>
      <w:r w:rsidR="00A93AC0" w:rsidRPr="00E34A4C">
        <w:rPr>
          <w:rFonts w:ascii="Times New Roman" w:hAnsi="Times New Roman" w:cs="Times New Roman"/>
          <w:i/>
          <w:sz w:val="32"/>
          <w:szCs w:val="32"/>
        </w:rPr>
        <w:t>Istituzioni di diritto processuale</w:t>
      </w:r>
      <w:r w:rsidR="00A93AC0" w:rsidRPr="00E34A4C">
        <w:rPr>
          <w:rFonts w:ascii="Times New Roman" w:hAnsi="Times New Roman" w:cs="Times New Roman"/>
          <w:sz w:val="32"/>
          <w:szCs w:val="32"/>
        </w:rPr>
        <w:t>.</w:t>
      </w:r>
      <w:r w:rsidR="0055566C" w:rsidRPr="00E34A4C">
        <w:rPr>
          <w:rFonts w:ascii="Times New Roman" w:hAnsi="Times New Roman" w:cs="Times New Roman"/>
          <w:sz w:val="32"/>
          <w:szCs w:val="32"/>
        </w:rPr>
        <w:t xml:space="preserve"> </w:t>
      </w:r>
      <w:r w:rsidR="00E34A4C">
        <w:rPr>
          <w:rFonts w:ascii="Times New Roman" w:hAnsi="Times New Roman" w:cs="Times New Roman"/>
          <w:sz w:val="32"/>
          <w:szCs w:val="32"/>
        </w:rPr>
        <w:t>Ciò</w:t>
      </w:r>
      <w:r w:rsidR="005C2D4A" w:rsidRPr="00E34A4C">
        <w:rPr>
          <w:rFonts w:ascii="Times New Roman" w:hAnsi="Times New Roman" w:cs="Times New Roman"/>
          <w:sz w:val="32"/>
          <w:szCs w:val="32"/>
        </w:rPr>
        <w:t xml:space="preserve"> si traduce nell’</w:t>
      </w:r>
      <w:r w:rsidR="0055566C" w:rsidRPr="00E34A4C">
        <w:rPr>
          <w:rFonts w:ascii="Times New Roman" w:hAnsi="Times New Roman" w:cs="Times New Roman"/>
          <w:sz w:val="32"/>
          <w:szCs w:val="32"/>
        </w:rPr>
        <w:t>impegno giorna</w:t>
      </w:r>
      <w:r w:rsidR="005C2D4A" w:rsidRPr="00E34A4C">
        <w:rPr>
          <w:rFonts w:ascii="Times New Roman" w:hAnsi="Times New Roman" w:cs="Times New Roman"/>
          <w:sz w:val="32"/>
          <w:szCs w:val="32"/>
        </w:rPr>
        <w:t>liero costante, nello studio, nell’aggiornamento e nella ricerca vivace. Bisogna metterlo in conto nel momento in cui si sceglie di prepararsi per questo tipo di concorso, perché la pigrizia e la debolezza non rendono un buon servizio al ‘servizio giustizia’.</w:t>
      </w:r>
      <w:r w:rsidRPr="00E34A4C">
        <w:rPr>
          <w:rFonts w:ascii="Times New Roman" w:hAnsi="Times New Roman" w:cs="Times New Roman"/>
          <w:sz w:val="32"/>
          <w:szCs w:val="32"/>
        </w:rPr>
        <w:t xml:space="preserve"> Se la corruzione è un grave delitto, la pigrizia, l’insensibilità e la negligenza sono gravi colpe. </w:t>
      </w:r>
      <w:r w:rsidR="00A93AC0" w:rsidRPr="00E34A4C">
        <w:rPr>
          <w:rFonts w:ascii="Times New Roman" w:hAnsi="Times New Roman" w:cs="Times New Roman"/>
          <w:sz w:val="32"/>
          <w:szCs w:val="32"/>
        </w:rPr>
        <w:t>E non bisogna pensare che questo impegno cessi con il superamento del concorso, perché oggi chi sceglie questo corso deve sapere di</w:t>
      </w:r>
      <w:r w:rsidR="00E34A4C">
        <w:rPr>
          <w:rFonts w:ascii="Times New Roman" w:hAnsi="Times New Roman" w:cs="Times New Roman"/>
          <w:sz w:val="32"/>
          <w:szCs w:val="32"/>
        </w:rPr>
        <w:t xml:space="preserve"> doversi assoggettare a una formazione permanente e di</w:t>
      </w:r>
      <w:r w:rsidR="00A93AC0" w:rsidRPr="00E34A4C">
        <w:rPr>
          <w:rFonts w:ascii="Times New Roman" w:hAnsi="Times New Roman" w:cs="Times New Roman"/>
          <w:sz w:val="32"/>
          <w:szCs w:val="32"/>
        </w:rPr>
        <w:t xml:space="preserve"> abbracciare uno stile di vita.</w:t>
      </w:r>
    </w:p>
    <w:p w:rsidR="004E5B03" w:rsidRPr="00E34A4C" w:rsidRDefault="004E5B03" w:rsidP="004E5B03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>L’ordinamento attribuisce al giudice ampi poteri e il diritto formato dai giudici, il cd. diritto giurisprudenziale</w:t>
      </w:r>
      <w:r w:rsidR="00E34A4C">
        <w:rPr>
          <w:rFonts w:ascii="Times New Roman" w:hAnsi="Times New Roman" w:cs="Times New Roman"/>
          <w:sz w:val="32"/>
          <w:szCs w:val="32"/>
        </w:rPr>
        <w:t>,</w:t>
      </w:r>
      <w:r w:rsidRPr="00E34A4C">
        <w:rPr>
          <w:rFonts w:ascii="Times New Roman" w:hAnsi="Times New Roman" w:cs="Times New Roman"/>
          <w:sz w:val="32"/>
          <w:szCs w:val="32"/>
        </w:rPr>
        <w:t xml:space="preserve"> assume, non solo in Italia, grande spazio in una società complessa e plurale. A tali poteri non può non corrispondere un’assunzione di</w:t>
      </w:r>
      <w:r w:rsidRPr="00E34A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4A4C">
        <w:rPr>
          <w:rFonts w:ascii="Times New Roman" w:hAnsi="Times New Roman" w:cs="Times New Roman"/>
          <w:sz w:val="32"/>
          <w:szCs w:val="32"/>
        </w:rPr>
        <w:t xml:space="preserve">responsabilità, che non può ricadere, ovviamente, nel circuito di legittimazione politica, proprio del potere legislativo, ma deve trovare altrove la sua fonte di legittimazione. E tale </w:t>
      </w:r>
      <w:r w:rsidRPr="00E34A4C">
        <w:rPr>
          <w:rFonts w:ascii="Times New Roman" w:hAnsi="Times New Roman" w:cs="Times New Roman"/>
          <w:sz w:val="32"/>
          <w:szCs w:val="32"/>
        </w:rPr>
        <w:lastRenderedPageBreak/>
        <w:t>fonte non può che essere individuata, da un lato, nell’affinamento e nella padronanza della tecnica, dall’altro, nella seria costruzione di un sistema di riferimento etico e deontologico, capace di arginare ogni forma di arbitrio che possa derivare dall’esercizio della discrezionalità giudiziaria e, soprattutto, ogni forma di condizionamento, o di apparente condizionamento, che possa offuscare l’immagine di terzietà, o più semplicemente di serietà, del giudice.</w:t>
      </w:r>
    </w:p>
    <w:p w:rsidR="008D15C1" w:rsidRPr="00E34A4C" w:rsidRDefault="004E5B03" w:rsidP="001417D4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 xml:space="preserve">C’è un tema di fondo in ogni società, cui nessuna “parte” della comunità che vi vive può sottrarsi: è </w:t>
      </w:r>
      <w:r w:rsidR="001417D4" w:rsidRPr="00E34A4C">
        <w:rPr>
          <w:rFonts w:ascii="Times New Roman" w:hAnsi="Times New Roman" w:cs="Times New Roman"/>
          <w:sz w:val="32"/>
          <w:szCs w:val="32"/>
        </w:rPr>
        <w:t xml:space="preserve">il discorso dell’etica pubblica e della legittimazione all’esercizio della funzione, quest’ultima fondata sulla </w:t>
      </w:r>
      <w:r w:rsidR="001417D4" w:rsidRPr="00E34A4C">
        <w:rPr>
          <w:rFonts w:ascii="Times New Roman" w:hAnsi="Times New Roman" w:cs="Times New Roman"/>
          <w:i/>
          <w:sz w:val="32"/>
          <w:szCs w:val="32"/>
        </w:rPr>
        <w:t>competenza</w:t>
      </w:r>
      <w:r w:rsidR="001417D4" w:rsidRPr="00E34A4C">
        <w:rPr>
          <w:rFonts w:ascii="Times New Roman" w:hAnsi="Times New Roman" w:cs="Times New Roman"/>
          <w:sz w:val="32"/>
          <w:szCs w:val="32"/>
        </w:rPr>
        <w:t xml:space="preserve">. </w:t>
      </w:r>
      <w:r w:rsidR="009A2AF1">
        <w:rPr>
          <w:rFonts w:ascii="Times New Roman" w:hAnsi="Times New Roman" w:cs="Times New Roman"/>
          <w:sz w:val="32"/>
          <w:szCs w:val="32"/>
        </w:rPr>
        <w:t xml:space="preserve">Anche perché –e richiamo ancora il Benedetto Croce di </w:t>
      </w:r>
      <w:r w:rsidR="009A2AF1" w:rsidRPr="009A2AF1">
        <w:rPr>
          <w:rFonts w:ascii="Times New Roman" w:hAnsi="Times New Roman" w:cs="Times New Roman"/>
          <w:i/>
          <w:sz w:val="32"/>
          <w:szCs w:val="32"/>
        </w:rPr>
        <w:t>Etica e politica</w:t>
      </w:r>
      <w:r w:rsidR="009A2AF1">
        <w:rPr>
          <w:rFonts w:ascii="Times New Roman" w:hAnsi="Times New Roman" w:cs="Times New Roman"/>
          <w:sz w:val="32"/>
          <w:szCs w:val="32"/>
        </w:rPr>
        <w:t>, 1931, che si riferisce agli onesti in politica- la competenza è la prima forma di onestà.</w:t>
      </w:r>
    </w:p>
    <w:p w:rsidR="00E54ABF" w:rsidRPr="00E34A4C" w:rsidRDefault="008D15C1" w:rsidP="00E54ABF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 xml:space="preserve">2.2. </w:t>
      </w:r>
      <w:r w:rsidR="005C2D4A" w:rsidRPr="00E34A4C">
        <w:rPr>
          <w:rFonts w:ascii="Times New Roman" w:hAnsi="Times New Roman" w:cs="Times New Roman"/>
          <w:sz w:val="32"/>
          <w:szCs w:val="32"/>
        </w:rPr>
        <w:t>La seconda ragione è la volontà di condivisione. L’Autore la definisce ‘comunanza delle vite parallele’. “Il segreto della giustizia sta in una sempre maggiore umanità e in una sempre maggiore vicinanza umana tra avvocati e giudici nella lotta contro il dolore: infatti il processo, e non solo quello penale, è di per sé una pena, che giudici e avvocati devono abbreviare rendendo giustizia”.</w:t>
      </w:r>
      <w:r w:rsidR="00E54ABF" w:rsidRPr="00E34A4C">
        <w:rPr>
          <w:rFonts w:ascii="Times New Roman" w:hAnsi="Times New Roman" w:cs="Times New Roman"/>
          <w:sz w:val="32"/>
          <w:szCs w:val="32"/>
        </w:rPr>
        <w:t xml:space="preserve"> È nella diversità e nel reciproco rispetto dei ruoli professionali che va trovata la strada, anzi la ‘cura’ a questo dolore. Un dolore oggi reso acuto dalla pandemia, di cui credo che dobbiamo conservare l’esperienza di umanità, che è stata reale, a fronte dei mezzi utilizzati per comunicare, che sono stati virtuali.</w:t>
      </w:r>
    </w:p>
    <w:p w:rsidR="00E54ABF" w:rsidRPr="00E34A4C" w:rsidRDefault="00850324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Però l</w:t>
      </w:r>
      <w:r w:rsidR="00E54ABF" w:rsidRPr="00E34A4C">
        <w:rPr>
          <w:rFonts w:ascii="Times New Roman" w:hAnsi="Times New Roman" w:cs="Times New Roman"/>
          <w:sz w:val="32"/>
          <w:szCs w:val="32"/>
        </w:rPr>
        <w:t xml:space="preserve">a competenza tecnica del giudice non può costituire un “rifugio” e una scappatoia dalla responsabilità. In una società, tendenzialmente “deculturizzata” quando non “incolta”, è alto il rischio che anche i magistrati, e mi riferisco a quelli bravi, tendano a chiudersi nelle tecnicalità del “mestiere” senza guardare a quella che definirei la collocazione istituzionale della magistratura nella società; anzi nella comunità, termine che meglio dà l’idea di un luogo di persone che </w:t>
      </w:r>
      <w:r w:rsidR="00E54ABF" w:rsidRPr="00E34A4C">
        <w:rPr>
          <w:rFonts w:ascii="Times New Roman" w:hAnsi="Times New Roman" w:cs="Times New Roman"/>
          <w:i/>
          <w:sz w:val="32"/>
          <w:szCs w:val="32"/>
        </w:rPr>
        <w:t>vogliono</w:t>
      </w:r>
      <w:r w:rsidR="00E54ABF" w:rsidRPr="00E34A4C">
        <w:rPr>
          <w:rFonts w:ascii="Times New Roman" w:hAnsi="Times New Roman" w:cs="Times New Roman"/>
          <w:sz w:val="32"/>
          <w:szCs w:val="32"/>
        </w:rPr>
        <w:t xml:space="preserve"> vivere insieme, nell’accezione sociologica della nota contrapposizione di Ferdinand Tonnies tra </w:t>
      </w:r>
      <w:r w:rsidR="00E54ABF" w:rsidRPr="00E34A4C">
        <w:rPr>
          <w:rFonts w:ascii="Times New Roman" w:hAnsi="Times New Roman" w:cs="Times New Roman"/>
          <w:i/>
          <w:sz w:val="32"/>
          <w:szCs w:val="32"/>
        </w:rPr>
        <w:t>Gesellschaft</w:t>
      </w:r>
      <w:r w:rsidR="00E54ABF" w:rsidRPr="00E34A4C">
        <w:rPr>
          <w:rFonts w:ascii="Times New Roman" w:hAnsi="Times New Roman" w:cs="Times New Roman"/>
          <w:sz w:val="32"/>
          <w:szCs w:val="32"/>
        </w:rPr>
        <w:t xml:space="preserve"> e </w:t>
      </w:r>
      <w:r w:rsidR="00E54ABF" w:rsidRPr="00E34A4C">
        <w:rPr>
          <w:rFonts w:ascii="Times New Roman" w:hAnsi="Times New Roman" w:cs="Times New Roman"/>
          <w:i/>
          <w:sz w:val="32"/>
          <w:szCs w:val="32"/>
        </w:rPr>
        <w:t>Gemeischaft</w:t>
      </w:r>
      <w:r w:rsidR="00E54ABF" w:rsidRPr="00E34A4C">
        <w:rPr>
          <w:rFonts w:ascii="Times New Roman" w:hAnsi="Times New Roman" w:cs="Times New Roman"/>
          <w:sz w:val="32"/>
          <w:szCs w:val="32"/>
        </w:rPr>
        <w:t xml:space="preserve"> (1887)</w:t>
      </w:r>
      <w:r w:rsidR="00E54ABF" w:rsidRPr="00E34A4C">
        <w:rPr>
          <w:rFonts w:ascii="Times New Roman" w:hAnsi="Times New Roman" w:cs="Times New Roman"/>
          <w:sz w:val="32"/>
          <w:szCs w:val="32"/>
          <w:vertAlign w:val="superscript"/>
        </w:rPr>
        <w:footnoteReference w:id="1"/>
      </w:r>
      <w:r w:rsidR="00E54ABF" w:rsidRPr="00E34A4C">
        <w:rPr>
          <w:rFonts w:ascii="Times New Roman" w:hAnsi="Times New Roman" w:cs="Times New Roman"/>
          <w:sz w:val="32"/>
          <w:szCs w:val="32"/>
        </w:rPr>
        <w:t>.</w:t>
      </w:r>
    </w:p>
    <w:p w:rsidR="00AA34C0" w:rsidRPr="00E34A4C" w:rsidRDefault="00AA34C0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B3534" w:rsidRPr="00E34A4C" w:rsidRDefault="007B4CDB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>3</w:t>
      </w:r>
      <w:r w:rsidR="005B3534" w:rsidRPr="00E34A4C">
        <w:rPr>
          <w:rFonts w:ascii="Times New Roman" w:hAnsi="Times New Roman" w:cs="Times New Roman"/>
          <w:sz w:val="32"/>
          <w:szCs w:val="32"/>
        </w:rPr>
        <w:t xml:space="preserve">. </w:t>
      </w:r>
      <w:r w:rsidR="00E54ABF" w:rsidRPr="00E34A4C">
        <w:rPr>
          <w:rFonts w:ascii="Times New Roman" w:hAnsi="Times New Roman" w:cs="Times New Roman"/>
          <w:sz w:val="32"/>
          <w:szCs w:val="32"/>
        </w:rPr>
        <w:t>Per</w:t>
      </w:r>
      <w:r w:rsidR="005B3534" w:rsidRPr="00E34A4C">
        <w:rPr>
          <w:rFonts w:ascii="Times New Roman" w:hAnsi="Times New Roman" w:cs="Times New Roman"/>
          <w:sz w:val="32"/>
          <w:szCs w:val="32"/>
        </w:rPr>
        <w:t xml:space="preserve"> </w:t>
      </w:r>
      <w:r w:rsidR="00E54ABF" w:rsidRPr="00E34A4C">
        <w:rPr>
          <w:rFonts w:ascii="Times New Roman" w:hAnsi="Times New Roman" w:cs="Times New Roman"/>
          <w:sz w:val="32"/>
          <w:szCs w:val="32"/>
        </w:rPr>
        <w:t xml:space="preserve">vincere il concorso, </w:t>
      </w:r>
      <w:r w:rsidR="00605B2A">
        <w:rPr>
          <w:rFonts w:ascii="Times New Roman" w:hAnsi="Times New Roman" w:cs="Times New Roman"/>
          <w:sz w:val="32"/>
          <w:szCs w:val="32"/>
        </w:rPr>
        <w:t>non esistono ricette e nemmeno scorciatoie</w:t>
      </w:r>
      <w:r w:rsidR="005B3534" w:rsidRPr="00E34A4C">
        <w:rPr>
          <w:rFonts w:ascii="Times New Roman" w:hAnsi="Times New Roman" w:cs="Times New Roman"/>
          <w:sz w:val="32"/>
          <w:szCs w:val="32"/>
        </w:rPr>
        <w:t>, ma tanti accorgiment</w:t>
      </w:r>
      <w:r w:rsidR="00605B2A">
        <w:rPr>
          <w:rFonts w:ascii="Times New Roman" w:hAnsi="Times New Roman" w:cs="Times New Roman"/>
          <w:sz w:val="32"/>
          <w:szCs w:val="32"/>
        </w:rPr>
        <w:t>i che possono aiutare il merito</w:t>
      </w:r>
      <w:r w:rsidR="005B3534" w:rsidRPr="00E34A4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B3534" w:rsidRPr="00E34A4C" w:rsidRDefault="00E54ABF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lastRenderedPageBreak/>
        <w:t>Servono:</w:t>
      </w:r>
      <w:r w:rsidR="005B3534" w:rsidRPr="00E34A4C">
        <w:rPr>
          <w:rFonts w:ascii="Times New Roman" w:hAnsi="Times New Roman" w:cs="Times New Roman"/>
          <w:sz w:val="32"/>
          <w:szCs w:val="32"/>
        </w:rPr>
        <w:t xml:space="preserve"> preparazione tecnica e conoscenza degli istituti e della loro </w:t>
      </w:r>
      <w:r w:rsidR="005B3534" w:rsidRPr="00E34A4C">
        <w:rPr>
          <w:rFonts w:ascii="Times New Roman" w:hAnsi="Times New Roman" w:cs="Times New Roman"/>
          <w:i/>
          <w:sz w:val="32"/>
          <w:szCs w:val="32"/>
        </w:rPr>
        <w:t>ratio iuris</w:t>
      </w:r>
      <w:r w:rsidR="005B3534" w:rsidRPr="00E34A4C">
        <w:rPr>
          <w:rFonts w:ascii="Times New Roman" w:hAnsi="Times New Roman" w:cs="Times New Roman"/>
          <w:sz w:val="32"/>
          <w:szCs w:val="32"/>
        </w:rPr>
        <w:t>; la capacità di ‘</w:t>
      </w:r>
      <w:r w:rsidR="00121F99" w:rsidRPr="00E34A4C">
        <w:rPr>
          <w:rFonts w:ascii="Times New Roman" w:hAnsi="Times New Roman" w:cs="Times New Roman"/>
          <w:sz w:val="32"/>
          <w:szCs w:val="32"/>
        </w:rPr>
        <w:t>invenzione</w:t>
      </w:r>
      <w:r w:rsidR="005B3534" w:rsidRPr="00E34A4C">
        <w:rPr>
          <w:rFonts w:ascii="Times New Roman" w:hAnsi="Times New Roman" w:cs="Times New Roman"/>
          <w:sz w:val="32"/>
          <w:szCs w:val="32"/>
        </w:rPr>
        <w:t xml:space="preserve">’, </w:t>
      </w:r>
      <w:r w:rsidR="00121F99" w:rsidRPr="00E34A4C">
        <w:rPr>
          <w:rFonts w:ascii="Times New Roman" w:hAnsi="Times New Roman" w:cs="Times New Roman"/>
          <w:sz w:val="32"/>
          <w:szCs w:val="32"/>
        </w:rPr>
        <w:t xml:space="preserve">nel senso latino del termine, e </w:t>
      </w:r>
      <w:r w:rsidR="005B3534" w:rsidRPr="00E34A4C">
        <w:rPr>
          <w:rFonts w:ascii="Times New Roman" w:hAnsi="Times New Roman" w:cs="Times New Roman"/>
          <w:sz w:val="32"/>
          <w:szCs w:val="32"/>
        </w:rPr>
        <w:t xml:space="preserve">cioè </w:t>
      </w:r>
      <w:r w:rsidR="00121F99" w:rsidRPr="00E34A4C">
        <w:rPr>
          <w:rFonts w:ascii="Times New Roman" w:hAnsi="Times New Roman" w:cs="Times New Roman"/>
          <w:sz w:val="32"/>
          <w:szCs w:val="32"/>
        </w:rPr>
        <w:t xml:space="preserve">la capacità </w:t>
      </w:r>
      <w:r w:rsidR="005B3534" w:rsidRPr="00E34A4C">
        <w:rPr>
          <w:rFonts w:ascii="Times New Roman" w:hAnsi="Times New Roman" w:cs="Times New Roman"/>
          <w:sz w:val="32"/>
          <w:szCs w:val="32"/>
        </w:rPr>
        <w:t xml:space="preserve">di trovare </w:t>
      </w:r>
      <w:r w:rsidR="00121F99" w:rsidRPr="00E34A4C">
        <w:rPr>
          <w:rFonts w:ascii="Times New Roman" w:hAnsi="Times New Roman" w:cs="Times New Roman"/>
          <w:sz w:val="32"/>
          <w:szCs w:val="32"/>
        </w:rPr>
        <w:t xml:space="preserve">i nessi, i collegamenti, di sapersi orientare nel sistema giuridico, anzi nei sistemi giuridici, se contiamo gli ordinamenti sovranazionali; la capacità di tradurre in scrittura il ragionamento logico-giuridico, mediante proposizioni chiare, logiche e di senso compiuto; capacità di analisi e di sintesi. </w:t>
      </w:r>
    </w:p>
    <w:p w:rsidR="00623775" w:rsidRPr="00E34A4C" w:rsidRDefault="00121F99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 xml:space="preserve">Fondamentale è la capacità di sapere rinunciare. È il sapere sacrificare le cose non necessarie o non utili alla soluzione del problema. La prova concorsuale –ma la stessa cosa può dirsi della sentenza, così come di qualunque atto processuale- non è l’occasione di dimostrare le generali conoscenze acquisite, </w:t>
      </w:r>
      <w:r w:rsidR="00623775" w:rsidRPr="00E34A4C">
        <w:rPr>
          <w:rFonts w:ascii="Times New Roman" w:hAnsi="Times New Roman" w:cs="Times New Roman"/>
          <w:sz w:val="32"/>
          <w:szCs w:val="32"/>
        </w:rPr>
        <w:t xml:space="preserve">ma la capacità di risolvere una controversia. La selezione degli argomenti e la continenza dell’esposizione sono strumenti imprescindibili per produrre il cd. ‘atto funzionale’, nel senso di atto che ha un’utilità, che funziona e che produce un effetto utile. </w:t>
      </w:r>
      <w:r w:rsidR="001417D4" w:rsidRPr="00E34A4C">
        <w:rPr>
          <w:rFonts w:ascii="Times New Roman" w:hAnsi="Times New Roman" w:cs="Times New Roman"/>
          <w:sz w:val="32"/>
          <w:szCs w:val="32"/>
        </w:rPr>
        <w:t>Lo stesso vale per il concorso e a que</w:t>
      </w:r>
      <w:r w:rsidR="00E54ABF" w:rsidRPr="00E34A4C">
        <w:rPr>
          <w:rFonts w:ascii="Times New Roman" w:hAnsi="Times New Roman" w:cs="Times New Roman"/>
          <w:sz w:val="32"/>
          <w:szCs w:val="32"/>
        </w:rPr>
        <w:t>s</w:t>
      </w:r>
      <w:r w:rsidR="001417D4" w:rsidRPr="00E34A4C">
        <w:rPr>
          <w:rFonts w:ascii="Times New Roman" w:hAnsi="Times New Roman" w:cs="Times New Roman"/>
          <w:sz w:val="32"/>
          <w:szCs w:val="32"/>
        </w:rPr>
        <w:t>ta capacità di selezione deve essere orientato anche la preparazione</w:t>
      </w:r>
      <w:r w:rsidR="00623775" w:rsidRPr="00E34A4C">
        <w:rPr>
          <w:rFonts w:ascii="Times New Roman" w:hAnsi="Times New Roman" w:cs="Times New Roman"/>
          <w:sz w:val="32"/>
          <w:szCs w:val="32"/>
        </w:rPr>
        <w:t>.</w:t>
      </w:r>
    </w:p>
    <w:p w:rsidR="00623775" w:rsidRPr="00E34A4C" w:rsidRDefault="00623775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B3534" w:rsidRDefault="008D15C1" w:rsidP="00A47B6B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34A4C">
        <w:rPr>
          <w:rFonts w:ascii="Times New Roman" w:hAnsi="Times New Roman" w:cs="Times New Roman"/>
          <w:sz w:val="32"/>
          <w:szCs w:val="32"/>
        </w:rPr>
        <w:t xml:space="preserve">4. </w:t>
      </w:r>
      <w:r w:rsidR="00E54ABF" w:rsidRPr="00E34A4C">
        <w:rPr>
          <w:rFonts w:ascii="Times New Roman" w:hAnsi="Times New Roman" w:cs="Times New Roman"/>
          <w:sz w:val="32"/>
          <w:szCs w:val="32"/>
        </w:rPr>
        <w:t xml:space="preserve">Essere magistrato oggi in definitiva, implica molte cose: sapere amministrare giustizia essendo soggetti “soltanto” alla legge, per salvaguardare la propria autonomia e indipendenza; saper rispettare la vera essenza del diritto, la logica di un sistema oramai non solo nazionale perché inserito in quello che </w:t>
      </w:r>
      <w:r w:rsidR="00E34A4C">
        <w:rPr>
          <w:rFonts w:ascii="Times New Roman" w:hAnsi="Times New Roman" w:cs="Times New Roman"/>
          <w:sz w:val="32"/>
          <w:szCs w:val="32"/>
        </w:rPr>
        <w:t xml:space="preserve">Paolo </w:t>
      </w:r>
      <w:r w:rsidR="00E54ABF" w:rsidRPr="00E34A4C">
        <w:rPr>
          <w:rFonts w:ascii="Times New Roman" w:hAnsi="Times New Roman" w:cs="Times New Roman"/>
          <w:sz w:val="32"/>
          <w:szCs w:val="32"/>
        </w:rPr>
        <w:t xml:space="preserve">Grossi, e non solo, definisce l’Europa del diritto; infine, </w:t>
      </w:r>
      <w:r w:rsidR="001325E7" w:rsidRPr="00E34A4C">
        <w:rPr>
          <w:rFonts w:ascii="Times New Roman" w:hAnsi="Times New Roman" w:cs="Times New Roman"/>
          <w:sz w:val="32"/>
          <w:szCs w:val="32"/>
        </w:rPr>
        <w:t xml:space="preserve">sapere coltivare l’arte del dubbio. Ci troviamo di fronte ad un apparente paradosso: il diritto è il mondo della decisione, quindi della scelta Il dubbio è il mondo dell’indecisione, dell’incertezza della regola del rapporto. </w:t>
      </w:r>
      <w:r w:rsidR="00E54ABF" w:rsidRPr="00E34A4C">
        <w:rPr>
          <w:rFonts w:ascii="Times New Roman" w:hAnsi="Times New Roman" w:cs="Times New Roman"/>
          <w:sz w:val="32"/>
          <w:szCs w:val="32"/>
        </w:rPr>
        <w:t>Ebbene, l</w:t>
      </w:r>
      <w:r w:rsidR="001325E7" w:rsidRPr="00E34A4C">
        <w:rPr>
          <w:rFonts w:ascii="Times New Roman" w:hAnsi="Times New Roman" w:cs="Times New Roman"/>
          <w:sz w:val="32"/>
          <w:szCs w:val="32"/>
        </w:rPr>
        <w:t>a soluzione del dubbio</w:t>
      </w:r>
      <w:r w:rsidR="00E54ABF" w:rsidRPr="00E34A4C">
        <w:rPr>
          <w:rFonts w:ascii="Times New Roman" w:hAnsi="Times New Roman" w:cs="Times New Roman"/>
          <w:sz w:val="32"/>
          <w:szCs w:val="32"/>
        </w:rPr>
        <w:t>, che si impone,</w:t>
      </w:r>
      <w:r w:rsidR="001325E7" w:rsidRPr="00E34A4C">
        <w:rPr>
          <w:rFonts w:ascii="Times New Roman" w:hAnsi="Times New Roman" w:cs="Times New Roman"/>
          <w:sz w:val="32"/>
          <w:szCs w:val="32"/>
        </w:rPr>
        <w:t xml:space="preserve"> deve sempre trasparire dalla motivazione. La motivazione è il fondante della decisione</w:t>
      </w:r>
      <w:r w:rsidR="00DD482D" w:rsidRPr="00E34A4C">
        <w:rPr>
          <w:rFonts w:ascii="Times New Roman" w:hAnsi="Times New Roman" w:cs="Times New Roman"/>
          <w:sz w:val="32"/>
          <w:szCs w:val="32"/>
        </w:rPr>
        <w:t>.</w:t>
      </w:r>
      <w:r w:rsidR="00E54ABF" w:rsidRPr="00E34A4C">
        <w:rPr>
          <w:rFonts w:ascii="Times New Roman" w:hAnsi="Times New Roman" w:cs="Times New Roman"/>
          <w:sz w:val="32"/>
          <w:szCs w:val="32"/>
        </w:rPr>
        <w:t xml:space="preserve"> A tutto ciò, ne sono convinto, e non </w:t>
      </w:r>
      <w:r w:rsidR="00E34A4C">
        <w:rPr>
          <w:rFonts w:ascii="Times New Roman" w:hAnsi="Times New Roman" w:cs="Times New Roman"/>
          <w:sz w:val="32"/>
          <w:szCs w:val="32"/>
        </w:rPr>
        <w:t xml:space="preserve">soltanto </w:t>
      </w:r>
      <w:r w:rsidR="00E54ABF" w:rsidRPr="00E34A4C">
        <w:rPr>
          <w:rFonts w:ascii="Times New Roman" w:hAnsi="Times New Roman" w:cs="Times New Roman"/>
          <w:sz w:val="32"/>
          <w:szCs w:val="32"/>
        </w:rPr>
        <w:t>allo studio degli istituti giuridici, saprà “formarvi”</w:t>
      </w:r>
      <w:r w:rsidR="00DD482D" w:rsidRPr="00E34A4C">
        <w:rPr>
          <w:rFonts w:ascii="Times New Roman" w:hAnsi="Times New Roman" w:cs="Times New Roman"/>
          <w:sz w:val="32"/>
          <w:szCs w:val="32"/>
        </w:rPr>
        <w:t xml:space="preserve"> </w:t>
      </w:r>
      <w:r w:rsidR="00E54ABF" w:rsidRPr="00E34A4C">
        <w:rPr>
          <w:rFonts w:ascii="Times New Roman" w:hAnsi="Times New Roman" w:cs="Times New Roman"/>
          <w:sz w:val="32"/>
          <w:szCs w:val="32"/>
        </w:rPr>
        <w:t>questo corso.</w:t>
      </w:r>
    </w:p>
    <w:p w:rsidR="00E34A4C" w:rsidRPr="00E34A4C" w:rsidRDefault="00E34A4C" w:rsidP="00E34A4C">
      <w:pPr>
        <w:contextualSpacing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Filippo Patroni Griffi</w:t>
      </w:r>
    </w:p>
    <w:p w:rsidR="00583D7F" w:rsidRPr="00E34A4C" w:rsidRDefault="00583D7F" w:rsidP="00A47B6B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DD482D" w:rsidRPr="00E34A4C" w:rsidRDefault="00DD482D" w:rsidP="00A47B6B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DD482D" w:rsidRPr="00E34A4C" w:rsidRDefault="00DD482D" w:rsidP="00A47B6B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B4CDB" w:rsidRPr="00E34A4C" w:rsidRDefault="007B4CDB" w:rsidP="009D1E1D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7B4CDB" w:rsidRPr="00E34A4C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E1" w:rsidRDefault="00C730E1" w:rsidP="00E67D27">
      <w:pPr>
        <w:spacing w:after="0" w:line="240" w:lineRule="auto"/>
      </w:pPr>
      <w:r>
        <w:separator/>
      </w:r>
    </w:p>
  </w:endnote>
  <w:endnote w:type="continuationSeparator" w:id="0">
    <w:p w:rsidR="00C730E1" w:rsidRDefault="00C730E1" w:rsidP="00E6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2187020"/>
      <w:docPartObj>
        <w:docPartGallery w:val="Page Numbers (Bottom of Page)"/>
        <w:docPartUnique/>
      </w:docPartObj>
    </w:sdtPr>
    <w:sdtEndPr/>
    <w:sdtContent>
      <w:p w:rsidR="00E34A4C" w:rsidRDefault="00E34A4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E2B">
          <w:rPr>
            <w:noProof/>
          </w:rPr>
          <w:t>5</w:t>
        </w:r>
        <w:r>
          <w:fldChar w:fldCharType="end"/>
        </w:r>
      </w:p>
    </w:sdtContent>
  </w:sdt>
  <w:p w:rsidR="00E67D27" w:rsidRDefault="00E67D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E1" w:rsidRDefault="00C730E1" w:rsidP="00E67D27">
      <w:pPr>
        <w:spacing w:after="0" w:line="240" w:lineRule="auto"/>
      </w:pPr>
      <w:r>
        <w:separator/>
      </w:r>
    </w:p>
  </w:footnote>
  <w:footnote w:type="continuationSeparator" w:id="0">
    <w:p w:rsidR="00C730E1" w:rsidRDefault="00C730E1" w:rsidP="00E67D27">
      <w:pPr>
        <w:spacing w:after="0" w:line="240" w:lineRule="auto"/>
      </w:pPr>
      <w:r>
        <w:continuationSeparator/>
      </w:r>
    </w:p>
  </w:footnote>
  <w:footnote w:id="1">
    <w:p w:rsidR="00E54ABF" w:rsidRPr="00C63CD9" w:rsidRDefault="00E54ABF" w:rsidP="00E54ABF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C63CD9">
        <w:rPr>
          <w:lang w:val="en-US"/>
        </w:rPr>
        <w:t xml:space="preserve"> F. Tonnies, </w:t>
      </w:r>
      <w:r w:rsidRPr="00C63CD9">
        <w:rPr>
          <w:i/>
          <w:lang w:val="en-US"/>
        </w:rPr>
        <w:t>Gemeischaft und Gesellschaft</w:t>
      </w:r>
      <w:r w:rsidRPr="00C63CD9">
        <w:rPr>
          <w:lang w:val="en-US"/>
        </w:rPr>
        <w:t>, Leipzig 1887, trad.it. Bari 2011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5A"/>
    <w:rsid w:val="000427C4"/>
    <w:rsid w:val="00076F6E"/>
    <w:rsid w:val="00077416"/>
    <w:rsid w:val="000A039F"/>
    <w:rsid w:val="000B1889"/>
    <w:rsid w:val="00107E2B"/>
    <w:rsid w:val="00114AC3"/>
    <w:rsid w:val="0012130D"/>
    <w:rsid w:val="00121F99"/>
    <w:rsid w:val="001325E7"/>
    <w:rsid w:val="001417D4"/>
    <w:rsid w:val="001C7D2C"/>
    <w:rsid w:val="00215979"/>
    <w:rsid w:val="002A6688"/>
    <w:rsid w:val="002B4CDA"/>
    <w:rsid w:val="00304671"/>
    <w:rsid w:val="00315DB1"/>
    <w:rsid w:val="00355C90"/>
    <w:rsid w:val="003A612C"/>
    <w:rsid w:val="00463F24"/>
    <w:rsid w:val="004A1A79"/>
    <w:rsid w:val="004D77B6"/>
    <w:rsid w:val="004E5B03"/>
    <w:rsid w:val="005231A5"/>
    <w:rsid w:val="0055566C"/>
    <w:rsid w:val="00575BAA"/>
    <w:rsid w:val="00583D7F"/>
    <w:rsid w:val="005B3534"/>
    <w:rsid w:val="005C2D4A"/>
    <w:rsid w:val="00605B2A"/>
    <w:rsid w:val="006221E7"/>
    <w:rsid w:val="00623775"/>
    <w:rsid w:val="00640C0C"/>
    <w:rsid w:val="007A0342"/>
    <w:rsid w:val="007A44D2"/>
    <w:rsid w:val="007B4CDB"/>
    <w:rsid w:val="007D5F38"/>
    <w:rsid w:val="00850324"/>
    <w:rsid w:val="008D15C1"/>
    <w:rsid w:val="009133BD"/>
    <w:rsid w:val="0096185A"/>
    <w:rsid w:val="00983A69"/>
    <w:rsid w:val="00993640"/>
    <w:rsid w:val="009A2AF1"/>
    <w:rsid w:val="009A60AE"/>
    <w:rsid w:val="009D1E1D"/>
    <w:rsid w:val="009F65AD"/>
    <w:rsid w:val="00A32B1F"/>
    <w:rsid w:val="00A47B6B"/>
    <w:rsid w:val="00A93AC0"/>
    <w:rsid w:val="00A95663"/>
    <w:rsid w:val="00AA34C0"/>
    <w:rsid w:val="00AA5160"/>
    <w:rsid w:val="00AF3C1D"/>
    <w:rsid w:val="00B13C60"/>
    <w:rsid w:val="00B45B29"/>
    <w:rsid w:val="00BA5DD2"/>
    <w:rsid w:val="00BB1B36"/>
    <w:rsid w:val="00BC6FAF"/>
    <w:rsid w:val="00BE726F"/>
    <w:rsid w:val="00C730E1"/>
    <w:rsid w:val="00CB47F1"/>
    <w:rsid w:val="00D406E3"/>
    <w:rsid w:val="00DC4E59"/>
    <w:rsid w:val="00DD3C8A"/>
    <w:rsid w:val="00DD482D"/>
    <w:rsid w:val="00DE1E7D"/>
    <w:rsid w:val="00E3158C"/>
    <w:rsid w:val="00E34A4C"/>
    <w:rsid w:val="00E54ABF"/>
    <w:rsid w:val="00E67D27"/>
    <w:rsid w:val="00F8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8211B-7E53-4080-A0DC-F2C28A15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7D2C"/>
    <w:pPr>
      <w:spacing w:after="0" w:line="240" w:lineRule="auto"/>
    </w:pPr>
    <w:rPr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7D2C"/>
    <w:rPr>
      <w:sz w:val="20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0774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7D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D27"/>
  </w:style>
  <w:style w:type="paragraph" w:styleId="Pidipagina">
    <w:name w:val="footer"/>
    <w:basedOn w:val="Normale"/>
    <w:link w:val="PidipaginaCarattere"/>
    <w:uiPriority w:val="99"/>
    <w:unhideWhenUsed/>
    <w:rsid w:val="00E67D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D27"/>
  </w:style>
  <w:style w:type="character" w:styleId="Rimandonotaapidipagina">
    <w:name w:val="footnote reference"/>
    <w:basedOn w:val="Carpredefinitoparagrafo"/>
    <w:uiPriority w:val="99"/>
    <w:semiHidden/>
    <w:unhideWhenUsed/>
    <w:rsid w:val="00141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CARLO Daniela</dc:creator>
  <cp:keywords/>
  <dc:description/>
  <cp:lastModifiedBy>FERRARI Giulia</cp:lastModifiedBy>
  <cp:revision>2</cp:revision>
  <dcterms:created xsi:type="dcterms:W3CDTF">2020-07-09T20:18:00Z</dcterms:created>
  <dcterms:modified xsi:type="dcterms:W3CDTF">2020-07-09T20:18:00Z</dcterms:modified>
</cp:coreProperties>
</file>