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C532" w14:textId="77777777" w:rsidR="00070858" w:rsidRPr="00413B19" w:rsidRDefault="00070858" w:rsidP="0007085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3B19">
        <w:rPr>
          <w:rFonts w:ascii="Times New Roman" w:hAnsi="Times New Roman" w:cs="Times New Roman"/>
          <w:b/>
          <w:sz w:val="40"/>
          <w:szCs w:val="40"/>
        </w:rPr>
        <w:t>Le città e l'esperienza della politica</w:t>
      </w:r>
      <w:r w:rsidRPr="0015251F">
        <w:rPr>
          <w:rStyle w:val="Rimandonotaapidipagina"/>
          <w:rFonts w:ascii="Times New Roman" w:hAnsi="Times New Roman" w:cs="Times New Roman"/>
          <w:sz w:val="32"/>
          <w:szCs w:val="32"/>
        </w:rPr>
        <w:footnoteReference w:id="1"/>
      </w:r>
    </w:p>
    <w:p w14:paraId="066CD7A4" w14:textId="77777777" w:rsidR="00070858" w:rsidRDefault="00070858" w:rsidP="00070858">
      <w:pPr>
        <w:jc w:val="both"/>
        <w:rPr>
          <w:sz w:val="28"/>
          <w:szCs w:val="28"/>
        </w:rPr>
      </w:pPr>
    </w:p>
    <w:p w14:paraId="4B036FA9" w14:textId="31EA5933" w:rsidR="00070858" w:rsidRDefault="00070858" w:rsidP="0007085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di </w:t>
      </w:r>
    </w:p>
    <w:p w14:paraId="5DDF8D1F" w14:textId="77777777" w:rsidR="00070858" w:rsidRDefault="00070858" w:rsidP="00070858">
      <w:pPr>
        <w:jc w:val="both"/>
        <w:rPr>
          <w:sz w:val="28"/>
          <w:szCs w:val="28"/>
        </w:rPr>
      </w:pPr>
      <w:r>
        <w:rPr>
          <w:sz w:val="28"/>
          <w:szCs w:val="28"/>
        </w:rPr>
        <w:t>Filippo Patroni Griffi</w:t>
      </w:r>
    </w:p>
    <w:p w14:paraId="3A7EA3DB" w14:textId="77777777" w:rsidR="002500DF" w:rsidRDefault="002500DF" w:rsidP="002500DF">
      <w:pPr>
        <w:pStyle w:val="Default"/>
      </w:pPr>
    </w:p>
    <w:p w14:paraId="2760EB77" w14:textId="77777777" w:rsidR="000D6453" w:rsidRDefault="000D6453" w:rsidP="00336B3A">
      <w:pPr>
        <w:jc w:val="both"/>
        <w:rPr>
          <w:sz w:val="28"/>
          <w:szCs w:val="28"/>
        </w:rPr>
      </w:pPr>
    </w:p>
    <w:p w14:paraId="3365EB51" w14:textId="2C37E4C0" w:rsidR="003B7A0D" w:rsidRDefault="003B7A0D" w:rsidP="001E26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Vorrei </w:t>
      </w:r>
      <w:r w:rsidR="00837365">
        <w:rPr>
          <w:rFonts w:ascii="Times New Roman" w:hAnsi="Times New Roman" w:cs="Times New Roman"/>
          <w:sz w:val="28"/>
          <w:szCs w:val="28"/>
        </w:rPr>
        <w:t>svolgere una premessa</w:t>
      </w:r>
      <w:r>
        <w:rPr>
          <w:rFonts w:ascii="Times New Roman" w:hAnsi="Times New Roman" w:cs="Times New Roman"/>
          <w:sz w:val="28"/>
          <w:szCs w:val="28"/>
        </w:rPr>
        <w:t xml:space="preserve"> sul ruolo che le città stanno assumendo nella</w:t>
      </w:r>
      <w:r w:rsidR="0083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realtà contemporanea.</w:t>
      </w:r>
    </w:p>
    <w:p w14:paraId="3D154021" w14:textId="68015F43" w:rsidR="00336B3A" w:rsidRPr="00186F7E" w:rsidRDefault="00336B3A" w:rsidP="001E26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F7E">
        <w:rPr>
          <w:rFonts w:ascii="Times New Roman" w:hAnsi="Times New Roman" w:cs="Times New Roman"/>
          <w:sz w:val="28"/>
          <w:szCs w:val="28"/>
        </w:rPr>
        <w:t xml:space="preserve">Secondo </w:t>
      </w:r>
      <w:r w:rsidR="00FD4D26" w:rsidRPr="00186F7E">
        <w:rPr>
          <w:rFonts w:ascii="Times New Roman" w:hAnsi="Times New Roman" w:cs="Times New Roman"/>
          <w:sz w:val="28"/>
          <w:szCs w:val="28"/>
        </w:rPr>
        <w:t xml:space="preserve">i </w:t>
      </w:r>
      <w:r w:rsidRPr="00186F7E">
        <w:rPr>
          <w:rFonts w:ascii="Times New Roman" w:hAnsi="Times New Roman" w:cs="Times New Roman"/>
          <w:sz w:val="28"/>
          <w:szCs w:val="28"/>
        </w:rPr>
        <w:t>dati ONU:</w:t>
      </w:r>
    </w:p>
    <w:p w14:paraId="7349F99E" w14:textId="77777777" w:rsidR="00336B3A" w:rsidRPr="00186F7E" w:rsidRDefault="001E2663" w:rsidP="00336B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36B3A" w:rsidRPr="00186F7E">
        <w:rPr>
          <w:rFonts w:ascii="Times New Roman" w:hAnsi="Times New Roman" w:cs="Times New Roman"/>
          <w:sz w:val="28"/>
          <w:szCs w:val="28"/>
        </w:rPr>
        <w:t xml:space="preserve">metà dell’umanità, </w:t>
      </w:r>
      <w:r w:rsidR="001762A2">
        <w:rPr>
          <w:rFonts w:ascii="Times New Roman" w:hAnsi="Times New Roman" w:cs="Times New Roman"/>
          <w:sz w:val="28"/>
          <w:szCs w:val="28"/>
        </w:rPr>
        <w:t xml:space="preserve">ovvero </w:t>
      </w:r>
      <w:r w:rsidR="00336B3A" w:rsidRPr="00186F7E">
        <w:rPr>
          <w:rFonts w:ascii="Times New Roman" w:hAnsi="Times New Roman" w:cs="Times New Roman"/>
          <w:sz w:val="28"/>
          <w:szCs w:val="28"/>
        </w:rPr>
        <w:t>3,5 miliardi di persone, vive in città</w:t>
      </w:r>
      <w:r w:rsidR="001762A2">
        <w:rPr>
          <w:rFonts w:ascii="Times New Roman" w:hAnsi="Times New Roman" w:cs="Times New Roman"/>
          <w:sz w:val="28"/>
          <w:szCs w:val="28"/>
        </w:rPr>
        <w:t>;</w:t>
      </w:r>
    </w:p>
    <w:p w14:paraId="77FA151C" w14:textId="77777777" w:rsidR="00336B3A" w:rsidRPr="00186F7E" w:rsidRDefault="001762A2" w:rsidP="00336B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36B3A" w:rsidRPr="00186F7E">
        <w:rPr>
          <w:rFonts w:ascii="Times New Roman" w:hAnsi="Times New Roman" w:cs="Times New Roman"/>
          <w:sz w:val="28"/>
          <w:szCs w:val="28"/>
        </w:rPr>
        <w:t>ntro il 2030, quasi il 60% della popolazione mondiale abiterà in aree urbane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A71DDE" w14:textId="6FCD55EA" w:rsidR="00336B3A" w:rsidRPr="00186F7E" w:rsidRDefault="001762A2" w:rsidP="00336B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36B3A" w:rsidRPr="00186F7E">
        <w:rPr>
          <w:rFonts w:ascii="Times New Roman" w:hAnsi="Times New Roman" w:cs="Times New Roman"/>
          <w:sz w:val="28"/>
          <w:szCs w:val="28"/>
        </w:rPr>
        <w:t>e città occupano solamente il 3</w:t>
      </w:r>
      <w:r w:rsidRPr="00186F7E">
        <w:rPr>
          <w:rFonts w:ascii="Times New Roman" w:hAnsi="Times New Roman" w:cs="Times New Roman"/>
          <w:sz w:val="28"/>
          <w:szCs w:val="28"/>
        </w:rPr>
        <w:t>%</w:t>
      </w:r>
      <w:r w:rsidR="00336B3A" w:rsidRPr="00186F7E">
        <w:rPr>
          <w:rFonts w:ascii="Times New Roman" w:hAnsi="Times New Roman" w:cs="Times New Roman"/>
          <w:sz w:val="28"/>
          <w:szCs w:val="28"/>
        </w:rPr>
        <w:t xml:space="preserve"> della superficie terrestre, tuttavia sono responsabili del 60-80% del consumo energetico e del 75% delle emissioni di carbonio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31D040" w14:textId="77777777" w:rsidR="00336B3A" w:rsidRPr="00186F7E" w:rsidRDefault="001762A2" w:rsidP="00336B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36B3A" w:rsidRPr="00186F7E">
        <w:rPr>
          <w:rFonts w:ascii="Times New Roman" w:hAnsi="Times New Roman" w:cs="Times New Roman"/>
          <w:sz w:val="28"/>
          <w:szCs w:val="28"/>
        </w:rPr>
        <w:t>a rapida urbanizzazione esercita pressione sulle forniture di acqua dolce, sulle fognature, sull’ambiente e sulla salute pubblica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EF1CD" w14:textId="70B4D748" w:rsidR="00EA0F95" w:rsidRPr="00186F7E" w:rsidRDefault="001762A2" w:rsidP="00336B3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36B3A" w:rsidRPr="00186F7E">
        <w:rPr>
          <w:rFonts w:ascii="Times New Roman" w:hAnsi="Times New Roman" w:cs="Times New Roman"/>
          <w:sz w:val="28"/>
          <w:szCs w:val="28"/>
        </w:rPr>
        <w:t>’alta densità delle città può portare efficienza e sviluppo tecnologico, riducendo il consumo di risorse e di energia</w:t>
      </w:r>
      <w:r w:rsidR="00D56995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2"/>
      </w:r>
      <w:r w:rsidR="001E2663">
        <w:rPr>
          <w:rFonts w:ascii="Times New Roman" w:hAnsi="Times New Roman" w:cs="Times New Roman"/>
          <w:sz w:val="28"/>
          <w:szCs w:val="28"/>
        </w:rPr>
        <w:t>”</w:t>
      </w:r>
    </w:p>
    <w:p w14:paraId="725F3B68" w14:textId="77777777" w:rsidR="00EA0F95" w:rsidRDefault="00EA0F95" w:rsidP="001E26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81A">
        <w:rPr>
          <w:rFonts w:ascii="Times New Roman" w:hAnsi="Times New Roman" w:cs="Times New Roman"/>
          <w:sz w:val="28"/>
          <w:szCs w:val="28"/>
        </w:rPr>
        <w:t>L’Agenda 2030 per lo Sv</w:t>
      </w:r>
      <w:r w:rsidR="00186F7E">
        <w:rPr>
          <w:rFonts w:ascii="Times New Roman" w:hAnsi="Times New Roman" w:cs="Times New Roman"/>
          <w:sz w:val="28"/>
          <w:szCs w:val="28"/>
        </w:rPr>
        <w:t>iluppo Sostenibile</w:t>
      </w:r>
      <w:r w:rsidR="00186F7E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3"/>
      </w:r>
      <w:r w:rsidR="00186F7E">
        <w:rPr>
          <w:rFonts w:ascii="Times New Roman" w:hAnsi="Times New Roman" w:cs="Times New Roman"/>
          <w:sz w:val="28"/>
          <w:szCs w:val="28"/>
        </w:rPr>
        <w:t>, sottoscritta</w:t>
      </w:r>
      <w:r w:rsidRPr="0072081A">
        <w:rPr>
          <w:rFonts w:ascii="Times New Roman" w:hAnsi="Times New Roman" w:cs="Times New Roman"/>
          <w:sz w:val="28"/>
          <w:szCs w:val="28"/>
        </w:rPr>
        <w:t xml:space="preserve"> nel settembre 2015 dai governi dei 193 Paesi membri dell’ONU, </w:t>
      </w:r>
      <w:r w:rsidR="008E6EAE">
        <w:rPr>
          <w:rFonts w:ascii="Times New Roman" w:hAnsi="Times New Roman" w:cs="Times New Roman"/>
          <w:sz w:val="28"/>
          <w:szCs w:val="28"/>
        </w:rPr>
        <w:t xml:space="preserve">fra i </w:t>
      </w:r>
      <w:r w:rsidR="0072081A" w:rsidRPr="0072081A">
        <w:rPr>
          <w:rFonts w:ascii="Times New Roman" w:hAnsi="Times New Roman" w:cs="Times New Roman"/>
          <w:sz w:val="28"/>
          <w:szCs w:val="28"/>
        </w:rPr>
        <w:t xml:space="preserve">17 </w:t>
      </w:r>
      <w:r w:rsidRPr="0072081A">
        <w:rPr>
          <w:rFonts w:ascii="Times New Roman" w:hAnsi="Times New Roman" w:cs="Times New Roman"/>
          <w:sz w:val="28"/>
          <w:szCs w:val="28"/>
        </w:rPr>
        <w:t>Obiettivi per lo Sviluppo Sostenibile</w:t>
      </w:r>
      <w:r w:rsidR="00CF4BCA">
        <w:rPr>
          <w:rFonts w:ascii="Times New Roman" w:hAnsi="Times New Roman" w:cs="Times New Roman"/>
          <w:sz w:val="28"/>
          <w:szCs w:val="28"/>
        </w:rPr>
        <w:t xml:space="preserve"> accanto ad azioni quali </w:t>
      </w:r>
      <w:r w:rsidR="0054276D">
        <w:rPr>
          <w:rFonts w:ascii="Times New Roman" w:hAnsi="Times New Roman" w:cs="Times New Roman"/>
          <w:sz w:val="28"/>
          <w:szCs w:val="28"/>
        </w:rPr>
        <w:t>la lotta alla povertà</w:t>
      </w:r>
      <w:r w:rsidR="00CF4BCA" w:rsidRPr="00CF4BCA">
        <w:rPr>
          <w:rFonts w:ascii="Times New Roman" w:hAnsi="Times New Roman" w:cs="Times New Roman"/>
          <w:sz w:val="28"/>
          <w:szCs w:val="28"/>
        </w:rPr>
        <w:t xml:space="preserve"> e il cont</w:t>
      </w:r>
      <w:r w:rsidR="0054276D">
        <w:rPr>
          <w:rFonts w:ascii="Times New Roman" w:hAnsi="Times New Roman" w:cs="Times New Roman"/>
          <w:sz w:val="28"/>
          <w:szCs w:val="28"/>
        </w:rPr>
        <w:t xml:space="preserve">rasto al cambiamento climatico, </w:t>
      </w:r>
      <w:r w:rsidR="00FD4D26" w:rsidRPr="00CF4BCA">
        <w:rPr>
          <w:rFonts w:ascii="Times New Roman" w:hAnsi="Times New Roman" w:cs="Times New Roman"/>
          <w:sz w:val="28"/>
          <w:szCs w:val="28"/>
        </w:rPr>
        <w:t>ne annovera uno</w:t>
      </w:r>
      <w:r w:rsidR="00FD4D26">
        <w:rPr>
          <w:rFonts w:ascii="Times New Roman" w:hAnsi="Times New Roman" w:cs="Times New Roman"/>
          <w:sz w:val="28"/>
          <w:szCs w:val="28"/>
        </w:rPr>
        <w:t xml:space="preserve"> (obiettivo 11</w:t>
      </w:r>
      <w:r w:rsidR="001762A2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4"/>
      </w:r>
      <w:r w:rsidR="00FD4D26">
        <w:rPr>
          <w:rFonts w:ascii="Times New Roman" w:hAnsi="Times New Roman" w:cs="Times New Roman"/>
          <w:sz w:val="28"/>
          <w:szCs w:val="28"/>
        </w:rPr>
        <w:t>)</w:t>
      </w:r>
      <w:r w:rsidR="00BC2431">
        <w:rPr>
          <w:rFonts w:ascii="Times New Roman" w:hAnsi="Times New Roman" w:cs="Times New Roman"/>
          <w:sz w:val="28"/>
          <w:szCs w:val="28"/>
        </w:rPr>
        <w:t xml:space="preserve">, dedicato </w:t>
      </w:r>
      <w:r w:rsidR="001762A2">
        <w:rPr>
          <w:rFonts w:ascii="Times New Roman" w:hAnsi="Times New Roman" w:cs="Times New Roman"/>
          <w:sz w:val="28"/>
          <w:szCs w:val="28"/>
        </w:rPr>
        <w:t xml:space="preserve">esclusivamente </w:t>
      </w:r>
      <w:r w:rsidR="00BC2431">
        <w:rPr>
          <w:rFonts w:ascii="Times New Roman" w:hAnsi="Times New Roman" w:cs="Times New Roman"/>
          <w:sz w:val="28"/>
          <w:szCs w:val="28"/>
        </w:rPr>
        <w:t xml:space="preserve">alle città, </w:t>
      </w:r>
      <w:r w:rsidR="00FD4D26">
        <w:rPr>
          <w:rFonts w:ascii="Times New Roman" w:hAnsi="Times New Roman" w:cs="Times New Roman"/>
          <w:sz w:val="28"/>
          <w:szCs w:val="28"/>
        </w:rPr>
        <w:t xml:space="preserve">volto a </w:t>
      </w:r>
      <w:r w:rsidR="00FD4D26" w:rsidRPr="00837365">
        <w:rPr>
          <w:rFonts w:ascii="Times New Roman" w:hAnsi="Times New Roman" w:cs="Times New Roman"/>
          <w:i/>
          <w:sz w:val="28"/>
          <w:szCs w:val="28"/>
        </w:rPr>
        <w:t>“</w:t>
      </w:r>
      <w:r w:rsidR="0072081A" w:rsidRPr="00837365">
        <w:rPr>
          <w:rFonts w:ascii="Times New Roman" w:hAnsi="Times New Roman" w:cs="Times New Roman"/>
          <w:i/>
          <w:sz w:val="28"/>
          <w:szCs w:val="28"/>
        </w:rPr>
        <w:t>Rendere le città e gli insediamenti umani inclusivi, sicuri, duraturi e sostenibili</w:t>
      </w:r>
      <w:r w:rsidR="001E2663" w:rsidRPr="00837365">
        <w:rPr>
          <w:rFonts w:ascii="Times New Roman" w:hAnsi="Times New Roman" w:cs="Times New Roman"/>
          <w:i/>
          <w:sz w:val="28"/>
          <w:szCs w:val="28"/>
        </w:rPr>
        <w:t>”</w:t>
      </w:r>
      <w:r w:rsidR="0072081A">
        <w:rPr>
          <w:rFonts w:ascii="Times New Roman" w:hAnsi="Times New Roman" w:cs="Times New Roman"/>
          <w:sz w:val="28"/>
          <w:szCs w:val="28"/>
        </w:rPr>
        <w:t>.</w:t>
      </w:r>
    </w:p>
    <w:p w14:paraId="4A77013D" w14:textId="77777777" w:rsidR="00633D73" w:rsidRPr="00633D73" w:rsidRDefault="00633D73" w:rsidP="001E2663">
      <w:pPr>
        <w:pStyle w:val="NormaleWeb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633D73">
        <w:rPr>
          <w:rFonts w:eastAsiaTheme="minorHAnsi"/>
          <w:sz w:val="28"/>
          <w:szCs w:val="28"/>
          <w:lang w:eastAsia="en-US"/>
        </w:rPr>
        <w:t xml:space="preserve">La declinazione dell’obiettivo in 10 punti include azioni </w:t>
      </w:r>
      <w:r w:rsidR="001762A2">
        <w:rPr>
          <w:rFonts w:eastAsiaTheme="minorHAnsi"/>
          <w:sz w:val="28"/>
          <w:szCs w:val="28"/>
          <w:lang w:eastAsia="en-US"/>
        </w:rPr>
        <w:t>programma</w:t>
      </w:r>
      <w:r w:rsidR="001E2663">
        <w:rPr>
          <w:rFonts w:eastAsiaTheme="minorHAnsi"/>
          <w:sz w:val="28"/>
          <w:szCs w:val="28"/>
          <w:lang w:eastAsia="en-US"/>
        </w:rPr>
        <w:t>tiche</w:t>
      </w:r>
      <w:r w:rsidR="001762A2">
        <w:rPr>
          <w:rFonts w:eastAsiaTheme="minorHAnsi"/>
          <w:sz w:val="28"/>
          <w:szCs w:val="28"/>
          <w:lang w:eastAsia="en-US"/>
        </w:rPr>
        <w:t xml:space="preserve"> </w:t>
      </w:r>
      <w:r w:rsidR="0054276D">
        <w:rPr>
          <w:rFonts w:eastAsiaTheme="minorHAnsi"/>
          <w:sz w:val="28"/>
          <w:szCs w:val="28"/>
          <w:lang w:eastAsia="en-US"/>
        </w:rPr>
        <w:t xml:space="preserve">a cui </w:t>
      </w:r>
      <w:r w:rsidR="001762A2">
        <w:rPr>
          <w:rFonts w:eastAsiaTheme="minorHAnsi"/>
          <w:sz w:val="28"/>
          <w:szCs w:val="28"/>
          <w:lang w:eastAsia="en-US"/>
        </w:rPr>
        <w:t>tutti gli amministratori</w:t>
      </w:r>
      <w:r w:rsidR="0054276D">
        <w:rPr>
          <w:rFonts w:eastAsiaTheme="minorHAnsi"/>
          <w:sz w:val="28"/>
          <w:szCs w:val="28"/>
          <w:lang w:eastAsia="en-US"/>
        </w:rPr>
        <w:t xml:space="preserve"> dovrebbero guardare</w:t>
      </w:r>
      <w:r w:rsidR="001762A2">
        <w:rPr>
          <w:rFonts w:eastAsiaTheme="minorHAnsi"/>
          <w:sz w:val="28"/>
          <w:szCs w:val="28"/>
          <w:lang w:eastAsia="en-US"/>
        </w:rPr>
        <w:t xml:space="preserve">, </w:t>
      </w:r>
      <w:r w:rsidRPr="00633D73">
        <w:rPr>
          <w:rFonts w:eastAsiaTheme="minorHAnsi"/>
          <w:sz w:val="28"/>
          <w:szCs w:val="28"/>
          <w:lang w:eastAsia="en-US"/>
        </w:rPr>
        <w:t>quali:</w:t>
      </w:r>
    </w:p>
    <w:p w14:paraId="52774FC2" w14:textId="77777777" w:rsidR="004E195D" w:rsidRPr="00837365" w:rsidRDefault="004E195D" w:rsidP="004E195D">
      <w:pPr>
        <w:pStyle w:val="NormaleWeb"/>
      </w:pPr>
      <w:r>
        <w:t xml:space="preserve">11.1   Entro il 2030, </w:t>
      </w:r>
      <w:r w:rsidRPr="00837365">
        <w:t>garantire a tutti l’accesso ad alloggi</w:t>
      </w:r>
      <w:r>
        <w:t xml:space="preserve"> adeguati, sicuri e convenienti e ai </w:t>
      </w:r>
      <w:r w:rsidRPr="00837365">
        <w:t>servizi di base e riqualificare i quartieri poveri</w:t>
      </w:r>
    </w:p>
    <w:p w14:paraId="463BB412" w14:textId="77777777" w:rsidR="004E195D" w:rsidRDefault="004E195D" w:rsidP="004E195D">
      <w:pPr>
        <w:pStyle w:val="NormaleWeb"/>
        <w:jc w:val="both"/>
      </w:pPr>
      <w:proofErr w:type="gramStart"/>
      <w:r>
        <w:lastRenderedPageBreak/>
        <w:t>11.2  Entro</w:t>
      </w:r>
      <w:proofErr w:type="gramEnd"/>
      <w:r>
        <w:t xml:space="preserve"> il 2030, </w:t>
      </w:r>
      <w:r w:rsidRPr="00837365">
        <w:t>garantire a tutti l’accesso a un sistema di trasporti sicuro, conveniente, accessibile e sostenibile,</w:t>
      </w:r>
      <w:r>
        <w:t xml:space="preserve"> migliorando la sicurezza delle strade, in particolar modo potenziando i trasporti pubblici, con particolare attenzione ai bisogni di coloro che sono più vulnerabili, donne, bambini, persone con invalidità e anziani</w:t>
      </w:r>
    </w:p>
    <w:p w14:paraId="7B77F445" w14:textId="77777777" w:rsidR="004E195D" w:rsidRPr="003B7A0D" w:rsidRDefault="004E195D" w:rsidP="004E195D">
      <w:pPr>
        <w:pStyle w:val="NormaleWeb"/>
        <w:jc w:val="both"/>
      </w:pPr>
      <w:proofErr w:type="gramStart"/>
      <w:r>
        <w:t>11.3  Entro</w:t>
      </w:r>
      <w:proofErr w:type="gramEnd"/>
      <w:r>
        <w:t xml:space="preserve"> il 2030, </w:t>
      </w:r>
      <w:r w:rsidRPr="00837365">
        <w:t>potenziare un’urbanizzazione inclusiva e sostenibile</w:t>
      </w:r>
      <w:r w:rsidRPr="00633D73">
        <w:rPr>
          <w:b/>
        </w:rPr>
        <w:t xml:space="preserve"> </w:t>
      </w:r>
      <w:r w:rsidRPr="003B7A0D">
        <w:t>e la capacità di pianificare e gestire in tutti i paesi un insediamento umano che sia partecipativo, integrato e sostenibile</w:t>
      </w:r>
    </w:p>
    <w:p w14:paraId="43E3042F" w14:textId="77777777" w:rsidR="004E195D" w:rsidRDefault="004E195D" w:rsidP="004E195D">
      <w:pPr>
        <w:pStyle w:val="NormaleWeb"/>
        <w:jc w:val="both"/>
      </w:pPr>
      <w:proofErr w:type="gramStart"/>
      <w:r>
        <w:t>11.4  Potenziare</w:t>
      </w:r>
      <w:proofErr w:type="gramEnd"/>
      <w:r>
        <w:t xml:space="preserve"> gli sforzi per </w:t>
      </w:r>
      <w:r w:rsidRPr="00837365">
        <w:t>proteggere e salvaguardare il patrimonio culturale e naturale</w:t>
      </w:r>
      <w:r>
        <w:t xml:space="preserve"> del mondo</w:t>
      </w:r>
    </w:p>
    <w:p w14:paraId="7724687F" w14:textId="77777777" w:rsidR="004E195D" w:rsidRDefault="004E195D" w:rsidP="004E195D">
      <w:pPr>
        <w:pStyle w:val="NormaleWeb"/>
        <w:jc w:val="both"/>
      </w:pPr>
      <w:proofErr w:type="gramStart"/>
      <w:r>
        <w:t>11.5  Entro</w:t>
      </w:r>
      <w:proofErr w:type="gramEnd"/>
      <w:r>
        <w:t xml:space="preserve"> il 2030, </w:t>
      </w:r>
      <w:r w:rsidRPr="00837365">
        <w:t>ridurre in modo significativo il numero di decessi</w:t>
      </w:r>
      <w:r w:rsidRPr="00633D73">
        <w:rPr>
          <w:b/>
        </w:rPr>
        <w:t xml:space="preserve"> </w:t>
      </w:r>
      <w:r>
        <w:t>e il numero di persone colpite e diminuire in modo sostanziale le perdite economiche dirette rispetto al prodotto interno lordo globale causate da calamità, comprese quelle legate all’acqua, con particolare riguardo alla protezione dei poveri e delle persone più vulnerabili</w:t>
      </w:r>
    </w:p>
    <w:p w14:paraId="4AC9BFC8" w14:textId="77777777" w:rsidR="004E195D" w:rsidRDefault="004E195D" w:rsidP="004E195D">
      <w:pPr>
        <w:pStyle w:val="NormaleWeb"/>
        <w:jc w:val="both"/>
      </w:pPr>
      <w:proofErr w:type="gramStart"/>
      <w:r>
        <w:t>11.6  Entro</w:t>
      </w:r>
      <w:proofErr w:type="gramEnd"/>
      <w:r>
        <w:t xml:space="preserve"> il 2030, </w:t>
      </w:r>
      <w:r w:rsidRPr="00837365">
        <w:t>ridurre l’impatto ambientale negativo pro-capite delle città, prestando particolare attenzione alla qualità dell’aria e alla gestione dei rifiuti urbani e di altri rifiuti</w:t>
      </w:r>
    </w:p>
    <w:p w14:paraId="38CF2802" w14:textId="77777777" w:rsidR="004E195D" w:rsidRDefault="004E195D" w:rsidP="004E195D">
      <w:pPr>
        <w:pStyle w:val="NormaleWeb"/>
        <w:jc w:val="both"/>
      </w:pPr>
      <w:proofErr w:type="gramStart"/>
      <w:r>
        <w:t>11.7  Entro</w:t>
      </w:r>
      <w:proofErr w:type="gramEnd"/>
      <w:r>
        <w:t xml:space="preserve"> il 2030</w:t>
      </w:r>
      <w:r w:rsidRPr="00633D73">
        <w:rPr>
          <w:b/>
        </w:rPr>
        <w:t xml:space="preserve">, </w:t>
      </w:r>
      <w:r w:rsidRPr="00837365">
        <w:t>fornire accesso universale a spazi verdi e pubblici sicuri, inclusivi e accessibili,</w:t>
      </w:r>
      <w:r>
        <w:t xml:space="preserve"> in particolare per donne, bambini, anziani e disabili</w:t>
      </w:r>
    </w:p>
    <w:p w14:paraId="7E3EB215" w14:textId="77777777" w:rsidR="004E195D" w:rsidRDefault="000B20D9" w:rsidP="00336B3A">
      <w:pPr>
        <w:pStyle w:val="NormaleWeb"/>
        <w:jc w:val="both"/>
      </w:pPr>
      <w:r>
        <w:t>11.a</w:t>
      </w:r>
      <w:r w:rsidR="004E195D">
        <w:t xml:space="preserve"> </w:t>
      </w:r>
      <w:r w:rsidR="004E195D" w:rsidRPr="00837365">
        <w:t>Supportare i positivi legami economici, sociali e ambientali tra aree urbane, periurbane e rurali</w:t>
      </w:r>
      <w:r w:rsidR="004E195D">
        <w:t xml:space="preserve"> rafforzando la pianificazione dello sviluppo nazionale e regionale</w:t>
      </w:r>
    </w:p>
    <w:p w14:paraId="4642DC45" w14:textId="77777777" w:rsidR="004E195D" w:rsidRDefault="000B20D9" w:rsidP="004E195D">
      <w:pPr>
        <w:pStyle w:val="NormaleWeb"/>
        <w:jc w:val="both"/>
      </w:pPr>
      <w:proofErr w:type="gramStart"/>
      <w:r>
        <w:t>11.b</w:t>
      </w:r>
      <w:r w:rsidR="004E195D">
        <w:t>  Entro</w:t>
      </w:r>
      <w:proofErr w:type="gramEnd"/>
      <w:r w:rsidR="004E195D">
        <w:t xml:space="preserve"> il 2020, </w:t>
      </w:r>
      <w:r w:rsidR="004E195D" w:rsidRPr="00837365">
        <w:t>aumentare considerevolmente il numero di città e insediamenti umani che adottano e attuano politiche integrate e piani tesi all’inclusione, all’efficienza delle risorse, alla mitigazione e all’adattamento ai cambiamenti climatici, alla resistenza ai disastri,</w:t>
      </w:r>
      <w:r w:rsidR="004E195D">
        <w:t xml:space="preserve"> e che promuovono e attuano una gestione olistica del rischio di disastri su tutti i livelli, in linea con il Quadro di Sendai per la Riduzione del Rischio di Disastri 2015-2030</w:t>
      </w:r>
    </w:p>
    <w:p w14:paraId="0E5085D6" w14:textId="77777777" w:rsidR="00CF3B4B" w:rsidRDefault="00BC2431" w:rsidP="001E2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Ancora,</w:t>
      </w:r>
      <w:r w:rsidR="00CF3B4B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4B">
        <w:rPr>
          <w:rFonts w:ascii="Times New Roman" w:hAnsi="Times New Roman" w:cs="Times New Roman"/>
          <w:sz w:val="28"/>
          <w:szCs w:val="28"/>
        </w:rPr>
        <w:t xml:space="preserve">sezione del sito del </w:t>
      </w:r>
      <w:r w:rsidRPr="00837365">
        <w:rPr>
          <w:rFonts w:ascii="Times New Roman" w:hAnsi="Times New Roman" w:cs="Times New Roman"/>
          <w:i/>
          <w:sz w:val="28"/>
          <w:szCs w:val="28"/>
        </w:rPr>
        <w:t xml:space="preserve">World </w:t>
      </w:r>
      <w:proofErr w:type="spellStart"/>
      <w:r w:rsidRPr="00837365">
        <w:rPr>
          <w:rFonts w:ascii="Times New Roman" w:hAnsi="Times New Roman" w:cs="Times New Roman"/>
          <w:i/>
          <w:sz w:val="28"/>
          <w:szCs w:val="28"/>
        </w:rPr>
        <w:t>Economic</w:t>
      </w:r>
      <w:proofErr w:type="spellEnd"/>
      <w:r w:rsidRPr="00837365">
        <w:rPr>
          <w:rFonts w:ascii="Times New Roman" w:hAnsi="Times New Roman" w:cs="Times New Roman"/>
          <w:i/>
          <w:sz w:val="28"/>
          <w:szCs w:val="28"/>
        </w:rPr>
        <w:t xml:space="preserve"> Forum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4B">
        <w:rPr>
          <w:rFonts w:ascii="Times New Roman" w:hAnsi="Times New Roman" w:cs="Times New Roman"/>
          <w:sz w:val="28"/>
          <w:szCs w:val="28"/>
        </w:rPr>
        <w:t>dedicata a città e urbanizzazione</w:t>
      </w:r>
      <w:r w:rsidR="00BB2017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5"/>
      </w:r>
      <w:r w:rsidR="00CF3B4B">
        <w:rPr>
          <w:rFonts w:ascii="Times New Roman" w:hAnsi="Times New Roman" w:cs="Times New Roman"/>
          <w:sz w:val="28"/>
          <w:szCs w:val="28"/>
        </w:rPr>
        <w:t xml:space="preserve">, pur riconoscendo come le città di tutto il mondo </w:t>
      </w:r>
      <w:r w:rsidR="00CF3B4B" w:rsidRPr="00CF3B4B">
        <w:rPr>
          <w:rFonts w:ascii="Times New Roman" w:hAnsi="Times New Roman" w:cs="Times New Roman"/>
          <w:sz w:val="28"/>
          <w:szCs w:val="28"/>
        </w:rPr>
        <w:t xml:space="preserve">siano state </w:t>
      </w:r>
      <w:r w:rsidR="00895FEF">
        <w:rPr>
          <w:rFonts w:ascii="Times New Roman" w:hAnsi="Times New Roman" w:cs="Times New Roman"/>
          <w:sz w:val="28"/>
          <w:szCs w:val="28"/>
        </w:rPr>
        <w:t>fortement</w:t>
      </w:r>
      <w:r w:rsidR="00CF3B4B" w:rsidRPr="00CF3B4B">
        <w:rPr>
          <w:rFonts w:ascii="Times New Roman" w:hAnsi="Times New Roman" w:cs="Times New Roman"/>
          <w:sz w:val="28"/>
          <w:szCs w:val="28"/>
        </w:rPr>
        <w:t>e colpite da</w:t>
      </w:r>
      <w:r w:rsidR="00CF3B4B">
        <w:rPr>
          <w:rFonts w:ascii="Times New Roman" w:hAnsi="Times New Roman" w:cs="Times New Roman"/>
          <w:sz w:val="28"/>
          <w:szCs w:val="28"/>
        </w:rPr>
        <w:t>l</w:t>
      </w:r>
      <w:r w:rsidR="00CF3B4B" w:rsidRPr="00CF3B4B">
        <w:rPr>
          <w:rFonts w:ascii="Times New Roman" w:hAnsi="Times New Roman" w:cs="Times New Roman"/>
          <w:sz w:val="28"/>
          <w:szCs w:val="28"/>
        </w:rPr>
        <w:t xml:space="preserve"> COVID-19, che ha </w:t>
      </w:r>
      <w:r w:rsidR="00CF3B4B">
        <w:rPr>
          <w:rFonts w:ascii="Times New Roman" w:hAnsi="Times New Roman" w:cs="Times New Roman"/>
          <w:sz w:val="28"/>
          <w:szCs w:val="28"/>
        </w:rPr>
        <w:t xml:space="preserve">imposto la chiusura di </w:t>
      </w:r>
      <w:r w:rsidR="00CF3B4B" w:rsidRPr="00CF3B4B">
        <w:rPr>
          <w:rFonts w:ascii="Times New Roman" w:hAnsi="Times New Roman" w:cs="Times New Roman"/>
          <w:sz w:val="28"/>
          <w:szCs w:val="28"/>
        </w:rPr>
        <w:t>attività commerciali e ha richiesto una rivalutazione degli spazi pubblici</w:t>
      </w:r>
      <w:r w:rsidR="00CF3B4B">
        <w:rPr>
          <w:rFonts w:ascii="Times New Roman" w:hAnsi="Times New Roman" w:cs="Times New Roman"/>
          <w:sz w:val="28"/>
          <w:szCs w:val="28"/>
        </w:rPr>
        <w:t xml:space="preserve">, </w:t>
      </w:r>
      <w:r w:rsidR="00CF3B4B" w:rsidRPr="00837365">
        <w:rPr>
          <w:rFonts w:ascii="Times New Roman" w:hAnsi="Times New Roman" w:cs="Times New Roman"/>
          <w:sz w:val="28"/>
          <w:szCs w:val="28"/>
        </w:rPr>
        <w:t xml:space="preserve">indica una mappa concettuale </w:t>
      </w:r>
      <w:r w:rsidR="001C68E2" w:rsidRPr="00837365">
        <w:rPr>
          <w:rFonts w:ascii="Times New Roman" w:hAnsi="Times New Roman" w:cs="Times New Roman"/>
          <w:sz w:val="28"/>
          <w:szCs w:val="28"/>
        </w:rPr>
        <w:t xml:space="preserve">per lo sviluppo che </w:t>
      </w:r>
      <w:r w:rsidR="00895FEF" w:rsidRPr="00837365">
        <w:rPr>
          <w:rFonts w:ascii="Times New Roman" w:hAnsi="Times New Roman" w:cs="Times New Roman"/>
          <w:sz w:val="28"/>
          <w:szCs w:val="28"/>
        </w:rPr>
        <w:t xml:space="preserve">testimonia </w:t>
      </w:r>
      <w:r w:rsidR="00F123C1" w:rsidRPr="00837365">
        <w:rPr>
          <w:rFonts w:ascii="Times New Roman" w:hAnsi="Times New Roman" w:cs="Times New Roman"/>
          <w:sz w:val="28"/>
          <w:szCs w:val="28"/>
        </w:rPr>
        <w:t>le potenzialità</w:t>
      </w:r>
      <w:r w:rsidR="00895FEF" w:rsidRPr="00837365">
        <w:rPr>
          <w:rFonts w:ascii="Times New Roman" w:hAnsi="Times New Roman" w:cs="Times New Roman"/>
          <w:sz w:val="28"/>
          <w:szCs w:val="28"/>
        </w:rPr>
        <w:t xml:space="preserve"> </w:t>
      </w:r>
      <w:r w:rsidR="001C68E2" w:rsidRPr="00837365">
        <w:rPr>
          <w:rFonts w:ascii="Times New Roman" w:hAnsi="Times New Roman" w:cs="Times New Roman"/>
          <w:sz w:val="28"/>
          <w:szCs w:val="28"/>
        </w:rPr>
        <w:t xml:space="preserve">delle città </w:t>
      </w:r>
      <w:r w:rsidR="00895FEF" w:rsidRPr="00837365">
        <w:rPr>
          <w:rFonts w:ascii="Times New Roman" w:hAnsi="Times New Roman" w:cs="Times New Roman"/>
          <w:sz w:val="28"/>
          <w:szCs w:val="28"/>
        </w:rPr>
        <w:t>come motore della società</w:t>
      </w:r>
      <w:r w:rsidR="008B34BB" w:rsidRPr="00837365">
        <w:rPr>
          <w:rFonts w:ascii="Times New Roman" w:hAnsi="Times New Roman" w:cs="Times New Roman"/>
          <w:sz w:val="28"/>
          <w:szCs w:val="28"/>
        </w:rPr>
        <w:t>,</w:t>
      </w:r>
      <w:r w:rsidR="008B34BB">
        <w:rPr>
          <w:rFonts w:ascii="Times New Roman" w:hAnsi="Times New Roman" w:cs="Times New Roman"/>
          <w:sz w:val="28"/>
          <w:szCs w:val="28"/>
        </w:rPr>
        <w:t xml:space="preserve"> </w:t>
      </w:r>
      <w:r w:rsidR="00BB2017">
        <w:rPr>
          <w:rFonts w:ascii="Times New Roman" w:hAnsi="Times New Roman" w:cs="Times New Roman"/>
          <w:sz w:val="28"/>
          <w:szCs w:val="28"/>
        </w:rPr>
        <w:t>sia nei territori e n</w:t>
      </w:r>
      <w:r w:rsidR="001E2663">
        <w:rPr>
          <w:rFonts w:ascii="Times New Roman" w:hAnsi="Times New Roman" w:cs="Times New Roman"/>
          <w:sz w:val="28"/>
          <w:szCs w:val="28"/>
        </w:rPr>
        <w:t>egli S</w:t>
      </w:r>
      <w:r w:rsidR="008B34BB">
        <w:rPr>
          <w:rFonts w:ascii="Times New Roman" w:hAnsi="Times New Roman" w:cs="Times New Roman"/>
          <w:sz w:val="28"/>
          <w:szCs w:val="28"/>
        </w:rPr>
        <w:t xml:space="preserve">tati in cui </w:t>
      </w:r>
      <w:r w:rsidR="0054276D">
        <w:rPr>
          <w:rFonts w:ascii="Times New Roman" w:hAnsi="Times New Roman" w:cs="Times New Roman"/>
          <w:sz w:val="28"/>
          <w:szCs w:val="28"/>
        </w:rPr>
        <w:t>sono collocate</w:t>
      </w:r>
      <w:r w:rsidR="001E2663">
        <w:rPr>
          <w:rFonts w:ascii="Times New Roman" w:hAnsi="Times New Roman" w:cs="Times New Roman"/>
          <w:sz w:val="28"/>
          <w:szCs w:val="28"/>
        </w:rPr>
        <w:t>,</w:t>
      </w:r>
      <w:r w:rsidR="001C68E2">
        <w:rPr>
          <w:rFonts w:ascii="Times New Roman" w:hAnsi="Times New Roman" w:cs="Times New Roman"/>
          <w:sz w:val="28"/>
          <w:szCs w:val="28"/>
        </w:rPr>
        <w:t xml:space="preserve"> </w:t>
      </w:r>
      <w:r w:rsidR="00BB2017">
        <w:rPr>
          <w:rFonts w:ascii="Times New Roman" w:hAnsi="Times New Roman" w:cs="Times New Roman"/>
          <w:sz w:val="28"/>
          <w:szCs w:val="28"/>
        </w:rPr>
        <w:t xml:space="preserve">sia </w:t>
      </w:r>
      <w:r w:rsidR="001C68E2">
        <w:rPr>
          <w:rFonts w:ascii="Times New Roman" w:hAnsi="Times New Roman" w:cs="Times New Roman"/>
          <w:sz w:val="28"/>
          <w:szCs w:val="28"/>
        </w:rPr>
        <w:t xml:space="preserve">a livello globale attraverso la partecipazione a </w:t>
      </w:r>
      <w:r w:rsidR="00241B55">
        <w:rPr>
          <w:rFonts w:ascii="Times New Roman" w:hAnsi="Times New Roman" w:cs="Times New Roman"/>
          <w:i/>
          <w:sz w:val="28"/>
          <w:szCs w:val="28"/>
        </w:rPr>
        <w:t>network</w:t>
      </w:r>
      <w:r w:rsidR="00B13C33">
        <w:rPr>
          <w:rFonts w:ascii="Times New Roman" w:hAnsi="Times New Roman" w:cs="Times New Roman"/>
          <w:sz w:val="28"/>
          <w:szCs w:val="28"/>
        </w:rPr>
        <w:t xml:space="preserve">. Viene </w:t>
      </w:r>
      <w:r w:rsidR="00895FEF">
        <w:rPr>
          <w:rFonts w:ascii="Times New Roman" w:hAnsi="Times New Roman" w:cs="Times New Roman"/>
          <w:sz w:val="28"/>
          <w:szCs w:val="28"/>
        </w:rPr>
        <w:t>prefigura</w:t>
      </w:r>
      <w:r w:rsidR="00B13C33">
        <w:rPr>
          <w:rFonts w:ascii="Times New Roman" w:hAnsi="Times New Roman" w:cs="Times New Roman"/>
          <w:sz w:val="28"/>
          <w:szCs w:val="28"/>
        </w:rPr>
        <w:t>to</w:t>
      </w:r>
      <w:r w:rsidR="00895FEF">
        <w:rPr>
          <w:rFonts w:ascii="Times New Roman" w:hAnsi="Times New Roman" w:cs="Times New Roman"/>
          <w:sz w:val="28"/>
          <w:szCs w:val="28"/>
        </w:rPr>
        <w:t xml:space="preserve"> un percorso attraverso 8 linee di azione </w:t>
      </w:r>
      <w:r w:rsidR="0054276D">
        <w:rPr>
          <w:rFonts w:ascii="Times New Roman" w:hAnsi="Times New Roman" w:cs="Times New Roman"/>
          <w:sz w:val="28"/>
          <w:szCs w:val="28"/>
        </w:rPr>
        <w:t>declinate a livello urbano</w:t>
      </w:r>
      <w:r w:rsidR="00BB2017">
        <w:rPr>
          <w:rFonts w:ascii="Times New Roman" w:hAnsi="Times New Roman" w:cs="Times New Roman"/>
          <w:sz w:val="28"/>
          <w:szCs w:val="28"/>
        </w:rPr>
        <w:t xml:space="preserve"> </w:t>
      </w:r>
      <w:r w:rsidR="00895F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diplomacy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society,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resilience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innovation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3FCB" w:rsidRPr="0054276D">
        <w:rPr>
          <w:rFonts w:ascii="Times New Roman" w:hAnsi="Times New Roman" w:cs="Times New Roman"/>
          <w:i/>
          <w:sz w:val="28"/>
          <w:szCs w:val="28"/>
        </w:rPr>
        <w:t>infrastructure</w:t>
      </w:r>
      <w:proofErr w:type="spellEnd"/>
      <w:r w:rsidR="00FE3FCB" w:rsidRPr="0054276D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="00FE3FCB" w:rsidRPr="0054276D">
        <w:rPr>
          <w:rFonts w:ascii="Times New Roman" w:hAnsi="Times New Roman" w:cs="Times New Roman"/>
          <w:i/>
          <w:sz w:val="28"/>
          <w:szCs w:val="28"/>
        </w:rPr>
        <w:t>services</w:t>
      </w:r>
      <w:proofErr w:type="spellEnd"/>
      <w:r w:rsidR="00FE3FCB" w:rsidRPr="005427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3FCB" w:rsidRPr="0054276D">
        <w:rPr>
          <w:rFonts w:ascii="Times New Roman" w:hAnsi="Times New Roman" w:cs="Times New Roman"/>
          <w:i/>
          <w:sz w:val="28"/>
          <w:szCs w:val="28"/>
        </w:rPr>
        <w:t>governance</w:t>
      </w:r>
      <w:proofErr w:type="spellEnd"/>
      <w:r w:rsidR="00FE3FCB" w:rsidRPr="005427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3FCB" w:rsidRPr="0054276D">
        <w:rPr>
          <w:rFonts w:ascii="Times New Roman" w:hAnsi="Times New Roman" w:cs="Times New Roman"/>
          <w:i/>
          <w:sz w:val="28"/>
          <w:szCs w:val="28"/>
        </w:rPr>
        <w:t>environment</w:t>
      </w:r>
      <w:proofErr w:type="spellEnd"/>
      <w:r w:rsidR="00FE3FCB" w:rsidRPr="0054276D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="00FE3FCB" w:rsidRPr="0054276D">
        <w:rPr>
          <w:rFonts w:ascii="Times New Roman" w:hAnsi="Times New Roman" w:cs="Times New Roman"/>
          <w:i/>
          <w:sz w:val="28"/>
          <w:szCs w:val="28"/>
        </w:rPr>
        <w:t>resources</w:t>
      </w:r>
      <w:proofErr w:type="spellEnd"/>
      <w:r w:rsidR="00FE3FCB" w:rsidRPr="005427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5FEF" w:rsidRPr="0054276D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="00895FEF" w:rsidRPr="005427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3FCB" w:rsidRPr="0054276D">
        <w:rPr>
          <w:rFonts w:ascii="Times New Roman" w:hAnsi="Times New Roman" w:cs="Times New Roman"/>
          <w:i/>
          <w:sz w:val="28"/>
          <w:szCs w:val="28"/>
        </w:rPr>
        <w:t>economies</w:t>
      </w:r>
      <w:proofErr w:type="spellEnd"/>
      <w:r w:rsidR="00FE3FCB">
        <w:rPr>
          <w:rFonts w:ascii="Times New Roman" w:hAnsi="Times New Roman" w:cs="Times New Roman"/>
          <w:sz w:val="28"/>
          <w:szCs w:val="28"/>
        </w:rPr>
        <w:t xml:space="preserve">) </w:t>
      </w:r>
      <w:r w:rsidR="00895FEF">
        <w:rPr>
          <w:rFonts w:ascii="Times New Roman" w:hAnsi="Times New Roman" w:cs="Times New Roman"/>
          <w:sz w:val="28"/>
          <w:szCs w:val="28"/>
        </w:rPr>
        <w:t>che a loro volta aprono un ventaglio</w:t>
      </w:r>
      <w:r w:rsidR="00FE3FCB">
        <w:rPr>
          <w:rFonts w:ascii="Times New Roman" w:hAnsi="Times New Roman" w:cs="Times New Roman"/>
          <w:sz w:val="28"/>
          <w:szCs w:val="28"/>
        </w:rPr>
        <w:t xml:space="preserve"> di ulteriori iniziative</w:t>
      </w:r>
      <w:r w:rsidR="00F123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2B1E4F" w14:textId="77777777" w:rsidR="001E2663" w:rsidRDefault="00405DFB" w:rsidP="001E2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le reti fra città, vengono in rilievo esperienze come il </w:t>
      </w:r>
      <w:r w:rsidRPr="00837365">
        <w:rPr>
          <w:rFonts w:ascii="Times New Roman" w:hAnsi="Times New Roman" w:cs="Times New Roman"/>
          <w:i/>
          <w:sz w:val="28"/>
          <w:szCs w:val="28"/>
        </w:rPr>
        <w:t>Network C40</w:t>
      </w:r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365">
        <w:rPr>
          <w:rFonts w:ascii="Times New Roman" w:hAnsi="Times New Roman" w:cs="Times New Roman"/>
          <w:i/>
          <w:sz w:val="28"/>
          <w:szCs w:val="28"/>
        </w:rPr>
        <w:t xml:space="preserve">Compact of </w:t>
      </w:r>
      <w:proofErr w:type="spellStart"/>
      <w:r w:rsidRPr="00837365">
        <w:rPr>
          <w:rFonts w:ascii="Times New Roman" w:hAnsi="Times New Roman" w:cs="Times New Roman"/>
          <w:i/>
          <w:sz w:val="28"/>
          <w:szCs w:val="28"/>
        </w:rPr>
        <w:t>Mayors</w:t>
      </w:r>
      <w:proofErr w:type="spellEnd"/>
      <w:r w:rsidR="001E2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C61005">
        <w:rPr>
          <w:rFonts w:ascii="Times New Roman" w:hAnsi="Times New Roman" w:cs="Times New Roman"/>
          <w:sz w:val="28"/>
          <w:szCs w:val="28"/>
        </w:rPr>
        <w:t xml:space="preserve">l Patto globale dei sindaci per il clima e l'energia istituito nel </w:t>
      </w:r>
      <w:r w:rsidRPr="00C61005">
        <w:rPr>
          <w:rFonts w:ascii="Times New Roman" w:hAnsi="Times New Roman" w:cs="Times New Roman"/>
          <w:sz w:val="28"/>
          <w:szCs w:val="28"/>
        </w:rPr>
        <w:lastRenderedPageBreak/>
        <w:t>2016 riunendo il Patto dei sindaci e il Patto dei sindaci dell'Unione europea</w:t>
      </w:r>
      <w:r>
        <w:rPr>
          <w:rFonts w:ascii="Times New Roman" w:hAnsi="Times New Roman" w:cs="Times New Roman"/>
          <w:sz w:val="28"/>
          <w:szCs w:val="28"/>
        </w:rPr>
        <w:t xml:space="preserve"> e che comprende 40 città di tutti i continenti (Roma e Milano per l’Italia)</w:t>
      </w:r>
      <w:r w:rsidR="00241B55">
        <w:rPr>
          <w:rFonts w:ascii="Times New Roman" w:hAnsi="Times New Roman" w:cs="Times New Roman"/>
          <w:sz w:val="28"/>
          <w:szCs w:val="28"/>
        </w:rPr>
        <w:t>.</w:t>
      </w:r>
    </w:p>
    <w:p w14:paraId="0B36A60D" w14:textId="77777777" w:rsidR="00405DFB" w:rsidRDefault="00405DFB" w:rsidP="001E2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Abbiamo poi </w:t>
      </w:r>
      <w:r w:rsidRPr="00837365">
        <w:rPr>
          <w:rFonts w:ascii="Times New Roman" w:hAnsi="Times New Roman" w:cs="Times New Roman"/>
          <w:i/>
          <w:sz w:val="28"/>
          <w:szCs w:val="28"/>
        </w:rPr>
        <w:t xml:space="preserve">l’UNESCO Creative </w:t>
      </w:r>
      <w:proofErr w:type="spellStart"/>
      <w:r w:rsidRPr="00837365">
        <w:rPr>
          <w:rFonts w:ascii="Times New Roman" w:hAnsi="Times New Roman" w:cs="Times New Roman"/>
          <w:i/>
          <w:sz w:val="28"/>
          <w:szCs w:val="28"/>
        </w:rPr>
        <w:t>Cities</w:t>
      </w:r>
      <w:proofErr w:type="spellEnd"/>
      <w:r w:rsidRPr="00837365">
        <w:rPr>
          <w:rFonts w:ascii="Times New Roman" w:hAnsi="Times New Roman" w:cs="Times New Roman"/>
          <w:i/>
          <w:sz w:val="28"/>
          <w:szCs w:val="28"/>
        </w:rPr>
        <w:t xml:space="preserve"> Network</w:t>
      </w:r>
      <w:r w:rsidRPr="00C61005">
        <w:rPr>
          <w:rFonts w:ascii="Times New Roman" w:hAnsi="Times New Roman" w:cs="Times New Roman"/>
          <w:sz w:val="28"/>
          <w:szCs w:val="28"/>
        </w:rPr>
        <w:t xml:space="preserve"> (UCCN) </w:t>
      </w:r>
      <w:r>
        <w:rPr>
          <w:rFonts w:ascii="Times New Roman" w:hAnsi="Times New Roman" w:cs="Times New Roman"/>
          <w:sz w:val="28"/>
          <w:szCs w:val="28"/>
        </w:rPr>
        <w:t xml:space="preserve">creato nel </w:t>
      </w:r>
      <w:r w:rsidRPr="00C61005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Pr="00C61005">
        <w:rPr>
          <w:rFonts w:ascii="Times New Roman" w:hAnsi="Times New Roman" w:cs="Times New Roman"/>
          <w:sz w:val="28"/>
          <w:szCs w:val="28"/>
        </w:rPr>
        <w:t>promuovere la cooperazione tra le città che hanno individuato nella creatività un fattore strategico per lo sviluppo urbano sostenibile</w:t>
      </w:r>
      <w:r>
        <w:rPr>
          <w:rFonts w:ascii="Times New Roman" w:hAnsi="Times New Roman" w:cs="Times New Roman"/>
          <w:sz w:val="28"/>
          <w:szCs w:val="28"/>
        </w:rPr>
        <w:t xml:space="preserve"> e che attualmente conta </w:t>
      </w:r>
      <w:r w:rsidRPr="00C61005">
        <w:rPr>
          <w:rFonts w:ascii="Times New Roman" w:hAnsi="Times New Roman" w:cs="Times New Roman"/>
          <w:sz w:val="28"/>
          <w:szCs w:val="28"/>
        </w:rPr>
        <w:t xml:space="preserve">246 città </w:t>
      </w:r>
      <w:r>
        <w:rPr>
          <w:rFonts w:ascii="Times New Roman" w:hAnsi="Times New Roman" w:cs="Times New Roman"/>
          <w:sz w:val="28"/>
          <w:szCs w:val="28"/>
        </w:rPr>
        <w:t xml:space="preserve">riunite dal </w:t>
      </w:r>
      <w:r w:rsidRPr="00C61005">
        <w:rPr>
          <w:rFonts w:ascii="Times New Roman" w:hAnsi="Times New Roman" w:cs="Times New Roman"/>
          <w:sz w:val="28"/>
          <w:szCs w:val="28"/>
        </w:rPr>
        <w:t>comune obiettivo</w:t>
      </w:r>
      <w:r>
        <w:rPr>
          <w:rFonts w:ascii="Times New Roman" w:hAnsi="Times New Roman" w:cs="Times New Roman"/>
          <w:sz w:val="28"/>
          <w:szCs w:val="28"/>
        </w:rPr>
        <w:t xml:space="preserve"> di </w:t>
      </w:r>
      <w:r w:rsidRPr="00C61005">
        <w:rPr>
          <w:rFonts w:ascii="Times New Roman" w:hAnsi="Times New Roman" w:cs="Times New Roman"/>
          <w:sz w:val="28"/>
          <w:szCs w:val="28"/>
        </w:rPr>
        <w:t>porre la creatività e le indus</w:t>
      </w:r>
      <w:r w:rsidR="001E2663">
        <w:rPr>
          <w:rFonts w:ascii="Times New Roman" w:hAnsi="Times New Roman" w:cs="Times New Roman"/>
          <w:sz w:val="28"/>
          <w:szCs w:val="28"/>
        </w:rPr>
        <w:t>trie culturali al centro dei</w:t>
      </w:r>
      <w:r w:rsidRPr="00C61005">
        <w:rPr>
          <w:rFonts w:ascii="Times New Roman" w:hAnsi="Times New Roman" w:cs="Times New Roman"/>
          <w:sz w:val="28"/>
          <w:szCs w:val="28"/>
        </w:rPr>
        <w:t xml:space="preserve"> piani di sviluppo a livello locale e cooperare attivamente a livello internazionale.</w:t>
      </w:r>
    </w:p>
    <w:p w14:paraId="4A8D0309" w14:textId="64B3CD61" w:rsidR="00730C6D" w:rsidRPr="00730C6D" w:rsidRDefault="00730C6D" w:rsidP="00730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1EBA4098" w14:textId="77777777" w:rsidR="00730C6D" w:rsidRDefault="00FD1CF9" w:rsidP="001E2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 esempi indicano come </w:t>
      </w:r>
      <w:r w:rsidRPr="00837365">
        <w:rPr>
          <w:rFonts w:ascii="Times New Roman" w:hAnsi="Times New Roman" w:cs="Times New Roman"/>
          <w:sz w:val="28"/>
          <w:szCs w:val="28"/>
        </w:rPr>
        <w:t>le città viva</w:t>
      </w:r>
      <w:r w:rsidR="00730C6D" w:rsidRPr="00837365">
        <w:rPr>
          <w:rFonts w:ascii="Times New Roman" w:hAnsi="Times New Roman" w:cs="Times New Roman"/>
          <w:sz w:val="28"/>
          <w:szCs w:val="28"/>
        </w:rPr>
        <w:t>no una doppia identità.</w:t>
      </w:r>
    </w:p>
    <w:p w14:paraId="51D19180" w14:textId="799DD291" w:rsidR="00837365" w:rsidRDefault="00837365" w:rsidP="001E2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</w:t>
      </w:r>
      <w:r w:rsidRPr="00837365">
        <w:rPr>
          <w:rFonts w:ascii="Times New Roman" w:hAnsi="Times New Roman" w:cs="Times New Roman"/>
          <w:sz w:val="28"/>
          <w:szCs w:val="28"/>
        </w:rPr>
        <w:t xml:space="preserve"> </w:t>
      </w:r>
      <w:r w:rsidRPr="00292AAF">
        <w:rPr>
          <w:rFonts w:ascii="Times New Roman" w:hAnsi="Times New Roman" w:cs="Times New Roman"/>
          <w:sz w:val="28"/>
          <w:szCs w:val="28"/>
        </w:rPr>
        <w:t>amministrazioni necessariamente portate a dialogare con realtà fuori dall’ambito nazionale che si misurano con problemi comuni</w:t>
      </w:r>
      <w:r w:rsidR="001F4F79">
        <w:rPr>
          <w:rFonts w:ascii="Times New Roman" w:hAnsi="Times New Roman" w:cs="Times New Roman"/>
          <w:sz w:val="28"/>
          <w:szCs w:val="28"/>
        </w:rPr>
        <w:t xml:space="preserve">, formando inevitabilmente </w:t>
      </w:r>
      <w:r w:rsidRPr="00837365">
        <w:rPr>
          <w:rFonts w:ascii="Times New Roman" w:hAnsi="Times New Roman" w:cs="Times New Roman"/>
          <w:sz w:val="28"/>
          <w:szCs w:val="28"/>
        </w:rPr>
        <w:t>strette connessioni internazionali basate su</w:t>
      </w:r>
      <w:r w:rsidR="007D0B6A">
        <w:rPr>
          <w:rFonts w:ascii="Times New Roman" w:hAnsi="Times New Roman" w:cs="Times New Roman"/>
          <w:sz w:val="28"/>
          <w:szCs w:val="28"/>
        </w:rPr>
        <w:t>i</w:t>
      </w:r>
      <w:r w:rsidRPr="00837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B6A">
        <w:rPr>
          <w:rFonts w:ascii="Times New Roman" w:hAnsi="Times New Roman" w:cs="Times New Roman"/>
          <w:sz w:val="28"/>
          <w:szCs w:val="28"/>
        </w:rPr>
        <w:t xml:space="preserve">temi </w:t>
      </w:r>
      <w:r w:rsidR="007D0B6A" w:rsidRPr="00837365">
        <w:rPr>
          <w:rFonts w:ascii="Times New Roman" w:hAnsi="Times New Roman" w:cs="Times New Roman"/>
          <w:sz w:val="28"/>
          <w:szCs w:val="28"/>
        </w:rPr>
        <w:t xml:space="preserve"> rilevanti</w:t>
      </w:r>
      <w:proofErr w:type="gramEnd"/>
      <w:r w:rsidR="007D0B6A" w:rsidRPr="00837365">
        <w:rPr>
          <w:rFonts w:ascii="Times New Roman" w:hAnsi="Times New Roman" w:cs="Times New Roman"/>
          <w:sz w:val="28"/>
          <w:szCs w:val="28"/>
        </w:rPr>
        <w:t xml:space="preserve"> per le aree urbane</w:t>
      </w:r>
      <w:r w:rsidR="007D0B6A">
        <w:rPr>
          <w:rFonts w:ascii="Times New Roman" w:hAnsi="Times New Roman" w:cs="Times New Roman"/>
          <w:sz w:val="28"/>
          <w:szCs w:val="28"/>
        </w:rPr>
        <w:t>:</w:t>
      </w:r>
      <w:r w:rsidR="007D0B6A" w:rsidRPr="00837365">
        <w:rPr>
          <w:rFonts w:ascii="Times New Roman" w:hAnsi="Times New Roman" w:cs="Times New Roman"/>
          <w:sz w:val="28"/>
          <w:szCs w:val="28"/>
        </w:rPr>
        <w:t xml:space="preserve"> </w:t>
      </w:r>
      <w:r w:rsidRPr="00837365">
        <w:rPr>
          <w:rFonts w:ascii="Times New Roman" w:hAnsi="Times New Roman" w:cs="Times New Roman"/>
          <w:sz w:val="28"/>
          <w:szCs w:val="28"/>
        </w:rPr>
        <w:t>ambiente,  infrastrutture, commercio,  cultura</w:t>
      </w:r>
      <w:r w:rsidR="007D0B6A">
        <w:rPr>
          <w:rFonts w:ascii="Times New Roman" w:hAnsi="Times New Roman" w:cs="Times New Roman"/>
          <w:sz w:val="28"/>
          <w:szCs w:val="28"/>
        </w:rPr>
        <w:t>,</w:t>
      </w:r>
      <w:r w:rsidRPr="00837365">
        <w:rPr>
          <w:rFonts w:ascii="Times New Roman" w:hAnsi="Times New Roman" w:cs="Times New Roman"/>
          <w:sz w:val="28"/>
          <w:szCs w:val="28"/>
        </w:rPr>
        <w:t xml:space="preserve"> migrazione,. </w:t>
      </w:r>
    </w:p>
    <w:p w14:paraId="6A4CD644" w14:textId="6CA846A6" w:rsidR="001762A2" w:rsidRDefault="00837365" w:rsidP="001E2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365">
        <w:rPr>
          <w:rFonts w:ascii="Times New Roman" w:hAnsi="Times New Roman" w:cs="Times New Roman"/>
          <w:sz w:val="28"/>
          <w:szCs w:val="28"/>
        </w:rPr>
        <w:t>Allo stesso tempo,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AAF">
        <w:rPr>
          <w:rFonts w:ascii="Times New Roman" w:hAnsi="Times New Roman" w:cs="Times New Roman"/>
          <w:sz w:val="28"/>
          <w:szCs w:val="28"/>
        </w:rPr>
        <w:t xml:space="preserve">sono </w:t>
      </w:r>
      <w:r w:rsidR="008B34BB" w:rsidRPr="00292AAF">
        <w:rPr>
          <w:rFonts w:ascii="Times New Roman" w:hAnsi="Times New Roman" w:cs="Times New Roman"/>
          <w:sz w:val="28"/>
          <w:szCs w:val="28"/>
        </w:rPr>
        <w:t>amministrazioni di prossimità</w:t>
      </w:r>
      <w:r w:rsidR="008B34BB">
        <w:rPr>
          <w:rFonts w:ascii="Times New Roman" w:hAnsi="Times New Roman" w:cs="Times New Roman"/>
          <w:sz w:val="28"/>
          <w:szCs w:val="28"/>
        </w:rPr>
        <w:t xml:space="preserve">, gli enti più vicini ai cittadini a cui il primo comma dell’art. </w:t>
      </w:r>
      <w:r w:rsidR="008B34BB" w:rsidRPr="00292AAF">
        <w:rPr>
          <w:rFonts w:ascii="Times New Roman" w:hAnsi="Times New Roman" w:cs="Times New Roman"/>
          <w:sz w:val="28"/>
          <w:szCs w:val="28"/>
        </w:rPr>
        <w:t>118 della Costituzione</w:t>
      </w:r>
      <w:r w:rsidR="008B34BB">
        <w:rPr>
          <w:rFonts w:ascii="Times New Roman" w:hAnsi="Times New Roman" w:cs="Times New Roman"/>
          <w:sz w:val="28"/>
          <w:szCs w:val="28"/>
        </w:rPr>
        <w:t xml:space="preserve"> attribuisce le funzioni amministrative salvo </w:t>
      </w:r>
      <w:r w:rsidR="008B34BB" w:rsidRPr="008B34BB">
        <w:rPr>
          <w:rFonts w:ascii="Times New Roman" w:hAnsi="Times New Roman" w:cs="Times New Roman"/>
          <w:sz w:val="28"/>
          <w:szCs w:val="28"/>
        </w:rPr>
        <w:t>che, per assicurarne l'esercizio unitario, siano conferite a Province, Città metropolitane, Regioni e Stato, sulla base dei principi di su</w:t>
      </w:r>
      <w:r w:rsidR="00CA6E2E">
        <w:rPr>
          <w:rFonts w:ascii="Times New Roman" w:hAnsi="Times New Roman" w:cs="Times New Roman"/>
          <w:sz w:val="28"/>
          <w:szCs w:val="28"/>
        </w:rPr>
        <w:t>ssidiarietà, differenziazione e</w:t>
      </w:r>
      <w:r w:rsidR="008B34BB" w:rsidRPr="008B34BB">
        <w:rPr>
          <w:rFonts w:ascii="Times New Roman" w:hAnsi="Times New Roman" w:cs="Times New Roman"/>
          <w:sz w:val="28"/>
          <w:szCs w:val="28"/>
        </w:rPr>
        <w:t xml:space="preserve"> adeguatezza.</w:t>
      </w:r>
    </w:p>
    <w:p w14:paraId="2F2977D5" w14:textId="77777777" w:rsidR="00E64023" w:rsidRPr="00E64023" w:rsidRDefault="00E64023" w:rsidP="00E640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23">
        <w:rPr>
          <w:rFonts w:ascii="Times New Roman" w:hAnsi="Times New Roman" w:cs="Times New Roman"/>
          <w:sz w:val="28"/>
          <w:szCs w:val="28"/>
        </w:rPr>
        <w:t xml:space="preserve">Come istituzione di prossimità, la città, il territorio, è il luogo privilegiato per un recupero di partecipazione civica: perché noi tutti viviamo in un territorio e, anche quando ci spostiamo, siamo pur sempre su un territorio. Sul territorio si svolge la vita di ciascuno di noi e la prima comunità pubblica in cui ci ritroviamo è la “comunità locale”. L’individuo è indissolubilmente legato a un territorio, anche se lo spazio in cui si muove e vive inevitabilmente varia, ma pur sempre su un territorio. </w:t>
      </w:r>
    </w:p>
    <w:p w14:paraId="64E6FC78" w14:textId="77777777" w:rsidR="00E64023" w:rsidRPr="00E64023" w:rsidRDefault="00E64023" w:rsidP="00E640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4023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proofErr w:type="spellStart"/>
      <w:r w:rsidRPr="00E64023">
        <w:rPr>
          <w:rFonts w:ascii="Times New Roman" w:hAnsi="Times New Roman" w:cs="Times New Roman"/>
          <w:sz w:val="28"/>
          <w:szCs w:val="28"/>
          <w:lang w:val="en-US"/>
        </w:rPr>
        <w:t>citare</w:t>
      </w:r>
      <w:proofErr w:type="spellEnd"/>
      <w:r w:rsidRPr="00E6402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64023">
        <w:rPr>
          <w:rFonts w:ascii="Times New Roman" w:hAnsi="Times New Roman" w:cs="Times New Roman"/>
          <w:sz w:val="28"/>
          <w:szCs w:val="28"/>
          <w:lang w:val="en-US"/>
        </w:rPr>
        <w:t>letterata</w:t>
      </w:r>
      <w:proofErr w:type="spellEnd"/>
      <w:r w:rsidRPr="00E64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4023">
        <w:rPr>
          <w:rFonts w:ascii="Times New Roman" w:hAnsi="Times New Roman" w:cs="Times New Roman"/>
          <w:sz w:val="28"/>
          <w:szCs w:val="28"/>
          <w:lang w:val="en-US"/>
        </w:rPr>
        <w:t>americana</w:t>
      </w:r>
      <w:proofErr w:type="spellEnd"/>
      <w:proofErr w:type="gramEnd"/>
      <w:r w:rsidRPr="00E64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4023">
        <w:rPr>
          <w:rFonts w:ascii="Times New Roman" w:hAnsi="Times New Roman" w:cs="Times New Roman"/>
          <w:sz w:val="28"/>
          <w:szCs w:val="28"/>
          <w:lang w:val="en-US"/>
        </w:rPr>
        <w:t>ecologista</w:t>
      </w:r>
      <w:proofErr w:type="spellEnd"/>
      <w:r w:rsidRPr="00E640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4023">
        <w:rPr>
          <w:rFonts w:ascii="Times New Roman" w:hAnsi="Times New Roman" w:cs="Times New Roman"/>
          <w:sz w:val="28"/>
          <w:szCs w:val="28"/>
          <w:lang w:val="en-US"/>
        </w:rPr>
        <w:t>nativa</w:t>
      </w:r>
      <w:proofErr w:type="spellEnd"/>
      <w:r w:rsidRPr="00E64023">
        <w:rPr>
          <w:rFonts w:ascii="Times New Roman" w:hAnsi="Times New Roman" w:cs="Times New Roman"/>
          <w:sz w:val="28"/>
          <w:szCs w:val="28"/>
          <w:lang w:val="en-US"/>
        </w:rPr>
        <w:t xml:space="preserve"> Chickasaw, Linda Hogan, “</w:t>
      </w:r>
      <w:r w:rsidRPr="00E64023">
        <w:rPr>
          <w:rFonts w:ascii="Times New Roman" w:hAnsi="Times New Roman" w:cs="Times New Roman"/>
          <w:i/>
          <w:sz w:val="28"/>
          <w:szCs w:val="28"/>
          <w:lang w:val="en-US"/>
        </w:rPr>
        <w:t>what happens to people and what happens to the land is the same thing</w:t>
      </w:r>
      <w:r w:rsidRPr="00E64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640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7"/>
      </w:r>
      <w:r w:rsidRPr="00E640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BA28A6B" w14:textId="16746B9D" w:rsidR="00292AAF" w:rsidRDefault="0048091D" w:rsidP="001E2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Amministrare una città</w:t>
      </w:r>
      <w:r w:rsidR="00292AAF">
        <w:rPr>
          <w:rFonts w:ascii="Times New Roman" w:hAnsi="Times New Roman" w:cs="Times New Roman"/>
          <w:sz w:val="28"/>
          <w:szCs w:val="28"/>
        </w:rPr>
        <w:t xml:space="preserve"> significa essenzialmente due cose: dotarla di servizi per i cittadini e per chiunque vi si trovi; favorire la partecipazione civica al (l’auto)governo della comunità.</w:t>
      </w:r>
    </w:p>
    <w:p w14:paraId="6084A077" w14:textId="44014918" w:rsidR="0048091D" w:rsidRDefault="0048091D" w:rsidP="001E2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AAF">
        <w:rPr>
          <w:rFonts w:ascii="Times New Roman" w:hAnsi="Times New Roman" w:cs="Times New Roman"/>
          <w:sz w:val="28"/>
          <w:szCs w:val="28"/>
        </w:rPr>
        <w:t>Ciò implica quanto meno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3DFD76" w14:textId="496B2A12" w:rsidR="0048091D" w:rsidRDefault="0048091D" w:rsidP="0048091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fornire servizi minimi ai cittadini: trasporti e viabilità, decoro urbano e verde, assistenza ad anziani e disabili;</w:t>
      </w:r>
    </w:p>
    <w:p w14:paraId="3FE3901A" w14:textId="7FB847AC" w:rsidR="0048091D" w:rsidRDefault="0048091D" w:rsidP="0048091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avere un’idea di città</w:t>
      </w:r>
      <w:r w:rsidR="00292AAF">
        <w:rPr>
          <w:rFonts w:ascii="Times New Roman" w:hAnsi="Times New Roman" w:cs="Times New Roman"/>
          <w:sz w:val="28"/>
          <w:szCs w:val="28"/>
        </w:rPr>
        <w:t>, una “visione” del futuro della città e dei suoi abitanti</w:t>
      </w:r>
      <w:r>
        <w:rPr>
          <w:rFonts w:ascii="Times New Roman" w:hAnsi="Times New Roman" w:cs="Times New Roman"/>
          <w:sz w:val="28"/>
          <w:szCs w:val="28"/>
        </w:rPr>
        <w:t xml:space="preserve">: quanto al governo del territorio e all’allocazione delle funzioni e destinazione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sullo stesso; quanto al ruolo che si vuole </w:t>
      </w:r>
      <w:r w:rsidR="00292AAF">
        <w:rPr>
          <w:rFonts w:ascii="Times New Roman" w:hAnsi="Times New Roman" w:cs="Times New Roman"/>
          <w:sz w:val="28"/>
          <w:szCs w:val="28"/>
        </w:rPr>
        <w:t>nella</w:t>
      </w:r>
      <w:r>
        <w:rPr>
          <w:rFonts w:ascii="Times New Roman" w:hAnsi="Times New Roman" w:cs="Times New Roman"/>
          <w:sz w:val="28"/>
          <w:szCs w:val="28"/>
        </w:rPr>
        <w:t xml:space="preserve"> regione e nella rete nazionale delle città; nell’impronta culturale che si vuole dare alla città (teatri, eventi); nella formazione professionale e nell’istruzione</w:t>
      </w:r>
      <w:r w:rsidR="00292AAF">
        <w:rPr>
          <w:rFonts w:ascii="Times New Roman" w:hAnsi="Times New Roman" w:cs="Times New Roman"/>
          <w:sz w:val="28"/>
          <w:szCs w:val="28"/>
        </w:rPr>
        <w:t>;</w:t>
      </w:r>
    </w:p>
    <w:p w14:paraId="22C06672" w14:textId="2F39CA1C" w:rsidR="0048091D" w:rsidRPr="0048091D" w:rsidRDefault="0048091D" w:rsidP="0048091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creare una rete di relazioni istituzionali con gli altri livelli di governo.</w:t>
      </w:r>
    </w:p>
    <w:p w14:paraId="3BEEC465" w14:textId="005DFB62" w:rsidR="00E854AB" w:rsidRDefault="00730C6D" w:rsidP="00D20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le città</w:t>
      </w:r>
      <w:r w:rsidR="0054276D">
        <w:rPr>
          <w:rFonts w:ascii="Times New Roman" w:hAnsi="Times New Roman" w:cs="Times New Roman"/>
          <w:sz w:val="28"/>
          <w:szCs w:val="28"/>
        </w:rPr>
        <w:t xml:space="preserve">, dunque, </w:t>
      </w:r>
      <w:r>
        <w:rPr>
          <w:rFonts w:ascii="Times New Roman" w:hAnsi="Times New Roman" w:cs="Times New Roman"/>
          <w:sz w:val="28"/>
          <w:szCs w:val="28"/>
        </w:rPr>
        <w:t xml:space="preserve">sono </w:t>
      </w:r>
      <w:r w:rsidR="00F123C1">
        <w:rPr>
          <w:rFonts w:ascii="Times New Roman" w:hAnsi="Times New Roman" w:cs="Times New Roman"/>
          <w:sz w:val="28"/>
          <w:szCs w:val="28"/>
        </w:rPr>
        <w:t xml:space="preserve">cruciali per lo sviluppo </w:t>
      </w:r>
      <w:r w:rsidR="003E40C7">
        <w:rPr>
          <w:rFonts w:ascii="Times New Roman" w:hAnsi="Times New Roman" w:cs="Times New Roman"/>
          <w:sz w:val="28"/>
          <w:szCs w:val="28"/>
        </w:rPr>
        <w:t>del P</w:t>
      </w:r>
      <w:r>
        <w:rPr>
          <w:rFonts w:ascii="Times New Roman" w:hAnsi="Times New Roman" w:cs="Times New Roman"/>
          <w:sz w:val="28"/>
          <w:szCs w:val="28"/>
        </w:rPr>
        <w:t>aese</w:t>
      </w:r>
      <w:r w:rsidR="00292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lo sono anche </w:t>
      </w:r>
      <w:r w:rsidR="00E854AB">
        <w:rPr>
          <w:rFonts w:ascii="Times New Roman" w:hAnsi="Times New Roman" w:cs="Times New Roman"/>
          <w:sz w:val="28"/>
          <w:szCs w:val="28"/>
        </w:rPr>
        <w:t>in quanto enti che</w:t>
      </w:r>
      <w:r>
        <w:rPr>
          <w:rFonts w:ascii="Times New Roman" w:hAnsi="Times New Roman" w:cs="Times New Roman"/>
          <w:sz w:val="28"/>
          <w:szCs w:val="28"/>
        </w:rPr>
        <w:t xml:space="preserve"> in via </w:t>
      </w:r>
      <w:r w:rsidR="00E854AB">
        <w:rPr>
          <w:rFonts w:ascii="Times New Roman" w:hAnsi="Times New Roman" w:cs="Times New Roman"/>
          <w:sz w:val="28"/>
          <w:szCs w:val="28"/>
        </w:rPr>
        <w:t xml:space="preserve">“geograficamente” </w:t>
      </w:r>
      <w:r>
        <w:rPr>
          <w:rFonts w:ascii="Times New Roman" w:hAnsi="Times New Roman" w:cs="Times New Roman"/>
          <w:sz w:val="28"/>
          <w:szCs w:val="28"/>
        </w:rPr>
        <w:t xml:space="preserve">prioritaria </w:t>
      </w:r>
      <w:r w:rsidR="00E854AB" w:rsidRPr="00292AAF">
        <w:rPr>
          <w:rFonts w:ascii="Times New Roman" w:hAnsi="Times New Roman" w:cs="Times New Roman"/>
          <w:sz w:val="28"/>
          <w:szCs w:val="28"/>
        </w:rPr>
        <w:t>condividono con le altre istituzioni la r</w:t>
      </w:r>
      <w:r w:rsidRPr="00292AAF">
        <w:rPr>
          <w:rFonts w:ascii="Times New Roman" w:hAnsi="Times New Roman" w:cs="Times New Roman"/>
          <w:sz w:val="28"/>
          <w:szCs w:val="28"/>
        </w:rPr>
        <w:t xml:space="preserve">esponsabilità di “formare” i cittadini attraverso l’esperienza di </w:t>
      </w:r>
      <w:r w:rsidR="00D2011A" w:rsidRPr="00292AAF">
        <w:rPr>
          <w:rFonts w:ascii="Times New Roman" w:hAnsi="Times New Roman" w:cs="Times New Roman"/>
          <w:sz w:val="28"/>
          <w:szCs w:val="28"/>
        </w:rPr>
        <w:t>comuni aperti</w:t>
      </w:r>
      <w:r w:rsidRPr="00292AAF">
        <w:rPr>
          <w:rFonts w:ascii="Times New Roman" w:hAnsi="Times New Roman" w:cs="Times New Roman"/>
          <w:sz w:val="28"/>
          <w:szCs w:val="28"/>
        </w:rPr>
        <w:t>,</w:t>
      </w:r>
      <w:r w:rsidR="00986119" w:rsidRPr="00292AAF">
        <w:rPr>
          <w:rFonts w:ascii="Times New Roman" w:hAnsi="Times New Roman" w:cs="Times New Roman"/>
          <w:sz w:val="28"/>
          <w:szCs w:val="28"/>
        </w:rPr>
        <w:t xml:space="preserve"> solidali</w:t>
      </w:r>
      <w:r w:rsidRPr="00292AAF">
        <w:rPr>
          <w:rFonts w:ascii="Times New Roman" w:hAnsi="Times New Roman" w:cs="Times New Roman"/>
          <w:sz w:val="28"/>
          <w:szCs w:val="28"/>
        </w:rPr>
        <w:t>,</w:t>
      </w:r>
      <w:r w:rsidR="00986119" w:rsidRPr="00292AAF">
        <w:rPr>
          <w:rFonts w:ascii="Times New Roman" w:hAnsi="Times New Roman" w:cs="Times New Roman"/>
          <w:sz w:val="28"/>
          <w:szCs w:val="28"/>
        </w:rPr>
        <w:t xml:space="preserve"> </w:t>
      </w:r>
      <w:r w:rsidR="00D2011A" w:rsidRPr="00292AAF">
        <w:rPr>
          <w:rFonts w:ascii="Times New Roman" w:hAnsi="Times New Roman" w:cs="Times New Roman"/>
          <w:sz w:val="28"/>
          <w:szCs w:val="28"/>
        </w:rPr>
        <w:t>sicuri</w:t>
      </w:r>
      <w:r w:rsidR="00986119" w:rsidRPr="00292AAF">
        <w:rPr>
          <w:rFonts w:ascii="Times New Roman" w:hAnsi="Times New Roman" w:cs="Times New Roman"/>
          <w:sz w:val="28"/>
          <w:szCs w:val="28"/>
        </w:rPr>
        <w:t xml:space="preserve"> in cui i cittadini possano sperimentare forme di partecipazione e </w:t>
      </w:r>
      <w:r w:rsidR="00E854AB" w:rsidRPr="00292AAF">
        <w:rPr>
          <w:rFonts w:ascii="Times New Roman" w:hAnsi="Times New Roman" w:cs="Times New Roman"/>
          <w:sz w:val="28"/>
          <w:szCs w:val="28"/>
        </w:rPr>
        <w:t>sentirsi a casa e nel mondo</w:t>
      </w:r>
      <w:r w:rsidR="00E854AB">
        <w:rPr>
          <w:rFonts w:ascii="Times New Roman" w:hAnsi="Times New Roman" w:cs="Times New Roman"/>
          <w:sz w:val="28"/>
          <w:szCs w:val="28"/>
        </w:rPr>
        <w:t xml:space="preserve"> al tempo stesso.</w:t>
      </w:r>
    </w:p>
    <w:p w14:paraId="0DF8BFFD" w14:textId="36A3EBC7" w:rsidR="003B7A0D" w:rsidRDefault="00E854AB" w:rsidP="00B86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questo modo</w:t>
      </w:r>
      <w:r w:rsidR="00715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 città possono favorire </w:t>
      </w:r>
      <w:r w:rsidR="00986119" w:rsidRPr="00292AAF">
        <w:rPr>
          <w:rFonts w:ascii="Times New Roman" w:hAnsi="Times New Roman" w:cs="Times New Roman"/>
          <w:sz w:val="28"/>
          <w:szCs w:val="28"/>
        </w:rPr>
        <w:t>una declinazione sostanziale</w:t>
      </w:r>
      <w:r w:rsidRPr="00292AAF">
        <w:rPr>
          <w:rFonts w:ascii="Times New Roman" w:hAnsi="Times New Roman" w:cs="Times New Roman"/>
          <w:sz w:val="28"/>
          <w:szCs w:val="28"/>
        </w:rPr>
        <w:t xml:space="preserve"> del principio di sussidiarietà diventando</w:t>
      </w:r>
      <w:r w:rsidR="00986119" w:rsidRPr="00292AAF">
        <w:rPr>
          <w:rFonts w:ascii="Times New Roman" w:hAnsi="Times New Roman" w:cs="Times New Roman"/>
          <w:sz w:val="28"/>
          <w:szCs w:val="28"/>
        </w:rPr>
        <w:t xml:space="preserve"> promotrici della partecipazione civica, del vivere la </w:t>
      </w:r>
      <w:r w:rsidR="00986119" w:rsidRPr="00292AAF">
        <w:rPr>
          <w:rFonts w:ascii="Times New Roman" w:hAnsi="Times New Roman" w:cs="Times New Roman"/>
          <w:i/>
          <w:sz w:val="28"/>
          <w:szCs w:val="28"/>
        </w:rPr>
        <w:t>polis</w:t>
      </w:r>
      <w:r w:rsidR="00986119" w:rsidRPr="00292AAF">
        <w:rPr>
          <w:rFonts w:ascii="Times New Roman" w:hAnsi="Times New Roman" w:cs="Times New Roman"/>
          <w:sz w:val="28"/>
          <w:szCs w:val="28"/>
        </w:rPr>
        <w:t xml:space="preserve"> in </w:t>
      </w:r>
      <w:r w:rsidR="00C61005" w:rsidRPr="00292AAF">
        <w:rPr>
          <w:rFonts w:ascii="Times New Roman" w:hAnsi="Times New Roman" w:cs="Times New Roman"/>
          <w:sz w:val="28"/>
          <w:szCs w:val="28"/>
        </w:rPr>
        <w:t xml:space="preserve">un modo che </w:t>
      </w:r>
      <w:r w:rsidRPr="00292AAF">
        <w:rPr>
          <w:rFonts w:ascii="Times New Roman" w:hAnsi="Times New Roman" w:cs="Times New Roman"/>
          <w:sz w:val="28"/>
          <w:szCs w:val="28"/>
        </w:rPr>
        <w:t>“</w:t>
      </w:r>
      <w:r w:rsidR="00C61005" w:rsidRPr="00292AAF">
        <w:rPr>
          <w:rFonts w:ascii="Times New Roman" w:hAnsi="Times New Roman" w:cs="Times New Roman"/>
          <w:sz w:val="28"/>
          <w:szCs w:val="28"/>
        </w:rPr>
        <w:t>faccia</w:t>
      </w:r>
      <w:r w:rsidR="00986119" w:rsidRPr="00292AAF">
        <w:rPr>
          <w:rFonts w:ascii="Times New Roman" w:hAnsi="Times New Roman" w:cs="Times New Roman"/>
          <w:sz w:val="28"/>
          <w:szCs w:val="28"/>
        </w:rPr>
        <w:t xml:space="preserve"> venire voglia</w:t>
      </w:r>
      <w:r w:rsidRPr="00292AAF">
        <w:rPr>
          <w:rFonts w:ascii="Times New Roman" w:hAnsi="Times New Roman" w:cs="Times New Roman"/>
          <w:sz w:val="28"/>
          <w:szCs w:val="28"/>
        </w:rPr>
        <w:t>” di avere cura del bene comune.</w:t>
      </w:r>
      <w:r>
        <w:rPr>
          <w:rFonts w:ascii="Times New Roman" w:hAnsi="Times New Roman" w:cs="Times New Roman"/>
          <w:sz w:val="28"/>
          <w:szCs w:val="28"/>
        </w:rPr>
        <w:t xml:space="preserve"> Una città</w:t>
      </w:r>
      <w:r w:rsidR="007A1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che abbia il ruolo di </w:t>
      </w:r>
      <w:r w:rsidR="00715C35">
        <w:rPr>
          <w:rFonts w:ascii="Times New Roman" w:hAnsi="Times New Roman" w:cs="Times New Roman"/>
          <w:sz w:val="28"/>
          <w:szCs w:val="28"/>
        </w:rPr>
        <w:t xml:space="preserve">una </w:t>
      </w:r>
      <w:r w:rsidRPr="00986119">
        <w:rPr>
          <w:rFonts w:ascii="Times New Roman" w:hAnsi="Times New Roman" w:cs="Times New Roman"/>
          <w:sz w:val="28"/>
          <w:szCs w:val="28"/>
        </w:rPr>
        <w:t>scuola civica e di politiche</w:t>
      </w:r>
      <w:r w:rsidR="00715C35">
        <w:rPr>
          <w:rFonts w:ascii="Times New Roman" w:hAnsi="Times New Roman" w:cs="Times New Roman"/>
          <w:sz w:val="28"/>
          <w:szCs w:val="28"/>
        </w:rPr>
        <w:t xml:space="preserve">, </w:t>
      </w:r>
      <w:r w:rsidRPr="00986119">
        <w:rPr>
          <w:rFonts w:ascii="Times New Roman" w:hAnsi="Times New Roman" w:cs="Times New Roman"/>
          <w:sz w:val="28"/>
          <w:szCs w:val="28"/>
        </w:rPr>
        <w:t xml:space="preserve">in cui </w:t>
      </w:r>
      <w:r>
        <w:rPr>
          <w:rFonts w:ascii="Times New Roman" w:hAnsi="Times New Roman" w:cs="Times New Roman"/>
          <w:sz w:val="28"/>
          <w:szCs w:val="28"/>
        </w:rPr>
        <w:t>si possa avere esperienza d</w:t>
      </w:r>
      <w:r w:rsidRPr="00986119">
        <w:rPr>
          <w:rFonts w:ascii="Times New Roman" w:hAnsi="Times New Roman" w:cs="Times New Roman"/>
          <w:sz w:val="28"/>
          <w:szCs w:val="28"/>
        </w:rPr>
        <w:t xml:space="preserve">i </w:t>
      </w:r>
      <w:r w:rsidR="007A1071">
        <w:rPr>
          <w:rFonts w:ascii="Times New Roman" w:hAnsi="Times New Roman" w:cs="Times New Roman"/>
          <w:sz w:val="28"/>
          <w:szCs w:val="28"/>
        </w:rPr>
        <w:t>sviluppo, sicurezza</w:t>
      </w:r>
      <w:r w:rsidR="00D2011A">
        <w:rPr>
          <w:rFonts w:ascii="Times New Roman" w:hAnsi="Times New Roman" w:cs="Times New Roman"/>
          <w:sz w:val="28"/>
          <w:szCs w:val="28"/>
        </w:rPr>
        <w:t xml:space="preserve">, </w:t>
      </w:r>
      <w:r w:rsidR="00715C35">
        <w:rPr>
          <w:rFonts w:ascii="Times New Roman" w:hAnsi="Times New Roman" w:cs="Times New Roman"/>
          <w:sz w:val="28"/>
          <w:szCs w:val="28"/>
        </w:rPr>
        <w:t xml:space="preserve">efficienza e </w:t>
      </w:r>
      <w:r w:rsidRPr="00986119">
        <w:rPr>
          <w:rFonts w:ascii="Times New Roman" w:hAnsi="Times New Roman" w:cs="Times New Roman"/>
          <w:sz w:val="28"/>
          <w:szCs w:val="28"/>
        </w:rPr>
        <w:t>integrazione</w:t>
      </w:r>
      <w:r w:rsidR="00715C35">
        <w:rPr>
          <w:rFonts w:ascii="Times New Roman" w:hAnsi="Times New Roman" w:cs="Times New Roman"/>
          <w:sz w:val="28"/>
          <w:szCs w:val="28"/>
        </w:rPr>
        <w:t>, un</w:t>
      </w:r>
      <w:r w:rsidRPr="00986119">
        <w:rPr>
          <w:rFonts w:ascii="Times New Roman" w:hAnsi="Times New Roman" w:cs="Times New Roman"/>
          <w:sz w:val="28"/>
          <w:szCs w:val="28"/>
        </w:rPr>
        <w:t xml:space="preserve"> luogo trasformativo in cui diventare cittadini migliori</w:t>
      </w:r>
      <w:r w:rsidR="00715C35">
        <w:rPr>
          <w:rFonts w:ascii="Times New Roman" w:hAnsi="Times New Roman" w:cs="Times New Roman"/>
          <w:sz w:val="28"/>
          <w:szCs w:val="28"/>
        </w:rPr>
        <w:t>.</w:t>
      </w:r>
    </w:p>
    <w:p w14:paraId="0682ECFC" w14:textId="0031F6FD" w:rsidR="00E64023" w:rsidRPr="00292AAF" w:rsidRDefault="00E64023" w:rsidP="00D20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AAF">
        <w:rPr>
          <w:rFonts w:ascii="Times New Roman" w:hAnsi="Times New Roman" w:cs="Times New Roman"/>
          <w:sz w:val="28"/>
          <w:szCs w:val="28"/>
        </w:rPr>
        <w:t>Le città si inseriscono, sul piano più propriamente giuridico-istituzionale, nel sistema di “autonomie”.</w:t>
      </w:r>
    </w:p>
    <w:p w14:paraId="40146F2E" w14:textId="77777777" w:rsidR="00E64023" w:rsidRPr="00E64023" w:rsidRDefault="00E64023" w:rsidP="00E64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23">
        <w:rPr>
          <w:rFonts w:ascii="Times New Roman" w:hAnsi="Times New Roman" w:cs="Times New Roman"/>
          <w:sz w:val="28"/>
          <w:szCs w:val="28"/>
        </w:rPr>
        <w:t xml:space="preserve">È noto il </w:t>
      </w:r>
      <w:r w:rsidRPr="00292AAF">
        <w:rPr>
          <w:rFonts w:ascii="Times New Roman" w:hAnsi="Times New Roman" w:cs="Times New Roman"/>
          <w:sz w:val="28"/>
          <w:szCs w:val="28"/>
        </w:rPr>
        <w:t>percorso accidentato</w:t>
      </w:r>
      <w:r w:rsidRPr="00E64023">
        <w:rPr>
          <w:rFonts w:ascii="Times New Roman" w:hAnsi="Times New Roman" w:cs="Times New Roman"/>
          <w:sz w:val="28"/>
          <w:szCs w:val="28"/>
        </w:rPr>
        <w:t xml:space="preserve"> che, dall’Unità ad oggi, ha attraversato l’assetto costituzionale delle autonomie territoriali: gli enti locali che emergono nell’ordinamento unitario sono le province e i Comuni, enti bicefali, concepiti come articolazione amministrativa dello Stato centrale (finalmente) unitario (le province più dei comuni), che a mano a mano (soprattutto i Comuni) si arricchiscono della logica di autogoverno delle comunità territoriali, che ne fa enti di democrazia sul territorio, enti esponenziali dell’interesse generale della comunità territoriale (perciò “enti a fini generali”), correttamente individuati come titolari di una funzione di indirizzo politico-amministrativo (altrimenti definito dal Mortati: indirizzo politico “minore”), insito nel concetto stesso di autonomia in senso tecnico. </w:t>
      </w:r>
    </w:p>
    <w:p w14:paraId="6AFA0E2D" w14:textId="246A0674" w:rsidR="00E64023" w:rsidRPr="00E64023" w:rsidRDefault="00E64023" w:rsidP="00E64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23">
        <w:rPr>
          <w:rFonts w:ascii="Times New Roman" w:hAnsi="Times New Roman" w:cs="Times New Roman"/>
          <w:sz w:val="28"/>
          <w:szCs w:val="28"/>
        </w:rPr>
        <w:t xml:space="preserve">Lo svolgimento successivo della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E64023">
        <w:rPr>
          <w:rFonts w:ascii="Times New Roman" w:hAnsi="Times New Roman" w:cs="Times New Roman"/>
          <w:sz w:val="28"/>
          <w:szCs w:val="28"/>
        </w:rPr>
        <w:t>parabola, concettuale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64023">
        <w:rPr>
          <w:rFonts w:ascii="Times New Roman" w:hAnsi="Times New Roman" w:cs="Times New Roman"/>
          <w:sz w:val="28"/>
          <w:szCs w:val="28"/>
        </w:rPr>
        <w:t xml:space="preserve"> e di diritto positivo, delle autonomie (come è stata definita da Giuseppe Palma</w:t>
      </w:r>
      <w:r w:rsidRPr="00E64023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E64023">
        <w:rPr>
          <w:rFonts w:ascii="Times New Roman" w:hAnsi="Times New Roman" w:cs="Times New Roman"/>
          <w:sz w:val="28"/>
          <w:szCs w:val="28"/>
        </w:rPr>
        <w:t xml:space="preserve">) è ricco di contraddizioni. </w:t>
      </w:r>
    </w:p>
    <w:p w14:paraId="69F3D093" w14:textId="0EF0ED2A" w:rsidR="00E64023" w:rsidRPr="00E64023" w:rsidRDefault="00E64023" w:rsidP="00E64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AAF">
        <w:rPr>
          <w:rFonts w:ascii="Times New Roman" w:hAnsi="Times New Roman" w:cs="Times New Roman"/>
          <w:sz w:val="28"/>
          <w:szCs w:val="28"/>
        </w:rPr>
        <w:t>Resta centrale il Comune</w:t>
      </w:r>
      <w:r w:rsidRPr="00E64023">
        <w:rPr>
          <w:rFonts w:ascii="Times New Roman" w:hAnsi="Times New Roman" w:cs="Times New Roman"/>
          <w:sz w:val="28"/>
          <w:szCs w:val="28"/>
        </w:rPr>
        <w:t xml:space="preserve">. Certo sono </w:t>
      </w:r>
      <w:r w:rsidR="00F927DA">
        <w:rPr>
          <w:rFonts w:ascii="Times New Roman" w:hAnsi="Times New Roman" w:cs="Times New Roman"/>
          <w:sz w:val="28"/>
          <w:szCs w:val="28"/>
        </w:rPr>
        <w:t xml:space="preserve">ancora </w:t>
      </w:r>
      <w:r w:rsidRPr="00E64023">
        <w:rPr>
          <w:rFonts w:ascii="Times New Roman" w:hAnsi="Times New Roman" w:cs="Times New Roman"/>
          <w:sz w:val="28"/>
          <w:szCs w:val="28"/>
        </w:rPr>
        <w:t>troppi e troppo piccoli</w:t>
      </w:r>
      <w:r w:rsidR="007D0B6A">
        <w:rPr>
          <w:rFonts w:ascii="Times New Roman" w:hAnsi="Times New Roman" w:cs="Times New Roman"/>
          <w:sz w:val="28"/>
          <w:szCs w:val="28"/>
        </w:rPr>
        <w:t>,</w:t>
      </w:r>
      <w:r w:rsidR="00F927DA">
        <w:rPr>
          <w:rFonts w:ascii="Times New Roman" w:hAnsi="Times New Roman" w:cs="Times New Roman"/>
          <w:sz w:val="28"/>
          <w:szCs w:val="28"/>
        </w:rPr>
        <w:t xml:space="preserve"> comuni-polvere come ricordava Giannini</w:t>
      </w:r>
      <w:r w:rsidRPr="00E64023">
        <w:rPr>
          <w:rFonts w:ascii="Times New Roman" w:hAnsi="Times New Roman" w:cs="Times New Roman"/>
          <w:sz w:val="28"/>
          <w:szCs w:val="28"/>
        </w:rPr>
        <w:t>, stretti tra desiderio di autonomia e un</w:t>
      </w:r>
      <w:r w:rsidR="001F4F79">
        <w:rPr>
          <w:rFonts w:ascii="Times New Roman" w:hAnsi="Times New Roman" w:cs="Times New Roman"/>
          <w:sz w:val="28"/>
          <w:szCs w:val="28"/>
        </w:rPr>
        <w:t xml:space="preserve"> difficile equilibrio fr</w:t>
      </w:r>
      <w:r w:rsidRPr="00E64023">
        <w:rPr>
          <w:rFonts w:ascii="Times New Roman" w:hAnsi="Times New Roman" w:cs="Times New Roman"/>
          <w:sz w:val="28"/>
          <w:szCs w:val="28"/>
        </w:rPr>
        <w:t xml:space="preserve">a </w:t>
      </w:r>
      <w:r w:rsidR="001F4F79">
        <w:rPr>
          <w:rFonts w:ascii="Times New Roman" w:hAnsi="Times New Roman" w:cs="Times New Roman"/>
          <w:sz w:val="28"/>
          <w:szCs w:val="28"/>
        </w:rPr>
        <w:t xml:space="preserve">finanza propria e derivata </w:t>
      </w:r>
      <w:r w:rsidRPr="00E64023">
        <w:rPr>
          <w:rFonts w:ascii="Times New Roman" w:hAnsi="Times New Roman" w:cs="Times New Roman"/>
          <w:sz w:val="28"/>
          <w:szCs w:val="28"/>
        </w:rPr>
        <w:t>che in tempi di crisi può strangolare</w:t>
      </w:r>
      <w:r w:rsidR="00D0347C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9"/>
      </w:r>
      <w:r w:rsidRPr="00E64023">
        <w:rPr>
          <w:rFonts w:ascii="Times New Roman" w:hAnsi="Times New Roman" w:cs="Times New Roman"/>
          <w:sz w:val="28"/>
          <w:szCs w:val="28"/>
        </w:rPr>
        <w:t xml:space="preserve">. Ma è nei Comuni che si svolgono le funzioni che maggiormente attengono alla vita </w:t>
      </w:r>
      <w:r w:rsidRPr="00E64023">
        <w:rPr>
          <w:rFonts w:ascii="Times New Roman" w:hAnsi="Times New Roman" w:cs="Times New Roman"/>
          <w:sz w:val="28"/>
          <w:szCs w:val="28"/>
        </w:rPr>
        <w:lastRenderedPageBreak/>
        <w:t>amministrativa ed è sul territorio comunale che si realizzano gli interventi anche di valenza nazionale.</w:t>
      </w:r>
    </w:p>
    <w:p w14:paraId="686D7703" w14:textId="4BC72811" w:rsidR="00E64023" w:rsidRDefault="00E64023" w:rsidP="00B86E62">
      <w:pPr>
        <w:jc w:val="both"/>
        <w:rPr>
          <w:rFonts w:ascii="Times New Roman" w:hAnsi="Times New Roman" w:cs="Times New Roman"/>
          <w:sz w:val="28"/>
          <w:szCs w:val="28"/>
        </w:rPr>
      </w:pPr>
      <w:r w:rsidRPr="00292AAF">
        <w:rPr>
          <w:rFonts w:ascii="Times New Roman" w:hAnsi="Times New Roman" w:cs="Times New Roman"/>
          <w:sz w:val="28"/>
          <w:szCs w:val="28"/>
        </w:rPr>
        <w:t>Il Comune diventa “luogo” di una duplice partecipazione: da parte dei cittadini</w:t>
      </w:r>
      <w:r w:rsidRPr="00E64023">
        <w:rPr>
          <w:rFonts w:ascii="Times New Roman" w:hAnsi="Times New Roman" w:cs="Times New Roman"/>
          <w:sz w:val="28"/>
          <w:szCs w:val="28"/>
        </w:rPr>
        <w:t xml:space="preserve"> all’esercizio delle funzioni comunali (e delle città metropolitane) o anche sovracomunali (urbanistica, servizi sociali in senso lato); </w:t>
      </w:r>
      <w:r w:rsidR="00292AAF">
        <w:rPr>
          <w:rFonts w:ascii="Times New Roman" w:hAnsi="Times New Roman" w:cs="Times New Roman"/>
          <w:sz w:val="28"/>
          <w:szCs w:val="28"/>
        </w:rPr>
        <w:t>ad opera</w:t>
      </w:r>
      <w:r w:rsidRPr="00292AAF">
        <w:rPr>
          <w:rFonts w:ascii="Times New Roman" w:hAnsi="Times New Roman" w:cs="Times New Roman"/>
          <w:sz w:val="28"/>
          <w:szCs w:val="28"/>
        </w:rPr>
        <w:t xml:space="preserve"> dei Comuni</w:t>
      </w:r>
      <w:r w:rsidRPr="00E64023">
        <w:rPr>
          <w:rFonts w:ascii="Times New Roman" w:hAnsi="Times New Roman" w:cs="Times New Roman"/>
          <w:sz w:val="28"/>
          <w:szCs w:val="28"/>
        </w:rPr>
        <w:t xml:space="preserve"> medesimi (e, per il loro tramite di enti esponenziali della comunità locale, ancora dei cittadini) delle funzioni, specie programmatorie, e degli interventi che, sia pur di livello regionale o nazionale, ricadono comunque sul loro territorio.</w:t>
      </w:r>
    </w:p>
    <w:p w14:paraId="1AE9F2FA" w14:textId="0C143DEA" w:rsidR="003B7A0D" w:rsidRDefault="00E64023" w:rsidP="00D20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luce di quello che abbiamo sin qui detto, emerge evidente l’i</w:t>
      </w:r>
      <w:r w:rsidR="003B7A0D">
        <w:rPr>
          <w:rFonts w:ascii="Times New Roman" w:hAnsi="Times New Roman" w:cs="Times New Roman"/>
          <w:sz w:val="28"/>
          <w:szCs w:val="28"/>
        </w:rPr>
        <w:t xml:space="preserve">mportanza di una </w:t>
      </w:r>
      <w:r w:rsidR="00292AAF">
        <w:rPr>
          <w:rFonts w:ascii="Times New Roman" w:hAnsi="Times New Roman" w:cs="Times New Roman"/>
          <w:sz w:val="28"/>
          <w:szCs w:val="28"/>
        </w:rPr>
        <w:t>riorganiz</w:t>
      </w:r>
      <w:r w:rsidR="003B7A0D" w:rsidRPr="00292AAF">
        <w:rPr>
          <w:rFonts w:ascii="Times New Roman" w:hAnsi="Times New Roman" w:cs="Times New Roman"/>
          <w:sz w:val="28"/>
          <w:szCs w:val="28"/>
        </w:rPr>
        <w:t>zazione territoriale</w:t>
      </w:r>
      <w:r w:rsidR="003B7A0D">
        <w:rPr>
          <w:rFonts w:ascii="Times New Roman" w:hAnsi="Times New Roman" w:cs="Times New Roman"/>
          <w:sz w:val="28"/>
          <w:szCs w:val="28"/>
        </w:rPr>
        <w:t xml:space="preserve"> finalizzata a rendere servizi migliori ai cittadini</w:t>
      </w:r>
      <w:r>
        <w:rPr>
          <w:rFonts w:ascii="Times New Roman" w:hAnsi="Times New Roman" w:cs="Times New Roman"/>
          <w:sz w:val="28"/>
          <w:szCs w:val="28"/>
        </w:rPr>
        <w:t xml:space="preserve"> e a favorirne la partecipazione civica</w:t>
      </w:r>
      <w:r w:rsidR="003B7A0D">
        <w:rPr>
          <w:rFonts w:ascii="Times New Roman" w:hAnsi="Times New Roman" w:cs="Times New Roman"/>
          <w:sz w:val="28"/>
          <w:szCs w:val="28"/>
        </w:rPr>
        <w:t>.</w:t>
      </w:r>
      <w:r w:rsidR="00292AAF">
        <w:rPr>
          <w:rFonts w:ascii="Times New Roman" w:hAnsi="Times New Roman" w:cs="Times New Roman"/>
          <w:sz w:val="28"/>
          <w:szCs w:val="28"/>
        </w:rPr>
        <w:t xml:space="preserve"> Questa riorganizzazione presupporrebbe un riordino istituzionale dei livelli di governo e dello stesso assetto territoriale, con modifiche anche di ordine costituzionale.</w:t>
      </w:r>
    </w:p>
    <w:p w14:paraId="5778E72D" w14:textId="6BB3DFFB" w:rsidR="003B7A0D" w:rsidRDefault="00292AAF" w:rsidP="00D20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limitarci alla semplice</w:t>
      </w:r>
      <w:r w:rsidR="003B7A0D">
        <w:rPr>
          <w:rFonts w:ascii="Times New Roman" w:hAnsi="Times New Roman" w:cs="Times New Roman"/>
          <w:sz w:val="28"/>
          <w:szCs w:val="28"/>
        </w:rPr>
        <w:t xml:space="preserve"> riorganizzazione</w:t>
      </w:r>
      <w:r>
        <w:rPr>
          <w:rFonts w:ascii="Times New Roman" w:hAnsi="Times New Roman" w:cs="Times New Roman"/>
          <w:sz w:val="28"/>
          <w:szCs w:val="28"/>
        </w:rPr>
        <w:t>, questa</w:t>
      </w:r>
      <w:r w:rsidR="003B7A0D">
        <w:rPr>
          <w:rFonts w:ascii="Times New Roman" w:hAnsi="Times New Roman" w:cs="Times New Roman"/>
          <w:sz w:val="28"/>
          <w:szCs w:val="28"/>
        </w:rPr>
        <w:t xml:space="preserve"> deve </w:t>
      </w:r>
      <w:r>
        <w:rPr>
          <w:rFonts w:ascii="Times New Roman" w:hAnsi="Times New Roman" w:cs="Times New Roman"/>
          <w:sz w:val="28"/>
          <w:szCs w:val="28"/>
        </w:rPr>
        <w:t xml:space="preserve">avere come obiettivo lo sviluppo “sostenibile”, il che significa, in primo luogo, </w:t>
      </w:r>
      <w:r w:rsidR="003B7A0D" w:rsidRPr="00292AAF">
        <w:rPr>
          <w:rFonts w:ascii="Times New Roman" w:hAnsi="Times New Roman" w:cs="Times New Roman"/>
          <w:sz w:val="28"/>
          <w:szCs w:val="28"/>
        </w:rPr>
        <w:t>superare le disuguaglianze</w:t>
      </w:r>
      <w:r w:rsidR="003B7A0D">
        <w:rPr>
          <w:rFonts w:ascii="Times New Roman" w:hAnsi="Times New Roman" w:cs="Times New Roman"/>
          <w:sz w:val="28"/>
          <w:szCs w:val="28"/>
        </w:rPr>
        <w:t xml:space="preserve"> territoriali:</w:t>
      </w:r>
      <w:r>
        <w:rPr>
          <w:rFonts w:ascii="Times New Roman" w:hAnsi="Times New Roman" w:cs="Times New Roman"/>
          <w:sz w:val="28"/>
          <w:szCs w:val="28"/>
        </w:rPr>
        <w:t xml:space="preserve"> tra </w:t>
      </w:r>
      <w:r w:rsidR="003B7A0D">
        <w:rPr>
          <w:rFonts w:ascii="Times New Roman" w:hAnsi="Times New Roman" w:cs="Times New Roman"/>
          <w:sz w:val="28"/>
          <w:szCs w:val="28"/>
        </w:rPr>
        <w:t xml:space="preserve">città e periferie; </w:t>
      </w:r>
      <w:r>
        <w:rPr>
          <w:rFonts w:ascii="Times New Roman" w:hAnsi="Times New Roman" w:cs="Times New Roman"/>
          <w:sz w:val="28"/>
          <w:szCs w:val="28"/>
        </w:rPr>
        <w:t xml:space="preserve">tra </w:t>
      </w:r>
      <w:r w:rsidR="003B7A0D">
        <w:rPr>
          <w:rFonts w:ascii="Times New Roman" w:hAnsi="Times New Roman" w:cs="Times New Roman"/>
          <w:sz w:val="28"/>
          <w:szCs w:val="28"/>
        </w:rPr>
        <w:t>città e zone rurali.</w:t>
      </w:r>
    </w:p>
    <w:p w14:paraId="5449813D" w14:textId="5A9CBD97" w:rsidR="003B7A0D" w:rsidRDefault="0027586E" w:rsidP="00D20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C’è la n</w:t>
      </w:r>
      <w:r w:rsidR="003B7A0D">
        <w:rPr>
          <w:rFonts w:ascii="Times New Roman" w:hAnsi="Times New Roman" w:cs="Times New Roman"/>
          <w:sz w:val="28"/>
          <w:szCs w:val="28"/>
        </w:rPr>
        <w:t xml:space="preserve">ecessità di </w:t>
      </w:r>
      <w:r w:rsidR="003B7A0D" w:rsidRPr="00292AAF">
        <w:rPr>
          <w:rFonts w:ascii="Times New Roman" w:hAnsi="Times New Roman" w:cs="Times New Roman"/>
          <w:sz w:val="28"/>
          <w:szCs w:val="28"/>
        </w:rPr>
        <w:t>modulare l’organizzazione</w:t>
      </w:r>
      <w:r w:rsidR="003B7A0D">
        <w:rPr>
          <w:rFonts w:ascii="Times New Roman" w:hAnsi="Times New Roman" w:cs="Times New Roman"/>
          <w:sz w:val="28"/>
          <w:szCs w:val="28"/>
        </w:rPr>
        <w:t xml:space="preserve"> e la stessa </w:t>
      </w:r>
      <w:proofErr w:type="spellStart"/>
      <w:r w:rsidR="003B7A0D" w:rsidRPr="003B7A0D">
        <w:rPr>
          <w:rFonts w:ascii="Times New Roman" w:hAnsi="Times New Roman" w:cs="Times New Roman"/>
          <w:i/>
          <w:sz w:val="28"/>
          <w:szCs w:val="28"/>
        </w:rPr>
        <w:t>governance</w:t>
      </w:r>
      <w:proofErr w:type="spellEnd"/>
      <w:r w:rsidR="003B7A0D">
        <w:rPr>
          <w:rFonts w:ascii="Times New Roman" w:hAnsi="Times New Roman" w:cs="Times New Roman"/>
          <w:sz w:val="28"/>
          <w:szCs w:val="28"/>
        </w:rPr>
        <w:t xml:space="preserve"> delle città tenendo conto delle loro differenze: grandi e piccole città; conurbazioni urbane ultra comunali e talvolta ultra</w:t>
      </w:r>
      <w:r w:rsidR="00D0347C">
        <w:rPr>
          <w:rFonts w:ascii="Times New Roman" w:hAnsi="Times New Roman" w:cs="Times New Roman"/>
          <w:sz w:val="28"/>
          <w:szCs w:val="28"/>
        </w:rPr>
        <w:t>-</w:t>
      </w:r>
      <w:r w:rsidR="003B7A0D">
        <w:rPr>
          <w:rFonts w:ascii="Times New Roman" w:hAnsi="Times New Roman" w:cs="Times New Roman"/>
          <w:sz w:val="28"/>
          <w:szCs w:val="28"/>
        </w:rPr>
        <w:t xml:space="preserve">provinciali. </w:t>
      </w:r>
    </w:p>
    <w:p w14:paraId="539C4CA2" w14:textId="4ED8716F" w:rsidR="003B7A0D" w:rsidRDefault="003B7A0D" w:rsidP="00D20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L’esperienza della città metropolitana</w:t>
      </w:r>
      <w:r w:rsidR="0048091D">
        <w:rPr>
          <w:rFonts w:ascii="Times New Roman" w:hAnsi="Times New Roman" w:cs="Times New Roman"/>
          <w:sz w:val="28"/>
          <w:szCs w:val="28"/>
        </w:rPr>
        <w:t>, travagliata sin dalle origini, non ha trovato uno sbocco razionale e soddisfacente: si è rimasti a metà tra province e aree metropolitane, non si è proceduto a una riorganizzazione degli enti strumentali sul territorio.</w:t>
      </w:r>
    </w:p>
    <w:p w14:paraId="570B5848" w14:textId="5D21E119" w:rsidR="0048091D" w:rsidRDefault="00806AB2" w:rsidP="00D20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Tutto questo per dire che</w:t>
      </w:r>
      <w:r w:rsidR="0048091D">
        <w:rPr>
          <w:rFonts w:ascii="Times New Roman" w:hAnsi="Times New Roman" w:cs="Times New Roman"/>
          <w:sz w:val="28"/>
          <w:szCs w:val="28"/>
        </w:rPr>
        <w:t xml:space="preserve"> </w:t>
      </w:r>
      <w:r w:rsidR="0048091D" w:rsidRPr="00806AB2">
        <w:rPr>
          <w:rFonts w:ascii="Times New Roman" w:hAnsi="Times New Roman" w:cs="Times New Roman"/>
          <w:sz w:val="28"/>
          <w:szCs w:val="28"/>
        </w:rPr>
        <w:t>amministrare una città è molto difficile.</w:t>
      </w:r>
      <w:r w:rsidR="0048091D">
        <w:rPr>
          <w:rFonts w:ascii="Times New Roman" w:hAnsi="Times New Roman" w:cs="Times New Roman"/>
          <w:sz w:val="28"/>
          <w:szCs w:val="28"/>
        </w:rPr>
        <w:t xml:space="preserve"> Le difficoltà variano da città a città a seconda delle loro dimensioni, della loro collocazione geografica, della condizione economica e di sviluppo di coloro che la abitano.</w:t>
      </w:r>
    </w:p>
    <w:p w14:paraId="41A9F2B8" w14:textId="3258FCC7" w:rsidR="00232446" w:rsidRDefault="0048091D" w:rsidP="00E37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Però amministrare una città vuol di</w:t>
      </w:r>
      <w:r w:rsidR="009E74C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e, per l’appunto, amministrarla, cioè occuparsi di cose quotidiane, grandi e piccole, perché la città è un “sistema”.</w:t>
      </w:r>
      <w:r w:rsidR="009E74C4">
        <w:rPr>
          <w:rFonts w:ascii="Times New Roman" w:hAnsi="Times New Roman" w:cs="Times New Roman"/>
          <w:sz w:val="28"/>
          <w:szCs w:val="28"/>
        </w:rPr>
        <w:t xml:space="preserve"> E </w:t>
      </w:r>
      <w:r w:rsidR="009E74C4" w:rsidRPr="00806AB2">
        <w:rPr>
          <w:rFonts w:ascii="Times New Roman" w:hAnsi="Times New Roman" w:cs="Times New Roman"/>
          <w:i/>
          <w:sz w:val="28"/>
          <w:szCs w:val="28"/>
        </w:rPr>
        <w:t>fare</w:t>
      </w:r>
      <w:r w:rsidR="009E74C4" w:rsidRPr="00806AB2">
        <w:rPr>
          <w:rFonts w:ascii="Times New Roman" w:hAnsi="Times New Roman" w:cs="Times New Roman"/>
          <w:sz w:val="28"/>
          <w:szCs w:val="28"/>
        </w:rPr>
        <w:t xml:space="preserve"> </w:t>
      </w:r>
      <w:r w:rsidR="009E74C4" w:rsidRPr="00806AB2">
        <w:rPr>
          <w:rFonts w:ascii="Times New Roman" w:hAnsi="Times New Roman" w:cs="Times New Roman"/>
          <w:i/>
          <w:sz w:val="28"/>
          <w:szCs w:val="28"/>
        </w:rPr>
        <w:t>politica</w:t>
      </w:r>
      <w:r w:rsidR="009E74C4" w:rsidRPr="00806AB2">
        <w:rPr>
          <w:rFonts w:ascii="Times New Roman" w:hAnsi="Times New Roman" w:cs="Times New Roman"/>
          <w:sz w:val="28"/>
          <w:szCs w:val="28"/>
        </w:rPr>
        <w:t xml:space="preserve"> in una città</w:t>
      </w:r>
      <w:r w:rsidR="009E74C4">
        <w:rPr>
          <w:rFonts w:ascii="Times New Roman" w:hAnsi="Times New Roman" w:cs="Times New Roman"/>
          <w:sz w:val="28"/>
          <w:szCs w:val="28"/>
        </w:rPr>
        <w:t xml:space="preserve"> dovrebbe significare non tanto occuparsi di </w:t>
      </w:r>
      <w:r w:rsidR="00F30134">
        <w:rPr>
          <w:rFonts w:ascii="Times New Roman" w:hAnsi="Times New Roman" w:cs="Times New Roman"/>
          <w:sz w:val="28"/>
          <w:szCs w:val="28"/>
        </w:rPr>
        <w:t>cose massime</w:t>
      </w:r>
      <w:r w:rsidR="009E74C4">
        <w:rPr>
          <w:rFonts w:ascii="Times New Roman" w:hAnsi="Times New Roman" w:cs="Times New Roman"/>
          <w:sz w:val="28"/>
          <w:szCs w:val="28"/>
        </w:rPr>
        <w:t xml:space="preserve">, ma </w:t>
      </w:r>
      <w:r w:rsidR="009E74C4" w:rsidRPr="0027586E">
        <w:rPr>
          <w:rFonts w:ascii="Times New Roman" w:hAnsi="Times New Roman" w:cs="Times New Roman"/>
          <w:i/>
          <w:sz w:val="28"/>
          <w:szCs w:val="28"/>
        </w:rPr>
        <w:t>amministrare</w:t>
      </w:r>
      <w:r w:rsidR="009E74C4">
        <w:rPr>
          <w:rFonts w:ascii="Times New Roman" w:hAnsi="Times New Roman" w:cs="Times New Roman"/>
          <w:sz w:val="28"/>
          <w:szCs w:val="28"/>
        </w:rPr>
        <w:t xml:space="preserve"> la città.</w:t>
      </w:r>
    </w:p>
    <w:p w14:paraId="4FDB4D5E" w14:textId="7932BC48" w:rsidR="00F62DE8" w:rsidRPr="00F62DE8" w:rsidRDefault="00E64023" w:rsidP="00F62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B2">
        <w:rPr>
          <w:rFonts w:ascii="Times New Roman" w:hAnsi="Times New Roman" w:cs="Times New Roman"/>
          <w:sz w:val="28"/>
          <w:szCs w:val="28"/>
        </w:rPr>
        <w:t>Per concludere.</w:t>
      </w:r>
      <w:r>
        <w:rPr>
          <w:rFonts w:ascii="Times New Roman" w:hAnsi="Times New Roman" w:cs="Times New Roman"/>
          <w:sz w:val="28"/>
          <w:szCs w:val="28"/>
        </w:rPr>
        <w:t xml:space="preserve"> La città è e sempre sarà, pur nelle sue varietà e variazioni morfologiche, </w:t>
      </w:r>
      <w:r w:rsidRPr="00806AB2">
        <w:rPr>
          <w:rFonts w:ascii="Times New Roman" w:hAnsi="Times New Roman" w:cs="Times New Roman"/>
          <w:sz w:val="28"/>
          <w:szCs w:val="28"/>
        </w:rPr>
        <w:t>un luogo di gestione dei servizi ai cittadini e di partecipazione civica di questi ultimi al governo della propria comunità</w:t>
      </w:r>
      <w:r>
        <w:rPr>
          <w:rFonts w:ascii="Times New Roman" w:hAnsi="Times New Roman" w:cs="Times New Roman"/>
          <w:sz w:val="28"/>
          <w:szCs w:val="28"/>
        </w:rPr>
        <w:t xml:space="preserve">. E uso il termine comunità e non società. Non solo perché comunità si attaglia meglio alle realtà locali, </w:t>
      </w:r>
      <w:r w:rsidR="00F62DE8">
        <w:rPr>
          <w:rFonts w:ascii="Times New Roman" w:hAnsi="Times New Roman" w:cs="Times New Roman"/>
          <w:sz w:val="28"/>
          <w:szCs w:val="28"/>
        </w:rPr>
        <w:t>ma perché la “comunità” rende</w:t>
      </w:r>
      <w:r w:rsidR="00F62DE8" w:rsidRPr="00F62DE8">
        <w:rPr>
          <w:rFonts w:ascii="Times New Roman" w:hAnsi="Times New Roman" w:cs="Times New Roman"/>
          <w:sz w:val="28"/>
          <w:szCs w:val="28"/>
        </w:rPr>
        <w:t xml:space="preserve"> meglio l’idea di un luogo di persone che </w:t>
      </w:r>
      <w:r w:rsidR="00F62DE8" w:rsidRPr="00F62DE8">
        <w:rPr>
          <w:rFonts w:ascii="Times New Roman" w:hAnsi="Times New Roman" w:cs="Times New Roman"/>
          <w:i/>
          <w:sz w:val="28"/>
          <w:szCs w:val="28"/>
        </w:rPr>
        <w:t>vogliono</w:t>
      </w:r>
      <w:r w:rsidR="00F62DE8" w:rsidRPr="00F62DE8">
        <w:rPr>
          <w:rFonts w:ascii="Times New Roman" w:hAnsi="Times New Roman" w:cs="Times New Roman"/>
          <w:sz w:val="28"/>
          <w:szCs w:val="28"/>
        </w:rPr>
        <w:t xml:space="preserve"> vivere insieme, </w:t>
      </w:r>
      <w:r w:rsidR="00F62DE8" w:rsidRPr="00F62DE8">
        <w:rPr>
          <w:rFonts w:ascii="Times New Roman" w:hAnsi="Times New Roman" w:cs="Times New Roman"/>
          <w:sz w:val="28"/>
          <w:szCs w:val="28"/>
        </w:rPr>
        <w:lastRenderedPageBreak/>
        <w:t xml:space="preserve">nell’accezione sociologica della nota contrapposizione di Ferdinand </w:t>
      </w:r>
      <w:proofErr w:type="spellStart"/>
      <w:r w:rsidR="00F62DE8" w:rsidRPr="00F62DE8">
        <w:rPr>
          <w:rFonts w:ascii="Times New Roman" w:hAnsi="Times New Roman" w:cs="Times New Roman"/>
          <w:sz w:val="28"/>
          <w:szCs w:val="28"/>
        </w:rPr>
        <w:t>Tonnies</w:t>
      </w:r>
      <w:proofErr w:type="spellEnd"/>
      <w:r w:rsidR="00F62DE8" w:rsidRPr="00F62DE8">
        <w:rPr>
          <w:rFonts w:ascii="Times New Roman" w:hAnsi="Times New Roman" w:cs="Times New Roman"/>
          <w:sz w:val="28"/>
          <w:szCs w:val="28"/>
        </w:rPr>
        <w:t xml:space="preserve"> tra </w:t>
      </w:r>
      <w:proofErr w:type="spellStart"/>
      <w:r w:rsidR="00F62DE8" w:rsidRPr="00F62DE8">
        <w:rPr>
          <w:rFonts w:ascii="Times New Roman" w:hAnsi="Times New Roman" w:cs="Times New Roman"/>
          <w:i/>
          <w:sz w:val="28"/>
          <w:szCs w:val="28"/>
        </w:rPr>
        <w:t>Gesellschaft</w:t>
      </w:r>
      <w:proofErr w:type="spellEnd"/>
      <w:r w:rsidR="00F62DE8" w:rsidRPr="00F62DE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62DE8" w:rsidRPr="00F62DE8">
        <w:rPr>
          <w:rFonts w:ascii="Times New Roman" w:hAnsi="Times New Roman" w:cs="Times New Roman"/>
          <w:i/>
          <w:sz w:val="28"/>
          <w:szCs w:val="28"/>
        </w:rPr>
        <w:t>Gemeischaft</w:t>
      </w:r>
      <w:proofErr w:type="spellEnd"/>
      <w:r w:rsidR="00F62DE8" w:rsidRPr="00F62DE8">
        <w:rPr>
          <w:rFonts w:ascii="Times New Roman" w:hAnsi="Times New Roman" w:cs="Times New Roman"/>
          <w:sz w:val="28"/>
          <w:szCs w:val="28"/>
        </w:rPr>
        <w:t xml:space="preserve"> (1887)</w:t>
      </w:r>
      <w:r w:rsidR="00F62DE8" w:rsidRPr="00F62DE8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="00F62DE8" w:rsidRPr="00F62DE8">
        <w:rPr>
          <w:rFonts w:ascii="Times New Roman" w:hAnsi="Times New Roman" w:cs="Times New Roman"/>
          <w:sz w:val="28"/>
          <w:szCs w:val="28"/>
        </w:rPr>
        <w:t>.</w:t>
      </w:r>
    </w:p>
    <w:p w14:paraId="06A64714" w14:textId="32E2B9A0" w:rsidR="00232446" w:rsidRDefault="00F62DE8" w:rsidP="00232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B2">
        <w:rPr>
          <w:rFonts w:ascii="Times New Roman" w:hAnsi="Times New Roman" w:cs="Times New Roman"/>
          <w:sz w:val="28"/>
          <w:szCs w:val="28"/>
        </w:rPr>
        <w:t>La città può essere il luogo privilegiato della</w:t>
      </w:r>
      <w:r w:rsidR="00232446" w:rsidRPr="00806AB2">
        <w:rPr>
          <w:rFonts w:ascii="Times New Roman" w:hAnsi="Times New Roman" w:cs="Times New Roman"/>
          <w:sz w:val="28"/>
          <w:szCs w:val="28"/>
        </w:rPr>
        <w:t xml:space="preserve"> democrazia partecipata,</w:t>
      </w:r>
      <w:r w:rsidR="00232446" w:rsidRPr="0023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 si muove</w:t>
      </w:r>
      <w:r w:rsidR="00232446" w:rsidRPr="00232446">
        <w:rPr>
          <w:rFonts w:ascii="Times New Roman" w:hAnsi="Times New Roman" w:cs="Times New Roman"/>
          <w:sz w:val="28"/>
          <w:szCs w:val="28"/>
        </w:rPr>
        <w:t xml:space="preserve"> soprattutto sul</w:t>
      </w:r>
      <w:r>
        <w:rPr>
          <w:rFonts w:ascii="Times New Roman" w:hAnsi="Times New Roman" w:cs="Times New Roman"/>
          <w:sz w:val="28"/>
          <w:szCs w:val="28"/>
        </w:rPr>
        <w:t xml:space="preserve"> terreno delle autonomie locali;</w:t>
      </w:r>
      <w:r w:rsidR="00232446" w:rsidRPr="00232446">
        <w:rPr>
          <w:rFonts w:ascii="Times New Roman" w:hAnsi="Times New Roman" w:cs="Times New Roman"/>
          <w:sz w:val="28"/>
          <w:szCs w:val="28"/>
        </w:rPr>
        <w:t xml:space="preserve"> può essere l’innesto moderno e vitale di cui ha estremo bisogno, nelle attuali condizioni, la democrazia rappresentativa, cioè, il cittadino non suddito</w:t>
      </w:r>
      <w:r>
        <w:rPr>
          <w:rFonts w:ascii="Times New Roman" w:hAnsi="Times New Roman" w:cs="Times New Roman"/>
          <w:sz w:val="28"/>
          <w:szCs w:val="28"/>
        </w:rPr>
        <w:t>, che però nemmeno sia il</w:t>
      </w:r>
      <w:r w:rsidR="00232446" w:rsidRPr="00232446">
        <w:rPr>
          <w:rFonts w:ascii="Times New Roman" w:hAnsi="Times New Roman" w:cs="Times New Roman"/>
          <w:sz w:val="28"/>
          <w:szCs w:val="28"/>
        </w:rPr>
        <w:t xml:space="preserve"> cittadino “totale”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2446" w:rsidRPr="00232446">
        <w:rPr>
          <w:rFonts w:ascii="Times New Roman" w:hAnsi="Times New Roman" w:cs="Times New Roman"/>
          <w:sz w:val="28"/>
          <w:szCs w:val="28"/>
        </w:rPr>
        <w:t xml:space="preserve"> cui condurrebbe l’abbandono del modello rappresentativo</w:t>
      </w:r>
      <w:r w:rsidR="00FE088F">
        <w:rPr>
          <w:rFonts w:ascii="Times New Roman" w:hAnsi="Times New Roman" w:cs="Times New Roman"/>
          <w:sz w:val="28"/>
          <w:szCs w:val="28"/>
        </w:rPr>
        <w:t>. C</w:t>
      </w:r>
      <w:r w:rsidR="00232446" w:rsidRPr="00232446">
        <w:rPr>
          <w:rFonts w:ascii="Times New Roman" w:hAnsi="Times New Roman" w:cs="Times New Roman"/>
          <w:sz w:val="28"/>
          <w:szCs w:val="28"/>
        </w:rPr>
        <w:t xml:space="preserve">ome ammoniva Norberto Bobbio, “il cittadino totale non è a ben guardare che l’altra faccia, non meno minacciosa, dello Stato totale […] perché hanno in comune […] che tutto è politica, ovvero la riduzione di tutti gli interessi umani agli interessi della </w:t>
      </w:r>
      <w:r w:rsidR="00232446" w:rsidRPr="00232446">
        <w:rPr>
          <w:rFonts w:ascii="Times New Roman" w:hAnsi="Times New Roman" w:cs="Times New Roman"/>
          <w:i/>
          <w:sz w:val="28"/>
          <w:szCs w:val="28"/>
        </w:rPr>
        <w:t>polis</w:t>
      </w:r>
      <w:r w:rsidR="00232446" w:rsidRPr="00232446">
        <w:rPr>
          <w:rFonts w:ascii="Times New Roman" w:hAnsi="Times New Roman" w:cs="Times New Roman"/>
          <w:sz w:val="28"/>
          <w:szCs w:val="28"/>
        </w:rPr>
        <w:t>, la politicizzazione integrale dell’uomo, la risoluzione dell’uomo nel cittadino”</w:t>
      </w:r>
      <w:r w:rsidR="00232446" w:rsidRPr="00232446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="00232446" w:rsidRPr="00232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Mentre è bene che le due </w:t>
      </w:r>
      <w:proofErr w:type="gramStart"/>
      <w:r w:rsidR="00FE088F">
        <w:rPr>
          <w:rFonts w:ascii="Times New Roman" w:hAnsi="Times New Roman" w:cs="Times New Roman"/>
          <w:sz w:val="28"/>
          <w:szCs w:val="28"/>
        </w:rPr>
        <w:t xml:space="preserve">entità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cittadino e </w:t>
      </w:r>
      <w:r w:rsidR="00FE088F">
        <w:rPr>
          <w:rFonts w:ascii="Times New Roman" w:hAnsi="Times New Roman" w:cs="Times New Roman"/>
          <w:sz w:val="28"/>
          <w:szCs w:val="28"/>
        </w:rPr>
        <w:t xml:space="preserve">individuo </w:t>
      </w:r>
      <w:r>
        <w:rPr>
          <w:rFonts w:ascii="Times New Roman" w:hAnsi="Times New Roman" w:cs="Times New Roman"/>
          <w:sz w:val="28"/>
          <w:szCs w:val="28"/>
        </w:rPr>
        <w:t>- si integrino ma non si annullino l’uno nell’altro.</w:t>
      </w:r>
    </w:p>
    <w:p w14:paraId="77C55851" w14:textId="10157BD3" w:rsidR="00806AB2" w:rsidRPr="00232446" w:rsidRDefault="00806AB2" w:rsidP="00232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Partire dalle città per ricostruire il Paese: si può.</w:t>
      </w:r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2"/>
      </w:r>
    </w:p>
    <w:p w14:paraId="2B42CD81" w14:textId="77777777" w:rsidR="00232446" w:rsidRPr="00986119" w:rsidRDefault="00232446" w:rsidP="00232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8BEFCF" w14:textId="77777777" w:rsidR="00E854AB" w:rsidRDefault="00E854AB" w:rsidP="00986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BB15D" w14:textId="77777777" w:rsidR="00BD5EFE" w:rsidRPr="0072081A" w:rsidRDefault="00BD5EFE" w:rsidP="007208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EFE" w:rsidRPr="0072081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DF71" w14:textId="77777777" w:rsidR="001E686B" w:rsidRDefault="001E686B" w:rsidP="00336B3A">
      <w:pPr>
        <w:spacing w:after="0" w:line="240" w:lineRule="auto"/>
      </w:pPr>
      <w:r>
        <w:separator/>
      </w:r>
    </w:p>
  </w:endnote>
  <w:endnote w:type="continuationSeparator" w:id="0">
    <w:p w14:paraId="14FFBC8A" w14:textId="77777777" w:rsidR="001E686B" w:rsidRDefault="001E686B" w:rsidP="0033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2045" w14:textId="51B5B672" w:rsidR="00BF2EE9" w:rsidRPr="00BF2EE9" w:rsidRDefault="00BF2EE9">
    <w:pPr>
      <w:pStyle w:val="Pidipagina"/>
      <w:jc w:val="center"/>
      <w:rPr>
        <w:caps/>
      </w:rPr>
    </w:pPr>
    <w:r w:rsidRPr="00BF2EE9">
      <w:rPr>
        <w:caps/>
      </w:rPr>
      <w:fldChar w:fldCharType="begin"/>
    </w:r>
    <w:r w:rsidRPr="00BF2EE9">
      <w:rPr>
        <w:caps/>
      </w:rPr>
      <w:instrText>PAGE   \* MERGEFORMAT</w:instrText>
    </w:r>
    <w:r w:rsidRPr="00BF2EE9">
      <w:rPr>
        <w:caps/>
      </w:rPr>
      <w:fldChar w:fldCharType="separate"/>
    </w:r>
    <w:r w:rsidR="00070858">
      <w:rPr>
        <w:caps/>
        <w:noProof/>
      </w:rPr>
      <w:t>6</w:t>
    </w:r>
    <w:r w:rsidRPr="00BF2EE9">
      <w:rPr>
        <w:caps/>
      </w:rPr>
      <w:fldChar w:fldCharType="end"/>
    </w:r>
  </w:p>
  <w:p w14:paraId="5F3FF193" w14:textId="77777777" w:rsidR="00BF2EE9" w:rsidRDefault="00BF2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77F0" w14:textId="77777777" w:rsidR="001E686B" w:rsidRDefault="001E686B" w:rsidP="00336B3A">
      <w:pPr>
        <w:spacing w:after="0" w:line="240" w:lineRule="auto"/>
      </w:pPr>
      <w:r>
        <w:separator/>
      </w:r>
    </w:p>
  </w:footnote>
  <w:footnote w:type="continuationSeparator" w:id="0">
    <w:p w14:paraId="0BC8ED6E" w14:textId="77777777" w:rsidR="001E686B" w:rsidRDefault="001E686B" w:rsidP="00336B3A">
      <w:pPr>
        <w:spacing w:after="0" w:line="240" w:lineRule="auto"/>
      </w:pPr>
      <w:r>
        <w:continuationSeparator/>
      </w:r>
    </w:p>
  </w:footnote>
  <w:footnote w:id="1">
    <w:p w14:paraId="18D7C3EB" w14:textId="77777777" w:rsidR="00070858" w:rsidRDefault="00070858" w:rsidP="00070858">
      <w:pPr>
        <w:pStyle w:val="Default"/>
      </w:pPr>
      <w:r>
        <w:rPr>
          <w:rStyle w:val="Rimandonotaapidipagina"/>
        </w:rPr>
        <w:footnoteRef/>
      </w:r>
      <w:r>
        <w:t xml:space="preserve"> </w:t>
      </w:r>
      <w:r w:rsidRPr="0015251F">
        <w:rPr>
          <w:rFonts w:ascii="Times New Roman" w:hAnsi="Times New Roman" w:cs="Times New Roman"/>
          <w:color w:val="auto"/>
          <w:sz w:val="20"/>
          <w:szCs w:val="20"/>
        </w:rPr>
        <w:t xml:space="preserve">Riflessioni conclusive al </w:t>
      </w:r>
      <w:proofErr w:type="spellStart"/>
      <w:r w:rsidRPr="0015251F">
        <w:rPr>
          <w:rFonts w:ascii="Times New Roman" w:hAnsi="Times New Roman" w:cs="Times New Roman"/>
          <w:color w:val="auto"/>
          <w:sz w:val="20"/>
          <w:szCs w:val="20"/>
        </w:rPr>
        <w:t>Webinar</w:t>
      </w:r>
      <w:proofErr w:type="spellEnd"/>
      <w:r w:rsidRPr="0015251F">
        <w:rPr>
          <w:rFonts w:ascii="Times New Roman" w:hAnsi="Times New Roman" w:cs="Times New Roman"/>
          <w:color w:val="auto"/>
          <w:sz w:val="20"/>
          <w:szCs w:val="20"/>
        </w:rPr>
        <w:t xml:space="preserve"> organizzato da </w:t>
      </w:r>
      <w:r w:rsidRPr="0015251F">
        <w:rPr>
          <w:rFonts w:ascii="Times New Roman" w:hAnsi="Times New Roman" w:cs="Times New Roman"/>
          <w:i/>
          <w:color w:val="auto"/>
          <w:sz w:val="20"/>
          <w:szCs w:val="20"/>
        </w:rPr>
        <w:t xml:space="preserve">Il </w:t>
      </w:r>
      <w:proofErr w:type="gramStart"/>
      <w:r w:rsidRPr="0015251F">
        <w:rPr>
          <w:rFonts w:ascii="Times New Roman" w:hAnsi="Times New Roman" w:cs="Times New Roman"/>
          <w:i/>
          <w:color w:val="auto"/>
          <w:sz w:val="20"/>
          <w:szCs w:val="20"/>
        </w:rPr>
        <w:t>Sabato</w:t>
      </w:r>
      <w:proofErr w:type="gramEnd"/>
      <w:r w:rsidRPr="0015251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delle idee, Fondazione Salvatore</w:t>
      </w:r>
      <w:r w:rsidRPr="0015251F">
        <w:rPr>
          <w:rFonts w:ascii="Times New Roman" w:hAnsi="Times New Roman" w:cs="Times New Roman"/>
          <w:color w:val="auto"/>
          <w:sz w:val="20"/>
          <w:szCs w:val="20"/>
        </w:rPr>
        <w:t xml:space="preserve"> - Napoli 24 </w:t>
      </w:r>
      <w:r>
        <w:rPr>
          <w:rFonts w:ascii="Times New Roman" w:hAnsi="Times New Roman" w:cs="Times New Roman"/>
          <w:color w:val="auto"/>
          <w:sz w:val="20"/>
          <w:szCs w:val="20"/>
        </w:rPr>
        <w:t>aprile 2021</w:t>
      </w:r>
      <w:r w:rsidRPr="0015251F">
        <w:rPr>
          <w:rFonts w:ascii="Times New Roman" w:hAnsi="Times New Roman" w:cs="Times New Roman"/>
          <w:color w:val="auto"/>
          <w:sz w:val="20"/>
          <w:szCs w:val="20"/>
        </w:rPr>
        <w:t>.</w:t>
      </w:r>
    </w:p>
  </w:footnote>
  <w:footnote w:id="2">
    <w:p w14:paraId="1F98DB5E" w14:textId="4D0674D9" w:rsidR="00D56995" w:rsidRPr="00B86E62" w:rsidRDefault="00D56995" w:rsidP="00B86E62">
      <w:pPr>
        <w:pStyle w:val="Testonotaapidipagina"/>
        <w:jc w:val="both"/>
        <w:rPr>
          <w:rFonts w:ascii="Times New Roman" w:hAnsi="Times New Roman" w:cs="Times New Roman"/>
        </w:rPr>
      </w:pPr>
      <w:r w:rsidRPr="00B86E62">
        <w:rPr>
          <w:rStyle w:val="Rimandonotaapidipagina"/>
          <w:rFonts w:ascii="Times New Roman" w:hAnsi="Times New Roman" w:cs="Times New Roman"/>
        </w:rPr>
        <w:footnoteRef/>
      </w:r>
      <w:r w:rsidRPr="00B86E62">
        <w:rPr>
          <w:rFonts w:ascii="Times New Roman" w:hAnsi="Times New Roman" w:cs="Times New Roman"/>
        </w:rPr>
        <w:t xml:space="preserve"> </w:t>
      </w:r>
      <w:r w:rsidR="004E6854">
        <w:rPr>
          <w:rFonts w:ascii="Times New Roman" w:hAnsi="Times New Roman" w:cs="Times New Roman"/>
        </w:rPr>
        <w:t>Q</w:t>
      </w:r>
      <w:r w:rsidRPr="001F4F79">
        <w:rPr>
          <w:rFonts w:ascii="Times New Roman" w:hAnsi="Times New Roman" w:cs="Times New Roman"/>
        </w:rPr>
        <w:t>uesti dati</w:t>
      </w:r>
      <w:r w:rsidR="004E6854">
        <w:rPr>
          <w:rFonts w:ascii="Times New Roman" w:hAnsi="Times New Roman" w:cs="Times New Roman"/>
        </w:rPr>
        <w:t xml:space="preserve"> sono disponibili all’indirizzo </w:t>
      </w:r>
      <w:hyperlink r:id="rId1" w:history="1">
        <w:r w:rsidRPr="001F4F79">
          <w:rPr>
            <w:rStyle w:val="Collegamentoipertestuale"/>
            <w:rFonts w:ascii="Times New Roman" w:hAnsi="Times New Roman" w:cs="Times New Roman"/>
          </w:rPr>
          <w:t>https://unric.org/it/obiettivo-11-rendere-le-citta-e-gli-insediamenti-umani-inclusivi-sicuri-duraturi-e-sostenibili/</w:t>
        </w:r>
      </w:hyperlink>
    </w:p>
  </w:footnote>
  <w:footnote w:id="3">
    <w:p w14:paraId="2EB65144" w14:textId="66F16510" w:rsidR="00186F7E" w:rsidRPr="001F4F79" w:rsidRDefault="00186F7E" w:rsidP="00D56995">
      <w:pPr>
        <w:pStyle w:val="Testonotaapidipagina"/>
        <w:jc w:val="both"/>
        <w:rPr>
          <w:rFonts w:ascii="Times New Roman" w:hAnsi="Times New Roman" w:cs="Times New Roman"/>
        </w:rPr>
      </w:pPr>
      <w:r w:rsidRPr="001F4F79">
        <w:rPr>
          <w:rStyle w:val="Rimandonotaapidipagina"/>
          <w:rFonts w:ascii="Times New Roman" w:hAnsi="Times New Roman" w:cs="Times New Roman"/>
        </w:rPr>
        <w:footnoteRef/>
      </w:r>
      <w:r w:rsidRPr="001F4F79">
        <w:rPr>
          <w:rFonts w:ascii="Times New Roman" w:hAnsi="Times New Roman" w:cs="Times New Roman"/>
        </w:rPr>
        <w:t xml:space="preserve"> L’agenda è un programma d’azione per le persone, il pianeta e la prosperità</w:t>
      </w:r>
      <w:r w:rsidR="00CF4BCA" w:rsidRPr="001F4F79">
        <w:rPr>
          <w:rFonts w:ascii="Times New Roman" w:hAnsi="Times New Roman" w:cs="Times New Roman"/>
        </w:rPr>
        <w:t xml:space="preserve"> articolata in 17 macro-obiettivi e </w:t>
      </w:r>
      <w:r w:rsidRPr="001F4F79">
        <w:rPr>
          <w:rFonts w:ascii="Times New Roman" w:hAnsi="Times New Roman" w:cs="Times New Roman"/>
        </w:rPr>
        <w:t xml:space="preserve"> </w:t>
      </w:r>
      <w:r w:rsidR="00CF4BCA" w:rsidRPr="001F4F79">
        <w:rPr>
          <w:rFonts w:ascii="Times New Roman" w:hAnsi="Times New Roman" w:cs="Times New Roman"/>
        </w:rPr>
        <w:t>169 target che danno seguito ai risultati degli Obiettivi di Sviluppo del Millennio (</w:t>
      </w:r>
      <w:r w:rsidR="00CF4BCA" w:rsidRPr="001F4F79">
        <w:rPr>
          <w:rFonts w:ascii="Times New Roman" w:hAnsi="Times New Roman" w:cs="Times New Roman"/>
          <w:i/>
        </w:rPr>
        <w:t xml:space="preserve">Millennium Development </w:t>
      </w:r>
      <w:proofErr w:type="spellStart"/>
      <w:r w:rsidR="00CF4BCA" w:rsidRPr="001F4F79">
        <w:rPr>
          <w:rFonts w:ascii="Times New Roman" w:hAnsi="Times New Roman" w:cs="Times New Roman"/>
          <w:i/>
        </w:rPr>
        <w:t>Goals</w:t>
      </w:r>
      <w:proofErr w:type="spellEnd"/>
      <w:r w:rsidR="00CF4BCA" w:rsidRPr="001F4F79">
        <w:rPr>
          <w:rFonts w:ascii="Times New Roman" w:hAnsi="Times New Roman" w:cs="Times New Roman"/>
        </w:rPr>
        <w:t xml:space="preserve">) e rappresentano </w:t>
      </w:r>
      <w:r w:rsidR="00D56995" w:rsidRPr="001F4F79">
        <w:rPr>
          <w:rFonts w:ascii="Times New Roman" w:hAnsi="Times New Roman" w:cs="Times New Roman"/>
        </w:rPr>
        <w:t xml:space="preserve">impegni </w:t>
      </w:r>
      <w:r w:rsidR="00CF4BCA" w:rsidRPr="001F4F79">
        <w:rPr>
          <w:rFonts w:ascii="Times New Roman" w:hAnsi="Times New Roman" w:cs="Times New Roman"/>
        </w:rPr>
        <w:t xml:space="preserve"> comuni su  questioni quali la lotta alla povertà, l’eliminazione della fame e il contrasto al cambiamento climatico</w:t>
      </w:r>
      <w:r w:rsidR="00D56995" w:rsidRPr="001F4F79">
        <w:rPr>
          <w:rFonts w:ascii="Times New Roman" w:hAnsi="Times New Roman" w:cs="Times New Roman"/>
        </w:rPr>
        <w:t xml:space="preserve">; </w:t>
      </w:r>
      <w:r w:rsidR="00CF4BCA" w:rsidRPr="00B86E62">
        <w:rPr>
          <w:rFonts w:ascii="Times New Roman" w:hAnsi="Times New Roman" w:cs="Times New Roman"/>
        </w:rPr>
        <w:t xml:space="preserve"> </w:t>
      </w:r>
      <w:hyperlink r:id="rId2" w:history="1">
        <w:r w:rsidRPr="001F4F79">
          <w:rPr>
            <w:rStyle w:val="Collegamentoipertestuale"/>
            <w:rFonts w:ascii="Times New Roman" w:hAnsi="Times New Roman" w:cs="Times New Roman"/>
          </w:rPr>
          <w:t>https://unric.org/it/agenda-2030/</w:t>
        </w:r>
      </w:hyperlink>
    </w:p>
  </w:footnote>
  <w:footnote w:id="4">
    <w:p w14:paraId="2358663C" w14:textId="5644E5CF" w:rsidR="001762A2" w:rsidRPr="00B86E62" w:rsidRDefault="001762A2" w:rsidP="00B86E62">
      <w:pPr>
        <w:pStyle w:val="Testonotaapidipagina"/>
        <w:jc w:val="both"/>
        <w:rPr>
          <w:rStyle w:val="Collegamentoipertestuale"/>
          <w:rFonts w:ascii="Times New Roman" w:hAnsi="Times New Roman" w:cs="Times New Roman"/>
        </w:rPr>
      </w:pPr>
      <w:r w:rsidRPr="00B86E62">
        <w:rPr>
          <w:rStyle w:val="Rimandonotaapidipagina"/>
          <w:rFonts w:ascii="Times New Roman" w:hAnsi="Times New Roman" w:cs="Times New Roman"/>
        </w:rPr>
        <w:footnoteRef/>
      </w:r>
      <w:r w:rsidRPr="00B86E62">
        <w:rPr>
          <w:rStyle w:val="Rimandonotaapidipagina"/>
          <w:rFonts w:ascii="Times New Roman" w:hAnsi="Times New Roman" w:cs="Times New Roman"/>
        </w:rPr>
        <w:t xml:space="preserve"> </w:t>
      </w:r>
      <w:r w:rsidR="007D0B6A">
        <w:rPr>
          <w:rFonts w:ascii="Times New Roman" w:hAnsi="Times New Roman" w:cs="Times New Roman"/>
        </w:rPr>
        <w:t xml:space="preserve">Sul punto si veda </w:t>
      </w:r>
      <w:hyperlink r:id="rId3" w:history="1">
        <w:r w:rsidRPr="001F4F79">
          <w:rPr>
            <w:rStyle w:val="Collegamentoipertestuale"/>
            <w:rFonts w:ascii="Times New Roman" w:hAnsi="Times New Roman" w:cs="Times New Roman"/>
          </w:rPr>
          <w:t>https://sdgs.un.org/goals/goal11</w:t>
        </w:r>
      </w:hyperlink>
    </w:p>
    <w:p w14:paraId="1156DF0C" w14:textId="77777777" w:rsidR="001762A2" w:rsidRPr="001F4F79" w:rsidRDefault="001762A2" w:rsidP="00B86E62">
      <w:pPr>
        <w:pStyle w:val="Testonotaapidipagina"/>
        <w:jc w:val="both"/>
        <w:rPr>
          <w:rStyle w:val="Collegamentoipertestuale"/>
          <w:rFonts w:ascii="Times New Roman" w:hAnsi="Times New Roman" w:cs="Times New Roman"/>
        </w:rPr>
      </w:pPr>
    </w:p>
  </w:footnote>
  <w:footnote w:id="5">
    <w:p w14:paraId="57647DF0" w14:textId="1BACAB1D" w:rsidR="00BB2017" w:rsidRPr="00B86E62" w:rsidRDefault="00BB2017" w:rsidP="00B86E62">
      <w:pPr>
        <w:jc w:val="both"/>
        <w:rPr>
          <w:rStyle w:val="Collegamentoipertestuale"/>
          <w:rFonts w:ascii="Times New Roman" w:hAnsi="Times New Roman" w:cs="Times New Roman"/>
        </w:rPr>
      </w:pPr>
      <w:r w:rsidRPr="00B86E62">
        <w:rPr>
          <w:rStyle w:val="Collegamentoipertestuale"/>
        </w:rPr>
        <w:footnoteRef/>
      </w:r>
      <w:r w:rsidR="007D0B6A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B86E62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https://intelligence.weforum.org/topics/a1Gb0000000LiPhEAK?tab=publications</w:t>
        </w:r>
      </w:hyperlink>
    </w:p>
  </w:footnote>
  <w:footnote w:id="6">
    <w:p w14:paraId="4540554D" w14:textId="77777777" w:rsidR="00405DFB" w:rsidRPr="00B86E62" w:rsidRDefault="00405DFB" w:rsidP="00405DFB">
      <w:pPr>
        <w:pStyle w:val="Testonotaapidipagina"/>
        <w:rPr>
          <w:rStyle w:val="Collegamentoipertestuale"/>
          <w:rFonts w:ascii="Times New Roman" w:hAnsi="Times New Roman" w:cs="Times New Roman"/>
          <w:lang w:val="en-US"/>
        </w:rPr>
      </w:pPr>
      <w:r w:rsidRPr="00B86E62">
        <w:rPr>
          <w:rStyle w:val="Collegamentoipertestuale"/>
          <w:rFonts w:ascii="Times New Roman" w:hAnsi="Times New Roman" w:cs="Times New Roman"/>
        </w:rPr>
        <w:footnoteRef/>
      </w:r>
      <w:r w:rsidRPr="00B86E62">
        <w:rPr>
          <w:rStyle w:val="Collegamentoipertestuale"/>
          <w:rFonts w:ascii="Times New Roman" w:hAnsi="Times New Roman" w:cs="Times New Roman"/>
          <w:lang w:val="en-US"/>
        </w:rPr>
        <w:t xml:space="preserve"> </w:t>
      </w:r>
      <w:hyperlink r:id="rId5" w:history="1">
        <w:r w:rsidRPr="00B86E62">
          <w:rPr>
            <w:rStyle w:val="Collegamentoipertestuale"/>
            <w:rFonts w:ascii="Times New Roman" w:hAnsi="Times New Roman" w:cs="Times New Roman"/>
            <w:lang w:val="en-US"/>
          </w:rPr>
          <w:t>https://www.c40.org/about</w:t>
        </w:r>
      </w:hyperlink>
    </w:p>
    <w:p w14:paraId="50154124" w14:textId="77777777" w:rsidR="00405DFB" w:rsidRPr="00B86E62" w:rsidRDefault="00405DFB" w:rsidP="00405DFB">
      <w:pPr>
        <w:pStyle w:val="Testonotaapidipagina"/>
        <w:rPr>
          <w:rStyle w:val="Collegamentoipertestuale"/>
          <w:rFonts w:ascii="Times New Roman" w:hAnsi="Times New Roman" w:cs="Times New Roman"/>
          <w:lang w:val="en-US"/>
        </w:rPr>
      </w:pPr>
    </w:p>
  </w:footnote>
  <w:footnote w:id="7">
    <w:p w14:paraId="0C707C7C" w14:textId="212C55D4" w:rsidR="00E64023" w:rsidRPr="00273A96" w:rsidRDefault="00E64023" w:rsidP="00E64023">
      <w:pPr>
        <w:pStyle w:val="Testonotaapidipagina"/>
        <w:jc w:val="both"/>
        <w:rPr>
          <w:lang w:val="en-US"/>
        </w:rPr>
      </w:pPr>
      <w:r w:rsidRPr="00854BD1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854BD1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val="en-US"/>
        </w:rPr>
        <w:t xml:space="preserve">L. </w:t>
      </w:r>
      <w:r w:rsidRPr="00B86E62">
        <w:rPr>
          <w:rFonts w:ascii="Times New Roman" w:hAnsi="Times New Roman" w:cs="Times New Roman"/>
          <w:lang w:val="en-US"/>
        </w:rPr>
        <w:t>Hogan</w:t>
      </w:r>
      <w:r>
        <w:rPr>
          <w:rFonts w:ascii="Times New Roman" w:hAnsi="Times New Roman"/>
          <w:smallCaps/>
          <w:sz w:val="22"/>
          <w:szCs w:val="22"/>
          <w:lang w:val="en-US"/>
        </w:rPr>
        <w:t xml:space="preserve">, </w:t>
      </w:r>
      <w:r w:rsidRPr="00854BD1">
        <w:rPr>
          <w:rFonts w:ascii="Times New Roman" w:hAnsi="Times New Roman"/>
          <w:i/>
          <w:sz w:val="22"/>
          <w:szCs w:val="22"/>
          <w:lang w:val="en-US"/>
        </w:rPr>
        <w:t>Dwellings:</w:t>
      </w:r>
      <w:r w:rsidR="00D56995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854BD1">
        <w:rPr>
          <w:rFonts w:ascii="Times New Roman" w:hAnsi="Times New Roman"/>
          <w:i/>
          <w:sz w:val="22"/>
          <w:szCs w:val="22"/>
          <w:lang w:val="en-US"/>
        </w:rPr>
        <w:t xml:space="preserve">a Spiritual History of the Living World, </w:t>
      </w:r>
      <w:r w:rsidRPr="00854BD1">
        <w:rPr>
          <w:rFonts w:ascii="Times New Roman" w:hAnsi="Times New Roman"/>
          <w:sz w:val="22"/>
          <w:szCs w:val="22"/>
          <w:lang w:val="en-US"/>
        </w:rPr>
        <w:t>1996, 89.</w:t>
      </w:r>
    </w:p>
  </w:footnote>
  <w:footnote w:id="8">
    <w:p w14:paraId="07ACEC1A" w14:textId="77777777" w:rsidR="00E64023" w:rsidRPr="00273A96" w:rsidRDefault="00E64023" w:rsidP="00E64023">
      <w:pPr>
        <w:pStyle w:val="Testonotaapidipagina"/>
        <w:jc w:val="both"/>
        <w:rPr>
          <w:rFonts w:ascii="Times New Roman" w:hAnsi="Times New Roman"/>
          <w:sz w:val="22"/>
          <w:szCs w:val="22"/>
        </w:rPr>
      </w:pPr>
      <w:r w:rsidRPr="00273A96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273A96">
        <w:rPr>
          <w:rFonts w:ascii="Times New Roman" w:hAnsi="Times New Roman"/>
          <w:sz w:val="22"/>
          <w:szCs w:val="22"/>
        </w:rPr>
        <w:t xml:space="preserve"> </w:t>
      </w:r>
      <w:r w:rsidRPr="00273A96">
        <w:rPr>
          <w:rFonts w:ascii="Times New Roman" w:hAnsi="Times New Roman"/>
          <w:smallCaps/>
          <w:sz w:val="22"/>
          <w:szCs w:val="22"/>
        </w:rPr>
        <w:t xml:space="preserve">G. </w:t>
      </w:r>
      <w:r w:rsidRPr="00B86E62">
        <w:rPr>
          <w:rFonts w:ascii="Times New Roman" w:hAnsi="Times New Roman" w:cs="Times New Roman"/>
        </w:rPr>
        <w:t>Palma</w:t>
      </w:r>
      <w:r>
        <w:rPr>
          <w:rFonts w:ascii="Times New Roman" w:hAnsi="Times New Roman"/>
          <w:smallCaps/>
          <w:sz w:val="22"/>
          <w:szCs w:val="22"/>
        </w:rPr>
        <w:t xml:space="preserve">, </w:t>
      </w:r>
      <w:r w:rsidRPr="00273A96">
        <w:rPr>
          <w:rFonts w:ascii="Times New Roman" w:hAnsi="Times New Roman"/>
          <w:i/>
          <w:sz w:val="22"/>
          <w:szCs w:val="22"/>
        </w:rPr>
        <w:t xml:space="preserve">Indirizzo politico statale e autonomia comunale. </w:t>
      </w:r>
      <w:r>
        <w:rPr>
          <w:rFonts w:ascii="Times New Roman" w:hAnsi="Times New Roman"/>
          <w:i/>
          <w:sz w:val="22"/>
          <w:szCs w:val="22"/>
        </w:rPr>
        <w:t xml:space="preserve">Vol. 1. Tratti di una parabola concettuale, </w:t>
      </w:r>
      <w:r w:rsidRPr="00273A96">
        <w:rPr>
          <w:rFonts w:ascii="Times New Roman" w:hAnsi="Times New Roman"/>
          <w:sz w:val="22"/>
          <w:szCs w:val="22"/>
        </w:rPr>
        <w:t>Napoli, 1982.</w:t>
      </w:r>
    </w:p>
  </w:footnote>
  <w:footnote w:id="9">
    <w:p w14:paraId="03A6AA80" w14:textId="0B5D5074" w:rsidR="00D0347C" w:rsidRPr="00B86E62" w:rsidRDefault="00D0347C" w:rsidP="00B86E62">
      <w:pPr>
        <w:pStyle w:val="Testonotaapidipagina"/>
        <w:jc w:val="both"/>
        <w:rPr>
          <w:rFonts w:ascii="Times New Roman" w:hAnsi="Times New Roman" w:cs="Times New Roman"/>
        </w:rPr>
      </w:pPr>
      <w:r w:rsidRPr="00B86E62">
        <w:rPr>
          <w:rStyle w:val="Rimandonotaapidipagina"/>
          <w:rFonts w:ascii="Times New Roman" w:hAnsi="Times New Roman" w:cs="Times New Roman"/>
        </w:rPr>
        <w:footnoteRef/>
      </w:r>
      <w:r w:rsidRPr="00B86E62">
        <w:rPr>
          <w:rFonts w:ascii="Times New Roman" w:hAnsi="Times New Roman" w:cs="Times New Roman"/>
        </w:rPr>
        <w:t xml:space="preserve"> Per una rassegna degli interventi normativi che hanno riguardato la finanza locale nel tempo dell’emergenza, si veda </w:t>
      </w:r>
      <w:r w:rsidR="007D0B6A">
        <w:rPr>
          <w:rFonts w:ascii="Times New Roman" w:hAnsi="Times New Roman" w:cs="Times New Roman"/>
        </w:rPr>
        <w:t xml:space="preserve">il documento </w:t>
      </w:r>
      <w:r w:rsidR="007D0B6A" w:rsidRPr="00B86E62">
        <w:rPr>
          <w:rFonts w:ascii="Times New Roman" w:hAnsi="Times New Roman" w:cs="Times New Roman"/>
          <w:i/>
        </w:rPr>
        <w:t>Le entrate delle regioni e degli enti locali</w:t>
      </w:r>
      <w:r w:rsidR="007D0B6A">
        <w:rPr>
          <w:rFonts w:ascii="Times New Roman" w:hAnsi="Times New Roman" w:cs="Times New Roman"/>
        </w:rPr>
        <w:t xml:space="preserve">, </w:t>
      </w:r>
      <w:r w:rsidR="007D0B6A" w:rsidRPr="00E55E94">
        <w:rPr>
          <w:rFonts w:ascii="Times New Roman" w:hAnsi="Times New Roman" w:cs="Times New Roman"/>
        </w:rPr>
        <w:t xml:space="preserve">Camera dei Deputati </w:t>
      </w:r>
      <w:r w:rsidRPr="00B86E62">
        <w:rPr>
          <w:rFonts w:ascii="Times New Roman" w:hAnsi="Times New Roman" w:cs="Times New Roman"/>
        </w:rPr>
        <w:t>Servizio S</w:t>
      </w:r>
      <w:r w:rsidR="007D0B6A" w:rsidRPr="007D0B6A">
        <w:rPr>
          <w:rFonts w:ascii="Times New Roman" w:hAnsi="Times New Roman" w:cs="Times New Roman"/>
        </w:rPr>
        <w:t>tudi</w:t>
      </w:r>
      <w:r w:rsidR="007D0B6A">
        <w:rPr>
          <w:rFonts w:ascii="Times New Roman" w:hAnsi="Times New Roman" w:cs="Times New Roman"/>
        </w:rPr>
        <w:t xml:space="preserve"> febbraio 2021 </w:t>
      </w:r>
      <w:r w:rsidRPr="00B86E62">
        <w:rPr>
          <w:rFonts w:ascii="Times New Roman" w:hAnsi="Times New Roman" w:cs="Times New Roman"/>
        </w:rPr>
        <w:t>https://temi.camera.it/leg18/temi/tl18_il_sistema_delle_entrate_degli_enti_locali.html</w:t>
      </w:r>
    </w:p>
  </w:footnote>
  <w:footnote w:id="10">
    <w:p w14:paraId="2B33DE6D" w14:textId="77777777" w:rsidR="00F62DE8" w:rsidRPr="00B86E62" w:rsidRDefault="00F62DE8" w:rsidP="00F62DE8">
      <w:pPr>
        <w:pStyle w:val="Testonotaapidipagina"/>
        <w:rPr>
          <w:rFonts w:ascii="Times New Roman" w:hAnsi="Times New Roman" w:cs="Times New Roman"/>
          <w:lang w:val="en-US"/>
        </w:rPr>
      </w:pPr>
      <w:r w:rsidRPr="00B86E62">
        <w:rPr>
          <w:rStyle w:val="Rimandonotaapidipagina"/>
          <w:rFonts w:ascii="Times New Roman" w:hAnsi="Times New Roman" w:cs="Times New Roman"/>
        </w:rPr>
        <w:footnoteRef/>
      </w:r>
      <w:r w:rsidRPr="00B86E62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B86E62">
        <w:rPr>
          <w:rFonts w:ascii="Times New Roman" w:hAnsi="Times New Roman" w:cs="Times New Roman"/>
          <w:lang w:val="en-US"/>
        </w:rPr>
        <w:t>Tonnies</w:t>
      </w:r>
      <w:proofErr w:type="spellEnd"/>
      <w:r w:rsidRPr="00B86E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86E62">
        <w:rPr>
          <w:rFonts w:ascii="Times New Roman" w:hAnsi="Times New Roman" w:cs="Times New Roman"/>
          <w:i/>
          <w:lang w:val="en-US"/>
        </w:rPr>
        <w:t>Gemeischaft</w:t>
      </w:r>
      <w:proofErr w:type="spellEnd"/>
      <w:r w:rsidRPr="00B86E62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B86E62">
        <w:rPr>
          <w:rFonts w:ascii="Times New Roman" w:hAnsi="Times New Roman" w:cs="Times New Roman"/>
          <w:i/>
          <w:lang w:val="en-US"/>
        </w:rPr>
        <w:t>Gesellschaft</w:t>
      </w:r>
      <w:proofErr w:type="spellEnd"/>
      <w:r w:rsidRPr="00B86E62">
        <w:rPr>
          <w:rFonts w:ascii="Times New Roman" w:hAnsi="Times New Roman" w:cs="Times New Roman"/>
          <w:lang w:val="en-US"/>
        </w:rPr>
        <w:t>, Leipzig 1887, trad.it. Bari 2011</w:t>
      </w:r>
    </w:p>
  </w:footnote>
  <w:footnote w:id="11">
    <w:p w14:paraId="34017D98" w14:textId="77777777" w:rsidR="00232446" w:rsidRPr="00B86E62" w:rsidRDefault="00232446" w:rsidP="00232446">
      <w:pPr>
        <w:pStyle w:val="Testonotaapidipagina"/>
        <w:rPr>
          <w:rFonts w:ascii="Times New Roman" w:hAnsi="Times New Roman" w:cs="Times New Roman"/>
        </w:rPr>
      </w:pPr>
      <w:r w:rsidRPr="00B86E62">
        <w:rPr>
          <w:rStyle w:val="Rimandonotaapidipagina"/>
          <w:rFonts w:ascii="Times New Roman" w:hAnsi="Times New Roman" w:cs="Times New Roman"/>
        </w:rPr>
        <w:footnoteRef/>
      </w:r>
      <w:r w:rsidRPr="00B86E62">
        <w:rPr>
          <w:rFonts w:ascii="Times New Roman" w:hAnsi="Times New Roman" w:cs="Times New Roman"/>
        </w:rPr>
        <w:t xml:space="preserve"> N. Bobbio</w:t>
      </w:r>
      <w:r w:rsidRPr="00B86E62">
        <w:rPr>
          <w:rFonts w:ascii="Times New Roman" w:hAnsi="Times New Roman" w:cs="Times New Roman"/>
          <w:smallCaps/>
        </w:rPr>
        <w:t xml:space="preserve">, </w:t>
      </w:r>
      <w:r w:rsidRPr="00B86E62">
        <w:rPr>
          <w:rFonts w:ascii="Times New Roman" w:hAnsi="Times New Roman" w:cs="Times New Roman"/>
          <w:i/>
        </w:rPr>
        <w:t xml:space="preserve">Il futuro della democrazia, </w:t>
      </w:r>
      <w:r w:rsidRPr="00B86E62">
        <w:rPr>
          <w:rFonts w:ascii="Times New Roman" w:hAnsi="Times New Roman" w:cs="Times New Roman"/>
        </w:rPr>
        <w:t>Torino, 1984, 35.</w:t>
      </w:r>
    </w:p>
  </w:footnote>
  <w:footnote w:id="12">
    <w:p w14:paraId="233C0F71" w14:textId="4766311E" w:rsidR="00806AB2" w:rsidRPr="00B86E62" w:rsidRDefault="00806AB2">
      <w:pPr>
        <w:pStyle w:val="Testonotaapidipagin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3503"/>
    <w:multiLevelType w:val="hybridMultilevel"/>
    <w:tmpl w:val="5D3C1BD0"/>
    <w:lvl w:ilvl="0" w:tplc="4D32EF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D44895"/>
    <w:multiLevelType w:val="hybridMultilevel"/>
    <w:tmpl w:val="79C60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DF"/>
    <w:rsid w:val="00070858"/>
    <w:rsid w:val="000B20D9"/>
    <w:rsid w:val="000D6453"/>
    <w:rsid w:val="000E3268"/>
    <w:rsid w:val="000F4888"/>
    <w:rsid w:val="0015051E"/>
    <w:rsid w:val="001762A2"/>
    <w:rsid w:val="00186F7E"/>
    <w:rsid w:val="00196FC2"/>
    <w:rsid w:val="001C68E2"/>
    <w:rsid w:val="001E2663"/>
    <w:rsid w:val="001E686B"/>
    <w:rsid w:val="001F4F79"/>
    <w:rsid w:val="00232446"/>
    <w:rsid w:val="00241B55"/>
    <w:rsid w:val="002500DF"/>
    <w:rsid w:val="0027586E"/>
    <w:rsid w:val="0028700B"/>
    <w:rsid w:val="00292AAF"/>
    <w:rsid w:val="002F34D3"/>
    <w:rsid w:val="00336B3A"/>
    <w:rsid w:val="00347517"/>
    <w:rsid w:val="003B7A0D"/>
    <w:rsid w:val="003E40C7"/>
    <w:rsid w:val="0040553E"/>
    <w:rsid w:val="00405DFB"/>
    <w:rsid w:val="0048091D"/>
    <w:rsid w:val="004C1F07"/>
    <w:rsid w:val="004E195D"/>
    <w:rsid w:val="004E6854"/>
    <w:rsid w:val="0054276D"/>
    <w:rsid w:val="00594492"/>
    <w:rsid w:val="005C7237"/>
    <w:rsid w:val="005D69EF"/>
    <w:rsid w:val="00633D73"/>
    <w:rsid w:val="00667E06"/>
    <w:rsid w:val="00674883"/>
    <w:rsid w:val="007122A8"/>
    <w:rsid w:val="00715C35"/>
    <w:rsid w:val="0072081A"/>
    <w:rsid w:val="00730C6D"/>
    <w:rsid w:val="007A1071"/>
    <w:rsid w:val="007D0B6A"/>
    <w:rsid w:val="007E6EE2"/>
    <w:rsid w:val="00806AB2"/>
    <w:rsid w:val="00817EC0"/>
    <w:rsid w:val="00837365"/>
    <w:rsid w:val="00895FEF"/>
    <w:rsid w:val="008B34BB"/>
    <w:rsid w:val="008E6EAE"/>
    <w:rsid w:val="00986119"/>
    <w:rsid w:val="009E74C4"/>
    <w:rsid w:val="00A97E38"/>
    <w:rsid w:val="00B13C33"/>
    <w:rsid w:val="00B37E72"/>
    <w:rsid w:val="00B62D0A"/>
    <w:rsid w:val="00B86E62"/>
    <w:rsid w:val="00BB2017"/>
    <w:rsid w:val="00BB20C7"/>
    <w:rsid w:val="00BC2431"/>
    <w:rsid w:val="00BD5EFE"/>
    <w:rsid w:val="00BF2EE9"/>
    <w:rsid w:val="00C61005"/>
    <w:rsid w:val="00C70539"/>
    <w:rsid w:val="00CA6E2E"/>
    <w:rsid w:val="00CD2C90"/>
    <w:rsid w:val="00CE3A41"/>
    <w:rsid w:val="00CF3B4B"/>
    <w:rsid w:val="00CF4BCA"/>
    <w:rsid w:val="00D0347C"/>
    <w:rsid w:val="00D2011A"/>
    <w:rsid w:val="00D55E20"/>
    <w:rsid w:val="00D56995"/>
    <w:rsid w:val="00E37954"/>
    <w:rsid w:val="00E64023"/>
    <w:rsid w:val="00E67E7D"/>
    <w:rsid w:val="00E854AB"/>
    <w:rsid w:val="00EA0F95"/>
    <w:rsid w:val="00F123C1"/>
    <w:rsid w:val="00F30134"/>
    <w:rsid w:val="00F43294"/>
    <w:rsid w:val="00F520D2"/>
    <w:rsid w:val="00F62DE8"/>
    <w:rsid w:val="00F927DA"/>
    <w:rsid w:val="00FD1CF9"/>
    <w:rsid w:val="00FD4D26"/>
    <w:rsid w:val="00FE088F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B9BA"/>
  <w15:chartTrackingRefBased/>
  <w15:docId w15:val="{32783D6D-8DF1-4EEE-AC59-80CFE1E8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00DF"/>
    <w:rPr>
      <w:color w:val="0563C1" w:themeColor="hyperlink"/>
      <w:u w:val="single"/>
    </w:rPr>
  </w:style>
  <w:style w:type="paragraph" w:customStyle="1" w:styleId="Default">
    <w:name w:val="Default"/>
    <w:rsid w:val="002500DF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6B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B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B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B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F2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EE9"/>
  </w:style>
  <w:style w:type="paragraph" w:styleId="Pidipagina">
    <w:name w:val="footer"/>
    <w:basedOn w:val="Normale"/>
    <w:link w:val="PidipaginaCarattere"/>
    <w:uiPriority w:val="99"/>
    <w:unhideWhenUsed/>
    <w:rsid w:val="00BF2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E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E2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56995"/>
    <w:pPr>
      <w:spacing w:after="0" w:line="240" w:lineRule="auto"/>
    </w:pPr>
  </w:style>
  <w:style w:type="character" w:customStyle="1" w:styleId="acopre">
    <w:name w:val="acopre"/>
    <w:basedOn w:val="Carpredefinitoparagrafo"/>
    <w:rsid w:val="00F927DA"/>
  </w:style>
  <w:style w:type="character" w:styleId="Enfasicorsivo">
    <w:name w:val="Emphasis"/>
    <w:basedOn w:val="Carpredefinitoparagrafo"/>
    <w:uiPriority w:val="20"/>
    <w:qFormat/>
    <w:rsid w:val="00F92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dgs.un.org/goals/goal11" TargetMode="External"/><Relationship Id="rId2" Type="http://schemas.openxmlformats.org/officeDocument/2006/relationships/hyperlink" Target="https://unric.org/it/agenda-2030/" TargetMode="External"/><Relationship Id="rId1" Type="http://schemas.openxmlformats.org/officeDocument/2006/relationships/hyperlink" Target="https://unric.org/it/obiettivo-11-rendere-le-citta-e-gli-insediamenti-umani-inclusivi-sicuri-duraturi-e-sostenibili/" TargetMode="External"/><Relationship Id="rId5" Type="http://schemas.openxmlformats.org/officeDocument/2006/relationships/hyperlink" Target="https://www.c40.org/about" TargetMode="External"/><Relationship Id="rId4" Type="http://schemas.openxmlformats.org/officeDocument/2006/relationships/hyperlink" Target="https://intelligence.weforum.org/topics/a1Gb0000000LiPhEAK?tab=publica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7FE2-B2F0-4DC4-ACF7-59B35BDB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Mariarita Circi</dc:creator>
  <cp:keywords/>
  <dc:description/>
  <cp:lastModifiedBy>FERRARI Giulia</cp:lastModifiedBy>
  <cp:revision>2</cp:revision>
  <cp:lastPrinted>2021-04-22T16:39:00Z</cp:lastPrinted>
  <dcterms:created xsi:type="dcterms:W3CDTF">2021-04-26T13:15:00Z</dcterms:created>
  <dcterms:modified xsi:type="dcterms:W3CDTF">2021-04-26T13:15:00Z</dcterms:modified>
</cp:coreProperties>
</file>